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5F2CE" w14:textId="7891321F" w:rsidR="004E6350" w:rsidRPr="00D51029" w:rsidRDefault="00910B49"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bookmarkStart w:id="0" w:name="_GoBack"/>
      <w:bookmarkEnd w:id="0"/>
      <w:r>
        <w:rPr>
          <w:rFonts w:ascii="Arial" w:hAnsi="Arial" w:cs="Arial"/>
          <w:sz w:val="22"/>
          <w:szCs w:val="22"/>
        </w:rPr>
        <w:t>FINAL</w:t>
      </w:r>
      <w:r w:rsidR="004E6350" w:rsidRPr="00D51029">
        <w:rPr>
          <w:rFonts w:ascii="Arial" w:hAnsi="Arial" w:cs="Arial"/>
          <w:sz w:val="22"/>
          <w:szCs w:val="22"/>
        </w:rPr>
        <w:t xml:space="preserve"> OMB SUPPORTING STATEMENT</w:t>
      </w:r>
    </w:p>
    <w:p w14:paraId="76609915" w14:textId="77777777" w:rsidR="004E6350"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FOR</w:t>
      </w:r>
    </w:p>
    <w:p w14:paraId="72DDA912"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10 CFR</w:t>
      </w:r>
      <w:r w:rsidRPr="00D51029">
        <w:rPr>
          <w:rFonts w:ascii="Arial" w:hAnsi="Arial" w:cs="Arial"/>
          <w:sz w:val="22"/>
          <w:szCs w:val="22"/>
        </w:rPr>
        <w:t xml:space="preserve"> PART 54</w:t>
      </w:r>
    </w:p>
    <w:p w14:paraId="3CAC0DDA"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D51029">
        <w:rPr>
          <w:rFonts w:ascii="Arial" w:hAnsi="Arial" w:cs="Arial"/>
          <w:sz w:val="22"/>
          <w:szCs w:val="22"/>
        </w:rPr>
        <w:t>REQUIREMENTS FOR RENEWAL OF OPERATING LICENSES FOR</w:t>
      </w:r>
    </w:p>
    <w:p w14:paraId="2F9C36D8"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D51029">
        <w:rPr>
          <w:rFonts w:ascii="Arial" w:hAnsi="Arial" w:cs="Arial"/>
          <w:sz w:val="22"/>
          <w:szCs w:val="22"/>
        </w:rPr>
        <w:t>NUCLEAR POWER PLANTS</w:t>
      </w:r>
    </w:p>
    <w:p w14:paraId="16F0BD5C"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D51029">
        <w:rPr>
          <w:rFonts w:ascii="Arial" w:hAnsi="Arial" w:cs="Arial"/>
          <w:sz w:val="22"/>
          <w:szCs w:val="22"/>
        </w:rPr>
        <w:t>3150-0155</w:t>
      </w:r>
    </w:p>
    <w:p w14:paraId="2C9D3170"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D51029">
        <w:rPr>
          <w:rFonts w:ascii="Arial" w:hAnsi="Arial" w:cs="Arial"/>
          <w:sz w:val="22"/>
          <w:szCs w:val="22"/>
        </w:rPr>
        <w:t>---</w:t>
      </w:r>
    </w:p>
    <w:p w14:paraId="257E6650" w14:textId="5CFEFB81" w:rsidR="004E6350" w:rsidRPr="008D7C22" w:rsidRDefault="001C0625"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Cs/>
          <w:sz w:val="22"/>
          <w:szCs w:val="22"/>
        </w:rPr>
      </w:pPr>
      <w:r>
        <w:rPr>
          <w:rFonts w:ascii="Arial" w:hAnsi="Arial" w:cs="Arial"/>
          <w:iCs/>
          <w:sz w:val="22"/>
          <w:szCs w:val="22"/>
        </w:rPr>
        <w:t>REVISION</w:t>
      </w:r>
    </w:p>
    <w:p w14:paraId="7D27CF9E"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B54E851"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615873"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u w:val="single"/>
        </w:rPr>
        <w:t>DESCRIPTION OF THE INFORMATION COLLECTION</w:t>
      </w:r>
    </w:p>
    <w:p w14:paraId="488AF258"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7FE726"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rPr>
        <w:t xml:space="preserve">Title 10 of the </w:t>
      </w:r>
      <w:r w:rsidRPr="00D51029">
        <w:rPr>
          <w:rFonts w:ascii="Arial" w:hAnsi="Arial" w:cs="Arial"/>
          <w:i/>
          <w:sz w:val="22"/>
          <w:szCs w:val="22"/>
        </w:rPr>
        <w:t>Code of Federal Regulations</w:t>
      </w:r>
      <w:r w:rsidRPr="00D51029">
        <w:rPr>
          <w:rFonts w:ascii="Arial" w:hAnsi="Arial" w:cs="Arial"/>
          <w:sz w:val="22"/>
          <w:szCs w:val="22"/>
        </w:rPr>
        <w:t xml:space="preserve"> (10 CFR) Part 54 establishes license renewal requirements for operating nuclear power plants.  Collection requirements included in 10</w:t>
      </w:r>
      <w:r w:rsidR="00EC02F6">
        <w:rPr>
          <w:rFonts w:ascii="Arial" w:hAnsi="Arial" w:cs="Arial"/>
          <w:sz w:val="22"/>
          <w:szCs w:val="22"/>
        </w:rPr>
        <w:t> </w:t>
      </w:r>
      <w:r w:rsidRPr="00D51029">
        <w:rPr>
          <w:rFonts w:ascii="Arial" w:hAnsi="Arial" w:cs="Arial"/>
          <w:sz w:val="22"/>
          <w:szCs w:val="22"/>
        </w:rPr>
        <w:t>CFR</w:t>
      </w:r>
      <w:r w:rsidR="00EC02F6">
        <w:rPr>
          <w:rFonts w:ascii="Arial" w:hAnsi="Arial" w:cs="Arial"/>
          <w:sz w:val="22"/>
          <w:szCs w:val="22"/>
        </w:rPr>
        <w:t> </w:t>
      </w:r>
      <w:r w:rsidRPr="00D51029">
        <w:rPr>
          <w:rFonts w:ascii="Arial" w:hAnsi="Arial" w:cs="Arial"/>
          <w:sz w:val="22"/>
          <w:szCs w:val="22"/>
        </w:rPr>
        <w:t>Part 54 are related to the license renewal application submittal and recordkeeping.</w:t>
      </w:r>
    </w:p>
    <w:p w14:paraId="66D353BA"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rPr>
        <w:t>In the license renewal appl</w:t>
      </w:r>
      <w:r>
        <w:rPr>
          <w:rFonts w:ascii="Arial" w:hAnsi="Arial" w:cs="Arial"/>
          <w:sz w:val="22"/>
          <w:szCs w:val="22"/>
        </w:rPr>
        <w:t>ication submittal the applicant</w:t>
      </w:r>
      <w:r w:rsidRPr="00D51029">
        <w:rPr>
          <w:rFonts w:ascii="Arial" w:hAnsi="Arial" w:cs="Arial"/>
          <w:sz w:val="22"/>
          <w:szCs w:val="22"/>
        </w:rPr>
        <w:t xml:space="preserve">: </w:t>
      </w:r>
      <w:r>
        <w:rPr>
          <w:rFonts w:ascii="Arial" w:hAnsi="Arial" w:cs="Arial"/>
          <w:sz w:val="22"/>
          <w:szCs w:val="22"/>
        </w:rPr>
        <w:t xml:space="preserve"> </w:t>
      </w:r>
      <w:r w:rsidRPr="00D51029">
        <w:rPr>
          <w:rFonts w:ascii="Arial" w:hAnsi="Arial" w:cs="Arial"/>
          <w:sz w:val="22"/>
          <w:szCs w:val="22"/>
        </w:rPr>
        <w:t xml:space="preserve">(1) identifies the appropriate </w:t>
      </w:r>
      <w:r>
        <w:rPr>
          <w:rFonts w:ascii="Arial" w:hAnsi="Arial" w:cs="Arial"/>
          <w:sz w:val="22"/>
          <w:szCs w:val="22"/>
        </w:rPr>
        <w:t>systems, structures and components (</w:t>
      </w:r>
      <w:r w:rsidRPr="00D51029">
        <w:rPr>
          <w:rFonts w:ascii="Arial" w:hAnsi="Arial" w:cs="Arial"/>
          <w:sz w:val="22"/>
          <w:szCs w:val="22"/>
        </w:rPr>
        <w:t>SSCs</w:t>
      </w:r>
      <w:r>
        <w:rPr>
          <w:rFonts w:ascii="Arial" w:hAnsi="Arial" w:cs="Arial"/>
          <w:sz w:val="22"/>
          <w:szCs w:val="22"/>
        </w:rPr>
        <w:t>)</w:t>
      </w:r>
      <w:r w:rsidRPr="00D51029">
        <w:rPr>
          <w:rFonts w:ascii="Arial" w:hAnsi="Arial" w:cs="Arial"/>
          <w:sz w:val="22"/>
          <w:szCs w:val="22"/>
        </w:rPr>
        <w:t xml:space="preserve"> that need to be managed for aging degradation, and (2) proposes additional actions needed to maintain the functionality of the SSCs in the period of extended operation. </w:t>
      </w:r>
      <w:r>
        <w:rPr>
          <w:rFonts w:ascii="Arial" w:hAnsi="Arial" w:cs="Arial"/>
          <w:sz w:val="22"/>
          <w:szCs w:val="22"/>
        </w:rPr>
        <w:t xml:space="preserve"> </w:t>
      </w:r>
      <w:r w:rsidRPr="00D51029">
        <w:rPr>
          <w:rFonts w:ascii="Arial" w:hAnsi="Arial" w:cs="Arial"/>
          <w:sz w:val="22"/>
          <w:szCs w:val="22"/>
        </w:rPr>
        <w:t xml:space="preserve">The </w:t>
      </w:r>
      <w:r>
        <w:rPr>
          <w:rFonts w:ascii="Arial" w:hAnsi="Arial" w:cs="Arial"/>
          <w:sz w:val="22"/>
          <w:szCs w:val="22"/>
        </w:rPr>
        <w:t>current licensing basis (</w:t>
      </w:r>
      <w:r w:rsidRPr="00D51029">
        <w:rPr>
          <w:rFonts w:ascii="Arial" w:hAnsi="Arial" w:cs="Arial"/>
          <w:sz w:val="22"/>
          <w:szCs w:val="22"/>
        </w:rPr>
        <w:t>CLB</w:t>
      </w:r>
      <w:r>
        <w:rPr>
          <w:rFonts w:ascii="Arial" w:hAnsi="Arial" w:cs="Arial"/>
          <w:sz w:val="22"/>
          <w:szCs w:val="22"/>
        </w:rPr>
        <w:t>)</w:t>
      </w:r>
      <w:r w:rsidRPr="00D51029">
        <w:rPr>
          <w:rFonts w:ascii="Arial" w:hAnsi="Arial" w:cs="Arial"/>
          <w:sz w:val="22"/>
          <w:szCs w:val="22"/>
        </w:rPr>
        <w:t xml:space="preserve"> of a facility is modified to include programs and activities related to the aging management of SSCs thr</w:t>
      </w:r>
      <w:r>
        <w:rPr>
          <w:rFonts w:ascii="Arial" w:hAnsi="Arial" w:cs="Arial"/>
          <w:sz w:val="22"/>
          <w:szCs w:val="22"/>
        </w:rPr>
        <w:t>ough updates to the updated final safety analysis report (U</w:t>
      </w:r>
      <w:r w:rsidRPr="00D51029">
        <w:rPr>
          <w:rFonts w:ascii="Arial" w:hAnsi="Arial" w:cs="Arial"/>
          <w:sz w:val="22"/>
          <w:szCs w:val="22"/>
        </w:rPr>
        <w:t>FSAR</w:t>
      </w:r>
      <w:r>
        <w:rPr>
          <w:rFonts w:ascii="Arial" w:hAnsi="Arial" w:cs="Arial"/>
          <w:sz w:val="22"/>
          <w:szCs w:val="22"/>
        </w:rPr>
        <w:t>)</w:t>
      </w:r>
      <w:r w:rsidRPr="00D51029">
        <w:rPr>
          <w:rFonts w:ascii="Arial" w:hAnsi="Arial" w:cs="Arial"/>
          <w:sz w:val="22"/>
          <w:szCs w:val="22"/>
        </w:rPr>
        <w:t xml:space="preserve"> and additional requirements added as part of the renewed operating license.</w:t>
      </w:r>
    </w:p>
    <w:p w14:paraId="543FE5E1"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62C460"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rPr>
        <w:t>Applicants for renewal must perform an integrated plant assessment in which SSCs within the scope of license renewal are identified and screened to determine which SSCs require actions to manage the detrimental effects of age-related degradation.  A license renewal applicant must submit with its application a</w:t>
      </w:r>
      <w:r>
        <w:rPr>
          <w:rFonts w:ascii="Arial" w:hAnsi="Arial" w:cs="Arial"/>
          <w:sz w:val="22"/>
          <w:szCs w:val="22"/>
        </w:rPr>
        <w:t>n</w:t>
      </w:r>
      <w:r w:rsidRPr="00D51029">
        <w:rPr>
          <w:rFonts w:ascii="Arial" w:hAnsi="Arial" w:cs="Arial"/>
          <w:sz w:val="22"/>
          <w:szCs w:val="22"/>
        </w:rPr>
        <w:t xml:space="preserve"> </w:t>
      </w:r>
      <w:r>
        <w:rPr>
          <w:rFonts w:ascii="Arial" w:hAnsi="Arial" w:cs="Arial"/>
          <w:sz w:val="22"/>
          <w:szCs w:val="22"/>
        </w:rPr>
        <w:t>UFSAR supplement</w:t>
      </w:r>
      <w:r w:rsidRPr="00D51029">
        <w:rPr>
          <w:rFonts w:ascii="Arial" w:hAnsi="Arial" w:cs="Arial"/>
          <w:sz w:val="22"/>
          <w:szCs w:val="22"/>
        </w:rPr>
        <w:t xml:space="preserve"> which describes the aging management programs to be implemented and inspection and testing activities to be completed before and during the period of extended operation.  </w:t>
      </w:r>
    </w:p>
    <w:p w14:paraId="12147656"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0C8474" w14:textId="6C7D7F26" w:rsidR="004E6350"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51029">
        <w:rPr>
          <w:rFonts w:ascii="Arial" w:hAnsi="Arial" w:cs="Arial"/>
          <w:sz w:val="22"/>
          <w:szCs w:val="22"/>
        </w:rPr>
        <w:t xml:space="preserve">Renewed operating licenses routinely contain a reporting requirement for the licensee to notify NRC in writing when the </w:t>
      </w:r>
      <w:r>
        <w:rPr>
          <w:rFonts w:ascii="Arial" w:hAnsi="Arial" w:cs="Arial"/>
          <w:sz w:val="22"/>
          <w:szCs w:val="22"/>
        </w:rPr>
        <w:t>inspection and testing activities</w:t>
      </w:r>
      <w:r w:rsidRPr="00D51029">
        <w:rPr>
          <w:rFonts w:ascii="Arial" w:hAnsi="Arial" w:cs="Arial"/>
          <w:sz w:val="22"/>
          <w:szCs w:val="22"/>
        </w:rPr>
        <w:t xml:space="preserve"> are completed.  The only licensees subject to this requirement are those that:  (a) have renewed licenses prior to the clearance period or may receive a renewed license during the clearance period, and (b) will complete implementation of the inspection activities and notify NRC accordingly.</w:t>
      </w:r>
    </w:p>
    <w:p w14:paraId="19422D5C" w14:textId="77777777" w:rsidR="007C0782" w:rsidRDefault="007C0782"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AD2E662" w14:textId="77777777" w:rsidR="00771D32" w:rsidRPr="00CF5638" w:rsidRDefault="00771D32" w:rsidP="00771D32">
      <w:pPr>
        <w:rPr>
          <w:rFonts w:ascii="Arial" w:hAnsi="Arial" w:cs="Arial"/>
          <w:iCs/>
          <w:sz w:val="22"/>
          <w:szCs w:val="22"/>
        </w:rPr>
      </w:pPr>
      <w:r w:rsidRPr="00CF5638">
        <w:rPr>
          <w:rFonts w:ascii="Arial" w:hAnsi="Arial" w:cs="Arial"/>
          <w:iCs/>
          <w:sz w:val="22"/>
          <w:szCs w:val="22"/>
        </w:rPr>
        <w:t xml:space="preserve">The NRC staff anticipates </w:t>
      </w:r>
      <w:r w:rsidR="006B1C77">
        <w:rPr>
          <w:rFonts w:ascii="Arial" w:hAnsi="Arial" w:cs="Arial"/>
          <w:iCs/>
          <w:sz w:val="22"/>
          <w:szCs w:val="22"/>
        </w:rPr>
        <w:t>up to six</w:t>
      </w:r>
      <w:r w:rsidRPr="00CF5638">
        <w:rPr>
          <w:rFonts w:ascii="Arial" w:hAnsi="Arial" w:cs="Arial"/>
          <w:iCs/>
          <w:sz w:val="22"/>
          <w:szCs w:val="22"/>
        </w:rPr>
        <w:t xml:space="preserve"> (</w:t>
      </w:r>
      <w:r w:rsidR="006B1C77">
        <w:rPr>
          <w:rFonts w:ascii="Arial" w:hAnsi="Arial" w:cs="Arial"/>
          <w:iCs/>
          <w:sz w:val="22"/>
          <w:szCs w:val="22"/>
        </w:rPr>
        <w:t>6</w:t>
      </w:r>
      <w:r w:rsidRPr="00CF5638">
        <w:rPr>
          <w:rFonts w:ascii="Arial" w:hAnsi="Arial" w:cs="Arial"/>
          <w:iCs/>
          <w:sz w:val="22"/>
          <w:szCs w:val="22"/>
        </w:rPr>
        <w:t>) applications during the upco</w:t>
      </w:r>
      <w:r w:rsidR="00211E38">
        <w:rPr>
          <w:rFonts w:ascii="Arial" w:hAnsi="Arial" w:cs="Arial"/>
          <w:iCs/>
          <w:sz w:val="22"/>
          <w:szCs w:val="22"/>
        </w:rPr>
        <w:t>ming clearance period (November </w:t>
      </w:r>
      <w:r w:rsidRPr="00CF5638">
        <w:rPr>
          <w:rFonts w:ascii="Arial" w:hAnsi="Arial" w:cs="Arial"/>
          <w:iCs/>
          <w:sz w:val="22"/>
          <w:szCs w:val="22"/>
        </w:rPr>
        <w:t xml:space="preserve">2018 – </w:t>
      </w:r>
      <w:r w:rsidR="00C63BEF">
        <w:rPr>
          <w:rFonts w:ascii="Arial" w:hAnsi="Arial" w:cs="Arial"/>
          <w:iCs/>
          <w:sz w:val="22"/>
          <w:szCs w:val="22"/>
        </w:rPr>
        <w:t>October</w:t>
      </w:r>
      <w:r w:rsidR="00C63BEF" w:rsidRPr="00CF5638">
        <w:rPr>
          <w:rFonts w:ascii="Arial" w:hAnsi="Arial" w:cs="Arial"/>
          <w:iCs/>
          <w:sz w:val="22"/>
          <w:szCs w:val="22"/>
        </w:rPr>
        <w:t xml:space="preserve"> </w:t>
      </w:r>
      <w:r w:rsidRPr="00CF5638">
        <w:rPr>
          <w:rFonts w:ascii="Arial" w:hAnsi="Arial" w:cs="Arial"/>
          <w:iCs/>
          <w:sz w:val="22"/>
          <w:szCs w:val="22"/>
        </w:rPr>
        <w:t>2021), will be submitted under 10 CFR Part 54.  Currently there are 5</w:t>
      </w:r>
      <w:r w:rsidR="003C76B4" w:rsidRPr="00CF5638">
        <w:rPr>
          <w:rFonts w:ascii="Arial" w:hAnsi="Arial" w:cs="Arial"/>
          <w:iCs/>
          <w:sz w:val="22"/>
          <w:szCs w:val="22"/>
        </w:rPr>
        <w:t>2</w:t>
      </w:r>
      <w:r w:rsidRPr="00CF5638">
        <w:rPr>
          <w:rFonts w:ascii="Arial" w:hAnsi="Arial" w:cs="Arial"/>
          <w:iCs/>
          <w:sz w:val="22"/>
          <w:szCs w:val="22"/>
        </w:rPr>
        <w:t xml:space="preserve"> license</w:t>
      </w:r>
      <w:r w:rsidR="003C76B4" w:rsidRPr="00CF5638">
        <w:rPr>
          <w:rFonts w:ascii="Arial" w:hAnsi="Arial" w:cs="Arial"/>
          <w:iCs/>
          <w:sz w:val="22"/>
          <w:szCs w:val="22"/>
        </w:rPr>
        <w:t>e</w:t>
      </w:r>
      <w:r w:rsidR="00E003B5">
        <w:rPr>
          <w:rFonts w:ascii="Arial" w:hAnsi="Arial" w:cs="Arial"/>
          <w:iCs/>
          <w:sz w:val="22"/>
          <w:szCs w:val="22"/>
        </w:rPr>
        <w:t>s or record</w:t>
      </w:r>
      <w:r w:rsidRPr="00CF5638">
        <w:rPr>
          <w:rFonts w:ascii="Arial" w:hAnsi="Arial" w:cs="Arial"/>
          <w:iCs/>
          <w:sz w:val="22"/>
          <w:szCs w:val="22"/>
        </w:rPr>
        <w:t xml:space="preserve">keepers maintaining </w:t>
      </w:r>
      <w:r w:rsidR="003C76B4" w:rsidRPr="00CF5638">
        <w:rPr>
          <w:rFonts w:ascii="Arial" w:hAnsi="Arial" w:cs="Arial"/>
          <w:iCs/>
          <w:sz w:val="22"/>
          <w:szCs w:val="22"/>
        </w:rPr>
        <w:t>86</w:t>
      </w:r>
      <w:r w:rsidRPr="00CF5638">
        <w:rPr>
          <w:rFonts w:ascii="Arial" w:hAnsi="Arial" w:cs="Arial"/>
          <w:iCs/>
          <w:sz w:val="22"/>
          <w:szCs w:val="22"/>
        </w:rPr>
        <w:t xml:space="preserve"> </w:t>
      </w:r>
      <w:r w:rsidR="006B1C77">
        <w:rPr>
          <w:rFonts w:ascii="Arial" w:hAnsi="Arial" w:cs="Arial"/>
          <w:iCs/>
          <w:sz w:val="22"/>
          <w:szCs w:val="22"/>
        </w:rPr>
        <w:t>renewed</w:t>
      </w:r>
      <w:r w:rsidRPr="00CF5638">
        <w:rPr>
          <w:rFonts w:ascii="Arial" w:hAnsi="Arial" w:cs="Arial"/>
          <w:iCs/>
          <w:sz w:val="22"/>
          <w:szCs w:val="22"/>
        </w:rPr>
        <w:t xml:space="preserve"> licenses. </w:t>
      </w:r>
    </w:p>
    <w:p w14:paraId="27DD0DC7"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6664C67"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u w:val="single"/>
        </w:rPr>
      </w:pPr>
      <w:r w:rsidRPr="00D51029">
        <w:rPr>
          <w:rFonts w:ascii="Arial" w:hAnsi="Arial" w:cs="Arial"/>
          <w:sz w:val="22"/>
          <w:szCs w:val="22"/>
        </w:rPr>
        <w:t>A.</w:t>
      </w:r>
      <w:r w:rsidRPr="00D51029">
        <w:rPr>
          <w:rFonts w:ascii="Arial" w:hAnsi="Arial" w:cs="Arial"/>
          <w:sz w:val="22"/>
          <w:szCs w:val="22"/>
        </w:rPr>
        <w:tab/>
      </w:r>
      <w:r w:rsidRPr="00D51029">
        <w:rPr>
          <w:rFonts w:ascii="Arial" w:hAnsi="Arial" w:cs="Arial"/>
          <w:sz w:val="22"/>
          <w:szCs w:val="22"/>
          <w:u w:val="single"/>
        </w:rPr>
        <w:t>JUSTIFICATION</w:t>
      </w:r>
    </w:p>
    <w:p w14:paraId="7D8E05B3"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14:paraId="4C7D8EA6"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2"/>
          <w:szCs w:val="22"/>
          <w:u w:val="single"/>
        </w:rPr>
      </w:pPr>
      <w:r w:rsidRPr="00D51029">
        <w:rPr>
          <w:rFonts w:ascii="Arial" w:hAnsi="Arial" w:cs="Arial"/>
          <w:sz w:val="22"/>
          <w:szCs w:val="22"/>
        </w:rPr>
        <w:t>1.</w:t>
      </w:r>
      <w:r w:rsidRPr="00D51029">
        <w:rPr>
          <w:rFonts w:ascii="Arial" w:hAnsi="Arial" w:cs="Arial"/>
          <w:sz w:val="22"/>
          <w:szCs w:val="22"/>
        </w:rPr>
        <w:tab/>
      </w:r>
      <w:r w:rsidRPr="00D51029">
        <w:rPr>
          <w:rFonts w:ascii="Arial" w:hAnsi="Arial" w:cs="Arial"/>
          <w:sz w:val="22"/>
          <w:szCs w:val="22"/>
          <w:u w:val="single"/>
        </w:rPr>
        <w:t>Need for and Practical Utility of the Collection of Information</w:t>
      </w:r>
    </w:p>
    <w:p w14:paraId="07D6626E"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14:paraId="468ACD8F"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sidRPr="00D51029">
        <w:rPr>
          <w:rFonts w:ascii="Arial" w:hAnsi="Arial" w:cs="Arial"/>
          <w:sz w:val="22"/>
          <w:szCs w:val="22"/>
        </w:rPr>
        <w:t xml:space="preserve">Part 54 of 10 CFR establishes license renewal requirements for operating nuclear power plants and describes the information that licensees must submit to the NRC when applying for a license renewal.  The application must contain technical information regarding how the licensee will manage the detrimental effects of age-related degradation for certain plant SSCs so as to continue the plant’s safe operation during the renewal term.  The NRC needs this information </w:t>
      </w:r>
      <w:r w:rsidRPr="00D51029">
        <w:rPr>
          <w:rFonts w:ascii="Arial" w:hAnsi="Arial" w:cs="Arial"/>
          <w:sz w:val="22"/>
          <w:szCs w:val="22"/>
        </w:rPr>
        <w:lastRenderedPageBreak/>
        <w:t>to determine whether the licensee’s actions will be effective in assuring the plant’s continued safe operation.</w:t>
      </w:r>
    </w:p>
    <w:p w14:paraId="55FCB83F"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p>
    <w:p w14:paraId="5B3525CC"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sidRPr="00D51029">
        <w:rPr>
          <w:rFonts w:ascii="Arial" w:hAnsi="Arial" w:cs="Arial"/>
          <w:sz w:val="22"/>
          <w:szCs w:val="22"/>
        </w:rPr>
        <w:t xml:space="preserve">The letter </w:t>
      </w:r>
      <w:r>
        <w:rPr>
          <w:rFonts w:ascii="Arial" w:hAnsi="Arial" w:cs="Arial"/>
          <w:sz w:val="22"/>
          <w:szCs w:val="22"/>
        </w:rPr>
        <w:t xml:space="preserve">documenting the completion of inspection and testing activities </w:t>
      </w:r>
      <w:r w:rsidRPr="00D51029">
        <w:rPr>
          <w:rFonts w:ascii="Arial" w:hAnsi="Arial" w:cs="Arial"/>
          <w:sz w:val="22"/>
          <w:szCs w:val="22"/>
        </w:rPr>
        <w:t xml:space="preserve">required to be submitted by each renewed license serves as notification to the NRC that the licensee has completed the inspection and program implementation activities described in the </w:t>
      </w:r>
      <w:r>
        <w:rPr>
          <w:rFonts w:ascii="Arial" w:hAnsi="Arial" w:cs="Arial"/>
          <w:sz w:val="22"/>
          <w:szCs w:val="22"/>
        </w:rPr>
        <w:t>UFSAR</w:t>
      </w:r>
      <w:r w:rsidRPr="00D51029">
        <w:rPr>
          <w:rFonts w:ascii="Arial" w:hAnsi="Arial" w:cs="Arial"/>
          <w:sz w:val="22"/>
          <w:szCs w:val="22"/>
        </w:rPr>
        <w:t xml:space="preserve"> supplement.  The NRC needs this notification so as to verify through inspection the implementation of these activities.</w:t>
      </w:r>
    </w:p>
    <w:p w14:paraId="20F7E5F1"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p>
    <w:p w14:paraId="613D186E" w14:textId="77777777" w:rsidR="00D32D20"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sidRPr="00D51029">
        <w:rPr>
          <w:rFonts w:ascii="Arial" w:hAnsi="Arial" w:cs="Arial"/>
          <w:sz w:val="22"/>
          <w:szCs w:val="22"/>
        </w:rPr>
        <w:t xml:space="preserve">Holders of renewed licenses must retain in an auditable and retrievable form, for the term of the renewed operating license, all information and documentation required to document compliance with 10 CFR Part 54. </w:t>
      </w:r>
    </w:p>
    <w:p w14:paraId="7FDF118B" w14:textId="77777777" w:rsidR="00D32D20" w:rsidRDefault="00D32D2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p>
    <w:p w14:paraId="2BB0FCAE" w14:textId="77777777" w:rsidR="004E6350" w:rsidRPr="00D51029" w:rsidRDefault="00D32D2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sidRPr="00EB17C2">
        <w:rPr>
          <w:rFonts w:ascii="Arial" w:hAnsi="Arial" w:cs="Arial"/>
          <w:sz w:val="22"/>
          <w:szCs w:val="22"/>
        </w:rPr>
        <w:t>Details of these regulations can be found at the end of this supporting statement in “Description of Requirements</w:t>
      </w:r>
      <w:r w:rsidR="00CF5638">
        <w:rPr>
          <w:rFonts w:ascii="Arial" w:hAnsi="Arial" w:cs="Arial"/>
          <w:sz w:val="22"/>
          <w:szCs w:val="22"/>
        </w:rPr>
        <w:t>.”</w:t>
      </w:r>
    </w:p>
    <w:p w14:paraId="3FDA6A5D"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p>
    <w:p w14:paraId="392F52BE" w14:textId="77777777" w:rsidR="004E6350" w:rsidRPr="00D51029" w:rsidRDefault="004E6350" w:rsidP="004E6350">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2"/>
          <w:szCs w:val="22"/>
          <w:u w:val="single"/>
        </w:rPr>
      </w:pPr>
      <w:r w:rsidRPr="00D51029">
        <w:rPr>
          <w:rFonts w:ascii="Arial" w:hAnsi="Arial" w:cs="Arial"/>
          <w:sz w:val="22"/>
          <w:szCs w:val="22"/>
        </w:rPr>
        <w:t>2.</w:t>
      </w:r>
      <w:r w:rsidRPr="00D51029">
        <w:rPr>
          <w:rFonts w:ascii="Arial" w:hAnsi="Arial" w:cs="Arial"/>
          <w:sz w:val="22"/>
          <w:szCs w:val="22"/>
        </w:rPr>
        <w:tab/>
      </w:r>
      <w:r w:rsidRPr="00D51029">
        <w:rPr>
          <w:rFonts w:ascii="Arial" w:hAnsi="Arial" w:cs="Arial"/>
          <w:sz w:val="22"/>
          <w:szCs w:val="22"/>
          <w:u w:val="single"/>
        </w:rPr>
        <w:t>Agency Use of the Information</w:t>
      </w:r>
    </w:p>
    <w:p w14:paraId="67861E82" w14:textId="77777777" w:rsidR="004E6350" w:rsidRPr="00D51029" w:rsidRDefault="004E6350" w:rsidP="004E6350">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14:paraId="1F4D591D"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sidRPr="00D51029">
        <w:rPr>
          <w:rFonts w:ascii="Arial" w:hAnsi="Arial" w:cs="Arial"/>
          <w:sz w:val="22"/>
          <w:szCs w:val="22"/>
        </w:rPr>
        <w:t>The NRC will use the information submitted with the license renewal application to determine whether continued operation of nuclear power plants during their renewal terms will provide reasonable assurance of the adequate protection of public health and safety and the common defense and security.  License renewal applicants and holders of renewed nuclear power plant operating licenses will use the information as a basis for establishing and maintaining aging management programs.  Retained records will be used by the licensee and the NRC during inspections to provide the technical bases for continued safe operation of the plant.</w:t>
      </w:r>
    </w:p>
    <w:p w14:paraId="756078FC" w14:textId="77777777" w:rsidR="004E6350" w:rsidRPr="00D51029"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14:paraId="110E5861" w14:textId="77777777" w:rsidR="004E6350" w:rsidRPr="008E7922" w:rsidRDefault="004E6350" w:rsidP="004E63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2"/>
          <w:szCs w:val="22"/>
          <w:u w:val="single"/>
        </w:rPr>
      </w:pPr>
      <w:r w:rsidRPr="00D51029">
        <w:rPr>
          <w:rFonts w:ascii="Arial" w:hAnsi="Arial" w:cs="Arial"/>
          <w:sz w:val="22"/>
          <w:szCs w:val="22"/>
        </w:rPr>
        <w:t>3.</w:t>
      </w:r>
      <w:r w:rsidRPr="00D51029">
        <w:rPr>
          <w:rFonts w:ascii="Arial" w:hAnsi="Arial" w:cs="Arial"/>
          <w:sz w:val="22"/>
          <w:szCs w:val="22"/>
        </w:rPr>
        <w:tab/>
      </w:r>
      <w:r w:rsidRPr="008E7922">
        <w:rPr>
          <w:rFonts w:ascii="Arial" w:hAnsi="Arial" w:cs="Arial"/>
          <w:sz w:val="22"/>
          <w:szCs w:val="22"/>
          <w:u w:val="single"/>
        </w:rPr>
        <w:t>Reduction of Burden Through Information Technology</w:t>
      </w:r>
    </w:p>
    <w:p w14:paraId="6E614C64" w14:textId="77777777" w:rsidR="004E6350" w:rsidRPr="00CF5638" w:rsidRDefault="004E6350" w:rsidP="004E6350">
      <w:pPr>
        <w:widowControl w:val="0"/>
        <w:ind w:left="1440"/>
        <w:rPr>
          <w:rFonts w:ascii="Arial" w:hAnsi="Arial" w:cs="Arial"/>
          <w:b/>
          <w:sz w:val="22"/>
          <w:szCs w:val="22"/>
        </w:rPr>
      </w:pPr>
    </w:p>
    <w:p w14:paraId="25BC794A" w14:textId="278DFDAB" w:rsidR="00C63BEF" w:rsidRPr="00C63BEF" w:rsidRDefault="004E6350" w:rsidP="00C63BEF">
      <w:pPr>
        <w:widowControl w:val="0"/>
        <w:ind w:left="1440"/>
        <w:rPr>
          <w:rFonts w:ascii="Arial" w:hAnsi="Arial" w:cs="Arial"/>
          <w:sz w:val="22"/>
          <w:szCs w:val="22"/>
        </w:rPr>
      </w:pPr>
      <w:r w:rsidRPr="00CF5638">
        <w:rPr>
          <w:rFonts w:ascii="Arial" w:hAnsi="Arial" w:cs="Arial"/>
          <w:sz w:val="22"/>
          <w:szCs w:val="22"/>
        </w:rPr>
        <w:t>There are no legal obstacles to reducing the burden associated with this information collection.  The NRC encourages respondents to use information technology when it would be beneficial to the</w:t>
      </w:r>
      <w:r w:rsidR="00CF5638">
        <w:rPr>
          <w:rFonts w:ascii="Arial" w:hAnsi="Arial" w:cs="Arial"/>
          <w:sz w:val="22"/>
          <w:szCs w:val="22"/>
        </w:rPr>
        <w:t xml:space="preserve">m.  </w:t>
      </w:r>
      <w:r w:rsidR="00771D32" w:rsidRPr="00CF5638">
        <w:rPr>
          <w:rFonts w:ascii="Arial" w:hAnsi="Arial" w:cs="Arial"/>
          <w:sz w:val="22"/>
          <w:szCs w:val="22"/>
        </w:rPr>
        <w:t xml:space="preserve">The NRC has issued </w:t>
      </w:r>
      <w:hyperlink r:id="rId9" w:history="1">
        <w:r w:rsidR="00771D32" w:rsidRPr="00CF5638">
          <w:rPr>
            <w:rStyle w:val="Hyperlink"/>
            <w:rFonts w:ascii="Arial" w:hAnsi="Arial" w:cs="Arial"/>
            <w:i/>
            <w:sz w:val="22"/>
            <w:szCs w:val="22"/>
          </w:rPr>
          <w:t>Guidance for Electronic Submissions to the NRC</w:t>
        </w:r>
      </w:hyperlink>
      <w:r w:rsidR="00771D32" w:rsidRPr="00CF5638">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w:t>
      </w:r>
      <w:r w:rsidR="00C63BEF" w:rsidRPr="00C63BEF">
        <w:rPr>
          <w:rFonts w:ascii="Arial" w:hAnsi="Arial" w:cs="Arial"/>
          <w:sz w:val="22"/>
          <w:szCs w:val="22"/>
        </w:rPr>
        <w:t xml:space="preserve">It is estimated that approximately </w:t>
      </w:r>
      <w:r w:rsidR="00C63BEF" w:rsidRPr="009E7415">
        <w:rPr>
          <w:rFonts w:ascii="Arial" w:hAnsi="Arial" w:cs="Arial"/>
          <w:sz w:val="22"/>
          <w:szCs w:val="22"/>
        </w:rPr>
        <w:t>75</w:t>
      </w:r>
      <w:r w:rsidR="000F513E">
        <w:rPr>
          <w:rFonts w:ascii="Arial" w:hAnsi="Arial" w:cs="Arial"/>
          <w:sz w:val="22"/>
          <w:szCs w:val="22"/>
        </w:rPr>
        <w:t> </w:t>
      </w:r>
      <w:r w:rsidR="00C63BEF" w:rsidRPr="009E7415">
        <w:rPr>
          <w:rFonts w:ascii="Arial" w:hAnsi="Arial" w:cs="Arial"/>
          <w:sz w:val="22"/>
          <w:szCs w:val="22"/>
        </w:rPr>
        <w:t>percent</w:t>
      </w:r>
      <w:r w:rsidR="00C63BEF" w:rsidRPr="00C63BEF">
        <w:rPr>
          <w:rFonts w:ascii="Arial" w:hAnsi="Arial" w:cs="Arial"/>
          <w:b/>
          <w:sz w:val="22"/>
          <w:szCs w:val="22"/>
        </w:rPr>
        <w:t xml:space="preserve"> </w:t>
      </w:r>
      <w:r w:rsidR="00C63BEF" w:rsidRPr="00C63BEF">
        <w:rPr>
          <w:rFonts w:ascii="Arial" w:hAnsi="Arial" w:cs="Arial"/>
          <w:sz w:val="22"/>
          <w:szCs w:val="22"/>
        </w:rPr>
        <w:t>of the potential responses</w:t>
      </w:r>
      <w:r w:rsidR="006F7DB6">
        <w:rPr>
          <w:rFonts w:ascii="Arial" w:hAnsi="Arial" w:cs="Arial"/>
          <w:sz w:val="22"/>
          <w:szCs w:val="22"/>
        </w:rPr>
        <w:t>, including license renewal applications and amendments,</w:t>
      </w:r>
      <w:r w:rsidR="00C63BEF" w:rsidRPr="00C63BEF">
        <w:rPr>
          <w:rFonts w:ascii="Arial" w:hAnsi="Arial" w:cs="Arial"/>
          <w:sz w:val="22"/>
          <w:szCs w:val="22"/>
        </w:rPr>
        <w:t xml:space="preserve"> are filed electronically.</w:t>
      </w:r>
    </w:p>
    <w:p w14:paraId="4A85C128" w14:textId="77777777" w:rsidR="004E6350" w:rsidRPr="008E7922" w:rsidRDefault="004E6350" w:rsidP="009E7415">
      <w:pPr>
        <w:widowControl w:val="0"/>
        <w:ind w:left="1440"/>
        <w:rPr>
          <w:rFonts w:ascii="Arial" w:hAnsi="Arial" w:cs="Arial"/>
          <w:sz w:val="22"/>
          <w:szCs w:val="22"/>
        </w:rPr>
      </w:pPr>
    </w:p>
    <w:p w14:paraId="084FFAFE" w14:textId="77777777" w:rsidR="004E6350" w:rsidRPr="008E7922"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u w:val="single"/>
        </w:rPr>
      </w:pPr>
      <w:r w:rsidRPr="008E7922">
        <w:rPr>
          <w:rFonts w:ascii="Arial" w:hAnsi="Arial" w:cs="Arial"/>
          <w:sz w:val="22"/>
          <w:szCs w:val="22"/>
        </w:rPr>
        <w:t>4.</w:t>
      </w:r>
      <w:r w:rsidRPr="008E7922">
        <w:rPr>
          <w:rFonts w:ascii="Arial" w:hAnsi="Arial" w:cs="Arial"/>
          <w:sz w:val="22"/>
          <w:szCs w:val="22"/>
        </w:rPr>
        <w:tab/>
      </w:r>
      <w:r w:rsidRPr="008E7922">
        <w:rPr>
          <w:rFonts w:ascii="Arial" w:hAnsi="Arial" w:cs="Arial"/>
          <w:sz w:val="22"/>
          <w:szCs w:val="22"/>
          <w:u w:val="single"/>
        </w:rPr>
        <w:t>Effort to Identify Duplication and Use Similar Information</w:t>
      </w:r>
    </w:p>
    <w:p w14:paraId="7F5CA57B" w14:textId="77777777" w:rsidR="004E6350" w:rsidRPr="008E7922" w:rsidRDefault="004E6350" w:rsidP="004E6350">
      <w:pPr>
        <w:widowControl w:val="0"/>
        <w:ind w:left="1440"/>
        <w:rPr>
          <w:rFonts w:ascii="Arial" w:hAnsi="Arial" w:cs="Arial"/>
          <w:b/>
          <w:sz w:val="22"/>
          <w:szCs w:val="22"/>
        </w:rPr>
      </w:pPr>
    </w:p>
    <w:p w14:paraId="20455D44" w14:textId="77777777" w:rsidR="004E6350" w:rsidRPr="008E7922" w:rsidRDefault="004E6350" w:rsidP="004E6350">
      <w:pPr>
        <w:widowControl w:val="0"/>
        <w:ind w:left="1440"/>
        <w:rPr>
          <w:rFonts w:ascii="Arial" w:hAnsi="Arial" w:cs="Arial"/>
          <w:sz w:val="22"/>
          <w:szCs w:val="22"/>
        </w:rPr>
      </w:pPr>
      <w:r w:rsidRPr="008E7922">
        <w:rPr>
          <w:rFonts w:ascii="Arial" w:hAnsi="Arial" w:cs="Arial"/>
          <w:sz w:val="22"/>
          <w:szCs w:val="22"/>
        </w:rPr>
        <w:t xml:space="preserve">No sources of similar information are available.  There is no duplication of requirements.  </w:t>
      </w:r>
    </w:p>
    <w:p w14:paraId="2017BDAA" w14:textId="77777777" w:rsidR="004E6350" w:rsidRPr="008E7922"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9D3F2EE" w14:textId="77777777" w:rsidR="004E6350" w:rsidRPr="008E7922" w:rsidRDefault="004E6350" w:rsidP="004E6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u w:val="single"/>
        </w:rPr>
      </w:pPr>
      <w:r w:rsidRPr="00B12E05">
        <w:rPr>
          <w:rFonts w:ascii="Arial" w:hAnsi="Arial" w:cs="Arial"/>
          <w:sz w:val="22"/>
          <w:szCs w:val="22"/>
        </w:rPr>
        <w:t>5.</w:t>
      </w:r>
      <w:r w:rsidRPr="00B12E05">
        <w:rPr>
          <w:rFonts w:ascii="Arial" w:hAnsi="Arial" w:cs="Arial"/>
          <w:sz w:val="22"/>
          <w:szCs w:val="22"/>
        </w:rPr>
        <w:tab/>
      </w:r>
      <w:r w:rsidRPr="008E7922">
        <w:rPr>
          <w:rFonts w:ascii="Arial" w:hAnsi="Arial" w:cs="Arial"/>
          <w:sz w:val="22"/>
          <w:szCs w:val="22"/>
          <w:u w:val="single"/>
        </w:rPr>
        <w:t>Effort to Reduce Small Business Burden</w:t>
      </w:r>
    </w:p>
    <w:p w14:paraId="631B7BEF" w14:textId="77777777" w:rsidR="004E6350" w:rsidRPr="008E7922"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p>
    <w:p w14:paraId="306E7A1C" w14:textId="77777777" w:rsidR="004E6350" w:rsidRPr="00D51029" w:rsidRDefault="008E7922" w:rsidP="004E6350">
      <w:pPr>
        <w:ind w:left="1440"/>
        <w:rPr>
          <w:rFonts w:ascii="Arial" w:hAnsi="Arial" w:cs="Arial"/>
          <w:color w:val="000000"/>
          <w:sz w:val="22"/>
          <w:szCs w:val="22"/>
        </w:rPr>
      </w:pPr>
      <w:r>
        <w:rPr>
          <w:rFonts w:ascii="Arial" w:hAnsi="Arial" w:cs="Arial"/>
          <w:sz w:val="22"/>
          <w:szCs w:val="22"/>
        </w:rPr>
        <w:t>Not applicable.</w:t>
      </w:r>
    </w:p>
    <w:p w14:paraId="194F486F"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19A9003"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sz w:val="22"/>
          <w:szCs w:val="22"/>
          <w:u w:val="single"/>
        </w:rPr>
      </w:pPr>
      <w:r w:rsidRPr="00D51029">
        <w:rPr>
          <w:rFonts w:ascii="Arial" w:hAnsi="Arial" w:cs="Arial"/>
          <w:sz w:val="22"/>
          <w:szCs w:val="22"/>
        </w:rPr>
        <w:lastRenderedPageBreak/>
        <w:tab/>
        <w:t>6.</w:t>
      </w:r>
      <w:r w:rsidRPr="00D51029">
        <w:rPr>
          <w:rFonts w:ascii="Arial" w:hAnsi="Arial" w:cs="Arial"/>
          <w:sz w:val="22"/>
          <w:szCs w:val="22"/>
        </w:rPr>
        <w:tab/>
      </w:r>
      <w:r w:rsidRPr="00D51029">
        <w:rPr>
          <w:rFonts w:ascii="Arial" w:hAnsi="Arial" w:cs="Arial"/>
          <w:sz w:val="22"/>
          <w:szCs w:val="22"/>
          <w:u w:val="single"/>
        </w:rPr>
        <w:t>Consequences to Federal Program or Policy Activities if the Collection is Not Conducted or is Conducted Less Frequently</w:t>
      </w:r>
    </w:p>
    <w:p w14:paraId="719373B7"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p>
    <w:p w14:paraId="42CA46FC" w14:textId="0D49603B" w:rsidR="00064E79" w:rsidRPr="00E5374B" w:rsidRDefault="004E6350" w:rsidP="00064E7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sidRPr="00E5374B">
        <w:rPr>
          <w:rFonts w:ascii="Arial" w:hAnsi="Arial" w:cs="Arial"/>
          <w:sz w:val="22"/>
          <w:szCs w:val="22"/>
        </w:rPr>
        <w:t>An applicant is only required to report the information if it seeks to apply for license renewal</w:t>
      </w:r>
      <w:r w:rsidR="00F814A2">
        <w:rPr>
          <w:rFonts w:ascii="Arial" w:hAnsi="Arial" w:cs="Arial"/>
          <w:sz w:val="22"/>
          <w:szCs w:val="22"/>
        </w:rPr>
        <w:t xml:space="preserve">.  </w:t>
      </w:r>
      <w:r w:rsidR="00F814A2" w:rsidRPr="00CC2584">
        <w:rPr>
          <w:rFonts w:ascii="Arial" w:hAnsi="Arial" w:cs="Arial"/>
          <w:sz w:val="22"/>
          <w:szCs w:val="22"/>
        </w:rPr>
        <w:t>The frequency of the submission (</w:t>
      </w:r>
      <w:r w:rsidR="004E08A9" w:rsidRPr="00CC2584">
        <w:rPr>
          <w:rFonts w:ascii="Arial" w:hAnsi="Arial" w:cs="Arial"/>
          <w:sz w:val="22"/>
          <w:szCs w:val="22"/>
        </w:rPr>
        <w:t xml:space="preserve">prior to </w:t>
      </w:r>
      <w:r w:rsidR="00F814A2" w:rsidRPr="00CC2584">
        <w:rPr>
          <w:rFonts w:ascii="Arial" w:hAnsi="Arial" w:cs="Arial"/>
          <w:sz w:val="22"/>
          <w:szCs w:val="22"/>
        </w:rPr>
        <w:t xml:space="preserve">the end of the 40-year license) cannot be decreased.  This frequency is necessary to </w:t>
      </w:r>
      <w:r w:rsidR="00F814A2" w:rsidRPr="00CC2584">
        <w:rPr>
          <w:rFonts w:ascii="Arial" w:hAnsi="Arial" w:cs="Arial"/>
          <w:sz w:val="22"/>
          <w:szCs w:val="22"/>
          <w:lang w:val="en"/>
        </w:rPr>
        <w:t>ensure that important systems, structures and components would continue to perform their intended function during the 20-year period of extended operation</w:t>
      </w:r>
      <w:r w:rsidR="00064E79" w:rsidRPr="00CC2584">
        <w:rPr>
          <w:rFonts w:ascii="Arial" w:hAnsi="Arial" w:cs="Arial"/>
          <w:sz w:val="22"/>
          <w:szCs w:val="22"/>
          <w:lang w:val="en"/>
        </w:rPr>
        <w:t>.</w:t>
      </w:r>
      <w:r w:rsidR="00064E79">
        <w:rPr>
          <w:rFonts w:ascii="Arial" w:hAnsi="Arial" w:cs="Arial"/>
          <w:lang w:val="en"/>
        </w:rPr>
        <w:t xml:space="preserve">  </w:t>
      </w:r>
      <w:r w:rsidR="00064E79" w:rsidRPr="00E5374B">
        <w:rPr>
          <w:rFonts w:ascii="Arial" w:hAnsi="Arial" w:cs="Arial"/>
          <w:sz w:val="22"/>
          <w:szCs w:val="22"/>
        </w:rPr>
        <w:t>Lack of collection of information will result in the inability to complete the license renewal process, assuring the plant’s continued safe operation.</w:t>
      </w:r>
    </w:p>
    <w:p w14:paraId="374FB6F6" w14:textId="77777777" w:rsidR="00F814A2" w:rsidRDefault="00F814A2" w:rsidP="00F814A2">
      <w:pPr>
        <w:pStyle w:val="ListParagraph"/>
        <w:ind w:left="1440"/>
        <w:rPr>
          <w:rFonts w:ascii="Arial" w:hAnsi="Arial" w:cs="Arial"/>
        </w:rPr>
      </w:pPr>
    </w:p>
    <w:p w14:paraId="47976B5A" w14:textId="176D6DDF" w:rsidR="00B242F7" w:rsidRDefault="00F814A2" w:rsidP="00F814A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rPr>
      </w:pPr>
      <w:r w:rsidRPr="00BB1C28">
        <w:rPr>
          <w:rFonts w:ascii="Arial" w:hAnsi="Arial" w:cs="Arial"/>
          <w:sz w:val="22"/>
          <w:szCs w:val="22"/>
        </w:rPr>
        <w:t>The records generated as part of this information collection are made available</w:t>
      </w:r>
      <w:r w:rsidR="00B242F7" w:rsidRPr="00BB1C28">
        <w:rPr>
          <w:rFonts w:ascii="Arial" w:hAnsi="Arial" w:cs="Arial"/>
          <w:sz w:val="22"/>
          <w:szCs w:val="22"/>
        </w:rPr>
        <w:t xml:space="preserve"> for the NRC’s inspection program for license renewal.  </w:t>
      </w:r>
      <w:r w:rsidR="00B242F7" w:rsidRPr="00BB1C28">
        <w:rPr>
          <w:rFonts w:ascii="Arial" w:hAnsi="Arial" w:cs="Arial"/>
          <w:sz w:val="22"/>
          <w:szCs w:val="22"/>
          <w:lang w:val="en"/>
        </w:rPr>
        <w:t>The inspections sample the results used by the licensee to identify those structures and components within the scope of license renewal, aging management programs, and design analysis changes</w:t>
      </w:r>
      <w:r w:rsidR="00064E79">
        <w:rPr>
          <w:rFonts w:ascii="Arial" w:hAnsi="Arial" w:cs="Arial"/>
          <w:sz w:val="22"/>
          <w:szCs w:val="22"/>
          <w:lang w:val="en"/>
        </w:rPr>
        <w:t xml:space="preserve">.  </w:t>
      </w:r>
      <w:r w:rsidRPr="00BB1C28">
        <w:rPr>
          <w:rFonts w:ascii="Arial" w:hAnsi="Arial" w:cs="Arial"/>
          <w:sz w:val="22"/>
          <w:szCs w:val="22"/>
        </w:rPr>
        <w:t>If the information collection is not conducted in accordance with the recordkeeping requirements, the risk of insufficient aging management programs that are not current to assure maintenance of the licensing basis during the period of extended operation would increase</w:t>
      </w:r>
      <w:r w:rsidR="00064E79" w:rsidRPr="00BB1C28">
        <w:rPr>
          <w:rFonts w:ascii="Arial" w:hAnsi="Arial" w:cs="Arial"/>
          <w:sz w:val="22"/>
          <w:szCs w:val="22"/>
        </w:rPr>
        <w:t>.</w:t>
      </w:r>
    </w:p>
    <w:p w14:paraId="4DE0F9E0"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ADEECBA" w14:textId="77777777" w:rsidR="004E6350" w:rsidRPr="00D51029" w:rsidRDefault="004E6350" w:rsidP="004E6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D51029">
        <w:rPr>
          <w:rFonts w:ascii="Arial" w:hAnsi="Arial" w:cs="Arial"/>
          <w:sz w:val="22"/>
          <w:szCs w:val="22"/>
        </w:rPr>
        <w:t>7.</w:t>
      </w:r>
      <w:r w:rsidRPr="00D51029">
        <w:rPr>
          <w:rFonts w:ascii="Arial" w:hAnsi="Arial" w:cs="Arial"/>
          <w:sz w:val="22"/>
          <w:szCs w:val="22"/>
        </w:rPr>
        <w:tab/>
      </w:r>
      <w:r w:rsidRPr="00D51029">
        <w:rPr>
          <w:rFonts w:ascii="Arial" w:hAnsi="Arial" w:cs="Arial"/>
          <w:sz w:val="22"/>
          <w:szCs w:val="22"/>
          <w:u w:val="single"/>
        </w:rPr>
        <w:t xml:space="preserve">Circumstances </w:t>
      </w:r>
      <w:r>
        <w:rPr>
          <w:rFonts w:ascii="Arial" w:hAnsi="Arial" w:cs="Arial"/>
          <w:sz w:val="22"/>
          <w:szCs w:val="22"/>
          <w:u w:val="single"/>
        </w:rPr>
        <w:t>That</w:t>
      </w:r>
      <w:r w:rsidRPr="00D51029">
        <w:rPr>
          <w:rFonts w:ascii="Arial" w:hAnsi="Arial" w:cs="Arial"/>
          <w:sz w:val="22"/>
          <w:szCs w:val="22"/>
          <w:u w:val="single"/>
        </w:rPr>
        <w:t xml:space="preserve"> Justify Variation from OMB Guidelines</w:t>
      </w:r>
    </w:p>
    <w:p w14:paraId="652C7A0E" w14:textId="77777777" w:rsidR="004E6350" w:rsidRPr="00D51029" w:rsidRDefault="004E6350" w:rsidP="004E6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65346CC"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D51029">
        <w:rPr>
          <w:rFonts w:ascii="Arial" w:hAnsi="Arial" w:cs="Arial"/>
          <w:sz w:val="22"/>
          <w:szCs w:val="22"/>
        </w:rPr>
        <w:t>There are two 10 CFR Part 54 information collection requirements which vary from OMB guidelines:</w:t>
      </w:r>
    </w:p>
    <w:p w14:paraId="73CFE689"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09CBFB4D"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540"/>
        <w:rPr>
          <w:rFonts w:ascii="Arial" w:hAnsi="Arial" w:cs="Arial"/>
          <w:sz w:val="22"/>
          <w:szCs w:val="22"/>
        </w:rPr>
      </w:pPr>
      <w:r w:rsidRPr="00D51029">
        <w:rPr>
          <w:rFonts w:ascii="Arial" w:hAnsi="Arial" w:cs="Arial"/>
          <w:sz w:val="22"/>
          <w:szCs w:val="22"/>
        </w:rPr>
        <w:t>(1)</w:t>
      </w:r>
      <w:r w:rsidRPr="00D51029">
        <w:rPr>
          <w:rFonts w:ascii="Arial" w:hAnsi="Arial" w:cs="Arial"/>
          <w:sz w:val="22"/>
          <w:szCs w:val="22"/>
        </w:rPr>
        <w:tab/>
      </w:r>
      <w:bookmarkStart w:id="1" w:name="OLE_LINK5"/>
      <w:bookmarkStart w:id="2" w:name="OLE_LINK6"/>
      <w:r w:rsidRPr="00D51029">
        <w:rPr>
          <w:rFonts w:ascii="Arial" w:hAnsi="Arial" w:cs="Arial"/>
          <w:sz w:val="22"/>
          <w:szCs w:val="22"/>
        </w:rPr>
        <w:t xml:space="preserve">Per 10 CFR 54.13(b), within two working days licensees must report to the NRC information having a significant implication for public health and safety or the common defense and security.  This reporting period is necessary so that NRC is promptly informed on such matters.  However, after renewing the license of </w:t>
      </w:r>
      <w:r w:rsidR="00C712BB">
        <w:rPr>
          <w:rFonts w:ascii="Arial" w:hAnsi="Arial" w:cs="Arial"/>
          <w:sz w:val="22"/>
          <w:szCs w:val="22"/>
        </w:rPr>
        <w:t>90</w:t>
      </w:r>
      <w:r w:rsidR="00C712BB" w:rsidRPr="00D51029">
        <w:rPr>
          <w:rFonts w:ascii="Arial" w:hAnsi="Arial" w:cs="Arial"/>
          <w:sz w:val="22"/>
          <w:szCs w:val="22"/>
        </w:rPr>
        <w:t xml:space="preserve"> </w:t>
      </w:r>
      <w:r w:rsidRPr="00D51029">
        <w:rPr>
          <w:rFonts w:ascii="Arial" w:hAnsi="Arial" w:cs="Arial"/>
          <w:sz w:val="22"/>
          <w:szCs w:val="22"/>
        </w:rPr>
        <w:t xml:space="preserve">units at </w:t>
      </w:r>
      <w:r w:rsidR="00C712BB">
        <w:rPr>
          <w:rFonts w:ascii="Arial" w:hAnsi="Arial" w:cs="Arial"/>
          <w:sz w:val="22"/>
          <w:szCs w:val="22"/>
        </w:rPr>
        <w:t>56</w:t>
      </w:r>
      <w:r w:rsidR="00C712BB" w:rsidRPr="00D51029">
        <w:rPr>
          <w:rFonts w:ascii="Arial" w:hAnsi="Arial" w:cs="Arial"/>
          <w:sz w:val="22"/>
          <w:szCs w:val="22"/>
        </w:rPr>
        <w:t xml:space="preserve"> </w:t>
      </w:r>
      <w:r w:rsidRPr="00D51029">
        <w:rPr>
          <w:rFonts w:ascii="Arial" w:hAnsi="Arial" w:cs="Arial"/>
          <w:sz w:val="22"/>
          <w:szCs w:val="22"/>
        </w:rPr>
        <w:t>sites, the NRC has not received a response to this information collection requirement and, therefore, estimates that future responses, if any, will be reported infrequently.</w:t>
      </w:r>
      <w:bookmarkEnd w:id="1"/>
      <w:bookmarkEnd w:id="2"/>
    </w:p>
    <w:p w14:paraId="7174713E"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1B29412D" w14:textId="77777777" w:rsidR="004E6350"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540"/>
        <w:rPr>
          <w:rFonts w:ascii="Arial" w:hAnsi="Arial" w:cs="Arial"/>
          <w:sz w:val="22"/>
          <w:szCs w:val="22"/>
        </w:rPr>
      </w:pPr>
      <w:r w:rsidRPr="00D51029">
        <w:rPr>
          <w:rFonts w:ascii="Arial" w:hAnsi="Arial" w:cs="Arial"/>
          <w:sz w:val="22"/>
          <w:szCs w:val="22"/>
        </w:rPr>
        <w:t>(2)</w:t>
      </w:r>
      <w:r w:rsidRPr="00D51029">
        <w:rPr>
          <w:rFonts w:ascii="Arial" w:hAnsi="Arial" w:cs="Arial"/>
          <w:sz w:val="22"/>
          <w:szCs w:val="22"/>
        </w:rPr>
        <w:tab/>
        <w:t>Per 10 CFR 54.37, a licensee must keep records throughout the term of a renewed license.  This retention period is necessary to make sure data are available for establishing equipment aging trends for managing the detrimental effects of aging on the functionality of certain SSCs, and to maintain an acceptable level of public health and safety.</w:t>
      </w:r>
    </w:p>
    <w:p w14:paraId="18B61352"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C0FFE91" w14:textId="77777777" w:rsidR="004E6350" w:rsidRPr="00D51029" w:rsidRDefault="004E6350" w:rsidP="004E635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D51029">
        <w:rPr>
          <w:rFonts w:ascii="Arial" w:hAnsi="Arial" w:cs="Arial"/>
          <w:sz w:val="22"/>
          <w:szCs w:val="22"/>
        </w:rPr>
        <w:t>8.</w:t>
      </w:r>
      <w:r w:rsidRPr="00D51029">
        <w:rPr>
          <w:rFonts w:ascii="Arial" w:hAnsi="Arial" w:cs="Arial"/>
          <w:sz w:val="22"/>
          <w:szCs w:val="22"/>
        </w:rPr>
        <w:tab/>
      </w:r>
      <w:r w:rsidRPr="00D51029">
        <w:rPr>
          <w:rFonts w:ascii="Arial" w:hAnsi="Arial" w:cs="Arial"/>
          <w:sz w:val="22"/>
          <w:szCs w:val="22"/>
          <w:u w:val="single"/>
        </w:rPr>
        <w:t>Consultations</w:t>
      </w:r>
      <w:r>
        <w:rPr>
          <w:rFonts w:ascii="Arial" w:hAnsi="Arial" w:cs="Arial"/>
          <w:sz w:val="22"/>
          <w:szCs w:val="22"/>
          <w:u w:val="single"/>
        </w:rPr>
        <w:t xml:space="preserve"> </w:t>
      </w:r>
      <w:r w:rsidRPr="00D51029">
        <w:rPr>
          <w:rFonts w:ascii="Arial" w:hAnsi="Arial" w:cs="Arial"/>
          <w:sz w:val="22"/>
          <w:szCs w:val="22"/>
          <w:u w:val="single"/>
        </w:rPr>
        <w:t>Outside the NRC</w:t>
      </w:r>
    </w:p>
    <w:p w14:paraId="2CA5C8FC" w14:textId="77777777" w:rsidR="004E6350" w:rsidRPr="008E7922" w:rsidRDefault="004E6350" w:rsidP="004E6350">
      <w:pPr>
        <w:widowControl w:val="0"/>
        <w:ind w:left="1440"/>
        <w:rPr>
          <w:rFonts w:ascii="Arial" w:hAnsi="Arial" w:cs="Arial"/>
          <w:b/>
          <w:sz w:val="22"/>
          <w:szCs w:val="22"/>
        </w:rPr>
      </w:pPr>
    </w:p>
    <w:p w14:paraId="01150AC2" w14:textId="2BE0680F" w:rsidR="00F708C2" w:rsidRDefault="00910B49" w:rsidP="0091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910B49">
        <w:rPr>
          <w:rFonts w:ascii="Arial" w:hAnsi="Arial" w:cs="Arial"/>
          <w:sz w:val="22"/>
          <w:szCs w:val="22"/>
        </w:rPr>
        <w:t xml:space="preserve">Opportunity for public comment on the information collection requirements for this clearance package was published In the </w:t>
      </w:r>
      <w:r w:rsidRPr="00910B49">
        <w:rPr>
          <w:rFonts w:ascii="Arial" w:hAnsi="Arial" w:cs="Arial"/>
          <w:i/>
          <w:iCs/>
          <w:sz w:val="22"/>
          <w:szCs w:val="22"/>
        </w:rPr>
        <w:t>Federal Register</w:t>
      </w:r>
      <w:r w:rsidRPr="00910B49">
        <w:rPr>
          <w:rFonts w:ascii="Arial" w:hAnsi="Arial" w:cs="Arial"/>
          <w:sz w:val="22"/>
          <w:szCs w:val="22"/>
        </w:rPr>
        <w:t xml:space="preserve"> on April 13, 2018 (83 FR 16134).</w:t>
      </w:r>
      <w:r>
        <w:rPr>
          <w:rFonts w:ascii="Arial" w:hAnsi="Arial" w:cs="Arial"/>
          <w:sz w:val="22"/>
          <w:szCs w:val="22"/>
        </w:rPr>
        <w:t xml:space="preserve">  </w:t>
      </w:r>
      <w:r w:rsidR="001C0625">
        <w:rPr>
          <w:rFonts w:ascii="Arial" w:hAnsi="Arial" w:cs="Arial"/>
          <w:sz w:val="22"/>
          <w:szCs w:val="22"/>
        </w:rPr>
        <w:t>Additionally, staff</w:t>
      </w:r>
      <w:r w:rsidRPr="00910B49">
        <w:rPr>
          <w:rFonts w:ascii="Arial" w:hAnsi="Arial" w:cs="Arial"/>
          <w:sz w:val="22"/>
          <w:szCs w:val="22"/>
        </w:rPr>
        <w:t xml:space="preserve"> contacted via email </w:t>
      </w:r>
      <w:r>
        <w:rPr>
          <w:rFonts w:ascii="Arial" w:hAnsi="Arial" w:cs="Arial"/>
          <w:sz w:val="22"/>
          <w:szCs w:val="22"/>
        </w:rPr>
        <w:t>four</w:t>
      </w:r>
      <w:r w:rsidRPr="00910B49">
        <w:rPr>
          <w:rFonts w:ascii="Arial" w:hAnsi="Arial" w:cs="Arial"/>
          <w:sz w:val="22"/>
          <w:szCs w:val="22"/>
        </w:rPr>
        <w:t xml:space="preserve"> potential respondents in the areas of reactor owner/operator licensee’s representatives from </w:t>
      </w:r>
      <w:r>
        <w:rPr>
          <w:rFonts w:ascii="Arial" w:hAnsi="Arial" w:cs="Arial"/>
          <w:sz w:val="22"/>
          <w:szCs w:val="22"/>
        </w:rPr>
        <w:t>Dominion Generation</w:t>
      </w:r>
      <w:r w:rsidR="001C0625">
        <w:rPr>
          <w:rFonts w:ascii="Arial" w:hAnsi="Arial" w:cs="Arial"/>
          <w:sz w:val="22"/>
          <w:szCs w:val="22"/>
        </w:rPr>
        <w:t>;</w:t>
      </w:r>
      <w:r>
        <w:rPr>
          <w:rFonts w:ascii="Arial" w:hAnsi="Arial" w:cs="Arial"/>
          <w:sz w:val="22"/>
          <w:szCs w:val="22"/>
        </w:rPr>
        <w:t xml:space="preserve"> </w:t>
      </w:r>
      <w:r w:rsidRPr="00910B49">
        <w:rPr>
          <w:rFonts w:ascii="Arial" w:hAnsi="Arial" w:cs="Arial"/>
          <w:sz w:val="22"/>
          <w:szCs w:val="22"/>
        </w:rPr>
        <w:t>Exelon Generation Co., LLC</w:t>
      </w:r>
      <w:r w:rsidR="001C0625">
        <w:rPr>
          <w:rFonts w:ascii="Arial" w:hAnsi="Arial" w:cs="Arial"/>
          <w:sz w:val="22"/>
          <w:szCs w:val="22"/>
        </w:rPr>
        <w:t>;</w:t>
      </w:r>
      <w:r w:rsidRPr="00910B49">
        <w:rPr>
          <w:rFonts w:ascii="Arial" w:hAnsi="Arial" w:cs="Arial"/>
          <w:sz w:val="22"/>
          <w:szCs w:val="22"/>
        </w:rPr>
        <w:t xml:space="preserve"> </w:t>
      </w:r>
      <w:r>
        <w:rPr>
          <w:rFonts w:ascii="Arial" w:hAnsi="Arial" w:cs="Arial"/>
          <w:sz w:val="22"/>
          <w:szCs w:val="22"/>
        </w:rPr>
        <w:t>Florida Power &amp; Light Company</w:t>
      </w:r>
      <w:r w:rsidR="001C0625">
        <w:rPr>
          <w:rFonts w:ascii="Arial" w:hAnsi="Arial" w:cs="Arial"/>
          <w:sz w:val="22"/>
          <w:szCs w:val="22"/>
        </w:rPr>
        <w:t>;</w:t>
      </w:r>
      <w:r>
        <w:rPr>
          <w:rFonts w:ascii="Arial" w:hAnsi="Arial" w:cs="Arial"/>
          <w:sz w:val="22"/>
          <w:szCs w:val="22"/>
        </w:rPr>
        <w:t xml:space="preserve"> </w:t>
      </w:r>
      <w:r w:rsidRPr="00910B49">
        <w:rPr>
          <w:rFonts w:ascii="Arial" w:hAnsi="Arial" w:cs="Arial"/>
          <w:sz w:val="22"/>
          <w:szCs w:val="22"/>
        </w:rPr>
        <w:t>and Sout</w:t>
      </w:r>
      <w:r w:rsidR="00F708C2">
        <w:rPr>
          <w:rFonts w:ascii="Arial" w:hAnsi="Arial" w:cs="Arial"/>
          <w:sz w:val="22"/>
          <w:szCs w:val="22"/>
        </w:rPr>
        <w:t>hern Nuclear Operating Company</w:t>
      </w:r>
      <w:r w:rsidR="001C0625">
        <w:rPr>
          <w:rFonts w:ascii="Arial" w:hAnsi="Arial" w:cs="Arial"/>
          <w:sz w:val="22"/>
          <w:szCs w:val="22"/>
        </w:rPr>
        <w:t>.  Southern Nuclear Operating Company provided a comment.  No response was received from the other three potential respondents who were contacted.  In addition, t</w:t>
      </w:r>
      <w:r w:rsidR="00F708C2" w:rsidRPr="00F708C2">
        <w:rPr>
          <w:rFonts w:ascii="Arial" w:hAnsi="Arial" w:cs="Arial"/>
          <w:sz w:val="22"/>
          <w:szCs w:val="22"/>
        </w:rPr>
        <w:t>he NRC received one out-of-scope comment from an anonymous commenter</w:t>
      </w:r>
      <w:r w:rsidR="00F708C2">
        <w:rPr>
          <w:rFonts w:ascii="Arial" w:hAnsi="Arial" w:cs="Arial"/>
          <w:sz w:val="22"/>
          <w:szCs w:val="22"/>
        </w:rPr>
        <w:t>.</w:t>
      </w:r>
    </w:p>
    <w:p w14:paraId="108D194F" w14:textId="77777777" w:rsidR="00F708C2" w:rsidRDefault="00F708C2" w:rsidP="0091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6C19E15F" w14:textId="2A304AB5" w:rsidR="00F708C2" w:rsidRPr="00F708C2" w:rsidRDefault="00F708C2" w:rsidP="00F70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F708C2">
        <w:rPr>
          <w:rFonts w:ascii="Arial" w:hAnsi="Arial" w:cs="Arial"/>
          <w:sz w:val="22"/>
          <w:szCs w:val="22"/>
        </w:rPr>
        <w:t xml:space="preserve">The NRC received a comment from Southern Nuclear </w:t>
      </w:r>
      <w:r>
        <w:rPr>
          <w:rFonts w:ascii="Arial" w:hAnsi="Arial" w:cs="Arial"/>
          <w:sz w:val="22"/>
          <w:szCs w:val="22"/>
        </w:rPr>
        <w:t xml:space="preserve">Operating Company </w:t>
      </w:r>
      <w:r w:rsidRPr="00F708C2">
        <w:rPr>
          <w:rFonts w:ascii="Arial" w:hAnsi="Arial" w:cs="Arial"/>
          <w:sz w:val="22"/>
          <w:szCs w:val="22"/>
        </w:rPr>
        <w:t>(Kenneth Lowery).  The commenter indicated that the proposed collection is necessary for the NRC to perform its functions and that it has practical utility.  In addition, the commenter offered the following remarks:</w:t>
      </w:r>
    </w:p>
    <w:p w14:paraId="37E7F2E5" w14:textId="77777777" w:rsidR="00F708C2" w:rsidRPr="00F708C2" w:rsidRDefault="00F708C2" w:rsidP="00F70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585E1EEB" w14:textId="77777777" w:rsidR="00F708C2" w:rsidRPr="00F708C2" w:rsidRDefault="00F708C2" w:rsidP="00F70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F708C2">
        <w:rPr>
          <w:rFonts w:ascii="Arial" w:hAnsi="Arial" w:cs="Arial"/>
          <w:sz w:val="22"/>
          <w:szCs w:val="22"/>
        </w:rPr>
        <w:t>Comment:</w:t>
      </w:r>
    </w:p>
    <w:p w14:paraId="2DD51482" w14:textId="77777777" w:rsidR="00F708C2" w:rsidRPr="00F708C2" w:rsidRDefault="00F708C2" w:rsidP="00F70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F708C2">
        <w:rPr>
          <w:rFonts w:ascii="Arial" w:hAnsi="Arial" w:cs="Arial"/>
          <w:sz w:val="22"/>
          <w:szCs w:val="22"/>
        </w:rPr>
        <w:t>The commenter stated that burden estimates for recordkeeping are “about right, maybe even a little high since it is mostly automated.  If that is the case, do not count the effort to actually perform the inspections but merely to document for auditing purposes.  In that case 20,000 hours seems very high since no more than 2000 hours would be expected to be used after the inspections are done.”</w:t>
      </w:r>
    </w:p>
    <w:p w14:paraId="628091B9" w14:textId="77777777" w:rsidR="00F708C2" w:rsidRPr="00F708C2" w:rsidRDefault="00F708C2" w:rsidP="00F70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79633F85" w14:textId="77777777" w:rsidR="00F708C2" w:rsidRDefault="00F708C2" w:rsidP="00F70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F708C2">
        <w:rPr>
          <w:rFonts w:ascii="Arial" w:hAnsi="Arial" w:cs="Arial"/>
          <w:sz w:val="22"/>
          <w:szCs w:val="22"/>
        </w:rPr>
        <w:t>NRC staff response:</w:t>
      </w:r>
    </w:p>
    <w:p w14:paraId="19AEBA41" w14:textId="17512640" w:rsidR="00F708C2" w:rsidRDefault="00F708C2" w:rsidP="00F70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F708C2">
        <w:rPr>
          <w:rFonts w:ascii="Arial" w:hAnsi="Arial" w:cs="Arial"/>
          <w:sz w:val="22"/>
          <w:szCs w:val="22"/>
        </w:rPr>
        <w:t>The recordkeeping burden for Part 54 is estimated to be 1,000 hours per recordkeeper annually, not 2,000 hours as stated by the commenter.   The burden estimate includes time to retain all information and documentation required to document compliance with 10 CFR Part 54 in an auditable and retrievable form.  In addition, the recordkeeping burden estimate includes updates to the UFSAR to include any newly identified SSCs that would have been subject to an aging management review or evaluation of time limited aging analyses (TLAAs) in accordance with 10 CFR 54.21. This UFSAR update must describe how the effects of aging will be managed such that the intended function(s) will be effectively maintained during the period of extended operation. The UFSAR update contains information on all of the changes made by the licensee to the plant since submission of the original UFSAR or, as appropriate, since submission of the last UFSAR.  The burden estimate remains unchanged.</w:t>
      </w:r>
    </w:p>
    <w:p w14:paraId="6C11CD22" w14:textId="77777777" w:rsidR="00F708C2" w:rsidRPr="00F708C2" w:rsidRDefault="00F708C2" w:rsidP="00F70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01F78A5D" w14:textId="77777777" w:rsidR="00F708C2" w:rsidRPr="00F708C2" w:rsidRDefault="00F708C2" w:rsidP="00F70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F708C2">
        <w:rPr>
          <w:rFonts w:ascii="Arial" w:hAnsi="Arial" w:cs="Arial"/>
          <w:sz w:val="22"/>
          <w:szCs w:val="22"/>
        </w:rPr>
        <w:t>Comment:</w:t>
      </w:r>
    </w:p>
    <w:p w14:paraId="1083D2C0" w14:textId="77777777" w:rsidR="00F708C2" w:rsidRPr="00F708C2" w:rsidRDefault="00F708C2" w:rsidP="00F70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F708C2">
        <w:rPr>
          <w:rFonts w:ascii="Arial" w:hAnsi="Arial" w:cs="Arial"/>
          <w:sz w:val="22"/>
          <w:szCs w:val="22"/>
        </w:rPr>
        <w:t>The commenter stated that submission would be easier if the NRC would accept USB drives as a means of submitting electronic documents.</w:t>
      </w:r>
    </w:p>
    <w:p w14:paraId="2C38D5BD" w14:textId="77777777" w:rsidR="00F708C2" w:rsidRPr="00F708C2" w:rsidRDefault="00F708C2" w:rsidP="00F70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1010AB77" w14:textId="1B6C70CE" w:rsidR="00F708C2" w:rsidRDefault="00F708C2" w:rsidP="00F70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F708C2">
        <w:rPr>
          <w:rFonts w:ascii="Arial" w:hAnsi="Arial" w:cs="Arial"/>
          <w:sz w:val="22"/>
          <w:szCs w:val="22"/>
        </w:rPr>
        <w:t>NRC staff response:</w:t>
      </w:r>
    </w:p>
    <w:p w14:paraId="3854E1A0" w14:textId="667C74F9" w:rsidR="00F708C2" w:rsidRDefault="00F708C2" w:rsidP="00F70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Pr>
          <w:rFonts w:ascii="Arial" w:hAnsi="Arial" w:cs="Arial"/>
          <w:sz w:val="22"/>
          <w:szCs w:val="22"/>
        </w:rPr>
        <w:t>As stated in item 3 “</w:t>
      </w:r>
      <w:r w:rsidRPr="00F708C2">
        <w:rPr>
          <w:rFonts w:ascii="Arial" w:hAnsi="Arial" w:cs="Arial"/>
          <w:sz w:val="22"/>
          <w:szCs w:val="22"/>
        </w:rPr>
        <w:t>Reduction of Burden Through Information Technology”</w:t>
      </w:r>
      <w:r>
        <w:rPr>
          <w:rFonts w:ascii="Arial" w:hAnsi="Arial" w:cs="Arial"/>
          <w:sz w:val="22"/>
          <w:szCs w:val="22"/>
        </w:rPr>
        <w:t xml:space="preserve"> t</w:t>
      </w:r>
      <w:r w:rsidRPr="00CF5638">
        <w:rPr>
          <w:rFonts w:ascii="Arial" w:hAnsi="Arial" w:cs="Arial"/>
          <w:sz w:val="22"/>
          <w:szCs w:val="22"/>
        </w:rPr>
        <w:t>he NRC encourages respondents to use information technology when it would be beneficial to the</w:t>
      </w:r>
      <w:r>
        <w:rPr>
          <w:rFonts w:ascii="Arial" w:hAnsi="Arial" w:cs="Arial"/>
          <w:sz w:val="22"/>
          <w:szCs w:val="22"/>
        </w:rPr>
        <w:t xml:space="preserve">m.  </w:t>
      </w:r>
      <w:r w:rsidRPr="00CF5638">
        <w:rPr>
          <w:rFonts w:ascii="Arial" w:hAnsi="Arial" w:cs="Arial"/>
          <w:sz w:val="22"/>
          <w:szCs w:val="22"/>
        </w:rPr>
        <w:t xml:space="preserve">The NRC has issued </w:t>
      </w:r>
      <w:hyperlink r:id="rId10" w:history="1">
        <w:r w:rsidRPr="00CF5638">
          <w:rPr>
            <w:rStyle w:val="Hyperlink"/>
            <w:rFonts w:ascii="Arial" w:hAnsi="Arial" w:cs="Arial"/>
            <w:i/>
            <w:sz w:val="22"/>
            <w:szCs w:val="22"/>
          </w:rPr>
          <w:t>Guidance for Electronic Submissions to the NRC</w:t>
        </w:r>
      </w:hyperlink>
      <w:r w:rsidRPr="00CF5638">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w:t>
      </w:r>
      <w:r>
        <w:rPr>
          <w:rFonts w:ascii="Arial" w:hAnsi="Arial" w:cs="Arial"/>
          <w:sz w:val="22"/>
          <w:szCs w:val="22"/>
        </w:rPr>
        <w:t>, this guidance allows for USB drives submissions as well.</w:t>
      </w:r>
    </w:p>
    <w:p w14:paraId="1F352923" w14:textId="674BE210" w:rsidR="00F708C2" w:rsidRDefault="00F708C2" w:rsidP="00F70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Pr>
          <w:rFonts w:ascii="Arial" w:hAnsi="Arial" w:cs="Arial"/>
          <w:sz w:val="22"/>
          <w:szCs w:val="22"/>
        </w:rPr>
        <w:t xml:space="preserve"> </w:t>
      </w:r>
    </w:p>
    <w:p w14:paraId="267FC81A" w14:textId="659CC4BC" w:rsidR="004E6350" w:rsidRDefault="00F708C2" w:rsidP="0091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Pr>
          <w:rFonts w:ascii="Arial" w:hAnsi="Arial" w:cs="Arial"/>
          <w:sz w:val="22"/>
          <w:szCs w:val="22"/>
        </w:rPr>
        <w:t>N</w:t>
      </w:r>
      <w:r w:rsidR="00910B49" w:rsidRPr="00910B49">
        <w:rPr>
          <w:rFonts w:ascii="Arial" w:hAnsi="Arial" w:cs="Arial"/>
          <w:sz w:val="22"/>
          <w:szCs w:val="22"/>
        </w:rPr>
        <w:t xml:space="preserve">o </w:t>
      </w:r>
      <w:r>
        <w:rPr>
          <w:rFonts w:ascii="Arial" w:hAnsi="Arial" w:cs="Arial"/>
          <w:sz w:val="22"/>
          <w:szCs w:val="22"/>
        </w:rPr>
        <w:t xml:space="preserve">additional </w:t>
      </w:r>
      <w:r w:rsidR="00910B49" w:rsidRPr="00910B49">
        <w:rPr>
          <w:rFonts w:ascii="Arial" w:hAnsi="Arial" w:cs="Arial"/>
          <w:sz w:val="22"/>
          <w:szCs w:val="22"/>
        </w:rPr>
        <w:t>comments were received from the published Federal Register Notice.</w:t>
      </w:r>
    </w:p>
    <w:p w14:paraId="77AEA30D" w14:textId="77777777" w:rsidR="00910B49" w:rsidRPr="00D51029" w:rsidRDefault="00910B49" w:rsidP="0091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71A15AC4" w14:textId="77777777" w:rsidR="00F708C2" w:rsidRDefault="00F708C2"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Pr>
          <w:rFonts w:ascii="Arial" w:hAnsi="Arial" w:cs="Arial"/>
          <w:sz w:val="22"/>
          <w:szCs w:val="22"/>
        </w:rPr>
        <w:br w:type="page"/>
      </w:r>
    </w:p>
    <w:p w14:paraId="0F2C50CF" w14:textId="528FCC6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D51029">
        <w:rPr>
          <w:rFonts w:ascii="Arial" w:hAnsi="Arial" w:cs="Arial"/>
          <w:sz w:val="22"/>
          <w:szCs w:val="22"/>
        </w:rPr>
        <w:t>9.</w:t>
      </w:r>
      <w:r w:rsidRPr="00D51029">
        <w:rPr>
          <w:rFonts w:ascii="Arial" w:hAnsi="Arial" w:cs="Arial"/>
          <w:sz w:val="22"/>
          <w:szCs w:val="22"/>
        </w:rPr>
        <w:tab/>
      </w:r>
      <w:r w:rsidRPr="00D51029">
        <w:rPr>
          <w:rFonts w:ascii="Arial" w:hAnsi="Arial" w:cs="Arial"/>
          <w:sz w:val="22"/>
          <w:szCs w:val="22"/>
          <w:u w:val="single"/>
        </w:rPr>
        <w:t>Payment of Gift to Respondents</w:t>
      </w:r>
    </w:p>
    <w:p w14:paraId="3224D3FE"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9E572FE"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D51029">
        <w:rPr>
          <w:rFonts w:ascii="Arial" w:hAnsi="Arial" w:cs="Arial"/>
          <w:sz w:val="22"/>
          <w:szCs w:val="22"/>
        </w:rPr>
        <w:t>Not applicable.</w:t>
      </w:r>
    </w:p>
    <w:p w14:paraId="02794B33"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02469D9A"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sz w:val="22"/>
          <w:szCs w:val="22"/>
        </w:rPr>
      </w:pPr>
      <w:r w:rsidRPr="00D51029">
        <w:rPr>
          <w:rFonts w:ascii="Arial" w:hAnsi="Arial" w:cs="Arial"/>
          <w:color w:val="000000"/>
          <w:sz w:val="22"/>
          <w:szCs w:val="22"/>
        </w:rPr>
        <w:t>10.</w:t>
      </w:r>
      <w:r w:rsidRPr="00D51029">
        <w:rPr>
          <w:rFonts w:ascii="Arial" w:hAnsi="Arial" w:cs="Arial"/>
          <w:color w:val="000000"/>
          <w:sz w:val="22"/>
          <w:szCs w:val="22"/>
        </w:rPr>
        <w:tab/>
      </w:r>
      <w:r w:rsidRPr="00D51029">
        <w:rPr>
          <w:rFonts w:ascii="Arial" w:hAnsi="Arial" w:cs="Arial"/>
          <w:color w:val="000000"/>
          <w:sz w:val="22"/>
          <w:szCs w:val="22"/>
          <w:u w:val="single"/>
        </w:rPr>
        <w:t>Confidentiality of Information</w:t>
      </w:r>
    </w:p>
    <w:p w14:paraId="6A18C7A8"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3B05709"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D51029">
        <w:rPr>
          <w:rFonts w:ascii="Arial" w:hAnsi="Arial" w:cs="Arial"/>
          <w:sz w:val="22"/>
          <w:szCs w:val="22"/>
        </w:rPr>
        <w:t>Confidential and proprietary information is protected in accordance with NRC regulations at 10 CFR 9.17(a) and 10 CFR 2.390(b).</w:t>
      </w:r>
    </w:p>
    <w:p w14:paraId="2F07D2C1"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A2D11D3" w14:textId="77777777" w:rsidR="004E6350" w:rsidRPr="00D51029" w:rsidRDefault="004E6350" w:rsidP="004E6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u w:val="single"/>
        </w:rPr>
      </w:pPr>
      <w:r w:rsidRPr="00D51029">
        <w:rPr>
          <w:rFonts w:ascii="Arial" w:hAnsi="Arial" w:cs="Arial"/>
          <w:sz w:val="22"/>
          <w:szCs w:val="22"/>
        </w:rPr>
        <w:t>11.</w:t>
      </w:r>
      <w:r w:rsidRPr="00D51029">
        <w:rPr>
          <w:rFonts w:ascii="Arial" w:hAnsi="Arial" w:cs="Arial"/>
          <w:sz w:val="22"/>
          <w:szCs w:val="22"/>
        </w:rPr>
        <w:tab/>
      </w:r>
      <w:r w:rsidRPr="00D51029">
        <w:rPr>
          <w:rFonts w:ascii="Arial" w:hAnsi="Arial" w:cs="Arial"/>
          <w:sz w:val="22"/>
          <w:szCs w:val="22"/>
          <w:u w:val="single"/>
        </w:rPr>
        <w:t>Justification for Sensitive Questions</w:t>
      </w:r>
    </w:p>
    <w:p w14:paraId="0E11B215" w14:textId="77777777" w:rsidR="004E6350" w:rsidRPr="00D51029" w:rsidRDefault="004E6350" w:rsidP="004E6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7E98EB8"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D51029">
        <w:rPr>
          <w:rFonts w:ascii="Arial" w:hAnsi="Arial" w:cs="Arial"/>
          <w:sz w:val="22"/>
          <w:szCs w:val="22"/>
        </w:rPr>
        <w:t>Not applicable.</w:t>
      </w:r>
    </w:p>
    <w:p w14:paraId="36150070" w14:textId="77777777" w:rsidR="004E6350" w:rsidRPr="007957EE"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EBE8920" w14:textId="77777777" w:rsidR="004E6350" w:rsidRPr="007957EE"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7957EE">
        <w:rPr>
          <w:rFonts w:ascii="Arial" w:hAnsi="Arial" w:cs="Arial"/>
          <w:sz w:val="22"/>
          <w:szCs w:val="22"/>
        </w:rPr>
        <w:tab/>
        <w:t>12.</w:t>
      </w:r>
      <w:r w:rsidRPr="007957EE">
        <w:rPr>
          <w:rFonts w:ascii="Arial" w:hAnsi="Arial" w:cs="Arial"/>
          <w:sz w:val="22"/>
          <w:szCs w:val="22"/>
        </w:rPr>
        <w:tab/>
      </w:r>
      <w:r w:rsidRPr="007957EE">
        <w:rPr>
          <w:rFonts w:ascii="Arial" w:hAnsi="Arial" w:cs="Arial"/>
          <w:sz w:val="22"/>
          <w:szCs w:val="22"/>
          <w:u w:val="single"/>
        </w:rPr>
        <w:t>Estimated Industry Burden and Burden Hour Cost</w:t>
      </w:r>
    </w:p>
    <w:p w14:paraId="4E9F728E" w14:textId="77777777" w:rsidR="004E6350" w:rsidRPr="007957EE" w:rsidRDefault="004E6350" w:rsidP="004E6350">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560"/>
        <w:rPr>
          <w:rFonts w:ascii="Arial" w:hAnsi="Arial" w:cs="Arial"/>
          <w:sz w:val="22"/>
          <w:szCs w:val="22"/>
        </w:rPr>
      </w:pPr>
    </w:p>
    <w:p w14:paraId="55FA9AEF" w14:textId="2583C353"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D51029">
        <w:rPr>
          <w:rFonts w:ascii="Arial" w:hAnsi="Arial" w:cs="Arial"/>
          <w:sz w:val="22"/>
          <w:szCs w:val="22"/>
        </w:rPr>
        <w:t xml:space="preserve">During the clearance period, respondents will incur burdens for submitting reports and for </w:t>
      </w:r>
      <w:r w:rsidR="00E003B5">
        <w:rPr>
          <w:rFonts w:ascii="Arial" w:hAnsi="Arial" w:cs="Arial"/>
          <w:sz w:val="22"/>
          <w:szCs w:val="22"/>
        </w:rPr>
        <w:t>record</w:t>
      </w:r>
      <w:r w:rsidRPr="00D51029">
        <w:rPr>
          <w:rFonts w:ascii="Arial" w:hAnsi="Arial" w:cs="Arial"/>
          <w:sz w:val="22"/>
          <w:szCs w:val="22"/>
        </w:rPr>
        <w:t>keeping.  NRC estimates that the paperwork burden may vary widely among nuclear power plant licensees.  All nuclear plants are somewhat different and the programs employed by individual plants, while similar, are not identical.  NRC’s assumptions, methodology, and results for estimating the paperwork burdens follow.</w:t>
      </w:r>
    </w:p>
    <w:p w14:paraId="0A16AB81" w14:textId="77777777" w:rsidR="004E6350" w:rsidRPr="00D51029" w:rsidRDefault="004E6350" w:rsidP="004E6350">
      <w:pPr>
        <w:ind w:left="1440"/>
        <w:rPr>
          <w:rFonts w:ascii="Arial" w:hAnsi="Arial" w:cs="Arial"/>
          <w:sz w:val="22"/>
          <w:szCs w:val="22"/>
        </w:rPr>
      </w:pPr>
    </w:p>
    <w:p w14:paraId="22BE1DD3" w14:textId="1B342DD9" w:rsidR="004E6350" w:rsidRPr="00D51029" w:rsidRDefault="004E6350" w:rsidP="004E6350">
      <w:pPr>
        <w:keepNext/>
        <w:ind w:left="1440"/>
        <w:rPr>
          <w:rFonts w:ascii="Arial" w:hAnsi="Arial" w:cs="Arial"/>
          <w:sz w:val="22"/>
          <w:szCs w:val="22"/>
          <w:u w:val="single"/>
        </w:rPr>
      </w:pPr>
      <w:r w:rsidRPr="00D51029">
        <w:rPr>
          <w:rFonts w:ascii="Arial" w:hAnsi="Arial" w:cs="Arial"/>
          <w:sz w:val="22"/>
          <w:szCs w:val="22"/>
          <w:u w:val="single"/>
        </w:rPr>
        <w:t>Reporting Burden</w:t>
      </w:r>
    </w:p>
    <w:p w14:paraId="728AF6B3" w14:textId="77777777" w:rsidR="004E6350" w:rsidRPr="00D51029" w:rsidRDefault="004E6350" w:rsidP="004E6350">
      <w:pPr>
        <w:keepNext/>
        <w:ind w:left="1440"/>
        <w:rPr>
          <w:rFonts w:ascii="Arial" w:hAnsi="Arial" w:cs="Arial"/>
          <w:sz w:val="22"/>
          <w:szCs w:val="22"/>
        </w:rPr>
      </w:pPr>
    </w:p>
    <w:p w14:paraId="58272311" w14:textId="3BCFAB4F" w:rsidR="004E6350" w:rsidRPr="00D51029" w:rsidRDefault="004E6350" w:rsidP="004E6350">
      <w:pPr>
        <w:ind w:left="1440"/>
        <w:rPr>
          <w:rFonts w:ascii="Arial" w:hAnsi="Arial" w:cs="Arial"/>
          <w:sz w:val="22"/>
          <w:szCs w:val="22"/>
        </w:rPr>
      </w:pPr>
      <w:r w:rsidRPr="00D51029">
        <w:rPr>
          <w:rFonts w:ascii="Arial" w:hAnsi="Arial" w:cs="Arial"/>
          <w:sz w:val="22"/>
          <w:szCs w:val="22"/>
        </w:rPr>
        <w:t>There are two reporting burdens:</w:t>
      </w:r>
    </w:p>
    <w:p w14:paraId="70792EB2" w14:textId="77777777" w:rsidR="004E6350" w:rsidRPr="00D51029" w:rsidRDefault="004E6350" w:rsidP="004E6350">
      <w:pPr>
        <w:ind w:left="1440"/>
        <w:rPr>
          <w:rFonts w:ascii="Arial" w:hAnsi="Arial" w:cs="Arial"/>
          <w:sz w:val="22"/>
          <w:szCs w:val="22"/>
        </w:rPr>
      </w:pPr>
    </w:p>
    <w:p w14:paraId="7401559A" w14:textId="28EBC87F" w:rsidR="004E6350" w:rsidRPr="00D51029" w:rsidRDefault="004E6350" w:rsidP="004E6350">
      <w:pPr>
        <w:ind w:left="2160" w:hanging="540"/>
        <w:rPr>
          <w:rFonts w:ascii="Arial" w:hAnsi="Arial" w:cs="Arial"/>
          <w:sz w:val="22"/>
          <w:szCs w:val="22"/>
        </w:rPr>
      </w:pPr>
      <w:r w:rsidRPr="00D51029">
        <w:rPr>
          <w:rFonts w:ascii="Arial" w:hAnsi="Arial" w:cs="Arial"/>
          <w:sz w:val="22"/>
          <w:szCs w:val="22"/>
        </w:rPr>
        <w:t>(1)</w:t>
      </w:r>
      <w:r w:rsidRPr="00D51029">
        <w:rPr>
          <w:rFonts w:ascii="Arial" w:hAnsi="Arial" w:cs="Arial"/>
          <w:sz w:val="22"/>
          <w:szCs w:val="22"/>
        </w:rPr>
        <w:tab/>
        <w:t xml:space="preserve">The first reporting burden covers all licensee efforts associated with preparing a license renewal application and submitting amendments to the application during the review process.  </w:t>
      </w:r>
    </w:p>
    <w:p w14:paraId="723DE75C" w14:textId="77777777" w:rsidR="004E6350" w:rsidRPr="00D51029" w:rsidRDefault="004E6350" w:rsidP="004E6350">
      <w:pPr>
        <w:ind w:left="2160"/>
        <w:rPr>
          <w:rFonts w:ascii="Arial" w:hAnsi="Arial" w:cs="Arial"/>
          <w:sz w:val="22"/>
          <w:szCs w:val="22"/>
        </w:rPr>
      </w:pPr>
    </w:p>
    <w:p w14:paraId="4BE19C59" w14:textId="14DC47E3" w:rsidR="00956153" w:rsidRPr="00D51029" w:rsidRDefault="00E5374B" w:rsidP="00956153">
      <w:pPr>
        <w:ind w:left="2160"/>
        <w:rPr>
          <w:rFonts w:ascii="Arial" w:hAnsi="Arial" w:cs="Arial"/>
          <w:sz w:val="22"/>
          <w:szCs w:val="22"/>
        </w:rPr>
      </w:pPr>
      <w:r>
        <w:rPr>
          <w:rFonts w:ascii="Arial" w:hAnsi="Arial" w:cs="Arial"/>
          <w:sz w:val="22"/>
          <w:szCs w:val="22"/>
        </w:rPr>
        <w:t xml:space="preserve">The </w:t>
      </w:r>
      <w:r w:rsidR="004E6350" w:rsidRPr="00D51029">
        <w:rPr>
          <w:rFonts w:ascii="Arial" w:hAnsi="Arial" w:cs="Arial"/>
          <w:sz w:val="22"/>
          <w:szCs w:val="22"/>
        </w:rPr>
        <w:t xml:space="preserve">NRC estimates that </w:t>
      </w:r>
      <w:r w:rsidR="001E419C">
        <w:rPr>
          <w:rFonts w:ascii="Arial" w:hAnsi="Arial" w:cs="Arial"/>
          <w:sz w:val="22"/>
          <w:szCs w:val="22"/>
        </w:rPr>
        <w:t xml:space="preserve">the burden for preparing, submitting, and amending a licensee renewal application </w:t>
      </w:r>
      <w:r w:rsidR="00D65126">
        <w:rPr>
          <w:rFonts w:ascii="Arial" w:hAnsi="Arial" w:cs="Arial"/>
          <w:sz w:val="22"/>
          <w:szCs w:val="22"/>
        </w:rPr>
        <w:t>is</w:t>
      </w:r>
      <w:r w:rsidR="00956153">
        <w:rPr>
          <w:rFonts w:ascii="Arial" w:hAnsi="Arial" w:cs="Arial"/>
          <w:sz w:val="22"/>
          <w:szCs w:val="22"/>
        </w:rPr>
        <w:t xml:space="preserve"> </w:t>
      </w:r>
      <w:r w:rsidR="004E6350" w:rsidRPr="00D51029">
        <w:rPr>
          <w:rFonts w:ascii="Arial" w:hAnsi="Arial" w:cs="Arial"/>
          <w:sz w:val="22"/>
          <w:szCs w:val="22"/>
        </w:rPr>
        <w:t>8</w:t>
      </w:r>
      <w:r w:rsidR="00C065CD">
        <w:rPr>
          <w:rFonts w:ascii="Arial" w:hAnsi="Arial" w:cs="Arial"/>
          <w:sz w:val="22"/>
          <w:szCs w:val="22"/>
        </w:rPr>
        <w:t>1</w:t>
      </w:r>
      <w:r w:rsidR="004E6350" w:rsidRPr="00D51029">
        <w:rPr>
          <w:rFonts w:ascii="Arial" w:hAnsi="Arial" w:cs="Arial"/>
          <w:sz w:val="22"/>
          <w:szCs w:val="22"/>
        </w:rPr>
        <w:t>,</w:t>
      </w:r>
      <w:r w:rsidR="002024D2">
        <w:rPr>
          <w:rFonts w:ascii="Arial" w:hAnsi="Arial" w:cs="Arial"/>
          <w:sz w:val="22"/>
          <w:szCs w:val="22"/>
        </w:rPr>
        <w:t>1</w:t>
      </w:r>
      <w:r w:rsidR="004E6350" w:rsidRPr="00D51029">
        <w:rPr>
          <w:rFonts w:ascii="Arial" w:hAnsi="Arial" w:cs="Arial"/>
          <w:sz w:val="22"/>
          <w:szCs w:val="22"/>
        </w:rPr>
        <w:t xml:space="preserve">50.  This figure is based on </w:t>
      </w:r>
      <w:r>
        <w:rPr>
          <w:rFonts w:ascii="Arial" w:hAnsi="Arial" w:cs="Arial"/>
          <w:sz w:val="22"/>
          <w:szCs w:val="22"/>
        </w:rPr>
        <w:t xml:space="preserve">continued interaction with stakeholders and </w:t>
      </w:r>
      <w:r w:rsidR="004E6350" w:rsidRPr="00D51029">
        <w:rPr>
          <w:rFonts w:ascii="Arial" w:hAnsi="Arial" w:cs="Arial"/>
          <w:sz w:val="22"/>
          <w:szCs w:val="22"/>
        </w:rPr>
        <w:t>information received from NRC’s consultations with licensees</w:t>
      </w:r>
      <w:r>
        <w:rPr>
          <w:rFonts w:ascii="Arial" w:hAnsi="Arial" w:cs="Arial"/>
          <w:sz w:val="22"/>
          <w:szCs w:val="22"/>
        </w:rPr>
        <w:t xml:space="preserve"> during the prior renewal period.  </w:t>
      </w:r>
      <w:r w:rsidR="008023D2">
        <w:rPr>
          <w:rFonts w:ascii="Arial" w:hAnsi="Arial" w:cs="Arial"/>
          <w:sz w:val="22"/>
          <w:szCs w:val="22"/>
        </w:rPr>
        <w:t xml:space="preserve">The preparation of the application is estimated to require 81,150 hours of total burden with the review process </w:t>
      </w:r>
      <w:r w:rsidR="00D65126">
        <w:rPr>
          <w:rFonts w:ascii="Arial" w:hAnsi="Arial" w:cs="Arial"/>
          <w:sz w:val="22"/>
          <w:szCs w:val="22"/>
        </w:rPr>
        <w:t>requiring</w:t>
      </w:r>
      <w:r w:rsidR="008023D2">
        <w:rPr>
          <w:rFonts w:ascii="Arial" w:hAnsi="Arial" w:cs="Arial"/>
          <w:sz w:val="22"/>
          <w:szCs w:val="22"/>
        </w:rPr>
        <w:t xml:space="preserve"> an additional </w:t>
      </w:r>
      <w:r w:rsidR="00C51224">
        <w:rPr>
          <w:rFonts w:ascii="Arial" w:hAnsi="Arial" w:cs="Arial"/>
          <w:sz w:val="22"/>
          <w:szCs w:val="22"/>
        </w:rPr>
        <w:t>1,5</w:t>
      </w:r>
      <w:r w:rsidR="008023D2">
        <w:rPr>
          <w:rFonts w:ascii="Arial" w:hAnsi="Arial" w:cs="Arial"/>
          <w:sz w:val="22"/>
          <w:szCs w:val="22"/>
        </w:rPr>
        <w:t>00 hours of burden</w:t>
      </w:r>
      <w:r w:rsidR="00956153">
        <w:rPr>
          <w:rFonts w:ascii="Arial" w:hAnsi="Arial" w:cs="Arial"/>
          <w:sz w:val="22"/>
          <w:szCs w:val="22"/>
        </w:rPr>
        <w:t xml:space="preserve"> to</w:t>
      </w:r>
      <w:r w:rsidR="00956153" w:rsidRPr="00D51029">
        <w:rPr>
          <w:rFonts w:ascii="Arial" w:hAnsi="Arial" w:cs="Arial"/>
          <w:sz w:val="22"/>
          <w:szCs w:val="22"/>
        </w:rPr>
        <w:t xml:space="preserve"> submit </w:t>
      </w:r>
      <w:r w:rsidR="00C51224">
        <w:rPr>
          <w:rFonts w:ascii="Arial" w:hAnsi="Arial" w:cs="Arial"/>
          <w:sz w:val="22"/>
          <w:szCs w:val="22"/>
        </w:rPr>
        <w:t xml:space="preserve">an </w:t>
      </w:r>
      <w:r w:rsidR="00956153" w:rsidRPr="00D51029">
        <w:rPr>
          <w:rFonts w:ascii="Arial" w:hAnsi="Arial" w:cs="Arial"/>
          <w:sz w:val="22"/>
          <w:szCs w:val="22"/>
        </w:rPr>
        <w:t>amendment, required under 10 CFR 54.21(b), to identify any changes to the facility’s</w:t>
      </w:r>
      <w:r w:rsidR="00C56700">
        <w:rPr>
          <w:rFonts w:ascii="Arial" w:hAnsi="Arial" w:cs="Arial"/>
          <w:sz w:val="22"/>
          <w:szCs w:val="22"/>
        </w:rPr>
        <w:t xml:space="preserve"> current licensing basis that </w:t>
      </w:r>
      <w:r w:rsidR="00C635ED">
        <w:rPr>
          <w:rFonts w:ascii="Arial" w:hAnsi="Arial" w:cs="Arial"/>
          <w:sz w:val="22"/>
          <w:szCs w:val="22"/>
        </w:rPr>
        <w:t xml:space="preserve">materially </w:t>
      </w:r>
      <w:r w:rsidR="00C56700">
        <w:rPr>
          <w:rFonts w:ascii="Arial" w:hAnsi="Arial" w:cs="Arial"/>
          <w:sz w:val="22"/>
          <w:szCs w:val="22"/>
        </w:rPr>
        <w:t>affect the application</w:t>
      </w:r>
      <w:r w:rsidR="00C635ED">
        <w:rPr>
          <w:rFonts w:ascii="Arial" w:hAnsi="Arial" w:cs="Arial"/>
          <w:sz w:val="22"/>
          <w:szCs w:val="22"/>
        </w:rPr>
        <w:t>,</w:t>
      </w:r>
      <w:r w:rsidR="00D95006">
        <w:t xml:space="preserve"> </w:t>
      </w:r>
      <w:r w:rsidR="00956153" w:rsidRPr="00D51029">
        <w:rPr>
          <w:rFonts w:ascii="Arial" w:hAnsi="Arial" w:cs="Arial"/>
          <w:sz w:val="22"/>
          <w:szCs w:val="22"/>
        </w:rPr>
        <w:t>each year during the review process, and at least three months before the scheduled completion of NRC’s review.</w:t>
      </w:r>
    </w:p>
    <w:p w14:paraId="608966F2" w14:textId="77777777" w:rsidR="004E6350" w:rsidRPr="00E437DE" w:rsidRDefault="004E6350" w:rsidP="004E6350">
      <w:pPr>
        <w:ind w:left="2160"/>
        <w:rPr>
          <w:rFonts w:ascii="Arial" w:hAnsi="Arial" w:cs="Arial"/>
          <w:sz w:val="22"/>
          <w:szCs w:val="22"/>
        </w:rPr>
      </w:pPr>
    </w:p>
    <w:p w14:paraId="123F3CB1" w14:textId="78777EF5" w:rsidR="004E6350" w:rsidRPr="00D51029" w:rsidRDefault="004E6350" w:rsidP="004E6350">
      <w:pPr>
        <w:ind w:left="2160"/>
        <w:rPr>
          <w:rFonts w:ascii="Arial" w:hAnsi="Arial" w:cs="Arial"/>
          <w:sz w:val="22"/>
          <w:szCs w:val="22"/>
        </w:rPr>
      </w:pPr>
      <w:r w:rsidRPr="00E437DE">
        <w:rPr>
          <w:rFonts w:ascii="Arial" w:hAnsi="Arial" w:cs="Arial"/>
          <w:sz w:val="22"/>
          <w:szCs w:val="22"/>
        </w:rPr>
        <w:t>To calculate the annualized reporting burden, NRC determined which license renewal application responses would incur burden during the clearance period.  NRC bases license renewal planning on the receipt of two new applications per fiscal year during the clearance period (</w:t>
      </w:r>
      <w:r w:rsidR="00197400" w:rsidRPr="00E437DE">
        <w:rPr>
          <w:rFonts w:ascii="Arial" w:hAnsi="Arial" w:cs="Arial"/>
          <w:sz w:val="22"/>
          <w:szCs w:val="22"/>
        </w:rPr>
        <w:t xml:space="preserve">November </w:t>
      </w:r>
      <w:r w:rsidRPr="00E437DE">
        <w:rPr>
          <w:rFonts w:ascii="Arial" w:hAnsi="Arial" w:cs="Arial"/>
          <w:color w:val="000000"/>
          <w:sz w:val="22"/>
          <w:szCs w:val="22"/>
        </w:rPr>
        <w:t>20</w:t>
      </w:r>
      <w:r w:rsidR="00A51B6B" w:rsidRPr="00E437DE">
        <w:rPr>
          <w:rFonts w:ascii="Arial" w:hAnsi="Arial" w:cs="Arial"/>
          <w:color w:val="000000"/>
          <w:sz w:val="22"/>
          <w:szCs w:val="22"/>
        </w:rPr>
        <w:t>18</w:t>
      </w:r>
      <w:r w:rsidRPr="00E437DE">
        <w:rPr>
          <w:rFonts w:ascii="Arial" w:hAnsi="Arial" w:cs="Arial"/>
          <w:color w:val="000000"/>
          <w:sz w:val="22"/>
          <w:szCs w:val="22"/>
        </w:rPr>
        <w:t xml:space="preserve"> through </w:t>
      </w:r>
      <w:r w:rsidR="007A3E0E">
        <w:rPr>
          <w:rFonts w:ascii="Arial" w:hAnsi="Arial" w:cs="Arial"/>
          <w:color w:val="000000"/>
          <w:sz w:val="22"/>
          <w:szCs w:val="22"/>
        </w:rPr>
        <w:t>October</w:t>
      </w:r>
      <w:r w:rsidR="007A3E0E" w:rsidRPr="00E437DE">
        <w:rPr>
          <w:rFonts w:ascii="Arial" w:hAnsi="Arial" w:cs="Arial"/>
          <w:sz w:val="22"/>
          <w:szCs w:val="22"/>
        </w:rPr>
        <w:t xml:space="preserve"> </w:t>
      </w:r>
      <w:r w:rsidRPr="0064735B">
        <w:rPr>
          <w:rFonts w:ascii="Arial" w:hAnsi="Arial" w:cs="Arial"/>
          <w:color w:val="000000"/>
          <w:sz w:val="22"/>
          <w:szCs w:val="22"/>
        </w:rPr>
        <w:t>20</w:t>
      </w:r>
      <w:r w:rsidR="00A51B6B" w:rsidRPr="0064735B">
        <w:rPr>
          <w:rFonts w:ascii="Arial" w:hAnsi="Arial" w:cs="Arial"/>
          <w:color w:val="000000"/>
          <w:sz w:val="22"/>
          <w:szCs w:val="22"/>
        </w:rPr>
        <w:t>2</w:t>
      </w:r>
      <w:r w:rsidRPr="0064735B">
        <w:rPr>
          <w:rFonts w:ascii="Arial" w:hAnsi="Arial" w:cs="Arial"/>
          <w:color w:val="000000"/>
          <w:sz w:val="22"/>
          <w:szCs w:val="22"/>
        </w:rPr>
        <w:t>1</w:t>
      </w:r>
      <w:r w:rsidR="00C51224">
        <w:rPr>
          <w:rFonts w:ascii="Arial" w:hAnsi="Arial" w:cs="Arial"/>
          <w:sz w:val="22"/>
          <w:szCs w:val="22"/>
        </w:rPr>
        <w:t>).  In accordance with Section 54.21(b) t</w:t>
      </w:r>
      <w:r w:rsidRPr="00E437DE">
        <w:rPr>
          <w:rFonts w:ascii="Arial" w:hAnsi="Arial" w:cs="Arial"/>
          <w:sz w:val="22"/>
          <w:szCs w:val="22"/>
        </w:rPr>
        <w:t xml:space="preserve">wo new applications will likely mean that the licensee will submit </w:t>
      </w:r>
      <w:r w:rsidRPr="002024D2">
        <w:rPr>
          <w:rFonts w:ascii="Arial" w:hAnsi="Arial" w:cs="Arial"/>
          <w:sz w:val="22"/>
          <w:szCs w:val="22"/>
        </w:rPr>
        <w:t>two amendments per application</w:t>
      </w:r>
      <w:r w:rsidR="002024D2">
        <w:rPr>
          <w:rFonts w:ascii="Arial" w:hAnsi="Arial" w:cs="Arial"/>
          <w:sz w:val="22"/>
          <w:szCs w:val="22"/>
        </w:rPr>
        <w:t xml:space="preserve"> (2 amendments x 1500 hours = 3,000)</w:t>
      </w:r>
      <w:r w:rsidRPr="00E437DE">
        <w:rPr>
          <w:rFonts w:ascii="Arial" w:hAnsi="Arial" w:cs="Arial"/>
          <w:sz w:val="22"/>
          <w:szCs w:val="22"/>
        </w:rPr>
        <w:t xml:space="preserve">, which may result in </w:t>
      </w:r>
      <w:r w:rsidRPr="005D279E">
        <w:rPr>
          <w:rFonts w:ascii="Arial" w:hAnsi="Arial" w:cs="Arial"/>
          <w:sz w:val="22"/>
          <w:szCs w:val="22"/>
        </w:rPr>
        <w:t>four responses</w:t>
      </w:r>
      <w:r w:rsidR="002024D2">
        <w:rPr>
          <w:rFonts w:ascii="Arial" w:hAnsi="Arial" w:cs="Arial"/>
          <w:sz w:val="22"/>
          <w:szCs w:val="22"/>
        </w:rPr>
        <w:t xml:space="preserve"> totaling 6,000 hours.</w:t>
      </w:r>
      <w:r w:rsidRPr="00E437DE">
        <w:rPr>
          <w:rFonts w:ascii="Arial" w:hAnsi="Arial" w:cs="Arial"/>
          <w:sz w:val="22"/>
          <w:szCs w:val="22"/>
        </w:rPr>
        <w:t xml:space="preserve">  </w:t>
      </w:r>
    </w:p>
    <w:p w14:paraId="1109AC33" w14:textId="77777777" w:rsidR="004E6350" w:rsidRPr="00D51029" w:rsidRDefault="004E6350" w:rsidP="004E6350">
      <w:pPr>
        <w:ind w:left="2160"/>
        <w:rPr>
          <w:rFonts w:ascii="Arial" w:hAnsi="Arial" w:cs="Arial"/>
          <w:sz w:val="22"/>
          <w:szCs w:val="22"/>
        </w:rPr>
      </w:pPr>
    </w:p>
    <w:p w14:paraId="3B1FCFA8" w14:textId="24274CA5" w:rsidR="004E6350" w:rsidRPr="00D51029" w:rsidRDefault="004E6350" w:rsidP="004E6350">
      <w:pPr>
        <w:ind w:left="2160"/>
        <w:rPr>
          <w:rFonts w:ascii="Arial" w:hAnsi="Arial" w:cs="Arial"/>
          <w:sz w:val="22"/>
          <w:szCs w:val="22"/>
        </w:rPr>
      </w:pPr>
      <w:r w:rsidRPr="00D51029">
        <w:rPr>
          <w:rFonts w:ascii="Arial" w:hAnsi="Arial" w:cs="Arial"/>
          <w:sz w:val="22"/>
          <w:szCs w:val="22"/>
        </w:rPr>
        <w:t xml:space="preserve">The total </w:t>
      </w:r>
      <w:r w:rsidR="00D10468">
        <w:rPr>
          <w:rFonts w:ascii="Arial" w:hAnsi="Arial" w:cs="Arial"/>
          <w:sz w:val="22"/>
          <w:szCs w:val="22"/>
        </w:rPr>
        <w:t>annual burden during the clearance period is therefore 168,3</w:t>
      </w:r>
      <w:r w:rsidR="00A06753">
        <w:rPr>
          <w:rFonts w:ascii="Arial" w:hAnsi="Arial" w:cs="Arial"/>
          <w:sz w:val="22"/>
          <w:szCs w:val="22"/>
        </w:rPr>
        <w:t>2</w:t>
      </w:r>
      <w:r w:rsidR="00D10468">
        <w:rPr>
          <w:rFonts w:ascii="Arial" w:hAnsi="Arial" w:cs="Arial"/>
          <w:sz w:val="22"/>
          <w:szCs w:val="22"/>
        </w:rPr>
        <w:t xml:space="preserve">0 hours (81,150 hours per application x 2 applications annually plus </w:t>
      </w:r>
      <w:r w:rsidR="00A06753">
        <w:rPr>
          <w:rFonts w:ascii="Arial" w:hAnsi="Arial" w:cs="Arial"/>
          <w:sz w:val="22"/>
          <w:szCs w:val="22"/>
        </w:rPr>
        <w:t>6</w:t>
      </w:r>
      <w:r w:rsidR="00D10468">
        <w:rPr>
          <w:rFonts w:ascii="Arial" w:hAnsi="Arial" w:cs="Arial"/>
          <w:sz w:val="22"/>
          <w:szCs w:val="22"/>
        </w:rPr>
        <w:t xml:space="preserve">,000 hours for amendments </w:t>
      </w:r>
      <w:r w:rsidR="00A06753">
        <w:rPr>
          <w:rFonts w:ascii="Arial" w:hAnsi="Arial" w:cs="Arial"/>
          <w:sz w:val="22"/>
          <w:szCs w:val="22"/>
        </w:rPr>
        <w:t>+ 20 hours for completion letters</w:t>
      </w:r>
      <w:r w:rsidR="00D10468">
        <w:rPr>
          <w:rFonts w:ascii="Arial" w:hAnsi="Arial" w:cs="Arial"/>
          <w:sz w:val="22"/>
          <w:szCs w:val="22"/>
        </w:rPr>
        <w:t>).</w:t>
      </w:r>
      <w:r w:rsidR="00A06753">
        <w:rPr>
          <w:rFonts w:ascii="Arial" w:hAnsi="Arial" w:cs="Arial"/>
          <w:sz w:val="22"/>
          <w:szCs w:val="22"/>
        </w:rPr>
        <w:t xml:space="preserve">  See Table</w:t>
      </w:r>
      <w:r w:rsidR="00D86965">
        <w:rPr>
          <w:rFonts w:ascii="Arial" w:hAnsi="Arial" w:cs="Arial"/>
          <w:sz w:val="22"/>
          <w:szCs w:val="22"/>
        </w:rPr>
        <w:t xml:space="preserve"> 1</w:t>
      </w:r>
      <w:r w:rsidR="00A06753">
        <w:rPr>
          <w:rFonts w:ascii="Arial" w:hAnsi="Arial" w:cs="Arial"/>
          <w:sz w:val="22"/>
          <w:szCs w:val="22"/>
        </w:rPr>
        <w:t>.</w:t>
      </w:r>
      <w:r w:rsidR="00D10468">
        <w:rPr>
          <w:rFonts w:ascii="Arial" w:hAnsi="Arial" w:cs="Arial"/>
          <w:sz w:val="22"/>
          <w:szCs w:val="22"/>
        </w:rPr>
        <w:t xml:space="preserve">  </w:t>
      </w:r>
    </w:p>
    <w:p w14:paraId="4E6E4389" w14:textId="77777777" w:rsidR="004E6350" w:rsidRPr="00D51029" w:rsidRDefault="004E6350" w:rsidP="004E6350">
      <w:pPr>
        <w:rPr>
          <w:rFonts w:ascii="Arial" w:hAnsi="Arial" w:cs="Arial"/>
          <w:sz w:val="22"/>
          <w:szCs w:val="22"/>
        </w:rPr>
      </w:pPr>
    </w:p>
    <w:p w14:paraId="7721C0FF" w14:textId="75F3FA45" w:rsidR="004E6350" w:rsidRPr="00D51029" w:rsidRDefault="004E6350" w:rsidP="004E6350">
      <w:pPr>
        <w:ind w:left="2160" w:hanging="540"/>
        <w:rPr>
          <w:rFonts w:ascii="Arial" w:hAnsi="Arial" w:cs="Arial"/>
          <w:sz w:val="22"/>
          <w:szCs w:val="22"/>
        </w:rPr>
      </w:pPr>
      <w:r w:rsidRPr="00D51029">
        <w:rPr>
          <w:rFonts w:ascii="Arial" w:hAnsi="Arial" w:cs="Arial"/>
          <w:sz w:val="22"/>
          <w:szCs w:val="22"/>
        </w:rPr>
        <w:t>(2)</w:t>
      </w:r>
      <w:r w:rsidRPr="00D51029">
        <w:rPr>
          <w:rFonts w:ascii="Arial" w:hAnsi="Arial" w:cs="Arial"/>
          <w:sz w:val="22"/>
          <w:szCs w:val="22"/>
        </w:rPr>
        <w:tab/>
        <w:t xml:space="preserve">Depending on the wording of the license conditions contained in the renewed operating license, the NRC may also require licensees to prepare and submit </w:t>
      </w:r>
      <w:r>
        <w:rPr>
          <w:rFonts w:ascii="Arial" w:hAnsi="Arial" w:cs="Arial"/>
          <w:sz w:val="22"/>
          <w:szCs w:val="22"/>
        </w:rPr>
        <w:t>inspection and testing</w:t>
      </w:r>
      <w:r w:rsidRPr="00D51029">
        <w:rPr>
          <w:rFonts w:ascii="Arial" w:hAnsi="Arial" w:cs="Arial"/>
          <w:sz w:val="22"/>
          <w:szCs w:val="22"/>
        </w:rPr>
        <w:t xml:space="preserve"> completion review letters as required by each renewed license.  These respondents are different from those preparing and submitting license renewal applications because NRC has already granted their renewed licenses.  In certain situations, NRC allows licensees to submit one application for renewing the operating licenses of several reactor units.  However, NRC issues a separate renewed operating license to each reactor unit and each such license contains the requirement to submit a letter</w:t>
      </w:r>
      <w:r>
        <w:rPr>
          <w:rFonts w:ascii="Arial" w:hAnsi="Arial" w:cs="Arial"/>
          <w:sz w:val="22"/>
          <w:szCs w:val="22"/>
        </w:rPr>
        <w:t xml:space="preserve"> documenting the </w:t>
      </w:r>
      <w:r w:rsidRPr="002749BD">
        <w:rPr>
          <w:rFonts w:ascii="Arial" w:hAnsi="Arial" w:cs="Arial"/>
          <w:sz w:val="22"/>
          <w:szCs w:val="22"/>
        </w:rPr>
        <w:t>completion of inspection and testing activities.  To estimate the number of</w:t>
      </w:r>
      <w:r w:rsidRPr="00D51029">
        <w:rPr>
          <w:rFonts w:ascii="Arial" w:hAnsi="Arial" w:cs="Arial"/>
          <w:sz w:val="22"/>
          <w:szCs w:val="22"/>
        </w:rPr>
        <w:t xml:space="preserve"> these letters that it will receive during the clearance period, NRC estimates that a licensee will submit the required letter within one year of entering a unit’s period of extended operation.  The NRC determined that </w:t>
      </w:r>
      <w:r w:rsidR="00DE70F9">
        <w:rPr>
          <w:rFonts w:ascii="Arial" w:hAnsi="Arial" w:cs="Arial"/>
          <w:sz w:val="22"/>
          <w:szCs w:val="22"/>
        </w:rPr>
        <w:t xml:space="preserve">six </w:t>
      </w:r>
      <w:r w:rsidR="005D16A2">
        <w:rPr>
          <w:rFonts w:ascii="Arial" w:hAnsi="Arial" w:cs="Arial"/>
          <w:sz w:val="22"/>
          <w:szCs w:val="22"/>
        </w:rPr>
        <w:t>(</w:t>
      </w:r>
      <w:r w:rsidR="00DE70F9">
        <w:rPr>
          <w:rFonts w:ascii="Arial" w:hAnsi="Arial" w:cs="Arial"/>
          <w:sz w:val="22"/>
          <w:szCs w:val="22"/>
        </w:rPr>
        <w:t>6</w:t>
      </w:r>
      <w:r w:rsidR="005D16A2">
        <w:rPr>
          <w:rFonts w:ascii="Arial" w:hAnsi="Arial" w:cs="Arial"/>
          <w:sz w:val="22"/>
          <w:szCs w:val="22"/>
        </w:rPr>
        <w:t>)</w:t>
      </w:r>
      <w:r w:rsidR="009A229C" w:rsidRPr="00D51029">
        <w:rPr>
          <w:rFonts w:ascii="Arial" w:hAnsi="Arial" w:cs="Arial"/>
          <w:sz w:val="22"/>
          <w:szCs w:val="22"/>
        </w:rPr>
        <w:t xml:space="preserve"> </w:t>
      </w:r>
      <w:r w:rsidRPr="00D51029">
        <w:rPr>
          <w:rFonts w:ascii="Arial" w:hAnsi="Arial" w:cs="Arial"/>
          <w:sz w:val="22"/>
          <w:szCs w:val="22"/>
        </w:rPr>
        <w:t xml:space="preserve">plants will enter the period of extended operation during the clearance period of </w:t>
      </w:r>
      <w:r w:rsidR="00372E13">
        <w:rPr>
          <w:rFonts w:ascii="Arial" w:hAnsi="Arial" w:cs="Arial"/>
          <w:sz w:val="22"/>
          <w:szCs w:val="22"/>
        </w:rPr>
        <w:t>November</w:t>
      </w:r>
      <w:r w:rsidR="00372E13" w:rsidRPr="00D51029">
        <w:rPr>
          <w:rFonts w:ascii="Arial" w:hAnsi="Arial" w:cs="Arial"/>
          <w:sz w:val="22"/>
          <w:szCs w:val="22"/>
        </w:rPr>
        <w:t xml:space="preserve"> </w:t>
      </w:r>
      <w:r w:rsidR="00372E13" w:rsidRPr="00D51029">
        <w:rPr>
          <w:rFonts w:ascii="Arial" w:hAnsi="Arial" w:cs="Arial"/>
          <w:color w:val="000000"/>
          <w:sz w:val="22"/>
          <w:szCs w:val="22"/>
        </w:rPr>
        <w:t>20</w:t>
      </w:r>
      <w:r w:rsidR="00372E13">
        <w:rPr>
          <w:rFonts w:ascii="Arial" w:hAnsi="Arial" w:cs="Arial"/>
          <w:color w:val="000000"/>
          <w:sz w:val="22"/>
          <w:szCs w:val="22"/>
        </w:rPr>
        <w:t>18</w:t>
      </w:r>
      <w:r w:rsidR="00372E13" w:rsidRPr="00D51029">
        <w:rPr>
          <w:rFonts w:ascii="Arial" w:hAnsi="Arial" w:cs="Arial"/>
          <w:color w:val="000000"/>
          <w:sz w:val="22"/>
          <w:szCs w:val="22"/>
        </w:rPr>
        <w:t xml:space="preserve"> through </w:t>
      </w:r>
      <w:r w:rsidR="007A3E0E">
        <w:rPr>
          <w:rFonts w:ascii="Arial" w:hAnsi="Arial" w:cs="Arial"/>
          <w:color w:val="000000"/>
          <w:sz w:val="22"/>
          <w:szCs w:val="22"/>
        </w:rPr>
        <w:t>October 2021</w:t>
      </w:r>
      <w:r w:rsidR="002749BD">
        <w:rPr>
          <w:rFonts w:ascii="Arial" w:hAnsi="Arial" w:cs="Arial"/>
          <w:sz w:val="22"/>
          <w:szCs w:val="22"/>
        </w:rPr>
        <w:t>.</w:t>
      </w:r>
      <w:r w:rsidR="00372E13" w:rsidRPr="00D51029">
        <w:rPr>
          <w:rFonts w:ascii="Arial" w:hAnsi="Arial" w:cs="Arial"/>
          <w:sz w:val="22"/>
          <w:szCs w:val="22"/>
        </w:rPr>
        <w:t xml:space="preserve"> </w:t>
      </w:r>
      <w:r w:rsidRPr="00D51029">
        <w:rPr>
          <w:rFonts w:ascii="Arial" w:hAnsi="Arial" w:cs="Arial"/>
          <w:color w:val="000000"/>
          <w:sz w:val="22"/>
          <w:szCs w:val="22"/>
        </w:rPr>
        <w:t xml:space="preserve"> </w:t>
      </w:r>
      <w:r w:rsidR="00FA4819">
        <w:rPr>
          <w:rFonts w:ascii="Arial" w:hAnsi="Arial" w:cs="Arial"/>
          <w:color w:val="000000"/>
          <w:sz w:val="22"/>
          <w:szCs w:val="22"/>
        </w:rPr>
        <w:t xml:space="preserve">These plants are North Anna 2, McGuire 1, Joseph M. Farley 2, Salem 2, and Sequoyah 1&amp;2.  </w:t>
      </w:r>
      <w:r w:rsidR="00DE70F9">
        <w:rPr>
          <w:rFonts w:ascii="Arial" w:hAnsi="Arial" w:cs="Arial"/>
          <w:color w:val="000000"/>
          <w:sz w:val="22"/>
          <w:szCs w:val="22"/>
        </w:rPr>
        <w:t xml:space="preserve">However, </w:t>
      </w:r>
      <w:r w:rsidRPr="00D51029">
        <w:rPr>
          <w:rFonts w:ascii="Arial" w:hAnsi="Arial" w:cs="Arial"/>
          <w:sz w:val="22"/>
          <w:szCs w:val="22"/>
        </w:rPr>
        <w:t xml:space="preserve">the NRC will receive </w:t>
      </w:r>
      <w:r w:rsidR="009613E6">
        <w:rPr>
          <w:rFonts w:ascii="Arial" w:hAnsi="Arial" w:cs="Arial"/>
          <w:sz w:val="22"/>
          <w:szCs w:val="22"/>
        </w:rPr>
        <w:t>five</w:t>
      </w:r>
      <w:r w:rsidR="00A761B9">
        <w:rPr>
          <w:rFonts w:ascii="Arial" w:hAnsi="Arial" w:cs="Arial"/>
          <w:sz w:val="22"/>
          <w:szCs w:val="22"/>
        </w:rPr>
        <w:t xml:space="preserve"> (</w:t>
      </w:r>
      <w:r w:rsidR="009613E6">
        <w:rPr>
          <w:rFonts w:ascii="Arial" w:hAnsi="Arial" w:cs="Arial"/>
          <w:sz w:val="22"/>
          <w:szCs w:val="22"/>
        </w:rPr>
        <w:t>5</w:t>
      </w:r>
      <w:r w:rsidR="00A761B9">
        <w:rPr>
          <w:rFonts w:ascii="Arial" w:hAnsi="Arial" w:cs="Arial"/>
          <w:sz w:val="22"/>
          <w:szCs w:val="22"/>
        </w:rPr>
        <w:t>)</w:t>
      </w:r>
      <w:r w:rsidR="009A229C" w:rsidRPr="00D51029">
        <w:rPr>
          <w:rFonts w:ascii="Arial" w:hAnsi="Arial" w:cs="Arial"/>
          <w:sz w:val="22"/>
          <w:szCs w:val="22"/>
        </w:rPr>
        <w:t xml:space="preserve"> </w:t>
      </w:r>
      <w:r w:rsidRPr="00D51029">
        <w:rPr>
          <w:rFonts w:ascii="Arial" w:hAnsi="Arial" w:cs="Arial"/>
          <w:sz w:val="22"/>
          <w:szCs w:val="22"/>
        </w:rPr>
        <w:t xml:space="preserve">responses as </w:t>
      </w:r>
      <w:r w:rsidRPr="00E437DE">
        <w:rPr>
          <w:rFonts w:ascii="Arial" w:hAnsi="Arial" w:cs="Arial"/>
          <w:sz w:val="22"/>
          <w:szCs w:val="22"/>
        </w:rPr>
        <w:t>completion letters</w:t>
      </w:r>
      <w:r w:rsidRPr="00D51029">
        <w:rPr>
          <w:rFonts w:ascii="Arial" w:hAnsi="Arial" w:cs="Arial"/>
          <w:sz w:val="22"/>
          <w:szCs w:val="22"/>
        </w:rPr>
        <w:t xml:space="preserve"> during the clearance period</w:t>
      </w:r>
      <w:r w:rsidR="00DE70F9">
        <w:rPr>
          <w:rFonts w:ascii="Arial" w:hAnsi="Arial" w:cs="Arial"/>
          <w:sz w:val="22"/>
          <w:szCs w:val="22"/>
        </w:rPr>
        <w:t xml:space="preserve"> since one record-holder is assumed to address both Sequoyah units</w:t>
      </w:r>
      <w:r w:rsidRPr="00D51029">
        <w:rPr>
          <w:rFonts w:ascii="Arial" w:hAnsi="Arial" w:cs="Arial"/>
          <w:sz w:val="22"/>
          <w:szCs w:val="22"/>
        </w:rPr>
        <w:t>.</w:t>
      </w:r>
      <w:r w:rsidRPr="00D51029">
        <w:rPr>
          <w:rFonts w:ascii="Arial" w:hAnsi="Arial" w:cs="Arial"/>
          <w:color w:val="000000"/>
          <w:sz w:val="22"/>
          <w:szCs w:val="22"/>
        </w:rPr>
        <w:t xml:space="preserve">  </w:t>
      </w:r>
      <w:r w:rsidRPr="00D51029">
        <w:rPr>
          <w:rFonts w:ascii="Arial" w:hAnsi="Arial" w:cs="Arial"/>
          <w:sz w:val="22"/>
          <w:szCs w:val="22"/>
        </w:rPr>
        <w:t xml:space="preserve">Annualizing these responses over the clearance period results in approximately </w:t>
      </w:r>
      <w:r w:rsidR="00A761B9">
        <w:rPr>
          <w:rFonts w:ascii="Arial" w:hAnsi="Arial" w:cs="Arial"/>
          <w:sz w:val="22"/>
          <w:szCs w:val="22"/>
        </w:rPr>
        <w:t>t</w:t>
      </w:r>
      <w:r w:rsidR="009613E6">
        <w:rPr>
          <w:rFonts w:ascii="Arial" w:hAnsi="Arial" w:cs="Arial"/>
          <w:sz w:val="22"/>
          <w:szCs w:val="22"/>
        </w:rPr>
        <w:t>wo</w:t>
      </w:r>
      <w:r w:rsidR="00A761B9">
        <w:rPr>
          <w:rFonts w:ascii="Arial" w:hAnsi="Arial" w:cs="Arial"/>
          <w:sz w:val="22"/>
          <w:szCs w:val="22"/>
        </w:rPr>
        <w:t xml:space="preserve"> (</w:t>
      </w:r>
      <w:r w:rsidR="009613E6">
        <w:rPr>
          <w:rFonts w:ascii="Arial" w:hAnsi="Arial" w:cs="Arial"/>
          <w:sz w:val="22"/>
          <w:szCs w:val="22"/>
        </w:rPr>
        <w:t>2</w:t>
      </w:r>
      <w:r w:rsidR="00A761B9">
        <w:rPr>
          <w:rFonts w:ascii="Arial" w:hAnsi="Arial" w:cs="Arial"/>
          <w:sz w:val="22"/>
          <w:szCs w:val="22"/>
        </w:rPr>
        <w:t>)</w:t>
      </w:r>
      <w:r w:rsidRPr="00D51029">
        <w:rPr>
          <w:rFonts w:ascii="Arial" w:hAnsi="Arial" w:cs="Arial"/>
          <w:sz w:val="22"/>
          <w:szCs w:val="22"/>
        </w:rPr>
        <w:t xml:space="preserve"> responses per year.  NRC estimates that each letter will incur a burden of 10 hours</w:t>
      </w:r>
      <w:bookmarkStart w:id="3" w:name="OLE_LINK3"/>
      <w:bookmarkStart w:id="4" w:name="OLE_LINK4"/>
      <w:r w:rsidRPr="00D51029">
        <w:rPr>
          <w:rFonts w:ascii="Arial" w:hAnsi="Arial" w:cs="Arial"/>
          <w:sz w:val="22"/>
          <w:szCs w:val="22"/>
        </w:rPr>
        <w:t xml:space="preserve"> </w:t>
      </w:r>
      <w:r w:rsidR="00A761B9">
        <w:rPr>
          <w:rFonts w:ascii="Arial" w:hAnsi="Arial" w:cs="Arial"/>
          <w:sz w:val="22"/>
          <w:szCs w:val="22"/>
        </w:rPr>
        <w:t xml:space="preserve">resulting in </w:t>
      </w:r>
      <w:r w:rsidR="009613E6">
        <w:rPr>
          <w:rFonts w:ascii="Arial" w:hAnsi="Arial" w:cs="Arial"/>
          <w:sz w:val="22"/>
          <w:szCs w:val="22"/>
        </w:rPr>
        <w:t>2</w:t>
      </w:r>
      <w:r w:rsidR="006B7A38">
        <w:rPr>
          <w:rFonts w:ascii="Arial" w:hAnsi="Arial" w:cs="Arial"/>
          <w:sz w:val="22"/>
          <w:szCs w:val="22"/>
        </w:rPr>
        <w:t>0</w:t>
      </w:r>
      <w:r w:rsidRPr="00D51029">
        <w:rPr>
          <w:rFonts w:ascii="Arial" w:hAnsi="Arial" w:cs="Arial"/>
          <w:sz w:val="22"/>
          <w:szCs w:val="22"/>
        </w:rPr>
        <w:t xml:space="preserve"> hours/year</w:t>
      </w:r>
      <w:r w:rsidR="00A761B9">
        <w:rPr>
          <w:rFonts w:ascii="Arial" w:hAnsi="Arial" w:cs="Arial"/>
          <w:sz w:val="22"/>
          <w:szCs w:val="22"/>
        </w:rPr>
        <w:t xml:space="preserve"> (10 hours x </w:t>
      </w:r>
      <w:r w:rsidR="009613E6">
        <w:rPr>
          <w:rFonts w:ascii="Arial" w:hAnsi="Arial" w:cs="Arial"/>
          <w:sz w:val="22"/>
          <w:szCs w:val="22"/>
        </w:rPr>
        <w:t>2</w:t>
      </w:r>
      <w:r w:rsidR="00A761B9">
        <w:rPr>
          <w:rFonts w:ascii="Arial" w:hAnsi="Arial" w:cs="Arial"/>
          <w:sz w:val="22"/>
          <w:szCs w:val="22"/>
        </w:rPr>
        <w:t xml:space="preserve"> responses</w:t>
      </w:r>
      <w:r w:rsidRPr="00D51029">
        <w:rPr>
          <w:rFonts w:ascii="Arial" w:hAnsi="Arial" w:cs="Arial"/>
          <w:sz w:val="22"/>
          <w:szCs w:val="22"/>
        </w:rPr>
        <w:t>).</w:t>
      </w:r>
    </w:p>
    <w:p w14:paraId="64F5FBDB" w14:textId="77777777" w:rsidR="004E6350" w:rsidRPr="00D51029" w:rsidRDefault="004E6350" w:rsidP="004E6350">
      <w:pPr>
        <w:ind w:left="1440"/>
        <w:rPr>
          <w:rFonts w:ascii="Arial" w:hAnsi="Arial" w:cs="Arial"/>
          <w:sz w:val="22"/>
          <w:szCs w:val="22"/>
        </w:rPr>
      </w:pPr>
    </w:p>
    <w:p w14:paraId="4BCBFF43" w14:textId="2BD50D52" w:rsidR="004E6350" w:rsidRPr="00D51029" w:rsidRDefault="004E6350" w:rsidP="004E6350">
      <w:pPr>
        <w:ind w:left="1440"/>
        <w:rPr>
          <w:rFonts w:ascii="Arial" w:hAnsi="Arial" w:cs="Arial"/>
          <w:sz w:val="22"/>
          <w:szCs w:val="22"/>
        </w:rPr>
      </w:pPr>
      <w:r w:rsidRPr="00D51029">
        <w:rPr>
          <w:rFonts w:ascii="Arial" w:hAnsi="Arial" w:cs="Arial"/>
          <w:sz w:val="22"/>
          <w:szCs w:val="22"/>
        </w:rPr>
        <w:t>A complete summary of the calculations for reporting burden and cost is provided in Table 1</w:t>
      </w:r>
      <w:bookmarkEnd w:id="3"/>
      <w:bookmarkEnd w:id="4"/>
      <w:r w:rsidRPr="00D51029">
        <w:rPr>
          <w:rFonts w:ascii="Arial" w:hAnsi="Arial" w:cs="Arial"/>
          <w:sz w:val="22"/>
          <w:szCs w:val="22"/>
        </w:rPr>
        <w:t>.</w:t>
      </w:r>
    </w:p>
    <w:p w14:paraId="6C0C8D19" w14:textId="77777777" w:rsidR="004E6350" w:rsidRPr="00D51029" w:rsidRDefault="004E6350" w:rsidP="004E6350">
      <w:pPr>
        <w:ind w:left="1440"/>
        <w:rPr>
          <w:rFonts w:ascii="Arial" w:hAnsi="Arial" w:cs="Arial"/>
          <w:sz w:val="22"/>
          <w:szCs w:val="22"/>
          <w:highlight w:val="yellow"/>
        </w:rPr>
      </w:pPr>
    </w:p>
    <w:p w14:paraId="388DD72B"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u w:val="single"/>
        </w:rPr>
      </w:pPr>
      <w:r w:rsidRPr="00D51029">
        <w:rPr>
          <w:rFonts w:ascii="Arial" w:hAnsi="Arial" w:cs="Arial"/>
          <w:sz w:val="22"/>
          <w:szCs w:val="22"/>
          <w:u w:val="single"/>
        </w:rPr>
        <w:t>Recordkeeping Burden</w:t>
      </w:r>
    </w:p>
    <w:p w14:paraId="3484536E"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u w:val="single"/>
        </w:rPr>
      </w:pPr>
    </w:p>
    <w:p w14:paraId="53816F63" w14:textId="57BC2FE1"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EB2A79">
        <w:rPr>
          <w:rFonts w:ascii="Arial" w:hAnsi="Arial" w:cs="Arial"/>
          <w:sz w:val="22"/>
          <w:szCs w:val="22"/>
        </w:rPr>
        <w:t xml:space="preserve">The annual recordkeeping burden </w:t>
      </w:r>
      <w:r w:rsidR="00357023">
        <w:rPr>
          <w:rFonts w:ascii="Arial" w:hAnsi="Arial" w:cs="Arial"/>
          <w:sz w:val="22"/>
          <w:szCs w:val="22"/>
        </w:rPr>
        <w:t xml:space="preserve">after the issuance of the renewed license </w:t>
      </w:r>
      <w:r w:rsidRPr="00EB2A79">
        <w:rPr>
          <w:rFonts w:ascii="Arial" w:hAnsi="Arial" w:cs="Arial"/>
          <w:sz w:val="22"/>
          <w:szCs w:val="22"/>
        </w:rPr>
        <w:t>covers all licensee efforts associated with retaining, as required by 10 CFR 54.37, information to document compliance with 10 CFR Part 54.  This burden begins when the NRC grants a renewed license and continues throughout the period of extended operation until the renewed license expires.  During the clearance period, the total number of recordkeepers per year will increase as NRC receives more applications and issues more renewed licenses.  To estimate the number of recordkeepers, the NRC considered each reactor site with renewed operating license(s).  Licensees typically submit combined license renewal applications for multi-unit sites so the NRC issues the renewed license for each unit at the same time.  Also, the NRC estimates that the recordkeeping burden for a multi-unit site is approximately equivalent to the burden for a single unit site.</w:t>
      </w:r>
    </w:p>
    <w:p w14:paraId="279B0D4C"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590ADA21" w14:textId="48403E11" w:rsidR="00A06753" w:rsidRPr="00A06753" w:rsidRDefault="004E6350" w:rsidP="00A06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D51029">
        <w:rPr>
          <w:rFonts w:ascii="Arial" w:hAnsi="Arial" w:cs="Arial"/>
          <w:sz w:val="22"/>
          <w:szCs w:val="22"/>
        </w:rPr>
        <w:t>Next, the NRC considered the issuance dates for those sites that have already received renewed licenses, the projected issuance dates for license renewals currently under review, and the renewal applications expected to be submitted based on licensee intent letters</w:t>
      </w:r>
      <w:r w:rsidRPr="0036228D">
        <w:rPr>
          <w:rFonts w:ascii="Arial" w:hAnsi="Arial" w:cs="Arial"/>
          <w:sz w:val="22"/>
          <w:szCs w:val="22"/>
        </w:rPr>
        <w:t xml:space="preserve">.  </w:t>
      </w:r>
      <w:r w:rsidR="00B42F7E" w:rsidRPr="00CF5638">
        <w:rPr>
          <w:rFonts w:ascii="Arial" w:hAnsi="Arial" w:cs="Arial"/>
          <w:sz w:val="22"/>
          <w:szCs w:val="22"/>
        </w:rPr>
        <w:t xml:space="preserve">Through this analysis, NRC estimates that there are currently 52 recordkeepers.  During the clearance period, the NRC could potentially grant </w:t>
      </w:r>
      <w:r w:rsidR="00DE70F9">
        <w:rPr>
          <w:rFonts w:ascii="Arial" w:hAnsi="Arial" w:cs="Arial"/>
          <w:sz w:val="22"/>
          <w:szCs w:val="22"/>
        </w:rPr>
        <w:t xml:space="preserve">renewed </w:t>
      </w:r>
      <w:r w:rsidR="00B42F7E" w:rsidRPr="00CF5638">
        <w:rPr>
          <w:rFonts w:ascii="Arial" w:hAnsi="Arial" w:cs="Arial"/>
          <w:sz w:val="22"/>
          <w:szCs w:val="22"/>
        </w:rPr>
        <w:t xml:space="preserve">licenses </w:t>
      </w:r>
      <w:r w:rsidR="00DE70F9">
        <w:rPr>
          <w:rFonts w:ascii="Arial" w:hAnsi="Arial" w:cs="Arial"/>
          <w:sz w:val="22"/>
          <w:szCs w:val="22"/>
        </w:rPr>
        <w:t xml:space="preserve">to </w:t>
      </w:r>
      <w:r w:rsidR="006502D1">
        <w:rPr>
          <w:rFonts w:ascii="Arial" w:hAnsi="Arial" w:cs="Arial"/>
          <w:sz w:val="22"/>
          <w:szCs w:val="22"/>
        </w:rPr>
        <w:t xml:space="preserve">up </w:t>
      </w:r>
      <w:r w:rsidR="00B42F7E" w:rsidRPr="00CF5638">
        <w:rPr>
          <w:rFonts w:ascii="Arial" w:hAnsi="Arial" w:cs="Arial"/>
          <w:sz w:val="22"/>
          <w:szCs w:val="22"/>
        </w:rPr>
        <w:t xml:space="preserve">to </w:t>
      </w:r>
      <w:r w:rsidR="009F4F2F">
        <w:rPr>
          <w:rFonts w:ascii="Arial" w:hAnsi="Arial" w:cs="Arial"/>
          <w:sz w:val="22"/>
          <w:szCs w:val="22"/>
        </w:rPr>
        <w:t>4</w:t>
      </w:r>
      <w:r w:rsidR="00B42F7E" w:rsidRPr="00CF5638">
        <w:rPr>
          <w:rFonts w:ascii="Arial" w:hAnsi="Arial" w:cs="Arial"/>
          <w:sz w:val="22"/>
          <w:szCs w:val="22"/>
        </w:rPr>
        <w:t xml:space="preserve"> applicants which will add </w:t>
      </w:r>
      <w:r w:rsidR="009F4F2F">
        <w:rPr>
          <w:rFonts w:ascii="Arial" w:hAnsi="Arial" w:cs="Arial"/>
          <w:sz w:val="22"/>
          <w:szCs w:val="22"/>
        </w:rPr>
        <w:t>4</w:t>
      </w:r>
      <w:r w:rsidR="007A3E0E">
        <w:rPr>
          <w:rFonts w:ascii="Arial" w:hAnsi="Arial" w:cs="Arial"/>
          <w:sz w:val="22"/>
          <w:szCs w:val="22"/>
        </w:rPr>
        <w:t> </w:t>
      </w:r>
      <w:r w:rsidR="00B42F7E" w:rsidRPr="00CF5638">
        <w:rPr>
          <w:rFonts w:ascii="Arial" w:hAnsi="Arial" w:cs="Arial"/>
          <w:sz w:val="22"/>
          <w:szCs w:val="22"/>
        </w:rPr>
        <w:t xml:space="preserve">recordkeepers.  Also during the clearance period the NRC expects </w:t>
      </w:r>
      <w:r w:rsidR="009F4F2F">
        <w:rPr>
          <w:rFonts w:ascii="Arial" w:hAnsi="Arial" w:cs="Arial"/>
          <w:sz w:val="22"/>
          <w:szCs w:val="22"/>
        </w:rPr>
        <w:t>up to 6</w:t>
      </w:r>
      <w:r w:rsidR="007A3E0E">
        <w:rPr>
          <w:rFonts w:ascii="Arial" w:hAnsi="Arial" w:cs="Arial"/>
          <w:sz w:val="22"/>
          <w:szCs w:val="22"/>
        </w:rPr>
        <w:t> </w:t>
      </w:r>
      <w:r w:rsidR="00B42F7E" w:rsidRPr="00CF5638">
        <w:rPr>
          <w:rFonts w:ascii="Arial" w:hAnsi="Arial" w:cs="Arial"/>
          <w:sz w:val="22"/>
          <w:szCs w:val="22"/>
        </w:rPr>
        <w:t xml:space="preserve">applications, therefore a potential to add another </w:t>
      </w:r>
      <w:r w:rsidR="009F4F2F">
        <w:rPr>
          <w:rFonts w:ascii="Arial" w:hAnsi="Arial" w:cs="Arial"/>
          <w:sz w:val="22"/>
          <w:szCs w:val="22"/>
        </w:rPr>
        <w:t>6</w:t>
      </w:r>
      <w:r w:rsidR="00B42F7E" w:rsidRPr="00CF5638">
        <w:rPr>
          <w:rFonts w:ascii="Arial" w:hAnsi="Arial" w:cs="Arial"/>
          <w:sz w:val="22"/>
          <w:szCs w:val="22"/>
        </w:rPr>
        <w:t xml:space="preserve"> recordkeepers.</w:t>
      </w:r>
      <w:r w:rsidR="00A06753">
        <w:rPr>
          <w:rFonts w:ascii="Arial" w:hAnsi="Arial" w:cs="Arial"/>
          <w:sz w:val="22"/>
          <w:szCs w:val="22"/>
        </w:rPr>
        <w:t xml:space="preserve">  </w:t>
      </w:r>
      <w:r w:rsidR="00A06753" w:rsidRPr="00A06753">
        <w:rPr>
          <w:rFonts w:ascii="Arial" w:hAnsi="Arial" w:cs="Arial"/>
          <w:sz w:val="22"/>
          <w:szCs w:val="22"/>
        </w:rPr>
        <w:t>The number of recordkeepers is assumed to increase by approximately 3 each year, until the final year.  In year 1, there will be an estimated 55 recordkeepers, in year 2 there will be an estimated 58 recordkeepers, and in year 3 there will be an estimated 62 recordkeepers</w:t>
      </w:r>
      <w:r w:rsidR="00D86965">
        <w:rPr>
          <w:rFonts w:ascii="Arial" w:hAnsi="Arial" w:cs="Arial"/>
          <w:sz w:val="22"/>
          <w:szCs w:val="22"/>
        </w:rPr>
        <w:t>, for an average of 58 recordkeepers</w:t>
      </w:r>
    </w:p>
    <w:p w14:paraId="4BCFBF4F" w14:textId="77777777" w:rsidR="004E6350" w:rsidRPr="0036228D"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7BEB1603" w14:textId="528B6A9E" w:rsidR="004E6350" w:rsidRDefault="004B5AD1"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Pr>
          <w:rFonts w:ascii="Arial" w:hAnsi="Arial" w:cs="Arial"/>
          <w:sz w:val="22"/>
          <w:szCs w:val="22"/>
        </w:rPr>
        <w:t xml:space="preserve">Based on </w:t>
      </w:r>
      <w:r w:rsidR="004E6350" w:rsidRPr="00CF5638">
        <w:rPr>
          <w:rFonts w:ascii="Arial" w:hAnsi="Arial" w:cs="Arial"/>
          <w:sz w:val="22"/>
          <w:szCs w:val="22"/>
        </w:rPr>
        <w:t>the outside consultations</w:t>
      </w:r>
      <w:r w:rsidR="00EA7BA3">
        <w:rPr>
          <w:rFonts w:ascii="Arial" w:hAnsi="Arial" w:cs="Arial"/>
          <w:sz w:val="22"/>
          <w:szCs w:val="22"/>
        </w:rPr>
        <w:t xml:space="preserve"> conducted during the 2015 renewal</w:t>
      </w:r>
      <w:r>
        <w:rPr>
          <w:rFonts w:ascii="Arial" w:hAnsi="Arial" w:cs="Arial"/>
          <w:sz w:val="22"/>
          <w:szCs w:val="22"/>
        </w:rPr>
        <w:t>, licensees</w:t>
      </w:r>
      <w:r w:rsidR="004E6350" w:rsidRPr="00CF5638">
        <w:rPr>
          <w:rFonts w:ascii="Arial" w:hAnsi="Arial" w:cs="Arial"/>
          <w:sz w:val="22"/>
          <w:szCs w:val="22"/>
        </w:rPr>
        <w:t xml:space="preserve"> generally agreed with NRC’s recordkeeping burden estimate of 1,000 hours per year which results in </w:t>
      </w:r>
      <w:r w:rsidR="0018286B" w:rsidRPr="00CF5638">
        <w:rPr>
          <w:rFonts w:ascii="Arial" w:hAnsi="Arial" w:cs="Arial"/>
          <w:sz w:val="22"/>
          <w:szCs w:val="22"/>
        </w:rPr>
        <w:t>5</w:t>
      </w:r>
      <w:r w:rsidR="00152DE1">
        <w:rPr>
          <w:rFonts w:ascii="Arial" w:hAnsi="Arial" w:cs="Arial"/>
          <w:sz w:val="22"/>
          <w:szCs w:val="22"/>
        </w:rPr>
        <w:t>8</w:t>
      </w:r>
      <w:r w:rsidR="004E6350" w:rsidRPr="00CF5638">
        <w:rPr>
          <w:rFonts w:ascii="Arial" w:hAnsi="Arial" w:cs="Arial"/>
          <w:sz w:val="22"/>
          <w:szCs w:val="22"/>
        </w:rPr>
        <w:t>,000 hours (</w:t>
      </w:r>
      <w:r w:rsidR="0018286B" w:rsidRPr="00CF5638">
        <w:rPr>
          <w:rFonts w:ascii="Arial" w:hAnsi="Arial" w:cs="Arial"/>
          <w:sz w:val="22"/>
          <w:szCs w:val="22"/>
        </w:rPr>
        <w:t>5</w:t>
      </w:r>
      <w:r w:rsidR="00152DE1">
        <w:rPr>
          <w:rFonts w:ascii="Arial" w:hAnsi="Arial" w:cs="Arial"/>
          <w:sz w:val="22"/>
          <w:szCs w:val="22"/>
        </w:rPr>
        <w:t>8</w:t>
      </w:r>
      <w:r w:rsidR="004E6350" w:rsidRPr="00CF5638">
        <w:rPr>
          <w:rFonts w:ascii="Arial" w:hAnsi="Arial" w:cs="Arial"/>
          <w:sz w:val="22"/>
          <w:szCs w:val="22"/>
        </w:rPr>
        <w:t xml:space="preserve"> recordkeepers/year x 1000 hours)</w:t>
      </w:r>
      <w:r w:rsidR="007A3E0E">
        <w:rPr>
          <w:rFonts w:ascii="Arial" w:hAnsi="Arial" w:cs="Arial"/>
          <w:sz w:val="22"/>
          <w:szCs w:val="22"/>
        </w:rPr>
        <w:t xml:space="preserve">.  </w:t>
      </w:r>
      <w:r w:rsidR="004E6350" w:rsidRPr="00D51029">
        <w:rPr>
          <w:rFonts w:ascii="Arial" w:hAnsi="Arial" w:cs="Arial"/>
          <w:sz w:val="22"/>
          <w:szCs w:val="22"/>
        </w:rPr>
        <w:t>A summary is in Table 2.</w:t>
      </w:r>
    </w:p>
    <w:p w14:paraId="04B8598B" w14:textId="77777777" w:rsidR="00EA7BA3" w:rsidRDefault="00EA7BA3"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2F4FE511" w14:textId="77777777" w:rsidR="00EA7BA3" w:rsidRDefault="00EA7BA3"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u w:val="single"/>
        </w:rPr>
      </w:pPr>
      <w:r w:rsidRPr="00EA7BA3">
        <w:rPr>
          <w:rFonts w:ascii="Arial" w:hAnsi="Arial" w:cs="Arial"/>
          <w:sz w:val="22"/>
          <w:szCs w:val="22"/>
          <w:u w:val="single"/>
        </w:rPr>
        <w:t>Total burden</w:t>
      </w:r>
    </w:p>
    <w:p w14:paraId="2713802A" w14:textId="77777777" w:rsidR="00637070" w:rsidRPr="00EA7BA3" w:rsidRDefault="0063707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u w:val="single"/>
        </w:rPr>
      </w:pPr>
    </w:p>
    <w:p w14:paraId="32288D92" w14:textId="77777777" w:rsidR="00EA7BA3" w:rsidRDefault="00EA7BA3"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Pr>
          <w:rFonts w:ascii="Arial" w:hAnsi="Arial" w:cs="Arial"/>
          <w:sz w:val="22"/>
          <w:szCs w:val="22"/>
        </w:rPr>
        <w:t xml:space="preserve">The total burden for the Part 54 information collections during the clearance period is </w:t>
      </w:r>
      <w:r w:rsidR="00637070">
        <w:rPr>
          <w:rFonts w:ascii="Arial" w:hAnsi="Arial" w:cs="Arial"/>
          <w:sz w:val="22"/>
          <w:szCs w:val="22"/>
        </w:rPr>
        <w:t>226,3</w:t>
      </w:r>
      <w:r w:rsidR="00D606D6">
        <w:rPr>
          <w:rFonts w:ascii="Arial" w:hAnsi="Arial" w:cs="Arial"/>
          <w:sz w:val="22"/>
          <w:szCs w:val="22"/>
        </w:rPr>
        <w:t>2</w:t>
      </w:r>
      <w:r w:rsidR="00637070">
        <w:rPr>
          <w:rFonts w:ascii="Arial" w:hAnsi="Arial" w:cs="Arial"/>
          <w:sz w:val="22"/>
          <w:szCs w:val="22"/>
        </w:rPr>
        <w:t>0</w:t>
      </w:r>
      <w:r>
        <w:rPr>
          <w:rFonts w:ascii="Arial" w:hAnsi="Arial" w:cs="Arial"/>
          <w:sz w:val="22"/>
          <w:szCs w:val="22"/>
        </w:rPr>
        <w:t xml:space="preserve"> hours (</w:t>
      </w:r>
      <w:r w:rsidR="00637070" w:rsidRPr="00D51029">
        <w:rPr>
          <w:rFonts w:ascii="Arial" w:hAnsi="Arial" w:cs="Arial"/>
          <w:sz w:val="22"/>
          <w:szCs w:val="22"/>
        </w:rPr>
        <w:t>168,3</w:t>
      </w:r>
      <w:r w:rsidR="001842FB">
        <w:rPr>
          <w:rFonts w:ascii="Arial" w:hAnsi="Arial" w:cs="Arial"/>
          <w:sz w:val="22"/>
          <w:szCs w:val="22"/>
        </w:rPr>
        <w:t>2</w:t>
      </w:r>
      <w:r w:rsidR="00637070" w:rsidRPr="00D51029">
        <w:rPr>
          <w:rFonts w:ascii="Arial" w:hAnsi="Arial" w:cs="Arial"/>
          <w:sz w:val="22"/>
          <w:szCs w:val="22"/>
        </w:rPr>
        <w:t xml:space="preserve">0 </w:t>
      </w:r>
      <w:r w:rsidR="00637070">
        <w:rPr>
          <w:rFonts w:ascii="Arial" w:hAnsi="Arial" w:cs="Arial"/>
          <w:sz w:val="22"/>
          <w:szCs w:val="22"/>
        </w:rPr>
        <w:t xml:space="preserve">reporting hours + </w:t>
      </w:r>
      <w:r>
        <w:rPr>
          <w:rFonts w:ascii="Arial" w:hAnsi="Arial" w:cs="Arial"/>
          <w:sz w:val="22"/>
          <w:szCs w:val="22"/>
        </w:rPr>
        <w:t>58,000 recordkeeping</w:t>
      </w:r>
      <w:r w:rsidR="00637070">
        <w:rPr>
          <w:rFonts w:ascii="Arial" w:hAnsi="Arial" w:cs="Arial"/>
          <w:sz w:val="22"/>
          <w:szCs w:val="22"/>
        </w:rPr>
        <w:t xml:space="preserve"> hours</w:t>
      </w:r>
      <w:r>
        <w:rPr>
          <w:rFonts w:ascii="Arial" w:hAnsi="Arial" w:cs="Arial"/>
          <w:sz w:val="22"/>
          <w:szCs w:val="22"/>
        </w:rPr>
        <w:t>)</w:t>
      </w:r>
      <w:r w:rsidR="00637070">
        <w:rPr>
          <w:rFonts w:ascii="Arial" w:hAnsi="Arial" w:cs="Arial"/>
          <w:sz w:val="22"/>
          <w:szCs w:val="22"/>
        </w:rPr>
        <w:t xml:space="preserve"> at a cost of $59.5M (226,3</w:t>
      </w:r>
      <w:r w:rsidR="00D606D6">
        <w:rPr>
          <w:rFonts w:ascii="Arial" w:hAnsi="Arial" w:cs="Arial"/>
          <w:sz w:val="22"/>
          <w:szCs w:val="22"/>
        </w:rPr>
        <w:t>2</w:t>
      </w:r>
      <w:r w:rsidR="00637070">
        <w:rPr>
          <w:rFonts w:ascii="Arial" w:hAnsi="Arial" w:cs="Arial"/>
          <w:sz w:val="22"/>
          <w:szCs w:val="22"/>
        </w:rPr>
        <w:t>0 hours x $263/hr)</w:t>
      </w:r>
      <w:r>
        <w:rPr>
          <w:rFonts w:ascii="Arial" w:hAnsi="Arial" w:cs="Arial"/>
          <w:sz w:val="22"/>
          <w:szCs w:val="22"/>
        </w:rPr>
        <w:t>.</w:t>
      </w:r>
    </w:p>
    <w:p w14:paraId="58CBEA5C" w14:textId="77777777" w:rsidR="00637070" w:rsidRDefault="0063707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21EAC0D6" w14:textId="16925B94" w:rsidR="00637070" w:rsidRPr="00A265E9" w:rsidRDefault="00637070" w:rsidP="0063707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440"/>
        <w:rPr>
          <w:rFonts w:ascii="Arial" w:hAnsi="Arial"/>
          <w:sz w:val="22"/>
        </w:rPr>
      </w:pPr>
      <w:r w:rsidRPr="00A265E9">
        <w:rPr>
          <w:rFonts w:ascii="Arial" w:hAnsi="Arial"/>
          <w:sz w:val="22"/>
        </w:rPr>
        <w:t xml:space="preserve">The $263 hourly rate used in the burden estimates is based on the Nuclear Regulatory Commission’s fee for hourly rates as noted in 10 CFR 170.20 “Average cost per professional staff-hour.”  For more information on the basis of this rate, see the Revision </w:t>
      </w:r>
      <w:r w:rsidR="000F513E">
        <w:rPr>
          <w:rFonts w:ascii="Arial" w:hAnsi="Arial"/>
          <w:sz w:val="22"/>
        </w:rPr>
        <w:t>o</w:t>
      </w:r>
      <w:r w:rsidRPr="00A265E9">
        <w:rPr>
          <w:rFonts w:ascii="Arial" w:hAnsi="Arial"/>
          <w:sz w:val="22"/>
        </w:rPr>
        <w:t xml:space="preserve">f Fee Schedules; Fee Recovery </w:t>
      </w:r>
      <w:r w:rsidR="00FE63BD">
        <w:rPr>
          <w:rFonts w:ascii="Arial" w:hAnsi="Arial"/>
          <w:sz w:val="22"/>
        </w:rPr>
        <w:t>f</w:t>
      </w:r>
      <w:r w:rsidRPr="00A265E9">
        <w:rPr>
          <w:rFonts w:ascii="Arial" w:hAnsi="Arial"/>
          <w:sz w:val="22"/>
        </w:rPr>
        <w:t>or Fiscal Year 2017 (82 FR 30682; June 30, 2017).</w:t>
      </w:r>
    </w:p>
    <w:p w14:paraId="5447FD3E"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8CB1886" w14:textId="77777777" w:rsidR="004E6350" w:rsidRPr="00D51029" w:rsidRDefault="004E6350" w:rsidP="004E6350">
      <w:pPr>
        <w:keepNext/>
        <w:ind w:left="720"/>
        <w:rPr>
          <w:rFonts w:ascii="Arial" w:hAnsi="Arial" w:cs="Arial"/>
          <w:sz w:val="22"/>
          <w:szCs w:val="22"/>
        </w:rPr>
      </w:pPr>
      <w:r w:rsidRPr="00D51029">
        <w:rPr>
          <w:rFonts w:ascii="Arial" w:hAnsi="Arial" w:cs="Arial"/>
          <w:sz w:val="22"/>
          <w:szCs w:val="22"/>
        </w:rPr>
        <w:t>13.</w:t>
      </w:r>
      <w:r w:rsidRPr="00D51029">
        <w:rPr>
          <w:rFonts w:ascii="Arial" w:hAnsi="Arial" w:cs="Arial"/>
          <w:sz w:val="22"/>
          <w:szCs w:val="22"/>
        </w:rPr>
        <w:tab/>
      </w:r>
      <w:r w:rsidRPr="00D51029">
        <w:rPr>
          <w:rFonts w:ascii="Arial" w:hAnsi="Arial" w:cs="Arial"/>
          <w:sz w:val="22"/>
          <w:szCs w:val="22"/>
          <w:u w:val="single"/>
        </w:rPr>
        <w:t>Estimate of Other Additional Costs</w:t>
      </w:r>
    </w:p>
    <w:p w14:paraId="5278C730"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E7E5599"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D51029">
        <w:rPr>
          <w:rFonts w:ascii="Arial" w:hAnsi="Arial" w:cs="Arial"/>
          <w:sz w:val="22"/>
          <w:szCs w:val="22"/>
        </w:rPr>
        <w:t>The quantity of records to be maintained is roughly proportional to the recordkeeping burden.  Based on the number of pages maintained for a typical clearance</w:t>
      </w:r>
      <w:r w:rsidR="002749BD">
        <w:rPr>
          <w:rFonts w:ascii="Arial" w:hAnsi="Arial" w:cs="Arial"/>
          <w:sz w:val="22"/>
          <w:szCs w:val="22"/>
        </w:rPr>
        <w:t xml:space="preserve"> period</w:t>
      </w:r>
      <w:r w:rsidRPr="00D51029">
        <w:rPr>
          <w:rFonts w:ascii="Arial" w:hAnsi="Arial" w:cs="Arial"/>
          <w:sz w:val="22"/>
          <w:szCs w:val="22"/>
        </w:rPr>
        <w:t>, the records storage cost has been determined to be equal to 0.0004 times the recordkeeping burden cost.  Therefore, the storage cost for this clearance is estimated to be $</w:t>
      </w:r>
      <w:r w:rsidR="007A3E0E">
        <w:rPr>
          <w:rFonts w:ascii="Arial" w:hAnsi="Arial" w:cs="Arial"/>
          <w:sz w:val="22"/>
          <w:szCs w:val="22"/>
        </w:rPr>
        <w:t>6,102</w:t>
      </w:r>
      <w:r w:rsidR="0018286B">
        <w:rPr>
          <w:rFonts w:ascii="Arial" w:hAnsi="Arial" w:cs="Arial"/>
          <w:sz w:val="22"/>
          <w:szCs w:val="22"/>
        </w:rPr>
        <w:t xml:space="preserve"> (5</w:t>
      </w:r>
      <w:r w:rsidR="007A3E0E">
        <w:rPr>
          <w:rFonts w:ascii="Arial" w:hAnsi="Arial" w:cs="Arial"/>
          <w:sz w:val="22"/>
          <w:szCs w:val="22"/>
        </w:rPr>
        <w:t>8</w:t>
      </w:r>
      <w:r w:rsidRPr="00D51029">
        <w:rPr>
          <w:rFonts w:ascii="Arial" w:hAnsi="Arial" w:cs="Arial"/>
          <w:sz w:val="22"/>
          <w:szCs w:val="22"/>
        </w:rPr>
        <w:t>,000 hours x $</w:t>
      </w:r>
      <w:r w:rsidR="0018286B">
        <w:rPr>
          <w:rFonts w:ascii="Arial" w:hAnsi="Arial" w:cs="Arial"/>
          <w:sz w:val="22"/>
          <w:szCs w:val="22"/>
        </w:rPr>
        <w:t>263</w:t>
      </w:r>
      <w:r w:rsidRPr="00D51029">
        <w:rPr>
          <w:rFonts w:ascii="Arial" w:hAnsi="Arial" w:cs="Arial"/>
          <w:sz w:val="22"/>
          <w:szCs w:val="22"/>
        </w:rPr>
        <w:t>/hour x 0.0004).</w:t>
      </w:r>
    </w:p>
    <w:p w14:paraId="4FA6D4A1"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14:paraId="4E37FCAE"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sz w:val="22"/>
          <w:szCs w:val="22"/>
        </w:rPr>
      </w:pPr>
      <w:r w:rsidRPr="00D51029">
        <w:rPr>
          <w:rFonts w:ascii="Arial" w:hAnsi="Arial" w:cs="Arial"/>
          <w:sz w:val="22"/>
          <w:szCs w:val="22"/>
        </w:rPr>
        <w:tab/>
        <w:t>14.</w:t>
      </w:r>
      <w:r w:rsidRPr="00D51029">
        <w:rPr>
          <w:rFonts w:ascii="Arial" w:hAnsi="Arial" w:cs="Arial"/>
          <w:sz w:val="22"/>
          <w:szCs w:val="22"/>
        </w:rPr>
        <w:tab/>
      </w:r>
      <w:r w:rsidRPr="00D51029">
        <w:rPr>
          <w:rFonts w:ascii="Arial" w:hAnsi="Arial" w:cs="Arial"/>
          <w:sz w:val="22"/>
          <w:szCs w:val="22"/>
          <w:u w:val="single"/>
        </w:rPr>
        <w:t>Estimated Annualized Cost to the Federal Government</w:t>
      </w:r>
    </w:p>
    <w:p w14:paraId="54E57108"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12E273D" w14:textId="7918AA6B" w:rsidR="004E6350" w:rsidRDefault="00690DF6"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A265E9">
        <w:rPr>
          <w:rFonts w:ascii="Arial" w:hAnsi="Arial"/>
          <w:sz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Pr>
          <w:rFonts w:ascii="Arial" w:hAnsi="Arial"/>
          <w:sz w:val="22"/>
        </w:rPr>
        <w:t xml:space="preserve">  </w:t>
      </w:r>
      <w:r w:rsidR="004E6350" w:rsidRPr="00D51029">
        <w:rPr>
          <w:rFonts w:ascii="Arial" w:hAnsi="Arial" w:cs="Arial"/>
          <w:sz w:val="22"/>
          <w:szCs w:val="22"/>
        </w:rPr>
        <w:t xml:space="preserve">The estimated annualized cost to the NRC for 10 CFR Part 54 information collections covers the review of information in each submitted license renewal application.  Based on NRC’s budget, each application review will cost the Federal government a total of approximately 17,613 hours.  The NRC rate </w:t>
      </w:r>
      <w:r w:rsidR="005160FC">
        <w:rPr>
          <w:rFonts w:ascii="Arial" w:hAnsi="Arial" w:cs="Arial"/>
          <w:sz w:val="22"/>
          <w:szCs w:val="22"/>
        </w:rPr>
        <w:t>is</w:t>
      </w:r>
      <w:r w:rsidR="004E6350" w:rsidRPr="00D51029">
        <w:rPr>
          <w:rFonts w:ascii="Arial" w:hAnsi="Arial" w:cs="Arial"/>
          <w:sz w:val="22"/>
          <w:szCs w:val="22"/>
        </w:rPr>
        <w:t xml:space="preserve"> $</w:t>
      </w:r>
      <w:r w:rsidR="0018286B">
        <w:rPr>
          <w:rFonts w:ascii="Arial" w:hAnsi="Arial" w:cs="Arial"/>
          <w:sz w:val="22"/>
          <w:szCs w:val="22"/>
        </w:rPr>
        <w:t>263</w:t>
      </w:r>
      <w:r w:rsidR="004E6350" w:rsidRPr="00D51029">
        <w:rPr>
          <w:rFonts w:ascii="Arial" w:hAnsi="Arial" w:cs="Arial"/>
          <w:sz w:val="22"/>
          <w:szCs w:val="22"/>
        </w:rPr>
        <w:t>/hour.  Therefore, the resulting cost</w:t>
      </w:r>
      <w:r>
        <w:rPr>
          <w:rFonts w:ascii="Arial" w:hAnsi="Arial" w:cs="Arial"/>
          <w:sz w:val="22"/>
          <w:szCs w:val="22"/>
        </w:rPr>
        <w:t xml:space="preserve"> per application</w:t>
      </w:r>
      <w:r w:rsidR="004E6350" w:rsidRPr="00D51029">
        <w:rPr>
          <w:rFonts w:ascii="Arial" w:hAnsi="Arial" w:cs="Arial"/>
          <w:sz w:val="22"/>
          <w:szCs w:val="22"/>
        </w:rPr>
        <w:t xml:space="preserve"> is</w:t>
      </w:r>
      <w:r w:rsidR="005160FC">
        <w:rPr>
          <w:rFonts w:ascii="Arial" w:hAnsi="Arial" w:cs="Arial"/>
          <w:sz w:val="22"/>
          <w:szCs w:val="22"/>
        </w:rPr>
        <w:t xml:space="preserve"> </w:t>
      </w:r>
      <w:r>
        <w:rPr>
          <w:rFonts w:ascii="Arial" w:hAnsi="Arial" w:cs="Arial"/>
          <w:sz w:val="22"/>
          <w:szCs w:val="22"/>
        </w:rPr>
        <w:t xml:space="preserve">estimated to be </w:t>
      </w:r>
      <w:r w:rsidR="005160FC">
        <w:rPr>
          <w:rFonts w:ascii="Arial" w:hAnsi="Arial" w:cs="Arial"/>
          <w:sz w:val="22"/>
          <w:szCs w:val="22"/>
        </w:rPr>
        <w:t>$4</w:t>
      </w:r>
      <w:r>
        <w:rPr>
          <w:rFonts w:ascii="Arial" w:hAnsi="Arial" w:cs="Arial"/>
          <w:sz w:val="22"/>
          <w:szCs w:val="22"/>
        </w:rPr>
        <w:t>.6M</w:t>
      </w:r>
    </w:p>
    <w:p w14:paraId="62A3EEC7" w14:textId="77777777" w:rsidR="00F73DB8" w:rsidRPr="00D51029" w:rsidRDefault="00F73DB8"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19AB349D" w14:textId="77777777" w:rsidR="00F708C2" w:rsidRDefault="00F708C2" w:rsidP="006531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Pr>
          <w:rFonts w:ascii="Arial" w:hAnsi="Arial" w:cs="Arial"/>
          <w:sz w:val="22"/>
          <w:szCs w:val="22"/>
        </w:rPr>
        <w:br w:type="page"/>
      </w:r>
    </w:p>
    <w:p w14:paraId="460C3B29" w14:textId="40421DD9" w:rsidR="004E6350" w:rsidRPr="00D51029" w:rsidRDefault="004E6350" w:rsidP="006531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D51029">
        <w:rPr>
          <w:rFonts w:ascii="Arial" w:hAnsi="Arial" w:cs="Arial"/>
          <w:sz w:val="22"/>
          <w:szCs w:val="22"/>
        </w:rPr>
        <w:t xml:space="preserve">As described in Item 12 above, NRC expects to begin review of </w:t>
      </w:r>
      <w:r w:rsidR="00BD7949" w:rsidRPr="00D51029">
        <w:rPr>
          <w:rFonts w:ascii="Arial" w:hAnsi="Arial" w:cs="Arial"/>
          <w:sz w:val="22"/>
          <w:szCs w:val="22"/>
        </w:rPr>
        <w:t>t</w:t>
      </w:r>
      <w:r w:rsidR="00BD7949">
        <w:rPr>
          <w:rFonts w:ascii="Arial" w:hAnsi="Arial" w:cs="Arial"/>
          <w:sz w:val="22"/>
          <w:szCs w:val="22"/>
        </w:rPr>
        <w:t>wo</w:t>
      </w:r>
      <w:r w:rsidR="00BD7949" w:rsidRPr="00D51029">
        <w:rPr>
          <w:rFonts w:ascii="Arial" w:hAnsi="Arial" w:cs="Arial"/>
          <w:sz w:val="22"/>
          <w:szCs w:val="22"/>
        </w:rPr>
        <w:t xml:space="preserve"> </w:t>
      </w:r>
      <w:r w:rsidRPr="00D51029">
        <w:rPr>
          <w:rFonts w:ascii="Arial" w:hAnsi="Arial" w:cs="Arial"/>
          <w:sz w:val="22"/>
          <w:szCs w:val="22"/>
        </w:rPr>
        <w:t>license renewal applications per year during the clearance period.  Therefore, the resultant estimated annualized cost to the Federal government is $</w:t>
      </w:r>
      <w:r w:rsidR="004B29C8">
        <w:rPr>
          <w:rFonts w:ascii="Arial" w:hAnsi="Arial" w:cs="Arial"/>
          <w:sz w:val="22"/>
          <w:szCs w:val="22"/>
        </w:rPr>
        <w:t>9</w:t>
      </w:r>
      <w:r w:rsidR="00690DF6">
        <w:rPr>
          <w:rFonts w:ascii="Arial" w:hAnsi="Arial" w:cs="Arial"/>
          <w:sz w:val="22"/>
          <w:szCs w:val="22"/>
        </w:rPr>
        <w:t>.2M</w:t>
      </w:r>
      <w:r w:rsidRPr="00D51029">
        <w:rPr>
          <w:rFonts w:ascii="Arial" w:hAnsi="Arial" w:cs="Arial"/>
          <w:sz w:val="22"/>
          <w:szCs w:val="22"/>
        </w:rPr>
        <w:t xml:space="preserve"> per year (</w:t>
      </w:r>
      <w:r w:rsidR="00D424B1">
        <w:rPr>
          <w:rFonts w:ascii="Arial" w:hAnsi="Arial" w:cs="Arial"/>
          <w:sz w:val="22"/>
          <w:szCs w:val="22"/>
        </w:rPr>
        <w:t>$</w:t>
      </w:r>
      <w:r w:rsidR="007F33CB">
        <w:rPr>
          <w:rFonts w:ascii="Arial" w:hAnsi="Arial" w:cs="Arial"/>
          <w:sz w:val="22"/>
          <w:szCs w:val="22"/>
        </w:rPr>
        <w:t>4</w:t>
      </w:r>
      <w:r w:rsidR="00690DF6">
        <w:rPr>
          <w:rFonts w:ascii="Arial" w:hAnsi="Arial" w:cs="Arial"/>
          <w:sz w:val="22"/>
          <w:szCs w:val="22"/>
        </w:rPr>
        <w:t>.6</w:t>
      </w:r>
      <w:r w:rsidR="00F76E34">
        <w:rPr>
          <w:rFonts w:ascii="Arial" w:hAnsi="Arial" w:cs="Arial"/>
          <w:sz w:val="22"/>
          <w:szCs w:val="22"/>
        </w:rPr>
        <w:t>M</w:t>
      </w:r>
      <w:r w:rsidR="00690DF6" w:rsidDel="00690DF6">
        <w:rPr>
          <w:rFonts w:ascii="Arial" w:hAnsi="Arial" w:cs="Arial"/>
          <w:sz w:val="22"/>
          <w:szCs w:val="22"/>
        </w:rPr>
        <w:t xml:space="preserve"> </w:t>
      </w:r>
      <w:r w:rsidRPr="00D51029">
        <w:rPr>
          <w:rFonts w:ascii="Arial" w:hAnsi="Arial" w:cs="Arial"/>
          <w:sz w:val="22"/>
          <w:szCs w:val="22"/>
        </w:rPr>
        <w:t xml:space="preserve">/application x </w:t>
      </w:r>
      <w:r w:rsidR="00EE2352">
        <w:rPr>
          <w:rFonts w:ascii="Arial" w:hAnsi="Arial" w:cs="Arial"/>
          <w:sz w:val="22"/>
          <w:szCs w:val="22"/>
        </w:rPr>
        <w:t>2</w:t>
      </w:r>
      <w:r w:rsidRPr="00D51029">
        <w:rPr>
          <w:rFonts w:ascii="Arial" w:hAnsi="Arial" w:cs="Arial"/>
          <w:sz w:val="22"/>
          <w:szCs w:val="22"/>
        </w:rPr>
        <w:t xml:space="preserve"> applications/year).  </w:t>
      </w:r>
    </w:p>
    <w:p w14:paraId="5E46644B" w14:textId="77777777" w:rsidR="00653170" w:rsidRDefault="00653170" w:rsidP="004E6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p>
    <w:p w14:paraId="4D826743" w14:textId="77777777" w:rsidR="004E6350" w:rsidRPr="00D51029" w:rsidRDefault="004E6350" w:rsidP="004E6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D51029">
        <w:rPr>
          <w:rFonts w:ascii="Arial" w:hAnsi="Arial" w:cs="Arial"/>
          <w:sz w:val="22"/>
          <w:szCs w:val="22"/>
        </w:rPr>
        <w:t>15.</w:t>
      </w:r>
      <w:r w:rsidRPr="00D51029">
        <w:rPr>
          <w:rFonts w:ascii="Arial" w:hAnsi="Arial" w:cs="Arial"/>
          <w:sz w:val="22"/>
          <w:szCs w:val="22"/>
        </w:rPr>
        <w:tab/>
      </w:r>
      <w:r w:rsidRPr="00D51029">
        <w:rPr>
          <w:rFonts w:ascii="Arial" w:hAnsi="Arial" w:cs="Arial"/>
          <w:sz w:val="22"/>
          <w:szCs w:val="22"/>
          <w:u w:val="single"/>
        </w:rPr>
        <w:t>Reasons for Changes in Burden or Cost</w:t>
      </w:r>
    </w:p>
    <w:p w14:paraId="55ACC6B9" w14:textId="61D981DF" w:rsidR="004E6350"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605088B0" w14:textId="09D622FC" w:rsidR="00690DF0" w:rsidRPr="00D51029" w:rsidRDefault="00690DF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Pr>
          <w:rFonts w:ascii="Arial" w:hAnsi="Arial" w:cs="Arial"/>
          <w:sz w:val="22"/>
          <w:szCs w:val="22"/>
        </w:rPr>
        <w:t>The overall burden for the Part 54 information collections increased from 220,340 hours to 226,320 hours, an increase of 5,980 hours.  The change in burden is due to a reduction in the number of letters of completion and an increase in the number of recordkeepers, as additional renewed licenses are approved.</w:t>
      </w:r>
    </w:p>
    <w:p w14:paraId="0C98ADD8" w14:textId="77777777" w:rsidR="00F86CA7" w:rsidRDefault="00F86CA7" w:rsidP="004E6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u w:val="single"/>
        </w:rPr>
      </w:pPr>
    </w:p>
    <w:p w14:paraId="5851EC24" w14:textId="77777777" w:rsidR="004E6350" w:rsidRPr="00D51029" w:rsidRDefault="004E6350" w:rsidP="004E6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u w:val="single"/>
        </w:rPr>
      </w:pPr>
      <w:r w:rsidRPr="00D51029">
        <w:rPr>
          <w:rFonts w:ascii="Arial" w:hAnsi="Arial" w:cs="Arial"/>
          <w:sz w:val="22"/>
          <w:szCs w:val="22"/>
          <w:u w:val="single"/>
        </w:rPr>
        <w:t>Reporting Burden</w:t>
      </w:r>
    </w:p>
    <w:p w14:paraId="59DD1584" w14:textId="77777777" w:rsidR="004E6350" w:rsidRPr="00D51029" w:rsidRDefault="004E6350" w:rsidP="004E6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729C5D8B" w14:textId="42CF7F2F" w:rsidR="004E6350" w:rsidRDefault="000D1853"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0D1853">
        <w:rPr>
          <w:rFonts w:ascii="Arial" w:hAnsi="Arial" w:cs="Arial"/>
          <w:sz w:val="22"/>
          <w:szCs w:val="22"/>
        </w:rPr>
        <w:t>The reporting burden has decreased by 20 hours, from 168,340 to 168,320 because the number of anticipated completion letters has decreased from 4 letters annually to 2 letters annually during the clearance period.  The reporting burden for license renewal applications remains the same since the effort required per application per year is unchanged at 84,150 hours reporting (81,150 hours for the application and 1,500 hours each for two amendments) and the number of expected new applications is unchanged.  Note that the number of responses associated with the license renewal applications has increased by 4, due to change in how application amendments are counted.  Applic</w:t>
      </w:r>
      <w:r>
        <w:rPr>
          <w:rFonts w:ascii="Arial" w:hAnsi="Arial" w:cs="Arial"/>
          <w:sz w:val="22"/>
          <w:szCs w:val="22"/>
        </w:rPr>
        <w:t xml:space="preserve">ation amendments are now being </w:t>
      </w:r>
      <w:r w:rsidRPr="000D1853">
        <w:rPr>
          <w:rFonts w:ascii="Arial" w:hAnsi="Arial" w:cs="Arial"/>
          <w:sz w:val="22"/>
          <w:szCs w:val="22"/>
        </w:rPr>
        <w:t>counted as separate responses in this submission (one application = 3 responses [the initial application + 2 amendments]).  Previously, application amendments were considered</w:t>
      </w:r>
      <w:r>
        <w:rPr>
          <w:rFonts w:ascii="Arial" w:hAnsi="Arial" w:cs="Arial"/>
          <w:sz w:val="22"/>
          <w:szCs w:val="22"/>
        </w:rPr>
        <w:t xml:space="preserve"> </w:t>
      </w:r>
      <w:r w:rsidRPr="000D1853">
        <w:rPr>
          <w:rFonts w:ascii="Arial" w:hAnsi="Arial" w:cs="Arial"/>
          <w:sz w:val="22"/>
          <w:szCs w:val="22"/>
        </w:rPr>
        <w:t xml:space="preserve">part of the application and </w:t>
      </w:r>
      <w:r>
        <w:rPr>
          <w:rFonts w:ascii="Arial" w:hAnsi="Arial" w:cs="Arial"/>
          <w:sz w:val="22"/>
          <w:szCs w:val="22"/>
        </w:rPr>
        <w:t xml:space="preserve">were </w:t>
      </w:r>
      <w:r w:rsidRPr="000D1853">
        <w:rPr>
          <w:rFonts w:ascii="Arial" w:hAnsi="Arial" w:cs="Arial"/>
          <w:sz w:val="22"/>
          <w:szCs w:val="22"/>
        </w:rPr>
        <w:t>not considered to be separate responses</w:t>
      </w:r>
      <w:r>
        <w:rPr>
          <w:rFonts w:ascii="Arial" w:hAnsi="Arial" w:cs="Arial"/>
          <w:sz w:val="22"/>
          <w:szCs w:val="22"/>
        </w:rPr>
        <w:t>,</w:t>
      </w:r>
      <w:r w:rsidRPr="000D1853">
        <w:rPr>
          <w:rFonts w:ascii="Arial" w:hAnsi="Arial" w:cs="Arial"/>
          <w:sz w:val="22"/>
          <w:szCs w:val="22"/>
        </w:rPr>
        <w:t xml:space="preserve"> despite being submitted after the initial application.</w:t>
      </w:r>
    </w:p>
    <w:p w14:paraId="26098213" w14:textId="77777777" w:rsidR="000D1853" w:rsidRPr="00D51029" w:rsidRDefault="000D1853"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u w:val="single"/>
        </w:rPr>
      </w:pPr>
    </w:p>
    <w:p w14:paraId="73BD9C59"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u w:val="single"/>
        </w:rPr>
      </w:pPr>
      <w:r w:rsidRPr="00D51029">
        <w:rPr>
          <w:rFonts w:ascii="Arial" w:hAnsi="Arial" w:cs="Arial"/>
          <w:sz w:val="22"/>
          <w:szCs w:val="22"/>
          <w:u w:val="single"/>
        </w:rPr>
        <w:t>Recordkeeping Burden</w:t>
      </w:r>
    </w:p>
    <w:p w14:paraId="4C23F01A"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3AB8A849" w14:textId="4442E783" w:rsidR="004E6350" w:rsidRDefault="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D51029">
        <w:rPr>
          <w:rFonts w:ascii="Arial" w:hAnsi="Arial" w:cs="Arial"/>
          <w:sz w:val="22"/>
          <w:szCs w:val="22"/>
        </w:rPr>
        <w:t xml:space="preserve">Although the recordkeeping burden (1,000 hours per application) estimate did not change in this submission, the number of recordkeepers </w:t>
      </w:r>
      <w:r w:rsidR="000476C6">
        <w:rPr>
          <w:rFonts w:ascii="Arial" w:hAnsi="Arial" w:cs="Arial"/>
          <w:sz w:val="22"/>
          <w:szCs w:val="22"/>
        </w:rPr>
        <w:t>in</w:t>
      </w:r>
      <w:r w:rsidR="000476C6" w:rsidRPr="00D51029">
        <w:rPr>
          <w:rFonts w:ascii="Arial" w:hAnsi="Arial" w:cs="Arial"/>
          <w:sz w:val="22"/>
          <w:szCs w:val="22"/>
        </w:rPr>
        <w:t xml:space="preserve">creased </w:t>
      </w:r>
      <w:r w:rsidRPr="00D51029">
        <w:rPr>
          <w:rFonts w:ascii="Arial" w:hAnsi="Arial" w:cs="Arial"/>
          <w:sz w:val="22"/>
          <w:szCs w:val="22"/>
        </w:rPr>
        <w:t xml:space="preserve">from </w:t>
      </w:r>
      <w:r w:rsidR="000476C6">
        <w:rPr>
          <w:rFonts w:ascii="Arial" w:hAnsi="Arial" w:cs="Arial"/>
          <w:sz w:val="22"/>
          <w:szCs w:val="22"/>
        </w:rPr>
        <w:t xml:space="preserve">the estimated </w:t>
      </w:r>
      <w:r w:rsidRPr="00D51029">
        <w:rPr>
          <w:rFonts w:ascii="Arial" w:hAnsi="Arial" w:cs="Arial"/>
          <w:sz w:val="22"/>
          <w:szCs w:val="22"/>
        </w:rPr>
        <w:t>5</w:t>
      </w:r>
      <w:r w:rsidR="000476C6">
        <w:rPr>
          <w:rFonts w:ascii="Arial" w:hAnsi="Arial" w:cs="Arial"/>
          <w:sz w:val="22"/>
          <w:szCs w:val="22"/>
        </w:rPr>
        <w:t>2</w:t>
      </w:r>
      <w:r w:rsidRPr="00D51029">
        <w:rPr>
          <w:rFonts w:ascii="Arial" w:hAnsi="Arial" w:cs="Arial"/>
          <w:sz w:val="22"/>
          <w:szCs w:val="22"/>
        </w:rPr>
        <w:t xml:space="preserve"> recordkeepers to </w:t>
      </w:r>
      <w:r w:rsidR="008D5D01">
        <w:rPr>
          <w:rFonts w:ascii="Arial" w:hAnsi="Arial" w:cs="Arial"/>
          <w:sz w:val="22"/>
          <w:szCs w:val="22"/>
        </w:rPr>
        <w:t xml:space="preserve">an average of </w:t>
      </w:r>
      <w:r w:rsidRPr="00D51029">
        <w:rPr>
          <w:rFonts w:ascii="Arial" w:hAnsi="Arial" w:cs="Arial"/>
          <w:sz w:val="22"/>
          <w:szCs w:val="22"/>
        </w:rPr>
        <w:t>5</w:t>
      </w:r>
      <w:r w:rsidR="00152DE1">
        <w:rPr>
          <w:rFonts w:ascii="Arial" w:hAnsi="Arial" w:cs="Arial"/>
          <w:sz w:val="22"/>
          <w:szCs w:val="22"/>
        </w:rPr>
        <w:t>8</w:t>
      </w:r>
      <w:r w:rsidRPr="00D51029">
        <w:rPr>
          <w:rFonts w:ascii="Arial" w:hAnsi="Arial" w:cs="Arial"/>
          <w:sz w:val="22"/>
          <w:szCs w:val="22"/>
        </w:rPr>
        <w:t xml:space="preserve"> recordkeepers</w:t>
      </w:r>
      <w:r w:rsidR="00690DF0">
        <w:rPr>
          <w:rFonts w:ascii="Arial" w:hAnsi="Arial" w:cs="Arial"/>
          <w:sz w:val="22"/>
          <w:szCs w:val="22"/>
        </w:rPr>
        <w:t>, resulting in an increase of 6,000 hours of burden annually (from 52,000 hours to 58,000 hours).</w:t>
      </w:r>
      <w:r w:rsidR="000F513E">
        <w:rPr>
          <w:rFonts w:ascii="Arial" w:hAnsi="Arial" w:cs="Arial"/>
          <w:sz w:val="22"/>
          <w:szCs w:val="22"/>
        </w:rPr>
        <w:t xml:space="preserve"> </w:t>
      </w:r>
      <w:r w:rsidRPr="00D51029">
        <w:rPr>
          <w:rFonts w:ascii="Arial" w:hAnsi="Arial" w:cs="Arial"/>
          <w:sz w:val="22"/>
          <w:szCs w:val="22"/>
        </w:rPr>
        <w:t xml:space="preserve">This </w:t>
      </w:r>
      <w:r w:rsidR="000476C6">
        <w:rPr>
          <w:rFonts w:ascii="Arial" w:hAnsi="Arial" w:cs="Arial"/>
          <w:sz w:val="22"/>
          <w:szCs w:val="22"/>
        </w:rPr>
        <w:t>in</w:t>
      </w:r>
      <w:r w:rsidR="000476C6" w:rsidRPr="00D51029">
        <w:rPr>
          <w:rFonts w:ascii="Arial" w:hAnsi="Arial" w:cs="Arial"/>
          <w:sz w:val="22"/>
          <w:szCs w:val="22"/>
        </w:rPr>
        <w:t xml:space="preserve">crease </w:t>
      </w:r>
      <w:r w:rsidRPr="00D51029">
        <w:rPr>
          <w:rFonts w:ascii="Arial" w:hAnsi="Arial" w:cs="Arial"/>
          <w:sz w:val="22"/>
          <w:szCs w:val="22"/>
        </w:rPr>
        <w:t xml:space="preserve">is due to the </w:t>
      </w:r>
      <w:r w:rsidR="000476C6">
        <w:rPr>
          <w:rFonts w:ascii="Arial" w:hAnsi="Arial" w:cs="Arial"/>
          <w:sz w:val="22"/>
          <w:szCs w:val="22"/>
        </w:rPr>
        <w:t>completion of</w:t>
      </w:r>
      <w:r w:rsidR="00690DF0">
        <w:rPr>
          <w:rFonts w:ascii="Arial" w:hAnsi="Arial" w:cs="Arial"/>
          <w:sz w:val="22"/>
          <w:szCs w:val="22"/>
        </w:rPr>
        <w:t xml:space="preserve"> application</w:t>
      </w:r>
      <w:r w:rsidR="000476C6">
        <w:rPr>
          <w:rFonts w:ascii="Arial" w:hAnsi="Arial" w:cs="Arial"/>
          <w:sz w:val="22"/>
          <w:szCs w:val="22"/>
        </w:rPr>
        <w:t xml:space="preserve"> reviews</w:t>
      </w:r>
      <w:r w:rsidR="00690DF0">
        <w:rPr>
          <w:rFonts w:ascii="Arial" w:hAnsi="Arial" w:cs="Arial"/>
          <w:sz w:val="22"/>
          <w:szCs w:val="22"/>
        </w:rPr>
        <w:t xml:space="preserve"> and the subsequent addition of recordkeepers upon issuance of renewed licenses.</w:t>
      </w:r>
      <w:r w:rsidRPr="00D51029">
        <w:rPr>
          <w:rFonts w:ascii="Arial" w:hAnsi="Arial" w:cs="Arial"/>
          <w:sz w:val="22"/>
          <w:szCs w:val="22"/>
        </w:rPr>
        <w:t xml:space="preserve"> </w:t>
      </w:r>
    </w:p>
    <w:p w14:paraId="591CDAF9" w14:textId="77777777" w:rsidR="00690DF6" w:rsidRDefault="00690DF6" w:rsidP="003622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43097639" w14:textId="29B340A5" w:rsidR="00690DF6" w:rsidRPr="00D51029" w:rsidRDefault="00840D6B" w:rsidP="003622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Pr>
          <w:rFonts w:ascii="Arial" w:hAnsi="Arial" w:cs="Arial"/>
          <w:sz w:val="22"/>
          <w:szCs w:val="22"/>
        </w:rPr>
        <w:t xml:space="preserve">Finally, </w:t>
      </w:r>
      <w:r w:rsidR="00690DF6">
        <w:rPr>
          <w:rFonts w:ascii="Arial" w:hAnsi="Arial" w:cs="Arial"/>
          <w:sz w:val="22"/>
          <w:szCs w:val="22"/>
        </w:rPr>
        <w:t>the fee rate has decreased from $272/hr to $263/hr.</w:t>
      </w:r>
      <w:r w:rsidR="00690DF6" w:rsidRPr="00D51029">
        <w:rPr>
          <w:rFonts w:ascii="Arial" w:hAnsi="Arial" w:cs="Arial"/>
          <w:sz w:val="22"/>
          <w:szCs w:val="22"/>
        </w:rPr>
        <w:t xml:space="preserve"> </w:t>
      </w:r>
      <w:r w:rsidR="00690DF6">
        <w:rPr>
          <w:rFonts w:ascii="Arial" w:hAnsi="Arial" w:cs="Arial"/>
          <w:sz w:val="22"/>
          <w:szCs w:val="22"/>
        </w:rPr>
        <w:t xml:space="preserve"> </w:t>
      </w:r>
    </w:p>
    <w:p w14:paraId="5D093488"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5313EB7"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D51029">
        <w:rPr>
          <w:rFonts w:ascii="Arial" w:hAnsi="Arial" w:cs="Arial"/>
          <w:sz w:val="22"/>
          <w:szCs w:val="22"/>
        </w:rPr>
        <w:t>16.</w:t>
      </w:r>
      <w:r w:rsidRPr="00D51029">
        <w:rPr>
          <w:rFonts w:ascii="Arial" w:hAnsi="Arial" w:cs="Arial"/>
          <w:sz w:val="22"/>
          <w:szCs w:val="22"/>
        </w:rPr>
        <w:tab/>
      </w:r>
      <w:r w:rsidRPr="00D51029">
        <w:rPr>
          <w:rFonts w:ascii="Arial" w:hAnsi="Arial" w:cs="Arial"/>
          <w:sz w:val="22"/>
          <w:szCs w:val="22"/>
          <w:u w:val="single"/>
        </w:rPr>
        <w:t>Publication for Statistical Use</w:t>
      </w:r>
    </w:p>
    <w:p w14:paraId="0D3FCF3F"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3FE526A" w14:textId="77777777" w:rsidR="004E6350" w:rsidRDefault="004E6350" w:rsidP="004E6350">
      <w:pPr>
        <w:ind w:left="720" w:firstLine="720"/>
        <w:rPr>
          <w:rFonts w:ascii="Arial" w:hAnsi="Arial" w:cs="Arial"/>
          <w:sz w:val="22"/>
          <w:szCs w:val="22"/>
        </w:rPr>
      </w:pPr>
      <w:r w:rsidRPr="00D51029">
        <w:rPr>
          <w:rFonts w:ascii="Arial" w:hAnsi="Arial" w:cs="Arial"/>
          <w:sz w:val="22"/>
          <w:szCs w:val="22"/>
        </w:rPr>
        <w:t>This information will not be published for statistical use.</w:t>
      </w:r>
    </w:p>
    <w:p w14:paraId="2EACA4FE" w14:textId="77777777" w:rsidR="006004FA" w:rsidRDefault="006004FA" w:rsidP="004E6350">
      <w:pPr>
        <w:ind w:left="720" w:firstLine="720"/>
        <w:rPr>
          <w:rFonts w:ascii="Arial" w:hAnsi="Arial" w:cs="Arial"/>
          <w:sz w:val="22"/>
          <w:szCs w:val="22"/>
        </w:rPr>
      </w:pPr>
    </w:p>
    <w:p w14:paraId="3042811C"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D51029">
        <w:rPr>
          <w:rFonts w:ascii="Arial" w:hAnsi="Arial" w:cs="Arial"/>
          <w:sz w:val="22"/>
          <w:szCs w:val="22"/>
        </w:rPr>
        <w:t>17.</w:t>
      </w:r>
      <w:r w:rsidRPr="00D51029">
        <w:rPr>
          <w:rFonts w:ascii="Arial" w:hAnsi="Arial" w:cs="Arial"/>
          <w:sz w:val="22"/>
          <w:szCs w:val="22"/>
        </w:rPr>
        <w:tab/>
      </w:r>
      <w:r w:rsidRPr="00D51029">
        <w:rPr>
          <w:rFonts w:ascii="Arial" w:hAnsi="Arial" w:cs="Arial"/>
          <w:sz w:val="22"/>
          <w:szCs w:val="22"/>
          <w:u w:val="single"/>
        </w:rPr>
        <w:t>Reason for Not Displaying the Expiration Date</w:t>
      </w:r>
    </w:p>
    <w:p w14:paraId="025FEB0A"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4C88645" w14:textId="77777777" w:rsidR="00D76362" w:rsidRPr="00377C58" w:rsidRDefault="00D76362" w:rsidP="00CF563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377C58">
        <w:rPr>
          <w:rFonts w:ascii="Arial" w:hAnsi="Arial"/>
          <w:sz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14:paraId="0BD3E248"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A9CAD23" w14:textId="77777777" w:rsidR="004E6350" w:rsidRPr="00D51029" w:rsidRDefault="00DB0CDA" w:rsidP="004E6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ab/>
      </w:r>
      <w:r w:rsidR="004E6350" w:rsidRPr="00D51029">
        <w:rPr>
          <w:rFonts w:ascii="Arial" w:hAnsi="Arial" w:cs="Arial"/>
          <w:sz w:val="22"/>
          <w:szCs w:val="22"/>
        </w:rPr>
        <w:t>18.</w:t>
      </w:r>
      <w:r w:rsidR="004E6350" w:rsidRPr="00D51029">
        <w:rPr>
          <w:rFonts w:ascii="Arial" w:hAnsi="Arial" w:cs="Arial"/>
          <w:sz w:val="22"/>
          <w:szCs w:val="22"/>
        </w:rPr>
        <w:tab/>
      </w:r>
      <w:r w:rsidR="004E6350" w:rsidRPr="00D51029">
        <w:rPr>
          <w:rFonts w:ascii="Arial" w:hAnsi="Arial" w:cs="Arial"/>
          <w:sz w:val="22"/>
          <w:szCs w:val="22"/>
          <w:u w:val="single"/>
        </w:rPr>
        <w:t>Exceptions to the Certification Statement</w:t>
      </w:r>
    </w:p>
    <w:p w14:paraId="47AAEE68"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1FC4EA3" w14:textId="5623F8C1" w:rsidR="000F513E" w:rsidRDefault="004E6350" w:rsidP="00910B49">
      <w:pPr>
        <w:ind w:left="720" w:firstLine="720"/>
        <w:rPr>
          <w:rFonts w:ascii="Arial" w:hAnsi="Arial" w:cs="Arial"/>
          <w:sz w:val="22"/>
          <w:szCs w:val="22"/>
        </w:rPr>
      </w:pPr>
      <w:r w:rsidRPr="00D51029">
        <w:rPr>
          <w:rFonts w:ascii="Arial" w:hAnsi="Arial" w:cs="Arial"/>
          <w:sz w:val="22"/>
          <w:szCs w:val="22"/>
        </w:rPr>
        <w:t>There are no exceptions.</w:t>
      </w:r>
    </w:p>
    <w:p w14:paraId="3D0ADF27" w14:textId="77777777" w:rsidR="00F708C2" w:rsidRDefault="00F708C2" w:rsidP="00910B49">
      <w:pPr>
        <w:ind w:left="720" w:firstLine="720"/>
        <w:rPr>
          <w:rFonts w:ascii="Arial" w:hAnsi="Arial" w:cs="Arial"/>
          <w:sz w:val="22"/>
          <w:szCs w:val="22"/>
        </w:rPr>
      </w:pPr>
    </w:p>
    <w:p w14:paraId="6748F78B" w14:textId="77777777" w:rsidR="00F708C2" w:rsidRDefault="00F708C2"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br w:type="page"/>
      </w:r>
    </w:p>
    <w:p w14:paraId="1C705022" w14:textId="31A6CE66"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51029">
        <w:rPr>
          <w:rFonts w:ascii="Arial" w:hAnsi="Arial" w:cs="Arial"/>
          <w:sz w:val="22"/>
          <w:szCs w:val="22"/>
        </w:rPr>
        <w:t>B.  COLLECTION OF INFORMATION EMPLOYING STATISTICAL METHODS</w:t>
      </w:r>
    </w:p>
    <w:p w14:paraId="1BBEE379"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5295880" w14:textId="77777777" w:rsidR="004E6350" w:rsidRPr="00D51029" w:rsidRDefault="004E6350" w:rsidP="004E635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51029">
        <w:rPr>
          <w:rFonts w:ascii="Arial" w:hAnsi="Arial" w:cs="Arial"/>
          <w:sz w:val="22"/>
          <w:szCs w:val="22"/>
        </w:rPr>
        <w:tab/>
        <w:t>Statistical methods are not used in this collection of information.</w:t>
      </w:r>
    </w:p>
    <w:p w14:paraId="1E34DB2D" w14:textId="77777777" w:rsidR="004E6350" w:rsidRPr="00D51029" w:rsidRDefault="004E6350" w:rsidP="004E635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CC91B6C" w14:textId="77777777" w:rsidR="00690DF0" w:rsidRDefault="00690DF0">
      <w:pPr>
        <w:autoSpaceDE/>
        <w:autoSpaceDN/>
        <w:adjustRightInd/>
        <w:spacing w:after="160" w:line="259" w:lineRule="auto"/>
        <w:rPr>
          <w:rFonts w:ascii="Arial" w:hAnsi="Arial" w:cs="Arial"/>
          <w:sz w:val="22"/>
          <w:szCs w:val="22"/>
        </w:rPr>
      </w:pPr>
      <w:r>
        <w:rPr>
          <w:rFonts w:ascii="Arial" w:hAnsi="Arial" w:cs="Arial"/>
          <w:sz w:val="22"/>
          <w:szCs w:val="22"/>
        </w:rPr>
        <w:br w:type="page"/>
      </w:r>
    </w:p>
    <w:p w14:paraId="7A2DE269" w14:textId="77777777" w:rsidR="004E6350" w:rsidRPr="00D51029" w:rsidRDefault="004E6350" w:rsidP="004E6350">
      <w:pPr>
        <w:keepNext/>
        <w:tabs>
          <w:tab w:val="left" w:pos="2880"/>
        </w:tabs>
        <w:jc w:val="center"/>
        <w:rPr>
          <w:rFonts w:ascii="Arial" w:hAnsi="Arial" w:cs="Arial"/>
          <w:sz w:val="22"/>
          <w:szCs w:val="22"/>
        </w:rPr>
      </w:pPr>
      <w:r w:rsidRPr="00D51029">
        <w:rPr>
          <w:rFonts w:ascii="Arial" w:hAnsi="Arial" w:cs="Arial"/>
          <w:sz w:val="22"/>
          <w:szCs w:val="22"/>
        </w:rPr>
        <w:t>TABLE 1</w:t>
      </w:r>
    </w:p>
    <w:p w14:paraId="4D53D0CD" w14:textId="77777777" w:rsidR="004E6350" w:rsidRPr="00D51029" w:rsidRDefault="004E6350" w:rsidP="004E6350">
      <w:pPr>
        <w:keepNext/>
        <w:tabs>
          <w:tab w:val="left" w:pos="2880"/>
        </w:tabs>
        <w:jc w:val="center"/>
        <w:rPr>
          <w:rFonts w:ascii="Arial" w:hAnsi="Arial" w:cs="Arial"/>
          <w:sz w:val="22"/>
          <w:szCs w:val="22"/>
        </w:rPr>
      </w:pPr>
      <w:r w:rsidRPr="00D51029">
        <w:rPr>
          <w:rFonts w:ascii="Arial" w:hAnsi="Arial" w:cs="Arial"/>
          <w:sz w:val="22"/>
          <w:szCs w:val="22"/>
        </w:rPr>
        <w:t>ANNUAL REPORTING BURDEN</w:t>
      </w:r>
    </w:p>
    <w:p w14:paraId="237E2FA7" w14:textId="77777777" w:rsidR="004E6350" w:rsidRPr="00D51029" w:rsidRDefault="004E6350" w:rsidP="004E6350">
      <w:pPr>
        <w:keepNext/>
        <w:jc w:val="center"/>
        <w:rPr>
          <w:rFonts w:ascii="Arial" w:hAnsi="Arial" w:cs="Arial"/>
          <w:sz w:val="22"/>
          <w:szCs w:val="22"/>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3"/>
        <w:gridCol w:w="1513"/>
        <w:gridCol w:w="1403"/>
        <w:gridCol w:w="1317"/>
        <w:gridCol w:w="1207"/>
        <w:gridCol w:w="1134"/>
        <w:gridCol w:w="1590"/>
      </w:tblGrid>
      <w:tr w:rsidR="004E6350" w:rsidRPr="00D51029" w14:paraId="772530BD" w14:textId="77777777" w:rsidTr="00CF5638">
        <w:trPr>
          <w:cantSplit/>
          <w:trHeight w:val="1062"/>
        </w:trPr>
        <w:tc>
          <w:tcPr>
            <w:tcW w:w="1623" w:type="dxa"/>
            <w:vAlign w:val="center"/>
          </w:tcPr>
          <w:p w14:paraId="3AF6D1B7" w14:textId="77777777" w:rsidR="004E6350" w:rsidRPr="00D51029" w:rsidRDefault="004E6350" w:rsidP="000041F4">
            <w:pPr>
              <w:jc w:val="center"/>
              <w:rPr>
                <w:rFonts w:ascii="Arial" w:hAnsi="Arial" w:cs="Arial"/>
                <w:sz w:val="22"/>
                <w:szCs w:val="22"/>
              </w:rPr>
            </w:pPr>
            <w:r w:rsidRPr="00D51029">
              <w:rPr>
                <w:rFonts w:ascii="Arial" w:hAnsi="Arial" w:cs="Arial"/>
                <w:sz w:val="22"/>
                <w:szCs w:val="22"/>
              </w:rPr>
              <w:t>Section</w:t>
            </w:r>
          </w:p>
        </w:tc>
        <w:tc>
          <w:tcPr>
            <w:tcW w:w="1513" w:type="dxa"/>
            <w:vAlign w:val="center"/>
          </w:tcPr>
          <w:p w14:paraId="29D82E3A" w14:textId="77777777" w:rsidR="004E6350" w:rsidRPr="00D51029" w:rsidRDefault="004E6350" w:rsidP="000041F4">
            <w:pPr>
              <w:jc w:val="center"/>
              <w:rPr>
                <w:rFonts w:ascii="Arial" w:hAnsi="Arial" w:cs="Arial"/>
                <w:sz w:val="22"/>
                <w:szCs w:val="22"/>
              </w:rPr>
            </w:pPr>
            <w:r w:rsidRPr="00D51029">
              <w:rPr>
                <w:rFonts w:ascii="Arial" w:hAnsi="Arial" w:cs="Arial"/>
                <w:sz w:val="22"/>
                <w:szCs w:val="22"/>
              </w:rPr>
              <w:t>Number of Respondents</w:t>
            </w:r>
          </w:p>
        </w:tc>
        <w:tc>
          <w:tcPr>
            <w:tcW w:w="1403" w:type="dxa"/>
            <w:vAlign w:val="center"/>
          </w:tcPr>
          <w:p w14:paraId="65722B41" w14:textId="77777777" w:rsidR="004E6350" w:rsidRPr="00D51029" w:rsidRDefault="004E6350" w:rsidP="000041F4">
            <w:pPr>
              <w:jc w:val="center"/>
              <w:rPr>
                <w:rFonts w:ascii="Arial" w:hAnsi="Arial" w:cs="Arial"/>
                <w:sz w:val="22"/>
                <w:szCs w:val="22"/>
              </w:rPr>
            </w:pPr>
            <w:r w:rsidRPr="00D51029">
              <w:rPr>
                <w:rFonts w:ascii="Arial" w:hAnsi="Arial" w:cs="Arial"/>
                <w:sz w:val="22"/>
                <w:szCs w:val="22"/>
              </w:rPr>
              <w:t>Responses per Respondent</w:t>
            </w:r>
          </w:p>
        </w:tc>
        <w:tc>
          <w:tcPr>
            <w:tcW w:w="1317" w:type="dxa"/>
            <w:vAlign w:val="center"/>
          </w:tcPr>
          <w:p w14:paraId="67F241B0" w14:textId="77777777" w:rsidR="004E6350" w:rsidRPr="00D51029" w:rsidRDefault="004E6350" w:rsidP="000041F4">
            <w:pPr>
              <w:jc w:val="center"/>
              <w:rPr>
                <w:rFonts w:ascii="Arial" w:hAnsi="Arial" w:cs="Arial"/>
                <w:sz w:val="22"/>
                <w:szCs w:val="22"/>
              </w:rPr>
            </w:pPr>
            <w:r w:rsidRPr="00D51029">
              <w:rPr>
                <w:rFonts w:ascii="Arial" w:hAnsi="Arial" w:cs="Arial"/>
                <w:sz w:val="22"/>
                <w:szCs w:val="22"/>
              </w:rPr>
              <w:t>Total Responses</w:t>
            </w:r>
          </w:p>
        </w:tc>
        <w:tc>
          <w:tcPr>
            <w:tcW w:w="1207" w:type="dxa"/>
            <w:vAlign w:val="center"/>
          </w:tcPr>
          <w:p w14:paraId="53CEFE6A" w14:textId="77777777" w:rsidR="004E6350" w:rsidRPr="00D51029" w:rsidRDefault="004E6350" w:rsidP="000041F4">
            <w:pPr>
              <w:jc w:val="center"/>
              <w:rPr>
                <w:rFonts w:ascii="Arial" w:hAnsi="Arial" w:cs="Arial"/>
                <w:sz w:val="22"/>
                <w:szCs w:val="22"/>
              </w:rPr>
            </w:pPr>
            <w:r w:rsidRPr="00D51029">
              <w:rPr>
                <w:rFonts w:ascii="Arial" w:hAnsi="Arial" w:cs="Arial"/>
                <w:sz w:val="22"/>
                <w:szCs w:val="22"/>
              </w:rPr>
              <w:t>Burden per Response (Hours)</w:t>
            </w:r>
          </w:p>
        </w:tc>
        <w:tc>
          <w:tcPr>
            <w:tcW w:w="1134" w:type="dxa"/>
            <w:vAlign w:val="center"/>
          </w:tcPr>
          <w:p w14:paraId="4702FD8D" w14:textId="77777777" w:rsidR="004E6350" w:rsidRPr="00D51029" w:rsidRDefault="004E6350" w:rsidP="000041F4">
            <w:pPr>
              <w:jc w:val="center"/>
              <w:rPr>
                <w:rFonts w:ascii="Arial" w:hAnsi="Arial" w:cs="Arial"/>
                <w:sz w:val="22"/>
                <w:szCs w:val="22"/>
              </w:rPr>
            </w:pPr>
            <w:r w:rsidRPr="00D51029">
              <w:rPr>
                <w:rFonts w:ascii="Arial" w:hAnsi="Arial" w:cs="Arial"/>
                <w:sz w:val="22"/>
                <w:szCs w:val="22"/>
              </w:rPr>
              <w:t>Total Annual Burden (Hours)</w:t>
            </w:r>
          </w:p>
        </w:tc>
        <w:tc>
          <w:tcPr>
            <w:tcW w:w="1590" w:type="dxa"/>
            <w:vAlign w:val="center"/>
          </w:tcPr>
          <w:p w14:paraId="58C5EA48" w14:textId="77777777" w:rsidR="005A0A7B" w:rsidRDefault="004E6350" w:rsidP="000041F4">
            <w:pPr>
              <w:jc w:val="center"/>
              <w:rPr>
                <w:rFonts w:ascii="Arial" w:hAnsi="Arial" w:cs="Arial"/>
                <w:sz w:val="22"/>
                <w:szCs w:val="22"/>
              </w:rPr>
            </w:pPr>
            <w:r w:rsidRPr="00D51029">
              <w:rPr>
                <w:rFonts w:ascii="Arial" w:hAnsi="Arial" w:cs="Arial"/>
                <w:sz w:val="22"/>
                <w:szCs w:val="22"/>
              </w:rPr>
              <w:t xml:space="preserve">Cost at </w:t>
            </w:r>
          </w:p>
          <w:p w14:paraId="3BB9A0C0" w14:textId="77777777" w:rsidR="004E6350" w:rsidRPr="00D51029" w:rsidRDefault="004E6350" w:rsidP="005A0A7B">
            <w:pPr>
              <w:ind w:right="-122"/>
              <w:jc w:val="center"/>
              <w:rPr>
                <w:rFonts w:ascii="Arial" w:hAnsi="Arial" w:cs="Arial"/>
                <w:sz w:val="22"/>
                <w:szCs w:val="22"/>
              </w:rPr>
            </w:pPr>
            <w:r w:rsidRPr="00D51029">
              <w:rPr>
                <w:rFonts w:ascii="Arial" w:hAnsi="Arial" w:cs="Arial"/>
                <w:sz w:val="22"/>
                <w:szCs w:val="22"/>
              </w:rPr>
              <w:t>$2</w:t>
            </w:r>
            <w:r w:rsidR="00653170">
              <w:rPr>
                <w:rFonts w:ascii="Arial" w:hAnsi="Arial" w:cs="Arial"/>
                <w:sz w:val="22"/>
                <w:szCs w:val="22"/>
              </w:rPr>
              <w:t>63</w:t>
            </w:r>
            <w:r w:rsidRPr="00D51029">
              <w:rPr>
                <w:rFonts w:ascii="Arial" w:hAnsi="Arial" w:cs="Arial"/>
                <w:sz w:val="22"/>
                <w:szCs w:val="22"/>
              </w:rPr>
              <w:t>/ hour</w:t>
            </w:r>
          </w:p>
          <w:p w14:paraId="5B58C25C" w14:textId="77777777" w:rsidR="004E6350" w:rsidRPr="00D51029" w:rsidRDefault="004E6350" w:rsidP="000041F4">
            <w:pPr>
              <w:jc w:val="center"/>
              <w:rPr>
                <w:rFonts w:ascii="Arial" w:hAnsi="Arial" w:cs="Arial"/>
                <w:sz w:val="22"/>
                <w:szCs w:val="22"/>
              </w:rPr>
            </w:pPr>
            <w:r w:rsidRPr="00D51029">
              <w:rPr>
                <w:rFonts w:ascii="Arial" w:hAnsi="Arial" w:cs="Arial"/>
                <w:sz w:val="22"/>
                <w:szCs w:val="22"/>
              </w:rPr>
              <w:t>($)</w:t>
            </w:r>
          </w:p>
        </w:tc>
      </w:tr>
      <w:tr w:rsidR="004E6350" w:rsidRPr="00D51029" w14:paraId="78098689" w14:textId="77777777" w:rsidTr="00CF5638">
        <w:trPr>
          <w:cantSplit/>
        </w:trPr>
        <w:tc>
          <w:tcPr>
            <w:tcW w:w="1623" w:type="dxa"/>
          </w:tcPr>
          <w:p w14:paraId="68CBC363" w14:textId="77777777" w:rsidR="004E6350" w:rsidRPr="00D51029" w:rsidRDefault="004E6350" w:rsidP="000041F4">
            <w:pPr>
              <w:rPr>
                <w:rFonts w:ascii="Arial" w:hAnsi="Arial" w:cs="Arial"/>
                <w:sz w:val="22"/>
                <w:szCs w:val="22"/>
              </w:rPr>
            </w:pPr>
          </w:p>
          <w:p w14:paraId="6C138933" w14:textId="77777777" w:rsidR="004E6350" w:rsidRPr="00D51029" w:rsidRDefault="004E6350" w:rsidP="000041F4">
            <w:pPr>
              <w:rPr>
                <w:rFonts w:ascii="Arial" w:hAnsi="Arial" w:cs="Arial"/>
                <w:sz w:val="22"/>
                <w:szCs w:val="22"/>
              </w:rPr>
            </w:pPr>
            <w:r w:rsidRPr="00D51029">
              <w:rPr>
                <w:rFonts w:ascii="Arial" w:hAnsi="Arial" w:cs="Arial"/>
                <w:sz w:val="22"/>
                <w:szCs w:val="22"/>
              </w:rPr>
              <w:t>License Renewal Application</w:t>
            </w:r>
          </w:p>
          <w:p w14:paraId="44835A5F" w14:textId="77777777" w:rsidR="004E6350" w:rsidRPr="00D51029" w:rsidRDefault="004E6350" w:rsidP="000041F4">
            <w:pPr>
              <w:rPr>
                <w:rFonts w:ascii="Arial" w:hAnsi="Arial" w:cs="Arial"/>
                <w:sz w:val="22"/>
                <w:szCs w:val="22"/>
              </w:rPr>
            </w:pPr>
            <w:r w:rsidRPr="00D51029">
              <w:rPr>
                <w:rFonts w:ascii="Arial" w:hAnsi="Arial" w:cs="Arial"/>
                <w:sz w:val="22"/>
                <w:szCs w:val="22"/>
              </w:rPr>
              <w:t>(54.13, 54.15, 54.17, 54.19, 54.21, 54.22)</w:t>
            </w:r>
          </w:p>
          <w:p w14:paraId="7E2EB743" w14:textId="77777777" w:rsidR="004E6350" w:rsidRPr="00D51029" w:rsidRDefault="004E6350" w:rsidP="000041F4">
            <w:pPr>
              <w:rPr>
                <w:rFonts w:ascii="Arial" w:hAnsi="Arial" w:cs="Arial"/>
                <w:sz w:val="22"/>
                <w:szCs w:val="22"/>
              </w:rPr>
            </w:pPr>
          </w:p>
        </w:tc>
        <w:tc>
          <w:tcPr>
            <w:tcW w:w="1513" w:type="dxa"/>
            <w:vAlign w:val="center"/>
          </w:tcPr>
          <w:p w14:paraId="613993DA" w14:textId="77777777" w:rsidR="004E6350" w:rsidRPr="00D51029" w:rsidRDefault="004E6350" w:rsidP="000041F4">
            <w:pPr>
              <w:jc w:val="right"/>
              <w:rPr>
                <w:rFonts w:ascii="Arial" w:hAnsi="Arial" w:cs="Arial"/>
                <w:sz w:val="22"/>
                <w:szCs w:val="22"/>
              </w:rPr>
            </w:pPr>
            <w:r w:rsidRPr="00D51029">
              <w:rPr>
                <w:rFonts w:ascii="Arial" w:hAnsi="Arial" w:cs="Arial"/>
                <w:sz w:val="22"/>
                <w:szCs w:val="22"/>
              </w:rPr>
              <w:t>2</w:t>
            </w:r>
          </w:p>
        </w:tc>
        <w:tc>
          <w:tcPr>
            <w:tcW w:w="1403" w:type="dxa"/>
            <w:vAlign w:val="center"/>
          </w:tcPr>
          <w:p w14:paraId="78E9FE9D" w14:textId="77777777" w:rsidR="004E6350" w:rsidRPr="00D51029" w:rsidRDefault="004E6350" w:rsidP="000041F4">
            <w:pPr>
              <w:jc w:val="right"/>
              <w:rPr>
                <w:rFonts w:ascii="Arial" w:hAnsi="Arial" w:cs="Arial"/>
                <w:sz w:val="22"/>
                <w:szCs w:val="22"/>
              </w:rPr>
            </w:pPr>
            <w:r w:rsidRPr="00D51029">
              <w:rPr>
                <w:rFonts w:ascii="Arial" w:hAnsi="Arial" w:cs="Arial"/>
                <w:sz w:val="22"/>
                <w:szCs w:val="22"/>
              </w:rPr>
              <w:t>1</w:t>
            </w:r>
          </w:p>
        </w:tc>
        <w:tc>
          <w:tcPr>
            <w:tcW w:w="1317" w:type="dxa"/>
            <w:vAlign w:val="center"/>
          </w:tcPr>
          <w:p w14:paraId="43D9C6DE" w14:textId="77777777" w:rsidR="004E6350" w:rsidRPr="00D51029" w:rsidRDefault="004E6350" w:rsidP="000041F4">
            <w:pPr>
              <w:jc w:val="right"/>
              <w:rPr>
                <w:rFonts w:ascii="Arial" w:hAnsi="Arial" w:cs="Arial"/>
                <w:sz w:val="22"/>
                <w:szCs w:val="22"/>
              </w:rPr>
            </w:pPr>
            <w:r w:rsidRPr="00D51029">
              <w:rPr>
                <w:rFonts w:ascii="Arial" w:hAnsi="Arial" w:cs="Arial"/>
                <w:sz w:val="22"/>
                <w:szCs w:val="22"/>
              </w:rPr>
              <w:t>2</w:t>
            </w:r>
          </w:p>
        </w:tc>
        <w:tc>
          <w:tcPr>
            <w:tcW w:w="1207" w:type="dxa"/>
            <w:vAlign w:val="center"/>
          </w:tcPr>
          <w:p w14:paraId="14AF19FA" w14:textId="39C2A5BE" w:rsidR="004E6350" w:rsidRPr="00D51029" w:rsidRDefault="004E6350" w:rsidP="000041F4">
            <w:pPr>
              <w:jc w:val="right"/>
              <w:rPr>
                <w:rFonts w:ascii="Arial" w:hAnsi="Arial" w:cs="Arial"/>
                <w:sz w:val="22"/>
                <w:szCs w:val="22"/>
              </w:rPr>
            </w:pPr>
            <w:r w:rsidRPr="00D51029">
              <w:rPr>
                <w:rFonts w:ascii="Arial" w:hAnsi="Arial" w:cs="Arial"/>
                <w:sz w:val="22"/>
                <w:szCs w:val="22"/>
              </w:rPr>
              <w:t>8</w:t>
            </w:r>
            <w:r w:rsidR="0041622E">
              <w:rPr>
                <w:rFonts w:ascii="Arial" w:hAnsi="Arial" w:cs="Arial"/>
                <w:sz w:val="22"/>
                <w:szCs w:val="22"/>
              </w:rPr>
              <w:t>1</w:t>
            </w:r>
            <w:r w:rsidRPr="00D51029">
              <w:rPr>
                <w:rFonts w:ascii="Arial" w:hAnsi="Arial" w:cs="Arial"/>
                <w:sz w:val="22"/>
                <w:szCs w:val="22"/>
              </w:rPr>
              <w:t>,150</w:t>
            </w:r>
          </w:p>
        </w:tc>
        <w:tc>
          <w:tcPr>
            <w:tcW w:w="1134" w:type="dxa"/>
            <w:vAlign w:val="center"/>
          </w:tcPr>
          <w:p w14:paraId="1C8451CE" w14:textId="7B5D3C37" w:rsidR="004E6350" w:rsidRPr="00D51029" w:rsidRDefault="004E6350" w:rsidP="0041622E">
            <w:pPr>
              <w:jc w:val="right"/>
              <w:rPr>
                <w:rFonts w:ascii="Arial" w:hAnsi="Arial" w:cs="Arial"/>
                <w:sz w:val="22"/>
                <w:szCs w:val="22"/>
              </w:rPr>
            </w:pPr>
            <w:r w:rsidRPr="00D51029">
              <w:rPr>
                <w:rFonts w:ascii="Arial" w:hAnsi="Arial" w:cs="Arial"/>
                <w:sz w:val="22"/>
                <w:szCs w:val="22"/>
              </w:rPr>
              <w:t>16</w:t>
            </w:r>
            <w:r w:rsidR="0041622E">
              <w:rPr>
                <w:rFonts w:ascii="Arial" w:hAnsi="Arial" w:cs="Arial"/>
                <w:sz w:val="22"/>
                <w:szCs w:val="22"/>
              </w:rPr>
              <w:t>2</w:t>
            </w:r>
            <w:r w:rsidRPr="00D51029">
              <w:rPr>
                <w:rFonts w:ascii="Arial" w:hAnsi="Arial" w:cs="Arial"/>
                <w:sz w:val="22"/>
                <w:szCs w:val="22"/>
              </w:rPr>
              <w:t>,300</w:t>
            </w:r>
          </w:p>
        </w:tc>
        <w:tc>
          <w:tcPr>
            <w:tcW w:w="1590" w:type="dxa"/>
            <w:vAlign w:val="center"/>
          </w:tcPr>
          <w:p w14:paraId="1B431857" w14:textId="75016C24" w:rsidR="004E6350" w:rsidRPr="00D51029" w:rsidRDefault="00690DF0" w:rsidP="0041622E">
            <w:pPr>
              <w:jc w:val="center"/>
              <w:rPr>
                <w:rFonts w:ascii="Arial" w:hAnsi="Arial" w:cs="Arial"/>
                <w:sz w:val="22"/>
                <w:szCs w:val="22"/>
              </w:rPr>
            </w:pPr>
            <w:r>
              <w:rPr>
                <w:rFonts w:ascii="Arial" w:hAnsi="Arial" w:cs="Arial"/>
                <w:sz w:val="22"/>
                <w:szCs w:val="22"/>
              </w:rPr>
              <w:t>$</w:t>
            </w:r>
            <w:r w:rsidR="0041622E">
              <w:rPr>
                <w:rFonts w:ascii="Arial" w:hAnsi="Arial" w:cs="Arial"/>
                <w:sz w:val="22"/>
                <w:szCs w:val="22"/>
              </w:rPr>
              <w:t>42,684,900</w:t>
            </w:r>
          </w:p>
        </w:tc>
      </w:tr>
      <w:tr w:rsidR="00756BF6" w:rsidRPr="00D51029" w14:paraId="4DB605AE" w14:textId="77777777" w:rsidTr="00CF5638">
        <w:trPr>
          <w:cantSplit/>
        </w:trPr>
        <w:tc>
          <w:tcPr>
            <w:tcW w:w="1623" w:type="dxa"/>
          </w:tcPr>
          <w:p w14:paraId="207B3A2C" w14:textId="77777777" w:rsidR="00756BF6" w:rsidRPr="00D51029" w:rsidRDefault="0041622E" w:rsidP="0041622E">
            <w:pPr>
              <w:rPr>
                <w:rFonts w:ascii="Arial" w:hAnsi="Arial" w:cs="Arial"/>
                <w:sz w:val="22"/>
                <w:szCs w:val="22"/>
              </w:rPr>
            </w:pPr>
            <w:r>
              <w:rPr>
                <w:rFonts w:ascii="Arial" w:hAnsi="Arial" w:cs="Arial"/>
                <w:sz w:val="22"/>
                <w:szCs w:val="22"/>
              </w:rPr>
              <w:t>Amendments to Application</w:t>
            </w:r>
          </w:p>
        </w:tc>
        <w:tc>
          <w:tcPr>
            <w:tcW w:w="1513" w:type="dxa"/>
            <w:vAlign w:val="center"/>
          </w:tcPr>
          <w:p w14:paraId="32735BF6" w14:textId="77777777" w:rsidR="00756BF6" w:rsidRDefault="0041622E" w:rsidP="000041F4">
            <w:pPr>
              <w:jc w:val="right"/>
              <w:rPr>
                <w:rFonts w:ascii="Arial" w:hAnsi="Arial" w:cs="Arial"/>
                <w:sz w:val="22"/>
                <w:szCs w:val="22"/>
              </w:rPr>
            </w:pPr>
            <w:r>
              <w:rPr>
                <w:rFonts w:ascii="Arial" w:hAnsi="Arial" w:cs="Arial"/>
                <w:sz w:val="22"/>
                <w:szCs w:val="22"/>
              </w:rPr>
              <w:t>2</w:t>
            </w:r>
          </w:p>
        </w:tc>
        <w:tc>
          <w:tcPr>
            <w:tcW w:w="1403" w:type="dxa"/>
            <w:vAlign w:val="center"/>
          </w:tcPr>
          <w:p w14:paraId="0E9BCC21" w14:textId="0D598AB9" w:rsidR="00756BF6" w:rsidRPr="00D51029" w:rsidRDefault="00C065CD" w:rsidP="000041F4">
            <w:pPr>
              <w:jc w:val="right"/>
              <w:rPr>
                <w:rFonts w:ascii="Arial" w:hAnsi="Arial" w:cs="Arial"/>
                <w:sz w:val="22"/>
                <w:szCs w:val="22"/>
              </w:rPr>
            </w:pPr>
            <w:r>
              <w:rPr>
                <w:rFonts w:ascii="Arial" w:hAnsi="Arial" w:cs="Arial"/>
                <w:sz w:val="22"/>
                <w:szCs w:val="22"/>
              </w:rPr>
              <w:t>2</w:t>
            </w:r>
          </w:p>
        </w:tc>
        <w:tc>
          <w:tcPr>
            <w:tcW w:w="1317" w:type="dxa"/>
            <w:vAlign w:val="center"/>
          </w:tcPr>
          <w:p w14:paraId="09F2C6B6" w14:textId="06F36B65" w:rsidR="00756BF6" w:rsidRDefault="00C065CD" w:rsidP="000041F4">
            <w:pPr>
              <w:jc w:val="right"/>
              <w:rPr>
                <w:rFonts w:ascii="Arial" w:hAnsi="Arial" w:cs="Arial"/>
                <w:sz w:val="22"/>
                <w:szCs w:val="22"/>
              </w:rPr>
            </w:pPr>
            <w:r>
              <w:rPr>
                <w:rFonts w:ascii="Arial" w:hAnsi="Arial" w:cs="Arial"/>
                <w:sz w:val="22"/>
                <w:szCs w:val="22"/>
              </w:rPr>
              <w:t>4</w:t>
            </w:r>
          </w:p>
        </w:tc>
        <w:tc>
          <w:tcPr>
            <w:tcW w:w="1207" w:type="dxa"/>
            <w:vAlign w:val="center"/>
          </w:tcPr>
          <w:p w14:paraId="41BDFADA" w14:textId="0AEBBC35" w:rsidR="00756BF6" w:rsidRPr="00D51029" w:rsidRDefault="00C065CD" w:rsidP="000041F4">
            <w:pPr>
              <w:jc w:val="right"/>
              <w:rPr>
                <w:rFonts w:ascii="Arial" w:hAnsi="Arial" w:cs="Arial"/>
                <w:sz w:val="22"/>
                <w:szCs w:val="22"/>
              </w:rPr>
            </w:pPr>
            <w:r>
              <w:rPr>
                <w:rFonts w:ascii="Arial" w:hAnsi="Arial" w:cs="Arial"/>
                <w:sz w:val="22"/>
                <w:szCs w:val="22"/>
              </w:rPr>
              <w:t>1,5</w:t>
            </w:r>
            <w:r w:rsidR="0041622E">
              <w:rPr>
                <w:rFonts w:ascii="Arial" w:hAnsi="Arial" w:cs="Arial"/>
                <w:sz w:val="22"/>
                <w:szCs w:val="22"/>
              </w:rPr>
              <w:t>00</w:t>
            </w:r>
          </w:p>
        </w:tc>
        <w:tc>
          <w:tcPr>
            <w:tcW w:w="1134" w:type="dxa"/>
            <w:vAlign w:val="center"/>
          </w:tcPr>
          <w:p w14:paraId="304D42A8" w14:textId="77777777" w:rsidR="00756BF6" w:rsidRPr="00D51029" w:rsidRDefault="0041622E" w:rsidP="000041F4">
            <w:pPr>
              <w:jc w:val="right"/>
              <w:rPr>
                <w:rFonts w:ascii="Arial" w:hAnsi="Arial" w:cs="Arial"/>
                <w:sz w:val="22"/>
                <w:szCs w:val="22"/>
              </w:rPr>
            </w:pPr>
            <w:r>
              <w:rPr>
                <w:rFonts w:ascii="Arial" w:hAnsi="Arial" w:cs="Arial"/>
                <w:sz w:val="22"/>
                <w:szCs w:val="22"/>
              </w:rPr>
              <w:t>6,000</w:t>
            </w:r>
          </w:p>
        </w:tc>
        <w:tc>
          <w:tcPr>
            <w:tcW w:w="1590" w:type="dxa"/>
            <w:vAlign w:val="center"/>
          </w:tcPr>
          <w:p w14:paraId="1F02E91F" w14:textId="544F49A8" w:rsidR="00756BF6" w:rsidRDefault="0041622E" w:rsidP="003D3FFB">
            <w:pPr>
              <w:jc w:val="right"/>
              <w:rPr>
                <w:rFonts w:ascii="Arial" w:hAnsi="Arial" w:cs="Arial"/>
                <w:sz w:val="22"/>
                <w:szCs w:val="22"/>
              </w:rPr>
            </w:pPr>
            <w:r>
              <w:rPr>
                <w:rFonts w:ascii="Arial" w:hAnsi="Arial" w:cs="Arial"/>
                <w:sz w:val="22"/>
                <w:szCs w:val="22"/>
              </w:rPr>
              <w:t>$1,578,000</w:t>
            </w:r>
          </w:p>
        </w:tc>
      </w:tr>
      <w:tr w:rsidR="004E6350" w:rsidRPr="00D51029" w14:paraId="7A9D9F01" w14:textId="77777777" w:rsidTr="00CF5638">
        <w:trPr>
          <w:cantSplit/>
        </w:trPr>
        <w:tc>
          <w:tcPr>
            <w:tcW w:w="1623" w:type="dxa"/>
          </w:tcPr>
          <w:p w14:paraId="5B04BF9F" w14:textId="77777777" w:rsidR="004E6350" w:rsidRPr="00D51029" w:rsidRDefault="004E6350" w:rsidP="0036228D">
            <w:pPr>
              <w:jc w:val="center"/>
              <w:rPr>
                <w:rFonts w:ascii="Arial" w:hAnsi="Arial" w:cs="Arial"/>
                <w:sz w:val="22"/>
                <w:szCs w:val="22"/>
              </w:rPr>
            </w:pPr>
          </w:p>
          <w:p w14:paraId="603827AD" w14:textId="77777777" w:rsidR="004E6350" w:rsidRPr="00D51029" w:rsidRDefault="004E6350" w:rsidP="000041F4">
            <w:pPr>
              <w:rPr>
                <w:rFonts w:ascii="Arial" w:hAnsi="Arial" w:cs="Arial"/>
                <w:sz w:val="22"/>
                <w:szCs w:val="22"/>
              </w:rPr>
            </w:pPr>
            <w:r w:rsidRPr="00D51029">
              <w:rPr>
                <w:rFonts w:ascii="Arial" w:hAnsi="Arial" w:cs="Arial"/>
                <w:sz w:val="22"/>
                <w:szCs w:val="22"/>
              </w:rPr>
              <w:t>Completion Letter</w:t>
            </w:r>
          </w:p>
          <w:p w14:paraId="65570DC8" w14:textId="77777777" w:rsidR="004E6350" w:rsidRPr="00D51029" w:rsidRDefault="004E6350" w:rsidP="000041F4">
            <w:pPr>
              <w:jc w:val="center"/>
              <w:rPr>
                <w:rFonts w:ascii="Arial" w:hAnsi="Arial" w:cs="Arial"/>
                <w:sz w:val="22"/>
                <w:szCs w:val="22"/>
              </w:rPr>
            </w:pPr>
          </w:p>
        </w:tc>
        <w:tc>
          <w:tcPr>
            <w:tcW w:w="1513" w:type="dxa"/>
            <w:vAlign w:val="center"/>
          </w:tcPr>
          <w:p w14:paraId="57B8AE1C" w14:textId="77777777" w:rsidR="004E6350" w:rsidRPr="00D51029" w:rsidRDefault="001D3F4B" w:rsidP="000041F4">
            <w:pPr>
              <w:jc w:val="right"/>
              <w:rPr>
                <w:rFonts w:ascii="Arial" w:hAnsi="Arial" w:cs="Arial"/>
                <w:sz w:val="22"/>
                <w:szCs w:val="22"/>
              </w:rPr>
            </w:pPr>
            <w:r>
              <w:rPr>
                <w:rFonts w:ascii="Arial" w:hAnsi="Arial" w:cs="Arial"/>
                <w:sz w:val="22"/>
                <w:szCs w:val="22"/>
              </w:rPr>
              <w:t>2</w:t>
            </w:r>
          </w:p>
        </w:tc>
        <w:tc>
          <w:tcPr>
            <w:tcW w:w="1403" w:type="dxa"/>
            <w:vAlign w:val="center"/>
          </w:tcPr>
          <w:p w14:paraId="62FC5D0F" w14:textId="77777777" w:rsidR="004E6350" w:rsidRPr="00D51029" w:rsidRDefault="004E6350" w:rsidP="000041F4">
            <w:pPr>
              <w:jc w:val="right"/>
              <w:rPr>
                <w:rFonts w:ascii="Arial" w:hAnsi="Arial" w:cs="Arial"/>
                <w:sz w:val="22"/>
                <w:szCs w:val="22"/>
              </w:rPr>
            </w:pPr>
            <w:r w:rsidRPr="00D51029">
              <w:rPr>
                <w:rFonts w:ascii="Arial" w:hAnsi="Arial" w:cs="Arial"/>
                <w:sz w:val="22"/>
                <w:szCs w:val="22"/>
              </w:rPr>
              <w:t>1</w:t>
            </w:r>
          </w:p>
        </w:tc>
        <w:tc>
          <w:tcPr>
            <w:tcW w:w="1317" w:type="dxa"/>
            <w:vAlign w:val="center"/>
          </w:tcPr>
          <w:p w14:paraId="068AF014" w14:textId="77777777" w:rsidR="004E6350" w:rsidRPr="00D51029" w:rsidRDefault="001D3F4B" w:rsidP="000041F4">
            <w:pPr>
              <w:jc w:val="right"/>
              <w:rPr>
                <w:rFonts w:ascii="Arial" w:hAnsi="Arial" w:cs="Arial"/>
                <w:sz w:val="22"/>
                <w:szCs w:val="22"/>
              </w:rPr>
            </w:pPr>
            <w:r>
              <w:rPr>
                <w:rFonts w:ascii="Arial" w:hAnsi="Arial" w:cs="Arial"/>
                <w:sz w:val="22"/>
                <w:szCs w:val="22"/>
              </w:rPr>
              <w:t>2</w:t>
            </w:r>
          </w:p>
        </w:tc>
        <w:tc>
          <w:tcPr>
            <w:tcW w:w="1207" w:type="dxa"/>
            <w:vAlign w:val="center"/>
          </w:tcPr>
          <w:p w14:paraId="1B28EAC3" w14:textId="77777777" w:rsidR="004E6350" w:rsidRPr="00D51029" w:rsidRDefault="004E6350" w:rsidP="000041F4">
            <w:pPr>
              <w:jc w:val="right"/>
              <w:rPr>
                <w:rFonts w:ascii="Arial" w:hAnsi="Arial" w:cs="Arial"/>
                <w:sz w:val="22"/>
                <w:szCs w:val="22"/>
              </w:rPr>
            </w:pPr>
            <w:r w:rsidRPr="00D51029">
              <w:rPr>
                <w:rFonts w:ascii="Arial" w:hAnsi="Arial" w:cs="Arial"/>
                <w:sz w:val="22"/>
                <w:szCs w:val="22"/>
              </w:rPr>
              <w:t>10</w:t>
            </w:r>
          </w:p>
        </w:tc>
        <w:tc>
          <w:tcPr>
            <w:tcW w:w="1134" w:type="dxa"/>
            <w:vAlign w:val="center"/>
          </w:tcPr>
          <w:p w14:paraId="0BC2F6DC" w14:textId="77777777" w:rsidR="004E6350" w:rsidRPr="00D51029" w:rsidRDefault="004E6350" w:rsidP="000041F4">
            <w:pPr>
              <w:jc w:val="right"/>
              <w:rPr>
                <w:rFonts w:ascii="Arial" w:hAnsi="Arial" w:cs="Arial"/>
                <w:sz w:val="22"/>
                <w:szCs w:val="22"/>
              </w:rPr>
            </w:pPr>
            <w:r w:rsidRPr="00D51029">
              <w:rPr>
                <w:rFonts w:ascii="Arial" w:hAnsi="Arial" w:cs="Arial"/>
                <w:sz w:val="22"/>
                <w:szCs w:val="22"/>
              </w:rPr>
              <w:fldChar w:fldCharType="begin"/>
            </w:r>
            <w:r w:rsidRPr="00D51029">
              <w:rPr>
                <w:rFonts w:ascii="Arial" w:hAnsi="Arial" w:cs="Arial"/>
                <w:sz w:val="22"/>
                <w:szCs w:val="22"/>
              </w:rPr>
              <w:instrText xml:space="preserve"> =PRODUCT(D4,E4) </w:instrText>
            </w:r>
            <w:r w:rsidRPr="00D51029">
              <w:rPr>
                <w:rFonts w:ascii="Arial" w:hAnsi="Arial" w:cs="Arial"/>
                <w:sz w:val="22"/>
                <w:szCs w:val="22"/>
              </w:rPr>
              <w:fldChar w:fldCharType="separate"/>
            </w:r>
            <w:r w:rsidR="001D3F4B">
              <w:rPr>
                <w:rFonts w:ascii="Arial" w:hAnsi="Arial" w:cs="Arial"/>
                <w:noProof/>
                <w:sz w:val="22"/>
                <w:szCs w:val="22"/>
              </w:rPr>
              <w:t>2</w:t>
            </w:r>
            <w:r w:rsidRPr="00D51029">
              <w:rPr>
                <w:rFonts w:ascii="Arial" w:hAnsi="Arial" w:cs="Arial"/>
                <w:noProof/>
                <w:sz w:val="22"/>
                <w:szCs w:val="22"/>
              </w:rPr>
              <w:t>0</w:t>
            </w:r>
            <w:r w:rsidRPr="00D51029">
              <w:rPr>
                <w:rFonts w:ascii="Arial" w:hAnsi="Arial" w:cs="Arial"/>
                <w:sz w:val="22"/>
                <w:szCs w:val="22"/>
              </w:rPr>
              <w:fldChar w:fldCharType="end"/>
            </w:r>
          </w:p>
        </w:tc>
        <w:tc>
          <w:tcPr>
            <w:tcW w:w="1590" w:type="dxa"/>
            <w:vAlign w:val="center"/>
          </w:tcPr>
          <w:p w14:paraId="51851C5B" w14:textId="77777777" w:rsidR="004E6350" w:rsidRPr="00D51029" w:rsidRDefault="00690DF0" w:rsidP="00CF5638">
            <w:pPr>
              <w:jc w:val="center"/>
              <w:rPr>
                <w:rFonts w:ascii="Arial" w:hAnsi="Arial" w:cs="Arial"/>
                <w:sz w:val="22"/>
                <w:szCs w:val="22"/>
              </w:rPr>
            </w:pPr>
            <w:r>
              <w:rPr>
                <w:rFonts w:ascii="Arial" w:hAnsi="Arial" w:cs="Arial"/>
                <w:sz w:val="22"/>
                <w:szCs w:val="22"/>
              </w:rPr>
              <w:t>$</w:t>
            </w:r>
            <w:r w:rsidR="00C92213">
              <w:rPr>
                <w:rFonts w:ascii="Arial" w:hAnsi="Arial" w:cs="Arial"/>
                <w:sz w:val="22"/>
                <w:szCs w:val="22"/>
              </w:rPr>
              <w:t>5</w:t>
            </w:r>
            <w:r w:rsidR="00653170">
              <w:rPr>
                <w:rFonts w:ascii="Arial" w:hAnsi="Arial" w:cs="Arial"/>
                <w:sz w:val="22"/>
                <w:szCs w:val="22"/>
              </w:rPr>
              <w:t>,</w:t>
            </w:r>
            <w:r w:rsidR="00C92213">
              <w:rPr>
                <w:rFonts w:ascii="Arial" w:hAnsi="Arial" w:cs="Arial"/>
                <w:sz w:val="22"/>
                <w:szCs w:val="22"/>
              </w:rPr>
              <w:t>26</w:t>
            </w:r>
            <w:r w:rsidR="00400EB9">
              <w:rPr>
                <w:rFonts w:ascii="Arial" w:hAnsi="Arial" w:cs="Arial"/>
                <w:sz w:val="22"/>
                <w:szCs w:val="22"/>
              </w:rPr>
              <w:t>0</w:t>
            </w:r>
          </w:p>
        </w:tc>
      </w:tr>
      <w:tr w:rsidR="004E6350" w:rsidRPr="00D51029" w14:paraId="7B6FC9F4" w14:textId="77777777" w:rsidTr="00CF5638">
        <w:trPr>
          <w:cantSplit/>
        </w:trPr>
        <w:tc>
          <w:tcPr>
            <w:tcW w:w="1623" w:type="dxa"/>
          </w:tcPr>
          <w:p w14:paraId="0BE9E24D" w14:textId="77777777" w:rsidR="004E6350" w:rsidRPr="00D51029" w:rsidRDefault="004E6350" w:rsidP="000041F4">
            <w:pPr>
              <w:rPr>
                <w:rFonts w:ascii="Arial" w:hAnsi="Arial" w:cs="Arial"/>
                <w:sz w:val="22"/>
                <w:szCs w:val="22"/>
              </w:rPr>
            </w:pPr>
          </w:p>
          <w:p w14:paraId="269B5E0B" w14:textId="77777777" w:rsidR="004E6350" w:rsidRPr="00D51029" w:rsidRDefault="004E6350" w:rsidP="000041F4">
            <w:pPr>
              <w:rPr>
                <w:rFonts w:ascii="Arial" w:hAnsi="Arial" w:cs="Arial"/>
                <w:sz w:val="22"/>
                <w:szCs w:val="22"/>
              </w:rPr>
            </w:pPr>
            <w:r w:rsidRPr="00D51029">
              <w:rPr>
                <w:rFonts w:ascii="Arial" w:hAnsi="Arial" w:cs="Arial"/>
                <w:sz w:val="22"/>
                <w:szCs w:val="22"/>
              </w:rPr>
              <w:t>Total</w:t>
            </w:r>
          </w:p>
          <w:p w14:paraId="31739D12" w14:textId="77777777" w:rsidR="004E6350" w:rsidRPr="00D51029" w:rsidRDefault="004E6350" w:rsidP="000041F4">
            <w:pPr>
              <w:rPr>
                <w:rFonts w:ascii="Arial" w:hAnsi="Arial" w:cs="Arial"/>
                <w:sz w:val="22"/>
                <w:szCs w:val="22"/>
              </w:rPr>
            </w:pPr>
          </w:p>
        </w:tc>
        <w:tc>
          <w:tcPr>
            <w:tcW w:w="1513" w:type="dxa"/>
            <w:vAlign w:val="center"/>
          </w:tcPr>
          <w:p w14:paraId="3B5D838C" w14:textId="63720978" w:rsidR="004E6350" w:rsidRPr="00D51029" w:rsidRDefault="000F513E" w:rsidP="00CC2584">
            <w:pPr>
              <w:jc w:val="right"/>
              <w:rPr>
                <w:rFonts w:ascii="Arial" w:hAnsi="Arial" w:cs="Arial"/>
                <w:sz w:val="22"/>
                <w:szCs w:val="22"/>
              </w:rPr>
            </w:pPr>
            <w:r>
              <w:rPr>
                <w:rFonts w:ascii="Arial" w:hAnsi="Arial" w:cs="Arial"/>
                <w:sz w:val="22"/>
                <w:szCs w:val="22"/>
              </w:rPr>
              <w:t>6</w:t>
            </w:r>
          </w:p>
        </w:tc>
        <w:tc>
          <w:tcPr>
            <w:tcW w:w="1403" w:type="dxa"/>
            <w:vAlign w:val="center"/>
          </w:tcPr>
          <w:p w14:paraId="0D8C5AB1" w14:textId="77777777" w:rsidR="004E6350" w:rsidRPr="00D51029" w:rsidRDefault="004E6350" w:rsidP="000041F4">
            <w:pPr>
              <w:jc w:val="right"/>
              <w:rPr>
                <w:rFonts w:ascii="Arial" w:hAnsi="Arial" w:cs="Arial"/>
                <w:sz w:val="22"/>
                <w:szCs w:val="22"/>
              </w:rPr>
            </w:pPr>
            <w:r>
              <w:rPr>
                <w:rFonts w:ascii="Arial" w:hAnsi="Arial" w:cs="Arial"/>
                <w:sz w:val="22"/>
                <w:szCs w:val="22"/>
              </w:rPr>
              <w:t>--</w:t>
            </w:r>
          </w:p>
        </w:tc>
        <w:tc>
          <w:tcPr>
            <w:tcW w:w="1317" w:type="dxa"/>
            <w:vAlign w:val="center"/>
          </w:tcPr>
          <w:p w14:paraId="5C80010E" w14:textId="2AF9E479" w:rsidR="004E6350" w:rsidRPr="00D51029" w:rsidRDefault="00C065CD" w:rsidP="000041F4">
            <w:pPr>
              <w:jc w:val="right"/>
              <w:rPr>
                <w:rFonts w:ascii="Arial" w:hAnsi="Arial" w:cs="Arial"/>
                <w:sz w:val="22"/>
                <w:szCs w:val="22"/>
              </w:rPr>
            </w:pPr>
            <w:r>
              <w:rPr>
                <w:rFonts w:ascii="Arial" w:hAnsi="Arial" w:cs="Arial"/>
                <w:sz w:val="22"/>
                <w:szCs w:val="22"/>
              </w:rPr>
              <w:t>8</w:t>
            </w:r>
          </w:p>
        </w:tc>
        <w:tc>
          <w:tcPr>
            <w:tcW w:w="1207" w:type="dxa"/>
            <w:vAlign w:val="center"/>
          </w:tcPr>
          <w:p w14:paraId="35B55E3D" w14:textId="77777777" w:rsidR="004E6350" w:rsidRPr="00D51029" w:rsidRDefault="004E6350" w:rsidP="000041F4">
            <w:pPr>
              <w:jc w:val="right"/>
              <w:rPr>
                <w:rFonts w:ascii="Arial" w:hAnsi="Arial" w:cs="Arial"/>
                <w:sz w:val="22"/>
                <w:szCs w:val="22"/>
              </w:rPr>
            </w:pPr>
            <w:r>
              <w:rPr>
                <w:rFonts w:ascii="Arial" w:hAnsi="Arial" w:cs="Arial"/>
                <w:sz w:val="22"/>
                <w:szCs w:val="22"/>
              </w:rPr>
              <w:t>--</w:t>
            </w:r>
          </w:p>
        </w:tc>
        <w:tc>
          <w:tcPr>
            <w:tcW w:w="1134" w:type="dxa"/>
            <w:vAlign w:val="center"/>
          </w:tcPr>
          <w:p w14:paraId="09ED1012" w14:textId="77777777" w:rsidR="004E6350" w:rsidRPr="00D51029" w:rsidRDefault="004E6350" w:rsidP="000041F4">
            <w:pPr>
              <w:jc w:val="right"/>
              <w:rPr>
                <w:rFonts w:ascii="Arial" w:hAnsi="Arial" w:cs="Arial"/>
                <w:sz w:val="22"/>
                <w:szCs w:val="22"/>
              </w:rPr>
            </w:pPr>
            <w:r w:rsidRPr="00D51029">
              <w:rPr>
                <w:rFonts w:ascii="Arial" w:hAnsi="Arial" w:cs="Arial"/>
                <w:sz w:val="22"/>
                <w:szCs w:val="22"/>
              </w:rPr>
              <w:t>168,3</w:t>
            </w:r>
            <w:r w:rsidR="00C92213">
              <w:rPr>
                <w:rFonts w:ascii="Arial" w:hAnsi="Arial" w:cs="Arial"/>
                <w:sz w:val="22"/>
                <w:szCs w:val="22"/>
              </w:rPr>
              <w:t>2</w:t>
            </w:r>
            <w:r w:rsidRPr="00D51029">
              <w:rPr>
                <w:rFonts w:ascii="Arial" w:hAnsi="Arial" w:cs="Arial"/>
                <w:sz w:val="22"/>
                <w:szCs w:val="22"/>
              </w:rPr>
              <w:t>0</w:t>
            </w:r>
          </w:p>
        </w:tc>
        <w:tc>
          <w:tcPr>
            <w:tcW w:w="1590" w:type="dxa"/>
            <w:vAlign w:val="center"/>
          </w:tcPr>
          <w:p w14:paraId="668E4812" w14:textId="77777777" w:rsidR="004E6350" w:rsidRPr="00D51029" w:rsidRDefault="00690DF0" w:rsidP="00CF5638">
            <w:pPr>
              <w:jc w:val="center"/>
              <w:rPr>
                <w:rFonts w:ascii="Arial" w:hAnsi="Arial" w:cs="Arial"/>
                <w:sz w:val="22"/>
                <w:szCs w:val="22"/>
              </w:rPr>
            </w:pPr>
            <w:r>
              <w:rPr>
                <w:rFonts w:ascii="Arial" w:hAnsi="Arial" w:cs="Arial"/>
                <w:sz w:val="22"/>
                <w:szCs w:val="22"/>
              </w:rPr>
              <w:t>$</w:t>
            </w:r>
            <w:r w:rsidR="00400EB9">
              <w:rPr>
                <w:rFonts w:ascii="Arial" w:hAnsi="Arial" w:cs="Arial"/>
                <w:sz w:val="22"/>
                <w:szCs w:val="22"/>
              </w:rPr>
              <w:t>44</w:t>
            </w:r>
            <w:r w:rsidR="002D7D49">
              <w:rPr>
                <w:rFonts w:ascii="Arial" w:hAnsi="Arial" w:cs="Arial"/>
                <w:sz w:val="22"/>
                <w:szCs w:val="22"/>
              </w:rPr>
              <w:t>,</w:t>
            </w:r>
            <w:r w:rsidR="00400EB9">
              <w:rPr>
                <w:rFonts w:ascii="Arial" w:hAnsi="Arial" w:cs="Arial"/>
                <w:sz w:val="22"/>
                <w:szCs w:val="22"/>
              </w:rPr>
              <w:t>2</w:t>
            </w:r>
            <w:r w:rsidR="00C92213">
              <w:rPr>
                <w:rFonts w:ascii="Arial" w:hAnsi="Arial" w:cs="Arial"/>
                <w:sz w:val="22"/>
                <w:szCs w:val="22"/>
              </w:rPr>
              <w:t>68</w:t>
            </w:r>
            <w:r w:rsidR="002D7D49">
              <w:rPr>
                <w:rFonts w:ascii="Arial" w:hAnsi="Arial" w:cs="Arial"/>
                <w:sz w:val="22"/>
                <w:szCs w:val="22"/>
              </w:rPr>
              <w:t>,</w:t>
            </w:r>
            <w:r w:rsidR="00C92213">
              <w:rPr>
                <w:rFonts w:ascii="Arial" w:hAnsi="Arial" w:cs="Arial"/>
                <w:sz w:val="22"/>
                <w:szCs w:val="22"/>
              </w:rPr>
              <w:t>16</w:t>
            </w:r>
            <w:r w:rsidR="00400EB9">
              <w:rPr>
                <w:rFonts w:ascii="Arial" w:hAnsi="Arial" w:cs="Arial"/>
                <w:sz w:val="22"/>
                <w:szCs w:val="22"/>
              </w:rPr>
              <w:t>0</w:t>
            </w:r>
          </w:p>
        </w:tc>
      </w:tr>
    </w:tbl>
    <w:p w14:paraId="0AA399AB" w14:textId="77777777" w:rsidR="004E6350" w:rsidRPr="00D51029" w:rsidRDefault="004E6350" w:rsidP="004E6350">
      <w:pPr>
        <w:rPr>
          <w:rFonts w:ascii="Arial" w:hAnsi="Arial" w:cs="Arial"/>
          <w:sz w:val="22"/>
          <w:szCs w:val="22"/>
        </w:rPr>
      </w:pPr>
    </w:p>
    <w:p w14:paraId="414AEAB2" w14:textId="77777777" w:rsidR="004E6350" w:rsidRPr="00D51029" w:rsidRDefault="004E6350" w:rsidP="004E6350">
      <w:pPr>
        <w:rPr>
          <w:rFonts w:ascii="Arial" w:hAnsi="Arial" w:cs="Arial"/>
          <w:sz w:val="22"/>
          <w:szCs w:val="22"/>
        </w:rPr>
      </w:pPr>
    </w:p>
    <w:p w14:paraId="721A83A1" w14:textId="77777777" w:rsidR="004E6350" w:rsidRPr="00D51029" w:rsidRDefault="004E6350" w:rsidP="004E6350">
      <w:pPr>
        <w:rPr>
          <w:rFonts w:ascii="Arial" w:hAnsi="Arial" w:cs="Arial"/>
          <w:sz w:val="22"/>
          <w:szCs w:val="22"/>
        </w:rPr>
      </w:pPr>
    </w:p>
    <w:p w14:paraId="7E38B6F0" w14:textId="77777777" w:rsidR="004E6350" w:rsidRPr="00D51029" w:rsidRDefault="004E6350" w:rsidP="004E6350">
      <w:pPr>
        <w:jc w:val="center"/>
        <w:rPr>
          <w:rFonts w:ascii="Arial" w:hAnsi="Arial" w:cs="Arial"/>
          <w:sz w:val="22"/>
          <w:szCs w:val="22"/>
        </w:rPr>
      </w:pPr>
      <w:r>
        <w:rPr>
          <w:rFonts w:ascii="Arial" w:hAnsi="Arial" w:cs="Arial"/>
          <w:sz w:val="22"/>
          <w:szCs w:val="22"/>
        </w:rPr>
        <w:br w:type="page"/>
      </w:r>
      <w:r w:rsidRPr="00D51029">
        <w:rPr>
          <w:rFonts w:ascii="Arial" w:hAnsi="Arial" w:cs="Arial"/>
          <w:sz w:val="22"/>
          <w:szCs w:val="22"/>
        </w:rPr>
        <w:t>TABLE 2</w:t>
      </w:r>
    </w:p>
    <w:p w14:paraId="60CF1457" w14:textId="77777777" w:rsidR="004E6350" w:rsidRPr="00D51029" w:rsidRDefault="004E6350" w:rsidP="004E6350">
      <w:pPr>
        <w:jc w:val="center"/>
        <w:rPr>
          <w:rFonts w:ascii="Arial" w:hAnsi="Arial" w:cs="Arial"/>
          <w:sz w:val="22"/>
          <w:szCs w:val="22"/>
        </w:rPr>
      </w:pPr>
      <w:r w:rsidRPr="00D51029">
        <w:rPr>
          <w:rFonts w:ascii="Arial" w:hAnsi="Arial" w:cs="Arial"/>
          <w:sz w:val="22"/>
          <w:szCs w:val="22"/>
        </w:rPr>
        <w:t>ANNUAL RECORDKEEPING REQUIREMENTS</w:t>
      </w:r>
    </w:p>
    <w:p w14:paraId="034C30E4" w14:textId="77777777" w:rsidR="004E6350" w:rsidRPr="00D51029" w:rsidRDefault="004E6350" w:rsidP="004E6350">
      <w:pPr>
        <w:jc w:val="cente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1925"/>
        <w:gridCol w:w="1598"/>
        <w:gridCol w:w="1589"/>
        <w:gridCol w:w="1783"/>
      </w:tblGrid>
      <w:tr w:rsidR="004E6350" w:rsidRPr="00D51029" w14:paraId="173AD9AB" w14:textId="77777777" w:rsidTr="000041F4">
        <w:trPr>
          <w:trHeight w:val="1062"/>
        </w:trPr>
        <w:tc>
          <w:tcPr>
            <w:tcW w:w="2520" w:type="dxa"/>
            <w:vAlign w:val="center"/>
          </w:tcPr>
          <w:p w14:paraId="1CFC41CB" w14:textId="77777777" w:rsidR="004E6350" w:rsidRPr="00D51029" w:rsidRDefault="004E6350" w:rsidP="000041F4">
            <w:pPr>
              <w:jc w:val="center"/>
              <w:rPr>
                <w:rFonts w:ascii="Arial" w:hAnsi="Arial" w:cs="Arial"/>
                <w:sz w:val="22"/>
                <w:szCs w:val="22"/>
              </w:rPr>
            </w:pPr>
            <w:r w:rsidRPr="00D51029">
              <w:rPr>
                <w:rFonts w:ascii="Arial" w:hAnsi="Arial" w:cs="Arial"/>
                <w:sz w:val="22"/>
                <w:szCs w:val="22"/>
              </w:rPr>
              <w:t>Section</w:t>
            </w:r>
          </w:p>
        </w:tc>
        <w:tc>
          <w:tcPr>
            <w:tcW w:w="1935" w:type="dxa"/>
            <w:vAlign w:val="center"/>
          </w:tcPr>
          <w:p w14:paraId="1474CD9C" w14:textId="77777777" w:rsidR="004E6350" w:rsidRPr="00D51029" w:rsidRDefault="004E6350" w:rsidP="000041F4">
            <w:pPr>
              <w:jc w:val="center"/>
              <w:rPr>
                <w:rFonts w:ascii="Arial" w:hAnsi="Arial" w:cs="Arial"/>
                <w:sz w:val="22"/>
                <w:szCs w:val="22"/>
              </w:rPr>
            </w:pPr>
            <w:r w:rsidRPr="00D51029">
              <w:rPr>
                <w:rFonts w:ascii="Arial" w:hAnsi="Arial" w:cs="Arial"/>
                <w:sz w:val="22"/>
                <w:szCs w:val="22"/>
              </w:rPr>
              <w:t>Number of Recordkeepers</w:t>
            </w:r>
          </w:p>
        </w:tc>
        <w:tc>
          <w:tcPr>
            <w:tcW w:w="1485" w:type="dxa"/>
            <w:vAlign w:val="center"/>
          </w:tcPr>
          <w:p w14:paraId="6000A160" w14:textId="77777777" w:rsidR="004E6350" w:rsidRPr="00D51029" w:rsidRDefault="004E6350" w:rsidP="000041F4">
            <w:pPr>
              <w:jc w:val="center"/>
              <w:rPr>
                <w:rFonts w:ascii="Arial" w:hAnsi="Arial" w:cs="Arial"/>
                <w:sz w:val="22"/>
                <w:szCs w:val="22"/>
              </w:rPr>
            </w:pPr>
            <w:r w:rsidRPr="00D51029">
              <w:rPr>
                <w:rFonts w:ascii="Arial" w:hAnsi="Arial" w:cs="Arial"/>
                <w:sz w:val="22"/>
                <w:szCs w:val="22"/>
              </w:rPr>
              <w:t>Burden per Recordkeeper (Hours)</w:t>
            </w:r>
          </w:p>
        </w:tc>
        <w:tc>
          <w:tcPr>
            <w:tcW w:w="1620" w:type="dxa"/>
            <w:vAlign w:val="center"/>
          </w:tcPr>
          <w:p w14:paraId="133BD990" w14:textId="77777777" w:rsidR="004E6350" w:rsidRPr="00D51029" w:rsidRDefault="004E6350" w:rsidP="000041F4">
            <w:pPr>
              <w:jc w:val="center"/>
              <w:rPr>
                <w:rFonts w:ascii="Arial" w:hAnsi="Arial" w:cs="Arial"/>
                <w:sz w:val="22"/>
                <w:szCs w:val="22"/>
              </w:rPr>
            </w:pPr>
            <w:r w:rsidRPr="00D51029">
              <w:rPr>
                <w:rFonts w:ascii="Arial" w:hAnsi="Arial" w:cs="Arial"/>
                <w:sz w:val="22"/>
                <w:szCs w:val="22"/>
              </w:rPr>
              <w:t>Total Annual Burden</w:t>
            </w:r>
          </w:p>
          <w:p w14:paraId="7A161C30" w14:textId="77777777" w:rsidR="004E6350" w:rsidRPr="00D51029" w:rsidRDefault="004E6350" w:rsidP="000041F4">
            <w:pPr>
              <w:jc w:val="center"/>
              <w:rPr>
                <w:rFonts w:ascii="Arial" w:hAnsi="Arial" w:cs="Arial"/>
                <w:sz w:val="22"/>
                <w:szCs w:val="22"/>
              </w:rPr>
            </w:pPr>
            <w:r w:rsidRPr="00D51029">
              <w:rPr>
                <w:rFonts w:ascii="Arial" w:hAnsi="Arial" w:cs="Arial"/>
                <w:sz w:val="22"/>
                <w:szCs w:val="22"/>
              </w:rPr>
              <w:t>(Hours)</w:t>
            </w:r>
          </w:p>
        </w:tc>
        <w:tc>
          <w:tcPr>
            <w:tcW w:w="1800" w:type="dxa"/>
            <w:vAlign w:val="center"/>
          </w:tcPr>
          <w:p w14:paraId="3D444417" w14:textId="77777777" w:rsidR="00B51524" w:rsidRDefault="004E6350" w:rsidP="00D76362">
            <w:pPr>
              <w:jc w:val="center"/>
              <w:rPr>
                <w:rFonts w:ascii="Arial" w:hAnsi="Arial" w:cs="Arial"/>
                <w:sz w:val="22"/>
                <w:szCs w:val="22"/>
              </w:rPr>
            </w:pPr>
            <w:r w:rsidRPr="00D51029">
              <w:rPr>
                <w:rFonts w:ascii="Arial" w:hAnsi="Arial" w:cs="Arial"/>
                <w:sz w:val="22"/>
                <w:szCs w:val="22"/>
              </w:rPr>
              <w:t xml:space="preserve">Cost at </w:t>
            </w:r>
          </w:p>
          <w:p w14:paraId="7EF4FA7F" w14:textId="77777777" w:rsidR="004E6350" w:rsidRPr="00D51029" w:rsidRDefault="004E6350" w:rsidP="00D76362">
            <w:pPr>
              <w:jc w:val="center"/>
              <w:rPr>
                <w:rFonts w:ascii="Arial" w:hAnsi="Arial" w:cs="Arial"/>
                <w:sz w:val="22"/>
                <w:szCs w:val="22"/>
              </w:rPr>
            </w:pPr>
            <w:r w:rsidRPr="00D51029">
              <w:rPr>
                <w:rFonts w:ascii="Arial" w:hAnsi="Arial" w:cs="Arial"/>
                <w:sz w:val="22"/>
                <w:szCs w:val="22"/>
              </w:rPr>
              <w:t>$</w:t>
            </w:r>
            <w:r w:rsidR="00D76362" w:rsidRPr="00D51029">
              <w:rPr>
                <w:rFonts w:ascii="Arial" w:hAnsi="Arial" w:cs="Arial"/>
                <w:sz w:val="22"/>
                <w:szCs w:val="22"/>
              </w:rPr>
              <w:t>2</w:t>
            </w:r>
            <w:r w:rsidR="00D76362">
              <w:rPr>
                <w:rFonts w:ascii="Arial" w:hAnsi="Arial" w:cs="Arial"/>
                <w:sz w:val="22"/>
                <w:szCs w:val="22"/>
              </w:rPr>
              <w:t>63</w:t>
            </w:r>
            <w:r w:rsidRPr="00D51029">
              <w:rPr>
                <w:rFonts w:ascii="Arial" w:hAnsi="Arial" w:cs="Arial"/>
                <w:sz w:val="22"/>
                <w:szCs w:val="22"/>
              </w:rPr>
              <w:t>/ hour ($)</w:t>
            </w:r>
          </w:p>
        </w:tc>
      </w:tr>
      <w:tr w:rsidR="004E6350" w:rsidRPr="00D51029" w14:paraId="677B3479" w14:textId="77777777" w:rsidTr="000041F4">
        <w:tc>
          <w:tcPr>
            <w:tcW w:w="2520" w:type="dxa"/>
          </w:tcPr>
          <w:p w14:paraId="47BD2E97" w14:textId="77777777" w:rsidR="004E6350" w:rsidRPr="00D51029" w:rsidRDefault="004E6350" w:rsidP="000041F4">
            <w:pPr>
              <w:jc w:val="center"/>
              <w:rPr>
                <w:rFonts w:ascii="Arial" w:hAnsi="Arial" w:cs="Arial"/>
                <w:sz w:val="22"/>
                <w:szCs w:val="22"/>
              </w:rPr>
            </w:pPr>
          </w:p>
          <w:p w14:paraId="3FB13CE8" w14:textId="77777777" w:rsidR="004E6350" w:rsidRPr="00D51029" w:rsidRDefault="004E6350" w:rsidP="000041F4">
            <w:pPr>
              <w:rPr>
                <w:rFonts w:ascii="Arial" w:hAnsi="Arial" w:cs="Arial"/>
                <w:sz w:val="22"/>
                <w:szCs w:val="22"/>
              </w:rPr>
            </w:pPr>
            <w:r w:rsidRPr="00D51029">
              <w:rPr>
                <w:rFonts w:ascii="Arial" w:hAnsi="Arial" w:cs="Arial"/>
                <w:sz w:val="22"/>
                <w:szCs w:val="22"/>
              </w:rPr>
              <w:t xml:space="preserve">Retention of Records in an Auditable and Retrievable Form and </w:t>
            </w:r>
            <w:r>
              <w:rPr>
                <w:rFonts w:ascii="Arial" w:hAnsi="Arial" w:cs="Arial"/>
                <w:sz w:val="22"/>
                <w:szCs w:val="22"/>
              </w:rPr>
              <w:t>UFSAR</w:t>
            </w:r>
            <w:r w:rsidRPr="00D51029">
              <w:rPr>
                <w:rFonts w:ascii="Arial" w:hAnsi="Arial" w:cs="Arial"/>
                <w:sz w:val="22"/>
                <w:szCs w:val="22"/>
              </w:rPr>
              <w:t xml:space="preserve"> Updates</w:t>
            </w:r>
          </w:p>
          <w:p w14:paraId="0D7A7942" w14:textId="77777777" w:rsidR="004E6350" w:rsidRPr="00D51029" w:rsidRDefault="004E6350" w:rsidP="000041F4">
            <w:pPr>
              <w:rPr>
                <w:rFonts w:ascii="Arial" w:hAnsi="Arial" w:cs="Arial"/>
                <w:sz w:val="22"/>
                <w:szCs w:val="22"/>
              </w:rPr>
            </w:pPr>
            <w:r w:rsidRPr="00D51029">
              <w:rPr>
                <w:rFonts w:ascii="Arial" w:hAnsi="Arial" w:cs="Arial"/>
                <w:sz w:val="22"/>
                <w:szCs w:val="22"/>
              </w:rPr>
              <w:t>(54.37)</w:t>
            </w:r>
          </w:p>
          <w:p w14:paraId="2E8A9ED0" w14:textId="77777777" w:rsidR="004E6350" w:rsidRPr="00D51029" w:rsidRDefault="004E6350" w:rsidP="000041F4">
            <w:pPr>
              <w:jc w:val="center"/>
              <w:rPr>
                <w:rFonts w:ascii="Arial" w:hAnsi="Arial" w:cs="Arial"/>
                <w:sz w:val="22"/>
                <w:szCs w:val="22"/>
              </w:rPr>
            </w:pPr>
          </w:p>
        </w:tc>
        <w:tc>
          <w:tcPr>
            <w:tcW w:w="1935" w:type="dxa"/>
            <w:vAlign w:val="center"/>
          </w:tcPr>
          <w:p w14:paraId="16FB5021" w14:textId="77777777" w:rsidR="004E6350" w:rsidRPr="00D51029" w:rsidRDefault="004E6350" w:rsidP="00575890">
            <w:pPr>
              <w:jc w:val="right"/>
              <w:rPr>
                <w:rFonts w:ascii="Arial" w:hAnsi="Arial" w:cs="Arial"/>
                <w:sz w:val="22"/>
                <w:szCs w:val="22"/>
              </w:rPr>
            </w:pPr>
            <w:r w:rsidRPr="00D51029">
              <w:rPr>
                <w:rFonts w:ascii="Arial" w:hAnsi="Arial" w:cs="Arial"/>
                <w:sz w:val="22"/>
                <w:szCs w:val="22"/>
              </w:rPr>
              <w:t>5</w:t>
            </w:r>
            <w:r w:rsidR="00575890">
              <w:rPr>
                <w:rFonts w:ascii="Arial" w:hAnsi="Arial" w:cs="Arial"/>
                <w:sz w:val="22"/>
                <w:szCs w:val="22"/>
              </w:rPr>
              <w:t>8</w:t>
            </w:r>
          </w:p>
        </w:tc>
        <w:tc>
          <w:tcPr>
            <w:tcW w:w="1485" w:type="dxa"/>
            <w:vAlign w:val="center"/>
          </w:tcPr>
          <w:p w14:paraId="423DCF2A" w14:textId="77777777" w:rsidR="004E6350" w:rsidRPr="00D51029" w:rsidRDefault="004E6350" w:rsidP="000041F4">
            <w:pPr>
              <w:jc w:val="right"/>
              <w:rPr>
                <w:rFonts w:ascii="Arial" w:hAnsi="Arial" w:cs="Arial"/>
                <w:sz w:val="22"/>
                <w:szCs w:val="22"/>
              </w:rPr>
            </w:pPr>
            <w:r w:rsidRPr="00D51029">
              <w:rPr>
                <w:rFonts w:ascii="Arial" w:hAnsi="Arial" w:cs="Arial"/>
                <w:sz w:val="22"/>
                <w:szCs w:val="22"/>
              </w:rPr>
              <w:t>1</w:t>
            </w:r>
            <w:r w:rsidR="00690DF0">
              <w:rPr>
                <w:rFonts w:ascii="Arial" w:hAnsi="Arial" w:cs="Arial"/>
                <w:sz w:val="22"/>
                <w:szCs w:val="22"/>
              </w:rPr>
              <w:t>,</w:t>
            </w:r>
            <w:r w:rsidRPr="00D51029">
              <w:rPr>
                <w:rFonts w:ascii="Arial" w:hAnsi="Arial" w:cs="Arial"/>
                <w:sz w:val="22"/>
                <w:szCs w:val="22"/>
              </w:rPr>
              <w:t>000</w:t>
            </w:r>
          </w:p>
        </w:tc>
        <w:tc>
          <w:tcPr>
            <w:tcW w:w="1620" w:type="dxa"/>
            <w:vAlign w:val="center"/>
          </w:tcPr>
          <w:p w14:paraId="58415B8B" w14:textId="77777777" w:rsidR="004E6350" w:rsidRPr="00D51029" w:rsidRDefault="004E6350" w:rsidP="00575890">
            <w:pPr>
              <w:jc w:val="right"/>
              <w:rPr>
                <w:rFonts w:ascii="Arial" w:hAnsi="Arial" w:cs="Arial"/>
                <w:sz w:val="22"/>
                <w:szCs w:val="22"/>
              </w:rPr>
            </w:pPr>
            <w:r w:rsidRPr="00D51029">
              <w:rPr>
                <w:rFonts w:ascii="Arial" w:hAnsi="Arial" w:cs="Arial"/>
                <w:sz w:val="22"/>
                <w:szCs w:val="22"/>
              </w:rPr>
              <w:t>5</w:t>
            </w:r>
            <w:r w:rsidR="00575890">
              <w:rPr>
                <w:rFonts w:ascii="Arial" w:hAnsi="Arial" w:cs="Arial"/>
                <w:sz w:val="22"/>
                <w:szCs w:val="22"/>
              </w:rPr>
              <w:t>8</w:t>
            </w:r>
            <w:r w:rsidRPr="00D51029">
              <w:rPr>
                <w:rFonts w:ascii="Arial" w:hAnsi="Arial" w:cs="Arial"/>
                <w:sz w:val="22"/>
                <w:szCs w:val="22"/>
              </w:rPr>
              <w:t>,000</w:t>
            </w:r>
          </w:p>
        </w:tc>
        <w:tc>
          <w:tcPr>
            <w:tcW w:w="1800" w:type="dxa"/>
            <w:vAlign w:val="center"/>
          </w:tcPr>
          <w:p w14:paraId="5E61C2CE" w14:textId="77777777" w:rsidR="00C5773C" w:rsidRPr="00D51029" w:rsidRDefault="00690DF0" w:rsidP="00CF5638">
            <w:pPr>
              <w:jc w:val="center"/>
              <w:rPr>
                <w:rFonts w:ascii="Arial" w:hAnsi="Arial" w:cs="Arial"/>
                <w:sz w:val="22"/>
                <w:szCs w:val="22"/>
              </w:rPr>
            </w:pPr>
            <w:r>
              <w:rPr>
                <w:rFonts w:ascii="Arial" w:hAnsi="Arial" w:cs="Arial"/>
                <w:sz w:val="22"/>
                <w:szCs w:val="22"/>
              </w:rPr>
              <w:t>$</w:t>
            </w:r>
            <w:r w:rsidR="00C5773C">
              <w:rPr>
                <w:rFonts w:ascii="Arial" w:hAnsi="Arial" w:cs="Arial"/>
                <w:sz w:val="22"/>
                <w:szCs w:val="22"/>
              </w:rPr>
              <w:t>1</w:t>
            </w:r>
            <w:r w:rsidR="00575890">
              <w:rPr>
                <w:rFonts w:ascii="Arial" w:hAnsi="Arial" w:cs="Arial"/>
                <w:sz w:val="22"/>
                <w:szCs w:val="22"/>
              </w:rPr>
              <w:t>5</w:t>
            </w:r>
            <w:r w:rsidR="00C5773C">
              <w:rPr>
                <w:rFonts w:ascii="Arial" w:hAnsi="Arial" w:cs="Arial"/>
                <w:sz w:val="22"/>
                <w:szCs w:val="22"/>
              </w:rPr>
              <w:t>,</w:t>
            </w:r>
            <w:r w:rsidR="00575890">
              <w:rPr>
                <w:rFonts w:ascii="Arial" w:hAnsi="Arial" w:cs="Arial"/>
                <w:sz w:val="22"/>
                <w:szCs w:val="22"/>
              </w:rPr>
              <w:t>254</w:t>
            </w:r>
            <w:r w:rsidR="00C5773C">
              <w:rPr>
                <w:rFonts w:ascii="Arial" w:hAnsi="Arial" w:cs="Arial"/>
                <w:sz w:val="22"/>
                <w:szCs w:val="22"/>
              </w:rPr>
              <w:t>,000</w:t>
            </w:r>
          </w:p>
        </w:tc>
      </w:tr>
    </w:tbl>
    <w:p w14:paraId="7C98E56A"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0A5FD16" w14:textId="77777777" w:rsidR="004E6350" w:rsidRPr="00D51029" w:rsidRDefault="004E6350" w:rsidP="004E6350">
      <w:pPr>
        <w:rPr>
          <w:rFonts w:ascii="Arial" w:hAnsi="Arial" w:cs="Arial"/>
          <w:sz w:val="22"/>
          <w:szCs w:val="22"/>
        </w:rPr>
      </w:pPr>
      <w:r w:rsidRPr="00D51029">
        <w:rPr>
          <w:rFonts w:ascii="Arial" w:hAnsi="Arial" w:cs="Arial"/>
          <w:sz w:val="22"/>
          <w:szCs w:val="22"/>
        </w:rPr>
        <w:t>TOTAL ANNUAL BURDEN / COST:  22</w:t>
      </w:r>
      <w:r w:rsidR="002B3A8B">
        <w:rPr>
          <w:rFonts w:ascii="Arial" w:hAnsi="Arial" w:cs="Arial"/>
          <w:sz w:val="22"/>
          <w:szCs w:val="22"/>
        </w:rPr>
        <w:t>6</w:t>
      </w:r>
      <w:r w:rsidRPr="00D51029">
        <w:rPr>
          <w:rFonts w:ascii="Arial" w:hAnsi="Arial" w:cs="Arial"/>
          <w:sz w:val="22"/>
          <w:szCs w:val="22"/>
        </w:rPr>
        <w:t>,3</w:t>
      </w:r>
      <w:r w:rsidR="00FC1B42">
        <w:rPr>
          <w:rFonts w:ascii="Arial" w:hAnsi="Arial" w:cs="Arial"/>
          <w:sz w:val="22"/>
          <w:szCs w:val="22"/>
        </w:rPr>
        <w:t>2</w:t>
      </w:r>
      <w:r w:rsidR="003442F0">
        <w:rPr>
          <w:rFonts w:ascii="Arial" w:hAnsi="Arial" w:cs="Arial"/>
          <w:sz w:val="22"/>
          <w:szCs w:val="22"/>
        </w:rPr>
        <w:t>0</w:t>
      </w:r>
      <w:r w:rsidRPr="00D51029">
        <w:rPr>
          <w:rFonts w:ascii="Arial" w:hAnsi="Arial" w:cs="Arial"/>
          <w:sz w:val="22"/>
          <w:szCs w:val="22"/>
        </w:rPr>
        <w:t xml:space="preserve"> hours (168,3</w:t>
      </w:r>
      <w:r w:rsidR="00FC1B42">
        <w:rPr>
          <w:rFonts w:ascii="Arial" w:hAnsi="Arial" w:cs="Arial"/>
          <w:sz w:val="22"/>
          <w:szCs w:val="22"/>
        </w:rPr>
        <w:t>2</w:t>
      </w:r>
      <w:r w:rsidRPr="00D51029">
        <w:rPr>
          <w:rFonts w:ascii="Arial" w:hAnsi="Arial" w:cs="Arial"/>
          <w:sz w:val="22"/>
          <w:szCs w:val="22"/>
        </w:rPr>
        <w:t>0 hours reporting plus 5</w:t>
      </w:r>
      <w:r w:rsidR="00575890">
        <w:rPr>
          <w:rFonts w:ascii="Arial" w:hAnsi="Arial" w:cs="Arial"/>
          <w:sz w:val="22"/>
          <w:szCs w:val="22"/>
        </w:rPr>
        <w:t>8</w:t>
      </w:r>
      <w:r w:rsidRPr="00D51029">
        <w:rPr>
          <w:rFonts w:ascii="Arial" w:hAnsi="Arial" w:cs="Arial"/>
          <w:sz w:val="22"/>
          <w:szCs w:val="22"/>
        </w:rPr>
        <w:t>,000 hours recordkeeping) / $59,</w:t>
      </w:r>
      <w:r w:rsidR="001A5698">
        <w:rPr>
          <w:rFonts w:ascii="Arial" w:hAnsi="Arial" w:cs="Arial"/>
          <w:sz w:val="22"/>
          <w:szCs w:val="22"/>
        </w:rPr>
        <w:t>522</w:t>
      </w:r>
      <w:r w:rsidR="003442F0">
        <w:rPr>
          <w:rFonts w:ascii="Arial" w:hAnsi="Arial" w:cs="Arial"/>
          <w:sz w:val="22"/>
          <w:szCs w:val="22"/>
        </w:rPr>
        <w:t>,</w:t>
      </w:r>
      <w:r w:rsidR="001A5698">
        <w:rPr>
          <w:rFonts w:ascii="Arial" w:hAnsi="Arial" w:cs="Arial"/>
          <w:sz w:val="22"/>
          <w:szCs w:val="22"/>
        </w:rPr>
        <w:t>16</w:t>
      </w:r>
      <w:r w:rsidR="003442F0">
        <w:rPr>
          <w:rFonts w:ascii="Arial" w:hAnsi="Arial" w:cs="Arial"/>
          <w:sz w:val="22"/>
          <w:szCs w:val="22"/>
        </w:rPr>
        <w:t>0</w:t>
      </w:r>
    </w:p>
    <w:p w14:paraId="4AEAE5EC" w14:textId="77777777" w:rsidR="004E6350" w:rsidRPr="00D51029" w:rsidRDefault="004E6350" w:rsidP="004E6350">
      <w:pPr>
        <w:rPr>
          <w:rFonts w:ascii="Arial" w:hAnsi="Arial" w:cs="Arial"/>
          <w:sz w:val="22"/>
          <w:szCs w:val="22"/>
          <w:highlight w:val="yellow"/>
        </w:rPr>
      </w:pPr>
    </w:p>
    <w:p w14:paraId="3A139AD0" w14:textId="786AB09A" w:rsidR="004E6350" w:rsidRDefault="004E6350" w:rsidP="004E6350">
      <w:pPr>
        <w:rPr>
          <w:rFonts w:ascii="Arial" w:hAnsi="Arial" w:cs="Arial"/>
          <w:sz w:val="22"/>
          <w:szCs w:val="22"/>
        </w:rPr>
      </w:pPr>
      <w:r w:rsidRPr="00D51029">
        <w:rPr>
          <w:rFonts w:ascii="Arial" w:hAnsi="Arial" w:cs="Arial"/>
          <w:sz w:val="22"/>
          <w:szCs w:val="22"/>
        </w:rPr>
        <w:t xml:space="preserve">TOTAL ANNUAL RESPONDENTS: </w:t>
      </w:r>
      <w:r>
        <w:rPr>
          <w:rFonts w:ascii="Arial" w:hAnsi="Arial" w:cs="Arial"/>
          <w:sz w:val="22"/>
          <w:szCs w:val="22"/>
        </w:rPr>
        <w:t xml:space="preserve"> </w:t>
      </w:r>
      <w:r w:rsidR="00934CAB">
        <w:rPr>
          <w:rFonts w:ascii="Arial" w:hAnsi="Arial" w:cs="Arial"/>
          <w:sz w:val="22"/>
          <w:szCs w:val="22"/>
        </w:rPr>
        <w:t>60</w:t>
      </w:r>
    </w:p>
    <w:p w14:paraId="37787DBD" w14:textId="77777777" w:rsidR="003D3FFB" w:rsidRPr="00D51029" w:rsidRDefault="003D3FFB" w:rsidP="004E6350">
      <w:pPr>
        <w:rPr>
          <w:rFonts w:ascii="Arial" w:hAnsi="Arial" w:cs="Arial"/>
          <w:sz w:val="22"/>
          <w:szCs w:val="22"/>
        </w:rPr>
      </w:pPr>
    </w:p>
    <w:p w14:paraId="1D26DF0D" w14:textId="3743EB3A"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51029">
        <w:rPr>
          <w:rFonts w:ascii="Arial" w:hAnsi="Arial" w:cs="Arial"/>
          <w:sz w:val="22"/>
          <w:szCs w:val="22"/>
        </w:rPr>
        <w:t xml:space="preserve">TOTAL ANNUAL RESPONSES: </w:t>
      </w:r>
      <w:r>
        <w:rPr>
          <w:rFonts w:ascii="Arial" w:hAnsi="Arial" w:cs="Arial"/>
          <w:sz w:val="22"/>
          <w:szCs w:val="22"/>
        </w:rPr>
        <w:t xml:space="preserve"> </w:t>
      </w:r>
      <w:r w:rsidR="00D65126">
        <w:rPr>
          <w:rFonts w:ascii="Arial" w:hAnsi="Arial" w:cs="Arial"/>
          <w:sz w:val="22"/>
          <w:szCs w:val="22"/>
        </w:rPr>
        <w:t>6</w:t>
      </w:r>
      <w:r w:rsidR="000F513E">
        <w:rPr>
          <w:rFonts w:ascii="Arial" w:hAnsi="Arial" w:cs="Arial"/>
          <w:sz w:val="22"/>
          <w:szCs w:val="22"/>
        </w:rPr>
        <w:t>6</w:t>
      </w:r>
      <w:r w:rsidR="00D65126" w:rsidRPr="00D51029">
        <w:rPr>
          <w:rFonts w:ascii="Arial" w:hAnsi="Arial" w:cs="Arial"/>
          <w:sz w:val="22"/>
          <w:szCs w:val="22"/>
        </w:rPr>
        <w:t xml:space="preserve"> </w:t>
      </w:r>
      <w:r w:rsidRPr="00D51029">
        <w:rPr>
          <w:rFonts w:ascii="Arial" w:hAnsi="Arial" w:cs="Arial"/>
          <w:sz w:val="22"/>
          <w:szCs w:val="22"/>
        </w:rPr>
        <w:t>(2 license renewal applications for 10 CFR Part 54</w:t>
      </w:r>
      <w:r>
        <w:rPr>
          <w:rFonts w:ascii="Arial" w:hAnsi="Arial" w:cs="Arial"/>
          <w:sz w:val="22"/>
          <w:szCs w:val="22"/>
        </w:rPr>
        <w:t xml:space="preserve"> </w:t>
      </w:r>
      <w:r w:rsidRPr="00D51029">
        <w:rPr>
          <w:rFonts w:ascii="Arial" w:hAnsi="Arial" w:cs="Arial"/>
          <w:sz w:val="22"/>
          <w:szCs w:val="22"/>
        </w:rPr>
        <w:t>+</w:t>
      </w:r>
      <w:r w:rsidR="00D65126">
        <w:rPr>
          <w:rFonts w:ascii="Arial" w:hAnsi="Arial" w:cs="Arial"/>
          <w:sz w:val="22"/>
          <w:szCs w:val="22"/>
        </w:rPr>
        <w:t xml:space="preserve"> </w:t>
      </w:r>
      <w:r w:rsidR="00B57E41">
        <w:rPr>
          <w:rFonts w:ascii="Arial" w:hAnsi="Arial" w:cs="Arial"/>
          <w:sz w:val="22"/>
          <w:szCs w:val="22"/>
        </w:rPr>
        <w:t>4</w:t>
      </w:r>
      <w:r w:rsidR="00D65126">
        <w:rPr>
          <w:rFonts w:ascii="Arial" w:hAnsi="Arial" w:cs="Arial"/>
          <w:sz w:val="22"/>
          <w:szCs w:val="22"/>
        </w:rPr>
        <w:t xml:space="preserve"> amendments +</w:t>
      </w:r>
      <w:r w:rsidRPr="00D51029">
        <w:rPr>
          <w:rFonts w:ascii="Arial" w:hAnsi="Arial" w:cs="Arial"/>
          <w:sz w:val="22"/>
          <w:szCs w:val="22"/>
        </w:rPr>
        <w:t xml:space="preserve"> </w:t>
      </w:r>
      <w:r w:rsidR="00347BDF">
        <w:rPr>
          <w:rFonts w:ascii="Arial" w:hAnsi="Arial" w:cs="Arial"/>
          <w:sz w:val="22"/>
          <w:szCs w:val="22"/>
        </w:rPr>
        <w:t>2</w:t>
      </w:r>
      <w:r w:rsidR="003442F0" w:rsidRPr="00D51029">
        <w:rPr>
          <w:rFonts w:ascii="Arial" w:hAnsi="Arial" w:cs="Arial"/>
          <w:sz w:val="22"/>
          <w:szCs w:val="22"/>
        </w:rPr>
        <w:t xml:space="preserve"> </w:t>
      </w:r>
      <w:r w:rsidRPr="00D51029">
        <w:rPr>
          <w:rFonts w:ascii="Arial" w:hAnsi="Arial" w:cs="Arial"/>
          <w:sz w:val="22"/>
          <w:szCs w:val="22"/>
        </w:rPr>
        <w:t>completion letters</w:t>
      </w:r>
      <w:r w:rsidR="00104384">
        <w:rPr>
          <w:rFonts w:ascii="Arial" w:hAnsi="Arial" w:cs="Arial"/>
          <w:sz w:val="22"/>
          <w:szCs w:val="22"/>
        </w:rPr>
        <w:t xml:space="preserve"> + </w:t>
      </w:r>
      <w:r w:rsidR="00104384" w:rsidRPr="00D51029">
        <w:rPr>
          <w:rFonts w:ascii="Arial" w:hAnsi="Arial" w:cs="Arial"/>
          <w:sz w:val="22"/>
          <w:szCs w:val="22"/>
        </w:rPr>
        <w:t>5</w:t>
      </w:r>
      <w:r w:rsidR="00104384">
        <w:rPr>
          <w:rFonts w:ascii="Arial" w:hAnsi="Arial" w:cs="Arial"/>
          <w:sz w:val="22"/>
          <w:szCs w:val="22"/>
        </w:rPr>
        <w:t>8</w:t>
      </w:r>
      <w:r w:rsidR="00104384" w:rsidRPr="00D51029">
        <w:rPr>
          <w:rFonts w:ascii="Arial" w:hAnsi="Arial" w:cs="Arial"/>
          <w:sz w:val="22"/>
          <w:szCs w:val="22"/>
        </w:rPr>
        <w:t xml:space="preserve"> recordkeepers</w:t>
      </w:r>
      <w:r w:rsidRPr="00D51029">
        <w:rPr>
          <w:rFonts w:ascii="Arial" w:hAnsi="Arial" w:cs="Arial"/>
          <w:sz w:val="22"/>
          <w:szCs w:val="22"/>
        </w:rPr>
        <w:t>)</w:t>
      </w:r>
    </w:p>
    <w:p w14:paraId="7747C61E" w14:textId="77777777" w:rsidR="004E6350" w:rsidRPr="00D51029" w:rsidRDefault="004E6350" w:rsidP="004E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7886948" w14:textId="77777777" w:rsidR="004E6350" w:rsidRPr="00D51029" w:rsidRDefault="004E6350" w:rsidP="004E635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73BB6B6" w14:textId="77777777" w:rsidR="001751B0" w:rsidRDefault="001751B0">
      <w:pPr>
        <w:autoSpaceDE/>
        <w:autoSpaceDN/>
        <w:adjustRightInd/>
        <w:spacing w:after="160" w:line="259" w:lineRule="auto"/>
      </w:pPr>
      <w:r>
        <w:br w:type="page"/>
      </w:r>
    </w:p>
    <w:p w14:paraId="78DD4FDC" w14:textId="77777777" w:rsidR="001751B0" w:rsidRDefault="001751B0" w:rsidP="001751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5D4DB2C4" w14:textId="77777777" w:rsidR="001751B0" w:rsidRDefault="001751B0" w:rsidP="001751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DESCRIPTION OF INFORMATION COLLECTION REQUIREMENTS</w:t>
      </w:r>
    </w:p>
    <w:p w14:paraId="08CFEF2F" w14:textId="77777777" w:rsidR="001751B0" w:rsidRDefault="001751B0" w:rsidP="001751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 xml:space="preserve">CONTAINED IN </w:t>
      </w:r>
    </w:p>
    <w:p w14:paraId="2C1799B8" w14:textId="77777777" w:rsidR="001751B0" w:rsidRDefault="001751B0" w:rsidP="001751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070F1CD" w14:textId="77777777" w:rsidR="001751B0" w:rsidRPr="00D51029" w:rsidRDefault="001751B0" w:rsidP="001751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10 CFR</w:t>
      </w:r>
      <w:r w:rsidRPr="00D51029">
        <w:rPr>
          <w:rFonts w:ascii="Arial" w:hAnsi="Arial" w:cs="Arial"/>
          <w:sz w:val="22"/>
          <w:szCs w:val="22"/>
        </w:rPr>
        <w:t xml:space="preserve"> PART 54</w:t>
      </w:r>
    </w:p>
    <w:p w14:paraId="27F903AA" w14:textId="77777777" w:rsidR="001751B0" w:rsidRPr="00D51029" w:rsidRDefault="001751B0" w:rsidP="001751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D51029">
        <w:rPr>
          <w:rFonts w:ascii="Arial" w:hAnsi="Arial" w:cs="Arial"/>
          <w:sz w:val="22"/>
          <w:szCs w:val="22"/>
        </w:rPr>
        <w:t>REQUIREMENTS FOR RENEWAL OF OPERATING LICENSES FOR</w:t>
      </w:r>
    </w:p>
    <w:p w14:paraId="170E6175" w14:textId="77777777" w:rsidR="001751B0" w:rsidRPr="00D51029" w:rsidRDefault="001751B0" w:rsidP="001751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D51029">
        <w:rPr>
          <w:rFonts w:ascii="Arial" w:hAnsi="Arial" w:cs="Arial"/>
          <w:sz w:val="22"/>
          <w:szCs w:val="22"/>
        </w:rPr>
        <w:t>NUCLEAR POWER PLANTS</w:t>
      </w:r>
    </w:p>
    <w:p w14:paraId="1DBD9109" w14:textId="77777777" w:rsidR="001751B0" w:rsidRPr="00D51029" w:rsidRDefault="001751B0" w:rsidP="001751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D51029">
        <w:rPr>
          <w:rFonts w:ascii="Arial" w:hAnsi="Arial" w:cs="Arial"/>
          <w:sz w:val="22"/>
          <w:szCs w:val="22"/>
        </w:rPr>
        <w:t>3150-0155</w:t>
      </w:r>
    </w:p>
    <w:p w14:paraId="0C71BD58" w14:textId="77777777" w:rsidR="001751B0" w:rsidRDefault="001751B0" w:rsidP="001751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u w:val="single"/>
        </w:rPr>
      </w:pPr>
    </w:p>
    <w:p w14:paraId="02799FDB" w14:textId="77777777" w:rsidR="001751B0" w:rsidRDefault="001751B0" w:rsidP="001751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u w:val="single"/>
        </w:rPr>
      </w:pPr>
    </w:p>
    <w:p w14:paraId="0EF64198" w14:textId="77777777" w:rsidR="001751B0" w:rsidRPr="00D51029" w:rsidRDefault="001751B0" w:rsidP="00CF5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u w:val="single"/>
        </w:rPr>
        <w:t>Section 54.13</w:t>
      </w:r>
      <w:r w:rsidRPr="00D51029">
        <w:rPr>
          <w:rFonts w:ascii="Arial" w:hAnsi="Arial" w:cs="Arial"/>
          <w:sz w:val="22"/>
          <w:szCs w:val="22"/>
        </w:rPr>
        <w:t xml:space="preserve"> states information completeness and accuracy requirements.  Specifically, Paragraph (b) requires each applicant to notify the Commission of information identified by the applicant as having, for the regulated activity, significant implication for public health and safety or the common defense and security.  Such notification must be made within two working days of identifying the information.  The NRC needs this information so that it may take appropriate actions, as required, to protect the public’s health and safety.  Applicants will report this information as necessary to comply with the regulation.</w:t>
      </w:r>
    </w:p>
    <w:p w14:paraId="183F1E12" w14:textId="77777777" w:rsidR="001751B0" w:rsidRPr="00D51029" w:rsidRDefault="001751B0" w:rsidP="001751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714559" w14:textId="77777777" w:rsidR="001751B0" w:rsidRPr="00D51029" w:rsidRDefault="001751B0" w:rsidP="00CF5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u w:val="single"/>
        </w:rPr>
        <w:t>Section 54.15</w:t>
      </w:r>
      <w:r w:rsidRPr="00D51029">
        <w:rPr>
          <w:rFonts w:ascii="Arial" w:hAnsi="Arial" w:cs="Arial"/>
          <w:sz w:val="22"/>
          <w:szCs w:val="22"/>
        </w:rPr>
        <w:t xml:space="preserve"> permits the NRC, in accordance with 10 CFR 50.12, to grant exemptions from 10</w:t>
      </w:r>
      <w:r w:rsidR="00E339E6">
        <w:rPr>
          <w:rFonts w:ascii="Arial" w:hAnsi="Arial" w:cs="Arial"/>
          <w:sz w:val="22"/>
          <w:szCs w:val="22"/>
        </w:rPr>
        <w:t> </w:t>
      </w:r>
      <w:r w:rsidRPr="00D51029">
        <w:rPr>
          <w:rFonts w:ascii="Arial" w:hAnsi="Arial" w:cs="Arial"/>
          <w:sz w:val="22"/>
          <w:szCs w:val="22"/>
        </w:rPr>
        <w:t>CFR Part 54 requirements.  The Commission, upon application by any interested person or upon its own initiative, may grant the exemptions.</w:t>
      </w:r>
      <w:r>
        <w:rPr>
          <w:rFonts w:ascii="Arial" w:hAnsi="Arial" w:cs="Arial"/>
          <w:sz w:val="22"/>
          <w:szCs w:val="22"/>
        </w:rPr>
        <w:t xml:space="preserve"> </w:t>
      </w:r>
      <w:r w:rsidRPr="00D51029">
        <w:rPr>
          <w:rFonts w:ascii="Arial" w:hAnsi="Arial" w:cs="Arial"/>
          <w:sz w:val="22"/>
          <w:szCs w:val="22"/>
        </w:rPr>
        <w:t xml:space="preserve"> The NRC requires the information so that it can determine whether an exemption is warranted.</w:t>
      </w:r>
    </w:p>
    <w:p w14:paraId="3C7E32A3" w14:textId="77777777" w:rsidR="001751B0" w:rsidRPr="00D51029" w:rsidRDefault="001751B0" w:rsidP="00CF5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14:paraId="50695FBF" w14:textId="77777777" w:rsidR="001751B0" w:rsidRPr="00D51029" w:rsidRDefault="001751B0" w:rsidP="00CF5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u w:val="single"/>
        </w:rPr>
        <w:t>Section 54.17</w:t>
      </w:r>
      <w:r w:rsidRPr="00D51029">
        <w:rPr>
          <w:rFonts w:ascii="Arial" w:hAnsi="Arial" w:cs="Arial"/>
          <w:sz w:val="22"/>
          <w:szCs w:val="22"/>
        </w:rPr>
        <w:t xml:space="preserve"> states requirements for renewal application filing:</w:t>
      </w:r>
    </w:p>
    <w:p w14:paraId="758AF5A1" w14:textId="77777777" w:rsidR="001751B0" w:rsidRPr="00D51029" w:rsidRDefault="001751B0" w:rsidP="00CF5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FE1A1F" w14:textId="77777777" w:rsidR="001751B0" w:rsidRPr="00D51029" w:rsidRDefault="001751B0" w:rsidP="00E339E6">
      <w:pPr>
        <w:tabs>
          <w:tab w:val="left" w:pos="-360"/>
          <w:tab w:val="left" w:pos="540"/>
          <w:tab w:val="left" w:pos="1440"/>
          <w:tab w:val="left" w:pos="216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rPr>
        <w:t xml:space="preserve">Paragraph (a) requires the filing to be in accordance with Subpart A of </w:t>
      </w:r>
      <w:r>
        <w:rPr>
          <w:rFonts w:ascii="Arial" w:hAnsi="Arial" w:cs="Arial"/>
          <w:sz w:val="22"/>
          <w:szCs w:val="22"/>
        </w:rPr>
        <w:t xml:space="preserve">  </w:t>
      </w:r>
      <w:r w:rsidR="002D7D49">
        <w:rPr>
          <w:rFonts w:ascii="Arial" w:hAnsi="Arial" w:cs="Arial"/>
          <w:sz w:val="22"/>
          <w:szCs w:val="22"/>
        </w:rPr>
        <w:t xml:space="preserve">10 CFR Part 2 </w:t>
      </w:r>
      <w:r w:rsidRPr="00D51029">
        <w:rPr>
          <w:rFonts w:ascii="Arial" w:hAnsi="Arial" w:cs="Arial"/>
          <w:sz w:val="22"/>
          <w:szCs w:val="22"/>
        </w:rPr>
        <w:t>and 10</w:t>
      </w:r>
      <w:r w:rsidR="00E339E6">
        <w:rPr>
          <w:rFonts w:ascii="Arial" w:hAnsi="Arial" w:cs="Arial"/>
          <w:sz w:val="22"/>
          <w:szCs w:val="22"/>
        </w:rPr>
        <w:t> </w:t>
      </w:r>
      <w:r w:rsidRPr="00D51029">
        <w:rPr>
          <w:rFonts w:ascii="Arial" w:hAnsi="Arial" w:cs="Arial"/>
          <w:sz w:val="22"/>
          <w:szCs w:val="22"/>
        </w:rPr>
        <w:t>CFR 50.4 and 50.30.  This section establishes the procedural aspects for the filing whereas 10 CFR 54.19, 54.21, 54.22 and 54.23 addresses information to be included in the application, as described below.</w:t>
      </w:r>
    </w:p>
    <w:p w14:paraId="253D0230" w14:textId="77777777" w:rsidR="001751B0" w:rsidRPr="00D51029" w:rsidRDefault="001751B0" w:rsidP="00CF5638">
      <w:pPr>
        <w:tabs>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2"/>
          <w:szCs w:val="22"/>
        </w:rPr>
      </w:pPr>
    </w:p>
    <w:p w14:paraId="3089A6B5" w14:textId="77777777" w:rsidR="001751B0" w:rsidRPr="00D51029" w:rsidRDefault="001751B0" w:rsidP="00E339E6">
      <w:pPr>
        <w:tabs>
          <w:tab w:val="left" w:pos="-360"/>
          <w:tab w:val="left" w:pos="540"/>
          <w:tab w:val="left" w:pos="1440"/>
          <w:tab w:val="left" w:pos="216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rPr>
        <w:t xml:space="preserve">Paragraph (g) requires the license renewal applicant to agree in writing that it will not permit any individual access to Restricted Data or classified National Security Information until an investigation has been approved for such access under the provisions of 10 CFR Parts 25 and/or 95.  This information is necessary to assist the Commission in determining that permitting such </w:t>
      </w:r>
      <w:r w:rsidR="00362DF0" w:rsidRPr="00D51029">
        <w:rPr>
          <w:rFonts w:ascii="Arial" w:hAnsi="Arial" w:cs="Arial"/>
          <w:sz w:val="22"/>
          <w:szCs w:val="22"/>
        </w:rPr>
        <w:t>person’s</w:t>
      </w:r>
      <w:r w:rsidRPr="00D51029">
        <w:rPr>
          <w:rFonts w:ascii="Arial" w:hAnsi="Arial" w:cs="Arial"/>
          <w:sz w:val="22"/>
          <w:szCs w:val="22"/>
        </w:rPr>
        <w:t xml:space="preserve"> access to Restricted Data or classified National Security Information will not endanger the common defense and security.  OMB Clearance Nos. 3150-0046, 3150</w:t>
      </w:r>
      <w:r w:rsidR="00E339E6">
        <w:rPr>
          <w:rFonts w:ascii="Arial" w:hAnsi="Arial" w:cs="Arial"/>
          <w:sz w:val="22"/>
          <w:szCs w:val="22"/>
        </w:rPr>
        <w:noBreakHyphen/>
      </w:r>
      <w:r w:rsidRPr="00D51029">
        <w:rPr>
          <w:rFonts w:ascii="Arial" w:hAnsi="Arial" w:cs="Arial"/>
          <w:sz w:val="22"/>
          <w:szCs w:val="22"/>
        </w:rPr>
        <w:t>0</w:t>
      </w:r>
      <w:r w:rsidR="00362DF0">
        <w:rPr>
          <w:rFonts w:ascii="Arial" w:hAnsi="Arial" w:cs="Arial"/>
          <w:sz w:val="22"/>
          <w:szCs w:val="22"/>
        </w:rPr>
        <w:t>050, 3206-0007, 3150-0026, 3150</w:t>
      </w:r>
      <w:r w:rsidR="00362DF0">
        <w:rPr>
          <w:rFonts w:ascii="Arial" w:hAnsi="Arial" w:cs="Arial"/>
          <w:sz w:val="22"/>
          <w:szCs w:val="22"/>
        </w:rPr>
        <w:noBreakHyphen/>
      </w:r>
      <w:r w:rsidRPr="00D51029">
        <w:rPr>
          <w:rFonts w:ascii="Arial" w:hAnsi="Arial" w:cs="Arial"/>
          <w:sz w:val="22"/>
          <w:szCs w:val="22"/>
        </w:rPr>
        <w:t>0049, 3150-0051 cover information collection for 10</w:t>
      </w:r>
      <w:r w:rsidR="00E339E6">
        <w:rPr>
          <w:rFonts w:ascii="Arial" w:hAnsi="Arial" w:cs="Arial"/>
          <w:sz w:val="22"/>
          <w:szCs w:val="22"/>
        </w:rPr>
        <w:t> </w:t>
      </w:r>
      <w:r w:rsidRPr="00D51029">
        <w:rPr>
          <w:rFonts w:ascii="Arial" w:hAnsi="Arial" w:cs="Arial"/>
          <w:sz w:val="22"/>
          <w:szCs w:val="22"/>
        </w:rPr>
        <w:t>CFR Part 25, and OMB Clearance No. 3150-0047 covers information collection for 10</w:t>
      </w:r>
      <w:r w:rsidR="00E339E6">
        <w:rPr>
          <w:rFonts w:ascii="Arial" w:hAnsi="Arial" w:cs="Arial"/>
          <w:sz w:val="22"/>
          <w:szCs w:val="22"/>
        </w:rPr>
        <w:t> </w:t>
      </w:r>
      <w:r w:rsidRPr="00D51029">
        <w:rPr>
          <w:rFonts w:ascii="Arial" w:hAnsi="Arial" w:cs="Arial"/>
          <w:sz w:val="22"/>
          <w:szCs w:val="22"/>
        </w:rPr>
        <w:t>CFR</w:t>
      </w:r>
      <w:r w:rsidR="00E339E6">
        <w:rPr>
          <w:rFonts w:ascii="Arial" w:hAnsi="Arial" w:cs="Arial"/>
          <w:sz w:val="22"/>
          <w:szCs w:val="22"/>
        </w:rPr>
        <w:t> </w:t>
      </w:r>
      <w:r w:rsidRPr="00D51029">
        <w:rPr>
          <w:rFonts w:ascii="Arial" w:hAnsi="Arial" w:cs="Arial"/>
          <w:sz w:val="22"/>
          <w:szCs w:val="22"/>
        </w:rPr>
        <w:t>Part 95.  An applicant will report this information once per renewal application submission.</w:t>
      </w:r>
    </w:p>
    <w:p w14:paraId="2BCD3B3B" w14:textId="77777777" w:rsidR="001751B0" w:rsidRPr="00D51029" w:rsidRDefault="001751B0" w:rsidP="001751B0">
      <w:pPr>
        <w:tabs>
          <w:tab w:val="left" w:pos="-360"/>
          <w:tab w:val="left" w:pos="540"/>
          <w:tab w:val="left" w:pos="144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14:paraId="7B66193A" w14:textId="77777777" w:rsidR="001751B0" w:rsidRPr="00D51029" w:rsidRDefault="001751B0" w:rsidP="002D7D49">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u w:val="single"/>
        </w:rPr>
        <w:t>Section 54.19</w:t>
      </w:r>
      <w:r w:rsidRPr="00D51029">
        <w:rPr>
          <w:rFonts w:ascii="Arial" w:hAnsi="Arial" w:cs="Arial"/>
          <w:sz w:val="22"/>
          <w:szCs w:val="22"/>
        </w:rPr>
        <w:t xml:space="preserve"> states the general information required in the application:</w:t>
      </w:r>
    </w:p>
    <w:p w14:paraId="16E2BB43" w14:textId="77777777" w:rsidR="001751B0" w:rsidRPr="00D51029" w:rsidRDefault="001751B0" w:rsidP="00CF5638">
      <w:pPr>
        <w:tabs>
          <w:tab w:val="left" w:pos="-360"/>
          <w:tab w:val="left" w:pos="540"/>
          <w:tab w:val="left" w:pos="144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36B01E" w14:textId="77777777" w:rsidR="001751B0" w:rsidRPr="00D51029" w:rsidRDefault="001751B0" w:rsidP="00E339E6">
      <w:pPr>
        <w:tabs>
          <w:tab w:val="left" w:pos="-360"/>
          <w:tab w:val="left" w:pos="540"/>
          <w:tab w:val="left" w:pos="1440"/>
          <w:tab w:val="left" w:pos="216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rPr>
        <w:t>Paragraph (a) requires license renewal applicants to provide the information specified in 10</w:t>
      </w:r>
      <w:r w:rsidR="00E339E6">
        <w:rPr>
          <w:rFonts w:ascii="Arial" w:hAnsi="Arial" w:cs="Arial"/>
          <w:sz w:val="22"/>
          <w:szCs w:val="22"/>
        </w:rPr>
        <w:t> </w:t>
      </w:r>
      <w:r w:rsidRPr="00D51029">
        <w:rPr>
          <w:rFonts w:ascii="Arial" w:hAnsi="Arial" w:cs="Arial"/>
          <w:sz w:val="22"/>
          <w:szCs w:val="22"/>
        </w:rPr>
        <w:t>CFR 50.33(a) through (e), (h), and (i); the application may incorporate this information by reference.  The NRC needs this information to establish the continued validity, during the renewal term, of general information applicable during the original license.  An applicant will report this information once per renewal application submission.</w:t>
      </w:r>
    </w:p>
    <w:p w14:paraId="340F19E9" w14:textId="77777777" w:rsidR="001751B0" w:rsidRPr="00D51029" w:rsidRDefault="001751B0" w:rsidP="00CF5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w:hAnsi="Arial" w:cs="Arial"/>
          <w:sz w:val="22"/>
          <w:szCs w:val="22"/>
        </w:rPr>
      </w:pPr>
    </w:p>
    <w:p w14:paraId="4261BD29" w14:textId="77777777" w:rsidR="001751B0" w:rsidRPr="00D51029" w:rsidRDefault="001751B0" w:rsidP="00E339E6">
      <w:pPr>
        <w:tabs>
          <w:tab w:val="left" w:pos="-360"/>
          <w:tab w:val="left" w:pos="540"/>
          <w:tab w:val="left" w:pos="1440"/>
          <w:tab w:val="left" w:pos="216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rPr>
        <w:t>Paragraph (b) requires each renewal application to include conforming changes to the standard indemnity agreement in 10 CFR 140.92, Appendix B.  This information is necessary to account for the expiration term of the proposed renewed license.  An applicant will report this information once per renewal application submission.</w:t>
      </w:r>
    </w:p>
    <w:p w14:paraId="3AA2AC9B" w14:textId="77777777" w:rsidR="001751B0" w:rsidRPr="00D51029" w:rsidRDefault="001751B0" w:rsidP="001751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rPr>
        <w:t xml:space="preserve"> </w:t>
      </w:r>
    </w:p>
    <w:p w14:paraId="0DC48091" w14:textId="77777777" w:rsidR="001751B0" w:rsidRPr="00D51029" w:rsidRDefault="001751B0" w:rsidP="00E339E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u w:val="single"/>
        </w:rPr>
        <w:t>Section 54.21</w:t>
      </w:r>
      <w:r w:rsidRPr="00D51029">
        <w:rPr>
          <w:rFonts w:ascii="Arial" w:hAnsi="Arial" w:cs="Arial"/>
          <w:sz w:val="22"/>
          <w:szCs w:val="22"/>
        </w:rPr>
        <w:t xml:space="preserve"> states requirements for the application’s technical information:</w:t>
      </w:r>
    </w:p>
    <w:p w14:paraId="4684EE60" w14:textId="77777777" w:rsidR="001751B0" w:rsidRPr="00D51029" w:rsidRDefault="001751B0" w:rsidP="00CF5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cs="Arial"/>
          <w:sz w:val="22"/>
          <w:szCs w:val="22"/>
        </w:rPr>
      </w:pPr>
    </w:p>
    <w:p w14:paraId="74B9BF73" w14:textId="77777777" w:rsidR="001751B0" w:rsidRPr="00D51029" w:rsidRDefault="001751B0" w:rsidP="00E339E6">
      <w:pPr>
        <w:keepNext/>
        <w:tabs>
          <w:tab w:val="left" w:pos="-360"/>
          <w:tab w:val="left" w:pos="540"/>
          <w:tab w:val="left" w:pos="1440"/>
          <w:tab w:val="left" w:pos="216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rPr>
        <w:t>Paragraph (a) requires an integrated plant assessment to identify and list those SSCs subject to an aging management review.  The integrated plant assessment must describe and justify the methods used to identify those SSCs.  The NRC needs this information to be able to conclude that additional aging management attention is directed to SSCs that require it because they are important and can undergo age-related degradation during the renewal term.  The integrated plant assessment must also demonstrate the adequacy of actions taken or to be taken to manage the detrimental effects of aging.  The NRC needs this information to be satisfied that the actions will be effective in assuring the continued safe operation of the plant.  An applicant will report this information once per renewal application submission.</w:t>
      </w:r>
    </w:p>
    <w:p w14:paraId="14F2922B" w14:textId="77777777" w:rsidR="001751B0" w:rsidRPr="00D51029" w:rsidRDefault="001751B0" w:rsidP="00CF5638">
      <w:pPr>
        <w:tabs>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DE4AF9" w14:textId="77777777" w:rsidR="001751B0" w:rsidRPr="00D51029" w:rsidRDefault="001751B0" w:rsidP="00E339E6">
      <w:pPr>
        <w:tabs>
          <w:tab w:val="left" w:pos="-360"/>
          <w:tab w:val="left" w:pos="540"/>
          <w:tab w:val="left" w:pos="1440"/>
          <w:tab w:val="left" w:pos="216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rPr>
        <w:t xml:space="preserve">Paragraph (b) requires the application to contain </w:t>
      </w:r>
      <w:r>
        <w:rPr>
          <w:rFonts w:ascii="Arial" w:hAnsi="Arial" w:cs="Arial"/>
          <w:sz w:val="22"/>
          <w:szCs w:val="22"/>
        </w:rPr>
        <w:t>CLB</w:t>
      </w:r>
      <w:r w:rsidRPr="00D51029">
        <w:rPr>
          <w:rFonts w:ascii="Arial" w:hAnsi="Arial" w:cs="Arial"/>
          <w:sz w:val="22"/>
          <w:szCs w:val="22"/>
        </w:rPr>
        <w:t xml:space="preserve"> changes which occur during NRC review of the application.  Each year following submittal of the license renewal application and at least three months before scheduled completion of the NRC review, the applicant must submit an amendment to the renewal application that identifies any change to the facility’s </w:t>
      </w:r>
      <w:r>
        <w:rPr>
          <w:rFonts w:ascii="Arial" w:hAnsi="Arial" w:cs="Arial"/>
          <w:sz w:val="22"/>
          <w:szCs w:val="22"/>
        </w:rPr>
        <w:t>CLB</w:t>
      </w:r>
      <w:r w:rsidRPr="00D51029">
        <w:rPr>
          <w:rFonts w:ascii="Arial" w:hAnsi="Arial" w:cs="Arial"/>
          <w:sz w:val="22"/>
          <w:szCs w:val="22"/>
        </w:rPr>
        <w:t xml:space="preserve"> that materially affects the contents of the license renewal application, including the </w:t>
      </w:r>
      <w:r>
        <w:rPr>
          <w:rFonts w:ascii="Arial" w:hAnsi="Arial" w:cs="Arial"/>
          <w:sz w:val="22"/>
          <w:szCs w:val="22"/>
        </w:rPr>
        <w:t>UFSAR</w:t>
      </w:r>
      <w:r w:rsidRPr="00D51029">
        <w:rPr>
          <w:rFonts w:ascii="Arial" w:hAnsi="Arial" w:cs="Arial"/>
          <w:sz w:val="22"/>
          <w:szCs w:val="22"/>
        </w:rPr>
        <w:t xml:space="preserve"> supplement.  The NRC needs this information to determine the acceptability of these changes from the pertinent safety standpoints.  An applicant will report this information as necessary while NRC completes its review of the application.</w:t>
      </w:r>
    </w:p>
    <w:p w14:paraId="42EEF3A5" w14:textId="77777777" w:rsidR="001751B0" w:rsidRPr="00D51029" w:rsidRDefault="001751B0" w:rsidP="001751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05DBD4" w14:textId="77777777" w:rsidR="001751B0" w:rsidRPr="00D51029" w:rsidRDefault="001751B0" w:rsidP="00E339E6">
      <w:pPr>
        <w:tabs>
          <w:tab w:val="left" w:pos="-360"/>
          <w:tab w:val="left" w:pos="540"/>
          <w:tab w:val="left" w:pos="1440"/>
          <w:tab w:val="left" w:pos="216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rPr>
        <w:t>Paragraph (c) requires the application to contain an evaluation of time-limited aging analyses (TLAAs) for SSCs.  The applicant must list the TLAAs that conform to the definition in 10</w:t>
      </w:r>
      <w:r w:rsidR="00E339E6">
        <w:rPr>
          <w:rFonts w:ascii="Arial" w:hAnsi="Arial" w:cs="Arial"/>
          <w:sz w:val="22"/>
          <w:szCs w:val="22"/>
        </w:rPr>
        <w:t> </w:t>
      </w:r>
      <w:r w:rsidRPr="00D51029">
        <w:rPr>
          <w:rFonts w:ascii="Arial" w:hAnsi="Arial" w:cs="Arial"/>
          <w:sz w:val="22"/>
          <w:szCs w:val="22"/>
        </w:rPr>
        <w:t>CFR</w:t>
      </w:r>
      <w:r w:rsidR="00E339E6">
        <w:rPr>
          <w:rFonts w:ascii="Arial" w:hAnsi="Arial" w:cs="Arial"/>
          <w:sz w:val="22"/>
          <w:szCs w:val="22"/>
        </w:rPr>
        <w:t> </w:t>
      </w:r>
      <w:r w:rsidRPr="00D51029">
        <w:rPr>
          <w:rFonts w:ascii="Arial" w:hAnsi="Arial" w:cs="Arial"/>
          <w:sz w:val="22"/>
          <w:szCs w:val="22"/>
        </w:rPr>
        <w:t>54.3 and demonstrate that the analyses remain valid for the period of extended operation, the analyses have been projected to the end of the period of extended operation, or the effects of aging on the intended function(s) will be adequately managed for the period of extended operation.  The NRC needs this information to determine whether those SSCs meet the requirements for license renewal.  This section also requires a list of all plant-specific exemptions granted pursuant to 10 CFR 50.12 and in effect that are based on TLAAs as defined in 10 CFR 54.3.  The applicant must provide an evaluation that justifies the continuation of these exemptions for the period of extended operation.  The NRC needs this information to justify whether to continue these exemptions.  An applicant will report this information once per renewal application submission.</w:t>
      </w:r>
    </w:p>
    <w:p w14:paraId="4FCF3A84" w14:textId="77777777" w:rsidR="001751B0" w:rsidRPr="00D51029" w:rsidRDefault="001751B0" w:rsidP="00CF5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04C65F" w14:textId="77777777" w:rsidR="001751B0" w:rsidRPr="00D51029" w:rsidRDefault="001751B0" w:rsidP="00E339E6">
      <w:pPr>
        <w:tabs>
          <w:tab w:val="left" w:pos="-360"/>
          <w:tab w:val="left" w:pos="540"/>
          <w:tab w:val="left" w:pos="1440"/>
          <w:tab w:val="left" w:pos="216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rPr>
        <w:t xml:space="preserve">Paragraph (d) requires the application to include an </w:t>
      </w:r>
      <w:r>
        <w:rPr>
          <w:rFonts w:ascii="Arial" w:hAnsi="Arial" w:cs="Arial"/>
          <w:sz w:val="22"/>
          <w:szCs w:val="22"/>
        </w:rPr>
        <w:t>U</w:t>
      </w:r>
      <w:r w:rsidRPr="00D51029">
        <w:rPr>
          <w:rFonts w:ascii="Arial" w:hAnsi="Arial" w:cs="Arial"/>
          <w:sz w:val="22"/>
          <w:szCs w:val="22"/>
        </w:rPr>
        <w:t>FSAR supplement for the facility which must contain a summary description of the programs and activities for managing the effects of aging and the evaluation of TLAAs for the period of extended operation as determined by 10</w:t>
      </w:r>
      <w:r w:rsidR="00E339E6">
        <w:rPr>
          <w:rFonts w:ascii="Arial" w:hAnsi="Arial" w:cs="Arial"/>
          <w:sz w:val="22"/>
          <w:szCs w:val="22"/>
        </w:rPr>
        <w:t> </w:t>
      </w:r>
      <w:r w:rsidRPr="00D51029">
        <w:rPr>
          <w:rFonts w:ascii="Arial" w:hAnsi="Arial" w:cs="Arial"/>
          <w:sz w:val="22"/>
          <w:szCs w:val="22"/>
        </w:rPr>
        <w:t>CFR 54.21(a) and (c), respectively.  The NRC needs this information to determine whether the licensee's actions for managing the effects of aging provide reasonable assurance that the facility's operations during the period of extended operation can be conducted without endangering public health and safety.  An applicant will report this information once per renewal application submission.</w:t>
      </w:r>
    </w:p>
    <w:p w14:paraId="3E3B2458" w14:textId="77777777" w:rsidR="001751B0" w:rsidRPr="00D51029" w:rsidRDefault="001751B0" w:rsidP="00CF5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EE2B24" w14:textId="77777777" w:rsidR="001751B0" w:rsidRPr="00D51029" w:rsidRDefault="001751B0" w:rsidP="00CF5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u w:val="single"/>
        </w:rPr>
        <w:t>Section 54.22</w:t>
      </w:r>
      <w:r w:rsidRPr="00D51029">
        <w:rPr>
          <w:rFonts w:ascii="Arial" w:hAnsi="Arial" w:cs="Arial"/>
          <w:sz w:val="22"/>
          <w:szCs w:val="22"/>
        </w:rPr>
        <w:t xml:space="preserve"> requires the application to include any technical specification changes or additions necessary to manage the effects of aging during the period of extended operation.  The justification for these changes or additions must also be contained in the application.  The NRC needs this information to determine the acceptability of these changes from pertinent safety standpoints.  An applicant will report this information once per renewal application submission.</w:t>
      </w:r>
    </w:p>
    <w:p w14:paraId="34FA08DA" w14:textId="77777777" w:rsidR="001751B0" w:rsidRPr="00D51029" w:rsidRDefault="001751B0" w:rsidP="001751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3267F0" w14:textId="77777777" w:rsidR="001751B0" w:rsidRPr="00D51029" w:rsidRDefault="001751B0" w:rsidP="00CF5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u w:val="single"/>
        </w:rPr>
        <w:t>Section 54.23</w:t>
      </w:r>
      <w:r w:rsidRPr="00D51029">
        <w:rPr>
          <w:rFonts w:ascii="Arial" w:hAnsi="Arial" w:cs="Arial"/>
          <w:sz w:val="22"/>
          <w:szCs w:val="22"/>
        </w:rPr>
        <w:t xml:space="preserve"> states the environmental information required in the application.  This information is required to be a supplement to the environmental report that complies with 10 CFR Part 51, “Environmental Protection Regulations for Domestic Licensing and Related Regulatory Functions,” Subpart A, “National Environmental Policy Act – Regulations Implementing Section 102(2).”  The NRC requires this information to determine the acceptability of the environmental consequences of the facility’s continued operation during the renewal term.  OMB Clearance No. 3150-0021 covers the burden for this environmental information collection.  An applicant will report this information once per renewal application submission.</w:t>
      </w:r>
    </w:p>
    <w:p w14:paraId="63CA4CBC" w14:textId="77777777" w:rsidR="001751B0" w:rsidRPr="00D51029" w:rsidRDefault="001751B0" w:rsidP="00CF5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EEAD86" w14:textId="77777777" w:rsidR="001751B0" w:rsidRPr="00D51029" w:rsidRDefault="001751B0" w:rsidP="00CF5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u w:val="single"/>
        </w:rPr>
        <w:t>Section 54.33</w:t>
      </w:r>
      <w:r w:rsidRPr="00D51029">
        <w:rPr>
          <w:rFonts w:ascii="Arial" w:hAnsi="Arial" w:cs="Arial"/>
          <w:sz w:val="22"/>
          <w:szCs w:val="22"/>
        </w:rPr>
        <w:t xml:space="preserve"> states license renewal conditions.  Specifically, </w:t>
      </w:r>
      <w:r>
        <w:rPr>
          <w:rFonts w:ascii="Arial" w:hAnsi="Arial" w:cs="Arial"/>
          <w:sz w:val="22"/>
          <w:szCs w:val="22"/>
        </w:rPr>
        <w:t>P</w:t>
      </w:r>
      <w:r w:rsidRPr="00D51029">
        <w:rPr>
          <w:rFonts w:ascii="Arial" w:hAnsi="Arial" w:cs="Arial"/>
          <w:sz w:val="22"/>
          <w:szCs w:val="22"/>
        </w:rPr>
        <w:t xml:space="preserve">aragraph (c) requires each renewal </w:t>
      </w:r>
      <w:r w:rsidR="002938F0">
        <w:rPr>
          <w:rFonts w:ascii="Arial" w:hAnsi="Arial" w:cs="Arial"/>
          <w:sz w:val="22"/>
          <w:szCs w:val="22"/>
        </w:rPr>
        <w:t>license</w:t>
      </w:r>
      <w:r w:rsidRPr="00D51029">
        <w:rPr>
          <w:rFonts w:ascii="Arial" w:hAnsi="Arial" w:cs="Arial"/>
          <w:sz w:val="22"/>
          <w:szCs w:val="22"/>
        </w:rPr>
        <w:t xml:space="preserve"> to include those conditions to protect the environment that were imposed pursuant to 10 CFR 50.36(b) and that are part of the facility’s </w:t>
      </w:r>
      <w:r>
        <w:rPr>
          <w:rFonts w:ascii="Arial" w:hAnsi="Arial" w:cs="Arial"/>
          <w:sz w:val="22"/>
          <w:szCs w:val="22"/>
        </w:rPr>
        <w:t>CLB</w:t>
      </w:r>
      <w:r w:rsidRPr="00D51029">
        <w:rPr>
          <w:rFonts w:ascii="Arial" w:hAnsi="Arial" w:cs="Arial"/>
          <w:sz w:val="22"/>
          <w:szCs w:val="22"/>
        </w:rPr>
        <w:t xml:space="preserve"> at the time the NRC issues the renewed license.  The NRC requires this information to protect the environment during the term of the renewed license.  OMB Clearance No. 3150</w:t>
      </w:r>
      <w:r w:rsidRPr="00D51029">
        <w:rPr>
          <w:rFonts w:ascii="Arial" w:hAnsi="Arial" w:cs="Arial"/>
          <w:sz w:val="22"/>
          <w:szCs w:val="22"/>
        </w:rPr>
        <w:noBreakHyphen/>
        <w:t>0011 covers information collection for 10 CFR 50.36(b), and OMB Clearance No. 3150-0021 covers the burden for this environmental information collection as it relates to license renewal.</w:t>
      </w:r>
    </w:p>
    <w:p w14:paraId="7983D6BA" w14:textId="77777777" w:rsidR="001751B0" w:rsidRPr="00D51029" w:rsidRDefault="001751B0" w:rsidP="001751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190BC" w14:textId="77777777" w:rsidR="001751B0" w:rsidRPr="00D51029" w:rsidRDefault="001751B0" w:rsidP="00CF5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u w:val="single"/>
        </w:rPr>
        <w:t>Section 54.37</w:t>
      </w:r>
      <w:r w:rsidRPr="00D51029">
        <w:rPr>
          <w:rFonts w:ascii="Arial" w:hAnsi="Arial" w:cs="Arial"/>
          <w:sz w:val="22"/>
          <w:szCs w:val="22"/>
        </w:rPr>
        <w:t xml:space="preserve"> states additional records and record keeping requirements:</w:t>
      </w:r>
    </w:p>
    <w:p w14:paraId="6FAA5D2D" w14:textId="77777777" w:rsidR="001751B0" w:rsidRPr="00D51029" w:rsidRDefault="001751B0" w:rsidP="00CF5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C5823A" w14:textId="77777777" w:rsidR="001751B0" w:rsidRPr="00D51029" w:rsidRDefault="001751B0" w:rsidP="00E339E6">
      <w:pPr>
        <w:tabs>
          <w:tab w:val="left" w:pos="-360"/>
          <w:tab w:val="left" w:pos="540"/>
          <w:tab w:val="left" w:pos="1440"/>
          <w:tab w:val="left" w:pos="216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rPr>
        <w:t xml:space="preserve">Paragraph (a) requires holders of renewed licenses to retain in an auditable and retrievable form, for the term of the renewed operating license, all information and documentation required to document compliance with 10 CFR Part 54.  The NRC needs access to this information for continuing effective regulatory oversight.  </w:t>
      </w:r>
    </w:p>
    <w:p w14:paraId="3521E714" w14:textId="77777777" w:rsidR="001751B0" w:rsidRPr="00D51029" w:rsidRDefault="001751B0" w:rsidP="00CF56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AAB56B" w14:textId="1CD08431" w:rsidR="001751B0" w:rsidRPr="00D51029" w:rsidRDefault="001751B0" w:rsidP="00E339E6">
      <w:pPr>
        <w:tabs>
          <w:tab w:val="left" w:pos="-360"/>
          <w:tab w:val="left" w:pos="540"/>
          <w:tab w:val="left" w:pos="1440"/>
          <w:tab w:val="left" w:pos="216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029">
        <w:rPr>
          <w:rFonts w:ascii="Arial" w:hAnsi="Arial" w:cs="Arial"/>
          <w:sz w:val="22"/>
          <w:szCs w:val="22"/>
        </w:rPr>
        <w:t xml:space="preserve">Paragraph (b) requires licensees, after the NRC issues the renewed license, to include in the </w:t>
      </w:r>
      <w:r>
        <w:rPr>
          <w:rFonts w:ascii="Arial" w:hAnsi="Arial" w:cs="Arial"/>
          <w:sz w:val="22"/>
          <w:szCs w:val="22"/>
        </w:rPr>
        <w:t>U</w:t>
      </w:r>
      <w:r w:rsidRPr="00D51029">
        <w:rPr>
          <w:rFonts w:ascii="Arial" w:hAnsi="Arial" w:cs="Arial"/>
          <w:sz w:val="22"/>
          <w:szCs w:val="22"/>
        </w:rPr>
        <w:t xml:space="preserve">FSAR update required by 10 CFR 50.71(e), any newly identified SSCs that would have been subject to an aging management review or evaluation of TLAAs in accordance with 10 CFR 54.21.  This </w:t>
      </w:r>
      <w:r>
        <w:rPr>
          <w:rFonts w:ascii="Arial" w:hAnsi="Arial" w:cs="Arial"/>
          <w:sz w:val="22"/>
          <w:szCs w:val="22"/>
        </w:rPr>
        <w:t>U</w:t>
      </w:r>
      <w:r w:rsidRPr="00D51029">
        <w:rPr>
          <w:rFonts w:ascii="Arial" w:hAnsi="Arial" w:cs="Arial"/>
          <w:sz w:val="22"/>
          <w:szCs w:val="22"/>
        </w:rPr>
        <w:t xml:space="preserve">FSAR update must describe how the effects of aging will be managed such that the intended function(s) will be effectively maintained during the period of extended operation.  The </w:t>
      </w:r>
      <w:r>
        <w:rPr>
          <w:rFonts w:ascii="Arial" w:hAnsi="Arial" w:cs="Arial"/>
          <w:sz w:val="22"/>
          <w:szCs w:val="22"/>
        </w:rPr>
        <w:t>U</w:t>
      </w:r>
      <w:r w:rsidRPr="00D51029">
        <w:rPr>
          <w:rFonts w:ascii="Arial" w:hAnsi="Arial" w:cs="Arial"/>
          <w:sz w:val="22"/>
          <w:szCs w:val="22"/>
        </w:rPr>
        <w:t xml:space="preserve">FSAR update contains information on all of the changes made by the licensee to the plant since submission of the original </w:t>
      </w:r>
      <w:r>
        <w:rPr>
          <w:rFonts w:ascii="Arial" w:hAnsi="Arial" w:cs="Arial"/>
          <w:sz w:val="22"/>
          <w:szCs w:val="22"/>
        </w:rPr>
        <w:t>U</w:t>
      </w:r>
      <w:r w:rsidRPr="00D51029">
        <w:rPr>
          <w:rFonts w:ascii="Arial" w:hAnsi="Arial" w:cs="Arial"/>
          <w:sz w:val="22"/>
          <w:szCs w:val="22"/>
        </w:rPr>
        <w:t xml:space="preserve">FSAR or, as appropriate, since submission of the last </w:t>
      </w:r>
      <w:r>
        <w:rPr>
          <w:rFonts w:ascii="Arial" w:hAnsi="Arial" w:cs="Arial"/>
          <w:sz w:val="22"/>
          <w:szCs w:val="22"/>
        </w:rPr>
        <w:t>U</w:t>
      </w:r>
      <w:r w:rsidRPr="00D51029">
        <w:rPr>
          <w:rFonts w:ascii="Arial" w:hAnsi="Arial" w:cs="Arial"/>
          <w:sz w:val="22"/>
          <w:szCs w:val="22"/>
        </w:rPr>
        <w:t>FSAR.  The NRC needs access to this information for continuing effective regulatory oversight.  Renewed license holders will report this information as necessary to comply with the regulation.</w:t>
      </w:r>
    </w:p>
    <w:p w14:paraId="5FFEAAD4" w14:textId="77777777" w:rsidR="00B12E05" w:rsidRDefault="00B12E05">
      <w:pPr>
        <w:autoSpaceDE/>
        <w:autoSpaceDN/>
        <w:adjustRightInd/>
        <w:spacing w:after="160" w:line="259" w:lineRule="auto"/>
      </w:pPr>
      <w:r>
        <w:br w:type="page"/>
      </w:r>
    </w:p>
    <w:p w14:paraId="47EC62A7" w14:textId="77777777" w:rsidR="00B12E05" w:rsidRPr="00377C58" w:rsidRDefault="00B12E05" w:rsidP="00B12E05">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77C58">
        <w:rPr>
          <w:rFonts w:ascii="Arial" w:hAnsi="Arial" w:cs="Arial"/>
          <w:sz w:val="22"/>
          <w:szCs w:val="22"/>
        </w:rPr>
        <w:t>GUIDANCE DOCUMENTS FOR INFORMATION COLLECTION REQUIREMENTS</w:t>
      </w:r>
    </w:p>
    <w:p w14:paraId="52918020" w14:textId="77777777" w:rsidR="00B12E05" w:rsidRDefault="00B12E05" w:rsidP="00B12E05">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77C58">
        <w:rPr>
          <w:rFonts w:ascii="Arial" w:hAnsi="Arial" w:cs="Arial"/>
          <w:sz w:val="22"/>
          <w:szCs w:val="22"/>
        </w:rPr>
        <w:t>CONTAINED IN</w:t>
      </w:r>
    </w:p>
    <w:p w14:paraId="32ED3533" w14:textId="77777777" w:rsidR="00B12E05" w:rsidRPr="00377C58" w:rsidRDefault="00B12E05" w:rsidP="00B12E05">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p>
    <w:p w14:paraId="511EBCBE" w14:textId="77777777" w:rsidR="00B12E05" w:rsidRPr="00D51029" w:rsidRDefault="00B12E05" w:rsidP="00B12E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10 CFR</w:t>
      </w:r>
      <w:r w:rsidRPr="00D51029">
        <w:rPr>
          <w:rFonts w:ascii="Arial" w:hAnsi="Arial" w:cs="Arial"/>
          <w:sz w:val="22"/>
          <w:szCs w:val="22"/>
        </w:rPr>
        <w:t xml:space="preserve"> PART 54</w:t>
      </w:r>
    </w:p>
    <w:p w14:paraId="233BAF59" w14:textId="77777777" w:rsidR="00B12E05" w:rsidRPr="00D51029" w:rsidRDefault="00B12E05" w:rsidP="00B12E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D51029">
        <w:rPr>
          <w:rFonts w:ascii="Arial" w:hAnsi="Arial" w:cs="Arial"/>
          <w:sz w:val="22"/>
          <w:szCs w:val="22"/>
        </w:rPr>
        <w:t>REQUIREMENTS FOR RENEWAL OF OPERATING LICENSES FOR</w:t>
      </w:r>
    </w:p>
    <w:p w14:paraId="43C2B981" w14:textId="77777777" w:rsidR="00B12E05" w:rsidRPr="00D51029" w:rsidRDefault="00B12E05" w:rsidP="00B12E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D51029">
        <w:rPr>
          <w:rFonts w:ascii="Arial" w:hAnsi="Arial" w:cs="Arial"/>
          <w:sz w:val="22"/>
          <w:szCs w:val="22"/>
        </w:rPr>
        <w:t>NUCLEAR POWER PLANTS</w:t>
      </w:r>
    </w:p>
    <w:p w14:paraId="20537157" w14:textId="77777777" w:rsidR="00B12E05" w:rsidRPr="00D51029" w:rsidRDefault="00B12E05" w:rsidP="00B12E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D51029">
        <w:rPr>
          <w:rFonts w:ascii="Arial" w:hAnsi="Arial" w:cs="Arial"/>
          <w:sz w:val="22"/>
          <w:szCs w:val="22"/>
        </w:rPr>
        <w:t>3150-0155</w:t>
      </w:r>
    </w:p>
    <w:p w14:paraId="3C2FEA87" w14:textId="68ACDF41" w:rsidR="000041F4" w:rsidRDefault="000041F4" w:rsidP="001751B0"/>
    <w:tbl>
      <w:tblPr>
        <w:tblStyle w:val="TableGrid"/>
        <w:tblW w:w="0" w:type="auto"/>
        <w:tblLook w:val="04A0" w:firstRow="1" w:lastRow="0" w:firstColumn="1" w:lastColumn="0" w:noHBand="0" w:noVBand="1"/>
      </w:tblPr>
      <w:tblGrid>
        <w:gridCol w:w="4670"/>
        <w:gridCol w:w="4680"/>
      </w:tblGrid>
      <w:tr w:rsidR="00B12E05" w:rsidRPr="00377C58" w14:paraId="785F3DCE" w14:textId="77777777" w:rsidTr="002D7D49">
        <w:tc>
          <w:tcPr>
            <w:tcW w:w="4670" w:type="dxa"/>
          </w:tcPr>
          <w:p w14:paraId="1545014E" w14:textId="77777777" w:rsidR="00B12E05" w:rsidRPr="00377C58" w:rsidRDefault="00B12E05" w:rsidP="000041F4">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77C58">
              <w:rPr>
                <w:rFonts w:ascii="Arial" w:hAnsi="Arial" w:cs="Arial"/>
                <w:sz w:val="22"/>
                <w:szCs w:val="22"/>
              </w:rPr>
              <w:t>Title</w:t>
            </w:r>
          </w:p>
        </w:tc>
        <w:tc>
          <w:tcPr>
            <w:tcW w:w="4680" w:type="dxa"/>
          </w:tcPr>
          <w:p w14:paraId="134FD306" w14:textId="77777777" w:rsidR="00B12E05" w:rsidRPr="00377C58" w:rsidRDefault="00B12E05" w:rsidP="000041F4">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77C58">
              <w:rPr>
                <w:rFonts w:ascii="Arial" w:hAnsi="Arial" w:cs="Arial"/>
                <w:sz w:val="22"/>
                <w:szCs w:val="22"/>
              </w:rPr>
              <w:t>Accession number</w:t>
            </w:r>
          </w:p>
        </w:tc>
      </w:tr>
      <w:tr w:rsidR="00B12E05" w:rsidRPr="00377C58" w14:paraId="47B0D740" w14:textId="77777777" w:rsidTr="002D7D49">
        <w:trPr>
          <w:trHeight w:val="1250"/>
        </w:trPr>
        <w:tc>
          <w:tcPr>
            <w:tcW w:w="4670" w:type="dxa"/>
          </w:tcPr>
          <w:p w14:paraId="78D3039D" w14:textId="434546AD" w:rsidR="00B12E05" w:rsidRPr="00F921F7" w:rsidRDefault="0036228D" w:rsidP="00CF5638">
            <w:pPr>
              <w:spacing w:line="0" w:lineRule="atLeast"/>
              <w:rPr>
                <w:rFonts w:ascii="Arial" w:hAnsi="Arial" w:cs="Arial"/>
                <w:sz w:val="22"/>
                <w:szCs w:val="22"/>
              </w:rPr>
            </w:pPr>
            <w:r w:rsidRPr="00F921F7">
              <w:rPr>
                <w:rFonts w:ascii="Arial" w:hAnsi="Arial" w:cs="Arial"/>
                <w:sz w:val="22"/>
                <w:szCs w:val="22"/>
              </w:rPr>
              <w:t>NRC Regulatory Guide 1.188, Revision 1, “Standard Format and Content for Application</w:t>
            </w:r>
            <w:r w:rsidR="00F76E34">
              <w:rPr>
                <w:rFonts w:ascii="Arial" w:hAnsi="Arial" w:cs="Arial"/>
                <w:sz w:val="22"/>
                <w:szCs w:val="22"/>
              </w:rPr>
              <w:t>s</w:t>
            </w:r>
            <w:r w:rsidRPr="00F921F7">
              <w:rPr>
                <w:rFonts w:ascii="Arial" w:hAnsi="Arial" w:cs="Arial"/>
                <w:sz w:val="22"/>
                <w:szCs w:val="22"/>
              </w:rPr>
              <w:t xml:space="preserve"> to Renew Nuclear Power Plant Operating Licenses”</w:t>
            </w:r>
          </w:p>
        </w:tc>
        <w:tc>
          <w:tcPr>
            <w:tcW w:w="4680" w:type="dxa"/>
          </w:tcPr>
          <w:p w14:paraId="523EA0EF" w14:textId="77777777" w:rsidR="00B12E05" w:rsidRPr="00377C58" w:rsidRDefault="00F45331" w:rsidP="00F4533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ML051920430</w:t>
            </w:r>
          </w:p>
        </w:tc>
      </w:tr>
      <w:tr w:rsidR="00B12E05" w:rsidRPr="00377C58" w14:paraId="0728A2FD" w14:textId="77777777" w:rsidTr="002D7D49">
        <w:trPr>
          <w:trHeight w:val="980"/>
        </w:trPr>
        <w:tc>
          <w:tcPr>
            <w:tcW w:w="4670" w:type="dxa"/>
          </w:tcPr>
          <w:p w14:paraId="663E97B3" w14:textId="77777777" w:rsidR="00B12E05" w:rsidRPr="00F921F7" w:rsidRDefault="009C774C" w:rsidP="000041F4">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F921F7">
              <w:rPr>
                <w:rFonts w:ascii="Arial" w:hAnsi="Arial" w:cs="Arial"/>
                <w:sz w:val="22"/>
                <w:szCs w:val="22"/>
              </w:rPr>
              <w:t>NUREG-1800, Revision 2, “Standard Review Plan for Review of License Renewal Applications for Nuclear Power Plans”</w:t>
            </w:r>
          </w:p>
        </w:tc>
        <w:tc>
          <w:tcPr>
            <w:tcW w:w="4680" w:type="dxa"/>
          </w:tcPr>
          <w:p w14:paraId="0A4EABFC" w14:textId="77777777" w:rsidR="00B12E05" w:rsidRPr="00377C58" w:rsidRDefault="00F45331" w:rsidP="000041F4">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eastAsiaTheme="minorHAnsi" w:hAnsi="Arial" w:cs="Arial"/>
                <w:sz w:val="22"/>
                <w:szCs w:val="22"/>
              </w:rPr>
              <w:t>ML103490036</w:t>
            </w:r>
          </w:p>
        </w:tc>
      </w:tr>
      <w:tr w:rsidR="00B12E05" w:rsidRPr="00377C58" w14:paraId="58B10CCB" w14:textId="77777777" w:rsidTr="002D7D49">
        <w:tc>
          <w:tcPr>
            <w:tcW w:w="4670" w:type="dxa"/>
          </w:tcPr>
          <w:p w14:paraId="3D017F7B" w14:textId="6C25B96A" w:rsidR="00B12E05" w:rsidRPr="00F921F7" w:rsidRDefault="009C774C" w:rsidP="000041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rsidRPr="00F921F7">
              <w:rPr>
                <w:rFonts w:ascii="Arial" w:hAnsi="Arial" w:cs="Arial"/>
                <w:sz w:val="22"/>
                <w:szCs w:val="22"/>
              </w:rPr>
              <w:t xml:space="preserve">NUREG-1801, </w:t>
            </w:r>
            <w:r w:rsidR="00F76E34">
              <w:rPr>
                <w:rFonts w:ascii="Arial" w:hAnsi="Arial" w:cs="Arial"/>
                <w:sz w:val="22"/>
                <w:szCs w:val="22"/>
              </w:rPr>
              <w:t xml:space="preserve">Revision 2 </w:t>
            </w:r>
            <w:r w:rsidRPr="00F921F7">
              <w:rPr>
                <w:rFonts w:ascii="Arial" w:hAnsi="Arial" w:cs="Arial"/>
                <w:sz w:val="22"/>
                <w:szCs w:val="22"/>
              </w:rPr>
              <w:t>“Generic Aging Lessons Learned (GALL)”</w:t>
            </w:r>
            <w:r w:rsidR="00F76E34">
              <w:rPr>
                <w:rFonts w:ascii="Arial" w:hAnsi="Arial" w:cs="Arial"/>
                <w:sz w:val="22"/>
                <w:szCs w:val="22"/>
              </w:rPr>
              <w:t xml:space="preserve"> Report</w:t>
            </w:r>
          </w:p>
        </w:tc>
        <w:tc>
          <w:tcPr>
            <w:tcW w:w="4680" w:type="dxa"/>
          </w:tcPr>
          <w:p w14:paraId="7D8454AB" w14:textId="77777777" w:rsidR="00B12E05" w:rsidRPr="00377C58" w:rsidRDefault="00F45331" w:rsidP="000041F4">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eastAsiaTheme="minorHAnsi" w:hAnsi="Arial" w:cs="Arial"/>
                <w:sz w:val="22"/>
                <w:szCs w:val="22"/>
              </w:rPr>
              <w:t>ML103490041</w:t>
            </w:r>
          </w:p>
        </w:tc>
      </w:tr>
      <w:tr w:rsidR="00B12E05" w:rsidRPr="00377C58" w14:paraId="29086B84" w14:textId="77777777" w:rsidTr="002D7D49">
        <w:tc>
          <w:tcPr>
            <w:tcW w:w="4670" w:type="dxa"/>
          </w:tcPr>
          <w:p w14:paraId="2C7481CD" w14:textId="77777777" w:rsidR="00B12E05" w:rsidRPr="00377C58" w:rsidRDefault="00F921F7" w:rsidP="000041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rsidRPr="00F921F7">
              <w:rPr>
                <w:rFonts w:ascii="Arial" w:hAnsi="Arial" w:cs="Arial"/>
                <w:sz w:val="22"/>
                <w:szCs w:val="22"/>
              </w:rPr>
              <w:t>NUREG</w:t>
            </w:r>
            <w:r>
              <w:rPr>
                <w:rFonts w:ascii="Arial" w:hAnsi="Arial" w:cs="Arial"/>
                <w:sz w:val="22"/>
                <w:szCs w:val="22"/>
              </w:rPr>
              <w:t>-</w:t>
            </w:r>
            <w:r w:rsidRPr="00F921F7">
              <w:rPr>
                <w:rFonts w:ascii="Arial" w:hAnsi="Arial" w:cs="Arial"/>
                <w:sz w:val="22"/>
                <w:szCs w:val="22"/>
              </w:rPr>
              <w:t xml:space="preserve">2191 </w:t>
            </w:r>
            <w:r w:rsidRPr="00F921F7">
              <w:rPr>
                <w:rFonts w:ascii="Arial" w:hAnsi="Arial" w:cs="Arial"/>
                <w:sz w:val="22"/>
                <w:szCs w:val="22"/>
                <w:lang w:val="en"/>
              </w:rPr>
              <w:t>Generic Aging Lessons Learned for Subsequent License Renewal (GALL-SLR) Report</w:t>
            </w:r>
            <w:r>
              <w:rPr>
                <w:rFonts w:ascii="Arial" w:hAnsi="Arial" w:cs="Arial"/>
                <w:sz w:val="22"/>
                <w:szCs w:val="22"/>
                <w:lang w:val="en"/>
              </w:rPr>
              <w:t xml:space="preserve"> Vol. 1 &amp; 2</w:t>
            </w:r>
          </w:p>
        </w:tc>
        <w:tc>
          <w:tcPr>
            <w:tcW w:w="4680" w:type="dxa"/>
          </w:tcPr>
          <w:p w14:paraId="0CA45098" w14:textId="77777777" w:rsidR="00B12E05" w:rsidRDefault="00F921F7" w:rsidP="000041F4">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lang w:val="en"/>
              </w:rPr>
            </w:pPr>
            <w:r w:rsidRPr="00F921F7">
              <w:rPr>
                <w:rFonts w:ascii="Arial" w:hAnsi="Arial" w:cs="Arial"/>
                <w:sz w:val="22"/>
                <w:szCs w:val="22"/>
                <w:lang w:val="en"/>
              </w:rPr>
              <w:t>Vol. 1 ML17187A031</w:t>
            </w:r>
          </w:p>
          <w:p w14:paraId="16B496C3" w14:textId="77777777" w:rsidR="00F921F7" w:rsidRPr="00F921F7" w:rsidRDefault="00F921F7" w:rsidP="000041F4">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lang w:val="en"/>
              </w:rPr>
              <w:t>Vol. 2 ML17187A204</w:t>
            </w:r>
          </w:p>
        </w:tc>
      </w:tr>
      <w:tr w:rsidR="00F76E34" w:rsidRPr="00377C58" w14:paraId="6FB71175" w14:textId="77777777" w:rsidTr="002D7D49">
        <w:tc>
          <w:tcPr>
            <w:tcW w:w="4670" w:type="dxa"/>
          </w:tcPr>
          <w:p w14:paraId="205BF865" w14:textId="195F14EE" w:rsidR="00F76E34" w:rsidRPr="00F921F7" w:rsidRDefault="00F76E34" w:rsidP="00F76E3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rsidRPr="00F921F7">
              <w:rPr>
                <w:rFonts w:ascii="Arial" w:hAnsi="Arial" w:cs="Arial"/>
                <w:sz w:val="22"/>
                <w:szCs w:val="22"/>
              </w:rPr>
              <w:t>NUREG</w:t>
            </w:r>
            <w:r>
              <w:rPr>
                <w:rFonts w:ascii="Arial" w:hAnsi="Arial" w:cs="Arial"/>
                <w:sz w:val="22"/>
                <w:szCs w:val="22"/>
                <w:lang w:val="en"/>
              </w:rPr>
              <w:t xml:space="preserve">-2192 </w:t>
            </w:r>
            <w:r w:rsidRPr="00F921F7">
              <w:rPr>
                <w:rFonts w:ascii="Arial" w:hAnsi="Arial" w:cs="Arial"/>
                <w:sz w:val="22"/>
                <w:szCs w:val="22"/>
                <w:lang w:val="en"/>
              </w:rPr>
              <w:t>Standard Review Plan for Review of Subsequent License Renewal Applications for Nuclear Power Plant</w:t>
            </w:r>
            <w:r>
              <w:rPr>
                <w:rFonts w:ascii="Arial" w:hAnsi="Arial" w:cs="Arial"/>
                <w:sz w:val="22"/>
                <w:szCs w:val="22"/>
                <w:lang w:val="en"/>
              </w:rPr>
              <w:t>s</w:t>
            </w:r>
          </w:p>
        </w:tc>
        <w:tc>
          <w:tcPr>
            <w:tcW w:w="4680" w:type="dxa"/>
          </w:tcPr>
          <w:p w14:paraId="03550540" w14:textId="6FB29C2A" w:rsidR="00F76E34" w:rsidRPr="00F921F7" w:rsidRDefault="00F76E34" w:rsidP="00F76E34">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lang w:val="en"/>
              </w:rPr>
            </w:pPr>
            <w:r w:rsidRPr="009C774C">
              <w:rPr>
                <w:rFonts w:ascii="Arial" w:hAnsi="Arial" w:cs="Arial"/>
                <w:sz w:val="22"/>
                <w:szCs w:val="22"/>
              </w:rPr>
              <w:t>ML17188A158</w:t>
            </w:r>
          </w:p>
        </w:tc>
      </w:tr>
    </w:tbl>
    <w:p w14:paraId="43117507" w14:textId="77777777" w:rsidR="00B12E05" w:rsidRDefault="00B12E05" w:rsidP="001751B0"/>
    <w:sectPr w:rsidR="00B12E05" w:rsidSect="000041F4">
      <w:headerReference w:type="default" r:id="rId11"/>
      <w:footerReference w:type="even" r:id="rId12"/>
      <w:footerReference w:type="default" r:id="rId13"/>
      <w:pgSz w:w="12240" w:h="15840" w:code="1"/>
      <w:pgMar w:top="1440" w:right="1440" w:bottom="1440" w:left="1440" w:header="1008"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92216" w14:textId="77777777" w:rsidR="00511AEA" w:rsidRDefault="00511AEA" w:rsidP="004E6350">
      <w:r>
        <w:separator/>
      </w:r>
    </w:p>
  </w:endnote>
  <w:endnote w:type="continuationSeparator" w:id="0">
    <w:p w14:paraId="62170231" w14:textId="77777777" w:rsidR="00511AEA" w:rsidRDefault="00511AEA" w:rsidP="004E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FF666" w14:textId="77777777" w:rsidR="00575890" w:rsidRDefault="00575890" w:rsidP="000041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5C8EAF" w14:textId="77777777" w:rsidR="00575890" w:rsidRDefault="00575890" w:rsidP="000041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5ED8F" w14:textId="77777777" w:rsidR="00575890" w:rsidRDefault="00575890" w:rsidP="000041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FC5EC" w14:textId="77777777" w:rsidR="00511AEA" w:rsidRDefault="00511AEA" w:rsidP="004E6350">
      <w:r>
        <w:separator/>
      </w:r>
    </w:p>
  </w:footnote>
  <w:footnote w:type="continuationSeparator" w:id="0">
    <w:p w14:paraId="23C1132F" w14:textId="77777777" w:rsidR="00511AEA" w:rsidRDefault="00511AEA" w:rsidP="004E6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78E5A" w14:textId="77777777" w:rsidR="00575890" w:rsidRDefault="00575890">
    <w:pPr>
      <w:framePr w:wrap="notBeside" w:hAnchor="text" w:xAlign="cente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5B27B3">
      <w:rPr>
        <w:rFonts w:ascii="Arial" w:hAnsi="Arial" w:cs="Arial"/>
        <w:noProof/>
        <w:sz w:val="22"/>
        <w:szCs w:val="22"/>
      </w:rPr>
      <w:t>2</w:t>
    </w:r>
    <w:r>
      <w:rPr>
        <w:rFonts w:ascii="Arial" w:hAnsi="Arial" w:cs="Arial"/>
        <w:sz w:val="22"/>
        <w:szCs w:val="22"/>
      </w:rPr>
      <w:fldChar w:fldCharType="end"/>
    </w:r>
    <w:r>
      <w:rPr>
        <w:rFonts w:ascii="Arial" w:hAnsi="Arial" w:cs="Arial"/>
        <w:sz w:val="22"/>
        <w:szCs w:val="22"/>
      </w:rPr>
      <w:t xml:space="preserve"> -</w:t>
    </w:r>
  </w:p>
  <w:p w14:paraId="50FCBBE8" w14:textId="77777777" w:rsidR="00575890" w:rsidRDefault="00575890">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B92"/>
    <w:multiLevelType w:val="hybridMultilevel"/>
    <w:tmpl w:val="DF3CA4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9036BCA"/>
    <w:multiLevelType w:val="hybridMultilevel"/>
    <w:tmpl w:val="F2B4646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C360C71"/>
    <w:multiLevelType w:val="hybridMultilevel"/>
    <w:tmpl w:val="77E29C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E0C3838"/>
    <w:multiLevelType w:val="hybridMultilevel"/>
    <w:tmpl w:val="D71274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EC26AAC"/>
    <w:multiLevelType w:val="hybridMultilevel"/>
    <w:tmpl w:val="4BAA51E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C2B57D6"/>
    <w:multiLevelType w:val="hybridMultilevel"/>
    <w:tmpl w:val="F24CF4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8587DE7"/>
    <w:multiLevelType w:val="hybridMultilevel"/>
    <w:tmpl w:val="231E8CE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70C50FD4"/>
    <w:multiLevelType w:val="hybridMultilevel"/>
    <w:tmpl w:val="1D3CE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74263670"/>
    <w:multiLevelType w:val="hybridMultilevel"/>
    <w:tmpl w:val="CE0C4E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77F00A89"/>
    <w:multiLevelType w:val="hybridMultilevel"/>
    <w:tmpl w:val="9DBCA5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6"/>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3"/>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50"/>
    <w:rsid w:val="000041F4"/>
    <w:rsid w:val="00011EA0"/>
    <w:rsid w:val="00013C5F"/>
    <w:rsid w:val="0001637A"/>
    <w:rsid w:val="00017B8C"/>
    <w:rsid w:val="00021D3D"/>
    <w:rsid w:val="000224CD"/>
    <w:rsid w:val="00031378"/>
    <w:rsid w:val="000476C6"/>
    <w:rsid w:val="00051BBE"/>
    <w:rsid w:val="0005648C"/>
    <w:rsid w:val="00064E79"/>
    <w:rsid w:val="00087725"/>
    <w:rsid w:val="000A1345"/>
    <w:rsid w:val="000A2BE4"/>
    <w:rsid w:val="000C0F5E"/>
    <w:rsid w:val="000C3160"/>
    <w:rsid w:val="000D1853"/>
    <w:rsid w:val="000F513E"/>
    <w:rsid w:val="00104384"/>
    <w:rsid w:val="00105BDB"/>
    <w:rsid w:val="00112B92"/>
    <w:rsid w:val="00150D8C"/>
    <w:rsid w:val="00152DE1"/>
    <w:rsid w:val="00161D34"/>
    <w:rsid w:val="00167171"/>
    <w:rsid w:val="00171C91"/>
    <w:rsid w:val="001751B0"/>
    <w:rsid w:val="0018286B"/>
    <w:rsid w:val="001842FB"/>
    <w:rsid w:val="00186D10"/>
    <w:rsid w:val="00197400"/>
    <w:rsid w:val="00197C98"/>
    <w:rsid w:val="001A1B23"/>
    <w:rsid w:val="001A4E7A"/>
    <w:rsid w:val="001A5698"/>
    <w:rsid w:val="001C0625"/>
    <w:rsid w:val="001D3DEF"/>
    <w:rsid w:val="001D3F4B"/>
    <w:rsid w:val="001E419C"/>
    <w:rsid w:val="001E4442"/>
    <w:rsid w:val="001F45B5"/>
    <w:rsid w:val="002024D2"/>
    <w:rsid w:val="00211E38"/>
    <w:rsid w:val="00217CAA"/>
    <w:rsid w:val="002317AD"/>
    <w:rsid w:val="00262BB8"/>
    <w:rsid w:val="002749BD"/>
    <w:rsid w:val="00276DB6"/>
    <w:rsid w:val="002938F0"/>
    <w:rsid w:val="002A46F7"/>
    <w:rsid w:val="002B3A8B"/>
    <w:rsid w:val="002D7D49"/>
    <w:rsid w:val="002F113B"/>
    <w:rsid w:val="002F4FB9"/>
    <w:rsid w:val="002F5977"/>
    <w:rsid w:val="003067FF"/>
    <w:rsid w:val="00310670"/>
    <w:rsid w:val="003162B1"/>
    <w:rsid w:val="003442F0"/>
    <w:rsid w:val="00347BDF"/>
    <w:rsid w:val="00357023"/>
    <w:rsid w:val="0036228D"/>
    <w:rsid w:val="00362DF0"/>
    <w:rsid w:val="003656F2"/>
    <w:rsid w:val="00366AD0"/>
    <w:rsid w:val="00372E13"/>
    <w:rsid w:val="0038157E"/>
    <w:rsid w:val="0039630B"/>
    <w:rsid w:val="00397CCF"/>
    <w:rsid w:val="003A10C7"/>
    <w:rsid w:val="003C76B4"/>
    <w:rsid w:val="003C7BF7"/>
    <w:rsid w:val="003D082F"/>
    <w:rsid w:val="003D3FFB"/>
    <w:rsid w:val="003F7D30"/>
    <w:rsid w:val="00400EB9"/>
    <w:rsid w:val="00410AE3"/>
    <w:rsid w:val="00412240"/>
    <w:rsid w:val="004157A4"/>
    <w:rsid w:val="0041622E"/>
    <w:rsid w:val="0042084B"/>
    <w:rsid w:val="004225C7"/>
    <w:rsid w:val="00432C01"/>
    <w:rsid w:val="00450694"/>
    <w:rsid w:val="00456F43"/>
    <w:rsid w:val="004811A2"/>
    <w:rsid w:val="004B29C8"/>
    <w:rsid w:val="004B4995"/>
    <w:rsid w:val="004B5AD1"/>
    <w:rsid w:val="004B6232"/>
    <w:rsid w:val="004E08A9"/>
    <w:rsid w:val="004E4FA9"/>
    <w:rsid w:val="004E6350"/>
    <w:rsid w:val="004F70D2"/>
    <w:rsid w:val="00503763"/>
    <w:rsid w:val="00511AEA"/>
    <w:rsid w:val="005160FC"/>
    <w:rsid w:val="005208ED"/>
    <w:rsid w:val="005502F8"/>
    <w:rsid w:val="0055323B"/>
    <w:rsid w:val="005556B3"/>
    <w:rsid w:val="00562B9F"/>
    <w:rsid w:val="00575890"/>
    <w:rsid w:val="00581991"/>
    <w:rsid w:val="0058556D"/>
    <w:rsid w:val="005A0A7B"/>
    <w:rsid w:val="005A2746"/>
    <w:rsid w:val="005B27B3"/>
    <w:rsid w:val="005C2657"/>
    <w:rsid w:val="005D16A2"/>
    <w:rsid w:val="005D279E"/>
    <w:rsid w:val="005E726C"/>
    <w:rsid w:val="005F3205"/>
    <w:rsid w:val="006004FA"/>
    <w:rsid w:val="006037EE"/>
    <w:rsid w:val="00604A96"/>
    <w:rsid w:val="00615F38"/>
    <w:rsid w:val="00617AA0"/>
    <w:rsid w:val="00620FE3"/>
    <w:rsid w:val="00637070"/>
    <w:rsid w:val="0064735B"/>
    <w:rsid w:val="00650139"/>
    <w:rsid w:val="006502D1"/>
    <w:rsid w:val="00653170"/>
    <w:rsid w:val="006659C5"/>
    <w:rsid w:val="00673D80"/>
    <w:rsid w:val="00690DF0"/>
    <w:rsid w:val="00690DF6"/>
    <w:rsid w:val="006B1C77"/>
    <w:rsid w:val="006B7A38"/>
    <w:rsid w:val="006D32FC"/>
    <w:rsid w:val="006D4146"/>
    <w:rsid w:val="006D59D1"/>
    <w:rsid w:val="006F7DB6"/>
    <w:rsid w:val="0072767D"/>
    <w:rsid w:val="00736B05"/>
    <w:rsid w:val="00742871"/>
    <w:rsid w:val="00747C3F"/>
    <w:rsid w:val="007506A7"/>
    <w:rsid w:val="00755E4F"/>
    <w:rsid w:val="00756BF6"/>
    <w:rsid w:val="00765B73"/>
    <w:rsid w:val="00771D32"/>
    <w:rsid w:val="00773007"/>
    <w:rsid w:val="007904CE"/>
    <w:rsid w:val="00791C0C"/>
    <w:rsid w:val="007957EE"/>
    <w:rsid w:val="007A3E0E"/>
    <w:rsid w:val="007A72F7"/>
    <w:rsid w:val="007B0C54"/>
    <w:rsid w:val="007B251F"/>
    <w:rsid w:val="007C0782"/>
    <w:rsid w:val="007C55DB"/>
    <w:rsid w:val="007F03AD"/>
    <w:rsid w:val="007F33CB"/>
    <w:rsid w:val="008023D2"/>
    <w:rsid w:val="00812C04"/>
    <w:rsid w:val="00840D6B"/>
    <w:rsid w:val="00843F97"/>
    <w:rsid w:val="00852E00"/>
    <w:rsid w:val="00853454"/>
    <w:rsid w:val="008838FD"/>
    <w:rsid w:val="008A0990"/>
    <w:rsid w:val="008C2637"/>
    <w:rsid w:val="008D55B5"/>
    <w:rsid w:val="008D57DF"/>
    <w:rsid w:val="008D5D01"/>
    <w:rsid w:val="008D718E"/>
    <w:rsid w:val="008D7ACC"/>
    <w:rsid w:val="008E7922"/>
    <w:rsid w:val="008F334A"/>
    <w:rsid w:val="00907CCE"/>
    <w:rsid w:val="00910B49"/>
    <w:rsid w:val="00917009"/>
    <w:rsid w:val="00933EC5"/>
    <w:rsid w:val="00934CAB"/>
    <w:rsid w:val="00937128"/>
    <w:rsid w:val="00956153"/>
    <w:rsid w:val="009613E6"/>
    <w:rsid w:val="009622DE"/>
    <w:rsid w:val="009721D5"/>
    <w:rsid w:val="0097535F"/>
    <w:rsid w:val="00983ACF"/>
    <w:rsid w:val="009869FD"/>
    <w:rsid w:val="00987595"/>
    <w:rsid w:val="0098791F"/>
    <w:rsid w:val="00987B37"/>
    <w:rsid w:val="00993457"/>
    <w:rsid w:val="009A0674"/>
    <w:rsid w:val="009A229C"/>
    <w:rsid w:val="009B577C"/>
    <w:rsid w:val="009B7171"/>
    <w:rsid w:val="009C3D32"/>
    <w:rsid w:val="009C774C"/>
    <w:rsid w:val="009D61D9"/>
    <w:rsid w:val="009E3066"/>
    <w:rsid w:val="009E7415"/>
    <w:rsid w:val="009F18E6"/>
    <w:rsid w:val="009F4F2F"/>
    <w:rsid w:val="00A06753"/>
    <w:rsid w:val="00A1709E"/>
    <w:rsid w:val="00A41D1C"/>
    <w:rsid w:val="00A50EAA"/>
    <w:rsid w:val="00A51B6B"/>
    <w:rsid w:val="00A761B9"/>
    <w:rsid w:val="00AC1B46"/>
    <w:rsid w:val="00AD6611"/>
    <w:rsid w:val="00AE0BCF"/>
    <w:rsid w:val="00B03359"/>
    <w:rsid w:val="00B12E05"/>
    <w:rsid w:val="00B23623"/>
    <w:rsid w:val="00B242F7"/>
    <w:rsid w:val="00B30B8B"/>
    <w:rsid w:val="00B36830"/>
    <w:rsid w:val="00B42F7E"/>
    <w:rsid w:val="00B51524"/>
    <w:rsid w:val="00B5539D"/>
    <w:rsid w:val="00B57E41"/>
    <w:rsid w:val="00B72327"/>
    <w:rsid w:val="00B743A5"/>
    <w:rsid w:val="00B84120"/>
    <w:rsid w:val="00B85817"/>
    <w:rsid w:val="00BA113F"/>
    <w:rsid w:val="00BA6388"/>
    <w:rsid w:val="00BB1C28"/>
    <w:rsid w:val="00BB44A7"/>
    <w:rsid w:val="00BC41E5"/>
    <w:rsid w:val="00BD7949"/>
    <w:rsid w:val="00BE51B7"/>
    <w:rsid w:val="00C03DFC"/>
    <w:rsid w:val="00C065CD"/>
    <w:rsid w:val="00C17677"/>
    <w:rsid w:val="00C31397"/>
    <w:rsid w:val="00C51224"/>
    <w:rsid w:val="00C56700"/>
    <w:rsid w:val="00C5773C"/>
    <w:rsid w:val="00C635ED"/>
    <w:rsid w:val="00C63BEF"/>
    <w:rsid w:val="00C712BB"/>
    <w:rsid w:val="00C92213"/>
    <w:rsid w:val="00C961E5"/>
    <w:rsid w:val="00CB2CEB"/>
    <w:rsid w:val="00CB7506"/>
    <w:rsid w:val="00CC2584"/>
    <w:rsid w:val="00CE2763"/>
    <w:rsid w:val="00CF5638"/>
    <w:rsid w:val="00D10468"/>
    <w:rsid w:val="00D32D20"/>
    <w:rsid w:val="00D424B1"/>
    <w:rsid w:val="00D606D6"/>
    <w:rsid w:val="00D65126"/>
    <w:rsid w:val="00D66B90"/>
    <w:rsid w:val="00D71528"/>
    <w:rsid w:val="00D76362"/>
    <w:rsid w:val="00D86965"/>
    <w:rsid w:val="00D95006"/>
    <w:rsid w:val="00DB0499"/>
    <w:rsid w:val="00DB0CDA"/>
    <w:rsid w:val="00DE70F9"/>
    <w:rsid w:val="00DE74E3"/>
    <w:rsid w:val="00DF5CB6"/>
    <w:rsid w:val="00DF69A7"/>
    <w:rsid w:val="00DF786F"/>
    <w:rsid w:val="00E003B5"/>
    <w:rsid w:val="00E17E43"/>
    <w:rsid w:val="00E20ECC"/>
    <w:rsid w:val="00E339E6"/>
    <w:rsid w:val="00E3413A"/>
    <w:rsid w:val="00E415B8"/>
    <w:rsid w:val="00E437DE"/>
    <w:rsid w:val="00E5374B"/>
    <w:rsid w:val="00E56E1F"/>
    <w:rsid w:val="00E67EAF"/>
    <w:rsid w:val="00E81520"/>
    <w:rsid w:val="00EA7BA3"/>
    <w:rsid w:val="00EB2A79"/>
    <w:rsid w:val="00EC02F6"/>
    <w:rsid w:val="00EC52AF"/>
    <w:rsid w:val="00ED37D2"/>
    <w:rsid w:val="00EE2352"/>
    <w:rsid w:val="00F04477"/>
    <w:rsid w:val="00F11D51"/>
    <w:rsid w:val="00F322F2"/>
    <w:rsid w:val="00F35A7C"/>
    <w:rsid w:val="00F45331"/>
    <w:rsid w:val="00F476DD"/>
    <w:rsid w:val="00F52123"/>
    <w:rsid w:val="00F552E0"/>
    <w:rsid w:val="00F57AA2"/>
    <w:rsid w:val="00F64780"/>
    <w:rsid w:val="00F67CD2"/>
    <w:rsid w:val="00F70786"/>
    <w:rsid w:val="00F708C2"/>
    <w:rsid w:val="00F73DB8"/>
    <w:rsid w:val="00F76E34"/>
    <w:rsid w:val="00F814A2"/>
    <w:rsid w:val="00F86CA7"/>
    <w:rsid w:val="00F918EE"/>
    <w:rsid w:val="00F921F7"/>
    <w:rsid w:val="00FA4819"/>
    <w:rsid w:val="00FA7DF6"/>
    <w:rsid w:val="00FC1B42"/>
    <w:rsid w:val="00FD0F41"/>
    <w:rsid w:val="00FE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6B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350"/>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E6350"/>
    <w:rPr>
      <w:rFonts w:ascii="Tahoma" w:hAnsi="Tahoma" w:cs="Tahoma"/>
      <w:sz w:val="16"/>
      <w:szCs w:val="16"/>
    </w:rPr>
  </w:style>
  <w:style w:type="character" w:customStyle="1" w:styleId="BalloonTextChar">
    <w:name w:val="Balloon Text Char"/>
    <w:basedOn w:val="DefaultParagraphFont"/>
    <w:link w:val="BalloonText"/>
    <w:semiHidden/>
    <w:rsid w:val="004E6350"/>
    <w:rPr>
      <w:rFonts w:ascii="Tahoma" w:eastAsia="Times New Roman" w:hAnsi="Tahoma" w:cs="Tahoma"/>
      <w:sz w:val="16"/>
      <w:szCs w:val="16"/>
    </w:rPr>
  </w:style>
  <w:style w:type="paragraph" w:styleId="Header">
    <w:name w:val="header"/>
    <w:basedOn w:val="Normal"/>
    <w:link w:val="HeaderChar"/>
    <w:rsid w:val="004E6350"/>
    <w:pPr>
      <w:tabs>
        <w:tab w:val="center" w:pos="4320"/>
        <w:tab w:val="right" w:pos="8640"/>
      </w:tabs>
    </w:pPr>
  </w:style>
  <w:style w:type="character" w:customStyle="1" w:styleId="HeaderChar">
    <w:name w:val="Header Char"/>
    <w:basedOn w:val="DefaultParagraphFont"/>
    <w:link w:val="Header"/>
    <w:rsid w:val="004E6350"/>
    <w:rPr>
      <w:rFonts w:ascii="Times New Roman" w:eastAsia="Times New Roman" w:hAnsi="Times New Roman" w:cs="Times New Roman"/>
      <w:sz w:val="20"/>
      <w:szCs w:val="20"/>
    </w:rPr>
  </w:style>
  <w:style w:type="paragraph" w:styleId="Footer">
    <w:name w:val="footer"/>
    <w:basedOn w:val="Normal"/>
    <w:link w:val="FooterChar"/>
    <w:rsid w:val="004E6350"/>
    <w:pPr>
      <w:tabs>
        <w:tab w:val="center" w:pos="4320"/>
        <w:tab w:val="right" w:pos="8640"/>
      </w:tabs>
    </w:pPr>
  </w:style>
  <w:style w:type="character" w:customStyle="1" w:styleId="FooterChar">
    <w:name w:val="Footer Char"/>
    <w:basedOn w:val="DefaultParagraphFont"/>
    <w:link w:val="Footer"/>
    <w:rsid w:val="004E6350"/>
    <w:rPr>
      <w:rFonts w:ascii="Times New Roman" w:eastAsia="Times New Roman" w:hAnsi="Times New Roman" w:cs="Times New Roman"/>
      <w:sz w:val="20"/>
      <w:szCs w:val="20"/>
    </w:rPr>
  </w:style>
  <w:style w:type="character" w:styleId="PageNumber">
    <w:name w:val="page number"/>
    <w:basedOn w:val="DefaultParagraphFont"/>
    <w:rsid w:val="004E6350"/>
  </w:style>
  <w:style w:type="table" w:styleId="TableGrid">
    <w:name w:val="Table Grid"/>
    <w:basedOn w:val="TableNormal"/>
    <w:rsid w:val="004E6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E6350"/>
    <w:rPr>
      <w:sz w:val="16"/>
      <w:szCs w:val="16"/>
    </w:rPr>
  </w:style>
  <w:style w:type="paragraph" w:styleId="CommentText">
    <w:name w:val="annotation text"/>
    <w:basedOn w:val="Normal"/>
    <w:link w:val="CommentTextChar"/>
    <w:rsid w:val="004E6350"/>
  </w:style>
  <w:style w:type="character" w:customStyle="1" w:styleId="CommentTextChar">
    <w:name w:val="Comment Text Char"/>
    <w:basedOn w:val="DefaultParagraphFont"/>
    <w:link w:val="CommentText"/>
    <w:rsid w:val="004E63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6350"/>
    <w:rPr>
      <w:b/>
      <w:bCs/>
    </w:rPr>
  </w:style>
  <w:style w:type="character" w:customStyle="1" w:styleId="CommentSubjectChar">
    <w:name w:val="Comment Subject Char"/>
    <w:basedOn w:val="CommentTextChar"/>
    <w:link w:val="CommentSubject"/>
    <w:semiHidden/>
    <w:rsid w:val="004E6350"/>
    <w:rPr>
      <w:rFonts w:ascii="Times New Roman" w:eastAsia="Times New Roman" w:hAnsi="Times New Roman" w:cs="Times New Roman"/>
      <w:b/>
      <w:bCs/>
      <w:sz w:val="20"/>
      <w:szCs w:val="20"/>
    </w:rPr>
  </w:style>
  <w:style w:type="character" w:styleId="Hyperlink">
    <w:name w:val="Hyperlink"/>
    <w:rsid w:val="004E6350"/>
    <w:rPr>
      <w:color w:val="0000FF"/>
      <w:u w:val="single"/>
    </w:rPr>
  </w:style>
  <w:style w:type="character" w:styleId="FollowedHyperlink">
    <w:name w:val="FollowedHyperlink"/>
    <w:rsid w:val="004E6350"/>
    <w:rPr>
      <w:color w:val="800080"/>
      <w:u w:val="single"/>
    </w:rPr>
  </w:style>
  <w:style w:type="paragraph" w:styleId="FootnoteText">
    <w:name w:val="footnote text"/>
    <w:basedOn w:val="Normal"/>
    <w:link w:val="FootnoteTextChar"/>
    <w:semiHidden/>
    <w:rsid w:val="004E6350"/>
  </w:style>
  <w:style w:type="character" w:customStyle="1" w:styleId="FootnoteTextChar">
    <w:name w:val="Footnote Text Char"/>
    <w:basedOn w:val="DefaultParagraphFont"/>
    <w:link w:val="FootnoteText"/>
    <w:semiHidden/>
    <w:rsid w:val="004E6350"/>
    <w:rPr>
      <w:rFonts w:ascii="Times New Roman" w:eastAsia="Times New Roman" w:hAnsi="Times New Roman" w:cs="Times New Roman"/>
      <w:sz w:val="20"/>
      <w:szCs w:val="20"/>
    </w:rPr>
  </w:style>
  <w:style w:type="character" w:styleId="FootnoteReference">
    <w:name w:val="footnote reference"/>
    <w:semiHidden/>
    <w:rsid w:val="004E6350"/>
    <w:rPr>
      <w:vertAlign w:val="superscript"/>
    </w:rPr>
  </w:style>
  <w:style w:type="paragraph" w:styleId="Revision">
    <w:name w:val="Revision"/>
    <w:hidden/>
    <w:uiPriority w:val="99"/>
    <w:semiHidden/>
    <w:rsid w:val="00CF5638"/>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6F7DB6"/>
    <w:pPr>
      <w:autoSpaceDE/>
      <w:autoSpaceDN/>
      <w:adjustRightInd/>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350"/>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E6350"/>
    <w:rPr>
      <w:rFonts w:ascii="Tahoma" w:hAnsi="Tahoma" w:cs="Tahoma"/>
      <w:sz w:val="16"/>
      <w:szCs w:val="16"/>
    </w:rPr>
  </w:style>
  <w:style w:type="character" w:customStyle="1" w:styleId="BalloonTextChar">
    <w:name w:val="Balloon Text Char"/>
    <w:basedOn w:val="DefaultParagraphFont"/>
    <w:link w:val="BalloonText"/>
    <w:semiHidden/>
    <w:rsid w:val="004E6350"/>
    <w:rPr>
      <w:rFonts w:ascii="Tahoma" w:eastAsia="Times New Roman" w:hAnsi="Tahoma" w:cs="Tahoma"/>
      <w:sz w:val="16"/>
      <w:szCs w:val="16"/>
    </w:rPr>
  </w:style>
  <w:style w:type="paragraph" w:styleId="Header">
    <w:name w:val="header"/>
    <w:basedOn w:val="Normal"/>
    <w:link w:val="HeaderChar"/>
    <w:rsid w:val="004E6350"/>
    <w:pPr>
      <w:tabs>
        <w:tab w:val="center" w:pos="4320"/>
        <w:tab w:val="right" w:pos="8640"/>
      </w:tabs>
    </w:pPr>
  </w:style>
  <w:style w:type="character" w:customStyle="1" w:styleId="HeaderChar">
    <w:name w:val="Header Char"/>
    <w:basedOn w:val="DefaultParagraphFont"/>
    <w:link w:val="Header"/>
    <w:rsid w:val="004E6350"/>
    <w:rPr>
      <w:rFonts w:ascii="Times New Roman" w:eastAsia="Times New Roman" w:hAnsi="Times New Roman" w:cs="Times New Roman"/>
      <w:sz w:val="20"/>
      <w:szCs w:val="20"/>
    </w:rPr>
  </w:style>
  <w:style w:type="paragraph" w:styleId="Footer">
    <w:name w:val="footer"/>
    <w:basedOn w:val="Normal"/>
    <w:link w:val="FooterChar"/>
    <w:rsid w:val="004E6350"/>
    <w:pPr>
      <w:tabs>
        <w:tab w:val="center" w:pos="4320"/>
        <w:tab w:val="right" w:pos="8640"/>
      </w:tabs>
    </w:pPr>
  </w:style>
  <w:style w:type="character" w:customStyle="1" w:styleId="FooterChar">
    <w:name w:val="Footer Char"/>
    <w:basedOn w:val="DefaultParagraphFont"/>
    <w:link w:val="Footer"/>
    <w:rsid w:val="004E6350"/>
    <w:rPr>
      <w:rFonts w:ascii="Times New Roman" w:eastAsia="Times New Roman" w:hAnsi="Times New Roman" w:cs="Times New Roman"/>
      <w:sz w:val="20"/>
      <w:szCs w:val="20"/>
    </w:rPr>
  </w:style>
  <w:style w:type="character" w:styleId="PageNumber">
    <w:name w:val="page number"/>
    <w:basedOn w:val="DefaultParagraphFont"/>
    <w:rsid w:val="004E6350"/>
  </w:style>
  <w:style w:type="table" w:styleId="TableGrid">
    <w:name w:val="Table Grid"/>
    <w:basedOn w:val="TableNormal"/>
    <w:rsid w:val="004E6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E6350"/>
    <w:rPr>
      <w:sz w:val="16"/>
      <w:szCs w:val="16"/>
    </w:rPr>
  </w:style>
  <w:style w:type="paragraph" w:styleId="CommentText">
    <w:name w:val="annotation text"/>
    <w:basedOn w:val="Normal"/>
    <w:link w:val="CommentTextChar"/>
    <w:rsid w:val="004E6350"/>
  </w:style>
  <w:style w:type="character" w:customStyle="1" w:styleId="CommentTextChar">
    <w:name w:val="Comment Text Char"/>
    <w:basedOn w:val="DefaultParagraphFont"/>
    <w:link w:val="CommentText"/>
    <w:rsid w:val="004E63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6350"/>
    <w:rPr>
      <w:b/>
      <w:bCs/>
    </w:rPr>
  </w:style>
  <w:style w:type="character" w:customStyle="1" w:styleId="CommentSubjectChar">
    <w:name w:val="Comment Subject Char"/>
    <w:basedOn w:val="CommentTextChar"/>
    <w:link w:val="CommentSubject"/>
    <w:semiHidden/>
    <w:rsid w:val="004E6350"/>
    <w:rPr>
      <w:rFonts w:ascii="Times New Roman" w:eastAsia="Times New Roman" w:hAnsi="Times New Roman" w:cs="Times New Roman"/>
      <w:b/>
      <w:bCs/>
      <w:sz w:val="20"/>
      <w:szCs w:val="20"/>
    </w:rPr>
  </w:style>
  <w:style w:type="character" w:styleId="Hyperlink">
    <w:name w:val="Hyperlink"/>
    <w:rsid w:val="004E6350"/>
    <w:rPr>
      <w:color w:val="0000FF"/>
      <w:u w:val="single"/>
    </w:rPr>
  </w:style>
  <w:style w:type="character" w:styleId="FollowedHyperlink">
    <w:name w:val="FollowedHyperlink"/>
    <w:rsid w:val="004E6350"/>
    <w:rPr>
      <w:color w:val="800080"/>
      <w:u w:val="single"/>
    </w:rPr>
  </w:style>
  <w:style w:type="paragraph" w:styleId="FootnoteText">
    <w:name w:val="footnote text"/>
    <w:basedOn w:val="Normal"/>
    <w:link w:val="FootnoteTextChar"/>
    <w:semiHidden/>
    <w:rsid w:val="004E6350"/>
  </w:style>
  <w:style w:type="character" w:customStyle="1" w:styleId="FootnoteTextChar">
    <w:name w:val="Footnote Text Char"/>
    <w:basedOn w:val="DefaultParagraphFont"/>
    <w:link w:val="FootnoteText"/>
    <w:semiHidden/>
    <w:rsid w:val="004E6350"/>
    <w:rPr>
      <w:rFonts w:ascii="Times New Roman" w:eastAsia="Times New Roman" w:hAnsi="Times New Roman" w:cs="Times New Roman"/>
      <w:sz w:val="20"/>
      <w:szCs w:val="20"/>
    </w:rPr>
  </w:style>
  <w:style w:type="character" w:styleId="FootnoteReference">
    <w:name w:val="footnote reference"/>
    <w:semiHidden/>
    <w:rsid w:val="004E6350"/>
    <w:rPr>
      <w:vertAlign w:val="superscript"/>
    </w:rPr>
  </w:style>
  <w:style w:type="paragraph" w:styleId="Revision">
    <w:name w:val="Revision"/>
    <w:hidden/>
    <w:uiPriority w:val="99"/>
    <w:semiHidden/>
    <w:rsid w:val="00CF5638"/>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6F7DB6"/>
    <w:pPr>
      <w:autoSpaceDE/>
      <w:autoSpaceDN/>
      <w:adjustRightInd/>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87835">
      <w:bodyDiv w:val="1"/>
      <w:marLeft w:val="0"/>
      <w:marRight w:val="0"/>
      <w:marTop w:val="0"/>
      <w:marBottom w:val="0"/>
      <w:divBdr>
        <w:top w:val="none" w:sz="0" w:space="0" w:color="auto"/>
        <w:left w:val="none" w:sz="0" w:space="0" w:color="auto"/>
        <w:bottom w:val="none" w:sz="0" w:space="0" w:color="auto"/>
        <w:right w:val="none" w:sz="0" w:space="0" w:color="auto"/>
      </w:divBdr>
    </w:div>
    <w:div w:id="860126393">
      <w:bodyDiv w:val="1"/>
      <w:marLeft w:val="0"/>
      <w:marRight w:val="0"/>
      <w:marTop w:val="0"/>
      <w:marBottom w:val="0"/>
      <w:divBdr>
        <w:top w:val="none" w:sz="0" w:space="0" w:color="auto"/>
        <w:left w:val="none" w:sz="0" w:space="0" w:color="auto"/>
        <w:bottom w:val="none" w:sz="0" w:space="0" w:color="auto"/>
        <w:right w:val="none" w:sz="0" w:space="0" w:color="auto"/>
      </w:divBdr>
    </w:div>
    <w:div w:id="1462915724">
      <w:bodyDiv w:val="1"/>
      <w:marLeft w:val="0"/>
      <w:marRight w:val="0"/>
      <w:marTop w:val="0"/>
      <w:marBottom w:val="0"/>
      <w:divBdr>
        <w:top w:val="none" w:sz="0" w:space="0" w:color="auto"/>
        <w:left w:val="none" w:sz="0" w:space="0" w:color="auto"/>
        <w:bottom w:val="none" w:sz="0" w:space="0" w:color="auto"/>
        <w:right w:val="none" w:sz="0" w:space="0" w:color="auto"/>
      </w:divBdr>
    </w:div>
    <w:div w:id="1464150565">
      <w:bodyDiv w:val="1"/>
      <w:marLeft w:val="0"/>
      <w:marRight w:val="0"/>
      <w:marTop w:val="0"/>
      <w:marBottom w:val="0"/>
      <w:divBdr>
        <w:top w:val="none" w:sz="0" w:space="0" w:color="auto"/>
        <w:left w:val="none" w:sz="0" w:space="0" w:color="auto"/>
        <w:bottom w:val="none" w:sz="0" w:space="0" w:color="auto"/>
        <w:right w:val="none" w:sz="0" w:space="0" w:color="auto"/>
      </w:divBdr>
    </w:div>
    <w:div w:id="1737123188">
      <w:bodyDiv w:val="1"/>
      <w:marLeft w:val="0"/>
      <w:marRight w:val="0"/>
      <w:marTop w:val="0"/>
      <w:marBottom w:val="0"/>
      <w:divBdr>
        <w:top w:val="none" w:sz="0" w:space="0" w:color="auto"/>
        <w:left w:val="none" w:sz="0" w:space="0" w:color="auto"/>
        <w:bottom w:val="none" w:sz="0" w:space="0" w:color="auto"/>
        <w:right w:val="none" w:sz="0" w:space="0" w:color="auto"/>
      </w:divBdr>
    </w:div>
    <w:div w:id="180932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rc.gov/site-help/electronic-sub-ref-mat.html" TargetMode="External"/><Relationship Id="rId4" Type="http://schemas.microsoft.com/office/2007/relationships/stylesWithEffects" Target="stylesWithEffects.xml"/><Relationship Id="rId9" Type="http://schemas.openxmlformats.org/officeDocument/2006/relationships/hyperlink" Target="http://www.nrc.gov/site-help/electronic-sub-ref-ma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6044A-917F-46D8-A65E-DDD87B36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5002</Words>
  <Characters>28515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Leslie</dc:creator>
  <cp:keywords/>
  <dc:description/>
  <cp:lastModifiedBy>SYSTEM</cp:lastModifiedBy>
  <cp:revision>2</cp:revision>
  <cp:lastPrinted>2018-11-06T15:13:00Z</cp:lastPrinted>
  <dcterms:created xsi:type="dcterms:W3CDTF">2018-11-08T16:07:00Z</dcterms:created>
  <dcterms:modified xsi:type="dcterms:W3CDTF">2018-11-08T16:07:00Z</dcterms:modified>
</cp:coreProperties>
</file>