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42A8C" w14:textId="77777777" w:rsidR="00933498" w:rsidRDefault="005D3859" w:rsidP="002E4554">
      <w:pPr>
        <w:tabs>
          <w:tab w:val="left" w:pos="1255"/>
          <w:tab w:val="center" w:pos="4770"/>
        </w:tabs>
        <w:jc w:val="center"/>
        <w:rPr>
          <w:rFonts w:ascii="Arial" w:hAnsi="Arial"/>
          <w:sz w:val="22"/>
        </w:rPr>
      </w:pPr>
      <w:bookmarkStart w:id="0" w:name="_GoBack"/>
      <w:bookmarkEnd w:id="0"/>
      <w:r>
        <w:rPr>
          <w:rFonts w:ascii="Arial" w:hAnsi="Arial"/>
          <w:sz w:val="22"/>
        </w:rPr>
        <w:t>FINAL</w:t>
      </w:r>
      <w:r w:rsidR="00CB0D10" w:rsidRPr="008F6890">
        <w:rPr>
          <w:rFonts w:ascii="Arial" w:hAnsi="Arial"/>
          <w:sz w:val="22"/>
        </w:rPr>
        <w:fldChar w:fldCharType="begin"/>
      </w:r>
      <w:r w:rsidR="00CB0D10" w:rsidRPr="008F6890">
        <w:rPr>
          <w:rFonts w:ascii="Arial" w:hAnsi="Arial"/>
          <w:sz w:val="22"/>
        </w:rPr>
        <w:instrText xml:space="preserve"> SEQ CHAPTER \h \r 1</w:instrText>
      </w:r>
      <w:r w:rsidR="00CB0D10" w:rsidRPr="008F6890">
        <w:rPr>
          <w:rFonts w:ascii="Arial" w:hAnsi="Arial"/>
          <w:sz w:val="22"/>
        </w:rPr>
        <w:fldChar w:fldCharType="end"/>
      </w:r>
      <w:r w:rsidR="00CB0D10" w:rsidRPr="008F6890">
        <w:rPr>
          <w:rFonts w:ascii="Arial" w:hAnsi="Arial"/>
          <w:sz w:val="22"/>
        </w:rPr>
        <w:t xml:space="preserve"> </w:t>
      </w:r>
      <w:r w:rsidR="002E4554" w:rsidRPr="008F6890">
        <w:rPr>
          <w:rFonts w:ascii="Arial" w:hAnsi="Arial"/>
          <w:sz w:val="22"/>
        </w:rPr>
        <w:t>OMB SUPPORTING STATEMENT</w:t>
      </w:r>
    </w:p>
    <w:p w14:paraId="36413FE9" w14:textId="77777777" w:rsidR="002E4554" w:rsidRPr="008F6890" w:rsidRDefault="002E4554" w:rsidP="002E4554">
      <w:pPr>
        <w:tabs>
          <w:tab w:val="left" w:pos="1255"/>
          <w:tab w:val="center" w:pos="4770"/>
        </w:tabs>
        <w:jc w:val="center"/>
        <w:rPr>
          <w:rFonts w:ascii="Arial" w:hAnsi="Arial"/>
          <w:sz w:val="22"/>
        </w:rPr>
      </w:pPr>
      <w:r w:rsidRPr="008F6890">
        <w:rPr>
          <w:rFonts w:ascii="Arial" w:hAnsi="Arial"/>
          <w:sz w:val="22"/>
        </w:rPr>
        <w:t>FOR</w:t>
      </w:r>
    </w:p>
    <w:p w14:paraId="003D9BA6" w14:textId="77777777" w:rsidR="002E4554" w:rsidRPr="008F6890" w:rsidRDefault="004C7874" w:rsidP="002E4554">
      <w:pPr>
        <w:tabs>
          <w:tab w:val="center" w:pos="4770"/>
        </w:tabs>
        <w:jc w:val="center"/>
        <w:rPr>
          <w:rFonts w:ascii="Arial" w:hAnsi="Arial"/>
          <w:sz w:val="22"/>
        </w:rPr>
      </w:pPr>
      <w:r>
        <w:rPr>
          <w:rFonts w:ascii="Arial" w:hAnsi="Arial"/>
          <w:sz w:val="22"/>
        </w:rPr>
        <w:t>REQUEST</w:t>
      </w:r>
      <w:r w:rsidR="00240225">
        <w:rPr>
          <w:rFonts w:ascii="Arial" w:hAnsi="Arial"/>
          <w:sz w:val="22"/>
        </w:rPr>
        <w:t>S</w:t>
      </w:r>
      <w:r w:rsidR="002E4554" w:rsidRPr="008F6890">
        <w:rPr>
          <w:rFonts w:ascii="Arial" w:hAnsi="Arial"/>
          <w:sz w:val="22"/>
        </w:rPr>
        <w:t xml:space="preserve"> TO</w:t>
      </w:r>
    </w:p>
    <w:p w14:paraId="5688E627" w14:textId="77777777" w:rsidR="002E4554" w:rsidRDefault="002E4554" w:rsidP="002E4554">
      <w:pPr>
        <w:tabs>
          <w:tab w:val="center" w:pos="4770"/>
        </w:tabs>
        <w:jc w:val="center"/>
        <w:rPr>
          <w:rFonts w:ascii="Arial" w:hAnsi="Arial"/>
          <w:sz w:val="22"/>
        </w:rPr>
      </w:pPr>
      <w:r w:rsidRPr="008F6890">
        <w:rPr>
          <w:rFonts w:ascii="Arial" w:hAnsi="Arial"/>
          <w:sz w:val="22"/>
        </w:rPr>
        <w:t>NON-AGREEMENT STATES FOR INFORMATION</w:t>
      </w:r>
    </w:p>
    <w:p w14:paraId="5CF23E82" w14:textId="77777777" w:rsidR="00933498" w:rsidRPr="008F6890" w:rsidRDefault="00933498" w:rsidP="002E4554">
      <w:pPr>
        <w:tabs>
          <w:tab w:val="center" w:pos="4770"/>
        </w:tabs>
        <w:jc w:val="center"/>
        <w:rPr>
          <w:rFonts w:ascii="Arial" w:hAnsi="Arial"/>
          <w:sz w:val="22"/>
        </w:rPr>
      </w:pPr>
    </w:p>
    <w:p w14:paraId="5454EF5F" w14:textId="77777777" w:rsidR="002E4554" w:rsidRDefault="002E4554" w:rsidP="002E4554">
      <w:pPr>
        <w:tabs>
          <w:tab w:val="center" w:pos="4770"/>
        </w:tabs>
        <w:jc w:val="center"/>
        <w:rPr>
          <w:rFonts w:ascii="Arial" w:hAnsi="Arial"/>
          <w:sz w:val="22"/>
        </w:rPr>
      </w:pPr>
      <w:r w:rsidRPr="008F6890">
        <w:rPr>
          <w:rFonts w:ascii="Arial" w:hAnsi="Arial"/>
          <w:sz w:val="22"/>
        </w:rPr>
        <w:t>(3150-0200)</w:t>
      </w:r>
    </w:p>
    <w:p w14:paraId="596FE9CD" w14:textId="77777777" w:rsidR="00933498" w:rsidRPr="008F6890" w:rsidRDefault="00933498" w:rsidP="002E4554">
      <w:pPr>
        <w:tabs>
          <w:tab w:val="center" w:pos="4770"/>
        </w:tabs>
        <w:jc w:val="center"/>
        <w:rPr>
          <w:rFonts w:ascii="Arial" w:hAnsi="Arial"/>
          <w:sz w:val="22"/>
        </w:rPr>
      </w:pPr>
    </w:p>
    <w:p w14:paraId="35693298" w14:textId="77777777" w:rsidR="002E4554" w:rsidRPr="008F6890" w:rsidRDefault="00935A68" w:rsidP="002E4554">
      <w:pPr>
        <w:tabs>
          <w:tab w:val="center" w:pos="4770"/>
        </w:tabs>
        <w:jc w:val="center"/>
        <w:rPr>
          <w:rFonts w:ascii="Arial" w:hAnsi="Arial"/>
          <w:sz w:val="22"/>
        </w:rPr>
      </w:pPr>
      <w:r>
        <w:rPr>
          <w:rFonts w:ascii="Arial" w:hAnsi="Arial"/>
          <w:sz w:val="22"/>
        </w:rPr>
        <w:t>REVISION</w:t>
      </w:r>
    </w:p>
    <w:p w14:paraId="1FC6B1E2" w14:textId="77777777" w:rsidR="002E4554" w:rsidRPr="008F6890" w:rsidRDefault="002E4554" w:rsidP="002E4554">
      <w:pPr>
        <w:rPr>
          <w:rFonts w:ascii="Arial" w:hAnsi="Arial"/>
          <w:sz w:val="22"/>
        </w:rPr>
      </w:pPr>
    </w:p>
    <w:p w14:paraId="24A2FB94" w14:textId="77777777" w:rsidR="00CB0D10" w:rsidRDefault="002E4554" w:rsidP="002E4554">
      <w:pPr>
        <w:rPr>
          <w:rFonts w:ascii="Arial" w:hAnsi="Arial"/>
          <w:sz w:val="22"/>
          <w:u w:val="single"/>
        </w:rPr>
      </w:pPr>
      <w:r w:rsidRPr="008F6890">
        <w:rPr>
          <w:rFonts w:ascii="Arial" w:hAnsi="Arial"/>
          <w:sz w:val="22"/>
          <w:u w:val="single"/>
        </w:rPr>
        <w:t>Description of the Information Collection</w:t>
      </w:r>
    </w:p>
    <w:p w14:paraId="1B9A1364" w14:textId="77777777" w:rsidR="0037363C" w:rsidRDefault="0037363C" w:rsidP="002E4554">
      <w:pPr>
        <w:rPr>
          <w:rFonts w:ascii="Arial" w:hAnsi="Arial"/>
          <w:sz w:val="22"/>
        </w:rPr>
      </w:pPr>
    </w:p>
    <w:p w14:paraId="00E6A6C5" w14:textId="77777777" w:rsidR="00933498" w:rsidRDefault="00933498" w:rsidP="009E51D9">
      <w:pPr>
        <w:widowControl w:val="0"/>
        <w:rPr>
          <w:rFonts w:ascii="Arial" w:hAnsi="Arial"/>
          <w:sz w:val="22"/>
        </w:rPr>
      </w:pPr>
      <w:r>
        <w:rPr>
          <w:rFonts w:ascii="Arial" w:hAnsi="Arial"/>
          <w:sz w:val="22"/>
        </w:rPr>
        <w:t xml:space="preserve">Prior to 1954, atomic energy activities were largely confined to the Federal government.  Only the Federal government issued licenses to users of radioactive materials.  In that year, the enactment of the Atomic Energy Act made it possible for private commercial firms to enter the field.  Because of the hazards, Congress determined these activities should be regulated under a system of licensing to protect the health and safety of radiation workers and the public.  The </w:t>
      </w:r>
      <w:r w:rsidR="00783385">
        <w:rPr>
          <w:rFonts w:ascii="Arial" w:hAnsi="Arial"/>
          <w:sz w:val="22"/>
        </w:rPr>
        <w:t xml:space="preserve">U.S. </w:t>
      </w:r>
      <w:r>
        <w:rPr>
          <w:rFonts w:ascii="Arial" w:hAnsi="Arial"/>
          <w:sz w:val="22"/>
        </w:rPr>
        <w:t>N</w:t>
      </w:r>
      <w:r w:rsidR="009E51D9">
        <w:rPr>
          <w:rFonts w:ascii="Arial" w:hAnsi="Arial"/>
          <w:sz w:val="22"/>
        </w:rPr>
        <w:t>uclear Regulatory Commission (N</w:t>
      </w:r>
      <w:r>
        <w:rPr>
          <w:rFonts w:ascii="Arial" w:hAnsi="Arial"/>
          <w:sz w:val="22"/>
        </w:rPr>
        <w:t>RC</w:t>
      </w:r>
      <w:r w:rsidR="009E51D9">
        <w:rPr>
          <w:rFonts w:ascii="Arial" w:hAnsi="Arial"/>
          <w:sz w:val="22"/>
        </w:rPr>
        <w:t>)</w:t>
      </w:r>
      <w:r>
        <w:rPr>
          <w:rFonts w:ascii="Arial" w:hAnsi="Arial"/>
          <w:sz w:val="22"/>
        </w:rPr>
        <w:t xml:space="preserve">, as a successor to the Atomic Energy Commission, is charged by Congress with this responsibility.  </w:t>
      </w:r>
    </w:p>
    <w:p w14:paraId="2B9872F7" w14:textId="77777777" w:rsidR="00933498" w:rsidRDefault="00933498" w:rsidP="009E51D9">
      <w:pPr>
        <w:widowControl w:val="0"/>
        <w:rPr>
          <w:rFonts w:ascii="Arial" w:hAnsi="Arial"/>
          <w:sz w:val="22"/>
        </w:rPr>
      </w:pPr>
    </w:p>
    <w:p w14:paraId="127F2555" w14:textId="77777777" w:rsidR="00933498" w:rsidRPr="00FC4CD8" w:rsidRDefault="00933498" w:rsidP="009E51D9">
      <w:pPr>
        <w:widowControl w:val="0"/>
        <w:rPr>
          <w:rFonts w:ascii="Arial" w:hAnsi="Arial" w:cs="Arial"/>
          <w:color w:val="000000"/>
          <w:sz w:val="22"/>
          <w:szCs w:val="22"/>
        </w:rPr>
      </w:pPr>
      <w:r w:rsidRPr="00FC4CD8">
        <w:rPr>
          <w:rFonts w:ascii="Arial" w:hAnsi="Arial"/>
          <w:color w:val="000000"/>
          <w:sz w:val="22"/>
        </w:rPr>
        <w:t xml:space="preserve">The protection of public health and safety has traditionally been a State responsibility, but the 1954 Act did not carve out any specific role for the States.  In 1959, Section 274 of the Atomic Energy Act was enacted to spell out a State’s role and to provide a statutory basis under which the Federal government could relinquish to the States portions of its regulatory authority.  The 1959 amendments made it possible for the States to license and regulate byproduct, source materials, and small quantities of special nuclear material.  The mechanism for the transfer of the NRC's authority to a State is an agreement between the Governor of the State and the NRC.  Thirty-seven States have entered into such Agreement with the NRC.  These States now regulate approximately 87 percent of byproduct, </w:t>
      </w:r>
      <w:r w:rsidR="00624687" w:rsidRPr="00FC4CD8">
        <w:rPr>
          <w:rFonts w:ascii="Arial" w:hAnsi="Arial"/>
          <w:color w:val="000000"/>
          <w:sz w:val="22"/>
        </w:rPr>
        <w:t>source,</w:t>
      </w:r>
      <w:r w:rsidRPr="00FC4CD8">
        <w:rPr>
          <w:rFonts w:ascii="Arial" w:hAnsi="Arial"/>
          <w:color w:val="000000"/>
          <w:sz w:val="22"/>
        </w:rPr>
        <w:t xml:space="preserve"> and special nuclear material licenses in the United States, as permitted by Section 274 of the Atomic Energy Act.  However, 1</w:t>
      </w:r>
      <w:r w:rsidR="00A05BC7">
        <w:rPr>
          <w:rFonts w:ascii="Arial" w:hAnsi="Arial"/>
          <w:color w:val="000000"/>
          <w:sz w:val="22"/>
        </w:rPr>
        <w:t>7</w:t>
      </w:r>
      <w:r w:rsidRPr="00FC4CD8">
        <w:rPr>
          <w:rFonts w:ascii="Arial" w:hAnsi="Arial"/>
          <w:color w:val="000000"/>
          <w:sz w:val="22"/>
        </w:rPr>
        <w:t xml:space="preserve"> </w:t>
      </w:r>
      <w:r w:rsidR="009A5EB9" w:rsidRPr="00FC4CD8">
        <w:rPr>
          <w:rFonts w:ascii="Arial" w:hAnsi="Arial"/>
          <w:color w:val="000000"/>
          <w:sz w:val="22"/>
        </w:rPr>
        <w:t>S</w:t>
      </w:r>
      <w:r w:rsidRPr="00FC4CD8">
        <w:rPr>
          <w:rFonts w:ascii="Arial" w:hAnsi="Arial"/>
          <w:color w:val="000000"/>
          <w:sz w:val="22"/>
        </w:rPr>
        <w:t>tates</w:t>
      </w:r>
      <w:r w:rsidR="009A5EB9" w:rsidRPr="00FC4CD8">
        <w:rPr>
          <w:rFonts w:ascii="Arial" w:hAnsi="Arial"/>
          <w:color w:val="000000"/>
          <w:sz w:val="22"/>
        </w:rPr>
        <w:t>,</w:t>
      </w:r>
      <w:r w:rsidR="009E51D9" w:rsidRPr="00FC4CD8">
        <w:rPr>
          <w:rFonts w:ascii="Arial" w:hAnsi="Arial"/>
          <w:color w:val="000000"/>
          <w:sz w:val="22"/>
        </w:rPr>
        <w:t xml:space="preserve"> </w:t>
      </w:r>
      <w:r w:rsidR="009A5EB9" w:rsidRPr="00FC4CD8">
        <w:rPr>
          <w:rFonts w:ascii="Arial" w:hAnsi="Arial"/>
          <w:color w:val="000000"/>
          <w:sz w:val="22"/>
        </w:rPr>
        <w:t>or T</w:t>
      </w:r>
      <w:r w:rsidR="009E51D9" w:rsidRPr="00FC4CD8">
        <w:rPr>
          <w:rFonts w:ascii="Arial" w:hAnsi="Arial"/>
          <w:color w:val="000000"/>
          <w:sz w:val="22"/>
        </w:rPr>
        <w:t>erritories</w:t>
      </w:r>
      <w:r w:rsidRPr="00FC4CD8">
        <w:rPr>
          <w:rFonts w:ascii="Arial" w:hAnsi="Arial"/>
          <w:color w:val="000000"/>
          <w:sz w:val="22"/>
        </w:rPr>
        <w:t xml:space="preserve"> </w:t>
      </w:r>
      <w:r w:rsidR="00D2737B" w:rsidRPr="00FC4CD8">
        <w:rPr>
          <w:rFonts w:ascii="Arial" w:hAnsi="Arial" w:cs="Arial"/>
          <w:color w:val="000000"/>
          <w:sz w:val="22"/>
          <w:szCs w:val="22"/>
        </w:rPr>
        <w:t xml:space="preserve">with NRC licensees that possess and use radioactive material </w:t>
      </w:r>
      <w:r w:rsidRPr="00FC4CD8">
        <w:rPr>
          <w:rFonts w:ascii="Arial" w:hAnsi="Arial"/>
          <w:color w:val="000000"/>
          <w:sz w:val="22"/>
        </w:rPr>
        <w:t xml:space="preserve">have not </w:t>
      </w:r>
      <w:r w:rsidRPr="00FC4CD8">
        <w:rPr>
          <w:rFonts w:ascii="Arial" w:hAnsi="Arial" w:cs="Arial"/>
          <w:color w:val="000000"/>
          <w:sz w:val="22"/>
          <w:szCs w:val="22"/>
        </w:rPr>
        <w:t>signed Section 274(b) Agreements with the NRC.  These are:</w:t>
      </w:r>
    </w:p>
    <w:p w14:paraId="32C7E451" w14:textId="77777777" w:rsidR="00705F5D" w:rsidRPr="00FC4CD8" w:rsidRDefault="00705F5D" w:rsidP="00624687">
      <w:pPr>
        <w:pStyle w:val="ListBullet"/>
        <w:numPr>
          <w:ilvl w:val="0"/>
          <w:numId w:val="0"/>
        </w:numPr>
        <w:ind w:left="360" w:hanging="360"/>
        <w:rPr>
          <w:rFonts w:ascii="Arial" w:hAnsi="Arial" w:cs="Arial"/>
          <w:color w:val="000000"/>
          <w:sz w:val="22"/>
        </w:rPr>
      </w:pPr>
    </w:p>
    <w:p w14:paraId="398EBC9F" w14:textId="77777777" w:rsidR="00624687" w:rsidRDefault="00624687" w:rsidP="00624687">
      <w:pPr>
        <w:pStyle w:val="ListBullet"/>
        <w:numPr>
          <w:ilvl w:val="0"/>
          <w:numId w:val="0"/>
        </w:numPr>
        <w:ind w:left="360" w:hanging="360"/>
        <w:rPr>
          <w:rFonts w:ascii="Arial" w:hAnsi="Arial" w:cs="Arial"/>
          <w:sz w:val="22"/>
        </w:rPr>
        <w:sectPr w:rsidR="00624687" w:rsidSect="00935A6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1440" w:gutter="0"/>
          <w:pgNumType w:start="1"/>
          <w:cols w:space="720"/>
          <w:titlePg/>
          <w:docGrid w:linePitch="360"/>
        </w:sectPr>
      </w:pPr>
    </w:p>
    <w:p w14:paraId="33E70301" w14:textId="77777777" w:rsidR="00933498" w:rsidRDefault="00933498" w:rsidP="004967BA">
      <w:pPr>
        <w:pStyle w:val="ListBullet"/>
        <w:numPr>
          <w:ilvl w:val="0"/>
          <w:numId w:val="0"/>
        </w:numPr>
        <w:ind w:left="1080"/>
        <w:rPr>
          <w:rFonts w:ascii="Arial" w:hAnsi="Arial" w:cs="Arial"/>
          <w:sz w:val="22"/>
        </w:rPr>
      </w:pPr>
    </w:p>
    <w:p w14:paraId="406B1A6D"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Connecticut</w:t>
      </w:r>
    </w:p>
    <w:p w14:paraId="67E19200"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Delaware</w:t>
      </w:r>
    </w:p>
    <w:p w14:paraId="53AAF200"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West Virginia</w:t>
      </w:r>
    </w:p>
    <w:p w14:paraId="6012C855"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Michigan</w:t>
      </w:r>
    </w:p>
    <w:p w14:paraId="4B9C5904"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Indiana</w:t>
      </w:r>
    </w:p>
    <w:p w14:paraId="480FDD1F"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Missouri</w:t>
      </w:r>
    </w:p>
    <w:p w14:paraId="23A2D2F8"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South Dakota</w:t>
      </w:r>
    </w:p>
    <w:p w14:paraId="38842C5E" w14:textId="77777777" w:rsidR="009A5EB9" w:rsidRDefault="009A5EB9" w:rsidP="009E51D9">
      <w:pPr>
        <w:pStyle w:val="ListBullet"/>
        <w:tabs>
          <w:tab w:val="num" w:pos="1080"/>
        </w:tabs>
        <w:ind w:left="1080"/>
        <w:rPr>
          <w:rFonts w:ascii="Arial" w:hAnsi="Arial" w:cs="Arial"/>
          <w:sz w:val="22"/>
        </w:rPr>
      </w:pPr>
      <w:r>
        <w:rPr>
          <w:rFonts w:ascii="Arial" w:hAnsi="Arial" w:cs="Arial"/>
          <w:sz w:val="22"/>
        </w:rPr>
        <w:t xml:space="preserve">U.S. Virgin Islands </w:t>
      </w:r>
    </w:p>
    <w:p w14:paraId="41A6D56F"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Montana</w:t>
      </w:r>
    </w:p>
    <w:p w14:paraId="3856E183"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lastRenderedPageBreak/>
        <w:t>Idaho</w:t>
      </w:r>
    </w:p>
    <w:p w14:paraId="78161E6D"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Alaska</w:t>
      </w:r>
    </w:p>
    <w:p w14:paraId="039A3283"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Hawaii</w:t>
      </w:r>
    </w:p>
    <w:p w14:paraId="4D908941" w14:textId="77777777" w:rsidR="009E51D9" w:rsidRDefault="009E51D9" w:rsidP="009E51D9">
      <w:pPr>
        <w:pStyle w:val="ListBullet"/>
        <w:tabs>
          <w:tab w:val="num" w:pos="1080"/>
        </w:tabs>
        <w:ind w:left="1080"/>
        <w:rPr>
          <w:rFonts w:ascii="Arial" w:hAnsi="Arial" w:cs="Arial"/>
          <w:sz w:val="22"/>
        </w:rPr>
      </w:pPr>
      <w:r>
        <w:rPr>
          <w:rFonts w:ascii="Arial" w:hAnsi="Arial" w:cs="Arial"/>
          <w:sz w:val="22"/>
        </w:rPr>
        <w:t>District of Columbia</w:t>
      </w:r>
    </w:p>
    <w:p w14:paraId="3CEE6F43" w14:textId="77777777" w:rsidR="009E51D9" w:rsidRPr="009E51D9" w:rsidRDefault="009E51D9" w:rsidP="009E51D9">
      <w:pPr>
        <w:pStyle w:val="ListBullet"/>
        <w:tabs>
          <w:tab w:val="num" w:pos="1080"/>
        </w:tabs>
        <w:ind w:left="1080"/>
        <w:rPr>
          <w:rFonts w:ascii="Arial" w:hAnsi="Arial" w:cs="Arial"/>
          <w:sz w:val="22"/>
        </w:rPr>
      </w:pPr>
      <w:r>
        <w:rPr>
          <w:rFonts w:ascii="Arial" w:hAnsi="Arial" w:cs="Arial"/>
          <w:sz w:val="22"/>
        </w:rPr>
        <w:t>Commonwealth of Puerto Rico</w:t>
      </w:r>
    </w:p>
    <w:p w14:paraId="222F1F5B" w14:textId="77777777" w:rsidR="00765BCC" w:rsidRDefault="00765BCC" w:rsidP="00765BCC">
      <w:pPr>
        <w:pStyle w:val="ListBullet"/>
        <w:tabs>
          <w:tab w:val="num" w:pos="1080"/>
        </w:tabs>
        <w:ind w:left="1080"/>
        <w:rPr>
          <w:rFonts w:ascii="Arial" w:hAnsi="Arial" w:cs="Arial"/>
          <w:sz w:val="22"/>
        </w:rPr>
      </w:pPr>
      <w:r>
        <w:rPr>
          <w:rFonts w:ascii="Arial" w:hAnsi="Arial" w:cs="Arial"/>
          <w:sz w:val="22"/>
        </w:rPr>
        <w:t>Guam</w:t>
      </w:r>
    </w:p>
    <w:p w14:paraId="04D29A83" w14:textId="77777777" w:rsidR="00A05BC7" w:rsidRDefault="00A05BC7" w:rsidP="00765BCC">
      <w:pPr>
        <w:pStyle w:val="ListBullet"/>
        <w:tabs>
          <w:tab w:val="num" w:pos="1080"/>
        </w:tabs>
        <w:ind w:left="1080"/>
        <w:rPr>
          <w:rFonts w:ascii="Arial" w:hAnsi="Arial" w:cs="Arial"/>
          <w:sz w:val="22"/>
        </w:rPr>
      </w:pPr>
      <w:r>
        <w:rPr>
          <w:rFonts w:ascii="Arial" w:hAnsi="Arial" w:cs="Arial"/>
          <w:sz w:val="22"/>
        </w:rPr>
        <w:t>Commonwealth of the Northern Mariana Islands</w:t>
      </w:r>
    </w:p>
    <w:p w14:paraId="1E7E4CC3" w14:textId="77777777" w:rsidR="00A05BC7" w:rsidRDefault="00A05BC7" w:rsidP="00765BCC">
      <w:pPr>
        <w:pStyle w:val="ListBullet"/>
        <w:tabs>
          <w:tab w:val="num" w:pos="1080"/>
        </w:tabs>
        <w:ind w:left="1080"/>
        <w:rPr>
          <w:rFonts w:ascii="Arial" w:hAnsi="Arial" w:cs="Arial"/>
          <w:sz w:val="22"/>
        </w:rPr>
      </w:pPr>
      <w:r>
        <w:rPr>
          <w:rFonts w:ascii="Arial" w:hAnsi="Arial" w:cs="Arial"/>
          <w:sz w:val="22"/>
        </w:rPr>
        <w:t>American Samoa</w:t>
      </w:r>
    </w:p>
    <w:p w14:paraId="6E539F04" w14:textId="77777777" w:rsidR="009A5EB9" w:rsidRDefault="009A5EB9" w:rsidP="003671B6">
      <w:pPr>
        <w:numPr>
          <w:ilvl w:val="0"/>
          <w:numId w:val="2"/>
        </w:numPr>
        <w:rPr>
          <w:rFonts w:ascii="Arial" w:hAnsi="Arial"/>
          <w:sz w:val="22"/>
        </w:rPr>
        <w:sectPr w:rsidR="009A5EB9" w:rsidSect="007C655B">
          <w:type w:val="continuous"/>
          <w:pgSz w:w="12240" w:h="15840"/>
          <w:pgMar w:top="1440" w:right="1800" w:bottom="1440" w:left="1800" w:header="720" w:footer="720" w:gutter="0"/>
          <w:cols w:num="2" w:space="720"/>
          <w:titlePg/>
          <w:docGrid w:linePitch="360"/>
        </w:sectPr>
      </w:pPr>
    </w:p>
    <w:p w14:paraId="190855EA" w14:textId="77777777" w:rsidR="00933498" w:rsidRDefault="00933498" w:rsidP="002E4554">
      <w:pPr>
        <w:rPr>
          <w:rFonts w:ascii="Arial" w:hAnsi="Arial"/>
          <w:sz w:val="22"/>
        </w:rPr>
      </w:pPr>
    </w:p>
    <w:p w14:paraId="6FD4B66A" w14:textId="77777777" w:rsidR="00B06832" w:rsidRDefault="00DB38C9" w:rsidP="00DB38C9">
      <w:pPr>
        <w:ind w:left="-360"/>
        <w:rPr>
          <w:rFonts w:ascii="Arial" w:hAnsi="Arial"/>
          <w:sz w:val="22"/>
        </w:rPr>
      </w:pPr>
      <w:r>
        <w:rPr>
          <w:rFonts w:ascii="Arial" w:hAnsi="Arial"/>
          <w:sz w:val="22"/>
        </w:rPr>
        <w:t xml:space="preserve">It should be noted that the </w:t>
      </w:r>
      <w:r w:rsidR="00D2737B">
        <w:rPr>
          <w:rFonts w:ascii="Arial" w:hAnsi="Arial"/>
          <w:sz w:val="22"/>
        </w:rPr>
        <w:t>State of Vermont submitted a draft application, to the NRC,</w:t>
      </w:r>
      <w:r w:rsidR="003671B6">
        <w:rPr>
          <w:rFonts w:ascii="Arial" w:hAnsi="Arial"/>
          <w:sz w:val="22"/>
        </w:rPr>
        <w:t xml:space="preserve"> to become</w:t>
      </w:r>
      <w:r w:rsidR="00D2737B">
        <w:rPr>
          <w:rFonts w:ascii="Arial" w:hAnsi="Arial"/>
          <w:sz w:val="22"/>
        </w:rPr>
        <w:t xml:space="preserve"> </w:t>
      </w:r>
      <w:r w:rsidR="00011217">
        <w:rPr>
          <w:rFonts w:ascii="Arial" w:hAnsi="Arial"/>
          <w:sz w:val="22"/>
        </w:rPr>
        <w:t xml:space="preserve">an </w:t>
      </w:r>
      <w:r w:rsidR="00D2737B">
        <w:rPr>
          <w:rFonts w:ascii="Arial" w:hAnsi="Arial"/>
          <w:sz w:val="22"/>
        </w:rPr>
        <w:t xml:space="preserve">Agreement State.  </w:t>
      </w:r>
      <w:r w:rsidR="00B06832">
        <w:rPr>
          <w:rFonts w:ascii="Arial" w:hAnsi="Arial"/>
          <w:sz w:val="22"/>
        </w:rPr>
        <w:t>Staff estimates that</w:t>
      </w:r>
      <w:r w:rsidR="00A05BC7">
        <w:rPr>
          <w:rFonts w:ascii="Arial" w:hAnsi="Arial"/>
          <w:sz w:val="22"/>
        </w:rPr>
        <w:t xml:space="preserve"> the</w:t>
      </w:r>
      <w:r w:rsidR="00B06832">
        <w:rPr>
          <w:rFonts w:ascii="Arial" w:hAnsi="Arial"/>
          <w:sz w:val="22"/>
        </w:rPr>
        <w:t xml:space="preserve"> </w:t>
      </w:r>
      <w:r>
        <w:rPr>
          <w:rFonts w:ascii="Arial" w:hAnsi="Arial"/>
          <w:sz w:val="22"/>
        </w:rPr>
        <w:t>agreement will be signed by the end of FY 2018.</w:t>
      </w:r>
    </w:p>
    <w:p w14:paraId="4E66FA7E" w14:textId="77777777" w:rsidR="00D2737B" w:rsidRDefault="00D2737B" w:rsidP="00DB38C9">
      <w:pPr>
        <w:ind w:left="-360"/>
        <w:rPr>
          <w:rFonts w:ascii="Arial" w:hAnsi="Arial"/>
          <w:sz w:val="22"/>
        </w:rPr>
      </w:pPr>
    </w:p>
    <w:p w14:paraId="5FA48285" w14:textId="77777777" w:rsidR="002E4554" w:rsidRDefault="00DC256F" w:rsidP="003513F8">
      <w:pPr>
        <w:ind w:left="-360"/>
        <w:rPr>
          <w:rFonts w:ascii="Arial" w:hAnsi="Arial"/>
          <w:sz w:val="22"/>
        </w:rPr>
      </w:pPr>
      <w:r w:rsidRPr="008F6890">
        <w:rPr>
          <w:rFonts w:ascii="Arial" w:hAnsi="Arial"/>
          <w:sz w:val="22"/>
        </w:rPr>
        <w:lastRenderedPageBreak/>
        <w:t xml:space="preserve">Occasionally, requests may be made of Non-Agreement States to provide a more complete overview of the national program for regulating radioactive materials.  </w:t>
      </w:r>
      <w:r w:rsidR="003D3F6B">
        <w:rPr>
          <w:rFonts w:ascii="Arial" w:hAnsi="Arial"/>
          <w:sz w:val="22"/>
        </w:rPr>
        <w:t>I</w:t>
      </w:r>
      <w:r w:rsidR="002E4554" w:rsidRPr="008F6890">
        <w:rPr>
          <w:rFonts w:ascii="Arial" w:hAnsi="Arial"/>
          <w:sz w:val="22"/>
        </w:rPr>
        <w:t xml:space="preserve">nformation requests sought from Non-Agreement States may take the form of one-time surveys, e.g., telephonic and electronic surveys/polls and facsimiles (questionnaires). </w:t>
      </w:r>
    </w:p>
    <w:p w14:paraId="453024D9" w14:textId="77777777" w:rsidR="002E4554" w:rsidRDefault="002E4554" w:rsidP="002E4554">
      <w:pPr>
        <w:rPr>
          <w:rFonts w:ascii="Arial" w:hAnsi="Arial"/>
          <w:sz w:val="22"/>
        </w:rPr>
      </w:pPr>
    </w:p>
    <w:p w14:paraId="63026E53" w14:textId="77777777" w:rsidR="00FA7671" w:rsidRPr="00E9153D" w:rsidRDefault="002E4554" w:rsidP="00E9153D">
      <w:pPr>
        <w:rPr>
          <w:rFonts w:ascii="Arial" w:hAnsi="Arial"/>
          <w:sz w:val="22"/>
        </w:rPr>
      </w:pPr>
      <w:r w:rsidRPr="008F6890">
        <w:rPr>
          <w:rFonts w:ascii="Arial" w:hAnsi="Arial"/>
          <w:sz w:val="22"/>
        </w:rPr>
        <w:t>A.</w:t>
      </w:r>
      <w:r w:rsidRPr="008F6890">
        <w:rPr>
          <w:rFonts w:ascii="Arial" w:hAnsi="Arial"/>
          <w:sz w:val="22"/>
        </w:rPr>
        <w:tab/>
      </w:r>
      <w:r w:rsidRPr="008F6890">
        <w:rPr>
          <w:rFonts w:ascii="Arial" w:hAnsi="Arial"/>
          <w:sz w:val="22"/>
          <w:u w:val="single"/>
        </w:rPr>
        <w:t>JUSTIFICATION</w:t>
      </w:r>
    </w:p>
    <w:p w14:paraId="6F4F49A8" w14:textId="77777777" w:rsidR="002E4554" w:rsidRPr="008F6890" w:rsidRDefault="002E4554" w:rsidP="002E4554">
      <w:pPr>
        <w:rPr>
          <w:rFonts w:ascii="Arial" w:hAnsi="Arial"/>
          <w:sz w:val="22"/>
        </w:rPr>
      </w:pPr>
    </w:p>
    <w:p w14:paraId="4FC99443" w14:textId="77777777" w:rsidR="002E4554" w:rsidRPr="008F6890" w:rsidRDefault="002E4554" w:rsidP="002E4554">
      <w:pPr>
        <w:rPr>
          <w:rFonts w:ascii="Arial" w:hAnsi="Arial"/>
          <w:sz w:val="22"/>
        </w:rPr>
      </w:pPr>
      <w:r w:rsidRPr="008F6890">
        <w:rPr>
          <w:rFonts w:ascii="Arial" w:hAnsi="Arial"/>
          <w:sz w:val="22"/>
        </w:rPr>
        <w:t>1.</w:t>
      </w:r>
      <w:r w:rsidRPr="008F6890">
        <w:rPr>
          <w:rFonts w:ascii="Arial" w:hAnsi="Arial"/>
          <w:sz w:val="22"/>
        </w:rPr>
        <w:tab/>
      </w:r>
      <w:r w:rsidRPr="008F6890">
        <w:rPr>
          <w:rFonts w:ascii="Arial" w:hAnsi="Arial"/>
          <w:sz w:val="22"/>
          <w:u w:val="single"/>
        </w:rPr>
        <w:t>Need for and Practical Utility of the Information</w:t>
      </w:r>
      <w:r w:rsidR="007537D6">
        <w:rPr>
          <w:rFonts w:ascii="Arial" w:hAnsi="Arial"/>
          <w:sz w:val="22"/>
          <w:u w:val="single"/>
        </w:rPr>
        <w:t xml:space="preserve"> Collection</w:t>
      </w:r>
    </w:p>
    <w:p w14:paraId="0349AD47"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3C893597"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8F6890">
        <w:rPr>
          <w:rFonts w:ascii="Arial" w:hAnsi="Arial"/>
          <w:sz w:val="22"/>
        </w:rPr>
        <w:t xml:space="preserve">The </w:t>
      </w:r>
      <w:r w:rsidR="00091F54">
        <w:rPr>
          <w:rFonts w:ascii="Arial" w:hAnsi="Arial"/>
          <w:sz w:val="22"/>
        </w:rPr>
        <w:t>current</w:t>
      </w:r>
      <w:r w:rsidR="006F29C7">
        <w:rPr>
          <w:rFonts w:ascii="Arial" w:hAnsi="Arial"/>
          <w:sz w:val="22"/>
        </w:rPr>
        <w:t xml:space="preserve"> </w:t>
      </w:r>
      <w:r w:rsidRPr="008F6890">
        <w:rPr>
          <w:rFonts w:ascii="Arial" w:hAnsi="Arial"/>
          <w:sz w:val="22"/>
        </w:rPr>
        <w:t xml:space="preserve">Non-Agreement States may be asked for information </w:t>
      </w:r>
      <w:r w:rsidR="003D3F6B">
        <w:rPr>
          <w:rFonts w:ascii="Arial" w:hAnsi="Arial"/>
          <w:sz w:val="22"/>
        </w:rPr>
        <w:t>which</w:t>
      </w:r>
      <w:r w:rsidRPr="008F6890">
        <w:rPr>
          <w:rFonts w:ascii="Arial" w:hAnsi="Arial"/>
          <w:sz w:val="22"/>
        </w:rPr>
        <w:t xml:space="preserve"> will primarily refer to certain naturally occurring and accelerator-produced radioactive materials which currently may be subject to State regulations.  The reason for requesting such information is that the information can assist the Commission in its considerations and decisions involving Atomic Energy Act materials programs in an effort to make the national nuclear materials program more uniform and consistent in view of Section 651(e) of the Energy Policy Act of 2005.  </w:t>
      </w:r>
    </w:p>
    <w:p w14:paraId="76D9AF8E"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1830D94B" w14:textId="77777777" w:rsidR="002E4554" w:rsidRPr="008F6890"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2.</w:t>
      </w:r>
      <w:r w:rsidRPr="008F6890">
        <w:rPr>
          <w:rFonts w:ascii="Arial" w:hAnsi="Arial"/>
          <w:sz w:val="22"/>
        </w:rPr>
        <w:tab/>
      </w:r>
      <w:r w:rsidRPr="008F6890">
        <w:rPr>
          <w:rFonts w:ascii="Arial" w:hAnsi="Arial"/>
          <w:sz w:val="22"/>
          <w:u w:val="single"/>
        </w:rPr>
        <w:t>Agency Use of Information</w:t>
      </w:r>
      <w:r w:rsidRPr="008F6890">
        <w:rPr>
          <w:rFonts w:ascii="Arial" w:hAnsi="Arial"/>
          <w:sz w:val="22"/>
        </w:rPr>
        <w:t xml:space="preserve"> </w:t>
      </w:r>
    </w:p>
    <w:p w14:paraId="250CCBB8" w14:textId="77777777" w:rsidR="002E4554" w:rsidRPr="008F6890"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76F01188" w14:textId="77777777" w:rsidR="00DC256F" w:rsidRDefault="002E4554" w:rsidP="003513F8">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8F6890">
        <w:rPr>
          <w:rFonts w:ascii="Arial" w:hAnsi="Arial"/>
          <w:sz w:val="22"/>
        </w:rPr>
        <w:t>The collection of data from the individual Non-Agreement States enables the NRC and States to identify issues and plan and evaluate options for future actions.  The data are also utilized in preparing responses to Congressional inquiries and requests for information from other sources.</w:t>
      </w:r>
    </w:p>
    <w:p w14:paraId="72DD7761" w14:textId="77777777" w:rsidR="001D20BB" w:rsidRDefault="001D20BB" w:rsidP="003513F8">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3539B083"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3.</w:t>
      </w:r>
      <w:r w:rsidR="0037363C">
        <w:rPr>
          <w:rFonts w:ascii="Arial" w:hAnsi="Arial"/>
          <w:sz w:val="22"/>
        </w:rPr>
        <w:tab/>
      </w:r>
      <w:r w:rsidRPr="008F6890">
        <w:rPr>
          <w:rFonts w:ascii="Arial" w:hAnsi="Arial"/>
          <w:sz w:val="22"/>
          <w:u w:val="single"/>
        </w:rPr>
        <w:t>Reduction of Burden Through Information Technology</w:t>
      </w:r>
      <w:r w:rsidRPr="008F6890">
        <w:rPr>
          <w:rFonts w:ascii="Arial" w:hAnsi="Arial"/>
          <w:sz w:val="22"/>
        </w:rPr>
        <w:t xml:space="preserve"> </w:t>
      </w:r>
    </w:p>
    <w:p w14:paraId="01355734" w14:textId="77777777" w:rsidR="002E4554" w:rsidRPr="00DB7A0B"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765F0F8C"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The NRC has issued </w:t>
      </w:r>
      <w:hyperlink r:id="rId15" w:history="1">
        <w:r w:rsidR="00FA7671">
          <w:rPr>
            <w:rStyle w:val="Hyperlink"/>
            <w:rFonts w:ascii="Arial" w:hAnsi="Arial" w:cs="Arial"/>
            <w:i/>
            <w:sz w:val="22"/>
            <w:szCs w:val="22"/>
          </w:rPr>
          <w:t>Guidance for Electronic Submissions to the NRC</w:t>
        </w:r>
      </w:hyperlink>
      <w:r w:rsidR="00FA7671">
        <w:rPr>
          <w:rFonts w:ascii="Arial" w:hAnsi="Arial" w:cs="Arial"/>
          <w:sz w:val="22"/>
          <w:szCs w:val="22"/>
        </w:rPr>
        <w:t xml:space="preserve"> which </w:t>
      </w:r>
      <w:r>
        <w:rPr>
          <w:rFonts w:ascii="Arial" w:hAnsi="Arial" w:cs="Arial"/>
          <w:sz w:val="22"/>
          <w:szCs w:val="22"/>
        </w:rPr>
        <w:t xml:space="preserve">  </w:t>
      </w:r>
    </w:p>
    <w:p w14:paraId="37E46DC4"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provides direction for the electronic transmission and submittal of documents to </w:t>
      </w:r>
      <w:r>
        <w:rPr>
          <w:rFonts w:ascii="Arial" w:hAnsi="Arial" w:cs="Arial"/>
          <w:sz w:val="22"/>
          <w:szCs w:val="22"/>
        </w:rPr>
        <w:t xml:space="preserve">                                    </w:t>
      </w:r>
    </w:p>
    <w:p w14:paraId="5153B99D"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the NRC.  Electronic transmission and submittal of documents can be </w:t>
      </w:r>
    </w:p>
    <w:p w14:paraId="1404ABD5"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accomplished via the following avenues: the Electronic Information Exchange </w:t>
      </w:r>
      <w:r>
        <w:rPr>
          <w:rFonts w:ascii="Arial" w:hAnsi="Arial" w:cs="Arial"/>
          <w:sz w:val="22"/>
          <w:szCs w:val="22"/>
        </w:rPr>
        <w:t xml:space="preserve">      </w:t>
      </w:r>
    </w:p>
    <w:p w14:paraId="1240BE28"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(EIE) process, which is available from the NRC's “Electronic Submittals” Web </w:t>
      </w:r>
      <w:r>
        <w:rPr>
          <w:rFonts w:ascii="Arial" w:hAnsi="Arial" w:cs="Arial"/>
          <w:sz w:val="22"/>
          <w:szCs w:val="22"/>
        </w:rPr>
        <w:t xml:space="preserve">      </w:t>
      </w:r>
    </w:p>
    <w:p w14:paraId="58CBCBB6" w14:textId="77777777" w:rsidR="001D20B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FA7671">
        <w:rPr>
          <w:rFonts w:ascii="Arial" w:hAnsi="Arial" w:cs="Arial"/>
          <w:sz w:val="22"/>
          <w:szCs w:val="22"/>
        </w:rPr>
        <w:t xml:space="preserve">page, by Optical Storage Media (OSM) (e.g. CD-ROM, DVD), by facsimile or by </w:t>
      </w:r>
      <w:r>
        <w:rPr>
          <w:rFonts w:ascii="Arial" w:hAnsi="Arial" w:cs="Arial"/>
          <w:sz w:val="22"/>
          <w:szCs w:val="22"/>
        </w:rPr>
        <w:t xml:space="preserve">   </w:t>
      </w:r>
    </w:p>
    <w:p w14:paraId="1D52F463" w14:textId="77777777" w:rsidR="002E418B" w:rsidRDefault="001D20B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 xml:space="preserve">  </w:t>
      </w:r>
      <w:r w:rsidR="002E418B">
        <w:rPr>
          <w:rFonts w:ascii="Arial" w:hAnsi="Arial" w:cs="Arial"/>
          <w:sz w:val="22"/>
          <w:szCs w:val="22"/>
        </w:rPr>
        <w:t xml:space="preserve"> </w:t>
      </w:r>
      <w:r w:rsidR="00FA7671">
        <w:rPr>
          <w:rFonts w:ascii="Arial" w:hAnsi="Arial" w:cs="Arial"/>
          <w:sz w:val="22"/>
          <w:szCs w:val="22"/>
        </w:rPr>
        <w:t xml:space="preserve">e-mail.  It is estimated that approximately </w:t>
      </w:r>
      <w:r w:rsidR="00390C7D" w:rsidRPr="00390C7D">
        <w:rPr>
          <w:rFonts w:ascii="Arial" w:hAnsi="Arial" w:cs="Arial"/>
          <w:sz w:val="22"/>
          <w:szCs w:val="22"/>
        </w:rPr>
        <w:t>9</w:t>
      </w:r>
      <w:r w:rsidR="00390C7D">
        <w:rPr>
          <w:rFonts w:ascii="Arial" w:hAnsi="Arial" w:cs="Arial"/>
          <w:sz w:val="22"/>
          <w:szCs w:val="22"/>
        </w:rPr>
        <w:t>0</w:t>
      </w:r>
      <w:r w:rsidR="00FA7671" w:rsidRPr="00390C7D">
        <w:rPr>
          <w:rFonts w:ascii="Arial" w:hAnsi="Arial" w:cs="Arial"/>
          <w:sz w:val="22"/>
          <w:szCs w:val="22"/>
        </w:rPr>
        <w:t>%</w:t>
      </w:r>
      <w:r w:rsidR="00FA7671" w:rsidRPr="00390C7D">
        <w:rPr>
          <w:rFonts w:ascii="Arial" w:hAnsi="Arial" w:cs="Arial"/>
          <w:b/>
          <w:sz w:val="22"/>
          <w:szCs w:val="22"/>
        </w:rPr>
        <w:t xml:space="preserve"> </w:t>
      </w:r>
      <w:r w:rsidR="00FA7671" w:rsidRPr="00390C7D">
        <w:rPr>
          <w:rFonts w:ascii="Arial" w:hAnsi="Arial" w:cs="Arial"/>
          <w:sz w:val="22"/>
          <w:szCs w:val="22"/>
        </w:rPr>
        <w:t>o</w:t>
      </w:r>
      <w:r w:rsidR="00FA7671">
        <w:rPr>
          <w:rFonts w:ascii="Arial" w:hAnsi="Arial" w:cs="Arial"/>
          <w:sz w:val="22"/>
          <w:szCs w:val="22"/>
        </w:rPr>
        <w:t xml:space="preserve">f the responses are filed </w:t>
      </w:r>
      <w:r w:rsidR="002E418B">
        <w:rPr>
          <w:rFonts w:ascii="Arial" w:hAnsi="Arial" w:cs="Arial"/>
          <w:sz w:val="22"/>
          <w:szCs w:val="22"/>
        </w:rPr>
        <w:t xml:space="preserve">        </w:t>
      </w:r>
    </w:p>
    <w:p w14:paraId="127649B1" w14:textId="77777777" w:rsidR="002E4554" w:rsidRPr="008F6890" w:rsidRDefault="002E418B" w:rsidP="00695DA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cs="Arial"/>
          <w:sz w:val="22"/>
          <w:szCs w:val="22"/>
        </w:rPr>
        <w:t xml:space="preserve">   </w:t>
      </w:r>
      <w:r w:rsidR="00FA7671">
        <w:rPr>
          <w:rFonts w:ascii="Arial" w:hAnsi="Arial" w:cs="Arial"/>
          <w:sz w:val="22"/>
          <w:szCs w:val="22"/>
        </w:rPr>
        <w:t>electronically.</w:t>
      </w:r>
    </w:p>
    <w:p w14:paraId="5EF5C8F7"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162B9861"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4.</w:t>
      </w:r>
      <w:r w:rsidRPr="008F6890">
        <w:rPr>
          <w:rFonts w:ascii="Arial" w:hAnsi="Arial"/>
          <w:sz w:val="22"/>
        </w:rPr>
        <w:tab/>
      </w:r>
      <w:r w:rsidRPr="008F6890">
        <w:rPr>
          <w:rFonts w:ascii="Arial" w:hAnsi="Arial"/>
          <w:sz w:val="22"/>
          <w:u w:val="single"/>
        </w:rPr>
        <w:t>Effort to Identify Duplication and Similar Use Information</w:t>
      </w:r>
    </w:p>
    <w:p w14:paraId="21818341"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00950911" w14:textId="77777777" w:rsidR="002E418B" w:rsidRDefault="002E4554" w:rsidP="002E4554">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F6890">
        <w:rPr>
          <w:rFonts w:ascii="Arial" w:hAnsi="Arial" w:cs="Arial"/>
          <w:sz w:val="22"/>
          <w:szCs w:val="22"/>
        </w:rPr>
        <w:t xml:space="preserve">No sources of similar information are available.  There is no duplication of requirements. </w:t>
      </w:r>
    </w:p>
    <w:p w14:paraId="70898A58" w14:textId="77777777" w:rsidR="002E418B" w:rsidRDefault="002E418B" w:rsidP="002E4554">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78D4283"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5.</w:t>
      </w:r>
      <w:r w:rsidRPr="008F6890">
        <w:rPr>
          <w:rFonts w:ascii="Arial" w:hAnsi="Arial"/>
          <w:sz w:val="22"/>
        </w:rPr>
        <w:tab/>
      </w:r>
      <w:r w:rsidRPr="008F6890">
        <w:rPr>
          <w:rFonts w:ascii="Arial" w:hAnsi="Arial"/>
          <w:sz w:val="22"/>
          <w:u w:val="single"/>
        </w:rPr>
        <w:t>Effort to Reduce Small Business Burden</w:t>
      </w:r>
      <w:r w:rsidRPr="008F6890">
        <w:rPr>
          <w:rFonts w:ascii="Arial" w:hAnsi="Arial"/>
          <w:sz w:val="22"/>
        </w:rPr>
        <w:t xml:space="preserve">  </w:t>
      </w:r>
    </w:p>
    <w:p w14:paraId="313D7A3A" w14:textId="77777777" w:rsidR="0037363C" w:rsidRPr="008F6890" w:rsidRDefault="0037363C"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1E86C65C" w14:textId="77777777" w:rsidR="00E95769" w:rsidRDefault="00F82EB9"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Pr>
          <w:rFonts w:ascii="Arial" w:hAnsi="Arial"/>
          <w:sz w:val="22"/>
        </w:rPr>
        <w:t xml:space="preserve">Not applicable.  </w:t>
      </w:r>
      <w:r w:rsidR="002E4554" w:rsidRPr="008F6890">
        <w:rPr>
          <w:rFonts w:ascii="Arial" w:hAnsi="Arial"/>
          <w:sz w:val="22"/>
        </w:rPr>
        <w:t xml:space="preserve">There is no impact or burden on small business because the recipients of the requests are State agencies.  </w:t>
      </w:r>
    </w:p>
    <w:p w14:paraId="33746F3F"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14DC83BB"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6AB6471E"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6DD32DDA"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5992E9DF"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7422FC94"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7D40C188" w14:textId="77777777" w:rsidR="004967BA" w:rsidRDefault="004967BA"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384D83B4" w14:textId="77777777" w:rsidR="002E4554" w:rsidRPr="002E4554"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hanging="720"/>
        <w:rPr>
          <w:rFonts w:ascii="Arial" w:hAnsi="Arial"/>
          <w:sz w:val="22"/>
        </w:rPr>
      </w:pPr>
      <w:r w:rsidRPr="008F6890">
        <w:rPr>
          <w:rFonts w:ascii="Arial" w:hAnsi="Arial"/>
          <w:sz w:val="22"/>
        </w:rPr>
        <w:t>6.</w:t>
      </w:r>
      <w:r w:rsidRPr="008F6890">
        <w:rPr>
          <w:rFonts w:ascii="Arial" w:hAnsi="Arial"/>
          <w:sz w:val="22"/>
        </w:rPr>
        <w:tab/>
      </w:r>
      <w:r w:rsidRPr="008F6890">
        <w:rPr>
          <w:rFonts w:ascii="Arial" w:hAnsi="Arial"/>
          <w:sz w:val="22"/>
          <w:u w:val="single"/>
        </w:rPr>
        <w:t xml:space="preserve">Consequences to Federal Program or Policy Activities if the Collection is Not </w:t>
      </w:r>
      <w:r w:rsidRPr="005A48FF">
        <w:rPr>
          <w:rFonts w:ascii="Arial" w:hAnsi="Arial"/>
          <w:sz w:val="22"/>
          <w:u w:val="single"/>
        </w:rPr>
        <w:t xml:space="preserve">Conducted or is </w:t>
      </w:r>
      <w:r w:rsidRPr="008F6890">
        <w:rPr>
          <w:rFonts w:ascii="Arial" w:hAnsi="Arial"/>
          <w:sz w:val="22"/>
          <w:u w:val="single"/>
        </w:rPr>
        <w:t xml:space="preserve">Conducted Less Frequently  </w:t>
      </w:r>
    </w:p>
    <w:p w14:paraId="10C26FA1" w14:textId="77777777" w:rsidR="002E4554" w:rsidRPr="008F6890"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0E4121CC" w14:textId="77777777" w:rsidR="002E4554"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8F6890">
        <w:rPr>
          <w:rFonts w:ascii="Arial" w:hAnsi="Arial"/>
          <w:sz w:val="22"/>
        </w:rPr>
        <w:t>The information collections are as-needed action</w:t>
      </w:r>
      <w:r w:rsidR="00783385">
        <w:rPr>
          <w:rFonts w:ascii="Arial" w:hAnsi="Arial"/>
          <w:sz w:val="22"/>
        </w:rPr>
        <w:t>s</w:t>
      </w:r>
      <w:r w:rsidRPr="008F6890">
        <w:rPr>
          <w:rFonts w:ascii="Arial" w:hAnsi="Arial"/>
          <w:sz w:val="22"/>
        </w:rPr>
        <w:t xml:space="preserve">, which address specific issues generic to the Non-Agreement States.  The consequences of not collecting information, such as licensing and inspection practices, incidents and other technical and statistical information, could potentially impact the American public health and safety and also hamper the identification and evaluation of issues and options for the development of program responses to national problems.  Further, the opportunity for valuable Non-Agreement State review and comment on proposed policy and program updates, and revisions would not be timely or would be eliminated all together.  </w:t>
      </w:r>
    </w:p>
    <w:p w14:paraId="73BA4C53" w14:textId="77777777" w:rsidR="002E4554"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4D0EF55A" w14:textId="77777777" w:rsidR="002E4554" w:rsidRPr="008F6890"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7.</w:t>
      </w:r>
      <w:r w:rsidRPr="008F6890">
        <w:rPr>
          <w:rFonts w:ascii="Arial" w:hAnsi="Arial"/>
          <w:sz w:val="22"/>
        </w:rPr>
        <w:tab/>
      </w:r>
      <w:r w:rsidRPr="008F6890">
        <w:rPr>
          <w:rFonts w:ascii="Arial" w:hAnsi="Arial"/>
          <w:sz w:val="22"/>
          <w:u w:val="single"/>
        </w:rPr>
        <w:t>Circumstances Which Justify Variation From OMB Guidelines</w:t>
      </w:r>
      <w:r w:rsidRPr="008F6890">
        <w:rPr>
          <w:rFonts w:ascii="Arial" w:hAnsi="Arial"/>
          <w:sz w:val="22"/>
        </w:rPr>
        <w:t xml:space="preserve"> </w:t>
      </w:r>
    </w:p>
    <w:p w14:paraId="51E7586F" w14:textId="77777777" w:rsidR="002E4554" w:rsidRPr="008F6890"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333872E4" w14:textId="77777777" w:rsidR="002E4554" w:rsidRPr="008F6890" w:rsidRDefault="002E4554" w:rsidP="002E4554">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8F6890">
        <w:rPr>
          <w:rFonts w:ascii="Arial" w:hAnsi="Arial"/>
          <w:sz w:val="22"/>
        </w:rPr>
        <w:t xml:space="preserve">Because information would be collected in the most expedient manner possible in order to respond to an exigent or unique circumstance which could affect public health and safety, it is possible that such a request would require a response in less than 30 days.  Further, the opportunity for valuable </w:t>
      </w:r>
      <w:r w:rsidR="001579A4">
        <w:rPr>
          <w:rFonts w:ascii="Arial" w:hAnsi="Arial"/>
          <w:sz w:val="22"/>
        </w:rPr>
        <w:br/>
      </w:r>
      <w:r w:rsidRPr="008F6890">
        <w:rPr>
          <w:rFonts w:ascii="Arial" w:hAnsi="Arial"/>
          <w:sz w:val="22"/>
        </w:rPr>
        <w:t>Non-Agreement State review and comment on proposed policy and program updates, and revisions</w:t>
      </w:r>
      <w:r w:rsidR="007C655B">
        <w:rPr>
          <w:rFonts w:ascii="Arial" w:hAnsi="Arial"/>
          <w:sz w:val="22"/>
        </w:rPr>
        <w:t xml:space="preserve">, </w:t>
      </w:r>
      <w:r w:rsidR="00705F5D">
        <w:rPr>
          <w:rFonts w:ascii="Arial" w:hAnsi="Arial"/>
          <w:sz w:val="22"/>
        </w:rPr>
        <w:t>may be requested on a voluntary basis in less than 30 days to provide timely input into an issue</w:t>
      </w:r>
      <w:r w:rsidRPr="008F6890">
        <w:rPr>
          <w:rFonts w:ascii="Arial" w:hAnsi="Arial"/>
          <w:sz w:val="22"/>
        </w:rPr>
        <w:t xml:space="preserve">.  </w:t>
      </w:r>
    </w:p>
    <w:p w14:paraId="179C6322"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6593BBB5" w14:textId="77777777" w:rsidR="002E4554"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u w:val="single"/>
        </w:rPr>
      </w:pPr>
      <w:r w:rsidRPr="008F6890">
        <w:rPr>
          <w:rFonts w:ascii="Arial" w:hAnsi="Arial"/>
          <w:sz w:val="22"/>
        </w:rPr>
        <w:t>8.</w:t>
      </w:r>
      <w:r w:rsidRPr="008F6890">
        <w:rPr>
          <w:rFonts w:ascii="Arial" w:hAnsi="Arial"/>
          <w:sz w:val="22"/>
        </w:rPr>
        <w:tab/>
      </w:r>
      <w:r w:rsidRPr="008F6890">
        <w:rPr>
          <w:rFonts w:ascii="Arial" w:hAnsi="Arial"/>
          <w:sz w:val="22"/>
          <w:u w:val="single"/>
        </w:rPr>
        <w:t>Consultation Outside the NRC</w:t>
      </w:r>
    </w:p>
    <w:p w14:paraId="6F94FCF9" w14:textId="77777777" w:rsidR="00A61850" w:rsidRPr="008F6890" w:rsidRDefault="00A61850"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p>
    <w:p w14:paraId="41B9BDB7" w14:textId="77777777" w:rsidR="008712C2" w:rsidRPr="00CC2B44" w:rsidRDefault="00083507" w:rsidP="008712C2">
      <w:pPr>
        <w:widowControl w:val="0"/>
        <w:ind w:left="720"/>
        <w:rPr>
          <w:rFonts w:ascii="Arial" w:hAnsi="Arial" w:cs="Arial"/>
          <w:sz w:val="22"/>
          <w:szCs w:val="22"/>
          <w:u w:val="single"/>
        </w:rPr>
      </w:pPr>
      <w:r w:rsidRPr="00083507">
        <w:rPr>
          <w:rFonts w:ascii="Arial" w:hAnsi="Arial" w:cs="Arial"/>
          <w:sz w:val="22"/>
          <w:szCs w:val="22"/>
        </w:rPr>
        <w:t>Opportunity for public comment on the information collection requireme</w:t>
      </w:r>
      <w:r w:rsidR="00AC5EDF">
        <w:rPr>
          <w:rFonts w:ascii="Arial" w:hAnsi="Arial" w:cs="Arial"/>
          <w:sz w:val="22"/>
          <w:szCs w:val="22"/>
        </w:rPr>
        <w:t>nts for this clearance package was</w:t>
      </w:r>
      <w:r w:rsidRPr="00083507">
        <w:rPr>
          <w:rFonts w:ascii="Arial" w:hAnsi="Arial" w:cs="Arial"/>
          <w:sz w:val="22"/>
          <w:szCs w:val="22"/>
        </w:rPr>
        <w:t xml:space="preserve"> published in the Federal Register on </w:t>
      </w:r>
      <w:r w:rsidR="00183824">
        <w:rPr>
          <w:rFonts w:ascii="Arial" w:hAnsi="Arial" w:cs="Arial"/>
          <w:sz w:val="22"/>
          <w:szCs w:val="22"/>
        </w:rPr>
        <w:t xml:space="preserve">April 2, 2018 (83 FR 14064). </w:t>
      </w:r>
      <w:r w:rsidR="00B83140">
        <w:rPr>
          <w:rFonts w:ascii="Arial" w:hAnsi="Arial" w:cs="Arial"/>
          <w:sz w:val="22"/>
          <w:szCs w:val="22"/>
        </w:rPr>
        <w:t xml:space="preserve"> </w:t>
      </w:r>
      <w:r w:rsidR="00183824">
        <w:rPr>
          <w:rFonts w:ascii="Arial" w:hAnsi="Arial" w:cs="Arial"/>
          <w:sz w:val="22"/>
          <w:szCs w:val="22"/>
        </w:rPr>
        <w:t xml:space="preserve"> There was 1 comment</w:t>
      </w:r>
      <w:r w:rsidR="00116627">
        <w:rPr>
          <w:rFonts w:ascii="Arial" w:hAnsi="Arial" w:cs="Arial"/>
          <w:sz w:val="22"/>
          <w:szCs w:val="22"/>
        </w:rPr>
        <w:t xml:space="preserve"> received from 1</w:t>
      </w:r>
      <w:r w:rsidR="00B83140">
        <w:rPr>
          <w:rFonts w:ascii="Arial" w:hAnsi="Arial" w:cs="Arial"/>
          <w:sz w:val="22"/>
          <w:szCs w:val="22"/>
        </w:rPr>
        <w:t xml:space="preserve"> Non-</w:t>
      </w:r>
      <w:r w:rsidR="00116627">
        <w:rPr>
          <w:rFonts w:ascii="Arial" w:hAnsi="Arial" w:cs="Arial"/>
          <w:sz w:val="22"/>
          <w:szCs w:val="22"/>
        </w:rPr>
        <w:t xml:space="preserve">Agreement State. </w:t>
      </w:r>
      <w:r w:rsidR="00116627" w:rsidRPr="00083507">
        <w:rPr>
          <w:rFonts w:ascii="Arial" w:hAnsi="Arial" w:cs="Arial"/>
          <w:sz w:val="22"/>
          <w:szCs w:val="22"/>
        </w:rPr>
        <w:t xml:space="preserve"> </w:t>
      </w:r>
      <w:r w:rsidR="00116627">
        <w:rPr>
          <w:rFonts w:ascii="Arial" w:hAnsi="Arial" w:cs="Arial"/>
          <w:sz w:val="22"/>
          <w:szCs w:val="22"/>
        </w:rPr>
        <w:t>The NRC received 1 comment</w:t>
      </w:r>
      <w:r w:rsidR="00B83140">
        <w:rPr>
          <w:rFonts w:ascii="Arial" w:hAnsi="Arial" w:cs="Arial"/>
          <w:sz w:val="22"/>
          <w:szCs w:val="22"/>
        </w:rPr>
        <w:t xml:space="preserve"> from</w:t>
      </w:r>
      <w:r w:rsidR="00116627">
        <w:rPr>
          <w:rFonts w:ascii="Arial" w:hAnsi="Arial" w:cs="Arial"/>
          <w:sz w:val="22"/>
          <w:szCs w:val="22"/>
        </w:rPr>
        <w:t xml:space="preserve"> one of the 5 consultants that were contacted by e-mail.</w:t>
      </w:r>
      <w:r w:rsidR="00B83140">
        <w:rPr>
          <w:rFonts w:ascii="Arial" w:hAnsi="Arial" w:cs="Arial"/>
          <w:sz w:val="22"/>
          <w:szCs w:val="22"/>
        </w:rPr>
        <w:t xml:space="preserve"> </w:t>
      </w:r>
      <w:r w:rsidR="005D3859">
        <w:rPr>
          <w:rFonts w:ascii="Arial" w:hAnsi="Arial" w:cs="Arial"/>
          <w:sz w:val="22"/>
          <w:szCs w:val="22"/>
        </w:rPr>
        <w:t xml:space="preserve"> </w:t>
      </w:r>
      <w:r w:rsidRPr="00083507">
        <w:rPr>
          <w:rFonts w:ascii="Arial" w:hAnsi="Arial" w:cs="Arial"/>
          <w:sz w:val="22"/>
          <w:szCs w:val="22"/>
        </w:rPr>
        <w:t xml:space="preserve">Comment: </w:t>
      </w:r>
      <w:r w:rsidR="005D2ADE">
        <w:rPr>
          <w:rFonts w:ascii="Arial" w:hAnsi="Arial" w:cs="Arial"/>
          <w:sz w:val="22"/>
          <w:szCs w:val="22"/>
        </w:rPr>
        <w:t>The commenter agreed that the collection of information is important for the NRC.  The commenter indicated that the estimate burden is reasonable to allow the NRC to have</w:t>
      </w:r>
      <w:r w:rsidR="005D3859">
        <w:rPr>
          <w:rFonts w:ascii="Arial" w:hAnsi="Arial" w:cs="Arial"/>
          <w:sz w:val="22"/>
          <w:szCs w:val="22"/>
        </w:rPr>
        <w:t xml:space="preserve"> the</w:t>
      </w:r>
      <w:r w:rsidR="005D2ADE">
        <w:rPr>
          <w:rFonts w:ascii="Arial" w:hAnsi="Arial" w:cs="Arial"/>
          <w:sz w:val="22"/>
          <w:szCs w:val="22"/>
        </w:rPr>
        <w:t xml:space="preserve"> flexibility </w:t>
      </w:r>
      <w:r w:rsidR="00AC5EDF">
        <w:rPr>
          <w:rFonts w:ascii="Arial" w:hAnsi="Arial" w:cs="Arial"/>
          <w:sz w:val="22"/>
          <w:szCs w:val="22"/>
        </w:rPr>
        <w:t>it will need to make multiple request</w:t>
      </w:r>
      <w:r w:rsidR="005D3859">
        <w:rPr>
          <w:rFonts w:ascii="Arial" w:hAnsi="Arial" w:cs="Arial"/>
          <w:sz w:val="22"/>
          <w:szCs w:val="22"/>
        </w:rPr>
        <w:t>s</w:t>
      </w:r>
      <w:r w:rsidR="00AC5EDF">
        <w:rPr>
          <w:rFonts w:ascii="Arial" w:hAnsi="Arial" w:cs="Arial"/>
          <w:sz w:val="22"/>
          <w:szCs w:val="22"/>
        </w:rPr>
        <w:t xml:space="preserve"> that require responses of varying complexity</w:t>
      </w:r>
      <w:r w:rsidRPr="00083507">
        <w:rPr>
          <w:rFonts w:ascii="Arial" w:hAnsi="Arial" w:cs="Arial"/>
          <w:sz w:val="22"/>
          <w:szCs w:val="22"/>
        </w:rPr>
        <w:t xml:space="preserve">; NRC Response: </w:t>
      </w:r>
      <w:r w:rsidR="0039034F">
        <w:rPr>
          <w:rFonts w:ascii="Arial" w:hAnsi="Arial" w:cs="Arial"/>
          <w:sz w:val="22"/>
          <w:szCs w:val="22"/>
        </w:rPr>
        <w:t>The NRC appreciate</w:t>
      </w:r>
      <w:r w:rsidR="005D3859">
        <w:rPr>
          <w:rFonts w:ascii="Arial" w:hAnsi="Arial" w:cs="Arial"/>
          <w:sz w:val="22"/>
          <w:szCs w:val="22"/>
        </w:rPr>
        <w:t>s</w:t>
      </w:r>
      <w:r w:rsidR="0039034F">
        <w:rPr>
          <w:rFonts w:ascii="Arial" w:hAnsi="Arial" w:cs="Arial"/>
          <w:sz w:val="22"/>
          <w:szCs w:val="22"/>
        </w:rPr>
        <w:t xml:space="preserve"> the commenter</w:t>
      </w:r>
      <w:r w:rsidR="005D3859">
        <w:rPr>
          <w:rFonts w:ascii="Arial" w:hAnsi="Arial" w:cs="Arial"/>
          <w:sz w:val="22"/>
          <w:szCs w:val="22"/>
        </w:rPr>
        <w:t>’s</w:t>
      </w:r>
      <w:r w:rsidR="0039034F">
        <w:rPr>
          <w:rFonts w:ascii="Arial" w:hAnsi="Arial" w:cs="Arial"/>
          <w:sz w:val="22"/>
          <w:szCs w:val="22"/>
        </w:rPr>
        <w:t xml:space="preserve"> input and agree</w:t>
      </w:r>
      <w:r w:rsidR="005D3859">
        <w:rPr>
          <w:rFonts w:ascii="Arial" w:hAnsi="Arial" w:cs="Arial"/>
          <w:sz w:val="22"/>
          <w:szCs w:val="22"/>
        </w:rPr>
        <w:t>s</w:t>
      </w:r>
      <w:r w:rsidR="0039034F">
        <w:rPr>
          <w:rFonts w:ascii="Arial" w:hAnsi="Arial" w:cs="Arial"/>
          <w:sz w:val="22"/>
          <w:szCs w:val="22"/>
        </w:rPr>
        <w:t xml:space="preserve"> with their comments.</w:t>
      </w:r>
    </w:p>
    <w:p w14:paraId="0DAFE6A2" w14:textId="77777777" w:rsidR="002E4554" w:rsidRPr="008712C2"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cs="Arial"/>
          <w:sz w:val="22"/>
          <w:szCs w:val="22"/>
        </w:rPr>
      </w:pPr>
    </w:p>
    <w:p w14:paraId="302F7D77" w14:textId="77777777" w:rsidR="002E4554" w:rsidRPr="008F6890"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9.</w:t>
      </w:r>
      <w:r w:rsidRPr="008F6890">
        <w:rPr>
          <w:rFonts w:ascii="Arial" w:hAnsi="Arial"/>
          <w:sz w:val="22"/>
        </w:rPr>
        <w:tab/>
      </w:r>
      <w:r w:rsidRPr="008F6890">
        <w:rPr>
          <w:rFonts w:ascii="Arial" w:hAnsi="Arial"/>
          <w:sz w:val="22"/>
          <w:u w:val="single"/>
        </w:rPr>
        <w:t>Payment or Gift to Respondents</w:t>
      </w:r>
      <w:r w:rsidRPr="008F6890">
        <w:rPr>
          <w:rFonts w:ascii="Arial" w:hAnsi="Arial"/>
          <w:sz w:val="22"/>
        </w:rPr>
        <w:t xml:space="preserve">  </w:t>
      </w:r>
    </w:p>
    <w:p w14:paraId="28ED02F1" w14:textId="77777777" w:rsidR="002E4554" w:rsidRPr="008F6890"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2796A0AF" w14:textId="77777777" w:rsidR="002E4554" w:rsidRPr="008F6890" w:rsidRDefault="002E4554" w:rsidP="002E4554">
      <w:pPr>
        <w:keepNext/>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r w:rsidRPr="008F6890">
        <w:rPr>
          <w:rFonts w:ascii="Arial" w:hAnsi="Arial"/>
          <w:sz w:val="22"/>
        </w:rPr>
        <w:tab/>
        <w:t>Not applicable.</w:t>
      </w:r>
    </w:p>
    <w:p w14:paraId="589F17D7"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6A626AC5"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10.</w:t>
      </w:r>
      <w:r w:rsidRPr="008F6890">
        <w:rPr>
          <w:rFonts w:ascii="Arial" w:hAnsi="Arial"/>
          <w:sz w:val="22"/>
        </w:rPr>
        <w:tab/>
      </w:r>
      <w:r w:rsidRPr="008F6890">
        <w:rPr>
          <w:rFonts w:ascii="Arial" w:hAnsi="Arial"/>
          <w:sz w:val="22"/>
          <w:u w:val="single"/>
        </w:rPr>
        <w:t>Confidentiality of the Information</w:t>
      </w:r>
    </w:p>
    <w:p w14:paraId="5CA6F556"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0C1EC20E" w14:textId="77777777" w:rsidR="002E4554" w:rsidRPr="008F6890" w:rsidRDefault="002E4554" w:rsidP="002E4554">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F6890">
        <w:rPr>
          <w:rFonts w:ascii="Arial" w:hAnsi="Arial" w:cs="Arial"/>
          <w:sz w:val="22"/>
          <w:szCs w:val="22"/>
        </w:rPr>
        <w:t xml:space="preserve">Confidential and proprietary information is protected in accordance with NRC regulations at 10 CFR 9.17 (a) and 10 CFR 2.390 (b).  However, no information normally considered confidential or proprietary is requested. </w:t>
      </w:r>
    </w:p>
    <w:p w14:paraId="13075673"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1B8C3892"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11.</w:t>
      </w:r>
      <w:r w:rsidRPr="008F6890">
        <w:rPr>
          <w:rFonts w:ascii="Arial" w:hAnsi="Arial"/>
          <w:sz w:val="22"/>
        </w:rPr>
        <w:tab/>
      </w:r>
      <w:r w:rsidRPr="008F6890">
        <w:rPr>
          <w:rFonts w:ascii="Arial" w:hAnsi="Arial"/>
          <w:sz w:val="22"/>
          <w:u w:val="single"/>
        </w:rPr>
        <w:t>Justification for Sensitive Questions</w:t>
      </w:r>
      <w:r w:rsidRPr="008F6890">
        <w:rPr>
          <w:rFonts w:ascii="Arial" w:hAnsi="Arial"/>
          <w:sz w:val="22"/>
        </w:rPr>
        <w:t xml:space="preserve">  </w:t>
      </w:r>
    </w:p>
    <w:p w14:paraId="6D62F4C1"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08548767" w14:textId="77777777" w:rsidR="002E4554" w:rsidRDefault="00F82EB9"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Pr>
          <w:rFonts w:ascii="Arial" w:hAnsi="Arial"/>
          <w:sz w:val="22"/>
        </w:rPr>
        <w:t>No sensitive information will be requested.</w:t>
      </w:r>
    </w:p>
    <w:p w14:paraId="2DDB347D" w14:textId="77777777" w:rsidR="002C2334" w:rsidRDefault="002C233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4D79707B" w14:textId="77777777" w:rsidR="002C2334" w:rsidRPr="008F6890" w:rsidRDefault="002C233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46DD0D0E"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294A9AEB" w14:textId="77777777" w:rsidR="002E4554" w:rsidRPr="008F6890" w:rsidRDefault="002E4554" w:rsidP="002E4554">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12.</w:t>
      </w:r>
      <w:r w:rsidRPr="008F6890">
        <w:rPr>
          <w:rFonts w:ascii="Arial" w:hAnsi="Arial"/>
          <w:sz w:val="22"/>
        </w:rPr>
        <w:tab/>
      </w:r>
      <w:r w:rsidRPr="008F6890">
        <w:rPr>
          <w:rFonts w:ascii="Arial" w:hAnsi="Arial"/>
          <w:sz w:val="22"/>
          <w:u w:val="single"/>
        </w:rPr>
        <w:t>Estimated Burden and Burden Hour Cost</w:t>
      </w:r>
    </w:p>
    <w:p w14:paraId="2E25F221" w14:textId="77777777" w:rsidR="006972AF" w:rsidRPr="008712C2" w:rsidRDefault="006972AF" w:rsidP="008712C2">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s="Arial"/>
          <w:sz w:val="22"/>
          <w:szCs w:val="22"/>
        </w:rPr>
      </w:pPr>
    </w:p>
    <w:p w14:paraId="00C69DC8" w14:textId="77777777" w:rsidR="00FC56C6" w:rsidRDefault="00C96608" w:rsidP="007D42C9">
      <w:pPr>
        <w:ind w:left="720"/>
        <w:rPr>
          <w:rFonts w:ascii="Arial" w:hAnsi="Arial"/>
          <w:sz w:val="22"/>
        </w:rPr>
      </w:pPr>
      <w:r w:rsidRPr="00C96608">
        <w:rPr>
          <w:rFonts w:ascii="Arial" w:hAnsi="Arial"/>
          <w:sz w:val="22"/>
        </w:rPr>
        <w:t>The estimates are based on submittals to and reviews by NRC in past years</w:t>
      </w:r>
      <w:r>
        <w:rPr>
          <w:rFonts w:ascii="Arial" w:hAnsi="Arial"/>
          <w:sz w:val="22"/>
        </w:rPr>
        <w:t xml:space="preserve">. </w:t>
      </w:r>
      <w:r w:rsidRPr="00C96608">
        <w:rPr>
          <w:rFonts w:ascii="Arial" w:hAnsi="Arial"/>
          <w:sz w:val="22"/>
        </w:rPr>
        <w:t xml:space="preserve"> </w:t>
      </w:r>
      <w:r w:rsidR="002E4554" w:rsidRPr="008F6890">
        <w:rPr>
          <w:rFonts w:ascii="Arial" w:hAnsi="Arial"/>
          <w:sz w:val="22"/>
        </w:rPr>
        <w:t xml:space="preserve">The NRC anticipates issuing </w:t>
      </w:r>
      <w:r w:rsidR="00C6458F">
        <w:rPr>
          <w:rFonts w:ascii="Arial" w:hAnsi="Arial"/>
          <w:sz w:val="22"/>
        </w:rPr>
        <w:t>8</w:t>
      </w:r>
      <w:r w:rsidR="00C6458F" w:rsidRPr="008F6890">
        <w:rPr>
          <w:rFonts w:ascii="Arial" w:hAnsi="Arial"/>
          <w:sz w:val="22"/>
        </w:rPr>
        <w:t xml:space="preserve"> </w:t>
      </w:r>
      <w:r w:rsidR="002E4554" w:rsidRPr="008F6890">
        <w:rPr>
          <w:rFonts w:ascii="Arial" w:hAnsi="Arial"/>
          <w:sz w:val="22"/>
        </w:rPr>
        <w:t xml:space="preserve">requests annually to </w:t>
      </w:r>
      <w:r w:rsidR="006F29C7" w:rsidRPr="008F6890">
        <w:rPr>
          <w:rFonts w:ascii="Arial" w:hAnsi="Arial"/>
          <w:sz w:val="22"/>
        </w:rPr>
        <w:t>1</w:t>
      </w:r>
      <w:r w:rsidR="00A05BC7">
        <w:rPr>
          <w:rFonts w:ascii="Arial" w:hAnsi="Arial"/>
          <w:sz w:val="22"/>
        </w:rPr>
        <w:t>7</w:t>
      </w:r>
      <w:r w:rsidR="006F29C7" w:rsidRPr="008F6890">
        <w:rPr>
          <w:rFonts w:ascii="Arial" w:hAnsi="Arial"/>
          <w:sz w:val="22"/>
        </w:rPr>
        <w:t xml:space="preserve"> </w:t>
      </w:r>
      <w:r w:rsidR="002E4554" w:rsidRPr="008F6890">
        <w:rPr>
          <w:rFonts w:ascii="Arial" w:hAnsi="Arial"/>
          <w:sz w:val="22"/>
        </w:rPr>
        <w:t>Non-Agreement States</w:t>
      </w:r>
      <w:r w:rsidR="002E4554">
        <w:rPr>
          <w:rFonts w:ascii="Arial" w:hAnsi="Arial"/>
          <w:sz w:val="22"/>
        </w:rPr>
        <w:t>.</w:t>
      </w:r>
      <w:r w:rsidR="002E4554" w:rsidRPr="008F6890">
        <w:rPr>
          <w:rFonts w:ascii="Arial" w:hAnsi="Arial"/>
          <w:sz w:val="22"/>
        </w:rPr>
        <w:t xml:space="preserve">  A one hundred percent response rate is estimated because of the importance of the requests.</w:t>
      </w:r>
      <w:r w:rsidR="00836DBC">
        <w:rPr>
          <w:rFonts w:ascii="Arial" w:hAnsi="Arial"/>
          <w:sz w:val="22"/>
        </w:rPr>
        <w:t xml:space="preserve">  E</w:t>
      </w:r>
      <w:r w:rsidR="00705F5D" w:rsidRPr="00765BCC">
        <w:rPr>
          <w:rFonts w:ascii="Arial" w:hAnsi="Arial"/>
          <w:sz w:val="22"/>
        </w:rPr>
        <w:t xml:space="preserve">ach request is estimated to require </w:t>
      </w:r>
      <w:r w:rsidR="003513F8">
        <w:rPr>
          <w:rFonts w:ascii="Arial" w:hAnsi="Arial"/>
          <w:sz w:val="22"/>
        </w:rPr>
        <w:t>7</w:t>
      </w:r>
      <w:r w:rsidR="003513F8" w:rsidRPr="00765BCC">
        <w:rPr>
          <w:rFonts w:ascii="Arial" w:hAnsi="Arial"/>
          <w:sz w:val="22"/>
        </w:rPr>
        <w:t xml:space="preserve"> </w:t>
      </w:r>
      <w:r w:rsidR="00705F5D" w:rsidRPr="00765BCC">
        <w:rPr>
          <w:rFonts w:ascii="Arial" w:hAnsi="Arial"/>
          <w:sz w:val="22"/>
        </w:rPr>
        <w:t xml:space="preserve">hours </w:t>
      </w:r>
      <w:r w:rsidR="002E4554" w:rsidRPr="00765BCC">
        <w:rPr>
          <w:rFonts w:ascii="Arial" w:hAnsi="Arial"/>
          <w:sz w:val="22"/>
        </w:rPr>
        <w:t>per State to respond</w:t>
      </w:r>
      <w:r w:rsidR="00705F5D" w:rsidRPr="00765BCC">
        <w:rPr>
          <w:rFonts w:ascii="Arial" w:hAnsi="Arial"/>
          <w:sz w:val="22"/>
        </w:rPr>
        <w:t>.  The NRC estimates that 8 requests per year will be issued</w:t>
      </w:r>
      <w:r w:rsidR="00951456" w:rsidRPr="00765BCC">
        <w:rPr>
          <w:rFonts w:ascii="Arial" w:hAnsi="Arial"/>
          <w:sz w:val="22"/>
        </w:rPr>
        <w:t xml:space="preserve"> for a to</w:t>
      </w:r>
      <w:r w:rsidR="00450D17" w:rsidRPr="00765BCC">
        <w:rPr>
          <w:rFonts w:ascii="Arial" w:hAnsi="Arial"/>
          <w:sz w:val="22"/>
        </w:rPr>
        <w:t xml:space="preserve">tal annual </w:t>
      </w:r>
    </w:p>
    <w:p w14:paraId="5E9FA133" w14:textId="77777777" w:rsidR="00C552AF" w:rsidRDefault="00450D17" w:rsidP="007D42C9">
      <w:pPr>
        <w:ind w:left="720"/>
        <w:rPr>
          <w:rFonts w:ascii="Arial" w:hAnsi="Arial" w:cs="Arial"/>
          <w:color w:val="44546A"/>
        </w:rPr>
      </w:pPr>
      <w:r w:rsidRPr="00765BCC">
        <w:rPr>
          <w:rFonts w:ascii="Arial" w:hAnsi="Arial"/>
          <w:sz w:val="22"/>
        </w:rPr>
        <w:t xml:space="preserve">burden of </w:t>
      </w:r>
      <w:r w:rsidR="00A05BC7">
        <w:rPr>
          <w:rFonts w:ascii="Arial" w:hAnsi="Arial"/>
          <w:sz w:val="22"/>
        </w:rPr>
        <w:t>952</w:t>
      </w:r>
      <w:r w:rsidR="00EE2143">
        <w:rPr>
          <w:rFonts w:ascii="Arial" w:hAnsi="Arial"/>
          <w:sz w:val="22"/>
        </w:rPr>
        <w:t xml:space="preserve"> </w:t>
      </w:r>
      <w:r w:rsidR="002E4554" w:rsidRPr="00765BCC">
        <w:rPr>
          <w:rFonts w:ascii="Arial" w:hAnsi="Arial"/>
          <w:sz w:val="22"/>
        </w:rPr>
        <w:t>hours (</w:t>
      </w:r>
      <w:r w:rsidR="004967BA">
        <w:rPr>
          <w:rFonts w:ascii="Arial" w:hAnsi="Arial"/>
          <w:sz w:val="22"/>
        </w:rPr>
        <w:t>1</w:t>
      </w:r>
      <w:r w:rsidR="00A05BC7">
        <w:rPr>
          <w:rFonts w:ascii="Arial" w:hAnsi="Arial"/>
          <w:sz w:val="22"/>
        </w:rPr>
        <w:t>7</w:t>
      </w:r>
      <w:r w:rsidR="00765BCC" w:rsidRPr="00765BCC">
        <w:rPr>
          <w:rFonts w:ascii="Arial" w:hAnsi="Arial"/>
          <w:sz w:val="22"/>
        </w:rPr>
        <w:t xml:space="preserve"> </w:t>
      </w:r>
      <w:r w:rsidR="002E4554" w:rsidRPr="00765BCC">
        <w:rPr>
          <w:rFonts w:ascii="Arial" w:hAnsi="Arial"/>
          <w:sz w:val="22"/>
        </w:rPr>
        <w:t>Non-Agreement States x 8 responses x</w:t>
      </w:r>
      <w:r w:rsidRPr="00765BCC">
        <w:rPr>
          <w:rFonts w:ascii="Arial" w:hAnsi="Arial"/>
          <w:sz w:val="22"/>
        </w:rPr>
        <w:t xml:space="preserve"> </w:t>
      </w:r>
      <w:r w:rsidR="00423958">
        <w:rPr>
          <w:rFonts w:ascii="Arial" w:hAnsi="Arial"/>
          <w:sz w:val="22"/>
        </w:rPr>
        <w:t>7</w:t>
      </w:r>
      <w:r w:rsidR="002E4554" w:rsidRPr="00765BCC">
        <w:rPr>
          <w:rFonts w:ascii="Arial" w:hAnsi="Arial"/>
          <w:sz w:val="22"/>
        </w:rPr>
        <w:t xml:space="preserve"> burden hours per response)</w:t>
      </w:r>
      <w:r w:rsidR="00705F5D" w:rsidRPr="00765BCC">
        <w:rPr>
          <w:rFonts w:ascii="Arial" w:hAnsi="Arial"/>
          <w:sz w:val="22"/>
        </w:rPr>
        <w:t xml:space="preserve">, at a cost of </w:t>
      </w:r>
      <w:r w:rsidR="003A5697">
        <w:rPr>
          <w:rFonts w:ascii="Arial" w:hAnsi="Arial"/>
          <w:sz w:val="22"/>
        </w:rPr>
        <w:t>$</w:t>
      </w:r>
      <w:r w:rsidR="00440BBE">
        <w:rPr>
          <w:rFonts w:ascii="Arial" w:hAnsi="Arial"/>
          <w:sz w:val="22"/>
        </w:rPr>
        <w:t>250,376</w:t>
      </w:r>
      <w:r w:rsidR="00A05BC7">
        <w:rPr>
          <w:rFonts w:ascii="Arial" w:hAnsi="Arial"/>
          <w:sz w:val="22"/>
        </w:rPr>
        <w:t xml:space="preserve"> </w:t>
      </w:r>
      <w:r w:rsidR="00705F5D" w:rsidRPr="00765BCC">
        <w:rPr>
          <w:rFonts w:ascii="Arial" w:hAnsi="Arial"/>
          <w:sz w:val="22"/>
        </w:rPr>
        <w:t>(</w:t>
      </w:r>
      <w:r w:rsidR="00A05BC7">
        <w:rPr>
          <w:rFonts w:ascii="Arial" w:hAnsi="Arial"/>
          <w:sz w:val="22"/>
        </w:rPr>
        <w:t>952</w:t>
      </w:r>
      <w:r w:rsidR="004967BA">
        <w:rPr>
          <w:rFonts w:ascii="Arial" w:hAnsi="Arial"/>
          <w:sz w:val="22"/>
        </w:rPr>
        <w:t xml:space="preserve"> </w:t>
      </w:r>
      <w:r w:rsidR="00705F5D" w:rsidRPr="00765BCC">
        <w:rPr>
          <w:rFonts w:ascii="Arial" w:hAnsi="Arial"/>
          <w:sz w:val="22"/>
        </w:rPr>
        <w:t>hours x $</w:t>
      </w:r>
      <w:r w:rsidR="00DA1415" w:rsidRPr="00765BCC">
        <w:rPr>
          <w:rFonts w:ascii="Arial" w:hAnsi="Arial"/>
          <w:sz w:val="22"/>
        </w:rPr>
        <w:t>263</w:t>
      </w:r>
      <w:r w:rsidR="007C655B" w:rsidRPr="00765BCC">
        <w:rPr>
          <w:rFonts w:ascii="Arial" w:hAnsi="Arial"/>
          <w:sz w:val="22"/>
        </w:rPr>
        <w:t xml:space="preserve"> per hour</w:t>
      </w:r>
      <w:r w:rsidR="00705F5D" w:rsidRPr="00765BCC">
        <w:rPr>
          <w:rFonts w:ascii="Arial" w:hAnsi="Arial"/>
          <w:sz w:val="22"/>
        </w:rPr>
        <w:t>)</w:t>
      </w:r>
      <w:r w:rsidR="002E4554" w:rsidRPr="00765BCC">
        <w:rPr>
          <w:rFonts w:ascii="Arial" w:hAnsi="Arial"/>
          <w:sz w:val="22"/>
        </w:rPr>
        <w:t>.</w:t>
      </w:r>
      <w:r w:rsidR="00FC56C6">
        <w:rPr>
          <w:rFonts w:ascii="Arial" w:hAnsi="Arial"/>
          <w:sz w:val="22"/>
        </w:rPr>
        <w:t xml:space="preserve">  </w:t>
      </w:r>
      <w:r w:rsidR="00C739D2">
        <w:rPr>
          <w:rFonts w:ascii="Arial" w:hAnsi="Arial"/>
          <w:sz w:val="22"/>
        </w:rPr>
        <w:t>The</w:t>
      </w:r>
      <w:r w:rsidR="00293C5B">
        <w:rPr>
          <w:rFonts w:ascii="Arial" w:hAnsi="Arial"/>
          <w:sz w:val="22"/>
        </w:rPr>
        <w:t xml:space="preserve"> total burden over the full</w:t>
      </w:r>
      <w:r w:rsidR="00C739D2">
        <w:rPr>
          <w:rFonts w:ascii="Arial" w:hAnsi="Arial"/>
          <w:sz w:val="22"/>
        </w:rPr>
        <w:t xml:space="preserve"> </w:t>
      </w:r>
      <w:r w:rsidR="00807353">
        <w:rPr>
          <w:rFonts w:ascii="Arial" w:hAnsi="Arial"/>
          <w:sz w:val="22"/>
        </w:rPr>
        <w:t>three-year</w:t>
      </w:r>
      <w:r w:rsidR="00C739D2">
        <w:rPr>
          <w:rFonts w:ascii="Arial" w:hAnsi="Arial"/>
          <w:sz w:val="22"/>
        </w:rPr>
        <w:t xml:space="preserve"> clearance period is estimated to be </w:t>
      </w:r>
      <w:r w:rsidR="003513F8">
        <w:rPr>
          <w:rFonts w:ascii="Arial" w:hAnsi="Arial"/>
          <w:sz w:val="22"/>
        </w:rPr>
        <w:t>2,</w:t>
      </w:r>
      <w:r w:rsidR="00A05BC7">
        <w:rPr>
          <w:rFonts w:ascii="Arial" w:hAnsi="Arial"/>
          <w:sz w:val="22"/>
        </w:rPr>
        <w:t>856</w:t>
      </w:r>
      <w:r w:rsidR="00293C5B">
        <w:rPr>
          <w:rFonts w:ascii="Arial" w:hAnsi="Arial"/>
          <w:sz w:val="22"/>
        </w:rPr>
        <w:t xml:space="preserve"> hours (</w:t>
      </w:r>
      <w:r w:rsidR="00EE2143">
        <w:rPr>
          <w:rFonts w:ascii="Arial" w:hAnsi="Arial"/>
          <w:sz w:val="22"/>
        </w:rPr>
        <w:t>$</w:t>
      </w:r>
      <w:r w:rsidR="0031005F">
        <w:rPr>
          <w:rFonts w:ascii="Arial" w:hAnsi="Arial"/>
          <w:sz w:val="22"/>
        </w:rPr>
        <w:t>250,376</w:t>
      </w:r>
      <w:r w:rsidR="004322DF">
        <w:rPr>
          <w:rFonts w:ascii="Arial" w:hAnsi="Arial"/>
          <w:sz w:val="22"/>
        </w:rPr>
        <w:t xml:space="preserve"> x 3 years) at a cost of </w:t>
      </w:r>
      <w:r w:rsidR="00EE2143">
        <w:rPr>
          <w:rFonts w:ascii="Arial" w:hAnsi="Arial"/>
          <w:sz w:val="22"/>
        </w:rPr>
        <w:t>$</w:t>
      </w:r>
      <w:r w:rsidR="0031005F">
        <w:rPr>
          <w:rFonts w:ascii="Arial" w:hAnsi="Arial"/>
          <w:sz w:val="22"/>
        </w:rPr>
        <w:t>751,128</w:t>
      </w:r>
      <w:r w:rsidR="004322DF">
        <w:rPr>
          <w:rFonts w:ascii="Arial" w:hAnsi="Arial"/>
          <w:sz w:val="22"/>
        </w:rPr>
        <w:t>.</w:t>
      </w:r>
      <w:r w:rsidR="00C552AF" w:rsidRPr="00C552AF">
        <w:rPr>
          <w:rFonts w:ascii="Arial" w:hAnsi="Arial" w:cs="Arial"/>
          <w:color w:val="44546A"/>
        </w:rPr>
        <w:t xml:space="preserve"> </w:t>
      </w:r>
    </w:p>
    <w:p w14:paraId="2CF80D6D" w14:textId="77777777" w:rsidR="00C552AF" w:rsidRDefault="00C552AF" w:rsidP="007D42C9">
      <w:pPr>
        <w:ind w:left="720"/>
        <w:rPr>
          <w:rFonts w:ascii="Arial" w:hAnsi="Arial" w:cs="Arial"/>
          <w:color w:val="44546A"/>
        </w:rPr>
      </w:pPr>
    </w:p>
    <w:p w14:paraId="4327E31E" w14:textId="77777777" w:rsidR="00C552AF" w:rsidRPr="00765BCC" w:rsidRDefault="00C552AF" w:rsidP="007D42C9">
      <w:pPr>
        <w:ind w:left="720"/>
        <w:rPr>
          <w:rFonts w:ascii="Arial" w:hAnsi="Arial"/>
          <w:sz w:val="22"/>
        </w:rPr>
      </w:pPr>
      <w:r w:rsidRPr="00C552AF">
        <w:rPr>
          <w:rFonts w:ascii="Arial" w:hAnsi="Arial"/>
          <w:sz w:val="22"/>
        </w:rPr>
        <w:t xml:space="preserve">The $263 hourly rate used in the burden estimates is based on the Nuclear Regulatory Commission’s fee for hourly rates as noted in 10 CFR 170.20 “Average cost per professional staff-hour.”  </w:t>
      </w:r>
      <w:r w:rsidR="00BB5F6B" w:rsidRPr="00BB5F6B">
        <w:rPr>
          <w:rFonts w:ascii="Arial" w:hAnsi="Arial"/>
          <w:sz w:val="22"/>
        </w:rPr>
        <w:t>For more</w:t>
      </w:r>
      <w:r w:rsidR="007B1F19">
        <w:rPr>
          <w:rFonts w:ascii="Arial" w:hAnsi="Arial"/>
          <w:sz w:val="22"/>
        </w:rPr>
        <w:t xml:space="preserve"> </w:t>
      </w:r>
      <w:r w:rsidR="00BB5F6B" w:rsidRPr="00BB5F6B">
        <w:rPr>
          <w:rFonts w:ascii="Arial" w:hAnsi="Arial"/>
          <w:sz w:val="22"/>
        </w:rPr>
        <w:t xml:space="preserve">information on the basis of this rate, see the </w:t>
      </w:r>
      <w:r w:rsidR="00BB5F6B" w:rsidRPr="00BB5F6B">
        <w:rPr>
          <w:rFonts w:ascii="Arial" w:hAnsi="Arial"/>
          <w:i/>
          <w:iCs/>
          <w:sz w:val="22"/>
        </w:rPr>
        <w:t xml:space="preserve">Federal Register </w:t>
      </w:r>
      <w:r w:rsidR="00BB5F6B" w:rsidRPr="00BB5F6B">
        <w:rPr>
          <w:rFonts w:ascii="Arial" w:hAnsi="Arial"/>
          <w:sz w:val="22"/>
        </w:rPr>
        <w:t xml:space="preserve">notice at: </w:t>
      </w:r>
      <w:r w:rsidRPr="00C552AF">
        <w:rPr>
          <w:rFonts w:ascii="Arial" w:hAnsi="Arial"/>
          <w:sz w:val="22"/>
        </w:rPr>
        <w:t xml:space="preserve">82 FR 30682 </w:t>
      </w:r>
      <w:r w:rsidR="007B1F19">
        <w:rPr>
          <w:rFonts w:ascii="Arial" w:hAnsi="Arial"/>
          <w:sz w:val="22"/>
        </w:rPr>
        <w:t>(</w:t>
      </w:r>
      <w:r w:rsidRPr="00C552AF">
        <w:rPr>
          <w:rFonts w:ascii="Arial" w:hAnsi="Arial"/>
          <w:sz w:val="22"/>
        </w:rPr>
        <w:t>June 30, 2017)</w:t>
      </w:r>
      <w:r>
        <w:rPr>
          <w:rFonts w:ascii="Arial" w:hAnsi="Arial"/>
          <w:sz w:val="22"/>
        </w:rPr>
        <w:t>.</w:t>
      </w:r>
    </w:p>
    <w:p w14:paraId="6C40CB8A" w14:textId="77777777" w:rsidR="002E4554" w:rsidRPr="008F6890" w:rsidRDefault="002E4554" w:rsidP="00836DBC">
      <w:pPr>
        <w:ind w:left="720"/>
        <w:rPr>
          <w:rFonts w:ascii="Arial" w:hAnsi="Arial"/>
          <w:sz w:val="22"/>
        </w:rPr>
      </w:pPr>
      <w:r w:rsidRPr="00765BCC">
        <w:rPr>
          <w:rFonts w:ascii="Arial" w:hAnsi="Arial"/>
          <w:sz w:val="22"/>
        </w:rPr>
        <w:t xml:space="preserve">  </w:t>
      </w:r>
    </w:p>
    <w:p w14:paraId="0CCD5E94"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13.</w:t>
      </w:r>
      <w:r w:rsidRPr="008F6890">
        <w:rPr>
          <w:rFonts w:ascii="Arial" w:hAnsi="Arial"/>
          <w:sz w:val="22"/>
        </w:rPr>
        <w:tab/>
      </w:r>
      <w:r w:rsidRPr="008F6890">
        <w:rPr>
          <w:rFonts w:ascii="Arial" w:hAnsi="Arial"/>
          <w:sz w:val="22"/>
          <w:u w:val="single"/>
        </w:rPr>
        <w:t>Estimate of Other Additional Costs</w:t>
      </w:r>
      <w:r w:rsidRPr="008F6890">
        <w:rPr>
          <w:rFonts w:ascii="Arial" w:hAnsi="Arial"/>
          <w:sz w:val="22"/>
        </w:rPr>
        <w:t xml:space="preserve">  </w:t>
      </w:r>
    </w:p>
    <w:p w14:paraId="3DB2078B"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71D826AD"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r w:rsidRPr="008F6890">
        <w:rPr>
          <w:rFonts w:ascii="Arial" w:hAnsi="Arial"/>
          <w:sz w:val="22"/>
        </w:rPr>
        <w:tab/>
        <w:t xml:space="preserve">None. </w:t>
      </w:r>
    </w:p>
    <w:p w14:paraId="0C50AA1F"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0D9B10B3" w14:textId="77777777" w:rsidR="008712C2" w:rsidRDefault="002E4554" w:rsidP="000750C7">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u w:val="single"/>
        </w:rPr>
      </w:pPr>
      <w:r w:rsidRPr="008F6890">
        <w:rPr>
          <w:rFonts w:ascii="Arial" w:hAnsi="Arial"/>
          <w:sz w:val="22"/>
        </w:rPr>
        <w:t>14.</w:t>
      </w:r>
      <w:r w:rsidRPr="008F6890">
        <w:rPr>
          <w:rFonts w:ascii="Arial" w:hAnsi="Arial"/>
          <w:sz w:val="22"/>
        </w:rPr>
        <w:tab/>
      </w:r>
      <w:r w:rsidRPr="008F6890">
        <w:rPr>
          <w:rFonts w:ascii="Arial" w:hAnsi="Arial"/>
          <w:sz w:val="22"/>
          <w:u w:val="single"/>
        </w:rPr>
        <w:t>Estimated Annualized Cost to the Federal Government</w:t>
      </w:r>
    </w:p>
    <w:p w14:paraId="10DC67AA" w14:textId="77777777" w:rsidR="00C552AF" w:rsidRPr="000750C7" w:rsidRDefault="00C552AF" w:rsidP="000750C7">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p>
    <w:p w14:paraId="7281A6EB" w14:textId="77777777" w:rsidR="00C552AF" w:rsidRPr="002C2334" w:rsidRDefault="00C552AF" w:rsidP="002E4554">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s="Arial"/>
          <w:sz w:val="22"/>
          <w:szCs w:val="22"/>
        </w:rPr>
      </w:pPr>
      <w:r w:rsidRPr="002C2334">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72ED6E1E" w14:textId="77777777" w:rsidR="009B24D6" w:rsidRPr="00C552AF" w:rsidRDefault="009B24D6" w:rsidP="002E4554">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s="Arial"/>
        </w:rPr>
      </w:pPr>
    </w:p>
    <w:p w14:paraId="19A672B5" w14:textId="77777777" w:rsidR="00B97959" w:rsidRDefault="002E4554" w:rsidP="00B97959">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765BCC">
        <w:rPr>
          <w:rFonts w:ascii="Arial" w:hAnsi="Arial"/>
          <w:sz w:val="22"/>
        </w:rPr>
        <w:t xml:space="preserve">The </w:t>
      </w:r>
      <w:r w:rsidR="00A0343F" w:rsidRPr="00765BCC">
        <w:rPr>
          <w:rFonts w:ascii="Arial" w:hAnsi="Arial"/>
          <w:sz w:val="22"/>
        </w:rPr>
        <w:t xml:space="preserve">NRC </w:t>
      </w:r>
      <w:r w:rsidRPr="00765BCC">
        <w:rPr>
          <w:rFonts w:ascii="Arial" w:hAnsi="Arial"/>
          <w:sz w:val="22"/>
        </w:rPr>
        <w:t xml:space="preserve">staff will compile and analyze the responses or comments, and respond to the States, as applicable.  </w:t>
      </w:r>
      <w:r w:rsidR="00A0343F" w:rsidRPr="00765BCC">
        <w:rPr>
          <w:rFonts w:ascii="Arial" w:hAnsi="Arial"/>
          <w:sz w:val="22"/>
        </w:rPr>
        <w:t xml:space="preserve">The NRC hours to analyze responses are estimated to be 10 percent of the effort of non-Agreement State staff.  </w:t>
      </w:r>
      <w:r w:rsidRPr="00765BCC">
        <w:rPr>
          <w:rFonts w:ascii="Arial" w:hAnsi="Arial"/>
          <w:sz w:val="22"/>
        </w:rPr>
        <w:t xml:space="preserve">For </w:t>
      </w:r>
      <w:r w:rsidR="008E797C" w:rsidRPr="00765BCC">
        <w:rPr>
          <w:rFonts w:ascii="Arial" w:hAnsi="Arial"/>
          <w:sz w:val="22"/>
        </w:rPr>
        <w:t xml:space="preserve">8 </w:t>
      </w:r>
      <w:r w:rsidRPr="00765BCC">
        <w:rPr>
          <w:rFonts w:ascii="Arial" w:hAnsi="Arial"/>
          <w:sz w:val="22"/>
        </w:rPr>
        <w:t xml:space="preserve">requests with </w:t>
      </w:r>
      <w:r w:rsidR="004967BA">
        <w:rPr>
          <w:rFonts w:ascii="Arial" w:hAnsi="Arial"/>
          <w:sz w:val="22"/>
        </w:rPr>
        <w:t>1</w:t>
      </w:r>
      <w:r w:rsidR="00A05BC7">
        <w:rPr>
          <w:rFonts w:ascii="Arial" w:hAnsi="Arial"/>
          <w:sz w:val="22"/>
        </w:rPr>
        <w:t>7</w:t>
      </w:r>
      <w:r w:rsidR="00765BCC" w:rsidRPr="00765BCC">
        <w:rPr>
          <w:rFonts w:ascii="Arial" w:hAnsi="Arial"/>
          <w:sz w:val="22"/>
        </w:rPr>
        <w:t xml:space="preserve"> </w:t>
      </w:r>
      <w:r w:rsidRPr="00765BCC">
        <w:rPr>
          <w:rFonts w:ascii="Arial" w:hAnsi="Arial"/>
          <w:sz w:val="22"/>
        </w:rPr>
        <w:t xml:space="preserve">Non-Agreement States responding, the estimated annual </w:t>
      </w:r>
      <w:r w:rsidR="00A91116" w:rsidRPr="00765BCC">
        <w:rPr>
          <w:rFonts w:ascii="Arial" w:hAnsi="Arial"/>
          <w:sz w:val="22"/>
        </w:rPr>
        <w:t xml:space="preserve">staff </w:t>
      </w:r>
      <w:r w:rsidRPr="00765BCC">
        <w:rPr>
          <w:rFonts w:ascii="Arial" w:hAnsi="Arial"/>
          <w:sz w:val="22"/>
        </w:rPr>
        <w:t>cost to the Federal government is $</w:t>
      </w:r>
      <w:r w:rsidR="00765BCC" w:rsidRPr="00765BCC">
        <w:rPr>
          <w:rFonts w:ascii="Arial" w:hAnsi="Arial"/>
          <w:sz w:val="22"/>
        </w:rPr>
        <w:t>2</w:t>
      </w:r>
      <w:r w:rsidR="00A05BC7">
        <w:rPr>
          <w:rFonts w:ascii="Arial" w:hAnsi="Arial"/>
          <w:sz w:val="22"/>
        </w:rPr>
        <w:t>4,985</w:t>
      </w:r>
      <w:r w:rsidR="00A91116" w:rsidRPr="00765BCC">
        <w:rPr>
          <w:rFonts w:ascii="Arial" w:hAnsi="Arial"/>
          <w:sz w:val="22"/>
        </w:rPr>
        <w:t xml:space="preserve"> [</w:t>
      </w:r>
      <w:r w:rsidR="00A05BC7">
        <w:rPr>
          <w:rFonts w:ascii="Arial" w:hAnsi="Arial"/>
          <w:sz w:val="22"/>
        </w:rPr>
        <w:t>95</w:t>
      </w:r>
      <w:r w:rsidR="008E797C" w:rsidRPr="00765BCC">
        <w:rPr>
          <w:rFonts w:ascii="Arial" w:hAnsi="Arial"/>
          <w:sz w:val="22"/>
        </w:rPr>
        <w:t xml:space="preserve"> </w:t>
      </w:r>
      <w:r w:rsidR="00AB3D95" w:rsidRPr="00765BCC">
        <w:rPr>
          <w:rFonts w:ascii="Arial" w:hAnsi="Arial"/>
          <w:sz w:val="22"/>
        </w:rPr>
        <w:t xml:space="preserve">total annual burden </w:t>
      </w:r>
      <w:r w:rsidR="00A91116" w:rsidRPr="00765BCC">
        <w:rPr>
          <w:rFonts w:ascii="Arial" w:hAnsi="Arial"/>
          <w:sz w:val="22"/>
        </w:rPr>
        <w:t xml:space="preserve">hours (about 10 percent of the Non-Agreement </w:t>
      </w:r>
      <w:r w:rsidR="00807353" w:rsidRPr="00765BCC">
        <w:rPr>
          <w:rFonts w:ascii="Arial" w:hAnsi="Arial"/>
          <w:sz w:val="22"/>
        </w:rPr>
        <w:t>State staff</w:t>
      </w:r>
      <w:r w:rsidR="00AB3D95" w:rsidRPr="00765BCC">
        <w:rPr>
          <w:rFonts w:ascii="Arial" w:hAnsi="Arial"/>
          <w:sz w:val="22"/>
        </w:rPr>
        <w:t xml:space="preserve"> </w:t>
      </w:r>
      <w:r w:rsidR="00B87C32" w:rsidRPr="00765BCC">
        <w:rPr>
          <w:rFonts w:ascii="Arial" w:hAnsi="Arial"/>
          <w:sz w:val="22"/>
        </w:rPr>
        <w:t xml:space="preserve">total annual burden </w:t>
      </w:r>
      <w:r w:rsidR="00A91116" w:rsidRPr="00765BCC">
        <w:rPr>
          <w:rFonts w:ascii="Arial" w:hAnsi="Arial"/>
          <w:sz w:val="22"/>
        </w:rPr>
        <w:t>hours shown in item 12)</w:t>
      </w:r>
      <w:r w:rsidR="001462AF" w:rsidRPr="00765BCC">
        <w:rPr>
          <w:rFonts w:ascii="Arial" w:hAnsi="Arial"/>
          <w:sz w:val="22"/>
        </w:rPr>
        <w:t xml:space="preserve"> </w:t>
      </w:r>
      <w:r w:rsidR="00B87C32" w:rsidRPr="00765BCC">
        <w:rPr>
          <w:rFonts w:ascii="Arial" w:hAnsi="Arial"/>
          <w:sz w:val="22"/>
        </w:rPr>
        <w:t xml:space="preserve">x </w:t>
      </w:r>
      <w:r w:rsidR="001462AF" w:rsidRPr="00765BCC">
        <w:rPr>
          <w:rFonts w:ascii="Arial" w:hAnsi="Arial"/>
          <w:sz w:val="22"/>
        </w:rPr>
        <w:t>$</w:t>
      </w:r>
      <w:r w:rsidR="008E797C" w:rsidRPr="00765BCC">
        <w:rPr>
          <w:rFonts w:ascii="Arial" w:hAnsi="Arial"/>
          <w:sz w:val="22"/>
        </w:rPr>
        <w:t xml:space="preserve">263 </w:t>
      </w:r>
      <w:r w:rsidR="00B87C32" w:rsidRPr="00765BCC">
        <w:rPr>
          <w:rFonts w:ascii="Arial" w:hAnsi="Arial"/>
          <w:sz w:val="22"/>
        </w:rPr>
        <w:t xml:space="preserve">fee rate </w:t>
      </w:r>
      <w:r w:rsidR="00914284" w:rsidRPr="00765BCC">
        <w:rPr>
          <w:rFonts w:ascii="Arial" w:hAnsi="Arial"/>
          <w:sz w:val="22"/>
        </w:rPr>
        <w:t>per hour</w:t>
      </w:r>
      <w:r w:rsidR="00B87C32" w:rsidRPr="00765BCC">
        <w:rPr>
          <w:rFonts w:ascii="Arial" w:hAnsi="Arial"/>
          <w:sz w:val="22"/>
        </w:rPr>
        <w:t>]</w:t>
      </w:r>
      <w:r w:rsidRPr="00765BCC">
        <w:rPr>
          <w:rFonts w:ascii="Arial" w:hAnsi="Arial"/>
          <w:sz w:val="22"/>
        </w:rPr>
        <w:t>.</w:t>
      </w:r>
    </w:p>
    <w:p w14:paraId="218B3C55" w14:textId="77777777" w:rsidR="00B97959" w:rsidRDefault="00B97959" w:rsidP="00B97959">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759653A8" w14:textId="77777777" w:rsidR="00B97959" w:rsidRPr="00B97959" w:rsidRDefault="002E4554" w:rsidP="00B227E5">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15.</w:t>
      </w:r>
      <w:r w:rsidRPr="008F6890">
        <w:rPr>
          <w:rFonts w:ascii="Arial" w:hAnsi="Arial"/>
          <w:sz w:val="22"/>
        </w:rPr>
        <w:tab/>
      </w:r>
      <w:r w:rsidRPr="008F6890">
        <w:rPr>
          <w:rFonts w:ascii="Arial" w:hAnsi="Arial"/>
          <w:sz w:val="22"/>
          <w:u w:val="single"/>
        </w:rPr>
        <w:t>Reasons for Change in Burden</w:t>
      </w:r>
      <w:r w:rsidR="00490529" w:rsidRPr="000D1DF0">
        <w:rPr>
          <w:rFonts w:ascii="Arial" w:hAnsi="Arial"/>
          <w:sz w:val="22"/>
          <w:u w:val="single"/>
        </w:rPr>
        <w:t xml:space="preserve"> </w:t>
      </w:r>
      <w:r w:rsidR="00390C7D" w:rsidRPr="000D1DF0">
        <w:rPr>
          <w:rFonts w:ascii="Arial" w:hAnsi="Arial"/>
          <w:sz w:val="22"/>
          <w:u w:val="single"/>
        </w:rPr>
        <w:t>and</w:t>
      </w:r>
      <w:r w:rsidR="00490529" w:rsidRPr="000D1DF0">
        <w:rPr>
          <w:rFonts w:ascii="Arial" w:hAnsi="Arial"/>
          <w:sz w:val="22"/>
          <w:u w:val="single"/>
        </w:rPr>
        <w:t xml:space="preserve"> </w:t>
      </w:r>
      <w:r w:rsidR="00400027" w:rsidRPr="000D1DF0">
        <w:rPr>
          <w:rFonts w:ascii="Arial" w:hAnsi="Arial"/>
          <w:sz w:val="22"/>
          <w:u w:val="single"/>
        </w:rPr>
        <w:t>C</w:t>
      </w:r>
      <w:r w:rsidR="00490529" w:rsidRPr="000D1DF0">
        <w:rPr>
          <w:rFonts w:ascii="Arial" w:hAnsi="Arial"/>
          <w:sz w:val="22"/>
          <w:u w:val="single"/>
        </w:rPr>
        <w:t>ost</w:t>
      </w:r>
      <w:r w:rsidR="002E418B">
        <w:rPr>
          <w:rFonts w:ascii="Arial" w:hAnsi="Arial"/>
          <w:sz w:val="22"/>
          <w:u w:val="single"/>
        </w:rPr>
        <w:t xml:space="preserve"> </w:t>
      </w:r>
    </w:p>
    <w:p w14:paraId="23143883" w14:textId="77777777" w:rsidR="00B227E5" w:rsidRDefault="00B227E5" w:rsidP="00B227E5">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59C8C365" w14:textId="77777777" w:rsidR="00B227E5" w:rsidRDefault="00423958" w:rsidP="00B227E5">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olor w:val="000000"/>
          <w:sz w:val="22"/>
        </w:rPr>
      </w:pPr>
      <w:r w:rsidRPr="00423958">
        <w:rPr>
          <w:rFonts w:ascii="Arial" w:hAnsi="Arial"/>
          <w:color w:val="000000"/>
          <w:sz w:val="22"/>
        </w:rPr>
        <w:t>The total burden for this generic information collection over the three-year clearance period has dec</w:t>
      </w:r>
      <w:r w:rsidR="004967BA">
        <w:rPr>
          <w:rFonts w:ascii="Arial" w:hAnsi="Arial"/>
          <w:color w:val="000000"/>
          <w:sz w:val="22"/>
        </w:rPr>
        <w:t>reased from 3,267 hours to 2,</w:t>
      </w:r>
      <w:r w:rsidR="00FA67BE">
        <w:rPr>
          <w:rFonts w:ascii="Arial" w:hAnsi="Arial"/>
          <w:color w:val="000000"/>
          <w:sz w:val="22"/>
        </w:rPr>
        <w:t>856</w:t>
      </w:r>
      <w:r w:rsidR="004967BA">
        <w:rPr>
          <w:rFonts w:ascii="Arial" w:hAnsi="Arial"/>
          <w:color w:val="000000"/>
          <w:sz w:val="22"/>
        </w:rPr>
        <w:t xml:space="preserve"> hours, a decrease of </w:t>
      </w:r>
      <w:r w:rsidR="00FA67BE">
        <w:rPr>
          <w:rFonts w:ascii="Arial" w:hAnsi="Arial"/>
          <w:color w:val="000000"/>
          <w:sz w:val="22"/>
        </w:rPr>
        <w:t>411</w:t>
      </w:r>
      <w:r w:rsidRPr="00423958">
        <w:rPr>
          <w:rFonts w:ascii="Arial" w:hAnsi="Arial"/>
          <w:color w:val="000000"/>
          <w:sz w:val="22"/>
        </w:rPr>
        <w:t xml:space="preserve"> hours.  The number of responses over the three-year clearance period </w:t>
      </w:r>
      <w:r w:rsidR="00FA67BE">
        <w:rPr>
          <w:rFonts w:ascii="Arial" w:hAnsi="Arial"/>
          <w:color w:val="000000"/>
          <w:sz w:val="22"/>
        </w:rPr>
        <w:t>will increase from</w:t>
      </w:r>
      <w:r w:rsidR="004967BA">
        <w:rPr>
          <w:rFonts w:ascii="Arial" w:hAnsi="Arial"/>
          <w:color w:val="000000"/>
          <w:sz w:val="22"/>
        </w:rPr>
        <w:t xml:space="preserve"> 360 </w:t>
      </w:r>
      <w:r w:rsidR="00FA67BE">
        <w:rPr>
          <w:rFonts w:ascii="Arial" w:hAnsi="Arial"/>
          <w:color w:val="000000"/>
          <w:sz w:val="22"/>
        </w:rPr>
        <w:t>to 408</w:t>
      </w:r>
      <w:r w:rsidR="00807353">
        <w:rPr>
          <w:rFonts w:ascii="Arial" w:hAnsi="Arial"/>
          <w:color w:val="000000"/>
          <w:sz w:val="22"/>
        </w:rPr>
        <w:t xml:space="preserve"> </w:t>
      </w:r>
      <w:r w:rsidR="004967BA">
        <w:rPr>
          <w:rFonts w:ascii="Arial" w:hAnsi="Arial"/>
          <w:color w:val="000000"/>
          <w:sz w:val="22"/>
        </w:rPr>
        <w:t>(1</w:t>
      </w:r>
      <w:r w:rsidR="00FA67BE">
        <w:rPr>
          <w:rFonts w:ascii="Arial" w:hAnsi="Arial"/>
          <w:color w:val="000000"/>
          <w:sz w:val="22"/>
        </w:rPr>
        <w:t>36</w:t>
      </w:r>
      <w:r w:rsidRPr="00423958">
        <w:rPr>
          <w:rFonts w:ascii="Arial" w:hAnsi="Arial"/>
          <w:color w:val="000000"/>
          <w:sz w:val="22"/>
        </w:rPr>
        <w:t xml:space="preserve"> x 3)</w:t>
      </w:r>
      <w:r w:rsidR="00FA67BE">
        <w:rPr>
          <w:rFonts w:ascii="Arial" w:hAnsi="Arial"/>
          <w:color w:val="000000"/>
          <w:sz w:val="22"/>
        </w:rPr>
        <w:t>, based on 17 Non-Agreement States</w:t>
      </w:r>
      <w:r w:rsidRPr="00423958">
        <w:rPr>
          <w:rFonts w:ascii="Arial" w:hAnsi="Arial"/>
          <w:color w:val="000000"/>
          <w:sz w:val="22"/>
        </w:rPr>
        <w:t>.</w:t>
      </w:r>
      <w:r w:rsidR="00B227E5">
        <w:rPr>
          <w:rFonts w:ascii="Arial" w:hAnsi="Arial"/>
          <w:color w:val="000000"/>
          <w:sz w:val="22"/>
        </w:rPr>
        <w:t xml:space="preserve"> </w:t>
      </w:r>
    </w:p>
    <w:p w14:paraId="05FCD050" w14:textId="77777777" w:rsidR="00B227E5" w:rsidRDefault="00B227E5" w:rsidP="00B227E5">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olor w:val="000000"/>
          <w:sz w:val="22"/>
        </w:rPr>
      </w:pPr>
    </w:p>
    <w:p w14:paraId="4ED03FA3" w14:textId="77777777" w:rsidR="00765BCC" w:rsidRPr="00FC4CD8" w:rsidRDefault="002C2334" w:rsidP="00B227E5">
      <w:pPr>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cs="Arial"/>
          <w:color w:val="000000"/>
          <w:sz w:val="22"/>
          <w:szCs w:val="22"/>
        </w:rPr>
      </w:pPr>
      <w:r>
        <w:rPr>
          <w:rFonts w:ascii="Arial" w:hAnsi="Arial"/>
          <w:color w:val="000000"/>
          <w:sz w:val="22"/>
        </w:rPr>
        <w:t xml:space="preserve">It </w:t>
      </w:r>
      <w:r w:rsidR="00765BCC" w:rsidRPr="00FC4CD8">
        <w:rPr>
          <w:rFonts w:ascii="Arial" w:hAnsi="Arial"/>
          <w:color w:val="000000"/>
          <w:sz w:val="22"/>
        </w:rPr>
        <w:t>should be noted that there is a difference in the calculation from the previous OMB</w:t>
      </w:r>
      <w:r w:rsidR="00297A38">
        <w:rPr>
          <w:rFonts w:ascii="Arial" w:hAnsi="Arial"/>
          <w:color w:val="000000"/>
          <w:sz w:val="22"/>
        </w:rPr>
        <w:t xml:space="preserve"> clearance</w:t>
      </w:r>
      <w:r w:rsidR="00765BCC" w:rsidRPr="00FC4CD8">
        <w:rPr>
          <w:rFonts w:ascii="Arial" w:hAnsi="Arial"/>
          <w:color w:val="000000"/>
          <w:sz w:val="22"/>
        </w:rPr>
        <w:t xml:space="preserve">.  Section 274n of the Atomic Energy Act states: </w:t>
      </w:r>
      <w:r w:rsidR="00765BCC" w:rsidRPr="00FC4CD8">
        <w:rPr>
          <w:rFonts w:ascii="Arial" w:hAnsi="Arial" w:cs="Arial"/>
          <w:color w:val="000000"/>
          <w:sz w:val="22"/>
          <w:szCs w:val="22"/>
        </w:rPr>
        <w:t>“As used in this section, the term “State” means any State, Territory, or possession of the United States, the Canal Zone, Puerto Rico, and the District of Columbia.”   Therefore, Guam</w:t>
      </w:r>
      <w:r w:rsidR="00FA67BE">
        <w:rPr>
          <w:rFonts w:ascii="Arial" w:hAnsi="Arial" w:cs="Arial"/>
          <w:color w:val="000000"/>
          <w:sz w:val="22"/>
          <w:szCs w:val="22"/>
        </w:rPr>
        <w:t>,</w:t>
      </w:r>
      <w:r w:rsidR="00765BCC" w:rsidRPr="00FC4CD8">
        <w:rPr>
          <w:rFonts w:ascii="Arial" w:hAnsi="Arial" w:cs="Arial"/>
          <w:color w:val="000000"/>
          <w:sz w:val="22"/>
          <w:szCs w:val="22"/>
        </w:rPr>
        <w:t xml:space="preserve"> U.S. Virgin Islands</w:t>
      </w:r>
      <w:r w:rsidR="00FA67BE">
        <w:rPr>
          <w:rFonts w:ascii="Arial" w:hAnsi="Arial" w:cs="Arial"/>
          <w:color w:val="000000"/>
          <w:sz w:val="22"/>
          <w:szCs w:val="22"/>
        </w:rPr>
        <w:t>, Northern Mariana Islands, and American Samoa</w:t>
      </w:r>
      <w:r w:rsidR="00765BCC" w:rsidRPr="00FC4CD8">
        <w:rPr>
          <w:rFonts w:ascii="Arial" w:hAnsi="Arial" w:cs="Arial"/>
          <w:color w:val="000000"/>
          <w:sz w:val="22"/>
          <w:szCs w:val="22"/>
        </w:rPr>
        <w:t xml:space="preserve"> should have been included in the list of States and Territories</w:t>
      </w:r>
      <w:r w:rsidR="003A5697">
        <w:rPr>
          <w:rFonts w:ascii="Arial" w:hAnsi="Arial" w:cs="Arial"/>
          <w:color w:val="000000"/>
          <w:sz w:val="22"/>
          <w:szCs w:val="22"/>
        </w:rPr>
        <w:t>, with a total of 1</w:t>
      </w:r>
      <w:r w:rsidR="00FA67BE">
        <w:rPr>
          <w:rFonts w:ascii="Arial" w:hAnsi="Arial" w:cs="Arial"/>
          <w:color w:val="000000"/>
          <w:sz w:val="22"/>
          <w:szCs w:val="22"/>
        </w:rPr>
        <w:t>7</w:t>
      </w:r>
      <w:r w:rsidR="000415B0" w:rsidRPr="00FC4CD8">
        <w:rPr>
          <w:rFonts w:ascii="Arial" w:hAnsi="Arial" w:cs="Arial"/>
          <w:color w:val="000000"/>
          <w:sz w:val="22"/>
          <w:szCs w:val="22"/>
        </w:rPr>
        <w:t xml:space="preserve"> Non-Agreement States.   </w:t>
      </w:r>
    </w:p>
    <w:p w14:paraId="2626415C" w14:textId="77777777" w:rsidR="00765BCC" w:rsidRDefault="00765BCC" w:rsidP="003F1D77">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24A6248A" w14:textId="77777777" w:rsidR="00423958" w:rsidRPr="00423958" w:rsidRDefault="00423958" w:rsidP="00423958">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423958">
        <w:rPr>
          <w:rFonts w:ascii="Arial" w:hAnsi="Arial"/>
          <w:sz w:val="22"/>
        </w:rPr>
        <w:t xml:space="preserve">The number of requests made to Non-Agreement States is expected to </w:t>
      </w:r>
      <w:r w:rsidR="00FA67BE">
        <w:rPr>
          <w:rFonts w:ascii="Arial" w:hAnsi="Arial"/>
          <w:sz w:val="22"/>
        </w:rPr>
        <w:t xml:space="preserve">increase </w:t>
      </w:r>
      <w:r w:rsidRPr="00423958">
        <w:rPr>
          <w:rFonts w:ascii="Arial" w:hAnsi="Arial"/>
          <w:sz w:val="22"/>
        </w:rPr>
        <w:t xml:space="preserve"> at an average of 8 requests ann</w:t>
      </w:r>
      <w:r w:rsidR="004967BA">
        <w:rPr>
          <w:rFonts w:ascii="Arial" w:hAnsi="Arial"/>
          <w:sz w:val="22"/>
        </w:rPr>
        <w:t>ually</w:t>
      </w:r>
      <w:r w:rsidR="00200228">
        <w:rPr>
          <w:rFonts w:ascii="Arial" w:hAnsi="Arial"/>
          <w:sz w:val="22"/>
        </w:rPr>
        <w:t xml:space="preserve">, with </w:t>
      </w:r>
      <w:r w:rsidR="003A5697">
        <w:rPr>
          <w:rFonts w:ascii="Arial" w:hAnsi="Arial"/>
          <w:sz w:val="22"/>
        </w:rPr>
        <w:t>a</w:t>
      </w:r>
      <w:r w:rsidR="004967BA">
        <w:rPr>
          <w:rFonts w:ascii="Arial" w:hAnsi="Arial"/>
          <w:sz w:val="22"/>
        </w:rPr>
        <w:t xml:space="preserve"> total number of </w:t>
      </w:r>
      <w:r w:rsidRPr="00423958">
        <w:rPr>
          <w:rFonts w:ascii="Arial" w:hAnsi="Arial"/>
          <w:sz w:val="22"/>
        </w:rPr>
        <w:t>1</w:t>
      </w:r>
      <w:r w:rsidR="00FA67BE">
        <w:rPr>
          <w:rFonts w:ascii="Arial" w:hAnsi="Arial"/>
          <w:sz w:val="22"/>
        </w:rPr>
        <w:t>36</w:t>
      </w:r>
      <w:r w:rsidRPr="00423958">
        <w:rPr>
          <w:rFonts w:ascii="Arial" w:hAnsi="Arial"/>
          <w:sz w:val="22"/>
        </w:rPr>
        <w:t xml:space="preserve"> responses </w:t>
      </w:r>
      <w:r w:rsidR="004967BA">
        <w:rPr>
          <w:rFonts w:ascii="Arial" w:hAnsi="Arial"/>
          <w:sz w:val="22"/>
        </w:rPr>
        <w:t>(1</w:t>
      </w:r>
      <w:r w:rsidR="00FA67BE">
        <w:rPr>
          <w:rFonts w:ascii="Arial" w:hAnsi="Arial"/>
          <w:sz w:val="22"/>
        </w:rPr>
        <w:t>7</w:t>
      </w:r>
      <w:r w:rsidRPr="00423958">
        <w:rPr>
          <w:rFonts w:ascii="Arial" w:hAnsi="Arial"/>
          <w:sz w:val="22"/>
        </w:rPr>
        <w:t xml:space="preserve"> non-Agreement states x 8 responses annually). </w:t>
      </w:r>
    </w:p>
    <w:p w14:paraId="14D48BDD" w14:textId="77777777" w:rsidR="00423958" w:rsidRPr="00423958" w:rsidRDefault="00423958" w:rsidP="00423958">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39066CEF" w14:textId="538CD1D7" w:rsidR="00423958" w:rsidRPr="00423958" w:rsidRDefault="00423958" w:rsidP="00423958">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sidRPr="00423958">
        <w:rPr>
          <w:rFonts w:ascii="Arial" w:hAnsi="Arial"/>
          <w:sz w:val="22"/>
        </w:rPr>
        <w:t xml:space="preserve">The burden per response has decreased from approximately 9 hours per response to 7 hours per response based on staff experience with this program since the last renewal of this information collection.  In the past two years, the NRC has issued two letters with an estimated burden of 8 hours per response and one letter with an estimated 1 hour of burden per response.  The current burden estimate </w:t>
      </w:r>
      <w:r w:rsidR="005A035C">
        <w:rPr>
          <w:rFonts w:ascii="Arial" w:hAnsi="Arial"/>
          <w:sz w:val="22"/>
        </w:rPr>
        <w:t xml:space="preserve">is supported by the comment received in response to the initial </w:t>
      </w:r>
      <w:r w:rsidR="005A035C">
        <w:rPr>
          <w:rFonts w:ascii="Arial" w:hAnsi="Arial"/>
          <w:i/>
          <w:sz w:val="22"/>
        </w:rPr>
        <w:t>Federal Register</w:t>
      </w:r>
      <w:r w:rsidR="005A035C">
        <w:rPr>
          <w:rFonts w:ascii="Arial" w:hAnsi="Arial"/>
          <w:sz w:val="22"/>
        </w:rPr>
        <w:t xml:space="preserve"> notice and the solicited comment</w:t>
      </w:r>
      <w:r w:rsidRPr="00423958">
        <w:rPr>
          <w:rFonts w:ascii="Arial" w:hAnsi="Arial"/>
          <w:sz w:val="22"/>
        </w:rPr>
        <w:t>.</w:t>
      </w:r>
    </w:p>
    <w:p w14:paraId="468DE9E3" w14:textId="77777777" w:rsidR="00423958" w:rsidRPr="00423958" w:rsidRDefault="00423958" w:rsidP="00423958">
      <w:pPr>
        <w:keepNext/>
        <w:keepLines/>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p>
    <w:p w14:paraId="4D5273DE" w14:textId="77777777" w:rsidR="002E4554" w:rsidRDefault="00B54868"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r>
        <w:rPr>
          <w:rFonts w:ascii="Arial" w:hAnsi="Arial"/>
          <w:sz w:val="22"/>
        </w:rPr>
        <w:tab/>
      </w:r>
      <w:r w:rsidR="00423958" w:rsidRPr="00423958">
        <w:rPr>
          <w:rFonts w:ascii="Arial" w:hAnsi="Arial"/>
          <w:sz w:val="22"/>
        </w:rPr>
        <w:t xml:space="preserve">The </w:t>
      </w:r>
      <w:r w:rsidR="00E90761">
        <w:rPr>
          <w:rFonts w:ascii="Arial" w:hAnsi="Arial"/>
          <w:sz w:val="22"/>
        </w:rPr>
        <w:t xml:space="preserve">staff </w:t>
      </w:r>
      <w:r w:rsidR="00423958" w:rsidRPr="00423958">
        <w:rPr>
          <w:rFonts w:ascii="Arial" w:hAnsi="Arial"/>
          <w:sz w:val="22"/>
        </w:rPr>
        <w:t xml:space="preserve">fee rate decreased in this clearance statement from $279 to $263 per </w:t>
      </w:r>
      <w:r w:rsidR="00E90761">
        <w:rPr>
          <w:rFonts w:ascii="Arial" w:hAnsi="Arial"/>
          <w:sz w:val="22"/>
        </w:rPr>
        <w:t xml:space="preserve">                                                                               </w:t>
      </w:r>
      <w:r w:rsidR="00E90761">
        <w:rPr>
          <w:rFonts w:ascii="Arial" w:hAnsi="Arial"/>
          <w:sz w:val="22"/>
        </w:rPr>
        <w:tab/>
      </w:r>
      <w:r w:rsidR="00423958" w:rsidRPr="00423958">
        <w:rPr>
          <w:rFonts w:ascii="Arial" w:hAnsi="Arial"/>
          <w:sz w:val="22"/>
        </w:rPr>
        <w:t>hour</w:t>
      </w:r>
      <w:r>
        <w:rPr>
          <w:rFonts w:ascii="Arial" w:hAnsi="Arial"/>
          <w:sz w:val="22"/>
        </w:rPr>
        <w:t>.</w:t>
      </w:r>
    </w:p>
    <w:p w14:paraId="6F33F3A5" w14:textId="77777777" w:rsidR="00B54868" w:rsidRPr="008F6890" w:rsidRDefault="00B54868"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371705A4"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16.</w:t>
      </w:r>
      <w:r w:rsidRPr="008F6890">
        <w:rPr>
          <w:rFonts w:ascii="Arial" w:hAnsi="Arial"/>
          <w:sz w:val="22"/>
        </w:rPr>
        <w:tab/>
      </w:r>
      <w:r w:rsidRPr="008F6890">
        <w:rPr>
          <w:rFonts w:ascii="Arial" w:hAnsi="Arial"/>
          <w:sz w:val="22"/>
          <w:u w:val="single"/>
        </w:rPr>
        <w:t>Publication for Statistical Use</w:t>
      </w:r>
      <w:r w:rsidRPr="008F6890">
        <w:rPr>
          <w:rFonts w:ascii="Arial" w:hAnsi="Arial"/>
          <w:sz w:val="22"/>
        </w:rPr>
        <w:t xml:space="preserve">  </w:t>
      </w:r>
    </w:p>
    <w:p w14:paraId="0940326F"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7EDB753B" w14:textId="77777777" w:rsidR="002E4554"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r w:rsidRPr="008F6890">
        <w:rPr>
          <w:rFonts w:ascii="Arial" w:hAnsi="Arial"/>
          <w:sz w:val="22"/>
        </w:rPr>
        <w:tab/>
        <w:t xml:space="preserve">This information will not be published for statistical use.   </w:t>
      </w:r>
    </w:p>
    <w:p w14:paraId="442D5F61"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1BB0EB53"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17.</w:t>
      </w:r>
      <w:r w:rsidRPr="008F6890">
        <w:rPr>
          <w:rFonts w:ascii="Arial" w:hAnsi="Arial"/>
          <w:sz w:val="22"/>
        </w:rPr>
        <w:tab/>
      </w:r>
      <w:r w:rsidRPr="008F6890">
        <w:rPr>
          <w:rFonts w:ascii="Arial" w:hAnsi="Arial"/>
          <w:sz w:val="22"/>
          <w:u w:val="single"/>
        </w:rPr>
        <w:t>Reason for Not Displaying the Expiration Date</w:t>
      </w:r>
      <w:r w:rsidRPr="008F6890">
        <w:rPr>
          <w:rFonts w:ascii="Arial" w:hAnsi="Arial"/>
          <w:sz w:val="22"/>
        </w:rPr>
        <w:t xml:space="preserve"> </w:t>
      </w:r>
    </w:p>
    <w:p w14:paraId="6D4095E2"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61C2EAEC" w14:textId="77777777" w:rsidR="002E4554" w:rsidRPr="008F6890" w:rsidRDefault="00F759F6"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720"/>
        <w:rPr>
          <w:rFonts w:ascii="Arial" w:hAnsi="Arial"/>
          <w:sz w:val="22"/>
        </w:rPr>
      </w:pPr>
      <w:r>
        <w:rPr>
          <w:rFonts w:ascii="Arial" w:hAnsi="Arial"/>
          <w:sz w:val="22"/>
        </w:rPr>
        <w:t xml:space="preserve">The expiration date will be displayed.  </w:t>
      </w:r>
      <w:r w:rsidR="002E4554" w:rsidRPr="008F6890">
        <w:rPr>
          <w:rFonts w:ascii="Arial" w:hAnsi="Arial"/>
          <w:sz w:val="22"/>
        </w:rPr>
        <w:t>In the case of an exigent or unique circumstance which would trigger a telephonic NRC survey of Non-Agreement States, the expiration date for OMB approval will be verbally transmitted.</w:t>
      </w:r>
    </w:p>
    <w:p w14:paraId="0DBB4843"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64CFF4B9"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440" w:hanging="1440"/>
        <w:rPr>
          <w:rFonts w:ascii="Arial" w:hAnsi="Arial"/>
          <w:sz w:val="22"/>
        </w:rPr>
      </w:pPr>
      <w:r w:rsidRPr="008F6890">
        <w:rPr>
          <w:rFonts w:ascii="Arial" w:hAnsi="Arial"/>
          <w:sz w:val="22"/>
        </w:rPr>
        <w:t>18.</w:t>
      </w:r>
      <w:r w:rsidRPr="008F6890">
        <w:rPr>
          <w:rFonts w:ascii="Arial" w:hAnsi="Arial"/>
          <w:sz w:val="22"/>
        </w:rPr>
        <w:tab/>
      </w:r>
      <w:r w:rsidRPr="008F6890">
        <w:rPr>
          <w:rFonts w:ascii="Arial" w:hAnsi="Arial"/>
          <w:sz w:val="22"/>
          <w:u w:val="single"/>
        </w:rPr>
        <w:t>Exceptions to the Certification Statement</w:t>
      </w:r>
    </w:p>
    <w:p w14:paraId="18EC5ADD"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p>
    <w:p w14:paraId="3E669B37" w14:textId="77777777" w:rsidR="002E4554" w:rsidRPr="008F6890" w:rsidRDefault="002E4554" w:rsidP="002E455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rPr>
          <w:rFonts w:ascii="Arial" w:hAnsi="Arial"/>
          <w:sz w:val="22"/>
        </w:rPr>
      </w:pPr>
      <w:r w:rsidRPr="008F6890">
        <w:rPr>
          <w:rFonts w:ascii="Arial" w:hAnsi="Arial"/>
          <w:sz w:val="22"/>
        </w:rPr>
        <w:tab/>
        <w:t xml:space="preserve">Not applicable.  </w:t>
      </w:r>
    </w:p>
    <w:sectPr w:rsidR="002E4554" w:rsidRPr="008F6890" w:rsidSect="002146A0">
      <w:headerReference w:type="first" r:id="rId16"/>
      <w:footerReference w:type="first" r:id="rId17"/>
      <w:type w:val="continuous"/>
      <w:pgSz w:w="12240" w:h="15840" w:code="1"/>
      <w:pgMar w:top="1440" w:right="1800" w:bottom="1440" w:left="180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82413" w14:textId="77777777" w:rsidR="008859C6" w:rsidRDefault="008859C6" w:rsidP="00DB7A0B">
      <w:r>
        <w:separator/>
      </w:r>
    </w:p>
  </w:endnote>
  <w:endnote w:type="continuationSeparator" w:id="0">
    <w:p w14:paraId="102B2A47" w14:textId="77777777" w:rsidR="008859C6" w:rsidRDefault="008859C6" w:rsidP="00DB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FBD1" w14:textId="77777777" w:rsidR="008F785F" w:rsidRDefault="008F7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82E9" w14:textId="236F5A91" w:rsidR="005D2ADE" w:rsidRDefault="005D2ADE">
    <w:pPr>
      <w:pStyle w:val="Footer"/>
      <w:jc w:val="center"/>
    </w:pPr>
    <w:r>
      <w:fldChar w:fldCharType="begin"/>
    </w:r>
    <w:r>
      <w:instrText xml:space="preserve"> PAGE   \* MERGEFORMAT </w:instrText>
    </w:r>
    <w:r>
      <w:fldChar w:fldCharType="separate"/>
    </w:r>
    <w:r w:rsidR="009A2703">
      <w:rPr>
        <w:noProof/>
      </w:rPr>
      <w:t>2</w:t>
    </w:r>
    <w:r>
      <w:rPr>
        <w:noProof/>
      </w:rPr>
      <w:fldChar w:fldCharType="end"/>
    </w:r>
  </w:p>
  <w:p w14:paraId="2C480AC6" w14:textId="77777777" w:rsidR="005D2ADE" w:rsidRDefault="005D2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BE4E" w14:textId="7479E173" w:rsidR="005D2ADE" w:rsidRDefault="005D2ADE">
    <w:pPr>
      <w:pStyle w:val="Footer"/>
      <w:jc w:val="center"/>
    </w:pPr>
    <w:r>
      <w:fldChar w:fldCharType="begin"/>
    </w:r>
    <w:r>
      <w:instrText xml:space="preserve"> PAGE   \* MERGEFORMAT </w:instrText>
    </w:r>
    <w:r>
      <w:fldChar w:fldCharType="separate"/>
    </w:r>
    <w:r w:rsidR="009A2703">
      <w:rPr>
        <w:noProof/>
      </w:rPr>
      <w:t>1</w:t>
    </w:r>
    <w:r>
      <w:rPr>
        <w:noProof/>
      </w:rPr>
      <w:fldChar w:fldCharType="end"/>
    </w:r>
  </w:p>
  <w:p w14:paraId="1F7D7547" w14:textId="77777777" w:rsidR="005D2ADE" w:rsidRDefault="005D2A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18F7" w14:textId="77777777" w:rsidR="005D2ADE" w:rsidRPr="0015778C" w:rsidRDefault="005D2ADE">
    <w:pPr>
      <w:pStyle w:val="Footer"/>
      <w:jc w:val="center"/>
      <w:rPr>
        <w:rFonts w:ascii="Arial" w:hAnsi="Arial" w:cs="Arial"/>
        <w:sz w:val="22"/>
        <w:szCs w:val="22"/>
      </w:rPr>
    </w:pPr>
    <w:r w:rsidRPr="0015778C">
      <w:rPr>
        <w:rFonts w:ascii="Arial" w:hAnsi="Arial" w:cs="Arial"/>
        <w:sz w:val="22"/>
        <w:szCs w:val="22"/>
      </w:rPr>
      <w:fldChar w:fldCharType="begin"/>
    </w:r>
    <w:r w:rsidRPr="0015778C">
      <w:rPr>
        <w:rFonts w:ascii="Arial" w:hAnsi="Arial" w:cs="Arial"/>
        <w:sz w:val="22"/>
        <w:szCs w:val="22"/>
      </w:rPr>
      <w:instrText xml:space="preserve"> PAGE   \* MERGEFORMAT </w:instrText>
    </w:r>
    <w:r w:rsidRPr="0015778C">
      <w:rPr>
        <w:rFonts w:ascii="Arial" w:hAnsi="Arial" w:cs="Arial"/>
        <w:sz w:val="22"/>
        <w:szCs w:val="22"/>
      </w:rPr>
      <w:fldChar w:fldCharType="separate"/>
    </w:r>
    <w:r>
      <w:rPr>
        <w:rFonts w:ascii="Arial" w:hAnsi="Arial" w:cs="Arial"/>
        <w:noProof/>
        <w:sz w:val="22"/>
        <w:szCs w:val="22"/>
      </w:rPr>
      <w:t>1</w:t>
    </w:r>
    <w:r w:rsidRPr="0015778C">
      <w:rPr>
        <w:rFonts w:ascii="Arial" w:hAnsi="Arial" w:cs="Arial"/>
        <w:noProof/>
        <w:sz w:val="22"/>
        <w:szCs w:val="22"/>
      </w:rPr>
      <w:fldChar w:fldCharType="end"/>
    </w:r>
  </w:p>
  <w:p w14:paraId="1EA9A741" w14:textId="77777777" w:rsidR="005D2ADE" w:rsidRDefault="005D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77AE0" w14:textId="77777777" w:rsidR="008859C6" w:rsidRDefault="008859C6" w:rsidP="00DB7A0B">
      <w:r>
        <w:separator/>
      </w:r>
    </w:p>
  </w:footnote>
  <w:footnote w:type="continuationSeparator" w:id="0">
    <w:p w14:paraId="4A10CF78" w14:textId="77777777" w:rsidR="008859C6" w:rsidRDefault="008859C6" w:rsidP="00DB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59FDF" w14:textId="77777777" w:rsidR="008F785F" w:rsidRDefault="008F7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ADBF" w14:textId="77777777" w:rsidR="008F785F" w:rsidRDefault="008F7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B1CEC" w14:textId="77777777" w:rsidR="008F785F" w:rsidRDefault="008F78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7A76" w14:textId="77777777" w:rsidR="005D2ADE" w:rsidRDefault="005D2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54E5FE"/>
    <w:lvl w:ilvl="0">
      <w:start w:val="1"/>
      <w:numFmt w:val="bullet"/>
      <w:pStyle w:val="ListBullet"/>
      <w:lvlText w:val=""/>
      <w:lvlJc w:val="left"/>
      <w:pPr>
        <w:tabs>
          <w:tab w:val="num" w:pos="1710"/>
        </w:tabs>
        <w:ind w:left="1710" w:hanging="360"/>
      </w:pPr>
      <w:rPr>
        <w:rFonts w:ascii="Symbol" w:hAnsi="Symbol" w:hint="default"/>
      </w:rPr>
    </w:lvl>
  </w:abstractNum>
  <w:abstractNum w:abstractNumId="1">
    <w:nsid w:val="5FF754C2"/>
    <w:multiLevelType w:val="hybridMultilevel"/>
    <w:tmpl w:val="D3B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54"/>
    <w:rsid w:val="00002C14"/>
    <w:rsid w:val="0000418A"/>
    <w:rsid w:val="00011217"/>
    <w:rsid w:val="00015A11"/>
    <w:rsid w:val="00027731"/>
    <w:rsid w:val="00035AB4"/>
    <w:rsid w:val="000415B0"/>
    <w:rsid w:val="00042243"/>
    <w:rsid w:val="00050E12"/>
    <w:rsid w:val="0005639B"/>
    <w:rsid w:val="00057257"/>
    <w:rsid w:val="000704A8"/>
    <w:rsid w:val="000709A9"/>
    <w:rsid w:val="00072675"/>
    <w:rsid w:val="000750C7"/>
    <w:rsid w:val="0008094C"/>
    <w:rsid w:val="00080BE1"/>
    <w:rsid w:val="00083507"/>
    <w:rsid w:val="00091F54"/>
    <w:rsid w:val="0009426F"/>
    <w:rsid w:val="000A2275"/>
    <w:rsid w:val="000A4E52"/>
    <w:rsid w:val="000C457A"/>
    <w:rsid w:val="000C4BEF"/>
    <w:rsid w:val="000D1967"/>
    <w:rsid w:val="000D1DF0"/>
    <w:rsid w:val="000E349C"/>
    <w:rsid w:val="000F38D3"/>
    <w:rsid w:val="000F5D81"/>
    <w:rsid w:val="00111C0A"/>
    <w:rsid w:val="00116627"/>
    <w:rsid w:val="0012730D"/>
    <w:rsid w:val="00131A60"/>
    <w:rsid w:val="00141876"/>
    <w:rsid w:val="0014429E"/>
    <w:rsid w:val="001462AF"/>
    <w:rsid w:val="0014694E"/>
    <w:rsid w:val="00151E3E"/>
    <w:rsid w:val="001528EB"/>
    <w:rsid w:val="001540CA"/>
    <w:rsid w:val="0015778C"/>
    <w:rsid w:val="001579A4"/>
    <w:rsid w:val="00160A44"/>
    <w:rsid w:val="00166FAF"/>
    <w:rsid w:val="0017303A"/>
    <w:rsid w:val="00183824"/>
    <w:rsid w:val="00186A46"/>
    <w:rsid w:val="0019420A"/>
    <w:rsid w:val="00197201"/>
    <w:rsid w:val="001A1FE8"/>
    <w:rsid w:val="001B7BB7"/>
    <w:rsid w:val="001C4EFD"/>
    <w:rsid w:val="001C71DB"/>
    <w:rsid w:val="001D20BB"/>
    <w:rsid w:val="001E1550"/>
    <w:rsid w:val="001E3392"/>
    <w:rsid w:val="001E66B7"/>
    <w:rsid w:val="001F1C58"/>
    <w:rsid w:val="001F3D38"/>
    <w:rsid w:val="00200228"/>
    <w:rsid w:val="002022C5"/>
    <w:rsid w:val="00207443"/>
    <w:rsid w:val="00207D51"/>
    <w:rsid w:val="00212D4F"/>
    <w:rsid w:val="00214343"/>
    <w:rsid w:val="002146A0"/>
    <w:rsid w:val="00220DA7"/>
    <w:rsid w:val="00220FA9"/>
    <w:rsid w:val="00221416"/>
    <w:rsid w:val="00227E8B"/>
    <w:rsid w:val="002400E7"/>
    <w:rsid w:val="002400FB"/>
    <w:rsid w:val="00240225"/>
    <w:rsid w:val="00242B56"/>
    <w:rsid w:val="00246461"/>
    <w:rsid w:val="00253D73"/>
    <w:rsid w:val="002639D9"/>
    <w:rsid w:val="00264F1A"/>
    <w:rsid w:val="00270C9D"/>
    <w:rsid w:val="00276695"/>
    <w:rsid w:val="00282ECF"/>
    <w:rsid w:val="00293C5B"/>
    <w:rsid w:val="00297A38"/>
    <w:rsid w:val="002A6E55"/>
    <w:rsid w:val="002B7F32"/>
    <w:rsid w:val="002C2334"/>
    <w:rsid w:val="002C5CAE"/>
    <w:rsid w:val="002C6B97"/>
    <w:rsid w:val="002D0C1E"/>
    <w:rsid w:val="002E3C03"/>
    <w:rsid w:val="002E418B"/>
    <w:rsid w:val="002E4554"/>
    <w:rsid w:val="002F1187"/>
    <w:rsid w:val="002F1453"/>
    <w:rsid w:val="002F3529"/>
    <w:rsid w:val="0031005F"/>
    <w:rsid w:val="00310682"/>
    <w:rsid w:val="00322294"/>
    <w:rsid w:val="00332DC1"/>
    <w:rsid w:val="00346F70"/>
    <w:rsid w:val="003478CF"/>
    <w:rsid w:val="003513F8"/>
    <w:rsid w:val="00352092"/>
    <w:rsid w:val="003671B6"/>
    <w:rsid w:val="00370B91"/>
    <w:rsid w:val="0037363C"/>
    <w:rsid w:val="00375950"/>
    <w:rsid w:val="00377B2F"/>
    <w:rsid w:val="00377DA2"/>
    <w:rsid w:val="003811E5"/>
    <w:rsid w:val="00382DC4"/>
    <w:rsid w:val="00383C31"/>
    <w:rsid w:val="003875EE"/>
    <w:rsid w:val="0039034F"/>
    <w:rsid w:val="00390C7D"/>
    <w:rsid w:val="00391CC1"/>
    <w:rsid w:val="00393722"/>
    <w:rsid w:val="00397ED2"/>
    <w:rsid w:val="003A5697"/>
    <w:rsid w:val="003A6AB5"/>
    <w:rsid w:val="003B1026"/>
    <w:rsid w:val="003C5C51"/>
    <w:rsid w:val="003C748A"/>
    <w:rsid w:val="003D0FD6"/>
    <w:rsid w:val="003D3798"/>
    <w:rsid w:val="003D3F6B"/>
    <w:rsid w:val="003E631B"/>
    <w:rsid w:val="003F1A91"/>
    <w:rsid w:val="003F1D77"/>
    <w:rsid w:val="003F67B7"/>
    <w:rsid w:val="00400027"/>
    <w:rsid w:val="00421447"/>
    <w:rsid w:val="00423958"/>
    <w:rsid w:val="004247B8"/>
    <w:rsid w:val="004259DC"/>
    <w:rsid w:val="004322DF"/>
    <w:rsid w:val="00432A47"/>
    <w:rsid w:val="0043733A"/>
    <w:rsid w:val="00440BBE"/>
    <w:rsid w:val="00440BFC"/>
    <w:rsid w:val="00440DBC"/>
    <w:rsid w:val="00441C76"/>
    <w:rsid w:val="00450D17"/>
    <w:rsid w:val="004545DB"/>
    <w:rsid w:val="00461BAC"/>
    <w:rsid w:val="00463A2C"/>
    <w:rsid w:val="004671CE"/>
    <w:rsid w:val="00467835"/>
    <w:rsid w:val="00481063"/>
    <w:rsid w:val="00481CEB"/>
    <w:rsid w:val="00487E50"/>
    <w:rsid w:val="00490529"/>
    <w:rsid w:val="004967BA"/>
    <w:rsid w:val="004A65BB"/>
    <w:rsid w:val="004A6B43"/>
    <w:rsid w:val="004B2B5E"/>
    <w:rsid w:val="004C1C4F"/>
    <w:rsid w:val="004C7874"/>
    <w:rsid w:val="004D2F82"/>
    <w:rsid w:val="004D5145"/>
    <w:rsid w:val="004E26CC"/>
    <w:rsid w:val="004E5B29"/>
    <w:rsid w:val="004E7BA2"/>
    <w:rsid w:val="004F5C34"/>
    <w:rsid w:val="005023F5"/>
    <w:rsid w:val="00502C66"/>
    <w:rsid w:val="00526DE7"/>
    <w:rsid w:val="00532DD2"/>
    <w:rsid w:val="00533DD5"/>
    <w:rsid w:val="00535068"/>
    <w:rsid w:val="00541FFB"/>
    <w:rsid w:val="005463EC"/>
    <w:rsid w:val="005510B6"/>
    <w:rsid w:val="005561C0"/>
    <w:rsid w:val="0055637E"/>
    <w:rsid w:val="00587F58"/>
    <w:rsid w:val="005947E9"/>
    <w:rsid w:val="005A035C"/>
    <w:rsid w:val="005A0399"/>
    <w:rsid w:val="005A48FF"/>
    <w:rsid w:val="005A779F"/>
    <w:rsid w:val="005B7570"/>
    <w:rsid w:val="005C2E08"/>
    <w:rsid w:val="005C5FCC"/>
    <w:rsid w:val="005D2ADE"/>
    <w:rsid w:val="005D32CA"/>
    <w:rsid w:val="005D3859"/>
    <w:rsid w:val="005D4597"/>
    <w:rsid w:val="006041EC"/>
    <w:rsid w:val="00613D74"/>
    <w:rsid w:val="00624687"/>
    <w:rsid w:val="006303B5"/>
    <w:rsid w:val="00656FD1"/>
    <w:rsid w:val="00664460"/>
    <w:rsid w:val="00673BF2"/>
    <w:rsid w:val="006769C1"/>
    <w:rsid w:val="00682026"/>
    <w:rsid w:val="00685FB9"/>
    <w:rsid w:val="006912D5"/>
    <w:rsid w:val="00692191"/>
    <w:rsid w:val="006939B3"/>
    <w:rsid w:val="00695DA6"/>
    <w:rsid w:val="006972AF"/>
    <w:rsid w:val="006A4271"/>
    <w:rsid w:val="006A7573"/>
    <w:rsid w:val="006C25FB"/>
    <w:rsid w:val="006E36D8"/>
    <w:rsid w:val="006F29C7"/>
    <w:rsid w:val="00704C88"/>
    <w:rsid w:val="00705F5D"/>
    <w:rsid w:val="007206FD"/>
    <w:rsid w:val="00732A1D"/>
    <w:rsid w:val="00737BD1"/>
    <w:rsid w:val="007415A3"/>
    <w:rsid w:val="007537D6"/>
    <w:rsid w:val="00755803"/>
    <w:rsid w:val="00765BCC"/>
    <w:rsid w:val="00770816"/>
    <w:rsid w:val="00770A44"/>
    <w:rsid w:val="00774CCF"/>
    <w:rsid w:val="00774FA8"/>
    <w:rsid w:val="007756EB"/>
    <w:rsid w:val="00783385"/>
    <w:rsid w:val="00786C1C"/>
    <w:rsid w:val="007875E5"/>
    <w:rsid w:val="00787AC1"/>
    <w:rsid w:val="0079750D"/>
    <w:rsid w:val="007A2BC8"/>
    <w:rsid w:val="007A5AB7"/>
    <w:rsid w:val="007A7AEC"/>
    <w:rsid w:val="007B033C"/>
    <w:rsid w:val="007B1F19"/>
    <w:rsid w:val="007B3354"/>
    <w:rsid w:val="007B78C4"/>
    <w:rsid w:val="007C0915"/>
    <w:rsid w:val="007C19B3"/>
    <w:rsid w:val="007C655B"/>
    <w:rsid w:val="007D1632"/>
    <w:rsid w:val="007D3618"/>
    <w:rsid w:val="007D36C5"/>
    <w:rsid w:val="007D404C"/>
    <w:rsid w:val="007D42C9"/>
    <w:rsid w:val="007D6C2E"/>
    <w:rsid w:val="007D7B48"/>
    <w:rsid w:val="007D7BE2"/>
    <w:rsid w:val="007F112A"/>
    <w:rsid w:val="007F417C"/>
    <w:rsid w:val="007F4B34"/>
    <w:rsid w:val="008050BC"/>
    <w:rsid w:val="00807353"/>
    <w:rsid w:val="00807BEE"/>
    <w:rsid w:val="00811332"/>
    <w:rsid w:val="0081209C"/>
    <w:rsid w:val="008154E6"/>
    <w:rsid w:val="0082198D"/>
    <w:rsid w:val="00836DBC"/>
    <w:rsid w:val="00843772"/>
    <w:rsid w:val="00851407"/>
    <w:rsid w:val="00852FEE"/>
    <w:rsid w:val="00862F6D"/>
    <w:rsid w:val="0086401F"/>
    <w:rsid w:val="008712C2"/>
    <w:rsid w:val="00875201"/>
    <w:rsid w:val="008859C6"/>
    <w:rsid w:val="0088733A"/>
    <w:rsid w:val="008C0AAD"/>
    <w:rsid w:val="008D5DCA"/>
    <w:rsid w:val="008E797C"/>
    <w:rsid w:val="008F0599"/>
    <w:rsid w:val="008F26F2"/>
    <w:rsid w:val="008F785F"/>
    <w:rsid w:val="009012B2"/>
    <w:rsid w:val="00902BEF"/>
    <w:rsid w:val="00902EFA"/>
    <w:rsid w:val="0091098D"/>
    <w:rsid w:val="009125BC"/>
    <w:rsid w:val="00912918"/>
    <w:rsid w:val="00914284"/>
    <w:rsid w:val="009163A8"/>
    <w:rsid w:val="00926589"/>
    <w:rsid w:val="009315B5"/>
    <w:rsid w:val="009316C7"/>
    <w:rsid w:val="00933498"/>
    <w:rsid w:val="00935A68"/>
    <w:rsid w:val="00950559"/>
    <w:rsid w:val="00951456"/>
    <w:rsid w:val="0095591A"/>
    <w:rsid w:val="00956D6A"/>
    <w:rsid w:val="0095756E"/>
    <w:rsid w:val="00965FCF"/>
    <w:rsid w:val="009744EF"/>
    <w:rsid w:val="0098339D"/>
    <w:rsid w:val="00984729"/>
    <w:rsid w:val="009953A6"/>
    <w:rsid w:val="009964EE"/>
    <w:rsid w:val="009967A9"/>
    <w:rsid w:val="009A2703"/>
    <w:rsid w:val="009A5EB9"/>
    <w:rsid w:val="009B24D6"/>
    <w:rsid w:val="009B33D4"/>
    <w:rsid w:val="009D510D"/>
    <w:rsid w:val="009D7B50"/>
    <w:rsid w:val="009E51D9"/>
    <w:rsid w:val="009E7EE7"/>
    <w:rsid w:val="009F08AB"/>
    <w:rsid w:val="009F6C8F"/>
    <w:rsid w:val="00A0343F"/>
    <w:rsid w:val="00A05BC7"/>
    <w:rsid w:val="00A17760"/>
    <w:rsid w:val="00A23411"/>
    <w:rsid w:val="00A27C0C"/>
    <w:rsid w:val="00A328B4"/>
    <w:rsid w:val="00A32AD7"/>
    <w:rsid w:val="00A32B6B"/>
    <w:rsid w:val="00A36B58"/>
    <w:rsid w:val="00A4073F"/>
    <w:rsid w:val="00A4111E"/>
    <w:rsid w:val="00A45096"/>
    <w:rsid w:val="00A4696B"/>
    <w:rsid w:val="00A61850"/>
    <w:rsid w:val="00A62230"/>
    <w:rsid w:val="00A66651"/>
    <w:rsid w:val="00A82479"/>
    <w:rsid w:val="00A91116"/>
    <w:rsid w:val="00A9335F"/>
    <w:rsid w:val="00A93577"/>
    <w:rsid w:val="00A95632"/>
    <w:rsid w:val="00A95A4C"/>
    <w:rsid w:val="00A97A79"/>
    <w:rsid w:val="00AA40AF"/>
    <w:rsid w:val="00AB1E88"/>
    <w:rsid w:val="00AB2A2E"/>
    <w:rsid w:val="00AB3D95"/>
    <w:rsid w:val="00AB6EAF"/>
    <w:rsid w:val="00AB7403"/>
    <w:rsid w:val="00AC020D"/>
    <w:rsid w:val="00AC5EDF"/>
    <w:rsid w:val="00AD36A4"/>
    <w:rsid w:val="00AE032F"/>
    <w:rsid w:val="00B00EE4"/>
    <w:rsid w:val="00B06832"/>
    <w:rsid w:val="00B211B9"/>
    <w:rsid w:val="00B21F1B"/>
    <w:rsid w:val="00B227E5"/>
    <w:rsid w:val="00B2389F"/>
    <w:rsid w:val="00B23B0B"/>
    <w:rsid w:val="00B27DEA"/>
    <w:rsid w:val="00B31554"/>
    <w:rsid w:val="00B43994"/>
    <w:rsid w:val="00B45241"/>
    <w:rsid w:val="00B54868"/>
    <w:rsid w:val="00B56393"/>
    <w:rsid w:val="00B6141E"/>
    <w:rsid w:val="00B62337"/>
    <w:rsid w:val="00B81DA7"/>
    <w:rsid w:val="00B83140"/>
    <w:rsid w:val="00B860D8"/>
    <w:rsid w:val="00B87C32"/>
    <w:rsid w:val="00B90EB6"/>
    <w:rsid w:val="00B97959"/>
    <w:rsid w:val="00BA38BC"/>
    <w:rsid w:val="00BA76BF"/>
    <w:rsid w:val="00BB1587"/>
    <w:rsid w:val="00BB28D8"/>
    <w:rsid w:val="00BB34E7"/>
    <w:rsid w:val="00BB5D1A"/>
    <w:rsid w:val="00BB5F6B"/>
    <w:rsid w:val="00BC116B"/>
    <w:rsid w:val="00BC4701"/>
    <w:rsid w:val="00BC7741"/>
    <w:rsid w:val="00BD6E2D"/>
    <w:rsid w:val="00BE5144"/>
    <w:rsid w:val="00C05A71"/>
    <w:rsid w:val="00C0792E"/>
    <w:rsid w:val="00C160CC"/>
    <w:rsid w:val="00C17605"/>
    <w:rsid w:val="00C22979"/>
    <w:rsid w:val="00C23369"/>
    <w:rsid w:val="00C4056D"/>
    <w:rsid w:val="00C4458D"/>
    <w:rsid w:val="00C44AA0"/>
    <w:rsid w:val="00C519ED"/>
    <w:rsid w:val="00C544CF"/>
    <w:rsid w:val="00C552AF"/>
    <w:rsid w:val="00C615F6"/>
    <w:rsid w:val="00C6458F"/>
    <w:rsid w:val="00C66BED"/>
    <w:rsid w:val="00C70200"/>
    <w:rsid w:val="00C739D2"/>
    <w:rsid w:val="00C7496F"/>
    <w:rsid w:val="00C9348F"/>
    <w:rsid w:val="00C96608"/>
    <w:rsid w:val="00C96A4A"/>
    <w:rsid w:val="00C97DF9"/>
    <w:rsid w:val="00CA09F0"/>
    <w:rsid w:val="00CB0D10"/>
    <w:rsid w:val="00CB227F"/>
    <w:rsid w:val="00CB2E0D"/>
    <w:rsid w:val="00CB6EC6"/>
    <w:rsid w:val="00CC2B44"/>
    <w:rsid w:val="00CC2D18"/>
    <w:rsid w:val="00CE0812"/>
    <w:rsid w:val="00CF0D2E"/>
    <w:rsid w:val="00D10340"/>
    <w:rsid w:val="00D118CB"/>
    <w:rsid w:val="00D158AE"/>
    <w:rsid w:val="00D17514"/>
    <w:rsid w:val="00D2737B"/>
    <w:rsid w:val="00D37F28"/>
    <w:rsid w:val="00D438BB"/>
    <w:rsid w:val="00D64B77"/>
    <w:rsid w:val="00D676B0"/>
    <w:rsid w:val="00D71D14"/>
    <w:rsid w:val="00D8654E"/>
    <w:rsid w:val="00D87566"/>
    <w:rsid w:val="00D921C2"/>
    <w:rsid w:val="00DA128D"/>
    <w:rsid w:val="00DA1415"/>
    <w:rsid w:val="00DA1A9A"/>
    <w:rsid w:val="00DA6DB0"/>
    <w:rsid w:val="00DB38C9"/>
    <w:rsid w:val="00DB7A0B"/>
    <w:rsid w:val="00DC182A"/>
    <w:rsid w:val="00DC256F"/>
    <w:rsid w:val="00DC4A8A"/>
    <w:rsid w:val="00DD49C3"/>
    <w:rsid w:val="00DD4BCF"/>
    <w:rsid w:val="00E0252E"/>
    <w:rsid w:val="00E032CE"/>
    <w:rsid w:val="00E03840"/>
    <w:rsid w:val="00E109B9"/>
    <w:rsid w:val="00E16ACF"/>
    <w:rsid w:val="00E33B0E"/>
    <w:rsid w:val="00E35712"/>
    <w:rsid w:val="00E42B72"/>
    <w:rsid w:val="00E461AB"/>
    <w:rsid w:val="00E55994"/>
    <w:rsid w:val="00E57FB9"/>
    <w:rsid w:val="00E63E20"/>
    <w:rsid w:val="00E73634"/>
    <w:rsid w:val="00E863F7"/>
    <w:rsid w:val="00E90761"/>
    <w:rsid w:val="00E90900"/>
    <w:rsid w:val="00E9153D"/>
    <w:rsid w:val="00E91991"/>
    <w:rsid w:val="00E94E2F"/>
    <w:rsid w:val="00E95769"/>
    <w:rsid w:val="00E97C72"/>
    <w:rsid w:val="00EA3246"/>
    <w:rsid w:val="00EB6611"/>
    <w:rsid w:val="00EC4BDC"/>
    <w:rsid w:val="00EC4E76"/>
    <w:rsid w:val="00EC71F4"/>
    <w:rsid w:val="00ED4D32"/>
    <w:rsid w:val="00ED57E6"/>
    <w:rsid w:val="00EE12D4"/>
    <w:rsid w:val="00EE2143"/>
    <w:rsid w:val="00EE36C1"/>
    <w:rsid w:val="00EF10BB"/>
    <w:rsid w:val="00EF145C"/>
    <w:rsid w:val="00EF5491"/>
    <w:rsid w:val="00F02D47"/>
    <w:rsid w:val="00F04762"/>
    <w:rsid w:val="00F04F1B"/>
    <w:rsid w:val="00F06119"/>
    <w:rsid w:val="00F06F36"/>
    <w:rsid w:val="00F16C76"/>
    <w:rsid w:val="00F243F9"/>
    <w:rsid w:val="00F3583A"/>
    <w:rsid w:val="00F43A70"/>
    <w:rsid w:val="00F44353"/>
    <w:rsid w:val="00F561D4"/>
    <w:rsid w:val="00F619B1"/>
    <w:rsid w:val="00F754BF"/>
    <w:rsid w:val="00F759F6"/>
    <w:rsid w:val="00F82EB9"/>
    <w:rsid w:val="00F8633E"/>
    <w:rsid w:val="00F91C29"/>
    <w:rsid w:val="00F94063"/>
    <w:rsid w:val="00FA4640"/>
    <w:rsid w:val="00FA67BE"/>
    <w:rsid w:val="00FA7671"/>
    <w:rsid w:val="00FA7D38"/>
    <w:rsid w:val="00FC3DB9"/>
    <w:rsid w:val="00FC4CD8"/>
    <w:rsid w:val="00FC56C6"/>
    <w:rsid w:val="00FC5A95"/>
    <w:rsid w:val="00FC6141"/>
    <w:rsid w:val="00FE17D2"/>
    <w:rsid w:val="00FE3EE0"/>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0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A0B"/>
    <w:pPr>
      <w:tabs>
        <w:tab w:val="center" w:pos="4680"/>
        <w:tab w:val="right" w:pos="9360"/>
      </w:tabs>
    </w:pPr>
  </w:style>
  <w:style w:type="character" w:customStyle="1" w:styleId="HeaderChar">
    <w:name w:val="Header Char"/>
    <w:link w:val="Header"/>
    <w:rsid w:val="00DB7A0B"/>
    <w:rPr>
      <w:sz w:val="24"/>
    </w:rPr>
  </w:style>
  <w:style w:type="paragraph" w:styleId="Footer">
    <w:name w:val="footer"/>
    <w:basedOn w:val="Normal"/>
    <w:link w:val="FooterChar"/>
    <w:uiPriority w:val="99"/>
    <w:rsid w:val="00DB7A0B"/>
    <w:pPr>
      <w:tabs>
        <w:tab w:val="center" w:pos="4680"/>
        <w:tab w:val="right" w:pos="9360"/>
      </w:tabs>
    </w:pPr>
  </w:style>
  <w:style w:type="character" w:customStyle="1" w:styleId="FooterChar">
    <w:name w:val="Footer Char"/>
    <w:link w:val="Footer"/>
    <w:uiPriority w:val="99"/>
    <w:rsid w:val="00DB7A0B"/>
    <w:rPr>
      <w:sz w:val="24"/>
    </w:rPr>
  </w:style>
  <w:style w:type="paragraph" w:styleId="BalloonText">
    <w:name w:val="Balloon Text"/>
    <w:basedOn w:val="Normal"/>
    <w:link w:val="BalloonTextChar"/>
    <w:rsid w:val="00F243F9"/>
    <w:rPr>
      <w:rFonts w:ascii="Tahoma" w:hAnsi="Tahoma" w:cs="Tahoma"/>
      <w:sz w:val="16"/>
      <w:szCs w:val="16"/>
    </w:rPr>
  </w:style>
  <w:style w:type="character" w:customStyle="1" w:styleId="BalloonTextChar">
    <w:name w:val="Balloon Text Char"/>
    <w:link w:val="BalloonText"/>
    <w:rsid w:val="00F243F9"/>
    <w:rPr>
      <w:rFonts w:ascii="Tahoma" w:hAnsi="Tahoma" w:cs="Tahoma"/>
      <w:sz w:val="16"/>
      <w:szCs w:val="16"/>
    </w:rPr>
  </w:style>
  <w:style w:type="character" w:styleId="CommentReference">
    <w:name w:val="annotation reference"/>
    <w:uiPriority w:val="99"/>
    <w:rsid w:val="00933498"/>
    <w:rPr>
      <w:sz w:val="16"/>
      <w:szCs w:val="16"/>
    </w:rPr>
  </w:style>
  <w:style w:type="paragraph" w:styleId="CommentText">
    <w:name w:val="annotation text"/>
    <w:basedOn w:val="Normal"/>
    <w:link w:val="CommentTextChar"/>
    <w:uiPriority w:val="99"/>
    <w:rsid w:val="00933498"/>
    <w:rPr>
      <w:sz w:val="20"/>
    </w:rPr>
  </w:style>
  <w:style w:type="character" w:customStyle="1" w:styleId="CommentTextChar">
    <w:name w:val="Comment Text Char"/>
    <w:basedOn w:val="DefaultParagraphFont"/>
    <w:link w:val="CommentText"/>
    <w:uiPriority w:val="99"/>
    <w:rsid w:val="00933498"/>
  </w:style>
  <w:style w:type="paragraph" w:styleId="CommentSubject">
    <w:name w:val="annotation subject"/>
    <w:basedOn w:val="CommentText"/>
    <w:next w:val="CommentText"/>
    <w:link w:val="CommentSubjectChar"/>
    <w:uiPriority w:val="99"/>
    <w:rsid w:val="00933498"/>
    <w:rPr>
      <w:b/>
      <w:bCs/>
    </w:rPr>
  </w:style>
  <w:style w:type="character" w:customStyle="1" w:styleId="CommentSubjectChar">
    <w:name w:val="Comment Subject Char"/>
    <w:link w:val="CommentSubject"/>
    <w:uiPriority w:val="99"/>
    <w:rsid w:val="00933498"/>
    <w:rPr>
      <w:b/>
      <w:bCs/>
    </w:rPr>
  </w:style>
  <w:style w:type="paragraph" w:styleId="ListBullet">
    <w:name w:val="List Bullet"/>
    <w:basedOn w:val="Normal"/>
    <w:rsid w:val="00933498"/>
    <w:pPr>
      <w:numPr>
        <w:numId w:val="1"/>
      </w:numPr>
      <w:contextualSpacing/>
    </w:pPr>
  </w:style>
  <w:style w:type="character" w:styleId="Hyperlink">
    <w:name w:val="Hyperlink"/>
    <w:uiPriority w:val="99"/>
    <w:unhideWhenUsed/>
    <w:rsid w:val="00FA767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A0B"/>
    <w:pPr>
      <w:tabs>
        <w:tab w:val="center" w:pos="4680"/>
        <w:tab w:val="right" w:pos="9360"/>
      </w:tabs>
    </w:pPr>
  </w:style>
  <w:style w:type="character" w:customStyle="1" w:styleId="HeaderChar">
    <w:name w:val="Header Char"/>
    <w:link w:val="Header"/>
    <w:rsid w:val="00DB7A0B"/>
    <w:rPr>
      <w:sz w:val="24"/>
    </w:rPr>
  </w:style>
  <w:style w:type="paragraph" w:styleId="Footer">
    <w:name w:val="footer"/>
    <w:basedOn w:val="Normal"/>
    <w:link w:val="FooterChar"/>
    <w:uiPriority w:val="99"/>
    <w:rsid w:val="00DB7A0B"/>
    <w:pPr>
      <w:tabs>
        <w:tab w:val="center" w:pos="4680"/>
        <w:tab w:val="right" w:pos="9360"/>
      </w:tabs>
    </w:pPr>
  </w:style>
  <w:style w:type="character" w:customStyle="1" w:styleId="FooterChar">
    <w:name w:val="Footer Char"/>
    <w:link w:val="Footer"/>
    <w:uiPriority w:val="99"/>
    <w:rsid w:val="00DB7A0B"/>
    <w:rPr>
      <w:sz w:val="24"/>
    </w:rPr>
  </w:style>
  <w:style w:type="paragraph" w:styleId="BalloonText">
    <w:name w:val="Balloon Text"/>
    <w:basedOn w:val="Normal"/>
    <w:link w:val="BalloonTextChar"/>
    <w:rsid w:val="00F243F9"/>
    <w:rPr>
      <w:rFonts w:ascii="Tahoma" w:hAnsi="Tahoma" w:cs="Tahoma"/>
      <w:sz w:val="16"/>
      <w:szCs w:val="16"/>
    </w:rPr>
  </w:style>
  <w:style w:type="character" w:customStyle="1" w:styleId="BalloonTextChar">
    <w:name w:val="Balloon Text Char"/>
    <w:link w:val="BalloonText"/>
    <w:rsid w:val="00F243F9"/>
    <w:rPr>
      <w:rFonts w:ascii="Tahoma" w:hAnsi="Tahoma" w:cs="Tahoma"/>
      <w:sz w:val="16"/>
      <w:szCs w:val="16"/>
    </w:rPr>
  </w:style>
  <w:style w:type="character" w:styleId="CommentReference">
    <w:name w:val="annotation reference"/>
    <w:uiPriority w:val="99"/>
    <w:rsid w:val="00933498"/>
    <w:rPr>
      <w:sz w:val="16"/>
      <w:szCs w:val="16"/>
    </w:rPr>
  </w:style>
  <w:style w:type="paragraph" w:styleId="CommentText">
    <w:name w:val="annotation text"/>
    <w:basedOn w:val="Normal"/>
    <w:link w:val="CommentTextChar"/>
    <w:uiPriority w:val="99"/>
    <w:rsid w:val="00933498"/>
    <w:rPr>
      <w:sz w:val="20"/>
    </w:rPr>
  </w:style>
  <w:style w:type="character" w:customStyle="1" w:styleId="CommentTextChar">
    <w:name w:val="Comment Text Char"/>
    <w:basedOn w:val="DefaultParagraphFont"/>
    <w:link w:val="CommentText"/>
    <w:uiPriority w:val="99"/>
    <w:rsid w:val="00933498"/>
  </w:style>
  <w:style w:type="paragraph" w:styleId="CommentSubject">
    <w:name w:val="annotation subject"/>
    <w:basedOn w:val="CommentText"/>
    <w:next w:val="CommentText"/>
    <w:link w:val="CommentSubjectChar"/>
    <w:uiPriority w:val="99"/>
    <w:rsid w:val="00933498"/>
    <w:rPr>
      <w:b/>
      <w:bCs/>
    </w:rPr>
  </w:style>
  <w:style w:type="character" w:customStyle="1" w:styleId="CommentSubjectChar">
    <w:name w:val="Comment Subject Char"/>
    <w:link w:val="CommentSubject"/>
    <w:uiPriority w:val="99"/>
    <w:rsid w:val="00933498"/>
    <w:rPr>
      <w:b/>
      <w:bCs/>
    </w:rPr>
  </w:style>
  <w:style w:type="paragraph" w:styleId="ListBullet">
    <w:name w:val="List Bullet"/>
    <w:basedOn w:val="Normal"/>
    <w:rsid w:val="00933498"/>
    <w:pPr>
      <w:numPr>
        <w:numId w:val="1"/>
      </w:numPr>
      <w:contextualSpacing/>
    </w:pPr>
  </w:style>
  <w:style w:type="character" w:styleId="Hyperlink">
    <w:name w:val="Hyperlink"/>
    <w:uiPriority w:val="99"/>
    <w:unhideWhenUsed/>
    <w:rsid w:val="00FA76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9328">
      <w:bodyDiv w:val="1"/>
      <w:marLeft w:val="0"/>
      <w:marRight w:val="0"/>
      <w:marTop w:val="0"/>
      <w:marBottom w:val="0"/>
      <w:divBdr>
        <w:top w:val="none" w:sz="0" w:space="0" w:color="auto"/>
        <w:left w:val="none" w:sz="0" w:space="0" w:color="auto"/>
        <w:bottom w:val="none" w:sz="0" w:space="0" w:color="auto"/>
        <w:right w:val="none" w:sz="0" w:space="0" w:color="auto"/>
      </w:divBdr>
    </w:div>
    <w:div w:id="298996162">
      <w:bodyDiv w:val="1"/>
      <w:marLeft w:val="0"/>
      <w:marRight w:val="0"/>
      <w:marTop w:val="0"/>
      <w:marBottom w:val="0"/>
      <w:divBdr>
        <w:top w:val="none" w:sz="0" w:space="0" w:color="auto"/>
        <w:left w:val="none" w:sz="0" w:space="0" w:color="auto"/>
        <w:bottom w:val="none" w:sz="0" w:space="0" w:color="auto"/>
        <w:right w:val="none" w:sz="0" w:space="0" w:color="auto"/>
      </w:divBdr>
    </w:div>
    <w:div w:id="462845490">
      <w:bodyDiv w:val="1"/>
      <w:marLeft w:val="0"/>
      <w:marRight w:val="0"/>
      <w:marTop w:val="0"/>
      <w:marBottom w:val="0"/>
      <w:divBdr>
        <w:top w:val="none" w:sz="0" w:space="0" w:color="auto"/>
        <w:left w:val="none" w:sz="0" w:space="0" w:color="auto"/>
        <w:bottom w:val="none" w:sz="0" w:space="0" w:color="auto"/>
        <w:right w:val="none" w:sz="0" w:space="0" w:color="auto"/>
      </w:divBdr>
    </w:div>
    <w:div w:id="1147822361">
      <w:bodyDiv w:val="1"/>
      <w:marLeft w:val="0"/>
      <w:marRight w:val="0"/>
      <w:marTop w:val="0"/>
      <w:marBottom w:val="0"/>
      <w:divBdr>
        <w:top w:val="none" w:sz="0" w:space="0" w:color="auto"/>
        <w:left w:val="none" w:sz="0" w:space="0" w:color="auto"/>
        <w:bottom w:val="none" w:sz="0" w:space="0" w:color="auto"/>
        <w:right w:val="none" w:sz="0" w:space="0" w:color="auto"/>
      </w:divBdr>
    </w:div>
    <w:div w:id="1630629262">
      <w:bodyDiv w:val="1"/>
      <w:marLeft w:val="0"/>
      <w:marRight w:val="0"/>
      <w:marTop w:val="0"/>
      <w:marBottom w:val="0"/>
      <w:divBdr>
        <w:top w:val="none" w:sz="0" w:space="0" w:color="auto"/>
        <w:left w:val="none" w:sz="0" w:space="0" w:color="auto"/>
        <w:bottom w:val="none" w:sz="0" w:space="0" w:color="auto"/>
        <w:right w:val="none" w:sz="0" w:space="0" w:color="auto"/>
      </w:divBdr>
    </w:div>
    <w:div w:id="1814831687">
      <w:bodyDiv w:val="1"/>
      <w:marLeft w:val="0"/>
      <w:marRight w:val="0"/>
      <w:marTop w:val="0"/>
      <w:marBottom w:val="0"/>
      <w:divBdr>
        <w:top w:val="none" w:sz="0" w:space="0" w:color="auto"/>
        <w:left w:val="none" w:sz="0" w:space="0" w:color="auto"/>
        <w:bottom w:val="none" w:sz="0" w:space="0" w:color="auto"/>
        <w:right w:val="none" w:sz="0" w:space="0" w:color="auto"/>
      </w:divBdr>
    </w:div>
    <w:div w:id="195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rc.gov/site-help/electronic-sub-ref-mat.html"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7080-45D0-4883-AA90-157B9658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Links>
    <vt:vector size="6" baseType="variant">
      <vt:variant>
        <vt:i4>1048578</vt:i4>
      </vt:variant>
      <vt:variant>
        <vt:i4>2</vt:i4>
      </vt:variant>
      <vt:variant>
        <vt:i4>0</vt:i4>
      </vt:variant>
      <vt:variant>
        <vt:i4>5</vt:i4>
      </vt:variant>
      <vt:variant>
        <vt:lpwstr>http://www.nrc.gov/site-help/electronic-sub-ref-mat.html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2018-10-18T18:24:00Z</dcterms:created>
  <dcterms:modified xsi:type="dcterms:W3CDTF">2018-10-18T18:24:00Z</dcterms:modified>
</cp:coreProperties>
</file>