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823B5" w14:textId="77777777" w:rsidR="00924C16" w:rsidRPr="00BB35AC" w:rsidRDefault="00F95A6C">
      <w:pPr>
        <w:widowControl/>
        <w:tabs>
          <w:tab w:val="center" w:pos="4680"/>
        </w:tabs>
        <w:rPr>
          <w:rFonts w:ascii="Times New Roman" w:hAnsi="Times New Roman"/>
        </w:rPr>
      </w:pPr>
      <w:bookmarkStart w:id="0" w:name="_GoBack"/>
      <w:bookmarkEnd w:id="0"/>
      <w:r w:rsidRPr="008E7D21">
        <w:rPr>
          <w:rFonts w:ascii="Times New Roman" w:hAnsi="Times New Roman"/>
          <w:b/>
        </w:rPr>
        <w:tab/>
      </w:r>
      <w:r w:rsidR="00924C16" w:rsidRPr="00BB35AC">
        <w:rPr>
          <w:rFonts w:ascii="Times New Roman" w:hAnsi="Times New Roman"/>
          <w:b/>
          <w:bCs/>
        </w:rPr>
        <w:t>Supporting Statement for Paperwork Reduction Act Submission</w:t>
      </w:r>
    </w:p>
    <w:p w14:paraId="59DEA13B" w14:textId="77777777" w:rsidR="00924C16" w:rsidRPr="00BB35AC" w:rsidRDefault="00924C16">
      <w:pPr>
        <w:widowControl/>
        <w:rPr>
          <w:rFonts w:ascii="Times New Roman" w:hAnsi="Times New Roman"/>
        </w:rPr>
      </w:pPr>
    </w:p>
    <w:p w14:paraId="4CDC4367" w14:textId="77777777" w:rsidR="00924C16" w:rsidRPr="00BB35AC" w:rsidRDefault="00924C16">
      <w:pPr>
        <w:widowControl/>
        <w:rPr>
          <w:rFonts w:ascii="Times New Roman" w:hAnsi="Times New Roman"/>
        </w:rPr>
      </w:pPr>
    </w:p>
    <w:p w14:paraId="3912A0A2" w14:textId="77777777" w:rsidR="00924C16" w:rsidRPr="00BB35AC" w:rsidRDefault="00924C16">
      <w:pPr>
        <w:widowControl/>
        <w:rPr>
          <w:rFonts w:ascii="Times New Roman" w:hAnsi="Times New Roman"/>
        </w:rPr>
      </w:pPr>
      <w:r w:rsidRPr="00BB35AC">
        <w:rPr>
          <w:rFonts w:ascii="Times New Roman" w:hAnsi="Times New Roman"/>
          <w:b/>
          <w:bCs/>
        </w:rPr>
        <w:t>AGENCY:</w:t>
      </w:r>
      <w:r w:rsidRPr="00BB35AC">
        <w:rPr>
          <w:rFonts w:ascii="Times New Roman" w:hAnsi="Times New Roman"/>
        </w:rPr>
        <w:tab/>
        <w:t xml:space="preserve">Pension Benefit Guaranty Corporation </w:t>
      </w:r>
      <w:r w:rsidR="003F6139">
        <w:rPr>
          <w:rFonts w:ascii="Times New Roman" w:hAnsi="Times New Roman"/>
        </w:rPr>
        <w:t>(PBGC)</w:t>
      </w:r>
    </w:p>
    <w:p w14:paraId="1AA93501" w14:textId="77777777" w:rsidR="00924C16" w:rsidRPr="00BB35AC" w:rsidRDefault="00924C16">
      <w:pPr>
        <w:widowControl/>
        <w:rPr>
          <w:rFonts w:ascii="Times New Roman" w:hAnsi="Times New Roman"/>
        </w:rPr>
      </w:pPr>
    </w:p>
    <w:p w14:paraId="68632C25" w14:textId="77777777" w:rsidR="00924C16" w:rsidRPr="00BB35AC" w:rsidRDefault="00924C16">
      <w:pPr>
        <w:widowControl/>
        <w:tabs>
          <w:tab w:val="left" w:pos="-1440"/>
        </w:tabs>
        <w:ind w:left="1440" w:hanging="1440"/>
        <w:rPr>
          <w:rFonts w:ascii="Times New Roman" w:hAnsi="Times New Roman"/>
        </w:rPr>
      </w:pPr>
      <w:r w:rsidRPr="00BB35AC">
        <w:rPr>
          <w:rFonts w:ascii="Times New Roman" w:hAnsi="Times New Roman"/>
          <w:b/>
          <w:bCs/>
        </w:rPr>
        <w:t>TITLE:</w:t>
      </w:r>
      <w:r w:rsidRPr="00BB35AC">
        <w:rPr>
          <w:rFonts w:ascii="Times New Roman" w:hAnsi="Times New Roman"/>
        </w:rPr>
        <w:tab/>
        <w:t>Mergers and Transfers Between M</w:t>
      </w:r>
      <w:r w:rsidR="00227886">
        <w:rPr>
          <w:rFonts w:ascii="Times New Roman" w:hAnsi="Times New Roman"/>
        </w:rPr>
        <w:t xml:space="preserve">ultiemployer Plans (29 CFR </w:t>
      </w:r>
      <w:r w:rsidR="002655AC">
        <w:rPr>
          <w:rFonts w:ascii="Times New Roman" w:hAnsi="Times New Roman"/>
        </w:rPr>
        <w:t>part 4</w:t>
      </w:r>
      <w:r w:rsidRPr="00BB35AC">
        <w:rPr>
          <w:rFonts w:ascii="Times New Roman" w:hAnsi="Times New Roman"/>
        </w:rPr>
        <w:t xml:space="preserve">231) </w:t>
      </w:r>
    </w:p>
    <w:p w14:paraId="3FA17DE7" w14:textId="77777777" w:rsidR="00924C16" w:rsidRPr="00BB35AC" w:rsidRDefault="00924C16">
      <w:pPr>
        <w:widowControl/>
        <w:rPr>
          <w:rFonts w:ascii="Times New Roman" w:hAnsi="Times New Roman"/>
        </w:rPr>
      </w:pPr>
    </w:p>
    <w:p w14:paraId="3167E76D" w14:textId="77777777" w:rsidR="00924C16" w:rsidRPr="00BB35AC" w:rsidRDefault="00924C16">
      <w:pPr>
        <w:widowControl/>
        <w:tabs>
          <w:tab w:val="left" w:pos="-1440"/>
        </w:tabs>
        <w:ind w:left="1440" w:hanging="1440"/>
        <w:rPr>
          <w:rFonts w:ascii="Times New Roman" w:hAnsi="Times New Roman"/>
        </w:rPr>
      </w:pPr>
      <w:r w:rsidRPr="00BB35AC">
        <w:rPr>
          <w:rFonts w:ascii="Times New Roman" w:hAnsi="Times New Roman"/>
          <w:b/>
          <w:bCs/>
        </w:rPr>
        <w:t>STATUS:</w:t>
      </w:r>
      <w:r w:rsidRPr="00BB35AC">
        <w:rPr>
          <w:rFonts w:ascii="Times New Roman" w:hAnsi="Times New Roman"/>
        </w:rPr>
        <w:tab/>
        <w:t xml:space="preserve">Request for </w:t>
      </w:r>
      <w:r w:rsidR="002D73F1">
        <w:rPr>
          <w:rFonts w:ascii="Times New Roman" w:hAnsi="Times New Roman"/>
        </w:rPr>
        <w:t>approval of</w:t>
      </w:r>
      <w:r w:rsidR="005E2310">
        <w:rPr>
          <w:rFonts w:ascii="Times New Roman" w:hAnsi="Times New Roman"/>
        </w:rPr>
        <w:t xml:space="preserve"> </w:t>
      </w:r>
      <w:r w:rsidR="002D73F1">
        <w:rPr>
          <w:rFonts w:ascii="Times New Roman" w:hAnsi="Times New Roman"/>
        </w:rPr>
        <w:t xml:space="preserve">revision of </w:t>
      </w:r>
      <w:r w:rsidRPr="00BB35AC">
        <w:rPr>
          <w:rFonts w:ascii="Times New Roman" w:hAnsi="Times New Roman"/>
        </w:rPr>
        <w:t>currently approved collection (OMB control number 1212</w:t>
      </w:r>
      <w:r w:rsidR="00C67E73" w:rsidRPr="00BB35AC">
        <w:rPr>
          <w:rFonts w:ascii="Times New Roman" w:hAnsi="Times New Roman"/>
        </w:rPr>
        <w:noBreakHyphen/>
        <w:t xml:space="preserve">0022; expires </w:t>
      </w:r>
      <w:r w:rsidR="005E2310">
        <w:rPr>
          <w:rFonts w:ascii="Times New Roman" w:hAnsi="Times New Roman"/>
        </w:rPr>
        <w:t>September 30, 2020</w:t>
      </w:r>
      <w:r w:rsidRPr="00BB35AC">
        <w:rPr>
          <w:rFonts w:ascii="Times New Roman" w:hAnsi="Times New Roman"/>
        </w:rPr>
        <w:t xml:space="preserve">) </w:t>
      </w:r>
    </w:p>
    <w:p w14:paraId="7A2618A3" w14:textId="77777777" w:rsidR="00924C16" w:rsidRPr="00BB35AC" w:rsidRDefault="00924C16">
      <w:pPr>
        <w:widowControl/>
        <w:rPr>
          <w:rFonts w:ascii="Times New Roman" w:hAnsi="Times New Roman"/>
        </w:rPr>
      </w:pPr>
    </w:p>
    <w:p w14:paraId="228C0F77" w14:textId="77777777" w:rsidR="00924C16" w:rsidRPr="00BB35AC" w:rsidRDefault="00924C16" w:rsidP="0086441D">
      <w:pPr>
        <w:widowControl/>
        <w:ind w:left="1440" w:hanging="1440"/>
        <w:rPr>
          <w:rFonts w:ascii="Times New Roman" w:hAnsi="Times New Roman"/>
        </w:rPr>
      </w:pPr>
      <w:r w:rsidRPr="00BB35AC">
        <w:rPr>
          <w:rFonts w:ascii="Times New Roman" w:hAnsi="Times New Roman"/>
          <w:b/>
          <w:bCs/>
        </w:rPr>
        <w:t>CONTACT:</w:t>
      </w:r>
      <w:r w:rsidR="00E90A19" w:rsidRPr="00BB35AC">
        <w:rPr>
          <w:rFonts w:ascii="Times New Roman" w:hAnsi="Times New Roman"/>
        </w:rPr>
        <w:tab/>
      </w:r>
      <w:r w:rsidR="00D93320">
        <w:rPr>
          <w:rFonts w:ascii="Times New Roman" w:hAnsi="Times New Roman"/>
        </w:rPr>
        <w:t>Hilary Duke</w:t>
      </w:r>
      <w:r w:rsidR="00E90A19" w:rsidRPr="00BB35AC">
        <w:rPr>
          <w:rFonts w:ascii="Times New Roman" w:hAnsi="Times New Roman"/>
        </w:rPr>
        <w:t xml:space="preserve"> (326</w:t>
      </w:r>
      <w:r w:rsidR="00E90A19" w:rsidRPr="00BB35AC">
        <w:rPr>
          <w:rFonts w:ascii="Times New Roman" w:hAnsi="Times New Roman"/>
        </w:rPr>
        <w:noBreakHyphen/>
      </w:r>
      <w:r w:rsidR="002D73F1">
        <w:rPr>
          <w:rFonts w:ascii="Times New Roman" w:hAnsi="Times New Roman"/>
        </w:rPr>
        <w:t>4400</w:t>
      </w:r>
      <w:r w:rsidR="002D73F1" w:rsidRPr="00BB35AC">
        <w:rPr>
          <w:rFonts w:ascii="Times New Roman" w:hAnsi="Times New Roman"/>
        </w:rPr>
        <w:t xml:space="preserve"> </w:t>
      </w:r>
      <w:r w:rsidR="00E90A19" w:rsidRPr="00BB35AC">
        <w:rPr>
          <w:rFonts w:ascii="Times New Roman" w:hAnsi="Times New Roman"/>
        </w:rPr>
        <w:t>x38</w:t>
      </w:r>
      <w:r w:rsidR="00D93320">
        <w:rPr>
          <w:rFonts w:ascii="Times New Roman" w:hAnsi="Times New Roman"/>
        </w:rPr>
        <w:t>39</w:t>
      </w:r>
      <w:r w:rsidRPr="00BB35AC">
        <w:rPr>
          <w:rFonts w:ascii="Times New Roman" w:hAnsi="Times New Roman"/>
        </w:rPr>
        <w:t xml:space="preserve">) </w:t>
      </w:r>
    </w:p>
    <w:p w14:paraId="723A1195" w14:textId="77777777" w:rsidR="00924C16" w:rsidRPr="00BB35AC" w:rsidRDefault="00924C16">
      <w:pPr>
        <w:widowControl/>
        <w:rPr>
          <w:rFonts w:ascii="Times New Roman" w:hAnsi="Times New Roman"/>
        </w:rPr>
      </w:pPr>
    </w:p>
    <w:p w14:paraId="38C17AAA" w14:textId="77777777" w:rsidR="00924C16" w:rsidRPr="00BB35AC" w:rsidRDefault="00924C16">
      <w:pPr>
        <w:widowControl/>
        <w:rPr>
          <w:rFonts w:ascii="Times New Roman" w:hAnsi="Times New Roman"/>
        </w:rPr>
      </w:pPr>
    </w:p>
    <w:p w14:paraId="718B9735" w14:textId="77777777"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1.  </w:t>
      </w:r>
      <w:r w:rsidRPr="00BB35AC">
        <w:rPr>
          <w:rFonts w:ascii="Times New Roman" w:hAnsi="Times New Roman"/>
          <w:u w:val="single"/>
        </w:rPr>
        <w:t>Need for collection.</w:t>
      </w:r>
      <w:r w:rsidRPr="00BB35AC">
        <w:rPr>
          <w:rFonts w:ascii="Times New Roman" w:hAnsi="Times New Roman"/>
        </w:rPr>
        <w:t xml:space="preserve">  Section 4231(a) and (b) of the Employee Retirement Income Security Act of 1974 (ERISA) imposes four requirements on multiemployer plans that are involved in mergers and transfers</w:t>
      </w:r>
      <w:r w:rsidR="007831A3">
        <w:rPr>
          <w:rFonts w:ascii="Times New Roman" w:hAnsi="Times New Roman"/>
        </w:rPr>
        <w:t xml:space="preserve"> (“[u]nless otherwise provided in regulations prescribed by the corporation”)</w:t>
      </w:r>
      <w:r w:rsidRPr="00BB35AC">
        <w:rPr>
          <w:rFonts w:ascii="Times New Roman" w:hAnsi="Times New Roman"/>
        </w:rPr>
        <w:t xml:space="preserve">: </w:t>
      </w:r>
    </w:p>
    <w:p w14:paraId="1334C916" w14:textId="77777777" w:rsidR="00924C16" w:rsidRPr="00BB35AC" w:rsidRDefault="003F6139" w:rsidP="00046641">
      <w:pPr>
        <w:widowControl/>
        <w:numPr>
          <w:ilvl w:val="0"/>
          <w:numId w:val="1"/>
        </w:numPr>
        <w:tabs>
          <w:tab w:val="left" w:pos="-1440"/>
          <w:tab w:val="left" w:pos="-720"/>
          <w:tab w:val="left" w:pos="0"/>
          <w:tab w:val="decimal" w:pos="720"/>
        </w:tabs>
        <w:rPr>
          <w:rFonts w:ascii="Times New Roman" w:hAnsi="Times New Roman"/>
        </w:rPr>
      </w:pPr>
      <w:r>
        <w:rPr>
          <w:rFonts w:ascii="Times New Roman" w:hAnsi="Times New Roman"/>
        </w:rPr>
        <w:t xml:space="preserve">The plan sponsor must notify PBGC </w:t>
      </w:r>
      <w:r w:rsidR="00924C16" w:rsidRPr="00BB35AC">
        <w:rPr>
          <w:rFonts w:ascii="Times New Roman" w:hAnsi="Times New Roman"/>
        </w:rPr>
        <w:t>at least</w:t>
      </w:r>
      <w:r w:rsidR="006D0BF8">
        <w:rPr>
          <w:rFonts w:ascii="Times New Roman" w:hAnsi="Times New Roman"/>
        </w:rPr>
        <w:t xml:space="preserve"> </w:t>
      </w:r>
      <w:r w:rsidR="00924C16" w:rsidRPr="00BB35AC">
        <w:rPr>
          <w:rFonts w:ascii="Times New Roman" w:hAnsi="Times New Roman"/>
        </w:rPr>
        <w:t>120 days before the transaction</w:t>
      </w:r>
      <w:r w:rsidR="002D73F1">
        <w:rPr>
          <w:rFonts w:ascii="Times New Roman" w:hAnsi="Times New Roman"/>
        </w:rPr>
        <w:t>.</w:t>
      </w:r>
      <w:r w:rsidR="002D73F1" w:rsidRPr="00BB35AC">
        <w:rPr>
          <w:rFonts w:ascii="Times New Roman" w:hAnsi="Times New Roman"/>
        </w:rPr>
        <w:t xml:space="preserve"> </w:t>
      </w:r>
    </w:p>
    <w:p w14:paraId="6B131C25" w14:textId="77777777" w:rsidR="00E869F9" w:rsidRDefault="00E869F9" w:rsidP="00046641">
      <w:pPr>
        <w:widowControl/>
        <w:tabs>
          <w:tab w:val="left" w:pos="-1440"/>
          <w:tab w:val="left" w:pos="-720"/>
          <w:tab w:val="left" w:pos="0"/>
          <w:tab w:val="decimal" w:pos="720"/>
        </w:tabs>
        <w:ind w:left="720"/>
        <w:rPr>
          <w:rFonts w:ascii="Times New Roman" w:hAnsi="Times New Roman"/>
        </w:rPr>
      </w:pPr>
    </w:p>
    <w:p w14:paraId="572B9866" w14:textId="77777777" w:rsidR="00924C16" w:rsidRPr="00BB35AC" w:rsidRDefault="002D73F1" w:rsidP="00046641">
      <w:pPr>
        <w:widowControl/>
        <w:numPr>
          <w:ilvl w:val="0"/>
          <w:numId w:val="1"/>
        </w:numPr>
        <w:tabs>
          <w:tab w:val="left" w:pos="-1440"/>
          <w:tab w:val="left" w:pos="-720"/>
          <w:tab w:val="left" w:pos="0"/>
          <w:tab w:val="decimal" w:pos="720"/>
        </w:tabs>
        <w:rPr>
          <w:rFonts w:ascii="Times New Roman" w:hAnsi="Times New Roman"/>
        </w:rPr>
      </w:pPr>
      <w:r>
        <w:rPr>
          <w:rFonts w:ascii="Times New Roman" w:hAnsi="Times New Roman"/>
        </w:rPr>
        <w:t>N</w:t>
      </w:r>
      <w:r w:rsidRPr="00BB35AC">
        <w:rPr>
          <w:rFonts w:ascii="Times New Roman" w:hAnsi="Times New Roman"/>
        </w:rPr>
        <w:t xml:space="preserve">o </w:t>
      </w:r>
      <w:r w:rsidR="00924C16" w:rsidRPr="00BB35AC">
        <w:rPr>
          <w:rFonts w:ascii="Times New Roman" w:hAnsi="Times New Roman"/>
        </w:rPr>
        <w:t xml:space="preserve">reduction in accrued benefits of participants </w:t>
      </w:r>
      <w:r w:rsidR="00595D67">
        <w:rPr>
          <w:rFonts w:ascii="Times New Roman" w:hAnsi="Times New Roman"/>
        </w:rPr>
        <w:t xml:space="preserve">or beneficiaries </w:t>
      </w:r>
      <w:r w:rsidR="00924C16" w:rsidRPr="00BB35AC">
        <w:rPr>
          <w:rFonts w:ascii="Times New Roman" w:hAnsi="Times New Roman"/>
        </w:rPr>
        <w:t>may occur</w:t>
      </w:r>
      <w:r>
        <w:rPr>
          <w:rFonts w:ascii="Times New Roman" w:hAnsi="Times New Roman"/>
        </w:rPr>
        <w:t>.</w:t>
      </w:r>
    </w:p>
    <w:p w14:paraId="3E825CB1" w14:textId="77777777" w:rsidR="00E869F9" w:rsidRDefault="00E869F9" w:rsidP="00046641">
      <w:pPr>
        <w:widowControl/>
        <w:tabs>
          <w:tab w:val="left" w:pos="-1440"/>
          <w:tab w:val="left" w:pos="-720"/>
          <w:tab w:val="left" w:pos="0"/>
          <w:tab w:val="decimal" w:pos="720"/>
        </w:tabs>
        <w:ind w:left="720"/>
        <w:rPr>
          <w:rFonts w:ascii="Times New Roman" w:hAnsi="Times New Roman"/>
        </w:rPr>
      </w:pPr>
    </w:p>
    <w:p w14:paraId="2A2AD1C3" w14:textId="77777777" w:rsidR="00924C16" w:rsidRPr="00BB35AC" w:rsidRDefault="002D73F1" w:rsidP="00046641">
      <w:pPr>
        <w:widowControl/>
        <w:numPr>
          <w:ilvl w:val="0"/>
          <w:numId w:val="1"/>
        </w:numPr>
        <w:tabs>
          <w:tab w:val="left" w:pos="-1440"/>
          <w:tab w:val="left" w:pos="-720"/>
          <w:tab w:val="left" w:pos="0"/>
          <w:tab w:val="decimal" w:pos="720"/>
        </w:tabs>
        <w:rPr>
          <w:rFonts w:ascii="Times New Roman" w:hAnsi="Times New Roman"/>
        </w:rPr>
      </w:pPr>
      <w:r>
        <w:rPr>
          <w:rFonts w:ascii="Times New Roman" w:hAnsi="Times New Roman"/>
        </w:rPr>
        <w:t>B</w:t>
      </w:r>
      <w:r w:rsidRPr="00BB35AC">
        <w:rPr>
          <w:rFonts w:ascii="Times New Roman" w:hAnsi="Times New Roman"/>
        </w:rPr>
        <w:t xml:space="preserve">enefits </w:t>
      </w:r>
      <w:r w:rsidR="00924C16" w:rsidRPr="00BB35AC">
        <w:rPr>
          <w:rFonts w:ascii="Times New Roman" w:hAnsi="Times New Roman"/>
        </w:rPr>
        <w:t xml:space="preserve">must not be </w:t>
      </w:r>
      <w:r w:rsidR="00595D67">
        <w:rPr>
          <w:rFonts w:ascii="Times New Roman" w:hAnsi="Times New Roman"/>
        </w:rPr>
        <w:t>reasonably expected to be</w:t>
      </w:r>
      <w:r w:rsidR="00924C16" w:rsidRPr="00BB35AC">
        <w:rPr>
          <w:rFonts w:ascii="Times New Roman" w:hAnsi="Times New Roman"/>
        </w:rPr>
        <w:t xml:space="preserve"> at risk of suspension due to plan insolvency</w:t>
      </w:r>
      <w:r>
        <w:rPr>
          <w:rFonts w:ascii="Times New Roman" w:hAnsi="Times New Roman"/>
        </w:rPr>
        <w:t>.</w:t>
      </w:r>
    </w:p>
    <w:p w14:paraId="47BDE90D" w14:textId="77777777" w:rsidR="00E869F9" w:rsidRDefault="00E869F9" w:rsidP="00046641">
      <w:pPr>
        <w:widowControl/>
        <w:tabs>
          <w:tab w:val="left" w:pos="-1440"/>
          <w:tab w:val="left" w:pos="-720"/>
          <w:tab w:val="left" w:pos="0"/>
          <w:tab w:val="decimal" w:pos="720"/>
        </w:tabs>
        <w:ind w:left="720"/>
        <w:rPr>
          <w:rFonts w:ascii="Times New Roman" w:hAnsi="Times New Roman"/>
        </w:rPr>
      </w:pPr>
    </w:p>
    <w:p w14:paraId="5BA26EF0" w14:textId="77777777" w:rsidR="00924C16" w:rsidRDefault="002D73F1" w:rsidP="00046641">
      <w:pPr>
        <w:widowControl/>
        <w:numPr>
          <w:ilvl w:val="0"/>
          <w:numId w:val="1"/>
        </w:numPr>
        <w:tabs>
          <w:tab w:val="left" w:pos="-1440"/>
          <w:tab w:val="left" w:pos="-720"/>
          <w:tab w:val="left" w:pos="0"/>
          <w:tab w:val="decimal" w:pos="720"/>
        </w:tabs>
        <w:rPr>
          <w:rFonts w:ascii="Times New Roman" w:hAnsi="Times New Roman"/>
        </w:rPr>
      </w:pPr>
      <w:r>
        <w:rPr>
          <w:rFonts w:ascii="Times New Roman" w:hAnsi="Times New Roman"/>
        </w:rPr>
        <w:t>A</w:t>
      </w:r>
      <w:r w:rsidRPr="00BB35AC">
        <w:rPr>
          <w:rFonts w:ascii="Times New Roman" w:hAnsi="Times New Roman"/>
        </w:rPr>
        <w:t xml:space="preserve">n </w:t>
      </w:r>
      <w:r w:rsidR="00924C16" w:rsidRPr="00BB35AC">
        <w:rPr>
          <w:rFonts w:ascii="Times New Roman" w:hAnsi="Times New Roman"/>
        </w:rPr>
        <w:t xml:space="preserve">actuarial valuation </w:t>
      </w:r>
      <w:r w:rsidR="003F6139">
        <w:rPr>
          <w:rFonts w:ascii="Times New Roman" w:hAnsi="Times New Roman"/>
        </w:rPr>
        <w:t xml:space="preserve">of each of the affected plans </w:t>
      </w:r>
      <w:r w:rsidR="00924C16" w:rsidRPr="00BB35AC">
        <w:rPr>
          <w:rFonts w:ascii="Times New Roman" w:hAnsi="Times New Roman"/>
        </w:rPr>
        <w:t xml:space="preserve">must be performed in the plan year preceding the transaction.  </w:t>
      </w:r>
    </w:p>
    <w:p w14:paraId="0186D784" w14:textId="77777777" w:rsidR="00E869F9" w:rsidRDefault="00E869F9" w:rsidP="00046641">
      <w:pPr>
        <w:widowControl/>
        <w:tabs>
          <w:tab w:val="left" w:pos="-1440"/>
          <w:tab w:val="left" w:pos="-720"/>
          <w:tab w:val="left" w:pos="0"/>
          <w:tab w:val="decimal" w:pos="720"/>
        </w:tabs>
        <w:ind w:left="720"/>
        <w:rPr>
          <w:rFonts w:ascii="Times New Roman" w:hAnsi="Times New Roman"/>
        </w:rPr>
      </w:pPr>
    </w:p>
    <w:p w14:paraId="2D068CC4" w14:textId="77777777" w:rsidR="002D118F" w:rsidRPr="00BB35AC" w:rsidRDefault="003F6139" w:rsidP="002D73F1">
      <w:pPr>
        <w:widowControl/>
        <w:spacing w:line="480" w:lineRule="auto"/>
        <w:ind w:firstLine="720"/>
        <w:rPr>
          <w:rFonts w:ascii="Times New Roman" w:hAnsi="Times New Roman"/>
        </w:rPr>
      </w:pPr>
      <w:r>
        <w:rPr>
          <w:rFonts w:ascii="Times New Roman" w:hAnsi="Times New Roman"/>
        </w:rPr>
        <w:t xml:space="preserve">Section 4231(a) of ERISA grants PBGC authority to vary these requirements by regulation.  </w:t>
      </w:r>
      <w:r w:rsidR="00E11449" w:rsidRPr="00BB35AC">
        <w:rPr>
          <w:rFonts w:ascii="Times New Roman" w:hAnsi="Times New Roman"/>
        </w:rPr>
        <w:t>PBG</w:t>
      </w:r>
      <w:r>
        <w:rPr>
          <w:rFonts w:ascii="Times New Roman" w:hAnsi="Times New Roman"/>
        </w:rPr>
        <w:t xml:space="preserve">C’s </w:t>
      </w:r>
      <w:r w:rsidR="00924C16" w:rsidRPr="00BB35AC">
        <w:rPr>
          <w:rFonts w:ascii="Times New Roman" w:hAnsi="Times New Roman"/>
        </w:rPr>
        <w:t>regulation on Mergers and Transfers Betwe</w:t>
      </w:r>
      <w:r w:rsidR="00227886">
        <w:rPr>
          <w:rFonts w:ascii="Times New Roman" w:hAnsi="Times New Roman"/>
        </w:rPr>
        <w:t xml:space="preserve">en Multiemployer Plans (29 CFR </w:t>
      </w:r>
      <w:r w:rsidR="002655AC">
        <w:rPr>
          <w:rFonts w:ascii="Times New Roman" w:hAnsi="Times New Roman"/>
        </w:rPr>
        <w:t>part</w:t>
      </w:r>
      <w:r w:rsidR="00924C16" w:rsidRPr="00BB35AC">
        <w:rPr>
          <w:rFonts w:ascii="Times New Roman" w:hAnsi="Times New Roman"/>
        </w:rPr>
        <w:t> 4231)</w:t>
      </w:r>
      <w:r>
        <w:rPr>
          <w:rFonts w:ascii="Times New Roman" w:hAnsi="Times New Roman"/>
        </w:rPr>
        <w:t xml:space="preserve"> implements and interprets these requirements by providing</w:t>
      </w:r>
      <w:r w:rsidR="007414B0">
        <w:rPr>
          <w:rFonts w:ascii="Times New Roman" w:hAnsi="Times New Roman"/>
        </w:rPr>
        <w:t xml:space="preserve"> </w:t>
      </w:r>
      <w:r>
        <w:rPr>
          <w:rFonts w:ascii="Times New Roman" w:hAnsi="Times New Roman"/>
        </w:rPr>
        <w:t>procedure</w:t>
      </w:r>
      <w:r w:rsidR="00C07E79">
        <w:rPr>
          <w:rFonts w:ascii="Times New Roman" w:hAnsi="Times New Roman"/>
        </w:rPr>
        <w:t>s</w:t>
      </w:r>
      <w:r>
        <w:rPr>
          <w:rFonts w:ascii="Times New Roman" w:hAnsi="Times New Roman"/>
        </w:rPr>
        <w:t xml:space="preserve"> under which plan sponsors must notify PBGC of any merger or transfer between multiemployer plans</w:t>
      </w:r>
      <w:r w:rsidR="00B241B8">
        <w:rPr>
          <w:rFonts w:ascii="Times New Roman" w:hAnsi="Times New Roman"/>
        </w:rPr>
        <w:t xml:space="preserve"> </w:t>
      </w:r>
      <w:r>
        <w:rPr>
          <w:rFonts w:ascii="Times New Roman" w:hAnsi="Times New Roman"/>
        </w:rPr>
        <w:t xml:space="preserve">and may request </w:t>
      </w:r>
      <w:r w:rsidR="00B241B8">
        <w:rPr>
          <w:rFonts w:ascii="Times New Roman" w:hAnsi="Times New Roman"/>
        </w:rPr>
        <w:t xml:space="preserve">from PBGC </w:t>
      </w:r>
      <w:r>
        <w:rPr>
          <w:rFonts w:ascii="Times New Roman" w:hAnsi="Times New Roman"/>
        </w:rPr>
        <w:t>a compliance determination</w:t>
      </w:r>
      <w:r w:rsidR="00924C16" w:rsidRPr="00BB35AC">
        <w:rPr>
          <w:rFonts w:ascii="Times New Roman" w:hAnsi="Times New Roman"/>
        </w:rPr>
        <w:t xml:space="preserve">.  </w:t>
      </w:r>
      <w:r w:rsidR="0046354D">
        <w:rPr>
          <w:rFonts w:ascii="Times New Roman" w:hAnsi="Times New Roman"/>
        </w:rPr>
        <w:t>The regulations specify</w:t>
      </w:r>
      <w:r w:rsidR="00A7471F">
        <w:rPr>
          <w:rFonts w:ascii="Times New Roman" w:hAnsi="Times New Roman"/>
        </w:rPr>
        <w:t xml:space="preserve"> the </w:t>
      </w:r>
      <w:r w:rsidR="00A7471F">
        <w:rPr>
          <w:rFonts w:ascii="Times New Roman" w:hAnsi="Times New Roman"/>
        </w:rPr>
        <w:lastRenderedPageBreak/>
        <w:t>information that must be included in a</w:t>
      </w:r>
      <w:r w:rsidR="0001218C">
        <w:rPr>
          <w:rFonts w:ascii="Times New Roman" w:hAnsi="Times New Roman"/>
        </w:rPr>
        <w:t xml:space="preserve"> merger or transfer notice</w:t>
      </w:r>
      <w:r w:rsidR="00D42FF3">
        <w:rPr>
          <w:rFonts w:ascii="Times New Roman" w:hAnsi="Times New Roman"/>
        </w:rPr>
        <w:t xml:space="preserve">.  </w:t>
      </w:r>
      <w:r w:rsidR="00D42FF3" w:rsidRPr="00BB35AC">
        <w:rPr>
          <w:rFonts w:ascii="Times New Roman" w:hAnsi="Times New Roman"/>
        </w:rPr>
        <w:t xml:space="preserve">A request for a compliance determination must provide additional information to enable PBGC to make an explicit finding that the merger/transfer requirements have been satisfied. </w:t>
      </w:r>
      <w:r w:rsidR="0001218C">
        <w:rPr>
          <w:rFonts w:ascii="Times New Roman" w:hAnsi="Times New Roman"/>
        </w:rPr>
        <w:t xml:space="preserve"> </w:t>
      </w:r>
      <w:r w:rsidR="001A19A0">
        <w:rPr>
          <w:rFonts w:ascii="Times New Roman" w:hAnsi="Times New Roman"/>
        </w:rPr>
        <w:t>ERISA</w:t>
      </w:r>
      <w:r w:rsidR="001A19A0" w:rsidRPr="00BB35AC">
        <w:rPr>
          <w:rFonts w:ascii="Times New Roman" w:hAnsi="Times New Roman"/>
        </w:rPr>
        <w:t xml:space="preserve"> section 4231(c) provides that if PBGC determines that </w:t>
      </w:r>
      <w:r w:rsidR="005716B4">
        <w:rPr>
          <w:rFonts w:ascii="Times New Roman" w:hAnsi="Times New Roman"/>
        </w:rPr>
        <w:t>the</w:t>
      </w:r>
      <w:r w:rsidR="001A19A0" w:rsidRPr="00BB35AC">
        <w:rPr>
          <w:rFonts w:ascii="Times New Roman" w:hAnsi="Times New Roman"/>
        </w:rPr>
        <w:t xml:space="preserve"> requirements are satisfied, the merger or transfer will be deemed not to be in violation of ERISA section 406(a) or (b)(2) (dealing with prohibited transactions).  </w:t>
      </w:r>
    </w:p>
    <w:p w14:paraId="6F52FC50" w14:textId="77777777" w:rsidR="00490DDA" w:rsidRDefault="00E61BD4" w:rsidP="00F9454A">
      <w:pPr>
        <w:widowControl/>
        <w:spacing w:line="480" w:lineRule="auto"/>
        <w:ind w:firstLine="720"/>
        <w:rPr>
          <w:rFonts w:ascii="Times New Roman" w:hAnsi="Times New Roman"/>
        </w:rPr>
      </w:pPr>
      <w:r>
        <w:rPr>
          <w:rFonts w:ascii="Times New Roman" w:hAnsi="Times New Roman"/>
        </w:rPr>
        <w:t>T</w:t>
      </w:r>
      <w:r w:rsidR="000357A0">
        <w:rPr>
          <w:rFonts w:ascii="Times New Roman" w:hAnsi="Times New Roman"/>
        </w:rPr>
        <w:t>he Multiemployer Pension Reform Act of 2014 (</w:t>
      </w:r>
      <w:r w:rsidR="000123AA">
        <w:rPr>
          <w:rFonts w:ascii="Times New Roman" w:hAnsi="Times New Roman"/>
        </w:rPr>
        <w:t>“</w:t>
      </w:r>
      <w:r w:rsidR="000357A0">
        <w:rPr>
          <w:rFonts w:ascii="Times New Roman" w:hAnsi="Times New Roman"/>
        </w:rPr>
        <w:t>MPRA</w:t>
      </w:r>
      <w:r w:rsidR="000123AA">
        <w:rPr>
          <w:rFonts w:ascii="Times New Roman" w:hAnsi="Times New Roman"/>
        </w:rPr>
        <w:t>”</w:t>
      </w:r>
      <w:r w:rsidR="000357A0">
        <w:rPr>
          <w:rFonts w:ascii="Times New Roman" w:hAnsi="Times New Roman"/>
        </w:rPr>
        <w:t>)</w:t>
      </w:r>
      <w:r w:rsidR="0097788C" w:rsidRPr="0097788C">
        <w:rPr>
          <w:rStyle w:val="FootnoteReference"/>
          <w:rFonts w:ascii="Times New Roman" w:hAnsi="Times New Roman"/>
          <w:vertAlign w:val="superscript"/>
        </w:rPr>
        <w:footnoteReference w:id="2"/>
      </w:r>
      <w:r w:rsidR="0097788C" w:rsidRPr="0097788C">
        <w:rPr>
          <w:rFonts w:ascii="Times New Roman" w:hAnsi="Times New Roman"/>
          <w:vertAlign w:val="superscript"/>
        </w:rPr>
        <w:t xml:space="preserve"> </w:t>
      </w:r>
      <w:r w:rsidR="002B41D1">
        <w:rPr>
          <w:rFonts w:ascii="Times New Roman" w:hAnsi="Times New Roman"/>
        </w:rPr>
        <w:t>added</w:t>
      </w:r>
      <w:r w:rsidR="000357A0" w:rsidRPr="000357A0">
        <w:rPr>
          <w:rFonts w:ascii="Times New Roman" w:hAnsi="Times New Roman"/>
        </w:rPr>
        <w:t xml:space="preserve"> a new section 4231(e), which clarifies PBGC’s authority to facilitate </w:t>
      </w:r>
      <w:r w:rsidR="002B41D1">
        <w:rPr>
          <w:rFonts w:ascii="Times New Roman" w:hAnsi="Times New Roman"/>
        </w:rPr>
        <w:t>a</w:t>
      </w:r>
      <w:r w:rsidR="000357A0" w:rsidRPr="000357A0">
        <w:rPr>
          <w:rFonts w:ascii="Times New Roman" w:hAnsi="Times New Roman"/>
        </w:rPr>
        <w:t xml:space="preserve"> merger </w:t>
      </w:r>
      <w:r w:rsidR="000123AA">
        <w:rPr>
          <w:rFonts w:ascii="Times New Roman" w:hAnsi="Times New Roman"/>
        </w:rPr>
        <w:t xml:space="preserve">(a “facilitated merger”) </w:t>
      </w:r>
      <w:r w:rsidR="000357A0" w:rsidRPr="000357A0">
        <w:rPr>
          <w:rFonts w:ascii="Times New Roman" w:hAnsi="Times New Roman"/>
        </w:rPr>
        <w:t>of two or more multiemployer plans if certain statutory requirements are met.  For purposes of section 4231(e), “facilitation” may include training, technical assistance, mediation, communication with stakeholders, and support with related requests to other government agencies.  In addition, subject to the requirements of section 4231(e)(2), PBGC may provide financial assistance (within the meaning of section 4261 of ERISA) to facilitate a merger</w:t>
      </w:r>
      <w:r w:rsidR="000123AA">
        <w:rPr>
          <w:rFonts w:ascii="Times New Roman" w:hAnsi="Times New Roman"/>
        </w:rPr>
        <w:t xml:space="preserve"> (a “financial assistance merger”)</w:t>
      </w:r>
      <w:r w:rsidR="000357A0" w:rsidRPr="000357A0">
        <w:rPr>
          <w:rFonts w:ascii="Times New Roman" w:hAnsi="Times New Roman"/>
        </w:rPr>
        <w:t xml:space="preserve"> it determines is necessary to enable one or more of the plans involved to avoid or postpone insolvency.  </w:t>
      </w:r>
    </w:p>
    <w:p w14:paraId="5DA68ED8" w14:textId="77777777" w:rsidR="00793CE4" w:rsidRDefault="00490DDA" w:rsidP="00793CE4">
      <w:pPr>
        <w:widowControl/>
        <w:spacing w:line="480" w:lineRule="auto"/>
        <w:ind w:firstLine="720"/>
        <w:rPr>
          <w:rFonts w:ascii="Times New Roman" w:hAnsi="Times New Roman"/>
        </w:rPr>
      </w:pPr>
      <w:r>
        <w:rPr>
          <w:rFonts w:ascii="Times New Roman" w:hAnsi="Times New Roman"/>
        </w:rPr>
        <w:t xml:space="preserve">PBGC </w:t>
      </w:r>
      <w:r w:rsidR="00085F9C">
        <w:rPr>
          <w:rFonts w:ascii="Times New Roman" w:hAnsi="Times New Roman"/>
        </w:rPr>
        <w:t>is publishing</w:t>
      </w:r>
      <w:r>
        <w:rPr>
          <w:rFonts w:ascii="Times New Roman" w:hAnsi="Times New Roman"/>
        </w:rPr>
        <w:t xml:space="preserve"> in the Federal Register</w:t>
      </w:r>
      <w:r w:rsidR="0097788C" w:rsidRPr="0097788C">
        <w:rPr>
          <w:rStyle w:val="FootnoteReference"/>
          <w:rFonts w:ascii="Times New Roman" w:hAnsi="Times New Roman"/>
          <w:vertAlign w:val="superscript"/>
        </w:rPr>
        <w:footnoteReference w:id="3"/>
      </w:r>
      <w:r w:rsidRPr="0097788C">
        <w:rPr>
          <w:rFonts w:ascii="Times New Roman" w:hAnsi="Times New Roman"/>
          <w:vertAlign w:val="superscript"/>
        </w:rPr>
        <w:t xml:space="preserve"> </w:t>
      </w:r>
      <w:r>
        <w:rPr>
          <w:rFonts w:ascii="Times New Roman" w:hAnsi="Times New Roman"/>
        </w:rPr>
        <w:t xml:space="preserve">a </w:t>
      </w:r>
      <w:r w:rsidR="002B41D1">
        <w:rPr>
          <w:rFonts w:ascii="Times New Roman" w:hAnsi="Times New Roman"/>
        </w:rPr>
        <w:t>final</w:t>
      </w:r>
      <w:r>
        <w:rPr>
          <w:rFonts w:ascii="Times New Roman" w:hAnsi="Times New Roman"/>
        </w:rPr>
        <w:t xml:space="preserve"> rule </w:t>
      </w:r>
      <w:r w:rsidR="002B41D1">
        <w:rPr>
          <w:rFonts w:ascii="Times New Roman" w:hAnsi="Times New Roman"/>
        </w:rPr>
        <w:t>providing</w:t>
      </w:r>
      <w:r w:rsidR="000357A0" w:rsidRPr="000357A0">
        <w:rPr>
          <w:rFonts w:ascii="Times New Roman" w:hAnsi="Times New Roman"/>
        </w:rPr>
        <w:t xml:space="preserve"> guidance on the process</w:t>
      </w:r>
      <w:r w:rsidR="005A7386">
        <w:rPr>
          <w:rFonts w:ascii="Times New Roman" w:hAnsi="Times New Roman"/>
        </w:rPr>
        <w:t xml:space="preserve"> and information requirements</w:t>
      </w:r>
      <w:r w:rsidR="000357A0" w:rsidRPr="000357A0">
        <w:rPr>
          <w:rFonts w:ascii="Times New Roman" w:hAnsi="Times New Roman"/>
        </w:rPr>
        <w:t xml:space="preserve"> for </w:t>
      </w:r>
      <w:r w:rsidR="005A7386">
        <w:rPr>
          <w:rFonts w:ascii="Times New Roman" w:hAnsi="Times New Roman"/>
        </w:rPr>
        <w:t xml:space="preserve">a voluntary </w:t>
      </w:r>
      <w:r w:rsidR="000357A0" w:rsidRPr="000357A0">
        <w:rPr>
          <w:rFonts w:ascii="Times New Roman" w:hAnsi="Times New Roman"/>
        </w:rPr>
        <w:t>request</w:t>
      </w:r>
      <w:r w:rsidR="005A7386">
        <w:rPr>
          <w:rFonts w:ascii="Times New Roman" w:hAnsi="Times New Roman"/>
        </w:rPr>
        <w:t xml:space="preserve"> for</w:t>
      </w:r>
      <w:r w:rsidR="000357A0" w:rsidRPr="000357A0">
        <w:rPr>
          <w:rFonts w:ascii="Times New Roman" w:hAnsi="Times New Roman"/>
        </w:rPr>
        <w:t xml:space="preserve"> a </w:t>
      </w:r>
      <w:r w:rsidR="00E61BD4">
        <w:rPr>
          <w:rFonts w:ascii="Times New Roman" w:hAnsi="Times New Roman"/>
        </w:rPr>
        <w:t xml:space="preserve">facilitated </w:t>
      </w:r>
      <w:r w:rsidR="000357A0" w:rsidRPr="000357A0">
        <w:rPr>
          <w:rFonts w:ascii="Times New Roman" w:hAnsi="Times New Roman"/>
        </w:rPr>
        <w:t xml:space="preserve">merger under section 4231(e) of ERISA, including </w:t>
      </w:r>
      <w:r w:rsidR="00D244CB">
        <w:rPr>
          <w:rFonts w:ascii="Times New Roman" w:hAnsi="Times New Roman"/>
        </w:rPr>
        <w:t xml:space="preserve">a </w:t>
      </w:r>
      <w:r w:rsidR="000357A0" w:rsidRPr="000357A0">
        <w:rPr>
          <w:rFonts w:ascii="Times New Roman" w:hAnsi="Times New Roman"/>
        </w:rPr>
        <w:t xml:space="preserve">financial assistance merger.  </w:t>
      </w:r>
      <w:r w:rsidR="0040468D">
        <w:rPr>
          <w:rFonts w:ascii="Times New Roman" w:hAnsi="Times New Roman"/>
        </w:rPr>
        <w:t xml:space="preserve">In addition, the </w:t>
      </w:r>
      <w:r w:rsidR="00380835">
        <w:rPr>
          <w:rFonts w:ascii="Times New Roman" w:hAnsi="Times New Roman"/>
        </w:rPr>
        <w:t>final</w:t>
      </w:r>
      <w:r w:rsidR="0040468D">
        <w:rPr>
          <w:rFonts w:ascii="Times New Roman" w:hAnsi="Times New Roman"/>
        </w:rPr>
        <w:t xml:space="preserve"> rule allows plan representatives to informally consult with PBGC in advance of a </w:t>
      </w:r>
      <w:r w:rsidR="000123AA">
        <w:rPr>
          <w:rFonts w:ascii="Times New Roman" w:hAnsi="Times New Roman"/>
        </w:rPr>
        <w:t>potential merger or transfer</w:t>
      </w:r>
      <w:r w:rsidR="0040468D">
        <w:rPr>
          <w:rFonts w:ascii="Times New Roman" w:hAnsi="Times New Roman"/>
        </w:rPr>
        <w:t xml:space="preserve">.  </w:t>
      </w:r>
      <w:r w:rsidR="000123AA">
        <w:rPr>
          <w:rFonts w:ascii="Times New Roman" w:hAnsi="Times New Roman"/>
        </w:rPr>
        <w:t>Importantly, t</w:t>
      </w:r>
      <w:r w:rsidR="0040468D">
        <w:rPr>
          <w:rFonts w:ascii="Times New Roman" w:hAnsi="Times New Roman"/>
        </w:rPr>
        <w:t>his informal consultation process w</w:t>
      </w:r>
      <w:r w:rsidR="00574613">
        <w:rPr>
          <w:rFonts w:ascii="Times New Roman" w:hAnsi="Times New Roman"/>
        </w:rPr>
        <w:t>ill</w:t>
      </w:r>
      <w:r w:rsidR="0040468D">
        <w:rPr>
          <w:rFonts w:ascii="Times New Roman" w:hAnsi="Times New Roman"/>
        </w:rPr>
        <w:t xml:space="preserve"> allow plan sponsors </w:t>
      </w:r>
      <w:r w:rsidR="000123AA">
        <w:rPr>
          <w:rFonts w:ascii="Times New Roman" w:hAnsi="Times New Roman"/>
        </w:rPr>
        <w:t xml:space="preserve">considering a </w:t>
      </w:r>
      <w:r w:rsidR="000123AA">
        <w:rPr>
          <w:rFonts w:ascii="Times New Roman" w:hAnsi="Times New Roman"/>
        </w:rPr>
        <w:lastRenderedPageBreak/>
        <w:t xml:space="preserve">financial assistance merger </w:t>
      </w:r>
      <w:r w:rsidR="0040468D">
        <w:rPr>
          <w:rFonts w:ascii="Times New Roman" w:hAnsi="Times New Roman"/>
        </w:rPr>
        <w:t>and PBGC to gauge whether certain criteria could be satisfied—such as the condition that the financial assistance w</w:t>
      </w:r>
      <w:r w:rsidR="00574613">
        <w:rPr>
          <w:rFonts w:ascii="Times New Roman" w:hAnsi="Times New Roman"/>
        </w:rPr>
        <w:t>ill</w:t>
      </w:r>
      <w:r w:rsidR="0040468D">
        <w:rPr>
          <w:rFonts w:ascii="Times New Roman" w:hAnsi="Times New Roman"/>
        </w:rPr>
        <w:t xml:space="preserve"> not impair PBGC’s ability to meet existing financial assistance obligations to other plans.  By doing so, plan sponsors of plans for which a </w:t>
      </w:r>
      <w:r w:rsidR="000123AA">
        <w:rPr>
          <w:rFonts w:ascii="Times New Roman" w:hAnsi="Times New Roman"/>
        </w:rPr>
        <w:t>financial assistance</w:t>
      </w:r>
      <w:r w:rsidR="0040468D">
        <w:rPr>
          <w:rFonts w:ascii="Times New Roman" w:hAnsi="Times New Roman"/>
        </w:rPr>
        <w:t xml:space="preserve"> merger is not viable w</w:t>
      </w:r>
      <w:r w:rsidR="00574613">
        <w:rPr>
          <w:rFonts w:ascii="Times New Roman" w:hAnsi="Times New Roman"/>
        </w:rPr>
        <w:t>ill</w:t>
      </w:r>
      <w:r w:rsidR="0040468D">
        <w:rPr>
          <w:rFonts w:ascii="Times New Roman" w:hAnsi="Times New Roman"/>
        </w:rPr>
        <w:t xml:space="preserve"> </w:t>
      </w:r>
      <w:r w:rsidR="000123AA">
        <w:rPr>
          <w:rFonts w:ascii="Times New Roman" w:hAnsi="Times New Roman"/>
        </w:rPr>
        <w:t>be spared the burden of the information collection.</w:t>
      </w:r>
    </w:p>
    <w:p w14:paraId="59C2EDC7" w14:textId="77777777" w:rsidR="002D62C7" w:rsidRDefault="00490DDA" w:rsidP="00F9454A">
      <w:pPr>
        <w:widowControl/>
        <w:spacing w:line="480" w:lineRule="auto"/>
        <w:ind w:firstLine="720"/>
        <w:rPr>
          <w:rFonts w:ascii="Times New Roman" w:hAnsi="Times New Roman"/>
        </w:rPr>
      </w:pPr>
      <w:r w:rsidRPr="000357A0">
        <w:rPr>
          <w:rFonts w:ascii="Times New Roman" w:hAnsi="Times New Roman"/>
        </w:rPr>
        <w:t xml:space="preserve">The </w:t>
      </w:r>
      <w:r w:rsidR="00380835">
        <w:rPr>
          <w:rFonts w:ascii="Times New Roman" w:hAnsi="Times New Roman"/>
        </w:rPr>
        <w:t>final</w:t>
      </w:r>
      <w:r w:rsidRPr="000357A0">
        <w:rPr>
          <w:rFonts w:ascii="Times New Roman" w:hAnsi="Times New Roman"/>
        </w:rPr>
        <w:t xml:space="preserve"> rule</w:t>
      </w:r>
      <w:r w:rsidR="008E3234">
        <w:rPr>
          <w:rFonts w:ascii="Times New Roman" w:hAnsi="Times New Roman"/>
        </w:rPr>
        <w:t xml:space="preserve"> also</w:t>
      </w:r>
      <w:r w:rsidRPr="000357A0">
        <w:rPr>
          <w:rFonts w:ascii="Times New Roman" w:hAnsi="Times New Roman"/>
        </w:rPr>
        <w:t xml:space="preserve"> </w:t>
      </w:r>
      <w:r w:rsidR="00E86C28">
        <w:rPr>
          <w:rFonts w:ascii="Times New Roman" w:hAnsi="Times New Roman"/>
        </w:rPr>
        <w:t>reorganize</w:t>
      </w:r>
      <w:r w:rsidR="00574613">
        <w:rPr>
          <w:rFonts w:ascii="Times New Roman" w:hAnsi="Times New Roman"/>
        </w:rPr>
        <w:t>s</w:t>
      </w:r>
      <w:r w:rsidR="00E86C28">
        <w:rPr>
          <w:rFonts w:ascii="Times New Roman" w:hAnsi="Times New Roman"/>
        </w:rPr>
        <w:t xml:space="preserve"> and update</w:t>
      </w:r>
      <w:r w:rsidR="00574613">
        <w:rPr>
          <w:rFonts w:ascii="Times New Roman" w:hAnsi="Times New Roman"/>
        </w:rPr>
        <w:t>s</w:t>
      </w:r>
      <w:r w:rsidR="00E86C28">
        <w:rPr>
          <w:rFonts w:ascii="Times New Roman" w:hAnsi="Times New Roman"/>
        </w:rPr>
        <w:t xml:space="preserve"> the existing regulation</w:t>
      </w:r>
      <w:r w:rsidRPr="000357A0">
        <w:rPr>
          <w:rFonts w:ascii="Times New Roman" w:hAnsi="Times New Roman"/>
        </w:rPr>
        <w:t>.</w:t>
      </w:r>
      <w:r>
        <w:rPr>
          <w:rFonts w:ascii="Times New Roman" w:hAnsi="Times New Roman"/>
        </w:rPr>
        <w:t xml:space="preserve"> </w:t>
      </w:r>
      <w:r w:rsidR="00D0568F">
        <w:rPr>
          <w:rFonts w:ascii="Times New Roman" w:hAnsi="Times New Roman"/>
        </w:rPr>
        <w:t xml:space="preserve"> </w:t>
      </w:r>
      <w:r w:rsidR="00450FCF">
        <w:rPr>
          <w:rFonts w:ascii="Times New Roman" w:hAnsi="Times New Roman"/>
        </w:rPr>
        <w:t xml:space="preserve">Amendments under the </w:t>
      </w:r>
      <w:r w:rsidR="00380835">
        <w:rPr>
          <w:rFonts w:ascii="Times New Roman" w:hAnsi="Times New Roman"/>
        </w:rPr>
        <w:t>final</w:t>
      </w:r>
      <w:r w:rsidR="00450FCF">
        <w:rPr>
          <w:rFonts w:ascii="Times New Roman" w:hAnsi="Times New Roman"/>
        </w:rPr>
        <w:t xml:space="preserve"> rule that affect areas under the existing regulation (</w:t>
      </w:r>
      <w:r w:rsidR="00450FCF" w:rsidRPr="007111D7">
        <w:rPr>
          <w:rFonts w:ascii="Times New Roman" w:hAnsi="Times New Roman"/>
          <w:i/>
        </w:rPr>
        <w:t>i.e</w:t>
      </w:r>
      <w:r w:rsidR="00450FCF">
        <w:rPr>
          <w:rFonts w:ascii="Times New Roman" w:hAnsi="Times New Roman"/>
        </w:rPr>
        <w:t>., for mergers and transfers that are not subject to the new requirements for facilitated mergers) are not expected to have a</w:t>
      </w:r>
      <w:r w:rsidR="006D36B3">
        <w:rPr>
          <w:rFonts w:ascii="Times New Roman" w:hAnsi="Times New Roman"/>
        </w:rPr>
        <w:t>n</w:t>
      </w:r>
      <w:r w:rsidR="00450FCF">
        <w:rPr>
          <w:rFonts w:ascii="Times New Roman" w:hAnsi="Times New Roman"/>
        </w:rPr>
        <w:t xml:space="preserve"> impact on the burden of the information collection.</w:t>
      </w:r>
    </w:p>
    <w:p w14:paraId="2628C80E" w14:textId="77777777" w:rsidR="00924C16" w:rsidRPr="00BB35AC" w:rsidRDefault="00924C16">
      <w:pPr>
        <w:widowControl/>
        <w:spacing w:line="120" w:lineRule="auto"/>
        <w:rPr>
          <w:rFonts w:ascii="Times New Roman" w:hAnsi="Times New Roman"/>
        </w:rPr>
      </w:pPr>
    </w:p>
    <w:p w14:paraId="058F95FC" w14:textId="77777777" w:rsidR="00744DB8" w:rsidRDefault="00924C16" w:rsidP="00624F9A">
      <w:pPr>
        <w:widowControl/>
        <w:spacing w:line="480" w:lineRule="auto"/>
        <w:ind w:firstLine="720"/>
        <w:rPr>
          <w:rFonts w:ascii="Times New Roman" w:hAnsi="Times New Roman"/>
        </w:rPr>
      </w:pPr>
      <w:r w:rsidRPr="00BB35AC">
        <w:rPr>
          <w:rFonts w:ascii="Times New Roman" w:hAnsi="Times New Roman"/>
        </w:rPr>
        <w:t xml:space="preserve">2.  </w:t>
      </w:r>
      <w:r w:rsidRPr="00BB35AC">
        <w:rPr>
          <w:rFonts w:ascii="Times New Roman" w:hAnsi="Times New Roman"/>
          <w:u w:val="single"/>
        </w:rPr>
        <w:t>Use of information.</w:t>
      </w:r>
      <w:r w:rsidRPr="00BB35AC">
        <w:rPr>
          <w:rFonts w:ascii="Times New Roman" w:hAnsi="Times New Roman"/>
        </w:rPr>
        <w:t xml:space="preserve">  </w:t>
      </w:r>
    </w:p>
    <w:p w14:paraId="7079904D" w14:textId="096B7A9A" w:rsidR="00744DB8" w:rsidRDefault="00053988" w:rsidP="00624F9A">
      <w:pPr>
        <w:widowControl/>
        <w:spacing w:line="480" w:lineRule="auto"/>
        <w:ind w:firstLine="720"/>
        <w:rPr>
          <w:rFonts w:ascii="Times New Roman" w:hAnsi="Times New Roman"/>
        </w:rPr>
      </w:pPr>
      <w:r>
        <w:rPr>
          <w:rFonts w:ascii="Times New Roman" w:hAnsi="Times New Roman"/>
        </w:rPr>
        <w:t xml:space="preserve">a.  </w:t>
      </w:r>
      <w:r>
        <w:rPr>
          <w:rFonts w:ascii="Times New Roman" w:hAnsi="Times New Roman"/>
          <w:u w:val="single"/>
        </w:rPr>
        <w:t>Information required.</w:t>
      </w:r>
      <w:r>
        <w:rPr>
          <w:rFonts w:ascii="Times New Roman" w:hAnsi="Times New Roman"/>
        </w:rPr>
        <w:t xml:space="preserve"> </w:t>
      </w:r>
      <w:r w:rsidR="005E3680">
        <w:rPr>
          <w:rFonts w:ascii="Times New Roman" w:hAnsi="Times New Roman"/>
        </w:rPr>
        <w:t xml:space="preserve"> A </w:t>
      </w:r>
      <w:r w:rsidR="004C35F0">
        <w:rPr>
          <w:rFonts w:ascii="Times New Roman" w:hAnsi="Times New Roman"/>
        </w:rPr>
        <w:t>plan sponsor must notify PBGC of any merger or transfer be</w:t>
      </w:r>
      <w:r w:rsidR="00BB7D79">
        <w:rPr>
          <w:rFonts w:ascii="Times New Roman" w:hAnsi="Times New Roman"/>
        </w:rPr>
        <w:t xml:space="preserve">tween multiemployer plans and include in the </w:t>
      </w:r>
      <w:r w:rsidR="008E4391">
        <w:rPr>
          <w:rFonts w:ascii="Times New Roman" w:hAnsi="Times New Roman"/>
        </w:rPr>
        <w:t>notice the information</w:t>
      </w:r>
      <w:r w:rsidR="005E3680">
        <w:rPr>
          <w:rFonts w:ascii="Times New Roman" w:hAnsi="Times New Roman"/>
        </w:rPr>
        <w:t xml:space="preserve"> </w:t>
      </w:r>
      <w:r w:rsidR="00BB5CAC">
        <w:rPr>
          <w:rFonts w:ascii="Times New Roman" w:hAnsi="Times New Roman"/>
        </w:rPr>
        <w:t xml:space="preserve">described </w:t>
      </w:r>
      <w:r w:rsidR="005E3680">
        <w:rPr>
          <w:rFonts w:ascii="Times New Roman" w:hAnsi="Times New Roman"/>
        </w:rPr>
        <w:t xml:space="preserve">under </w:t>
      </w:r>
      <w:r w:rsidR="00BB5CAC">
        <w:rPr>
          <w:rFonts w:ascii="Times New Roman" w:hAnsi="Times New Roman"/>
        </w:rPr>
        <w:t>§ 4231.</w:t>
      </w:r>
      <w:r w:rsidR="001F39F7">
        <w:rPr>
          <w:rFonts w:ascii="Times New Roman" w:hAnsi="Times New Roman"/>
        </w:rPr>
        <w:t xml:space="preserve">9 of the final rule: (1) identifying information, including the types of plans involved and the type </w:t>
      </w:r>
      <w:r w:rsidR="004A20AD">
        <w:rPr>
          <w:rFonts w:ascii="Times New Roman" w:hAnsi="Times New Roman"/>
        </w:rPr>
        <w:t>and effective date of the transaction; (2</w:t>
      </w:r>
      <w:r w:rsidR="00E36D00">
        <w:rPr>
          <w:rFonts w:ascii="Times New Roman" w:hAnsi="Times New Roman"/>
        </w:rPr>
        <w:t>)</w:t>
      </w:r>
      <w:r w:rsidR="004A20AD">
        <w:rPr>
          <w:rFonts w:ascii="Times New Roman" w:hAnsi="Times New Roman"/>
        </w:rPr>
        <w:t xml:space="preserve"> copies of plan provisions that preserve accrued </w:t>
      </w:r>
      <w:r w:rsidR="00004279">
        <w:rPr>
          <w:rFonts w:ascii="Times New Roman" w:hAnsi="Times New Roman"/>
        </w:rPr>
        <w:t>b</w:t>
      </w:r>
      <w:r w:rsidR="004A20AD">
        <w:rPr>
          <w:rFonts w:ascii="Times New Roman" w:hAnsi="Times New Roman"/>
        </w:rPr>
        <w:t>enefits; (3) enrolled actuary certificatio</w:t>
      </w:r>
      <w:r w:rsidR="00E36D00">
        <w:rPr>
          <w:rFonts w:ascii="Times New Roman" w:hAnsi="Times New Roman"/>
        </w:rPr>
        <w:t>n</w:t>
      </w:r>
      <w:r w:rsidR="008A2973">
        <w:rPr>
          <w:rFonts w:ascii="Times New Roman" w:hAnsi="Times New Roman"/>
        </w:rPr>
        <w:t>(</w:t>
      </w:r>
      <w:r w:rsidR="00E36D00">
        <w:rPr>
          <w:rFonts w:ascii="Times New Roman" w:hAnsi="Times New Roman"/>
        </w:rPr>
        <w:t>s</w:t>
      </w:r>
      <w:r w:rsidR="008A2973">
        <w:rPr>
          <w:rFonts w:ascii="Times New Roman" w:hAnsi="Times New Roman"/>
        </w:rPr>
        <w:t>)</w:t>
      </w:r>
      <w:r w:rsidR="004A20AD">
        <w:rPr>
          <w:rFonts w:ascii="Times New Roman" w:hAnsi="Times New Roman"/>
        </w:rPr>
        <w:t xml:space="preserve"> </w:t>
      </w:r>
      <w:r w:rsidR="00C7729A">
        <w:rPr>
          <w:rFonts w:ascii="Times New Roman" w:hAnsi="Times New Roman"/>
        </w:rPr>
        <w:t>about plan solvency</w:t>
      </w:r>
      <w:r w:rsidR="004A20AD">
        <w:rPr>
          <w:rFonts w:ascii="Times New Roman" w:hAnsi="Times New Roman"/>
        </w:rPr>
        <w:t xml:space="preserve">; (4) </w:t>
      </w:r>
      <w:r w:rsidR="00004279">
        <w:rPr>
          <w:rFonts w:ascii="Times New Roman" w:hAnsi="Times New Roman"/>
        </w:rPr>
        <w:t>c</w:t>
      </w:r>
      <w:r w:rsidR="004A20AD">
        <w:rPr>
          <w:rFonts w:ascii="Times New Roman" w:hAnsi="Times New Roman"/>
        </w:rPr>
        <w:t xml:space="preserve">opies of the most recent required actuarial valuations, </w:t>
      </w:r>
      <w:r w:rsidR="003B5414">
        <w:rPr>
          <w:rFonts w:ascii="Times New Roman" w:hAnsi="Times New Roman"/>
        </w:rPr>
        <w:t xml:space="preserve">except for certain </w:t>
      </w:r>
      <w:r w:rsidR="004A20AD" w:rsidRPr="00004279">
        <w:rPr>
          <w:rFonts w:ascii="Times New Roman" w:hAnsi="Times New Roman"/>
          <w:i/>
        </w:rPr>
        <w:t>de minimis</w:t>
      </w:r>
      <w:r w:rsidR="003B5414">
        <w:rPr>
          <w:rFonts w:ascii="Times New Roman" w:hAnsi="Times New Roman"/>
          <w:i/>
        </w:rPr>
        <w:t xml:space="preserve"> </w:t>
      </w:r>
      <w:r w:rsidR="003B5414" w:rsidRPr="003B5414">
        <w:rPr>
          <w:rFonts w:ascii="Times New Roman" w:hAnsi="Times New Roman"/>
        </w:rPr>
        <w:t>transactions</w:t>
      </w:r>
      <w:r w:rsidR="00F62D21">
        <w:rPr>
          <w:rFonts w:ascii="Times New Roman" w:hAnsi="Times New Roman"/>
        </w:rPr>
        <w:t xml:space="preserve">; and (5) </w:t>
      </w:r>
      <w:r w:rsidR="000B44E9">
        <w:rPr>
          <w:rFonts w:ascii="Times New Roman" w:hAnsi="Times New Roman"/>
        </w:rPr>
        <w:t xml:space="preserve">information used by the </w:t>
      </w:r>
      <w:r w:rsidR="00051237">
        <w:rPr>
          <w:rFonts w:ascii="Times New Roman" w:hAnsi="Times New Roman"/>
        </w:rPr>
        <w:t>enrolled actuary in making the</w:t>
      </w:r>
      <w:r w:rsidR="009D062F">
        <w:rPr>
          <w:rFonts w:ascii="Times New Roman" w:hAnsi="Times New Roman"/>
        </w:rPr>
        <w:t xml:space="preserve"> plan</w:t>
      </w:r>
      <w:r w:rsidR="00051237">
        <w:rPr>
          <w:rFonts w:ascii="Times New Roman" w:hAnsi="Times New Roman"/>
        </w:rPr>
        <w:t xml:space="preserve"> solvency determination under § 4231.6</w:t>
      </w:r>
      <w:r w:rsidR="009D062F">
        <w:rPr>
          <w:rFonts w:ascii="Times New Roman" w:hAnsi="Times New Roman"/>
        </w:rPr>
        <w:t>(b)</w:t>
      </w:r>
      <w:r w:rsidR="00051237">
        <w:rPr>
          <w:rFonts w:ascii="Times New Roman" w:hAnsi="Times New Roman"/>
        </w:rPr>
        <w:t>.</w:t>
      </w:r>
    </w:p>
    <w:p w14:paraId="02A1DD2D" w14:textId="0B18360A" w:rsidR="00103EFC" w:rsidRPr="00BD75C1" w:rsidRDefault="00103EFC" w:rsidP="00624F9A">
      <w:pPr>
        <w:widowControl/>
        <w:spacing w:line="480" w:lineRule="auto"/>
        <w:ind w:firstLine="720"/>
        <w:rPr>
          <w:rFonts w:ascii="Times New Roman" w:hAnsi="Times New Roman"/>
        </w:rPr>
      </w:pPr>
      <w:r>
        <w:rPr>
          <w:rFonts w:ascii="Times New Roman" w:hAnsi="Times New Roman"/>
        </w:rPr>
        <w:t xml:space="preserve">A request for a compliance determination </w:t>
      </w:r>
      <w:r w:rsidR="005C58B5">
        <w:rPr>
          <w:rFonts w:ascii="Times New Roman" w:hAnsi="Times New Roman"/>
        </w:rPr>
        <w:t xml:space="preserve">described under § 4231.10 of the final rule </w:t>
      </w:r>
      <w:r>
        <w:rPr>
          <w:rFonts w:ascii="Times New Roman" w:hAnsi="Times New Roman"/>
        </w:rPr>
        <w:t>must provide additional information to enable PBGC to make an explicit finding that the merger/transfer requirements h</w:t>
      </w:r>
      <w:r w:rsidR="00EE3239">
        <w:rPr>
          <w:rFonts w:ascii="Times New Roman" w:hAnsi="Times New Roman"/>
        </w:rPr>
        <w:t>a</w:t>
      </w:r>
      <w:r>
        <w:rPr>
          <w:rFonts w:ascii="Times New Roman" w:hAnsi="Times New Roman"/>
        </w:rPr>
        <w:t xml:space="preserve">ve been satisfied.  For a transaction that is not </w:t>
      </w:r>
      <w:r w:rsidR="00BD75C1" w:rsidRPr="00004279">
        <w:rPr>
          <w:rFonts w:ascii="Times New Roman" w:hAnsi="Times New Roman"/>
          <w:i/>
        </w:rPr>
        <w:t>de minimis</w:t>
      </w:r>
      <w:r w:rsidR="00BD75C1">
        <w:rPr>
          <w:rFonts w:ascii="Times New Roman" w:hAnsi="Times New Roman"/>
        </w:rPr>
        <w:t>, the request must include: (1) a copy of the merger or transfer agreement</w:t>
      </w:r>
      <w:r w:rsidR="00BC75AB">
        <w:rPr>
          <w:rFonts w:ascii="Times New Roman" w:hAnsi="Times New Roman"/>
        </w:rPr>
        <w:t xml:space="preserve"> </w:t>
      </w:r>
      <w:r w:rsidR="00BD75C1">
        <w:rPr>
          <w:rFonts w:ascii="Times New Roman" w:hAnsi="Times New Roman"/>
        </w:rPr>
        <w:t>to assure that its terms are consistent with the merger/transfer requirement</w:t>
      </w:r>
      <w:r w:rsidR="006D61B7">
        <w:rPr>
          <w:rFonts w:ascii="Times New Roman" w:hAnsi="Times New Roman"/>
        </w:rPr>
        <w:t>s</w:t>
      </w:r>
      <w:r w:rsidR="00BD75C1">
        <w:rPr>
          <w:rFonts w:ascii="Times New Roman" w:hAnsi="Times New Roman"/>
        </w:rPr>
        <w:t>); and (2</w:t>
      </w:r>
      <w:r w:rsidR="00BC75AB">
        <w:rPr>
          <w:rFonts w:ascii="Times New Roman" w:hAnsi="Times New Roman"/>
        </w:rPr>
        <w:t>)</w:t>
      </w:r>
      <w:r w:rsidR="00BD75C1">
        <w:rPr>
          <w:rFonts w:ascii="Times New Roman" w:hAnsi="Times New Roman"/>
        </w:rPr>
        <w:t xml:space="preserve"> for </w:t>
      </w:r>
      <w:r w:rsidR="00D84C2D">
        <w:rPr>
          <w:rFonts w:ascii="Times New Roman" w:hAnsi="Times New Roman"/>
        </w:rPr>
        <w:t>each</w:t>
      </w:r>
      <w:r w:rsidR="00BD75C1">
        <w:rPr>
          <w:rFonts w:ascii="Times New Roman" w:hAnsi="Times New Roman"/>
        </w:rPr>
        <w:t xml:space="preserve"> plan significantly affected by </w:t>
      </w:r>
      <w:r w:rsidR="00D84C2D">
        <w:rPr>
          <w:rFonts w:ascii="Times New Roman" w:hAnsi="Times New Roman"/>
        </w:rPr>
        <w:t>the</w:t>
      </w:r>
      <w:r w:rsidR="00BD75C1">
        <w:rPr>
          <w:rFonts w:ascii="Times New Roman" w:hAnsi="Times New Roman"/>
        </w:rPr>
        <w:t xml:space="preserve"> transaction (unless the plan is significantly affected only because the transaction involves a mass-withdrawal-terminated plan), copies of all actuarial valuations from the last five years (to place the transaction in historical context).</w:t>
      </w:r>
    </w:p>
    <w:p w14:paraId="16AEBCED" w14:textId="148F75CD" w:rsidR="00744DB8" w:rsidRDefault="00744DB8" w:rsidP="00744DB8">
      <w:pPr>
        <w:widowControl/>
        <w:spacing w:line="480" w:lineRule="auto"/>
        <w:ind w:firstLine="720"/>
        <w:rPr>
          <w:rFonts w:ascii="Times New Roman" w:hAnsi="Times New Roman"/>
        </w:rPr>
      </w:pPr>
      <w:r>
        <w:rPr>
          <w:rFonts w:ascii="Times New Roman" w:hAnsi="Times New Roman"/>
        </w:rPr>
        <w:t xml:space="preserve">In the case of a facilitated merger, the final rule amends § 4231.8(a) to require that notice of </w:t>
      </w:r>
      <w:r w:rsidR="009B0B59">
        <w:rPr>
          <w:rFonts w:ascii="Times New Roman" w:hAnsi="Times New Roman"/>
        </w:rPr>
        <w:t xml:space="preserve">the </w:t>
      </w:r>
      <w:r>
        <w:rPr>
          <w:rFonts w:ascii="Times New Roman" w:hAnsi="Times New Roman"/>
        </w:rPr>
        <w:t xml:space="preserve">proposed merger </w:t>
      </w:r>
      <w:r w:rsidR="009B0B59">
        <w:rPr>
          <w:rFonts w:ascii="Times New Roman" w:hAnsi="Times New Roman"/>
        </w:rPr>
        <w:t xml:space="preserve">and a request for facilitation </w:t>
      </w:r>
      <w:r w:rsidR="00B72C6F">
        <w:rPr>
          <w:rFonts w:ascii="Times New Roman" w:hAnsi="Times New Roman"/>
        </w:rPr>
        <w:t>(</w:t>
      </w:r>
      <w:r w:rsidR="00B72C6F" w:rsidRPr="0010282A">
        <w:rPr>
          <w:rFonts w:ascii="Times New Roman" w:hAnsi="Times New Roman"/>
        </w:rPr>
        <w:t>and, if applicable, a request for a compliance determination</w:t>
      </w:r>
      <w:r w:rsidR="00B72C6F">
        <w:rPr>
          <w:rFonts w:ascii="Times New Roman" w:hAnsi="Times New Roman"/>
        </w:rPr>
        <w:t>)</w:t>
      </w:r>
      <w:r w:rsidR="00B72C6F" w:rsidRPr="0010282A">
        <w:rPr>
          <w:rFonts w:ascii="Times New Roman" w:hAnsi="Times New Roman"/>
        </w:rPr>
        <w:t xml:space="preserve"> </w:t>
      </w:r>
      <w:r>
        <w:rPr>
          <w:rFonts w:ascii="Times New Roman" w:hAnsi="Times New Roman"/>
        </w:rPr>
        <w:t xml:space="preserve">be filed not less than 270 days before the proposed effective date of </w:t>
      </w:r>
      <w:r w:rsidR="00EF06F1">
        <w:rPr>
          <w:rFonts w:ascii="Times New Roman" w:hAnsi="Times New Roman"/>
        </w:rPr>
        <w:t>the</w:t>
      </w:r>
      <w:r>
        <w:rPr>
          <w:rFonts w:ascii="Times New Roman" w:hAnsi="Times New Roman"/>
        </w:rPr>
        <w:t xml:space="preserve"> facilitated merger.  A request for a facilitated merger, including a financial assistance merger, must include the information described in § 4231.12 of the final rule.  A request for a financial assistance merger must also contain the information described in § 4231.13 (plan information), § 4231.14</w:t>
      </w:r>
      <w:r w:rsidRPr="001F2749">
        <w:rPr>
          <w:rFonts w:ascii="Times New Roman" w:hAnsi="Times New Roman"/>
        </w:rPr>
        <w:t xml:space="preserve"> (</w:t>
      </w:r>
      <w:r>
        <w:rPr>
          <w:rFonts w:ascii="Times New Roman" w:hAnsi="Times New Roman"/>
        </w:rPr>
        <w:t>description of financial assistance merger), § 4231.15</w:t>
      </w:r>
      <w:r w:rsidRPr="001F2749">
        <w:rPr>
          <w:rFonts w:ascii="Times New Roman" w:hAnsi="Times New Roman"/>
        </w:rPr>
        <w:t xml:space="preserve"> (actuarial and finan</w:t>
      </w:r>
      <w:r>
        <w:rPr>
          <w:rFonts w:ascii="Times New Roman" w:hAnsi="Times New Roman"/>
        </w:rPr>
        <w:t>cial information),</w:t>
      </w:r>
      <w:r w:rsidRPr="001F2749">
        <w:rPr>
          <w:rFonts w:ascii="Times New Roman" w:hAnsi="Times New Roman"/>
        </w:rPr>
        <w:t xml:space="preserve"> </w:t>
      </w:r>
      <w:r>
        <w:rPr>
          <w:rFonts w:ascii="Times New Roman" w:hAnsi="Times New Roman"/>
        </w:rPr>
        <w:t xml:space="preserve">and </w:t>
      </w:r>
      <w:r w:rsidRPr="001F2749">
        <w:rPr>
          <w:rFonts w:ascii="Times New Roman" w:hAnsi="Times New Roman"/>
        </w:rPr>
        <w:t>§</w:t>
      </w:r>
      <w:r>
        <w:rPr>
          <w:rFonts w:ascii="Times New Roman" w:hAnsi="Times New Roman"/>
        </w:rPr>
        <w:t> 4231.16</w:t>
      </w:r>
      <w:r w:rsidRPr="001F2749">
        <w:rPr>
          <w:rFonts w:ascii="Times New Roman" w:hAnsi="Times New Roman"/>
        </w:rPr>
        <w:t xml:space="preserve"> (participant census data)</w:t>
      </w:r>
      <w:r w:rsidR="00B6415F">
        <w:rPr>
          <w:rFonts w:ascii="Times New Roman" w:hAnsi="Times New Roman"/>
        </w:rPr>
        <w:t xml:space="preserve"> of the final rule</w:t>
      </w:r>
      <w:r>
        <w:rPr>
          <w:rFonts w:ascii="Times New Roman" w:hAnsi="Times New Roman"/>
        </w:rPr>
        <w:t xml:space="preserve">.  </w:t>
      </w:r>
    </w:p>
    <w:p w14:paraId="48927EB5" w14:textId="77777777" w:rsidR="00744DB8" w:rsidRDefault="00744DB8" w:rsidP="00744DB8">
      <w:pPr>
        <w:widowControl/>
        <w:spacing w:line="480" w:lineRule="auto"/>
        <w:ind w:firstLine="720"/>
        <w:rPr>
          <w:rFonts w:ascii="Times New Roman" w:hAnsi="Times New Roman"/>
        </w:rPr>
      </w:pPr>
      <w:r w:rsidRPr="001F2749">
        <w:rPr>
          <w:rFonts w:ascii="Times New Roman" w:hAnsi="Times New Roman"/>
        </w:rPr>
        <w:t xml:space="preserve">PBGC may require additional information </w:t>
      </w:r>
      <w:r>
        <w:rPr>
          <w:rFonts w:ascii="Times New Roman" w:hAnsi="Times New Roman"/>
        </w:rPr>
        <w:t xml:space="preserve">to determine whether the requirements of section 4231(e) of ERISA are met or to enable it to facilitate the merger.  </w:t>
      </w:r>
    </w:p>
    <w:p w14:paraId="3713AF7C" w14:textId="77777777" w:rsidR="00924C16" w:rsidRPr="00BB35AC" w:rsidRDefault="00DF0605" w:rsidP="00624F9A">
      <w:pPr>
        <w:widowControl/>
        <w:spacing w:line="480" w:lineRule="auto"/>
        <w:ind w:firstLine="720"/>
        <w:rPr>
          <w:rFonts w:ascii="Times New Roman" w:hAnsi="Times New Roman"/>
        </w:rPr>
      </w:pPr>
      <w:r>
        <w:rPr>
          <w:rFonts w:ascii="Times New Roman" w:hAnsi="Times New Roman"/>
        </w:rPr>
        <w:t xml:space="preserve">b.  </w:t>
      </w:r>
      <w:r w:rsidR="009341C4" w:rsidRPr="009341C4">
        <w:rPr>
          <w:rFonts w:ascii="Times New Roman" w:hAnsi="Times New Roman"/>
          <w:u w:val="single"/>
        </w:rPr>
        <w:t>Need for information</w:t>
      </w:r>
      <w:r w:rsidR="009341C4">
        <w:rPr>
          <w:rFonts w:ascii="Times New Roman" w:hAnsi="Times New Roman"/>
        </w:rPr>
        <w:t xml:space="preserve">.  </w:t>
      </w:r>
      <w:r w:rsidR="00E11449" w:rsidRPr="009341C4">
        <w:rPr>
          <w:rFonts w:ascii="Times New Roman" w:hAnsi="Times New Roman"/>
        </w:rPr>
        <w:t>PBGC</w:t>
      </w:r>
      <w:r w:rsidR="00924C16" w:rsidRPr="00BB35AC">
        <w:rPr>
          <w:rFonts w:ascii="Times New Roman" w:hAnsi="Times New Roman"/>
        </w:rPr>
        <w:t xml:space="preserve"> uses information submitted by plan sponsors under the regulation to determine whether mergers and transfers conform to the requirements of section 4231 </w:t>
      </w:r>
      <w:r w:rsidR="00A7021A">
        <w:rPr>
          <w:rFonts w:ascii="Times New Roman" w:hAnsi="Times New Roman"/>
        </w:rPr>
        <w:t xml:space="preserve">of ERISA </w:t>
      </w:r>
      <w:r w:rsidR="00924C16" w:rsidRPr="00BB35AC">
        <w:rPr>
          <w:rFonts w:ascii="Times New Roman" w:hAnsi="Times New Roman"/>
        </w:rPr>
        <w:t xml:space="preserve">and the regulation.  </w:t>
      </w:r>
    </w:p>
    <w:p w14:paraId="093FF7B3" w14:textId="77777777"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3.  </w:t>
      </w:r>
      <w:r w:rsidRPr="00BB35AC">
        <w:rPr>
          <w:rFonts w:ascii="Times New Roman" w:hAnsi="Times New Roman"/>
          <w:u w:val="single"/>
        </w:rPr>
        <w:t>Information technology.</w:t>
      </w:r>
      <w:r w:rsidRPr="00BB35AC">
        <w:rPr>
          <w:rFonts w:ascii="Times New Roman" w:hAnsi="Times New Roman"/>
        </w:rPr>
        <w:t xml:space="preserve">  No consideration has been given to the use of improved information technology to reduce burden.  The reporting volume under the regulation is too low to warrant the use of high technology.  </w:t>
      </w:r>
      <w:r w:rsidR="009A1729">
        <w:rPr>
          <w:rFonts w:ascii="Times New Roman" w:hAnsi="Times New Roman"/>
        </w:rPr>
        <w:t xml:space="preserve">However, PBGC expects </w:t>
      </w:r>
      <w:r w:rsidR="001A19A0">
        <w:rPr>
          <w:rFonts w:ascii="Times New Roman" w:hAnsi="Times New Roman"/>
        </w:rPr>
        <w:t xml:space="preserve">on the basis of experience </w:t>
      </w:r>
      <w:r w:rsidR="009A1729">
        <w:rPr>
          <w:rFonts w:ascii="Times New Roman" w:hAnsi="Times New Roman"/>
        </w:rPr>
        <w:t>that most, if not all, plan sponsors and their representatives will use email and electronic versions of documents to provide the various notice and information requirements to PBGC under the regulation.</w:t>
      </w:r>
    </w:p>
    <w:p w14:paraId="760E44B9" w14:textId="77777777"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4.  </w:t>
      </w:r>
      <w:r w:rsidRPr="00BB35AC">
        <w:rPr>
          <w:rFonts w:ascii="Times New Roman" w:hAnsi="Times New Roman"/>
          <w:u w:val="single"/>
        </w:rPr>
        <w:t>Duplicate or similar information.</w:t>
      </w:r>
      <w:r w:rsidRPr="00BB35AC">
        <w:rPr>
          <w:rFonts w:ascii="Times New Roman" w:hAnsi="Times New Roman"/>
        </w:rPr>
        <w:t xml:space="preserve">  The regulation imposes a special purpose information submission requirement that is triggered by the occurrence of a relatively uncommon event (a merger or transfer between multiemployer plans), and this is the only such requirement imposed by </w:t>
      </w:r>
      <w:r w:rsidR="00E11449" w:rsidRPr="00BB35AC">
        <w:rPr>
          <w:rFonts w:ascii="Times New Roman" w:hAnsi="Times New Roman"/>
        </w:rPr>
        <w:t>PBGC</w:t>
      </w:r>
      <w:r w:rsidRPr="00BB35AC">
        <w:rPr>
          <w:rFonts w:ascii="Times New Roman" w:hAnsi="Times New Roman"/>
        </w:rPr>
        <w:t xml:space="preserve"> for that event.  </w:t>
      </w:r>
    </w:p>
    <w:p w14:paraId="1C6F5DFA" w14:textId="77777777" w:rsidR="007E435F" w:rsidRDefault="00924C16">
      <w:pPr>
        <w:widowControl/>
        <w:spacing w:line="480" w:lineRule="auto"/>
        <w:ind w:firstLine="720"/>
        <w:rPr>
          <w:rFonts w:ascii="Times New Roman" w:hAnsi="Times New Roman"/>
        </w:rPr>
      </w:pPr>
      <w:r w:rsidRPr="00BB35AC">
        <w:rPr>
          <w:rFonts w:ascii="Times New Roman" w:hAnsi="Times New Roman"/>
        </w:rPr>
        <w:t xml:space="preserve">The actuarial reports called for by the regulation are routinely prepared for other purposes (but not otherwise routinely sent to </w:t>
      </w:r>
      <w:r w:rsidR="00E11449" w:rsidRPr="00BB35AC">
        <w:rPr>
          <w:rFonts w:ascii="Times New Roman" w:hAnsi="Times New Roman"/>
        </w:rPr>
        <w:t>PBGC</w:t>
      </w:r>
      <w:r w:rsidRPr="00BB35AC">
        <w:rPr>
          <w:rFonts w:ascii="Times New Roman" w:hAnsi="Times New Roman"/>
        </w:rPr>
        <w:t xml:space="preserve">).  Although information submitted by pension plans to the Internal Revenue Service is, in some cases, similar to information requested in this regulation, that information is not required to be filed with the IRS until seven months or more after the close of a plan year, and the IRS is therefore not a source of current data for evaluating a merger or transfer of assets and liabilities.  </w:t>
      </w:r>
    </w:p>
    <w:p w14:paraId="77750188" w14:textId="77777777"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5.  </w:t>
      </w:r>
      <w:r w:rsidRPr="00BB35AC">
        <w:rPr>
          <w:rFonts w:ascii="Times New Roman" w:hAnsi="Times New Roman"/>
          <w:u w:val="single"/>
        </w:rPr>
        <w:t>Reducing the burden on small entities.</w:t>
      </w:r>
      <w:r w:rsidRPr="00BB35AC">
        <w:rPr>
          <w:rFonts w:ascii="Times New Roman" w:hAnsi="Times New Roman"/>
        </w:rPr>
        <w:t xml:space="preserve">  Inapplicable.  </w:t>
      </w:r>
    </w:p>
    <w:p w14:paraId="5EC8A3B5" w14:textId="77777777" w:rsidR="00924C16" w:rsidRPr="00BB35AC" w:rsidRDefault="00924C16" w:rsidP="00A14157">
      <w:pPr>
        <w:widowControl/>
        <w:spacing w:line="480" w:lineRule="auto"/>
        <w:ind w:firstLine="720"/>
        <w:rPr>
          <w:rFonts w:ascii="Times New Roman" w:hAnsi="Times New Roman"/>
        </w:rPr>
      </w:pPr>
      <w:r w:rsidRPr="00BB35AC">
        <w:rPr>
          <w:rFonts w:ascii="Times New Roman" w:hAnsi="Times New Roman"/>
        </w:rPr>
        <w:t xml:space="preserve">6.  </w:t>
      </w:r>
      <w:r w:rsidRPr="00BB35AC">
        <w:rPr>
          <w:rFonts w:ascii="Times New Roman" w:hAnsi="Times New Roman"/>
          <w:u w:val="single"/>
        </w:rPr>
        <w:t>Consequence of reduced collection.</w:t>
      </w:r>
      <w:r w:rsidRPr="00BB35AC">
        <w:rPr>
          <w:rFonts w:ascii="Times New Roman" w:hAnsi="Times New Roman"/>
        </w:rPr>
        <w:t xml:space="preserve">  Submission of information under the regulation is required only upon the occurrence of a specified event (a merger or transfer between multiemployer plans) that is relatively uncommon and occurs only by choice of the plans involved.  If the information were not collected, </w:t>
      </w:r>
      <w:r w:rsidR="00E11449" w:rsidRPr="00BB35AC">
        <w:rPr>
          <w:rFonts w:ascii="Times New Roman" w:hAnsi="Times New Roman"/>
        </w:rPr>
        <w:t>PBGC</w:t>
      </w:r>
      <w:r w:rsidRPr="00BB35AC">
        <w:rPr>
          <w:rFonts w:ascii="Times New Roman" w:hAnsi="Times New Roman"/>
        </w:rPr>
        <w:t xml:space="preserve"> would be significantly hindered in the performance of its statutory duties and plan sponsors might be unable to obtain assurance that mergers and transfers met the requirements of section 4231 and the regulation.  </w:t>
      </w:r>
    </w:p>
    <w:p w14:paraId="523D46C5" w14:textId="77777777"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7.  </w:t>
      </w:r>
      <w:r w:rsidRPr="00BB35AC">
        <w:rPr>
          <w:rFonts w:ascii="Times New Roman" w:hAnsi="Times New Roman"/>
          <w:u w:val="single"/>
        </w:rPr>
        <w:t>Consistency with guidelines.</w:t>
      </w:r>
      <w:r w:rsidRPr="00BB35AC">
        <w:rPr>
          <w:rFonts w:ascii="Times New Roman" w:hAnsi="Times New Roman"/>
        </w:rPr>
        <w:t xml:space="preserve">  The information collection is not conducted in a manner inconsistent with 5 CFR </w:t>
      </w:r>
      <w:r w:rsidR="00691AD5">
        <w:rPr>
          <w:rFonts w:ascii="Times New Roman" w:hAnsi="Times New Roman"/>
        </w:rPr>
        <w:t>§</w:t>
      </w:r>
      <w:r w:rsidR="00691AD5" w:rsidRPr="00BB35AC">
        <w:rPr>
          <w:rFonts w:ascii="Times New Roman" w:hAnsi="Times New Roman"/>
        </w:rPr>
        <w:t> </w:t>
      </w:r>
      <w:r w:rsidRPr="00BB35AC">
        <w:rPr>
          <w:rFonts w:ascii="Times New Roman" w:hAnsi="Times New Roman"/>
        </w:rPr>
        <w:t xml:space="preserve">1320.5(d)(2).  </w:t>
      </w:r>
    </w:p>
    <w:p w14:paraId="13D0E29D" w14:textId="77777777" w:rsidR="001D1BCE" w:rsidRPr="00BB35AC" w:rsidRDefault="00924C16" w:rsidP="00AA3D65">
      <w:pPr>
        <w:widowControl/>
        <w:spacing w:line="480" w:lineRule="auto"/>
        <w:ind w:firstLine="720"/>
        <w:rPr>
          <w:rFonts w:ascii="Times New Roman" w:hAnsi="Times New Roman"/>
        </w:rPr>
      </w:pPr>
      <w:r w:rsidRPr="00BB35AC">
        <w:rPr>
          <w:rFonts w:ascii="Times New Roman" w:hAnsi="Times New Roman"/>
        </w:rPr>
        <w:t xml:space="preserve">8.  </w:t>
      </w:r>
      <w:r w:rsidRPr="00BB35AC">
        <w:rPr>
          <w:rFonts w:ascii="Times New Roman" w:hAnsi="Times New Roman"/>
          <w:u w:val="single"/>
        </w:rPr>
        <w:t>Outside input.</w:t>
      </w:r>
      <w:r w:rsidR="00DA18B2" w:rsidRPr="00BB35AC">
        <w:rPr>
          <w:rFonts w:ascii="Times New Roman" w:hAnsi="Times New Roman"/>
        </w:rPr>
        <w:t xml:space="preserve">  </w:t>
      </w:r>
      <w:r w:rsidR="006D36B3">
        <w:rPr>
          <w:rFonts w:ascii="Times New Roman" w:hAnsi="Times New Roman"/>
        </w:rPr>
        <w:t>On February 18, 2015, PBGC published in the Federal Register (80</w:t>
      </w:r>
      <w:r w:rsidR="00FD45A4">
        <w:rPr>
          <w:rFonts w:ascii="Times New Roman" w:hAnsi="Times New Roman"/>
        </w:rPr>
        <w:t> </w:t>
      </w:r>
      <w:r w:rsidR="006D36B3">
        <w:rPr>
          <w:rFonts w:ascii="Times New Roman" w:hAnsi="Times New Roman"/>
        </w:rPr>
        <w:t>FR</w:t>
      </w:r>
      <w:r w:rsidR="006B5117">
        <w:rPr>
          <w:rFonts w:ascii="Times New Roman" w:hAnsi="Times New Roman"/>
        </w:rPr>
        <w:t> </w:t>
      </w:r>
      <w:r w:rsidR="006D36B3">
        <w:rPr>
          <w:rFonts w:ascii="Times New Roman" w:hAnsi="Times New Roman"/>
        </w:rPr>
        <w:t>8712) a request for information (RFI) to solicit information on issues PBGC should consider for a proposed rule.  PBGC received 20 comments in response to the RFI.</w:t>
      </w:r>
      <w:r w:rsidR="006B5117" w:rsidRPr="006B5117">
        <w:rPr>
          <w:rStyle w:val="FootnoteReference"/>
          <w:rFonts w:ascii="Times New Roman" w:hAnsi="Times New Roman"/>
          <w:vertAlign w:val="superscript"/>
        </w:rPr>
        <w:footnoteReference w:id="4"/>
      </w:r>
      <w:r w:rsidR="006D36B3">
        <w:rPr>
          <w:rFonts w:ascii="Times New Roman" w:hAnsi="Times New Roman"/>
        </w:rPr>
        <w:t xml:space="preserve">  </w:t>
      </w:r>
      <w:r w:rsidR="00AE7BEB" w:rsidRPr="000357A0">
        <w:rPr>
          <w:rFonts w:ascii="Times New Roman" w:hAnsi="Times New Roman"/>
        </w:rPr>
        <w:t xml:space="preserve">On </w:t>
      </w:r>
      <w:r w:rsidR="006D36B3">
        <w:rPr>
          <w:rFonts w:ascii="Times New Roman" w:hAnsi="Times New Roman"/>
        </w:rPr>
        <w:t>June</w:t>
      </w:r>
      <w:r w:rsidR="006B5117">
        <w:rPr>
          <w:rFonts w:ascii="Times New Roman" w:hAnsi="Times New Roman"/>
        </w:rPr>
        <w:t> </w:t>
      </w:r>
      <w:r w:rsidR="006D36B3">
        <w:rPr>
          <w:rFonts w:ascii="Times New Roman" w:hAnsi="Times New Roman"/>
        </w:rPr>
        <w:t>6,</w:t>
      </w:r>
      <w:r w:rsidR="006B5117">
        <w:rPr>
          <w:rFonts w:ascii="Times New Roman" w:hAnsi="Times New Roman"/>
        </w:rPr>
        <w:t> </w:t>
      </w:r>
      <w:r w:rsidR="006D36B3">
        <w:rPr>
          <w:rFonts w:ascii="Times New Roman" w:hAnsi="Times New Roman"/>
        </w:rPr>
        <w:t>2016</w:t>
      </w:r>
      <w:r w:rsidR="00AE7BEB" w:rsidRPr="000357A0">
        <w:rPr>
          <w:rFonts w:ascii="Times New Roman" w:hAnsi="Times New Roman"/>
        </w:rPr>
        <w:t xml:space="preserve">, </w:t>
      </w:r>
      <w:r w:rsidR="00D823E5" w:rsidRPr="001620C0">
        <w:rPr>
          <w:rFonts w:ascii="Times New Roman" w:hAnsi="Times New Roman"/>
        </w:rPr>
        <w:t>PBGC published</w:t>
      </w:r>
      <w:r w:rsidR="006D36B3">
        <w:rPr>
          <w:rFonts w:ascii="Times New Roman" w:hAnsi="Times New Roman"/>
        </w:rPr>
        <w:t xml:space="preserve"> </w:t>
      </w:r>
      <w:r w:rsidR="006D36B3" w:rsidRPr="000357A0">
        <w:rPr>
          <w:rFonts w:ascii="Times New Roman" w:hAnsi="Times New Roman"/>
        </w:rPr>
        <w:t>(8</w:t>
      </w:r>
      <w:r w:rsidR="006D36B3">
        <w:rPr>
          <w:rFonts w:ascii="Times New Roman" w:hAnsi="Times New Roman"/>
        </w:rPr>
        <w:t>1</w:t>
      </w:r>
      <w:r w:rsidR="006D36B3" w:rsidRPr="000357A0">
        <w:rPr>
          <w:rFonts w:ascii="Times New Roman" w:hAnsi="Times New Roman"/>
        </w:rPr>
        <w:t xml:space="preserve"> FR </w:t>
      </w:r>
      <w:r w:rsidR="006D36B3">
        <w:rPr>
          <w:rFonts w:ascii="Times New Roman" w:hAnsi="Times New Roman"/>
        </w:rPr>
        <w:t>36229</w:t>
      </w:r>
      <w:r w:rsidR="006D36B3" w:rsidRPr="000357A0">
        <w:rPr>
          <w:rFonts w:ascii="Times New Roman" w:hAnsi="Times New Roman"/>
        </w:rPr>
        <w:t>)</w:t>
      </w:r>
      <w:r w:rsidR="006D36B3">
        <w:rPr>
          <w:rFonts w:ascii="Times New Roman" w:hAnsi="Times New Roman"/>
        </w:rPr>
        <w:t xml:space="preserve"> a proposed rule to amend its regulation on Mergers and Transfers Between Multiemployer Plans</w:t>
      </w:r>
      <w:r w:rsidR="00D823E5" w:rsidRPr="001620C0">
        <w:rPr>
          <w:rFonts w:ascii="Times New Roman" w:hAnsi="Times New Roman"/>
        </w:rPr>
        <w:t xml:space="preserve"> </w:t>
      </w:r>
      <w:r w:rsidR="00E92363">
        <w:rPr>
          <w:rFonts w:ascii="Times New Roman" w:hAnsi="Times New Roman"/>
        </w:rPr>
        <w:t xml:space="preserve">to </w:t>
      </w:r>
      <w:r w:rsidR="00AE7BEB" w:rsidRPr="000357A0">
        <w:rPr>
          <w:rFonts w:ascii="Times New Roman" w:hAnsi="Times New Roman"/>
        </w:rPr>
        <w:t xml:space="preserve">solicit </w:t>
      </w:r>
      <w:r w:rsidR="006D36B3">
        <w:rPr>
          <w:rFonts w:ascii="Times New Roman" w:hAnsi="Times New Roman"/>
        </w:rPr>
        <w:t>comments</w:t>
      </w:r>
      <w:r w:rsidR="00AE7BEB" w:rsidRPr="000357A0">
        <w:rPr>
          <w:rFonts w:ascii="Times New Roman" w:hAnsi="Times New Roman"/>
        </w:rPr>
        <w:t xml:space="preserve"> from interested parties.</w:t>
      </w:r>
      <w:r w:rsidR="006D36B3">
        <w:rPr>
          <w:rFonts w:ascii="Times New Roman" w:hAnsi="Times New Roman"/>
        </w:rPr>
        <w:t xml:space="preserve">  PBGC provided a 60-day comment period for the proposed rule and received 10 comments</w:t>
      </w:r>
      <w:r w:rsidR="00095476">
        <w:rPr>
          <w:rFonts w:ascii="Times New Roman" w:hAnsi="Times New Roman"/>
        </w:rPr>
        <w:t>.</w:t>
      </w:r>
      <w:r w:rsidR="006B5117" w:rsidRPr="006B5117">
        <w:rPr>
          <w:rStyle w:val="FootnoteReference"/>
          <w:rFonts w:ascii="Times New Roman" w:hAnsi="Times New Roman"/>
          <w:vertAlign w:val="superscript"/>
        </w:rPr>
        <w:footnoteReference w:id="5"/>
      </w:r>
      <w:r w:rsidR="00AE7BEB" w:rsidRPr="000357A0">
        <w:rPr>
          <w:rFonts w:ascii="Times New Roman" w:hAnsi="Times New Roman"/>
        </w:rPr>
        <w:t xml:space="preserve">  Th</w:t>
      </w:r>
      <w:r w:rsidR="008E58A5">
        <w:rPr>
          <w:rFonts w:ascii="Times New Roman" w:hAnsi="Times New Roman"/>
        </w:rPr>
        <w:t>e</w:t>
      </w:r>
      <w:r w:rsidR="00AE7BEB" w:rsidRPr="000357A0">
        <w:rPr>
          <w:rFonts w:ascii="Times New Roman" w:hAnsi="Times New Roman"/>
        </w:rPr>
        <w:t xml:space="preserve"> </w:t>
      </w:r>
      <w:r w:rsidR="00095476">
        <w:rPr>
          <w:rFonts w:ascii="Times New Roman" w:hAnsi="Times New Roman"/>
        </w:rPr>
        <w:t>final</w:t>
      </w:r>
      <w:r w:rsidR="00AE7BEB" w:rsidRPr="000357A0">
        <w:rPr>
          <w:rFonts w:ascii="Times New Roman" w:hAnsi="Times New Roman"/>
        </w:rPr>
        <w:t xml:space="preserve"> rule </w:t>
      </w:r>
      <w:r w:rsidR="008E58A5">
        <w:rPr>
          <w:rFonts w:ascii="Times New Roman" w:hAnsi="Times New Roman"/>
        </w:rPr>
        <w:t xml:space="preserve">discusses comments on issues relating to the merger regulation and </w:t>
      </w:r>
      <w:r w:rsidR="00AE7BEB" w:rsidRPr="000357A0">
        <w:rPr>
          <w:rFonts w:ascii="Times New Roman" w:hAnsi="Times New Roman"/>
        </w:rPr>
        <w:t xml:space="preserve">reflects public input on facilitated </w:t>
      </w:r>
      <w:r w:rsidR="008E58A5">
        <w:rPr>
          <w:rFonts w:ascii="Times New Roman" w:hAnsi="Times New Roman"/>
        </w:rPr>
        <w:t>mergers</w:t>
      </w:r>
      <w:r w:rsidR="00AE7BEB" w:rsidRPr="000357A0">
        <w:rPr>
          <w:rFonts w:ascii="Times New Roman" w:hAnsi="Times New Roman"/>
        </w:rPr>
        <w:t>.</w:t>
      </w:r>
      <w:r w:rsidR="00E03C6F">
        <w:rPr>
          <w:rFonts w:ascii="Times New Roman" w:hAnsi="Times New Roman"/>
        </w:rPr>
        <w:t xml:space="preserve"> </w:t>
      </w:r>
    </w:p>
    <w:p w14:paraId="4F925BDA" w14:textId="77777777"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9.  </w:t>
      </w:r>
      <w:r w:rsidRPr="00BB35AC">
        <w:rPr>
          <w:rFonts w:ascii="Times New Roman" w:hAnsi="Times New Roman"/>
          <w:u w:val="single"/>
        </w:rPr>
        <w:t>Payment to respondents.</w:t>
      </w:r>
      <w:r w:rsidRPr="00BB35AC">
        <w:rPr>
          <w:rFonts w:ascii="Times New Roman" w:hAnsi="Times New Roman"/>
        </w:rPr>
        <w:t xml:space="preserve">  </w:t>
      </w:r>
      <w:r w:rsidR="00E11449" w:rsidRPr="00BB35AC">
        <w:rPr>
          <w:rFonts w:ascii="Times New Roman" w:hAnsi="Times New Roman"/>
        </w:rPr>
        <w:t>PBGC</w:t>
      </w:r>
      <w:r w:rsidRPr="00BB35AC">
        <w:rPr>
          <w:rFonts w:ascii="Times New Roman" w:hAnsi="Times New Roman"/>
        </w:rPr>
        <w:t xml:space="preserve"> provides no payments or gifts to respondents in connection with this collection of information.  </w:t>
      </w:r>
    </w:p>
    <w:p w14:paraId="3CDAAA97" w14:textId="77777777"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10.  </w:t>
      </w:r>
      <w:r w:rsidRPr="00BB35AC">
        <w:rPr>
          <w:rFonts w:ascii="Times New Roman" w:hAnsi="Times New Roman"/>
          <w:u w:val="single"/>
        </w:rPr>
        <w:t>Confidentiality.</w:t>
      </w:r>
      <w:r w:rsidRPr="00BB35AC">
        <w:rPr>
          <w:rFonts w:ascii="Times New Roman" w:hAnsi="Times New Roman"/>
        </w:rPr>
        <w:t xml:space="preserve">  The regulation gives no assurance of confidentiality, but information submitted to </w:t>
      </w:r>
      <w:r w:rsidR="00E11449" w:rsidRPr="00BB35AC">
        <w:rPr>
          <w:rFonts w:ascii="Times New Roman" w:hAnsi="Times New Roman"/>
        </w:rPr>
        <w:t>PBGC</w:t>
      </w:r>
      <w:r w:rsidRPr="00BB35AC">
        <w:rPr>
          <w:rFonts w:ascii="Times New Roman" w:hAnsi="Times New Roman"/>
        </w:rPr>
        <w:t xml:space="preserve"> under the regulation is accessible only in accordance with applicable law and regulations.  </w:t>
      </w:r>
      <w:r w:rsidR="00E11449" w:rsidRPr="00BB35AC">
        <w:rPr>
          <w:rFonts w:ascii="Times New Roman" w:hAnsi="Times New Roman"/>
        </w:rPr>
        <w:t>PBGC</w:t>
      </w:r>
      <w:r w:rsidR="00E869F9">
        <w:rPr>
          <w:rFonts w:ascii="Times New Roman" w:hAnsi="Times New Roman"/>
        </w:rPr>
        <w:t>’</w:t>
      </w:r>
      <w:r w:rsidRPr="00BB35AC">
        <w:rPr>
          <w:rFonts w:ascii="Times New Roman" w:hAnsi="Times New Roman"/>
        </w:rPr>
        <w:t>s rules providing and restricting access to its r</w:t>
      </w:r>
      <w:r w:rsidR="00A86DF6">
        <w:rPr>
          <w:rFonts w:ascii="Times New Roman" w:hAnsi="Times New Roman"/>
        </w:rPr>
        <w:t>ecords are set forth in 29 </w:t>
      </w:r>
      <w:r w:rsidR="00227886">
        <w:rPr>
          <w:rFonts w:ascii="Times New Roman" w:hAnsi="Times New Roman"/>
        </w:rPr>
        <w:t>CFR p</w:t>
      </w:r>
      <w:r w:rsidR="00A86DF6">
        <w:rPr>
          <w:rFonts w:ascii="Times New Roman" w:hAnsi="Times New Roman"/>
        </w:rPr>
        <w:t>art </w:t>
      </w:r>
      <w:r w:rsidRPr="00BB35AC">
        <w:rPr>
          <w:rFonts w:ascii="Times New Roman" w:hAnsi="Times New Roman"/>
        </w:rPr>
        <w:t xml:space="preserve">4901.  </w:t>
      </w:r>
    </w:p>
    <w:p w14:paraId="2BCF2804" w14:textId="77777777" w:rsidR="002E1D19" w:rsidRPr="00BB35AC" w:rsidRDefault="00924C16">
      <w:pPr>
        <w:widowControl/>
        <w:spacing w:line="480" w:lineRule="auto"/>
        <w:ind w:firstLine="720"/>
        <w:rPr>
          <w:rFonts w:ascii="Times New Roman" w:hAnsi="Times New Roman"/>
        </w:rPr>
      </w:pPr>
      <w:r w:rsidRPr="00BB35AC">
        <w:rPr>
          <w:rFonts w:ascii="Times New Roman" w:hAnsi="Times New Roman"/>
        </w:rPr>
        <w:t xml:space="preserve">11.  </w:t>
      </w:r>
      <w:r w:rsidRPr="00BB35AC">
        <w:rPr>
          <w:rFonts w:ascii="Times New Roman" w:hAnsi="Times New Roman"/>
          <w:u w:val="single"/>
        </w:rPr>
        <w:t>Personal questions.</w:t>
      </w:r>
      <w:r w:rsidRPr="00BB35AC">
        <w:rPr>
          <w:rFonts w:ascii="Times New Roman" w:hAnsi="Times New Roman"/>
        </w:rPr>
        <w:t xml:space="preserve">  The regulation does not call for submission of information of a sensitive nature.  </w:t>
      </w:r>
    </w:p>
    <w:p w14:paraId="453EEE08" w14:textId="77777777" w:rsidR="00095476" w:rsidRDefault="00924C16" w:rsidP="004F4769">
      <w:pPr>
        <w:widowControl/>
        <w:spacing w:line="480" w:lineRule="auto"/>
        <w:ind w:firstLine="720"/>
        <w:rPr>
          <w:rFonts w:ascii="Times New Roman" w:hAnsi="Times New Roman"/>
        </w:rPr>
      </w:pPr>
      <w:r w:rsidRPr="00BB35AC">
        <w:rPr>
          <w:rFonts w:ascii="Times New Roman" w:hAnsi="Times New Roman"/>
        </w:rPr>
        <w:t xml:space="preserve">12.  </w:t>
      </w:r>
      <w:r w:rsidRPr="00BB35AC">
        <w:rPr>
          <w:rFonts w:ascii="Times New Roman" w:hAnsi="Times New Roman"/>
          <w:u w:val="single"/>
        </w:rPr>
        <w:t>Hour burden on the public.</w:t>
      </w:r>
      <w:r w:rsidRPr="00BB35AC">
        <w:rPr>
          <w:rFonts w:ascii="Times New Roman" w:hAnsi="Times New Roman"/>
        </w:rPr>
        <w:t xml:space="preserve">  </w:t>
      </w:r>
      <w:r w:rsidR="00E11449" w:rsidRPr="00BB35AC">
        <w:rPr>
          <w:rFonts w:ascii="Times New Roman" w:hAnsi="Times New Roman"/>
        </w:rPr>
        <w:t>PBGC</w:t>
      </w:r>
      <w:r w:rsidRPr="00BB35AC">
        <w:rPr>
          <w:rFonts w:ascii="Times New Roman" w:hAnsi="Times New Roman"/>
        </w:rPr>
        <w:t xml:space="preserve"> estimates that submi</w:t>
      </w:r>
      <w:r w:rsidR="00EC4147" w:rsidRPr="00BB35AC">
        <w:rPr>
          <w:rFonts w:ascii="Times New Roman" w:hAnsi="Times New Roman"/>
        </w:rPr>
        <w:t xml:space="preserve">ssions will be made for about </w:t>
      </w:r>
      <w:r w:rsidR="00DD2A95">
        <w:rPr>
          <w:rFonts w:ascii="Times New Roman" w:hAnsi="Times New Roman"/>
        </w:rPr>
        <w:t>14</w:t>
      </w:r>
      <w:r w:rsidRPr="00BB35AC">
        <w:rPr>
          <w:rFonts w:ascii="Times New Roman" w:hAnsi="Times New Roman"/>
        </w:rPr>
        <w:t xml:space="preserve"> transactions each year</w:t>
      </w:r>
      <w:r w:rsidR="007C691C">
        <w:rPr>
          <w:rFonts w:ascii="Times New Roman" w:hAnsi="Times New Roman"/>
        </w:rPr>
        <w:t xml:space="preserve"> (excluding financial assistance mergers)</w:t>
      </w:r>
      <w:r w:rsidR="00DD2A95">
        <w:rPr>
          <w:rFonts w:ascii="Times New Roman" w:hAnsi="Times New Roman"/>
        </w:rPr>
        <w:t xml:space="preserve">, with no more than </w:t>
      </w:r>
      <w:r w:rsidR="008E7D21">
        <w:rPr>
          <w:rFonts w:ascii="Times New Roman" w:hAnsi="Times New Roman"/>
        </w:rPr>
        <w:t>5</w:t>
      </w:r>
      <w:r w:rsidR="000A24AB">
        <w:rPr>
          <w:rFonts w:ascii="Times New Roman" w:hAnsi="Times New Roman"/>
        </w:rPr>
        <w:t xml:space="preserve"> of the transactio</w:t>
      </w:r>
      <w:r w:rsidR="00DD2A95">
        <w:rPr>
          <w:rFonts w:ascii="Times New Roman" w:hAnsi="Times New Roman"/>
        </w:rPr>
        <w:t>ns involving complex mergers, transfers, and significantly affected plans</w:t>
      </w:r>
      <w:r w:rsidR="00095476">
        <w:rPr>
          <w:rFonts w:ascii="Times New Roman" w:hAnsi="Times New Roman"/>
        </w:rPr>
        <w:t xml:space="preserve">.  </w:t>
      </w:r>
      <w:r w:rsidR="00E11449" w:rsidRPr="00BB35AC">
        <w:rPr>
          <w:rFonts w:ascii="Times New Roman" w:hAnsi="Times New Roman"/>
        </w:rPr>
        <w:t>PBGC</w:t>
      </w:r>
      <w:r w:rsidRPr="00BB35AC">
        <w:rPr>
          <w:rFonts w:ascii="Times New Roman" w:hAnsi="Times New Roman"/>
        </w:rPr>
        <w:t xml:space="preserve"> </w:t>
      </w:r>
      <w:r w:rsidR="00DD2A95">
        <w:rPr>
          <w:rFonts w:ascii="Times New Roman" w:hAnsi="Times New Roman"/>
        </w:rPr>
        <w:t xml:space="preserve">further </w:t>
      </w:r>
      <w:r w:rsidRPr="00BB35AC">
        <w:rPr>
          <w:rFonts w:ascii="Times New Roman" w:hAnsi="Times New Roman"/>
        </w:rPr>
        <w:t xml:space="preserve">estimates that </w:t>
      </w:r>
      <w:r w:rsidR="00C11B47">
        <w:rPr>
          <w:rFonts w:ascii="Times New Roman" w:hAnsi="Times New Roman"/>
        </w:rPr>
        <w:t xml:space="preserve">for transactions other than financial assisted mergers, </w:t>
      </w:r>
      <w:r w:rsidR="00314706">
        <w:rPr>
          <w:rFonts w:ascii="Times New Roman" w:hAnsi="Times New Roman"/>
        </w:rPr>
        <w:t xml:space="preserve">the </w:t>
      </w:r>
      <w:r w:rsidR="00DD2A95">
        <w:rPr>
          <w:rFonts w:ascii="Times New Roman" w:hAnsi="Times New Roman"/>
        </w:rPr>
        <w:t xml:space="preserve">hour burden of this information collection </w:t>
      </w:r>
      <w:r w:rsidR="00F33A26">
        <w:rPr>
          <w:rFonts w:ascii="Times New Roman" w:hAnsi="Times New Roman"/>
        </w:rPr>
        <w:t xml:space="preserve">for </w:t>
      </w:r>
      <w:r w:rsidR="00314706">
        <w:rPr>
          <w:rFonts w:ascii="Times New Roman" w:hAnsi="Times New Roman"/>
        </w:rPr>
        <w:t xml:space="preserve">personnel to compile merger and transaction information </w:t>
      </w:r>
      <w:r w:rsidR="00DD2A95">
        <w:rPr>
          <w:rFonts w:ascii="Times New Roman" w:hAnsi="Times New Roman"/>
        </w:rPr>
        <w:t xml:space="preserve">will be: </w:t>
      </w:r>
      <w:r w:rsidR="00FD72D2">
        <w:rPr>
          <w:rFonts w:ascii="Times New Roman" w:hAnsi="Times New Roman"/>
        </w:rPr>
        <w:t>4.</w:t>
      </w:r>
      <w:r w:rsidR="002655AC">
        <w:rPr>
          <w:rFonts w:ascii="Times New Roman" w:hAnsi="Times New Roman"/>
        </w:rPr>
        <w:t xml:space="preserve">50 </w:t>
      </w:r>
      <w:r w:rsidR="00FD72D2">
        <w:rPr>
          <w:rFonts w:ascii="Times New Roman" w:hAnsi="Times New Roman"/>
        </w:rPr>
        <w:t>hours (30 minutes x 9</w:t>
      </w:r>
      <w:r w:rsidR="00F33A26">
        <w:rPr>
          <w:rFonts w:ascii="Times New Roman" w:hAnsi="Times New Roman"/>
        </w:rPr>
        <w:t xml:space="preserve"> notices) for notices relating to merge</w:t>
      </w:r>
      <w:r w:rsidR="00314706">
        <w:rPr>
          <w:rFonts w:ascii="Times New Roman" w:hAnsi="Times New Roman"/>
        </w:rPr>
        <w:t>rs of</w:t>
      </w:r>
      <w:r w:rsidR="008E7D21">
        <w:rPr>
          <w:rFonts w:ascii="Times New Roman" w:hAnsi="Times New Roman"/>
        </w:rPr>
        <w:t xml:space="preserve"> 2</w:t>
      </w:r>
      <w:r w:rsidR="00314706">
        <w:rPr>
          <w:rFonts w:ascii="Times New Roman" w:hAnsi="Times New Roman"/>
        </w:rPr>
        <w:t xml:space="preserve"> plans and </w:t>
      </w:r>
      <w:r w:rsidR="008E7D21">
        <w:rPr>
          <w:rFonts w:ascii="Times New Roman" w:hAnsi="Times New Roman"/>
        </w:rPr>
        <w:t>5</w:t>
      </w:r>
      <w:r w:rsidR="00314706">
        <w:rPr>
          <w:rFonts w:ascii="Times New Roman" w:hAnsi="Times New Roman"/>
        </w:rPr>
        <w:t xml:space="preserve"> </w:t>
      </w:r>
      <w:r w:rsidR="00FD72D2">
        <w:rPr>
          <w:rFonts w:ascii="Times New Roman" w:hAnsi="Times New Roman"/>
        </w:rPr>
        <w:t>hours (1.0</w:t>
      </w:r>
      <w:r w:rsidR="00F33A26">
        <w:rPr>
          <w:rFonts w:ascii="Times New Roman" w:hAnsi="Times New Roman"/>
        </w:rPr>
        <w:t xml:space="preserve"> hour x </w:t>
      </w:r>
      <w:r w:rsidR="00FD72D2">
        <w:rPr>
          <w:rFonts w:ascii="Times New Roman" w:hAnsi="Times New Roman"/>
        </w:rPr>
        <w:t>5</w:t>
      </w:r>
      <w:r w:rsidR="00314706">
        <w:rPr>
          <w:rFonts w:ascii="Times New Roman" w:hAnsi="Times New Roman"/>
        </w:rPr>
        <w:t xml:space="preserve"> notices) for notices relating to </w:t>
      </w:r>
      <w:r w:rsidR="00F33A26">
        <w:rPr>
          <w:rFonts w:ascii="Times New Roman" w:hAnsi="Times New Roman"/>
        </w:rPr>
        <w:t>other transactions.</w:t>
      </w:r>
    </w:p>
    <w:p w14:paraId="1A3E74D0" w14:textId="77777777" w:rsidR="00C11B47" w:rsidRDefault="007C691C" w:rsidP="004F4769">
      <w:pPr>
        <w:widowControl/>
        <w:spacing w:line="480" w:lineRule="auto"/>
        <w:ind w:firstLine="720"/>
        <w:rPr>
          <w:rFonts w:ascii="Times New Roman" w:hAnsi="Times New Roman"/>
        </w:rPr>
      </w:pPr>
      <w:r>
        <w:rPr>
          <w:rFonts w:ascii="Times New Roman" w:hAnsi="Times New Roman"/>
        </w:rPr>
        <w:t xml:space="preserve">For purposes of determining the information collection burden </w:t>
      </w:r>
      <w:r w:rsidR="00C20BD9">
        <w:rPr>
          <w:rFonts w:ascii="Times New Roman" w:hAnsi="Times New Roman"/>
        </w:rPr>
        <w:t>for financial assistance mergers</w:t>
      </w:r>
      <w:r>
        <w:rPr>
          <w:rFonts w:ascii="Times New Roman" w:hAnsi="Times New Roman"/>
        </w:rPr>
        <w:t xml:space="preserve">, PBGC assumes that it will receive </w:t>
      </w:r>
      <w:r w:rsidR="00BB2752">
        <w:rPr>
          <w:rFonts w:ascii="Times New Roman" w:hAnsi="Times New Roman"/>
        </w:rPr>
        <w:t>six</w:t>
      </w:r>
      <w:r>
        <w:rPr>
          <w:rFonts w:ascii="Times New Roman" w:hAnsi="Times New Roman"/>
        </w:rPr>
        <w:t xml:space="preserve"> </w:t>
      </w:r>
      <w:r w:rsidR="00BB2752">
        <w:rPr>
          <w:rFonts w:ascii="Times New Roman" w:hAnsi="Times New Roman"/>
        </w:rPr>
        <w:t>request</w:t>
      </w:r>
      <w:r>
        <w:rPr>
          <w:rFonts w:ascii="Times New Roman" w:hAnsi="Times New Roman"/>
        </w:rPr>
        <w:t>s for financial assistance merger</w:t>
      </w:r>
      <w:r w:rsidR="009963BF">
        <w:rPr>
          <w:rFonts w:ascii="Times New Roman" w:hAnsi="Times New Roman"/>
        </w:rPr>
        <w:t>s</w:t>
      </w:r>
      <w:r w:rsidR="00BB2752">
        <w:rPr>
          <w:rFonts w:ascii="Times New Roman" w:hAnsi="Times New Roman"/>
        </w:rPr>
        <w:t xml:space="preserve"> per year</w:t>
      </w:r>
      <w:r>
        <w:rPr>
          <w:rFonts w:ascii="Times New Roman" w:hAnsi="Times New Roman"/>
        </w:rPr>
        <w:t>.</w:t>
      </w:r>
      <w:r w:rsidRPr="00E526A9">
        <w:rPr>
          <w:rStyle w:val="FootnoteReference"/>
          <w:rFonts w:ascii="Times New Roman" w:hAnsi="Times New Roman"/>
          <w:sz w:val="20"/>
          <w:vertAlign w:val="superscript"/>
        </w:rPr>
        <w:footnoteReference w:id="6"/>
      </w:r>
      <w:r>
        <w:rPr>
          <w:rFonts w:ascii="Times New Roman" w:hAnsi="Times New Roman"/>
        </w:rPr>
        <w:t xml:space="preserve">  </w:t>
      </w:r>
      <w:r w:rsidR="00C11B47">
        <w:rPr>
          <w:rFonts w:ascii="Times New Roman" w:hAnsi="Times New Roman"/>
        </w:rPr>
        <w:t xml:space="preserve">PBGC estimates the hour burden for personnel to compile </w:t>
      </w:r>
      <w:r w:rsidR="009963BF">
        <w:rPr>
          <w:rFonts w:ascii="Times New Roman" w:hAnsi="Times New Roman"/>
        </w:rPr>
        <w:t xml:space="preserve">the required </w:t>
      </w:r>
      <w:r w:rsidR="00C11B47">
        <w:rPr>
          <w:rFonts w:ascii="Times New Roman" w:hAnsi="Times New Roman"/>
        </w:rPr>
        <w:t xml:space="preserve">merger information will be 60 hours (10 hours x 6 </w:t>
      </w:r>
      <w:r w:rsidR="00BB2752">
        <w:rPr>
          <w:rFonts w:ascii="Times New Roman" w:hAnsi="Times New Roman"/>
        </w:rPr>
        <w:t>request</w:t>
      </w:r>
      <w:r w:rsidR="00C11B47">
        <w:rPr>
          <w:rFonts w:ascii="Times New Roman" w:hAnsi="Times New Roman"/>
        </w:rPr>
        <w:t>s).</w:t>
      </w:r>
    </w:p>
    <w:p w14:paraId="6914031C" w14:textId="77777777" w:rsidR="00C11B47" w:rsidRDefault="00FD72D2" w:rsidP="00C9027F">
      <w:pPr>
        <w:widowControl/>
        <w:spacing w:line="480" w:lineRule="auto"/>
        <w:ind w:firstLine="720"/>
        <w:rPr>
          <w:rFonts w:ascii="Times New Roman" w:hAnsi="Times New Roman"/>
        </w:rPr>
      </w:pPr>
      <w:r>
        <w:rPr>
          <w:rFonts w:ascii="Times New Roman" w:hAnsi="Times New Roman"/>
        </w:rPr>
        <w:t xml:space="preserve">The total hour burden of this collection of information </w:t>
      </w:r>
      <w:r w:rsidR="00BB2752">
        <w:rPr>
          <w:rFonts w:ascii="Times New Roman" w:hAnsi="Times New Roman"/>
        </w:rPr>
        <w:t xml:space="preserve">for 20 </w:t>
      </w:r>
      <w:r w:rsidR="002C13D6">
        <w:rPr>
          <w:rFonts w:ascii="Times New Roman" w:hAnsi="Times New Roman"/>
        </w:rPr>
        <w:t>transaction</w:t>
      </w:r>
      <w:r w:rsidR="00BB2752">
        <w:rPr>
          <w:rFonts w:ascii="Times New Roman" w:hAnsi="Times New Roman"/>
        </w:rPr>
        <w:t xml:space="preserve">s (14 + 6) </w:t>
      </w:r>
      <w:r>
        <w:rPr>
          <w:rFonts w:ascii="Times New Roman" w:hAnsi="Times New Roman"/>
        </w:rPr>
        <w:t xml:space="preserve">will be </w:t>
      </w:r>
      <w:r w:rsidR="007C691C">
        <w:rPr>
          <w:rFonts w:ascii="Times New Roman" w:hAnsi="Times New Roman"/>
        </w:rPr>
        <w:t xml:space="preserve">approximately </w:t>
      </w:r>
      <w:r w:rsidR="00C11B47">
        <w:rPr>
          <w:rFonts w:ascii="Times New Roman" w:hAnsi="Times New Roman"/>
        </w:rPr>
        <w:t>70</w:t>
      </w:r>
      <w:r>
        <w:rPr>
          <w:rFonts w:ascii="Times New Roman" w:hAnsi="Times New Roman"/>
        </w:rPr>
        <w:t xml:space="preserve"> hours</w:t>
      </w:r>
      <w:r w:rsidR="008E7D21">
        <w:rPr>
          <w:rFonts w:ascii="Times New Roman" w:hAnsi="Times New Roman"/>
        </w:rPr>
        <w:t xml:space="preserve"> (4.5 + 5.0 +</w:t>
      </w:r>
      <w:r w:rsidR="0022252C">
        <w:rPr>
          <w:rFonts w:ascii="Times New Roman" w:hAnsi="Times New Roman"/>
        </w:rPr>
        <w:t xml:space="preserve"> </w:t>
      </w:r>
      <w:r w:rsidR="008E7D21">
        <w:rPr>
          <w:rFonts w:ascii="Times New Roman" w:hAnsi="Times New Roman"/>
        </w:rPr>
        <w:t>60)</w:t>
      </w:r>
      <w:r>
        <w:rPr>
          <w:rFonts w:ascii="Times New Roman" w:hAnsi="Times New Roman"/>
        </w:rPr>
        <w:t xml:space="preserve">.  </w:t>
      </w:r>
      <w:r w:rsidR="00314706">
        <w:rPr>
          <w:rFonts w:ascii="Times New Roman" w:hAnsi="Times New Roman"/>
        </w:rPr>
        <w:t>The estimated dollar equivalent of this hour burden, based on an assumed blended hourly rate of $75 for administrative, clerical, and supervisory time</w:t>
      </w:r>
      <w:r w:rsidR="001A19A0">
        <w:rPr>
          <w:rFonts w:ascii="Times New Roman" w:hAnsi="Times New Roman"/>
        </w:rPr>
        <w:t>,</w:t>
      </w:r>
      <w:r w:rsidR="00314706">
        <w:rPr>
          <w:rFonts w:ascii="Times New Roman" w:hAnsi="Times New Roman"/>
        </w:rPr>
        <w:t xml:space="preserve"> is $</w:t>
      </w:r>
      <w:r w:rsidR="00C11B47">
        <w:rPr>
          <w:rFonts w:ascii="Times New Roman" w:hAnsi="Times New Roman"/>
        </w:rPr>
        <w:t>5,250</w:t>
      </w:r>
      <w:r w:rsidR="00314706">
        <w:rPr>
          <w:rFonts w:ascii="Times New Roman" w:hAnsi="Times New Roman"/>
        </w:rPr>
        <w:t>.</w:t>
      </w:r>
      <w:r w:rsidR="00C946F9">
        <w:rPr>
          <w:rFonts w:ascii="Times New Roman" w:hAnsi="Times New Roman"/>
        </w:rPr>
        <w:t xml:space="preserve"> </w:t>
      </w:r>
    </w:p>
    <w:p w14:paraId="3FC8482D" w14:textId="77777777" w:rsidR="007C691C" w:rsidRDefault="00924C16" w:rsidP="00C946F9">
      <w:pPr>
        <w:widowControl/>
        <w:spacing w:line="480" w:lineRule="auto"/>
        <w:ind w:firstLine="720"/>
        <w:rPr>
          <w:rFonts w:ascii="Times New Roman" w:hAnsi="Times New Roman"/>
        </w:rPr>
      </w:pPr>
      <w:r w:rsidRPr="00BB35AC">
        <w:rPr>
          <w:rFonts w:ascii="Times New Roman" w:hAnsi="Times New Roman"/>
        </w:rPr>
        <w:t xml:space="preserve">13.  </w:t>
      </w:r>
      <w:r w:rsidRPr="00BB35AC">
        <w:rPr>
          <w:rFonts w:ascii="Times New Roman" w:hAnsi="Times New Roman"/>
          <w:u w:val="single"/>
        </w:rPr>
        <w:t>Cost burden on the public.</w:t>
      </w:r>
      <w:r w:rsidRPr="00BB35AC">
        <w:rPr>
          <w:rFonts w:ascii="Times New Roman" w:hAnsi="Times New Roman"/>
        </w:rPr>
        <w:t xml:space="preserve">  </w:t>
      </w:r>
      <w:r w:rsidR="00730D90">
        <w:rPr>
          <w:rFonts w:ascii="Times New Roman" w:hAnsi="Times New Roman"/>
        </w:rPr>
        <w:t>V</w:t>
      </w:r>
      <w:r w:rsidR="00FD72D2" w:rsidRPr="00BB35AC">
        <w:rPr>
          <w:rFonts w:ascii="Times New Roman" w:hAnsi="Times New Roman"/>
        </w:rPr>
        <w:t>irtually all of the professional s</w:t>
      </w:r>
      <w:r w:rsidR="00FD72D2">
        <w:rPr>
          <w:rFonts w:ascii="Times New Roman" w:hAnsi="Times New Roman"/>
        </w:rPr>
        <w:t xml:space="preserve">ervices involved </w:t>
      </w:r>
      <w:r w:rsidR="000833A9">
        <w:rPr>
          <w:rFonts w:ascii="Times New Roman" w:hAnsi="Times New Roman"/>
        </w:rPr>
        <w:t>in preparing the notice</w:t>
      </w:r>
      <w:r w:rsidR="007C691C">
        <w:rPr>
          <w:rFonts w:ascii="Times New Roman" w:hAnsi="Times New Roman"/>
        </w:rPr>
        <w:t>s</w:t>
      </w:r>
      <w:r w:rsidR="000833A9">
        <w:rPr>
          <w:rFonts w:ascii="Times New Roman" w:hAnsi="Times New Roman"/>
        </w:rPr>
        <w:t xml:space="preserve"> and information submitted with the notice</w:t>
      </w:r>
      <w:r w:rsidR="007C691C">
        <w:rPr>
          <w:rFonts w:ascii="Times New Roman" w:hAnsi="Times New Roman"/>
        </w:rPr>
        <w:t>s</w:t>
      </w:r>
      <w:r w:rsidR="000833A9">
        <w:rPr>
          <w:rFonts w:ascii="Times New Roman" w:hAnsi="Times New Roman"/>
        </w:rPr>
        <w:t xml:space="preserve"> </w:t>
      </w:r>
      <w:r w:rsidR="00FD72D2">
        <w:rPr>
          <w:rFonts w:ascii="Times New Roman" w:hAnsi="Times New Roman"/>
        </w:rPr>
        <w:t>are</w:t>
      </w:r>
      <w:r w:rsidR="00FD72D2" w:rsidRPr="00BB35AC">
        <w:rPr>
          <w:rFonts w:ascii="Times New Roman" w:hAnsi="Times New Roman"/>
        </w:rPr>
        <w:t xml:space="preserve"> </w:t>
      </w:r>
      <w:r w:rsidR="000833A9">
        <w:rPr>
          <w:rFonts w:ascii="Times New Roman" w:hAnsi="Times New Roman"/>
        </w:rPr>
        <w:t>performed by outside attorneys and actuaries.  The cost varies depending on the complexity of the transaction</w:t>
      </w:r>
      <w:r w:rsidR="00FD72D2">
        <w:rPr>
          <w:rFonts w:ascii="Times New Roman" w:hAnsi="Times New Roman"/>
        </w:rPr>
        <w:t xml:space="preserve">.  </w:t>
      </w:r>
    </w:p>
    <w:p w14:paraId="0185BB9F" w14:textId="77777777" w:rsidR="00924C16" w:rsidRDefault="000833A9" w:rsidP="00C946F9">
      <w:pPr>
        <w:widowControl/>
        <w:spacing w:line="480" w:lineRule="auto"/>
        <w:ind w:firstLine="720"/>
        <w:rPr>
          <w:rFonts w:ascii="Times New Roman" w:hAnsi="Times New Roman"/>
        </w:rPr>
      </w:pPr>
      <w:r>
        <w:rPr>
          <w:rFonts w:ascii="Times New Roman" w:hAnsi="Times New Roman"/>
        </w:rPr>
        <w:t xml:space="preserve">PBGC estimates </w:t>
      </w:r>
      <w:r w:rsidR="00730D90">
        <w:rPr>
          <w:rFonts w:ascii="Times New Roman" w:hAnsi="Times New Roman"/>
        </w:rPr>
        <w:t>that the</w:t>
      </w:r>
      <w:r w:rsidR="00C9027F" w:rsidRPr="00BB35AC">
        <w:rPr>
          <w:rFonts w:ascii="Times New Roman" w:hAnsi="Times New Roman"/>
        </w:rPr>
        <w:t xml:space="preserve"> </w:t>
      </w:r>
      <w:r w:rsidR="00C9027F">
        <w:rPr>
          <w:rFonts w:ascii="Times New Roman" w:hAnsi="Times New Roman"/>
        </w:rPr>
        <w:t xml:space="preserve">annual </w:t>
      </w:r>
      <w:r w:rsidR="00C9027F" w:rsidRPr="00BB35AC">
        <w:rPr>
          <w:rFonts w:ascii="Times New Roman" w:hAnsi="Times New Roman"/>
        </w:rPr>
        <w:t xml:space="preserve">cost burden </w:t>
      </w:r>
      <w:r w:rsidR="007C691C">
        <w:rPr>
          <w:rFonts w:ascii="Times New Roman" w:hAnsi="Times New Roman"/>
        </w:rPr>
        <w:t>for</w:t>
      </w:r>
      <w:r w:rsidR="00C9027F" w:rsidRPr="00BB35AC">
        <w:rPr>
          <w:rFonts w:ascii="Times New Roman" w:hAnsi="Times New Roman"/>
        </w:rPr>
        <w:t xml:space="preserve"> </w:t>
      </w:r>
      <w:r w:rsidR="007C691C">
        <w:rPr>
          <w:rFonts w:ascii="Times New Roman" w:hAnsi="Times New Roman"/>
        </w:rPr>
        <w:t>transactions that are not financial assistance mergers</w:t>
      </w:r>
      <w:r w:rsidR="00C9027F" w:rsidRPr="00BB35AC">
        <w:rPr>
          <w:rFonts w:ascii="Times New Roman" w:hAnsi="Times New Roman"/>
        </w:rPr>
        <w:t xml:space="preserve"> is </w:t>
      </w:r>
      <w:r w:rsidR="00FD72D2">
        <w:rPr>
          <w:rFonts w:ascii="Times New Roman" w:hAnsi="Times New Roman"/>
        </w:rPr>
        <w:t>$42,80</w:t>
      </w:r>
      <w:r w:rsidR="00730D90">
        <w:rPr>
          <w:rFonts w:ascii="Times New Roman" w:hAnsi="Times New Roman"/>
        </w:rPr>
        <w:t>0</w:t>
      </w:r>
      <w:r w:rsidR="00BF396F">
        <w:rPr>
          <w:rFonts w:ascii="Times New Roman" w:hAnsi="Times New Roman"/>
        </w:rPr>
        <w:t xml:space="preserve"> assuming an average hourly rate of $400 for contractor costs.  The</w:t>
      </w:r>
      <w:r w:rsidR="00730D90">
        <w:rPr>
          <w:rFonts w:ascii="Times New Roman" w:hAnsi="Times New Roman"/>
        </w:rPr>
        <w:t xml:space="preserve"> estimate is based on 27 contracted hours for mergers involving </w:t>
      </w:r>
      <w:r w:rsidR="0022252C">
        <w:rPr>
          <w:rFonts w:ascii="Times New Roman" w:hAnsi="Times New Roman"/>
        </w:rPr>
        <w:t>2</w:t>
      </w:r>
      <w:r w:rsidR="00730D90">
        <w:rPr>
          <w:rFonts w:ascii="Times New Roman" w:hAnsi="Times New Roman"/>
        </w:rPr>
        <w:t xml:space="preserve"> plans </w:t>
      </w:r>
      <w:r w:rsidR="00BF396F">
        <w:rPr>
          <w:rFonts w:ascii="Times New Roman" w:hAnsi="Times New Roman"/>
        </w:rPr>
        <w:t>(9 transaction</w:t>
      </w:r>
      <w:r w:rsidR="003070F5">
        <w:rPr>
          <w:rFonts w:ascii="Times New Roman" w:hAnsi="Times New Roman"/>
        </w:rPr>
        <w:t>s</w:t>
      </w:r>
      <w:r w:rsidR="00BF396F">
        <w:rPr>
          <w:rFonts w:ascii="Times New Roman" w:hAnsi="Times New Roman"/>
        </w:rPr>
        <w:t xml:space="preserve"> x 3 hours) and </w:t>
      </w:r>
      <w:r w:rsidR="00730D90">
        <w:rPr>
          <w:rFonts w:ascii="Times New Roman" w:hAnsi="Times New Roman"/>
        </w:rPr>
        <w:t>80 hours for transactions involving complex mergers, transfers, and significantly affected plans (5 transactions x 16 hours).</w:t>
      </w:r>
      <w:r w:rsidR="00FD72D2">
        <w:rPr>
          <w:rFonts w:ascii="Times New Roman" w:hAnsi="Times New Roman"/>
        </w:rPr>
        <w:t xml:space="preserve"> </w:t>
      </w:r>
    </w:p>
    <w:p w14:paraId="027B6B01" w14:textId="77777777" w:rsidR="007C691C" w:rsidRDefault="007C691C" w:rsidP="00C946F9">
      <w:pPr>
        <w:widowControl/>
        <w:spacing w:line="480" w:lineRule="auto"/>
        <w:ind w:firstLine="720"/>
        <w:rPr>
          <w:rFonts w:ascii="Times New Roman" w:hAnsi="Times New Roman"/>
        </w:rPr>
      </w:pPr>
      <w:r>
        <w:rPr>
          <w:rFonts w:ascii="Times New Roman" w:hAnsi="Times New Roman"/>
        </w:rPr>
        <w:t xml:space="preserve">PBGC estimates that the annual cost burden for financial assistance mergers is $180,000 </w:t>
      </w:r>
      <w:r w:rsidR="003070F5">
        <w:rPr>
          <w:rFonts w:ascii="Times New Roman" w:hAnsi="Times New Roman"/>
        </w:rPr>
        <w:t xml:space="preserve">($30,000 per request) </w:t>
      </w:r>
      <w:r w:rsidR="00E12799">
        <w:rPr>
          <w:rFonts w:ascii="Times New Roman" w:hAnsi="Times New Roman"/>
        </w:rPr>
        <w:t xml:space="preserve">assuming an average hourly rate of $400 for contractor costs.  The estimate is based on </w:t>
      </w:r>
      <w:r w:rsidR="003070F5">
        <w:rPr>
          <w:rFonts w:ascii="Times New Roman" w:hAnsi="Times New Roman"/>
        </w:rPr>
        <w:t>450</w:t>
      </w:r>
      <w:r w:rsidR="00E12799">
        <w:rPr>
          <w:rFonts w:ascii="Times New Roman" w:hAnsi="Times New Roman"/>
        </w:rPr>
        <w:t xml:space="preserve"> contracted hours</w:t>
      </w:r>
      <w:r w:rsidR="003070F5">
        <w:rPr>
          <w:rFonts w:ascii="Times New Roman" w:hAnsi="Times New Roman"/>
        </w:rPr>
        <w:t xml:space="preserve"> </w:t>
      </w:r>
      <w:r>
        <w:rPr>
          <w:rFonts w:ascii="Times New Roman" w:hAnsi="Times New Roman"/>
        </w:rPr>
        <w:t>for work</w:t>
      </w:r>
      <w:r w:rsidR="003070F5">
        <w:rPr>
          <w:rFonts w:ascii="Times New Roman" w:hAnsi="Times New Roman"/>
        </w:rPr>
        <w:t xml:space="preserve"> by </w:t>
      </w:r>
      <w:r>
        <w:rPr>
          <w:rFonts w:ascii="Times New Roman" w:hAnsi="Times New Roman"/>
        </w:rPr>
        <w:t>attorneys and actuaries (6</w:t>
      </w:r>
      <w:r w:rsidR="009963BF">
        <w:rPr>
          <w:rFonts w:ascii="Times New Roman" w:hAnsi="Times New Roman"/>
        </w:rPr>
        <w:t xml:space="preserve"> </w:t>
      </w:r>
      <w:r w:rsidR="00BB2752">
        <w:rPr>
          <w:rFonts w:ascii="Times New Roman" w:hAnsi="Times New Roman"/>
        </w:rPr>
        <w:t>requests</w:t>
      </w:r>
      <w:r w:rsidR="003070F5">
        <w:rPr>
          <w:rFonts w:ascii="Times New Roman" w:hAnsi="Times New Roman"/>
        </w:rPr>
        <w:t xml:space="preserve"> x 75 hours</w:t>
      </w:r>
      <w:r>
        <w:rPr>
          <w:rFonts w:ascii="Times New Roman" w:hAnsi="Times New Roman"/>
        </w:rPr>
        <w:t>).</w:t>
      </w:r>
    </w:p>
    <w:p w14:paraId="53C4A73B" w14:textId="77777777" w:rsidR="007C691C" w:rsidRPr="00BB35AC" w:rsidRDefault="007C691C" w:rsidP="00C946F9">
      <w:pPr>
        <w:widowControl/>
        <w:spacing w:line="480" w:lineRule="auto"/>
        <w:ind w:firstLine="720"/>
        <w:rPr>
          <w:rFonts w:ascii="Times New Roman" w:hAnsi="Times New Roman"/>
        </w:rPr>
      </w:pPr>
      <w:r>
        <w:rPr>
          <w:rFonts w:ascii="Times New Roman" w:hAnsi="Times New Roman"/>
        </w:rPr>
        <w:t>The total annual cost burden of this collection of information will be $222,800 ($180,000 + $42,800).</w:t>
      </w:r>
    </w:p>
    <w:p w14:paraId="3A506BAB" w14:textId="77777777" w:rsidR="00924C16" w:rsidRPr="00BB35AC" w:rsidRDefault="00924C16">
      <w:pPr>
        <w:widowControl/>
        <w:spacing w:line="120" w:lineRule="auto"/>
        <w:rPr>
          <w:rFonts w:ascii="Times New Roman" w:hAnsi="Times New Roman"/>
        </w:rPr>
      </w:pPr>
    </w:p>
    <w:p w14:paraId="3A3F598F" w14:textId="77777777" w:rsidR="0003773A" w:rsidRDefault="00924C16" w:rsidP="003625B1">
      <w:pPr>
        <w:widowControl/>
        <w:spacing w:line="480" w:lineRule="auto"/>
        <w:ind w:firstLine="720"/>
        <w:rPr>
          <w:rFonts w:ascii="Times New Roman" w:hAnsi="Times New Roman"/>
        </w:rPr>
      </w:pPr>
      <w:bookmarkStart w:id="1" w:name="_Hlk503367754"/>
      <w:r w:rsidRPr="00BB35AC">
        <w:rPr>
          <w:rFonts w:ascii="Times New Roman" w:hAnsi="Times New Roman"/>
        </w:rPr>
        <w:t xml:space="preserve">14.  </w:t>
      </w:r>
      <w:r w:rsidRPr="00BB35AC">
        <w:rPr>
          <w:rFonts w:ascii="Times New Roman" w:hAnsi="Times New Roman"/>
          <w:u w:val="single"/>
        </w:rPr>
        <w:t>Cost to the government.</w:t>
      </w:r>
      <w:r w:rsidRPr="00BB35AC">
        <w:rPr>
          <w:rFonts w:ascii="Times New Roman" w:hAnsi="Times New Roman"/>
        </w:rPr>
        <w:t xml:space="preserve">  </w:t>
      </w:r>
      <w:r w:rsidR="00B6317D" w:rsidRPr="00BB35AC">
        <w:rPr>
          <w:rFonts w:ascii="Times New Roman" w:hAnsi="Times New Roman"/>
        </w:rPr>
        <w:t xml:space="preserve">As discussed in item 12, PBGC expects </w:t>
      </w:r>
      <w:r w:rsidR="006D36B3">
        <w:rPr>
          <w:rFonts w:ascii="Times New Roman" w:hAnsi="Times New Roman"/>
        </w:rPr>
        <w:t xml:space="preserve">staff </w:t>
      </w:r>
      <w:r w:rsidR="00B6317D" w:rsidRPr="00BB35AC">
        <w:rPr>
          <w:rFonts w:ascii="Times New Roman" w:hAnsi="Times New Roman"/>
        </w:rPr>
        <w:t xml:space="preserve">to process about </w:t>
      </w:r>
      <w:r w:rsidR="003B0839">
        <w:rPr>
          <w:rFonts w:ascii="Times New Roman" w:hAnsi="Times New Roman"/>
        </w:rPr>
        <w:t>20</w:t>
      </w:r>
      <w:r w:rsidR="00B6317D" w:rsidRPr="00BB35AC">
        <w:rPr>
          <w:rFonts w:ascii="Times New Roman" w:hAnsi="Times New Roman"/>
        </w:rPr>
        <w:t xml:space="preserve"> cases annually</w:t>
      </w:r>
      <w:r w:rsidR="003B0839">
        <w:rPr>
          <w:rFonts w:ascii="Times New Roman" w:hAnsi="Times New Roman"/>
        </w:rPr>
        <w:t xml:space="preserve">, including 6 </w:t>
      </w:r>
      <w:r w:rsidR="00BB2752">
        <w:rPr>
          <w:rFonts w:ascii="Times New Roman" w:hAnsi="Times New Roman"/>
        </w:rPr>
        <w:t>request</w:t>
      </w:r>
      <w:r w:rsidR="003B0839">
        <w:rPr>
          <w:rFonts w:ascii="Times New Roman" w:hAnsi="Times New Roman"/>
        </w:rPr>
        <w:t xml:space="preserve">s for financial assistance mergers.  </w:t>
      </w:r>
      <w:r w:rsidR="00295EC1">
        <w:rPr>
          <w:rFonts w:ascii="Times New Roman" w:hAnsi="Times New Roman"/>
        </w:rPr>
        <w:t xml:space="preserve">The </w:t>
      </w:r>
      <w:r w:rsidR="00BB2752">
        <w:rPr>
          <w:rFonts w:ascii="Times New Roman" w:hAnsi="Times New Roman"/>
        </w:rPr>
        <w:t>request</w:t>
      </w:r>
      <w:r w:rsidR="00295EC1">
        <w:rPr>
          <w:rFonts w:ascii="Times New Roman" w:hAnsi="Times New Roman"/>
        </w:rPr>
        <w:t xml:space="preserve">s for financial assistance mergers will be </w:t>
      </w:r>
      <w:r w:rsidR="008F1CD9">
        <w:rPr>
          <w:rFonts w:ascii="Times New Roman" w:hAnsi="Times New Roman"/>
        </w:rPr>
        <w:t>processed</w:t>
      </w:r>
      <w:r w:rsidR="00295EC1">
        <w:rPr>
          <w:rFonts w:ascii="Times New Roman" w:hAnsi="Times New Roman"/>
        </w:rPr>
        <w:t xml:space="preserve"> by PBGC staff with support from outside contractors.  PBGC estimates that contractor costs to the government will be</w:t>
      </w:r>
      <w:r w:rsidR="006D36B3">
        <w:rPr>
          <w:rFonts w:ascii="Times New Roman" w:hAnsi="Times New Roman"/>
        </w:rPr>
        <w:t xml:space="preserve"> approximately</w:t>
      </w:r>
      <w:r w:rsidR="006D35F4">
        <w:rPr>
          <w:rFonts w:ascii="Times New Roman" w:hAnsi="Times New Roman"/>
        </w:rPr>
        <w:t xml:space="preserve"> $240,000 per year (</w:t>
      </w:r>
      <w:r w:rsidR="0003773A">
        <w:rPr>
          <w:rFonts w:ascii="Times New Roman" w:hAnsi="Times New Roman"/>
        </w:rPr>
        <w:t xml:space="preserve">$40,000 x 6 </w:t>
      </w:r>
      <w:r w:rsidR="00BB2752">
        <w:rPr>
          <w:rFonts w:ascii="Times New Roman" w:hAnsi="Times New Roman"/>
        </w:rPr>
        <w:t>request</w:t>
      </w:r>
      <w:r w:rsidR="009963BF">
        <w:rPr>
          <w:rFonts w:ascii="Times New Roman" w:hAnsi="Times New Roman"/>
        </w:rPr>
        <w:t>s</w:t>
      </w:r>
      <w:r w:rsidR="0003773A">
        <w:rPr>
          <w:rFonts w:ascii="Times New Roman" w:hAnsi="Times New Roman"/>
        </w:rPr>
        <w:t>).</w:t>
      </w:r>
      <w:r w:rsidR="00295EC1">
        <w:rPr>
          <w:rFonts w:ascii="Times New Roman" w:hAnsi="Times New Roman"/>
        </w:rPr>
        <w:t xml:space="preserve"> </w:t>
      </w:r>
      <w:bookmarkEnd w:id="1"/>
    </w:p>
    <w:p w14:paraId="2B5BA602" w14:textId="77777777" w:rsidR="003625B1" w:rsidRPr="00BB35AC" w:rsidRDefault="00924C16" w:rsidP="003625B1">
      <w:pPr>
        <w:widowControl/>
        <w:spacing w:line="480" w:lineRule="auto"/>
        <w:ind w:firstLine="720"/>
        <w:rPr>
          <w:rFonts w:ascii="Times New Roman" w:hAnsi="Times New Roman"/>
        </w:rPr>
      </w:pPr>
      <w:r w:rsidRPr="00BB35AC">
        <w:rPr>
          <w:rFonts w:ascii="Times New Roman" w:hAnsi="Times New Roman"/>
        </w:rPr>
        <w:t xml:space="preserve">15.  </w:t>
      </w:r>
      <w:r w:rsidRPr="00BB35AC">
        <w:rPr>
          <w:rFonts w:ascii="Times New Roman" w:hAnsi="Times New Roman"/>
          <w:u w:val="single"/>
        </w:rPr>
        <w:t>Explanation of burden changes.</w:t>
      </w:r>
      <w:r w:rsidRPr="00BB35AC">
        <w:rPr>
          <w:rFonts w:ascii="Times New Roman" w:hAnsi="Times New Roman"/>
        </w:rPr>
        <w:t xml:space="preserve">  </w:t>
      </w:r>
      <w:r w:rsidR="003625B1" w:rsidRPr="00BB35AC">
        <w:rPr>
          <w:rFonts w:ascii="Times New Roman" w:hAnsi="Times New Roman"/>
        </w:rPr>
        <w:t xml:space="preserve">The </w:t>
      </w:r>
      <w:r w:rsidR="0061485E">
        <w:rPr>
          <w:rFonts w:ascii="Times New Roman" w:hAnsi="Times New Roman"/>
        </w:rPr>
        <w:t xml:space="preserve">hour </w:t>
      </w:r>
      <w:r w:rsidR="008F1CD9">
        <w:rPr>
          <w:rFonts w:ascii="Times New Roman" w:hAnsi="Times New Roman"/>
        </w:rPr>
        <w:t xml:space="preserve">and cost </w:t>
      </w:r>
      <w:r w:rsidR="003625B1" w:rsidRPr="00BB35AC">
        <w:rPr>
          <w:rFonts w:ascii="Times New Roman" w:hAnsi="Times New Roman"/>
        </w:rPr>
        <w:t xml:space="preserve">burden of this collection of information </w:t>
      </w:r>
      <w:r w:rsidR="008F1CD9">
        <w:rPr>
          <w:rFonts w:ascii="Times New Roman" w:hAnsi="Times New Roman"/>
        </w:rPr>
        <w:t xml:space="preserve">on the public </w:t>
      </w:r>
      <w:r w:rsidR="003625B1" w:rsidRPr="00BB35AC">
        <w:rPr>
          <w:rFonts w:ascii="Times New Roman" w:hAnsi="Times New Roman"/>
        </w:rPr>
        <w:t xml:space="preserve">has </w:t>
      </w:r>
      <w:r w:rsidR="003625B1">
        <w:rPr>
          <w:rFonts w:ascii="Times New Roman" w:hAnsi="Times New Roman"/>
        </w:rPr>
        <w:t>in</w:t>
      </w:r>
      <w:r w:rsidR="003625B1" w:rsidRPr="00BB35AC">
        <w:rPr>
          <w:rFonts w:ascii="Times New Roman" w:hAnsi="Times New Roman"/>
        </w:rPr>
        <w:t>creased from</w:t>
      </w:r>
      <w:r w:rsidR="008F1CD9">
        <w:rPr>
          <w:rFonts w:ascii="Times New Roman" w:hAnsi="Times New Roman"/>
        </w:rPr>
        <w:t xml:space="preserve"> 10 hours to 70 hours</w:t>
      </w:r>
      <w:r w:rsidR="003625B1" w:rsidRPr="00BB35AC">
        <w:rPr>
          <w:rFonts w:ascii="Times New Roman" w:hAnsi="Times New Roman"/>
        </w:rPr>
        <w:t xml:space="preserve"> </w:t>
      </w:r>
      <w:r w:rsidR="008F1CD9">
        <w:rPr>
          <w:rFonts w:ascii="Times New Roman" w:hAnsi="Times New Roman"/>
        </w:rPr>
        <w:t xml:space="preserve">and from </w:t>
      </w:r>
      <w:r w:rsidR="00C7751A">
        <w:rPr>
          <w:rFonts w:ascii="Times New Roman" w:hAnsi="Times New Roman"/>
        </w:rPr>
        <w:t>$</w:t>
      </w:r>
      <w:r w:rsidR="0061485E">
        <w:rPr>
          <w:rFonts w:ascii="Times New Roman" w:hAnsi="Times New Roman"/>
        </w:rPr>
        <w:t xml:space="preserve">42,800 </w:t>
      </w:r>
      <w:r w:rsidR="00C7751A">
        <w:rPr>
          <w:rFonts w:ascii="Times New Roman" w:hAnsi="Times New Roman"/>
        </w:rPr>
        <w:t xml:space="preserve">to $222,800 due to the addition of new information requirements for </w:t>
      </w:r>
      <w:r w:rsidR="008F1CD9">
        <w:rPr>
          <w:rFonts w:ascii="Times New Roman" w:hAnsi="Times New Roman"/>
        </w:rPr>
        <w:t xml:space="preserve">an estimated </w:t>
      </w:r>
      <w:r w:rsidR="0022252C">
        <w:rPr>
          <w:rFonts w:ascii="Times New Roman" w:hAnsi="Times New Roman"/>
        </w:rPr>
        <w:t>6</w:t>
      </w:r>
      <w:r w:rsidR="008F1CD9">
        <w:rPr>
          <w:rFonts w:ascii="Times New Roman" w:hAnsi="Times New Roman"/>
        </w:rPr>
        <w:t xml:space="preserve"> </w:t>
      </w:r>
      <w:r w:rsidR="00C7751A">
        <w:rPr>
          <w:rFonts w:ascii="Times New Roman" w:hAnsi="Times New Roman"/>
        </w:rPr>
        <w:t>financial assistance merger</w:t>
      </w:r>
      <w:r w:rsidR="008F1CD9">
        <w:rPr>
          <w:rFonts w:ascii="Times New Roman" w:hAnsi="Times New Roman"/>
        </w:rPr>
        <w:t>s per year</w:t>
      </w:r>
      <w:r w:rsidR="00C7751A">
        <w:rPr>
          <w:rFonts w:ascii="Times New Roman" w:hAnsi="Times New Roman"/>
        </w:rPr>
        <w:t>.</w:t>
      </w:r>
      <w:r w:rsidR="008F1CD9">
        <w:rPr>
          <w:rFonts w:ascii="Times New Roman" w:hAnsi="Times New Roman"/>
        </w:rPr>
        <w:t xml:space="preserve">  The cost to the government has increased from $0 to $240,000 due to the cost of outside contractors to assist in processing the new financial assistance mergers.</w:t>
      </w:r>
    </w:p>
    <w:p w14:paraId="75FC5325" w14:textId="77777777"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16.  </w:t>
      </w:r>
      <w:r w:rsidRPr="00BB35AC">
        <w:rPr>
          <w:rFonts w:ascii="Times New Roman" w:hAnsi="Times New Roman"/>
          <w:u w:val="single"/>
        </w:rPr>
        <w:t>Publication plans.</w:t>
      </w:r>
      <w:r w:rsidRPr="00BB35AC">
        <w:rPr>
          <w:rFonts w:ascii="Times New Roman" w:hAnsi="Times New Roman"/>
        </w:rPr>
        <w:t xml:space="preserve">  </w:t>
      </w:r>
      <w:r w:rsidR="00E11449" w:rsidRPr="00BB35AC">
        <w:rPr>
          <w:rFonts w:ascii="Times New Roman" w:hAnsi="Times New Roman"/>
        </w:rPr>
        <w:t>PBGC</w:t>
      </w:r>
      <w:r w:rsidRPr="00BB35AC">
        <w:rPr>
          <w:rFonts w:ascii="Times New Roman" w:hAnsi="Times New Roman"/>
        </w:rPr>
        <w:t xml:space="preserve"> does not intend to publish the results of this collection of information. </w:t>
      </w:r>
    </w:p>
    <w:p w14:paraId="6C0EAA06" w14:textId="77777777"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17.  </w:t>
      </w:r>
      <w:r w:rsidRPr="00BB35AC">
        <w:rPr>
          <w:rFonts w:ascii="Times New Roman" w:hAnsi="Times New Roman"/>
          <w:u w:val="single"/>
        </w:rPr>
        <w:t>Display of expiration date.</w:t>
      </w:r>
      <w:r w:rsidRPr="00BB35AC">
        <w:rPr>
          <w:rFonts w:ascii="Times New Roman" w:hAnsi="Times New Roman"/>
        </w:rPr>
        <w:t xml:space="preserve">  </w:t>
      </w:r>
      <w:r w:rsidR="00E11449" w:rsidRPr="00BB35AC">
        <w:rPr>
          <w:rFonts w:ascii="Times New Roman" w:hAnsi="Times New Roman"/>
        </w:rPr>
        <w:t>PBGC</w:t>
      </w:r>
      <w:r w:rsidRPr="00BB35AC">
        <w:rPr>
          <w:rFonts w:ascii="Times New Roman" w:hAnsi="Times New Roman"/>
        </w:rPr>
        <w:t xml:space="preserve"> is not seeking approval to not display the expiration date for OMB approval of this information collection.  </w:t>
      </w:r>
    </w:p>
    <w:p w14:paraId="099DA47D" w14:textId="77777777" w:rsidR="00924C16" w:rsidRPr="00BB35AC" w:rsidRDefault="00924C16">
      <w:pPr>
        <w:widowControl/>
        <w:spacing w:line="480" w:lineRule="auto"/>
        <w:ind w:firstLine="720"/>
        <w:rPr>
          <w:rFonts w:ascii="Times New Roman" w:hAnsi="Times New Roman"/>
        </w:rPr>
      </w:pPr>
      <w:r w:rsidRPr="00BB35AC">
        <w:rPr>
          <w:rFonts w:ascii="Times New Roman" w:hAnsi="Times New Roman"/>
        </w:rPr>
        <w:t xml:space="preserve">18.  </w:t>
      </w:r>
      <w:r w:rsidRPr="00BB35AC">
        <w:rPr>
          <w:rFonts w:ascii="Times New Roman" w:hAnsi="Times New Roman"/>
          <w:u w:val="single"/>
        </w:rPr>
        <w:t>Exceptions to certification statement.</w:t>
      </w:r>
      <w:r w:rsidRPr="00BB35AC">
        <w:rPr>
          <w:rFonts w:ascii="Times New Roman" w:hAnsi="Times New Roman"/>
        </w:rPr>
        <w:t xml:space="preserve">  There are no exceptions to the certification statement.  </w:t>
      </w:r>
    </w:p>
    <w:p w14:paraId="7FBC1012" w14:textId="77777777" w:rsidR="00924C16" w:rsidRPr="008E7D21" w:rsidRDefault="00924C16" w:rsidP="008E7D21">
      <w:pPr>
        <w:widowControl/>
        <w:spacing w:line="480" w:lineRule="auto"/>
        <w:rPr>
          <w:rFonts w:ascii="Shruti" w:hAnsi="Shruti"/>
        </w:rPr>
      </w:pPr>
    </w:p>
    <w:sectPr w:rsidR="00924C16" w:rsidRPr="008E7D21" w:rsidSect="00924C16">
      <w:headerReference w:type="default" r:id="rId14"/>
      <w:footerReference w:type="default" r:id="rId1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6D8DD" w14:textId="77777777" w:rsidR="001C0639" w:rsidRDefault="001C0639">
      <w:r>
        <w:separator/>
      </w:r>
    </w:p>
  </w:endnote>
  <w:endnote w:type="continuationSeparator" w:id="0">
    <w:p w14:paraId="7F5F0DF5" w14:textId="77777777" w:rsidR="001C0639" w:rsidRDefault="001C0639">
      <w:r>
        <w:continuationSeparator/>
      </w:r>
    </w:p>
  </w:endnote>
  <w:endnote w:type="continuationNotice" w:id="1">
    <w:p w14:paraId="3CCDC6EB" w14:textId="77777777" w:rsidR="001C0639" w:rsidRDefault="001C0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F767B" w14:textId="77777777" w:rsidR="00394079" w:rsidRPr="001E00F4" w:rsidRDefault="00394079">
    <w:pPr>
      <w:pStyle w:val="Footer"/>
      <w:jc w:val="center"/>
      <w:rPr>
        <w:rFonts w:ascii="Times New Roman" w:hAnsi="Times New Roman"/>
      </w:rPr>
    </w:pPr>
    <w:r w:rsidRPr="001E00F4">
      <w:rPr>
        <w:rFonts w:ascii="Times New Roman" w:hAnsi="Times New Roman"/>
      </w:rPr>
      <w:fldChar w:fldCharType="begin"/>
    </w:r>
    <w:r w:rsidRPr="001E00F4">
      <w:rPr>
        <w:rFonts w:ascii="Times New Roman" w:hAnsi="Times New Roman"/>
      </w:rPr>
      <w:instrText xml:space="preserve"> PAGE   \* MERGEFORMAT </w:instrText>
    </w:r>
    <w:r w:rsidRPr="001E00F4">
      <w:rPr>
        <w:rFonts w:ascii="Times New Roman" w:hAnsi="Times New Roman"/>
      </w:rPr>
      <w:fldChar w:fldCharType="separate"/>
    </w:r>
    <w:r w:rsidR="002F5783">
      <w:rPr>
        <w:rFonts w:ascii="Times New Roman" w:hAnsi="Times New Roman"/>
        <w:noProof/>
      </w:rPr>
      <w:t>1</w:t>
    </w:r>
    <w:r w:rsidRPr="001E00F4">
      <w:rPr>
        <w:rFonts w:ascii="Times New Roman" w:hAnsi="Times New Roman"/>
      </w:rPr>
      <w:fldChar w:fldCharType="end"/>
    </w:r>
  </w:p>
  <w:p w14:paraId="4E8117D6" w14:textId="77777777" w:rsidR="00394079" w:rsidRDefault="00394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C9035" w14:textId="77777777" w:rsidR="001C0639" w:rsidRDefault="001C0639">
      <w:r>
        <w:separator/>
      </w:r>
    </w:p>
  </w:footnote>
  <w:footnote w:type="continuationSeparator" w:id="0">
    <w:p w14:paraId="2FEEA420" w14:textId="77777777" w:rsidR="001C0639" w:rsidRDefault="001C0639">
      <w:r>
        <w:continuationSeparator/>
      </w:r>
    </w:p>
  </w:footnote>
  <w:footnote w:type="continuationNotice" w:id="1">
    <w:p w14:paraId="3BEB823D" w14:textId="77777777" w:rsidR="001C0639" w:rsidRDefault="001C0639"/>
  </w:footnote>
  <w:footnote w:id="2">
    <w:p w14:paraId="46D0447A" w14:textId="77777777" w:rsidR="00394079" w:rsidRPr="0097788C" w:rsidRDefault="00394079">
      <w:pPr>
        <w:pStyle w:val="FootnoteText"/>
        <w:rPr>
          <w:rFonts w:ascii="Times New Roman" w:hAnsi="Times New Roman"/>
          <w:vertAlign w:val="superscript"/>
        </w:rPr>
      </w:pPr>
      <w:r w:rsidRPr="0097788C">
        <w:rPr>
          <w:rFonts w:ascii="Times New Roman" w:hAnsi="Times New Roman"/>
          <w:vertAlign w:val="superscript"/>
        </w:rPr>
        <w:t>1</w:t>
      </w:r>
      <w:r w:rsidR="002B51FD">
        <w:rPr>
          <w:rFonts w:ascii="Times New Roman" w:hAnsi="Times New Roman"/>
          <w:vertAlign w:val="superscript"/>
        </w:rPr>
        <w:t xml:space="preserve"> </w:t>
      </w:r>
      <w:r>
        <w:rPr>
          <w:rFonts w:ascii="Times New Roman" w:hAnsi="Times New Roman"/>
        </w:rPr>
        <w:t>Division O of the Consolidated and Further Continuing Appropriations Act, 2015, Pub. L. 113-235 (2014).</w:t>
      </w:r>
    </w:p>
  </w:footnote>
  <w:footnote w:id="3">
    <w:p w14:paraId="3EDFC7C6" w14:textId="77777777" w:rsidR="00394079" w:rsidRPr="0097788C" w:rsidRDefault="00394079">
      <w:pPr>
        <w:pStyle w:val="FootnoteText"/>
        <w:rPr>
          <w:rFonts w:ascii="Times New Roman" w:hAnsi="Times New Roman"/>
        </w:rPr>
      </w:pPr>
      <w:r w:rsidRPr="0097788C">
        <w:rPr>
          <w:rStyle w:val="FootnoteReference"/>
          <w:rFonts w:ascii="Times New Roman" w:hAnsi="Times New Roman"/>
          <w:vertAlign w:val="superscript"/>
        </w:rPr>
        <w:footnoteRef/>
      </w:r>
      <w:r w:rsidRPr="0097788C">
        <w:rPr>
          <w:rFonts w:ascii="Times New Roman" w:hAnsi="Times New Roman"/>
          <w:vertAlign w:val="superscript"/>
        </w:rPr>
        <w:t xml:space="preserve"> </w:t>
      </w:r>
      <w:r w:rsidR="002B51FD">
        <w:rPr>
          <w:rFonts w:ascii="Times New Roman" w:hAnsi="Times New Roman"/>
          <w:vertAlign w:val="superscript"/>
        </w:rPr>
        <w:t xml:space="preserve"> </w:t>
      </w:r>
      <w:r>
        <w:rPr>
          <w:rFonts w:ascii="Times New Roman" w:hAnsi="Times New Roman"/>
        </w:rPr>
        <w:t>The publication date and citation are in the ROCIS submission.</w:t>
      </w:r>
    </w:p>
  </w:footnote>
  <w:footnote w:id="4">
    <w:p w14:paraId="29FFCD66" w14:textId="77777777" w:rsidR="006B5117" w:rsidRPr="006B5117" w:rsidRDefault="006B5117">
      <w:pPr>
        <w:pStyle w:val="FootnoteText"/>
        <w:rPr>
          <w:rFonts w:ascii="Times New Roman" w:hAnsi="Times New Roman"/>
        </w:rPr>
      </w:pPr>
      <w:r w:rsidRPr="006B5117">
        <w:rPr>
          <w:rStyle w:val="FootnoteReference"/>
          <w:rFonts w:ascii="Times New Roman" w:hAnsi="Times New Roman"/>
          <w:vertAlign w:val="superscript"/>
        </w:rPr>
        <w:footnoteRef/>
      </w:r>
      <w:r w:rsidR="002B51FD">
        <w:rPr>
          <w:rFonts w:ascii="Times New Roman" w:hAnsi="Times New Roman"/>
        </w:rPr>
        <w:t xml:space="preserve"> </w:t>
      </w:r>
      <w:r>
        <w:rPr>
          <w:rFonts w:ascii="Times New Roman" w:hAnsi="Times New Roman"/>
        </w:rPr>
        <w:t xml:space="preserve">The RFI and comments are accessible at </w:t>
      </w:r>
      <w:r w:rsidRPr="006B5117">
        <w:rPr>
          <w:rFonts w:ascii="Times New Roman" w:hAnsi="Times New Roman"/>
          <w:i/>
        </w:rPr>
        <w:t>https://www.pbgc.gov/prac/pg/other/guidance/multiemployer-notices</w:t>
      </w:r>
      <w:r>
        <w:rPr>
          <w:rFonts w:ascii="Times New Roman" w:hAnsi="Times New Roman"/>
          <w:i/>
        </w:rPr>
        <w:t>.</w:t>
      </w:r>
    </w:p>
  </w:footnote>
  <w:footnote w:id="5">
    <w:p w14:paraId="55778D0F" w14:textId="77777777" w:rsidR="006B5117" w:rsidRPr="006B5117" w:rsidRDefault="006B5117">
      <w:pPr>
        <w:pStyle w:val="FootnoteText"/>
        <w:rPr>
          <w:rFonts w:ascii="Times New Roman" w:hAnsi="Times New Roman"/>
          <w:i/>
        </w:rPr>
      </w:pPr>
      <w:r w:rsidRPr="006B5117">
        <w:rPr>
          <w:rStyle w:val="FootnoteReference"/>
          <w:vertAlign w:val="superscript"/>
        </w:rPr>
        <w:footnoteRef/>
      </w:r>
      <w:r w:rsidR="002B51FD">
        <w:rPr>
          <w:rFonts w:ascii="Times New Roman" w:hAnsi="Times New Roman"/>
        </w:rPr>
        <w:t xml:space="preserve"> </w:t>
      </w:r>
      <w:r>
        <w:rPr>
          <w:rFonts w:ascii="Times New Roman" w:hAnsi="Times New Roman"/>
        </w:rPr>
        <w:t xml:space="preserve">The proposed rule and comments are accessible at </w:t>
      </w:r>
      <w:r w:rsidRPr="006B5117">
        <w:rPr>
          <w:rFonts w:ascii="Times New Roman" w:hAnsi="Times New Roman"/>
          <w:i/>
        </w:rPr>
        <w:t>https://www.pbgc.gov/prac/pg/other/guidance/pending-proposed-rules.</w:t>
      </w:r>
    </w:p>
  </w:footnote>
  <w:footnote w:id="6">
    <w:p w14:paraId="666B4B78" w14:textId="77777777" w:rsidR="00394079" w:rsidRPr="00126CA2" w:rsidRDefault="00A4693D" w:rsidP="007C691C">
      <w:pPr>
        <w:pStyle w:val="FootnoteText"/>
        <w:rPr>
          <w:rFonts w:ascii="Times New Roman" w:hAnsi="Times New Roman"/>
        </w:rPr>
      </w:pPr>
      <w:r>
        <w:rPr>
          <w:rFonts w:ascii="Times New Roman" w:hAnsi="Times New Roman"/>
          <w:vertAlign w:val="superscript"/>
        </w:rPr>
        <w:t xml:space="preserve"> </w:t>
      </w:r>
      <w:r w:rsidR="00394079" w:rsidRPr="00E526A9">
        <w:rPr>
          <w:rStyle w:val="FootnoteReference"/>
          <w:rFonts w:ascii="Times New Roman" w:hAnsi="Times New Roman"/>
          <w:vertAlign w:val="superscript"/>
        </w:rPr>
        <w:footnoteRef/>
      </w:r>
      <w:r w:rsidR="00394079" w:rsidRPr="00E526A9">
        <w:rPr>
          <w:rFonts w:ascii="Times New Roman" w:hAnsi="Times New Roman"/>
          <w:vertAlign w:val="superscript"/>
        </w:rPr>
        <w:t xml:space="preserve"> </w:t>
      </w:r>
      <w:r>
        <w:rPr>
          <w:rFonts w:ascii="Times New Roman" w:hAnsi="Times New Roman"/>
          <w:vertAlign w:val="superscript"/>
        </w:rPr>
        <w:t xml:space="preserve"> </w:t>
      </w:r>
      <w:r w:rsidR="00394079" w:rsidRPr="00126CA2">
        <w:rPr>
          <w:rFonts w:ascii="Times New Roman" w:hAnsi="Times New Roman"/>
        </w:rPr>
        <w:t xml:space="preserve">Based on a review of the requirements plans and PBGC must </w:t>
      </w:r>
      <w:r w:rsidR="00394079">
        <w:rPr>
          <w:rFonts w:ascii="Times New Roman" w:hAnsi="Times New Roman"/>
        </w:rPr>
        <w:t xml:space="preserve">comply with for both partitions under amended section 4233 of ERISA </w:t>
      </w:r>
      <w:r w:rsidR="00394079" w:rsidRPr="00126CA2">
        <w:rPr>
          <w:rFonts w:ascii="Times New Roman" w:hAnsi="Times New Roman"/>
        </w:rPr>
        <w:t>and financial assistance mergers</w:t>
      </w:r>
      <w:r w:rsidR="00394079">
        <w:rPr>
          <w:rFonts w:ascii="Times New Roman" w:hAnsi="Times New Roman"/>
        </w:rPr>
        <w:t xml:space="preserve"> under amended section 4231 of ERISA</w:t>
      </w:r>
      <w:r w:rsidR="00394079" w:rsidRPr="00126CA2">
        <w:rPr>
          <w:rFonts w:ascii="Times New Roman" w:hAnsi="Times New Roman"/>
        </w:rPr>
        <w:t xml:space="preserve">, particularly the requirement that PBGC not impair its ability to </w:t>
      </w:r>
      <w:r w:rsidR="00394079">
        <w:rPr>
          <w:rFonts w:ascii="Times New Roman" w:hAnsi="Times New Roman"/>
        </w:rPr>
        <w:t>meet existing financial assistance obligations to</w:t>
      </w:r>
      <w:r w:rsidR="00394079" w:rsidRPr="00126CA2">
        <w:rPr>
          <w:rFonts w:ascii="Times New Roman" w:hAnsi="Times New Roman"/>
        </w:rPr>
        <w:t xml:space="preserve"> other plans, PBGC expects that </w:t>
      </w:r>
      <w:r w:rsidR="00394079">
        <w:rPr>
          <w:rFonts w:ascii="Times New Roman" w:hAnsi="Times New Roman"/>
        </w:rPr>
        <w:t xml:space="preserve">about six plans per year </w:t>
      </w:r>
      <w:r w:rsidR="00394079" w:rsidRPr="00126CA2">
        <w:rPr>
          <w:rFonts w:ascii="Times New Roman" w:hAnsi="Times New Roman"/>
        </w:rPr>
        <w:t>w</w:t>
      </w:r>
      <w:r w:rsidR="00574613">
        <w:rPr>
          <w:rFonts w:ascii="Times New Roman" w:hAnsi="Times New Roman"/>
        </w:rPr>
        <w:t>ill</w:t>
      </w:r>
      <w:r w:rsidR="00394079" w:rsidRPr="00126CA2">
        <w:rPr>
          <w:rFonts w:ascii="Times New Roman" w:hAnsi="Times New Roman"/>
        </w:rPr>
        <w:t xml:space="preserve"> be approved for either partition or financial assistance merger</w:t>
      </w:r>
      <w:r w:rsidR="00394079">
        <w:rPr>
          <w:rFonts w:ascii="Times New Roman" w:hAnsi="Times New Roman"/>
        </w:rPr>
        <w:t xml:space="preserve">.  Thus, it is possible that PBGC may receive less than six </w:t>
      </w:r>
      <w:r w:rsidR="008405F1">
        <w:rPr>
          <w:rFonts w:ascii="Times New Roman" w:hAnsi="Times New Roman"/>
        </w:rPr>
        <w:t>request</w:t>
      </w:r>
      <w:r w:rsidR="00394079">
        <w:rPr>
          <w:rFonts w:ascii="Times New Roman" w:hAnsi="Times New Roman"/>
        </w:rPr>
        <w:t>s for a financial assistance merger per year</w:t>
      </w:r>
      <w:r w:rsidR="00394079" w:rsidRPr="00126CA2">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A4FB8" w14:textId="77777777" w:rsidR="00394079" w:rsidRDefault="00394079">
    <w:pPr>
      <w:framePr w:w="9361" w:wrap="notBeside" w:vAnchor="text" w:hAnchor="text" w:x="1" w:y="1"/>
      <w:jc w:val="center"/>
    </w:pPr>
  </w:p>
  <w:p w14:paraId="31512155" w14:textId="77777777" w:rsidR="00394079" w:rsidRDefault="00394079">
    <w:pPr>
      <w:rPr>
        <w:rFonts w:ascii="Shruti" w:hAnsi="Shruti" w:cs="Shruti"/>
      </w:rPr>
    </w:pPr>
  </w:p>
  <w:p w14:paraId="10788B67" w14:textId="77777777" w:rsidR="00394079" w:rsidRDefault="00394079">
    <w:pPr>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5C5A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14584"/>
    <w:multiLevelType w:val="hybridMultilevel"/>
    <w:tmpl w:val="AD2AC146"/>
    <w:lvl w:ilvl="0" w:tplc="02500EAE">
      <w:start w:val="1"/>
      <w:numFmt w:val="low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D20FB7"/>
    <w:multiLevelType w:val="hybridMultilevel"/>
    <w:tmpl w:val="2992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C16"/>
    <w:rsid w:val="00004279"/>
    <w:rsid w:val="0001218C"/>
    <w:rsid w:val="000123AA"/>
    <w:rsid w:val="000357A0"/>
    <w:rsid w:val="0003773A"/>
    <w:rsid w:val="00040A70"/>
    <w:rsid w:val="00046641"/>
    <w:rsid w:val="00051237"/>
    <w:rsid w:val="00053988"/>
    <w:rsid w:val="0005601B"/>
    <w:rsid w:val="00061981"/>
    <w:rsid w:val="00063538"/>
    <w:rsid w:val="00063C1D"/>
    <w:rsid w:val="00072A12"/>
    <w:rsid w:val="000763A5"/>
    <w:rsid w:val="000772AC"/>
    <w:rsid w:val="000833A9"/>
    <w:rsid w:val="00083E2A"/>
    <w:rsid w:val="00085F9C"/>
    <w:rsid w:val="000948C4"/>
    <w:rsid w:val="00095476"/>
    <w:rsid w:val="000A24AB"/>
    <w:rsid w:val="000A74BE"/>
    <w:rsid w:val="000B44E9"/>
    <w:rsid w:val="000C73CA"/>
    <w:rsid w:val="000D6EC9"/>
    <w:rsid w:val="000E0A41"/>
    <w:rsid w:val="000E4C10"/>
    <w:rsid w:val="000F44F0"/>
    <w:rsid w:val="00103B9D"/>
    <w:rsid w:val="00103EFC"/>
    <w:rsid w:val="00126CA2"/>
    <w:rsid w:val="0012744C"/>
    <w:rsid w:val="00127F7F"/>
    <w:rsid w:val="0014195F"/>
    <w:rsid w:val="001516C9"/>
    <w:rsid w:val="001A19A0"/>
    <w:rsid w:val="001B6521"/>
    <w:rsid w:val="001C0639"/>
    <w:rsid w:val="001C468F"/>
    <w:rsid w:val="001D1BCE"/>
    <w:rsid w:val="001D7429"/>
    <w:rsid w:val="001E00F4"/>
    <w:rsid w:val="001E1418"/>
    <w:rsid w:val="001E4600"/>
    <w:rsid w:val="001E5343"/>
    <w:rsid w:val="001E6242"/>
    <w:rsid w:val="001E6880"/>
    <w:rsid w:val="001F39F7"/>
    <w:rsid w:val="001F3B6F"/>
    <w:rsid w:val="001F4798"/>
    <w:rsid w:val="0020017E"/>
    <w:rsid w:val="0020641A"/>
    <w:rsid w:val="002123A1"/>
    <w:rsid w:val="00214C32"/>
    <w:rsid w:val="0022252C"/>
    <w:rsid w:val="002225C8"/>
    <w:rsid w:val="00227886"/>
    <w:rsid w:val="0023456E"/>
    <w:rsid w:val="00241556"/>
    <w:rsid w:val="002527E0"/>
    <w:rsid w:val="0025637A"/>
    <w:rsid w:val="00256AB6"/>
    <w:rsid w:val="002655AC"/>
    <w:rsid w:val="00295EC1"/>
    <w:rsid w:val="002B0D54"/>
    <w:rsid w:val="002B41D1"/>
    <w:rsid w:val="002B51FD"/>
    <w:rsid w:val="002C13D6"/>
    <w:rsid w:val="002C664A"/>
    <w:rsid w:val="002D118F"/>
    <w:rsid w:val="002D177E"/>
    <w:rsid w:val="002D2137"/>
    <w:rsid w:val="002D2DA8"/>
    <w:rsid w:val="002D62C7"/>
    <w:rsid w:val="002D73F1"/>
    <w:rsid w:val="002E0FDF"/>
    <w:rsid w:val="002E1D19"/>
    <w:rsid w:val="002E6778"/>
    <w:rsid w:val="002E6EA8"/>
    <w:rsid w:val="002F2813"/>
    <w:rsid w:val="002F5783"/>
    <w:rsid w:val="00301C54"/>
    <w:rsid w:val="003070F5"/>
    <w:rsid w:val="00314706"/>
    <w:rsid w:val="003402A1"/>
    <w:rsid w:val="00355524"/>
    <w:rsid w:val="00360787"/>
    <w:rsid w:val="003614EA"/>
    <w:rsid w:val="00362410"/>
    <w:rsid w:val="003625B1"/>
    <w:rsid w:val="0036412C"/>
    <w:rsid w:val="00366BBE"/>
    <w:rsid w:val="00367EAB"/>
    <w:rsid w:val="00374EC3"/>
    <w:rsid w:val="00380835"/>
    <w:rsid w:val="00380AA2"/>
    <w:rsid w:val="00394079"/>
    <w:rsid w:val="003A6987"/>
    <w:rsid w:val="003B0839"/>
    <w:rsid w:val="003B0A9B"/>
    <w:rsid w:val="003B25C4"/>
    <w:rsid w:val="003B5414"/>
    <w:rsid w:val="003E05A5"/>
    <w:rsid w:val="003F4CC2"/>
    <w:rsid w:val="003F6139"/>
    <w:rsid w:val="003F675C"/>
    <w:rsid w:val="0040468D"/>
    <w:rsid w:val="00417ECD"/>
    <w:rsid w:val="00440469"/>
    <w:rsid w:val="004432A5"/>
    <w:rsid w:val="00450FA9"/>
    <w:rsid w:val="00450FCF"/>
    <w:rsid w:val="00454744"/>
    <w:rsid w:val="00461956"/>
    <w:rsid w:val="0046354D"/>
    <w:rsid w:val="00475E77"/>
    <w:rsid w:val="00490DDA"/>
    <w:rsid w:val="00493902"/>
    <w:rsid w:val="004A20AD"/>
    <w:rsid w:val="004B306B"/>
    <w:rsid w:val="004B6A01"/>
    <w:rsid w:val="004C2A25"/>
    <w:rsid w:val="004C35F0"/>
    <w:rsid w:val="004C7E16"/>
    <w:rsid w:val="004E1371"/>
    <w:rsid w:val="004E33D2"/>
    <w:rsid w:val="004E73FA"/>
    <w:rsid w:val="004F44A9"/>
    <w:rsid w:val="004F4769"/>
    <w:rsid w:val="005024F1"/>
    <w:rsid w:val="00531710"/>
    <w:rsid w:val="00540FB0"/>
    <w:rsid w:val="00547843"/>
    <w:rsid w:val="005514F3"/>
    <w:rsid w:val="00553906"/>
    <w:rsid w:val="0056699D"/>
    <w:rsid w:val="005716B4"/>
    <w:rsid w:val="00574613"/>
    <w:rsid w:val="005756D6"/>
    <w:rsid w:val="005805D6"/>
    <w:rsid w:val="00595D67"/>
    <w:rsid w:val="005A7386"/>
    <w:rsid w:val="005B6B8D"/>
    <w:rsid w:val="005C58B5"/>
    <w:rsid w:val="005E1980"/>
    <w:rsid w:val="005E2310"/>
    <w:rsid w:val="005E3680"/>
    <w:rsid w:val="005E4034"/>
    <w:rsid w:val="005E76D8"/>
    <w:rsid w:val="005F37C0"/>
    <w:rsid w:val="005F4C8B"/>
    <w:rsid w:val="005F5EF9"/>
    <w:rsid w:val="00602EB8"/>
    <w:rsid w:val="0061485E"/>
    <w:rsid w:val="00617273"/>
    <w:rsid w:val="00624F9A"/>
    <w:rsid w:val="006524F9"/>
    <w:rsid w:val="006552BD"/>
    <w:rsid w:val="00691AD5"/>
    <w:rsid w:val="00691DE3"/>
    <w:rsid w:val="006B5117"/>
    <w:rsid w:val="006B6032"/>
    <w:rsid w:val="006C4CEF"/>
    <w:rsid w:val="006C58CF"/>
    <w:rsid w:val="006D0A2C"/>
    <w:rsid w:val="006D0BF8"/>
    <w:rsid w:val="006D35F4"/>
    <w:rsid w:val="006D36B3"/>
    <w:rsid w:val="006D61B7"/>
    <w:rsid w:val="006E3FF5"/>
    <w:rsid w:val="006E4A7F"/>
    <w:rsid w:val="006E5088"/>
    <w:rsid w:val="006F7B61"/>
    <w:rsid w:val="007104B7"/>
    <w:rsid w:val="007111D7"/>
    <w:rsid w:val="00711D35"/>
    <w:rsid w:val="007140A7"/>
    <w:rsid w:val="00715964"/>
    <w:rsid w:val="00723C63"/>
    <w:rsid w:val="00730D90"/>
    <w:rsid w:val="007350AC"/>
    <w:rsid w:val="007414B0"/>
    <w:rsid w:val="00743C5C"/>
    <w:rsid w:val="00744DB8"/>
    <w:rsid w:val="007457C6"/>
    <w:rsid w:val="00752374"/>
    <w:rsid w:val="00764C09"/>
    <w:rsid w:val="0076694A"/>
    <w:rsid w:val="007749DE"/>
    <w:rsid w:val="0078152B"/>
    <w:rsid w:val="007831A3"/>
    <w:rsid w:val="00785CC9"/>
    <w:rsid w:val="007914EE"/>
    <w:rsid w:val="007916AF"/>
    <w:rsid w:val="0079290E"/>
    <w:rsid w:val="00793CE4"/>
    <w:rsid w:val="007A1023"/>
    <w:rsid w:val="007C2718"/>
    <w:rsid w:val="007C2744"/>
    <w:rsid w:val="007C691C"/>
    <w:rsid w:val="007C7253"/>
    <w:rsid w:val="007D2170"/>
    <w:rsid w:val="007E435F"/>
    <w:rsid w:val="007F06D6"/>
    <w:rsid w:val="007F09FA"/>
    <w:rsid w:val="0081548E"/>
    <w:rsid w:val="00824065"/>
    <w:rsid w:val="00830D15"/>
    <w:rsid w:val="008337D8"/>
    <w:rsid w:val="008353CE"/>
    <w:rsid w:val="008405F1"/>
    <w:rsid w:val="00844C01"/>
    <w:rsid w:val="008622CE"/>
    <w:rsid w:val="0086441D"/>
    <w:rsid w:val="00866F2B"/>
    <w:rsid w:val="00870F82"/>
    <w:rsid w:val="0089389C"/>
    <w:rsid w:val="00895400"/>
    <w:rsid w:val="008A2973"/>
    <w:rsid w:val="008A6BDE"/>
    <w:rsid w:val="008A7FE2"/>
    <w:rsid w:val="008B2D47"/>
    <w:rsid w:val="008B5A14"/>
    <w:rsid w:val="008C2232"/>
    <w:rsid w:val="008E3234"/>
    <w:rsid w:val="008E4391"/>
    <w:rsid w:val="008E58A5"/>
    <w:rsid w:val="008E7D21"/>
    <w:rsid w:val="008F1CD9"/>
    <w:rsid w:val="008F2593"/>
    <w:rsid w:val="00902ABF"/>
    <w:rsid w:val="00921109"/>
    <w:rsid w:val="00924C16"/>
    <w:rsid w:val="00925E27"/>
    <w:rsid w:val="009341C4"/>
    <w:rsid w:val="009364AC"/>
    <w:rsid w:val="00942A97"/>
    <w:rsid w:val="00942D69"/>
    <w:rsid w:val="00950026"/>
    <w:rsid w:val="00950A41"/>
    <w:rsid w:val="00957AE5"/>
    <w:rsid w:val="00960BBE"/>
    <w:rsid w:val="009728B5"/>
    <w:rsid w:val="00975F3B"/>
    <w:rsid w:val="0097788C"/>
    <w:rsid w:val="0099373D"/>
    <w:rsid w:val="00994AFC"/>
    <w:rsid w:val="009963BF"/>
    <w:rsid w:val="009A1729"/>
    <w:rsid w:val="009A5679"/>
    <w:rsid w:val="009A6133"/>
    <w:rsid w:val="009A6CB5"/>
    <w:rsid w:val="009B0B59"/>
    <w:rsid w:val="009B1B78"/>
    <w:rsid w:val="009D062F"/>
    <w:rsid w:val="009D3FCB"/>
    <w:rsid w:val="009D612D"/>
    <w:rsid w:val="009E0BFC"/>
    <w:rsid w:val="009E566C"/>
    <w:rsid w:val="009E6AEF"/>
    <w:rsid w:val="009F7CD1"/>
    <w:rsid w:val="00A14157"/>
    <w:rsid w:val="00A174CB"/>
    <w:rsid w:val="00A20A56"/>
    <w:rsid w:val="00A4457A"/>
    <w:rsid w:val="00A4693D"/>
    <w:rsid w:val="00A5116C"/>
    <w:rsid w:val="00A55F07"/>
    <w:rsid w:val="00A56F28"/>
    <w:rsid w:val="00A643E2"/>
    <w:rsid w:val="00A7021A"/>
    <w:rsid w:val="00A7471F"/>
    <w:rsid w:val="00A76FB5"/>
    <w:rsid w:val="00A829E9"/>
    <w:rsid w:val="00A86DF6"/>
    <w:rsid w:val="00A9048E"/>
    <w:rsid w:val="00A953B4"/>
    <w:rsid w:val="00AA3D65"/>
    <w:rsid w:val="00AC0C41"/>
    <w:rsid w:val="00AD3871"/>
    <w:rsid w:val="00AD79C4"/>
    <w:rsid w:val="00AE1311"/>
    <w:rsid w:val="00AE3620"/>
    <w:rsid w:val="00AE7BEB"/>
    <w:rsid w:val="00AF0AED"/>
    <w:rsid w:val="00AF1033"/>
    <w:rsid w:val="00B10904"/>
    <w:rsid w:val="00B23991"/>
    <w:rsid w:val="00B241B8"/>
    <w:rsid w:val="00B2650D"/>
    <w:rsid w:val="00B34946"/>
    <w:rsid w:val="00B51C27"/>
    <w:rsid w:val="00B553C3"/>
    <w:rsid w:val="00B6317D"/>
    <w:rsid w:val="00B6415F"/>
    <w:rsid w:val="00B71942"/>
    <w:rsid w:val="00B720B6"/>
    <w:rsid w:val="00B72C6F"/>
    <w:rsid w:val="00B75B0B"/>
    <w:rsid w:val="00B80832"/>
    <w:rsid w:val="00B97D1D"/>
    <w:rsid w:val="00BB2752"/>
    <w:rsid w:val="00BB35AC"/>
    <w:rsid w:val="00BB5CAC"/>
    <w:rsid w:val="00BB7D79"/>
    <w:rsid w:val="00BC5380"/>
    <w:rsid w:val="00BC75AB"/>
    <w:rsid w:val="00BD16BA"/>
    <w:rsid w:val="00BD328F"/>
    <w:rsid w:val="00BD75C1"/>
    <w:rsid w:val="00BF1398"/>
    <w:rsid w:val="00BF396F"/>
    <w:rsid w:val="00C07E79"/>
    <w:rsid w:val="00C10020"/>
    <w:rsid w:val="00C11B47"/>
    <w:rsid w:val="00C20BD9"/>
    <w:rsid w:val="00C25DE5"/>
    <w:rsid w:val="00C37214"/>
    <w:rsid w:val="00C44EA2"/>
    <w:rsid w:val="00C60E47"/>
    <w:rsid w:val="00C63E95"/>
    <w:rsid w:val="00C67E73"/>
    <w:rsid w:val="00C7729A"/>
    <w:rsid w:val="00C7751A"/>
    <w:rsid w:val="00C84365"/>
    <w:rsid w:val="00C849DC"/>
    <w:rsid w:val="00C9027F"/>
    <w:rsid w:val="00C915F5"/>
    <w:rsid w:val="00C93D59"/>
    <w:rsid w:val="00C946F9"/>
    <w:rsid w:val="00CB1843"/>
    <w:rsid w:val="00CC2ADC"/>
    <w:rsid w:val="00CD0B7C"/>
    <w:rsid w:val="00CE3B71"/>
    <w:rsid w:val="00CF0763"/>
    <w:rsid w:val="00CF2856"/>
    <w:rsid w:val="00D0440B"/>
    <w:rsid w:val="00D0568F"/>
    <w:rsid w:val="00D244CB"/>
    <w:rsid w:val="00D42FF3"/>
    <w:rsid w:val="00D520CE"/>
    <w:rsid w:val="00D60341"/>
    <w:rsid w:val="00D7614C"/>
    <w:rsid w:val="00D823E5"/>
    <w:rsid w:val="00D824D6"/>
    <w:rsid w:val="00D82867"/>
    <w:rsid w:val="00D84C2D"/>
    <w:rsid w:val="00D93320"/>
    <w:rsid w:val="00D94385"/>
    <w:rsid w:val="00D959E9"/>
    <w:rsid w:val="00D95C74"/>
    <w:rsid w:val="00DA18B2"/>
    <w:rsid w:val="00DB5BE9"/>
    <w:rsid w:val="00DB7BFB"/>
    <w:rsid w:val="00DC107D"/>
    <w:rsid w:val="00DC6949"/>
    <w:rsid w:val="00DD2A95"/>
    <w:rsid w:val="00DD636D"/>
    <w:rsid w:val="00DF0605"/>
    <w:rsid w:val="00DF1136"/>
    <w:rsid w:val="00E00836"/>
    <w:rsid w:val="00E01097"/>
    <w:rsid w:val="00E03C6F"/>
    <w:rsid w:val="00E05026"/>
    <w:rsid w:val="00E11449"/>
    <w:rsid w:val="00E12799"/>
    <w:rsid w:val="00E16809"/>
    <w:rsid w:val="00E36D00"/>
    <w:rsid w:val="00E40BB2"/>
    <w:rsid w:val="00E42033"/>
    <w:rsid w:val="00E44A43"/>
    <w:rsid w:val="00E45957"/>
    <w:rsid w:val="00E526A9"/>
    <w:rsid w:val="00E61BD4"/>
    <w:rsid w:val="00E8131C"/>
    <w:rsid w:val="00E869F9"/>
    <w:rsid w:val="00E86C28"/>
    <w:rsid w:val="00E90A19"/>
    <w:rsid w:val="00E92363"/>
    <w:rsid w:val="00E9745C"/>
    <w:rsid w:val="00EA173C"/>
    <w:rsid w:val="00EA5486"/>
    <w:rsid w:val="00EA6696"/>
    <w:rsid w:val="00EB1C59"/>
    <w:rsid w:val="00EB5061"/>
    <w:rsid w:val="00EC4147"/>
    <w:rsid w:val="00ED15B6"/>
    <w:rsid w:val="00ED281B"/>
    <w:rsid w:val="00EE23B5"/>
    <w:rsid w:val="00EE3239"/>
    <w:rsid w:val="00EE3D85"/>
    <w:rsid w:val="00EF06F1"/>
    <w:rsid w:val="00EF5A9A"/>
    <w:rsid w:val="00F07CD1"/>
    <w:rsid w:val="00F12785"/>
    <w:rsid w:val="00F23A84"/>
    <w:rsid w:val="00F25681"/>
    <w:rsid w:val="00F276F5"/>
    <w:rsid w:val="00F30193"/>
    <w:rsid w:val="00F33A26"/>
    <w:rsid w:val="00F46B91"/>
    <w:rsid w:val="00F543A7"/>
    <w:rsid w:val="00F5567F"/>
    <w:rsid w:val="00F57D01"/>
    <w:rsid w:val="00F62D21"/>
    <w:rsid w:val="00F66F70"/>
    <w:rsid w:val="00F778EA"/>
    <w:rsid w:val="00F82D07"/>
    <w:rsid w:val="00F9454A"/>
    <w:rsid w:val="00F95A6C"/>
    <w:rsid w:val="00F96D31"/>
    <w:rsid w:val="00FA3130"/>
    <w:rsid w:val="00FA5B1F"/>
    <w:rsid w:val="00FB3ACA"/>
    <w:rsid w:val="00FB4197"/>
    <w:rsid w:val="00FB76C4"/>
    <w:rsid w:val="00FC137F"/>
    <w:rsid w:val="00FC632A"/>
    <w:rsid w:val="00FD1259"/>
    <w:rsid w:val="00FD366E"/>
    <w:rsid w:val="00FD45A4"/>
    <w:rsid w:val="00FD72D2"/>
    <w:rsid w:val="00FF0B45"/>
    <w:rsid w:val="00FF10F1"/>
    <w:rsid w:val="00FF5F6A"/>
    <w:rsid w:val="00FF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D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7C2718"/>
    <w:pPr>
      <w:tabs>
        <w:tab w:val="center" w:pos="4320"/>
        <w:tab w:val="right" w:pos="8640"/>
      </w:tabs>
    </w:pPr>
  </w:style>
  <w:style w:type="paragraph" w:styleId="Footer">
    <w:name w:val="footer"/>
    <w:basedOn w:val="Normal"/>
    <w:link w:val="FooterChar"/>
    <w:uiPriority w:val="99"/>
    <w:rsid w:val="007C2718"/>
    <w:pPr>
      <w:tabs>
        <w:tab w:val="center" w:pos="4320"/>
        <w:tab w:val="right" w:pos="8640"/>
      </w:tabs>
    </w:pPr>
  </w:style>
  <w:style w:type="character" w:styleId="PageNumber">
    <w:name w:val="page number"/>
    <w:basedOn w:val="DefaultParagraphFont"/>
    <w:rsid w:val="007C2718"/>
  </w:style>
  <w:style w:type="paragraph" w:styleId="BalloonText">
    <w:name w:val="Balloon Text"/>
    <w:basedOn w:val="Normal"/>
    <w:link w:val="BalloonTextChar"/>
    <w:rsid w:val="00BB35AC"/>
    <w:rPr>
      <w:rFonts w:ascii="Tahoma" w:hAnsi="Tahoma" w:cs="Tahoma"/>
      <w:sz w:val="16"/>
      <w:szCs w:val="16"/>
    </w:rPr>
  </w:style>
  <w:style w:type="character" w:customStyle="1" w:styleId="BalloonTextChar">
    <w:name w:val="Balloon Text Char"/>
    <w:link w:val="BalloonText"/>
    <w:rsid w:val="00BB35AC"/>
    <w:rPr>
      <w:rFonts w:ascii="Tahoma" w:hAnsi="Tahoma" w:cs="Tahoma"/>
      <w:sz w:val="16"/>
      <w:szCs w:val="16"/>
    </w:rPr>
  </w:style>
  <w:style w:type="character" w:customStyle="1" w:styleId="FooterChar">
    <w:name w:val="Footer Char"/>
    <w:link w:val="Footer"/>
    <w:uiPriority w:val="99"/>
    <w:rsid w:val="00D824D6"/>
    <w:rPr>
      <w:rFonts w:ascii="Courier" w:hAnsi="Courier"/>
      <w:sz w:val="24"/>
      <w:szCs w:val="24"/>
    </w:rPr>
  </w:style>
  <w:style w:type="character" w:styleId="CommentReference">
    <w:name w:val="annotation reference"/>
    <w:rsid w:val="001516C9"/>
    <w:rPr>
      <w:sz w:val="16"/>
      <w:szCs w:val="16"/>
    </w:rPr>
  </w:style>
  <w:style w:type="paragraph" w:styleId="CommentText">
    <w:name w:val="annotation text"/>
    <w:basedOn w:val="Normal"/>
    <w:link w:val="CommentTextChar"/>
    <w:rsid w:val="001516C9"/>
    <w:rPr>
      <w:sz w:val="20"/>
      <w:szCs w:val="20"/>
    </w:rPr>
  </w:style>
  <w:style w:type="character" w:customStyle="1" w:styleId="CommentTextChar">
    <w:name w:val="Comment Text Char"/>
    <w:link w:val="CommentText"/>
    <w:rsid w:val="001516C9"/>
    <w:rPr>
      <w:rFonts w:ascii="Courier" w:hAnsi="Courier"/>
    </w:rPr>
  </w:style>
  <w:style w:type="paragraph" w:styleId="CommentSubject">
    <w:name w:val="annotation subject"/>
    <w:basedOn w:val="CommentText"/>
    <w:next w:val="CommentText"/>
    <w:link w:val="CommentSubjectChar"/>
    <w:rsid w:val="001516C9"/>
    <w:rPr>
      <w:b/>
      <w:bCs/>
    </w:rPr>
  </w:style>
  <w:style w:type="character" w:customStyle="1" w:styleId="CommentSubjectChar">
    <w:name w:val="Comment Subject Char"/>
    <w:link w:val="CommentSubject"/>
    <w:rsid w:val="001516C9"/>
    <w:rPr>
      <w:rFonts w:ascii="Courier" w:hAnsi="Courier"/>
      <w:b/>
      <w:bCs/>
    </w:rPr>
  </w:style>
  <w:style w:type="paragraph" w:styleId="Revision">
    <w:name w:val="Revision"/>
    <w:hidden/>
    <w:uiPriority w:val="99"/>
    <w:semiHidden/>
    <w:rsid w:val="001516C9"/>
    <w:rPr>
      <w:rFonts w:ascii="Courier" w:hAnsi="Courier"/>
      <w:sz w:val="24"/>
      <w:szCs w:val="24"/>
    </w:rPr>
  </w:style>
  <w:style w:type="character" w:styleId="Hyperlink">
    <w:name w:val="Hyperlink"/>
    <w:rsid w:val="00FD1259"/>
    <w:rPr>
      <w:strike w:val="0"/>
      <w:dstrike w:val="0"/>
      <w:color w:val="000080"/>
      <w:u w:val="none"/>
      <w:effect w:val="none"/>
    </w:rPr>
  </w:style>
  <w:style w:type="paragraph" w:styleId="FootnoteText">
    <w:name w:val="footnote text"/>
    <w:basedOn w:val="Normal"/>
    <w:link w:val="FootnoteTextChar"/>
    <w:rsid w:val="00FD1259"/>
    <w:rPr>
      <w:sz w:val="20"/>
      <w:szCs w:val="20"/>
    </w:rPr>
  </w:style>
  <w:style w:type="character" w:customStyle="1" w:styleId="FootnoteTextChar">
    <w:name w:val="Footnote Text Char"/>
    <w:link w:val="FootnoteText"/>
    <w:rsid w:val="00FD1259"/>
    <w:rPr>
      <w:rFonts w:ascii="Courier" w:hAnsi="Courier"/>
    </w:rPr>
  </w:style>
  <w:style w:type="paragraph" w:styleId="ListParagraph">
    <w:name w:val="List Paragraph"/>
    <w:basedOn w:val="Normal"/>
    <w:uiPriority w:val="34"/>
    <w:qFormat/>
    <w:rsid w:val="00F57D01"/>
    <w:pPr>
      <w:ind w:left="720"/>
    </w:pPr>
  </w:style>
  <w:style w:type="character" w:styleId="FollowedHyperlink">
    <w:name w:val="FollowedHyperlink"/>
    <w:rsid w:val="003E05A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7C2718"/>
    <w:pPr>
      <w:tabs>
        <w:tab w:val="center" w:pos="4320"/>
        <w:tab w:val="right" w:pos="8640"/>
      </w:tabs>
    </w:pPr>
  </w:style>
  <w:style w:type="paragraph" w:styleId="Footer">
    <w:name w:val="footer"/>
    <w:basedOn w:val="Normal"/>
    <w:link w:val="FooterChar"/>
    <w:uiPriority w:val="99"/>
    <w:rsid w:val="007C2718"/>
    <w:pPr>
      <w:tabs>
        <w:tab w:val="center" w:pos="4320"/>
        <w:tab w:val="right" w:pos="8640"/>
      </w:tabs>
    </w:pPr>
  </w:style>
  <w:style w:type="character" w:styleId="PageNumber">
    <w:name w:val="page number"/>
    <w:basedOn w:val="DefaultParagraphFont"/>
    <w:rsid w:val="007C2718"/>
  </w:style>
  <w:style w:type="paragraph" w:styleId="BalloonText">
    <w:name w:val="Balloon Text"/>
    <w:basedOn w:val="Normal"/>
    <w:link w:val="BalloonTextChar"/>
    <w:rsid w:val="00BB35AC"/>
    <w:rPr>
      <w:rFonts w:ascii="Tahoma" w:hAnsi="Tahoma" w:cs="Tahoma"/>
      <w:sz w:val="16"/>
      <w:szCs w:val="16"/>
    </w:rPr>
  </w:style>
  <w:style w:type="character" w:customStyle="1" w:styleId="BalloonTextChar">
    <w:name w:val="Balloon Text Char"/>
    <w:link w:val="BalloonText"/>
    <w:rsid w:val="00BB35AC"/>
    <w:rPr>
      <w:rFonts w:ascii="Tahoma" w:hAnsi="Tahoma" w:cs="Tahoma"/>
      <w:sz w:val="16"/>
      <w:szCs w:val="16"/>
    </w:rPr>
  </w:style>
  <w:style w:type="character" w:customStyle="1" w:styleId="FooterChar">
    <w:name w:val="Footer Char"/>
    <w:link w:val="Footer"/>
    <w:uiPriority w:val="99"/>
    <w:rsid w:val="00D824D6"/>
    <w:rPr>
      <w:rFonts w:ascii="Courier" w:hAnsi="Courier"/>
      <w:sz w:val="24"/>
      <w:szCs w:val="24"/>
    </w:rPr>
  </w:style>
  <w:style w:type="character" w:styleId="CommentReference">
    <w:name w:val="annotation reference"/>
    <w:rsid w:val="001516C9"/>
    <w:rPr>
      <w:sz w:val="16"/>
      <w:szCs w:val="16"/>
    </w:rPr>
  </w:style>
  <w:style w:type="paragraph" w:styleId="CommentText">
    <w:name w:val="annotation text"/>
    <w:basedOn w:val="Normal"/>
    <w:link w:val="CommentTextChar"/>
    <w:rsid w:val="001516C9"/>
    <w:rPr>
      <w:sz w:val="20"/>
      <w:szCs w:val="20"/>
    </w:rPr>
  </w:style>
  <w:style w:type="character" w:customStyle="1" w:styleId="CommentTextChar">
    <w:name w:val="Comment Text Char"/>
    <w:link w:val="CommentText"/>
    <w:rsid w:val="001516C9"/>
    <w:rPr>
      <w:rFonts w:ascii="Courier" w:hAnsi="Courier"/>
    </w:rPr>
  </w:style>
  <w:style w:type="paragraph" w:styleId="CommentSubject">
    <w:name w:val="annotation subject"/>
    <w:basedOn w:val="CommentText"/>
    <w:next w:val="CommentText"/>
    <w:link w:val="CommentSubjectChar"/>
    <w:rsid w:val="001516C9"/>
    <w:rPr>
      <w:b/>
      <w:bCs/>
    </w:rPr>
  </w:style>
  <w:style w:type="character" w:customStyle="1" w:styleId="CommentSubjectChar">
    <w:name w:val="Comment Subject Char"/>
    <w:link w:val="CommentSubject"/>
    <w:rsid w:val="001516C9"/>
    <w:rPr>
      <w:rFonts w:ascii="Courier" w:hAnsi="Courier"/>
      <w:b/>
      <w:bCs/>
    </w:rPr>
  </w:style>
  <w:style w:type="paragraph" w:styleId="Revision">
    <w:name w:val="Revision"/>
    <w:hidden/>
    <w:uiPriority w:val="99"/>
    <w:semiHidden/>
    <w:rsid w:val="001516C9"/>
    <w:rPr>
      <w:rFonts w:ascii="Courier" w:hAnsi="Courier"/>
      <w:sz w:val="24"/>
      <w:szCs w:val="24"/>
    </w:rPr>
  </w:style>
  <w:style w:type="character" w:styleId="Hyperlink">
    <w:name w:val="Hyperlink"/>
    <w:rsid w:val="00FD1259"/>
    <w:rPr>
      <w:strike w:val="0"/>
      <w:dstrike w:val="0"/>
      <w:color w:val="000080"/>
      <w:u w:val="none"/>
      <w:effect w:val="none"/>
    </w:rPr>
  </w:style>
  <w:style w:type="paragraph" w:styleId="FootnoteText">
    <w:name w:val="footnote text"/>
    <w:basedOn w:val="Normal"/>
    <w:link w:val="FootnoteTextChar"/>
    <w:rsid w:val="00FD1259"/>
    <w:rPr>
      <w:sz w:val="20"/>
      <w:szCs w:val="20"/>
    </w:rPr>
  </w:style>
  <w:style w:type="character" w:customStyle="1" w:styleId="FootnoteTextChar">
    <w:name w:val="Footnote Text Char"/>
    <w:link w:val="FootnoteText"/>
    <w:rsid w:val="00FD1259"/>
    <w:rPr>
      <w:rFonts w:ascii="Courier" w:hAnsi="Courier"/>
    </w:rPr>
  </w:style>
  <w:style w:type="paragraph" w:styleId="ListParagraph">
    <w:name w:val="List Paragraph"/>
    <w:basedOn w:val="Normal"/>
    <w:uiPriority w:val="34"/>
    <w:qFormat/>
    <w:rsid w:val="00F57D01"/>
    <w:pPr>
      <w:ind w:left="720"/>
    </w:pPr>
  </w:style>
  <w:style w:type="character" w:styleId="FollowedHyperlink">
    <w:name w:val="FollowedHyperlink"/>
    <w:rsid w:val="003E05A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3361E-22CA-4DF4-A8C0-3245B490A2D1}">
  <ds:schemaRefs>
    <ds:schemaRef ds:uri="http://schemas.microsoft.com/sharepoint/v3/contenttype/forms"/>
  </ds:schemaRefs>
</ds:datastoreItem>
</file>

<file path=customXml/itemProps2.xml><?xml version="1.0" encoding="utf-8"?>
<ds:datastoreItem xmlns:ds="http://schemas.openxmlformats.org/officeDocument/2006/customXml" ds:itemID="{9A99C7BF-9AD7-48BE-A7EA-030525190CD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42a8a83a-5e27-410c-a1fc-7c5ac4e503f4"/>
    <ds:schemaRef ds:uri="http://www.w3.org/XML/1998/namespace"/>
  </ds:schemaRefs>
</ds:datastoreItem>
</file>

<file path=customXml/itemProps3.xml><?xml version="1.0" encoding="utf-8"?>
<ds:datastoreItem xmlns:ds="http://schemas.openxmlformats.org/officeDocument/2006/customXml" ds:itemID="{F13D1B93-824E-46B4-8E1D-05FC7126B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58B0E-DB98-456A-97EC-A1B32EAA0113}">
  <ds:schemaRefs>
    <ds:schemaRef ds:uri="Microsoft.SharePoint.Taxonomy.ContentTypeSync"/>
  </ds:schemaRefs>
</ds:datastoreItem>
</file>

<file path=customXml/itemProps5.xml><?xml version="1.0" encoding="utf-8"?>
<ds:datastoreItem xmlns:ds="http://schemas.openxmlformats.org/officeDocument/2006/customXml" ds:itemID="{B62587B0-CCCA-4989-810E-55D675630F31}">
  <ds:schemaRefs>
    <ds:schemaRef ds:uri="http://schemas.openxmlformats.org/officeDocument/2006/bibliography"/>
  </ds:schemaRefs>
</ds:datastoreItem>
</file>

<file path=customXml/itemProps6.xml><?xml version="1.0" encoding="utf-8"?>
<ds:datastoreItem xmlns:ds="http://schemas.openxmlformats.org/officeDocument/2006/customXml" ds:itemID="{7F1DEDFE-B22A-4510-8480-FD6BD51A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PBGC User</dc:creator>
  <cp:keywords/>
  <cp:lastModifiedBy>SYSTEM</cp:lastModifiedBy>
  <cp:revision>2</cp:revision>
  <cp:lastPrinted>2018-01-10T22:58:00Z</cp:lastPrinted>
  <dcterms:created xsi:type="dcterms:W3CDTF">2018-09-11T22:51:00Z</dcterms:created>
  <dcterms:modified xsi:type="dcterms:W3CDTF">2018-09-11T22:51:00Z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