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458" w:rsidRPr="00C6228D" w:rsidRDefault="00BB0073" w:rsidP="00C6228D">
      <w:pPr>
        <w:spacing w:after="120" w:line="23" w:lineRule="atLeast"/>
        <w:jc w:val="center"/>
        <w:rPr>
          <w:rFonts w:ascii="Times New Roman" w:eastAsia="Times New Roman" w:hAnsi="Times New Roman"/>
          <w:b/>
          <w:bCs/>
          <w:sz w:val="32"/>
          <w:szCs w:val="32"/>
        </w:rPr>
      </w:pPr>
      <w:bookmarkStart w:id="0" w:name="_GoBack"/>
      <w:bookmarkEnd w:id="0"/>
      <w:r w:rsidRPr="00C6228D">
        <w:rPr>
          <w:rFonts w:ascii="Times New Roman" w:eastAsia="Times New Roman" w:hAnsi="Times New Roman"/>
          <w:b/>
          <w:bCs/>
          <w:sz w:val="32"/>
          <w:szCs w:val="32"/>
        </w:rPr>
        <w:t xml:space="preserve">Public Comments Received During the </w:t>
      </w:r>
      <w:r w:rsidR="000A5E81" w:rsidRPr="00C6228D">
        <w:rPr>
          <w:rFonts w:ascii="Times New Roman" w:eastAsia="Times New Roman" w:hAnsi="Times New Roman"/>
          <w:b/>
          <w:bCs/>
          <w:sz w:val="32"/>
          <w:szCs w:val="32"/>
        </w:rPr>
        <w:t>6</w:t>
      </w:r>
      <w:r w:rsidR="00C6228D" w:rsidRPr="00C6228D">
        <w:rPr>
          <w:rFonts w:ascii="Times New Roman" w:eastAsia="Times New Roman" w:hAnsi="Times New Roman"/>
          <w:b/>
          <w:bCs/>
          <w:sz w:val="32"/>
          <w:szCs w:val="32"/>
        </w:rPr>
        <w:t>0-day Comment Period</w:t>
      </w:r>
    </w:p>
    <w:p w:rsidR="00BB0073" w:rsidRPr="00AC5DAA" w:rsidRDefault="00387CA8" w:rsidP="00C6228D">
      <w:pPr>
        <w:spacing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November 2018</w:t>
      </w:r>
    </w:p>
    <w:p w:rsidR="00BB0073" w:rsidRPr="00C6228D" w:rsidRDefault="00387CA8" w:rsidP="00C6228D">
      <w:pPr>
        <w:pStyle w:val="NoSpacing"/>
        <w:spacing w:after="120" w:line="23" w:lineRule="atLeast"/>
        <w:jc w:val="center"/>
        <w:rPr>
          <w:rFonts w:ascii="Times New Roman" w:hAnsi="Times New Roman"/>
          <w:b/>
          <w:sz w:val="32"/>
          <w:szCs w:val="32"/>
        </w:rPr>
      </w:pPr>
      <w:r>
        <w:rPr>
          <w:rFonts w:ascii="Times New Roman" w:hAnsi="Times New Roman"/>
          <w:b/>
          <w:sz w:val="32"/>
          <w:szCs w:val="32"/>
        </w:rPr>
        <w:t>High School and Beyond Longitudinal Study of 2020 (HS&amp;B:20)</w:t>
      </w:r>
    </w:p>
    <w:p w:rsidR="00C6228D" w:rsidRDefault="00387CA8" w:rsidP="00C6228D">
      <w:pPr>
        <w:pStyle w:val="NoSpacing"/>
        <w:spacing w:after="120" w:line="23" w:lineRule="atLeast"/>
        <w:jc w:val="center"/>
        <w:rPr>
          <w:rFonts w:ascii="Times New Roman" w:hAnsi="Times New Roman"/>
          <w:sz w:val="24"/>
          <w:szCs w:val="24"/>
        </w:rPr>
      </w:pPr>
      <w:r w:rsidRPr="00387CA8">
        <w:rPr>
          <w:rFonts w:ascii="Times New Roman" w:hAnsi="Times New Roman"/>
          <w:sz w:val="24"/>
          <w:szCs w:val="24"/>
        </w:rPr>
        <w:t>ED-2018-ICCD-0096</w:t>
      </w:r>
      <w:r w:rsidR="00C016B7">
        <w:rPr>
          <w:rFonts w:ascii="Times New Roman" w:hAnsi="Times New Roman"/>
          <w:sz w:val="24"/>
          <w:szCs w:val="24"/>
        </w:rPr>
        <w:t xml:space="preserve"> </w:t>
      </w:r>
      <w:r w:rsidR="00F6775D" w:rsidRPr="00AC5DAA">
        <w:rPr>
          <w:rFonts w:ascii="Times New Roman" w:hAnsi="Times New Roman"/>
          <w:sz w:val="24"/>
          <w:szCs w:val="24"/>
        </w:rPr>
        <w:tab/>
        <w:t>Comments on FR Doc # 201</w:t>
      </w:r>
      <w:r>
        <w:rPr>
          <w:rFonts w:ascii="Times New Roman" w:hAnsi="Times New Roman"/>
          <w:sz w:val="24"/>
          <w:szCs w:val="24"/>
        </w:rPr>
        <w:t>8</w:t>
      </w:r>
      <w:r w:rsidR="00BB0073" w:rsidRPr="00AC5DAA">
        <w:rPr>
          <w:rFonts w:ascii="Times New Roman" w:hAnsi="Times New Roman"/>
          <w:sz w:val="24"/>
          <w:szCs w:val="24"/>
        </w:rPr>
        <w:t>-</w:t>
      </w:r>
      <w:r w:rsidR="005E3177">
        <w:rPr>
          <w:rFonts w:ascii="Times New Roman" w:hAnsi="Times New Roman"/>
          <w:sz w:val="24"/>
          <w:szCs w:val="24"/>
        </w:rPr>
        <w:t>20216</w:t>
      </w:r>
    </w:p>
    <w:p w:rsidR="00BB0073" w:rsidRPr="00AC5DAA" w:rsidRDefault="000C0E41" w:rsidP="00C6228D">
      <w:pPr>
        <w:pStyle w:val="NoSpacing"/>
        <w:spacing w:after="120" w:line="23" w:lineRule="atLeast"/>
        <w:rPr>
          <w:rFonts w:ascii="Times New Roman" w:hAnsi="Times New Roman"/>
          <w:sz w:val="24"/>
          <w:szCs w:val="24"/>
        </w:rPr>
      </w:pPr>
      <w:r w:rsidRPr="00AC5DAA">
        <w:rPr>
          <w:rFonts w:ascii="Times New Roman" w:hAnsi="Times New Roman"/>
          <w:b/>
          <w:sz w:val="24"/>
          <w:szCs w:val="24"/>
        </w:rPr>
        <w:t xml:space="preserve">Document: </w:t>
      </w:r>
      <w:r w:rsidR="00387CA8" w:rsidRPr="00387CA8">
        <w:rPr>
          <w:rFonts w:ascii="Times New Roman" w:hAnsi="Times New Roman"/>
          <w:sz w:val="24"/>
          <w:szCs w:val="24"/>
        </w:rPr>
        <w:t>ED-2018-ICCD-0096-0005</w:t>
      </w:r>
    </w:p>
    <w:p w:rsidR="005E3177" w:rsidRPr="00446C57" w:rsidRDefault="000C0E41" w:rsidP="00446C57">
      <w:pPr>
        <w:pStyle w:val="NoSpacing"/>
        <w:spacing w:after="120" w:line="23" w:lineRule="atLeast"/>
        <w:rPr>
          <w:rFonts w:ascii="Times New Roman" w:hAnsi="Times New Roman"/>
          <w:sz w:val="24"/>
          <w:szCs w:val="24"/>
        </w:rPr>
      </w:pPr>
      <w:r w:rsidRPr="00AC5DAA">
        <w:rPr>
          <w:rFonts w:ascii="Times New Roman" w:hAnsi="Times New Roman"/>
          <w:b/>
          <w:sz w:val="24"/>
          <w:szCs w:val="24"/>
        </w:rPr>
        <w:t xml:space="preserve">Name: </w:t>
      </w:r>
      <w:r w:rsidR="00387CA8">
        <w:rPr>
          <w:rFonts w:ascii="Times New Roman" w:hAnsi="Times New Roman"/>
          <w:sz w:val="24"/>
          <w:szCs w:val="24"/>
        </w:rPr>
        <w:t>Samuel Pierce</w:t>
      </w:r>
    </w:p>
    <w:p w:rsidR="002C590B" w:rsidRDefault="005E3177" w:rsidP="005E3177">
      <w:pPr>
        <w:pStyle w:val="Default"/>
        <w:rPr>
          <w:sz w:val="22"/>
          <w:szCs w:val="22"/>
        </w:rPr>
      </w:pPr>
      <w:r>
        <w:rPr>
          <w:sz w:val="22"/>
          <w:szCs w:val="22"/>
        </w:rPr>
        <w:t>The American Optometric Association (AOA) is very interested in the Department of Education’s (DOE or “the Department”) plan to conduct the “High School and Beyond 2020 study” (HS&amp;B:20). Our organization would like to provide our expertise and resources to help the Department adequately understand how our children’s vision health impacts their education and performance. The AOA represents more than 33,000 doctors of optometry serving the eye health and vision care needs of communities across our country. Our profession has mobilized to help the millions of children who are suffering needlessly from undiagnosed or untreated eye health and vision conditions that undermine learning.</w:t>
      </w:r>
    </w:p>
    <w:p w:rsidR="005E3177" w:rsidRDefault="005E3177" w:rsidP="005E3177">
      <w:pPr>
        <w:pStyle w:val="Default"/>
        <w:rPr>
          <w:sz w:val="22"/>
          <w:szCs w:val="22"/>
        </w:rPr>
      </w:pPr>
    </w:p>
    <w:p w:rsidR="002C590B" w:rsidRDefault="005E3177" w:rsidP="005E3177">
      <w:pPr>
        <w:pStyle w:val="Default"/>
        <w:rPr>
          <w:sz w:val="22"/>
          <w:szCs w:val="22"/>
        </w:rPr>
      </w:pPr>
      <w:r>
        <w:rPr>
          <w:sz w:val="22"/>
          <w:szCs w:val="22"/>
        </w:rPr>
        <w:t>We understand that the DOE plans to include a “2-minute vision test” as part of HS&amp;B:20. As vision in integral to learning, development, and the health of our children, we appreciate that the Department’s efforts to understand how vision impacts education. However, based on our experience and the wide body of evidence that exists on this topic, we are concerned that a “2-minute vision test” will not provide the kind of data needed to accurately track long-term trends and inform education policy. We write to offer an alternative approach and assistance from our members in gathering information on how children’s eye health impacts their education and performance.</w:t>
      </w:r>
    </w:p>
    <w:p w:rsidR="005E3177" w:rsidRDefault="005E3177" w:rsidP="005E3177">
      <w:pPr>
        <w:pStyle w:val="Default"/>
        <w:rPr>
          <w:sz w:val="22"/>
          <w:szCs w:val="22"/>
        </w:rPr>
      </w:pPr>
    </w:p>
    <w:p w:rsidR="002C590B" w:rsidRDefault="005E3177" w:rsidP="005E3177">
      <w:pPr>
        <w:pStyle w:val="Default"/>
        <w:rPr>
          <w:sz w:val="14"/>
          <w:szCs w:val="14"/>
        </w:rPr>
      </w:pPr>
      <w:r>
        <w:rPr>
          <w:sz w:val="22"/>
          <w:szCs w:val="22"/>
        </w:rPr>
        <w:t>Given that the DOE has included a vision test as part of the survey, we believe the Department understands that eye and vision problems in children can impact academic success. An estimated one in five preschool children have vision problems.</w:t>
      </w:r>
      <w:r>
        <w:rPr>
          <w:sz w:val="14"/>
          <w:szCs w:val="14"/>
        </w:rPr>
        <w:t xml:space="preserve">i,ii,iii,iv,v,vi,vii </w:t>
      </w:r>
      <w:r>
        <w:rPr>
          <w:sz w:val="22"/>
          <w:szCs w:val="22"/>
        </w:rPr>
        <w:t>Since eye and vision problems can become worse over time, early diagnosis and treatment are essential to optimize children’s eye health and vision and to prevent future vision loss. Eye and vision disorders can lead to problems in a child’s normal development,</w:t>
      </w:r>
      <w:r>
        <w:rPr>
          <w:sz w:val="14"/>
          <w:szCs w:val="14"/>
        </w:rPr>
        <w:t xml:space="preserve">viii,ix </w:t>
      </w:r>
      <w:r>
        <w:rPr>
          <w:sz w:val="22"/>
          <w:szCs w:val="22"/>
        </w:rPr>
        <w:t>school performance,</w:t>
      </w:r>
      <w:r>
        <w:rPr>
          <w:sz w:val="14"/>
          <w:szCs w:val="14"/>
        </w:rPr>
        <w:t xml:space="preserve">x,xi,xii,xiii,xiv </w:t>
      </w:r>
      <w:r>
        <w:rPr>
          <w:sz w:val="22"/>
          <w:szCs w:val="22"/>
        </w:rPr>
        <w:t>social interactions,</w:t>
      </w:r>
      <w:r>
        <w:rPr>
          <w:sz w:val="14"/>
          <w:szCs w:val="14"/>
        </w:rPr>
        <w:t xml:space="preserve">xv </w:t>
      </w:r>
      <w:r>
        <w:rPr>
          <w:sz w:val="22"/>
          <w:szCs w:val="22"/>
        </w:rPr>
        <w:t>and self-esteem</w:t>
      </w:r>
      <w:r>
        <w:rPr>
          <w:sz w:val="14"/>
          <w:szCs w:val="14"/>
        </w:rPr>
        <w:t xml:space="preserve">.xvi,xvii,xviii </w:t>
      </w:r>
      <w:r>
        <w:rPr>
          <w:sz w:val="22"/>
          <w:szCs w:val="22"/>
        </w:rPr>
        <w:t>Vision disorders that occur in childhood may manifest as problems well into adulthood, affecting an individual’s level of education, employment opportunities, and social interactions.</w:t>
      </w:r>
      <w:r>
        <w:rPr>
          <w:sz w:val="14"/>
          <w:szCs w:val="14"/>
        </w:rPr>
        <w:t>xix</w:t>
      </w:r>
    </w:p>
    <w:p w:rsidR="005E3177" w:rsidRDefault="005E3177" w:rsidP="005E3177">
      <w:pPr>
        <w:pStyle w:val="Default"/>
        <w:rPr>
          <w:sz w:val="22"/>
          <w:szCs w:val="22"/>
        </w:rPr>
      </w:pPr>
    </w:p>
    <w:p w:rsidR="002C590B" w:rsidRDefault="005E3177" w:rsidP="005E3177">
      <w:pPr>
        <w:pStyle w:val="Default"/>
        <w:rPr>
          <w:sz w:val="22"/>
          <w:szCs w:val="22"/>
        </w:rPr>
      </w:pPr>
      <w:r>
        <w:rPr>
          <w:sz w:val="22"/>
          <w:szCs w:val="22"/>
        </w:rPr>
        <w:t>Including an eye health component as part of HS&amp;B:20 is an important step, however, we strongly believe that a 2-minute vision test simply cannot produce reliable and accurate information regarding the eye health of the children in the study. Without accurate information about the eye health of the students, it will be difficult to achieve the survey’s purpose of demonstrating the connection between eye health and students’ readiness for high school; the risk factors associated with dropping out of high school; high school completion; and the transition into postsecondary education and access to/choice of institution.</w:t>
      </w:r>
    </w:p>
    <w:p w:rsidR="005E3177" w:rsidRDefault="005E3177" w:rsidP="005E3177">
      <w:pPr>
        <w:pStyle w:val="Default"/>
        <w:rPr>
          <w:sz w:val="22"/>
          <w:szCs w:val="22"/>
        </w:rPr>
      </w:pPr>
    </w:p>
    <w:p w:rsidR="002C590B" w:rsidRDefault="005E3177" w:rsidP="005E3177">
      <w:pPr>
        <w:pStyle w:val="Default"/>
        <w:rPr>
          <w:sz w:val="22"/>
          <w:szCs w:val="22"/>
        </w:rPr>
      </w:pPr>
      <w:r>
        <w:rPr>
          <w:sz w:val="22"/>
          <w:szCs w:val="22"/>
        </w:rPr>
        <w:t>Our nation's children all deserve a clear future. The National Academies of Sciences, Engineering and Medicine (NASEM) in their 2016 report recognized that comprehensive eye examinations are “the gold standard in clinical vision care to most accurately identify and diagnose eye and vision problems.”</w:t>
      </w:r>
      <w:r>
        <w:rPr>
          <w:sz w:val="14"/>
          <w:szCs w:val="14"/>
        </w:rPr>
        <w:t xml:space="preserve">xx </w:t>
      </w:r>
      <w:r>
        <w:rPr>
          <w:sz w:val="22"/>
          <w:szCs w:val="22"/>
        </w:rPr>
        <w:t>Although a 2-minute vision test may seem like a cheaper alternative to the “gold standard,” the test will not produce information on how the children’s eye health impacts their education and will provide unreliable data. The sensitivity of a wide variety of screening techniques was evaluated by the Vision in Preschoolers (VIP) study, which unlike standard screenings, used licensed eye doctors who had completed VIP study specific training and certification.</w:t>
      </w:r>
      <w:r>
        <w:rPr>
          <w:sz w:val="14"/>
          <w:szCs w:val="14"/>
        </w:rPr>
        <w:t xml:space="preserve">xxi </w:t>
      </w:r>
      <w:r>
        <w:rPr>
          <w:sz w:val="22"/>
          <w:szCs w:val="22"/>
        </w:rPr>
        <w:t>In the study, the sensitivity of 11 vision screening techniques used for detecting clinically significant vision problems in children 3 to 5 years of age varied from 16 percent to 64 percent, with specificities ranging from 62 percent to 98 percent. These tests were compared again with a specificity of 94 percent, and the sensitivity dropped even further</w:t>
      </w:r>
      <w:r>
        <w:rPr>
          <w:sz w:val="14"/>
          <w:szCs w:val="14"/>
        </w:rPr>
        <w:t xml:space="preserve">xxii </w:t>
      </w:r>
      <w:r>
        <w:rPr>
          <w:sz w:val="22"/>
          <w:szCs w:val="22"/>
        </w:rPr>
        <w:t>, the most common being Lea Symbols Visual Acuity (49 percent sensitivity), HOTV Visual Acuity ((36 percent sensitivity), MTI Photoscreener (37 percent sensitivity), Retinomax Autorefractor (52 percent sensitivity) and SureSight Vision Screener (51 percent sensitivity).</w:t>
      </w:r>
      <w:r>
        <w:rPr>
          <w:sz w:val="14"/>
          <w:szCs w:val="14"/>
        </w:rPr>
        <w:t xml:space="preserve">xxiii </w:t>
      </w:r>
      <w:r>
        <w:rPr>
          <w:sz w:val="22"/>
          <w:szCs w:val="22"/>
        </w:rPr>
        <w:t>While we are uncertain which specific autorefractor DOE intends to use to conduct the 2-minute vision test, we are certain that the tests will have significant limitations.</w:t>
      </w:r>
    </w:p>
    <w:p w:rsidR="002C590B" w:rsidRDefault="005E3177" w:rsidP="005E3177">
      <w:pPr>
        <w:pStyle w:val="Default"/>
        <w:rPr>
          <w:sz w:val="14"/>
          <w:szCs w:val="14"/>
        </w:rPr>
      </w:pPr>
      <w:r>
        <w:rPr>
          <w:sz w:val="22"/>
          <w:szCs w:val="22"/>
        </w:rPr>
        <w:t xml:space="preserve">It is critically important for the DOE to recognize the limitations of vison screenings. Many vision screenings test only for distance visual acuity. While the ability to see clearly at a distance is important, it does not indicate how well the </w:t>
      </w:r>
      <w:r>
        <w:rPr>
          <w:sz w:val="22"/>
          <w:szCs w:val="22"/>
        </w:rPr>
        <w:lastRenderedPageBreak/>
        <w:t>eyes focus up-close or work together. In addition to appropriately interpreting what the eyes see, the foundational visual skills children need to succeed in the classroom include the ability to focus the eyes at distance and at near, to use both eyes together as a team, and to move the eyes efficiently and effectively. Any screening approach employed in the study is certain to come with significant limitations and drawbacks. Research has found that when Snellen visual acuity alone was used as a screening tool, it was 100 percent specific for identifying reduced acuity due to myopia (nearsightedness), but missed 75.5 percent of the children found to have, hyperopia, and or binocular and oculomotor vision problems when given a complete visual examination.</w:t>
      </w:r>
      <w:r>
        <w:rPr>
          <w:sz w:val="14"/>
          <w:szCs w:val="14"/>
        </w:rPr>
        <w:t xml:space="preserve">xxiv </w:t>
      </w:r>
      <w:r>
        <w:rPr>
          <w:sz w:val="22"/>
          <w:szCs w:val="22"/>
        </w:rPr>
        <w:t>Additionally, a study of 1,992 school-age children found that 41 percent of children who failed the State University of New York screening battery would not have been identified if the screening was based on visual acuity alone.</w:t>
      </w:r>
      <w:r>
        <w:rPr>
          <w:sz w:val="14"/>
          <w:szCs w:val="14"/>
        </w:rPr>
        <w:t>xxv</w:t>
      </w:r>
    </w:p>
    <w:p w:rsidR="005E3177" w:rsidRDefault="005E3177" w:rsidP="005E3177">
      <w:pPr>
        <w:pStyle w:val="Default"/>
        <w:rPr>
          <w:sz w:val="22"/>
          <w:szCs w:val="22"/>
        </w:rPr>
      </w:pPr>
    </w:p>
    <w:p w:rsidR="002C590B" w:rsidRDefault="005E3177" w:rsidP="005E3177">
      <w:pPr>
        <w:pStyle w:val="Default"/>
        <w:rPr>
          <w:sz w:val="14"/>
          <w:szCs w:val="14"/>
        </w:rPr>
      </w:pPr>
      <w:r>
        <w:rPr>
          <w:sz w:val="22"/>
          <w:szCs w:val="22"/>
        </w:rPr>
        <w:t>The U.S. Preventive Services Task Force (USPSTF) has concluded that the current evidence is insufficient to assess the balance of benefits and harms of vision screening for children 3 years of age and younger.</w:t>
      </w:r>
      <w:r>
        <w:rPr>
          <w:sz w:val="14"/>
          <w:szCs w:val="14"/>
        </w:rPr>
        <w:t xml:space="preserve">xxvi </w:t>
      </w:r>
      <w:r>
        <w:rPr>
          <w:sz w:val="22"/>
          <w:szCs w:val="22"/>
        </w:rPr>
        <w:t>While the USPSTF concluded with moderate certainty that vision screening for risk of amblyopia for children 3 to 5 years of age has moderate net benefit compared with no screening, they did not compare the benefit of screening to a comprehensive eye examination, and the recommended screening is not intended to identify the variety of other vision problems that affect children</w:t>
      </w:r>
      <w:r>
        <w:rPr>
          <w:sz w:val="14"/>
          <w:szCs w:val="14"/>
        </w:rPr>
        <w:t xml:space="preserve">xxvii </w:t>
      </w:r>
      <w:r>
        <w:rPr>
          <w:sz w:val="22"/>
          <w:szCs w:val="22"/>
        </w:rPr>
        <w:t>Vision screening procedures lack the evidence needed, with proven high sensitivity and specificity, for identifying the targeted vision problems present in the population of children being screened.</w:t>
      </w:r>
      <w:r>
        <w:rPr>
          <w:sz w:val="14"/>
          <w:szCs w:val="14"/>
        </w:rPr>
        <w:t>xxviii,xxix</w:t>
      </w:r>
    </w:p>
    <w:p w:rsidR="002C590B" w:rsidRDefault="005E3177" w:rsidP="005E3177">
      <w:pPr>
        <w:pStyle w:val="Default"/>
        <w:rPr>
          <w:sz w:val="22"/>
          <w:szCs w:val="22"/>
        </w:rPr>
      </w:pPr>
      <w:r>
        <w:rPr>
          <w:sz w:val="22"/>
          <w:szCs w:val="22"/>
        </w:rPr>
        <w:t>The AOA would like to offer its assistance and resources to ensure the DOE efforts results in data that can be used to accurately track trends in our children’s eye health and meaningfully inform education policy. The AOA is offering its expertise to the DOE and would like to work with you to connect the children included in the study to doctors of optometry in their communities who could provide comprehensive eye examinations, in lieu of the 2-minute vision test. Given the priority that our organization places on ensuring that children receive the eye care necessary to succeed in life, we would welcome this opportunity to serve as a link to our nationwide network of doctors of optometry. The AOA could also assist in developing a plan with the DOE to ensure that the necessary data is captured and reported to the DOE for study tracking purposes.</w:t>
      </w:r>
    </w:p>
    <w:p w:rsidR="005E3177" w:rsidRDefault="005E3177" w:rsidP="005E3177">
      <w:pPr>
        <w:spacing w:after="120" w:line="23" w:lineRule="atLeast"/>
      </w:pPr>
    </w:p>
    <w:p w:rsidR="00387CA8" w:rsidRDefault="005E3177" w:rsidP="005E3177">
      <w:pPr>
        <w:spacing w:after="120" w:line="23" w:lineRule="atLeast"/>
        <w:rPr>
          <w:rFonts w:ascii="Times New Roman" w:eastAsiaTheme="minorHAnsi" w:hAnsi="Times New Roman"/>
          <w:color w:val="000000"/>
        </w:rPr>
      </w:pPr>
      <w:r w:rsidRPr="005E3177">
        <w:rPr>
          <w:rFonts w:ascii="Times New Roman" w:eastAsiaTheme="minorHAnsi" w:hAnsi="Times New Roman"/>
          <w:color w:val="000000"/>
        </w:rPr>
        <w:t>The AOA would welcome the opportunity to meet with you to discuss the possibility of improving this important study by ensuring that the students included receive comprehensive eye examinations which could very directly impact their academic success. To coordinate a meeting at a time of your preference or</w:t>
      </w:r>
      <w:r w:rsidRPr="005E3177">
        <w:t xml:space="preserve"> </w:t>
      </w:r>
      <w:r w:rsidRPr="005E3177">
        <w:rPr>
          <w:rFonts w:ascii="Times New Roman" w:eastAsiaTheme="minorHAnsi" w:hAnsi="Times New Roman"/>
          <w:color w:val="000000"/>
        </w:rPr>
        <w:t>if you need additional information, please contact Kara Webb, Director of Coding and Regulatory Policy, at kcwebb@aoa.org or 703-837-1018.</w:t>
      </w:r>
    </w:p>
    <w:p w:rsidR="002C590B" w:rsidRDefault="005E3177" w:rsidP="005E3177">
      <w:pPr>
        <w:spacing w:after="120" w:line="23" w:lineRule="atLeast"/>
        <w:rPr>
          <w:rFonts w:ascii="Times New Roman" w:eastAsiaTheme="minorHAnsi" w:hAnsi="Times New Roman"/>
          <w:color w:val="000000"/>
        </w:rPr>
      </w:pPr>
      <w:r>
        <w:rPr>
          <w:rFonts w:ascii="Times New Roman" w:eastAsiaTheme="minorHAnsi" w:hAnsi="Times New Roman"/>
          <w:color w:val="000000"/>
        </w:rPr>
        <w:t>Sincerely,</w:t>
      </w:r>
    </w:p>
    <w:p w:rsidR="005E3177" w:rsidRDefault="005E3177" w:rsidP="005E3177">
      <w:pPr>
        <w:spacing w:after="0" w:line="23" w:lineRule="atLeast"/>
        <w:rPr>
          <w:rFonts w:ascii="Times New Roman" w:eastAsiaTheme="minorHAnsi" w:hAnsi="Times New Roman"/>
          <w:color w:val="000000"/>
        </w:rPr>
      </w:pPr>
      <w:r>
        <w:rPr>
          <w:rFonts w:ascii="Times New Roman" w:eastAsiaTheme="minorHAnsi" w:hAnsi="Times New Roman"/>
          <w:color w:val="000000"/>
        </w:rPr>
        <w:t>Samuel Pierce, OD</w:t>
      </w:r>
    </w:p>
    <w:p w:rsidR="005E3177" w:rsidRDefault="005E3177" w:rsidP="005E3177">
      <w:pPr>
        <w:spacing w:after="0" w:line="23" w:lineRule="atLeast"/>
        <w:rPr>
          <w:rFonts w:ascii="Times New Roman" w:eastAsiaTheme="minorHAnsi" w:hAnsi="Times New Roman"/>
          <w:color w:val="000000"/>
        </w:rPr>
      </w:pPr>
      <w:r w:rsidRPr="005E3177">
        <w:rPr>
          <w:rFonts w:ascii="Times New Roman" w:eastAsiaTheme="minorHAnsi" w:hAnsi="Times New Roman"/>
          <w:color w:val="000000"/>
        </w:rPr>
        <w:t>President, American Optometric Association</w:t>
      </w:r>
    </w:p>
    <w:p w:rsidR="00446C57" w:rsidRDefault="00446C57" w:rsidP="005E3177">
      <w:pPr>
        <w:spacing w:after="0" w:line="23" w:lineRule="atLeast"/>
        <w:rPr>
          <w:rFonts w:ascii="Times New Roman" w:eastAsiaTheme="minorHAnsi" w:hAnsi="Times New Roman"/>
          <w:color w:val="000000"/>
        </w:rPr>
      </w:pP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i Multi-Ethnic Pediatric Eye Disease Study Group. Prevalence of myopia and hyperopia in 6- to 72-month-old African American and Hispanic children: the Multi-Ethnic Pediatric Eye Disease Study. Ophthalmology 2010; 117:140-47.</w:t>
      </w: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ii Wen G, Tarczy-Hornoch K, McKean-Cowdin R, et al. Prevalence of myopia, hyperopia, and astigmatism in non-Hispanic white and Asian children: Multi-Ethnic Pediatric Eye Disease Study. Ophthalmology 2013; 120:2109-16.</w:t>
      </w: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iii Fozailoff A, Tarczy-Hornoch K, Cotter S, et al. Prevalence of astigmatism in 6- to 72-month-old African American and Hispanic children: the Multi-Ethnic Pediatric Eye Disease Study. Ophthalmology 2011; 118:284-93.</w:t>
      </w: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iv Giordano L, Friedman DS, Repka MX, et al. Prevalence of refractive error among preschool children in an urban population: the Baltimore Pediatric Eye Disease Study. Ophthalmology 2009; 116:739-46.</w:t>
      </w: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v Multi-Ethnic Pediatric Eye Disease Study Group. Prevalence of amblyopia and strabismus in African American and Hispanic children ages 6 to 72 months: the Multi-Ethnic Pediatric Eye Disease Study. Ophthalmology 2008; 115:1229-36.</w:t>
      </w: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vi Friedman DS, Repka MX, Katz J, et al. Prevalence of amblyopia and strabismus in white and African American children aged 6 through 71 months: the Baltimore Pediatric Eye Disease Study. Ophthalmology 2009; 116:2128-34.</w:t>
      </w: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vii McKean-Cowdin R, Cotter SA, Tarczy-Hornoch K, et al. Prevalence of amblyopia or strabismus in Asian and non-Hispanic white preschool children: Multi-Ethnic Pediatric Eye Disease Study. Ophthalmology 2013; 120:2117-24.</w:t>
      </w: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viii Roch-Levecq AC, Brody BL, Thomas RG, Brown SI. Ametropia, preschoolers’ cognitive abilities, and effects of spectacle correction. Arch Ophthalmol 2008; 126:252-58.</w:t>
      </w: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ix Atkinson J, Nardini M, Anker S, et al. Refractive errors in infancy predict reduced performance on the movement assessment battery for children at 3 1/2 and 5 1/2 years. Dev Med Child Neurol 2005; 47:243-51.</w:t>
      </w: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x Kulp MT, Schmidt PP. Visual predictors of reading performance in kindergarten and first grade children. Optom Vis Sci 1996; 73:255-62.</w:t>
      </w: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xi Simons HD, Grisham JD. Binocular anomalies and reading problems. J Am Optom Assoc 1987; 58:578-87.</w:t>
      </w: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xii Maples WC. Visual factors that significantly impact academic performance. Optometry 2003; 74:35-49.</w:t>
      </w: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xiii Goldstand S, Koslowe KC, Parush S. Vision, visual-information processing, and academic performance among seventhgradschoolchildren: a more significant relationship than we thought? Am J Occup Ther 2005; 59:377-89.</w:t>
      </w: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xiv Basch CE. Vision and the achievement gap among urban minority youth. J Sch Health 2011; 81:599-605.</w:t>
      </w: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xv Mojon-Azzi SM, Kunz A, Mojon DS. Strabismus and discrimination in children: are children with strabismus invited to fewer birthday parties? Br J Ophthalmol 2011; 95:473-76.</w:t>
      </w: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xvi Mojon-Azzi SM, Kunz A, Mojon DS. Strabismus and discrimination in children: are children with strabismus invited to fewer birthday parties? Br J Ophthalmol 2011; 95:473-76.</w:t>
      </w: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xvii Webber AL, Wood JM, Gole GA, Brown B. Effect of amblyopia on self-esteem in children. Optom Vis Sci 2008; 85:1074-81.</w:t>
      </w: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xviii Packwood EA, Cruz OA, Rychwalski PJ, Keech RV. The psychosocial effects of amblyopia study. J AAPOS 1999; 3:15-17.</w:t>
      </w: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xix Davidson S, Quinn GE. The impact of pediatric vision disorders in adulthood. Pediatrics 2011; 127:334-39.</w:t>
      </w: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xx https://www.nap.edu/read/23471/chapter/9#330</w:t>
      </w: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xxi Schmidt P, Maguire M, Dobson V, et al. Comparison of preschool vision screening tests as administered by licensed eye care professionals in the Vision In Preschoolers Study. Ophthalmology 2004; 111:637-50.</w:t>
      </w: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xxii Ying GS, Kulp MT, Maguire M, et al. Sensitivity of screening tests for detecting vision in preschoolers-targeted vision disorders when specificity is 94%. Optom Vis Sci 2005; 82:432-38.</w:t>
      </w: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xxiii http://www.visionandhealth.org/documents/Child_Vision_Report.pdf</w:t>
      </w: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xxiv Lieberman S, Cohen AH, Stolzberg M, Ritty JM. Validation study of the New York State Optometric Association (NYSOA) Vision Screening Battery. Am J Optom Physiol Opt 1985; 62:165-68.</w:t>
      </w: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xxv Bodack MI, Chung I, Krumholtz I. An analysis of vision screening data from New York City public schools. Optometry</w:t>
      </w: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2010; 81:476-84.</w:t>
      </w: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xxvi https://www.uspreventiveservicestaskforce.org/Page/Document/RecommendationStatementFinal/vision-in-children-ages-6-months-to-5-years-screening</w:t>
      </w: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xxvii https://www.uspreventiveservicestaskforce.org/Page/Document/RecommendationStatementFinal/vision-in-children-ages-6-months-to-5-years-screening</w:t>
      </w: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xxviii Schmidt P, Maguire M, Dobson V, et al. Comparison of preschool vision screening tests as administered by licensed eye care professionals in the Vision In Preschoolers Study. Ophthalmology 2004; 111:637-50.</w:t>
      </w:r>
    </w:p>
    <w:p w:rsidR="00446C57" w:rsidRPr="00446C57" w:rsidRDefault="00446C57" w:rsidP="00904405">
      <w:pPr>
        <w:spacing w:after="60" w:line="240" w:lineRule="auto"/>
        <w:rPr>
          <w:rFonts w:ascii="Times New Roman" w:eastAsiaTheme="minorHAnsi" w:hAnsi="Times New Roman"/>
          <w:color w:val="000000"/>
          <w:sz w:val="18"/>
        </w:rPr>
      </w:pPr>
      <w:r w:rsidRPr="00446C57">
        <w:rPr>
          <w:rFonts w:ascii="Times New Roman" w:eastAsiaTheme="minorHAnsi" w:hAnsi="Times New Roman"/>
          <w:color w:val="000000"/>
          <w:sz w:val="18"/>
        </w:rPr>
        <w:t>xxix Ying GS, Kulp MT, Maguire M, et al. Sensitivity of screening tests for detecting vision in preschoolers-targeted vision disorders when specificity is 94%. Optom Vis Sci 2005; 82:432-38.</w:t>
      </w:r>
    </w:p>
    <w:p w:rsidR="00446C57" w:rsidRPr="005E3177" w:rsidRDefault="00446C57" w:rsidP="00904405">
      <w:pPr>
        <w:spacing w:after="0" w:line="23" w:lineRule="atLeast"/>
        <w:rPr>
          <w:rFonts w:ascii="Times New Roman" w:eastAsiaTheme="minorHAnsi" w:hAnsi="Times New Roman"/>
          <w:color w:val="000000"/>
        </w:rPr>
      </w:pPr>
    </w:p>
    <w:p w:rsidR="00FC6C86" w:rsidRDefault="00FC6C86" w:rsidP="00904405">
      <w:pPr>
        <w:spacing w:after="0" w:line="23" w:lineRule="atLeast"/>
        <w:rPr>
          <w:rFonts w:ascii="Times New Roman" w:hAnsi="Times New Roman"/>
          <w:sz w:val="24"/>
          <w:szCs w:val="24"/>
        </w:rPr>
      </w:pPr>
      <w:r>
        <w:rPr>
          <w:rFonts w:ascii="Times New Roman" w:hAnsi="Times New Roman"/>
          <w:sz w:val="24"/>
          <w:szCs w:val="24"/>
        </w:rPr>
        <w:t>----------------------------------------------------------------</w:t>
      </w:r>
    </w:p>
    <w:p w:rsidR="009A6458" w:rsidRPr="005E3177" w:rsidRDefault="00DD2C84" w:rsidP="00C6228D">
      <w:pPr>
        <w:spacing w:after="120" w:line="23" w:lineRule="atLeast"/>
        <w:rPr>
          <w:rFonts w:ascii="Times New Roman" w:hAnsi="Times New Roman"/>
          <w:szCs w:val="24"/>
        </w:rPr>
      </w:pPr>
      <w:r w:rsidRPr="005E3177">
        <w:rPr>
          <w:rFonts w:ascii="Times New Roman" w:hAnsi="Times New Roman"/>
          <w:szCs w:val="24"/>
        </w:rPr>
        <w:t xml:space="preserve">Dear </w:t>
      </w:r>
      <w:r w:rsidR="005E3177" w:rsidRPr="005E3177">
        <w:rPr>
          <w:rFonts w:ascii="Times New Roman" w:hAnsi="Times New Roman"/>
          <w:szCs w:val="24"/>
        </w:rPr>
        <w:t>D</w:t>
      </w:r>
      <w:r w:rsidRPr="005E3177">
        <w:rPr>
          <w:rFonts w:ascii="Times New Roman" w:hAnsi="Times New Roman"/>
          <w:szCs w:val="24"/>
        </w:rPr>
        <w:t xml:space="preserve">r. </w:t>
      </w:r>
      <w:r w:rsidR="005E3177" w:rsidRPr="005E3177">
        <w:rPr>
          <w:rFonts w:ascii="Times New Roman" w:hAnsi="Times New Roman"/>
          <w:szCs w:val="24"/>
        </w:rPr>
        <w:t>Pierce</w:t>
      </w:r>
      <w:r w:rsidR="00F202A6" w:rsidRPr="005E3177">
        <w:rPr>
          <w:rFonts w:ascii="Times New Roman" w:hAnsi="Times New Roman"/>
          <w:szCs w:val="24"/>
        </w:rPr>
        <w:t>,</w:t>
      </w:r>
    </w:p>
    <w:p w:rsidR="002C590B" w:rsidRDefault="005E3177" w:rsidP="005E3177">
      <w:pPr>
        <w:spacing w:after="120" w:line="23" w:lineRule="atLeast"/>
        <w:rPr>
          <w:rFonts w:ascii="Times New Roman" w:hAnsi="Times New Roman"/>
          <w:szCs w:val="24"/>
        </w:rPr>
      </w:pPr>
      <w:r w:rsidRPr="005E3177">
        <w:rPr>
          <w:rFonts w:ascii="Times New Roman" w:hAnsi="Times New Roman"/>
          <w:szCs w:val="24"/>
        </w:rPr>
        <w:t>Thank you for your interest in and support for the High School and Beyond:2020 Longitudinal Study (HS&amp;B:20). The National Center for Education Statistics (NCES) agrees with the American Optometric Association (AOA) that eyesight plays an important role in students’ ability to succeed in school, learn skills to allow them to pursue careers of their interest and become productive adults contributing to the economic well-being of their family, community, and the nation.</w:t>
      </w:r>
      <w:r w:rsidR="00C016B7">
        <w:rPr>
          <w:rFonts w:ascii="Times New Roman" w:hAnsi="Times New Roman"/>
          <w:szCs w:val="24"/>
        </w:rPr>
        <w:t xml:space="preserve"> </w:t>
      </w:r>
      <w:r w:rsidRPr="005E3177">
        <w:rPr>
          <w:rFonts w:ascii="Times New Roman" w:hAnsi="Times New Roman"/>
          <w:szCs w:val="24"/>
        </w:rPr>
        <w:t>The range of eye conditions affecting children’s eyesight are, as described in your comments, optimally diagnosed before a child enters school using a comprehensive eye examination.</w:t>
      </w:r>
      <w:r w:rsidR="00C016B7">
        <w:rPr>
          <w:rFonts w:ascii="Times New Roman" w:hAnsi="Times New Roman"/>
          <w:szCs w:val="24"/>
        </w:rPr>
        <w:t xml:space="preserve"> </w:t>
      </w:r>
      <w:r w:rsidRPr="005E3177">
        <w:rPr>
          <w:rFonts w:ascii="Times New Roman" w:hAnsi="Times New Roman"/>
          <w:szCs w:val="24"/>
        </w:rPr>
        <w:t>Those affiliated with the AOA and other eye care professionals routinely provide such eye care to young children to optimize their entry into school.</w:t>
      </w:r>
      <w:r w:rsidR="00C016B7">
        <w:rPr>
          <w:rFonts w:ascii="Times New Roman" w:hAnsi="Times New Roman"/>
          <w:szCs w:val="24"/>
        </w:rPr>
        <w:t xml:space="preserve"> </w:t>
      </w:r>
      <w:r w:rsidRPr="005E3177">
        <w:rPr>
          <w:rFonts w:ascii="Times New Roman" w:hAnsi="Times New Roman"/>
          <w:szCs w:val="24"/>
        </w:rPr>
        <w:t>Having piloted a screening vision test in kindergarten and first-grade-aged children for the Early Childhood Longitudinal Study-K:2010-11 (ECLS-K:2011), we agree that measuring visual ability in young school-aged children to detect the range of conditions they might have is neither sufficiently valid nor reliable when performed within the constraints inherent in a school-based setting.</w:t>
      </w:r>
      <w:r w:rsidR="00C016B7">
        <w:rPr>
          <w:rFonts w:ascii="Times New Roman" w:hAnsi="Times New Roman"/>
          <w:szCs w:val="24"/>
        </w:rPr>
        <w:t xml:space="preserve"> </w:t>
      </w:r>
      <w:r w:rsidRPr="005E3177">
        <w:rPr>
          <w:rFonts w:ascii="Times New Roman" w:hAnsi="Times New Roman"/>
          <w:szCs w:val="24"/>
        </w:rPr>
        <w:t>Vision testing was not retained as a component in the full-scale ECLS-K:2011 study beyond the pilot, although a hearing screening was retained. The current clearance request for HS&amp;B:20 is to include a different measure of</w:t>
      </w:r>
      <w:r w:rsidR="00C016B7">
        <w:rPr>
          <w:rFonts w:ascii="Times New Roman" w:hAnsi="Times New Roman"/>
          <w:szCs w:val="24"/>
        </w:rPr>
        <w:t xml:space="preserve"> </w:t>
      </w:r>
      <w:r w:rsidRPr="005E3177">
        <w:rPr>
          <w:rFonts w:ascii="Times New Roman" w:hAnsi="Times New Roman"/>
          <w:szCs w:val="24"/>
        </w:rPr>
        <w:t>vision</w:t>
      </w:r>
      <w:r w:rsidR="00C016B7">
        <w:rPr>
          <w:rFonts w:ascii="Times New Roman" w:hAnsi="Times New Roman"/>
          <w:szCs w:val="24"/>
        </w:rPr>
        <w:t xml:space="preserve"> </w:t>
      </w:r>
      <w:r w:rsidRPr="005E3177">
        <w:rPr>
          <w:rFonts w:ascii="Times New Roman" w:hAnsi="Times New Roman"/>
          <w:szCs w:val="24"/>
        </w:rPr>
        <w:t>in the field test of study protocols and procedures. If the field test results indicate that the vision test is not feasible as administered with a sample of high school students, it will not be retained for the full-scale study, similar to what happened with the ECLS-K:2011.</w:t>
      </w:r>
    </w:p>
    <w:p w:rsidR="002C590B" w:rsidRDefault="005E3177" w:rsidP="005E3177">
      <w:pPr>
        <w:spacing w:after="120" w:line="23" w:lineRule="atLeast"/>
        <w:rPr>
          <w:rFonts w:ascii="Times New Roman" w:hAnsi="Times New Roman"/>
          <w:szCs w:val="24"/>
        </w:rPr>
      </w:pPr>
      <w:r w:rsidRPr="005E3177">
        <w:rPr>
          <w:rFonts w:ascii="Times New Roman" w:hAnsi="Times New Roman"/>
          <w:szCs w:val="24"/>
        </w:rPr>
        <w:t>The goal of the current proposal for testing the eyesight and hearing in HS&amp;B:20 is to collect data on these important public health issues for older children within the amount of time schools will allow us to work with children in a school setting.</w:t>
      </w:r>
      <w:r w:rsidR="00C016B7">
        <w:rPr>
          <w:rFonts w:ascii="Times New Roman" w:hAnsi="Times New Roman"/>
          <w:szCs w:val="24"/>
        </w:rPr>
        <w:t xml:space="preserve"> </w:t>
      </w:r>
      <w:r w:rsidRPr="005E3177">
        <w:rPr>
          <w:rFonts w:ascii="Times New Roman" w:hAnsi="Times New Roman"/>
          <w:szCs w:val="24"/>
        </w:rPr>
        <w:t>The proposed eye measurement will provide considerably less information than more extensive exams proposed by AOA, and inclusion of a single measure of eyesight is not intended to obviate the need for a comprehensive eye examination.</w:t>
      </w:r>
      <w:r w:rsidR="00C016B7">
        <w:rPr>
          <w:rFonts w:ascii="Times New Roman" w:hAnsi="Times New Roman"/>
          <w:szCs w:val="24"/>
        </w:rPr>
        <w:t xml:space="preserve"> </w:t>
      </w:r>
      <w:r w:rsidRPr="005E3177">
        <w:rPr>
          <w:rFonts w:ascii="Times New Roman" w:hAnsi="Times New Roman"/>
          <w:szCs w:val="24"/>
        </w:rPr>
        <w:t>The sole objective of a 2-minute vision test in the confines of the school setting is straight-forward, namely to capture refractive error in the eyes of each student to determine the rate of various types of refractive error, particularly myopia, in a nationally representative sample of U.S. students in the 9</w:t>
      </w:r>
      <w:r w:rsidRPr="0013054A">
        <w:rPr>
          <w:rFonts w:ascii="Times New Roman" w:hAnsi="Times New Roman"/>
          <w:szCs w:val="24"/>
          <w:vertAlign w:val="superscript"/>
        </w:rPr>
        <w:t>th</w:t>
      </w:r>
      <w:r w:rsidR="0013054A">
        <w:rPr>
          <w:rFonts w:ascii="Times New Roman" w:hAnsi="Times New Roman"/>
          <w:szCs w:val="24"/>
        </w:rPr>
        <w:t xml:space="preserve"> </w:t>
      </w:r>
      <w:r w:rsidRPr="005E3177">
        <w:rPr>
          <w:rFonts w:ascii="Times New Roman" w:hAnsi="Times New Roman"/>
          <w:szCs w:val="24"/>
        </w:rPr>
        <w:t>grade.</w:t>
      </w:r>
      <w:r w:rsidR="00C016B7">
        <w:rPr>
          <w:rFonts w:ascii="Times New Roman" w:hAnsi="Times New Roman"/>
          <w:szCs w:val="24"/>
        </w:rPr>
        <w:t xml:space="preserve"> </w:t>
      </w:r>
      <w:r w:rsidRPr="005E3177">
        <w:rPr>
          <w:rFonts w:ascii="Times New Roman" w:hAnsi="Times New Roman"/>
          <w:szCs w:val="24"/>
        </w:rPr>
        <w:t>Re-measuring refractive error again in the 12</w:t>
      </w:r>
      <w:r w:rsidRPr="0013054A">
        <w:rPr>
          <w:rFonts w:ascii="Times New Roman" w:hAnsi="Times New Roman"/>
          <w:szCs w:val="24"/>
          <w:vertAlign w:val="superscript"/>
        </w:rPr>
        <w:t>th</w:t>
      </w:r>
      <w:r w:rsidR="0013054A">
        <w:rPr>
          <w:rFonts w:ascii="Times New Roman" w:hAnsi="Times New Roman"/>
          <w:szCs w:val="24"/>
        </w:rPr>
        <w:t xml:space="preserve"> </w:t>
      </w:r>
      <w:r w:rsidRPr="005E3177">
        <w:rPr>
          <w:rFonts w:ascii="Times New Roman" w:hAnsi="Times New Roman"/>
          <w:szCs w:val="24"/>
        </w:rPr>
        <w:t>grade will allow for assessment as to whether the prevalence in this group of adolescents is changing and, for those students with myopia in the 9</w:t>
      </w:r>
      <w:r w:rsidRPr="0013054A">
        <w:rPr>
          <w:rFonts w:ascii="Times New Roman" w:hAnsi="Times New Roman"/>
          <w:szCs w:val="24"/>
          <w:vertAlign w:val="superscript"/>
        </w:rPr>
        <w:t>th</w:t>
      </w:r>
      <w:r w:rsidR="0013054A">
        <w:rPr>
          <w:rFonts w:ascii="Times New Roman" w:hAnsi="Times New Roman"/>
          <w:szCs w:val="24"/>
        </w:rPr>
        <w:t xml:space="preserve"> </w:t>
      </w:r>
      <w:r w:rsidRPr="005E3177">
        <w:rPr>
          <w:rFonts w:ascii="Times New Roman" w:hAnsi="Times New Roman"/>
          <w:szCs w:val="24"/>
        </w:rPr>
        <w:t>grade, whether their condition is stable, improving, or worsening.</w:t>
      </w:r>
    </w:p>
    <w:p w:rsidR="002C590B" w:rsidRDefault="005E3177" w:rsidP="00904405">
      <w:pPr>
        <w:widowControl w:val="0"/>
        <w:spacing w:after="120" w:line="23" w:lineRule="atLeast"/>
        <w:rPr>
          <w:rFonts w:ascii="Times New Roman" w:hAnsi="Times New Roman"/>
          <w:szCs w:val="24"/>
        </w:rPr>
      </w:pPr>
      <w:r w:rsidRPr="005E3177">
        <w:rPr>
          <w:rFonts w:ascii="Times New Roman" w:hAnsi="Times New Roman"/>
          <w:szCs w:val="24"/>
        </w:rPr>
        <w:t>Gathering data on myopia from U.S. adolescents is important because studies in other countries have shown that rates of myopia are worsening [e.g. Williams KM et al. in Europe and Chen M et al. in China].</w:t>
      </w:r>
      <w:r w:rsidR="00C016B7">
        <w:rPr>
          <w:rFonts w:ascii="Times New Roman" w:hAnsi="Times New Roman"/>
          <w:szCs w:val="24"/>
        </w:rPr>
        <w:t xml:space="preserve"> </w:t>
      </w:r>
      <w:r w:rsidRPr="005E3177">
        <w:rPr>
          <w:rFonts w:ascii="Times New Roman" w:hAnsi="Times New Roman"/>
          <w:szCs w:val="24"/>
        </w:rPr>
        <w:t>Furthermore, increasing severity of myopia carries significantly increased risk of subsequent vision impairment, costly retinal complications such as retinal detachments which occur in young adulthood when career trajectories are set, during middle age when economic productivity is highest, and in old age when concomitant health conditions already exact a toll on activities of independent daily living [e.g. Ikuno Y]. It is therefore important to assess the impact of myopia on U.S. adolescents as they navigate their way through high school and beyond so the health care system in the United States can anticipate and plan for resource and policy needs.</w:t>
      </w:r>
    </w:p>
    <w:p w:rsidR="002C590B" w:rsidRDefault="005E3177" w:rsidP="005E3177">
      <w:pPr>
        <w:spacing w:after="120" w:line="23" w:lineRule="atLeast"/>
        <w:rPr>
          <w:rFonts w:ascii="Times New Roman" w:hAnsi="Times New Roman"/>
          <w:szCs w:val="24"/>
        </w:rPr>
      </w:pPr>
      <w:r w:rsidRPr="005E3177">
        <w:rPr>
          <w:rFonts w:ascii="Times New Roman" w:hAnsi="Times New Roman"/>
          <w:szCs w:val="24"/>
        </w:rPr>
        <w:t xml:space="preserve">There is no contemporary, nationally representative study of adolescents in the United States </w:t>
      </w:r>
      <w:r w:rsidR="00F56709">
        <w:rPr>
          <w:rFonts w:ascii="Times New Roman" w:hAnsi="Times New Roman"/>
          <w:szCs w:val="24"/>
        </w:rPr>
        <w:t>that</w:t>
      </w:r>
      <w:r w:rsidRPr="005E3177">
        <w:rPr>
          <w:rFonts w:ascii="Times New Roman" w:hAnsi="Times New Roman"/>
          <w:szCs w:val="24"/>
        </w:rPr>
        <w:t xml:space="preserve"> collect</w:t>
      </w:r>
      <w:r w:rsidR="00F56709">
        <w:rPr>
          <w:rFonts w:ascii="Times New Roman" w:hAnsi="Times New Roman"/>
          <w:szCs w:val="24"/>
        </w:rPr>
        <w:t>s</w:t>
      </w:r>
      <w:r w:rsidRPr="005E3177">
        <w:rPr>
          <w:rFonts w:ascii="Times New Roman" w:hAnsi="Times New Roman"/>
          <w:szCs w:val="24"/>
        </w:rPr>
        <w:t xml:space="preserve"> such critically important information.</w:t>
      </w:r>
      <w:r w:rsidR="00C016B7">
        <w:rPr>
          <w:rFonts w:ascii="Times New Roman" w:hAnsi="Times New Roman"/>
          <w:szCs w:val="24"/>
        </w:rPr>
        <w:t xml:space="preserve"> </w:t>
      </w:r>
      <w:r w:rsidRPr="005E3177">
        <w:rPr>
          <w:rFonts w:ascii="Times New Roman" w:hAnsi="Times New Roman"/>
          <w:szCs w:val="24"/>
        </w:rPr>
        <w:t>Data from the Department of Health and Human Service’s National Health and Nutrition Examination Survey (NHANES) 1999-2002 documented that visual impairment was significant in survey participants ages 12-19, the preponderance of which was found to be due to refractive error [Vitale S et al.]</w:t>
      </w:r>
      <w:r w:rsidR="00C016B7">
        <w:rPr>
          <w:rFonts w:ascii="Times New Roman" w:hAnsi="Times New Roman"/>
          <w:szCs w:val="24"/>
        </w:rPr>
        <w:t xml:space="preserve"> </w:t>
      </w:r>
      <w:r w:rsidRPr="005E3177">
        <w:rPr>
          <w:rFonts w:ascii="Times New Roman" w:hAnsi="Times New Roman"/>
          <w:szCs w:val="24"/>
        </w:rPr>
        <w:t>The proposed HS&amp;B:20 study will update these data using new technology to capture refractive error with enough precision to derive national prevalence estimates.</w:t>
      </w:r>
      <w:r w:rsidR="00C016B7">
        <w:rPr>
          <w:rFonts w:ascii="Times New Roman" w:hAnsi="Times New Roman"/>
          <w:szCs w:val="24"/>
        </w:rPr>
        <w:t xml:space="preserve"> </w:t>
      </w:r>
      <w:r w:rsidRPr="005E3177">
        <w:rPr>
          <w:rFonts w:ascii="Times New Roman" w:hAnsi="Times New Roman"/>
          <w:szCs w:val="24"/>
        </w:rPr>
        <w:t xml:space="preserve">Additionally, since it is unclear which predisposing factors might influence myopia development, including time spent on various activities during school-age years and academic achievement </w:t>
      </w:r>
      <w:r w:rsidR="00B26BF2">
        <w:rPr>
          <w:rFonts w:ascii="Times New Roman" w:hAnsi="Times New Roman"/>
          <w:szCs w:val="24"/>
        </w:rPr>
        <w:t>(</w:t>
      </w:r>
      <w:r w:rsidRPr="005E3177">
        <w:rPr>
          <w:rFonts w:ascii="Times New Roman" w:hAnsi="Times New Roman"/>
          <w:szCs w:val="24"/>
        </w:rPr>
        <w:t>data that were not captured in NHANES</w:t>
      </w:r>
      <w:r w:rsidR="00B26BF2">
        <w:rPr>
          <w:rFonts w:ascii="Times New Roman" w:hAnsi="Times New Roman"/>
          <w:szCs w:val="24"/>
        </w:rPr>
        <w:t>),</w:t>
      </w:r>
      <w:r w:rsidRPr="005E3177">
        <w:rPr>
          <w:rFonts w:ascii="Times New Roman" w:hAnsi="Times New Roman"/>
          <w:szCs w:val="24"/>
        </w:rPr>
        <w:t xml:space="preserve"> the proposed study is well-suited to contribute useful data beyond providing mere prevalence estimates.</w:t>
      </w:r>
    </w:p>
    <w:p w:rsidR="002C590B" w:rsidRDefault="005E3177" w:rsidP="005E3177">
      <w:pPr>
        <w:spacing w:after="120" w:line="23" w:lineRule="atLeast"/>
        <w:rPr>
          <w:rFonts w:ascii="Times New Roman" w:hAnsi="Times New Roman"/>
          <w:szCs w:val="24"/>
        </w:rPr>
      </w:pPr>
      <w:r w:rsidRPr="005E3177">
        <w:rPr>
          <w:rFonts w:ascii="Times New Roman" w:hAnsi="Times New Roman"/>
          <w:szCs w:val="24"/>
        </w:rPr>
        <w:t>There are logistical limits on what data and how much can be collected in the in-school session planned for this study, and these constraints preclude administration of a full eye exam. A brief measure of vision and hearing, both of which will provide critically important public health information, are expected to fit into the limited time that schools will allow for testing of their students. Schools are reluctant to allow lengthy study sessions that pull students out of class and disrupt the school day, and so the duration of the session must be minimized as much as possible to alleviate this concern. If schools’ concerns are not sufficiently addressed, schools are unlikely to agree to participate, which jeopardizes the success of the entire study.</w:t>
      </w:r>
    </w:p>
    <w:p w:rsidR="002C590B" w:rsidRDefault="005E3177" w:rsidP="005E3177">
      <w:pPr>
        <w:spacing w:after="120" w:line="23" w:lineRule="atLeast"/>
        <w:rPr>
          <w:rFonts w:ascii="Times New Roman" w:hAnsi="Times New Roman"/>
          <w:szCs w:val="24"/>
        </w:rPr>
      </w:pPr>
      <w:r w:rsidRPr="005E3177">
        <w:rPr>
          <w:rFonts w:ascii="Times New Roman" w:hAnsi="Times New Roman"/>
          <w:szCs w:val="24"/>
        </w:rPr>
        <w:t>The AOA has proposed that connections be made between students selected for HS&amp;B:20 and local optometrists. However, NCES must follow strict legal requirements related to the protection of study participant</w:t>
      </w:r>
      <w:r w:rsidR="00B46C98">
        <w:rPr>
          <w:rFonts w:ascii="Times New Roman" w:hAnsi="Times New Roman"/>
          <w:szCs w:val="24"/>
        </w:rPr>
        <w:t>s’</w:t>
      </w:r>
      <w:r w:rsidRPr="005E3177">
        <w:rPr>
          <w:rFonts w:ascii="Times New Roman" w:hAnsi="Times New Roman"/>
          <w:szCs w:val="24"/>
        </w:rPr>
        <w:t xml:space="preserve"> identities to maintain their privacy and confidentiality.</w:t>
      </w:r>
      <w:r w:rsidR="00C016B7">
        <w:rPr>
          <w:rFonts w:ascii="Times New Roman" w:hAnsi="Times New Roman"/>
          <w:szCs w:val="24"/>
        </w:rPr>
        <w:t xml:space="preserve"> </w:t>
      </w:r>
      <w:r w:rsidRPr="005E3177">
        <w:rPr>
          <w:rFonts w:ascii="Times New Roman" w:hAnsi="Times New Roman"/>
          <w:szCs w:val="24"/>
        </w:rPr>
        <w:t>Accordingly, NCES has procedures in place to minimize the risk of disclosure of personally identifiable information. Therefore, it is not possible for NCES to refer students for out-of-school exams at local doctors’ offices and then have those results provided back to NCES for inclusion in study data files. All data collection must be conducted by HS&amp;B:20 study staff who are trained in standardized methodology and are legally required to follow all rules and regulations related to the protection of participant information.</w:t>
      </w:r>
    </w:p>
    <w:p w:rsidR="005E3177" w:rsidRPr="005E3177" w:rsidRDefault="005E3177" w:rsidP="005E3177">
      <w:pPr>
        <w:spacing w:after="120" w:line="23" w:lineRule="atLeast"/>
        <w:rPr>
          <w:rFonts w:ascii="Times New Roman" w:hAnsi="Times New Roman"/>
          <w:szCs w:val="24"/>
        </w:rPr>
      </w:pPr>
      <w:r w:rsidRPr="005E3177">
        <w:rPr>
          <w:rFonts w:ascii="Times New Roman" w:hAnsi="Times New Roman"/>
          <w:szCs w:val="24"/>
        </w:rPr>
        <w:t>Hence, incorporation of a 2-minute capture of refractive error is an efficient, cost-effective strategy to gather information on a representative sample of U.S. adolescents in a school setting, collecting the data within logistical constraints to minimize disruption on instructional time in the classroom.</w:t>
      </w:r>
    </w:p>
    <w:p w:rsidR="002C590B" w:rsidRDefault="005E3177" w:rsidP="00C6228D">
      <w:pPr>
        <w:spacing w:after="0" w:line="23" w:lineRule="atLeast"/>
        <w:rPr>
          <w:rFonts w:ascii="Times New Roman" w:hAnsi="Times New Roman"/>
          <w:szCs w:val="24"/>
        </w:rPr>
      </w:pPr>
      <w:r w:rsidRPr="00446C57">
        <w:rPr>
          <w:rFonts w:ascii="Times New Roman" w:hAnsi="Times New Roman"/>
          <w:szCs w:val="24"/>
        </w:rPr>
        <w:t>Sincerely,</w:t>
      </w:r>
    </w:p>
    <w:p w:rsidR="005E3177" w:rsidRPr="00446C57" w:rsidRDefault="005E3177" w:rsidP="00C6228D">
      <w:pPr>
        <w:spacing w:after="0" w:line="23" w:lineRule="atLeast"/>
        <w:rPr>
          <w:rFonts w:ascii="Times New Roman" w:hAnsi="Times New Roman"/>
          <w:szCs w:val="24"/>
        </w:rPr>
      </w:pPr>
    </w:p>
    <w:p w:rsidR="00470722" w:rsidRPr="00446C57" w:rsidRDefault="005E3177" w:rsidP="00C6228D">
      <w:pPr>
        <w:spacing w:after="0" w:line="23" w:lineRule="atLeast"/>
        <w:rPr>
          <w:rFonts w:ascii="Times New Roman" w:hAnsi="Times New Roman"/>
          <w:szCs w:val="24"/>
        </w:rPr>
      </w:pPr>
      <w:r w:rsidRPr="00446C57">
        <w:rPr>
          <w:rFonts w:ascii="Times New Roman" w:hAnsi="Times New Roman"/>
          <w:szCs w:val="24"/>
        </w:rPr>
        <w:t>Elise Christopher, PhD</w:t>
      </w:r>
    </w:p>
    <w:p w:rsidR="00470722" w:rsidRPr="00446C57" w:rsidRDefault="005E3177" w:rsidP="00C6228D">
      <w:pPr>
        <w:spacing w:after="0" w:line="23" w:lineRule="atLeast"/>
        <w:rPr>
          <w:rFonts w:ascii="Times New Roman" w:hAnsi="Times New Roman"/>
          <w:szCs w:val="24"/>
        </w:rPr>
      </w:pPr>
      <w:r w:rsidRPr="00446C57">
        <w:rPr>
          <w:rFonts w:ascii="Times New Roman" w:hAnsi="Times New Roman"/>
          <w:szCs w:val="24"/>
        </w:rPr>
        <w:t>Project Officer, High School &amp; Beyond Longitudinal Study</w:t>
      </w:r>
    </w:p>
    <w:p w:rsidR="00470722" w:rsidRPr="00446C57" w:rsidRDefault="005E3177" w:rsidP="00C6228D">
      <w:pPr>
        <w:spacing w:after="0" w:line="23" w:lineRule="atLeast"/>
        <w:rPr>
          <w:rFonts w:ascii="Times New Roman" w:hAnsi="Times New Roman"/>
          <w:szCs w:val="24"/>
        </w:rPr>
      </w:pPr>
      <w:r w:rsidRPr="00446C57">
        <w:rPr>
          <w:rFonts w:ascii="Times New Roman" w:hAnsi="Times New Roman"/>
          <w:szCs w:val="24"/>
        </w:rPr>
        <w:t>Longitudinal</w:t>
      </w:r>
      <w:r w:rsidR="00470722" w:rsidRPr="00446C57">
        <w:rPr>
          <w:rFonts w:ascii="Times New Roman" w:hAnsi="Times New Roman"/>
          <w:szCs w:val="24"/>
        </w:rPr>
        <w:t xml:space="preserve"> Surveys Branch</w:t>
      </w:r>
    </w:p>
    <w:p w:rsidR="00470722" w:rsidRPr="00446C57" w:rsidRDefault="00470722" w:rsidP="00C6228D">
      <w:pPr>
        <w:spacing w:after="0" w:line="23" w:lineRule="atLeast"/>
        <w:rPr>
          <w:rFonts w:ascii="Times New Roman" w:hAnsi="Times New Roman"/>
          <w:szCs w:val="24"/>
        </w:rPr>
      </w:pPr>
      <w:r w:rsidRPr="00446C57">
        <w:rPr>
          <w:rFonts w:ascii="Times New Roman" w:hAnsi="Times New Roman"/>
          <w:szCs w:val="24"/>
        </w:rPr>
        <w:t>National Center for Education Statistics</w:t>
      </w:r>
    </w:p>
    <w:p w:rsidR="00470722" w:rsidRPr="00446C57" w:rsidRDefault="00470722" w:rsidP="00C6228D">
      <w:pPr>
        <w:spacing w:after="0" w:line="23" w:lineRule="atLeast"/>
        <w:rPr>
          <w:rFonts w:ascii="Times New Roman" w:hAnsi="Times New Roman"/>
          <w:szCs w:val="24"/>
        </w:rPr>
      </w:pPr>
      <w:r w:rsidRPr="00446C57">
        <w:rPr>
          <w:rFonts w:ascii="Times New Roman" w:hAnsi="Times New Roman"/>
          <w:szCs w:val="24"/>
        </w:rPr>
        <w:t>U.S. Department of Education</w:t>
      </w:r>
    </w:p>
    <w:p w:rsidR="002C590B" w:rsidRDefault="00470722" w:rsidP="00446C57">
      <w:pPr>
        <w:spacing w:after="120" w:line="23" w:lineRule="atLeast"/>
        <w:rPr>
          <w:rFonts w:ascii="Times New Roman" w:hAnsi="Times New Roman"/>
          <w:sz w:val="24"/>
          <w:szCs w:val="24"/>
        </w:rPr>
      </w:pPr>
      <w:r w:rsidRPr="00446C57">
        <w:rPr>
          <w:rFonts w:ascii="Times New Roman" w:hAnsi="Times New Roman"/>
          <w:szCs w:val="24"/>
        </w:rPr>
        <w:t xml:space="preserve">Office: </w:t>
      </w:r>
      <w:hyperlink r:id="rId9" w:tgtFrame="_blank" w:history="1">
        <w:r w:rsidRPr="00446C57">
          <w:rPr>
            <w:rStyle w:val="Hyperlink"/>
            <w:rFonts w:ascii="Times New Roman" w:hAnsi="Times New Roman"/>
            <w:color w:val="auto"/>
            <w:szCs w:val="24"/>
            <w:u w:val="none"/>
          </w:rPr>
          <w:t>202-245-708</w:t>
        </w:r>
        <w:r w:rsidR="005E3177" w:rsidRPr="00446C57">
          <w:rPr>
            <w:rStyle w:val="Hyperlink"/>
            <w:rFonts w:ascii="Times New Roman" w:hAnsi="Times New Roman"/>
            <w:color w:val="auto"/>
            <w:szCs w:val="24"/>
            <w:u w:val="none"/>
          </w:rPr>
          <w:t>9</w:t>
        </w:r>
      </w:hyperlink>
    </w:p>
    <w:p w:rsidR="00904405" w:rsidRDefault="00904405" w:rsidP="008848C1">
      <w:pPr>
        <w:spacing w:after="60" w:line="240" w:lineRule="auto"/>
        <w:rPr>
          <w:rFonts w:ascii="Times New Roman" w:hAnsi="Times New Roman"/>
          <w:b/>
          <w:sz w:val="20"/>
          <w:szCs w:val="20"/>
          <w:u w:val="single"/>
        </w:rPr>
      </w:pPr>
    </w:p>
    <w:p w:rsidR="002C590B" w:rsidRPr="008848C1" w:rsidRDefault="00446C57" w:rsidP="008848C1">
      <w:pPr>
        <w:spacing w:after="60" w:line="240" w:lineRule="auto"/>
        <w:rPr>
          <w:rFonts w:ascii="Times New Roman" w:hAnsi="Times New Roman"/>
          <w:b/>
          <w:sz w:val="20"/>
          <w:szCs w:val="20"/>
          <w:u w:val="single"/>
        </w:rPr>
      </w:pPr>
      <w:r w:rsidRPr="008848C1">
        <w:rPr>
          <w:rFonts w:ascii="Times New Roman" w:hAnsi="Times New Roman"/>
          <w:b/>
          <w:sz w:val="20"/>
          <w:szCs w:val="20"/>
          <w:u w:val="single"/>
        </w:rPr>
        <w:t>References:</w:t>
      </w:r>
    </w:p>
    <w:p w:rsidR="00446C57" w:rsidRPr="008848C1" w:rsidRDefault="00446C57" w:rsidP="008848C1">
      <w:pPr>
        <w:spacing w:after="120" w:line="240" w:lineRule="auto"/>
        <w:rPr>
          <w:rFonts w:ascii="Times New Roman" w:hAnsi="Times New Roman"/>
          <w:sz w:val="18"/>
          <w:szCs w:val="18"/>
        </w:rPr>
      </w:pPr>
      <w:r w:rsidRPr="008848C1">
        <w:rPr>
          <w:rFonts w:ascii="Times New Roman" w:hAnsi="Times New Roman"/>
          <w:sz w:val="18"/>
          <w:szCs w:val="18"/>
        </w:rPr>
        <w:t>Chen M et al. The increasing prevalence of myopia and high myopia among high school students in Fenghua city, eastern China: a 15-year population-based survey. BMC Ophthalmol. 2018 Jul 3;18(1):159. doi: 10.1186/s12886-018-0829-8.</w:t>
      </w:r>
    </w:p>
    <w:p w:rsidR="00446C57" w:rsidRPr="008848C1" w:rsidRDefault="00446C57" w:rsidP="008848C1">
      <w:pPr>
        <w:spacing w:after="120" w:line="240" w:lineRule="auto"/>
        <w:rPr>
          <w:rFonts w:ascii="Times New Roman" w:hAnsi="Times New Roman"/>
          <w:sz w:val="18"/>
          <w:szCs w:val="18"/>
        </w:rPr>
      </w:pPr>
      <w:r w:rsidRPr="008848C1">
        <w:rPr>
          <w:rFonts w:ascii="Times New Roman" w:hAnsi="Times New Roman"/>
          <w:sz w:val="18"/>
          <w:szCs w:val="18"/>
        </w:rPr>
        <w:t>Ikuno Y.</w:t>
      </w:r>
      <w:r w:rsidR="00C016B7" w:rsidRPr="008848C1">
        <w:rPr>
          <w:rFonts w:ascii="Times New Roman" w:hAnsi="Times New Roman"/>
          <w:sz w:val="18"/>
          <w:szCs w:val="18"/>
        </w:rPr>
        <w:t xml:space="preserve"> </w:t>
      </w:r>
      <w:r w:rsidRPr="008848C1">
        <w:rPr>
          <w:rFonts w:ascii="Times New Roman" w:hAnsi="Times New Roman"/>
          <w:sz w:val="18"/>
          <w:szCs w:val="18"/>
        </w:rPr>
        <w:t>Overview of the Complications of High Myopia. Retina. 2017 Dec; 37(12):2347-2351. doi: 10.1097/IAE.0000000000001489.</w:t>
      </w:r>
    </w:p>
    <w:p w:rsidR="00446C57" w:rsidRPr="008848C1" w:rsidRDefault="00446C57" w:rsidP="008848C1">
      <w:pPr>
        <w:spacing w:after="120" w:line="240" w:lineRule="auto"/>
        <w:rPr>
          <w:rFonts w:ascii="Times New Roman" w:hAnsi="Times New Roman"/>
          <w:sz w:val="18"/>
          <w:szCs w:val="18"/>
        </w:rPr>
      </w:pPr>
      <w:r w:rsidRPr="008848C1">
        <w:rPr>
          <w:rFonts w:ascii="Times New Roman" w:hAnsi="Times New Roman"/>
          <w:sz w:val="18"/>
          <w:szCs w:val="18"/>
        </w:rPr>
        <w:t>Vitale S et al. Prevalence of visual impairment in the United States.</w:t>
      </w:r>
      <w:r w:rsidR="00C016B7" w:rsidRPr="008848C1">
        <w:rPr>
          <w:rFonts w:ascii="Times New Roman" w:hAnsi="Times New Roman"/>
          <w:sz w:val="18"/>
          <w:szCs w:val="18"/>
        </w:rPr>
        <w:t xml:space="preserve"> </w:t>
      </w:r>
      <w:r w:rsidRPr="008848C1">
        <w:rPr>
          <w:rFonts w:ascii="Times New Roman" w:hAnsi="Times New Roman"/>
          <w:sz w:val="18"/>
          <w:szCs w:val="18"/>
        </w:rPr>
        <w:t>JAMA. 2006 May 10;295(18):2158-63.</w:t>
      </w:r>
    </w:p>
    <w:p w:rsidR="00A10B69" w:rsidRPr="00C6228D" w:rsidRDefault="00446C57" w:rsidP="008848C1">
      <w:pPr>
        <w:spacing w:after="120" w:line="240" w:lineRule="auto"/>
        <w:rPr>
          <w:rFonts w:ascii="Times New Roman" w:hAnsi="Times New Roman"/>
          <w:sz w:val="24"/>
          <w:szCs w:val="24"/>
        </w:rPr>
      </w:pPr>
      <w:r w:rsidRPr="008848C1">
        <w:rPr>
          <w:rFonts w:ascii="Times New Roman" w:hAnsi="Times New Roman"/>
          <w:sz w:val="18"/>
          <w:szCs w:val="18"/>
        </w:rPr>
        <w:t>Williams KM et. al.</w:t>
      </w:r>
      <w:r w:rsidR="00C016B7" w:rsidRPr="008848C1">
        <w:rPr>
          <w:rFonts w:ascii="Times New Roman" w:hAnsi="Times New Roman"/>
          <w:sz w:val="18"/>
          <w:szCs w:val="18"/>
        </w:rPr>
        <w:t xml:space="preserve"> </w:t>
      </w:r>
      <w:r w:rsidRPr="008848C1">
        <w:rPr>
          <w:rFonts w:ascii="Times New Roman" w:hAnsi="Times New Roman"/>
          <w:sz w:val="18"/>
          <w:szCs w:val="18"/>
        </w:rPr>
        <w:t>Increasing Prevalence of Myopia in Europe and the Impact of Education. Ophthalmology. 2015 Jul;122(7):1489-97. doi: 10.1016/j.ophtha.2015.03.018. Epub 2015 May 13.</w:t>
      </w:r>
    </w:p>
    <w:sectPr w:rsidR="00A10B69" w:rsidRPr="00C6228D" w:rsidSect="00904405">
      <w:footerReference w:type="default" r:id="rId10"/>
      <w:pgSz w:w="12240" w:h="15840" w:code="1"/>
      <w:pgMar w:top="792" w:right="792" w:bottom="720" w:left="792"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AAF" w:rsidRDefault="00D05AAF" w:rsidP="00904405">
      <w:pPr>
        <w:spacing w:after="0" w:line="240" w:lineRule="auto"/>
      </w:pPr>
      <w:r>
        <w:separator/>
      </w:r>
    </w:p>
  </w:endnote>
  <w:endnote w:type="continuationSeparator" w:id="0">
    <w:p w:rsidR="00D05AAF" w:rsidRDefault="00D05AAF" w:rsidP="00904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183749"/>
      <w:docPartObj>
        <w:docPartGallery w:val="Page Numbers (Bottom of Page)"/>
        <w:docPartUnique/>
      </w:docPartObj>
    </w:sdtPr>
    <w:sdtEndPr>
      <w:rPr>
        <w:noProof/>
        <w:sz w:val="20"/>
        <w:szCs w:val="20"/>
      </w:rPr>
    </w:sdtEndPr>
    <w:sdtContent>
      <w:p w:rsidR="00904405" w:rsidRPr="00904405" w:rsidRDefault="00904405" w:rsidP="00904405">
        <w:pPr>
          <w:pStyle w:val="Footer"/>
          <w:jc w:val="center"/>
          <w:rPr>
            <w:sz w:val="20"/>
            <w:szCs w:val="20"/>
          </w:rPr>
        </w:pPr>
        <w:r w:rsidRPr="00904405">
          <w:rPr>
            <w:sz w:val="20"/>
            <w:szCs w:val="20"/>
          </w:rPr>
          <w:fldChar w:fldCharType="begin"/>
        </w:r>
        <w:r w:rsidRPr="00904405">
          <w:rPr>
            <w:sz w:val="20"/>
            <w:szCs w:val="20"/>
          </w:rPr>
          <w:instrText xml:space="preserve"> PAGE   \* MERGEFORMAT </w:instrText>
        </w:r>
        <w:r w:rsidRPr="00904405">
          <w:rPr>
            <w:sz w:val="20"/>
            <w:szCs w:val="20"/>
          </w:rPr>
          <w:fldChar w:fldCharType="separate"/>
        </w:r>
        <w:r w:rsidR="00162DEA">
          <w:rPr>
            <w:noProof/>
            <w:sz w:val="20"/>
            <w:szCs w:val="20"/>
          </w:rPr>
          <w:t>1</w:t>
        </w:r>
        <w:r w:rsidRPr="00904405">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AAF" w:rsidRDefault="00D05AAF" w:rsidP="00904405">
      <w:pPr>
        <w:spacing w:after="0" w:line="240" w:lineRule="auto"/>
      </w:pPr>
      <w:r>
        <w:separator/>
      </w:r>
    </w:p>
  </w:footnote>
  <w:footnote w:type="continuationSeparator" w:id="0">
    <w:p w:rsidR="00D05AAF" w:rsidRDefault="00D05AAF" w:rsidP="009044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16C7C"/>
    <w:multiLevelType w:val="hybridMultilevel"/>
    <w:tmpl w:val="32764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5219C7"/>
    <w:multiLevelType w:val="hybridMultilevel"/>
    <w:tmpl w:val="D0A4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935745"/>
    <w:multiLevelType w:val="hybridMultilevel"/>
    <w:tmpl w:val="4C0A9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073"/>
    <w:rsid w:val="00013D97"/>
    <w:rsid w:val="00036B07"/>
    <w:rsid w:val="000A3606"/>
    <w:rsid w:val="000A5E81"/>
    <w:rsid w:val="000C0E41"/>
    <w:rsid w:val="000D2425"/>
    <w:rsid w:val="000E333B"/>
    <w:rsid w:val="0013054A"/>
    <w:rsid w:val="00156DC8"/>
    <w:rsid w:val="00161D99"/>
    <w:rsid w:val="00162DEA"/>
    <w:rsid w:val="00185748"/>
    <w:rsid w:val="001E0481"/>
    <w:rsid w:val="00273766"/>
    <w:rsid w:val="002C590B"/>
    <w:rsid w:val="00377482"/>
    <w:rsid w:val="00386C7D"/>
    <w:rsid w:val="00387CA8"/>
    <w:rsid w:val="00446C57"/>
    <w:rsid w:val="00470722"/>
    <w:rsid w:val="0047451A"/>
    <w:rsid w:val="00516D00"/>
    <w:rsid w:val="005344E9"/>
    <w:rsid w:val="0056455A"/>
    <w:rsid w:val="005E3177"/>
    <w:rsid w:val="005E6DE1"/>
    <w:rsid w:val="0066757C"/>
    <w:rsid w:val="006B06E0"/>
    <w:rsid w:val="006B6B69"/>
    <w:rsid w:val="006C7D40"/>
    <w:rsid w:val="007154AC"/>
    <w:rsid w:val="00785075"/>
    <w:rsid w:val="007B03EB"/>
    <w:rsid w:val="007B11E9"/>
    <w:rsid w:val="007B54C1"/>
    <w:rsid w:val="008848C1"/>
    <w:rsid w:val="00904405"/>
    <w:rsid w:val="009A6458"/>
    <w:rsid w:val="00A10B69"/>
    <w:rsid w:val="00A51E8A"/>
    <w:rsid w:val="00AA2833"/>
    <w:rsid w:val="00AA3FD8"/>
    <w:rsid w:val="00AA5FF6"/>
    <w:rsid w:val="00AC5DAA"/>
    <w:rsid w:val="00AE01FD"/>
    <w:rsid w:val="00B12B10"/>
    <w:rsid w:val="00B26BF2"/>
    <w:rsid w:val="00B35A44"/>
    <w:rsid w:val="00B46C98"/>
    <w:rsid w:val="00BB0073"/>
    <w:rsid w:val="00C016B7"/>
    <w:rsid w:val="00C06602"/>
    <w:rsid w:val="00C6228D"/>
    <w:rsid w:val="00CE605C"/>
    <w:rsid w:val="00D05AAF"/>
    <w:rsid w:val="00D13805"/>
    <w:rsid w:val="00D445A6"/>
    <w:rsid w:val="00D83DCA"/>
    <w:rsid w:val="00DC034B"/>
    <w:rsid w:val="00DD2C84"/>
    <w:rsid w:val="00DE34B2"/>
    <w:rsid w:val="00DE3819"/>
    <w:rsid w:val="00E56B22"/>
    <w:rsid w:val="00E72776"/>
    <w:rsid w:val="00E843BC"/>
    <w:rsid w:val="00F202A6"/>
    <w:rsid w:val="00F56709"/>
    <w:rsid w:val="00F6775D"/>
    <w:rsid w:val="00FC6C86"/>
    <w:rsid w:val="00FD7C93"/>
    <w:rsid w:val="00FE36CA"/>
    <w:rsid w:val="00FF2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73"/>
    <w:rPr>
      <w:rFonts w:ascii="Calibri" w:eastAsia="Calibri" w:hAnsi="Calibri" w:cs="Times New Roman"/>
    </w:rPr>
  </w:style>
  <w:style w:type="paragraph" w:styleId="Heading1">
    <w:name w:val="heading 1"/>
    <w:basedOn w:val="Normal"/>
    <w:next w:val="Normal"/>
    <w:link w:val="Heading1Char"/>
    <w:uiPriority w:val="9"/>
    <w:qFormat/>
    <w:rsid w:val="00F202A6"/>
    <w:pPr>
      <w:keepNext/>
      <w:keepLines/>
      <w:spacing w:before="480" w:after="0" w:line="259" w:lineRule="auto"/>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0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F202A6"/>
    <w:rPr>
      <w:rFonts w:ascii="Calibri Light" w:eastAsia="Times New Roman" w:hAnsi="Calibri Light" w:cs="Times New Roman"/>
      <w:b/>
      <w:bCs/>
      <w:color w:val="2E74B5"/>
      <w:sz w:val="28"/>
      <w:szCs w:val="28"/>
    </w:rPr>
  </w:style>
  <w:style w:type="paragraph" w:styleId="BalloonText">
    <w:name w:val="Balloon Text"/>
    <w:basedOn w:val="Normal"/>
    <w:link w:val="BalloonTextChar"/>
    <w:uiPriority w:val="99"/>
    <w:semiHidden/>
    <w:unhideWhenUsed/>
    <w:rsid w:val="0027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66"/>
    <w:rPr>
      <w:rFonts w:ascii="Tahoma" w:eastAsia="Calibri" w:hAnsi="Tahoma" w:cs="Tahoma"/>
      <w:sz w:val="16"/>
      <w:szCs w:val="16"/>
    </w:rPr>
  </w:style>
  <w:style w:type="paragraph" w:styleId="ListParagraph">
    <w:name w:val="List Paragraph"/>
    <w:basedOn w:val="Normal"/>
    <w:uiPriority w:val="1"/>
    <w:qFormat/>
    <w:rsid w:val="00FE36CA"/>
    <w:pPr>
      <w:ind w:left="720"/>
      <w:contextualSpacing/>
    </w:pPr>
  </w:style>
  <w:style w:type="numbering" w:customStyle="1" w:styleId="NoList1">
    <w:name w:val="No List1"/>
    <w:next w:val="NoList"/>
    <w:uiPriority w:val="99"/>
    <w:semiHidden/>
    <w:unhideWhenUsed/>
    <w:rsid w:val="00DC034B"/>
  </w:style>
  <w:style w:type="paragraph" w:styleId="BodyText">
    <w:name w:val="Body Text"/>
    <w:basedOn w:val="Normal"/>
    <w:link w:val="BodyTextChar"/>
    <w:uiPriority w:val="1"/>
    <w:qFormat/>
    <w:rsid w:val="00DC034B"/>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DC034B"/>
    <w:rPr>
      <w:rFonts w:ascii="Calibri" w:hAnsi="Calibri" w:cs="Calibri"/>
      <w:sz w:val="24"/>
      <w:szCs w:val="24"/>
    </w:rPr>
  </w:style>
  <w:style w:type="paragraph" w:customStyle="1" w:styleId="TableParagraph">
    <w:name w:val="Table Paragraph"/>
    <w:basedOn w:val="Normal"/>
    <w:uiPriority w:val="1"/>
    <w:qFormat/>
    <w:rsid w:val="00DC034B"/>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470722"/>
    <w:rPr>
      <w:color w:val="0000FF"/>
      <w:u w:val="single"/>
    </w:rPr>
  </w:style>
  <w:style w:type="paragraph" w:customStyle="1" w:styleId="Default">
    <w:name w:val="Default"/>
    <w:rsid w:val="005E317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04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405"/>
    <w:rPr>
      <w:rFonts w:ascii="Calibri" w:eastAsia="Calibri" w:hAnsi="Calibri" w:cs="Times New Roman"/>
    </w:rPr>
  </w:style>
  <w:style w:type="paragraph" w:styleId="Footer">
    <w:name w:val="footer"/>
    <w:basedOn w:val="Normal"/>
    <w:link w:val="FooterChar"/>
    <w:uiPriority w:val="99"/>
    <w:unhideWhenUsed/>
    <w:rsid w:val="00904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40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73"/>
    <w:rPr>
      <w:rFonts w:ascii="Calibri" w:eastAsia="Calibri" w:hAnsi="Calibri" w:cs="Times New Roman"/>
    </w:rPr>
  </w:style>
  <w:style w:type="paragraph" w:styleId="Heading1">
    <w:name w:val="heading 1"/>
    <w:basedOn w:val="Normal"/>
    <w:next w:val="Normal"/>
    <w:link w:val="Heading1Char"/>
    <w:uiPriority w:val="9"/>
    <w:qFormat/>
    <w:rsid w:val="00F202A6"/>
    <w:pPr>
      <w:keepNext/>
      <w:keepLines/>
      <w:spacing w:before="480" w:after="0" w:line="259" w:lineRule="auto"/>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0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F202A6"/>
    <w:rPr>
      <w:rFonts w:ascii="Calibri Light" w:eastAsia="Times New Roman" w:hAnsi="Calibri Light" w:cs="Times New Roman"/>
      <w:b/>
      <w:bCs/>
      <w:color w:val="2E74B5"/>
      <w:sz w:val="28"/>
      <w:szCs w:val="28"/>
    </w:rPr>
  </w:style>
  <w:style w:type="paragraph" w:styleId="BalloonText">
    <w:name w:val="Balloon Text"/>
    <w:basedOn w:val="Normal"/>
    <w:link w:val="BalloonTextChar"/>
    <w:uiPriority w:val="99"/>
    <w:semiHidden/>
    <w:unhideWhenUsed/>
    <w:rsid w:val="0027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66"/>
    <w:rPr>
      <w:rFonts w:ascii="Tahoma" w:eastAsia="Calibri" w:hAnsi="Tahoma" w:cs="Tahoma"/>
      <w:sz w:val="16"/>
      <w:szCs w:val="16"/>
    </w:rPr>
  </w:style>
  <w:style w:type="paragraph" w:styleId="ListParagraph">
    <w:name w:val="List Paragraph"/>
    <w:basedOn w:val="Normal"/>
    <w:uiPriority w:val="1"/>
    <w:qFormat/>
    <w:rsid w:val="00FE36CA"/>
    <w:pPr>
      <w:ind w:left="720"/>
      <w:contextualSpacing/>
    </w:pPr>
  </w:style>
  <w:style w:type="numbering" w:customStyle="1" w:styleId="NoList1">
    <w:name w:val="No List1"/>
    <w:next w:val="NoList"/>
    <w:uiPriority w:val="99"/>
    <w:semiHidden/>
    <w:unhideWhenUsed/>
    <w:rsid w:val="00DC034B"/>
  </w:style>
  <w:style w:type="paragraph" w:styleId="BodyText">
    <w:name w:val="Body Text"/>
    <w:basedOn w:val="Normal"/>
    <w:link w:val="BodyTextChar"/>
    <w:uiPriority w:val="1"/>
    <w:qFormat/>
    <w:rsid w:val="00DC034B"/>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DC034B"/>
    <w:rPr>
      <w:rFonts w:ascii="Calibri" w:hAnsi="Calibri" w:cs="Calibri"/>
      <w:sz w:val="24"/>
      <w:szCs w:val="24"/>
    </w:rPr>
  </w:style>
  <w:style w:type="paragraph" w:customStyle="1" w:styleId="TableParagraph">
    <w:name w:val="Table Paragraph"/>
    <w:basedOn w:val="Normal"/>
    <w:uiPriority w:val="1"/>
    <w:qFormat/>
    <w:rsid w:val="00DC034B"/>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470722"/>
    <w:rPr>
      <w:color w:val="0000FF"/>
      <w:u w:val="single"/>
    </w:rPr>
  </w:style>
  <w:style w:type="paragraph" w:customStyle="1" w:styleId="Default">
    <w:name w:val="Default"/>
    <w:rsid w:val="005E317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04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405"/>
    <w:rPr>
      <w:rFonts w:ascii="Calibri" w:eastAsia="Calibri" w:hAnsi="Calibri" w:cs="Times New Roman"/>
    </w:rPr>
  </w:style>
  <w:style w:type="paragraph" w:styleId="Footer">
    <w:name w:val="footer"/>
    <w:basedOn w:val="Normal"/>
    <w:link w:val="FooterChar"/>
    <w:uiPriority w:val="99"/>
    <w:unhideWhenUsed/>
    <w:rsid w:val="00904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40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21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tel:(202)%20245-7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57FA6-E578-4385-B711-F6B5C3D7A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3031</Words>
  <Characters>17277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SYSTEM</cp:lastModifiedBy>
  <cp:revision>2</cp:revision>
  <cp:lastPrinted>2017-05-23T17:36:00Z</cp:lastPrinted>
  <dcterms:created xsi:type="dcterms:W3CDTF">2018-11-28T16:59:00Z</dcterms:created>
  <dcterms:modified xsi:type="dcterms:W3CDTF">2018-11-28T16:59:00Z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1036438177</vt:i4>
  </property>
  <property fmtid="{D5CDD505-2E9C-101B-9397-08002B2CF9AE}" pid="4" name="_EmailSubject">
    <vt:lpwstr>HS&amp;B:20 Base-Year Field Test Recruitment (1850-New v.1)</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