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34941" w14:textId="77777777" w:rsidR="00231F08" w:rsidRPr="00231F08" w:rsidRDefault="00231F08" w:rsidP="00231F08">
      <w:pPr>
        <w:spacing w:after="0" w:line="240" w:lineRule="auto"/>
        <w:jc w:val="center"/>
        <w:rPr>
          <w:rFonts w:ascii="Times New Roman" w:eastAsia="Times New Roman" w:hAnsi="Times New Roman" w:cs="Times New Roman"/>
          <w:sz w:val="26"/>
          <w:szCs w:val="24"/>
        </w:rPr>
      </w:pPr>
      <w:bookmarkStart w:id="0" w:name="_GoBack"/>
      <w:bookmarkEnd w:id="0"/>
      <w:r w:rsidRPr="00231F08">
        <w:rPr>
          <w:rFonts w:ascii="Times New Roman" w:eastAsia="Times New Roman" w:hAnsi="Times New Roman" w:cs="Times New Roman"/>
          <w:sz w:val="26"/>
          <w:szCs w:val="24"/>
        </w:rPr>
        <w:t>UNITED STATES OF AMERICA</w:t>
      </w:r>
    </w:p>
    <w:p w14:paraId="3D0E0D8B" w14:textId="77777777" w:rsidR="00231F08" w:rsidRPr="00231F08" w:rsidRDefault="00231F08" w:rsidP="00231F08">
      <w:pPr>
        <w:spacing w:after="0" w:line="240" w:lineRule="auto"/>
        <w:jc w:val="center"/>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FEDERAL ENERGY REGULATORY COMMISSION</w:t>
      </w:r>
    </w:p>
    <w:p w14:paraId="5F2A598C" w14:textId="77777777" w:rsidR="00231F08" w:rsidRPr="00231F08" w:rsidRDefault="00231F08" w:rsidP="00231F08">
      <w:pPr>
        <w:spacing w:after="0" w:line="240" w:lineRule="auto"/>
        <w:rPr>
          <w:rFonts w:ascii="Times New Roman" w:eastAsia="Times New Roman" w:hAnsi="Times New Roman" w:cs="Times New Roman"/>
          <w:sz w:val="26"/>
          <w:szCs w:val="24"/>
        </w:rPr>
      </w:pPr>
    </w:p>
    <w:p w14:paraId="76BA37B5" w14:textId="01AC2F97" w:rsidR="00231F08" w:rsidRPr="009D6D64" w:rsidRDefault="00231F08" w:rsidP="00231F08">
      <w:pPr>
        <w:spacing w:after="0" w:line="240" w:lineRule="auto"/>
        <w:jc w:val="center"/>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[Docket No. IC</w:t>
      </w:r>
      <w:r w:rsidR="009D6D64" w:rsidRPr="009D6D64">
        <w:rPr>
          <w:rFonts w:ascii="Times New Roman" w:eastAsia="Times New Roman" w:hAnsi="Times New Roman" w:cs="Times New Roman"/>
          <w:sz w:val="26"/>
          <w:szCs w:val="24"/>
        </w:rPr>
        <w:t>18-20-000]</w:t>
      </w:r>
    </w:p>
    <w:p w14:paraId="60F81183" w14:textId="77777777" w:rsidR="00231F08" w:rsidRPr="00231F08" w:rsidRDefault="00231F08" w:rsidP="00231F08">
      <w:pPr>
        <w:spacing w:after="0" w:line="240" w:lineRule="auto"/>
        <w:rPr>
          <w:rFonts w:ascii="Times New Roman" w:eastAsia="Times New Roman" w:hAnsi="Times New Roman" w:cs="Times New Roman"/>
          <w:sz w:val="26"/>
          <w:szCs w:val="24"/>
          <w:highlight w:val="yellow"/>
        </w:rPr>
      </w:pPr>
    </w:p>
    <w:p w14:paraId="27C4CB0C" w14:textId="77777777" w:rsidR="00231F08" w:rsidRPr="00231F08" w:rsidRDefault="00231F08" w:rsidP="00231F08">
      <w:pPr>
        <w:spacing w:after="0" w:line="240" w:lineRule="auto"/>
        <w:jc w:val="center"/>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COMMISSION INFORMATION COLLECTION ACTIVITIES (FERC-91</w:t>
      </w:r>
      <w:r w:rsidRPr="00C56293">
        <w:rPr>
          <w:rFonts w:ascii="Times New Roman" w:eastAsia="Times New Roman" w:hAnsi="Times New Roman" w:cs="Times New Roman"/>
          <w:sz w:val="26"/>
          <w:szCs w:val="24"/>
        </w:rPr>
        <w:t>9</w:t>
      </w:r>
      <w:r w:rsidRPr="00231F08">
        <w:rPr>
          <w:rFonts w:ascii="Times New Roman" w:eastAsia="Times New Roman" w:hAnsi="Times New Roman" w:cs="Times New Roman"/>
          <w:sz w:val="26"/>
          <w:szCs w:val="24"/>
        </w:rPr>
        <w:t>);</w:t>
      </w:r>
    </w:p>
    <w:p w14:paraId="43AE59E2" w14:textId="77777777" w:rsidR="00231F08" w:rsidRPr="00231F08" w:rsidRDefault="00231F08" w:rsidP="00231F08">
      <w:pPr>
        <w:spacing w:after="0" w:line="240" w:lineRule="auto"/>
        <w:jc w:val="center"/>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COMMENT REQUEST; EXTENSION</w:t>
      </w:r>
    </w:p>
    <w:p w14:paraId="12BB1ABB" w14:textId="77777777" w:rsidR="00231F08" w:rsidRPr="00231F08" w:rsidRDefault="00231F08" w:rsidP="00231F08">
      <w:pPr>
        <w:spacing w:after="0" w:line="240" w:lineRule="auto"/>
        <w:rPr>
          <w:rFonts w:ascii="Times New Roman" w:eastAsia="Times New Roman" w:hAnsi="Times New Roman" w:cs="Times New Roman"/>
          <w:sz w:val="26"/>
          <w:szCs w:val="24"/>
          <w:highlight w:val="yellow"/>
        </w:rPr>
      </w:pPr>
    </w:p>
    <w:p w14:paraId="2EFD336E" w14:textId="79E77831" w:rsidR="00231F08" w:rsidRPr="00231F08" w:rsidRDefault="00231F08" w:rsidP="00231F08">
      <w:pPr>
        <w:spacing w:after="0" w:line="240" w:lineRule="auto"/>
        <w:jc w:val="center"/>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w:t>
      </w:r>
      <w:r w:rsidR="006000B1" w:rsidRPr="006000B1">
        <w:rPr>
          <w:rFonts w:ascii="Times New Roman" w:eastAsia="Times New Roman" w:hAnsi="Times New Roman" w:cs="Times New Roman"/>
          <w:sz w:val="26"/>
          <w:szCs w:val="24"/>
        </w:rPr>
        <w:t>September 28, 2018</w:t>
      </w:r>
      <w:r w:rsidRPr="009D6D64">
        <w:rPr>
          <w:rFonts w:ascii="Times New Roman" w:eastAsia="Times New Roman" w:hAnsi="Times New Roman" w:cs="Times New Roman"/>
          <w:sz w:val="26"/>
          <w:szCs w:val="24"/>
        </w:rPr>
        <w:t>)</w:t>
      </w:r>
    </w:p>
    <w:p w14:paraId="42AABEFB" w14:textId="77777777" w:rsidR="00231F08" w:rsidRPr="00231F08" w:rsidRDefault="00231F08" w:rsidP="00231F08">
      <w:pPr>
        <w:spacing w:after="0" w:line="240" w:lineRule="auto"/>
        <w:rPr>
          <w:rFonts w:ascii="Times New Roman" w:eastAsia="Times New Roman" w:hAnsi="Times New Roman" w:cs="Times New Roman"/>
          <w:sz w:val="26"/>
          <w:szCs w:val="24"/>
        </w:rPr>
      </w:pPr>
    </w:p>
    <w:p w14:paraId="2B6D699E" w14:textId="77777777" w:rsidR="00231F08" w:rsidRPr="00231F08" w:rsidRDefault="00231F08" w:rsidP="00231F08">
      <w:pPr>
        <w:spacing w:after="0" w:line="24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AGENCY:</w:t>
      </w:r>
      <w:r w:rsidRPr="00231F08">
        <w:rPr>
          <w:rFonts w:ascii="Times New Roman" w:eastAsia="Times New Roman" w:hAnsi="Times New Roman" w:cs="Times New Roman"/>
          <w:sz w:val="26"/>
          <w:szCs w:val="24"/>
        </w:rPr>
        <w:t xml:space="preserve">  Federal Energy Regulatory Commission.</w:t>
      </w:r>
    </w:p>
    <w:p w14:paraId="1F79A259" w14:textId="77777777" w:rsidR="00231F08" w:rsidRPr="00231F08" w:rsidRDefault="00231F08" w:rsidP="00231F08">
      <w:pPr>
        <w:spacing w:after="0" w:line="240" w:lineRule="auto"/>
        <w:rPr>
          <w:rFonts w:ascii="Times New Roman" w:eastAsia="Times New Roman" w:hAnsi="Times New Roman" w:cs="Times New Roman"/>
          <w:sz w:val="26"/>
          <w:szCs w:val="24"/>
        </w:rPr>
      </w:pPr>
    </w:p>
    <w:p w14:paraId="185602E8" w14:textId="77777777"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ACTION:</w:t>
      </w:r>
      <w:r w:rsidRPr="00231F08">
        <w:rPr>
          <w:rFonts w:ascii="Times New Roman" w:eastAsia="Times New Roman" w:hAnsi="Times New Roman" w:cs="Times New Roman"/>
          <w:sz w:val="26"/>
          <w:szCs w:val="24"/>
        </w:rPr>
        <w:t xml:space="preserve">  Notice of information collection and request for comments.</w:t>
      </w:r>
    </w:p>
    <w:p w14:paraId="36BA3834" w14:textId="28CC811C"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SUMMARY:</w:t>
      </w:r>
      <w:r w:rsidRPr="00231F08">
        <w:rPr>
          <w:rFonts w:ascii="Times New Roman" w:eastAsia="Times New Roman" w:hAnsi="Times New Roman" w:cs="Times New Roman"/>
          <w:sz w:val="26"/>
          <w:szCs w:val="24"/>
        </w:rPr>
        <w:t xml:space="preserve">  In compliance with the requirements of the Paperwork Reduction Act of 1995, the Federal Energy Regulatory Commission (Commission or FERC) is soliciting public comment on the currently approved information collection, FERC-91</w:t>
      </w:r>
      <w:r w:rsidR="00410556">
        <w:rPr>
          <w:rFonts w:ascii="Times New Roman" w:eastAsia="Times New Roman" w:hAnsi="Times New Roman" w:cs="Times New Roman"/>
          <w:sz w:val="26"/>
          <w:szCs w:val="24"/>
        </w:rPr>
        <w:t>9</w:t>
      </w:r>
      <w:r w:rsidRPr="00231F08">
        <w:rPr>
          <w:rFonts w:ascii="Times New Roman" w:eastAsia="Times New Roman" w:hAnsi="Times New Roman" w:cs="Times New Roman"/>
          <w:sz w:val="26"/>
          <w:szCs w:val="24"/>
        </w:rPr>
        <w:t xml:space="preserve"> (</w:t>
      </w:r>
      <w:r w:rsidR="00410556">
        <w:rPr>
          <w:rFonts w:ascii="Times New Roman" w:eastAsia="Times New Roman" w:hAnsi="Times New Roman" w:cs="Times New Roman"/>
          <w:sz w:val="26"/>
          <w:szCs w:val="24"/>
        </w:rPr>
        <w:t>Market Based Rates for Wholesale Sales of Electric Energy</w:t>
      </w:r>
      <w:r w:rsidR="001C3948">
        <w:rPr>
          <w:rFonts w:ascii="Times New Roman" w:eastAsia="Times New Roman" w:hAnsi="Times New Roman" w:cs="Times New Roman"/>
          <w:sz w:val="26"/>
          <w:szCs w:val="24"/>
        </w:rPr>
        <w:t>,</w:t>
      </w:r>
      <w:r w:rsidR="000503B2">
        <w:rPr>
          <w:rFonts w:ascii="Times New Roman" w:eastAsia="Times New Roman" w:hAnsi="Times New Roman" w:cs="Times New Roman"/>
          <w:sz w:val="26"/>
          <w:szCs w:val="24"/>
        </w:rPr>
        <w:t xml:space="preserve"> </w:t>
      </w:r>
      <w:r w:rsidR="001C3948">
        <w:rPr>
          <w:rFonts w:ascii="Times New Roman" w:eastAsia="Times New Roman" w:hAnsi="Times New Roman" w:cs="Times New Roman"/>
          <w:sz w:val="26"/>
          <w:szCs w:val="24"/>
        </w:rPr>
        <w:t>Capacity and Ancillary Services by Public Utilities</w:t>
      </w:r>
      <w:r w:rsidR="00410556">
        <w:rPr>
          <w:rFonts w:ascii="Times New Roman" w:eastAsia="Times New Roman" w:hAnsi="Times New Roman" w:cs="Times New Roman"/>
          <w:sz w:val="26"/>
          <w:szCs w:val="24"/>
        </w:rPr>
        <w:t>)</w:t>
      </w:r>
      <w:r w:rsidRPr="00231F08">
        <w:rPr>
          <w:rFonts w:ascii="Times New Roman" w:eastAsia="Times New Roman" w:hAnsi="Times New Roman" w:cs="Times New Roman"/>
          <w:sz w:val="26"/>
          <w:szCs w:val="24"/>
        </w:rPr>
        <w:t>.</w:t>
      </w:r>
    </w:p>
    <w:p w14:paraId="210AE607" w14:textId="54CF3B1D"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DATES:</w:t>
      </w:r>
      <w:r w:rsidRPr="00231F08">
        <w:rPr>
          <w:rFonts w:ascii="Times New Roman" w:eastAsia="Times New Roman" w:hAnsi="Times New Roman" w:cs="Times New Roman"/>
          <w:sz w:val="26"/>
          <w:szCs w:val="24"/>
        </w:rPr>
        <w:t xml:space="preserve">  Comments on the collection of information are due [</w:t>
      </w:r>
      <w:r w:rsidR="006000B1">
        <w:rPr>
          <w:rFonts w:ascii="Times New Roman" w:hAnsi="Times New Roman" w:cs="Times New Roman"/>
          <w:sz w:val="26"/>
          <w:szCs w:val="26"/>
        </w:rPr>
        <w:t>I</w:t>
      </w:r>
      <w:r w:rsidR="006000B1">
        <w:rPr>
          <w:rFonts w:ascii="Times New Roman" w:hAnsi="Times New Roman" w:cs="Times New Roman"/>
          <w:b/>
          <w:sz w:val="26"/>
          <w:szCs w:val="26"/>
        </w:rPr>
        <w:t xml:space="preserve">NSERT DATE </w:t>
      </w:r>
      <w:r w:rsidRPr="00231F08">
        <w:rPr>
          <w:rFonts w:ascii="Times New Roman" w:eastAsia="Times New Roman" w:hAnsi="Times New Roman" w:cs="Times New Roman"/>
          <w:b/>
          <w:sz w:val="26"/>
          <w:szCs w:val="24"/>
        </w:rPr>
        <w:t xml:space="preserve">60 </w:t>
      </w:r>
      <w:r w:rsidR="006000B1">
        <w:rPr>
          <w:rFonts w:ascii="Times New Roman" w:hAnsi="Times New Roman" w:cs="Times New Roman"/>
          <w:b/>
          <w:sz w:val="26"/>
          <w:szCs w:val="26"/>
        </w:rPr>
        <w:t xml:space="preserve">DAYS AFTER DATE OF PUBLICATION IN THE </w:t>
      </w:r>
      <w:r w:rsidR="006000B1" w:rsidRPr="00E4200B">
        <w:rPr>
          <w:rFonts w:ascii="Times New Roman" w:hAnsi="Times New Roman" w:cs="Times New Roman"/>
          <w:b/>
          <w:sz w:val="26"/>
          <w:szCs w:val="26"/>
        </w:rPr>
        <w:t>FEDERAL REGISTER</w:t>
      </w:r>
      <w:r w:rsidRPr="00231F08">
        <w:rPr>
          <w:rFonts w:ascii="Times New Roman" w:eastAsia="Times New Roman" w:hAnsi="Times New Roman" w:cs="Times New Roman"/>
          <w:sz w:val="26"/>
          <w:szCs w:val="24"/>
        </w:rPr>
        <w:t xml:space="preserve">]. </w:t>
      </w:r>
    </w:p>
    <w:p w14:paraId="3A276ACB" w14:textId="370C0229"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ADDRESSES:</w:t>
      </w:r>
      <w:r w:rsidRPr="00231F08">
        <w:rPr>
          <w:rFonts w:ascii="Times New Roman" w:eastAsia="Times New Roman" w:hAnsi="Times New Roman" w:cs="Times New Roman"/>
          <w:sz w:val="26"/>
          <w:szCs w:val="24"/>
        </w:rPr>
        <w:t xml:space="preserve">  You may submit comments (identified by Docket No. </w:t>
      </w:r>
      <w:r w:rsidRPr="009D6D64">
        <w:rPr>
          <w:rFonts w:ascii="Times New Roman" w:eastAsia="Times New Roman" w:hAnsi="Times New Roman" w:cs="Times New Roman"/>
          <w:sz w:val="26"/>
          <w:szCs w:val="24"/>
        </w:rPr>
        <w:t>IC</w:t>
      </w:r>
      <w:r w:rsidR="009D6D64" w:rsidRPr="009D6D64">
        <w:rPr>
          <w:rFonts w:ascii="Times New Roman" w:eastAsia="Times New Roman" w:hAnsi="Times New Roman" w:cs="Times New Roman"/>
          <w:sz w:val="26"/>
          <w:szCs w:val="24"/>
        </w:rPr>
        <w:t>18-20-</w:t>
      </w:r>
      <w:r w:rsidRPr="009D6D64">
        <w:rPr>
          <w:rFonts w:ascii="Times New Roman" w:eastAsia="Times New Roman" w:hAnsi="Times New Roman" w:cs="Times New Roman"/>
          <w:sz w:val="26"/>
          <w:szCs w:val="24"/>
        </w:rPr>
        <w:t>000</w:t>
      </w:r>
      <w:r w:rsidRPr="00231F08">
        <w:rPr>
          <w:rFonts w:ascii="Times New Roman" w:eastAsia="Times New Roman" w:hAnsi="Times New Roman" w:cs="Times New Roman"/>
          <w:sz w:val="26"/>
          <w:szCs w:val="24"/>
        </w:rPr>
        <w:t>) by either of the following methods:</w:t>
      </w:r>
    </w:p>
    <w:p w14:paraId="112485E8" w14:textId="77777777" w:rsidR="009D6D64" w:rsidRPr="009D6D64" w:rsidRDefault="00231F08" w:rsidP="009D6D64">
      <w:pPr>
        <w:numPr>
          <w:ilvl w:val="0"/>
          <w:numId w:val="1"/>
        </w:numPr>
        <w:tabs>
          <w:tab w:val="clear" w:pos="1500"/>
        </w:tabs>
        <w:spacing w:after="0" w:line="480" w:lineRule="auto"/>
        <w:ind w:left="720"/>
        <w:rPr>
          <w:rFonts w:ascii="Times New Roman" w:eastAsia="Times New Roman" w:hAnsi="Times New Roman" w:cs="Times New Roman"/>
          <w:sz w:val="26"/>
          <w:szCs w:val="24"/>
        </w:rPr>
      </w:pPr>
      <w:bookmarkStart w:id="1" w:name="OLE_LINK1"/>
      <w:r w:rsidRPr="00036F1C">
        <w:rPr>
          <w:rFonts w:ascii="Times New Roman" w:eastAsia="Times New Roman" w:hAnsi="Times New Roman" w:cs="Times New Roman"/>
          <w:sz w:val="26"/>
          <w:szCs w:val="24"/>
        </w:rPr>
        <w:t>eFiling at Commission’s Web Site:</w:t>
      </w:r>
      <w:r w:rsidR="00036F1C">
        <w:rPr>
          <w:rFonts w:ascii="Times New Roman" w:eastAsia="Times New Roman" w:hAnsi="Times New Roman" w:cs="Times New Roman"/>
          <w:sz w:val="26"/>
          <w:szCs w:val="24"/>
        </w:rPr>
        <w:t xml:space="preserve"> </w:t>
      </w:r>
      <w:r w:rsidRPr="00036F1C">
        <w:rPr>
          <w:rFonts w:ascii="Times New Roman" w:eastAsia="Times New Roman" w:hAnsi="Times New Roman" w:cs="Times New Roman"/>
          <w:sz w:val="26"/>
          <w:szCs w:val="24"/>
        </w:rPr>
        <w:t xml:space="preserve"> </w:t>
      </w:r>
      <w:hyperlink r:id="rId13" w:history="1">
        <w:r w:rsidRPr="00036F1C">
          <w:rPr>
            <w:rFonts w:ascii="Times New Roman" w:eastAsia="Times New Roman" w:hAnsi="Times New Roman" w:cs="Times New Roman"/>
            <w:color w:val="0000FF"/>
            <w:sz w:val="26"/>
            <w:szCs w:val="24"/>
            <w:u w:val="single"/>
          </w:rPr>
          <w:t>http://www.ferc.gov/docs-filing/efiling.asp</w:t>
        </w:r>
      </w:hyperlink>
    </w:p>
    <w:p w14:paraId="3BA455D1" w14:textId="4131BEDE" w:rsidR="00231F08" w:rsidRPr="00B63FE4" w:rsidRDefault="00231F08" w:rsidP="009D6D64">
      <w:pPr>
        <w:numPr>
          <w:ilvl w:val="0"/>
          <w:numId w:val="1"/>
        </w:numPr>
        <w:tabs>
          <w:tab w:val="clear" w:pos="1500"/>
        </w:tabs>
        <w:spacing w:after="0" w:line="480" w:lineRule="auto"/>
        <w:ind w:left="720"/>
        <w:rPr>
          <w:rFonts w:ascii="Times New Roman" w:eastAsia="Times New Roman" w:hAnsi="Times New Roman" w:cs="Times New Roman"/>
          <w:sz w:val="26"/>
          <w:szCs w:val="24"/>
        </w:rPr>
      </w:pPr>
      <w:r w:rsidRPr="00036F1C">
        <w:rPr>
          <w:rFonts w:ascii="Times New Roman" w:eastAsia="Times New Roman" w:hAnsi="Times New Roman" w:cs="Times New Roman"/>
          <w:sz w:val="26"/>
          <w:szCs w:val="24"/>
        </w:rPr>
        <w:t>Mail/Hand Delivery/Courier:</w:t>
      </w:r>
      <w:r w:rsidR="00036F1C">
        <w:rPr>
          <w:rFonts w:ascii="Times New Roman" w:eastAsia="Times New Roman" w:hAnsi="Times New Roman" w:cs="Times New Roman"/>
          <w:sz w:val="26"/>
          <w:szCs w:val="24"/>
        </w:rPr>
        <w:t xml:space="preserve"> </w:t>
      </w:r>
      <w:r w:rsidRPr="00036F1C">
        <w:rPr>
          <w:rFonts w:ascii="Times New Roman" w:eastAsia="Times New Roman" w:hAnsi="Times New Roman" w:cs="Times New Roman"/>
          <w:sz w:val="26"/>
          <w:szCs w:val="24"/>
        </w:rPr>
        <w:t xml:space="preserve"> Federal Energy Regulatory Commission, Secretary of the Commission, 888 First Street, NE, Washington, DC 20426.</w:t>
      </w:r>
    </w:p>
    <w:p w14:paraId="2A7CF790" w14:textId="6EBE9EEE"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Instructions:</w:t>
      </w:r>
      <w:r w:rsidR="00036F1C">
        <w:rPr>
          <w:rFonts w:ascii="Times New Roman" w:eastAsia="Times New Roman" w:hAnsi="Times New Roman" w:cs="Times New Roman"/>
          <w:i/>
          <w:sz w:val="26"/>
          <w:szCs w:val="24"/>
        </w:rPr>
        <w:t xml:space="preserve"> </w:t>
      </w:r>
      <w:r w:rsidRPr="00231F08">
        <w:rPr>
          <w:rFonts w:ascii="Times New Roman" w:eastAsia="Times New Roman" w:hAnsi="Times New Roman" w:cs="Times New Roman"/>
          <w:i/>
          <w:sz w:val="26"/>
          <w:szCs w:val="24"/>
        </w:rPr>
        <w:t xml:space="preserve"> </w:t>
      </w:r>
      <w:r w:rsidRPr="00231F08">
        <w:rPr>
          <w:rFonts w:ascii="Times New Roman" w:eastAsia="Times New Roman" w:hAnsi="Times New Roman" w:cs="Times New Roman"/>
          <w:sz w:val="26"/>
          <w:szCs w:val="24"/>
        </w:rPr>
        <w:t>All submissions must be formatted and filed in accordance with submission guidelines at:</w:t>
      </w:r>
      <w:r w:rsidR="00036F1C">
        <w:rPr>
          <w:rFonts w:ascii="Times New Roman" w:eastAsia="Times New Roman" w:hAnsi="Times New Roman" w:cs="Times New Roman"/>
          <w:sz w:val="26"/>
          <w:szCs w:val="24"/>
        </w:rPr>
        <w:t xml:space="preserve"> </w:t>
      </w:r>
      <w:r w:rsidRPr="00231F08">
        <w:rPr>
          <w:rFonts w:ascii="Times New Roman" w:eastAsia="Times New Roman" w:hAnsi="Times New Roman" w:cs="Times New Roman"/>
          <w:sz w:val="26"/>
          <w:szCs w:val="24"/>
        </w:rPr>
        <w:t xml:space="preserve"> </w:t>
      </w:r>
      <w:hyperlink r:id="rId14" w:history="1">
        <w:r w:rsidRPr="00231F08">
          <w:rPr>
            <w:rFonts w:ascii="Times New Roman" w:eastAsia="Times New Roman" w:hAnsi="Times New Roman" w:cs="Times New Roman"/>
            <w:color w:val="0000FF"/>
            <w:sz w:val="26"/>
            <w:szCs w:val="24"/>
            <w:u w:val="single"/>
          </w:rPr>
          <w:t>http://www.ferc.gov/help/submission-guide.asp</w:t>
        </w:r>
      </w:hyperlink>
      <w:r w:rsidRPr="00231F08">
        <w:rPr>
          <w:rFonts w:ascii="Times New Roman" w:eastAsia="Times New Roman" w:hAnsi="Times New Roman" w:cs="Times New Roman"/>
          <w:sz w:val="26"/>
          <w:szCs w:val="24"/>
        </w:rPr>
        <w:t xml:space="preserve">.  For user assistance, </w:t>
      </w:r>
      <w:r w:rsidRPr="00231F08">
        <w:rPr>
          <w:rFonts w:ascii="Times New Roman" w:eastAsia="Times New Roman" w:hAnsi="Times New Roman" w:cs="Times New Roman"/>
          <w:sz w:val="26"/>
          <w:szCs w:val="24"/>
        </w:rPr>
        <w:lastRenderedPageBreak/>
        <w:t>contact FERC Online Support by e-mail at ferconlinesupport@ferc.gov, or by phone at:  (866) 208-3676 (toll-free), or (202) 502-8659 for TTY.</w:t>
      </w:r>
    </w:p>
    <w:p w14:paraId="1732117A" w14:textId="21E3F2B2"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Docket:</w:t>
      </w:r>
      <w:r w:rsidRPr="00231F08">
        <w:rPr>
          <w:rFonts w:ascii="Times New Roman" w:eastAsia="Times New Roman" w:hAnsi="Times New Roman" w:cs="Times New Roman"/>
          <w:sz w:val="26"/>
          <w:szCs w:val="24"/>
        </w:rPr>
        <w:t xml:space="preserve"> </w:t>
      </w:r>
      <w:r w:rsidR="00036F1C">
        <w:rPr>
          <w:rFonts w:ascii="Times New Roman" w:eastAsia="Times New Roman" w:hAnsi="Times New Roman" w:cs="Times New Roman"/>
          <w:sz w:val="26"/>
          <w:szCs w:val="24"/>
        </w:rPr>
        <w:t xml:space="preserve"> </w:t>
      </w:r>
      <w:r w:rsidRPr="00231F08">
        <w:rPr>
          <w:rFonts w:ascii="Times New Roman" w:eastAsia="Times New Roman" w:hAnsi="Times New Roman" w:cs="Times New Roman"/>
          <w:sz w:val="26"/>
          <w:szCs w:val="24"/>
        </w:rPr>
        <w:t xml:space="preserve">Users interested in receiving automatic notification of activity in this docket or in viewing/downloading comments and issuances in this docket may do so at </w:t>
      </w:r>
      <w:hyperlink r:id="rId15" w:history="1">
        <w:r w:rsidRPr="00231F08">
          <w:rPr>
            <w:rFonts w:ascii="Times New Roman" w:eastAsia="Times New Roman" w:hAnsi="Times New Roman" w:cs="Times New Roman"/>
            <w:color w:val="0000FF"/>
            <w:sz w:val="26"/>
            <w:szCs w:val="24"/>
            <w:u w:val="single"/>
          </w:rPr>
          <w:t>http://www.ferc.gov/docs-filing/docs-filing.asp</w:t>
        </w:r>
      </w:hyperlink>
      <w:r w:rsidRPr="00231F08">
        <w:rPr>
          <w:rFonts w:ascii="Times New Roman" w:eastAsia="Times New Roman" w:hAnsi="Times New Roman" w:cs="Times New Roman"/>
          <w:sz w:val="26"/>
          <w:szCs w:val="24"/>
        </w:rPr>
        <w:t xml:space="preserve">. </w:t>
      </w:r>
    </w:p>
    <w:bookmarkEnd w:id="1"/>
    <w:p w14:paraId="76D537B4" w14:textId="07FBB5ED"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b/>
          <w:sz w:val="26"/>
          <w:szCs w:val="24"/>
        </w:rPr>
        <w:t>FOR FURTHER INFORMATION</w:t>
      </w:r>
      <w:r w:rsidR="006000B1">
        <w:rPr>
          <w:rFonts w:ascii="Times New Roman" w:eastAsia="Times New Roman" w:hAnsi="Times New Roman" w:cs="Times New Roman"/>
          <w:b/>
          <w:sz w:val="26"/>
          <w:szCs w:val="24"/>
        </w:rPr>
        <w:t xml:space="preserve"> CONTACT</w:t>
      </w:r>
      <w:r w:rsidRPr="00231F08">
        <w:rPr>
          <w:rFonts w:ascii="Times New Roman" w:eastAsia="Times New Roman" w:hAnsi="Times New Roman" w:cs="Times New Roman"/>
          <w:b/>
          <w:sz w:val="26"/>
          <w:szCs w:val="24"/>
        </w:rPr>
        <w:t>:</w:t>
      </w:r>
      <w:r w:rsidRPr="00231F08">
        <w:rPr>
          <w:rFonts w:ascii="Times New Roman" w:eastAsia="Times New Roman" w:hAnsi="Times New Roman" w:cs="Times New Roman"/>
          <w:sz w:val="26"/>
          <w:szCs w:val="24"/>
        </w:rPr>
        <w:t xml:space="preserve">  Ellen Brown may be reached by e-mail at </w:t>
      </w:r>
      <w:hyperlink r:id="rId16" w:history="1">
        <w:r w:rsidRPr="00231F08">
          <w:rPr>
            <w:rFonts w:ascii="Times New Roman" w:eastAsia="Times New Roman" w:hAnsi="Times New Roman" w:cs="Times New Roman"/>
            <w:color w:val="0000FF"/>
            <w:sz w:val="26"/>
            <w:szCs w:val="24"/>
            <w:u w:val="single"/>
          </w:rPr>
          <w:t>DataClearance@FERC.gov</w:t>
        </w:r>
      </w:hyperlink>
      <w:r w:rsidRPr="00231F08">
        <w:rPr>
          <w:rFonts w:ascii="Times New Roman" w:eastAsia="Times New Roman" w:hAnsi="Times New Roman" w:cs="Times New Roman"/>
          <w:sz w:val="26"/>
          <w:szCs w:val="24"/>
        </w:rPr>
        <w:t>, telephone at (202) 502-8663, and fax at (202) 273-0873.</w:t>
      </w:r>
    </w:p>
    <w:p w14:paraId="6CC6F20B" w14:textId="77777777" w:rsidR="00231F08" w:rsidRPr="00231F08" w:rsidRDefault="00231F08" w:rsidP="00231F08">
      <w:pPr>
        <w:tabs>
          <w:tab w:val="left" w:pos="7880"/>
        </w:tabs>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 xml:space="preserve"> </w:t>
      </w:r>
      <w:r w:rsidRPr="00231F08">
        <w:rPr>
          <w:rFonts w:ascii="Times New Roman" w:eastAsia="Times New Roman" w:hAnsi="Times New Roman" w:cs="Times New Roman"/>
          <w:b/>
          <w:sz w:val="26"/>
          <w:szCs w:val="24"/>
        </w:rPr>
        <w:t>SUPPLEMENTARY INFORMATION:</w:t>
      </w:r>
      <w:r w:rsidRPr="00231F08">
        <w:rPr>
          <w:rFonts w:ascii="Times New Roman" w:eastAsia="Times New Roman" w:hAnsi="Times New Roman" w:cs="Times New Roman"/>
          <w:sz w:val="26"/>
          <w:szCs w:val="24"/>
        </w:rPr>
        <w:t xml:space="preserve">  </w:t>
      </w:r>
    </w:p>
    <w:p w14:paraId="2740815D" w14:textId="7E187A35" w:rsidR="00410556"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 xml:space="preserve">Title: </w:t>
      </w:r>
      <w:r w:rsidR="00036F1C">
        <w:rPr>
          <w:rFonts w:ascii="Times New Roman" w:eastAsia="Times New Roman" w:hAnsi="Times New Roman" w:cs="Times New Roman"/>
          <w:i/>
          <w:sz w:val="26"/>
          <w:szCs w:val="24"/>
        </w:rPr>
        <w:t xml:space="preserve"> </w:t>
      </w:r>
      <w:r w:rsidRPr="00231F08">
        <w:rPr>
          <w:rFonts w:ascii="Times New Roman" w:eastAsia="Times New Roman" w:hAnsi="Times New Roman" w:cs="Times New Roman"/>
          <w:sz w:val="26"/>
          <w:szCs w:val="24"/>
        </w:rPr>
        <w:t>FERC-91</w:t>
      </w:r>
      <w:r w:rsidR="00410556">
        <w:rPr>
          <w:rFonts w:ascii="Times New Roman" w:eastAsia="Times New Roman" w:hAnsi="Times New Roman" w:cs="Times New Roman"/>
          <w:sz w:val="26"/>
          <w:szCs w:val="24"/>
        </w:rPr>
        <w:t>9</w:t>
      </w:r>
      <w:r w:rsidRPr="00231F08">
        <w:rPr>
          <w:rFonts w:ascii="Times New Roman" w:eastAsia="Times New Roman" w:hAnsi="Times New Roman" w:cs="Times New Roman"/>
          <w:sz w:val="26"/>
          <w:szCs w:val="24"/>
        </w:rPr>
        <w:t>,</w:t>
      </w:r>
      <w:r w:rsidR="001C3948">
        <w:rPr>
          <w:rFonts w:ascii="Times New Roman" w:eastAsia="Times New Roman" w:hAnsi="Times New Roman" w:cs="Times New Roman"/>
          <w:sz w:val="26"/>
          <w:szCs w:val="24"/>
        </w:rPr>
        <w:t xml:space="preserve"> </w:t>
      </w:r>
      <w:r w:rsidR="001C3948" w:rsidRPr="001C3948">
        <w:rPr>
          <w:rFonts w:ascii="Times New Roman" w:eastAsia="Times New Roman" w:hAnsi="Times New Roman" w:cs="Times New Roman"/>
          <w:sz w:val="26"/>
          <w:szCs w:val="24"/>
        </w:rPr>
        <w:t>Market Based Rates for Wholesale Sales of Electric Energy,</w:t>
      </w:r>
      <w:r w:rsidR="000503B2">
        <w:rPr>
          <w:rFonts w:ascii="Times New Roman" w:eastAsia="Times New Roman" w:hAnsi="Times New Roman" w:cs="Times New Roman"/>
          <w:sz w:val="26"/>
          <w:szCs w:val="24"/>
        </w:rPr>
        <w:t xml:space="preserve"> </w:t>
      </w:r>
      <w:r w:rsidR="001C3948" w:rsidRPr="001C3948">
        <w:rPr>
          <w:rFonts w:ascii="Times New Roman" w:eastAsia="Times New Roman" w:hAnsi="Times New Roman" w:cs="Times New Roman"/>
          <w:sz w:val="26"/>
          <w:szCs w:val="24"/>
        </w:rPr>
        <w:t>Capacity and Ancillary Services by Public Utilities</w:t>
      </w:r>
      <w:r w:rsidR="001C3948">
        <w:rPr>
          <w:rFonts w:ascii="Times New Roman" w:eastAsia="Times New Roman" w:hAnsi="Times New Roman" w:cs="Times New Roman"/>
          <w:sz w:val="26"/>
          <w:szCs w:val="24"/>
        </w:rPr>
        <w:t xml:space="preserve"> </w:t>
      </w:r>
      <w:r w:rsidRPr="00231F08">
        <w:rPr>
          <w:rFonts w:ascii="Times New Roman" w:eastAsia="Times New Roman" w:hAnsi="Times New Roman" w:cs="Times New Roman"/>
          <w:sz w:val="26"/>
          <w:szCs w:val="24"/>
        </w:rPr>
        <w:t xml:space="preserve"> </w:t>
      </w:r>
    </w:p>
    <w:p w14:paraId="70AF9FE1" w14:textId="45068FF5"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OMB Control No.:</w:t>
      </w:r>
      <w:r w:rsidRPr="00231F08">
        <w:rPr>
          <w:rFonts w:ascii="Times New Roman" w:eastAsia="Times New Roman" w:hAnsi="Times New Roman" w:cs="Times New Roman"/>
          <w:sz w:val="26"/>
          <w:szCs w:val="24"/>
        </w:rPr>
        <w:t xml:space="preserve"> </w:t>
      </w:r>
      <w:r w:rsidR="00036F1C">
        <w:rPr>
          <w:rFonts w:ascii="Times New Roman" w:eastAsia="Times New Roman" w:hAnsi="Times New Roman" w:cs="Times New Roman"/>
          <w:sz w:val="26"/>
          <w:szCs w:val="24"/>
        </w:rPr>
        <w:t xml:space="preserve"> </w:t>
      </w:r>
      <w:r w:rsidRPr="00231F08">
        <w:rPr>
          <w:rFonts w:ascii="Times New Roman" w:eastAsia="Times New Roman" w:hAnsi="Times New Roman" w:cs="Times New Roman"/>
          <w:sz w:val="26"/>
          <w:szCs w:val="24"/>
        </w:rPr>
        <w:t>1902-023</w:t>
      </w:r>
      <w:r w:rsidR="00410556">
        <w:rPr>
          <w:rFonts w:ascii="Times New Roman" w:eastAsia="Times New Roman" w:hAnsi="Times New Roman" w:cs="Times New Roman"/>
          <w:sz w:val="26"/>
          <w:szCs w:val="24"/>
        </w:rPr>
        <w:t>4</w:t>
      </w:r>
    </w:p>
    <w:p w14:paraId="1C956570" w14:textId="27CD77B5"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Type of Request:</w:t>
      </w:r>
      <w:r w:rsidRPr="00231F08">
        <w:rPr>
          <w:rFonts w:ascii="Times New Roman" w:eastAsia="Times New Roman" w:hAnsi="Times New Roman" w:cs="Times New Roman"/>
          <w:sz w:val="26"/>
          <w:szCs w:val="24"/>
        </w:rPr>
        <w:t xml:space="preserve"> </w:t>
      </w:r>
      <w:r w:rsidR="00036F1C">
        <w:rPr>
          <w:rFonts w:ascii="Times New Roman" w:eastAsia="Times New Roman" w:hAnsi="Times New Roman" w:cs="Times New Roman"/>
          <w:sz w:val="26"/>
          <w:szCs w:val="24"/>
        </w:rPr>
        <w:t xml:space="preserve"> </w:t>
      </w:r>
      <w:r w:rsidRPr="00231F08">
        <w:rPr>
          <w:rFonts w:ascii="Times New Roman" w:eastAsia="Times New Roman" w:hAnsi="Times New Roman" w:cs="Times New Roman"/>
          <w:sz w:val="26"/>
          <w:szCs w:val="24"/>
        </w:rPr>
        <w:t xml:space="preserve">Three-year extension of the </w:t>
      </w:r>
      <w:r w:rsidR="00023199">
        <w:rPr>
          <w:rFonts w:ascii="Times New Roman" w:eastAsia="Times New Roman" w:hAnsi="Times New Roman" w:cs="Times New Roman"/>
          <w:sz w:val="26"/>
          <w:szCs w:val="24"/>
        </w:rPr>
        <w:t>FERC-919</w:t>
      </w:r>
      <w:r w:rsidRPr="00231F08">
        <w:rPr>
          <w:rFonts w:ascii="Times New Roman" w:eastAsia="Times New Roman" w:hAnsi="Times New Roman" w:cs="Times New Roman"/>
          <w:sz w:val="26"/>
          <w:szCs w:val="24"/>
        </w:rPr>
        <w:t xml:space="preserve"> information collection requirements with </w:t>
      </w:r>
      <w:r w:rsidRPr="009D6D64">
        <w:rPr>
          <w:rFonts w:ascii="Times New Roman" w:eastAsia="Times New Roman" w:hAnsi="Times New Roman" w:cs="Times New Roman"/>
          <w:sz w:val="26"/>
          <w:szCs w:val="24"/>
        </w:rPr>
        <w:t>no changes</w:t>
      </w:r>
      <w:r w:rsidRPr="00231F08">
        <w:rPr>
          <w:rFonts w:ascii="Times New Roman" w:eastAsia="Times New Roman" w:hAnsi="Times New Roman" w:cs="Times New Roman"/>
          <w:sz w:val="26"/>
          <w:szCs w:val="24"/>
        </w:rPr>
        <w:t xml:space="preserve"> to the current reporting requirements. </w:t>
      </w:r>
    </w:p>
    <w:p w14:paraId="70D44A79" w14:textId="026743AF" w:rsidR="00D41997" w:rsidRPr="00A15903" w:rsidRDefault="00231F08" w:rsidP="00D41997">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Abstract:</w:t>
      </w:r>
      <w:r w:rsidR="00036F1C">
        <w:rPr>
          <w:rFonts w:ascii="Times New Roman" w:eastAsia="Times New Roman" w:hAnsi="Times New Roman" w:cs="Times New Roman"/>
          <w:i/>
          <w:sz w:val="26"/>
          <w:szCs w:val="24"/>
        </w:rPr>
        <w:t xml:space="preserve"> </w:t>
      </w:r>
      <w:r w:rsidRPr="00231F08">
        <w:rPr>
          <w:rFonts w:ascii="Times New Roman" w:eastAsia="Times New Roman" w:hAnsi="Times New Roman" w:cs="Times New Roman"/>
          <w:i/>
          <w:sz w:val="26"/>
          <w:szCs w:val="24"/>
        </w:rPr>
        <w:t xml:space="preserve"> </w:t>
      </w:r>
      <w:r w:rsidR="00D41997" w:rsidRPr="00A15903">
        <w:rPr>
          <w:rFonts w:ascii="Times New Roman" w:eastAsia="Times New Roman" w:hAnsi="Times New Roman" w:cs="Times New Roman"/>
          <w:sz w:val="26"/>
          <w:szCs w:val="24"/>
        </w:rPr>
        <w:t xml:space="preserve">The FERC–919 is necessary to ensure that market-based rates charged by public utilities are just and reasonable as mandated by Federal Power Act (FPA) sections 205 and 206. </w:t>
      </w:r>
      <w:r w:rsidR="00036F1C">
        <w:rPr>
          <w:rFonts w:ascii="Times New Roman" w:eastAsia="Times New Roman" w:hAnsi="Times New Roman" w:cs="Times New Roman"/>
          <w:sz w:val="26"/>
          <w:szCs w:val="24"/>
        </w:rPr>
        <w:t xml:space="preserve"> </w:t>
      </w:r>
      <w:r w:rsidR="00D41997" w:rsidRPr="00A15903">
        <w:rPr>
          <w:rFonts w:ascii="Times New Roman" w:eastAsia="Times New Roman" w:hAnsi="Times New Roman" w:cs="Times New Roman"/>
          <w:sz w:val="26"/>
          <w:szCs w:val="24"/>
        </w:rPr>
        <w:t xml:space="preserve">Section 205 of the FPA requires just and reasonable rates and charges. </w:t>
      </w:r>
      <w:r w:rsidR="00036F1C">
        <w:rPr>
          <w:rFonts w:ascii="Times New Roman" w:eastAsia="Times New Roman" w:hAnsi="Times New Roman" w:cs="Times New Roman"/>
          <w:sz w:val="26"/>
          <w:szCs w:val="24"/>
        </w:rPr>
        <w:t xml:space="preserve"> </w:t>
      </w:r>
      <w:r w:rsidR="00D41997" w:rsidRPr="00A15903">
        <w:rPr>
          <w:rFonts w:ascii="Times New Roman" w:eastAsia="Times New Roman" w:hAnsi="Times New Roman" w:cs="Times New Roman"/>
          <w:sz w:val="26"/>
          <w:szCs w:val="24"/>
        </w:rPr>
        <w:t>Section 206 allows the Commission to revoke a seller’s market-based rate authorization if it determines that the seller may have gained market power since it was</w:t>
      </w:r>
      <w:r w:rsidR="00036F1C">
        <w:rPr>
          <w:rFonts w:ascii="Times New Roman" w:eastAsia="Times New Roman" w:hAnsi="Times New Roman" w:cs="Times New Roman"/>
          <w:sz w:val="26"/>
          <w:szCs w:val="24"/>
        </w:rPr>
        <w:t xml:space="preserve"> </w:t>
      </w:r>
      <w:r w:rsidR="00D41997" w:rsidRPr="00A15903">
        <w:rPr>
          <w:rFonts w:ascii="Times New Roman" w:eastAsia="Times New Roman" w:hAnsi="Times New Roman" w:cs="Times New Roman"/>
          <w:sz w:val="26"/>
          <w:szCs w:val="24"/>
        </w:rPr>
        <w:t>originally granted market-based rate authorization by the Commission.</w:t>
      </w:r>
    </w:p>
    <w:p w14:paraId="1B3A001E" w14:textId="563E352E" w:rsidR="00D41997" w:rsidRPr="00A15903" w:rsidRDefault="00D41997" w:rsidP="00D41997">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sz w:val="26"/>
          <w:szCs w:val="24"/>
        </w:rPr>
        <w:lastRenderedPageBreak/>
        <w:tab/>
        <w:t>In 18 Code of Federal Regulations (CFR) Part 35, Subpart H,</w:t>
      </w:r>
      <w:r w:rsidR="0061040C">
        <w:rPr>
          <w:rStyle w:val="FootnoteReference"/>
          <w:rFonts w:eastAsia="Times New Roman" w:cs="Times New Roman"/>
        </w:rPr>
        <w:footnoteReference w:id="2"/>
      </w:r>
      <w:r w:rsidRPr="00A15903">
        <w:rPr>
          <w:rFonts w:ascii="Times New Roman" w:eastAsia="Times New Roman" w:hAnsi="Times New Roman" w:cs="Times New Roman"/>
          <w:sz w:val="26"/>
          <w:szCs w:val="24"/>
        </w:rPr>
        <w:t xml:space="preserve"> the</w:t>
      </w:r>
      <w:r w:rsidR="00036F1C">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Commission codifies market-based rate standards for generating electric utilities for use in the Commission’s determination of whether a wholesale seller of electric energy, capacity, or ancillary services qualify for market</w:t>
      </w:r>
      <w:r w:rsidR="00A75902">
        <w:rPr>
          <w:rFonts w:ascii="Times New Roman" w:eastAsia="Times New Roman" w:hAnsi="Times New Roman" w:cs="Times New Roman"/>
          <w:sz w:val="26"/>
          <w:szCs w:val="24"/>
        </w:rPr>
        <w:t>-</w:t>
      </w:r>
      <w:r w:rsidRPr="00A15903">
        <w:rPr>
          <w:rFonts w:ascii="Times New Roman" w:eastAsia="Times New Roman" w:hAnsi="Times New Roman" w:cs="Times New Roman"/>
          <w:sz w:val="26"/>
          <w:szCs w:val="24"/>
        </w:rPr>
        <w:t xml:space="preserve">based rate authority. </w:t>
      </w:r>
      <w:r w:rsidR="0061040C">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Subpart H mandates that sellers submit market power analyses and related filings.</w:t>
      </w:r>
    </w:p>
    <w:p w14:paraId="1B2331A1" w14:textId="77777777" w:rsidR="00D41997" w:rsidRPr="00A15903" w:rsidRDefault="00D41997" w:rsidP="00D41997">
      <w:pPr>
        <w:spacing w:after="0" w:line="480" w:lineRule="auto"/>
        <w:rPr>
          <w:rFonts w:ascii="Times New Roman" w:eastAsia="Times New Roman" w:hAnsi="Times New Roman" w:cs="Times New Roman"/>
          <w:b/>
          <w:bCs/>
          <w:sz w:val="26"/>
          <w:szCs w:val="24"/>
        </w:rPr>
      </w:pPr>
      <w:r w:rsidRPr="00A15903">
        <w:rPr>
          <w:rFonts w:ascii="Times New Roman" w:eastAsia="Times New Roman" w:hAnsi="Times New Roman" w:cs="Times New Roman"/>
          <w:b/>
          <w:bCs/>
          <w:sz w:val="26"/>
          <w:szCs w:val="24"/>
        </w:rPr>
        <w:t>Horizontal Market Power Analysis</w:t>
      </w:r>
    </w:p>
    <w:p w14:paraId="30339FD7" w14:textId="1CCBF7D9" w:rsidR="00D41997" w:rsidRPr="00A15903" w:rsidRDefault="00767ED4" w:rsidP="00D41997">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ab/>
      </w:r>
      <w:r w:rsidR="00D41997" w:rsidRPr="00A15903">
        <w:rPr>
          <w:rFonts w:ascii="Times New Roman" w:eastAsia="Times New Roman" w:hAnsi="Times New Roman" w:cs="Times New Roman"/>
          <w:sz w:val="26"/>
          <w:szCs w:val="24"/>
        </w:rPr>
        <w:t>Market power analyses must address both horizontal and vertical market power. To demonstrate lack of horizontal market power, the Commission requires two indicative</w:t>
      </w:r>
    </w:p>
    <w:p w14:paraId="4787D758" w14:textId="2B8B1222" w:rsidR="00D41997" w:rsidRPr="00A15903" w:rsidRDefault="00D41997" w:rsidP="00D41997">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sz w:val="26"/>
          <w:szCs w:val="24"/>
        </w:rPr>
        <w:t>market power screens:</w:t>
      </w:r>
      <w:r w:rsidR="00A75902">
        <w:rPr>
          <w:rFonts w:ascii="Times New Roman" w:eastAsia="Times New Roman" w:hAnsi="Times New Roman" w:cs="Times New Roman"/>
          <w:sz w:val="26"/>
          <w:szCs w:val="24"/>
        </w:rPr>
        <w:t xml:space="preserve">  t</w:t>
      </w:r>
      <w:r w:rsidRPr="00A15903">
        <w:rPr>
          <w:rFonts w:ascii="Times New Roman" w:eastAsia="Times New Roman" w:hAnsi="Times New Roman" w:cs="Times New Roman"/>
          <w:sz w:val="26"/>
          <w:szCs w:val="24"/>
        </w:rPr>
        <w:t xml:space="preserve">he uncommitted pivotal supplier screen (which is based on the annual peak demand of the relevant market) and the uncommitted market share screen applied on a seasonal basis. </w:t>
      </w:r>
      <w:r w:rsidR="0061040C">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The Commission presumes sellers that fail either screen</w:t>
      </w:r>
    </w:p>
    <w:p w14:paraId="2B0CA562" w14:textId="640BE077" w:rsidR="00D41997" w:rsidRPr="00A15903" w:rsidRDefault="00D41997" w:rsidP="00D41997">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sz w:val="26"/>
          <w:szCs w:val="24"/>
        </w:rPr>
        <w:t xml:space="preserve">to have market power and such sellers may submit a delivered price test analysis </w:t>
      </w:r>
      <w:r w:rsidR="00224E9B">
        <w:rPr>
          <w:rFonts w:ascii="Times New Roman" w:eastAsia="Times New Roman" w:hAnsi="Times New Roman" w:cs="Times New Roman"/>
          <w:sz w:val="26"/>
          <w:szCs w:val="24"/>
        </w:rPr>
        <w:t xml:space="preserve">or alternative evidence </w:t>
      </w:r>
      <w:r w:rsidRPr="00A15903">
        <w:rPr>
          <w:rFonts w:ascii="Times New Roman" w:eastAsia="Times New Roman" w:hAnsi="Times New Roman" w:cs="Times New Roman"/>
          <w:sz w:val="26"/>
          <w:szCs w:val="24"/>
        </w:rPr>
        <w:t xml:space="preserve">to rebut the presumption of horizontal market power. </w:t>
      </w:r>
      <w:r w:rsidR="00224E9B">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If a seller fails to rebut the presumption of horizontal market power, the Commission sets the just and reasonable rate at the default</w:t>
      </w:r>
      <w:r w:rsidR="0061040C">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cost-based rate unless it approves different mitigation based on case specific circumstances.</w:t>
      </w:r>
      <w:r w:rsidR="0061040C">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 xml:space="preserve"> </w:t>
      </w:r>
      <w:r w:rsidRPr="0031407F">
        <w:rPr>
          <w:rFonts w:ascii="Times New Roman" w:eastAsia="Times New Roman" w:hAnsi="Times New Roman" w:cs="Times New Roman"/>
          <w:sz w:val="26"/>
          <w:szCs w:val="24"/>
        </w:rPr>
        <w:t xml:space="preserve">When submitting horizontal market power analyses, a seller must use the </w:t>
      </w:r>
      <w:r w:rsidR="0031407F" w:rsidRPr="009D6D64">
        <w:rPr>
          <w:rFonts w:ascii="Times New Roman" w:eastAsia="Times New Roman" w:hAnsi="Times New Roman" w:cs="Times New Roman"/>
          <w:sz w:val="26"/>
          <w:szCs w:val="24"/>
        </w:rPr>
        <w:t>workable electronic spreadsheet</w:t>
      </w:r>
      <w:r w:rsidRPr="0031407F">
        <w:rPr>
          <w:rFonts w:ascii="Times New Roman" w:eastAsia="Times New Roman" w:hAnsi="Times New Roman" w:cs="Times New Roman"/>
          <w:sz w:val="26"/>
          <w:szCs w:val="24"/>
        </w:rPr>
        <w:t xml:space="preserve"> provided in Appendix A of Subpart H</w:t>
      </w:r>
      <w:r w:rsidRPr="00A15903">
        <w:rPr>
          <w:rFonts w:ascii="Times New Roman" w:eastAsia="Times New Roman" w:hAnsi="Times New Roman" w:cs="Times New Roman"/>
          <w:sz w:val="26"/>
          <w:szCs w:val="24"/>
        </w:rPr>
        <w:t xml:space="preserve"> and include all materials referenced.</w:t>
      </w:r>
    </w:p>
    <w:p w14:paraId="1F317AD1" w14:textId="77777777" w:rsidR="00D41997" w:rsidRPr="00A15903" w:rsidRDefault="00D41997" w:rsidP="00D41997">
      <w:pPr>
        <w:spacing w:after="0" w:line="480" w:lineRule="auto"/>
        <w:rPr>
          <w:rFonts w:ascii="Times New Roman" w:eastAsia="Times New Roman" w:hAnsi="Times New Roman" w:cs="Times New Roman"/>
          <w:b/>
          <w:bCs/>
          <w:sz w:val="26"/>
          <w:szCs w:val="24"/>
        </w:rPr>
      </w:pPr>
      <w:r w:rsidRPr="00A15903">
        <w:rPr>
          <w:rFonts w:ascii="Times New Roman" w:eastAsia="Times New Roman" w:hAnsi="Times New Roman" w:cs="Times New Roman"/>
          <w:b/>
          <w:bCs/>
          <w:sz w:val="26"/>
          <w:szCs w:val="24"/>
        </w:rPr>
        <w:t>Vertical Market Power Analysis</w:t>
      </w:r>
    </w:p>
    <w:p w14:paraId="48417213" w14:textId="75914F52" w:rsidR="00D41997" w:rsidRPr="00A15903" w:rsidRDefault="00D41997" w:rsidP="00D41997">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sz w:val="26"/>
          <w:szCs w:val="24"/>
        </w:rPr>
        <w:tab/>
        <w:t>To demonstrate a lack of vertical market power</w:t>
      </w:r>
      <w:r w:rsidR="00224E9B">
        <w:rPr>
          <w:rFonts w:ascii="Times New Roman" w:eastAsia="Times New Roman" w:hAnsi="Times New Roman" w:cs="Times New Roman"/>
          <w:sz w:val="26"/>
          <w:szCs w:val="24"/>
        </w:rPr>
        <w:t>,</w:t>
      </w:r>
      <w:r w:rsidRPr="00A15903">
        <w:rPr>
          <w:rFonts w:ascii="Times New Roman" w:eastAsia="Times New Roman" w:hAnsi="Times New Roman" w:cs="Times New Roman"/>
          <w:sz w:val="26"/>
          <w:szCs w:val="24"/>
        </w:rPr>
        <w:t xml:space="preserve"> </w:t>
      </w:r>
      <w:r w:rsidR="00224E9B">
        <w:rPr>
          <w:rFonts w:ascii="Times New Roman" w:eastAsia="Times New Roman" w:hAnsi="Times New Roman" w:cs="Times New Roman"/>
          <w:sz w:val="26"/>
          <w:szCs w:val="24"/>
        </w:rPr>
        <w:t xml:space="preserve">if </w:t>
      </w:r>
      <w:r w:rsidRPr="00A15903">
        <w:rPr>
          <w:rFonts w:ascii="Times New Roman" w:eastAsia="Times New Roman" w:hAnsi="Times New Roman" w:cs="Times New Roman"/>
          <w:sz w:val="26"/>
          <w:szCs w:val="24"/>
        </w:rPr>
        <w:t xml:space="preserve"> a public utility with market-based rates, or any of its affiliates, owns, operates or controls transmission facilities, </w:t>
      </w:r>
      <w:r w:rsidR="00224E9B">
        <w:rPr>
          <w:rFonts w:ascii="Times New Roman" w:eastAsia="Times New Roman" w:hAnsi="Times New Roman" w:cs="Times New Roman"/>
          <w:sz w:val="26"/>
          <w:szCs w:val="24"/>
        </w:rPr>
        <w:t>that public utility</w:t>
      </w:r>
      <w:r w:rsidRPr="00A15903">
        <w:rPr>
          <w:rFonts w:ascii="Times New Roman" w:eastAsia="Times New Roman" w:hAnsi="Times New Roman" w:cs="Times New Roman"/>
          <w:sz w:val="26"/>
          <w:szCs w:val="24"/>
        </w:rPr>
        <w:t xml:space="preserve"> must:</w:t>
      </w:r>
    </w:p>
    <w:p w14:paraId="11C22E0E" w14:textId="3863B379" w:rsidR="00D41997" w:rsidRPr="009D6D64" w:rsidRDefault="00D41997" w:rsidP="009D6D64">
      <w:pPr>
        <w:pStyle w:val="ListParagraph"/>
        <w:numPr>
          <w:ilvl w:val="0"/>
          <w:numId w:val="4"/>
        </w:numPr>
        <w:spacing w:after="0" w:line="480" w:lineRule="auto"/>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Have on file a Commission-approved Open Access Transmission Tariff</w:t>
      </w:r>
      <w:r w:rsidR="00B63FE4">
        <w:rPr>
          <w:rStyle w:val="FootnoteReference"/>
          <w:rFonts w:eastAsia="Times New Roman" w:cs="Times New Roman"/>
        </w:rPr>
        <w:footnoteReference w:id="3"/>
      </w:r>
    </w:p>
    <w:p w14:paraId="3FC0F0CC" w14:textId="36F0DAEE" w:rsidR="00D41997" w:rsidRPr="009D6D64" w:rsidRDefault="00D41997" w:rsidP="009D6D64">
      <w:pPr>
        <w:pStyle w:val="ListParagraph"/>
        <w:numPr>
          <w:ilvl w:val="0"/>
          <w:numId w:val="4"/>
        </w:numPr>
        <w:spacing w:after="0" w:line="480" w:lineRule="auto"/>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Submit a description of its ownership or control of, or affiliation with an entity that owns or controls:</w:t>
      </w:r>
    </w:p>
    <w:p w14:paraId="67E29A26" w14:textId="510BB639" w:rsidR="00D41997" w:rsidRPr="009D6D64" w:rsidRDefault="00D41997" w:rsidP="009D6D64">
      <w:pPr>
        <w:pStyle w:val="ListParagraph"/>
        <w:numPr>
          <w:ilvl w:val="1"/>
          <w:numId w:val="4"/>
        </w:numPr>
        <w:spacing w:after="0" w:line="480" w:lineRule="auto"/>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Intrastate natural gas transportation, intrastate natural gas storage or distribution facilities</w:t>
      </w:r>
    </w:p>
    <w:p w14:paraId="7B408E0D" w14:textId="495A99C6" w:rsidR="00D41997" w:rsidRPr="009D6D64" w:rsidRDefault="00D41997" w:rsidP="009D6D64">
      <w:pPr>
        <w:pStyle w:val="ListParagraph"/>
        <w:numPr>
          <w:ilvl w:val="1"/>
          <w:numId w:val="4"/>
        </w:numPr>
        <w:spacing w:after="0" w:line="480" w:lineRule="auto"/>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Sites for generation capacity development; and physical coal supply sources and ownership or control over who may access transportation of coal supplies</w:t>
      </w:r>
    </w:p>
    <w:p w14:paraId="7696784A" w14:textId="33CA1E71" w:rsidR="00D41997" w:rsidRPr="009D6D64" w:rsidRDefault="00D41997" w:rsidP="009D6D64">
      <w:pPr>
        <w:pStyle w:val="ListParagraph"/>
        <w:numPr>
          <w:ilvl w:val="0"/>
          <w:numId w:val="4"/>
        </w:numPr>
        <w:spacing w:after="0" w:line="480" w:lineRule="auto"/>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Make an affirmative statement that it has not erected and will not erect barriers to entry into the relevant market</w:t>
      </w:r>
    </w:p>
    <w:p w14:paraId="05919A8F" w14:textId="77777777" w:rsidR="00D41997" w:rsidRPr="00A15903" w:rsidRDefault="00D41997" w:rsidP="00D41997">
      <w:pPr>
        <w:spacing w:after="0" w:line="480" w:lineRule="auto"/>
        <w:rPr>
          <w:rFonts w:ascii="Times New Roman" w:eastAsia="Times New Roman" w:hAnsi="Times New Roman" w:cs="Times New Roman"/>
          <w:b/>
          <w:bCs/>
          <w:sz w:val="26"/>
          <w:szCs w:val="24"/>
        </w:rPr>
      </w:pPr>
      <w:r w:rsidRPr="00A15903">
        <w:rPr>
          <w:rFonts w:ascii="Times New Roman" w:eastAsia="Times New Roman" w:hAnsi="Times New Roman" w:cs="Times New Roman"/>
          <w:b/>
          <w:bCs/>
          <w:sz w:val="26"/>
          <w:szCs w:val="24"/>
        </w:rPr>
        <w:t>Asset Appendix</w:t>
      </w:r>
    </w:p>
    <w:p w14:paraId="3DE3142D" w14:textId="3E4B0E67" w:rsidR="00D41997" w:rsidRPr="00A15903" w:rsidRDefault="00D41997" w:rsidP="00D41997">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sz w:val="26"/>
          <w:szCs w:val="24"/>
        </w:rPr>
        <w:tab/>
        <w:t xml:space="preserve">In addition to the market power analyses, a seller must submit an asset appendix with its initial application for market-based rate authorization or updated market power analysis, and all relevant change in status filings. </w:t>
      </w:r>
      <w:r w:rsidR="006D7699">
        <w:rPr>
          <w:rFonts w:ascii="Times New Roman" w:eastAsia="Times New Roman" w:hAnsi="Times New Roman" w:cs="Times New Roman"/>
          <w:sz w:val="26"/>
          <w:szCs w:val="24"/>
        </w:rPr>
        <w:t xml:space="preserve"> </w:t>
      </w:r>
      <w:r w:rsidRPr="00A15903">
        <w:rPr>
          <w:rFonts w:ascii="Times New Roman" w:eastAsia="Times New Roman" w:hAnsi="Times New Roman" w:cs="Times New Roman"/>
          <w:sz w:val="26"/>
          <w:szCs w:val="24"/>
        </w:rPr>
        <w:t>The asset appendix must:</w:t>
      </w:r>
    </w:p>
    <w:p w14:paraId="0AF62834" w14:textId="5761F15A" w:rsidR="00B63FE4" w:rsidRPr="009D6D64" w:rsidRDefault="00D41997" w:rsidP="009D6D64">
      <w:pPr>
        <w:pStyle w:val="ListParagraph"/>
        <w:numPr>
          <w:ilvl w:val="0"/>
          <w:numId w:val="5"/>
        </w:numPr>
        <w:spacing w:after="0" w:line="480" w:lineRule="auto"/>
        <w:ind w:left="720"/>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List, among other things, all affiliates that have market-based rate authority</w:t>
      </w:r>
      <w:r w:rsidR="00B63FE4">
        <w:rPr>
          <w:rFonts w:ascii="Times New Roman" w:eastAsia="Times New Roman" w:hAnsi="Times New Roman" w:cs="Times New Roman"/>
          <w:sz w:val="26"/>
          <w:szCs w:val="24"/>
        </w:rPr>
        <w:t xml:space="preserve"> </w:t>
      </w:r>
      <w:r w:rsidR="00360083">
        <w:rPr>
          <w:rFonts w:ascii="Times New Roman" w:eastAsia="Times New Roman" w:hAnsi="Times New Roman" w:cs="Times New Roman"/>
          <w:sz w:val="26"/>
          <w:szCs w:val="24"/>
        </w:rPr>
        <w:t xml:space="preserve">  </w:t>
      </w:r>
    </w:p>
    <w:p w14:paraId="254AF4D1" w14:textId="356F00D9" w:rsidR="00B63FE4" w:rsidRPr="00A15903" w:rsidRDefault="00D41997" w:rsidP="009D6D64">
      <w:pPr>
        <w:pStyle w:val="ListParagraph"/>
        <w:numPr>
          <w:ilvl w:val="0"/>
          <w:numId w:val="5"/>
        </w:numPr>
        <w:spacing w:after="0" w:line="480" w:lineRule="auto"/>
        <w:ind w:left="720"/>
      </w:pPr>
      <w:r w:rsidRPr="009D6D64">
        <w:rPr>
          <w:rFonts w:ascii="Times New Roman" w:hAnsi="Times New Roman" w:cs="Times New Roman"/>
          <w:sz w:val="26"/>
          <w:szCs w:val="26"/>
        </w:rPr>
        <w:t>List all generation assets owned (clearly identifying which affiliate owns which asset) or controlled (clearly identifying which affiliate controls which asset) by the corporate family by balancing authority area, and by geographic region, and provide</w:t>
      </w:r>
      <w:r w:rsidR="00B63FE4" w:rsidRPr="009D6D64">
        <w:rPr>
          <w:rFonts w:ascii="Times New Roman" w:hAnsi="Times New Roman" w:cs="Times New Roman"/>
          <w:sz w:val="26"/>
          <w:szCs w:val="26"/>
        </w:rPr>
        <w:t xml:space="preserve"> </w:t>
      </w:r>
      <w:r w:rsidRPr="009D6D64">
        <w:rPr>
          <w:rFonts w:ascii="Times New Roman" w:hAnsi="Times New Roman" w:cs="Times New Roman"/>
          <w:sz w:val="26"/>
          <w:szCs w:val="26"/>
        </w:rPr>
        <w:t>the in-service date and nameplate</w:t>
      </w:r>
      <w:r w:rsidR="00066202" w:rsidRPr="009D6D64">
        <w:rPr>
          <w:rFonts w:ascii="Times New Roman" w:hAnsi="Times New Roman" w:cs="Times New Roman"/>
          <w:sz w:val="26"/>
          <w:szCs w:val="26"/>
        </w:rPr>
        <w:t xml:space="preserve"> </w:t>
      </w:r>
      <w:r w:rsidRPr="009D6D64">
        <w:rPr>
          <w:rFonts w:ascii="Times New Roman" w:hAnsi="Times New Roman" w:cs="Times New Roman"/>
          <w:sz w:val="26"/>
          <w:szCs w:val="26"/>
        </w:rPr>
        <w:t>and/or seasonal ratings by unit</w:t>
      </w:r>
    </w:p>
    <w:p w14:paraId="1FEDA57C" w14:textId="7E804498" w:rsidR="00066202" w:rsidRPr="009D6D64" w:rsidRDefault="00066202" w:rsidP="009D6D64">
      <w:pPr>
        <w:pStyle w:val="ListParagraph"/>
        <w:numPr>
          <w:ilvl w:val="0"/>
          <w:numId w:val="5"/>
        </w:numPr>
        <w:spacing w:after="0" w:line="480" w:lineRule="auto"/>
        <w:ind w:left="720"/>
        <w:rPr>
          <w:rFonts w:ascii="Times New Roman" w:eastAsia="Times New Roman" w:hAnsi="Times New Roman" w:cs="Times New Roman"/>
          <w:sz w:val="26"/>
          <w:szCs w:val="24"/>
        </w:rPr>
      </w:pPr>
      <w:r w:rsidRPr="009D6D64">
        <w:rPr>
          <w:rFonts w:ascii="Times New Roman" w:eastAsia="Times New Roman" w:hAnsi="Times New Roman" w:cs="Times New Roman"/>
          <w:sz w:val="26"/>
          <w:szCs w:val="24"/>
        </w:rPr>
        <w:t xml:space="preserve">Must reflect all electric transmissions and natural </w:t>
      </w:r>
      <w:r w:rsidR="001B2DC1" w:rsidRPr="009D6D64">
        <w:rPr>
          <w:rFonts w:ascii="Times New Roman" w:eastAsia="Times New Roman" w:hAnsi="Times New Roman" w:cs="Times New Roman"/>
          <w:sz w:val="26"/>
          <w:szCs w:val="24"/>
        </w:rPr>
        <w:t>gas interstate pipelines and/or gas storage facilities owned or controlled by the corporate family and the location of such facilities.</w:t>
      </w:r>
      <w:r w:rsidR="006D7699">
        <w:rPr>
          <w:rStyle w:val="FootnoteReference"/>
          <w:rFonts w:eastAsia="Times New Roman" w:cs="Times New Roman"/>
        </w:rPr>
        <w:footnoteReference w:id="4"/>
      </w:r>
    </w:p>
    <w:p w14:paraId="7AF23B94" w14:textId="77777777" w:rsidR="001B2DC1" w:rsidRPr="00A15903" w:rsidRDefault="001B2DC1" w:rsidP="001B2DC1">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b/>
          <w:bCs/>
          <w:sz w:val="26"/>
          <w:szCs w:val="24"/>
        </w:rPr>
        <w:t>Triennial Market Power Analysis</w:t>
      </w:r>
    </w:p>
    <w:p w14:paraId="45FF18BB" w14:textId="12B4E439" w:rsidR="00A15903" w:rsidRPr="00A15903" w:rsidRDefault="00767ED4" w:rsidP="001B2DC1">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ab/>
      </w:r>
      <w:r w:rsidR="001B2DC1" w:rsidRPr="00A15903">
        <w:rPr>
          <w:rFonts w:ascii="Times New Roman" w:eastAsia="Times New Roman" w:hAnsi="Times New Roman" w:cs="Times New Roman"/>
          <w:sz w:val="26"/>
          <w:szCs w:val="24"/>
        </w:rPr>
        <w:t>Sellers that own or control 500 megawatts</w:t>
      </w:r>
      <w:r w:rsidR="00F2684E">
        <w:rPr>
          <w:rFonts w:ascii="Times New Roman" w:eastAsia="Times New Roman" w:hAnsi="Times New Roman" w:cs="Times New Roman"/>
          <w:sz w:val="26"/>
          <w:szCs w:val="24"/>
        </w:rPr>
        <w:t xml:space="preserve"> or more</w:t>
      </w:r>
      <w:r w:rsidR="001B2DC1" w:rsidRPr="00A15903">
        <w:rPr>
          <w:rFonts w:ascii="Times New Roman" w:eastAsia="Times New Roman" w:hAnsi="Times New Roman" w:cs="Times New Roman"/>
          <w:sz w:val="26"/>
          <w:szCs w:val="24"/>
        </w:rPr>
        <w:t xml:space="preserve"> of generation and/or that own, operate or control transmission facilities, are affiliated with any entity that owns, operates or controls transmission facilities in the same region as the seller’s generation assets, or with a franchised public utility in the same region as the seller’s generation</w:t>
      </w:r>
      <w:r w:rsidR="006D7699">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 xml:space="preserve">assets are required to file updated market power analyses every three years. </w:t>
      </w:r>
      <w:r w:rsidR="006D7699">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The updated market power analyses must demonstrate that a seller does not possess horizontal market</w:t>
      </w:r>
      <w:r w:rsidR="006D7699">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power.</w:t>
      </w:r>
    </w:p>
    <w:p w14:paraId="666486B0" w14:textId="77777777" w:rsidR="00A15903" w:rsidRPr="00A15903" w:rsidRDefault="00A15903" w:rsidP="00A15903">
      <w:pPr>
        <w:spacing w:after="0" w:line="480" w:lineRule="auto"/>
        <w:rPr>
          <w:rFonts w:ascii="Times New Roman" w:eastAsia="Times New Roman" w:hAnsi="Times New Roman" w:cs="Times New Roman"/>
          <w:b/>
          <w:bCs/>
          <w:sz w:val="26"/>
          <w:szCs w:val="24"/>
        </w:rPr>
      </w:pPr>
      <w:r w:rsidRPr="00A15903">
        <w:rPr>
          <w:rFonts w:ascii="Times New Roman" w:eastAsia="Times New Roman" w:hAnsi="Times New Roman" w:cs="Times New Roman"/>
          <w:b/>
          <w:bCs/>
          <w:sz w:val="26"/>
          <w:szCs w:val="24"/>
        </w:rPr>
        <w:t>Change in Status Filings</w:t>
      </w:r>
    </w:p>
    <w:p w14:paraId="398FF617" w14:textId="3A368A4A" w:rsidR="001B2DC1" w:rsidRPr="00A15903" w:rsidRDefault="00767ED4" w:rsidP="001B2DC1">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ab/>
      </w:r>
      <w:r w:rsidR="00A15903" w:rsidRPr="00A15903">
        <w:rPr>
          <w:rFonts w:ascii="Times New Roman" w:eastAsia="Times New Roman" w:hAnsi="Times New Roman" w:cs="Times New Roman"/>
          <w:sz w:val="26"/>
          <w:szCs w:val="24"/>
        </w:rPr>
        <w:t xml:space="preserve">Concerning change of status filings, the Commission requires that sellers file notices of such changes no later than 30 days after the change in status occurs. </w:t>
      </w:r>
      <w:r w:rsidR="006D7699">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The Commission also requires that each seller include an appendix identifying specified assets with each pertinent change in status notification filed.</w:t>
      </w:r>
    </w:p>
    <w:p w14:paraId="62E09643" w14:textId="77777777" w:rsidR="001B2DC1" w:rsidRPr="00A15903" w:rsidRDefault="001B2DC1" w:rsidP="001B2DC1">
      <w:pPr>
        <w:spacing w:after="0" w:line="480" w:lineRule="auto"/>
        <w:rPr>
          <w:rFonts w:ascii="Times New Roman" w:eastAsia="Times New Roman" w:hAnsi="Times New Roman" w:cs="Times New Roman"/>
          <w:sz w:val="26"/>
          <w:szCs w:val="24"/>
        </w:rPr>
      </w:pPr>
      <w:r w:rsidRPr="00A15903">
        <w:rPr>
          <w:rFonts w:ascii="Times New Roman" w:eastAsia="Times New Roman" w:hAnsi="Times New Roman" w:cs="Times New Roman"/>
          <w:b/>
          <w:bCs/>
          <w:sz w:val="26"/>
          <w:szCs w:val="24"/>
        </w:rPr>
        <w:t>Exemptions From Submitting Updated Market Power Analyses</w:t>
      </w:r>
    </w:p>
    <w:p w14:paraId="5CF1743C" w14:textId="3F596570" w:rsidR="001B2DC1" w:rsidRPr="00A15903" w:rsidRDefault="00767ED4" w:rsidP="001B2DC1">
      <w:pPr>
        <w:spacing w:after="0" w:line="48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ab/>
      </w:r>
      <w:r w:rsidR="001B2DC1" w:rsidRPr="00A15903">
        <w:rPr>
          <w:rFonts w:ascii="Times New Roman" w:eastAsia="Times New Roman" w:hAnsi="Times New Roman" w:cs="Times New Roman"/>
          <w:sz w:val="26"/>
          <w:szCs w:val="24"/>
        </w:rPr>
        <w:t xml:space="preserve">Wholesale power marketers and wholesale power producers that are not affiliated with franchised public utilities or transmission owners, that do not own transmission, and that do not, together with all of their affiliates, </w:t>
      </w:r>
      <w:r w:rsidR="001B2DC1" w:rsidRPr="0031407F">
        <w:rPr>
          <w:rFonts w:ascii="Times New Roman" w:eastAsia="Times New Roman" w:hAnsi="Times New Roman" w:cs="Times New Roman"/>
          <w:sz w:val="26"/>
          <w:szCs w:val="24"/>
        </w:rPr>
        <w:t xml:space="preserve">own or control 500 MW </w:t>
      </w:r>
      <w:r w:rsidR="00F2684E">
        <w:rPr>
          <w:rFonts w:ascii="Times New Roman" w:eastAsia="Times New Roman" w:hAnsi="Times New Roman" w:cs="Times New Roman"/>
          <w:sz w:val="26"/>
          <w:szCs w:val="24"/>
        </w:rPr>
        <w:t xml:space="preserve">or more </w:t>
      </w:r>
      <w:r w:rsidR="001B2DC1" w:rsidRPr="0031407F">
        <w:rPr>
          <w:rFonts w:ascii="Times New Roman" w:eastAsia="Times New Roman" w:hAnsi="Times New Roman" w:cs="Times New Roman"/>
          <w:sz w:val="26"/>
          <w:szCs w:val="24"/>
        </w:rPr>
        <w:t xml:space="preserve">of generation in </w:t>
      </w:r>
      <w:r w:rsidR="00360083" w:rsidRPr="0031407F">
        <w:rPr>
          <w:rFonts w:ascii="Times New Roman" w:eastAsia="Times New Roman" w:hAnsi="Times New Roman" w:cs="Times New Roman"/>
          <w:sz w:val="26"/>
          <w:szCs w:val="24"/>
        </w:rPr>
        <w:t>a</w:t>
      </w:r>
      <w:r w:rsidR="001B2DC1" w:rsidRPr="0031407F">
        <w:rPr>
          <w:rFonts w:ascii="Times New Roman" w:eastAsia="Times New Roman" w:hAnsi="Times New Roman" w:cs="Times New Roman"/>
          <w:sz w:val="26"/>
          <w:szCs w:val="24"/>
        </w:rPr>
        <w:t xml:space="preserve"> relevant region are not r</w:t>
      </w:r>
      <w:r w:rsidR="001B2DC1" w:rsidRPr="00A15903">
        <w:rPr>
          <w:rFonts w:ascii="Times New Roman" w:eastAsia="Times New Roman" w:hAnsi="Times New Roman" w:cs="Times New Roman"/>
          <w:sz w:val="26"/>
          <w:szCs w:val="24"/>
        </w:rPr>
        <w:t>equired</w:t>
      </w:r>
      <w:r w:rsidR="00A15903" w:rsidRPr="00A15903">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 xml:space="preserve">to submit updated market power analyses. </w:t>
      </w:r>
      <w:r w:rsidR="006D7699">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The Commission determines which sellers are in this category through information filed by the utility either when the seller files its initial application for market-based rate authorization or through a separate</w:t>
      </w:r>
      <w:r w:rsidR="00A15903" w:rsidRPr="00A15903">
        <w:rPr>
          <w:rFonts w:ascii="Times New Roman" w:eastAsia="Times New Roman" w:hAnsi="Times New Roman" w:cs="Times New Roman"/>
          <w:sz w:val="26"/>
          <w:szCs w:val="24"/>
        </w:rPr>
        <w:t xml:space="preserve"> </w:t>
      </w:r>
      <w:r w:rsidR="001B2DC1" w:rsidRPr="00A15903">
        <w:rPr>
          <w:rFonts w:ascii="Times New Roman" w:eastAsia="Times New Roman" w:hAnsi="Times New Roman" w:cs="Times New Roman"/>
          <w:sz w:val="26"/>
          <w:szCs w:val="24"/>
        </w:rPr>
        <w:t>filing made to request such a determination.</w:t>
      </w:r>
    </w:p>
    <w:p w14:paraId="0A10B842" w14:textId="6F1EEBF6" w:rsidR="001B2DC1" w:rsidRPr="001B2DC1" w:rsidRDefault="001B2DC1" w:rsidP="001B2DC1">
      <w:pPr>
        <w:spacing w:after="0" w:line="480" w:lineRule="auto"/>
        <w:rPr>
          <w:rFonts w:ascii="Times New Roman" w:eastAsia="Times New Roman" w:hAnsi="Times New Roman" w:cs="Times New Roman"/>
          <w:i/>
          <w:sz w:val="26"/>
          <w:szCs w:val="24"/>
        </w:rPr>
      </w:pPr>
      <w:r w:rsidRPr="001B2DC1">
        <w:rPr>
          <w:rFonts w:ascii="Times New Roman" w:eastAsia="Times New Roman" w:hAnsi="Times New Roman" w:cs="Times New Roman"/>
          <w:i/>
          <w:iCs/>
          <w:sz w:val="26"/>
          <w:szCs w:val="24"/>
        </w:rPr>
        <w:t>Type of Respondents:</w:t>
      </w:r>
      <w:r w:rsidR="006D7699">
        <w:rPr>
          <w:rFonts w:ascii="Times New Roman" w:eastAsia="Times New Roman" w:hAnsi="Times New Roman" w:cs="Times New Roman"/>
          <w:i/>
          <w:iCs/>
          <w:sz w:val="26"/>
          <w:szCs w:val="24"/>
        </w:rPr>
        <w:t xml:space="preserve"> </w:t>
      </w:r>
      <w:r w:rsidRPr="001B2DC1">
        <w:rPr>
          <w:rFonts w:ascii="Times New Roman" w:eastAsia="Times New Roman" w:hAnsi="Times New Roman" w:cs="Times New Roman"/>
          <w:i/>
          <w:iCs/>
          <w:sz w:val="26"/>
          <w:szCs w:val="24"/>
        </w:rPr>
        <w:t xml:space="preserve"> </w:t>
      </w:r>
      <w:r w:rsidRPr="00A15903">
        <w:rPr>
          <w:rFonts w:ascii="Times New Roman" w:eastAsia="Times New Roman" w:hAnsi="Times New Roman" w:cs="Times New Roman"/>
          <w:sz w:val="26"/>
          <w:szCs w:val="24"/>
        </w:rPr>
        <w:t>Public utilities, wholesale electricity sellers</w:t>
      </w:r>
    </w:p>
    <w:p w14:paraId="3E797DEA" w14:textId="4610B59F" w:rsidR="00A15903" w:rsidRPr="00231F08" w:rsidRDefault="00A15903" w:rsidP="00A15903">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Estimate of Annual Burden</w:t>
      </w:r>
      <w:r w:rsidR="006D7699" w:rsidRPr="00231F08">
        <w:rPr>
          <w:rFonts w:ascii="Times New Roman" w:eastAsia="Times New Roman" w:hAnsi="Times New Roman" w:cs="Times New Roman"/>
          <w:b/>
          <w:i/>
          <w:sz w:val="26"/>
          <w:szCs w:val="26"/>
          <w:vertAlign w:val="superscript"/>
        </w:rPr>
        <w:footnoteReference w:id="5"/>
      </w:r>
      <w:r w:rsidR="006D7699" w:rsidRPr="00231F08">
        <w:rPr>
          <w:rFonts w:ascii="Times New Roman" w:eastAsia="Times New Roman" w:hAnsi="Times New Roman" w:cs="Times New Roman"/>
          <w:i/>
          <w:sz w:val="26"/>
          <w:szCs w:val="24"/>
        </w:rPr>
        <w:t>:</w:t>
      </w:r>
      <w:r w:rsidR="006D7699">
        <w:rPr>
          <w:rFonts w:ascii="Times New Roman" w:eastAsia="Times New Roman" w:hAnsi="Times New Roman" w:cs="Times New Roman"/>
          <w:i/>
          <w:sz w:val="26"/>
          <w:szCs w:val="24"/>
        </w:rPr>
        <w:t xml:space="preserve">  </w:t>
      </w:r>
      <w:r w:rsidRPr="00231F08">
        <w:rPr>
          <w:rFonts w:ascii="Times New Roman" w:eastAsia="Times New Roman" w:hAnsi="Times New Roman" w:cs="Times New Roman"/>
          <w:sz w:val="26"/>
          <w:szCs w:val="24"/>
        </w:rPr>
        <w:t>The Commission estimates the total annual burden and cost</w:t>
      </w:r>
      <w:r w:rsidRPr="00231F08">
        <w:rPr>
          <w:rFonts w:ascii="Times New Roman" w:eastAsia="Times New Roman" w:hAnsi="Times New Roman" w:cs="Times New Roman"/>
          <w:b/>
          <w:sz w:val="26"/>
          <w:szCs w:val="26"/>
          <w:vertAlign w:val="superscript"/>
        </w:rPr>
        <w:footnoteReference w:id="6"/>
      </w:r>
      <w:r w:rsidRPr="00231F08">
        <w:rPr>
          <w:rFonts w:ascii="Times New Roman" w:eastAsia="Times New Roman" w:hAnsi="Times New Roman" w:cs="Times New Roman"/>
          <w:sz w:val="26"/>
          <w:szCs w:val="24"/>
        </w:rPr>
        <w:t xml:space="preserve"> for this information collection as follows.</w:t>
      </w:r>
    </w:p>
    <w:p w14:paraId="55E04DDA" w14:textId="77777777" w:rsidR="00231F08" w:rsidRPr="00231F08" w:rsidRDefault="00231F08" w:rsidP="00231F08">
      <w:pPr>
        <w:spacing w:after="0" w:line="480" w:lineRule="auto"/>
        <w:rPr>
          <w:rFonts w:ascii="Times New Roman" w:eastAsia="Times New Roman" w:hAnsi="Times New Roman" w:cs="Times New Roman"/>
          <w:sz w:val="26"/>
          <w:szCs w:val="24"/>
        </w:rPr>
      </w:pPr>
    </w:p>
    <w:tbl>
      <w:tblPr>
        <w:tblW w:w="557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1750"/>
        <w:gridCol w:w="1660"/>
        <w:gridCol w:w="1475"/>
        <w:gridCol w:w="1291"/>
        <w:gridCol w:w="1455"/>
        <w:gridCol w:w="1568"/>
      </w:tblGrid>
      <w:tr w:rsidR="00231F08" w:rsidRPr="00231F08" w14:paraId="36C38000" w14:textId="77777777" w:rsidTr="00D9176E">
        <w:trPr>
          <w:cantSplit/>
          <w:jc w:val="right"/>
        </w:trPr>
        <w:tc>
          <w:tcPr>
            <w:tcW w:w="5000" w:type="pct"/>
            <w:gridSpan w:val="7"/>
            <w:shd w:val="clear" w:color="auto" w:fill="D9D9D9"/>
          </w:tcPr>
          <w:p w14:paraId="191787DA" w14:textId="74D724F8" w:rsidR="00231F08" w:rsidRPr="00231F08" w:rsidRDefault="00231F08" w:rsidP="000503B2">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FERC-91</w:t>
            </w:r>
            <w:r w:rsidR="00183A8C">
              <w:rPr>
                <w:rFonts w:ascii="Times New Roman" w:eastAsia="Calibri" w:hAnsi="Times New Roman" w:cs="Times New Roman"/>
                <w:b/>
                <w:sz w:val="26"/>
                <w:szCs w:val="26"/>
              </w:rPr>
              <w:t>9</w:t>
            </w:r>
            <w:r w:rsidR="00AC7510">
              <w:rPr>
                <w:rFonts w:ascii="Times New Roman" w:eastAsia="Calibri" w:hAnsi="Times New Roman" w:cs="Times New Roman"/>
                <w:b/>
                <w:sz w:val="26"/>
                <w:szCs w:val="26"/>
              </w:rPr>
              <w:t>,</w:t>
            </w:r>
            <w:r w:rsidRPr="00231F08">
              <w:rPr>
                <w:rFonts w:ascii="Times New Roman" w:eastAsia="Calibri" w:hAnsi="Times New Roman" w:cs="Times New Roman"/>
                <w:b/>
                <w:sz w:val="26"/>
                <w:szCs w:val="26"/>
              </w:rPr>
              <w:t xml:space="preserve"> </w:t>
            </w:r>
            <w:r w:rsidR="00183A8C">
              <w:rPr>
                <w:rFonts w:ascii="Times New Roman" w:eastAsia="Calibri" w:hAnsi="Times New Roman" w:cs="Times New Roman"/>
                <w:b/>
                <w:sz w:val="26"/>
                <w:szCs w:val="26"/>
              </w:rPr>
              <w:t>Market Based Rates for Wholesale Sales of Electric Energy</w:t>
            </w:r>
            <w:r w:rsidR="0079053D">
              <w:rPr>
                <w:rFonts w:ascii="Times New Roman" w:eastAsia="Calibri" w:hAnsi="Times New Roman" w:cs="Times New Roman"/>
                <w:b/>
                <w:sz w:val="26"/>
                <w:szCs w:val="26"/>
              </w:rPr>
              <w:t>, Capacity and Ancillary Services by Public Utilities</w:t>
            </w:r>
          </w:p>
        </w:tc>
      </w:tr>
      <w:tr w:rsidR="006D7699" w:rsidRPr="00231F08" w14:paraId="608F740E" w14:textId="77777777" w:rsidTr="009D6D64">
        <w:trPr>
          <w:cantSplit/>
          <w:jc w:val="right"/>
        </w:trPr>
        <w:tc>
          <w:tcPr>
            <w:tcW w:w="689" w:type="pct"/>
            <w:shd w:val="clear" w:color="auto" w:fill="D9D9D9"/>
            <w:vAlign w:val="bottom"/>
          </w:tcPr>
          <w:p w14:paraId="0512569F" w14:textId="77777777" w:rsidR="00231F08" w:rsidRPr="00231F08" w:rsidRDefault="001745F7" w:rsidP="009D6D64">
            <w:pPr>
              <w:keepNext/>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Requirement</w:t>
            </w:r>
          </w:p>
        </w:tc>
        <w:tc>
          <w:tcPr>
            <w:tcW w:w="820" w:type="pct"/>
            <w:shd w:val="clear" w:color="auto" w:fill="D9D9D9"/>
            <w:vAlign w:val="bottom"/>
          </w:tcPr>
          <w:p w14:paraId="2B91C457"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Number of Respondents</w:t>
            </w:r>
          </w:p>
          <w:p w14:paraId="12260863"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(1)</w:t>
            </w:r>
          </w:p>
        </w:tc>
        <w:tc>
          <w:tcPr>
            <w:tcW w:w="778" w:type="pct"/>
            <w:shd w:val="clear" w:color="auto" w:fill="D9D9D9"/>
            <w:vAlign w:val="bottom"/>
          </w:tcPr>
          <w:p w14:paraId="581C7C14"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Annual Number of Responses per Respondent</w:t>
            </w:r>
          </w:p>
          <w:p w14:paraId="57D0FB5B"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(2)</w:t>
            </w:r>
          </w:p>
        </w:tc>
        <w:tc>
          <w:tcPr>
            <w:tcW w:w="691" w:type="pct"/>
            <w:shd w:val="clear" w:color="auto" w:fill="D9D9D9"/>
            <w:vAlign w:val="bottom"/>
          </w:tcPr>
          <w:p w14:paraId="0747C813"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Total Number of Responses</w:t>
            </w:r>
          </w:p>
          <w:p w14:paraId="67D33799"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(1)*(2)=(3)</w:t>
            </w:r>
          </w:p>
        </w:tc>
        <w:tc>
          <w:tcPr>
            <w:tcW w:w="605" w:type="pct"/>
            <w:shd w:val="clear" w:color="auto" w:fill="D9D9D9"/>
            <w:vAlign w:val="bottom"/>
          </w:tcPr>
          <w:p w14:paraId="2D08D95A"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Average Burden &amp; Cost Per Response</w:t>
            </w:r>
          </w:p>
          <w:p w14:paraId="47871355"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(4)</w:t>
            </w:r>
          </w:p>
        </w:tc>
        <w:tc>
          <w:tcPr>
            <w:tcW w:w="682" w:type="pct"/>
            <w:shd w:val="clear" w:color="auto" w:fill="D9D9D9"/>
            <w:vAlign w:val="bottom"/>
          </w:tcPr>
          <w:p w14:paraId="23FD8237"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Total Annual Burden Hours &amp; Cost</w:t>
            </w:r>
          </w:p>
          <w:p w14:paraId="4F7945C1"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(3)*(4)=(5)</w:t>
            </w:r>
          </w:p>
        </w:tc>
        <w:tc>
          <w:tcPr>
            <w:tcW w:w="735" w:type="pct"/>
            <w:shd w:val="clear" w:color="auto" w:fill="D9D9D9"/>
            <w:vAlign w:val="bottom"/>
          </w:tcPr>
          <w:p w14:paraId="7A75EBC7"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Annual Cost per Respondent ($)</w:t>
            </w:r>
          </w:p>
          <w:p w14:paraId="18E33C5D" w14:textId="77777777" w:rsidR="00231F08" w:rsidRPr="00231F08" w:rsidRDefault="00231F08" w:rsidP="009D6D64">
            <w:pPr>
              <w:keepNext/>
              <w:spacing w:after="0" w:line="240" w:lineRule="auto"/>
              <w:jc w:val="center"/>
              <w:rPr>
                <w:rFonts w:ascii="Times New Roman" w:eastAsia="Calibri" w:hAnsi="Times New Roman" w:cs="Times New Roman"/>
                <w:b/>
                <w:sz w:val="26"/>
                <w:szCs w:val="26"/>
              </w:rPr>
            </w:pPr>
            <w:r w:rsidRPr="00231F08">
              <w:rPr>
                <w:rFonts w:ascii="Times New Roman" w:eastAsia="Calibri" w:hAnsi="Times New Roman" w:cs="Times New Roman"/>
                <w:b/>
                <w:sz w:val="26"/>
                <w:szCs w:val="26"/>
              </w:rPr>
              <w:t>(5)÷(1)</w:t>
            </w:r>
          </w:p>
        </w:tc>
      </w:tr>
      <w:tr w:rsidR="006D7699" w:rsidRPr="00231F08" w14:paraId="62F82319" w14:textId="77777777" w:rsidTr="006D7699">
        <w:trPr>
          <w:cantSplit/>
          <w:jc w:val="right"/>
        </w:trPr>
        <w:tc>
          <w:tcPr>
            <w:tcW w:w="689" w:type="pct"/>
            <w:tcBorders>
              <w:top w:val="single" w:sz="4" w:space="0" w:color="auto"/>
              <w:left w:val="single" w:sz="4" w:space="0" w:color="auto"/>
              <w:bottom w:val="single" w:sz="4" w:space="0" w:color="auto"/>
              <w:right w:val="single" w:sz="4" w:space="0" w:color="auto"/>
            </w:tcBorders>
          </w:tcPr>
          <w:p w14:paraId="7A6426BB" w14:textId="77777777" w:rsidR="00231F08" w:rsidRPr="006231BC" w:rsidRDefault="00183A8C" w:rsidP="009D6D64">
            <w:pPr>
              <w:keepNext/>
              <w:spacing w:after="0" w:line="240" w:lineRule="auto"/>
              <w:rPr>
                <w:rFonts w:ascii="Times New Roman" w:eastAsia="Calibri" w:hAnsi="Times New Roman" w:cs="Times New Roman"/>
                <w:sz w:val="26"/>
                <w:szCs w:val="26"/>
              </w:rPr>
            </w:pPr>
            <w:r w:rsidRPr="006231BC">
              <w:rPr>
                <w:rFonts w:ascii="Times New Roman" w:eastAsia="Calibri" w:hAnsi="Times New Roman" w:cs="Times New Roman"/>
                <w:sz w:val="26"/>
                <w:szCs w:val="26"/>
              </w:rPr>
              <w:t>Market Power Analysis in New Applications for Market-based rates</w:t>
            </w:r>
          </w:p>
        </w:tc>
        <w:tc>
          <w:tcPr>
            <w:tcW w:w="820" w:type="pct"/>
            <w:tcBorders>
              <w:top w:val="single" w:sz="4" w:space="0" w:color="auto"/>
              <w:left w:val="single" w:sz="4" w:space="0" w:color="auto"/>
              <w:bottom w:val="single" w:sz="4" w:space="0" w:color="auto"/>
              <w:right w:val="single" w:sz="4" w:space="0" w:color="auto"/>
            </w:tcBorders>
            <w:vAlign w:val="bottom"/>
          </w:tcPr>
          <w:p w14:paraId="6F2ED87B" w14:textId="1C1244EE"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14</w:t>
            </w:r>
            <w:r w:rsidR="00565D0E" w:rsidRPr="006231BC">
              <w:rPr>
                <w:rFonts w:ascii="Times New Roman" w:eastAsia="Calibri" w:hAnsi="Times New Roman" w:cs="Times New Roman"/>
                <w:sz w:val="26"/>
                <w:szCs w:val="26"/>
              </w:rPr>
              <w:t>4</w:t>
            </w:r>
          </w:p>
        </w:tc>
        <w:tc>
          <w:tcPr>
            <w:tcW w:w="778" w:type="pct"/>
            <w:tcBorders>
              <w:top w:val="single" w:sz="4" w:space="0" w:color="auto"/>
              <w:left w:val="single" w:sz="4" w:space="0" w:color="auto"/>
              <w:bottom w:val="single" w:sz="4" w:space="0" w:color="auto"/>
              <w:right w:val="single" w:sz="4" w:space="0" w:color="auto"/>
            </w:tcBorders>
            <w:vAlign w:val="bottom"/>
          </w:tcPr>
          <w:p w14:paraId="7333CCF5" w14:textId="10D48389"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w:t>
            </w:r>
          </w:p>
        </w:tc>
        <w:tc>
          <w:tcPr>
            <w:tcW w:w="691" w:type="pct"/>
            <w:tcBorders>
              <w:top w:val="single" w:sz="4" w:space="0" w:color="auto"/>
              <w:left w:val="single" w:sz="4" w:space="0" w:color="auto"/>
              <w:bottom w:val="single" w:sz="4" w:space="0" w:color="auto"/>
              <w:right w:val="single" w:sz="4" w:space="0" w:color="auto"/>
            </w:tcBorders>
            <w:vAlign w:val="bottom"/>
          </w:tcPr>
          <w:p w14:paraId="254AD0F6" w14:textId="43C6CDE6"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144</w:t>
            </w:r>
          </w:p>
        </w:tc>
        <w:tc>
          <w:tcPr>
            <w:tcW w:w="605" w:type="pct"/>
            <w:tcBorders>
              <w:top w:val="single" w:sz="4" w:space="0" w:color="auto"/>
              <w:left w:val="single" w:sz="4" w:space="0" w:color="auto"/>
              <w:bottom w:val="single" w:sz="4" w:space="0" w:color="auto"/>
              <w:right w:val="single" w:sz="4" w:space="0" w:color="auto"/>
            </w:tcBorders>
            <w:vAlign w:val="bottom"/>
          </w:tcPr>
          <w:p w14:paraId="4CE9FBC5" w14:textId="422082EC" w:rsidR="00231F08"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250</w:t>
            </w:r>
            <w:r w:rsidR="006231BC">
              <w:rPr>
                <w:rFonts w:ascii="Times New Roman" w:eastAsia="Calibri" w:hAnsi="Times New Roman" w:cs="Times New Roman"/>
                <w:sz w:val="26"/>
                <w:szCs w:val="26"/>
              </w:rPr>
              <w:t xml:space="preserve"> hrs.;</w:t>
            </w:r>
          </w:p>
          <w:p w14:paraId="423F2DE1" w14:textId="2681CEE0" w:rsidR="006231BC" w:rsidRPr="006231BC" w:rsidRDefault="006231BC" w:rsidP="006000B1">
            <w:pPr>
              <w:keepNext/>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$23,500</w:t>
            </w:r>
          </w:p>
        </w:tc>
        <w:tc>
          <w:tcPr>
            <w:tcW w:w="682" w:type="pct"/>
            <w:tcBorders>
              <w:top w:val="single" w:sz="4" w:space="0" w:color="auto"/>
              <w:left w:val="single" w:sz="4" w:space="0" w:color="auto"/>
              <w:bottom w:val="single" w:sz="4" w:space="0" w:color="auto"/>
              <w:right w:val="single" w:sz="4" w:space="0" w:color="auto"/>
            </w:tcBorders>
            <w:vAlign w:val="bottom"/>
          </w:tcPr>
          <w:p w14:paraId="57B43CE0" w14:textId="77777777" w:rsidR="00231F08"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36,000 hrs.;</w:t>
            </w:r>
          </w:p>
          <w:p w14:paraId="0CCFF9A4" w14:textId="67101241" w:rsidR="00123EEA"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$3,384,000</w:t>
            </w:r>
          </w:p>
        </w:tc>
        <w:tc>
          <w:tcPr>
            <w:tcW w:w="735" w:type="pct"/>
            <w:tcBorders>
              <w:top w:val="single" w:sz="4" w:space="0" w:color="auto"/>
              <w:left w:val="single" w:sz="4" w:space="0" w:color="auto"/>
              <w:bottom w:val="single" w:sz="4" w:space="0" w:color="auto"/>
              <w:right w:val="single" w:sz="4" w:space="0" w:color="auto"/>
            </w:tcBorders>
            <w:vAlign w:val="bottom"/>
          </w:tcPr>
          <w:p w14:paraId="21A8C772" w14:textId="378451FF" w:rsidR="00231F08"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$23,500</w:t>
            </w:r>
          </w:p>
        </w:tc>
      </w:tr>
      <w:tr w:rsidR="006D7699" w:rsidRPr="00231F08" w14:paraId="5B699716" w14:textId="77777777" w:rsidTr="006D7699">
        <w:trPr>
          <w:cantSplit/>
          <w:jc w:val="right"/>
        </w:trPr>
        <w:tc>
          <w:tcPr>
            <w:tcW w:w="689" w:type="pct"/>
            <w:tcBorders>
              <w:top w:val="single" w:sz="4" w:space="0" w:color="auto"/>
              <w:left w:val="single" w:sz="4" w:space="0" w:color="auto"/>
              <w:bottom w:val="single" w:sz="4" w:space="0" w:color="auto"/>
              <w:right w:val="single" w:sz="4" w:space="0" w:color="auto"/>
            </w:tcBorders>
          </w:tcPr>
          <w:p w14:paraId="6467693F" w14:textId="389046F3" w:rsidR="00231F08" w:rsidRPr="006231BC" w:rsidRDefault="00183A8C" w:rsidP="009D6D64">
            <w:pPr>
              <w:keepNext/>
              <w:spacing w:after="0" w:line="240" w:lineRule="auto"/>
              <w:rPr>
                <w:rFonts w:ascii="Times New Roman" w:eastAsia="Calibri" w:hAnsi="Times New Roman" w:cs="Times New Roman"/>
                <w:sz w:val="26"/>
                <w:szCs w:val="26"/>
              </w:rPr>
            </w:pPr>
            <w:r w:rsidRPr="006231BC">
              <w:rPr>
                <w:rFonts w:ascii="Times New Roman" w:eastAsia="Calibri" w:hAnsi="Times New Roman" w:cs="Times New Roman"/>
                <w:sz w:val="26"/>
                <w:szCs w:val="26"/>
              </w:rPr>
              <w:t>Triennial market power analysis in seller updates</w:t>
            </w:r>
          </w:p>
        </w:tc>
        <w:tc>
          <w:tcPr>
            <w:tcW w:w="820" w:type="pct"/>
            <w:tcBorders>
              <w:top w:val="single" w:sz="4" w:space="0" w:color="auto"/>
              <w:left w:val="single" w:sz="4" w:space="0" w:color="auto"/>
              <w:bottom w:val="single" w:sz="4" w:space="0" w:color="auto"/>
              <w:right w:val="single" w:sz="4" w:space="0" w:color="auto"/>
            </w:tcBorders>
            <w:vAlign w:val="bottom"/>
          </w:tcPr>
          <w:p w14:paraId="6E3D76B1" w14:textId="3DEFCC97"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6</w:t>
            </w:r>
            <w:r w:rsidR="00565D0E" w:rsidRPr="006231BC">
              <w:rPr>
                <w:rFonts w:ascii="Times New Roman" w:eastAsia="Calibri" w:hAnsi="Times New Roman" w:cs="Times New Roman"/>
                <w:sz w:val="26"/>
                <w:szCs w:val="26"/>
              </w:rPr>
              <w:t>5</w:t>
            </w:r>
          </w:p>
        </w:tc>
        <w:tc>
          <w:tcPr>
            <w:tcW w:w="778" w:type="pct"/>
            <w:tcBorders>
              <w:top w:val="single" w:sz="4" w:space="0" w:color="auto"/>
              <w:left w:val="single" w:sz="4" w:space="0" w:color="auto"/>
              <w:bottom w:val="single" w:sz="4" w:space="0" w:color="auto"/>
              <w:right w:val="single" w:sz="4" w:space="0" w:color="auto"/>
            </w:tcBorders>
            <w:vAlign w:val="bottom"/>
          </w:tcPr>
          <w:p w14:paraId="46FF5837" w14:textId="723525AD"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w:t>
            </w:r>
          </w:p>
        </w:tc>
        <w:tc>
          <w:tcPr>
            <w:tcW w:w="691" w:type="pct"/>
            <w:tcBorders>
              <w:top w:val="single" w:sz="4" w:space="0" w:color="auto"/>
              <w:left w:val="single" w:sz="4" w:space="0" w:color="auto"/>
              <w:bottom w:val="single" w:sz="4" w:space="0" w:color="auto"/>
              <w:right w:val="single" w:sz="4" w:space="0" w:color="auto"/>
            </w:tcBorders>
            <w:vAlign w:val="bottom"/>
          </w:tcPr>
          <w:p w14:paraId="4CE80FD2" w14:textId="6F3DF1C6"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6</w:t>
            </w:r>
            <w:r w:rsidR="00565D0E" w:rsidRPr="006231BC">
              <w:rPr>
                <w:rFonts w:ascii="Times New Roman" w:eastAsia="Calibri" w:hAnsi="Times New Roman" w:cs="Times New Roman"/>
                <w:sz w:val="26"/>
                <w:szCs w:val="26"/>
              </w:rPr>
              <w:t>5</w:t>
            </w:r>
          </w:p>
        </w:tc>
        <w:tc>
          <w:tcPr>
            <w:tcW w:w="605" w:type="pct"/>
            <w:tcBorders>
              <w:top w:val="single" w:sz="4" w:space="0" w:color="auto"/>
              <w:left w:val="single" w:sz="4" w:space="0" w:color="auto"/>
              <w:bottom w:val="single" w:sz="4" w:space="0" w:color="auto"/>
              <w:right w:val="single" w:sz="4" w:space="0" w:color="auto"/>
            </w:tcBorders>
            <w:vAlign w:val="bottom"/>
          </w:tcPr>
          <w:p w14:paraId="28DCC8C3" w14:textId="77777777" w:rsidR="00231F08" w:rsidRDefault="004D5A79"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250</w:t>
            </w:r>
            <w:r w:rsidR="006231BC">
              <w:rPr>
                <w:rFonts w:ascii="Times New Roman" w:eastAsia="Calibri" w:hAnsi="Times New Roman" w:cs="Times New Roman"/>
                <w:sz w:val="26"/>
                <w:szCs w:val="26"/>
              </w:rPr>
              <w:t xml:space="preserve"> hrs.;</w:t>
            </w:r>
          </w:p>
          <w:p w14:paraId="7DB3BCF5" w14:textId="7ABC2978" w:rsidR="006231BC" w:rsidRPr="006231BC" w:rsidRDefault="006231BC" w:rsidP="006000B1">
            <w:pPr>
              <w:keepNext/>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$23,500</w:t>
            </w:r>
          </w:p>
        </w:tc>
        <w:tc>
          <w:tcPr>
            <w:tcW w:w="682" w:type="pct"/>
            <w:tcBorders>
              <w:top w:val="single" w:sz="4" w:space="0" w:color="auto"/>
              <w:left w:val="single" w:sz="4" w:space="0" w:color="auto"/>
              <w:bottom w:val="single" w:sz="4" w:space="0" w:color="auto"/>
              <w:right w:val="single" w:sz="4" w:space="0" w:color="auto"/>
            </w:tcBorders>
            <w:vAlign w:val="bottom"/>
          </w:tcPr>
          <w:p w14:paraId="11FEAF7F" w14:textId="76A1D496" w:rsidR="00A06080"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16,250 hrs.;</w:t>
            </w:r>
          </w:p>
          <w:p w14:paraId="736502C1" w14:textId="39656ECF" w:rsidR="00123EEA"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$1,527.500</w:t>
            </w:r>
          </w:p>
        </w:tc>
        <w:tc>
          <w:tcPr>
            <w:tcW w:w="735" w:type="pct"/>
            <w:tcBorders>
              <w:top w:val="single" w:sz="4" w:space="0" w:color="auto"/>
              <w:left w:val="single" w:sz="4" w:space="0" w:color="auto"/>
              <w:bottom w:val="single" w:sz="4" w:space="0" w:color="auto"/>
              <w:right w:val="single" w:sz="4" w:space="0" w:color="auto"/>
            </w:tcBorders>
            <w:vAlign w:val="bottom"/>
          </w:tcPr>
          <w:p w14:paraId="05279AC8" w14:textId="6A4A66FF" w:rsidR="00231F08"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$23,500</w:t>
            </w:r>
          </w:p>
        </w:tc>
      </w:tr>
      <w:tr w:rsidR="006D7699" w:rsidRPr="00231F08" w14:paraId="08C3AE2A" w14:textId="77777777" w:rsidTr="006D7699">
        <w:trPr>
          <w:cantSplit/>
          <w:jc w:val="right"/>
        </w:trPr>
        <w:tc>
          <w:tcPr>
            <w:tcW w:w="689" w:type="pct"/>
            <w:tcBorders>
              <w:top w:val="single" w:sz="4" w:space="0" w:color="auto"/>
              <w:left w:val="single" w:sz="4" w:space="0" w:color="auto"/>
              <w:bottom w:val="single" w:sz="4" w:space="0" w:color="auto"/>
              <w:right w:val="single" w:sz="4" w:space="0" w:color="auto"/>
            </w:tcBorders>
          </w:tcPr>
          <w:p w14:paraId="4DED46B0" w14:textId="729F5F18" w:rsidR="00231F08" w:rsidRPr="006231BC" w:rsidRDefault="00183A8C" w:rsidP="009D6D64">
            <w:pPr>
              <w:keepNext/>
              <w:spacing w:after="0" w:line="240" w:lineRule="auto"/>
              <w:rPr>
                <w:rFonts w:ascii="Times New Roman" w:eastAsia="Calibri" w:hAnsi="Times New Roman" w:cs="Times New Roman"/>
                <w:sz w:val="26"/>
                <w:szCs w:val="26"/>
              </w:rPr>
            </w:pPr>
            <w:r w:rsidRPr="006231BC">
              <w:rPr>
                <w:rFonts w:ascii="Times New Roman" w:eastAsia="Calibri" w:hAnsi="Times New Roman" w:cs="Times New Roman"/>
                <w:sz w:val="26"/>
                <w:szCs w:val="26"/>
              </w:rPr>
              <w:t>Appendix B addition to change in status reports</w:t>
            </w:r>
          </w:p>
        </w:tc>
        <w:tc>
          <w:tcPr>
            <w:tcW w:w="820" w:type="pct"/>
            <w:tcBorders>
              <w:top w:val="single" w:sz="4" w:space="0" w:color="auto"/>
              <w:left w:val="single" w:sz="4" w:space="0" w:color="auto"/>
              <w:bottom w:val="single" w:sz="4" w:space="0" w:color="auto"/>
              <w:right w:val="single" w:sz="4" w:space="0" w:color="auto"/>
            </w:tcBorders>
            <w:vAlign w:val="bottom"/>
          </w:tcPr>
          <w:p w14:paraId="22BDB4F7" w14:textId="432C81E1"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149</w:t>
            </w:r>
          </w:p>
        </w:tc>
        <w:tc>
          <w:tcPr>
            <w:tcW w:w="778" w:type="pct"/>
            <w:tcBorders>
              <w:top w:val="single" w:sz="4" w:space="0" w:color="auto"/>
              <w:left w:val="single" w:sz="4" w:space="0" w:color="auto"/>
              <w:bottom w:val="single" w:sz="4" w:space="0" w:color="auto"/>
              <w:right w:val="single" w:sz="4" w:space="0" w:color="auto"/>
            </w:tcBorders>
            <w:vAlign w:val="bottom"/>
          </w:tcPr>
          <w:p w14:paraId="62D43834" w14:textId="1D7F7493"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w:t>
            </w:r>
          </w:p>
        </w:tc>
        <w:tc>
          <w:tcPr>
            <w:tcW w:w="691" w:type="pct"/>
            <w:tcBorders>
              <w:top w:val="single" w:sz="4" w:space="0" w:color="auto"/>
              <w:left w:val="single" w:sz="4" w:space="0" w:color="auto"/>
              <w:bottom w:val="single" w:sz="4" w:space="0" w:color="auto"/>
              <w:right w:val="single" w:sz="4" w:space="0" w:color="auto"/>
            </w:tcBorders>
            <w:vAlign w:val="bottom"/>
          </w:tcPr>
          <w:p w14:paraId="027CFFE1" w14:textId="7AF7FF53" w:rsidR="00231F08" w:rsidRPr="006231BC" w:rsidRDefault="00A06080"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149</w:t>
            </w:r>
          </w:p>
        </w:tc>
        <w:tc>
          <w:tcPr>
            <w:tcW w:w="605" w:type="pct"/>
            <w:tcBorders>
              <w:top w:val="single" w:sz="4" w:space="0" w:color="auto"/>
              <w:left w:val="single" w:sz="4" w:space="0" w:color="auto"/>
              <w:bottom w:val="single" w:sz="4" w:space="0" w:color="auto"/>
              <w:right w:val="single" w:sz="4" w:space="0" w:color="auto"/>
            </w:tcBorders>
            <w:vAlign w:val="bottom"/>
          </w:tcPr>
          <w:p w14:paraId="744B6941" w14:textId="77777777" w:rsidR="00231F08" w:rsidRDefault="004D5A79" w:rsidP="006000B1">
            <w:pPr>
              <w:keepNext/>
              <w:spacing w:after="0" w:line="240" w:lineRule="auto"/>
              <w:jc w:val="center"/>
              <w:rPr>
                <w:rFonts w:ascii="Times New Roman" w:eastAsia="Calibri" w:hAnsi="Times New Roman" w:cs="Times New Roman"/>
                <w:sz w:val="26"/>
                <w:szCs w:val="26"/>
              </w:rPr>
            </w:pPr>
            <w:r w:rsidRPr="006231BC">
              <w:rPr>
                <w:rFonts w:ascii="Times New Roman" w:eastAsia="Calibri" w:hAnsi="Times New Roman" w:cs="Times New Roman"/>
                <w:sz w:val="26"/>
                <w:szCs w:val="26"/>
              </w:rPr>
              <w:t>49</w:t>
            </w:r>
            <w:r w:rsidR="006231BC">
              <w:rPr>
                <w:rFonts w:ascii="Times New Roman" w:eastAsia="Calibri" w:hAnsi="Times New Roman" w:cs="Times New Roman"/>
                <w:sz w:val="26"/>
                <w:szCs w:val="26"/>
              </w:rPr>
              <w:t xml:space="preserve"> hrs.;</w:t>
            </w:r>
          </w:p>
          <w:p w14:paraId="10711E2D" w14:textId="21D831D2" w:rsidR="006231BC" w:rsidRPr="006231BC" w:rsidRDefault="00123EEA" w:rsidP="006000B1">
            <w:pPr>
              <w:keepNext/>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00A65376">
              <w:rPr>
                <w:rFonts w:ascii="Times New Roman" w:eastAsia="Calibri" w:hAnsi="Times New Roman" w:cs="Times New Roman"/>
                <w:sz w:val="26"/>
                <w:szCs w:val="26"/>
              </w:rPr>
              <w:t>4,6</w:t>
            </w:r>
            <w:r>
              <w:rPr>
                <w:rFonts w:ascii="Times New Roman" w:eastAsia="Calibri" w:hAnsi="Times New Roman" w:cs="Times New Roman"/>
                <w:sz w:val="26"/>
                <w:szCs w:val="26"/>
              </w:rPr>
              <w:t>06</w:t>
            </w:r>
          </w:p>
        </w:tc>
        <w:tc>
          <w:tcPr>
            <w:tcW w:w="682" w:type="pct"/>
            <w:tcBorders>
              <w:top w:val="single" w:sz="4" w:space="0" w:color="auto"/>
              <w:left w:val="single" w:sz="4" w:space="0" w:color="auto"/>
              <w:bottom w:val="single" w:sz="4" w:space="0" w:color="auto"/>
              <w:right w:val="single" w:sz="4" w:space="0" w:color="auto"/>
            </w:tcBorders>
            <w:vAlign w:val="bottom"/>
          </w:tcPr>
          <w:p w14:paraId="0358DFD5" w14:textId="77777777" w:rsidR="00231F08"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7,301 hrs.;</w:t>
            </w:r>
          </w:p>
          <w:p w14:paraId="5E9F6A1B" w14:textId="37EDC3FB" w:rsidR="00123EEA" w:rsidRPr="00123EEA" w:rsidRDefault="00123EEA"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$686,294</w:t>
            </w:r>
          </w:p>
        </w:tc>
        <w:tc>
          <w:tcPr>
            <w:tcW w:w="735" w:type="pct"/>
            <w:tcBorders>
              <w:top w:val="single" w:sz="4" w:space="0" w:color="auto"/>
              <w:left w:val="single" w:sz="4" w:space="0" w:color="auto"/>
              <w:bottom w:val="single" w:sz="4" w:space="0" w:color="auto"/>
              <w:right w:val="single" w:sz="4" w:space="0" w:color="auto"/>
            </w:tcBorders>
            <w:vAlign w:val="bottom"/>
          </w:tcPr>
          <w:p w14:paraId="24B682C6" w14:textId="562448B9" w:rsidR="00231F08" w:rsidRPr="00123EEA" w:rsidRDefault="00A65376" w:rsidP="006000B1">
            <w:pPr>
              <w:keepNext/>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$4,606</w:t>
            </w:r>
          </w:p>
        </w:tc>
      </w:tr>
      <w:tr w:rsidR="00A65376" w:rsidRPr="00231F08" w14:paraId="4ACB7C33" w14:textId="77777777" w:rsidTr="00A65376">
        <w:trPr>
          <w:cantSplit/>
          <w:jc w:val="right"/>
        </w:trPr>
        <w:tc>
          <w:tcPr>
            <w:tcW w:w="689" w:type="pct"/>
          </w:tcPr>
          <w:p w14:paraId="55FD38A1" w14:textId="038F9FB0" w:rsidR="00A65376" w:rsidRPr="006231BC" w:rsidRDefault="00A65376" w:rsidP="009D6D64">
            <w:pPr>
              <w:keepNext/>
              <w:spacing w:after="0" w:line="240" w:lineRule="auto"/>
              <w:rPr>
                <w:rFonts w:ascii="Times New Roman" w:eastAsia="Calibri" w:hAnsi="Times New Roman" w:cs="Times New Roman"/>
                <w:b/>
                <w:sz w:val="26"/>
                <w:szCs w:val="26"/>
              </w:rPr>
            </w:pPr>
            <w:r w:rsidRPr="006231BC">
              <w:rPr>
                <w:rFonts w:ascii="Times New Roman" w:eastAsia="Calibri" w:hAnsi="Times New Roman" w:cs="Times New Roman"/>
                <w:b/>
                <w:sz w:val="26"/>
                <w:szCs w:val="26"/>
              </w:rPr>
              <w:t>Total</w:t>
            </w:r>
          </w:p>
        </w:tc>
        <w:tc>
          <w:tcPr>
            <w:tcW w:w="1598" w:type="pct"/>
            <w:gridSpan w:val="2"/>
            <w:shd w:val="clear" w:color="auto" w:fill="D9D9D9" w:themeFill="background1" w:themeFillShade="D9"/>
            <w:vAlign w:val="bottom"/>
          </w:tcPr>
          <w:p w14:paraId="342342CC" w14:textId="77777777" w:rsidR="00A65376" w:rsidRPr="006231BC" w:rsidRDefault="00A65376" w:rsidP="009D6D64">
            <w:pPr>
              <w:keepNext/>
              <w:spacing w:after="0" w:line="240" w:lineRule="auto"/>
              <w:jc w:val="right"/>
              <w:rPr>
                <w:rFonts w:ascii="Times New Roman" w:eastAsia="Calibri" w:hAnsi="Times New Roman" w:cs="Times New Roman"/>
                <w:sz w:val="26"/>
                <w:szCs w:val="26"/>
              </w:rPr>
            </w:pPr>
          </w:p>
        </w:tc>
        <w:tc>
          <w:tcPr>
            <w:tcW w:w="691" w:type="pct"/>
            <w:vAlign w:val="bottom"/>
          </w:tcPr>
          <w:p w14:paraId="47C66DE4" w14:textId="75805A0A" w:rsidR="00A65376" w:rsidRPr="006231BC" w:rsidRDefault="00A65376" w:rsidP="006000B1">
            <w:pPr>
              <w:keepNext/>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358</w:t>
            </w:r>
          </w:p>
        </w:tc>
        <w:tc>
          <w:tcPr>
            <w:tcW w:w="605" w:type="pct"/>
            <w:shd w:val="clear" w:color="auto" w:fill="D9D9D9" w:themeFill="background1" w:themeFillShade="D9"/>
            <w:vAlign w:val="bottom"/>
          </w:tcPr>
          <w:p w14:paraId="22729F3E" w14:textId="77777777" w:rsidR="00A65376" w:rsidRPr="006231BC" w:rsidRDefault="00A65376" w:rsidP="009D6D64">
            <w:pPr>
              <w:keepNext/>
              <w:spacing w:after="0" w:line="240" w:lineRule="auto"/>
              <w:jc w:val="right"/>
              <w:rPr>
                <w:rFonts w:ascii="Times New Roman" w:eastAsia="Calibri" w:hAnsi="Times New Roman" w:cs="Times New Roman"/>
                <w:sz w:val="26"/>
                <w:szCs w:val="26"/>
              </w:rPr>
            </w:pPr>
          </w:p>
        </w:tc>
        <w:tc>
          <w:tcPr>
            <w:tcW w:w="682" w:type="pct"/>
            <w:tcBorders>
              <w:top w:val="single" w:sz="4" w:space="0" w:color="auto"/>
              <w:left w:val="single" w:sz="4" w:space="0" w:color="auto"/>
              <w:bottom w:val="single" w:sz="4" w:space="0" w:color="auto"/>
              <w:right w:val="single" w:sz="4" w:space="0" w:color="auto"/>
            </w:tcBorders>
          </w:tcPr>
          <w:p w14:paraId="77647299" w14:textId="77777777" w:rsidR="00A65376" w:rsidRPr="00123EEA" w:rsidRDefault="00A65376"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59,551 hrs.;</w:t>
            </w:r>
          </w:p>
          <w:p w14:paraId="2253D814" w14:textId="3F1D3AF9" w:rsidR="00A65376" w:rsidRPr="00123EEA" w:rsidRDefault="00A65376" w:rsidP="006000B1">
            <w:pPr>
              <w:keepNext/>
              <w:spacing w:after="0" w:line="240" w:lineRule="auto"/>
              <w:jc w:val="center"/>
              <w:rPr>
                <w:rFonts w:ascii="Times New Roman" w:eastAsia="Calibri" w:hAnsi="Times New Roman" w:cs="Times New Roman"/>
                <w:sz w:val="26"/>
                <w:szCs w:val="26"/>
              </w:rPr>
            </w:pPr>
            <w:r w:rsidRPr="00123EEA">
              <w:rPr>
                <w:rFonts w:ascii="Times New Roman" w:eastAsia="Calibri" w:hAnsi="Times New Roman" w:cs="Times New Roman"/>
                <w:sz w:val="26"/>
                <w:szCs w:val="26"/>
              </w:rPr>
              <w:t>$5,597,794</w:t>
            </w: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46D8" w14:textId="77777777" w:rsidR="00A65376" w:rsidRPr="00123EEA" w:rsidRDefault="00A65376" w:rsidP="009D6D64">
            <w:pPr>
              <w:keepNext/>
              <w:spacing w:after="0" w:line="240" w:lineRule="auto"/>
              <w:jc w:val="right"/>
              <w:rPr>
                <w:rFonts w:ascii="Times New Roman" w:eastAsia="Calibri" w:hAnsi="Times New Roman" w:cs="Times New Roman"/>
                <w:sz w:val="26"/>
                <w:szCs w:val="26"/>
              </w:rPr>
            </w:pPr>
          </w:p>
        </w:tc>
      </w:tr>
    </w:tbl>
    <w:p w14:paraId="7B687F0D" w14:textId="638D4F04" w:rsidR="00231F08" w:rsidRPr="00231F08" w:rsidRDefault="00231F08" w:rsidP="00231F08">
      <w:pPr>
        <w:spacing w:after="0" w:line="480" w:lineRule="auto"/>
        <w:rPr>
          <w:rFonts w:ascii="Times New Roman" w:eastAsia="Times New Roman" w:hAnsi="Times New Roman" w:cs="Times New Roman"/>
          <w:sz w:val="26"/>
          <w:szCs w:val="24"/>
        </w:rPr>
      </w:pPr>
    </w:p>
    <w:p w14:paraId="72DEFD59" w14:textId="77777777" w:rsidR="00231F08" w:rsidRPr="00231F08" w:rsidRDefault="00231F08" w:rsidP="00231F08">
      <w:pPr>
        <w:spacing w:after="0" w:line="480" w:lineRule="auto"/>
        <w:rPr>
          <w:rFonts w:ascii="Times New Roman" w:eastAsia="Times New Roman" w:hAnsi="Times New Roman" w:cs="Times New Roman"/>
          <w:sz w:val="26"/>
          <w:szCs w:val="24"/>
        </w:rPr>
      </w:pPr>
      <w:r w:rsidRPr="00231F08">
        <w:rPr>
          <w:rFonts w:ascii="Times New Roman" w:eastAsia="Times New Roman" w:hAnsi="Times New Roman" w:cs="Times New Roman"/>
          <w:i/>
          <w:sz w:val="26"/>
          <w:szCs w:val="24"/>
        </w:rPr>
        <w:t xml:space="preserve">Comments:  </w:t>
      </w:r>
      <w:r w:rsidRPr="00231F08">
        <w:rPr>
          <w:rFonts w:ascii="Times New Roman" w:eastAsia="Times New Roman" w:hAnsi="Times New Roman" w:cs="Times New Roman"/>
          <w:sz w:val="26"/>
          <w:szCs w:val="24"/>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6FAA2143" w14:textId="77777777" w:rsidR="00231F08" w:rsidRPr="00231F08" w:rsidRDefault="00231F08" w:rsidP="00231F08">
      <w:pPr>
        <w:spacing w:after="0" w:line="240" w:lineRule="auto"/>
        <w:rPr>
          <w:rFonts w:ascii="Times New Roman" w:eastAsia="Times New Roman" w:hAnsi="Times New Roman" w:cs="Times New Roman"/>
          <w:sz w:val="26"/>
          <w:szCs w:val="24"/>
        </w:rPr>
      </w:pPr>
    </w:p>
    <w:p w14:paraId="6CCAF0C3" w14:textId="77777777" w:rsidR="00231F08" w:rsidRPr="00231F08" w:rsidRDefault="00231F08" w:rsidP="00231F08">
      <w:pPr>
        <w:spacing w:after="0" w:line="240" w:lineRule="auto"/>
        <w:rPr>
          <w:rFonts w:ascii="Times New Roman" w:eastAsia="Times New Roman" w:hAnsi="Times New Roman" w:cs="Times New Roman"/>
          <w:sz w:val="26"/>
          <w:szCs w:val="24"/>
        </w:rPr>
      </w:pPr>
    </w:p>
    <w:p w14:paraId="4083588F" w14:textId="77777777" w:rsidR="00231F08" w:rsidRPr="00231F08" w:rsidRDefault="00231F08" w:rsidP="00231F08">
      <w:pPr>
        <w:spacing w:after="0" w:line="240" w:lineRule="auto"/>
        <w:ind w:firstLine="2174"/>
        <w:jc w:val="center"/>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Kimberly D. Bose,</w:t>
      </w:r>
    </w:p>
    <w:p w14:paraId="09E93933" w14:textId="77777777" w:rsidR="00231F08" w:rsidRPr="00231F08" w:rsidRDefault="00231F08" w:rsidP="00231F08">
      <w:pPr>
        <w:spacing w:after="0" w:line="240" w:lineRule="auto"/>
        <w:ind w:firstLine="2174"/>
        <w:jc w:val="center"/>
        <w:rPr>
          <w:rFonts w:ascii="Times New Roman" w:eastAsia="Times New Roman" w:hAnsi="Times New Roman" w:cs="Times New Roman"/>
          <w:sz w:val="26"/>
          <w:szCs w:val="24"/>
        </w:rPr>
      </w:pPr>
      <w:r w:rsidRPr="00231F08">
        <w:rPr>
          <w:rFonts w:ascii="Times New Roman" w:eastAsia="Times New Roman" w:hAnsi="Times New Roman" w:cs="Times New Roman"/>
          <w:sz w:val="26"/>
          <w:szCs w:val="24"/>
        </w:rPr>
        <w:t>Secretary.</w:t>
      </w:r>
    </w:p>
    <w:p w14:paraId="5344056F" w14:textId="77777777" w:rsidR="00B705F5" w:rsidRPr="00231F08" w:rsidRDefault="00B705F5">
      <w:pPr>
        <w:rPr>
          <w:rFonts w:ascii="Times New Roman" w:hAnsi="Times New Roman" w:cs="Times New Roman"/>
          <w:sz w:val="26"/>
          <w:szCs w:val="26"/>
        </w:rPr>
      </w:pPr>
    </w:p>
    <w:sectPr w:rsidR="00B705F5" w:rsidRPr="00231F08" w:rsidSect="00D9176E">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7852" w14:textId="77777777" w:rsidR="00CB50CF" w:rsidRDefault="00CB50CF" w:rsidP="00231F08">
      <w:pPr>
        <w:spacing w:after="0" w:line="240" w:lineRule="auto"/>
      </w:pPr>
      <w:r>
        <w:separator/>
      </w:r>
    </w:p>
  </w:endnote>
  <w:endnote w:type="continuationSeparator" w:id="0">
    <w:p w14:paraId="0D9C1C31" w14:textId="77777777" w:rsidR="00CB50CF" w:rsidRDefault="00CB50CF" w:rsidP="00231F08">
      <w:pPr>
        <w:spacing w:after="0" w:line="240" w:lineRule="auto"/>
      </w:pPr>
      <w:r>
        <w:continuationSeparator/>
      </w:r>
    </w:p>
  </w:endnote>
  <w:endnote w:type="continuationNotice" w:id="1">
    <w:p w14:paraId="41C6335E" w14:textId="77777777" w:rsidR="00CB50CF" w:rsidRDefault="00CB5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8EEB" w14:textId="77777777" w:rsidR="00CB50CF" w:rsidRDefault="00CB50CF" w:rsidP="00231F08">
      <w:pPr>
        <w:spacing w:after="0" w:line="240" w:lineRule="auto"/>
      </w:pPr>
      <w:r>
        <w:separator/>
      </w:r>
    </w:p>
  </w:footnote>
  <w:footnote w:type="continuationSeparator" w:id="0">
    <w:p w14:paraId="733C2DB1" w14:textId="77777777" w:rsidR="00CB50CF" w:rsidRDefault="00CB50CF" w:rsidP="00231F08">
      <w:pPr>
        <w:spacing w:after="0" w:line="240" w:lineRule="auto"/>
      </w:pPr>
      <w:r>
        <w:continuationSeparator/>
      </w:r>
    </w:p>
  </w:footnote>
  <w:footnote w:type="continuationNotice" w:id="1">
    <w:p w14:paraId="4E0989F1" w14:textId="77777777" w:rsidR="00CB50CF" w:rsidRDefault="00CB50CF">
      <w:pPr>
        <w:spacing w:after="0" w:line="240" w:lineRule="auto"/>
      </w:pPr>
    </w:p>
  </w:footnote>
  <w:footnote w:id="2">
    <w:p w14:paraId="1D279109" w14:textId="4B0CA90B" w:rsidR="00D9176E" w:rsidRPr="009D6D64" w:rsidRDefault="00D9176E" w:rsidP="0061040C">
      <w:pPr>
        <w:pStyle w:val="FootnoteText"/>
        <w:rPr>
          <w:rFonts w:ascii="Times New Roman" w:hAnsi="Times New Roman" w:cs="Times New Roman"/>
          <w:sz w:val="26"/>
          <w:szCs w:val="26"/>
        </w:rPr>
      </w:pPr>
      <w:r w:rsidRPr="00B63FE4">
        <w:rPr>
          <w:rStyle w:val="FootnoteReference"/>
          <w:rFonts w:cs="Times New Roman"/>
        </w:rPr>
        <w:footnoteRef/>
      </w:r>
      <w:r w:rsidRPr="009D6D64">
        <w:rPr>
          <w:rFonts w:ascii="Times New Roman" w:hAnsi="Times New Roman" w:cs="Times New Roman"/>
        </w:rPr>
        <w:t xml:space="preserve"> </w:t>
      </w:r>
      <w:r w:rsidRPr="009D6D64">
        <w:rPr>
          <w:rFonts w:ascii="Times New Roman" w:hAnsi="Times New Roman" w:cs="Times New Roman"/>
          <w:sz w:val="26"/>
          <w:szCs w:val="26"/>
        </w:rPr>
        <w:t>Market-Based Rates for Wholesale Sales of Electric Energy, Capacity and Ancillary Services by Public Utilities, Order No. 697, 72 FR 39904 (Jul. 20, 2007), FERC Stats. &amp; Regs. ¶ 31,252 (2007) (Final Rule).</w:t>
      </w:r>
    </w:p>
  </w:footnote>
  <w:footnote w:id="3">
    <w:p w14:paraId="5AB4010E" w14:textId="11156465" w:rsidR="00D9176E" w:rsidRPr="009D6D64" w:rsidRDefault="00D9176E" w:rsidP="00B63FE4">
      <w:pPr>
        <w:pStyle w:val="FootnoteText"/>
        <w:rPr>
          <w:rFonts w:ascii="Times New Roman" w:hAnsi="Times New Roman" w:cs="Times New Roman"/>
          <w:sz w:val="26"/>
          <w:szCs w:val="26"/>
        </w:rPr>
      </w:pPr>
      <w:r w:rsidRPr="00856BFE">
        <w:rPr>
          <w:rStyle w:val="FootnoteReference"/>
          <w:rFonts w:cs="Times New Roman"/>
        </w:rPr>
        <w:footnoteRef/>
      </w:r>
      <w:r w:rsidRPr="000503B2">
        <w:rPr>
          <w:rFonts w:ascii="Times New Roman" w:hAnsi="Times New Roman" w:cs="Times New Roman"/>
          <w:sz w:val="26"/>
          <w:szCs w:val="26"/>
        </w:rPr>
        <w:t xml:space="preserve"> </w:t>
      </w:r>
      <w:r w:rsidR="000503B2">
        <w:rPr>
          <w:rFonts w:ascii="Times New Roman" w:hAnsi="Times New Roman" w:cs="Times New Roman"/>
          <w:sz w:val="26"/>
          <w:szCs w:val="26"/>
        </w:rPr>
        <w:t>A part of t</w:t>
      </w:r>
      <w:r w:rsidRPr="000503B2">
        <w:rPr>
          <w:rFonts w:ascii="Times New Roman" w:hAnsi="Times New Roman" w:cs="Times New Roman"/>
          <w:sz w:val="26"/>
          <w:szCs w:val="26"/>
        </w:rPr>
        <w:t>he associated b</w:t>
      </w:r>
      <w:r w:rsidRPr="00856BFE">
        <w:rPr>
          <w:rFonts w:ascii="Times New Roman" w:hAnsi="Times New Roman" w:cs="Times New Roman"/>
          <w:sz w:val="26"/>
          <w:szCs w:val="26"/>
        </w:rPr>
        <w:t>urden</w:t>
      </w:r>
      <w:r w:rsidRPr="009D6D64">
        <w:rPr>
          <w:rFonts w:ascii="Times New Roman" w:hAnsi="Times New Roman" w:cs="Times New Roman"/>
          <w:sz w:val="26"/>
          <w:szCs w:val="26"/>
        </w:rPr>
        <w:t xml:space="preserve"> </w:t>
      </w:r>
      <w:r>
        <w:rPr>
          <w:rFonts w:ascii="Times New Roman" w:hAnsi="Times New Roman" w:cs="Times New Roman"/>
          <w:sz w:val="26"/>
          <w:szCs w:val="26"/>
        </w:rPr>
        <w:t xml:space="preserve">is </w:t>
      </w:r>
      <w:r w:rsidRPr="009D6D64">
        <w:rPr>
          <w:rFonts w:ascii="Times New Roman" w:hAnsi="Times New Roman" w:cs="Times New Roman"/>
          <w:sz w:val="26"/>
          <w:szCs w:val="26"/>
        </w:rPr>
        <w:t xml:space="preserve">reported separately in information collections FERC–516 (OMB Control </w:t>
      </w:r>
      <w:r w:rsidR="000503B2">
        <w:rPr>
          <w:rFonts w:ascii="Times New Roman" w:hAnsi="Times New Roman" w:cs="Times New Roman"/>
          <w:sz w:val="26"/>
          <w:szCs w:val="26"/>
        </w:rPr>
        <w:t>Number: 1902–0096)</w:t>
      </w:r>
    </w:p>
  </w:footnote>
  <w:footnote w:id="4">
    <w:p w14:paraId="07DD3148" w14:textId="479796E9" w:rsidR="00D9176E" w:rsidRPr="009D6D64" w:rsidRDefault="00D9176E">
      <w:pPr>
        <w:pStyle w:val="FootnoteText"/>
        <w:rPr>
          <w:rFonts w:ascii="Times New Roman" w:hAnsi="Times New Roman" w:cs="Times New Roman"/>
          <w:sz w:val="26"/>
          <w:szCs w:val="26"/>
        </w:rPr>
      </w:pPr>
      <w:r>
        <w:rPr>
          <w:rStyle w:val="FootnoteReference"/>
        </w:rPr>
        <w:footnoteRef/>
      </w:r>
      <w:r>
        <w:t xml:space="preserve"> </w:t>
      </w:r>
      <w:r w:rsidRPr="009D6D64">
        <w:rPr>
          <w:rFonts w:ascii="Times New Roman" w:hAnsi="Times New Roman" w:cs="Times New Roman"/>
          <w:sz w:val="26"/>
          <w:szCs w:val="26"/>
        </w:rPr>
        <w:t>See Subpart H, Appendix B for standard form.</w:t>
      </w:r>
    </w:p>
  </w:footnote>
  <w:footnote w:id="5">
    <w:p w14:paraId="65BFF9E5" w14:textId="77777777" w:rsidR="00D9176E" w:rsidRPr="00183A8C" w:rsidRDefault="00D9176E" w:rsidP="00A15903">
      <w:pPr>
        <w:pStyle w:val="FootnoteText"/>
        <w:rPr>
          <w:rFonts w:ascii="Times New Roman" w:hAnsi="Times New Roman" w:cs="Times New Roman"/>
          <w:sz w:val="26"/>
          <w:szCs w:val="26"/>
        </w:rPr>
      </w:pPr>
      <w:r w:rsidRPr="006536D8">
        <w:rPr>
          <w:rStyle w:val="FootnoteReference"/>
        </w:rPr>
        <w:footnoteRef/>
      </w:r>
      <w:r w:rsidRPr="006536D8">
        <w:rPr>
          <w:sz w:val="26"/>
          <w:szCs w:val="26"/>
        </w:rPr>
        <w:t xml:space="preserve"> </w:t>
      </w:r>
      <w:r w:rsidRPr="00183A8C">
        <w:rPr>
          <w:rFonts w:ascii="Times New Roman" w:hAnsi="Times New Roman" w:cs="Times New Roman"/>
          <w:sz w:val="26"/>
          <w:szCs w:val="26"/>
        </w:rPr>
        <w:t>“Burden”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6">
    <w:p w14:paraId="77EBB078" w14:textId="4C9FA7CF" w:rsidR="00D9176E" w:rsidRDefault="00D9176E" w:rsidP="004D5A79">
      <w:pPr>
        <w:pStyle w:val="FootnoteText"/>
        <w:rPr>
          <w:rFonts w:ascii="Times New Roman" w:hAnsi="Times New Roman" w:cs="Times New Roman"/>
          <w:sz w:val="26"/>
          <w:szCs w:val="26"/>
        </w:rPr>
      </w:pPr>
      <w:r w:rsidRPr="00183A8C">
        <w:rPr>
          <w:rStyle w:val="FootnoteReference"/>
          <w:rFonts w:cs="Times New Roman"/>
        </w:rPr>
        <w:footnoteRef/>
      </w:r>
      <w:r w:rsidRPr="00183A8C">
        <w:rPr>
          <w:rFonts w:ascii="Times New Roman" w:hAnsi="Times New Roman" w:cs="Times New Roman"/>
          <w:sz w:val="26"/>
          <w:szCs w:val="26"/>
        </w:rPr>
        <w:t xml:space="preserve"> </w:t>
      </w:r>
      <w:r>
        <w:rPr>
          <w:rFonts w:ascii="Times New Roman" w:hAnsi="Times New Roman" w:cs="Times New Roman"/>
          <w:sz w:val="26"/>
          <w:szCs w:val="26"/>
        </w:rPr>
        <w:t>The estimated hourly c</w:t>
      </w:r>
      <w:r w:rsidRPr="00183A8C">
        <w:rPr>
          <w:rFonts w:ascii="Times New Roman" w:hAnsi="Times New Roman" w:cs="Times New Roman"/>
          <w:sz w:val="26"/>
          <w:szCs w:val="26"/>
        </w:rPr>
        <w:t xml:space="preserve">osts (for wages and benefits) </w:t>
      </w:r>
      <w:r>
        <w:rPr>
          <w:rFonts w:ascii="Times New Roman" w:hAnsi="Times New Roman" w:cs="Times New Roman"/>
          <w:sz w:val="26"/>
          <w:szCs w:val="26"/>
        </w:rPr>
        <w:t xml:space="preserve">provided in this section are based on the figures for May 2017 posted by </w:t>
      </w:r>
      <w:r w:rsidRPr="00183A8C">
        <w:rPr>
          <w:rFonts w:ascii="Times New Roman" w:hAnsi="Times New Roman" w:cs="Times New Roman"/>
          <w:sz w:val="26"/>
          <w:szCs w:val="26"/>
        </w:rPr>
        <w:t xml:space="preserve"> the Bureau of Labor Statistics (BLS)</w:t>
      </w:r>
      <w:r>
        <w:rPr>
          <w:rFonts w:ascii="Times New Roman" w:hAnsi="Times New Roman" w:cs="Times New Roman"/>
          <w:sz w:val="26"/>
          <w:szCs w:val="26"/>
        </w:rPr>
        <w:t xml:space="preserve"> for the Utilities section available</w:t>
      </w:r>
      <w:r w:rsidRPr="00183A8C">
        <w:rPr>
          <w:rFonts w:ascii="Times New Roman" w:hAnsi="Times New Roman" w:cs="Times New Roman"/>
          <w:sz w:val="26"/>
          <w:szCs w:val="26"/>
        </w:rPr>
        <w:t xml:space="preserve"> (at </w:t>
      </w:r>
      <w:hyperlink r:id="rId1" w:history="1">
        <w:r w:rsidRPr="00183A8C">
          <w:rPr>
            <w:rStyle w:val="Hyperlink"/>
            <w:rFonts w:ascii="Times New Roman" w:hAnsi="Times New Roman" w:cs="Times New Roman"/>
            <w:sz w:val="26"/>
            <w:szCs w:val="26"/>
          </w:rPr>
          <w:t>https://www.bls.gov/oes/current/naics2_22.htm</w:t>
        </w:r>
      </w:hyperlink>
      <w:r w:rsidRPr="00183A8C">
        <w:rPr>
          <w:rFonts w:ascii="Times New Roman" w:hAnsi="Times New Roman" w:cs="Times New Roman"/>
          <w:sz w:val="26"/>
          <w:szCs w:val="26"/>
        </w:rPr>
        <w:t xml:space="preserve">) and benefits information (for December 2017, issued March 20, 2018, at https://www.bls.gov/news.release/ecec.nr0.htm).  </w:t>
      </w:r>
      <w:r>
        <w:rPr>
          <w:rFonts w:ascii="Times New Roman" w:hAnsi="Times New Roman" w:cs="Times New Roman"/>
          <w:sz w:val="26"/>
          <w:szCs w:val="26"/>
        </w:rPr>
        <w:t xml:space="preserve">The hourly estimates for salary plus benefits are: </w:t>
      </w:r>
    </w:p>
    <w:p w14:paraId="04058CF7" w14:textId="6A4BA8E2" w:rsidR="00D9176E" w:rsidRDefault="00D9176E" w:rsidP="000503B2">
      <w:pPr>
        <w:pStyle w:val="FootnoteText"/>
        <w:ind w:left="720"/>
        <w:rPr>
          <w:rFonts w:ascii="Times New Roman" w:hAnsi="Times New Roman" w:cs="Times New Roman"/>
          <w:sz w:val="26"/>
          <w:szCs w:val="26"/>
        </w:rPr>
      </w:pPr>
      <w:r>
        <w:rPr>
          <w:rFonts w:ascii="Times New Roman" w:hAnsi="Times New Roman" w:cs="Times New Roman"/>
          <w:sz w:val="26"/>
          <w:szCs w:val="26"/>
        </w:rPr>
        <w:t xml:space="preserve">-Economist (Occupation Code: 19-3011), $71.98 </w:t>
      </w:r>
    </w:p>
    <w:p w14:paraId="13893878" w14:textId="739AE34E" w:rsidR="00D9176E" w:rsidRDefault="00D9176E" w:rsidP="000503B2">
      <w:pPr>
        <w:pStyle w:val="FootnoteText"/>
        <w:ind w:left="720"/>
        <w:rPr>
          <w:rFonts w:ascii="Times New Roman" w:hAnsi="Times New Roman" w:cs="Times New Roman"/>
          <w:sz w:val="26"/>
          <w:szCs w:val="26"/>
        </w:rPr>
      </w:pPr>
      <w:r>
        <w:rPr>
          <w:rFonts w:ascii="Times New Roman" w:hAnsi="Times New Roman" w:cs="Times New Roman"/>
          <w:sz w:val="26"/>
          <w:szCs w:val="26"/>
        </w:rPr>
        <w:t xml:space="preserve">-Electrical Engineers (Occupation Code: 17-2071), $66.90 </w:t>
      </w:r>
    </w:p>
    <w:p w14:paraId="5D96B4D9" w14:textId="180F152F" w:rsidR="00D9176E" w:rsidRDefault="00D9176E" w:rsidP="000503B2">
      <w:pPr>
        <w:pStyle w:val="FootnoteText"/>
        <w:ind w:left="720"/>
        <w:rPr>
          <w:rFonts w:ascii="Times New Roman" w:hAnsi="Times New Roman" w:cs="Times New Roman"/>
          <w:sz w:val="26"/>
          <w:szCs w:val="26"/>
        </w:rPr>
      </w:pPr>
      <w:r>
        <w:rPr>
          <w:rFonts w:ascii="Times New Roman" w:hAnsi="Times New Roman" w:cs="Times New Roman"/>
          <w:sz w:val="26"/>
          <w:szCs w:val="26"/>
        </w:rPr>
        <w:t>-Lawyers (Occupation Code: 23-0000), $143.68</w:t>
      </w:r>
    </w:p>
    <w:p w14:paraId="730FCF02" w14:textId="69B58135" w:rsidR="00D9176E" w:rsidRPr="00183A8C" w:rsidRDefault="00D9176E" w:rsidP="004D5A79">
      <w:pPr>
        <w:pStyle w:val="FootnoteText"/>
        <w:rPr>
          <w:rFonts w:ascii="Times New Roman" w:hAnsi="Times New Roman" w:cs="Times New Roman"/>
          <w:sz w:val="26"/>
          <w:szCs w:val="26"/>
        </w:rPr>
      </w:pPr>
      <w:r>
        <w:rPr>
          <w:rFonts w:ascii="Times New Roman" w:hAnsi="Times New Roman" w:cs="Times New Roman"/>
          <w:sz w:val="26"/>
          <w:szCs w:val="26"/>
        </w:rPr>
        <w:t>The average hourly cost (salary plus benefits), weighing all of these skill sets evenly, is $94.</w:t>
      </w:r>
      <w:r w:rsidRPr="000503B2">
        <w:rPr>
          <w:rFonts w:ascii="Times New Roman" w:hAnsi="Times New Roman" w:cs="Times New Roman"/>
          <w:sz w:val="26"/>
          <w:szCs w:val="26"/>
        </w:rPr>
        <w:t>1</w:t>
      </w:r>
      <w:r w:rsidR="000503B2">
        <w:rPr>
          <w:rFonts w:ascii="Times New Roman" w:hAnsi="Times New Roman" w:cs="Times New Roman"/>
          <w:sz w:val="26"/>
          <w:szCs w:val="26"/>
        </w:rPr>
        <w:t>8</w:t>
      </w:r>
      <w:r>
        <w:rPr>
          <w:rFonts w:ascii="Times New Roman" w:hAnsi="Times New Roman" w:cs="Times New Roman"/>
          <w:sz w:val="26"/>
          <w:szCs w:val="26"/>
        </w:rPr>
        <w:t>. The Commission rounds it down to $94/hour.</w:t>
      </w:r>
    </w:p>
    <w:p w14:paraId="79A4C969" w14:textId="5A1739E8" w:rsidR="00D9176E" w:rsidRDefault="00D9176E" w:rsidP="00A159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F236" w14:textId="4B430E5E" w:rsidR="00D9176E" w:rsidRDefault="00D9176E" w:rsidP="00D9176E">
    <w:pPr>
      <w:pStyle w:val="Header"/>
    </w:pPr>
    <w:r w:rsidRPr="009D6D64">
      <w:t>Docket No. IC18-20-000</w:t>
    </w:r>
    <w:r>
      <w:tab/>
    </w:r>
    <w:sdt>
      <w:sdtPr>
        <w:id w:val="1515886245"/>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0A5084">
          <w:rPr>
            <w:noProof/>
          </w:rPr>
          <w:t>2</w:t>
        </w:r>
        <w:r>
          <w:rPr>
            <w:noProof/>
          </w:rPr>
          <w:fldChar w:fldCharType="end"/>
        </w:r>
      </w:sdtContent>
    </w:sdt>
  </w:p>
  <w:p w14:paraId="2284DB62" w14:textId="77777777" w:rsidR="00D9176E" w:rsidRDefault="00D91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80" w:hanging="183"/>
      </w:pPr>
      <w:rPr>
        <w:rFonts w:ascii="Symbol" w:hAnsi="Symbol" w:cs="Symbol"/>
        <w:b w:val="0"/>
        <w:bCs w:val="0"/>
        <w:sz w:val="18"/>
        <w:szCs w:val="18"/>
      </w:rPr>
    </w:lvl>
    <w:lvl w:ilvl="1">
      <w:numFmt w:val="bullet"/>
      <w:lvlText w:val="•"/>
      <w:lvlJc w:val="left"/>
      <w:pPr>
        <w:ind w:left="497" w:hanging="183"/>
      </w:pPr>
    </w:lvl>
    <w:lvl w:ilvl="2">
      <w:numFmt w:val="bullet"/>
      <w:lvlText w:val="•"/>
      <w:lvlJc w:val="left"/>
      <w:pPr>
        <w:ind w:left="815" w:hanging="183"/>
      </w:pPr>
    </w:lvl>
    <w:lvl w:ilvl="3">
      <w:numFmt w:val="bullet"/>
      <w:lvlText w:val="•"/>
      <w:lvlJc w:val="left"/>
      <w:pPr>
        <w:ind w:left="1132" w:hanging="183"/>
      </w:pPr>
    </w:lvl>
    <w:lvl w:ilvl="4">
      <w:numFmt w:val="bullet"/>
      <w:lvlText w:val="•"/>
      <w:lvlJc w:val="left"/>
      <w:pPr>
        <w:ind w:left="1450" w:hanging="183"/>
      </w:pPr>
    </w:lvl>
    <w:lvl w:ilvl="5">
      <w:numFmt w:val="bullet"/>
      <w:lvlText w:val="•"/>
      <w:lvlJc w:val="left"/>
      <w:pPr>
        <w:ind w:left="1768" w:hanging="183"/>
      </w:pPr>
    </w:lvl>
    <w:lvl w:ilvl="6">
      <w:numFmt w:val="bullet"/>
      <w:lvlText w:val="•"/>
      <w:lvlJc w:val="left"/>
      <w:pPr>
        <w:ind w:left="2085" w:hanging="183"/>
      </w:pPr>
    </w:lvl>
    <w:lvl w:ilvl="7">
      <w:numFmt w:val="bullet"/>
      <w:lvlText w:val="•"/>
      <w:lvlJc w:val="left"/>
      <w:pPr>
        <w:ind w:left="2403" w:hanging="183"/>
      </w:pPr>
    </w:lvl>
    <w:lvl w:ilvl="8">
      <w:numFmt w:val="bullet"/>
      <w:lvlText w:val="•"/>
      <w:lvlJc w:val="left"/>
      <w:pPr>
        <w:ind w:left="2721" w:hanging="183"/>
      </w:p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4387D0C"/>
    <w:multiLevelType w:val="hybridMultilevel"/>
    <w:tmpl w:val="2162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386B50"/>
    <w:multiLevelType w:val="hybridMultilevel"/>
    <w:tmpl w:val="E1F0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067D2F"/>
    <w:multiLevelType w:val="hybridMultilevel"/>
    <w:tmpl w:val="27F8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08"/>
    <w:rsid w:val="00016EC2"/>
    <w:rsid w:val="00023199"/>
    <w:rsid w:val="00036F1C"/>
    <w:rsid w:val="000503B2"/>
    <w:rsid w:val="00054AB0"/>
    <w:rsid w:val="00066202"/>
    <w:rsid w:val="000A5084"/>
    <w:rsid w:val="00106ED7"/>
    <w:rsid w:val="00123EEA"/>
    <w:rsid w:val="0012461F"/>
    <w:rsid w:val="001412C2"/>
    <w:rsid w:val="0017286F"/>
    <w:rsid w:val="001745F7"/>
    <w:rsid w:val="00183A8C"/>
    <w:rsid w:val="001B2DC1"/>
    <w:rsid w:val="001C3948"/>
    <w:rsid w:val="00224E9B"/>
    <w:rsid w:val="00231F08"/>
    <w:rsid w:val="0031407F"/>
    <w:rsid w:val="00360083"/>
    <w:rsid w:val="003B38F0"/>
    <w:rsid w:val="003C60FC"/>
    <w:rsid w:val="003C6423"/>
    <w:rsid w:val="00410556"/>
    <w:rsid w:val="00436D96"/>
    <w:rsid w:val="0049275C"/>
    <w:rsid w:val="004D5A79"/>
    <w:rsid w:val="00507B7D"/>
    <w:rsid w:val="00565D0E"/>
    <w:rsid w:val="006000B1"/>
    <w:rsid w:val="006005BF"/>
    <w:rsid w:val="006076A6"/>
    <w:rsid w:val="0061040C"/>
    <w:rsid w:val="006231BC"/>
    <w:rsid w:val="0066057E"/>
    <w:rsid w:val="006A4D06"/>
    <w:rsid w:val="006D7699"/>
    <w:rsid w:val="00727F01"/>
    <w:rsid w:val="00767ED4"/>
    <w:rsid w:val="00777AAA"/>
    <w:rsid w:val="0079053D"/>
    <w:rsid w:val="007B0F1A"/>
    <w:rsid w:val="007D7CA2"/>
    <w:rsid w:val="00856BFE"/>
    <w:rsid w:val="008C0064"/>
    <w:rsid w:val="008C1C57"/>
    <w:rsid w:val="008F1A2E"/>
    <w:rsid w:val="009147A2"/>
    <w:rsid w:val="009D6D64"/>
    <w:rsid w:val="00A06080"/>
    <w:rsid w:val="00A15903"/>
    <w:rsid w:val="00A65376"/>
    <w:rsid w:val="00A75902"/>
    <w:rsid w:val="00A9646E"/>
    <w:rsid w:val="00AC7510"/>
    <w:rsid w:val="00B63FE4"/>
    <w:rsid w:val="00B705F5"/>
    <w:rsid w:val="00C56293"/>
    <w:rsid w:val="00CB50CF"/>
    <w:rsid w:val="00D36FAE"/>
    <w:rsid w:val="00D41997"/>
    <w:rsid w:val="00D70171"/>
    <w:rsid w:val="00D9176E"/>
    <w:rsid w:val="00DD5C68"/>
    <w:rsid w:val="00DF126C"/>
    <w:rsid w:val="00DF195A"/>
    <w:rsid w:val="00E003B9"/>
    <w:rsid w:val="00E02058"/>
    <w:rsid w:val="00E0493B"/>
    <w:rsid w:val="00E2301E"/>
    <w:rsid w:val="00E4200B"/>
    <w:rsid w:val="00EA1122"/>
    <w:rsid w:val="00F2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F08"/>
    <w:pPr>
      <w:spacing w:after="0" w:line="240" w:lineRule="auto"/>
    </w:pPr>
    <w:rPr>
      <w:sz w:val="20"/>
      <w:szCs w:val="20"/>
    </w:rPr>
  </w:style>
  <w:style w:type="character" w:customStyle="1" w:styleId="FootnoteTextChar">
    <w:name w:val="Footnote Text Char"/>
    <w:basedOn w:val="DefaultParagraphFont"/>
    <w:link w:val="FootnoteText"/>
    <w:uiPriority w:val="99"/>
    <w:rsid w:val="00231F08"/>
    <w:rPr>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231F08"/>
    <w:rPr>
      <w:rFonts w:ascii="Times New Roman" w:hAnsi="Times New Roman"/>
      <w:b/>
      <w:sz w:val="26"/>
      <w:szCs w:val="26"/>
      <w:vertAlign w:val="superscript"/>
    </w:rPr>
  </w:style>
  <w:style w:type="character" w:styleId="Hyperlink">
    <w:name w:val="Hyperlink"/>
    <w:rsid w:val="00231F08"/>
    <w:rPr>
      <w:color w:val="0000FF"/>
      <w:u w:val="single"/>
    </w:rPr>
  </w:style>
  <w:style w:type="character" w:styleId="CommentReference">
    <w:name w:val="annotation reference"/>
    <w:basedOn w:val="DefaultParagraphFont"/>
    <w:uiPriority w:val="99"/>
    <w:semiHidden/>
    <w:unhideWhenUsed/>
    <w:rsid w:val="00231F08"/>
    <w:rPr>
      <w:sz w:val="16"/>
      <w:szCs w:val="16"/>
    </w:rPr>
  </w:style>
  <w:style w:type="paragraph" w:styleId="CommentText">
    <w:name w:val="annotation text"/>
    <w:basedOn w:val="Normal"/>
    <w:link w:val="CommentTextChar"/>
    <w:uiPriority w:val="99"/>
    <w:semiHidden/>
    <w:unhideWhenUsed/>
    <w:rsid w:val="00231F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31F0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31F08"/>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231F08"/>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231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1F0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1F08"/>
    <w:rPr>
      <w:rFonts w:ascii="Times New Roman" w:eastAsia="Times New Roman" w:hAnsi="Times New Roman" w:cs="Times New Roman"/>
      <w:b/>
      <w:bCs/>
      <w:sz w:val="20"/>
      <w:szCs w:val="20"/>
    </w:rPr>
  </w:style>
  <w:style w:type="paragraph" w:styleId="ListParagraph">
    <w:name w:val="List Paragraph"/>
    <w:basedOn w:val="Normal"/>
    <w:uiPriority w:val="34"/>
    <w:qFormat/>
    <w:rsid w:val="0061040C"/>
    <w:pPr>
      <w:ind w:left="720"/>
      <w:contextualSpacing/>
    </w:pPr>
  </w:style>
  <w:style w:type="paragraph" w:styleId="Footer">
    <w:name w:val="footer"/>
    <w:basedOn w:val="Normal"/>
    <w:link w:val="FooterChar"/>
    <w:uiPriority w:val="99"/>
    <w:unhideWhenUsed/>
    <w:rsid w:val="009D6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F08"/>
    <w:pPr>
      <w:spacing w:after="0" w:line="240" w:lineRule="auto"/>
    </w:pPr>
    <w:rPr>
      <w:sz w:val="20"/>
      <w:szCs w:val="20"/>
    </w:rPr>
  </w:style>
  <w:style w:type="character" w:customStyle="1" w:styleId="FootnoteTextChar">
    <w:name w:val="Footnote Text Char"/>
    <w:basedOn w:val="DefaultParagraphFont"/>
    <w:link w:val="FootnoteText"/>
    <w:uiPriority w:val="99"/>
    <w:rsid w:val="00231F08"/>
    <w:rPr>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231F08"/>
    <w:rPr>
      <w:rFonts w:ascii="Times New Roman" w:hAnsi="Times New Roman"/>
      <w:b/>
      <w:sz w:val="26"/>
      <w:szCs w:val="26"/>
      <w:vertAlign w:val="superscript"/>
    </w:rPr>
  </w:style>
  <w:style w:type="character" w:styleId="Hyperlink">
    <w:name w:val="Hyperlink"/>
    <w:rsid w:val="00231F08"/>
    <w:rPr>
      <w:color w:val="0000FF"/>
      <w:u w:val="single"/>
    </w:rPr>
  </w:style>
  <w:style w:type="character" w:styleId="CommentReference">
    <w:name w:val="annotation reference"/>
    <w:basedOn w:val="DefaultParagraphFont"/>
    <w:uiPriority w:val="99"/>
    <w:semiHidden/>
    <w:unhideWhenUsed/>
    <w:rsid w:val="00231F08"/>
    <w:rPr>
      <w:sz w:val="16"/>
      <w:szCs w:val="16"/>
    </w:rPr>
  </w:style>
  <w:style w:type="paragraph" w:styleId="CommentText">
    <w:name w:val="annotation text"/>
    <w:basedOn w:val="Normal"/>
    <w:link w:val="CommentTextChar"/>
    <w:uiPriority w:val="99"/>
    <w:semiHidden/>
    <w:unhideWhenUsed/>
    <w:rsid w:val="00231F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31F0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31F08"/>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231F08"/>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231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1F0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1F08"/>
    <w:rPr>
      <w:rFonts w:ascii="Times New Roman" w:eastAsia="Times New Roman" w:hAnsi="Times New Roman" w:cs="Times New Roman"/>
      <w:b/>
      <w:bCs/>
      <w:sz w:val="20"/>
      <w:szCs w:val="20"/>
    </w:rPr>
  </w:style>
  <w:style w:type="paragraph" w:styleId="ListParagraph">
    <w:name w:val="List Paragraph"/>
    <w:basedOn w:val="Normal"/>
    <w:uiPriority w:val="34"/>
    <w:qFormat/>
    <w:rsid w:val="0061040C"/>
    <w:pPr>
      <w:ind w:left="720"/>
      <w:contextualSpacing/>
    </w:pPr>
  </w:style>
  <w:style w:type="paragraph" w:styleId="Footer">
    <w:name w:val="footer"/>
    <w:basedOn w:val="Normal"/>
    <w:link w:val="FooterChar"/>
    <w:uiPriority w:val="99"/>
    <w:unhideWhenUsed/>
    <w:rsid w:val="009D6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A204-81D4-4392-8B92-DE918D97C3A4}">
  <ds:schemaRefs>
    <ds:schemaRef ds:uri="Microsoft.SharePoint.Taxonomy.ContentTypeSync"/>
  </ds:schemaRefs>
</ds:datastoreItem>
</file>

<file path=customXml/itemProps2.xml><?xml version="1.0" encoding="utf-8"?>
<ds:datastoreItem xmlns:ds="http://schemas.openxmlformats.org/officeDocument/2006/customXml" ds:itemID="{172A8F8D-DB4D-4D57-A18F-F6DA7E23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CECD1-EBFE-4CCA-A41B-1061AE4D2699}">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D89FF006-10A1-4989-A131-BC9BF531646B}">
  <ds:schemaRefs>
    <ds:schemaRef ds:uri="http://schemas.microsoft.com/sharepoint/v3/contenttype/forms"/>
  </ds:schemaRefs>
</ds:datastoreItem>
</file>

<file path=customXml/itemProps5.xml><?xml version="1.0" encoding="utf-8"?>
<ds:datastoreItem xmlns:ds="http://schemas.openxmlformats.org/officeDocument/2006/customXml" ds:itemID="{A2B5CB19-B9CA-4154-8070-C8FCE82B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2018-11-19T18:34:00Z</dcterms:created>
  <dcterms:modified xsi:type="dcterms:W3CDTF">2018-11-19T18:34:00Z</dcterms:modified>
  <cp:category/>
  <dc:identifier/>
  <cp:contentStatus/>
  <cp:version/>
</cp:coreProperties>
</file>