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30168" w14:textId="77777777" w:rsidR="009B4699" w:rsidRDefault="009B4699" w:rsidP="009F6ED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1BE9DCE2" w14:textId="42E36C86" w:rsidR="009B4699" w:rsidRDefault="009B4699" w:rsidP="009F6ED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Please note that, due to the voluminous amount of regulations (in Title 18 C</w:t>
      </w:r>
      <w:r w:rsidR="009F6ED8">
        <w:rPr>
          <w:rFonts w:ascii="Arial" w:hAnsi="Arial" w:cs="Arial"/>
          <w:bCs/>
          <w:i/>
          <w:sz w:val="20"/>
          <w:szCs w:val="20"/>
        </w:rPr>
        <w:t>ode of Federal Regulations (C</w:t>
      </w:r>
      <w:r>
        <w:rPr>
          <w:rFonts w:ascii="Arial" w:hAnsi="Arial" w:cs="Arial"/>
          <w:bCs/>
          <w:i/>
          <w:sz w:val="20"/>
          <w:szCs w:val="20"/>
        </w:rPr>
        <w:t>FR</w:t>
      </w:r>
      <w:r w:rsidR="009F6ED8"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i/>
          <w:sz w:val="20"/>
          <w:szCs w:val="20"/>
        </w:rPr>
        <w:t>) covered by FERC-500 and FERC-505, a list of the sections is include</w:t>
      </w:r>
      <w:r w:rsidR="009F6ED8">
        <w:rPr>
          <w:rFonts w:ascii="Arial" w:hAnsi="Arial" w:cs="Arial"/>
          <w:bCs/>
          <w:i/>
          <w:sz w:val="20"/>
          <w:szCs w:val="20"/>
        </w:rPr>
        <w:t>d</w:t>
      </w:r>
      <w:r>
        <w:rPr>
          <w:rFonts w:ascii="Arial" w:hAnsi="Arial" w:cs="Arial"/>
          <w:bCs/>
          <w:i/>
          <w:sz w:val="20"/>
          <w:szCs w:val="20"/>
        </w:rPr>
        <w:t xml:space="preserve"> here </w:t>
      </w:r>
      <w:r w:rsidR="009F6ED8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and in</w:t>
      </w:r>
      <w:r w:rsidR="009F6ED8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Attachment A to the supporting statement for the NOPR in RM18-14</w:t>
      </w:r>
      <w:r w:rsidR="009F6ED8"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i/>
          <w:sz w:val="20"/>
          <w:szCs w:val="20"/>
        </w:rPr>
        <w:t>.</w:t>
      </w:r>
    </w:p>
    <w:p w14:paraId="75CB855E" w14:textId="77777777" w:rsidR="000C7534" w:rsidRDefault="000C7534" w:rsidP="009F6ED8">
      <w:pPr>
        <w:spacing w:after="0" w:line="240" w:lineRule="auto"/>
      </w:pPr>
    </w:p>
    <w:p w14:paraId="7CAAFE33" w14:textId="77777777" w:rsidR="009F6ED8" w:rsidRPr="009F6ED8" w:rsidRDefault="009F6ED8" w:rsidP="009F6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 xml:space="preserve">Note that some of the following references cover both major (FERC-500) and minor (FERC-505) hydro project applications and reporting requirements.  </w:t>
      </w:r>
    </w:p>
    <w:p w14:paraId="46E6D6E0" w14:textId="77777777" w:rsidR="009F6ED8" w:rsidRDefault="009F6ED8" w:rsidP="009F6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BBB11F" w14:textId="77777777" w:rsidR="009F6ED8" w:rsidRPr="009F6ED8" w:rsidRDefault="009F6ED8" w:rsidP="009F6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CE1C07" w14:textId="77777777" w:rsidR="009F6ED8" w:rsidRPr="009F6ED8" w:rsidRDefault="009F6ED8" w:rsidP="009F6E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b/>
          <w:sz w:val="24"/>
          <w:szCs w:val="24"/>
        </w:rPr>
        <w:t>FERC-500</w:t>
      </w:r>
      <w:r w:rsidRPr="009F6ED8">
        <w:rPr>
          <w:rFonts w:ascii="Times New Roman" w:eastAsia="Calibri" w:hAnsi="Times New Roman" w:cs="Times New Roman"/>
          <w:sz w:val="24"/>
          <w:szCs w:val="24"/>
        </w:rPr>
        <w:t xml:space="preserve"> has information collection requirements described in the following sections in 18 C.F.R.:</w:t>
      </w:r>
    </w:p>
    <w:p w14:paraId="1E160B6B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2.19</w:t>
      </w:r>
    </w:p>
    <w:p w14:paraId="4EC0B74D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4.201</w:t>
      </w:r>
    </w:p>
    <w:p w14:paraId="5244DDFD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4.202</w:t>
      </w:r>
    </w:p>
    <w:p w14:paraId="370504A8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4.301</w:t>
      </w:r>
    </w:p>
    <w:p w14:paraId="56908163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 xml:space="preserve">4.303  </w:t>
      </w:r>
    </w:p>
    <w:p w14:paraId="00C0A370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4.35</w:t>
      </w:r>
    </w:p>
    <w:p w14:paraId="794AA573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4.38</w:t>
      </w:r>
    </w:p>
    <w:p w14:paraId="3FBA1B99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4.40</w:t>
      </w:r>
    </w:p>
    <w:p w14:paraId="61C19479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4.41</w:t>
      </w:r>
    </w:p>
    <w:p w14:paraId="5A69C244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4.50</w:t>
      </w:r>
    </w:p>
    <w:p w14:paraId="264EA284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4.51</w:t>
      </w:r>
    </w:p>
    <w:p w14:paraId="31BD6670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5.11</w:t>
      </w:r>
    </w:p>
    <w:p w14:paraId="4A0FB147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5.13</w:t>
      </w:r>
    </w:p>
    <w:p w14:paraId="5710BB6C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5.16</w:t>
      </w:r>
    </w:p>
    <w:p w14:paraId="37F2F4C7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5.17</w:t>
      </w:r>
    </w:p>
    <w:p w14:paraId="7EA54843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5.18</w:t>
      </w:r>
    </w:p>
    <w:p w14:paraId="25D2279B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5.2</w:t>
      </w:r>
    </w:p>
    <w:p w14:paraId="0A462321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5.20</w:t>
      </w:r>
    </w:p>
    <w:p w14:paraId="3FBE56D8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5.21</w:t>
      </w:r>
    </w:p>
    <w:p w14:paraId="04167C9B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5.27</w:t>
      </w:r>
    </w:p>
    <w:p w14:paraId="6DB6FB81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5.4</w:t>
      </w:r>
    </w:p>
    <w:p w14:paraId="1FDB82B8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5.5</w:t>
      </w:r>
    </w:p>
    <w:p w14:paraId="43329440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5.6</w:t>
      </w:r>
    </w:p>
    <w:p w14:paraId="066E3910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8.1</w:t>
      </w:r>
    </w:p>
    <w:p w14:paraId="4D8FDE2C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8.2</w:t>
      </w:r>
    </w:p>
    <w:p w14:paraId="234B2324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16.10</w:t>
      </w:r>
    </w:p>
    <w:p w14:paraId="148FD7CD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16.11</w:t>
      </w:r>
    </w:p>
    <w:p w14:paraId="6D567E08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16.12</w:t>
      </w:r>
    </w:p>
    <w:p w14:paraId="2A2DD957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16.14</w:t>
      </w:r>
    </w:p>
    <w:p w14:paraId="3BF7AFC1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16.19</w:t>
      </w:r>
    </w:p>
    <w:p w14:paraId="281E4E17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16.20</w:t>
      </w:r>
    </w:p>
    <w:p w14:paraId="2DA68D11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16.26</w:t>
      </w:r>
    </w:p>
    <w:p w14:paraId="697E8E4E" w14:textId="77777777" w:rsidR="009F6ED8" w:rsidRPr="009F6ED8" w:rsidRDefault="009F6ED8" w:rsidP="009F6ED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16.4</w:t>
      </w:r>
    </w:p>
    <w:p w14:paraId="37262AF7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lastRenderedPageBreak/>
        <w:t>16.6</w:t>
      </w:r>
    </w:p>
    <w:p w14:paraId="4E4B1D65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16.7</w:t>
      </w:r>
    </w:p>
    <w:p w14:paraId="32B39976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16.8</w:t>
      </w:r>
    </w:p>
    <w:p w14:paraId="2F1321AE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16.9</w:t>
      </w:r>
    </w:p>
    <w:p w14:paraId="0BFFD393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141.15</w:t>
      </w:r>
    </w:p>
    <w:p w14:paraId="70646D31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4.36(b)</w:t>
      </w:r>
    </w:p>
    <w:p w14:paraId="57BDD2E1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4.36(c)</w:t>
      </w:r>
    </w:p>
    <w:p w14:paraId="284FF91A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5.15(b)</w:t>
      </w:r>
    </w:p>
    <w:p w14:paraId="1F141B7C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5.15(c)</w:t>
      </w:r>
    </w:p>
    <w:p w14:paraId="616F30FF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5.15(d)</w:t>
      </w:r>
    </w:p>
    <w:p w14:paraId="01B79563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5.15(e)</w:t>
      </w:r>
    </w:p>
    <w:p w14:paraId="7AEA95E8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5.15(f)</w:t>
      </w:r>
    </w:p>
    <w:p w14:paraId="1485E62A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5.18(d)</w:t>
      </w:r>
    </w:p>
    <w:p w14:paraId="6FDB8DA1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5.23(b)</w:t>
      </w:r>
    </w:p>
    <w:p w14:paraId="54D5586A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5.3(c)(1)</w:t>
      </w:r>
    </w:p>
    <w:p w14:paraId="17ADCF53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5.3(c)(2)</w:t>
      </w:r>
    </w:p>
    <w:p w14:paraId="01F75D73" w14:textId="77777777" w:rsidR="009F6ED8" w:rsidRPr="009F6ED8" w:rsidRDefault="009F6ED8" w:rsidP="009F6ED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5.3(d)(1)</w:t>
      </w:r>
    </w:p>
    <w:p w14:paraId="09C8C465" w14:textId="77777777" w:rsidR="009F6ED8" w:rsidRPr="009F6ED8" w:rsidRDefault="009F6ED8" w:rsidP="009F6ED8">
      <w:pPr>
        <w:numPr>
          <w:ilvl w:val="0"/>
          <w:numId w:val="3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292.208</w:t>
      </w:r>
    </w:p>
    <w:p w14:paraId="76231255" w14:textId="77777777" w:rsidR="009F6ED8" w:rsidRPr="009F6ED8" w:rsidRDefault="009F6ED8" w:rsidP="009F6ED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834E31" w14:textId="77777777" w:rsidR="009F6ED8" w:rsidRPr="009F6ED8" w:rsidRDefault="009F6ED8" w:rsidP="009F6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b/>
          <w:sz w:val="24"/>
          <w:szCs w:val="24"/>
        </w:rPr>
        <w:t>FERC-505</w:t>
      </w:r>
      <w:r w:rsidRPr="009F6ED8">
        <w:rPr>
          <w:rFonts w:ascii="Times New Roman" w:eastAsia="Calibri" w:hAnsi="Times New Roman" w:cs="Times New Roman"/>
          <w:sz w:val="24"/>
          <w:szCs w:val="24"/>
        </w:rPr>
        <w:t xml:space="preserve"> has information collection requirements described in the following sections in 18 C.F.R.:</w:t>
      </w:r>
    </w:p>
    <w:p w14:paraId="5A5B7A27" w14:textId="77777777" w:rsidR="009F6ED8" w:rsidRPr="009F6ED8" w:rsidRDefault="009F6ED8" w:rsidP="009F6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6A0788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2.19</w:t>
      </w:r>
    </w:p>
    <w:p w14:paraId="38AFAC52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4.32</w:t>
      </w:r>
    </w:p>
    <w:p w14:paraId="46729D4F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4.35</w:t>
      </w:r>
    </w:p>
    <w:p w14:paraId="3609B02C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4.36 (b) and (c)</w:t>
      </w:r>
    </w:p>
    <w:p w14:paraId="2CB864F9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4.61</w:t>
      </w:r>
    </w:p>
    <w:p w14:paraId="390667E5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4.71</w:t>
      </w:r>
    </w:p>
    <w:p w14:paraId="45CC81F3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4.93</w:t>
      </w:r>
    </w:p>
    <w:p w14:paraId="51A2253D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4.107</w:t>
      </w:r>
    </w:p>
    <w:p w14:paraId="547B6675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4.108</w:t>
      </w:r>
    </w:p>
    <w:p w14:paraId="1D16736B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4.201</w:t>
      </w:r>
    </w:p>
    <w:p w14:paraId="01568C58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4.202</w:t>
      </w:r>
    </w:p>
    <w:p w14:paraId="7052AF7B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4.400</w:t>
      </w:r>
    </w:p>
    <w:p w14:paraId="2F2305A3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4.401</w:t>
      </w:r>
    </w:p>
    <w:p w14:paraId="6D9BF848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Part 5</w:t>
      </w:r>
    </w:p>
    <w:p w14:paraId="1390D998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8.1</w:t>
      </w:r>
    </w:p>
    <w:p w14:paraId="36F86460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8.2</w:t>
      </w:r>
    </w:p>
    <w:p w14:paraId="722F8DA4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</w:t>
      </w:r>
    </w:p>
    <w:p w14:paraId="2559B375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16.6</w:t>
      </w:r>
    </w:p>
    <w:p w14:paraId="7D46521D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16.7</w:t>
      </w:r>
    </w:p>
    <w:p w14:paraId="0DC90EBC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16.8</w:t>
      </w:r>
    </w:p>
    <w:p w14:paraId="754700DC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16.9</w:t>
      </w:r>
    </w:p>
    <w:p w14:paraId="3FF8EB76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16.10</w:t>
      </w:r>
    </w:p>
    <w:p w14:paraId="4B6DEB4D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16.11</w:t>
      </w:r>
    </w:p>
    <w:p w14:paraId="52E8D638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16.12</w:t>
      </w:r>
    </w:p>
    <w:p w14:paraId="496EF5BD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16.14</w:t>
      </w:r>
    </w:p>
    <w:p w14:paraId="40D633DE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16.19</w:t>
      </w:r>
    </w:p>
    <w:p w14:paraId="7490AE2D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16.20</w:t>
      </w:r>
    </w:p>
    <w:p w14:paraId="6D76EF14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16.22</w:t>
      </w:r>
    </w:p>
    <w:p w14:paraId="06BEC07D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292.203</w:t>
      </w:r>
    </w:p>
    <w:p w14:paraId="5EEB3661" w14:textId="77777777" w:rsidR="009F6ED8" w:rsidRPr="009F6ED8" w:rsidRDefault="009F6ED8" w:rsidP="009F6E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6ED8">
        <w:rPr>
          <w:rFonts w:ascii="Times New Roman" w:eastAsia="Calibri" w:hAnsi="Times New Roman" w:cs="Times New Roman"/>
          <w:sz w:val="24"/>
          <w:szCs w:val="24"/>
        </w:rPr>
        <w:t>292.208</w:t>
      </w:r>
    </w:p>
    <w:p w14:paraId="7A25400D" w14:textId="77777777" w:rsidR="009F6ED8" w:rsidRDefault="009F6ED8" w:rsidP="009F6ED8">
      <w:pPr>
        <w:spacing w:line="240" w:lineRule="auto"/>
      </w:pPr>
    </w:p>
    <w:sectPr w:rsidR="009F6ED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9CEA8" w14:textId="77777777" w:rsidR="009B4699" w:rsidRDefault="009B4699" w:rsidP="009B4699">
      <w:pPr>
        <w:spacing w:after="0" w:line="240" w:lineRule="auto"/>
      </w:pPr>
      <w:r>
        <w:separator/>
      </w:r>
    </w:p>
  </w:endnote>
  <w:endnote w:type="continuationSeparator" w:id="0">
    <w:p w14:paraId="6618956E" w14:textId="77777777" w:rsidR="009B4699" w:rsidRDefault="009B4699" w:rsidP="009B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777DE" w14:textId="77777777" w:rsidR="009B4699" w:rsidRDefault="009B4699" w:rsidP="009B4699">
      <w:pPr>
        <w:spacing w:after="0" w:line="240" w:lineRule="auto"/>
      </w:pPr>
      <w:r>
        <w:separator/>
      </w:r>
    </w:p>
  </w:footnote>
  <w:footnote w:type="continuationSeparator" w:id="0">
    <w:p w14:paraId="5529EC50" w14:textId="77777777" w:rsidR="009B4699" w:rsidRDefault="009B4699" w:rsidP="009B4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CC5D4" w14:textId="77777777" w:rsidR="009B4699" w:rsidRPr="009B4699" w:rsidRDefault="009B4699" w:rsidP="009B4699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9B4699">
      <w:rPr>
        <w:rFonts w:ascii="Times New Roman" w:eastAsia="Calibri" w:hAnsi="Times New Roman" w:cs="Times New Roman"/>
        <w:sz w:val="24"/>
        <w:szCs w:val="24"/>
      </w:rPr>
      <w:t>FERC-500 and FERC-505 (OMB Control Nos.: 1902-0058, and 1902-0115)</w:t>
    </w:r>
  </w:p>
  <w:p w14:paraId="535E1494" w14:textId="77777777" w:rsidR="009B4699" w:rsidRPr="009B4699" w:rsidRDefault="009B4699" w:rsidP="009B4699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9B4699">
      <w:rPr>
        <w:rFonts w:ascii="Times New Roman" w:eastAsia="Calibri" w:hAnsi="Times New Roman" w:cs="Times New Roman"/>
        <w:sz w:val="24"/>
        <w:szCs w:val="24"/>
      </w:rPr>
      <w:t>NOPR in Docket No. RM18-14</w:t>
    </w:r>
  </w:p>
  <w:p w14:paraId="5B48654E" w14:textId="77777777" w:rsidR="009B4699" w:rsidRDefault="009B46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963"/>
    <w:multiLevelType w:val="hybridMultilevel"/>
    <w:tmpl w:val="CE1A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6162D"/>
    <w:multiLevelType w:val="hybridMultilevel"/>
    <w:tmpl w:val="D9DA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7283B"/>
    <w:multiLevelType w:val="hybridMultilevel"/>
    <w:tmpl w:val="49FE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62A20"/>
    <w:multiLevelType w:val="hybridMultilevel"/>
    <w:tmpl w:val="3A36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99"/>
    <w:rsid w:val="000C7534"/>
    <w:rsid w:val="00820615"/>
    <w:rsid w:val="009B4699"/>
    <w:rsid w:val="009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9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4699"/>
    <w:rPr>
      <w:rFonts w:ascii="Arial" w:hAnsi="Arial" w:cs="Arial" w:hint="default"/>
      <w:strike w:val="0"/>
      <w:dstrike w:val="0"/>
      <w:color w:val="0000FF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B46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99"/>
  </w:style>
  <w:style w:type="paragraph" w:styleId="Footer">
    <w:name w:val="footer"/>
    <w:basedOn w:val="Normal"/>
    <w:link w:val="FooterChar"/>
    <w:uiPriority w:val="99"/>
    <w:unhideWhenUsed/>
    <w:rsid w:val="009B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4699"/>
    <w:rPr>
      <w:rFonts w:ascii="Arial" w:hAnsi="Arial" w:cs="Arial" w:hint="default"/>
      <w:strike w:val="0"/>
      <w:dstrike w:val="0"/>
      <w:color w:val="0000FF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B46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99"/>
  </w:style>
  <w:style w:type="paragraph" w:styleId="Footer">
    <w:name w:val="footer"/>
    <w:basedOn w:val="Normal"/>
    <w:link w:val="FooterChar"/>
    <w:uiPriority w:val="99"/>
    <w:unhideWhenUsed/>
    <w:rsid w:val="009B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OMB Supporting Statement</Rulemaking_x0020_Document_x0020_Type>
    <_x0033__x002e__x0020_Docket_x0020_Number xmlns="d6eefc7d-9817-4fa6-84d5-3bc009be21b8" xsi:nil="true"/>
    <_x0031__x002e__x0020_Collection_x0020_Number xmlns="d6eefc7d-9817-4fa6-84d5-3bc009be21b8">500</_x0031__x002e__x0020_Collection_x0020_Number>
    <Date xmlns="d6eefc7d-9817-4fa6-84d5-3bc009be21b8">2018-05-15T00:00:00-04:00</Date>
    <Status xmlns="d6eefc7d-9817-4fa6-84d5-3bc009be21b8">Draft</Status>
    <_x0032__x002e__x0020_Docket_x0020_Number xmlns="d6eefc7d-9817-4fa6-84d5-3bc009be21b8" xsi:nil="true"/>
    <_x0032__x002e__x0020_Collection_x0020_Number xmlns="d6eefc7d-9817-4fa6-84d5-3bc009be21b8">505</_x0032__x002e__x0020_Collection_x0020_Number>
    <_x0031__x002e__x0020_Docket_x0020_Number xmlns="d6eefc7d-9817-4fa6-84d5-3bc009be21b8">RM18-14</_x0031__x002e__x0020_Docket_x0020_Number>
    <_x0033__x002e__x0020_Collection_x0020_Number xmlns="d6eefc7d-9817-4fa6-84d5-3bc009be21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B30EC-FF44-4E32-BC55-8835C167A42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897C0DD-289F-46B3-83F7-2102DF99054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2327C54-49DE-4C76-90FF-C5E130418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6D115-A4EE-4616-9692-2405D11C7562}">
  <ds:schemaRefs>
    <ds:schemaRef ds:uri="http://schemas.microsoft.com/office/infopath/2007/PartnerControls"/>
    <ds:schemaRef ds:uri="d6eefc7d-9817-4fa6-84d5-3bc009be21b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7DAA4DC-9CED-45AB-97DD-DADC9B4C1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>FERC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2018-05-15T20:42:00Z</dcterms:created>
  <dcterms:modified xsi:type="dcterms:W3CDTF">2018-05-15T20:42:00Z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