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ED" w:rsidRPr="006D6EEA" w:rsidRDefault="00F671ED" w:rsidP="00F671ED">
      <w:pPr>
        <w:widowControl/>
        <w:tabs>
          <w:tab w:val="center" w:pos="4680"/>
        </w:tabs>
        <w:jc w:val="center"/>
        <w:rPr>
          <w:bCs/>
          <w:szCs w:val="26"/>
        </w:rPr>
      </w:pPr>
      <w:bookmarkStart w:id="0" w:name="_GoBack"/>
      <w:bookmarkEnd w:id="0"/>
      <w:r w:rsidRPr="006D6EEA">
        <w:rPr>
          <w:bCs/>
          <w:szCs w:val="26"/>
        </w:rPr>
        <w:t>Supporting Statement for</w:t>
      </w:r>
    </w:p>
    <w:p w:rsidR="00F671ED" w:rsidRPr="009D4321" w:rsidRDefault="00F671ED" w:rsidP="00F671ED">
      <w:pPr>
        <w:widowControl/>
        <w:tabs>
          <w:tab w:val="center" w:pos="5040"/>
        </w:tabs>
        <w:jc w:val="center"/>
        <w:rPr>
          <w:b/>
          <w:bCs/>
          <w:szCs w:val="26"/>
        </w:rPr>
      </w:pPr>
      <w:r w:rsidRPr="00FC6B4C">
        <w:rPr>
          <w:b/>
          <w:bCs/>
          <w:szCs w:val="26"/>
        </w:rPr>
        <w:t>FERC-5</w:t>
      </w:r>
      <w:r>
        <w:rPr>
          <w:b/>
          <w:bCs/>
          <w:szCs w:val="26"/>
        </w:rPr>
        <w:t>87</w:t>
      </w:r>
      <w:r w:rsidR="00EC3A3D">
        <w:rPr>
          <w:rStyle w:val="FootnoteReference"/>
          <w:b/>
          <w:bCs/>
          <w:szCs w:val="26"/>
        </w:rPr>
        <w:footnoteReference w:id="1"/>
      </w:r>
      <w:r>
        <w:rPr>
          <w:b/>
          <w:bCs/>
          <w:szCs w:val="26"/>
        </w:rPr>
        <w:t>,</w:t>
      </w:r>
      <w:r w:rsidRPr="00FC6B4C">
        <w:rPr>
          <w:b/>
          <w:bCs/>
          <w:szCs w:val="26"/>
        </w:rPr>
        <w:t xml:space="preserve"> </w:t>
      </w:r>
      <w:r w:rsidRPr="009066A4">
        <w:rPr>
          <w:b/>
          <w:bCs/>
          <w:szCs w:val="26"/>
        </w:rPr>
        <w:t>Land Description: Public Land States/Non-Public Land States (Rectangular or Non Rectangular Survey System Lands in Public Land States)</w:t>
      </w:r>
    </w:p>
    <w:p w:rsidR="00F671ED" w:rsidRPr="00B5468C" w:rsidRDefault="00F671ED" w:rsidP="00F671ED">
      <w:pPr>
        <w:widowControl/>
        <w:tabs>
          <w:tab w:val="center" w:pos="4680"/>
        </w:tabs>
        <w:jc w:val="center"/>
        <w:rPr>
          <w:b/>
          <w:bCs/>
          <w:szCs w:val="26"/>
        </w:rPr>
      </w:pPr>
      <w:r>
        <w:rPr>
          <w:b/>
          <w:bCs/>
          <w:szCs w:val="26"/>
        </w:rPr>
        <w:t xml:space="preserve"> </w:t>
      </w:r>
    </w:p>
    <w:p w:rsidR="00F671ED" w:rsidRDefault="00F671ED" w:rsidP="00F671ED">
      <w:pPr>
        <w:keepNext/>
        <w:widowControl/>
        <w:rPr>
          <w:szCs w:val="26"/>
        </w:rPr>
      </w:pPr>
      <w:r w:rsidRPr="00F8787D">
        <w:rPr>
          <w:szCs w:val="26"/>
        </w:rPr>
        <w:t xml:space="preserve">The Federal Energy Regulatory Commission (Commission or FERC) requests that the Office of Management and Budget (OMB) review and approve </w:t>
      </w:r>
      <w:r w:rsidRPr="00FC6B4C">
        <w:rPr>
          <w:b/>
          <w:bCs/>
          <w:szCs w:val="26"/>
        </w:rPr>
        <w:t>FERC-5</w:t>
      </w:r>
      <w:r>
        <w:rPr>
          <w:b/>
          <w:bCs/>
          <w:szCs w:val="26"/>
        </w:rPr>
        <w:t>87,</w:t>
      </w:r>
      <w:r w:rsidRPr="00FC6B4C">
        <w:rPr>
          <w:b/>
          <w:bCs/>
          <w:szCs w:val="26"/>
        </w:rPr>
        <w:t xml:space="preserve"> </w:t>
      </w:r>
      <w:r w:rsidRPr="00112213">
        <w:rPr>
          <w:b/>
          <w:bCs/>
          <w:szCs w:val="26"/>
        </w:rPr>
        <w:t>Land Description: Public Land States/Non-Public Land States (Rectangular or Non Rectangular Survey System Lands in Public Land States)</w:t>
      </w:r>
      <w:r w:rsidRPr="00F8787D">
        <w:rPr>
          <w:b/>
          <w:bCs/>
          <w:szCs w:val="26"/>
        </w:rPr>
        <w:t xml:space="preserve">, </w:t>
      </w:r>
      <w:r w:rsidRPr="00F8787D">
        <w:rPr>
          <w:szCs w:val="26"/>
        </w:rPr>
        <w:t xml:space="preserve">for a three year period.  </w:t>
      </w:r>
      <w:r>
        <w:rPr>
          <w:szCs w:val="26"/>
        </w:rPr>
        <w:t>FERC-587 (OMB Control No. 1902-0145</w:t>
      </w:r>
      <w:r w:rsidRPr="00F8787D">
        <w:rPr>
          <w:szCs w:val="26"/>
        </w:rPr>
        <w:t>) is an existing Commission data collection (filing requirements), as stated by 18 Code of Federal Regulations</w:t>
      </w:r>
      <w:r w:rsidR="00F216DA">
        <w:rPr>
          <w:szCs w:val="26"/>
        </w:rPr>
        <w:t xml:space="preserve"> (CFR)</w:t>
      </w:r>
      <w:r w:rsidRPr="00F8787D">
        <w:rPr>
          <w:szCs w:val="26"/>
        </w:rPr>
        <w:t xml:space="preserve">, Part </w:t>
      </w:r>
      <w:r>
        <w:rPr>
          <w:szCs w:val="26"/>
        </w:rPr>
        <w:t>4.81(b)(5)</w:t>
      </w:r>
      <w:r w:rsidR="00666DBE">
        <w:rPr>
          <w:szCs w:val="26"/>
        </w:rPr>
        <w:t xml:space="preserve"> and Part 4.41h</w:t>
      </w:r>
      <w:r w:rsidRPr="00F8787D">
        <w:rPr>
          <w:szCs w:val="26"/>
        </w:rPr>
        <w:t>.</w:t>
      </w:r>
    </w:p>
    <w:p w:rsidR="00F671ED" w:rsidRDefault="00F671ED" w:rsidP="00F671ED">
      <w:pPr>
        <w:keepNext/>
        <w:widowControl/>
        <w:ind w:firstLine="720"/>
        <w:rPr>
          <w:szCs w:val="26"/>
        </w:rPr>
      </w:pPr>
    </w:p>
    <w:p w:rsidR="00F671ED" w:rsidRPr="007202AB" w:rsidRDefault="00F671ED" w:rsidP="00F671ED">
      <w:pPr>
        <w:pStyle w:val="ListParagraph"/>
        <w:numPr>
          <w:ilvl w:val="0"/>
          <w:numId w:val="1"/>
        </w:numPr>
        <w:rPr>
          <w:b/>
          <w:szCs w:val="26"/>
        </w:rPr>
      </w:pPr>
      <w:r w:rsidRPr="006C749F">
        <w:rPr>
          <w:b/>
          <w:szCs w:val="26"/>
        </w:rPr>
        <w:t xml:space="preserve">CIRCUMSTANCES THAT MAKE THE COLLECTION OF INFORMATION NECESSARY </w:t>
      </w:r>
    </w:p>
    <w:p w:rsidR="00F671ED" w:rsidRDefault="00F671ED" w:rsidP="00F671ED">
      <w:pPr>
        <w:rPr>
          <w:szCs w:val="26"/>
        </w:rPr>
      </w:pPr>
    </w:p>
    <w:p w:rsidR="00F671ED" w:rsidRDefault="00F671ED" w:rsidP="00F671ED">
      <w:pPr>
        <w:keepNext/>
        <w:widowControl/>
        <w:rPr>
          <w:szCs w:val="26"/>
        </w:rPr>
      </w:pPr>
      <w:r>
        <w:rPr>
          <w:szCs w:val="26"/>
        </w:rPr>
        <w:t>The Commission issues licenses for hydroelectric projects on the waters over which Congress has jurisdiction under authority of the Federal Power Act (FPA)</w:t>
      </w:r>
      <w:r w:rsidR="00504762">
        <w:rPr>
          <w:szCs w:val="26"/>
        </w:rPr>
        <w:t>.</w:t>
      </w:r>
      <w:r w:rsidRPr="00AB653D">
        <w:rPr>
          <w:rStyle w:val="FootnoteReference"/>
          <w:szCs w:val="26"/>
        </w:rPr>
        <w:footnoteReference w:id="2"/>
      </w:r>
      <w:r>
        <w:rPr>
          <w:szCs w:val="26"/>
        </w:rPr>
        <w:t xml:space="preserve">  The FPA (as amended by the Electric Consumers Protection Act [ECPA])</w:t>
      </w:r>
      <w:r w:rsidRPr="00D40114">
        <w:rPr>
          <w:rStyle w:val="FootnoteReference"/>
          <w:szCs w:val="26"/>
        </w:rPr>
        <w:footnoteReference w:id="3"/>
      </w:r>
      <w:r>
        <w:rPr>
          <w:szCs w:val="26"/>
        </w:rPr>
        <w:t xml:space="preserve"> provides the Commission with the authority to issue licenses to nonfederal hydroelectric plants.  The passage of the ECPA in 19</w:t>
      </w:r>
      <w:r w:rsidR="00BC7D4A">
        <w:rPr>
          <w:szCs w:val="26"/>
        </w:rPr>
        <w:t>9</w:t>
      </w:r>
      <w:r>
        <w:rPr>
          <w:szCs w:val="26"/>
        </w:rPr>
        <w:t>6 revised the language within the FPA regarding environmental issues.</w:t>
      </w:r>
    </w:p>
    <w:p w:rsidR="00F671ED" w:rsidRDefault="00F671ED" w:rsidP="00F671ED">
      <w:pPr>
        <w:keepNext/>
        <w:widowControl/>
        <w:rPr>
          <w:szCs w:val="26"/>
        </w:rPr>
      </w:pPr>
    </w:p>
    <w:p w:rsidR="00F671ED" w:rsidRPr="002C36DB" w:rsidRDefault="00F671ED" w:rsidP="00F671ED">
      <w:pPr>
        <w:keepNext/>
        <w:widowControl/>
        <w:rPr>
          <w:szCs w:val="26"/>
        </w:rPr>
      </w:pPr>
      <w:r>
        <w:rPr>
          <w:szCs w:val="26"/>
        </w:rPr>
        <w:t xml:space="preserve">Section 24 of the FPA requires that applicants proposing hydropower projects on or changes to existing projects located on lands owned by the </w:t>
      </w:r>
      <w:smartTag w:uri="urn:schemas-microsoft-com:office:smarttags" w:element="country-region">
        <w:smartTag w:uri="urn:schemas-microsoft-com:office:smarttags" w:element="date">
          <w:r>
            <w:rPr>
              <w:szCs w:val="26"/>
            </w:rPr>
            <w:t>United States</w:t>
          </w:r>
        </w:smartTag>
      </w:smartTag>
      <w:r>
        <w:rPr>
          <w:szCs w:val="26"/>
        </w:rPr>
        <w:t xml:space="preserve"> are required to provide a description of the </w:t>
      </w:r>
      <w:smartTag w:uri="urn:schemas-microsoft-com:office:smarttags" w:element="country-region">
        <w:smartTag w:uri="urn:schemas-microsoft-com:office:smarttags" w:element="place">
          <w:smartTag w:uri="urn:schemas-microsoft-com:office:smarttags" w:element="date">
            <w:r>
              <w:rPr>
                <w:szCs w:val="26"/>
              </w:rPr>
              <w:t>United States</w:t>
            </w:r>
          </w:smartTag>
        </w:smartTag>
      </w:smartTag>
      <w:r>
        <w:rPr>
          <w:szCs w:val="26"/>
        </w:rPr>
        <w:t xml:space="preserve"> lands affected and to notify the Commission and the Secretary of the Interior.  FERC-587 consolidates the information required and identifies hydropower project boundary maps associated with the lands of the </w:t>
      </w:r>
      <w:smartTag w:uri="urn:schemas-microsoft-com:office:smarttags" w:element="country-region">
        <w:smartTag w:uri="urn:schemas-microsoft-com:office:smarttags" w:element="place">
          <w:smartTag w:uri="urn:schemas-microsoft-com:office:smarttags" w:element="date">
            <w:r>
              <w:rPr>
                <w:szCs w:val="26"/>
              </w:rPr>
              <w:t>United States</w:t>
            </w:r>
          </w:smartTag>
        </w:smartTag>
      </w:smartTag>
      <w:r w:rsidRPr="002C36DB">
        <w:rPr>
          <w:szCs w:val="26"/>
        </w:rPr>
        <w:t xml:space="preserve">.  </w:t>
      </w:r>
    </w:p>
    <w:p w:rsidR="00F671ED" w:rsidRPr="0027062E" w:rsidRDefault="00F671ED" w:rsidP="00F671ED">
      <w:pPr>
        <w:rPr>
          <w:szCs w:val="26"/>
        </w:rPr>
      </w:pPr>
    </w:p>
    <w:p w:rsidR="00F671ED" w:rsidRPr="003911E9" w:rsidRDefault="00F671ED" w:rsidP="00F671ED">
      <w:pPr>
        <w:pStyle w:val="ListParagraph"/>
        <w:numPr>
          <w:ilvl w:val="0"/>
          <w:numId w:val="2"/>
        </w:numPr>
        <w:rPr>
          <w:szCs w:val="26"/>
        </w:rPr>
      </w:pPr>
      <w:r w:rsidRPr="00226A35">
        <w:rPr>
          <w:b/>
          <w:szCs w:val="26"/>
        </w:rPr>
        <w:t>HOW, BY WHOM, AND FOR WHAT PURPOSE THE INFORMATION IS TO BE USED AND THE CONSEQUENCES OF NOT COLLECTING THE INFORMATION</w:t>
      </w:r>
    </w:p>
    <w:p w:rsidR="00F671ED" w:rsidRDefault="00F671ED" w:rsidP="00F671ED"/>
    <w:p w:rsidR="00F671ED" w:rsidRDefault="00F671ED" w:rsidP="00F671ED">
      <w:pPr>
        <w:keepNext/>
        <w:widowControl/>
        <w:tabs>
          <w:tab w:val="center" w:pos="0"/>
        </w:tabs>
        <w:rPr>
          <w:szCs w:val="26"/>
        </w:rPr>
      </w:pPr>
      <w:r>
        <w:rPr>
          <w:szCs w:val="26"/>
        </w:rPr>
        <w:lastRenderedPageBreak/>
        <w:t>The Commission uses the information collected within the FERC-587 to verify the accuracy of the information provided and to coordinate with the Bureau of Land Management (BLM) States Offices (Department of the Interior) to ensure that United States (U</w:t>
      </w:r>
      <w:r w:rsidR="00504762">
        <w:rPr>
          <w:szCs w:val="26"/>
        </w:rPr>
        <w:t>.</w:t>
      </w:r>
      <w:r>
        <w:rPr>
          <w:szCs w:val="26"/>
        </w:rPr>
        <w:t>S</w:t>
      </w:r>
      <w:r w:rsidR="00504762">
        <w:rPr>
          <w:szCs w:val="26"/>
        </w:rPr>
        <w:t>.</w:t>
      </w:r>
      <w:r>
        <w:rPr>
          <w:szCs w:val="26"/>
        </w:rPr>
        <w:t>) lands may be reserved as hydropower sites and withdrawn from other prospective uses.</w:t>
      </w:r>
    </w:p>
    <w:p w:rsidR="00F671ED" w:rsidRDefault="00F671ED" w:rsidP="00F671ED">
      <w:pPr>
        <w:keepNext/>
        <w:widowControl/>
        <w:tabs>
          <w:tab w:val="center" w:pos="4680"/>
        </w:tabs>
        <w:rPr>
          <w:szCs w:val="26"/>
        </w:rPr>
      </w:pPr>
    </w:p>
    <w:p w:rsidR="00F671ED" w:rsidRDefault="00F671ED" w:rsidP="00F671ED">
      <w:pPr>
        <w:keepNext/>
        <w:widowControl/>
        <w:tabs>
          <w:tab w:val="center" w:pos="0"/>
        </w:tabs>
        <w:rPr>
          <w:szCs w:val="26"/>
        </w:rPr>
      </w:pPr>
      <w:r>
        <w:rPr>
          <w:szCs w:val="26"/>
        </w:rPr>
        <w:t xml:space="preserve">The Commission gives equal consideration to all licensing purposes related to the potential efficacy of a river or stream.  These purposes might include hydroelectric development, energy conservation, fish/wildlife resources (to include spawning habitats), visual resources, cultural resources, recreational opportunities, irrigation, flood control, water supply, and geographic boundaries.  </w:t>
      </w:r>
    </w:p>
    <w:p w:rsidR="00F671ED" w:rsidRDefault="00F671ED" w:rsidP="00F671ED">
      <w:pPr>
        <w:keepNext/>
        <w:widowControl/>
        <w:tabs>
          <w:tab w:val="center" w:pos="0"/>
        </w:tabs>
        <w:rPr>
          <w:szCs w:val="26"/>
        </w:rPr>
      </w:pPr>
    </w:p>
    <w:p w:rsidR="00E602E8" w:rsidRDefault="00F671ED" w:rsidP="00F671ED">
      <w:pPr>
        <w:keepNext/>
        <w:widowControl/>
        <w:tabs>
          <w:tab w:val="center" w:pos="0"/>
        </w:tabs>
        <w:rPr>
          <w:szCs w:val="26"/>
        </w:rPr>
      </w:pPr>
      <w:r>
        <w:rPr>
          <w:szCs w:val="26"/>
        </w:rPr>
        <w:t>To obtain approval of the application, the Commission requires the project owner (licensee/exempted entity) to submit drawings illustrating all project features, project boundaries, and all plans relevant to development of the project (e.g., recreational plans).  The licensee must then submit the plans to the Commission for approval</w:t>
      </w:r>
    </w:p>
    <w:p w:rsidR="00F671ED" w:rsidRDefault="00F671ED" w:rsidP="00F671ED">
      <w:pPr>
        <w:keepNext/>
        <w:widowControl/>
        <w:tabs>
          <w:tab w:val="center" w:pos="0"/>
        </w:tabs>
        <w:rPr>
          <w:szCs w:val="26"/>
        </w:rPr>
      </w:pPr>
      <w:r>
        <w:rPr>
          <w:szCs w:val="26"/>
        </w:rPr>
        <w:tab/>
      </w:r>
    </w:p>
    <w:p w:rsidR="00F671ED" w:rsidRDefault="00F671ED" w:rsidP="00F671ED">
      <w:pPr>
        <w:keepNext/>
        <w:widowControl/>
        <w:tabs>
          <w:tab w:val="center" w:pos="0"/>
        </w:tabs>
        <w:rPr>
          <w:szCs w:val="26"/>
        </w:rPr>
      </w:pPr>
      <w:r>
        <w:rPr>
          <w:szCs w:val="26"/>
        </w:rPr>
        <w:t xml:space="preserve">FERC’s Office of Energy Projects (OEP) assigns and tracks exhibit drawings for proposed, licensed, and exempted hydropower projects.  Along with the authorizing document (e.g., preliminary permit, license, exemption), exhibit drawings serve as the primary source of information about a hydropower project.  OEP </w:t>
      </w:r>
      <w:r w:rsidR="00EC4AE9">
        <w:rPr>
          <w:szCs w:val="26"/>
        </w:rPr>
        <w:t>uses</w:t>
      </w:r>
      <w:r>
        <w:rPr>
          <w:szCs w:val="26"/>
        </w:rPr>
        <w:t xml:space="preserve"> the drawings or exhibits to track the boundary of a project for land withdrawal from other prospective, public use.  OEP coordinates with the U</w:t>
      </w:r>
      <w:r w:rsidR="00504762">
        <w:rPr>
          <w:szCs w:val="26"/>
        </w:rPr>
        <w:t>.</w:t>
      </w:r>
      <w:r>
        <w:rPr>
          <w:szCs w:val="26"/>
        </w:rPr>
        <w:t>S</w:t>
      </w:r>
      <w:r w:rsidR="00504762">
        <w:rPr>
          <w:szCs w:val="26"/>
        </w:rPr>
        <w:t>.</w:t>
      </w:r>
      <w:r>
        <w:rPr>
          <w:szCs w:val="26"/>
        </w:rPr>
        <w:t xml:space="preserve"> Department of the Interior BLM for any projects proposed on federal land.</w:t>
      </w:r>
    </w:p>
    <w:p w:rsidR="00F671ED" w:rsidRDefault="00F671ED" w:rsidP="00F671ED">
      <w:pPr>
        <w:keepNext/>
        <w:widowControl/>
        <w:tabs>
          <w:tab w:val="center" w:pos="0"/>
        </w:tabs>
        <w:rPr>
          <w:szCs w:val="26"/>
        </w:rPr>
      </w:pPr>
    </w:p>
    <w:p w:rsidR="00F671ED" w:rsidRDefault="00F671ED" w:rsidP="00F671ED">
      <w:r>
        <w:rPr>
          <w:szCs w:val="26"/>
        </w:rPr>
        <w:t>The FPA requires the FERC-587 data to fulfill the requirements of Section 24 which withdraws federal lands upon receipt of a hydropower project application.  BLM must be notified of the land’s withdrawal and receive a copy of the application, boundary exhibits, and FERC’s Form 587.  The aforementioned information aids the Commission in ascertaining that the proposal is economically, technically, and environmentally sound.  Additionally, the proposal must be found to improve and develop affected waterways</w:t>
      </w:r>
      <w:r w:rsidRPr="002C36DB">
        <w:t>.</w:t>
      </w:r>
      <w:r>
        <w:t xml:space="preserve">  </w:t>
      </w:r>
    </w:p>
    <w:p w:rsidR="00F671ED" w:rsidRPr="00007AD7" w:rsidRDefault="00F671ED" w:rsidP="00F671ED">
      <w:pPr>
        <w:widowControl/>
        <w:rPr>
          <w:szCs w:val="26"/>
        </w:rPr>
      </w:pPr>
    </w:p>
    <w:p w:rsidR="00F671ED" w:rsidRPr="0080617B" w:rsidRDefault="00F671ED" w:rsidP="00F671ED">
      <w:pPr>
        <w:pStyle w:val="ListParagraph"/>
        <w:widowControl/>
        <w:numPr>
          <w:ilvl w:val="0"/>
          <w:numId w:val="2"/>
        </w:numPr>
        <w:tabs>
          <w:tab w:val="left" w:pos="-1440"/>
        </w:tabs>
        <w:rPr>
          <w:b/>
          <w:bCs/>
          <w:szCs w:val="26"/>
        </w:rPr>
      </w:pPr>
      <w:r w:rsidRPr="002B785B">
        <w:rPr>
          <w:b/>
          <w:bCs/>
          <w:szCs w:val="26"/>
        </w:rPr>
        <w:t>DESCRIBE ANY CONSIDERATION OF THE USE OF IMPROVED TECHNOLOGY TO REDUCE BURDEN AND TECHNICAL OR LEGAL OBSTACLES TO REDUCING BURDEN</w:t>
      </w:r>
      <w:r w:rsidRPr="0080617B">
        <w:rPr>
          <w:b/>
          <w:bCs/>
          <w:szCs w:val="26"/>
        </w:rPr>
        <w:t>.</w:t>
      </w:r>
    </w:p>
    <w:p w:rsidR="00F671ED" w:rsidRPr="00FF32D1" w:rsidRDefault="00F671ED" w:rsidP="00F671ED">
      <w:pPr>
        <w:widowControl/>
        <w:rPr>
          <w:b/>
          <w:bCs/>
          <w:szCs w:val="26"/>
        </w:rPr>
      </w:pPr>
    </w:p>
    <w:p w:rsidR="00EC4AE9" w:rsidRPr="00EC4AE9" w:rsidRDefault="00EC4AE9" w:rsidP="00EC4AE9">
      <w:pPr>
        <w:keepNext/>
        <w:widowControl/>
        <w:rPr>
          <w:szCs w:val="26"/>
        </w:rPr>
      </w:pPr>
      <w:r w:rsidRPr="00EC4AE9">
        <w:rPr>
          <w:szCs w:val="26"/>
        </w:rPr>
        <w:t xml:space="preserve">The Commission continually reevaluates the potential and value of improved information technology to reduce burden.  </w:t>
      </w:r>
      <w:r w:rsidR="00BC7D4A">
        <w:rPr>
          <w:szCs w:val="26"/>
        </w:rPr>
        <w:t xml:space="preserve">In 2014, the Commission changed all references to “microfilm” and “aperture cards” within 18 CFR Part 4.39.  We are currently revising </w:t>
      </w:r>
    </w:p>
    <w:p w:rsidR="00BC7D4A" w:rsidRDefault="00BC7D4A" w:rsidP="00F671ED">
      <w:pPr>
        <w:keepNext/>
        <w:widowControl/>
        <w:rPr>
          <w:szCs w:val="26"/>
        </w:rPr>
      </w:pPr>
      <w:r>
        <w:rPr>
          <w:szCs w:val="26"/>
        </w:rPr>
        <w:t>“</w:t>
      </w:r>
      <w:r w:rsidRPr="00BC7D4A">
        <w:rPr>
          <w:szCs w:val="26"/>
        </w:rPr>
        <w:t xml:space="preserve">Microfilm copies of the project boundary maps must be submitted with the land description forms as directed by FERC. Each map must be reproduced on silver or gelatin 35 mm microfilm mounted on type D (3-1/4" X 7-3/8”) aperture cards. The project number followed by a hyphen and sheet number or letter must be typed on the front of </w:t>
      </w:r>
      <w:r w:rsidRPr="00BC7D4A">
        <w:rPr>
          <w:szCs w:val="26"/>
        </w:rPr>
        <w:lastRenderedPageBreak/>
        <w:t>each card in the upper right corner</w:t>
      </w:r>
      <w:r>
        <w:rPr>
          <w:szCs w:val="26"/>
        </w:rPr>
        <w:t>”, to help reduce burden this sentence is revised to read “</w:t>
      </w:r>
      <w:r w:rsidRPr="00BC7D4A">
        <w:rPr>
          <w:bCs/>
          <w:szCs w:val="26"/>
        </w:rPr>
        <w:t>Electronic file format copies of the project boundary map(s), also referred to as Exhibit G drawing(s), must be submitted with the land description form(s) as directed by FERC</w:t>
      </w:r>
      <w:r>
        <w:rPr>
          <w:bCs/>
          <w:szCs w:val="26"/>
        </w:rPr>
        <w:t>”</w:t>
      </w:r>
      <w:r w:rsidRPr="00BC7D4A">
        <w:rPr>
          <w:bCs/>
          <w:szCs w:val="26"/>
        </w:rPr>
        <w:t>.</w:t>
      </w:r>
    </w:p>
    <w:p w:rsidR="00F671ED" w:rsidRPr="00DE15B8" w:rsidRDefault="00F671ED" w:rsidP="00F671ED">
      <w:pPr>
        <w:keepNext/>
        <w:widowControl/>
        <w:rPr>
          <w:b/>
          <w:bCs/>
          <w:szCs w:val="26"/>
        </w:rPr>
      </w:pPr>
      <w:r w:rsidRPr="00EB3D7B">
        <w:rPr>
          <w:szCs w:val="26"/>
        </w:rPr>
        <w:t>The Commission</w:t>
      </w:r>
      <w:r w:rsidRPr="00DE15B8">
        <w:rPr>
          <w:szCs w:val="26"/>
        </w:rPr>
        <w:t xml:space="preserve"> allows the option of filing all documents in proceedings through the eFiling interface except for specified exceptions, and of utilizing online forms to allow “documentless” interventions in all filings. </w:t>
      </w:r>
    </w:p>
    <w:p w:rsidR="00F671ED" w:rsidRPr="00DE15B8" w:rsidRDefault="00F671ED" w:rsidP="00F671ED">
      <w:pPr>
        <w:keepNext/>
        <w:widowControl/>
        <w:ind w:firstLine="720"/>
        <w:rPr>
          <w:szCs w:val="26"/>
        </w:rPr>
      </w:pPr>
    </w:p>
    <w:p w:rsidR="00F671ED" w:rsidRPr="0080617B" w:rsidRDefault="00F671ED" w:rsidP="00F671ED">
      <w:pPr>
        <w:pStyle w:val="ListParagraph"/>
        <w:widowControl/>
        <w:numPr>
          <w:ilvl w:val="0"/>
          <w:numId w:val="2"/>
        </w:numPr>
        <w:tabs>
          <w:tab w:val="left" w:pos="360"/>
        </w:tabs>
        <w:rPr>
          <w:b/>
          <w:szCs w:val="26"/>
        </w:rPr>
      </w:pPr>
      <w:r w:rsidRPr="0080617B">
        <w:rPr>
          <w:b/>
          <w:szCs w:val="26"/>
        </w:rPr>
        <w:t>DESCRIBE EFFORTS TO IDENTIFY DUPLICATION AND SHOW SPECIFICALLY WHY ANY SIMILAR INFORMATION ALREADY AVAILABLE CANNOT BE USED OR MODIFIED FOR USE FOR THE PURPOSE(S) DESCRIBED IN INSTRUCTION NO. 2</w:t>
      </w:r>
    </w:p>
    <w:p w:rsidR="00F671ED" w:rsidRDefault="00F671ED" w:rsidP="00F671ED">
      <w:pPr>
        <w:widowControl/>
        <w:tabs>
          <w:tab w:val="left" w:pos="360"/>
          <w:tab w:val="left" w:pos="4050"/>
        </w:tabs>
        <w:rPr>
          <w:b/>
          <w:szCs w:val="26"/>
        </w:rPr>
      </w:pPr>
    </w:p>
    <w:p w:rsidR="00EB3D7B" w:rsidRPr="00EB3D7B" w:rsidRDefault="002B785B" w:rsidP="00EB3D7B">
      <w:pPr>
        <w:widowControl/>
        <w:autoSpaceDE/>
        <w:autoSpaceDN/>
        <w:adjustRightInd/>
        <w:spacing w:after="200"/>
        <w:rPr>
          <w:rFonts w:eastAsia="Calibri"/>
          <w:szCs w:val="26"/>
        </w:rPr>
      </w:pPr>
      <w:r w:rsidRPr="002B785B">
        <w:rPr>
          <w:rFonts w:eastAsia="Calibri"/>
          <w:szCs w:val="26"/>
        </w:rPr>
        <w:t xml:space="preserve">Filing requirements are periodically reviewed as information collection expiration dates arise or as the Commission may deem necessary in carrying out its regulatory responsibilities under the NGA in an effort to alleviate duplication.  All Commission information collections are subject to analysis by Commission staff and are examined for redundancy.  </w:t>
      </w:r>
      <w:r w:rsidR="00EB3D7B" w:rsidRPr="00EB3D7B">
        <w:rPr>
          <w:rFonts w:eastAsia="Calibri"/>
          <w:szCs w:val="26"/>
        </w:rPr>
        <w:t>There is no similar information already available that can be used or modified.</w:t>
      </w:r>
    </w:p>
    <w:p w:rsidR="00F671ED" w:rsidRDefault="00F671ED" w:rsidP="00F671ED">
      <w:pPr>
        <w:widowControl/>
        <w:tabs>
          <w:tab w:val="left" w:pos="360"/>
          <w:tab w:val="left" w:pos="4050"/>
        </w:tabs>
        <w:ind w:left="360" w:hanging="360"/>
        <w:rPr>
          <w:szCs w:val="26"/>
        </w:rPr>
      </w:pPr>
      <w:r w:rsidRPr="00544199">
        <w:rPr>
          <w:b/>
          <w:szCs w:val="26"/>
        </w:rPr>
        <w:t>5.</w:t>
      </w:r>
      <w:r>
        <w:rPr>
          <w:szCs w:val="26"/>
        </w:rPr>
        <w:tab/>
      </w:r>
      <w:r w:rsidRPr="00544199">
        <w:rPr>
          <w:b/>
          <w:szCs w:val="26"/>
        </w:rPr>
        <w:t>METHODS USED TO MINIMIZE BURDEN IN COLLECTION OF INFORMATION INVOLVING SMALL ENTITIES</w:t>
      </w:r>
      <w:r w:rsidRPr="00544199">
        <w:rPr>
          <w:szCs w:val="26"/>
        </w:rPr>
        <w:t xml:space="preserve"> </w:t>
      </w:r>
    </w:p>
    <w:p w:rsidR="00F671ED" w:rsidRPr="00544199" w:rsidRDefault="00F671ED" w:rsidP="00F671ED">
      <w:pPr>
        <w:widowControl/>
        <w:tabs>
          <w:tab w:val="left" w:pos="360"/>
          <w:tab w:val="left" w:pos="4050"/>
        </w:tabs>
        <w:ind w:left="360" w:hanging="360"/>
        <w:rPr>
          <w:szCs w:val="26"/>
        </w:rPr>
      </w:pPr>
    </w:p>
    <w:p w:rsidR="002B785B" w:rsidRPr="002B785B" w:rsidRDefault="00EB3D7B" w:rsidP="002B785B">
      <w:pPr>
        <w:widowControl/>
        <w:autoSpaceDE/>
        <w:autoSpaceDN/>
        <w:adjustRightInd/>
        <w:spacing w:after="200"/>
        <w:rPr>
          <w:rFonts w:eastAsia="Calibri"/>
          <w:szCs w:val="26"/>
        </w:rPr>
      </w:pPr>
      <w:r w:rsidRPr="00EB3D7B">
        <w:rPr>
          <w:rFonts w:eastAsia="Calibri"/>
          <w:szCs w:val="26"/>
        </w:rPr>
        <w:t xml:space="preserve">The Commission uses eFiling for this collection as a means of reducing burden for respondents, including small entities. </w:t>
      </w:r>
      <w:r w:rsidR="002B785B" w:rsidRPr="002B785B">
        <w:rPr>
          <w:rFonts w:eastAsia="Calibri"/>
          <w:szCs w:val="26"/>
        </w:rPr>
        <w:t>Small entities have the option of filing electronically through the eFiling interface as a means of reducing their incurred burden.  However, eFiling is a means of submission available to all respondents with no regard to size.</w:t>
      </w:r>
    </w:p>
    <w:p w:rsidR="002B785B" w:rsidRPr="002B785B" w:rsidRDefault="002B785B" w:rsidP="002B785B">
      <w:pPr>
        <w:widowControl/>
        <w:autoSpaceDE/>
        <w:autoSpaceDN/>
        <w:adjustRightInd/>
        <w:spacing w:after="200"/>
        <w:rPr>
          <w:rFonts w:eastAsia="Calibri"/>
          <w:bCs/>
          <w:szCs w:val="26"/>
        </w:rPr>
      </w:pPr>
      <w:r w:rsidRPr="002B785B">
        <w:rPr>
          <w:rFonts w:eastAsia="Calibri"/>
          <w:bCs/>
          <w:szCs w:val="26"/>
        </w:rPr>
        <w:t>The burden will vary among applicants since the information should be specific for each applicant and site.</w:t>
      </w:r>
    </w:p>
    <w:p w:rsidR="00F671ED" w:rsidRDefault="00F671ED" w:rsidP="00F671ED">
      <w:pPr>
        <w:widowControl/>
        <w:rPr>
          <w:szCs w:val="26"/>
        </w:rPr>
      </w:pPr>
    </w:p>
    <w:p w:rsidR="00F671ED" w:rsidRPr="00544199" w:rsidRDefault="00F671ED" w:rsidP="00F671ED">
      <w:pPr>
        <w:pStyle w:val="ListParagraph"/>
        <w:widowControl/>
        <w:numPr>
          <w:ilvl w:val="0"/>
          <w:numId w:val="3"/>
        </w:numPr>
        <w:ind w:left="360"/>
        <w:rPr>
          <w:b/>
          <w:szCs w:val="26"/>
        </w:rPr>
      </w:pPr>
      <w:r w:rsidRPr="00544199">
        <w:rPr>
          <w:b/>
          <w:szCs w:val="26"/>
        </w:rPr>
        <w:t>CONSEQUENCE TO FEDERAL PROGRAM IF COLLECTION WERE CONDUCTED LESS FREQUENTLY</w:t>
      </w:r>
    </w:p>
    <w:p w:rsidR="00F671ED" w:rsidRPr="00544199" w:rsidRDefault="00F671ED" w:rsidP="00F671ED">
      <w:pPr>
        <w:widowControl/>
        <w:rPr>
          <w:b/>
          <w:szCs w:val="26"/>
        </w:rPr>
      </w:pPr>
    </w:p>
    <w:p w:rsidR="00F671ED" w:rsidRPr="004739F8" w:rsidRDefault="002B785B" w:rsidP="00F671ED">
      <w:pPr>
        <w:widowControl/>
        <w:tabs>
          <w:tab w:val="left" w:pos="0"/>
        </w:tabs>
        <w:rPr>
          <w:szCs w:val="26"/>
        </w:rPr>
      </w:pPr>
      <w:r w:rsidRPr="00071460">
        <w:rPr>
          <w:rFonts w:eastAsia="Calibri"/>
          <w:szCs w:val="26"/>
        </w:rPr>
        <w:t xml:space="preserve">The consequence of not collecting or collecting this information less frequently would be the Commission’s inability to fulfill its statutory </w:t>
      </w:r>
      <w:r w:rsidR="00F671ED">
        <w:rPr>
          <w:szCs w:val="26"/>
        </w:rPr>
        <w:t>provisions of FPA Section 24</w:t>
      </w:r>
      <w:r w:rsidR="00F671ED">
        <w:rPr>
          <w:bCs/>
          <w:szCs w:val="26"/>
        </w:rPr>
        <w:t>.</w:t>
      </w:r>
    </w:p>
    <w:p w:rsidR="00F671ED" w:rsidRPr="00544199" w:rsidRDefault="00F671ED" w:rsidP="00F671ED">
      <w:pPr>
        <w:widowControl/>
        <w:rPr>
          <w:szCs w:val="26"/>
        </w:rPr>
      </w:pPr>
    </w:p>
    <w:p w:rsidR="00F671ED" w:rsidRPr="00544199" w:rsidRDefault="00F671ED" w:rsidP="00F671ED">
      <w:pPr>
        <w:widowControl/>
        <w:tabs>
          <w:tab w:val="left" w:pos="360"/>
        </w:tabs>
        <w:ind w:left="360" w:hanging="360"/>
        <w:rPr>
          <w:b/>
          <w:szCs w:val="26"/>
        </w:rPr>
      </w:pPr>
      <w:r w:rsidRPr="00544199">
        <w:rPr>
          <w:b/>
          <w:szCs w:val="26"/>
        </w:rPr>
        <w:t>7</w:t>
      </w:r>
      <w:r w:rsidRPr="00544199">
        <w:rPr>
          <w:szCs w:val="26"/>
        </w:rPr>
        <w:t>.</w:t>
      </w:r>
      <w:r w:rsidRPr="00544199">
        <w:rPr>
          <w:szCs w:val="26"/>
        </w:rPr>
        <w:tab/>
      </w:r>
      <w:r w:rsidRPr="00544199">
        <w:rPr>
          <w:b/>
          <w:szCs w:val="26"/>
        </w:rPr>
        <w:t>EXPLAIN ANY SPECIAL CIRCUMSTANCES RELATING TO THE INFORMATION COLLECTION</w:t>
      </w:r>
    </w:p>
    <w:p w:rsidR="00F671ED" w:rsidRPr="00544199" w:rsidRDefault="00F671ED" w:rsidP="00F671ED">
      <w:pPr>
        <w:widowControl/>
        <w:tabs>
          <w:tab w:val="left" w:pos="0"/>
        </w:tabs>
        <w:rPr>
          <w:szCs w:val="26"/>
        </w:rPr>
      </w:pPr>
    </w:p>
    <w:p w:rsidR="00F671ED" w:rsidRPr="00DE4D5F" w:rsidRDefault="00F671ED" w:rsidP="00F671ED">
      <w:pPr>
        <w:widowControl/>
        <w:tabs>
          <w:tab w:val="left" w:pos="-1440"/>
        </w:tabs>
        <w:spacing w:after="200"/>
        <w:rPr>
          <w:szCs w:val="26"/>
        </w:rPr>
      </w:pPr>
      <w:r w:rsidRPr="002B785B">
        <w:rPr>
          <w:szCs w:val="26"/>
        </w:rPr>
        <w:t>The requirements meet all of OMB's section 1320.5 requirements; however, if an applicant opts to not file electronically, they would have to submit an original and two copies which satisfy the requirements in section 1320.5(d)(2)(iii).  While the Commission encourages applicants to submit their filings electronically, this is the applicant’s option.</w:t>
      </w:r>
    </w:p>
    <w:p w:rsidR="00F671ED" w:rsidRPr="00544199" w:rsidRDefault="00F671ED" w:rsidP="00F671ED">
      <w:pPr>
        <w:widowControl/>
        <w:rPr>
          <w:szCs w:val="26"/>
        </w:rPr>
      </w:pPr>
    </w:p>
    <w:p w:rsidR="00F671ED" w:rsidRPr="003A636B" w:rsidRDefault="00F671ED" w:rsidP="00F671ED">
      <w:pPr>
        <w:widowControl/>
        <w:ind w:left="360" w:hanging="360"/>
        <w:rPr>
          <w:b/>
          <w:szCs w:val="26"/>
        </w:rPr>
      </w:pPr>
      <w:r w:rsidRPr="003A636B">
        <w:rPr>
          <w:b/>
          <w:szCs w:val="26"/>
        </w:rPr>
        <w:t>8.</w:t>
      </w:r>
      <w:r>
        <w:rPr>
          <w:b/>
          <w:szCs w:val="26"/>
        </w:rPr>
        <w:tab/>
      </w:r>
      <w:r w:rsidRPr="003A636B">
        <w:rPr>
          <w:b/>
          <w:szCs w:val="26"/>
        </w:rPr>
        <w:t xml:space="preserve">DESCRIBE EFFORTS TO CONSULT OUTSIDE THE AGENCY:   SUMMARIZE </w:t>
      </w:r>
      <w:r w:rsidRPr="00EB3D7B">
        <w:rPr>
          <w:b/>
          <w:szCs w:val="26"/>
        </w:rPr>
        <w:t>PUBLIC COMMENTS</w:t>
      </w:r>
      <w:r w:rsidRPr="003A636B">
        <w:rPr>
          <w:b/>
          <w:szCs w:val="26"/>
        </w:rPr>
        <w:t xml:space="preserve"> AND THE AGENCY’S RESPONSE TO THESE COMMENTS</w:t>
      </w:r>
    </w:p>
    <w:p w:rsidR="00F671ED" w:rsidRPr="003A636B" w:rsidRDefault="00F671ED" w:rsidP="00F671ED">
      <w:pPr>
        <w:ind w:left="720" w:hanging="720"/>
      </w:pPr>
    </w:p>
    <w:p w:rsidR="002B785B" w:rsidRDefault="00F671ED" w:rsidP="00F671ED">
      <w:pPr>
        <w:rPr>
          <w:szCs w:val="26"/>
        </w:rPr>
      </w:pPr>
      <w:r>
        <w:rPr>
          <w:szCs w:val="26"/>
        </w:rPr>
        <w:t>In accordance with OMB requirements</w:t>
      </w:r>
      <w:r w:rsidR="00504762">
        <w:rPr>
          <w:szCs w:val="26"/>
        </w:rPr>
        <w:t>,</w:t>
      </w:r>
      <w:r w:rsidRPr="002A2E1F">
        <w:rPr>
          <w:rStyle w:val="FootnoteReference"/>
          <w:szCs w:val="26"/>
        </w:rPr>
        <w:footnoteReference w:id="4"/>
      </w:r>
      <w:r>
        <w:rPr>
          <w:szCs w:val="26"/>
        </w:rPr>
        <w:t xml:space="preserve"> t</w:t>
      </w:r>
      <w:r w:rsidRPr="00574AA0">
        <w:rPr>
          <w:szCs w:val="26"/>
        </w:rPr>
        <w:t>he Commission published a 60-day notice</w:t>
      </w:r>
      <w:r w:rsidRPr="00574AA0">
        <w:rPr>
          <w:szCs w:val="26"/>
          <w:vertAlign w:val="superscript"/>
        </w:rPr>
        <w:footnoteReference w:id="5"/>
      </w:r>
      <w:r w:rsidRPr="00574AA0">
        <w:rPr>
          <w:szCs w:val="26"/>
        </w:rPr>
        <w:t xml:space="preserve"> </w:t>
      </w:r>
      <w:r w:rsidR="00AA62AA">
        <w:rPr>
          <w:szCs w:val="26"/>
        </w:rPr>
        <w:t xml:space="preserve"> </w:t>
      </w:r>
      <w:r w:rsidRPr="00574AA0">
        <w:rPr>
          <w:szCs w:val="26"/>
        </w:rPr>
        <w:t xml:space="preserve"> to the public regarding </w:t>
      </w:r>
      <w:r>
        <w:rPr>
          <w:szCs w:val="26"/>
        </w:rPr>
        <w:t xml:space="preserve">this information collection on </w:t>
      </w:r>
      <w:r w:rsidR="00603BE4">
        <w:rPr>
          <w:szCs w:val="26"/>
        </w:rPr>
        <w:t>7/</w:t>
      </w:r>
      <w:r w:rsidR="00EC3A3D">
        <w:rPr>
          <w:szCs w:val="26"/>
        </w:rPr>
        <w:t>11</w:t>
      </w:r>
      <w:r w:rsidR="00603BE4">
        <w:rPr>
          <w:szCs w:val="26"/>
        </w:rPr>
        <w:t>/2018</w:t>
      </w:r>
      <w:r w:rsidR="00AA62AA">
        <w:rPr>
          <w:szCs w:val="26"/>
        </w:rPr>
        <w:t>.</w:t>
      </w:r>
      <w:r w:rsidRPr="00574AA0">
        <w:rPr>
          <w:szCs w:val="26"/>
        </w:rPr>
        <w:t>.</w:t>
      </w:r>
      <w:r w:rsidR="00504762">
        <w:rPr>
          <w:szCs w:val="26"/>
        </w:rPr>
        <w:t xml:space="preserve">  No comment</w:t>
      </w:r>
      <w:r w:rsidR="00F71DB2">
        <w:rPr>
          <w:szCs w:val="26"/>
        </w:rPr>
        <w:t>s</w:t>
      </w:r>
      <w:r w:rsidR="00504762">
        <w:rPr>
          <w:szCs w:val="26"/>
        </w:rPr>
        <w:t xml:space="preserve"> were received</w:t>
      </w:r>
      <w:r w:rsidR="006D2CC2">
        <w:rPr>
          <w:szCs w:val="26"/>
        </w:rPr>
        <w:t xml:space="preserve"> during 60-day comment period</w:t>
      </w:r>
      <w:r w:rsidR="00504762">
        <w:rPr>
          <w:szCs w:val="26"/>
        </w:rPr>
        <w:t xml:space="preserve">. </w:t>
      </w:r>
      <w:r w:rsidR="00AA62AA">
        <w:rPr>
          <w:szCs w:val="26"/>
        </w:rPr>
        <w:t xml:space="preserve">The 30-day notice is being published in the Federal Register. </w:t>
      </w:r>
      <w:r w:rsidR="00504762">
        <w:rPr>
          <w:szCs w:val="26"/>
        </w:rPr>
        <w:t xml:space="preserve"> </w:t>
      </w:r>
    </w:p>
    <w:p w:rsidR="002B785B" w:rsidRDefault="002B785B" w:rsidP="00F671ED">
      <w:pPr>
        <w:rPr>
          <w:szCs w:val="26"/>
        </w:rPr>
      </w:pPr>
    </w:p>
    <w:p w:rsidR="00F671ED" w:rsidRDefault="00F671ED" w:rsidP="007D5409">
      <w:pPr>
        <w:rPr>
          <w:szCs w:val="26"/>
        </w:rPr>
      </w:pPr>
      <w:r w:rsidRPr="00574AA0">
        <w:rPr>
          <w:szCs w:val="26"/>
        </w:rPr>
        <w:t>Within the public notice, the Commission noted that it would be requesting a three-year extension of the public reporting burden with no change to the existing requirements concerning the collection of data</w:t>
      </w:r>
      <w:r w:rsidR="00F71DB2">
        <w:rPr>
          <w:szCs w:val="26"/>
        </w:rPr>
        <w:t>,</w:t>
      </w:r>
      <w:r w:rsidR="009D4321">
        <w:rPr>
          <w:szCs w:val="26"/>
        </w:rPr>
        <w:t xml:space="preserve"> </w:t>
      </w:r>
      <w:r w:rsidR="00F71DB2">
        <w:rPr>
          <w:szCs w:val="26"/>
        </w:rPr>
        <w:t>and de minimus changes to the instructions</w:t>
      </w:r>
      <w:r w:rsidRPr="00574AA0">
        <w:rPr>
          <w:szCs w:val="26"/>
        </w:rPr>
        <w:t>.</w:t>
      </w:r>
      <w:r w:rsidR="00452E8B">
        <w:rPr>
          <w:szCs w:val="26"/>
        </w:rPr>
        <w:t xml:space="preserve">  The changes to the instruction were done to decrease burden by bringing the application process from the microfilm era into the current technology era.</w:t>
      </w:r>
      <w:r w:rsidRPr="00574AA0">
        <w:rPr>
          <w:szCs w:val="26"/>
        </w:rPr>
        <w:t xml:space="preserve">  </w:t>
      </w:r>
    </w:p>
    <w:p w:rsidR="00F671ED" w:rsidRPr="003A636B" w:rsidRDefault="00F671ED" w:rsidP="00F671ED">
      <w:pPr>
        <w:widowControl/>
        <w:ind w:left="360" w:hanging="360"/>
        <w:rPr>
          <w:b/>
          <w:szCs w:val="26"/>
        </w:rPr>
      </w:pPr>
      <w:r w:rsidRPr="003A636B">
        <w:rPr>
          <w:b/>
          <w:szCs w:val="26"/>
        </w:rPr>
        <w:t>9.</w:t>
      </w:r>
      <w:r w:rsidRPr="003A636B">
        <w:rPr>
          <w:szCs w:val="26"/>
        </w:rPr>
        <w:t xml:space="preserve"> </w:t>
      </w:r>
      <w:r>
        <w:rPr>
          <w:szCs w:val="26"/>
        </w:rPr>
        <w:tab/>
      </w:r>
      <w:r w:rsidRPr="003A636B">
        <w:rPr>
          <w:b/>
          <w:szCs w:val="26"/>
        </w:rPr>
        <w:t>EXPLAIN ANY PAYMENT OR GIFTS TO RESPONDENTS</w:t>
      </w:r>
    </w:p>
    <w:p w:rsidR="00F671ED" w:rsidRPr="003A636B" w:rsidRDefault="00F671ED" w:rsidP="00F671ED">
      <w:pPr>
        <w:widowControl/>
        <w:ind w:firstLine="720"/>
        <w:rPr>
          <w:szCs w:val="26"/>
        </w:rPr>
      </w:pPr>
    </w:p>
    <w:p w:rsidR="00F671ED" w:rsidRPr="003A636B" w:rsidRDefault="00F671ED" w:rsidP="00F671ED">
      <w:pPr>
        <w:widowControl/>
        <w:rPr>
          <w:szCs w:val="26"/>
        </w:rPr>
      </w:pPr>
      <w:r>
        <w:rPr>
          <w:szCs w:val="26"/>
        </w:rPr>
        <w:t>There are no payments or gifts to FERC-587 respondents</w:t>
      </w:r>
      <w:r w:rsidRPr="003A636B">
        <w:rPr>
          <w:szCs w:val="26"/>
        </w:rPr>
        <w:t>.</w:t>
      </w:r>
    </w:p>
    <w:p w:rsidR="00F671ED" w:rsidRPr="003A636B" w:rsidRDefault="00F671ED" w:rsidP="00F671ED">
      <w:pPr>
        <w:widowControl/>
        <w:ind w:firstLine="720"/>
        <w:rPr>
          <w:szCs w:val="26"/>
        </w:rPr>
      </w:pPr>
    </w:p>
    <w:p w:rsidR="00F671ED" w:rsidRPr="003A636B" w:rsidRDefault="00F671ED" w:rsidP="00F671ED">
      <w:pPr>
        <w:widowControl/>
        <w:ind w:left="360" w:hanging="360"/>
        <w:rPr>
          <w:b/>
          <w:szCs w:val="26"/>
        </w:rPr>
      </w:pPr>
      <w:r w:rsidRPr="003A636B">
        <w:rPr>
          <w:b/>
          <w:szCs w:val="26"/>
        </w:rPr>
        <w:t>10.</w:t>
      </w:r>
      <w:r>
        <w:rPr>
          <w:b/>
          <w:szCs w:val="26"/>
        </w:rPr>
        <w:tab/>
      </w:r>
      <w:r w:rsidRPr="003A636B">
        <w:rPr>
          <w:b/>
          <w:szCs w:val="26"/>
        </w:rPr>
        <w:t>DESCRIBE ANY ASSURANCE OF CONFIDENTIALITY PROVIDED TO RESPONDENTS</w:t>
      </w:r>
    </w:p>
    <w:p w:rsidR="00F671ED" w:rsidRPr="003A636B" w:rsidRDefault="00F671ED" w:rsidP="00F671ED">
      <w:pPr>
        <w:widowControl/>
        <w:rPr>
          <w:szCs w:val="26"/>
        </w:rPr>
      </w:pPr>
    </w:p>
    <w:p w:rsidR="00F671ED" w:rsidRPr="0080617B" w:rsidRDefault="00F671ED" w:rsidP="00F671ED">
      <w:pPr>
        <w:widowControl/>
        <w:rPr>
          <w:szCs w:val="26"/>
        </w:rPr>
      </w:pPr>
      <w:r w:rsidRPr="00660127">
        <w:rPr>
          <w:szCs w:val="26"/>
        </w:rPr>
        <w:t xml:space="preserve">The Commission does not consider the information collected in </w:t>
      </w:r>
      <w:r>
        <w:rPr>
          <w:szCs w:val="26"/>
        </w:rPr>
        <w:t>FERC-587</w:t>
      </w:r>
      <w:r w:rsidRPr="00660127">
        <w:rPr>
          <w:szCs w:val="26"/>
        </w:rPr>
        <w:t xml:space="preserve"> filings to be confidential</w:t>
      </w:r>
      <w:r>
        <w:rPr>
          <w:szCs w:val="26"/>
        </w:rPr>
        <w:t>.  However</w:t>
      </w:r>
      <w:r w:rsidRPr="00660127">
        <w:rPr>
          <w:szCs w:val="26"/>
        </w:rPr>
        <w:t>, the Commission will consider specific requests for confidential treatment to the extent permitted by law pursuant</w:t>
      </w:r>
      <w:r>
        <w:rPr>
          <w:szCs w:val="26"/>
        </w:rPr>
        <w:t xml:space="preserve"> to the requirements of </w:t>
      </w:r>
      <w:r w:rsidRPr="004A589E">
        <w:rPr>
          <w:szCs w:val="26"/>
        </w:rPr>
        <w:t>18 CFR 388.112(a)(1)</w:t>
      </w:r>
      <w:r>
        <w:rPr>
          <w:szCs w:val="26"/>
        </w:rPr>
        <w:t>.</w:t>
      </w:r>
      <w:r w:rsidRPr="00660127">
        <w:rPr>
          <w:szCs w:val="26"/>
        </w:rPr>
        <w:t xml:space="preserve">  The Commission will review each request for confidential treatment on a case-by-case basis</w:t>
      </w:r>
      <w:r>
        <w:rPr>
          <w:szCs w:val="26"/>
        </w:rPr>
        <w:t>.</w:t>
      </w:r>
    </w:p>
    <w:p w:rsidR="00F671ED" w:rsidRPr="003A636B" w:rsidRDefault="00F671ED" w:rsidP="00F671ED">
      <w:pPr>
        <w:widowControl/>
        <w:rPr>
          <w:szCs w:val="26"/>
        </w:rPr>
      </w:pPr>
    </w:p>
    <w:p w:rsidR="00F671ED" w:rsidRPr="00020486" w:rsidRDefault="00F671ED" w:rsidP="00F671ED">
      <w:pPr>
        <w:widowControl/>
        <w:tabs>
          <w:tab w:val="left" w:pos="360"/>
        </w:tabs>
        <w:ind w:left="360" w:hanging="360"/>
        <w:rPr>
          <w:b/>
          <w:szCs w:val="26"/>
        </w:rPr>
      </w:pPr>
      <w:r w:rsidRPr="003A636B">
        <w:rPr>
          <w:b/>
          <w:szCs w:val="26"/>
        </w:rPr>
        <w:t>11.</w:t>
      </w:r>
      <w:r>
        <w:rPr>
          <w:b/>
          <w:szCs w:val="26"/>
        </w:rPr>
        <w:tab/>
      </w:r>
      <w:r w:rsidRPr="00020486">
        <w:rPr>
          <w:b/>
          <w:szCs w:val="26"/>
        </w:rPr>
        <w:t>PROVIDE ADDITIONAL JUSTIFICATION FOR ANY QUESTIONS OF A SENSITIVE NATURE, SUCH AS SEXUAL BEHAVIOR AND ATTITUDES, RELIGIOUS BELIEFS, AND OTHER MATTERS THAT ARE COMMONLY CONSIDERED PRIVATE.</w:t>
      </w:r>
    </w:p>
    <w:p w:rsidR="00F671ED" w:rsidRPr="00020486" w:rsidRDefault="00F671ED" w:rsidP="00F671ED">
      <w:pPr>
        <w:widowControl/>
        <w:tabs>
          <w:tab w:val="left" w:pos="360"/>
        </w:tabs>
        <w:ind w:left="360" w:hanging="360"/>
        <w:rPr>
          <w:b/>
          <w:szCs w:val="26"/>
        </w:rPr>
      </w:pPr>
    </w:p>
    <w:p w:rsidR="00F671ED" w:rsidRDefault="00F671ED" w:rsidP="00F671ED">
      <w:pPr>
        <w:widowControl/>
        <w:rPr>
          <w:szCs w:val="26"/>
        </w:rPr>
      </w:pPr>
      <w:r w:rsidRPr="00A26A0D">
        <w:rPr>
          <w:szCs w:val="26"/>
        </w:rPr>
        <w:t>There are no questions of a sensitive nature that are considered private</w:t>
      </w:r>
      <w:r>
        <w:rPr>
          <w:szCs w:val="26"/>
        </w:rPr>
        <w:t xml:space="preserve"> in the FERC-587.</w:t>
      </w:r>
    </w:p>
    <w:p w:rsidR="00F671ED" w:rsidRPr="003A636B" w:rsidRDefault="00F671ED" w:rsidP="00F671ED">
      <w:pPr>
        <w:widowControl/>
        <w:rPr>
          <w:szCs w:val="26"/>
        </w:rPr>
      </w:pPr>
    </w:p>
    <w:p w:rsidR="00F671ED" w:rsidRDefault="00F671ED" w:rsidP="00F671ED">
      <w:pPr>
        <w:widowControl/>
        <w:tabs>
          <w:tab w:val="left" w:pos="360"/>
        </w:tabs>
        <w:ind w:left="360" w:hanging="360"/>
        <w:rPr>
          <w:b/>
          <w:szCs w:val="26"/>
        </w:rPr>
      </w:pPr>
      <w:r w:rsidRPr="003A636B">
        <w:rPr>
          <w:b/>
          <w:szCs w:val="26"/>
        </w:rPr>
        <w:t>12.</w:t>
      </w:r>
      <w:r>
        <w:rPr>
          <w:b/>
          <w:szCs w:val="26"/>
        </w:rPr>
        <w:tab/>
      </w:r>
      <w:r w:rsidRPr="003A636B">
        <w:rPr>
          <w:b/>
          <w:szCs w:val="26"/>
        </w:rPr>
        <w:t>ESTIMATED BURDEN OF COLLECTION OF INFORMATION</w:t>
      </w:r>
    </w:p>
    <w:p w:rsidR="00F671ED" w:rsidRDefault="00F671ED" w:rsidP="00F671ED">
      <w:pPr>
        <w:widowControl/>
        <w:tabs>
          <w:tab w:val="left" w:pos="720"/>
        </w:tabs>
        <w:ind w:left="720" w:hanging="720"/>
        <w:rPr>
          <w:b/>
          <w:szCs w:val="26"/>
        </w:rPr>
      </w:pPr>
    </w:p>
    <w:p w:rsidR="00F671ED" w:rsidRDefault="00EB3D7B" w:rsidP="00F671ED">
      <w:pPr>
        <w:rPr>
          <w:szCs w:val="26"/>
        </w:rPr>
      </w:pPr>
      <w:r w:rsidRPr="00EB3D7B">
        <w:rPr>
          <w:szCs w:val="26"/>
        </w:rPr>
        <w:t>The Commission estimates the burden</w:t>
      </w:r>
      <w:r w:rsidRPr="00EB3D7B">
        <w:rPr>
          <w:szCs w:val="26"/>
          <w:vertAlign w:val="superscript"/>
        </w:rPr>
        <w:footnoteReference w:id="6"/>
      </w:r>
      <w:r w:rsidRPr="00EB3D7B">
        <w:rPr>
          <w:szCs w:val="26"/>
          <w:vertAlign w:val="superscript"/>
        </w:rPr>
        <w:t xml:space="preserve"> </w:t>
      </w:r>
      <w:r w:rsidRPr="00EB3D7B">
        <w:rPr>
          <w:szCs w:val="26"/>
        </w:rPr>
        <w:t>and cost for this information collection as follows</w:t>
      </w:r>
      <w:r>
        <w:rPr>
          <w:szCs w:val="26"/>
        </w:rPr>
        <w:t>:</w:t>
      </w:r>
    </w:p>
    <w:p w:rsidR="00F671ED" w:rsidRDefault="00F671ED" w:rsidP="00F671ED">
      <w:pPr>
        <w:rPr>
          <w:szCs w:val="26"/>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012"/>
        <w:gridCol w:w="1203"/>
        <w:gridCol w:w="1203"/>
        <w:gridCol w:w="1475"/>
        <w:gridCol w:w="1659"/>
        <w:gridCol w:w="1559"/>
        <w:gridCol w:w="8"/>
        <w:gridCol w:w="6"/>
      </w:tblGrid>
      <w:tr w:rsidR="00F671ED" w:rsidRPr="00D77538" w:rsidTr="00997272">
        <w:trPr>
          <w:gridAfter w:val="2"/>
          <w:wAfter w:w="7" w:type="pct"/>
          <w:cantSplit/>
          <w:trHeight w:val="483"/>
        </w:trPr>
        <w:tc>
          <w:tcPr>
            <w:tcW w:w="4993" w:type="pct"/>
            <w:gridSpan w:val="7"/>
            <w:tcBorders>
              <w:bottom w:val="single" w:sz="4" w:space="0" w:color="auto"/>
            </w:tcBorders>
            <w:shd w:val="clear" w:color="auto" w:fill="D9D9D9"/>
          </w:tcPr>
          <w:p w:rsidR="00F671ED" w:rsidRPr="006A60CF" w:rsidRDefault="00F671ED" w:rsidP="00C81DBE">
            <w:pPr>
              <w:jc w:val="center"/>
              <w:rPr>
                <w:rFonts w:eastAsia="Calibri"/>
                <w:b/>
                <w:sz w:val="20"/>
                <w:szCs w:val="20"/>
              </w:rPr>
            </w:pPr>
            <w:r w:rsidRPr="00057FF7">
              <w:rPr>
                <w:rFonts w:eastAsia="Calibri"/>
                <w:b/>
                <w:sz w:val="20"/>
                <w:szCs w:val="20"/>
              </w:rPr>
              <w:t>FERC-587: Land Description (Public Land States/Non-Public Land States [Rectangular or Non-Rectangular Survey System Lands in Public Land States])</w:t>
            </w:r>
          </w:p>
        </w:tc>
      </w:tr>
      <w:tr w:rsidR="00997272" w:rsidRPr="00D77538" w:rsidTr="00997272">
        <w:trPr>
          <w:cantSplit/>
          <w:trHeight w:val="1424"/>
        </w:trPr>
        <w:tc>
          <w:tcPr>
            <w:tcW w:w="758" w:type="pct"/>
            <w:shd w:val="clear" w:color="auto" w:fill="D9D9D9"/>
          </w:tcPr>
          <w:p w:rsidR="00F671ED" w:rsidRPr="006A60CF" w:rsidRDefault="00F671ED" w:rsidP="00C81DBE">
            <w:pPr>
              <w:jc w:val="center"/>
              <w:rPr>
                <w:rFonts w:eastAsia="Calibri"/>
                <w:b/>
                <w:sz w:val="20"/>
                <w:szCs w:val="20"/>
              </w:rPr>
            </w:pPr>
          </w:p>
        </w:tc>
        <w:tc>
          <w:tcPr>
            <w:tcW w:w="529" w:type="pct"/>
            <w:shd w:val="clear" w:color="auto" w:fill="D9D9D9"/>
            <w:vAlign w:val="bottom"/>
          </w:tcPr>
          <w:p w:rsidR="00F671ED" w:rsidRPr="006A60CF" w:rsidRDefault="00F671ED" w:rsidP="00C81DBE">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628" w:type="pct"/>
            <w:shd w:val="clear" w:color="auto" w:fill="D9D9D9"/>
            <w:vAlign w:val="bottom"/>
          </w:tcPr>
          <w:p w:rsidR="00F671ED" w:rsidRPr="006A60CF" w:rsidRDefault="00F671ED" w:rsidP="00C81DBE">
            <w:pPr>
              <w:jc w:val="center"/>
              <w:rPr>
                <w:rFonts w:eastAsia="Calibri"/>
                <w:b/>
                <w:sz w:val="20"/>
                <w:szCs w:val="20"/>
              </w:rPr>
            </w:pPr>
            <w:r w:rsidRPr="006A60CF">
              <w:rPr>
                <w:rFonts w:eastAsia="Calibri"/>
                <w:b/>
                <w:sz w:val="20"/>
                <w:szCs w:val="20"/>
              </w:rPr>
              <w:t>Annual Number of Responses per Respondent</w:t>
            </w:r>
          </w:p>
          <w:p w:rsidR="00F671ED" w:rsidRPr="006A60CF" w:rsidRDefault="00F671ED" w:rsidP="00C81DBE">
            <w:pPr>
              <w:jc w:val="center"/>
              <w:rPr>
                <w:rFonts w:eastAsia="Calibri"/>
                <w:b/>
                <w:sz w:val="20"/>
                <w:szCs w:val="20"/>
              </w:rPr>
            </w:pPr>
            <w:r w:rsidRPr="006A60CF">
              <w:rPr>
                <w:rFonts w:eastAsia="Calibri"/>
                <w:b/>
                <w:sz w:val="20"/>
                <w:szCs w:val="20"/>
              </w:rPr>
              <w:t>(2)</w:t>
            </w:r>
          </w:p>
        </w:tc>
        <w:tc>
          <w:tcPr>
            <w:tcW w:w="628" w:type="pct"/>
            <w:shd w:val="clear" w:color="auto" w:fill="D9D9D9"/>
            <w:vAlign w:val="bottom"/>
          </w:tcPr>
          <w:p w:rsidR="00F671ED" w:rsidRPr="006A60CF" w:rsidRDefault="00F671ED" w:rsidP="00C81DBE">
            <w:pPr>
              <w:jc w:val="center"/>
              <w:rPr>
                <w:rFonts w:eastAsia="Calibri"/>
                <w:b/>
                <w:sz w:val="20"/>
                <w:szCs w:val="20"/>
              </w:rPr>
            </w:pPr>
            <w:r w:rsidRPr="006A60CF">
              <w:rPr>
                <w:rFonts w:eastAsia="Calibri"/>
                <w:b/>
                <w:sz w:val="20"/>
                <w:szCs w:val="20"/>
              </w:rPr>
              <w:t>Total Number of Responses (1)*(2)=(3)</w:t>
            </w:r>
          </w:p>
        </w:tc>
        <w:tc>
          <w:tcPr>
            <w:tcW w:w="770" w:type="pct"/>
            <w:shd w:val="clear" w:color="auto" w:fill="D9D9D9"/>
            <w:vAlign w:val="bottom"/>
          </w:tcPr>
          <w:p w:rsidR="00F671ED" w:rsidRPr="006A60CF" w:rsidRDefault="00F671ED" w:rsidP="00C81DBE">
            <w:pPr>
              <w:jc w:val="center"/>
              <w:rPr>
                <w:rFonts w:eastAsia="Calibri"/>
                <w:b/>
                <w:sz w:val="20"/>
                <w:szCs w:val="20"/>
              </w:rPr>
            </w:pPr>
            <w:r w:rsidRPr="006A60CF">
              <w:rPr>
                <w:rFonts w:eastAsia="Calibri"/>
                <w:b/>
                <w:sz w:val="20"/>
                <w:szCs w:val="20"/>
              </w:rPr>
              <w:t>Average Burden</w:t>
            </w:r>
            <w:r>
              <w:rPr>
                <w:rFonts w:eastAsia="Calibri"/>
                <w:b/>
                <w:sz w:val="20"/>
                <w:szCs w:val="20"/>
              </w:rPr>
              <w:t xml:space="preserve"> </w:t>
            </w:r>
            <w:r w:rsidR="00F71DB2">
              <w:rPr>
                <w:rFonts w:eastAsia="Calibri"/>
                <w:b/>
                <w:sz w:val="20"/>
                <w:szCs w:val="20"/>
              </w:rPr>
              <w:t xml:space="preserve">Hrs. </w:t>
            </w:r>
            <w:r>
              <w:rPr>
                <w:rFonts w:eastAsia="Calibri"/>
                <w:b/>
                <w:sz w:val="20"/>
                <w:szCs w:val="20"/>
              </w:rPr>
              <w:t xml:space="preserve">&amp; </w:t>
            </w:r>
            <w:r w:rsidRPr="006A60CF">
              <w:rPr>
                <w:rFonts w:eastAsia="Calibri"/>
                <w:b/>
                <w:sz w:val="20"/>
                <w:szCs w:val="20"/>
              </w:rPr>
              <w:t xml:space="preserve">Cost </w:t>
            </w:r>
            <w:r w:rsidR="00F71DB2">
              <w:rPr>
                <w:rFonts w:eastAsia="Calibri"/>
                <w:b/>
                <w:sz w:val="20"/>
                <w:szCs w:val="20"/>
              </w:rPr>
              <w:t xml:space="preserve">($) </w:t>
            </w:r>
            <w:r w:rsidRPr="006A60CF">
              <w:rPr>
                <w:rFonts w:eastAsia="Calibri"/>
                <w:b/>
                <w:sz w:val="20"/>
                <w:szCs w:val="20"/>
              </w:rPr>
              <w:t>Per Response</w:t>
            </w:r>
          </w:p>
          <w:p w:rsidR="00F671ED" w:rsidRPr="006A60CF" w:rsidRDefault="00F671ED" w:rsidP="00C81DBE">
            <w:pPr>
              <w:jc w:val="center"/>
              <w:rPr>
                <w:rFonts w:eastAsia="Calibri"/>
                <w:b/>
                <w:sz w:val="20"/>
                <w:szCs w:val="20"/>
              </w:rPr>
            </w:pPr>
            <w:r w:rsidRPr="006A60CF">
              <w:rPr>
                <w:rFonts w:eastAsia="Calibri"/>
                <w:b/>
                <w:sz w:val="20"/>
                <w:szCs w:val="20"/>
              </w:rPr>
              <w:t>(4)</w:t>
            </w:r>
          </w:p>
        </w:tc>
        <w:tc>
          <w:tcPr>
            <w:tcW w:w="866" w:type="pct"/>
            <w:shd w:val="clear" w:color="auto" w:fill="D9D9D9"/>
            <w:vAlign w:val="bottom"/>
          </w:tcPr>
          <w:p w:rsidR="00F671ED" w:rsidRPr="006A60CF" w:rsidRDefault="00F671ED" w:rsidP="00C81DBE">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r w:rsidR="00F71DB2">
              <w:rPr>
                <w:rFonts w:eastAsia="Calibri"/>
                <w:b/>
                <w:sz w:val="20"/>
                <w:szCs w:val="20"/>
              </w:rPr>
              <w:t xml:space="preserve"> ($)</w:t>
            </w:r>
          </w:p>
          <w:p w:rsidR="00F671ED" w:rsidRPr="006A60CF" w:rsidRDefault="00F671ED" w:rsidP="00C81DBE">
            <w:pPr>
              <w:jc w:val="center"/>
              <w:rPr>
                <w:rFonts w:eastAsia="Calibri"/>
                <w:b/>
                <w:sz w:val="20"/>
                <w:szCs w:val="20"/>
              </w:rPr>
            </w:pPr>
            <w:r w:rsidRPr="006A60CF">
              <w:rPr>
                <w:rFonts w:eastAsia="Calibri"/>
                <w:b/>
                <w:sz w:val="20"/>
                <w:szCs w:val="20"/>
              </w:rPr>
              <w:t>(3)*(4)=(5)</w:t>
            </w:r>
          </w:p>
        </w:tc>
        <w:tc>
          <w:tcPr>
            <w:tcW w:w="821" w:type="pct"/>
            <w:gridSpan w:val="3"/>
            <w:shd w:val="clear" w:color="auto" w:fill="D9D9D9"/>
            <w:vAlign w:val="bottom"/>
          </w:tcPr>
          <w:p w:rsidR="00F671ED" w:rsidRPr="006A60CF" w:rsidRDefault="00F671ED" w:rsidP="00C81DBE">
            <w:pPr>
              <w:jc w:val="center"/>
              <w:rPr>
                <w:rFonts w:eastAsia="Calibri"/>
                <w:b/>
                <w:sz w:val="20"/>
                <w:szCs w:val="20"/>
              </w:rPr>
            </w:pPr>
            <w:r w:rsidRPr="006A60CF">
              <w:rPr>
                <w:rFonts w:eastAsia="Calibri"/>
                <w:b/>
                <w:sz w:val="20"/>
                <w:szCs w:val="20"/>
              </w:rPr>
              <w:t>Cost per Respondent</w:t>
            </w:r>
          </w:p>
          <w:p w:rsidR="00F671ED" w:rsidRPr="006A60CF" w:rsidRDefault="00F671ED" w:rsidP="00C81DBE">
            <w:pPr>
              <w:jc w:val="center"/>
              <w:rPr>
                <w:rFonts w:eastAsia="Calibri"/>
                <w:b/>
                <w:sz w:val="20"/>
                <w:szCs w:val="20"/>
              </w:rPr>
            </w:pPr>
            <w:r w:rsidRPr="006A60CF">
              <w:rPr>
                <w:rFonts w:eastAsia="Calibri"/>
                <w:b/>
                <w:sz w:val="20"/>
                <w:szCs w:val="20"/>
              </w:rPr>
              <w:t xml:space="preserve"> ($)</w:t>
            </w:r>
          </w:p>
          <w:p w:rsidR="00F671ED" w:rsidRPr="006A60CF" w:rsidRDefault="00F671ED" w:rsidP="00C81DBE">
            <w:pPr>
              <w:jc w:val="center"/>
              <w:rPr>
                <w:rFonts w:eastAsia="Calibri"/>
                <w:b/>
                <w:sz w:val="20"/>
                <w:szCs w:val="20"/>
              </w:rPr>
            </w:pPr>
            <w:r w:rsidRPr="006A60CF">
              <w:rPr>
                <w:rFonts w:eastAsia="Calibri"/>
                <w:b/>
                <w:sz w:val="20"/>
                <w:szCs w:val="20"/>
              </w:rPr>
              <w:t>(5)÷(1)</w:t>
            </w:r>
          </w:p>
        </w:tc>
      </w:tr>
      <w:tr w:rsidR="00997272" w:rsidRPr="00D77538" w:rsidTr="00997272">
        <w:trPr>
          <w:gridAfter w:val="1"/>
          <w:wAfter w:w="3" w:type="pct"/>
          <w:cantSplit/>
          <w:trHeight w:val="496"/>
        </w:trPr>
        <w:tc>
          <w:tcPr>
            <w:tcW w:w="758" w:type="pct"/>
          </w:tcPr>
          <w:p w:rsidR="00F671ED" w:rsidRPr="006A60CF" w:rsidRDefault="00F671ED" w:rsidP="00C81DBE">
            <w:pPr>
              <w:rPr>
                <w:rFonts w:eastAsia="Calibri"/>
                <w:sz w:val="20"/>
                <w:szCs w:val="20"/>
              </w:rPr>
            </w:pPr>
            <w:r>
              <w:rPr>
                <w:rFonts w:eastAsia="Calibri"/>
                <w:sz w:val="20"/>
                <w:szCs w:val="20"/>
              </w:rPr>
              <w:t>Hydropower Project Applicants</w:t>
            </w:r>
          </w:p>
        </w:tc>
        <w:tc>
          <w:tcPr>
            <w:tcW w:w="529" w:type="pct"/>
          </w:tcPr>
          <w:p w:rsidR="00F671ED" w:rsidRPr="006A60CF" w:rsidRDefault="00F671ED" w:rsidP="00C81DBE">
            <w:pPr>
              <w:jc w:val="right"/>
              <w:rPr>
                <w:rFonts w:eastAsia="Calibri"/>
                <w:sz w:val="20"/>
                <w:szCs w:val="20"/>
              </w:rPr>
            </w:pPr>
            <w:r>
              <w:rPr>
                <w:rFonts w:eastAsia="Calibri"/>
                <w:sz w:val="20"/>
                <w:szCs w:val="20"/>
              </w:rPr>
              <w:t>137</w:t>
            </w:r>
          </w:p>
          <w:p w:rsidR="00F671ED" w:rsidRPr="006A60CF" w:rsidRDefault="00F671ED" w:rsidP="00C81DBE">
            <w:pPr>
              <w:jc w:val="right"/>
              <w:rPr>
                <w:rFonts w:eastAsia="Calibri"/>
                <w:sz w:val="20"/>
                <w:szCs w:val="20"/>
              </w:rPr>
            </w:pPr>
          </w:p>
        </w:tc>
        <w:tc>
          <w:tcPr>
            <w:tcW w:w="628" w:type="pct"/>
          </w:tcPr>
          <w:p w:rsidR="00F671ED" w:rsidRPr="006A60CF" w:rsidRDefault="00F671ED" w:rsidP="00C81DBE">
            <w:pPr>
              <w:jc w:val="right"/>
              <w:rPr>
                <w:rFonts w:eastAsia="Calibri"/>
                <w:sz w:val="20"/>
                <w:szCs w:val="20"/>
              </w:rPr>
            </w:pPr>
            <w:r>
              <w:rPr>
                <w:rFonts w:eastAsia="Calibri"/>
                <w:sz w:val="20"/>
                <w:szCs w:val="20"/>
              </w:rPr>
              <w:t>1</w:t>
            </w:r>
          </w:p>
        </w:tc>
        <w:tc>
          <w:tcPr>
            <w:tcW w:w="628" w:type="pct"/>
          </w:tcPr>
          <w:p w:rsidR="00F671ED" w:rsidRPr="006A60CF" w:rsidRDefault="00F671ED" w:rsidP="00C81DBE">
            <w:pPr>
              <w:jc w:val="right"/>
              <w:rPr>
                <w:rFonts w:eastAsia="Calibri"/>
                <w:sz w:val="20"/>
                <w:szCs w:val="20"/>
              </w:rPr>
            </w:pPr>
            <w:r>
              <w:rPr>
                <w:rFonts w:eastAsia="Calibri"/>
                <w:sz w:val="20"/>
                <w:szCs w:val="20"/>
              </w:rPr>
              <w:t>137</w:t>
            </w:r>
          </w:p>
        </w:tc>
        <w:tc>
          <w:tcPr>
            <w:tcW w:w="770" w:type="pct"/>
          </w:tcPr>
          <w:p w:rsidR="00F671ED" w:rsidRPr="006A60CF" w:rsidRDefault="00F671ED" w:rsidP="00C81DBE">
            <w:pPr>
              <w:jc w:val="right"/>
              <w:rPr>
                <w:rFonts w:eastAsia="Calibri"/>
                <w:sz w:val="20"/>
                <w:szCs w:val="20"/>
              </w:rPr>
            </w:pPr>
            <w:r>
              <w:rPr>
                <w:rFonts w:eastAsia="Calibri"/>
                <w:sz w:val="20"/>
                <w:szCs w:val="20"/>
              </w:rPr>
              <w:t xml:space="preserve">1 hr.; </w:t>
            </w:r>
          </w:p>
          <w:p w:rsidR="00F671ED" w:rsidRPr="006A60CF" w:rsidRDefault="00F671ED" w:rsidP="00AE049D">
            <w:pPr>
              <w:jc w:val="right"/>
              <w:rPr>
                <w:rFonts w:eastAsia="Calibri"/>
                <w:sz w:val="20"/>
                <w:szCs w:val="20"/>
              </w:rPr>
            </w:pPr>
            <w:r>
              <w:rPr>
                <w:rFonts w:eastAsia="Calibri"/>
                <w:sz w:val="20"/>
                <w:szCs w:val="20"/>
              </w:rPr>
              <w:t>$7</w:t>
            </w:r>
            <w:r w:rsidR="00AE049D">
              <w:rPr>
                <w:rFonts w:eastAsia="Calibri"/>
                <w:sz w:val="20"/>
                <w:szCs w:val="20"/>
              </w:rPr>
              <w:t>9</w:t>
            </w:r>
          </w:p>
        </w:tc>
        <w:tc>
          <w:tcPr>
            <w:tcW w:w="866" w:type="pct"/>
          </w:tcPr>
          <w:p w:rsidR="00F671ED" w:rsidRDefault="00F671ED" w:rsidP="00C81DBE">
            <w:pPr>
              <w:jc w:val="right"/>
              <w:rPr>
                <w:rFonts w:eastAsia="Calibri"/>
                <w:sz w:val="20"/>
                <w:szCs w:val="20"/>
              </w:rPr>
            </w:pPr>
            <w:r>
              <w:rPr>
                <w:rFonts w:eastAsia="Calibri"/>
                <w:sz w:val="20"/>
                <w:szCs w:val="20"/>
              </w:rPr>
              <w:t xml:space="preserve">137 hrs.; </w:t>
            </w:r>
          </w:p>
          <w:p w:rsidR="00F671ED" w:rsidRPr="006A60CF" w:rsidRDefault="00F671ED" w:rsidP="00AE049D">
            <w:pPr>
              <w:jc w:val="right"/>
              <w:rPr>
                <w:rFonts w:eastAsia="Calibri"/>
                <w:sz w:val="20"/>
                <w:szCs w:val="20"/>
              </w:rPr>
            </w:pPr>
            <w:r>
              <w:rPr>
                <w:rFonts w:eastAsia="Calibri"/>
                <w:sz w:val="20"/>
                <w:szCs w:val="20"/>
              </w:rPr>
              <w:t>$</w:t>
            </w:r>
            <w:r w:rsidR="00AE049D">
              <w:rPr>
                <w:rFonts w:eastAsia="Calibri"/>
                <w:sz w:val="20"/>
                <w:szCs w:val="20"/>
              </w:rPr>
              <w:t>10,823</w:t>
            </w:r>
            <w:r w:rsidRPr="006A60CF">
              <w:rPr>
                <w:rFonts w:eastAsia="Calibri"/>
                <w:sz w:val="20"/>
                <w:szCs w:val="20"/>
              </w:rPr>
              <w:t xml:space="preserve"> </w:t>
            </w:r>
          </w:p>
        </w:tc>
        <w:tc>
          <w:tcPr>
            <w:tcW w:w="818" w:type="pct"/>
            <w:gridSpan w:val="2"/>
          </w:tcPr>
          <w:p w:rsidR="00F671ED" w:rsidRPr="006A60CF" w:rsidRDefault="00F671ED" w:rsidP="00C81DBE">
            <w:pPr>
              <w:jc w:val="right"/>
              <w:rPr>
                <w:rFonts w:eastAsia="Calibri"/>
                <w:sz w:val="20"/>
                <w:szCs w:val="20"/>
              </w:rPr>
            </w:pPr>
            <w:r>
              <w:rPr>
                <w:rFonts w:eastAsia="Calibri"/>
                <w:sz w:val="20"/>
                <w:szCs w:val="20"/>
              </w:rPr>
              <w:t>$7</w:t>
            </w:r>
            <w:r w:rsidR="00AE049D">
              <w:rPr>
                <w:rFonts w:eastAsia="Calibri"/>
                <w:sz w:val="20"/>
                <w:szCs w:val="20"/>
              </w:rPr>
              <w:t>9</w:t>
            </w:r>
            <w:r w:rsidRPr="006A60CF">
              <w:rPr>
                <w:rFonts w:eastAsia="Calibri"/>
                <w:sz w:val="20"/>
                <w:szCs w:val="20"/>
              </w:rPr>
              <w:t xml:space="preserve"> </w:t>
            </w:r>
          </w:p>
          <w:p w:rsidR="00F671ED" w:rsidRPr="006A60CF" w:rsidRDefault="00F671ED" w:rsidP="00C81DBE">
            <w:pPr>
              <w:jc w:val="right"/>
              <w:rPr>
                <w:rFonts w:eastAsia="Calibri"/>
                <w:sz w:val="20"/>
                <w:szCs w:val="20"/>
              </w:rPr>
            </w:pPr>
          </w:p>
        </w:tc>
      </w:tr>
    </w:tbl>
    <w:p w:rsidR="00F671ED" w:rsidRPr="003911E9" w:rsidRDefault="00F671ED" w:rsidP="00F671ED">
      <w:pPr>
        <w:rPr>
          <w:szCs w:val="26"/>
        </w:rPr>
      </w:pPr>
    </w:p>
    <w:p w:rsidR="00F671ED" w:rsidRDefault="00F671ED" w:rsidP="00F671ED">
      <w:pPr>
        <w:rPr>
          <w:b/>
          <w:szCs w:val="26"/>
        </w:rPr>
      </w:pPr>
    </w:p>
    <w:p w:rsidR="00F671ED" w:rsidRPr="00231159" w:rsidRDefault="00F671ED" w:rsidP="00F671ED">
      <w:pPr>
        <w:ind w:left="360" w:hanging="360"/>
        <w:rPr>
          <w:b/>
          <w:szCs w:val="26"/>
        </w:rPr>
      </w:pPr>
      <w:r>
        <w:rPr>
          <w:b/>
          <w:szCs w:val="26"/>
        </w:rPr>
        <w:t>13.</w:t>
      </w:r>
      <w:r>
        <w:rPr>
          <w:b/>
          <w:szCs w:val="26"/>
        </w:rPr>
        <w:tab/>
      </w:r>
      <w:r w:rsidRPr="00231159">
        <w:rPr>
          <w:b/>
          <w:szCs w:val="26"/>
        </w:rPr>
        <w:t>ESTIMATE OF TOTAL ANNUAL COST OF BURDEN TO RESPONDENTS</w:t>
      </w:r>
    </w:p>
    <w:p w:rsidR="00F671ED" w:rsidRPr="00231159" w:rsidRDefault="00F671ED" w:rsidP="00F671ED">
      <w:pPr>
        <w:rPr>
          <w:b/>
          <w:szCs w:val="26"/>
        </w:rPr>
      </w:pPr>
      <w:r w:rsidRPr="00231159">
        <w:rPr>
          <w:b/>
          <w:szCs w:val="26"/>
        </w:rPr>
        <w:t xml:space="preserve"> </w:t>
      </w:r>
    </w:p>
    <w:p w:rsidR="002B785B" w:rsidRPr="002B785B" w:rsidRDefault="002B785B" w:rsidP="002B785B">
      <w:pPr>
        <w:widowControl/>
        <w:autoSpaceDE/>
        <w:autoSpaceDN/>
        <w:adjustRightInd/>
        <w:rPr>
          <w:rFonts w:eastAsia="Calibri"/>
          <w:szCs w:val="26"/>
        </w:rPr>
      </w:pPr>
      <w:r w:rsidRPr="002B785B">
        <w:rPr>
          <w:rFonts w:eastAsia="Calibri"/>
          <w:szCs w:val="26"/>
        </w:rPr>
        <w:t xml:space="preserve">There are no non-labor costs currently associated with the </w:t>
      </w:r>
      <w:r>
        <w:rPr>
          <w:rFonts w:eastAsia="Calibri"/>
          <w:szCs w:val="26"/>
        </w:rPr>
        <w:t>FERC-58</w:t>
      </w:r>
      <w:r w:rsidRPr="002B785B">
        <w:rPr>
          <w:rFonts w:eastAsia="Calibri"/>
          <w:szCs w:val="26"/>
        </w:rPr>
        <w:t>7.</w:t>
      </w:r>
    </w:p>
    <w:p w:rsidR="002B785B" w:rsidRPr="002B785B" w:rsidRDefault="002B785B" w:rsidP="002B785B">
      <w:pPr>
        <w:widowControl/>
        <w:autoSpaceDE/>
        <w:autoSpaceDN/>
        <w:adjustRightInd/>
        <w:rPr>
          <w:rFonts w:eastAsia="Calibri"/>
          <w:szCs w:val="26"/>
        </w:rPr>
      </w:pPr>
    </w:p>
    <w:p w:rsidR="002B785B" w:rsidRPr="002B785B" w:rsidRDefault="002B785B" w:rsidP="002B785B">
      <w:pPr>
        <w:widowControl/>
        <w:autoSpaceDE/>
        <w:autoSpaceDN/>
        <w:adjustRightInd/>
        <w:rPr>
          <w:rFonts w:eastAsia="Calibri"/>
          <w:szCs w:val="26"/>
        </w:rPr>
      </w:pPr>
      <w:r w:rsidRPr="002B785B">
        <w:rPr>
          <w:rFonts w:eastAsia="Calibri"/>
          <w:szCs w:val="26"/>
        </w:rPr>
        <w:t>All costs are associated with burden hours (labor) and are addressed in Question #12 and Question #15.</w:t>
      </w:r>
    </w:p>
    <w:p w:rsidR="00F671ED" w:rsidRPr="00231159" w:rsidRDefault="00F671ED" w:rsidP="00F671ED">
      <w:pPr>
        <w:widowControl/>
        <w:tabs>
          <w:tab w:val="left" w:pos="-1440"/>
        </w:tabs>
        <w:rPr>
          <w:szCs w:val="26"/>
        </w:rPr>
      </w:pPr>
    </w:p>
    <w:p w:rsidR="00F671ED" w:rsidRPr="005518EB" w:rsidRDefault="00F671ED" w:rsidP="00F671ED">
      <w:pPr>
        <w:widowControl/>
        <w:tabs>
          <w:tab w:val="num" w:pos="360"/>
        </w:tabs>
        <w:ind w:left="360" w:hanging="360"/>
        <w:rPr>
          <w:szCs w:val="26"/>
        </w:rPr>
      </w:pPr>
      <w:r w:rsidRPr="005518EB">
        <w:rPr>
          <w:b/>
          <w:szCs w:val="26"/>
        </w:rPr>
        <w:t>14.</w:t>
      </w:r>
      <w:r>
        <w:rPr>
          <w:b/>
          <w:szCs w:val="26"/>
        </w:rPr>
        <w:tab/>
      </w:r>
      <w:r w:rsidRPr="005518EB">
        <w:rPr>
          <w:b/>
          <w:szCs w:val="26"/>
        </w:rPr>
        <w:t>ESTIMATED ANNUALIZED COST TO FEDERAL GOVERNMENT</w:t>
      </w:r>
    </w:p>
    <w:p w:rsidR="00AE049D" w:rsidRDefault="00AE049D" w:rsidP="00F671ED">
      <w:pPr>
        <w:widowControl/>
        <w:rPr>
          <w:szCs w:val="26"/>
        </w:rPr>
      </w:pPr>
    </w:p>
    <w:p w:rsidR="00AE049D" w:rsidRPr="00AE049D" w:rsidRDefault="00AE049D" w:rsidP="00AE049D">
      <w:pPr>
        <w:widowControl/>
        <w:rPr>
          <w:szCs w:val="26"/>
        </w:rPr>
      </w:pPr>
      <w:r w:rsidRPr="00AE049D">
        <w:rPr>
          <w:szCs w:val="26"/>
        </w:rPr>
        <w:t>The estimate of the cost for ‘analysis and processing of filings’</w:t>
      </w:r>
      <w:r w:rsidRPr="00AE049D">
        <w:rPr>
          <w:szCs w:val="26"/>
          <w:vertAlign w:val="superscript"/>
        </w:rPr>
        <w:footnoteReference w:id="7"/>
      </w:r>
      <w:r w:rsidRPr="00AE049D">
        <w:rPr>
          <w:szCs w:val="26"/>
          <w:vertAlign w:val="superscript"/>
        </w:rPr>
        <w:t xml:space="preserve"> </w:t>
      </w:r>
      <w:r w:rsidRPr="00AE049D">
        <w:rPr>
          <w:szCs w:val="26"/>
        </w:rPr>
        <w:t xml:space="preserve">is based on salaries and benefits for professional and clerical support.  This estimated cost represents staff analysis, decision-making, and review of any actual filings submitted in response to the information collection.  </w:t>
      </w:r>
    </w:p>
    <w:p w:rsidR="00AE049D" w:rsidRPr="00AE049D" w:rsidRDefault="00AE049D" w:rsidP="00AE049D">
      <w:pPr>
        <w:widowControl/>
        <w:rPr>
          <w:szCs w:val="26"/>
        </w:rPr>
      </w:pPr>
    </w:p>
    <w:p w:rsidR="00AE049D" w:rsidRPr="00AE049D" w:rsidRDefault="00AE049D" w:rsidP="00AE049D">
      <w:pPr>
        <w:widowControl/>
        <w:rPr>
          <w:szCs w:val="26"/>
        </w:rPr>
      </w:pPr>
      <w:r w:rsidRPr="00AE049D">
        <w:rPr>
          <w:szCs w:val="26"/>
        </w:rPr>
        <w:t>The Paperwork Reduction Act (PRA) Administrative Cost</w:t>
      </w:r>
      <w:r w:rsidRPr="00AE049D">
        <w:rPr>
          <w:szCs w:val="26"/>
          <w:vertAlign w:val="superscript"/>
        </w:rPr>
        <w:footnoteReference w:id="8"/>
      </w:r>
      <w:r w:rsidRPr="00AE049D">
        <w:rPr>
          <w:szCs w:val="26"/>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F671ED" w:rsidRPr="005518EB" w:rsidRDefault="00F671ED" w:rsidP="00F671ED">
      <w:pPr>
        <w:widowControl/>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F671ED" w:rsidRPr="005518EB" w:rsidTr="00C81DBE">
        <w:trPr>
          <w:tblHeader/>
        </w:trPr>
        <w:tc>
          <w:tcPr>
            <w:tcW w:w="3200" w:type="dxa"/>
            <w:shd w:val="clear" w:color="auto" w:fill="CCCCCC"/>
          </w:tcPr>
          <w:p w:rsidR="00F671ED" w:rsidRPr="005518EB" w:rsidRDefault="00F671ED" w:rsidP="00C81DBE">
            <w:pPr>
              <w:widowControl/>
              <w:rPr>
                <w:szCs w:val="26"/>
              </w:rPr>
            </w:pPr>
          </w:p>
        </w:tc>
        <w:tc>
          <w:tcPr>
            <w:tcW w:w="3192" w:type="dxa"/>
            <w:shd w:val="clear" w:color="auto" w:fill="CCCCCC"/>
            <w:vAlign w:val="bottom"/>
          </w:tcPr>
          <w:p w:rsidR="00F671ED" w:rsidRPr="005518EB" w:rsidRDefault="00F671ED" w:rsidP="00625668">
            <w:pPr>
              <w:widowControl/>
              <w:jc w:val="center"/>
              <w:rPr>
                <w:b/>
                <w:szCs w:val="26"/>
              </w:rPr>
            </w:pPr>
            <w:r w:rsidRPr="005518EB">
              <w:rPr>
                <w:b/>
                <w:szCs w:val="26"/>
              </w:rPr>
              <w:t xml:space="preserve">Number of </w:t>
            </w:r>
            <w:r w:rsidR="00625668">
              <w:rPr>
                <w:b/>
                <w:szCs w:val="26"/>
              </w:rPr>
              <w:t xml:space="preserve">Employees </w:t>
            </w:r>
            <w:r>
              <w:rPr>
                <w:b/>
                <w:szCs w:val="26"/>
              </w:rPr>
              <w:t>FTE’s</w:t>
            </w:r>
          </w:p>
        </w:tc>
        <w:tc>
          <w:tcPr>
            <w:tcW w:w="3184" w:type="dxa"/>
            <w:shd w:val="clear" w:color="auto" w:fill="CCCCCC"/>
            <w:vAlign w:val="bottom"/>
          </w:tcPr>
          <w:p w:rsidR="00F671ED" w:rsidRPr="005518EB" w:rsidRDefault="00F671ED" w:rsidP="00C81DBE">
            <w:pPr>
              <w:widowControl/>
              <w:jc w:val="center"/>
              <w:rPr>
                <w:b/>
                <w:szCs w:val="26"/>
              </w:rPr>
            </w:pPr>
            <w:r w:rsidRPr="005518EB">
              <w:rPr>
                <w:b/>
                <w:szCs w:val="26"/>
              </w:rPr>
              <w:t>Estimated Annual Federal Cost ($)</w:t>
            </w:r>
            <w:r w:rsidRPr="003B0D2E">
              <w:rPr>
                <w:b/>
                <w:szCs w:val="26"/>
                <w:vertAlign w:val="superscript"/>
              </w:rPr>
              <w:footnoteReference w:id="9"/>
            </w:r>
            <w:r w:rsidRPr="003B0D2E">
              <w:rPr>
                <w:b/>
                <w:szCs w:val="26"/>
              </w:rPr>
              <w:t xml:space="preserve"> </w:t>
            </w:r>
          </w:p>
        </w:tc>
      </w:tr>
      <w:tr w:rsidR="00F671ED" w:rsidRPr="0014601E" w:rsidTr="00C81DBE">
        <w:trPr>
          <w:tblHeader/>
        </w:trPr>
        <w:tc>
          <w:tcPr>
            <w:tcW w:w="3200" w:type="dxa"/>
          </w:tcPr>
          <w:p w:rsidR="00F671ED" w:rsidRPr="007F1297" w:rsidRDefault="00F671ED" w:rsidP="003D7638">
            <w:pPr>
              <w:widowControl/>
              <w:rPr>
                <w:szCs w:val="26"/>
              </w:rPr>
            </w:pPr>
            <w:r w:rsidRPr="007F1297">
              <w:rPr>
                <w:szCs w:val="26"/>
              </w:rPr>
              <w:t>PRA</w:t>
            </w:r>
            <w:r w:rsidRPr="003B0D2E">
              <w:rPr>
                <w:rStyle w:val="FootnoteReference"/>
                <w:b/>
                <w:szCs w:val="26"/>
              </w:rPr>
              <w:footnoteReference w:id="10"/>
            </w:r>
            <w:r w:rsidRPr="003B0D2E">
              <w:rPr>
                <w:b/>
                <w:szCs w:val="26"/>
              </w:rPr>
              <w:t xml:space="preserve"> </w:t>
            </w:r>
            <w:r w:rsidRPr="007F1297">
              <w:rPr>
                <w:szCs w:val="26"/>
              </w:rPr>
              <w:t>Administration Cost</w:t>
            </w:r>
          </w:p>
        </w:tc>
        <w:tc>
          <w:tcPr>
            <w:tcW w:w="3192" w:type="dxa"/>
            <w:shd w:val="clear" w:color="auto" w:fill="FFFFFF"/>
            <w:vAlign w:val="center"/>
          </w:tcPr>
          <w:p w:rsidR="00F671ED" w:rsidRPr="009C5F46" w:rsidRDefault="002A5555" w:rsidP="00C81DBE">
            <w:pPr>
              <w:widowControl/>
              <w:jc w:val="right"/>
              <w:rPr>
                <w:szCs w:val="26"/>
              </w:rPr>
            </w:pPr>
            <w:r>
              <w:rPr>
                <w:szCs w:val="26"/>
              </w:rPr>
              <w:t>0</w:t>
            </w:r>
          </w:p>
        </w:tc>
        <w:tc>
          <w:tcPr>
            <w:tcW w:w="3184" w:type="dxa"/>
            <w:vAlign w:val="center"/>
          </w:tcPr>
          <w:p w:rsidR="00F671ED" w:rsidRPr="007D241B" w:rsidRDefault="00F671ED" w:rsidP="004D196C">
            <w:pPr>
              <w:widowControl/>
              <w:jc w:val="right"/>
              <w:rPr>
                <w:szCs w:val="26"/>
              </w:rPr>
            </w:pPr>
            <w:r w:rsidRPr="009C5F46">
              <w:rPr>
                <w:szCs w:val="26"/>
              </w:rPr>
              <w:t>$</w:t>
            </w:r>
            <w:r w:rsidR="004D196C">
              <w:rPr>
                <w:szCs w:val="26"/>
              </w:rPr>
              <w:t>4,931</w:t>
            </w:r>
            <w:r w:rsidRPr="00824E72">
              <w:t xml:space="preserve"> </w:t>
            </w:r>
          </w:p>
        </w:tc>
      </w:tr>
      <w:tr w:rsidR="00F671ED" w:rsidRPr="0014601E" w:rsidTr="00C81DBE">
        <w:trPr>
          <w:tblHeader/>
        </w:trPr>
        <w:tc>
          <w:tcPr>
            <w:tcW w:w="3200" w:type="dxa"/>
          </w:tcPr>
          <w:p w:rsidR="00F671ED" w:rsidRPr="0014601E" w:rsidRDefault="00F671ED" w:rsidP="00C81DBE">
            <w:pPr>
              <w:widowControl/>
              <w:rPr>
                <w:szCs w:val="26"/>
              </w:rPr>
            </w:pPr>
            <w:r w:rsidRPr="0014601E">
              <w:rPr>
                <w:szCs w:val="26"/>
              </w:rPr>
              <w:t>Data Processing and Analysis</w:t>
            </w:r>
          </w:p>
        </w:tc>
        <w:tc>
          <w:tcPr>
            <w:tcW w:w="3192" w:type="dxa"/>
            <w:vAlign w:val="center"/>
          </w:tcPr>
          <w:p w:rsidR="00F671ED" w:rsidRPr="0014601E" w:rsidRDefault="004D196C" w:rsidP="002A5555">
            <w:pPr>
              <w:widowControl/>
              <w:jc w:val="right"/>
              <w:rPr>
                <w:szCs w:val="26"/>
              </w:rPr>
            </w:pPr>
            <w:r>
              <w:rPr>
                <w:szCs w:val="26"/>
              </w:rPr>
              <w:t>0.</w:t>
            </w:r>
            <w:r w:rsidR="002A5555">
              <w:rPr>
                <w:szCs w:val="26"/>
              </w:rPr>
              <w:t>05</w:t>
            </w:r>
          </w:p>
        </w:tc>
        <w:tc>
          <w:tcPr>
            <w:tcW w:w="3184" w:type="dxa"/>
            <w:vAlign w:val="center"/>
          </w:tcPr>
          <w:p w:rsidR="00F671ED" w:rsidRPr="0014601E" w:rsidRDefault="00AA62AA" w:rsidP="004D196C">
            <w:pPr>
              <w:widowControl/>
              <w:jc w:val="right"/>
              <w:rPr>
                <w:szCs w:val="26"/>
              </w:rPr>
            </w:pPr>
            <w:r>
              <w:rPr>
                <w:szCs w:val="26"/>
              </w:rPr>
              <w:t>$8,240</w:t>
            </w:r>
          </w:p>
        </w:tc>
      </w:tr>
      <w:tr w:rsidR="00F671ED" w:rsidRPr="0014601E" w:rsidTr="00C81DBE">
        <w:trPr>
          <w:tblHeader/>
        </w:trPr>
        <w:tc>
          <w:tcPr>
            <w:tcW w:w="3200" w:type="dxa"/>
          </w:tcPr>
          <w:p w:rsidR="00F671ED" w:rsidRPr="0014601E" w:rsidRDefault="00F671ED" w:rsidP="00C81DBE">
            <w:pPr>
              <w:widowControl/>
              <w:rPr>
                <w:b/>
                <w:szCs w:val="26"/>
              </w:rPr>
            </w:pPr>
            <w:r w:rsidRPr="0014601E">
              <w:rPr>
                <w:b/>
                <w:szCs w:val="26"/>
              </w:rPr>
              <w:t>FERC Total</w:t>
            </w:r>
          </w:p>
        </w:tc>
        <w:tc>
          <w:tcPr>
            <w:tcW w:w="3192" w:type="dxa"/>
            <w:vAlign w:val="center"/>
          </w:tcPr>
          <w:p w:rsidR="00F671ED" w:rsidRPr="0014601E" w:rsidRDefault="002A5555" w:rsidP="00C81DBE">
            <w:pPr>
              <w:widowControl/>
              <w:jc w:val="right"/>
              <w:rPr>
                <w:szCs w:val="26"/>
              </w:rPr>
            </w:pPr>
            <w:r>
              <w:rPr>
                <w:szCs w:val="26"/>
              </w:rPr>
              <w:t>0</w:t>
            </w:r>
          </w:p>
        </w:tc>
        <w:tc>
          <w:tcPr>
            <w:tcW w:w="3184" w:type="dxa"/>
            <w:vAlign w:val="center"/>
          </w:tcPr>
          <w:p w:rsidR="00F671ED" w:rsidRPr="0014601E" w:rsidRDefault="00F671ED" w:rsidP="00AA62AA">
            <w:pPr>
              <w:widowControl/>
              <w:jc w:val="right"/>
              <w:rPr>
                <w:szCs w:val="26"/>
              </w:rPr>
            </w:pPr>
            <w:r w:rsidRPr="0014601E">
              <w:rPr>
                <w:szCs w:val="26"/>
              </w:rPr>
              <w:t>$</w:t>
            </w:r>
            <w:r w:rsidR="00AA62AA">
              <w:rPr>
                <w:szCs w:val="26"/>
              </w:rPr>
              <w:t>13,171</w:t>
            </w:r>
          </w:p>
        </w:tc>
      </w:tr>
    </w:tbl>
    <w:p w:rsidR="00F671ED" w:rsidRDefault="00F671ED" w:rsidP="00F671ED">
      <w:pPr>
        <w:widowControl/>
        <w:tabs>
          <w:tab w:val="left" w:pos="720"/>
        </w:tabs>
        <w:rPr>
          <w:szCs w:val="26"/>
        </w:rPr>
      </w:pPr>
    </w:p>
    <w:p w:rsidR="00F671ED" w:rsidRDefault="00F671ED" w:rsidP="00F671ED">
      <w:pPr>
        <w:widowControl/>
        <w:tabs>
          <w:tab w:val="left" w:pos="360"/>
        </w:tabs>
        <w:ind w:left="360" w:hanging="360"/>
        <w:rPr>
          <w:b/>
          <w:szCs w:val="26"/>
        </w:rPr>
      </w:pPr>
      <w:r w:rsidRPr="005518EB">
        <w:rPr>
          <w:b/>
          <w:szCs w:val="26"/>
        </w:rPr>
        <w:t>15.</w:t>
      </w:r>
      <w:r>
        <w:rPr>
          <w:b/>
          <w:szCs w:val="26"/>
        </w:rPr>
        <w:tab/>
      </w:r>
      <w:r w:rsidRPr="005518EB">
        <w:rPr>
          <w:b/>
          <w:szCs w:val="26"/>
        </w:rPr>
        <w:t>REASONS FOR CHANGES IN BURDEN INCLUDING THE NEED FOR ANY INCREASE</w:t>
      </w:r>
    </w:p>
    <w:p w:rsidR="00F671ED" w:rsidRDefault="00F671ED" w:rsidP="00F671ED">
      <w:pPr>
        <w:widowControl/>
        <w:rPr>
          <w:szCs w:val="26"/>
        </w:rPr>
      </w:pPr>
    </w:p>
    <w:p w:rsidR="00F671ED" w:rsidRDefault="00F671ED" w:rsidP="00F671ED">
      <w:pPr>
        <w:widowControl/>
        <w:rPr>
          <w:szCs w:val="26"/>
        </w:rPr>
      </w:pPr>
      <w:r>
        <w:rPr>
          <w:rFonts w:cs="Arial"/>
          <w:szCs w:val="20"/>
        </w:rPr>
        <w:t>The</w:t>
      </w:r>
      <w:r w:rsidR="00AE049D">
        <w:rPr>
          <w:rFonts w:cs="Arial"/>
          <w:szCs w:val="20"/>
        </w:rPr>
        <w:t>re are no changes to the reporting</w:t>
      </w:r>
      <w:r>
        <w:rPr>
          <w:rFonts w:cs="Arial"/>
          <w:szCs w:val="20"/>
        </w:rPr>
        <w:t xml:space="preserve"> requirements</w:t>
      </w:r>
      <w:r w:rsidR="00AE049D">
        <w:rPr>
          <w:rFonts w:cs="Arial"/>
          <w:szCs w:val="20"/>
        </w:rPr>
        <w:t>.</w:t>
      </w:r>
      <w:r w:rsidR="00593BF7">
        <w:rPr>
          <w:rFonts w:cs="Arial"/>
          <w:szCs w:val="20"/>
        </w:rPr>
        <w:t xml:space="preserve">  The instructions are being updated (e.g., to reflect current media and addresses), however we do not think that will affect burden or cost.</w:t>
      </w:r>
    </w:p>
    <w:p w:rsidR="00F671ED" w:rsidRDefault="00F671ED" w:rsidP="00F671ED">
      <w:pPr>
        <w:rPr>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F671ED" w:rsidRPr="00254D55" w:rsidTr="00C81DBE">
        <w:trPr>
          <w:trHeight w:val="870"/>
          <w:tblHeader/>
        </w:trPr>
        <w:tc>
          <w:tcPr>
            <w:tcW w:w="2648" w:type="dxa"/>
            <w:tcBorders>
              <w:bottom w:val="single" w:sz="4" w:space="0" w:color="auto"/>
            </w:tcBorders>
            <w:shd w:val="clear" w:color="auto" w:fill="D9D9D9"/>
            <w:vAlign w:val="bottom"/>
          </w:tcPr>
          <w:p w:rsidR="00F671ED" w:rsidRPr="00254D55" w:rsidRDefault="00F671ED" w:rsidP="00C81DBE">
            <w:pPr>
              <w:widowControl/>
              <w:autoSpaceDE/>
              <w:autoSpaceDN/>
              <w:adjustRightInd/>
              <w:jc w:val="center"/>
              <w:rPr>
                <w:rFonts w:eastAsia="Calibri"/>
                <w:b/>
                <w:szCs w:val="26"/>
              </w:rPr>
            </w:pPr>
          </w:p>
        </w:tc>
        <w:tc>
          <w:tcPr>
            <w:tcW w:w="1516" w:type="dxa"/>
            <w:tcBorders>
              <w:bottom w:val="single" w:sz="4" w:space="0" w:color="auto"/>
            </w:tcBorders>
            <w:shd w:val="clear" w:color="auto" w:fill="D9D9D9"/>
            <w:vAlign w:val="bottom"/>
          </w:tcPr>
          <w:p w:rsidR="00F671ED" w:rsidRPr="00254D55" w:rsidRDefault="00F671ED" w:rsidP="00C81DBE">
            <w:pPr>
              <w:widowControl/>
              <w:autoSpaceDE/>
              <w:autoSpaceDN/>
              <w:adjustRightInd/>
              <w:jc w:val="center"/>
              <w:rPr>
                <w:rFonts w:eastAsia="Calibri"/>
                <w:b/>
                <w:szCs w:val="26"/>
              </w:rPr>
            </w:pPr>
            <w:r w:rsidRPr="00254D55">
              <w:rPr>
                <w:rFonts w:eastAsia="Calibri"/>
                <w:b/>
                <w:szCs w:val="26"/>
              </w:rPr>
              <w:t>Total Request</w:t>
            </w:r>
          </w:p>
        </w:tc>
        <w:tc>
          <w:tcPr>
            <w:tcW w:w="1614" w:type="dxa"/>
            <w:tcBorders>
              <w:bottom w:val="single" w:sz="4" w:space="0" w:color="auto"/>
            </w:tcBorders>
            <w:shd w:val="clear" w:color="auto" w:fill="D9D9D9"/>
            <w:vAlign w:val="bottom"/>
          </w:tcPr>
          <w:p w:rsidR="00F671ED" w:rsidRPr="00254D55" w:rsidRDefault="00F671ED" w:rsidP="00C81DBE">
            <w:pPr>
              <w:widowControl/>
              <w:autoSpaceDE/>
              <w:autoSpaceDN/>
              <w:adjustRightInd/>
              <w:jc w:val="center"/>
              <w:rPr>
                <w:rFonts w:eastAsia="Calibri"/>
                <w:b/>
                <w:szCs w:val="26"/>
              </w:rPr>
            </w:pPr>
            <w:r w:rsidRPr="00254D55">
              <w:rPr>
                <w:rFonts w:eastAsia="Calibri"/>
                <w:b/>
                <w:szCs w:val="26"/>
              </w:rPr>
              <w:t>Previously Approved</w:t>
            </w:r>
          </w:p>
        </w:tc>
        <w:tc>
          <w:tcPr>
            <w:tcW w:w="1793" w:type="dxa"/>
            <w:tcBorders>
              <w:bottom w:val="single" w:sz="4" w:space="0" w:color="auto"/>
            </w:tcBorders>
            <w:shd w:val="clear" w:color="auto" w:fill="D9D9D9"/>
            <w:vAlign w:val="bottom"/>
          </w:tcPr>
          <w:p w:rsidR="00F671ED" w:rsidRPr="00254D55" w:rsidRDefault="00F671ED" w:rsidP="00C81DBE">
            <w:pPr>
              <w:widowControl/>
              <w:autoSpaceDE/>
              <w:autoSpaceDN/>
              <w:adjustRightInd/>
              <w:jc w:val="center"/>
              <w:rPr>
                <w:rFonts w:eastAsia="Calibri"/>
                <w:b/>
                <w:szCs w:val="26"/>
              </w:rPr>
            </w:pPr>
            <w:r w:rsidRPr="00254D55">
              <w:rPr>
                <w:rFonts w:eastAsia="Calibri"/>
                <w:b/>
                <w:szCs w:val="26"/>
              </w:rPr>
              <w:t>Change due to Adjustment in Estimate</w:t>
            </w:r>
          </w:p>
        </w:tc>
        <w:tc>
          <w:tcPr>
            <w:tcW w:w="1789" w:type="dxa"/>
            <w:tcBorders>
              <w:bottom w:val="single" w:sz="4" w:space="0" w:color="auto"/>
            </w:tcBorders>
            <w:shd w:val="clear" w:color="auto" w:fill="D9D9D9"/>
            <w:vAlign w:val="bottom"/>
          </w:tcPr>
          <w:p w:rsidR="00F671ED" w:rsidRPr="00254D55" w:rsidRDefault="00F671ED" w:rsidP="00C81DBE">
            <w:pPr>
              <w:widowControl/>
              <w:autoSpaceDE/>
              <w:autoSpaceDN/>
              <w:adjustRightInd/>
              <w:jc w:val="center"/>
              <w:rPr>
                <w:rFonts w:eastAsia="Calibri"/>
                <w:b/>
                <w:szCs w:val="26"/>
              </w:rPr>
            </w:pPr>
            <w:r w:rsidRPr="00254D55">
              <w:rPr>
                <w:rFonts w:eastAsia="Calibri"/>
                <w:b/>
                <w:szCs w:val="26"/>
              </w:rPr>
              <w:t>Change Due to Agency Discretion</w:t>
            </w:r>
          </w:p>
        </w:tc>
      </w:tr>
      <w:tr w:rsidR="00F671ED" w:rsidRPr="00254D55" w:rsidTr="00C81DBE">
        <w:trPr>
          <w:trHeight w:val="591"/>
        </w:trPr>
        <w:tc>
          <w:tcPr>
            <w:tcW w:w="2648" w:type="dxa"/>
            <w:shd w:val="clear" w:color="auto" w:fill="auto"/>
          </w:tcPr>
          <w:p w:rsidR="00F671ED" w:rsidRPr="00254D55" w:rsidRDefault="00F671ED" w:rsidP="00C81DBE">
            <w:pPr>
              <w:widowControl/>
              <w:autoSpaceDE/>
              <w:autoSpaceDN/>
              <w:adjustRightInd/>
              <w:jc w:val="center"/>
              <w:rPr>
                <w:rFonts w:eastAsia="Calibri"/>
                <w:szCs w:val="26"/>
              </w:rPr>
            </w:pPr>
            <w:r w:rsidRPr="00254D55">
              <w:rPr>
                <w:rFonts w:eastAsia="Calibri"/>
                <w:szCs w:val="26"/>
              </w:rPr>
              <w:t>Annual Number of Responses</w:t>
            </w:r>
          </w:p>
        </w:tc>
        <w:tc>
          <w:tcPr>
            <w:tcW w:w="1516" w:type="dxa"/>
            <w:shd w:val="clear" w:color="auto" w:fill="auto"/>
            <w:vAlign w:val="bottom"/>
          </w:tcPr>
          <w:p w:rsidR="00F671ED" w:rsidRPr="00F44811" w:rsidRDefault="00F671ED" w:rsidP="00C81DBE">
            <w:pPr>
              <w:widowControl/>
              <w:autoSpaceDE/>
              <w:autoSpaceDN/>
              <w:adjustRightInd/>
              <w:jc w:val="right"/>
              <w:rPr>
                <w:rFonts w:eastAsia="Calibri"/>
                <w:szCs w:val="26"/>
              </w:rPr>
            </w:pPr>
            <w:r w:rsidRPr="00F44811">
              <w:rPr>
                <w:rFonts w:eastAsia="Calibri"/>
                <w:szCs w:val="26"/>
              </w:rPr>
              <w:t>137</w:t>
            </w:r>
          </w:p>
        </w:tc>
        <w:tc>
          <w:tcPr>
            <w:tcW w:w="1614" w:type="dxa"/>
            <w:shd w:val="clear" w:color="auto" w:fill="auto"/>
            <w:vAlign w:val="bottom"/>
          </w:tcPr>
          <w:p w:rsidR="00F671ED" w:rsidRPr="00F44811" w:rsidRDefault="00F44811" w:rsidP="00C81DBE">
            <w:pPr>
              <w:widowControl/>
              <w:autoSpaceDE/>
              <w:autoSpaceDN/>
              <w:adjustRightInd/>
              <w:jc w:val="right"/>
              <w:rPr>
                <w:rFonts w:eastAsia="Calibri"/>
                <w:szCs w:val="26"/>
              </w:rPr>
            </w:pPr>
            <w:r w:rsidRPr="00F44811">
              <w:rPr>
                <w:rFonts w:eastAsia="Calibri"/>
                <w:szCs w:val="26"/>
              </w:rPr>
              <w:t>137</w:t>
            </w:r>
          </w:p>
        </w:tc>
        <w:tc>
          <w:tcPr>
            <w:tcW w:w="1793" w:type="dxa"/>
            <w:shd w:val="clear" w:color="auto" w:fill="auto"/>
            <w:vAlign w:val="bottom"/>
          </w:tcPr>
          <w:p w:rsidR="00F671ED" w:rsidRPr="00F44811" w:rsidRDefault="00F44811" w:rsidP="00C81DBE">
            <w:pPr>
              <w:widowControl/>
              <w:autoSpaceDE/>
              <w:autoSpaceDN/>
              <w:adjustRightInd/>
              <w:jc w:val="right"/>
              <w:rPr>
                <w:rFonts w:eastAsia="Calibri"/>
                <w:szCs w:val="26"/>
              </w:rPr>
            </w:pPr>
            <w:r w:rsidRPr="00F44811">
              <w:rPr>
                <w:rFonts w:eastAsia="Calibri"/>
                <w:szCs w:val="26"/>
              </w:rPr>
              <w:t>0</w:t>
            </w:r>
          </w:p>
        </w:tc>
        <w:tc>
          <w:tcPr>
            <w:tcW w:w="1789" w:type="dxa"/>
            <w:shd w:val="clear" w:color="auto" w:fill="auto"/>
            <w:vAlign w:val="bottom"/>
          </w:tcPr>
          <w:p w:rsidR="00F671ED" w:rsidRPr="00F44811" w:rsidRDefault="00F671ED" w:rsidP="00C81DBE">
            <w:pPr>
              <w:widowControl/>
              <w:autoSpaceDE/>
              <w:autoSpaceDN/>
              <w:adjustRightInd/>
              <w:jc w:val="right"/>
              <w:rPr>
                <w:rFonts w:eastAsia="Calibri"/>
                <w:szCs w:val="26"/>
              </w:rPr>
            </w:pPr>
            <w:r w:rsidRPr="00F44811">
              <w:t>0</w:t>
            </w:r>
          </w:p>
        </w:tc>
      </w:tr>
      <w:tr w:rsidR="00F671ED" w:rsidRPr="00254D55" w:rsidTr="00C81DBE">
        <w:trPr>
          <w:trHeight w:val="295"/>
        </w:trPr>
        <w:tc>
          <w:tcPr>
            <w:tcW w:w="2648" w:type="dxa"/>
            <w:tcBorders>
              <w:bottom w:val="single" w:sz="4" w:space="0" w:color="auto"/>
            </w:tcBorders>
            <w:shd w:val="clear" w:color="auto" w:fill="auto"/>
          </w:tcPr>
          <w:p w:rsidR="00F671ED" w:rsidRPr="00254D55" w:rsidRDefault="00F671ED" w:rsidP="00C81DBE">
            <w:pPr>
              <w:widowControl/>
              <w:autoSpaceDE/>
              <w:autoSpaceDN/>
              <w:adjustRightInd/>
              <w:jc w:val="center"/>
              <w:rPr>
                <w:rFonts w:eastAsia="Calibri"/>
                <w:szCs w:val="26"/>
              </w:rPr>
            </w:pPr>
            <w:r w:rsidRPr="00254D55">
              <w:rPr>
                <w:rFonts w:eastAsia="Calibri"/>
                <w:szCs w:val="26"/>
              </w:rPr>
              <w:t>Annual Time Burden (Hr.)</w:t>
            </w:r>
            <w:r w:rsidRPr="00254D55" w:rsidDel="000E18C1">
              <w:rPr>
                <w:rStyle w:val="FootnoteReference"/>
                <w:rFonts w:eastAsia="Calibri"/>
                <w:szCs w:val="26"/>
              </w:rPr>
              <w:t xml:space="preserve"> </w:t>
            </w:r>
          </w:p>
        </w:tc>
        <w:tc>
          <w:tcPr>
            <w:tcW w:w="1516" w:type="dxa"/>
            <w:tcBorders>
              <w:bottom w:val="single" w:sz="4" w:space="0" w:color="auto"/>
            </w:tcBorders>
            <w:shd w:val="clear" w:color="auto" w:fill="auto"/>
            <w:vAlign w:val="bottom"/>
          </w:tcPr>
          <w:p w:rsidR="00F671ED" w:rsidRPr="00F44811" w:rsidRDefault="00F671ED" w:rsidP="00C81DBE">
            <w:pPr>
              <w:widowControl/>
              <w:autoSpaceDE/>
              <w:autoSpaceDN/>
              <w:adjustRightInd/>
              <w:jc w:val="right"/>
              <w:rPr>
                <w:bCs/>
                <w:szCs w:val="26"/>
              </w:rPr>
            </w:pPr>
            <w:r w:rsidRPr="00F44811">
              <w:rPr>
                <w:szCs w:val="26"/>
              </w:rPr>
              <w:t>137</w:t>
            </w:r>
          </w:p>
        </w:tc>
        <w:tc>
          <w:tcPr>
            <w:tcW w:w="1614" w:type="dxa"/>
            <w:tcBorders>
              <w:bottom w:val="single" w:sz="4" w:space="0" w:color="auto"/>
            </w:tcBorders>
            <w:shd w:val="clear" w:color="auto" w:fill="auto"/>
            <w:vAlign w:val="bottom"/>
          </w:tcPr>
          <w:p w:rsidR="00F671ED" w:rsidRPr="00F44811" w:rsidRDefault="00F44811" w:rsidP="00C81DBE">
            <w:pPr>
              <w:widowControl/>
              <w:autoSpaceDE/>
              <w:autoSpaceDN/>
              <w:adjustRightInd/>
              <w:jc w:val="right"/>
              <w:rPr>
                <w:rFonts w:eastAsia="Calibri"/>
                <w:szCs w:val="26"/>
              </w:rPr>
            </w:pPr>
            <w:r w:rsidRPr="00F44811">
              <w:rPr>
                <w:rFonts w:eastAsia="Calibri"/>
                <w:szCs w:val="26"/>
              </w:rPr>
              <w:t>137</w:t>
            </w:r>
          </w:p>
        </w:tc>
        <w:tc>
          <w:tcPr>
            <w:tcW w:w="1793" w:type="dxa"/>
            <w:tcBorders>
              <w:bottom w:val="single" w:sz="4" w:space="0" w:color="auto"/>
            </w:tcBorders>
            <w:shd w:val="clear" w:color="auto" w:fill="auto"/>
            <w:vAlign w:val="bottom"/>
          </w:tcPr>
          <w:p w:rsidR="00F671ED" w:rsidRPr="00F44811" w:rsidRDefault="00F44811" w:rsidP="00C81DBE">
            <w:pPr>
              <w:widowControl/>
              <w:autoSpaceDE/>
              <w:autoSpaceDN/>
              <w:adjustRightInd/>
              <w:jc w:val="right"/>
              <w:rPr>
                <w:rFonts w:eastAsia="Calibri"/>
                <w:szCs w:val="26"/>
              </w:rPr>
            </w:pPr>
            <w:r w:rsidRPr="00F44811">
              <w:rPr>
                <w:rFonts w:eastAsia="Calibri"/>
                <w:szCs w:val="26"/>
              </w:rPr>
              <w:t>0</w:t>
            </w:r>
          </w:p>
        </w:tc>
        <w:tc>
          <w:tcPr>
            <w:tcW w:w="1789" w:type="dxa"/>
            <w:tcBorders>
              <w:bottom w:val="single" w:sz="4" w:space="0" w:color="auto"/>
            </w:tcBorders>
            <w:shd w:val="clear" w:color="auto" w:fill="auto"/>
            <w:vAlign w:val="bottom"/>
          </w:tcPr>
          <w:p w:rsidR="00F671ED" w:rsidRPr="00F44811" w:rsidRDefault="00F671ED" w:rsidP="00C81DBE">
            <w:pPr>
              <w:widowControl/>
              <w:autoSpaceDE/>
              <w:autoSpaceDN/>
              <w:adjustRightInd/>
              <w:jc w:val="right"/>
              <w:rPr>
                <w:bCs/>
                <w:szCs w:val="26"/>
              </w:rPr>
            </w:pPr>
            <w:r w:rsidRPr="00F44811">
              <w:t>0</w:t>
            </w:r>
          </w:p>
        </w:tc>
      </w:tr>
      <w:tr w:rsidR="00F671ED" w:rsidRPr="00254D55" w:rsidTr="00C81DBE">
        <w:trPr>
          <w:trHeight w:val="295"/>
        </w:trPr>
        <w:tc>
          <w:tcPr>
            <w:tcW w:w="2648" w:type="dxa"/>
            <w:tcBorders>
              <w:bottom w:val="single" w:sz="4" w:space="0" w:color="auto"/>
            </w:tcBorders>
            <w:shd w:val="clear" w:color="auto" w:fill="auto"/>
          </w:tcPr>
          <w:p w:rsidR="00F671ED" w:rsidRPr="00254D55" w:rsidRDefault="00F671ED" w:rsidP="00C81DBE">
            <w:pPr>
              <w:widowControl/>
              <w:autoSpaceDE/>
              <w:autoSpaceDN/>
              <w:adjustRightInd/>
              <w:jc w:val="center"/>
              <w:rPr>
                <w:rFonts w:eastAsia="Calibri"/>
                <w:szCs w:val="26"/>
              </w:rPr>
            </w:pPr>
            <w:r w:rsidRPr="00254D55">
              <w:rPr>
                <w:rFonts w:eastAsia="Calibri"/>
                <w:szCs w:val="26"/>
              </w:rPr>
              <w:t>Annual Cost Burden ($)</w:t>
            </w:r>
          </w:p>
        </w:tc>
        <w:tc>
          <w:tcPr>
            <w:tcW w:w="1516" w:type="dxa"/>
            <w:tcBorders>
              <w:bottom w:val="single" w:sz="4" w:space="0" w:color="auto"/>
            </w:tcBorders>
            <w:shd w:val="clear" w:color="auto" w:fill="auto"/>
            <w:vAlign w:val="bottom"/>
          </w:tcPr>
          <w:p w:rsidR="00F671ED" w:rsidRPr="00254D55" w:rsidRDefault="00F671ED" w:rsidP="00C81DBE">
            <w:pPr>
              <w:widowControl/>
              <w:autoSpaceDE/>
              <w:autoSpaceDN/>
              <w:adjustRightInd/>
              <w:jc w:val="right"/>
              <w:rPr>
                <w:rFonts w:eastAsia="Calibri"/>
                <w:szCs w:val="26"/>
              </w:rPr>
            </w:pPr>
            <w:r w:rsidRPr="00B325A1">
              <w:t>$0</w:t>
            </w:r>
          </w:p>
        </w:tc>
        <w:tc>
          <w:tcPr>
            <w:tcW w:w="1614" w:type="dxa"/>
            <w:tcBorders>
              <w:bottom w:val="single" w:sz="4" w:space="0" w:color="auto"/>
            </w:tcBorders>
            <w:shd w:val="clear" w:color="auto" w:fill="auto"/>
            <w:vAlign w:val="bottom"/>
          </w:tcPr>
          <w:p w:rsidR="00F671ED" w:rsidRPr="00254D55" w:rsidRDefault="00F671ED" w:rsidP="00C81DBE">
            <w:pPr>
              <w:widowControl/>
              <w:autoSpaceDE/>
              <w:autoSpaceDN/>
              <w:adjustRightInd/>
              <w:jc w:val="right"/>
              <w:rPr>
                <w:rFonts w:eastAsia="Calibri"/>
                <w:szCs w:val="26"/>
              </w:rPr>
            </w:pPr>
            <w:r w:rsidRPr="00B325A1">
              <w:t>$0</w:t>
            </w:r>
          </w:p>
        </w:tc>
        <w:tc>
          <w:tcPr>
            <w:tcW w:w="1793" w:type="dxa"/>
            <w:tcBorders>
              <w:bottom w:val="single" w:sz="4" w:space="0" w:color="auto"/>
            </w:tcBorders>
            <w:shd w:val="clear" w:color="auto" w:fill="auto"/>
            <w:vAlign w:val="bottom"/>
          </w:tcPr>
          <w:p w:rsidR="00F671ED" w:rsidRPr="00254D55" w:rsidRDefault="00F671ED" w:rsidP="00C81DBE">
            <w:pPr>
              <w:widowControl/>
              <w:autoSpaceDE/>
              <w:autoSpaceDN/>
              <w:adjustRightInd/>
              <w:jc w:val="right"/>
              <w:rPr>
                <w:rFonts w:eastAsia="Calibri"/>
                <w:szCs w:val="26"/>
              </w:rPr>
            </w:pPr>
            <w:r w:rsidRPr="00B325A1">
              <w:t>$0</w:t>
            </w:r>
          </w:p>
        </w:tc>
        <w:tc>
          <w:tcPr>
            <w:tcW w:w="1789" w:type="dxa"/>
            <w:tcBorders>
              <w:bottom w:val="single" w:sz="4" w:space="0" w:color="auto"/>
            </w:tcBorders>
            <w:shd w:val="clear" w:color="auto" w:fill="auto"/>
            <w:vAlign w:val="bottom"/>
          </w:tcPr>
          <w:p w:rsidR="00F671ED" w:rsidRPr="00254D55" w:rsidRDefault="00F671ED" w:rsidP="00C81DBE">
            <w:pPr>
              <w:widowControl/>
              <w:autoSpaceDE/>
              <w:autoSpaceDN/>
              <w:adjustRightInd/>
              <w:jc w:val="right"/>
              <w:rPr>
                <w:rFonts w:eastAsia="Calibri"/>
                <w:szCs w:val="26"/>
              </w:rPr>
            </w:pPr>
            <w:r w:rsidRPr="00B325A1">
              <w:t>$0</w:t>
            </w:r>
          </w:p>
        </w:tc>
      </w:tr>
    </w:tbl>
    <w:p w:rsidR="00F671ED" w:rsidRDefault="00F671ED" w:rsidP="00F671ED">
      <w:pPr>
        <w:rPr>
          <w:szCs w:val="26"/>
        </w:rPr>
      </w:pPr>
    </w:p>
    <w:p w:rsidR="00F671ED" w:rsidRPr="00DA6CEC" w:rsidRDefault="00F671ED" w:rsidP="00F671ED">
      <w:pPr>
        <w:widowControl/>
        <w:numPr>
          <w:ilvl w:val="0"/>
          <w:numId w:val="4"/>
        </w:numPr>
        <w:tabs>
          <w:tab w:val="clear" w:pos="1080"/>
          <w:tab w:val="num" w:pos="360"/>
        </w:tabs>
        <w:ind w:left="360"/>
        <w:rPr>
          <w:b/>
          <w:szCs w:val="26"/>
        </w:rPr>
      </w:pPr>
      <w:r w:rsidRPr="00DA6CEC">
        <w:rPr>
          <w:b/>
          <w:szCs w:val="26"/>
        </w:rPr>
        <w:t>TIME SCHEDULE FOR PUBLICATION OF DATA</w:t>
      </w:r>
    </w:p>
    <w:p w:rsidR="00F671ED" w:rsidRPr="00DA6CEC" w:rsidRDefault="00F671ED" w:rsidP="00F671ED">
      <w:pPr>
        <w:widowControl/>
        <w:ind w:left="720"/>
        <w:rPr>
          <w:b/>
          <w:szCs w:val="26"/>
        </w:rPr>
      </w:pPr>
    </w:p>
    <w:p w:rsidR="00F671ED" w:rsidRPr="00F671ED" w:rsidRDefault="00F671ED" w:rsidP="00F671ED">
      <w:pPr>
        <w:widowControl/>
        <w:rPr>
          <w:bCs/>
          <w:szCs w:val="26"/>
        </w:rPr>
      </w:pPr>
      <w:r w:rsidRPr="00F671ED">
        <w:rPr>
          <w:bCs/>
          <w:szCs w:val="26"/>
        </w:rPr>
        <w:t>FERC does not publish any data associated with this collection.</w:t>
      </w:r>
    </w:p>
    <w:p w:rsidR="00F671ED" w:rsidRPr="00DA6CEC" w:rsidRDefault="00F671ED" w:rsidP="00F671ED">
      <w:pPr>
        <w:widowControl/>
        <w:ind w:firstLine="720"/>
        <w:rPr>
          <w:szCs w:val="26"/>
        </w:rPr>
      </w:pPr>
    </w:p>
    <w:p w:rsidR="00F671ED" w:rsidRPr="00DA6CEC" w:rsidRDefault="00F671ED" w:rsidP="00F671ED">
      <w:pPr>
        <w:widowControl/>
        <w:tabs>
          <w:tab w:val="left" w:pos="360"/>
        </w:tabs>
        <w:ind w:left="360" w:hanging="360"/>
        <w:rPr>
          <w:b/>
          <w:szCs w:val="26"/>
        </w:rPr>
      </w:pPr>
      <w:r w:rsidRPr="00DA6CEC">
        <w:rPr>
          <w:b/>
          <w:szCs w:val="26"/>
        </w:rPr>
        <w:t>17.</w:t>
      </w:r>
      <w:r w:rsidRPr="00DA6CEC">
        <w:rPr>
          <w:szCs w:val="26"/>
        </w:rPr>
        <w:tab/>
      </w:r>
      <w:r w:rsidRPr="00DA6CEC">
        <w:rPr>
          <w:b/>
          <w:szCs w:val="26"/>
        </w:rPr>
        <w:t>DISPLAY OF EXPIRATION DATE</w:t>
      </w:r>
    </w:p>
    <w:p w:rsidR="00F671ED" w:rsidRPr="00DA6CEC" w:rsidRDefault="00F671ED" w:rsidP="00F671ED">
      <w:pPr>
        <w:widowControl/>
        <w:rPr>
          <w:szCs w:val="26"/>
        </w:rPr>
      </w:pPr>
    </w:p>
    <w:p w:rsidR="00F671ED" w:rsidRDefault="00F671ED" w:rsidP="00F671ED">
      <w:pPr>
        <w:widowControl/>
        <w:rPr>
          <w:szCs w:val="26"/>
        </w:rPr>
      </w:pPr>
      <w:r w:rsidRPr="0074677E">
        <w:rPr>
          <w:szCs w:val="26"/>
        </w:rPr>
        <w:t xml:space="preserve">The expiration dates are displayed on ferc.gov with links to the updated table from </w:t>
      </w:r>
      <w:hyperlink r:id="rId14" w:history="1">
        <w:r w:rsidRPr="0074677E">
          <w:rPr>
            <w:rStyle w:val="Hyperlink"/>
            <w:szCs w:val="26"/>
          </w:rPr>
          <w:t>http://www.ferc.gov/docs-filing/info-collections.asp</w:t>
        </w:r>
      </w:hyperlink>
      <w:r w:rsidRPr="0074677E">
        <w:rPr>
          <w:szCs w:val="26"/>
        </w:rPr>
        <w:t>.</w:t>
      </w:r>
    </w:p>
    <w:p w:rsidR="00F671ED" w:rsidRDefault="00F671ED" w:rsidP="00F671ED">
      <w:pPr>
        <w:widowControl/>
        <w:rPr>
          <w:szCs w:val="26"/>
        </w:rPr>
      </w:pPr>
    </w:p>
    <w:p w:rsidR="00F671ED" w:rsidRPr="00F969B0" w:rsidRDefault="00F671ED" w:rsidP="00F671ED">
      <w:pPr>
        <w:widowControl/>
        <w:rPr>
          <w:rFonts w:eastAsia="Calibri"/>
          <w:szCs w:val="26"/>
        </w:rPr>
      </w:pPr>
      <w:r>
        <w:rPr>
          <w:szCs w:val="26"/>
        </w:rPr>
        <w:t>The expiration date is also displayed on the FERC-587 form on the 1</w:t>
      </w:r>
      <w:r w:rsidRPr="0048330B">
        <w:rPr>
          <w:szCs w:val="26"/>
          <w:vertAlign w:val="superscript"/>
        </w:rPr>
        <w:t>st</w:t>
      </w:r>
      <w:r>
        <w:rPr>
          <w:szCs w:val="26"/>
        </w:rPr>
        <w:t>, 3</w:t>
      </w:r>
      <w:r w:rsidRPr="0048330B">
        <w:rPr>
          <w:szCs w:val="26"/>
          <w:vertAlign w:val="superscript"/>
        </w:rPr>
        <w:t>rd</w:t>
      </w:r>
      <w:r>
        <w:rPr>
          <w:szCs w:val="26"/>
        </w:rPr>
        <w:t>, and 5</w:t>
      </w:r>
      <w:r w:rsidRPr="0048330B">
        <w:rPr>
          <w:szCs w:val="26"/>
          <w:vertAlign w:val="superscript"/>
        </w:rPr>
        <w:t>th</w:t>
      </w:r>
      <w:r>
        <w:rPr>
          <w:szCs w:val="26"/>
        </w:rPr>
        <w:t xml:space="preserve"> pages in the upper right-hand corners.</w:t>
      </w:r>
    </w:p>
    <w:p w:rsidR="00F671ED" w:rsidRPr="00DA6CEC" w:rsidRDefault="00F671ED" w:rsidP="00F671ED">
      <w:pPr>
        <w:widowControl/>
        <w:rPr>
          <w:szCs w:val="26"/>
        </w:rPr>
      </w:pPr>
    </w:p>
    <w:p w:rsidR="00F671ED" w:rsidRPr="00DA6CEC" w:rsidRDefault="00F671ED" w:rsidP="00F671ED">
      <w:pPr>
        <w:widowControl/>
        <w:numPr>
          <w:ilvl w:val="0"/>
          <w:numId w:val="5"/>
        </w:numPr>
        <w:tabs>
          <w:tab w:val="clear" w:pos="1080"/>
          <w:tab w:val="num" w:pos="360"/>
        </w:tabs>
        <w:ind w:left="360"/>
        <w:rPr>
          <w:b/>
          <w:szCs w:val="26"/>
        </w:rPr>
      </w:pPr>
      <w:r w:rsidRPr="00DA6CEC">
        <w:rPr>
          <w:b/>
          <w:szCs w:val="26"/>
        </w:rPr>
        <w:t>EXCEPTIONS TO THE CERTIFICATION STATEMENT</w:t>
      </w:r>
    </w:p>
    <w:p w:rsidR="00F671ED" w:rsidRPr="00DA6CEC" w:rsidRDefault="00F671ED" w:rsidP="00F671ED">
      <w:pPr>
        <w:widowControl/>
        <w:ind w:firstLine="720"/>
        <w:rPr>
          <w:szCs w:val="26"/>
        </w:rPr>
      </w:pPr>
    </w:p>
    <w:p w:rsidR="00F671ED" w:rsidRPr="00DA6CEC" w:rsidRDefault="00F671ED" w:rsidP="00F671ED">
      <w:pPr>
        <w:widowControl/>
        <w:rPr>
          <w:szCs w:val="26"/>
        </w:rPr>
      </w:pPr>
      <w:r>
        <w:rPr>
          <w:szCs w:val="26"/>
        </w:rPr>
        <w:t>There are no exceptions.</w:t>
      </w:r>
    </w:p>
    <w:p w:rsidR="008C1CC9" w:rsidRDefault="008C1CC9"/>
    <w:sectPr w:rsidR="008C1CC9" w:rsidSect="007D5409">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D8" w:rsidRDefault="00BB61D8" w:rsidP="00F671ED">
      <w:r>
        <w:separator/>
      </w:r>
    </w:p>
  </w:endnote>
  <w:endnote w:type="continuationSeparator" w:id="0">
    <w:p w:rsidR="00BB61D8" w:rsidRDefault="00BB61D8" w:rsidP="00F6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5034"/>
      <w:docPartObj>
        <w:docPartGallery w:val="Page Numbers (Bottom of Page)"/>
        <w:docPartUnique/>
      </w:docPartObj>
    </w:sdtPr>
    <w:sdtEndPr>
      <w:rPr>
        <w:noProof/>
      </w:rPr>
    </w:sdtEndPr>
    <w:sdtContent>
      <w:p w:rsidR="0027374C" w:rsidRDefault="0027374C">
        <w:pPr>
          <w:pStyle w:val="Footer"/>
          <w:jc w:val="center"/>
        </w:pPr>
        <w:r>
          <w:fldChar w:fldCharType="begin"/>
        </w:r>
        <w:r>
          <w:instrText xml:space="preserve"> PAGE   \* MERGEFORMAT </w:instrText>
        </w:r>
        <w:r>
          <w:fldChar w:fldCharType="separate"/>
        </w:r>
        <w:r w:rsidR="00D02AF1">
          <w:rPr>
            <w:noProof/>
          </w:rPr>
          <w:t>2</w:t>
        </w:r>
        <w:r>
          <w:rPr>
            <w:noProof/>
          </w:rPr>
          <w:fldChar w:fldCharType="end"/>
        </w:r>
      </w:p>
    </w:sdtContent>
  </w:sdt>
  <w:p w:rsidR="0027374C" w:rsidRDefault="00273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D8" w:rsidRDefault="00BB61D8" w:rsidP="00F671ED">
      <w:r>
        <w:separator/>
      </w:r>
    </w:p>
  </w:footnote>
  <w:footnote w:type="continuationSeparator" w:id="0">
    <w:p w:rsidR="00BB61D8" w:rsidRDefault="00BB61D8" w:rsidP="00F671ED">
      <w:r>
        <w:continuationSeparator/>
      </w:r>
    </w:p>
  </w:footnote>
  <w:footnote w:id="1">
    <w:p w:rsidR="00EC3A3D" w:rsidRDefault="00EC3A3D">
      <w:pPr>
        <w:pStyle w:val="FootnoteText"/>
      </w:pPr>
      <w:r>
        <w:rPr>
          <w:rStyle w:val="FootnoteReference"/>
        </w:rPr>
        <w:footnoteRef/>
      </w:r>
      <w:r>
        <w:t xml:space="preserve"> FERC Form No. </w:t>
      </w:r>
      <w:r w:rsidR="009066A4">
        <w:t>587,</w:t>
      </w:r>
      <w:r w:rsidR="009066A4" w:rsidRPr="009066A4">
        <w:rPr>
          <w:bCs/>
          <w:szCs w:val="26"/>
        </w:rPr>
        <w:t xml:space="preserve"> </w:t>
      </w:r>
      <w:r w:rsidR="009066A4" w:rsidRPr="009066A4">
        <w:rPr>
          <w:bCs/>
        </w:rPr>
        <w:t>Land Description: Public Land States/Non-Public Land States (Rectangular or Non Rectangular Survey System Lands in Public Land States)</w:t>
      </w:r>
      <w:r w:rsidR="009D4321">
        <w:rPr>
          <w:bCs/>
        </w:rPr>
        <w:t xml:space="preserve"> is abbreviated to read FERC-587 in this supporting statement.</w:t>
      </w:r>
      <w:r w:rsidR="009066A4">
        <w:t xml:space="preserve"> </w:t>
      </w:r>
    </w:p>
  </w:footnote>
  <w:footnote w:id="2">
    <w:p w:rsidR="00F671ED" w:rsidRPr="00E602E8" w:rsidRDefault="00F671ED" w:rsidP="00F671ED">
      <w:pPr>
        <w:pStyle w:val="FootnoteText"/>
        <w:rPr>
          <w:sz w:val="26"/>
          <w:szCs w:val="26"/>
        </w:rPr>
      </w:pPr>
      <w:r w:rsidRPr="00E602E8">
        <w:rPr>
          <w:rStyle w:val="FootnoteReference"/>
          <w:sz w:val="26"/>
          <w:szCs w:val="26"/>
        </w:rPr>
        <w:footnoteRef/>
      </w:r>
      <w:r w:rsidRPr="00E602E8">
        <w:rPr>
          <w:sz w:val="26"/>
          <w:szCs w:val="26"/>
        </w:rPr>
        <w:t xml:space="preserve"> 16 USC § 791 a et seq (1996)</w:t>
      </w:r>
      <w:r w:rsidR="00504762">
        <w:rPr>
          <w:sz w:val="26"/>
          <w:szCs w:val="26"/>
        </w:rPr>
        <w:t>.</w:t>
      </w:r>
    </w:p>
  </w:footnote>
  <w:footnote w:id="3">
    <w:p w:rsidR="00F671ED" w:rsidRPr="00E602E8" w:rsidRDefault="00F671ED" w:rsidP="00F671ED">
      <w:pPr>
        <w:pStyle w:val="FootnoteText"/>
        <w:rPr>
          <w:sz w:val="26"/>
          <w:szCs w:val="26"/>
        </w:rPr>
      </w:pPr>
      <w:r w:rsidRPr="00E602E8">
        <w:rPr>
          <w:rStyle w:val="FootnoteReference"/>
          <w:sz w:val="26"/>
          <w:szCs w:val="26"/>
        </w:rPr>
        <w:footnoteRef/>
      </w:r>
      <w:r w:rsidRPr="00E602E8">
        <w:rPr>
          <w:sz w:val="26"/>
          <w:szCs w:val="26"/>
        </w:rPr>
        <w:t xml:space="preserve"> Public Law 99-495, 100 Stat. 1243 (1996)</w:t>
      </w:r>
      <w:r w:rsidR="00504762">
        <w:rPr>
          <w:sz w:val="26"/>
          <w:szCs w:val="26"/>
        </w:rPr>
        <w:t>.</w:t>
      </w:r>
    </w:p>
  </w:footnote>
  <w:footnote w:id="4">
    <w:p w:rsidR="00F671ED" w:rsidRPr="00EB3D7B" w:rsidRDefault="00F671ED" w:rsidP="00F671ED">
      <w:pPr>
        <w:pStyle w:val="FootnoteText"/>
        <w:rPr>
          <w:sz w:val="26"/>
          <w:szCs w:val="26"/>
        </w:rPr>
      </w:pPr>
      <w:r w:rsidRPr="00EB3D7B">
        <w:rPr>
          <w:rStyle w:val="FootnoteReference"/>
          <w:sz w:val="26"/>
          <w:szCs w:val="26"/>
        </w:rPr>
        <w:footnoteRef/>
      </w:r>
      <w:r w:rsidRPr="00EB3D7B">
        <w:rPr>
          <w:sz w:val="26"/>
          <w:szCs w:val="26"/>
        </w:rPr>
        <w:t xml:space="preserve"> 5 CFR 1320.8(d)</w:t>
      </w:r>
    </w:p>
  </w:footnote>
  <w:footnote w:id="5">
    <w:p w:rsidR="00F671ED" w:rsidRPr="00EB3D7B" w:rsidRDefault="00F671ED" w:rsidP="00F671ED">
      <w:pPr>
        <w:pStyle w:val="FootnoteText"/>
        <w:rPr>
          <w:sz w:val="26"/>
          <w:szCs w:val="26"/>
          <w:highlight w:val="yellow"/>
        </w:rPr>
      </w:pPr>
      <w:r w:rsidRPr="00EB3D7B">
        <w:rPr>
          <w:rStyle w:val="FootnoteReference"/>
          <w:sz w:val="26"/>
          <w:szCs w:val="26"/>
        </w:rPr>
        <w:footnoteRef/>
      </w:r>
      <w:r w:rsidR="00EB3D7B" w:rsidRPr="00EB3D7B">
        <w:rPr>
          <w:sz w:val="26"/>
          <w:szCs w:val="26"/>
        </w:rPr>
        <w:t xml:space="preserve"> </w:t>
      </w:r>
      <w:r w:rsidR="00EB3D7B" w:rsidRPr="00603BE4">
        <w:rPr>
          <w:sz w:val="26"/>
          <w:szCs w:val="26"/>
        </w:rPr>
        <w:t>8</w:t>
      </w:r>
      <w:r w:rsidR="00603BE4" w:rsidRPr="00603BE4">
        <w:rPr>
          <w:sz w:val="26"/>
          <w:szCs w:val="26"/>
        </w:rPr>
        <w:t>3</w:t>
      </w:r>
      <w:r w:rsidR="00EB3D7B" w:rsidRPr="00603BE4">
        <w:rPr>
          <w:sz w:val="26"/>
          <w:szCs w:val="26"/>
        </w:rPr>
        <w:t xml:space="preserve"> FR </w:t>
      </w:r>
      <w:r w:rsidR="00603BE4" w:rsidRPr="00603BE4">
        <w:rPr>
          <w:sz w:val="26"/>
          <w:szCs w:val="26"/>
        </w:rPr>
        <w:t>32111</w:t>
      </w:r>
    </w:p>
  </w:footnote>
  <w:footnote w:id="6">
    <w:p w:rsidR="00EB3D7B" w:rsidRPr="00EB3D7B" w:rsidRDefault="00EB3D7B" w:rsidP="00EB3D7B">
      <w:pPr>
        <w:pStyle w:val="FootnoteText"/>
        <w:rPr>
          <w:sz w:val="26"/>
          <w:szCs w:val="26"/>
        </w:rPr>
      </w:pPr>
      <w:r w:rsidRPr="00133B98">
        <w:rPr>
          <w:vertAlign w:val="superscript"/>
        </w:rPr>
        <w:footnoteRef/>
      </w:r>
      <w:r w:rsidRPr="00133B98">
        <w:rPr>
          <w:vertAlign w:val="superscript"/>
        </w:rPr>
        <w:t xml:space="preserve"> </w:t>
      </w:r>
      <w:r w:rsidRPr="00EB3D7B">
        <w:rPr>
          <w:sz w:val="26"/>
          <w:szCs w:val="26"/>
        </w:rPr>
        <w:t>Burden is defined as the total time, effort, or financial resources expended by persons to generate, maintain, retain, or disclose or provide information to or for a federal agency.  Refer to 5 CFR 1320.3 for additional information.</w:t>
      </w:r>
    </w:p>
  </w:footnote>
  <w:footnote w:id="7">
    <w:p w:rsidR="00AE049D" w:rsidRPr="00133B98" w:rsidRDefault="00AE049D" w:rsidP="00AE049D">
      <w:pPr>
        <w:pStyle w:val="FootnoteText"/>
        <w:rPr>
          <w:sz w:val="26"/>
          <w:szCs w:val="26"/>
        </w:rPr>
      </w:pPr>
      <w:r w:rsidRPr="00133B98">
        <w:rPr>
          <w:sz w:val="26"/>
          <w:szCs w:val="26"/>
          <w:vertAlign w:val="superscript"/>
        </w:rPr>
        <w:footnoteRef/>
      </w:r>
      <w:r w:rsidRPr="00133B98">
        <w:rPr>
          <w:sz w:val="26"/>
          <w:szCs w:val="26"/>
          <w:vertAlign w:val="superscript"/>
        </w:rPr>
        <w:t xml:space="preserve"> </w:t>
      </w:r>
      <w:r w:rsidRPr="00133B98">
        <w:rPr>
          <w:sz w:val="26"/>
          <w:szCs w:val="26"/>
        </w:rPr>
        <w:t>The estimate uses the FERC’s FY 2018 average annual salary plus benefits of one FERC FTE (full-time equivalent [$164,820 per year or $79.00 per hour]).  (These estimates were updated in May 2018.)</w:t>
      </w:r>
    </w:p>
  </w:footnote>
  <w:footnote w:id="8">
    <w:p w:rsidR="00AE049D" w:rsidRPr="00133B98" w:rsidRDefault="00AE049D" w:rsidP="00AE049D">
      <w:pPr>
        <w:pStyle w:val="FootnoteText"/>
        <w:rPr>
          <w:sz w:val="26"/>
          <w:szCs w:val="26"/>
        </w:rPr>
      </w:pPr>
      <w:r w:rsidRPr="00133B98">
        <w:rPr>
          <w:sz w:val="26"/>
          <w:szCs w:val="26"/>
          <w:vertAlign w:val="superscript"/>
        </w:rPr>
        <w:footnoteRef/>
      </w:r>
      <w:r w:rsidRPr="00133B98">
        <w:rPr>
          <w:sz w:val="26"/>
          <w:szCs w:val="26"/>
        </w:rPr>
        <w:t xml:space="preserve"> This estimate was updated May 2018.</w:t>
      </w:r>
    </w:p>
  </w:footnote>
  <w:footnote w:id="9">
    <w:p w:rsidR="00F671ED" w:rsidRPr="004D196C" w:rsidRDefault="00F671ED" w:rsidP="00F671ED">
      <w:pPr>
        <w:pStyle w:val="FootnoteText"/>
        <w:rPr>
          <w:sz w:val="26"/>
          <w:szCs w:val="26"/>
        </w:rPr>
      </w:pPr>
      <w:r w:rsidRPr="004D196C">
        <w:rPr>
          <w:rStyle w:val="FootnoteReference"/>
          <w:b/>
          <w:sz w:val="26"/>
          <w:szCs w:val="26"/>
        </w:rPr>
        <w:footnoteRef/>
      </w:r>
      <w:r w:rsidRPr="004D196C">
        <w:rPr>
          <w:sz w:val="26"/>
          <w:szCs w:val="26"/>
        </w:rPr>
        <w:t xml:space="preserve"> </w:t>
      </w:r>
      <w:r w:rsidR="004D196C" w:rsidRPr="004D196C">
        <w:rPr>
          <w:rFonts w:eastAsiaTheme="minorHAnsi"/>
          <w:sz w:val="26"/>
          <w:szCs w:val="26"/>
        </w:rPr>
        <w:t>Based on 2018 cost (salary plus benefits) per FTE of $164,820 or $79.00 per hour.</w:t>
      </w:r>
    </w:p>
  </w:footnote>
  <w:footnote w:id="10">
    <w:p w:rsidR="00F671ED" w:rsidRPr="004D196C" w:rsidRDefault="00F671ED" w:rsidP="00F671ED">
      <w:pPr>
        <w:pStyle w:val="FootnoteText"/>
        <w:rPr>
          <w:sz w:val="26"/>
          <w:szCs w:val="26"/>
        </w:rPr>
      </w:pPr>
      <w:r w:rsidRPr="004D196C">
        <w:rPr>
          <w:rStyle w:val="FootnoteReference"/>
          <w:b/>
          <w:sz w:val="26"/>
          <w:szCs w:val="26"/>
        </w:rPr>
        <w:footnoteRef/>
      </w:r>
      <w:r w:rsidRPr="004D196C">
        <w:rPr>
          <w:sz w:val="26"/>
          <w:szCs w:val="26"/>
        </w:rPr>
        <w:t xml:space="preserve"> Paperwork Reduction Act of 1995 (PRA).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ED" w:rsidRPr="00F671ED" w:rsidRDefault="00F671ED">
    <w:pPr>
      <w:pStyle w:val="Header"/>
      <w:rPr>
        <w:szCs w:val="26"/>
      </w:rPr>
    </w:pPr>
    <w:r w:rsidRPr="00F671ED">
      <w:rPr>
        <w:szCs w:val="26"/>
      </w:rPr>
      <w:t>FERC-587 (OMB Control No. 1902-0145)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7E8"/>
    <w:multiLevelType w:val="hybridMultilevel"/>
    <w:tmpl w:val="E1C033D4"/>
    <w:lvl w:ilvl="0" w:tplc="D26865AA">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
    <w:nsid w:val="132E00FE"/>
    <w:multiLevelType w:val="hybridMultilevel"/>
    <w:tmpl w:val="8B442898"/>
    <w:lvl w:ilvl="0" w:tplc="1C8C7F7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E677A6"/>
    <w:multiLevelType w:val="multilevel"/>
    <w:tmpl w:val="5F18A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8D601BA"/>
    <w:multiLevelType w:val="hybridMultilevel"/>
    <w:tmpl w:val="6F6CE4EA"/>
    <w:lvl w:ilvl="0" w:tplc="F594DBE4">
      <w:start w:val="1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48F803E2"/>
    <w:multiLevelType w:val="hybridMultilevel"/>
    <w:tmpl w:val="0BE239CA"/>
    <w:lvl w:ilvl="0" w:tplc="D3700D42">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ED"/>
    <w:rsid w:val="00031ED5"/>
    <w:rsid w:val="000C1505"/>
    <w:rsid w:val="00133B98"/>
    <w:rsid w:val="00134BD9"/>
    <w:rsid w:val="0027374C"/>
    <w:rsid w:val="002A251A"/>
    <w:rsid w:val="002A5555"/>
    <w:rsid w:val="002B785B"/>
    <w:rsid w:val="00396ED3"/>
    <w:rsid w:val="003D7638"/>
    <w:rsid w:val="003E1294"/>
    <w:rsid w:val="00452E8B"/>
    <w:rsid w:val="004D196C"/>
    <w:rsid w:val="00501CF2"/>
    <w:rsid w:val="00504762"/>
    <w:rsid w:val="0054528C"/>
    <w:rsid w:val="00593BF7"/>
    <w:rsid w:val="00603BE4"/>
    <w:rsid w:val="00625668"/>
    <w:rsid w:val="006341D2"/>
    <w:rsid w:val="00666DBE"/>
    <w:rsid w:val="006D2CC2"/>
    <w:rsid w:val="007C5412"/>
    <w:rsid w:val="007D5409"/>
    <w:rsid w:val="00872750"/>
    <w:rsid w:val="008A1902"/>
    <w:rsid w:val="008C1CC9"/>
    <w:rsid w:val="009066A4"/>
    <w:rsid w:val="00997272"/>
    <w:rsid w:val="009D4321"/>
    <w:rsid w:val="009E30FD"/>
    <w:rsid w:val="00AA62AA"/>
    <w:rsid w:val="00AE049D"/>
    <w:rsid w:val="00B775DD"/>
    <w:rsid w:val="00BB61D8"/>
    <w:rsid w:val="00BC7D4A"/>
    <w:rsid w:val="00BD792A"/>
    <w:rsid w:val="00BE68BE"/>
    <w:rsid w:val="00BF7244"/>
    <w:rsid w:val="00D0172B"/>
    <w:rsid w:val="00D02AF1"/>
    <w:rsid w:val="00E3632F"/>
    <w:rsid w:val="00E602E8"/>
    <w:rsid w:val="00E97819"/>
    <w:rsid w:val="00EB3D7B"/>
    <w:rsid w:val="00EC3A3D"/>
    <w:rsid w:val="00EC4AE9"/>
    <w:rsid w:val="00ED5BA0"/>
    <w:rsid w:val="00F216DA"/>
    <w:rsid w:val="00F44811"/>
    <w:rsid w:val="00F671ED"/>
    <w:rsid w:val="00F71DB2"/>
    <w:rsid w:val="00F84768"/>
    <w:rsid w:val="00F8747A"/>
    <w:rsid w:val="00FC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ED"/>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ED"/>
    <w:pPr>
      <w:tabs>
        <w:tab w:val="center" w:pos="4680"/>
        <w:tab w:val="right" w:pos="9360"/>
      </w:tabs>
    </w:pPr>
  </w:style>
  <w:style w:type="character" w:customStyle="1" w:styleId="HeaderChar">
    <w:name w:val="Header Char"/>
    <w:basedOn w:val="DefaultParagraphFont"/>
    <w:link w:val="Header"/>
    <w:uiPriority w:val="99"/>
    <w:rsid w:val="00F671ED"/>
  </w:style>
  <w:style w:type="paragraph" w:styleId="Footer">
    <w:name w:val="footer"/>
    <w:basedOn w:val="Normal"/>
    <w:link w:val="FooterChar"/>
    <w:uiPriority w:val="99"/>
    <w:unhideWhenUsed/>
    <w:rsid w:val="00F671ED"/>
    <w:pPr>
      <w:tabs>
        <w:tab w:val="center" w:pos="4680"/>
        <w:tab w:val="right" w:pos="9360"/>
      </w:tabs>
    </w:pPr>
  </w:style>
  <w:style w:type="character" w:customStyle="1" w:styleId="FooterChar">
    <w:name w:val="Footer Char"/>
    <w:basedOn w:val="DefaultParagraphFont"/>
    <w:link w:val="Footer"/>
    <w:uiPriority w:val="99"/>
    <w:rsid w:val="00F671ED"/>
  </w:style>
  <w:style w:type="paragraph" w:styleId="ListParagraph">
    <w:name w:val="List Paragraph"/>
    <w:basedOn w:val="Normal"/>
    <w:uiPriority w:val="99"/>
    <w:qFormat/>
    <w:rsid w:val="00F671ED"/>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F671ED"/>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rsid w:val="00F671E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F671ED"/>
    <w:rPr>
      <w:rFonts w:cs="Times New Roman"/>
      <w:vertAlign w:val="superscript"/>
    </w:rPr>
  </w:style>
  <w:style w:type="character" w:styleId="Hyperlink">
    <w:name w:val="Hyperlink"/>
    <w:basedOn w:val="DefaultParagraphFont"/>
    <w:uiPriority w:val="99"/>
    <w:rsid w:val="00F671ED"/>
    <w:rPr>
      <w:rFonts w:cs="Times New Roman"/>
      <w:color w:val="0000FF"/>
      <w:u w:val="single"/>
    </w:rPr>
  </w:style>
  <w:style w:type="character" w:styleId="CommentReference">
    <w:name w:val="annotation reference"/>
    <w:basedOn w:val="DefaultParagraphFont"/>
    <w:uiPriority w:val="99"/>
    <w:semiHidden/>
    <w:rsid w:val="00F671ED"/>
    <w:rPr>
      <w:rFonts w:cs="Times New Roman"/>
      <w:sz w:val="16"/>
      <w:szCs w:val="16"/>
    </w:rPr>
  </w:style>
  <w:style w:type="paragraph" w:styleId="CommentText">
    <w:name w:val="annotation text"/>
    <w:basedOn w:val="Normal"/>
    <w:link w:val="CommentTextChar"/>
    <w:uiPriority w:val="99"/>
    <w:semiHidden/>
    <w:rsid w:val="00F671ED"/>
    <w:rPr>
      <w:sz w:val="20"/>
      <w:szCs w:val="20"/>
    </w:rPr>
  </w:style>
  <w:style w:type="character" w:customStyle="1" w:styleId="CommentTextChar">
    <w:name w:val="Comment Text Char"/>
    <w:basedOn w:val="DefaultParagraphFont"/>
    <w:link w:val="CommentText"/>
    <w:uiPriority w:val="99"/>
    <w:semiHidden/>
    <w:rsid w:val="00F671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67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1E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C4AE9"/>
    <w:rPr>
      <w:b/>
      <w:bCs/>
    </w:rPr>
  </w:style>
  <w:style w:type="character" w:customStyle="1" w:styleId="CommentSubjectChar">
    <w:name w:val="Comment Subject Char"/>
    <w:basedOn w:val="CommentTextChar"/>
    <w:link w:val="CommentSubject"/>
    <w:uiPriority w:val="99"/>
    <w:semiHidden/>
    <w:rsid w:val="00EC4AE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ED"/>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ED"/>
    <w:pPr>
      <w:tabs>
        <w:tab w:val="center" w:pos="4680"/>
        <w:tab w:val="right" w:pos="9360"/>
      </w:tabs>
    </w:pPr>
  </w:style>
  <w:style w:type="character" w:customStyle="1" w:styleId="HeaderChar">
    <w:name w:val="Header Char"/>
    <w:basedOn w:val="DefaultParagraphFont"/>
    <w:link w:val="Header"/>
    <w:uiPriority w:val="99"/>
    <w:rsid w:val="00F671ED"/>
  </w:style>
  <w:style w:type="paragraph" w:styleId="Footer">
    <w:name w:val="footer"/>
    <w:basedOn w:val="Normal"/>
    <w:link w:val="FooterChar"/>
    <w:uiPriority w:val="99"/>
    <w:unhideWhenUsed/>
    <w:rsid w:val="00F671ED"/>
    <w:pPr>
      <w:tabs>
        <w:tab w:val="center" w:pos="4680"/>
        <w:tab w:val="right" w:pos="9360"/>
      </w:tabs>
    </w:pPr>
  </w:style>
  <w:style w:type="character" w:customStyle="1" w:styleId="FooterChar">
    <w:name w:val="Footer Char"/>
    <w:basedOn w:val="DefaultParagraphFont"/>
    <w:link w:val="Footer"/>
    <w:uiPriority w:val="99"/>
    <w:rsid w:val="00F671ED"/>
  </w:style>
  <w:style w:type="paragraph" w:styleId="ListParagraph">
    <w:name w:val="List Paragraph"/>
    <w:basedOn w:val="Normal"/>
    <w:uiPriority w:val="99"/>
    <w:qFormat/>
    <w:rsid w:val="00F671ED"/>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F671ED"/>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rsid w:val="00F671E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F671ED"/>
    <w:rPr>
      <w:rFonts w:cs="Times New Roman"/>
      <w:vertAlign w:val="superscript"/>
    </w:rPr>
  </w:style>
  <w:style w:type="character" w:styleId="Hyperlink">
    <w:name w:val="Hyperlink"/>
    <w:basedOn w:val="DefaultParagraphFont"/>
    <w:uiPriority w:val="99"/>
    <w:rsid w:val="00F671ED"/>
    <w:rPr>
      <w:rFonts w:cs="Times New Roman"/>
      <w:color w:val="0000FF"/>
      <w:u w:val="single"/>
    </w:rPr>
  </w:style>
  <w:style w:type="character" w:styleId="CommentReference">
    <w:name w:val="annotation reference"/>
    <w:basedOn w:val="DefaultParagraphFont"/>
    <w:uiPriority w:val="99"/>
    <w:semiHidden/>
    <w:rsid w:val="00F671ED"/>
    <w:rPr>
      <w:rFonts w:cs="Times New Roman"/>
      <w:sz w:val="16"/>
      <w:szCs w:val="16"/>
    </w:rPr>
  </w:style>
  <w:style w:type="paragraph" w:styleId="CommentText">
    <w:name w:val="annotation text"/>
    <w:basedOn w:val="Normal"/>
    <w:link w:val="CommentTextChar"/>
    <w:uiPriority w:val="99"/>
    <w:semiHidden/>
    <w:rsid w:val="00F671ED"/>
    <w:rPr>
      <w:sz w:val="20"/>
      <w:szCs w:val="20"/>
    </w:rPr>
  </w:style>
  <w:style w:type="character" w:customStyle="1" w:styleId="CommentTextChar">
    <w:name w:val="Comment Text Char"/>
    <w:basedOn w:val="DefaultParagraphFont"/>
    <w:link w:val="CommentText"/>
    <w:uiPriority w:val="99"/>
    <w:semiHidden/>
    <w:rsid w:val="00F671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67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1E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C4AE9"/>
    <w:rPr>
      <w:b/>
      <w:bCs/>
    </w:rPr>
  </w:style>
  <w:style w:type="character" w:customStyle="1" w:styleId="CommentSubjectChar">
    <w:name w:val="Comment Subject Char"/>
    <w:basedOn w:val="CommentTextChar"/>
    <w:link w:val="CommentSubject"/>
    <w:uiPriority w:val="99"/>
    <w:semiHidden/>
    <w:rsid w:val="00EC4AE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587</_x0031__x002e__x0020_Collection_x0020_Number>
    <Date xmlns="d6eefc7d-9817-4fa6-84d5-3bc009be21b8">2018-09-19T00:00:00-04:00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IC18-15-000</_x0031__x002e__x0020_Docket_x0020_Number>
    <_x0033__x002e__x0020_Collection_x0020_Number xmlns="d6eefc7d-9817-4fa6-84d5-3bc009be2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A6A75-7C67-4533-9F17-CE940F3E5708}">
  <ds:schemaRefs>
    <ds:schemaRef ds:uri="http://schemas.microsoft.com/sharepoint/v3/contenttype/forms"/>
  </ds:schemaRefs>
</ds:datastoreItem>
</file>

<file path=customXml/itemProps2.xml><?xml version="1.0" encoding="utf-8"?>
<ds:datastoreItem xmlns:ds="http://schemas.openxmlformats.org/officeDocument/2006/customXml" ds:itemID="{459A0F62-AF4A-4F13-8D68-E3E6597D41C0}">
  <ds:schemaRefs>
    <ds:schemaRef ds:uri="http://schemas.microsoft.com/office/2006/metadata/properties"/>
    <ds:schemaRef ds:uri="http://schemas.microsoft.com/office/infopath/2007/PartnerControls"/>
    <ds:schemaRef ds:uri="d6eefc7d-9817-4fa6-84d5-3bc009be21b8"/>
  </ds:schemaRefs>
</ds:datastoreItem>
</file>

<file path=customXml/itemProps3.xml><?xml version="1.0" encoding="utf-8"?>
<ds:datastoreItem xmlns:ds="http://schemas.openxmlformats.org/officeDocument/2006/customXml" ds:itemID="{FD023F2D-66F1-4F41-966D-FFE3A543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06A75-90B4-4712-827B-F11414F81E01}">
  <ds:schemaRefs>
    <ds:schemaRef ds:uri="http://schemas.microsoft.com/office/2006/metadata/customXsn"/>
  </ds:schemaRefs>
</ds:datastoreItem>
</file>

<file path=customXml/itemProps5.xml><?xml version="1.0" encoding="utf-8"?>
<ds:datastoreItem xmlns:ds="http://schemas.openxmlformats.org/officeDocument/2006/customXml" ds:itemID="{EA30B866-5448-4950-A761-77A18E305F53}">
  <ds:schemaRefs>
    <ds:schemaRef ds:uri="Microsoft.SharePoint.Taxonomy.ContentTypeSync"/>
  </ds:schemaRefs>
</ds:datastoreItem>
</file>

<file path=customXml/itemProps6.xml><?xml version="1.0" encoding="utf-8"?>
<ds:datastoreItem xmlns:ds="http://schemas.openxmlformats.org/officeDocument/2006/customXml" ds:itemID="{57867976-00EF-4898-9B96-0958C845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Land Description: Public Land States/Non-Public Land States (Rectangular or Non Rectangular Survey System Lands in Public Land States)</vt:lpstr>
    </vt:vector>
  </TitlesOfParts>
  <Company>FERC</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Description: Public Land States/Non-Public Land States (Rectangular or Non Rectangular Survey System Lands in Public Land States)</dc:title>
  <dc:subject/>
  <dc:creator>Michele Chambers</dc:creator>
  <cp:keywords/>
  <dc:description/>
  <cp:lastModifiedBy>SYSTEM</cp:lastModifiedBy>
  <cp:revision>2</cp:revision>
  <dcterms:created xsi:type="dcterms:W3CDTF">2018-09-19T14:33:00Z</dcterms:created>
  <dcterms:modified xsi:type="dcterms:W3CDTF">2018-09-19T14:33:00Z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