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DBC28" w14:textId="77777777" w:rsidR="00BC15BE" w:rsidRPr="003B18DD" w:rsidRDefault="00BC15BE" w:rsidP="00BC15BE">
      <w:pPr>
        <w:tabs>
          <w:tab w:val="center" w:pos="4680"/>
        </w:tabs>
        <w:jc w:val="center"/>
        <w:rPr>
          <w:b/>
          <w:bCs/>
          <w:szCs w:val="26"/>
        </w:rPr>
      </w:pPr>
      <w:bookmarkStart w:id="0" w:name="_GoBack"/>
      <w:bookmarkEnd w:id="0"/>
    </w:p>
    <w:p w14:paraId="20181696" w14:textId="77777777" w:rsidR="00BC15BE" w:rsidRPr="003B18DD" w:rsidRDefault="00BC15BE" w:rsidP="00BC15BE">
      <w:pPr>
        <w:tabs>
          <w:tab w:val="center" w:pos="4680"/>
        </w:tabs>
        <w:jc w:val="center"/>
        <w:rPr>
          <w:b/>
          <w:bCs/>
          <w:szCs w:val="26"/>
        </w:rPr>
      </w:pPr>
    </w:p>
    <w:p w14:paraId="572739FA" w14:textId="2DA3A8F6" w:rsidR="00BC15BE" w:rsidRPr="00BD71A6" w:rsidRDefault="00BD71A6" w:rsidP="00BC15BE">
      <w:pPr>
        <w:tabs>
          <w:tab w:val="center" w:pos="4680"/>
        </w:tabs>
        <w:jc w:val="center"/>
        <w:rPr>
          <w:bCs/>
          <w:szCs w:val="26"/>
        </w:rPr>
      </w:pPr>
      <w:r w:rsidRPr="00BD71A6">
        <w:rPr>
          <w:bCs/>
          <w:szCs w:val="26"/>
        </w:rPr>
        <w:t>Supporting Statement for</w:t>
      </w:r>
    </w:p>
    <w:p w14:paraId="16E82296" w14:textId="2BC3ABC9" w:rsidR="002B45F1" w:rsidRDefault="002B45F1" w:rsidP="002B45F1">
      <w:pPr>
        <w:tabs>
          <w:tab w:val="center" w:pos="5040"/>
        </w:tabs>
        <w:jc w:val="center"/>
        <w:rPr>
          <w:b/>
          <w:bCs/>
          <w:szCs w:val="26"/>
        </w:rPr>
      </w:pPr>
      <w:r w:rsidRPr="006D6EEA">
        <w:rPr>
          <w:b/>
          <w:bCs/>
          <w:szCs w:val="26"/>
        </w:rPr>
        <w:t>FERC-54</w:t>
      </w:r>
      <w:r w:rsidRPr="00AE573D">
        <w:rPr>
          <w:b/>
          <w:bCs/>
          <w:szCs w:val="26"/>
        </w:rPr>
        <w:t>5</w:t>
      </w:r>
      <w:r w:rsidR="00AE573D" w:rsidRPr="00AE573D">
        <w:rPr>
          <w:b/>
          <w:bCs/>
        </w:rPr>
        <w:t>B</w:t>
      </w:r>
      <w:r w:rsidRPr="006D6EEA">
        <w:rPr>
          <w:b/>
          <w:bCs/>
          <w:szCs w:val="26"/>
        </w:rPr>
        <w:t xml:space="preserve"> (Gas Pipeline </w:t>
      </w:r>
      <w:r>
        <w:rPr>
          <w:b/>
          <w:bCs/>
          <w:szCs w:val="26"/>
        </w:rPr>
        <w:t xml:space="preserve">Rates: Rate </w:t>
      </w:r>
      <w:r w:rsidR="00BD71A6">
        <w:rPr>
          <w:b/>
          <w:bCs/>
          <w:szCs w:val="26"/>
        </w:rPr>
        <w:t>Change Non-</w:t>
      </w:r>
      <w:r w:rsidR="00BD71A6" w:rsidRPr="00FC1EA4">
        <w:rPr>
          <w:b/>
          <w:bCs/>
          <w:szCs w:val="26"/>
        </w:rPr>
        <w:t>Formal</w:t>
      </w:r>
      <w:r w:rsidRPr="00FC1EA4">
        <w:rPr>
          <w:b/>
          <w:bCs/>
          <w:szCs w:val="26"/>
        </w:rPr>
        <w:t>) and</w:t>
      </w:r>
      <w:r>
        <w:rPr>
          <w:b/>
          <w:bCs/>
          <w:szCs w:val="26"/>
        </w:rPr>
        <w:t xml:space="preserve"> </w:t>
      </w:r>
    </w:p>
    <w:p w14:paraId="6A716D5C" w14:textId="4DF82B41" w:rsidR="002B45F1" w:rsidRPr="006D6EEA" w:rsidRDefault="002B45F1">
      <w:pPr>
        <w:tabs>
          <w:tab w:val="center" w:pos="5040"/>
        </w:tabs>
        <w:jc w:val="center"/>
        <w:rPr>
          <w:b/>
          <w:bCs/>
          <w:szCs w:val="26"/>
        </w:rPr>
      </w:pPr>
      <w:r w:rsidRPr="00A72889">
        <w:rPr>
          <w:b/>
          <w:bCs/>
          <w:szCs w:val="26"/>
        </w:rPr>
        <w:t>FERC-549C</w:t>
      </w:r>
      <w:r w:rsidR="00AE573D">
        <w:rPr>
          <w:b/>
          <w:bCs/>
          <w:szCs w:val="26"/>
        </w:rPr>
        <w:t>1</w:t>
      </w:r>
      <w:r w:rsidRPr="00A72889">
        <w:rPr>
          <w:b/>
          <w:bCs/>
          <w:szCs w:val="26"/>
        </w:rPr>
        <w:t xml:space="preserve"> </w:t>
      </w:r>
      <w:r>
        <w:rPr>
          <w:b/>
          <w:bCs/>
          <w:szCs w:val="26"/>
        </w:rPr>
        <w:t>(</w:t>
      </w:r>
      <w:r w:rsidRPr="00A72889">
        <w:rPr>
          <w:b/>
          <w:bCs/>
          <w:szCs w:val="26"/>
        </w:rPr>
        <w:t>Standards for Business Practices of Interstate Natural Gas Pipelines</w:t>
      </w:r>
      <w:r>
        <w:rPr>
          <w:b/>
          <w:bCs/>
          <w:szCs w:val="26"/>
        </w:rPr>
        <w:t xml:space="preserve">), as </w:t>
      </w:r>
      <w:r w:rsidR="008E06A4">
        <w:rPr>
          <w:b/>
          <w:bCs/>
          <w:szCs w:val="26"/>
        </w:rPr>
        <w:t xml:space="preserve">proposed to be </w:t>
      </w:r>
      <w:r>
        <w:rPr>
          <w:b/>
          <w:bCs/>
          <w:szCs w:val="26"/>
        </w:rPr>
        <w:t xml:space="preserve">revised by </w:t>
      </w:r>
      <w:r w:rsidR="008E06A4">
        <w:rPr>
          <w:b/>
          <w:bCs/>
          <w:szCs w:val="26"/>
        </w:rPr>
        <w:t>the Notice of Proposed Rulemaking (NOPR) issued</w:t>
      </w:r>
      <w:r w:rsidR="00BD71A6">
        <w:rPr>
          <w:b/>
          <w:bCs/>
          <w:szCs w:val="26"/>
        </w:rPr>
        <w:t xml:space="preserve"> in Docket No. RM96-1-041</w:t>
      </w:r>
      <w:r w:rsidR="008E06A4">
        <w:rPr>
          <w:b/>
          <w:bCs/>
          <w:szCs w:val="26"/>
        </w:rPr>
        <w:t xml:space="preserve"> on 8/2</w:t>
      </w:r>
      <w:r w:rsidR="00436AC7">
        <w:rPr>
          <w:b/>
          <w:bCs/>
          <w:szCs w:val="26"/>
        </w:rPr>
        <w:t>1</w:t>
      </w:r>
      <w:r w:rsidR="008E06A4">
        <w:rPr>
          <w:b/>
          <w:bCs/>
          <w:szCs w:val="26"/>
        </w:rPr>
        <w:t>/18.</w:t>
      </w:r>
    </w:p>
    <w:p w14:paraId="1C7D4E2C" w14:textId="77777777" w:rsidR="00BC15BE" w:rsidRPr="003B18DD" w:rsidRDefault="00BC15BE" w:rsidP="00BC15BE">
      <w:pPr>
        <w:rPr>
          <w:szCs w:val="26"/>
        </w:rPr>
      </w:pPr>
    </w:p>
    <w:p w14:paraId="0E2CA91B" w14:textId="3D379F7E" w:rsidR="002B45F1" w:rsidRDefault="002B45F1" w:rsidP="002B45F1">
      <w:pPr>
        <w:rPr>
          <w:szCs w:val="26"/>
        </w:rPr>
      </w:pPr>
      <w:r w:rsidRPr="006D6EEA">
        <w:rPr>
          <w:szCs w:val="26"/>
        </w:rPr>
        <w:t>The Federal Energy Regulatory Commission (Commission or FERC) requests that the Office of Management and Budget (OMB) review and approve</w:t>
      </w:r>
      <w:r>
        <w:rPr>
          <w:szCs w:val="26"/>
        </w:rPr>
        <w:t xml:space="preserve"> </w:t>
      </w:r>
      <w:r w:rsidR="00800C90">
        <w:rPr>
          <w:szCs w:val="26"/>
        </w:rPr>
        <w:t>requirements submitted under</w:t>
      </w:r>
      <w:r>
        <w:rPr>
          <w:szCs w:val="26"/>
        </w:rPr>
        <w:t xml:space="preserve"> </w:t>
      </w:r>
      <w:r w:rsidRPr="00AE141B">
        <w:rPr>
          <w:szCs w:val="26"/>
        </w:rPr>
        <w:t>FERC-549C</w:t>
      </w:r>
      <w:r w:rsidR="00800C90">
        <w:rPr>
          <w:szCs w:val="26"/>
        </w:rPr>
        <w:t>1</w:t>
      </w:r>
      <w:r w:rsidRPr="00AE141B">
        <w:rPr>
          <w:szCs w:val="26"/>
        </w:rPr>
        <w:t xml:space="preserve"> (Standards for Business Practices of Interstate Natural Gas Pipelines)</w:t>
      </w:r>
      <w:r>
        <w:rPr>
          <w:szCs w:val="26"/>
        </w:rPr>
        <w:t xml:space="preserve"> and FERC-545</w:t>
      </w:r>
      <w:r w:rsidR="00800C90">
        <w:rPr>
          <w:szCs w:val="26"/>
        </w:rPr>
        <w:t>B</w:t>
      </w:r>
      <w:r>
        <w:rPr>
          <w:szCs w:val="26"/>
        </w:rPr>
        <w:t xml:space="preserve"> (</w:t>
      </w:r>
      <w:r w:rsidRPr="00AE141B">
        <w:rPr>
          <w:szCs w:val="26"/>
        </w:rPr>
        <w:t>Gas Pipeline Rates: Rate Change Non-Formal</w:t>
      </w:r>
      <w:r w:rsidR="004E1C38">
        <w:rPr>
          <w:szCs w:val="26"/>
        </w:rPr>
        <w:t xml:space="preserve">, </w:t>
      </w:r>
      <w:r w:rsidR="00BD71A6">
        <w:rPr>
          <w:szCs w:val="26"/>
        </w:rPr>
        <w:t>in RM96-1-041</w:t>
      </w:r>
      <w:r w:rsidR="004E1C38">
        <w:rPr>
          <w:szCs w:val="26"/>
        </w:rPr>
        <w:t>)</w:t>
      </w:r>
      <w:r>
        <w:rPr>
          <w:szCs w:val="26"/>
        </w:rPr>
        <w:t>,</w:t>
      </w:r>
      <w:r w:rsidRPr="00B20053">
        <w:rPr>
          <w:szCs w:val="26"/>
          <w:vertAlign w:val="superscript"/>
        </w:rPr>
        <w:t xml:space="preserve"> </w:t>
      </w:r>
      <w:r>
        <w:rPr>
          <w:szCs w:val="26"/>
        </w:rPr>
        <w:t xml:space="preserve">as </w:t>
      </w:r>
      <w:r w:rsidR="008E06A4">
        <w:rPr>
          <w:szCs w:val="26"/>
        </w:rPr>
        <w:t xml:space="preserve">proposed </w:t>
      </w:r>
      <w:r>
        <w:rPr>
          <w:szCs w:val="26"/>
        </w:rPr>
        <w:t xml:space="preserve">in the </w:t>
      </w:r>
      <w:r w:rsidR="008E06A4">
        <w:rPr>
          <w:szCs w:val="26"/>
        </w:rPr>
        <w:t>NOPR issued</w:t>
      </w:r>
      <w:r>
        <w:rPr>
          <w:szCs w:val="26"/>
        </w:rPr>
        <w:t xml:space="preserve"> in Docket</w:t>
      </w:r>
      <w:r w:rsidRPr="009B7756">
        <w:rPr>
          <w:szCs w:val="26"/>
        </w:rPr>
        <w:t xml:space="preserve"> </w:t>
      </w:r>
      <w:r>
        <w:rPr>
          <w:szCs w:val="26"/>
        </w:rPr>
        <w:t xml:space="preserve">No. </w:t>
      </w:r>
      <w:r w:rsidRPr="009B7756">
        <w:rPr>
          <w:szCs w:val="26"/>
        </w:rPr>
        <w:t>RM</w:t>
      </w:r>
      <w:r w:rsidR="00BD71A6">
        <w:rPr>
          <w:szCs w:val="26"/>
        </w:rPr>
        <w:t>96-1-041</w:t>
      </w:r>
      <w:r>
        <w:rPr>
          <w:szCs w:val="26"/>
        </w:rPr>
        <w:t>.</w:t>
      </w:r>
      <w:r w:rsidDel="00521B76">
        <w:rPr>
          <w:szCs w:val="26"/>
        </w:rPr>
        <w:t xml:space="preserve"> </w:t>
      </w:r>
    </w:p>
    <w:p w14:paraId="62603059" w14:textId="77777777" w:rsidR="00BC15BE" w:rsidRPr="003B18DD" w:rsidRDefault="00BC15BE" w:rsidP="00BC15BE">
      <w:pPr>
        <w:tabs>
          <w:tab w:val="center" w:pos="4680"/>
        </w:tabs>
        <w:rPr>
          <w:szCs w:val="26"/>
        </w:rPr>
      </w:pPr>
    </w:p>
    <w:p w14:paraId="1F2BA15F" w14:textId="198E9FB4" w:rsidR="002B45F1" w:rsidRDefault="002B45F1" w:rsidP="002B45F1">
      <w:pPr>
        <w:rPr>
          <w:szCs w:val="26"/>
        </w:rPr>
      </w:pPr>
      <w:r>
        <w:rPr>
          <w:szCs w:val="26"/>
        </w:rPr>
        <w:t xml:space="preserve">Please note that this </w:t>
      </w:r>
      <w:r w:rsidR="008E06A4">
        <w:rPr>
          <w:szCs w:val="26"/>
        </w:rPr>
        <w:t>NOPR</w:t>
      </w:r>
      <w:r w:rsidR="000D504F">
        <w:rPr>
          <w:szCs w:val="26"/>
        </w:rPr>
        <w:t xml:space="preserve"> in Docket No. RM96-1-041</w:t>
      </w:r>
      <w:r>
        <w:rPr>
          <w:szCs w:val="26"/>
        </w:rPr>
        <w:t xml:space="preserve"> affects two separate OMB Control Numbers:</w:t>
      </w:r>
    </w:p>
    <w:p w14:paraId="39DE4F17" w14:textId="24563BC4" w:rsidR="000D504F" w:rsidRDefault="002B45F1" w:rsidP="000D504F">
      <w:pPr>
        <w:pStyle w:val="ListParagraph"/>
        <w:numPr>
          <w:ilvl w:val="0"/>
          <w:numId w:val="11"/>
        </w:numPr>
        <w:rPr>
          <w:sz w:val="26"/>
          <w:szCs w:val="26"/>
        </w:rPr>
      </w:pPr>
      <w:r w:rsidRPr="006120E4">
        <w:rPr>
          <w:sz w:val="26"/>
          <w:szCs w:val="26"/>
        </w:rPr>
        <w:t>FERC-545 (Gas Pipeline Rates: Rate Change Non-Formal), OMB Control No. 1902-</w:t>
      </w:r>
      <w:r w:rsidR="003F0E97">
        <w:rPr>
          <w:sz w:val="26"/>
          <w:szCs w:val="26"/>
        </w:rPr>
        <w:t>0154</w:t>
      </w:r>
      <w:r>
        <w:rPr>
          <w:sz w:val="26"/>
          <w:szCs w:val="26"/>
        </w:rPr>
        <w:t>;</w:t>
      </w:r>
      <w:r w:rsidR="000D504F">
        <w:rPr>
          <w:sz w:val="26"/>
          <w:szCs w:val="26"/>
        </w:rPr>
        <w:t xml:space="preserve"> and</w:t>
      </w:r>
    </w:p>
    <w:p w14:paraId="2B3224C8" w14:textId="41A88F0A" w:rsidR="00820CFB" w:rsidRDefault="002B45F1" w:rsidP="00820CFB">
      <w:pPr>
        <w:pStyle w:val="ListParagraph"/>
        <w:numPr>
          <w:ilvl w:val="0"/>
          <w:numId w:val="11"/>
        </w:numPr>
        <w:rPr>
          <w:sz w:val="26"/>
          <w:szCs w:val="26"/>
        </w:rPr>
      </w:pPr>
      <w:r w:rsidRPr="000D504F">
        <w:rPr>
          <w:sz w:val="26"/>
          <w:szCs w:val="26"/>
        </w:rPr>
        <w:t>FERC-549C (Standards for Business Practices of Interstate Natural Gas Pipelines), OMB Control No. 1902-0174.</w:t>
      </w:r>
    </w:p>
    <w:p w14:paraId="7A84402E" w14:textId="77777777" w:rsidR="00820CFB" w:rsidRPr="00820CFB" w:rsidRDefault="00820CFB" w:rsidP="00820CFB">
      <w:pPr>
        <w:pStyle w:val="ListParagraph"/>
        <w:ind w:left="1440"/>
        <w:rPr>
          <w:sz w:val="26"/>
          <w:szCs w:val="26"/>
        </w:rPr>
      </w:pPr>
    </w:p>
    <w:p w14:paraId="0D52341C" w14:textId="1B3FA379" w:rsidR="000D504F" w:rsidRPr="000D504F" w:rsidRDefault="000D504F" w:rsidP="000D504F">
      <w:pPr>
        <w:rPr>
          <w:szCs w:val="26"/>
        </w:rPr>
      </w:pPr>
      <w:r>
        <w:rPr>
          <w:szCs w:val="26"/>
        </w:rPr>
        <w:t>However, FERC-545</w:t>
      </w:r>
      <w:r w:rsidR="00800C90">
        <w:rPr>
          <w:rStyle w:val="FootnoteReference"/>
          <w:b w:val="0"/>
          <w:bCs/>
        </w:rPr>
        <w:footnoteReference w:id="1"/>
      </w:r>
      <w:r w:rsidR="00800C90" w:rsidRPr="006D6EEA">
        <w:rPr>
          <w:b/>
          <w:bCs/>
          <w:szCs w:val="26"/>
        </w:rPr>
        <w:t xml:space="preserve"> </w:t>
      </w:r>
      <w:r>
        <w:rPr>
          <w:szCs w:val="26"/>
        </w:rPr>
        <w:t xml:space="preserve"> </w:t>
      </w:r>
      <w:r w:rsidRPr="00820CFB">
        <w:rPr>
          <w:szCs w:val="26"/>
        </w:rPr>
        <w:t>and 549</w:t>
      </w:r>
      <w:r w:rsidR="00820CFB" w:rsidRPr="00820CFB">
        <w:rPr>
          <w:szCs w:val="26"/>
        </w:rPr>
        <w:t>C</w:t>
      </w:r>
      <w:r w:rsidR="00800C90">
        <w:rPr>
          <w:rStyle w:val="FootnoteReference"/>
          <w:b w:val="0"/>
          <w:bCs/>
        </w:rPr>
        <w:footnoteReference w:id="2"/>
      </w:r>
      <w:r w:rsidR="00820CFB" w:rsidRPr="00820CFB">
        <w:rPr>
          <w:szCs w:val="26"/>
        </w:rPr>
        <w:t xml:space="preserve"> </w:t>
      </w:r>
      <w:r w:rsidRPr="00820CFB">
        <w:rPr>
          <w:szCs w:val="26"/>
        </w:rPr>
        <w:t>are</w:t>
      </w:r>
      <w:r>
        <w:rPr>
          <w:szCs w:val="26"/>
        </w:rPr>
        <w:t xml:space="preserve"> under OMB review for two unrelated FERC activities</w:t>
      </w:r>
      <w:r w:rsidR="00800C90">
        <w:rPr>
          <w:szCs w:val="26"/>
        </w:rPr>
        <w:t xml:space="preserve"> and only one activity can submitted for review at any time.</w:t>
      </w:r>
      <w:r>
        <w:rPr>
          <w:szCs w:val="26"/>
        </w:rPr>
        <w:t xml:space="preserve">  As such, FERC-545B (in place of FERC-545) and FERC-549C1 (in place of FERC-549C) are being used as </w:t>
      </w:r>
      <w:r w:rsidR="00DF110F">
        <w:rPr>
          <w:szCs w:val="26"/>
        </w:rPr>
        <w:t>‘</w:t>
      </w:r>
      <w:r>
        <w:rPr>
          <w:szCs w:val="26"/>
        </w:rPr>
        <w:t>placeholder</w:t>
      </w:r>
      <w:r w:rsidR="00DF110F">
        <w:rPr>
          <w:szCs w:val="26"/>
        </w:rPr>
        <w:t>’</w:t>
      </w:r>
      <w:r>
        <w:rPr>
          <w:szCs w:val="26"/>
        </w:rPr>
        <w:t xml:space="preserve"> </w:t>
      </w:r>
      <w:r w:rsidR="00DF110F">
        <w:rPr>
          <w:szCs w:val="26"/>
        </w:rPr>
        <w:t xml:space="preserve">information </w:t>
      </w:r>
      <w:r>
        <w:rPr>
          <w:szCs w:val="26"/>
        </w:rPr>
        <w:t>collection</w:t>
      </w:r>
      <w:r w:rsidR="00DF110F">
        <w:rPr>
          <w:szCs w:val="26"/>
        </w:rPr>
        <w:t xml:space="preserve"> number</w:t>
      </w:r>
      <w:r>
        <w:rPr>
          <w:szCs w:val="26"/>
        </w:rPr>
        <w:t>s for the NOPR in Docket No. RM96-1-041.</w:t>
      </w:r>
    </w:p>
    <w:p w14:paraId="31ECB3C9" w14:textId="3E7CA8B6" w:rsidR="00BC15BE" w:rsidRPr="003B18DD" w:rsidRDefault="00AF61A8" w:rsidP="00AF61A8">
      <w:pPr>
        <w:tabs>
          <w:tab w:val="left" w:pos="3000"/>
        </w:tabs>
        <w:rPr>
          <w:b/>
          <w:szCs w:val="26"/>
        </w:rPr>
      </w:pPr>
      <w:r>
        <w:rPr>
          <w:b/>
          <w:szCs w:val="26"/>
        </w:rPr>
        <w:tab/>
      </w:r>
    </w:p>
    <w:p w14:paraId="60B9FCDC" w14:textId="77777777" w:rsidR="00BC15BE" w:rsidRPr="003B18DD" w:rsidRDefault="00BC15BE" w:rsidP="00BC15BE">
      <w:pPr>
        <w:pStyle w:val="Level1"/>
        <w:widowControl/>
        <w:tabs>
          <w:tab w:val="left" w:pos="-1440"/>
          <w:tab w:val="num" w:pos="720"/>
        </w:tabs>
        <w:rPr>
          <w:b/>
          <w:sz w:val="26"/>
          <w:szCs w:val="26"/>
        </w:rPr>
      </w:pPr>
      <w:r w:rsidRPr="003B18DD">
        <w:rPr>
          <w:b/>
          <w:sz w:val="26"/>
          <w:szCs w:val="26"/>
        </w:rPr>
        <w:t xml:space="preserve">CIRCUMSTANCES THAT MAKE THE COLLECTION OF INFORMATION NECESSARY  </w:t>
      </w:r>
    </w:p>
    <w:p w14:paraId="5A2671C4" w14:textId="77777777" w:rsidR="00BC15BE" w:rsidRPr="003B18DD" w:rsidRDefault="00BC15BE" w:rsidP="00BC15BE">
      <w:pPr>
        <w:pStyle w:val="Level1"/>
        <w:widowControl/>
        <w:numPr>
          <w:ilvl w:val="0"/>
          <w:numId w:val="0"/>
        </w:numPr>
        <w:tabs>
          <w:tab w:val="left" w:pos="-1440"/>
        </w:tabs>
        <w:rPr>
          <w:b/>
          <w:sz w:val="26"/>
          <w:szCs w:val="26"/>
        </w:rPr>
      </w:pPr>
    </w:p>
    <w:p w14:paraId="0FE750FC" w14:textId="586C559B" w:rsidR="002B45F1" w:rsidRDefault="002B45F1" w:rsidP="002B45F1">
      <w:pPr>
        <w:rPr>
          <w:szCs w:val="26"/>
        </w:rPr>
      </w:pPr>
      <w:r w:rsidRPr="001A3773">
        <w:rPr>
          <w:b/>
          <w:i/>
          <w:szCs w:val="26"/>
        </w:rPr>
        <w:lastRenderedPageBreak/>
        <w:t xml:space="preserve">Docket </w:t>
      </w:r>
      <w:r w:rsidR="008E3B5A">
        <w:rPr>
          <w:b/>
          <w:i/>
          <w:szCs w:val="26"/>
        </w:rPr>
        <w:t>RM96-1-041</w:t>
      </w:r>
      <w:r w:rsidRPr="001A3773">
        <w:rPr>
          <w:b/>
          <w:i/>
          <w:szCs w:val="26"/>
        </w:rPr>
        <w:t>.</w:t>
      </w:r>
      <w:r>
        <w:rPr>
          <w:szCs w:val="26"/>
        </w:rPr>
        <w:t xml:space="preserve">  The </w:t>
      </w:r>
      <w:r w:rsidR="008E06A4">
        <w:rPr>
          <w:szCs w:val="26"/>
        </w:rPr>
        <w:t>NOPR</w:t>
      </w:r>
      <w:r>
        <w:rPr>
          <w:szCs w:val="26"/>
        </w:rPr>
        <w:t xml:space="preserve"> says in part [footnotes omitted]:</w:t>
      </w:r>
    </w:p>
    <w:p w14:paraId="381A92CA" w14:textId="1E18B96B" w:rsidR="002B45F1" w:rsidRPr="002801B6" w:rsidRDefault="002B45F1" w:rsidP="00124194">
      <w:pPr>
        <w:ind w:left="720"/>
        <w:rPr>
          <w:szCs w:val="26"/>
        </w:rPr>
      </w:pPr>
      <w:r w:rsidRPr="002801B6">
        <w:rPr>
          <w:szCs w:val="26"/>
        </w:rPr>
        <w:tab/>
      </w:r>
      <w:r>
        <w:rPr>
          <w:szCs w:val="26"/>
        </w:rPr>
        <w:t>“</w:t>
      </w:r>
      <w:r w:rsidR="00124194" w:rsidRPr="00124194">
        <w:rPr>
          <w:szCs w:val="26"/>
        </w:rPr>
        <w:t xml:space="preserve">On September 29, 2017, </w:t>
      </w:r>
      <w:r w:rsidR="002F4077">
        <w:rPr>
          <w:szCs w:val="26"/>
        </w:rPr>
        <w:t>the North American Energy Standards Board (</w:t>
      </w:r>
      <w:r w:rsidR="00124194" w:rsidRPr="00124194">
        <w:rPr>
          <w:szCs w:val="26"/>
        </w:rPr>
        <w:t>NAESB</w:t>
      </w:r>
      <w:r w:rsidR="002F4077">
        <w:rPr>
          <w:szCs w:val="26"/>
        </w:rPr>
        <w:t>)</w:t>
      </w:r>
      <w:r w:rsidR="00124194" w:rsidRPr="00124194">
        <w:rPr>
          <w:szCs w:val="26"/>
        </w:rPr>
        <w:t xml:space="preserve"> filed a report informing the Commission that it had adopted and ratified </w:t>
      </w:r>
      <w:r w:rsidR="00515923">
        <w:rPr>
          <w:szCs w:val="26"/>
        </w:rPr>
        <w:t>Wholesale Gas Quadrant (</w:t>
      </w:r>
      <w:r w:rsidR="00124194" w:rsidRPr="00124194">
        <w:rPr>
          <w:szCs w:val="26"/>
        </w:rPr>
        <w:t>WGQ</w:t>
      </w:r>
      <w:r w:rsidR="00515923">
        <w:rPr>
          <w:szCs w:val="26"/>
        </w:rPr>
        <w:t>)</w:t>
      </w:r>
      <w:r w:rsidR="00124194" w:rsidRPr="00124194">
        <w:rPr>
          <w:szCs w:val="26"/>
        </w:rPr>
        <w:t xml:space="preserve"> Version 3.1 of its business</w:t>
      </w:r>
      <w:r w:rsidR="00124194">
        <w:rPr>
          <w:szCs w:val="26"/>
        </w:rPr>
        <w:t xml:space="preserve"> practice standards applicable </w:t>
      </w:r>
      <w:r w:rsidR="00124194" w:rsidRPr="00124194">
        <w:rPr>
          <w:szCs w:val="26"/>
        </w:rPr>
        <w:t>to natural gas pipelines.  The NAESB report identifies all the changes made to the Version 3.0 Standards and summarizes the deliberations that led to the changes being made.  It also identifies changes to the existing standards that were considered but not adopted due to a lack of consensus or other reasons.</w:t>
      </w:r>
    </w:p>
    <w:p w14:paraId="7500EF6A" w14:textId="2492B0ED" w:rsidR="002B45F1" w:rsidRDefault="00E858A7" w:rsidP="002B45F1">
      <w:pPr>
        <w:ind w:left="720" w:firstLine="720"/>
        <w:rPr>
          <w:szCs w:val="26"/>
        </w:rPr>
      </w:pPr>
      <w:r w:rsidRPr="00932257">
        <w:t>In this NOPR, the Commission proposes to incorporate by reference, in its regulations, Version 3.1 of the NAESB WGQ consensus business practice standards, with certain exceptions.  We propose that any compliance filings made in accordance with a final rule on this subject be made 90 days after issuance of any final rule in this proceeding or on the first business day thereafter if falling on a weekend or holiday.  This will allow time for the Commission to process the compliance filings before the effective date of the new standards.</w:t>
      </w:r>
    </w:p>
    <w:p w14:paraId="3FEDBE8D" w14:textId="2A9A2840" w:rsidR="002B45F1" w:rsidRDefault="002B45F1" w:rsidP="002B45F1">
      <w:pPr>
        <w:ind w:left="720" w:firstLine="720"/>
        <w:rPr>
          <w:szCs w:val="26"/>
        </w:rPr>
      </w:pPr>
      <w:r w:rsidRPr="00001C6D">
        <w:rPr>
          <w:szCs w:val="26"/>
        </w:rPr>
        <w:t>Adoption of the Version 3.</w:t>
      </w:r>
      <w:r w:rsidR="008E06A4">
        <w:rPr>
          <w:szCs w:val="26"/>
        </w:rPr>
        <w:t>1</w:t>
      </w:r>
      <w:r w:rsidRPr="00001C6D">
        <w:rPr>
          <w:szCs w:val="26"/>
        </w:rPr>
        <w:t xml:space="preserve"> Standards will continue the process of updating and improving NAESB’s business practice standards for the benefit of the entire wholesale natural gas market</w:t>
      </w:r>
      <w:r w:rsidR="00256088">
        <w:rPr>
          <w:szCs w:val="26"/>
        </w:rPr>
        <w:t xml:space="preserve"> and were developed and supported by a consensus of all segments of the industry</w:t>
      </w:r>
      <w:r w:rsidRPr="00001C6D">
        <w:rPr>
          <w:szCs w:val="26"/>
        </w:rPr>
        <w:t>.</w:t>
      </w:r>
    </w:p>
    <w:p w14:paraId="1EB4099B" w14:textId="77777777" w:rsidR="002B45F1" w:rsidRDefault="002B45F1" w:rsidP="002B45F1">
      <w:pPr>
        <w:ind w:left="720" w:firstLine="720"/>
        <w:rPr>
          <w:szCs w:val="26"/>
        </w:rPr>
      </w:pPr>
      <w:r w:rsidRPr="00001C6D">
        <w:rPr>
          <w:szCs w:val="26"/>
        </w:rPr>
        <w:t>As the Commission found in Order No. 587, adoption of consensus standards is appropriate because the consensus process helps ensure the reasonableness of the standards by requiring that the standards draw support from a broad spectrum of industry participants representing all segments of the industry.   Moreover, because the industry has to conduct business under these standards, the Commission's regulations should reflect those standards that have the widest possible support.  In section 12(d) of the National Technology Transfer and Advancement Act of 1995 (NTT&amp;AA), Congress affirmatively requires federal agencies to use technical standards developed by voluntary consensus standards organizations, like NAESB, as a means to carry out policy objectives or activities.</w:t>
      </w:r>
      <w:r>
        <w:rPr>
          <w:szCs w:val="26"/>
        </w:rPr>
        <w:t>”</w:t>
      </w:r>
    </w:p>
    <w:p w14:paraId="7BE145BD" w14:textId="77777777" w:rsidR="002B45F1" w:rsidRDefault="002B45F1" w:rsidP="002B45F1">
      <w:pPr>
        <w:rPr>
          <w:szCs w:val="26"/>
        </w:rPr>
      </w:pPr>
    </w:p>
    <w:p w14:paraId="0C3D59FA" w14:textId="5E3BDF4E" w:rsidR="002B45F1" w:rsidRDefault="002B45F1" w:rsidP="002B45F1">
      <w:pPr>
        <w:rPr>
          <w:b/>
          <w:i/>
          <w:szCs w:val="26"/>
        </w:rPr>
      </w:pPr>
      <w:r>
        <w:rPr>
          <w:b/>
          <w:i/>
          <w:szCs w:val="26"/>
        </w:rPr>
        <w:t xml:space="preserve">General Background on the Collections (including items not affected by the </w:t>
      </w:r>
      <w:r w:rsidR="002750C1">
        <w:rPr>
          <w:b/>
          <w:i/>
          <w:szCs w:val="26"/>
        </w:rPr>
        <w:t>NOPR</w:t>
      </w:r>
      <w:r>
        <w:rPr>
          <w:b/>
          <w:i/>
          <w:szCs w:val="26"/>
        </w:rPr>
        <w:t xml:space="preserve"> in Docket RM96-1-0</w:t>
      </w:r>
      <w:r w:rsidR="002750C1">
        <w:rPr>
          <w:b/>
          <w:i/>
          <w:szCs w:val="26"/>
        </w:rPr>
        <w:t>41</w:t>
      </w:r>
      <w:r>
        <w:rPr>
          <w:b/>
          <w:i/>
          <w:szCs w:val="26"/>
        </w:rPr>
        <w:t>).</w:t>
      </w:r>
    </w:p>
    <w:p w14:paraId="28B1781B" w14:textId="77777777" w:rsidR="002B45F1" w:rsidRPr="00A02247" w:rsidRDefault="002B45F1" w:rsidP="002B45F1">
      <w:pPr>
        <w:rPr>
          <w:b/>
          <w:i/>
          <w:szCs w:val="26"/>
        </w:rPr>
      </w:pPr>
    </w:p>
    <w:p w14:paraId="3B5964B2" w14:textId="47E8E572" w:rsidR="002B45F1" w:rsidRDefault="002B45F1" w:rsidP="002B45F1">
      <w:pPr>
        <w:rPr>
          <w:szCs w:val="26"/>
        </w:rPr>
      </w:pPr>
      <w:r w:rsidRPr="006C749F">
        <w:rPr>
          <w:b/>
          <w:szCs w:val="26"/>
        </w:rPr>
        <w:t>FERC-545</w:t>
      </w:r>
      <w:r w:rsidR="00CD37BA">
        <w:rPr>
          <w:b/>
          <w:szCs w:val="26"/>
        </w:rPr>
        <w:t>B</w:t>
      </w:r>
      <w:r w:rsidR="003F0E97">
        <w:rPr>
          <w:b/>
          <w:szCs w:val="26"/>
        </w:rPr>
        <w:t xml:space="preserve"> </w:t>
      </w:r>
      <w:r>
        <w:rPr>
          <w:szCs w:val="26"/>
        </w:rPr>
        <w:t xml:space="preserve"> </w:t>
      </w:r>
    </w:p>
    <w:p w14:paraId="6F78E60A" w14:textId="77777777" w:rsidR="002B45F1" w:rsidRDefault="002B45F1" w:rsidP="002B45F1">
      <w:pPr>
        <w:rPr>
          <w:szCs w:val="26"/>
        </w:rPr>
      </w:pPr>
    </w:p>
    <w:p w14:paraId="0C1E049F" w14:textId="3344C465" w:rsidR="002B45F1" w:rsidRDefault="002B45F1" w:rsidP="002B45F1">
      <w:pPr>
        <w:rPr>
          <w:szCs w:val="26"/>
        </w:rPr>
      </w:pPr>
      <w:r>
        <w:rPr>
          <w:szCs w:val="26"/>
        </w:rPr>
        <w:t>FERC-545</w:t>
      </w:r>
      <w:r w:rsidR="002A57F3">
        <w:rPr>
          <w:szCs w:val="26"/>
        </w:rPr>
        <w:t>B</w:t>
      </w:r>
      <w:r>
        <w:rPr>
          <w:szCs w:val="26"/>
        </w:rPr>
        <w:t xml:space="preserve"> </w:t>
      </w:r>
      <w:r w:rsidRPr="006C749F">
        <w:rPr>
          <w:szCs w:val="26"/>
        </w:rPr>
        <w:t>is required to implement sections 4, 5, and 16 of the Natural Gas Act (NGA), (15 USC 717c</w:t>
      </w:r>
      <w:r w:rsidR="00A92762">
        <w:rPr>
          <w:szCs w:val="26"/>
        </w:rPr>
        <w:t>-</w:t>
      </w:r>
      <w:r w:rsidRPr="006C749F">
        <w:rPr>
          <w:szCs w:val="26"/>
        </w:rPr>
        <w:t xml:space="preserve">717o, PL 75 688, 52 Stat. 822 and 830).  NGA Sections 4, 5, and 6 authorize the Commission to inquire into rate structures and methodologies and to set rates at a just and reasonable level.  Specifically, a natural gas company must obtain Commission authorization for all rates and charges made, demanded, or received in connection with the transportation or sale of natural gas in interstate commerce.  </w:t>
      </w:r>
    </w:p>
    <w:p w14:paraId="76A40C51" w14:textId="77777777" w:rsidR="002B45F1" w:rsidRDefault="002B45F1" w:rsidP="002B45F1">
      <w:pPr>
        <w:rPr>
          <w:szCs w:val="26"/>
        </w:rPr>
      </w:pPr>
    </w:p>
    <w:p w14:paraId="0E798759" w14:textId="77777777" w:rsidR="002B45F1" w:rsidRPr="006C749F" w:rsidRDefault="002B45F1" w:rsidP="002B45F1">
      <w:pPr>
        <w:rPr>
          <w:szCs w:val="26"/>
        </w:rPr>
      </w:pPr>
      <w:r w:rsidRPr="006C749F">
        <w:rPr>
          <w:szCs w:val="26"/>
        </w:rPr>
        <w:t xml:space="preserve">Under the NGA, a natural gas company’s rates must be just and reasonable and not unduly discriminatory or preferential.  The Commission may act under different sections of the NGA to effect a change in a natural gas company’s rates.  When the Commission reviews rate increases that a natural gas company has proposed, it is subject to the requirement of section 4(e) of the NGA.  Under section 4(e), the natural gas company bears the burden of proving that its proposed rates are just and reasonable.  On the other hand, when the Commission seeks to impose its own rate determination, it must do so in compliance with section 5(a) of the NGA.  Under section 5, the Commission must first establish that its alternative rate proposal is both just and reasonable.  </w:t>
      </w:r>
    </w:p>
    <w:p w14:paraId="674A27D6" w14:textId="77777777" w:rsidR="002B45F1" w:rsidRPr="006C749F" w:rsidRDefault="002B45F1" w:rsidP="002B45F1">
      <w:pPr>
        <w:rPr>
          <w:szCs w:val="26"/>
        </w:rPr>
      </w:pPr>
    </w:p>
    <w:p w14:paraId="22E73A06" w14:textId="77777777" w:rsidR="002B45F1" w:rsidRPr="006C749F" w:rsidRDefault="002B45F1" w:rsidP="002B45F1">
      <w:pPr>
        <w:rPr>
          <w:szCs w:val="26"/>
        </w:rPr>
      </w:pPr>
      <w:r w:rsidRPr="006C749F">
        <w:rPr>
          <w:szCs w:val="26"/>
        </w:rPr>
        <w:t>Section 16 of the NGA states that the Commission “shall have the power to perform any and all acts, and to prescribe, issue, make, amend, and rescind such orders, rules, and regulations as it may find necessary or appropriate to carry out provisions of [the NGA].”  In other words, section 16 of the NGA grants the Commission the power to define accounting, technical and trade terms, prescribe forms, statements, declarations or reports and to prescribe rules and regulations.</w:t>
      </w:r>
    </w:p>
    <w:p w14:paraId="1BA9C6A2" w14:textId="77777777" w:rsidR="002B45F1" w:rsidRPr="006C749F" w:rsidRDefault="002B45F1" w:rsidP="002B45F1">
      <w:pPr>
        <w:rPr>
          <w:szCs w:val="26"/>
        </w:rPr>
      </w:pPr>
    </w:p>
    <w:p w14:paraId="5B35EF25" w14:textId="77777777" w:rsidR="002B45F1" w:rsidRDefault="002B45F1" w:rsidP="002B45F1">
      <w:pPr>
        <w:rPr>
          <w:szCs w:val="26"/>
        </w:rPr>
      </w:pPr>
      <w:r w:rsidRPr="006C749F">
        <w:rPr>
          <w:szCs w:val="26"/>
        </w:rPr>
        <w:t xml:space="preserve">Pipelines adjust their tariffs to meet market and customer needs.  Commission review of these proposed changes is required to ensure rates remain just and reasonable and that services are not provided in an unduly or preferential manner.  The Commission’s regulation in 18 C.F.R. Part 154 specifies what changes are allowed and the procedures for requesting Commission approval.  </w:t>
      </w:r>
    </w:p>
    <w:p w14:paraId="3F24446B" w14:textId="77777777" w:rsidR="002B45F1" w:rsidRDefault="002B45F1" w:rsidP="002B45F1">
      <w:pPr>
        <w:ind w:firstLine="360"/>
        <w:rPr>
          <w:szCs w:val="26"/>
        </w:rPr>
      </w:pPr>
    </w:p>
    <w:p w14:paraId="6D619EE0" w14:textId="5263F519" w:rsidR="002B45F1" w:rsidRPr="00051566" w:rsidRDefault="002B45F1" w:rsidP="002B45F1">
      <w:pPr>
        <w:rPr>
          <w:szCs w:val="26"/>
        </w:rPr>
      </w:pPr>
      <w:r w:rsidRPr="00051566">
        <w:rPr>
          <w:szCs w:val="26"/>
        </w:rPr>
        <w:t>The Commission sets rates for interstate pipeline services in a number of proceedings.  For example, when a pipeline files to increase its rates, it makes a filing with the Commission under section 4 of the NGA.  These types of filings are referred to as general section 4 rate cases.  In the proceedings, the Commission reviews all of a pipeline’s rates and services.  A pipeline can file a general section 4 rate case anytime it wishes, provided the pipeline did not agree otherwise in a settlement.  A pipeline must demonstrate that the new rates it proposes to charge are just and reasonable.  When a rate increase filing is made pursuant to section 4</w:t>
      </w:r>
      <w:r w:rsidR="00242969">
        <w:rPr>
          <w:szCs w:val="26"/>
        </w:rPr>
        <w:t xml:space="preserve"> of the NGA</w:t>
      </w:r>
      <w:r w:rsidRPr="00051566">
        <w:rPr>
          <w:szCs w:val="26"/>
        </w:rPr>
        <w:t xml:space="preserve">, the application is typically suspended and set for hearing by a Commission Order.  </w:t>
      </w:r>
    </w:p>
    <w:p w14:paraId="5518E7B1" w14:textId="77777777" w:rsidR="002B45F1" w:rsidRPr="00051566" w:rsidRDefault="002B45F1" w:rsidP="002B45F1">
      <w:pPr>
        <w:ind w:firstLine="360"/>
        <w:rPr>
          <w:szCs w:val="26"/>
        </w:rPr>
      </w:pPr>
    </w:p>
    <w:p w14:paraId="377D55EE" w14:textId="542CB8BF" w:rsidR="002B45F1" w:rsidRDefault="002B45F1" w:rsidP="002B45F1">
      <w:pPr>
        <w:tabs>
          <w:tab w:val="num" w:pos="0"/>
        </w:tabs>
        <w:rPr>
          <w:szCs w:val="26"/>
        </w:rPr>
      </w:pPr>
      <w:r>
        <w:rPr>
          <w:b/>
          <w:szCs w:val="26"/>
        </w:rPr>
        <w:t>FERC-549C</w:t>
      </w:r>
      <w:r w:rsidR="00820CFB">
        <w:rPr>
          <w:b/>
          <w:szCs w:val="26"/>
        </w:rPr>
        <w:t>1</w:t>
      </w:r>
      <w:r>
        <w:rPr>
          <w:b/>
          <w:szCs w:val="26"/>
        </w:rPr>
        <w:t xml:space="preserve">.  </w:t>
      </w:r>
      <w:r>
        <w:rPr>
          <w:szCs w:val="26"/>
        </w:rPr>
        <w:t>The business practice standards under FERC-549C</w:t>
      </w:r>
      <w:r w:rsidR="007C3D09">
        <w:rPr>
          <w:szCs w:val="26"/>
        </w:rPr>
        <w:t>1</w:t>
      </w:r>
      <w:r>
        <w:rPr>
          <w:szCs w:val="26"/>
        </w:rPr>
        <w:t xml:space="preserve"> are required to carry out the Commission’s policies in accordance with the general authority in Sections 4, 5, 7, 8, 10, 14, 16, and 20 of the NGA (15 U.S.C. 717c-717w), and sections 311, 501, and 504 of the Natural Gas Policy Act of 1978 (NGPA) (15 U.S.C. 3301-3432).  The Commission adopted these business practice standards in order to update and standardize the natural gas industry’s business practices and procedures as well as to improve the efficiency of the gas market and the means by which the gas industry conducts business across the interstate pipeline grid.   </w:t>
      </w:r>
    </w:p>
    <w:p w14:paraId="5E566320" w14:textId="77777777" w:rsidR="002B45F1" w:rsidRDefault="002B45F1" w:rsidP="002B45F1">
      <w:pPr>
        <w:tabs>
          <w:tab w:val="num" w:pos="0"/>
        </w:tabs>
        <w:rPr>
          <w:szCs w:val="26"/>
        </w:rPr>
      </w:pPr>
    </w:p>
    <w:p w14:paraId="3325B065" w14:textId="0162711F" w:rsidR="002B45F1" w:rsidRPr="0027062E" w:rsidRDefault="002B45F1" w:rsidP="002B45F1">
      <w:pPr>
        <w:tabs>
          <w:tab w:val="num" w:pos="0"/>
        </w:tabs>
        <w:rPr>
          <w:szCs w:val="26"/>
        </w:rPr>
      </w:pPr>
      <w:r>
        <w:rPr>
          <w:szCs w:val="26"/>
        </w:rPr>
        <w:t>In various orders</w:t>
      </w:r>
      <w:r w:rsidRPr="00FD2199">
        <w:rPr>
          <w:szCs w:val="26"/>
        </w:rPr>
        <w:t xml:space="preserve"> </w:t>
      </w:r>
      <w:r>
        <w:rPr>
          <w:szCs w:val="26"/>
        </w:rPr>
        <w:t>s</w:t>
      </w:r>
      <w:r w:rsidRPr="0027062E">
        <w:rPr>
          <w:szCs w:val="26"/>
        </w:rPr>
        <w:t>ince 1996</w:t>
      </w:r>
      <w:r>
        <w:rPr>
          <w:rStyle w:val="FootnoteReference"/>
        </w:rPr>
        <w:footnoteReference w:id="3"/>
      </w:r>
      <w:r>
        <w:rPr>
          <w:szCs w:val="26"/>
        </w:rPr>
        <w:t>, FERC</w:t>
      </w:r>
      <w:r w:rsidRPr="0027062E">
        <w:rPr>
          <w:szCs w:val="26"/>
        </w:rPr>
        <w:t xml:space="preserve"> has adopted regulations to standardize the business practices and communication methodologies of interstate </w:t>
      </w:r>
      <w:r>
        <w:rPr>
          <w:szCs w:val="26"/>
        </w:rPr>
        <w:t xml:space="preserve">natural gas </w:t>
      </w:r>
      <w:r w:rsidRPr="0027062E">
        <w:rPr>
          <w:szCs w:val="26"/>
        </w:rPr>
        <w:t>pipelines in order to create a more integrated and efficient pipeline</w:t>
      </w:r>
      <w:r>
        <w:rPr>
          <w:szCs w:val="26"/>
        </w:rPr>
        <w:t xml:space="preserve"> </w:t>
      </w:r>
      <w:r w:rsidRPr="004F7E93">
        <w:rPr>
          <w:szCs w:val="26"/>
        </w:rPr>
        <w:t>industry.  In general, when and if NAESB-proposed standards (e.g., consensus standards developed by the WGQ</w:t>
      </w:r>
      <w:r w:rsidR="008C6892">
        <w:rPr>
          <w:szCs w:val="26"/>
        </w:rPr>
        <w:t xml:space="preserve">) </w:t>
      </w:r>
      <w:r w:rsidRPr="004F7E93">
        <w:rPr>
          <w:szCs w:val="26"/>
        </w:rPr>
        <w:t>are approved by FERC, the Commission incorporates them by reference into its approval.</w:t>
      </w:r>
      <w:r>
        <w:rPr>
          <w:szCs w:val="26"/>
        </w:rPr>
        <w:t xml:space="preserve">  </w:t>
      </w:r>
      <w:r w:rsidRPr="0027062E">
        <w:rPr>
          <w:szCs w:val="26"/>
        </w:rPr>
        <w:t>The process of standardizing business practices in the natural gas industry began with a Commission initiative to standardize electronic communication of capacity release transactions.  The outgrowth of the initial Commission standardization efforts produced working groups composed of all segments of the gas industry and ultimately, the Gas Industry Standards Board (GISB), a consensus organization open to all members of the gas industry</w:t>
      </w:r>
      <w:r w:rsidR="003D5A1B">
        <w:rPr>
          <w:szCs w:val="26"/>
        </w:rPr>
        <w:t>,</w:t>
      </w:r>
      <w:r w:rsidRPr="0027062E">
        <w:rPr>
          <w:szCs w:val="26"/>
        </w:rPr>
        <w:t xml:space="preserve"> was created.  GISB was succeeded by NAESB.</w:t>
      </w:r>
    </w:p>
    <w:p w14:paraId="47ECF080" w14:textId="77777777" w:rsidR="002B45F1" w:rsidRPr="0027062E" w:rsidRDefault="002B45F1" w:rsidP="002B45F1">
      <w:pPr>
        <w:tabs>
          <w:tab w:val="num" w:pos="0"/>
        </w:tabs>
        <w:rPr>
          <w:szCs w:val="26"/>
        </w:rPr>
      </w:pPr>
    </w:p>
    <w:p w14:paraId="2F8697DD" w14:textId="389A6ECE" w:rsidR="00BC15BE" w:rsidRDefault="002B45F1" w:rsidP="00BC15BE">
      <w:pPr>
        <w:rPr>
          <w:szCs w:val="26"/>
        </w:rPr>
      </w:pPr>
      <w:r w:rsidRPr="0027062E">
        <w:rPr>
          <w:szCs w:val="26"/>
        </w:rPr>
        <w:t>NAESB</w:t>
      </w:r>
      <w:r>
        <w:rPr>
          <w:rStyle w:val="FootnoteReference"/>
        </w:rPr>
        <w:footnoteReference w:id="4"/>
      </w:r>
      <w:r w:rsidRPr="0027062E">
        <w:rPr>
          <w:szCs w:val="26"/>
        </w:rPr>
        <w:t xml:space="preserve"> is a voluntary non-profit organization comprised of members from the retail and wholesale natural gas and electric industries.  NAESB’s mission is to take the lead in developing standards across these industries to simplify and expand electronic communication, and to streamline business practices.  Core to its objective is to lead to a seamless North American marketplace for natural gas, as recognized by its customers, the business community, industry participants and regulatory bodies</w:t>
      </w:r>
      <w:r w:rsidRPr="00A27A38">
        <w:rPr>
          <w:szCs w:val="26"/>
        </w:rPr>
        <w:t xml:space="preserve">.  NAESB </w:t>
      </w:r>
      <w:r w:rsidR="00256088">
        <w:rPr>
          <w:szCs w:val="26"/>
        </w:rPr>
        <w:t xml:space="preserve">has divided its efforts among four quadrants, including two retail quadrants, a wholesale electric quadrant, and the </w:t>
      </w:r>
      <w:r w:rsidRPr="00A27A38">
        <w:rPr>
          <w:szCs w:val="26"/>
        </w:rPr>
        <w:t>WGQ</w:t>
      </w:r>
      <w:r w:rsidR="00256088">
        <w:rPr>
          <w:szCs w:val="26"/>
        </w:rPr>
        <w:t>.  The NAESB WGQ</w:t>
      </w:r>
      <w:r w:rsidRPr="00A27A38">
        <w:rPr>
          <w:szCs w:val="26"/>
        </w:rPr>
        <w:t xml:space="preserve"> standard</w:t>
      </w:r>
      <w:r>
        <w:rPr>
          <w:szCs w:val="26"/>
        </w:rPr>
        <w:t>s are a product of this effort.  I</w:t>
      </w:r>
      <w:r w:rsidRPr="0027062E">
        <w:rPr>
          <w:szCs w:val="26"/>
        </w:rPr>
        <w:t>ndustry participant</w:t>
      </w:r>
      <w:r>
        <w:rPr>
          <w:szCs w:val="26"/>
        </w:rPr>
        <w:t>s</w:t>
      </w:r>
      <w:r w:rsidRPr="0027062E">
        <w:rPr>
          <w:szCs w:val="26"/>
        </w:rPr>
        <w:t xml:space="preserve"> seeking additional or amended standards (including principles, definitions, standards, data elements, process descriptions, technical implementation instructions) submit a request to the NAESB office, detailing the change, so that the appropriate process may take place to amend the standards.</w:t>
      </w:r>
    </w:p>
    <w:p w14:paraId="512F6573" w14:textId="77777777" w:rsidR="003D40BD" w:rsidRPr="003B18DD" w:rsidRDefault="003D40BD" w:rsidP="00BC15BE">
      <w:pPr>
        <w:rPr>
          <w:szCs w:val="26"/>
        </w:rPr>
      </w:pPr>
    </w:p>
    <w:p w14:paraId="597CB500" w14:textId="77777777" w:rsidR="00BC15BE" w:rsidRPr="003B18DD" w:rsidRDefault="00BC15BE" w:rsidP="00BC15BE">
      <w:pPr>
        <w:pStyle w:val="Level1"/>
        <w:widowControl/>
        <w:tabs>
          <w:tab w:val="left" w:pos="-1440"/>
          <w:tab w:val="num" w:pos="720"/>
        </w:tabs>
        <w:rPr>
          <w:b/>
          <w:sz w:val="26"/>
          <w:szCs w:val="26"/>
        </w:rPr>
      </w:pPr>
      <w:r w:rsidRPr="003B18DD">
        <w:rPr>
          <w:b/>
          <w:sz w:val="26"/>
          <w:szCs w:val="26"/>
        </w:rPr>
        <w:t>HOW, BY WHOM, AND FOR WHAT PURPOSE THE INFORMATION IS TO BE USED AND THE CONSEQUENCES OF NOT COLLECTING THE INFORMATION</w:t>
      </w:r>
    </w:p>
    <w:p w14:paraId="2038B84A" w14:textId="77777777" w:rsidR="00BC15BE" w:rsidRDefault="00BC15BE" w:rsidP="00BC15BE">
      <w:pPr>
        <w:pStyle w:val="Level1"/>
        <w:numPr>
          <w:ilvl w:val="0"/>
          <w:numId w:val="0"/>
        </w:numPr>
        <w:tabs>
          <w:tab w:val="left" w:pos="-1440"/>
        </w:tabs>
        <w:rPr>
          <w:sz w:val="26"/>
          <w:szCs w:val="26"/>
        </w:rPr>
      </w:pPr>
    </w:p>
    <w:p w14:paraId="3B02A8F4" w14:textId="7E15E349" w:rsidR="003F0E97" w:rsidRPr="002807AF" w:rsidRDefault="003F0E97" w:rsidP="003F0E97">
      <w:r>
        <w:rPr>
          <w:b/>
          <w:szCs w:val="26"/>
        </w:rPr>
        <w:t>FERC-545</w:t>
      </w:r>
      <w:r w:rsidR="00820CFB">
        <w:rPr>
          <w:b/>
          <w:szCs w:val="26"/>
        </w:rPr>
        <w:t>B</w:t>
      </w:r>
      <w:r>
        <w:rPr>
          <w:b/>
          <w:szCs w:val="26"/>
        </w:rPr>
        <w:t xml:space="preserve">:  </w:t>
      </w:r>
      <w:r w:rsidRPr="00950A39">
        <w:rPr>
          <w:szCs w:val="26"/>
        </w:rPr>
        <w:t>The</w:t>
      </w:r>
      <w:r>
        <w:rPr>
          <w:b/>
          <w:szCs w:val="26"/>
        </w:rPr>
        <w:t xml:space="preserve"> </w:t>
      </w:r>
      <w:r w:rsidR="004569BE">
        <w:rPr>
          <w:szCs w:val="26"/>
        </w:rPr>
        <w:t>NOPR</w:t>
      </w:r>
      <w:r w:rsidR="00E858A7">
        <w:rPr>
          <w:szCs w:val="26"/>
        </w:rPr>
        <w:t xml:space="preserve"> in RM96-1-041 proposes to </w:t>
      </w:r>
      <w:r w:rsidR="006035D0" w:rsidRPr="00932257">
        <w:t xml:space="preserve">incorporate by reference, in </w:t>
      </w:r>
      <w:r w:rsidR="00C80821">
        <w:t>the Commission’s</w:t>
      </w:r>
      <w:r w:rsidR="006035D0" w:rsidRPr="00932257">
        <w:t xml:space="preserve"> regulations, Version 3.1 of the NAESB WGQ consensus business practice standards, with certain exceptions.</w:t>
      </w:r>
      <w:r w:rsidR="00C80821">
        <w:t xml:space="preserve">  </w:t>
      </w:r>
      <w:r w:rsidR="00972F0E" w:rsidRPr="00972F0E">
        <w:t xml:space="preserve">This updates and revises the Version 3.0 NAESB WGQ </w:t>
      </w:r>
      <w:r w:rsidR="00685293">
        <w:t>b</w:t>
      </w:r>
      <w:r w:rsidR="00972F0E" w:rsidRPr="00972F0E">
        <w:t xml:space="preserve">usiness </w:t>
      </w:r>
      <w:r w:rsidR="00685293">
        <w:t>p</w:t>
      </w:r>
      <w:r w:rsidR="00972F0E" w:rsidRPr="00972F0E">
        <w:t xml:space="preserve">ractice </w:t>
      </w:r>
      <w:r w:rsidR="00685293">
        <w:t>s</w:t>
      </w:r>
      <w:r w:rsidR="00972F0E" w:rsidRPr="00972F0E">
        <w:t>tandards that the Commission incorporated by reference, with certain exceptions, on Oct. 16, 2015.</w:t>
      </w:r>
    </w:p>
    <w:p w14:paraId="701869B6" w14:textId="77777777" w:rsidR="003F0E97" w:rsidRDefault="003F0E97" w:rsidP="003F0E97">
      <w:pPr>
        <w:rPr>
          <w:szCs w:val="26"/>
        </w:rPr>
      </w:pPr>
    </w:p>
    <w:p w14:paraId="739C597C" w14:textId="02058D38" w:rsidR="003F0E97" w:rsidRDefault="003F0E97" w:rsidP="003F0E97">
      <w:pPr>
        <w:rPr>
          <w:szCs w:val="26"/>
        </w:rPr>
      </w:pPr>
      <w:r w:rsidRPr="006B7AF3">
        <w:rPr>
          <w:szCs w:val="26"/>
        </w:rPr>
        <w:t>The following information is the subject of the FERC-545</w:t>
      </w:r>
      <w:r w:rsidR="00800C90">
        <w:rPr>
          <w:szCs w:val="26"/>
        </w:rPr>
        <w:t>B</w:t>
      </w:r>
      <w:r>
        <w:rPr>
          <w:szCs w:val="26"/>
        </w:rPr>
        <w:t>:</w:t>
      </w:r>
      <w:r w:rsidRPr="006B7AF3">
        <w:rPr>
          <w:szCs w:val="26"/>
        </w:rPr>
        <w:t xml:space="preserve"> (1) tariff filings and any related compliance filings; (2) rate case filings and any related compliance filings; (3) informational reports; (4) negotiated rates; (5) non-conforming agreement filings; and (6) NAESB Activity (tariff portion only).  In summary, the Commission uses the FERC-545</w:t>
      </w:r>
      <w:r w:rsidR="00800C90">
        <w:rPr>
          <w:szCs w:val="26"/>
        </w:rPr>
        <w:t>B</w:t>
      </w:r>
      <w:r>
        <w:rPr>
          <w:szCs w:val="26"/>
        </w:rPr>
        <w:t xml:space="preserve"> </w:t>
      </w:r>
      <w:r w:rsidRPr="006B7AF3">
        <w:rPr>
          <w:szCs w:val="26"/>
        </w:rPr>
        <w:t xml:space="preserve">information to (1) ensure </w:t>
      </w:r>
      <w:r>
        <w:rPr>
          <w:szCs w:val="26"/>
        </w:rPr>
        <w:t xml:space="preserve">there are </w:t>
      </w:r>
      <w:r w:rsidRPr="006B7AF3">
        <w:rPr>
          <w:szCs w:val="26"/>
        </w:rPr>
        <w:t>adequate customer protections under section 4 of the NGA; (2) review rates and terms and conditions of service changes by natural gas companies for the transportation and storage of natural gas; (3) provide general industry oversight; and (4) supplement documentation during FERC’s audits process.</w:t>
      </w:r>
    </w:p>
    <w:p w14:paraId="5021D951" w14:textId="77777777" w:rsidR="003F0E97" w:rsidRDefault="003F0E97" w:rsidP="003F0E97">
      <w:pPr>
        <w:ind w:firstLine="360"/>
        <w:rPr>
          <w:szCs w:val="26"/>
        </w:rPr>
      </w:pPr>
    </w:p>
    <w:p w14:paraId="3D9AC83A" w14:textId="77777777" w:rsidR="003F0E97" w:rsidRDefault="003F0E97" w:rsidP="003F0E97">
      <w:pPr>
        <w:rPr>
          <w:szCs w:val="26"/>
        </w:rPr>
      </w:pPr>
      <w:r>
        <w:rPr>
          <w:szCs w:val="26"/>
        </w:rPr>
        <w:t xml:space="preserve">The Commission reviews the FERC-545 materials to determine whether proposed transportation and sales rates and terms and conditions of service are just and reasonable.  The Commission uses the information to monitor rates and terms and conditions of service related to jurisdictional transportation, natural gas storage, and unbundled sales activities of jurisdictional companies.  In addition to fulfilling the Commission’s obligations under the NGA, the information enables the Commission to monitor the activities and evaluate transactions of the natural gas industry to ensure competitiveness and improved efficiency of the industry’s operations.   </w:t>
      </w:r>
    </w:p>
    <w:p w14:paraId="76001DB4" w14:textId="77777777" w:rsidR="003F0E97" w:rsidRDefault="003F0E97" w:rsidP="003F0E97">
      <w:pPr>
        <w:rPr>
          <w:szCs w:val="26"/>
        </w:rPr>
      </w:pPr>
    </w:p>
    <w:p w14:paraId="7D806AEA" w14:textId="2A073CAA" w:rsidR="003F0E97" w:rsidRPr="00091565" w:rsidRDefault="003F0E97" w:rsidP="003F0E97">
      <w:pPr>
        <w:rPr>
          <w:szCs w:val="26"/>
        </w:rPr>
      </w:pPr>
      <w:r>
        <w:rPr>
          <w:b/>
          <w:szCs w:val="26"/>
        </w:rPr>
        <w:t>FERC-549C</w:t>
      </w:r>
      <w:r w:rsidR="00820CFB">
        <w:rPr>
          <w:b/>
          <w:szCs w:val="26"/>
        </w:rPr>
        <w:t>1</w:t>
      </w:r>
      <w:r>
        <w:rPr>
          <w:b/>
          <w:szCs w:val="26"/>
        </w:rPr>
        <w:t xml:space="preserve">.  </w:t>
      </w:r>
      <w:r>
        <w:rPr>
          <w:szCs w:val="26"/>
        </w:rPr>
        <w:t xml:space="preserve">The Commission </w:t>
      </w:r>
      <w:r w:rsidR="004569BE">
        <w:rPr>
          <w:szCs w:val="26"/>
        </w:rPr>
        <w:t xml:space="preserve">needs </w:t>
      </w:r>
      <w:r>
        <w:rPr>
          <w:szCs w:val="26"/>
        </w:rPr>
        <w:t>the FERC-549C</w:t>
      </w:r>
      <w:r w:rsidR="00800C90">
        <w:rPr>
          <w:szCs w:val="26"/>
        </w:rPr>
        <w:t>1</w:t>
      </w:r>
      <w:r>
        <w:rPr>
          <w:szCs w:val="26"/>
        </w:rPr>
        <w:t xml:space="preserve"> </w:t>
      </w:r>
      <w:r w:rsidR="004569BE">
        <w:rPr>
          <w:szCs w:val="26"/>
        </w:rPr>
        <w:t xml:space="preserve">form </w:t>
      </w:r>
      <w:r>
        <w:rPr>
          <w:szCs w:val="26"/>
        </w:rPr>
        <w:t>becau</w:t>
      </w:r>
      <w:r w:rsidR="006035D0">
        <w:rPr>
          <w:szCs w:val="26"/>
        </w:rPr>
        <w:t xml:space="preserve">se the NOPR in Docket </w:t>
      </w:r>
      <w:r w:rsidR="00166C61">
        <w:rPr>
          <w:szCs w:val="26"/>
        </w:rPr>
        <w:t xml:space="preserve">No. </w:t>
      </w:r>
      <w:r w:rsidR="006035D0">
        <w:rPr>
          <w:szCs w:val="26"/>
        </w:rPr>
        <w:t>RM96-1-041</w:t>
      </w:r>
      <w:r>
        <w:rPr>
          <w:szCs w:val="26"/>
        </w:rPr>
        <w:t xml:space="preserve"> </w:t>
      </w:r>
      <w:r w:rsidRPr="00B51F34">
        <w:rPr>
          <w:szCs w:val="26"/>
        </w:rPr>
        <w:t xml:space="preserve">proposes to </w:t>
      </w:r>
      <w:r w:rsidR="006035D0" w:rsidRPr="00932257">
        <w:t xml:space="preserve">incorporate by reference, in </w:t>
      </w:r>
      <w:r w:rsidR="0081171B">
        <w:t>the Commission’s</w:t>
      </w:r>
      <w:r w:rsidR="006035D0" w:rsidRPr="00932257">
        <w:t xml:space="preserve"> regulations, Version 3.1 of the NAESB WGQ consensus business practice standards, with certain exceptions.</w:t>
      </w:r>
      <w:r w:rsidRPr="00B51F34">
        <w:rPr>
          <w:szCs w:val="26"/>
        </w:rPr>
        <w:t xml:space="preserve"> </w:t>
      </w:r>
      <w:r w:rsidR="0081171B">
        <w:rPr>
          <w:szCs w:val="26"/>
        </w:rPr>
        <w:t xml:space="preserve"> </w:t>
      </w:r>
      <w:r w:rsidR="004569BE">
        <w:rPr>
          <w:szCs w:val="26"/>
        </w:rPr>
        <w:t xml:space="preserve">This updates and revises the Version </w:t>
      </w:r>
      <w:r w:rsidR="00972F0E">
        <w:rPr>
          <w:szCs w:val="26"/>
        </w:rPr>
        <w:t xml:space="preserve">3.0 NAESB WGQ </w:t>
      </w:r>
      <w:r w:rsidR="00475FBB">
        <w:rPr>
          <w:szCs w:val="26"/>
        </w:rPr>
        <w:t>b</w:t>
      </w:r>
      <w:r w:rsidR="00972F0E">
        <w:rPr>
          <w:szCs w:val="26"/>
        </w:rPr>
        <w:t xml:space="preserve">usiness </w:t>
      </w:r>
      <w:r w:rsidR="00475FBB">
        <w:rPr>
          <w:szCs w:val="26"/>
        </w:rPr>
        <w:t>p</w:t>
      </w:r>
      <w:r w:rsidR="00972F0E">
        <w:rPr>
          <w:szCs w:val="26"/>
        </w:rPr>
        <w:t xml:space="preserve">ractice </w:t>
      </w:r>
      <w:r w:rsidR="00475FBB">
        <w:rPr>
          <w:szCs w:val="26"/>
        </w:rPr>
        <w:t>s</w:t>
      </w:r>
      <w:r w:rsidR="00972F0E">
        <w:rPr>
          <w:szCs w:val="26"/>
        </w:rPr>
        <w:t>tandards that the Commission incorporated by reference, with certain exceptions, on Oct. 16, 2015.</w:t>
      </w:r>
    </w:p>
    <w:p w14:paraId="42927BD5" w14:textId="77777777" w:rsidR="003F0E97" w:rsidRPr="00740DAF" w:rsidRDefault="003F0E97" w:rsidP="003F0E97">
      <w:pPr>
        <w:rPr>
          <w:szCs w:val="26"/>
        </w:rPr>
      </w:pPr>
    </w:p>
    <w:p w14:paraId="08A578B8" w14:textId="00874677" w:rsidR="003F0E97" w:rsidRPr="00FF32D1" w:rsidRDefault="003F0E97" w:rsidP="003F0E97">
      <w:pPr>
        <w:rPr>
          <w:szCs w:val="26"/>
        </w:rPr>
      </w:pPr>
      <w:r>
        <w:rPr>
          <w:b/>
          <w:szCs w:val="26"/>
        </w:rPr>
        <w:t>FERC-545</w:t>
      </w:r>
      <w:r w:rsidR="00820CFB">
        <w:rPr>
          <w:b/>
          <w:szCs w:val="26"/>
        </w:rPr>
        <w:t>B</w:t>
      </w:r>
      <w:r>
        <w:rPr>
          <w:b/>
          <w:szCs w:val="26"/>
        </w:rPr>
        <w:t xml:space="preserve"> and -549C</w:t>
      </w:r>
      <w:r w:rsidR="00820CFB">
        <w:rPr>
          <w:b/>
          <w:szCs w:val="26"/>
        </w:rPr>
        <w:t>1</w:t>
      </w:r>
      <w:r>
        <w:rPr>
          <w:b/>
          <w:szCs w:val="26"/>
        </w:rPr>
        <w:t xml:space="preserve">.  </w:t>
      </w:r>
      <w:r w:rsidRPr="00FF32D1">
        <w:rPr>
          <w:szCs w:val="26"/>
        </w:rPr>
        <w:t xml:space="preserve">Failure to collect this information would prohibit the Commission from monitoring and properly evaluating pipeline transactions and meeting statutory obligations under both the NGPA and the NGA. </w:t>
      </w:r>
    </w:p>
    <w:p w14:paraId="4F14D241" w14:textId="4FC3D1F9" w:rsidR="003F0E97" w:rsidRPr="003B18DD" w:rsidRDefault="003F0E97" w:rsidP="00A5298F">
      <w:pPr>
        <w:tabs>
          <w:tab w:val="num" w:pos="0"/>
        </w:tabs>
        <w:spacing w:before="100" w:beforeAutospacing="1" w:after="240"/>
      </w:pPr>
      <w:r w:rsidRPr="00466398">
        <w:rPr>
          <w:szCs w:val="26"/>
        </w:rPr>
        <w:t>Additionally, the incorporation by reference of consensus standards helps ensure the reasonableness of these standards</w:t>
      </w:r>
      <w:r w:rsidR="00A460DE">
        <w:rPr>
          <w:szCs w:val="26"/>
        </w:rPr>
        <w:t>,</w:t>
      </w:r>
      <w:r w:rsidRPr="00466398">
        <w:rPr>
          <w:szCs w:val="26"/>
        </w:rPr>
        <w:t xml:space="preserve"> </w:t>
      </w:r>
      <w:r w:rsidR="00353A27">
        <w:rPr>
          <w:szCs w:val="26"/>
        </w:rPr>
        <w:t>because the</w:t>
      </w:r>
      <w:r w:rsidR="00A460DE">
        <w:rPr>
          <w:szCs w:val="26"/>
        </w:rPr>
        <w:t xml:space="preserve"> standards</w:t>
      </w:r>
      <w:r w:rsidR="00353A27">
        <w:rPr>
          <w:szCs w:val="26"/>
        </w:rPr>
        <w:t xml:space="preserve"> have enlisted</w:t>
      </w:r>
      <w:r w:rsidRPr="00466398">
        <w:rPr>
          <w:szCs w:val="26"/>
        </w:rPr>
        <w:t xml:space="preserve"> broad support from industry participants representing all segments of the industry.</w:t>
      </w:r>
    </w:p>
    <w:p w14:paraId="6CD2F648" w14:textId="77777777" w:rsidR="00BC15BE" w:rsidRPr="003B18DD" w:rsidRDefault="00BC15BE" w:rsidP="00BC15BE">
      <w:pPr>
        <w:pStyle w:val="Level1"/>
        <w:widowControl/>
        <w:tabs>
          <w:tab w:val="left" w:pos="-1440"/>
          <w:tab w:val="num" w:pos="720"/>
        </w:tabs>
        <w:rPr>
          <w:b/>
          <w:sz w:val="26"/>
          <w:szCs w:val="26"/>
        </w:rPr>
      </w:pPr>
      <w:r w:rsidRPr="003B18DD">
        <w:rPr>
          <w:b/>
          <w:sz w:val="26"/>
          <w:szCs w:val="26"/>
        </w:rPr>
        <w:t>DESCRIBE ANY CONSIDERATION FOR THE USE OF IMPROVED INFORMATION TECHNOLOGY TO REDUCE BURDEN AND TECHNICAL OR LEGAL OBSTACLES TO REDUCING BURDEN</w:t>
      </w:r>
    </w:p>
    <w:p w14:paraId="743F0CDB" w14:textId="77777777" w:rsidR="00BC15BE" w:rsidRPr="003B18DD" w:rsidRDefault="00BC15BE" w:rsidP="00BC15BE">
      <w:pPr>
        <w:rPr>
          <w:b/>
          <w:szCs w:val="26"/>
        </w:rPr>
      </w:pPr>
    </w:p>
    <w:p w14:paraId="31DD328F" w14:textId="60A6F38F" w:rsidR="00F8150C" w:rsidRDefault="00F8150C" w:rsidP="00F8150C">
      <w:pPr>
        <w:rPr>
          <w:szCs w:val="26"/>
        </w:rPr>
      </w:pPr>
      <w:r>
        <w:rPr>
          <w:b/>
          <w:szCs w:val="26"/>
        </w:rPr>
        <w:t>FERC-545</w:t>
      </w:r>
      <w:r w:rsidR="00820CFB">
        <w:rPr>
          <w:b/>
          <w:szCs w:val="26"/>
        </w:rPr>
        <w:t>B</w:t>
      </w:r>
      <w:r>
        <w:rPr>
          <w:b/>
          <w:szCs w:val="26"/>
        </w:rPr>
        <w:t xml:space="preserve">. </w:t>
      </w:r>
      <w:r w:rsidRPr="004F7E93">
        <w:rPr>
          <w:szCs w:val="26"/>
        </w:rPr>
        <w:t>In previous rulemakings,</w:t>
      </w:r>
      <w:r w:rsidRPr="001C3337">
        <w:rPr>
          <w:szCs w:val="26"/>
          <w:vertAlign w:val="superscript"/>
        </w:rPr>
        <w:t xml:space="preserve"> </w:t>
      </w:r>
      <w:r w:rsidRPr="001C3337">
        <w:rPr>
          <w:szCs w:val="26"/>
          <w:vertAlign w:val="superscript"/>
        </w:rPr>
        <w:footnoteReference w:id="5"/>
      </w:r>
      <w:r w:rsidRPr="004F7E93">
        <w:rPr>
          <w:szCs w:val="26"/>
        </w:rPr>
        <w:t xml:space="preserve"> the Commission implemented the capability </w:t>
      </w:r>
      <w:r>
        <w:rPr>
          <w:szCs w:val="26"/>
        </w:rPr>
        <w:t xml:space="preserve">and requirement </w:t>
      </w:r>
      <w:r w:rsidRPr="004F7E93">
        <w:rPr>
          <w:szCs w:val="26"/>
        </w:rPr>
        <w:t>for electronic filing of all tariff submissions</w:t>
      </w:r>
      <w:r>
        <w:rPr>
          <w:szCs w:val="26"/>
        </w:rPr>
        <w:t xml:space="preserve">.  FERC also </w:t>
      </w:r>
      <w:r w:rsidRPr="004F7E93">
        <w:rPr>
          <w:szCs w:val="26"/>
        </w:rPr>
        <w:t>improve</w:t>
      </w:r>
      <w:r>
        <w:rPr>
          <w:szCs w:val="26"/>
        </w:rPr>
        <w:t>d</w:t>
      </w:r>
      <w:r w:rsidRPr="004F7E93">
        <w:rPr>
          <w:szCs w:val="26"/>
        </w:rPr>
        <w:t xml:space="preserve"> the security of submitting those electronic filings and the pipelines’ </w:t>
      </w:r>
      <w:r>
        <w:rPr>
          <w:szCs w:val="26"/>
        </w:rPr>
        <w:t xml:space="preserve">on-line </w:t>
      </w:r>
      <w:r w:rsidRPr="004F7E93">
        <w:rPr>
          <w:szCs w:val="26"/>
        </w:rPr>
        <w:t xml:space="preserve">process of appointing and modifying agents with the authority to make a filing on the pipeline’s behalf </w:t>
      </w:r>
      <w:r>
        <w:rPr>
          <w:szCs w:val="26"/>
        </w:rPr>
        <w:t>(</w:t>
      </w:r>
      <w:r w:rsidRPr="004F7E93">
        <w:rPr>
          <w:szCs w:val="26"/>
        </w:rPr>
        <w:t>provid</w:t>
      </w:r>
      <w:r>
        <w:rPr>
          <w:szCs w:val="26"/>
        </w:rPr>
        <w:t>ing</w:t>
      </w:r>
      <w:r w:rsidRPr="004F7E93">
        <w:rPr>
          <w:szCs w:val="26"/>
        </w:rPr>
        <w:t xml:space="preserve"> filing companies with greater control over the agents eligible to make specific types of filings on their </w:t>
      </w:r>
      <w:r>
        <w:rPr>
          <w:szCs w:val="26"/>
        </w:rPr>
        <w:t>behalf).</w:t>
      </w:r>
    </w:p>
    <w:p w14:paraId="6D90A140" w14:textId="60CE1187" w:rsidR="00972F0E" w:rsidRDefault="00F8150C" w:rsidP="00820CFB">
      <w:pPr>
        <w:tabs>
          <w:tab w:val="num" w:pos="0"/>
        </w:tabs>
        <w:spacing w:before="100" w:beforeAutospacing="1" w:after="240"/>
        <w:rPr>
          <w:szCs w:val="26"/>
        </w:rPr>
      </w:pPr>
      <w:r>
        <w:rPr>
          <w:b/>
          <w:szCs w:val="26"/>
        </w:rPr>
        <w:t>FERC-549C</w:t>
      </w:r>
      <w:r w:rsidR="00820CFB">
        <w:rPr>
          <w:b/>
          <w:szCs w:val="26"/>
        </w:rPr>
        <w:t>1</w:t>
      </w:r>
      <w:r>
        <w:rPr>
          <w:b/>
          <w:szCs w:val="26"/>
        </w:rPr>
        <w:t>.</w:t>
      </w:r>
      <w:r>
        <w:rPr>
          <w:szCs w:val="26"/>
        </w:rPr>
        <w:t xml:space="preserve">  The information resulting from the FERC-549C</w:t>
      </w:r>
      <w:r w:rsidR="00800C90">
        <w:rPr>
          <w:szCs w:val="26"/>
        </w:rPr>
        <w:t>1</w:t>
      </w:r>
      <w:r>
        <w:rPr>
          <w:szCs w:val="26"/>
        </w:rPr>
        <w:t xml:space="preserve"> data requirements will not be filed at FERC.  Instead it will be posted on the pipelines’ Internet </w:t>
      </w:r>
      <w:r w:rsidR="00353A27">
        <w:rPr>
          <w:szCs w:val="26"/>
        </w:rPr>
        <w:t>web</w:t>
      </w:r>
      <w:r>
        <w:rPr>
          <w:szCs w:val="26"/>
        </w:rPr>
        <w:t>sites, provided to third parties</w:t>
      </w:r>
      <w:r w:rsidR="00353A27">
        <w:rPr>
          <w:szCs w:val="26"/>
        </w:rPr>
        <w:t>,</w:t>
      </w:r>
      <w:r>
        <w:rPr>
          <w:szCs w:val="26"/>
        </w:rPr>
        <w:t xml:space="preserve"> or retained</w:t>
      </w:r>
      <w:r w:rsidR="00353A27">
        <w:rPr>
          <w:szCs w:val="26"/>
        </w:rPr>
        <w:t xml:space="preserve"> by the pipeline</w:t>
      </w:r>
      <w:r>
        <w:rPr>
          <w:szCs w:val="26"/>
        </w:rPr>
        <w:t xml:space="preserve">.  The Internet and current software allow easy access and use of data on the pipelines’ Internet </w:t>
      </w:r>
      <w:r w:rsidR="00353A27">
        <w:rPr>
          <w:szCs w:val="26"/>
        </w:rPr>
        <w:t>web</w:t>
      </w:r>
      <w:r>
        <w:rPr>
          <w:szCs w:val="26"/>
        </w:rPr>
        <w:t xml:space="preserve">sites and for </w:t>
      </w:r>
      <w:r w:rsidR="00353A27">
        <w:rPr>
          <w:szCs w:val="26"/>
        </w:rPr>
        <w:t xml:space="preserve">the </w:t>
      </w:r>
      <w:r>
        <w:rPr>
          <w:szCs w:val="26"/>
        </w:rPr>
        <w:t>transmittal of information</w:t>
      </w:r>
      <w:r w:rsidR="00353A27">
        <w:rPr>
          <w:szCs w:val="26"/>
        </w:rPr>
        <w:t xml:space="preserve"> to users</w:t>
      </w:r>
      <w:r>
        <w:rPr>
          <w:szCs w:val="26"/>
        </w:rPr>
        <w:t>.</w:t>
      </w:r>
    </w:p>
    <w:p w14:paraId="4C60CADA" w14:textId="77777777" w:rsidR="00BC15BE" w:rsidRPr="003B18DD" w:rsidRDefault="00BC15BE" w:rsidP="00BC15BE">
      <w:pPr>
        <w:pStyle w:val="Level1"/>
        <w:widowControl/>
        <w:tabs>
          <w:tab w:val="left" w:pos="-1440"/>
          <w:tab w:val="num" w:pos="720"/>
        </w:tabs>
        <w:rPr>
          <w:b/>
          <w:sz w:val="26"/>
          <w:szCs w:val="26"/>
        </w:rPr>
      </w:pPr>
      <w:r w:rsidRPr="003B18DD">
        <w:rPr>
          <w:b/>
          <w:sz w:val="26"/>
          <w:szCs w:val="26"/>
        </w:rPr>
        <w:t>DESCRIBE EFFORTS TO IDENTIFY DUPLICATION AND SHOW SPECIFICALLY WHY ANY SIMILAR INFORMATION ALREADY AVAILABLE CANNOT BE USED OR MODIFIED FOR USE FOR THE PURPOSE(S) DESCRIBED IN INSTRUCTION NO. 2.</w:t>
      </w:r>
    </w:p>
    <w:p w14:paraId="3852EF47" w14:textId="77777777" w:rsidR="00BC15BE" w:rsidRPr="003B18DD" w:rsidRDefault="00BC15BE" w:rsidP="00BC15BE">
      <w:pPr>
        <w:pStyle w:val="Level1"/>
        <w:widowControl/>
        <w:numPr>
          <w:ilvl w:val="0"/>
          <w:numId w:val="0"/>
        </w:numPr>
        <w:tabs>
          <w:tab w:val="left" w:pos="-1440"/>
        </w:tabs>
        <w:rPr>
          <w:sz w:val="26"/>
          <w:szCs w:val="26"/>
        </w:rPr>
      </w:pPr>
    </w:p>
    <w:p w14:paraId="60B247B7" w14:textId="30F91B78" w:rsidR="00F8150C" w:rsidRDefault="00F8150C" w:rsidP="007C3D09">
      <w:pPr>
        <w:tabs>
          <w:tab w:val="num" w:pos="0"/>
        </w:tabs>
        <w:rPr>
          <w:szCs w:val="26"/>
        </w:rPr>
      </w:pPr>
      <w:r>
        <w:rPr>
          <w:b/>
          <w:szCs w:val="26"/>
        </w:rPr>
        <w:t>FERC-545</w:t>
      </w:r>
      <w:r w:rsidR="00820CFB">
        <w:rPr>
          <w:b/>
          <w:szCs w:val="26"/>
        </w:rPr>
        <w:t>B</w:t>
      </w:r>
      <w:r>
        <w:rPr>
          <w:b/>
          <w:szCs w:val="26"/>
        </w:rPr>
        <w:t xml:space="preserve"> and FERC-549C</w:t>
      </w:r>
      <w:r w:rsidR="00820CFB">
        <w:rPr>
          <w:b/>
          <w:szCs w:val="26"/>
        </w:rPr>
        <w:t>1</w:t>
      </w:r>
      <w:r>
        <w:rPr>
          <w:b/>
          <w:szCs w:val="26"/>
        </w:rPr>
        <w:t>.</w:t>
      </w:r>
      <w:r w:rsidRPr="00996DF4">
        <w:rPr>
          <w:szCs w:val="26"/>
        </w:rPr>
        <w:t xml:space="preserve"> </w:t>
      </w:r>
      <w:r>
        <w:rPr>
          <w:szCs w:val="26"/>
        </w:rPr>
        <w:t xml:space="preserve">Commission filings and data requirements are periodically reviewed in conjunction with OMB clearance expiration dates.  This includes a review of the Commission’s regulations and data requirements to identify duplication.  No duplication of the information collection requirements has been found.  </w:t>
      </w:r>
    </w:p>
    <w:p w14:paraId="327617EA" w14:textId="77777777" w:rsidR="00BC15BE" w:rsidRPr="003B18DD" w:rsidRDefault="00BC15BE" w:rsidP="00BC15BE">
      <w:pPr>
        <w:pStyle w:val="Level1"/>
        <w:widowControl/>
        <w:numPr>
          <w:ilvl w:val="0"/>
          <w:numId w:val="0"/>
        </w:numPr>
        <w:tabs>
          <w:tab w:val="left" w:pos="-1440"/>
        </w:tabs>
        <w:ind w:firstLine="720"/>
        <w:rPr>
          <w:sz w:val="26"/>
          <w:szCs w:val="26"/>
        </w:rPr>
      </w:pPr>
    </w:p>
    <w:p w14:paraId="77803D14" w14:textId="77777777" w:rsidR="00BC15BE" w:rsidRPr="003B18DD" w:rsidRDefault="00BC15BE" w:rsidP="00BC15BE">
      <w:pPr>
        <w:pStyle w:val="Level1"/>
        <w:widowControl/>
        <w:tabs>
          <w:tab w:val="left" w:pos="-1440"/>
          <w:tab w:val="num" w:pos="720"/>
        </w:tabs>
        <w:rPr>
          <w:b/>
          <w:sz w:val="26"/>
          <w:szCs w:val="26"/>
        </w:rPr>
      </w:pPr>
      <w:r w:rsidRPr="003B18DD">
        <w:rPr>
          <w:b/>
          <w:sz w:val="26"/>
          <w:szCs w:val="26"/>
        </w:rPr>
        <w:t>METHODS USED TO MINIMIZE BURDEN IN COLLECTION OF INFORMATION INVOLVING SMALL ENTITIES</w:t>
      </w:r>
    </w:p>
    <w:p w14:paraId="0DB416A3" w14:textId="77777777" w:rsidR="00BC15BE" w:rsidRPr="003B18DD" w:rsidRDefault="00BC15BE" w:rsidP="00BC15BE">
      <w:pPr>
        <w:pStyle w:val="Level1"/>
        <w:widowControl/>
        <w:numPr>
          <w:ilvl w:val="0"/>
          <w:numId w:val="0"/>
        </w:numPr>
        <w:tabs>
          <w:tab w:val="left" w:pos="-1440"/>
        </w:tabs>
        <w:ind w:left="720" w:hanging="720"/>
        <w:rPr>
          <w:sz w:val="26"/>
          <w:szCs w:val="26"/>
        </w:rPr>
      </w:pPr>
    </w:p>
    <w:p w14:paraId="50D5341F" w14:textId="265B3053" w:rsidR="00F8150C" w:rsidRDefault="00F8150C" w:rsidP="00F8150C">
      <w:pPr>
        <w:rPr>
          <w:szCs w:val="26"/>
        </w:rPr>
      </w:pPr>
      <w:r w:rsidRPr="00332BEF">
        <w:rPr>
          <w:szCs w:val="26"/>
        </w:rPr>
        <w:t>The Small Business Administration's (SBA) Office of Size Standards develops the numerical definition of a small business as matched to North American Industry Classification System Codes (NAICS).</w:t>
      </w:r>
      <w:r w:rsidR="00BF0788">
        <w:rPr>
          <w:szCs w:val="26"/>
        </w:rPr>
        <w:t xml:space="preserve">  </w:t>
      </w:r>
      <w:r w:rsidRPr="00332BEF">
        <w:rPr>
          <w:szCs w:val="26"/>
        </w:rPr>
        <w:t xml:space="preserve">The SBA </w:t>
      </w:r>
      <w:r>
        <w:rPr>
          <w:szCs w:val="26"/>
        </w:rPr>
        <w:t xml:space="preserve">(in </w:t>
      </w:r>
      <w:r w:rsidRPr="001A3773">
        <w:rPr>
          <w:szCs w:val="26"/>
        </w:rPr>
        <w:t>13 CFR 121.101</w:t>
      </w:r>
      <w:r>
        <w:rPr>
          <w:szCs w:val="26"/>
        </w:rPr>
        <w:t>)</w:t>
      </w:r>
      <w:r w:rsidRPr="001A3773">
        <w:rPr>
          <w:szCs w:val="26"/>
        </w:rPr>
        <w:t xml:space="preserve"> </w:t>
      </w:r>
      <w:r w:rsidRPr="00332BEF">
        <w:rPr>
          <w:szCs w:val="26"/>
        </w:rPr>
        <w:t>has established a size standard for pipelines transporting natural gas, stating that a firm is a small entity if its annual receipts (including those of its affiliates) are $27.5 million or less.</w:t>
      </w:r>
      <w:r>
        <w:rPr>
          <w:rStyle w:val="FootnoteReference"/>
        </w:rPr>
        <w:footnoteReference w:id="6"/>
      </w:r>
    </w:p>
    <w:p w14:paraId="1E3D58FD" w14:textId="77777777" w:rsidR="00F8150C" w:rsidRPr="00544199" w:rsidRDefault="00F8150C" w:rsidP="00F8150C">
      <w:pPr>
        <w:ind w:firstLine="720"/>
        <w:rPr>
          <w:szCs w:val="26"/>
        </w:rPr>
      </w:pPr>
    </w:p>
    <w:p w14:paraId="328B9F94" w14:textId="062B9B28" w:rsidR="00F8150C" w:rsidRDefault="00F8150C" w:rsidP="00F8150C">
      <w:pPr>
        <w:rPr>
          <w:szCs w:val="26"/>
        </w:rPr>
      </w:pPr>
      <w:r>
        <w:rPr>
          <w:b/>
          <w:szCs w:val="26"/>
        </w:rPr>
        <w:t>FERC-545</w:t>
      </w:r>
      <w:r w:rsidR="00820CFB">
        <w:rPr>
          <w:b/>
          <w:szCs w:val="26"/>
        </w:rPr>
        <w:t>B</w:t>
      </w:r>
      <w:r>
        <w:rPr>
          <w:b/>
          <w:szCs w:val="26"/>
        </w:rPr>
        <w:t xml:space="preserve">.  </w:t>
      </w:r>
      <w:r>
        <w:rPr>
          <w:szCs w:val="26"/>
        </w:rPr>
        <w:t>The FERC-545</w:t>
      </w:r>
      <w:r w:rsidR="00800C90">
        <w:rPr>
          <w:szCs w:val="26"/>
        </w:rPr>
        <w:t>B</w:t>
      </w:r>
      <w:r>
        <w:rPr>
          <w:szCs w:val="26"/>
        </w:rPr>
        <w:t xml:space="preserve"> </w:t>
      </w:r>
      <w:r w:rsidR="00800C90">
        <w:rPr>
          <w:szCs w:val="26"/>
        </w:rPr>
        <w:t>contains</w:t>
      </w:r>
      <w:r>
        <w:rPr>
          <w:szCs w:val="26"/>
        </w:rPr>
        <w:t xml:space="preserve"> filing requirement related to pipeline rate filing </w:t>
      </w:r>
      <w:r w:rsidR="00800C90">
        <w:rPr>
          <w:szCs w:val="26"/>
        </w:rPr>
        <w:t xml:space="preserve"> </w:t>
      </w:r>
      <w:r>
        <w:rPr>
          <w:szCs w:val="26"/>
        </w:rPr>
        <w:t xml:space="preserve">obligations for the transportation and storage of natural gas.  The filing collects data from both large and small respondent companies.  The data required </w:t>
      </w:r>
      <w:r w:rsidR="00353A27">
        <w:rPr>
          <w:szCs w:val="26"/>
        </w:rPr>
        <w:t xml:space="preserve">were designed to </w:t>
      </w:r>
      <w:r>
        <w:rPr>
          <w:szCs w:val="26"/>
        </w:rPr>
        <w:t>impose the least possible burden for companies, while collecting the information required for processing the filings.  Use of the Internet to file documents electronically is the primary method the Commission uses to minimize the FERC-</w:t>
      </w:r>
      <w:r w:rsidRPr="00FC1EA4">
        <w:rPr>
          <w:szCs w:val="26"/>
        </w:rPr>
        <w:t>545</w:t>
      </w:r>
      <w:r w:rsidR="00800C90">
        <w:rPr>
          <w:szCs w:val="26"/>
        </w:rPr>
        <w:t>B</w:t>
      </w:r>
      <w:r w:rsidRPr="00FC1EA4">
        <w:rPr>
          <w:szCs w:val="26"/>
        </w:rPr>
        <w:t xml:space="preserve"> </w:t>
      </w:r>
      <w:r w:rsidR="00353A27" w:rsidRPr="00FC1EA4">
        <w:rPr>
          <w:szCs w:val="26"/>
        </w:rPr>
        <w:t>filing</w:t>
      </w:r>
      <w:r w:rsidR="00353A27">
        <w:rPr>
          <w:szCs w:val="26"/>
        </w:rPr>
        <w:t xml:space="preserve"> </w:t>
      </w:r>
      <w:r>
        <w:rPr>
          <w:szCs w:val="26"/>
        </w:rPr>
        <w:t>burden.</w:t>
      </w:r>
    </w:p>
    <w:p w14:paraId="3175B70D" w14:textId="77777777" w:rsidR="00F8150C" w:rsidRDefault="00F8150C" w:rsidP="00F8150C">
      <w:pPr>
        <w:rPr>
          <w:szCs w:val="26"/>
        </w:rPr>
      </w:pPr>
    </w:p>
    <w:p w14:paraId="0BFC2FBD" w14:textId="09C19631" w:rsidR="00F8150C" w:rsidRDefault="00F8150C" w:rsidP="00F8150C">
      <w:pPr>
        <w:rPr>
          <w:b/>
          <w:szCs w:val="26"/>
        </w:rPr>
      </w:pPr>
      <w:r>
        <w:rPr>
          <w:szCs w:val="26"/>
        </w:rPr>
        <w:t xml:space="preserve">The </w:t>
      </w:r>
      <w:r w:rsidR="00162284">
        <w:rPr>
          <w:szCs w:val="26"/>
        </w:rPr>
        <w:t xml:space="preserve">NOPR proposes that the </w:t>
      </w:r>
      <w:r>
        <w:rPr>
          <w:szCs w:val="26"/>
        </w:rPr>
        <w:t>one-time compliance filings</w:t>
      </w:r>
      <w:r w:rsidR="00716BEB">
        <w:rPr>
          <w:szCs w:val="26"/>
        </w:rPr>
        <w:t xml:space="preserve"> </w:t>
      </w:r>
      <w:r>
        <w:rPr>
          <w:szCs w:val="26"/>
        </w:rPr>
        <w:t>must be filed electronically.</w:t>
      </w:r>
    </w:p>
    <w:p w14:paraId="38B683B5" w14:textId="6C1726D7" w:rsidR="00BC15BE" w:rsidRPr="003B18DD" w:rsidRDefault="00F8150C" w:rsidP="003D40BD">
      <w:pPr>
        <w:tabs>
          <w:tab w:val="num" w:pos="0"/>
        </w:tabs>
        <w:spacing w:before="100" w:beforeAutospacing="1" w:after="240"/>
        <w:rPr>
          <w:szCs w:val="26"/>
        </w:rPr>
      </w:pPr>
      <w:r>
        <w:rPr>
          <w:b/>
          <w:szCs w:val="26"/>
        </w:rPr>
        <w:t>FERC-549C</w:t>
      </w:r>
      <w:r w:rsidR="00820CFB">
        <w:rPr>
          <w:b/>
          <w:szCs w:val="26"/>
        </w:rPr>
        <w:t>1</w:t>
      </w:r>
      <w:r>
        <w:rPr>
          <w:b/>
          <w:szCs w:val="26"/>
        </w:rPr>
        <w:t xml:space="preserve">.  </w:t>
      </w:r>
      <w:r>
        <w:rPr>
          <w:szCs w:val="26"/>
        </w:rPr>
        <w:t xml:space="preserve">The </w:t>
      </w:r>
      <w:r w:rsidR="00162284">
        <w:rPr>
          <w:szCs w:val="26"/>
        </w:rPr>
        <w:t xml:space="preserve">proposed </w:t>
      </w:r>
      <w:r>
        <w:rPr>
          <w:szCs w:val="26"/>
        </w:rPr>
        <w:t>FERC-549C</w:t>
      </w:r>
      <w:r w:rsidR="00800C90">
        <w:rPr>
          <w:szCs w:val="26"/>
        </w:rPr>
        <w:t>1</w:t>
      </w:r>
      <w:r>
        <w:rPr>
          <w:szCs w:val="26"/>
        </w:rPr>
        <w:t xml:space="preserve"> information collection will impact t</w:t>
      </w:r>
      <w:r w:rsidRPr="00E0344D">
        <w:rPr>
          <w:szCs w:val="26"/>
        </w:rPr>
        <w:t xml:space="preserve">he proposed business standards, practices and procedures </w:t>
      </w:r>
      <w:r>
        <w:rPr>
          <w:szCs w:val="26"/>
        </w:rPr>
        <w:t xml:space="preserve">for the </w:t>
      </w:r>
      <w:r w:rsidRPr="00E0344D">
        <w:rPr>
          <w:szCs w:val="26"/>
        </w:rPr>
        <w:t xml:space="preserve">day-to-day operations of major and a few non-major natural gas companies.  </w:t>
      </w:r>
      <w:r w:rsidR="00353A27">
        <w:rPr>
          <w:szCs w:val="26"/>
        </w:rPr>
        <w:t xml:space="preserve">These transactions would occur even without the standards, but the standards assure they are conducted in a standardized manner.  </w:t>
      </w:r>
      <w:r w:rsidRPr="00E0344D">
        <w:rPr>
          <w:szCs w:val="26"/>
        </w:rPr>
        <w:t xml:space="preserve">The business practice standards are designed to benefit all customers, including small businesses.  </w:t>
      </w:r>
      <w:r>
        <w:rPr>
          <w:szCs w:val="26"/>
        </w:rPr>
        <w:t>T</w:t>
      </w:r>
      <w:r w:rsidRPr="00E0344D">
        <w:rPr>
          <w:szCs w:val="26"/>
        </w:rPr>
        <w:t>he Commission allows for extensions of time and for waivers of the business practice standards</w:t>
      </w:r>
      <w:r w:rsidR="00353A27">
        <w:rPr>
          <w:szCs w:val="26"/>
        </w:rPr>
        <w:t>, when appropriate</w:t>
      </w:r>
      <w:r w:rsidRPr="00E0344D">
        <w:rPr>
          <w:szCs w:val="26"/>
        </w:rPr>
        <w:t xml:space="preserve">.  Such extensions </w:t>
      </w:r>
      <w:r w:rsidR="006A6C5F">
        <w:rPr>
          <w:szCs w:val="26"/>
        </w:rPr>
        <w:t xml:space="preserve">of time </w:t>
      </w:r>
      <w:r w:rsidRPr="00E0344D">
        <w:rPr>
          <w:szCs w:val="26"/>
        </w:rPr>
        <w:t>or waivers are based on a pipeline’s individual circumstances, including the size of the pipeline.  For smaller pipelines</w:t>
      </w:r>
      <w:r>
        <w:rPr>
          <w:szCs w:val="26"/>
        </w:rPr>
        <w:t>,</w:t>
      </w:r>
      <w:r w:rsidRPr="00E0344D">
        <w:rPr>
          <w:szCs w:val="26"/>
        </w:rPr>
        <w:t xml:space="preserve"> the Commission </w:t>
      </w:r>
      <w:r w:rsidR="00592815">
        <w:rPr>
          <w:szCs w:val="26"/>
        </w:rPr>
        <w:t xml:space="preserve">in the past </w:t>
      </w:r>
      <w:r>
        <w:rPr>
          <w:szCs w:val="26"/>
        </w:rPr>
        <w:t>has granted waivers of some of the standards w</w:t>
      </w:r>
      <w:r w:rsidRPr="00E0344D">
        <w:rPr>
          <w:szCs w:val="26"/>
        </w:rPr>
        <w:t>hen such pipelines have shown that complying with such standards would prove unduly burdensome.</w:t>
      </w:r>
    </w:p>
    <w:p w14:paraId="4CE780EF" w14:textId="77777777" w:rsidR="00BC15BE" w:rsidRPr="003B18DD" w:rsidRDefault="00BC15BE" w:rsidP="00BC15BE">
      <w:pPr>
        <w:pStyle w:val="Level1"/>
        <w:widowControl/>
        <w:tabs>
          <w:tab w:val="left" w:pos="-1440"/>
          <w:tab w:val="num" w:pos="720"/>
        </w:tabs>
        <w:rPr>
          <w:b/>
          <w:sz w:val="26"/>
          <w:szCs w:val="26"/>
        </w:rPr>
      </w:pPr>
      <w:r w:rsidRPr="003B18DD">
        <w:rPr>
          <w:b/>
          <w:sz w:val="26"/>
          <w:szCs w:val="26"/>
        </w:rPr>
        <w:t>CONSEQUENCE TO FEDERAL PROGRAM IF COLLECTION WERE CONDUCTED LESS FREQUENTLY</w:t>
      </w:r>
    </w:p>
    <w:p w14:paraId="684A23EB" w14:textId="77777777" w:rsidR="00BC15BE" w:rsidRPr="003B18DD" w:rsidRDefault="00BC15BE" w:rsidP="00BC15BE">
      <w:pPr>
        <w:pStyle w:val="Level1"/>
        <w:widowControl/>
        <w:numPr>
          <w:ilvl w:val="0"/>
          <w:numId w:val="0"/>
        </w:numPr>
        <w:tabs>
          <w:tab w:val="left" w:pos="-1440"/>
          <w:tab w:val="num" w:pos="0"/>
        </w:tabs>
        <w:ind w:firstLine="720"/>
        <w:rPr>
          <w:b/>
          <w:sz w:val="26"/>
          <w:szCs w:val="26"/>
        </w:rPr>
      </w:pPr>
    </w:p>
    <w:p w14:paraId="7F50D911" w14:textId="53AB6231" w:rsidR="00F8150C" w:rsidRPr="004739F8" w:rsidRDefault="00F8150C" w:rsidP="00F8150C">
      <w:pPr>
        <w:tabs>
          <w:tab w:val="left" w:pos="0"/>
        </w:tabs>
        <w:rPr>
          <w:szCs w:val="26"/>
        </w:rPr>
      </w:pPr>
      <w:r w:rsidRPr="00443AA1">
        <w:rPr>
          <w:szCs w:val="26"/>
        </w:rPr>
        <w:t>FERC-545</w:t>
      </w:r>
      <w:r w:rsidR="00FC1EA4">
        <w:rPr>
          <w:szCs w:val="26"/>
        </w:rPr>
        <w:t>B</w:t>
      </w:r>
      <w:r w:rsidRPr="004739F8">
        <w:rPr>
          <w:szCs w:val="26"/>
        </w:rPr>
        <w:t xml:space="preserve"> is a one-time compliance filing</w:t>
      </w:r>
      <w:r>
        <w:rPr>
          <w:szCs w:val="26"/>
        </w:rPr>
        <w:t>, and FERC-549C</w:t>
      </w:r>
      <w:r w:rsidR="00FC1EA4">
        <w:rPr>
          <w:szCs w:val="26"/>
        </w:rPr>
        <w:t>1</w:t>
      </w:r>
      <w:r>
        <w:rPr>
          <w:szCs w:val="26"/>
        </w:rPr>
        <w:t xml:space="preserve"> is a one-time implementation </w:t>
      </w:r>
      <w:r w:rsidR="00592815">
        <w:rPr>
          <w:szCs w:val="26"/>
        </w:rPr>
        <w:t>burden</w:t>
      </w:r>
      <w:r w:rsidR="00871DFA">
        <w:rPr>
          <w:szCs w:val="26"/>
        </w:rPr>
        <w:t>.</w:t>
      </w:r>
      <w:r>
        <w:rPr>
          <w:szCs w:val="26"/>
        </w:rPr>
        <w:t xml:space="preserve">  Failure to collect the information would prohibit FERC from properly monitoring and evaluating pipeline transactions and meeting statutory obligations under </w:t>
      </w:r>
      <w:r w:rsidR="00FC35DD">
        <w:rPr>
          <w:szCs w:val="26"/>
        </w:rPr>
        <w:t xml:space="preserve">both the </w:t>
      </w:r>
      <w:r>
        <w:rPr>
          <w:szCs w:val="26"/>
        </w:rPr>
        <w:t xml:space="preserve">NGPA and </w:t>
      </w:r>
      <w:r w:rsidR="00FC35DD">
        <w:rPr>
          <w:szCs w:val="26"/>
        </w:rPr>
        <w:t xml:space="preserve">the </w:t>
      </w:r>
      <w:r>
        <w:rPr>
          <w:szCs w:val="26"/>
        </w:rPr>
        <w:t>NGA.</w:t>
      </w:r>
    </w:p>
    <w:p w14:paraId="5BA45430" w14:textId="77777777" w:rsidR="00BC15BE" w:rsidRPr="003B18DD" w:rsidRDefault="00BC15BE" w:rsidP="00BC15BE">
      <w:pPr>
        <w:pStyle w:val="Level1"/>
        <w:widowControl/>
        <w:numPr>
          <w:ilvl w:val="0"/>
          <w:numId w:val="0"/>
        </w:numPr>
        <w:tabs>
          <w:tab w:val="left" w:pos="-1440"/>
        </w:tabs>
        <w:rPr>
          <w:sz w:val="26"/>
          <w:szCs w:val="26"/>
        </w:rPr>
      </w:pPr>
    </w:p>
    <w:p w14:paraId="4A3EAEBF" w14:textId="77777777" w:rsidR="00BC15BE" w:rsidRPr="003B18DD" w:rsidRDefault="00BC15BE" w:rsidP="00BC15BE">
      <w:pPr>
        <w:pStyle w:val="Level1"/>
        <w:widowControl/>
        <w:tabs>
          <w:tab w:val="left" w:pos="-1440"/>
          <w:tab w:val="num" w:pos="720"/>
        </w:tabs>
        <w:rPr>
          <w:b/>
          <w:sz w:val="26"/>
          <w:szCs w:val="26"/>
        </w:rPr>
      </w:pPr>
      <w:r w:rsidRPr="003B18DD">
        <w:rPr>
          <w:b/>
          <w:sz w:val="26"/>
          <w:szCs w:val="26"/>
        </w:rPr>
        <w:t>EXPLAIN ANY SPECIAL CIRCUMSTANCES RELATING TO THE INFORMATION COLLECTION</w:t>
      </w:r>
    </w:p>
    <w:p w14:paraId="61C2B225" w14:textId="77777777" w:rsidR="00BC15BE" w:rsidRDefault="00BC15BE" w:rsidP="00BC15BE">
      <w:pPr>
        <w:pStyle w:val="Level1"/>
        <w:numPr>
          <w:ilvl w:val="0"/>
          <w:numId w:val="0"/>
        </w:numPr>
      </w:pPr>
    </w:p>
    <w:p w14:paraId="053930B4" w14:textId="6318C275" w:rsidR="00F8150C" w:rsidRPr="00AC3786" w:rsidRDefault="00F8150C" w:rsidP="00BC15BE">
      <w:pPr>
        <w:pStyle w:val="Level1"/>
        <w:numPr>
          <w:ilvl w:val="0"/>
          <w:numId w:val="0"/>
        </w:numPr>
        <w:rPr>
          <w:sz w:val="26"/>
          <w:szCs w:val="26"/>
        </w:rPr>
      </w:pPr>
      <w:r w:rsidRPr="00AC3786">
        <w:rPr>
          <w:sz w:val="26"/>
          <w:szCs w:val="26"/>
        </w:rPr>
        <w:t>The FERC-545</w:t>
      </w:r>
      <w:r w:rsidR="00FC1EA4">
        <w:rPr>
          <w:sz w:val="26"/>
          <w:szCs w:val="26"/>
        </w:rPr>
        <w:t>B</w:t>
      </w:r>
      <w:r w:rsidRPr="00AC3786">
        <w:rPr>
          <w:sz w:val="26"/>
          <w:szCs w:val="26"/>
        </w:rPr>
        <w:t xml:space="preserve"> and FE</w:t>
      </w:r>
      <w:r w:rsidR="00670872">
        <w:rPr>
          <w:sz w:val="26"/>
          <w:szCs w:val="26"/>
        </w:rPr>
        <w:t>R</w:t>
      </w:r>
      <w:r w:rsidRPr="00AC3786">
        <w:rPr>
          <w:sz w:val="26"/>
          <w:szCs w:val="26"/>
        </w:rPr>
        <w:t>C-549C</w:t>
      </w:r>
      <w:r w:rsidR="00FC1EA4">
        <w:rPr>
          <w:sz w:val="26"/>
          <w:szCs w:val="26"/>
        </w:rPr>
        <w:t>1</w:t>
      </w:r>
      <w:r w:rsidRPr="00AC3786">
        <w:rPr>
          <w:sz w:val="26"/>
          <w:szCs w:val="26"/>
        </w:rPr>
        <w:t xml:space="preserve"> present no special circumstances.</w:t>
      </w:r>
    </w:p>
    <w:p w14:paraId="7E0E1525" w14:textId="77777777" w:rsidR="00F45B52" w:rsidRPr="003B18DD" w:rsidRDefault="00F45B52" w:rsidP="00BC15BE">
      <w:pPr>
        <w:pStyle w:val="Level1"/>
        <w:numPr>
          <w:ilvl w:val="0"/>
          <w:numId w:val="0"/>
        </w:numPr>
      </w:pPr>
    </w:p>
    <w:p w14:paraId="7D4E2FA3" w14:textId="77777777" w:rsidR="00BC15BE" w:rsidRPr="003B18DD" w:rsidRDefault="00BC15BE" w:rsidP="00BC15BE">
      <w:pPr>
        <w:pStyle w:val="Level1"/>
        <w:widowControl/>
        <w:tabs>
          <w:tab w:val="left" w:pos="-1440"/>
          <w:tab w:val="num" w:pos="720"/>
        </w:tabs>
        <w:rPr>
          <w:b/>
          <w:sz w:val="26"/>
          <w:szCs w:val="26"/>
        </w:rPr>
      </w:pPr>
      <w:r w:rsidRPr="003B18DD">
        <w:rPr>
          <w:b/>
          <w:sz w:val="26"/>
          <w:szCs w:val="26"/>
        </w:rPr>
        <w:t>DESCRIBE EFFORTS TO CONSULT OUTSIDE THE AGENCY: SUMMARIZE PUBLIC COMMENTS AND AGENCY'S RESPONSE TO THESE COMMENTS</w:t>
      </w:r>
    </w:p>
    <w:p w14:paraId="3B868284" w14:textId="77777777" w:rsidR="00BC15BE" w:rsidRPr="00A5298F" w:rsidRDefault="00BC15BE" w:rsidP="00BC15BE">
      <w:pPr>
        <w:tabs>
          <w:tab w:val="left" w:pos="-1440"/>
        </w:tabs>
        <w:rPr>
          <w:b/>
          <w:szCs w:val="26"/>
        </w:rPr>
      </w:pPr>
    </w:p>
    <w:p w14:paraId="3249D6FF" w14:textId="2AAE4FDC" w:rsidR="00A5298F" w:rsidRPr="00A5298F" w:rsidRDefault="00A5298F" w:rsidP="00A5298F">
      <w:pPr>
        <w:rPr>
          <w:szCs w:val="26"/>
        </w:rPr>
      </w:pPr>
      <w:r w:rsidRPr="00A5298F">
        <w:rPr>
          <w:szCs w:val="26"/>
        </w:rPr>
        <w:t>The Commission‘s outside consultation was in the form of a notice of proposed rulemaking (NOPR) that included the Commission’s best estimate of the burden imposed by compliance with the requirements proposed in the NOPR, as well as the availability of waivers, where requested and appropriate.  Interested persons were notified through publication in the Federal Register that they could file comments on the proposals in the NOPR, including the burden estimate.  In addition, potential commenters were specifically informed that they could file comments on the proposed collection</w:t>
      </w:r>
      <w:r w:rsidR="00592815">
        <w:rPr>
          <w:szCs w:val="26"/>
        </w:rPr>
        <w:t>s</w:t>
      </w:r>
      <w:r w:rsidRPr="00A5298F">
        <w:rPr>
          <w:szCs w:val="26"/>
        </w:rPr>
        <w:t xml:space="preserve"> of information and associated burden directly with OMB.  </w:t>
      </w:r>
    </w:p>
    <w:p w14:paraId="55C9D4B2" w14:textId="77777777" w:rsidR="00A5298F" w:rsidRPr="003B18DD" w:rsidRDefault="00A5298F" w:rsidP="00BC15BE">
      <w:pPr>
        <w:tabs>
          <w:tab w:val="left" w:pos="-1440"/>
        </w:tabs>
        <w:rPr>
          <w:b/>
          <w:szCs w:val="26"/>
        </w:rPr>
      </w:pPr>
    </w:p>
    <w:p w14:paraId="3AF18542" w14:textId="77777777" w:rsidR="00BC15BE" w:rsidRPr="003D40BD" w:rsidRDefault="00BC15BE" w:rsidP="00BC15BE">
      <w:pPr>
        <w:rPr>
          <w:b/>
          <w:szCs w:val="26"/>
        </w:rPr>
      </w:pPr>
      <w:r w:rsidRPr="003D40BD">
        <w:rPr>
          <w:b/>
          <w:bCs/>
          <w:szCs w:val="26"/>
        </w:rPr>
        <w:t>9.</w:t>
      </w:r>
      <w:r w:rsidRPr="003D40BD">
        <w:rPr>
          <w:b/>
          <w:bCs/>
          <w:szCs w:val="26"/>
        </w:rPr>
        <w:tab/>
      </w:r>
      <w:r w:rsidRPr="003D40BD">
        <w:rPr>
          <w:b/>
          <w:szCs w:val="26"/>
        </w:rPr>
        <w:t>EXPLAIN ANY PAYMENT OR GIFTS TO RESPONDENTS</w:t>
      </w:r>
    </w:p>
    <w:p w14:paraId="5E921196" w14:textId="77777777" w:rsidR="00BC15BE" w:rsidRPr="003B18DD" w:rsidRDefault="00BC15BE" w:rsidP="00BC15BE">
      <w:pPr>
        <w:rPr>
          <w:b/>
          <w:szCs w:val="26"/>
        </w:rPr>
      </w:pPr>
    </w:p>
    <w:p w14:paraId="24B994D1" w14:textId="4FC95A8E" w:rsidR="00BC15BE" w:rsidRPr="003B18DD" w:rsidRDefault="00BC15BE" w:rsidP="00BC15BE">
      <w:pPr>
        <w:rPr>
          <w:szCs w:val="26"/>
        </w:rPr>
      </w:pPr>
      <w:r w:rsidRPr="003B18DD">
        <w:rPr>
          <w:szCs w:val="26"/>
        </w:rPr>
        <w:t xml:space="preserve">There are no payments or gifts to respondents associated with </w:t>
      </w:r>
      <w:r w:rsidR="00F8150C">
        <w:rPr>
          <w:szCs w:val="26"/>
        </w:rPr>
        <w:t>collections FERC-</w:t>
      </w:r>
      <w:r w:rsidR="00F8150C" w:rsidRPr="00FC1EA4">
        <w:rPr>
          <w:szCs w:val="26"/>
        </w:rPr>
        <w:t>545</w:t>
      </w:r>
      <w:r w:rsidR="00F84A1D" w:rsidRPr="00FC1EA4">
        <w:rPr>
          <w:szCs w:val="26"/>
        </w:rPr>
        <w:t>B</w:t>
      </w:r>
      <w:r w:rsidR="00F8150C">
        <w:rPr>
          <w:szCs w:val="26"/>
        </w:rPr>
        <w:t xml:space="preserve"> and FERC-</w:t>
      </w:r>
      <w:r w:rsidR="00F8150C" w:rsidRPr="00FC1EA4">
        <w:rPr>
          <w:szCs w:val="26"/>
        </w:rPr>
        <w:t>549C</w:t>
      </w:r>
      <w:r w:rsidR="00F84A1D" w:rsidRPr="00FC1EA4">
        <w:rPr>
          <w:szCs w:val="26"/>
        </w:rPr>
        <w:t>1</w:t>
      </w:r>
      <w:r w:rsidRPr="003B18DD">
        <w:rPr>
          <w:szCs w:val="26"/>
        </w:rPr>
        <w:t>.</w:t>
      </w:r>
    </w:p>
    <w:p w14:paraId="7E8EC9EC" w14:textId="77777777" w:rsidR="00BC15BE" w:rsidRPr="003B18DD" w:rsidRDefault="00BC15BE" w:rsidP="00BC15BE">
      <w:pPr>
        <w:ind w:left="720" w:hanging="720"/>
        <w:rPr>
          <w:b/>
          <w:bCs/>
          <w:szCs w:val="26"/>
        </w:rPr>
      </w:pPr>
    </w:p>
    <w:p w14:paraId="46E5652F" w14:textId="77777777" w:rsidR="00BC15BE" w:rsidRPr="003D40BD" w:rsidRDefault="00BC15BE" w:rsidP="00BC15BE">
      <w:pPr>
        <w:ind w:left="720" w:hanging="720"/>
        <w:rPr>
          <w:b/>
          <w:szCs w:val="26"/>
        </w:rPr>
      </w:pPr>
      <w:r w:rsidRPr="003D40BD">
        <w:rPr>
          <w:b/>
          <w:bCs/>
          <w:szCs w:val="26"/>
        </w:rPr>
        <w:t>1</w:t>
      </w:r>
      <w:r w:rsidRPr="003D40BD">
        <w:rPr>
          <w:b/>
          <w:szCs w:val="26"/>
        </w:rPr>
        <w:t>0.</w:t>
      </w:r>
      <w:r w:rsidRPr="003D40BD">
        <w:rPr>
          <w:b/>
          <w:szCs w:val="26"/>
        </w:rPr>
        <w:tab/>
        <w:t>DESCRIBE ANY ASSURANCE OF CONFIDENTIALITY PROVIDED TO RESPONDENTS</w:t>
      </w:r>
    </w:p>
    <w:p w14:paraId="69679F0D" w14:textId="77777777" w:rsidR="00BC15BE" w:rsidRPr="003B18DD" w:rsidRDefault="00BC15BE" w:rsidP="00BC15BE">
      <w:pPr>
        <w:rPr>
          <w:szCs w:val="26"/>
        </w:rPr>
      </w:pPr>
    </w:p>
    <w:p w14:paraId="474DB3E7" w14:textId="7D260969" w:rsidR="00BC15BE" w:rsidRDefault="00F8150C" w:rsidP="00BC15BE">
      <w:pPr>
        <w:rPr>
          <w:szCs w:val="26"/>
        </w:rPr>
      </w:pPr>
      <w:r>
        <w:rPr>
          <w:szCs w:val="26"/>
        </w:rPr>
        <w:t>For the FERC-</w:t>
      </w:r>
      <w:r w:rsidRPr="00FC1EA4">
        <w:rPr>
          <w:szCs w:val="26"/>
        </w:rPr>
        <w:t>545</w:t>
      </w:r>
      <w:r w:rsidR="00F84A1D" w:rsidRPr="00FC1EA4">
        <w:rPr>
          <w:szCs w:val="26"/>
        </w:rPr>
        <w:t>B</w:t>
      </w:r>
      <w:r>
        <w:rPr>
          <w:szCs w:val="26"/>
        </w:rPr>
        <w:t xml:space="preserve"> and FERC-</w:t>
      </w:r>
      <w:r w:rsidRPr="00FC1EA4">
        <w:rPr>
          <w:szCs w:val="26"/>
        </w:rPr>
        <w:t>549C</w:t>
      </w:r>
      <w:r w:rsidR="00F84A1D" w:rsidRPr="00FC1EA4">
        <w:rPr>
          <w:szCs w:val="26"/>
        </w:rPr>
        <w:t>1</w:t>
      </w:r>
      <w:r>
        <w:rPr>
          <w:szCs w:val="26"/>
        </w:rPr>
        <w:t xml:space="preserve"> t</w:t>
      </w:r>
      <w:r w:rsidRPr="003A636B">
        <w:rPr>
          <w:szCs w:val="26"/>
        </w:rPr>
        <w:t xml:space="preserve">he data </w:t>
      </w:r>
      <w:r>
        <w:rPr>
          <w:szCs w:val="26"/>
        </w:rPr>
        <w:t>is public.</w:t>
      </w:r>
      <w:r w:rsidRPr="003A636B">
        <w:rPr>
          <w:szCs w:val="26"/>
        </w:rPr>
        <w:t xml:space="preserve">  </w:t>
      </w:r>
      <w:r>
        <w:rPr>
          <w:szCs w:val="26"/>
        </w:rPr>
        <w:t>In general, for all submittals to the Commission, filers may submit</w:t>
      </w:r>
      <w:r w:rsidRPr="003A636B">
        <w:rPr>
          <w:szCs w:val="26"/>
        </w:rPr>
        <w:t xml:space="preserve"> specific requests for confidential treatment to the extent permitted by law</w:t>
      </w:r>
      <w:r>
        <w:rPr>
          <w:szCs w:val="26"/>
        </w:rPr>
        <w:t xml:space="preserve">; details are available in </w:t>
      </w:r>
      <w:r w:rsidRPr="003A636B">
        <w:rPr>
          <w:szCs w:val="26"/>
        </w:rPr>
        <w:t>18 C.F.R. Section 388.112.</w:t>
      </w:r>
    </w:p>
    <w:p w14:paraId="0AFB7A44" w14:textId="77777777" w:rsidR="00F8150C" w:rsidRPr="003B18DD" w:rsidRDefault="00F8150C" w:rsidP="00BC15BE">
      <w:pPr>
        <w:rPr>
          <w:szCs w:val="26"/>
        </w:rPr>
      </w:pPr>
    </w:p>
    <w:p w14:paraId="6C8E31E8" w14:textId="77777777" w:rsidR="00BC15BE" w:rsidRPr="003B18DD" w:rsidRDefault="00BC15BE" w:rsidP="00BC15BE">
      <w:pPr>
        <w:pStyle w:val="Level1"/>
        <w:numPr>
          <w:ilvl w:val="0"/>
          <w:numId w:val="3"/>
        </w:numPr>
        <w:rPr>
          <w:b/>
          <w:sz w:val="26"/>
          <w:szCs w:val="26"/>
        </w:rPr>
      </w:pPr>
      <w:r w:rsidRPr="003B18DD">
        <w:rPr>
          <w:b/>
          <w:sz w:val="26"/>
          <w:szCs w:val="26"/>
        </w:rPr>
        <w:t>PROVIDE ADDITIONAL JUSTIFICATION FOR ANY QUESTIONS OF A SENSITIVE NATURE, SUCH AS SEXUAL BEHAVIOR AND ATTITUDES, RELIGIOUS BELIEFS, AND OTHER MATTERS THAT ARE COMMONLY CONSIDERED PRIVATE.</w:t>
      </w:r>
    </w:p>
    <w:p w14:paraId="261D7BC2" w14:textId="77777777" w:rsidR="00BC15BE" w:rsidRPr="003B18DD" w:rsidRDefault="00BC15BE" w:rsidP="00BC15BE">
      <w:pPr>
        <w:rPr>
          <w:szCs w:val="26"/>
        </w:rPr>
      </w:pPr>
    </w:p>
    <w:p w14:paraId="5421794C" w14:textId="70EB3647" w:rsidR="00162284" w:rsidRDefault="00BC15BE" w:rsidP="00BC15BE">
      <w:pPr>
        <w:rPr>
          <w:szCs w:val="26"/>
        </w:rPr>
      </w:pPr>
      <w:r w:rsidRPr="003B18DD">
        <w:rPr>
          <w:szCs w:val="26"/>
        </w:rPr>
        <w:t>There are no questions of a sensitive nature in the reporting requirements.</w:t>
      </w:r>
    </w:p>
    <w:p w14:paraId="23373ED0" w14:textId="77777777" w:rsidR="00BC15BE" w:rsidRPr="003B18DD" w:rsidRDefault="00BC15BE" w:rsidP="00BC15BE">
      <w:pPr>
        <w:rPr>
          <w:szCs w:val="26"/>
        </w:rPr>
      </w:pPr>
    </w:p>
    <w:p w14:paraId="1971821D" w14:textId="77777777" w:rsidR="00BC15BE" w:rsidRPr="003B18DD" w:rsidRDefault="00BC15BE" w:rsidP="00BC15BE">
      <w:pPr>
        <w:pStyle w:val="Level1"/>
        <w:rPr>
          <w:b/>
          <w:sz w:val="26"/>
          <w:szCs w:val="26"/>
        </w:rPr>
      </w:pPr>
      <w:r w:rsidRPr="003B18DD">
        <w:rPr>
          <w:b/>
          <w:sz w:val="26"/>
          <w:szCs w:val="26"/>
        </w:rPr>
        <w:t>ESTIMATED BURDEN OF COLLECTION OF INFORMATION</w:t>
      </w:r>
    </w:p>
    <w:p w14:paraId="32995021" w14:textId="77777777" w:rsidR="00BC15BE" w:rsidRPr="003B18DD" w:rsidRDefault="00BC15BE" w:rsidP="00BC15BE">
      <w:pPr>
        <w:rPr>
          <w:szCs w:val="26"/>
        </w:rPr>
      </w:pPr>
    </w:p>
    <w:p w14:paraId="3EA3C14E" w14:textId="22CBF359" w:rsidR="00F8150C" w:rsidRDefault="00F8150C" w:rsidP="00F8150C">
      <w:pPr>
        <w:pStyle w:val="FERCparanumber"/>
        <w:numPr>
          <w:ilvl w:val="0"/>
          <w:numId w:val="0"/>
        </w:numPr>
      </w:pPr>
      <w:r>
        <w:rPr>
          <w:b/>
          <w:szCs w:val="26"/>
        </w:rPr>
        <w:t xml:space="preserve">Changes due to the </w:t>
      </w:r>
      <w:r w:rsidR="005B6EA9">
        <w:rPr>
          <w:b/>
          <w:szCs w:val="26"/>
        </w:rPr>
        <w:t>NOPR</w:t>
      </w:r>
      <w:r>
        <w:rPr>
          <w:b/>
          <w:szCs w:val="26"/>
        </w:rPr>
        <w:t xml:space="preserve"> in RM96-1-0</w:t>
      </w:r>
      <w:r w:rsidR="005B6EA9">
        <w:rPr>
          <w:b/>
          <w:szCs w:val="26"/>
        </w:rPr>
        <w:t>41</w:t>
      </w:r>
      <w:r>
        <w:rPr>
          <w:b/>
          <w:szCs w:val="26"/>
        </w:rPr>
        <w:t xml:space="preserve">.  </w:t>
      </w:r>
      <w:r w:rsidRPr="00FC26AD">
        <w:t xml:space="preserve">The following estimates of reporting burden are related only to this </w:t>
      </w:r>
      <w:r w:rsidR="005B6EA9">
        <w:t>NOPR</w:t>
      </w:r>
      <w:r w:rsidRPr="00FC26AD">
        <w:t xml:space="preserve"> </w:t>
      </w:r>
      <w:r>
        <w:t>in RM96-1-0</w:t>
      </w:r>
      <w:r w:rsidR="005B6EA9">
        <w:t>41</w:t>
      </w:r>
      <w:r>
        <w:t xml:space="preserve"> </w:t>
      </w:r>
      <w:r w:rsidRPr="00FC26AD">
        <w:t xml:space="preserve">and anticipate the costs to pipelines for </w:t>
      </w:r>
      <w:r>
        <w:t xml:space="preserve">compliance.  </w:t>
      </w:r>
      <w:r w:rsidRPr="00FC26AD">
        <w:t>The burden estimates are primarily related to start-up to implement these standards and regulations and will not result in ongoing costs.</w:t>
      </w:r>
    </w:p>
    <w:p w14:paraId="2B3B9378" w14:textId="0C343211" w:rsidR="006A617C" w:rsidRDefault="006A617C">
      <w:pPr>
        <w:spacing w:after="200" w:line="276" w:lineRule="auto"/>
      </w:pPr>
      <w:r>
        <w:br w:type="page"/>
      </w:r>
    </w:p>
    <w:p w14:paraId="49716CB9" w14:textId="77777777" w:rsidR="00F8150C" w:rsidRPr="00FC26AD" w:rsidRDefault="00F8150C" w:rsidP="00F8150C">
      <w:pPr>
        <w:pStyle w:val="FERCparanumber"/>
        <w:numPr>
          <w:ilvl w:val="0"/>
          <w:numId w:val="0"/>
        </w:numPr>
      </w:pPr>
    </w:p>
    <w:tbl>
      <w:tblPr>
        <w:tblW w:w="5591"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1441"/>
        <w:gridCol w:w="1531"/>
        <w:gridCol w:w="1536"/>
        <w:gridCol w:w="1257"/>
        <w:gridCol w:w="1975"/>
        <w:gridCol w:w="1715"/>
      </w:tblGrid>
      <w:tr w:rsidR="00AC3786" w:rsidRPr="00B725FA" w14:paraId="33FEA80E" w14:textId="77777777" w:rsidTr="008B1488">
        <w:trPr>
          <w:cantSplit/>
          <w:trHeight w:val="188"/>
        </w:trPr>
        <w:tc>
          <w:tcPr>
            <w:tcW w:w="5000" w:type="pct"/>
            <w:gridSpan w:val="7"/>
            <w:tcBorders>
              <w:bottom w:val="single" w:sz="4" w:space="0" w:color="auto"/>
            </w:tcBorders>
            <w:shd w:val="clear" w:color="auto" w:fill="D9D9D9"/>
          </w:tcPr>
          <w:p w14:paraId="1704F383" w14:textId="77777777" w:rsidR="00AC3786" w:rsidRPr="007C3D09" w:rsidRDefault="00AC3786" w:rsidP="008B1488">
            <w:pPr>
              <w:jc w:val="center"/>
              <w:rPr>
                <w:b/>
                <w:szCs w:val="26"/>
              </w:rPr>
            </w:pPr>
            <w:r w:rsidRPr="007C3D09">
              <w:rPr>
                <w:b/>
                <w:szCs w:val="26"/>
              </w:rPr>
              <w:t>RM96-1-041 NOPR (Standards for Business Practices of Interstate Natural Gas Pipelines)</w:t>
            </w:r>
          </w:p>
        </w:tc>
      </w:tr>
      <w:tr w:rsidR="00AC3786" w:rsidRPr="00B725FA" w14:paraId="2EE50FBB" w14:textId="77777777" w:rsidTr="008B1488">
        <w:trPr>
          <w:cantSplit/>
        </w:trPr>
        <w:tc>
          <w:tcPr>
            <w:tcW w:w="585" w:type="pct"/>
            <w:shd w:val="clear" w:color="auto" w:fill="D9D9D9"/>
          </w:tcPr>
          <w:p w14:paraId="4B81F528" w14:textId="77777777" w:rsidR="00AC3786" w:rsidRPr="007C3D09" w:rsidRDefault="00AC3786" w:rsidP="008B1488">
            <w:pPr>
              <w:jc w:val="center"/>
              <w:rPr>
                <w:rFonts w:eastAsia="Calibri"/>
                <w:b/>
                <w:szCs w:val="26"/>
              </w:rPr>
            </w:pPr>
          </w:p>
        </w:tc>
        <w:tc>
          <w:tcPr>
            <w:tcW w:w="673" w:type="pct"/>
            <w:shd w:val="clear" w:color="auto" w:fill="D9D9D9"/>
            <w:vAlign w:val="bottom"/>
          </w:tcPr>
          <w:p w14:paraId="53A6D1BA" w14:textId="77777777" w:rsidR="00AC3786" w:rsidRPr="007C3D09" w:rsidRDefault="00AC3786" w:rsidP="008B1488">
            <w:pPr>
              <w:jc w:val="center"/>
              <w:rPr>
                <w:rFonts w:eastAsia="Calibri"/>
                <w:b/>
                <w:szCs w:val="26"/>
              </w:rPr>
            </w:pPr>
            <w:r w:rsidRPr="007C3D09">
              <w:rPr>
                <w:rFonts w:eastAsia="Calibri"/>
                <w:b/>
                <w:szCs w:val="26"/>
              </w:rPr>
              <w:t>Number of Respondents</w:t>
            </w:r>
            <w:r w:rsidRPr="007C3D09">
              <w:rPr>
                <w:rStyle w:val="FootnoteReference"/>
              </w:rPr>
              <w:footnoteReference w:id="7"/>
            </w:r>
          </w:p>
          <w:p w14:paraId="41C8B060" w14:textId="77777777" w:rsidR="00AC3786" w:rsidRPr="007C3D09" w:rsidRDefault="00AC3786" w:rsidP="008B1488">
            <w:pPr>
              <w:jc w:val="center"/>
              <w:rPr>
                <w:rFonts w:eastAsia="Calibri"/>
                <w:b/>
                <w:szCs w:val="26"/>
              </w:rPr>
            </w:pPr>
            <w:r w:rsidRPr="007C3D09">
              <w:rPr>
                <w:rFonts w:eastAsia="Calibri"/>
                <w:b/>
                <w:szCs w:val="26"/>
              </w:rPr>
              <w:t>(1)</w:t>
            </w:r>
          </w:p>
        </w:tc>
        <w:tc>
          <w:tcPr>
            <w:tcW w:w="715" w:type="pct"/>
            <w:shd w:val="clear" w:color="auto" w:fill="D9D9D9"/>
            <w:vAlign w:val="bottom"/>
          </w:tcPr>
          <w:p w14:paraId="4B232A9E" w14:textId="77777777" w:rsidR="00AC3786" w:rsidRPr="007C3D09" w:rsidRDefault="00AC3786" w:rsidP="008B1488">
            <w:pPr>
              <w:jc w:val="center"/>
              <w:rPr>
                <w:rFonts w:eastAsia="Calibri"/>
                <w:b/>
                <w:szCs w:val="26"/>
              </w:rPr>
            </w:pPr>
            <w:r w:rsidRPr="007C3D09">
              <w:rPr>
                <w:rFonts w:eastAsia="Calibri"/>
                <w:b/>
                <w:szCs w:val="26"/>
              </w:rPr>
              <w:t>Annual Number of Responses per Respondent</w:t>
            </w:r>
          </w:p>
          <w:p w14:paraId="1F26BDC7" w14:textId="77777777" w:rsidR="00AC3786" w:rsidRPr="007C3D09" w:rsidRDefault="00AC3786" w:rsidP="008B1488">
            <w:pPr>
              <w:jc w:val="center"/>
              <w:rPr>
                <w:rFonts w:eastAsia="Calibri"/>
                <w:b/>
                <w:szCs w:val="26"/>
              </w:rPr>
            </w:pPr>
            <w:r w:rsidRPr="007C3D09">
              <w:rPr>
                <w:rFonts w:eastAsia="Calibri"/>
                <w:b/>
                <w:szCs w:val="26"/>
              </w:rPr>
              <w:t>(2)</w:t>
            </w:r>
          </w:p>
        </w:tc>
        <w:tc>
          <w:tcPr>
            <w:tcW w:w="717" w:type="pct"/>
            <w:shd w:val="clear" w:color="auto" w:fill="D9D9D9"/>
            <w:vAlign w:val="bottom"/>
          </w:tcPr>
          <w:p w14:paraId="2C4B2E9F" w14:textId="77777777" w:rsidR="00AC3786" w:rsidRPr="007C3D09" w:rsidRDefault="00AC3786" w:rsidP="008B1488">
            <w:pPr>
              <w:jc w:val="center"/>
              <w:rPr>
                <w:rFonts w:eastAsia="Calibri"/>
                <w:b/>
                <w:szCs w:val="26"/>
              </w:rPr>
            </w:pPr>
            <w:r w:rsidRPr="007C3D09">
              <w:rPr>
                <w:rFonts w:eastAsia="Calibri"/>
                <w:b/>
                <w:szCs w:val="26"/>
              </w:rPr>
              <w:t>Total Number of Responses (1)*(2)=</w:t>
            </w:r>
          </w:p>
          <w:p w14:paraId="5B484D7F" w14:textId="77777777" w:rsidR="00AC3786" w:rsidRPr="007C3D09" w:rsidRDefault="00AC3786" w:rsidP="008B1488">
            <w:pPr>
              <w:jc w:val="center"/>
              <w:rPr>
                <w:rFonts w:eastAsia="Calibri"/>
                <w:b/>
                <w:szCs w:val="26"/>
              </w:rPr>
            </w:pPr>
            <w:r w:rsidRPr="007C3D09">
              <w:rPr>
                <w:rFonts w:eastAsia="Calibri"/>
                <w:b/>
                <w:szCs w:val="26"/>
              </w:rPr>
              <w:t>(3)</w:t>
            </w:r>
          </w:p>
        </w:tc>
        <w:tc>
          <w:tcPr>
            <w:tcW w:w="587" w:type="pct"/>
            <w:shd w:val="clear" w:color="auto" w:fill="D9D9D9"/>
            <w:vAlign w:val="bottom"/>
          </w:tcPr>
          <w:p w14:paraId="7FD1E2C4" w14:textId="7B787CD1" w:rsidR="00AC3786" w:rsidRPr="007C3D09" w:rsidRDefault="00AC3786" w:rsidP="008B1488">
            <w:pPr>
              <w:jc w:val="center"/>
              <w:rPr>
                <w:rFonts w:eastAsia="Calibri"/>
                <w:b/>
                <w:szCs w:val="26"/>
              </w:rPr>
            </w:pPr>
            <w:r w:rsidRPr="007C3D09">
              <w:rPr>
                <w:rFonts w:eastAsia="Calibri"/>
                <w:b/>
                <w:szCs w:val="26"/>
              </w:rPr>
              <w:t>Average Burden Hr</w:t>
            </w:r>
            <w:r w:rsidR="00B725FA">
              <w:rPr>
                <w:rFonts w:eastAsia="Calibri"/>
                <w:b/>
                <w:szCs w:val="26"/>
              </w:rPr>
              <w:t>s</w:t>
            </w:r>
            <w:r w:rsidRPr="007C3D09">
              <w:rPr>
                <w:rFonts w:eastAsia="Calibri"/>
                <w:b/>
                <w:szCs w:val="26"/>
              </w:rPr>
              <w:t xml:space="preserve">. </w:t>
            </w:r>
            <w:r w:rsidR="00B725FA">
              <w:rPr>
                <w:rFonts w:eastAsia="Calibri"/>
                <w:b/>
                <w:szCs w:val="26"/>
              </w:rPr>
              <w:t xml:space="preserve">&amp; Cost </w:t>
            </w:r>
            <w:r w:rsidRPr="007C3D09">
              <w:rPr>
                <w:rFonts w:eastAsia="Calibri"/>
                <w:b/>
                <w:szCs w:val="26"/>
              </w:rPr>
              <w:t>Per Response</w:t>
            </w:r>
          </w:p>
          <w:p w14:paraId="31F56D0B" w14:textId="77777777" w:rsidR="00AC3786" w:rsidRPr="007C3D09" w:rsidRDefault="00AC3786" w:rsidP="008B1488">
            <w:pPr>
              <w:jc w:val="center"/>
              <w:rPr>
                <w:rFonts w:eastAsia="Calibri"/>
                <w:b/>
                <w:szCs w:val="26"/>
              </w:rPr>
            </w:pPr>
            <w:r w:rsidRPr="007C3D09">
              <w:rPr>
                <w:rFonts w:eastAsia="Calibri"/>
                <w:b/>
                <w:szCs w:val="26"/>
              </w:rPr>
              <w:t>(4)</w:t>
            </w:r>
          </w:p>
        </w:tc>
        <w:tc>
          <w:tcPr>
            <w:tcW w:w="922" w:type="pct"/>
            <w:shd w:val="clear" w:color="auto" w:fill="D9D9D9"/>
            <w:vAlign w:val="bottom"/>
          </w:tcPr>
          <w:p w14:paraId="2F6511F1" w14:textId="77777777" w:rsidR="00AC3786" w:rsidRPr="007C3D09" w:rsidRDefault="00AC3786" w:rsidP="008B1488">
            <w:pPr>
              <w:jc w:val="center"/>
              <w:rPr>
                <w:rFonts w:eastAsia="Calibri"/>
                <w:b/>
                <w:szCs w:val="26"/>
              </w:rPr>
            </w:pPr>
            <w:r w:rsidRPr="007C3D09">
              <w:rPr>
                <w:rFonts w:eastAsia="Calibri"/>
                <w:b/>
                <w:szCs w:val="26"/>
              </w:rPr>
              <w:t>Total Annual Burden Hours &amp; Total Annual Cost</w:t>
            </w:r>
            <w:r w:rsidRPr="007C3D09">
              <w:rPr>
                <w:rStyle w:val="FootnoteReference"/>
              </w:rPr>
              <w:footnoteReference w:id="8"/>
            </w:r>
          </w:p>
          <w:p w14:paraId="536E2750" w14:textId="77777777" w:rsidR="00AC3786" w:rsidRPr="007C3D09" w:rsidRDefault="00AC3786" w:rsidP="008B1488">
            <w:pPr>
              <w:jc w:val="center"/>
              <w:rPr>
                <w:rFonts w:eastAsia="Calibri"/>
                <w:b/>
                <w:szCs w:val="26"/>
              </w:rPr>
            </w:pPr>
            <w:r w:rsidRPr="007C3D09">
              <w:rPr>
                <w:rFonts w:eastAsia="Calibri"/>
                <w:b/>
                <w:szCs w:val="26"/>
              </w:rPr>
              <w:t>(3)*(4)=(5)</w:t>
            </w:r>
          </w:p>
        </w:tc>
        <w:tc>
          <w:tcPr>
            <w:tcW w:w="801" w:type="pct"/>
            <w:shd w:val="clear" w:color="auto" w:fill="D9D9D9"/>
            <w:vAlign w:val="bottom"/>
          </w:tcPr>
          <w:p w14:paraId="43E6FCF5" w14:textId="50346E44" w:rsidR="00AC3786" w:rsidRPr="007C3D09" w:rsidRDefault="00AC3786" w:rsidP="008B1488">
            <w:pPr>
              <w:jc w:val="center"/>
              <w:rPr>
                <w:rFonts w:eastAsia="Calibri"/>
                <w:b/>
                <w:szCs w:val="26"/>
              </w:rPr>
            </w:pPr>
            <w:r w:rsidRPr="007C3D09">
              <w:rPr>
                <w:rFonts w:eastAsia="Calibri"/>
                <w:b/>
                <w:szCs w:val="26"/>
              </w:rPr>
              <w:t xml:space="preserve">Annual Cost Per Respondent </w:t>
            </w:r>
          </w:p>
          <w:p w14:paraId="0F831521" w14:textId="77777777" w:rsidR="00AC3786" w:rsidRPr="007C3D09" w:rsidRDefault="00AC3786" w:rsidP="008B1488">
            <w:pPr>
              <w:jc w:val="center"/>
              <w:rPr>
                <w:rFonts w:eastAsia="Calibri"/>
                <w:b/>
                <w:szCs w:val="26"/>
              </w:rPr>
            </w:pPr>
            <w:r w:rsidRPr="007C3D09">
              <w:rPr>
                <w:rFonts w:eastAsia="Calibri"/>
                <w:b/>
                <w:szCs w:val="26"/>
              </w:rPr>
              <w:t>($)</w:t>
            </w:r>
          </w:p>
          <w:p w14:paraId="32CE4976" w14:textId="77777777" w:rsidR="00AC3786" w:rsidRPr="007C3D09" w:rsidRDefault="00AC3786" w:rsidP="008B1488">
            <w:pPr>
              <w:jc w:val="center"/>
              <w:rPr>
                <w:rFonts w:eastAsia="Calibri"/>
                <w:b/>
                <w:szCs w:val="26"/>
              </w:rPr>
            </w:pPr>
            <w:r w:rsidRPr="007C3D09">
              <w:rPr>
                <w:rFonts w:eastAsia="Calibri"/>
                <w:b/>
                <w:szCs w:val="26"/>
              </w:rPr>
              <w:t>(5) * (1) = (6)</w:t>
            </w:r>
          </w:p>
        </w:tc>
      </w:tr>
      <w:tr w:rsidR="00AC3786" w:rsidRPr="00B725FA" w14:paraId="2D7B1C51" w14:textId="77777777" w:rsidTr="008B1488">
        <w:trPr>
          <w:cantSplit/>
        </w:trPr>
        <w:tc>
          <w:tcPr>
            <w:tcW w:w="585" w:type="pct"/>
          </w:tcPr>
          <w:p w14:paraId="249946F0" w14:textId="6137EFF3" w:rsidR="00AC3786" w:rsidRPr="007C3D09" w:rsidRDefault="00AC3786" w:rsidP="008B1488">
            <w:pPr>
              <w:rPr>
                <w:rFonts w:eastAsia="Calibri"/>
                <w:szCs w:val="26"/>
              </w:rPr>
            </w:pPr>
            <w:r w:rsidRPr="007C3D09">
              <w:rPr>
                <w:rFonts w:eastAsia="Calibri"/>
                <w:szCs w:val="26"/>
              </w:rPr>
              <w:t>FERC-545</w:t>
            </w:r>
            <w:r w:rsidR="00820CFB" w:rsidRPr="007C3D09">
              <w:rPr>
                <w:rFonts w:eastAsia="Calibri"/>
                <w:szCs w:val="26"/>
              </w:rPr>
              <w:t>B</w:t>
            </w:r>
            <w:r w:rsidRPr="007C3D09">
              <w:rPr>
                <w:rFonts w:eastAsia="Calibri"/>
                <w:szCs w:val="26"/>
              </w:rPr>
              <w:t xml:space="preserve"> (one-time)</w:t>
            </w:r>
          </w:p>
        </w:tc>
        <w:tc>
          <w:tcPr>
            <w:tcW w:w="673" w:type="pct"/>
          </w:tcPr>
          <w:p w14:paraId="27431C09" w14:textId="77777777" w:rsidR="00AC3786" w:rsidRPr="007C3D09" w:rsidRDefault="00AC3786" w:rsidP="008B1488">
            <w:pPr>
              <w:jc w:val="right"/>
              <w:rPr>
                <w:rFonts w:eastAsia="Calibri"/>
                <w:szCs w:val="26"/>
              </w:rPr>
            </w:pPr>
            <w:r w:rsidRPr="007C3D09">
              <w:rPr>
                <w:rFonts w:eastAsia="Calibri"/>
                <w:szCs w:val="26"/>
              </w:rPr>
              <w:t>165</w:t>
            </w:r>
          </w:p>
        </w:tc>
        <w:tc>
          <w:tcPr>
            <w:tcW w:w="715" w:type="pct"/>
          </w:tcPr>
          <w:p w14:paraId="54975D9C" w14:textId="77777777" w:rsidR="00AC3786" w:rsidRPr="007C3D09" w:rsidRDefault="00AC3786" w:rsidP="008B1488">
            <w:pPr>
              <w:jc w:val="right"/>
              <w:rPr>
                <w:rFonts w:eastAsia="Calibri"/>
                <w:szCs w:val="26"/>
              </w:rPr>
            </w:pPr>
            <w:r w:rsidRPr="007C3D09">
              <w:rPr>
                <w:rFonts w:eastAsia="Calibri"/>
                <w:szCs w:val="26"/>
              </w:rPr>
              <w:t>1</w:t>
            </w:r>
          </w:p>
        </w:tc>
        <w:tc>
          <w:tcPr>
            <w:tcW w:w="717" w:type="pct"/>
          </w:tcPr>
          <w:p w14:paraId="4DEF096E" w14:textId="77777777" w:rsidR="00AC3786" w:rsidRPr="007C3D09" w:rsidRDefault="00AC3786" w:rsidP="008B1488">
            <w:pPr>
              <w:jc w:val="right"/>
              <w:rPr>
                <w:rFonts w:eastAsia="Calibri"/>
                <w:szCs w:val="26"/>
              </w:rPr>
            </w:pPr>
            <w:r w:rsidRPr="007C3D09">
              <w:rPr>
                <w:rFonts w:eastAsia="Calibri"/>
                <w:szCs w:val="26"/>
              </w:rPr>
              <w:t>165</w:t>
            </w:r>
          </w:p>
        </w:tc>
        <w:tc>
          <w:tcPr>
            <w:tcW w:w="587" w:type="pct"/>
          </w:tcPr>
          <w:p w14:paraId="6649A00B" w14:textId="77777777" w:rsidR="00AC3786" w:rsidRPr="007C3D09" w:rsidRDefault="00AC3786" w:rsidP="008B1488">
            <w:pPr>
              <w:jc w:val="right"/>
              <w:rPr>
                <w:rFonts w:eastAsia="Calibri"/>
                <w:szCs w:val="26"/>
              </w:rPr>
            </w:pPr>
            <w:r w:rsidRPr="007C3D09">
              <w:rPr>
                <w:rFonts w:eastAsia="Calibri"/>
                <w:szCs w:val="26"/>
              </w:rPr>
              <w:t>10 hrs.;</w:t>
            </w:r>
          </w:p>
          <w:p w14:paraId="318DB318" w14:textId="77777777" w:rsidR="00AC3786" w:rsidRPr="007C3D09" w:rsidRDefault="00AC3786" w:rsidP="008B1488">
            <w:pPr>
              <w:jc w:val="right"/>
              <w:rPr>
                <w:rFonts w:eastAsia="Calibri"/>
                <w:szCs w:val="26"/>
              </w:rPr>
            </w:pPr>
            <w:r w:rsidRPr="007C3D09">
              <w:rPr>
                <w:rFonts w:eastAsia="Calibri"/>
                <w:szCs w:val="26"/>
              </w:rPr>
              <w:t>$1,020</w:t>
            </w:r>
          </w:p>
        </w:tc>
        <w:tc>
          <w:tcPr>
            <w:tcW w:w="922" w:type="pct"/>
          </w:tcPr>
          <w:p w14:paraId="241C652E" w14:textId="77777777" w:rsidR="00AC3786" w:rsidRPr="007C3D09" w:rsidRDefault="00AC3786" w:rsidP="008B1488">
            <w:pPr>
              <w:jc w:val="right"/>
              <w:rPr>
                <w:rFonts w:eastAsia="Calibri"/>
                <w:szCs w:val="26"/>
              </w:rPr>
            </w:pPr>
            <w:r w:rsidRPr="007C3D09">
              <w:rPr>
                <w:rFonts w:eastAsia="Calibri"/>
                <w:szCs w:val="26"/>
              </w:rPr>
              <w:t>1,650 hrs.;</w:t>
            </w:r>
          </w:p>
          <w:p w14:paraId="706257CC" w14:textId="067715D3" w:rsidR="00AC3786" w:rsidRPr="007C3D09" w:rsidRDefault="00AC3786" w:rsidP="008B1488">
            <w:pPr>
              <w:jc w:val="right"/>
              <w:rPr>
                <w:rFonts w:eastAsia="Calibri"/>
                <w:szCs w:val="26"/>
              </w:rPr>
            </w:pPr>
            <w:r w:rsidRPr="007C3D09">
              <w:rPr>
                <w:rFonts w:eastAsia="Calibri"/>
                <w:szCs w:val="26"/>
              </w:rPr>
              <w:t>$168,</w:t>
            </w:r>
            <w:r w:rsidR="002A57F3">
              <w:rPr>
                <w:rFonts w:eastAsia="Calibri"/>
                <w:szCs w:val="26"/>
              </w:rPr>
              <w:t>3</w:t>
            </w:r>
            <w:r w:rsidRPr="007C3D09">
              <w:rPr>
                <w:rFonts w:eastAsia="Calibri"/>
                <w:szCs w:val="26"/>
              </w:rPr>
              <w:t>00</w:t>
            </w:r>
          </w:p>
        </w:tc>
        <w:tc>
          <w:tcPr>
            <w:tcW w:w="801" w:type="pct"/>
          </w:tcPr>
          <w:p w14:paraId="07CF0EE5" w14:textId="77777777" w:rsidR="00AC3786" w:rsidRPr="007C3D09" w:rsidRDefault="00AC3786" w:rsidP="008B1488">
            <w:pPr>
              <w:jc w:val="right"/>
              <w:rPr>
                <w:rFonts w:eastAsia="Calibri"/>
                <w:szCs w:val="26"/>
              </w:rPr>
            </w:pPr>
            <w:r w:rsidRPr="007C3D09">
              <w:rPr>
                <w:rFonts w:eastAsia="Calibri"/>
                <w:szCs w:val="26"/>
              </w:rPr>
              <w:t>$1,020</w:t>
            </w:r>
          </w:p>
        </w:tc>
      </w:tr>
      <w:tr w:rsidR="00AC3786" w:rsidRPr="00B725FA" w14:paraId="4F63321C" w14:textId="77777777" w:rsidTr="008B1488">
        <w:trPr>
          <w:cantSplit/>
        </w:trPr>
        <w:tc>
          <w:tcPr>
            <w:tcW w:w="585" w:type="pct"/>
          </w:tcPr>
          <w:p w14:paraId="66FA20F2" w14:textId="39FD2A99" w:rsidR="00AC3786" w:rsidRPr="007C3D09" w:rsidRDefault="00AC3786" w:rsidP="008B1488">
            <w:pPr>
              <w:rPr>
                <w:rFonts w:eastAsia="Calibri"/>
                <w:szCs w:val="26"/>
              </w:rPr>
            </w:pPr>
            <w:r w:rsidRPr="007C3D09">
              <w:rPr>
                <w:rFonts w:eastAsia="Calibri"/>
                <w:szCs w:val="26"/>
              </w:rPr>
              <w:t>FERC-549C</w:t>
            </w:r>
            <w:r w:rsidR="00820CFB" w:rsidRPr="007C3D09">
              <w:rPr>
                <w:rFonts w:eastAsia="Calibri"/>
                <w:szCs w:val="26"/>
              </w:rPr>
              <w:t>1</w:t>
            </w:r>
            <w:r w:rsidRPr="007C3D09">
              <w:rPr>
                <w:rFonts w:eastAsia="Calibri"/>
                <w:szCs w:val="26"/>
              </w:rPr>
              <w:t xml:space="preserve"> (one-time)</w:t>
            </w:r>
          </w:p>
        </w:tc>
        <w:tc>
          <w:tcPr>
            <w:tcW w:w="673" w:type="pct"/>
          </w:tcPr>
          <w:p w14:paraId="24CED5BB" w14:textId="77777777" w:rsidR="00AC3786" w:rsidRPr="007C3D09" w:rsidRDefault="00AC3786" w:rsidP="008B1488">
            <w:pPr>
              <w:jc w:val="right"/>
              <w:rPr>
                <w:rFonts w:eastAsia="Calibri"/>
                <w:szCs w:val="26"/>
              </w:rPr>
            </w:pPr>
            <w:r w:rsidRPr="007C3D09">
              <w:rPr>
                <w:rFonts w:eastAsia="Calibri"/>
                <w:szCs w:val="26"/>
              </w:rPr>
              <w:t>165</w:t>
            </w:r>
          </w:p>
        </w:tc>
        <w:tc>
          <w:tcPr>
            <w:tcW w:w="715" w:type="pct"/>
          </w:tcPr>
          <w:p w14:paraId="2DEA3D67" w14:textId="77777777" w:rsidR="00AC3786" w:rsidRPr="007C3D09" w:rsidRDefault="00AC3786" w:rsidP="008B1488">
            <w:pPr>
              <w:jc w:val="right"/>
              <w:rPr>
                <w:rFonts w:eastAsia="Calibri"/>
                <w:szCs w:val="26"/>
              </w:rPr>
            </w:pPr>
            <w:r w:rsidRPr="007C3D09">
              <w:rPr>
                <w:rFonts w:eastAsia="Calibri"/>
                <w:szCs w:val="26"/>
              </w:rPr>
              <w:t>1</w:t>
            </w:r>
          </w:p>
        </w:tc>
        <w:tc>
          <w:tcPr>
            <w:tcW w:w="717" w:type="pct"/>
          </w:tcPr>
          <w:p w14:paraId="0E42636D" w14:textId="77777777" w:rsidR="00AC3786" w:rsidRPr="007C3D09" w:rsidRDefault="00AC3786" w:rsidP="008B1488">
            <w:pPr>
              <w:jc w:val="right"/>
              <w:rPr>
                <w:rFonts w:eastAsia="Calibri"/>
                <w:szCs w:val="26"/>
              </w:rPr>
            </w:pPr>
            <w:r w:rsidRPr="007C3D09">
              <w:rPr>
                <w:rFonts w:eastAsia="Calibri"/>
                <w:szCs w:val="26"/>
              </w:rPr>
              <w:t>165</w:t>
            </w:r>
          </w:p>
        </w:tc>
        <w:tc>
          <w:tcPr>
            <w:tcW w:w="587" w:type="pct"/>
          </w:tcPr>
          <w:p w14:paraId="23ECF942" w14:textId="77777777" w:rsidR="00AC3786" w:rsidRPr="007C3D09" w:rsidRDefault="00AC3786" w:rsidP="008B1488">
            <w:pPr>
              <w:jc w:val="right"/>
              <w:rPr>
                <w:rFonts w:eastAsia="Calibri"/>
                <w:szCs w:val="26"/>
              </w:rPr>
            </w:pPr>
            <w:r w:rsidRPr="007C3D09">
              <w:rPr>
                <w:rFonts w:eastAsia="Calibri"/>
                <w:szCs w:val="26"/>
              </w:rPr>
              <w:t>22 hrs.;</w:t>
            </w:r>
          </w:p>
          <w:p w14:paraId="55231658" w14:textId="77777777" w:rsidR="00AC3786" w:rsidRPr="007C3D09" w:rsidRDefault="00AC3786" w:rsidP="008B1488">
            <w:pPr>
              <w:jc w:val="right"/>
              <w:rPr>
                <w:rFonts w:eastAsia="Calibri"/>
                <w:szCs w:val="26"/>
              </w:rPr>
            </w:pPr>
            <w:r w:rsidRPr="007C3D09">
              <w:rPr>
                <w:rFonts w:eastAsia="Calibri"/>
                <w:szCs w:val="26"/>
              </w:rPr>
              <w:t>$2,244</w:t>
            </w:r>
          </w:p>
        </w:tc>
        <w:tc>
          <w:tcPr>
            <w:tcW w:w="922" w:type="pct"/>
          </w:tcPr>
          <w:p w14:paraId="3E1CFEBE" w14:textId="77777777" w:rsidR="00AC3786" w:rsidRPr="007C3D09" w:rsidRDefault="00AC3786" w:rsidP="008B1488">
            <w:pPr>
              <w:jc w:val="right"/>
              <w:rPr>
                <w:rFonts w:eastAsia="Calibri"/>
                <w:szCs w:val="26"/>
              </w:rPr>
            </w:pPr>
            <w:r w:rsidRPr="007C3D09">
              <w:rPr>
                <w:rFonts w:eastAsia="Calibri"/>
                <w:szCs w:val="26"/>
              </w:rPr>
              <w:t>3,630 hrs.;</w:t>
            </w:r>
          </w:p>
          <w:p w14:paraId="79659184" w14:textId="77777777" w:rsidR="00AC3786" w:rsidRPr="007C3D09" w:rsidRDefault="00AC3786" w:rsidP="008B1488">
            <w:pPr>
              <w:jc w:val="right"/>
              <w:rPr>
                <w:rFonts w:eastAsia="Calibri"/>
                <w:szCs w:val="26"/>
              </w:rPr>
            </w:pPr>
            <w:r w:rsidRPr="007C3D09">
              <w:rPr>
                <w:rFonts w:eastAsia="Calibri"/>
                <w:szCs w:val="26"/>
              </w:rPr>
              <w:t>$370,260</w:t>
            </w:r>
          </w:p>
        </w:tc>
        <w:tc>
          <w:tcPr>
            <w:tcW w:w="801" w:type="pct"/>
          </w:tcPr>
          <w:p w14:paraId="488C74A1" w14:textId="77777777" w:rsidR="00AC3786" w:rsidRPr="007C3D09" w:rsidRDefault="00AC3786" w:rsidP="008B1488">
            <w:pPr>
              <w:jc w:val="right"/>
              <w:rPr>
                <w:rFonts w:eastAsia="Calibri"/>
                <w:szCs w:val="26"/>
              </w:rPr>
            </w:pPr>
            <w:r w:rsidRPr="007C3D09">
              <w:rPr>
                <w:rFonts w:eastAsia="Calibri"/>
                <w:szCs w:val="26"/>
              </w:rPr>
              <w:t>$2,244</w:t>
            </w:r>
          </w:p>
        </w:tc>
      </w:tr>
      <w:tr w:rsidR="00AC3786" w:rsidRPr="00B725FA" w14:paraId="308585A9" w14:textId="77777777" w:rsidTr="008B1488">
        <w:trPr>
          <w:cantSplit/>
        </w:trPr>
        <w:tc>
          <w:tcPr>
            <w:tcW w:w="585" w:type="pct"/>
          </w:tcPr>
          <w:p w14:paraId="2B862C0C" w14:textId="77777777" w:rsidR="00AC3786" w:rsidRPr="007C3D09" w:rsidRDefault="00AC3786" w:rsidP="008B1488">
            <w:pPr>
              <w:rPr>
                <w:rFonts w:eastAsia="Calibri"/>
                <w:b/>
                <w:szCs w:val="26"/>
              </w:rPr>
            </w:pPr>
            <w:r w:rsidRPr="007C3D09">
              <w:rPr>
                <w:rFonts w:eastAsia="Calibri"/>
                <w:b/>
                <w:szCs w:val="26"/>
              </w:rPr>
              <w:t>TOTAL</w:t>
            </w:r>
          </w:p>
        </w:tc>
        <w:tc>
          <w:tcPr>
            <w:tcW w:w="1388" w:type="pct"/>
            <w:gridSpan w:val="2"/>
            <w:shd w:val="clear" w:color="auto" w:fill="D9D9D9" w:themeFill="background1" w:themeFillShade="D9"/>
          </w:tcPr>
          <w:p w14:paraId="555493F6" w14:textId="77777777" w:rsidR="00AC3786" w:rsidRPr="007C3D09" w:rsidRDefault="00AC3786" w:rsidP="008B1488">
            <w:pPr>
              <w:jc w:val="right"/>
              <w:rPr>
                <w:rFonts w:eastAsia="Calibri"/>
                <w:szCs w:val="26"/>
              </w:rPr>
            </w:pPr>
          </w:p>
        </w:tc>
        <w:tc>
          <w:tcPr>
            <w:tcW w:w="717" w:type="pct"/>
          </w:tcPr>
          <w:p w14:paraId="28BD28C6" w14:textId="77777777" w:rsidR="00AC3786" w:rsidRPr="007C3D09" w:rsidRDefault="00AC3786" w:rsidP="008B1488">
            <w:pPr>
              <w:jc w:val="right"/>
              <w:rPr>
                <w:rFonts w:eastAsia="Calibri"/>
                <w:szCs w:val="26"/>
              </w:rPr>
            </w:pPr>
            <w:r w:rsidRPr="007C3D09">
              <w:rPr>
                <w:rFonts w:eastAsia="Calibri"/>
                <w:szCs w:val="26"/>
              </w:rPr>
              <w:t>330</w:t>
            </w:r>
          </w:p>
        </w:tc>
        <w:tc>
          <w:tcPr>
            <w:tcW w:w="587" w:type="pct"/>
            <w:shd w:val="clear" w:color="auto" w:fill="D9D9D9" w:themeFill="background1" w:themeFillShade="D9"/>
          </w:tcPr>
          <w:p w14:paraId="7BD1F6B0" w14:textId="77777777" w:rsidR="00AC3786" w:rsidRPr="007C3D09" w:rsidRDefault="00AC3786" w:rsidP="008B1488">
            <w:pPr>
              <w:jc w:val="right"/>
              <w:rPr>
                <w:rFonts w:eastAsia="Calibri"/>
                <w:szCs w:val="26"/>
              </w:rPr>
            </w:pPr>
          </w:p>
        </w:tc>
        <w:tc>
          <w:tcPr>
            <w:tcW w:w="922" w:type="pct"/>
          </w:tcPr>
          <w:p w14:paraId="40F1B812" w14:textId="77777777" w:rsidR="00AC3786" w:rsidRPr="007C3D09" w:rsidRDefault="00AC3786" w:rsidP="008B1488">
            <w:pPr>
              <w:jc w:val="right"/>
              <w:rPr>
                <w:rFonts w:eastAsia="Calibri"/>
                <w:szCs w:val="26"/>
              </w:rPr>
            </w:pPr>
            <w:r w:rsidRPr="007C3D09">
              <w:rPr>
                <w:rFonts w:eastAsia="Calibri"/>
                <w:szCs w:val="26"/>
              </w:rPr>
              <w:t>5,280 hrs.;</w:t>
            </w:r>
          </w:p>
          <w:p w14:paraId="142F6761" w14:textId="77777777" w:rsidR="00AC3786" w:rsidRPr="007C3D09" w:rsidRDefault="00AC3786" w:rsidP="008B1488">
            <w:pPr>
              <w:jc w:val="right"/>
              <w:rPr>
                <w:rFonts w:eastAsia="Calibri"/>
                <w:szCs w:val="26"/>
              </w:rPr>
            </w:pPr>
            <w:r w:rsidRPr="007C3D09">
              <w:rPr>
                <w:rFonts w:eastAsia="Calibri"/>
                <w:szCs w:val="26"/>
              </w:rPr>
              <w:t>$538,560</w:t>
            </w:r>
          </w:p>
        </w:tc>
        <w:tc>
          <w:tcPr>
            <w:tcW w:w="801" w:type="pct"/>
            <w:shd w:val="clear" w:color="auto" w:fill="D9D9D9" w:themeFill="background1" w:themeFillShade="D9"/>
          </w:tcPr>
          <w:p w14:paraId="799DA9BC" w14:textId="77777777" w:rsidR="00AC3786" w:rsidRPr="007C3D09" w:rsidRDefault="00AC3786" w:rsidP="008B1488">
            <w:pPr>
              <w:jc w:val="right"/>
              <w:rPr>
                <w:rFonts w:eastAsia="Calibri"/>
                <w:szCs w:val="26"/>
              </w:rPr>
            </w:pPr>
          </w:p>
        </w:tc>
      </w:tr>
    </w:tbl>
    <w:p w14:paraId="5F329CFC" w14:textId="77777777" w:rsidR="00F8150C" w:rsidRDefault="00F8150C" w:rsidP="00F8150C">
      <w:pPr>
        <w:rPr>
          <w:szCs w:val="26"/>
        </w:rPr>
      </w:pPr>
    </w:p>
    <w:p w14:paraId="5917E564" w14:textId="3CFD3964" w:rsidR="00AC3786" w:rsidRPr="00932257" w:rsidRDefault="00AC3786" w:rsidP="00AC3786">
      <w:pPr>
        <w:pStyle w:val="FERCparanumber"/>
        <w:numPr>
          <w:ilvl w:val="0"/>
          <w:numId w:val="0"/>
        </w:numPr>
      </w:pPr>
      <w:r w:rsidRPr="00932257">
        <w:t>The one-time burden (for both the FERC-545</w:t>
      </w:r>
      <w:r w:rsidR="00060C29">
        <w:t>B</w:t>
      </w:r>
      <w:r w:rsidRPr="00932257">
        <w:t xml:space="preserve"> and FERC-549C</w:t>
      </w:r>
      <w:r w:rsidR="00060C29">
        <w:t>1</w:t>
      </w:r>
      <w:r w:rsidRPr="00932257">
        <w:t>) will be averaged over three years:</w:t>
      </w:r>
    </w:p>
    <w:p w14:paraId="04C81DB9" w14:textId="598F7F7A" w:rsidR="00AC3786" w:rsidRPr="00932257" w:rsidRDefault="00AC3786" w:rsidP="00AC3786">
      <w:pPr>
        <w:pStyle w:val="FERCparanumber"/>
        <w:numPr>
          <w:ilvl w:val="0"/>
          <w:numId w:val="0"/>
        </w:numPr>
      </w:pPr>
      <w:r w:rsidRPr="00932257">
        <w:t>FERC-545</w:t>
      </w:r>
      <w:r w:rsidR="00060C29">
        <w:t>B</w:t>
      </w:r>
      <w:r w:rsidRPr="00932257">
        <w:t>: 1,650 hours ÷ 3 = 550 hours/year over three years</w:t>
      </w:r>
    </w:p>
    <w:p w14:paraId="420CC5B7" w14:textId="711A5677" w:rsidR="00784586" w:rsidRPr="000D504F" w:rsidRDefault="00AC3786" w:rsidP="00FC1EA4">
      <w:pPr>
        <w:pStyle w:val="FERCparanumber"/>
        <w:numPr>
          <w:ilvl w:val="0"/>
          <w:numId w:val="0"/>
        </w:numPr>
      </w:pPr>
      <w:r w:rsidRPr="00932257">
        <w:t>FERC-549C</w:t>
      </w:r>
      <w:r w:rsidR="00060C29">
        <w:t>1</w:t>
      </w:r>
      <w:r w:rsidRPr="00932257">
        <w:t>: 3,630 hours ÷ 3 = 1,210 hours/year over three years</w:t>
      </w:r>
    </w:p>
    <w:p w14:paraId="2C2FB6CC" w14:textId="77777777" w:rsidR="00AC3786" w:rsidRPr="00932257" w:rsidRDefault="00AC3786" w:rsidP="00AC3786">
      <w:pPr>
        <w:pStyle w:val="FERCparanumber"/>
        <w:numPr>
          <w:ilvl w:val="0"/>
          <w:numId w:val="0"/>
        </w:numPr>
      </w:pPr>
    </w:p>
    <w:p w14:paraId="1D0C6DBA" w14:textId="73E28B0C" w:rsidR="00AC3786" w:rsidRPr="00932257" w:rsidRDefault="00AC3786" w:rsidP="00AC3786">
      <w:pPr>
        <w:pStyle w:val="FERCparanumber"/>
        <w:numPr>
          <w:ilvl w:val="0"/>
          <w:numId w:val="0"/>
        </w:numPr>
      </w:pPr>
      <w:r w:rsidRPr="00932257">
        <w:t xml:space="preserve">The </w:t>
      </w:r>
      <w:r w:rsidR="00266BF7">
        <w:t>hours per</w:t>
      </w:r>
      <w:r w:rsidR="00FE755C">
        <w:t xml:space="preserve"> </w:t>
      </w:r>
      <w:r w:rsidRPr="00932257">
        <w:t>response is also averaged over three years (for both the FERC-545</w:t>
      </w:r>
      <w:r w:rsidR="00060C29">
        <w:t>B</w:t>
      </w:r>
      <w:r w:rsidRPr="00932257">
        <w:t xml:space="preserve"> and FERC-549C</w:t>
      </w:r>
      <w:r w:rsidR="00060C29">
        <w:t>1</w:t>
      </w:r>
      <w:r w:rsidRPr="00932257">
        <w:t>):</w:t>
      </w:r>
    </w:p>
    <w:p w14:paraId="00DA447A" w14:textId="16045B46" w:rsidR="00AC3786" w:rsidRPr="00932257" w:rsidRDefault="00AC3786" w:rsidP="00FE755C">
      <w:pPr>
        <w:pStyle w:val="FERCparanumber"/>
        <w:numPr>
          <w:ilvl w:val="0"/>
          <w:numId w:val="0"/>
        </w:numPr>
        <w:ind w:left="720"/>
      </w:pPr>
      <w:r w:rsidRPr="00932257">
        <w:t>FERC-545</w:t>
      </w:r>
      <w:r w:rsidR="00060C29">
        <w:t>B</w:t>
      </w:r>
      <w:r w:rsidRPr="00932257">
        <w:t>: 1</w:t>
      </w:r>
      <w:r w:rsidR="00266BF7">
        <w:t>0 hours/response</w:t>
      </w:r>
      <w:r w:rsidRPr="00932257">
        <w:t xml:space="preserve"> ÷ 3 = </w:t>
      </w:r>
      <w:r w:rsidR="00266BF7">
        <w:t>3.33</w:t>
      </w:r>
      <w:r w:rsidRPr="00932257">
        <w:t xml:space="preserve"> </w:t>
      </w:r>
      <w:r w:rsidR="00266BF7">
        <w:t>hours/response annually</w:t>
      </w:r>
    </w:p>
    <w:p w14:paraId="5081AFDF" w14:textId="76CAE907" w:rsidR="00AC3786" w:rsidRDefault="00AC3786" w:rsidP="00FE755C">
      <w:pPr>
        <w:pStyle w:val="FERCparanumber"/>
        <w:numPr>
          <w:ilvl w:val="0"/>
          <w:numId w:val="0"/>
        </w:numPr>
        <w:ind w:left="720"/>
      </w:pPr>
      <w:r w:rsidRPr="00932257">
        <w:t>FERC-549C</w:t>
      </w:r>
      <w:r w:rsidR="00060C29">
        <w:t>1</w:t>
      </w:r>
      <w:r w:rsidRPr="00932257">
        <w:t xml:space="preserve">: </w:t>
      </w:r>
      <w:r w:rsidR="00266BF7">
        <w:t>22 hours/response</w:t>
      </w:r>
      <w:r w:rsidRPr="00932257">
        <w:t xml:space="preserve"> ÷ 3 = </w:t>
      </w:r>
      <w:r w:rsidR="00266BF7">
        <w:t>10.33 hours/response annually</w:t>
      </w:r>
      <w:r w:rsidRPr="00932257">
        <w:t xml:space="preserve"> responses/year</w:t>
      </w:r>
    </w:p>
    <w:p w14:paraId="3D846AC7" w14:textId="77777777" w:rsidR="00AC3786" w:rsidRPr="00932257" w:rsidRDefault="00AC3786" w:rsidP="00AC3786">
      <w:pPr>
        <w:pStyle w:val="FERCparanumber"/>
        <w:numPr>
          <w:ilvl w:val="0"/>
          <w:numId w:val="0"/>
        </w:numPr>
      </w:pPr>
    </w:p>
    <w:p w14:paraId="1A44D6A8" w14:textId="77777777" w:rsidR="00AC3786" w:rsidRPr="00932257" w:rsidRDefault="00AC3786" w:rsidP="00AC3786">
      <w:pPr>
        <w:pStyle w:val="FERCparanumber"/>
        <w:numPr>
          <w:ilvl w:val="0"/>
          <w:numId w:val="0"/>
        </w:numPr>
      </w:pPr>
      <w:r w:rsidRPr="00932257">
        <w:t>The responses and burden for Years 1-3 will total respectively as follows:</w:t>
      </w:r>
    </w:p>
    <w:p w14:paraId="5DEBA566" w14:textId="0586DB2F" w:rsidR="00AC3786" w:rsidRPr="00932257" w:rsidRDefault="00AC3786" w:rsidP="00FE755C">
      <w:pPr>
        <w:pStyle w:val="FERCparanumber"/>
        <w:numPr>
          <w:ilvl w:val="0"/>
          <w:numId w:val="0"/>
        </w:numPr>
        <w:ind w:left="720"/>
      </w:pPr>
      <w:r w:rsidRPr="00932257">
        <w:t xml:space="preserve">Year 1: </w:t>
      </w:r>
      <w:r w:rsidR="00266BF7">
        <w:t>165</w:t>
      </w:r>
      <w:r w:rsidRPr="00932257">
        <w:t xml:space="preserve"> responses</w:t>
      </w:r>
      <w:r w:rsidR="00B725FA">
        <w:t xml:space="preserve"> each</w:t>
      </w:r>
      <w:r w:rsidRPr="00932257">
        <w:t>; 550 hours (FERC-545</w:t>
      </w:r>
      <w:r w:rsidR="00060C29">
        <w:t>B</w:t>
      </w:r>
      <w:r w:rsidRPr="00932257">
        <w:t>); 1,210 hours (FERC-549C</w:t>
      </w:r>
      <w:r w:rsidR="00060C29">
        <w:t>1</w:t>
      </w:r>
      <w:r w:rsidRPr="00932257">
        <w:t>)</w:t>
      </w:r>
    </w:p>
    <w:p w14:paraId="34352700" w14:textId="6BEC3C3C" w:rsidR="00AC3786" w:rsidRPr="00932257" w:rsidRDefault="00AC3786" w:rsidP="00FE755C">
      <w:pPr>
        <w:pStyle w:val="FERCparanumber"/>
        <w:numPr>
          <w:ilvl w:val="0"/>
          <w:numId w:val="0"/>
        </w:numPr>
        <w:ind w:left="720"/>
      </w:pPr>
      <w:r w:rsidRPr="00932257">
        <w:t xml:space="preserve">Year 2: </w:t>
      </w:r>
      <w:r w:rsidR="00266BF7">
        <w:t>165</w:t>
      </w:r>
      <w:r w:rsidRPr="00932257">
        <w:t xml:space="preserve"> responses</w:t>
      </w:r>
      <w:r w:rsidR="00B725FA">
        <w:t xml:space="preserve"> each</w:t>
      </w:r>
      <w:r w:rsidRPr="00932257">
        <w:t>; 550 hours (FERC-545</w:t>
      </w:r>
      <w:r w:rsidR="00060C29">
        <w:t>B</w:t>
      </w:r>
      <w:r w:rsidRPr="00932257">
        <w:t>); 1,210 hours (FERC-549C</w:t>
      </w:r>
      <w:r w:rsidR="00060C29">
        <w:t>1</w:t>
      </w:r>
      <w:r w:rsidRPr="00932257">
        <w:t>)</w:t>
      </w:r>
    </w:p>
    <w:p w14:paraId="762608E2" w14:textId="7220D89B" w:rsidR="00AC3786" w:rsidRPr="00932257" w:rsidRDefault="00AC3786" w:rsidP="00FE755C">
      <w:pPr>
        <w:pStyle w:val="FERCparanumber"/>
        <w:numPr>
          <w:ilvl w:val="0"/>
          <w:numId w:val="0"/>
        </w:numPr>
        <w:ind w:left="720"/>
      </w:pPr>
      <w:r w:rsidRPr="00932257">
        <w:t xml:space="preserve">Year 3: </w:t>
      </w:r>
      <w:r w:rsidR="00266BF7">
        <w:t>165</w:t>
      </w:r>
      <w:r w:rsidRPr="00932257">
        <w:t xml:space="preserve"> responses</w:t>
      </w:r>
      <w:r w:rsidR="00B725FA">
        <w:t xml:space="preserve"> each</w:t>
      </w:r>
      <w:r w:rsidRPr="00932257">
        <w:t>; 550 hours (FERC-545</w:t>
      </w:r>
      <w:r w:rsidR="00060C29">
        <w:t>B</w:t>
      </w:r>
      <w:r w:rsidRPr="00932257">
        <w:t>); 1,210 hours (FERC-549C</w:t>
      </w:r>
      <w:r w:rsidR="00060C29">
        <w:t>1</w:t>
      </w:r>
      <w:r w:rsidRPr="00932257">
        <w:t>)</w:t>
      </w:r>
    </w:p>
    <w:p w14:paraId="2B52D029" w14:textId="77777777" w:rsidR="00F8150C" w:rsidRDefault="00F8150C" w:rsidP="00F8150C">
      <w:pPr>
        <w:rPr>
          <w:b/>
          <w:szCs w:val="26"/>
        </w:rPr>
      </w:pPr>
    </w:p>
    <w:p w14:paraId="23087E40" w14:textId="016993E9" w:rsidR="00F8150C" w:rsidRPr="00914CAA" w:rsidRDefault="00F8150C" w:rsidP="00F8150C">
      <w:pPr>
        <w:rPr>
          <w:szCs w:val="26"/>
        </w:rPr>
      </w:pPr>
      <w:r w:rsidRPr="00914CAA">
        <w:rPr>
          <w:szCs w:val="26"/>
        </w:rPr>
        <w:t xml:space="preserve">See </w:t>
      </w:r>
      <w:r w:rsidR="00060C29">
        <w:rPr>
          <w:szCs w:val="26"/>
        </w:rPr>
        <w:t xml:space="preserve">Question </w:t>
      </w:r>
      <w:r w:rsidRPr="00914CAA">
        <w:rPr>
          <w:szCs w:val="26"/>
        </w:rPr>
        <w:t>#15</w:t>
      </w:r>
      <w:r w:rsidR="00820CFB">
        <w:rPr>
          <w:szCs w:val="26"/>
        </w:rPr>
        <w:t xml:space="preserve"> below</w:t>
      </w:r>
      <w:r w:rsidRPr="00914CAA">
        <w:rPr>
          <w:szCs w:val="26"/>
        </w:rPr>
        <w:t xml:space="preserve"> for </w:t>
      </w:r>
      <w:r>
        <w:rPr>
          <w:szCs w:val="26"/>
        </w:rPr>
        <w:t>an explanation of</w:t>
      </w:r>
      <w:r w:rsidRPr="00914CAA">
        <w:rPr>
          <w:szCs w:val="26"/>
        </w:rPr>
        <w:t xml:space="preserve"> the estimated changes to burden </w:t>
      </w:r>
      <w:r>
        <w:rPr>
          <w:szCs w:val="26"/>
        </w:rPr>
        <w:t>as implemented</w:t>
      </w:r>
      <w:r w:rsidRPr="00914CAA">
        <w:rPr>
          <w:szCs w:val="26"/>
        </w:rPr>
        <w:t xml:space="preserve"> in the </w:t>
      </w:r>
      <w:r w:rsidR="00B16615">
        <w:rPr>
          <w:szCs w:val="26"/>
        </w:rPr>
        <w:t>NOPR</w:t>
      </w:r>
      <w:r w:rsidRPr="00914CAA">
        <w:rPr>
          <w:szCs w:val="26"/>
        </w:rPr>
        <w:t xml:space="preserve"> in </w:t>
      </w:r>
      <w:r w:rsidR="00AC3786">
        <w:rPr>
          <w:szCs w:val="26"/>
        </w:rPr>
        <w:t>RM96-1-041</w:t>
      </w:r>
      <w:r>
        <w:rPr>
          <w:szCs w:val="26"/>
        </w:rPr>
        <w:t>.</w:t>
      </w:r>
    </w:p>
    <w:p w14:paraId="17E0306C" w14:textId="77777777" w:rsidR="00BC15BE" w:rsidRPr="003B18DD" w:rsidRDefault="00BC15BE" w:rsidP="00BC15BE">
      <w:pPr>
        <w:rPr>
          <w:szCs w:val="26"/>
        </w:rPr>
      </w:pPr>
    </w:p>
    <w:p w14:paraId="0EAE6A8A" w14:textId="77777777" w:rsidR="00BC15BE" w:rsidRPr="003B18DD" w:rsidRDefault="00BC15BE" w:rsidP="00BC15BE">
      <w:pPr>
        <w:pStyle w:val="Level1"/>
        <w:rPr>
          <w:b/>
          <w:sz w:val="26"/>
          <w:szCs w:val="26"/>
        </w:rPr>
      </w:pPr>
      <w:r w:rsidRPr="003B18DD">
        <w:rPr>
          <w:b/>
          <w:sz w:val="26"/>
          <w:szCs w:val="26"/>
        </w:rPr>
        <w:t>ESTIMATE OF THE TOTAL ANNUAL COST BURDEN TO RESPONDENTS</w:t>
      </w:r>
    </w:p>
    <w:p w14:paraId="5439F8AA" w14:textId="77777777" w:rsidR="00BC15BE" w:rsidRPr="003B18DD" w:rsidRDefault="00BC15BE" w:rsidP="00BC15BE">
      <w:pPr>
        <w:rPr>
          <w:szCs w:val="26"/>
        </w:rPr>
      </w:pPr>
    </w:p>
    <w:p w14:paraId="4F056501" w14:textId="26D43A05" w:rsidR="00162284" w:rsidRDefault="00F8150C" w:rsidP="00BC15BE">
      <w:pPr>
        <w:rPr>
          <w:szCs w:val="26"/>
        </w:rPr>
      </w:pPr>
      <w:r w:rsidRPr="00231159">
        <w:rPr>
          <w:szCs w:val="26"/>
        </w:rPr>
        <w:t>The</w:t>
      </w:r>
      <w:r w:rsidR="00162284">
        <w:rPr>
          <w:szCs w:val="26"/>
        </w:rPr>
        <w:t xml:space="preserve"> NOPR proposes </w:t>
      </w:r>
      <w:r w:rsidRPr="00231159">
        <w:rPr>
          <w:szCs w:val="26"/>
        </w:rPr>
        <w:t xml:space="preserve">no capital or start-up costs </w:t>
      </w:r>
      <w:r>
        <w:rPr>
          <w:szCs w:val="26"/>
        </w:rPr>
        <w:t xml:space="preserve">for the </w:t>
      </w:r>
      <w:r w:rsidR="00162284">
        <w:rPr>
          <w:szCs w:val="26"/>
        </w:rPr>
        <w:t xml:space="preserve">proposed </w:t>
      </w:r>
      <w:r>
        <w:rPr>
          <w:szCs w:val="26"/>
        </w:rPr>
        <w:t>requirements</w:t>
      </w:r>
      <w:r w:rsidR="00AC3786">
        <w:rPr>
          <w:szCs w:val="26"/>
        </w:rPr>
        <w:t xml:space="preserve"> in RM96-1-041</w:t>
      </w:r>
      <w:r>
        <w:rPr>
          <w:szCs w:val="26"/>
        </w:rPr>
        <w:t xml:space="preserve"> that are </w:t>
      </w:r>
      <w:r w:rsidRPr="00231159">
        <w:rPr>
          <w:szCs w:val="26"/>
        </w:rPr>
        <w:t>not associated with the burden hours.</w:t>
      </w:r>
      <w:r>
        <w:rPr>
          <w:szCs w:val="26"/>
        </w:rPr>
        <w:t xml:space="preserve">  All of the costs are related to burden hours and are detailed in #12 and #15.</w:t>
      </w:r>
    </w:p>
    <w:p w14:paraId="1D00A9A3" w14:textId="77777777" w:rsidR="00F8150C" w:rsidRPr="003B18DD" w:rsidRDefault="00F8150C" w:rsidP="00BC15BE">
      <w:pPr>
        <w:rPr>
          <w:szCs w:val="26"/>
        </w:rPr>
      </w:pPr>
    </w:p>
    <w:p w14:paraId="3D7896A0" w14:textId="77777777" w:rsidR="00BC15BE" w:rsidRPr="003B18DD" w:rsidRDefault="00BC15BE" w:rsidP="00BC15BE">
      <w:pPr>
        <w:pStyle w:val="Level1"/>
        <w:rPr>
          <w:b/>
          <w:sz w:val="26"/>
          <w:szCs w:val="26"/>
        </w:rPr>
      </w:pPr>
      <w:r w:rsidRPr="003B18DD">
        <w:rPr>
          <w:b/>
          <w:sz w:val="26"/>
          <w:szCs w:val="26"/>
        </w:rPr>
        <w:t>ESTIMATED ANNUALIZED COST TO FEDERAL GOVERNMENT</w:t>
      </w:r>
    </w:p>
    <w:p w14:paraId="56374BBE" w14:textId="77777777" w:rsidR="00BC15BE" w:rsidRPr="003B18DD" w:rsidRDefault="00BC15BE" w:rsidP="00BC15BE">
      <w:pPr>
        <w:rPr>
          <w:szCs w:val="26"/>
        </w:rPr>
      </w:pPr>
    </w:p>
    <w:p w14:paraId="2261AD23" w14:textId="36C29B2C" w:rsidR="003D2136" w:rsidRDefault="003D2136" w:rsidP="003D2136">
      <w:pPr>
        <w:rPr>
          <w:vertAlign w:val="superscript"/>
        </w:rPr>
      </w:pPr>
      <w:r w:rsidRPr="005518EB">
        <w:rPr>
          <w:szCs w:val="26"/>
        </w:rPr>
        <w:t>The following federal cost</w:t>
      </w:r>
      <w:r>
        <w:rPr>
          <w:szCs w:val="26"/>
        </w:rPr>
        <w:t>s</w:t>
      </w:r>
      <w:r w:rsidRPr="005518EB">
        <w:rPr>
          <w:szCs w:val="26"/>
        </w:rPr>
        <w:t xml:space="preserve"> relate only to the new requirements </w:t>
      </w:r>
      <w:r w:rsidR="00162284">
        <w:rPr>
          <w:szCs w:val="26"/>
        </w:rPr>
        <w:t xml:space="preserve">proposed </w:t>
      </w:r>
      <w:r>
        <w:rPr>
          <w:szCs w:val="26"/>
        </w:rPr>
        <w:t xml:space="preserve">in the </w:t>
      </w:r>
      <w:r w:rsidR="00162284">
        <w:rPr>
          <w:szCs w:val="26"/>
        </w:rPr>
        <w:t>NOPR</w:t>
      </w:r>
      <w:r w:rsidRPr="005518EB">
        <w:rPr>
          <w:szCs w:val="26"/>
        </w:rPr>
        <w:t>.</w:t>
      </w:r>
      <w:r w:rsidRPr="005518EB" w:rsidDel="00807E75">
        <w:rPr>
          <w:vertAlign w:val="superscript"/>
        </w:rPr>
        <w:t xml:space="preserve"> </w:t>
      </w:r>
    </w:p>
    <w:p w14:paraId="183BEDE3" w14:textId="77777777" w:rsidR="002C118D" w:rsidRPr="005518EB" w:rsidRDefault="002C118D" w:rsidP="002C118D">
      <w:pPr>
        <w:rPr>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192"/>
        <w:gridCol w:w="3184"/>
      </w:tblGrid>
      <w:tr w:rsidR="002C118D" w:rsidRPr="005518EB" w14:paraId="0B6B6C8D" w14:textId="77777777" w:rsidTr="008B1488">
        <w:tc>
          <w:tcPr>
            <w:tcW w:w="3200" w:type="dxa"/>
            <w:shd w:val="clear" w:color="auto" w:fill="CCCCCC"/>
          </w:tcPr>
          <w:p w14:paraId="4E21CC98" w14:textId="77777777" w:rsidR="002C118D" w:rsidRPr="005518EB" w:rsidRDefault="002C118D" w:rsidP="008B1488">
            <w:pPr>
              <w:rPr>
                <w:szCs w:val="26"/>
              </w:rPr>
            </w:pPr>
          </w:p>
        </w:tc>
        <w:tc>
          <w:tcPr>
            <w:tcW w:w="3192" w:type="dxa"/>
            <w:shd w:val="clear" w:color="auto" w:fill="CCCCCC"/>
            <w:vAlign w:val="bottom"/>
          </w:tcPr>
          <w:p w14:paraId="01B2C6BA" w14:textId="77777777" w:rsidR="002C118D" w:rsidRPr="005518EB" w:rsidRDefault="002C118D" w:rsidP="008B1488">
            <w:pPr>
              <w:jc w:val="center"/>
              <w:rPr>
                <w:b/>
                <w:szCs w:val="26"/>
              </w:rPr>
            </w:pPr>
            <w:r w:rsidRPr="005518EB">
              <w:rPr>
                <w:b/>
                <w:szCs w:val="26"/>
              </w:rPr>
              <w:t xml:space="preserve">Number of </w:t>
            </w:r>
            <w:r>
              <w:rPr>
                <w:b/>
                <w:szCs w:val="26"/>
              </w:rPr>
              <w:t>Hours or FTE’s</w:t>
            </w:r>
          </w:p>
        </w:tc>
        <w:tc>
          <w:tcPr>
            <w:tcW w:w="3184" w:type="dxa"/>
            <w:shd w:val="clear" w:color="auto" w:fill="CCCCCC"/>
            <w:vAlign w:val="bottom"/>
          </w:tcPr>
          <w:p w14:paraId="427E8970" w14:textId="77777777" w:rsidR="002C118D" w:rsidRPr="005518EB" w:rsidRDefault="002C118D" w:rsidP="008B1488">
            <w:pPr>
              <w:jc w:val="center"/>
              <w:rPr>
                <w:b/>
                <w:szCs w:val="26"/>
              </w:rPr>
            </w:pPr>
            <w:r w:rsidRPr="005518EB">
              <w:rPr>
                <w:b/>
                <w:szCs w:val="26"/>
              </w:rPr>
              <w:t>Estimated Annual Federal Cost ($)</w:t>
            </w:r>
            <w:r w:rsidRPr="005518EB">
              <w:rPr>
                <w:szCs w:val="26"/>
                <w:vertAlign w:val="superscript"/>
              </w:rPr>
              <w:footnoteReference w:id="9"/>
            </w:r>
            <w:r>
              <w:rPr>
                <w:b/>
                <w:szCs w:val="26"/>
              </w:rPr>
              <w:t xml:space="preserve"> </w:t>
            </w:r>
          </w:p>
        </w:tc>
      </w:tr>
      <w:tr w:rsidR="002C118D" w:rsidRPr="0014601E" w14:paraId="36A7B0E3" w14:textId="77777777" w:rsidTr="008B1488">
        <w:tc>
          <w:tcPr>
            <w:tcW w:w="3200" w:type="dxa"/>
          </w:tcPr>
          <w:p w14:paraId="3330260E" w14:textId="1F0FD5CD" w:rsidR="002C118D" w:rsidRPr="007F1297" w:rsidRDefault="002C118D" w:rsidP="008B1488">
            <w:pPr>
              <w:rPr>
                <w:szCs w:val="26"/>
              </w:rPr>
            </w:pPr>
            <w:r w:rsidRPr="007F1297">
              <w:rPr>
                <w:szCs w:val="26"/>
              </w:rPr>
              <w:t>PRA</w:t>
            </w:r>
            <w:r w:rsidRPr="007F1297">
              <w:rPr>
                <w:rStyle w:val="FootnoteReference"/>
              </w:rPr>
              <w:footnoteReference w:id="10"/>
            </w:r>
            <w:r w:rsidRPr="007F1297">
              <w:rPr>
                <w:szCs w:val="26"/>
              </w:rPr>
              <w:t xml:space="preserve"> Administration Cost</w:t>
            </w:r>
            <w:r w:rsidR="00B269BE">
              <w:rPr>
                <w:szCs w:val="26"/>
              </w:rPr>
              <w:t xml:space="preserve"> (FERC-545B)</w:t>
            </w:r>
            <w:bookmarkStart w:id="1" w:name="_Ref525304881"/>
            <w:r w:rsidRPr="00443AA1">
              <w:rPr>
                <w:szCs w:val="26"/>
                <w:vertAlign w:val="superscript"/>
              </w:rPr>
              <w:footnoteReference w:id="11"/>
            </w:r>
            <w:bookmarkEnd w:id="1"/>
          </w:p>
        </w:tc>
        <w:tc>
          <w:tcPr>
            <w:tcW w:w="3192" w:type="dxa"/>
            <w:shd w:val="clear" w:color="auto" w:fill="FFFFFF"/>
            <w:vAlign w:val="bottom"/>
          </w:tcPr>
          <w:p w14:paraId="5930AFD7" w14:textId="77777777" w:rsidR="002C118D" w:rsidRPr="009C5F46" w:rsidRDefault="002C118D" w:rsidP="008B1488">
            <w:pPr>
              <w:jc w:val="right"/>
              <w:rPr>
                <w:szCs w:val="26"/>
              </w:rPr>
            </w:pPr>
            <w:r w:rsidRPr="009C5F46">
              <w:rPr>
                <w:szCs w:val="26"/>
              </w:rPr>
              <w:t>-</w:t>
            </w:r>
          </w:p>
        </w:tc>
        <w:tc>
          <w:tcPr>
            <w:tcW w:w="3184" w:type="dxa"/>
            <w:vAlign w:val="bottom"/>
          </w:tcPr>
          <w:p w14:paraId="3BD6B342" w14:textId="2E764702" w:rsidR="002C118D" w:rsidRPr="007D241B" w:rsidRDefault="002C118D" w:rsidP="008B1488">
            <w:pPr>
              <w:jc w:val="right"/>
              <w:rPr>
                <w:szCs w:val="26"/>
              </w:rPr>
            </w:pPr>
            <w:r w:rsidRPr="009C5F46">
              <w:rPr>
                <w:szCs w:val="26"/>
              </w:rPr>
              <w:t>$</w:t>
            </w:r>
            <w:r w:rsidRPr="00824E72">
              <w:t xml:space="preserve"> </w:t>
            </w:r>
            <w:r w:rsidR="006100C3">
              <w:rPr>
                <w:szCs w:val="26"/>
              </w:rPr>
              <w:t>4</w:t>
            </w:r>
            <w:r w:rsidRPr="007D241B">
              <w:rPr>
                <w:szCs w:val="26"/>
              </w:rPr>
              <w:t>,193</w:t>
            </w:r>
          </w:p>
        </w:tc>
      </w:tr>
      <w:tr w:rsidR="00B269BE" w:rsidRPr="0014601E" w14:paraId="037E5047" w14:textId="77777777" w:rsidTr="008B1488">
        <w:tc>
          <w:tcPr>
            <w:tcW w:w="3200" w:type="dxa"/>
          </w:tcPr>
          <w:p w14:paraId="48ED4818" w14:textId="5782031C" w:rsidR="00B269BE" w:rsidRPr="007F1297" w:rsidRDefault="00B269BE" w:rsidP="008B1488">
            <w:pPr>
              <w:rPr>
                <w:szCs w:val="26"/>
              </w:rPr>
            </w:pPr>
            <w:r>
              <w:rPr>
                <w:szCs w:val="26"/>
              </w:rPr>
              <w:t>PRA Administration Cost(FERC-549C1)</w:t>
            </w:r>
            <w:r w:rsidRPr="007C3D09">
              <w:rPr>
                <w:szCs w:val="26"/>
                <w:vertAlign w:val="superscript"/>
              </w:rPr>
              <w:fldChar w:fldCharType="begin"/>
            </w:r>
            <w:r w:rsidRPr="007C3D09">
              <w:rPr>
                <w:szCs w:val="26"/>
                <w:vertAlign w:val="superscript"/>
              </w:rPr>
              <w:instrText xml:space="preserve"> NOTEREF _Ref525304881 \h </w:instrText>
            </w:r>
            <w:r>
              <w:rPr>
                <w:szCs w:val="26"/>
                <w:vertAlign w:val="superscript"/>
              </w:rPr>
              <w:instrText xml:space="preserve"> \* MERGEFORMAT </w:instrText>
            </w:r>
            <w:r w:rsidRPr="007C3D09">
              <w:rPr>
                <w:szCs w:val="26"/>
                <w:vertAlign w:val="superscript"/>
              </w:rPr>
            </w:r>
            <w:r w:rsidRPr="007C3D09">
              <w:rPr>
                <w:szCs w:val="26"/>
                <w:vertAlign w:val="superscript"/>
              </w:rPr>
              <w:fldChar w:fldCharType="separate"/>
            </w:r>
            <w:r w:rsidRPr="007C3D09">
              <w:rPr>
                <w:szCs w:val="26"/>
                <w:vertAlign w:val="superscript"/>
              </w:rPr>
              <w:t>13</w:t>
            </w:r>
            <w:r w:rsidRPr="007C3D09">
              <w:rPr>
                <w:szCs w:val="26"/>
                <w:vertAlign w:val="superscript"/>
              </w:rPr>
              <w:fldChar w:fldCharType="end"/>
            </w:r>
          </w:p>
        </w:tc>
        <w:tc>
          <w:tcPr>
            <w:tcW w:w="3192" w:type="dxa"/>
            <w:shd w:val="clear" w:color="auto" w:fill="FFFFFF"/>
            <w:vAlign w:val="bottom"/>
          </w:tcPr>
          <w:p w14:paraId="51F3965C" w14:textId="6DF2478F" w:rsidR="00B269BE" w:rsidRPr="009C5F46" w:rsidRDefault="00B269BE" w:rsidP="008B1488">
            <w:pPr>
              <w:jc w:val="right"/>
              <w:rPr>
                <w:szCs w:val="26"/>
              </w:rPr>
            </w:pPr>
            <w:r>
              <w:rPr>
                <w:szCs w:val="26"/>
              </w:rPr>
              <w:t>-</w:t>
            </w:r>
          </w:p>
        </w:tc>
        <w:tc>
          <w:tcPr>
            <w:tcW w:w="3184" w:type="dxa"/>
            <w:vAlign w:val="bottom"/>
          </w:tcPr>
          <w:p w14:paraId="08DC38DE" w14:textId="02B02872" w:rsidR="00B269BE" w:rsidRPr="009C5F46" w:rsidRDefault="00B269BE" w:rsidP="008B1488">
            <w:pPr>
              <w:jc w:val="right"/>
              <w:rPr>
                <w:szCs w:val="26"/>
              </w:rPr>
            </w:pPr>
            <w:r>
              <w:rPr>
                <w:szCs w:val="26"/>
              </w:rPr>
              <w:t>$4,193</w:t>
            </w:r>
          </w:p>
        </w:tc>
      </w:tr>
      <w:tr w:rsidR="002C118D" w:rsidRPr="0014601E" w14:paraId="76FC4C2C" w14:textId="77777777" w:rsidTr="008B1488">
        <w:tc>
          <w:tcPr>
            <w:tcW w:w="3200" w:type="dxa"/>
            <w:vAlign w:val="bottom"/>
          </w:tcPr>
          <w:p w14:paraId="5A39B9FF" w14:textId="2442BDC2" w:rsidR="002C118D" w:rsidRPr="0014601E" w:rsidRDefault="002C118D" w:rsidP="007C3D09">
            <w:pPr>
              <w:ind w:left="67"/>
              <w:rPr>
                <w:i/>
                <w:szCs w:val="26"/>
              </w:rPr>
            </w:pPr>
            <w:r w:rsidRPr="0014601E">
              <w:rPr>
                <w:szCs w:val="26"/>
              </w:rPr>
              <w:t>Data Processing and Analysis, Sub-Total</w:t>
            </w:r>
            <w:r w:rsidR="00844DA9">
              <w:rPr>
                <w:szCs w:val="26"/>
              </w:rPr>
              <w:t xml:space="preserve"> for FERC-545B &amp; FERC-549C1</w:t>
            </w:r>
            <w:r>
              <w:rPr>
                <w:rStyle w:val="FootnoteReference"/>
              </w:rPr>
              <w:footnoteReference w:id="12"/>
            </w:r>
          </w:p>
        </w:tc>
        <w:tc>
          <w:tcPr>
            <w:tcW w:w="3192" w:type="dxa"/>
            <w:shd w:val="clear" w:color="auto" w:fill="FFFFFF" w:themeFill="background1"/>
            <w:vAlign w:val="bottom"/>
          </w:tcPr>
          <w:p w14:paraId="73A15B0D" w14:textId="77777777" w:rsidR="002C118D" w:rsidRDefault="002C118D" w:rsidP="008B1488">
            <w:pPr>
              <w:jc w:val="right"/>
            </w:pPr>
            <w:r>
              <w:t>1</w:t>
            </w:r>
            <w:r>
              <w:rPr>
                <w:rStyle w:val="FootnoteReference"/>
              </w:rPr>
              <w:footnoteReference w:id="13"/>
            </w:r>
          </w:p>
        </w:tc>
        <w:tc>
          <w:tcPr>
            <w:tcW w:w="3184" w:type="dxa"/>
            <w:vAlign w:val="bottom"/>
          </w:tcPr>
          <w:p w14:paraId="102F05C0" w14:textId="32295550" w:rsidR="002C118D" w:rsidRPr="00E25CB2" w:rsidDel="00423194" w:rsidRDefault="006100C3" w:rsidP="008B1488">
            <w:pPr>
              <w:jc w:val="right"/>
            </w:pPr>
            <w:r>
              <w:t>$164,820</w:t>
            </w:r>
          </w:p>
        </w:tc>
      </w:tr>
      <w:tr w:rsidR="002C118D" w:rsidRPr="0014601E" w14:paraId="46C01DA5" w14:textId="77777777" w:rsidTr="008B1488">
        <w:tc>
          <w:tcPr>
            <w:tcW w:w="3200" w:type="dxa"/>
            <w:vAlign w:val="bottom"/>
          </w:tcPr>
          <w:p w14:paraId="48032161" w14:textId="35692A14" w:rsidR="002C118D" w:rsidRPr="0014601E" w:rsidRDefault="002C118D" w:rsidP="008B1488">
            <w:pPr>
              <w:ind w:left="720"/>
              <w:jc w:val="right"/>
              <w:rPr>
                <w:i/>
                <w:szCs w:val="26"/>
              </w:rPr>
            </w:pPr>
            <w:r w:rsidRPr="0014601E">
              <w:rPr>
                <w:i/>
                <w:szCs w:val="26"/>
              </w:rPr>
              <w:t>FERC-545</w:t>
            </w:r>
            <w:r w:rsidR="00060C29">
              <w:rPr>
                <w:i/>
                <w:szCs w:val="26"/>
              </w:rPr>
              <w:t>B</w:t>
            </w:r>
          </w:p>
        </w:tc>
        <w:tc>
          <w:tcPr>
            <w:tcW w:w="3192" w:type="dxa"/>
            <w:shd w:val="clear" w:color="auto" w:fill="FFFFFF" w:themeFill="background1"/>
            <w:vAlign w:val="bottom"/>
          </w:tcPr>
          <w:p w14:paraId="3B246792" w14:textId="77777777" w:rsidR="002C118D" w:rsidRPr="0014601E" w:rsidRDefault="002C118D" w:rsidP="008B1488">
            <w:pPr>
              <w:jc w:val="right"/>
              <w:rPr>
                <w:i/>
                <w:szCs w:val="26"/>
              </w:rPr>
            </w:pPr>
            <w:r>
              <w:t>0.25</w:t>
            </w:r>
          </w:p>
        </w:tc>
        <w:tc>
          <w:tcPr>
            <w:tcW w:w="3184" w:type="dxa"/>
            <w:vAlign w:val="bottom"/>
          </w:tcPr>
          <w:p w14:paraId="7EA62400" w14:textId="65FE3973" w:rsidR="002C118D" w:rsidRPr="007F1297" w:rsidRDefault="004B21FD" w:rsidP="008B1488">
            <w:pPr>
              <w:jc w:val="right"/>
              <w:rPr>
                <w:i/>
                <w:szCs w:val="26"/>
              </w:rPr>
            </w:pPr>
            <w:r>
              <w:t>$41,205</w:t>
            </w:r>
          </w:p>
        </w:tc>
      </w:tr>
      <w:tr w:rsidR="002C118D" w:rsidRPr="0014601E" w14:paraId="723C09D8" w14:textId="77777777" w:rsidTr="008B1488">
        <w:tc>
          <w:tcPr>
            <w:tcW w:w="3200" w:type="dxa"/>
            <w:vAlign w:val="bottom"/>
          </w:tcPr>
          <w:p w14:paraId="533E1057" w14:textId="1E8019E8" w:rsidR="002C118D" w:rsidRPr="0014601E" w:rsidRDefault="002C118D" w:rsidP="008B1488">
            <w:pPr>
              <w:ind w:left="720"/>
              <w:jc w:val="right"/>
              <w:rPr>
                <w:i/>
                <w:szCs w:val="26"/>
              </w:rPr>
            </w:pPr>
            <w:r w:rsidRPr="0014601E">
              <w:rPr>
                <w:i/>
                <w:szCs w:val="26"/>
              </w:rPr>
              <w:t>FERC-549C</w:t>
            </w:r>
            <w:r w:rsidR="00060C29">
              <w:rPr>
                <w:i/>
                <w:szCs w:val="26"/>
              </w:rPr>
              <w:t>1</w:t>
            </w:r>
          </w:p>
        </w:tc>
        <w:tc>
          <w:tcPr>
            <w:tcW w:w="3192" w:type="dxa"/>
            <w:shd w:val="clear" w:color="auto" w:fill="FFFFFF" w:themeFill="background1"/>
            <w:vAlign w:val="bottom"/>
          </w:tcPr>
          <w:p w14:paraId="0F05CBCD" w14:textId="77777777" w:rsidR="002C118D" w:rsidRPr="0014601E" w:rsidRDefault="002C118D" w:rsidP="008B1488">
            <w:pPr>
              <w:jc w:val="right"/>
              <w:rPr>
                <w:i/>
                <w:szCs w:val="26"/>
              </w:rPr>
            </w:pPr>
            <w:r>
              <w:t>0.75</w:t>
            </w:r>
          </w:p>
        </w:tc>
        <w:tc>
          <w:tcPr>
            <w:tcW w:w="3184" w:type="dxa"/>
            <w:vAlign w:val="bottom"/>
          </w:tcPr>
          <w:p w14:paraId="6C68240D" w14:textId="76C2A399" w:rsidR="002C118D" w:rsidRPr="007F1297" w:rsidRDefault="004B21FD" w:rsidP="008B1488">
            <w:pPr>
              <w:jc w:val="right"/>
              <w:rPr>
                <w:i/>
                <w:szCs w:val="26"/>
              </w:rPr>
            </w:pPr>
            <w:r>
              <w:t>$123,615</w:t>
            </w:r>
          </w:p>
        </w:tc>
      </w:tr>
      <w:tr w:rsidR="002C118D" w:rsidRPr="0014601E" w14:paraId="07068A79" w14:textId="77777777" w:rsidTr="008B1488">
        <w:tc>
          <w:tcPr>
            <w:tcW w:w="3200" w:type="dxa"/>
          </w:tcPr>
          <w:p w14:paraId="04529EBB" w14:textId="77777777" w:rsidR="002C118D" w:rsidRPr="0014601E" w:rsidRDefault="002C118D" w:rsidP="008B1488">
            <w:pPr>
              <w:rPr>
                <w:b/>
                <w:szCs w:val="26"/>
              </w:rPr>
            </w:pPr>
            <w:r w:rsidRPr="0014601E">
              <w:rPr>
                <w:b/>
                <w:szCs w:val="26"/>
              </w:rPr>
              <w:t>FERC Total</w:t>
            </w:r>
          </w:p>
        </w:tc>
        <w:tc>
          <w:tcPr>
            <w:tcW w:w="3192" w:type="dxa"/>
            <w:vAlign w:val="bottom"/>
          </w:tcPr>
          <w:p w14:paraId="70A017C4" w14:textId="77777777" w:rsidR="002C118D" w:rsidRPr="0014601E" w:rsidRDefault="002C118D" w:rsidP="008B1488">
            <w:pPr>
              <w:jc w:val="right"/>
              <w:rPr>
                <w:szCs w:val="26"/>
              </w:rPr>
            </w:pPr>
            <w:r>
              <w:t>1</w:t>
            </w:r>
          </w:p>
        </w:tc>
        <w:tc>
          <w:tcPr>
            <w:tcW w:w="3184" w:type="dxa"/>
            <w:vAlign w:val="bottom"/>
          </w:tcPr>
          <w:p w14:paraId="48BC9E02" w14:textId="570B4D52" w:rsidR="002C118D" w:rsidRPr="0014601E" w:rsidRDefault="004B21FD" w:rsidP="008B1488">
            <w:pPr>
              <w:jc w:val="right"/>
              <w:rPr>
                <w:szCs w:val="26"/>
              </w:rPr>
            </w:pPr>
            <w:r>
              <w:t>$164,820</w:t>
            </w:r>
          </w:p>
        </w:tc>
      </w:tr>
    </w:tbl>
    <w:p w14:paraId="78A64540" w14:textId="77777777" w:rsidR="003A5D61" w:rsidRDefault="003A5D61" w:rsidP="003A5D61">
      <w:pPr>
        <w:pStyle w:val="Level1"/>
        <w:numPr>
          <w:ilvl w:val="0"/>
          <w:numId w:val="0"/>
        </w:numPr>
        <w:rPr>
          <w:b/>
          <w:sz w:val="26"/>
          <w:szCs w:val="26"/>
        </w:rPr>
      </w:pPr>
    </w:p>
    <w:p w14:paraId="553B62C8" w14:textId="77777777" w:rsidR="00BC15BE" w:rsidRPr="003B18DD" w:rsidRDefault="00BC15BE" w:rsidP="00BC15BE">
      <w:pPr>
        <w:pStyle w:val="Level1"/>
        <w:rPr>
          <w:b/>
          <w:sz w:val="26"/>
          <w:szCs w:val="26"/>
        </w:rPr>
      </w:pPr>
      <w:r w:rsidRPr="003B18DD">
        <w:rPr>
          <w:b/>
          <w:sz w:val="26"/>
          <w:szCs w:val="26"/>
        </w:rPr>
        <w:t>REASONS FOR CHANGES IN BURDEN INCLUDING THE NEED FOR ANY INCREASE</w:t>
      </w:r>
    </w:p>
    <w:p w14:paraId="62497CC1" w14:textId="77777777" w:rsidR="002C118D" w:rsidRDefault="002C118D" w:rsidP="002C118D">
      <w:pPr>
        <w:rPr>
          <w:b/>
          <w:szCs w:val="26"/>
        </w:rPr>
      </w:pPr>
    </w:p>
    <w:p w14:paraId="1E0541DD" w14:textId="5BDCCA97" w:rsidR="002C118D" w:rsidRDefault="002C118D" w:rsidP="008A3BC2">
      <w:pPr>
        <w:rPr>
          <w:szCs w:val="26"/>
        </w:rPr>
      </w:pPr>
      <w:r w:rsidRPr="008A3BC2">
        <w:rPr>
          <w:b/>
          <w:szCs w:val="26"/>
        </w:rPr>
        <w:t>FERC-545</w:t>
      </w:r>
      <w:r w:rsidR="00250097" w:rsidRPr="008A3BC2">
        <w:rPr>
          <w:b/>
          <w:szCs w:val="26"/>
        </w:rPr>
        <w:t>B</w:t>
      </w:r>
      <w:r w:rsidR="008A3BC2" w:rsidRPr="008A3BC2">
        <w:rPr>
          <w:b/>
          <w:szCs w:val="26"/>
        </w:rPr>
        <w:t xml:space="preserve">: </w:t>
      </w:r>
      <w:r w:rsidRPr="008A3BC2">
        <w:rPr>
          <w:szCs w:val="26"/>
        </w:rPr>
        <w:t>The</w:t>
      </w:r>
      <w:r>
        <w:rPr>
          <w:b/>
          <w:szCs w:val="26"/>
        </w:rPr>
        <w:t xml:space="preserve"> </w:t>
      </w:r>
      <w:r w:rsidR="00162284">
        <w:rPr>
          <w:szCs w:val="26"/>
        </w:rPr>
        <w:t>NOPR</w:t>
      </w:r>
      <w:r w:rsidR="00B83CB7">
        <w:rPr>
          <w:szCs w:val="26"/>
        </w:rPr>
        <w:t xml:space="preserve"> </w:t>
      </w:r>
      <w:r w:rsidR="004B21FD">
        <w:rPr>
          <w:szCs w:val="26"/>
        </w:rPr>
        <w:t>in RM96-1-041</w:t>
      </w:r>
      <w:r>
        <w:rPr>
          <w:szCs w:val="26"/>
        </w:rPr>
        <w:t xml:space="preserve"> </w:t>
      </w:r>
      <w:r w:rsidR="00162284">
        <w:rPr>
          <w:szCs w:val="26"/>
        </w:rPr>
        <w:t xml:space="preserve">proposes to </w:t>
      </w:r>
      <w:r>
        <w:rPr>
          <w:szCs w:val="26"/>
        </w:rPr>
        <w:t xml:space="preserve">require interstate </w:t>
      </w:r>
      <w:r w:rsidR="008B1488">
        <w:rPr>
          <w:szCs w:val="26"/>
        </w:rPr>
        <w:t xml:space="preserve">natural </w:t>
      </w:r>
      <w:r>
        <w:rPr>
          <w:szCs w:val="26"/>
        </w:rPr>
        <w:t>gas pipelines to make a one-time tariff filing to reflect the changes.</w:t>
      </w:r>
    </w:p>
    <w:p w14:paraId="790A667B" w14:textId="77777777" w:rsidR="00E5325E" w:rsidRDefault="00E5325E" w:rsidP="008A3BC2">
      <w:pPr>
        <w:rPr>
          <w:szCs w:val="26"/>
        </w:rPr>
      </w:pPr>
    </w:p>
    <w:p w14:paraId="71A8F26C" w14:textId="1E69F46E" w:rsidR="002C118D" w:rsidRPr="003A5D61" w:rsidRDefault="002C118D" w:rsidP="002C118D">
      <w:pPr>
        <w:rPr>
          <w:szCs w:val="26"/>
        </w:rPr>
      </w:pPr>
      <w:r w:rsidRPr="008A3BC2">
        <w:rPr>
          <w:b/>
          <w:szCs w:val="26"/>
        </w:rPr>
        <w:t>FERC-549C</w:t>
      </w:r>
      <w:r w:rsidR="008A3BC2" w:rsidRPr="008A3BC2">
        <w:rPr>
          <w:b/>
          <w:szCs w:val="26"/>
        </w:rPr>
        <w:t xml:space="preserve">1: </w:t>
      </w:r>
      <w:r w:rsidR="00162284" w:rsidRPr="008A3BC2">
        <w:rPr>
          <w:szCs w:val="26"/>
        </w:rPr>
        <w:t xml:space="preserve">The NOPR in RM96-1-041 proposes to require interstate </w:t>
      </w:r>
      <w:r w:rsidR="004B0B8F">
        <w:rPr>
          <w:szCs w:val="26"/>
        </w:rPr>
        <w:t xml:space="preserve">natural </w:t>
      </w:r>
      <w:r w:rsidR="00162284" w:rsidRPr="008A3BC2">
        <w:rPr>
          <w:szCs w:val="26"/>
        </w:rPr>
        <w:t xml:space="preserve">gas pipelines to </w:t>
      </w:r>
      <w:r w:rsidR="00162284">
        <w:rPr>
          <w:szCs w:val="26"/>
        </w:rPr>
        <w:t>comply with revised business practice standards.  FERC</w:t>
      </w:r>
      <w:r w:rsidR="00162284" w:rsidRPr="0085355E">
        <w:rPr>
          <w:szCs w:val="26"/>
        </w:rPr>
        <w:t>-549C</w:t>
      </w:r>
      <w:r w:rsidR="007C3D09">
        <w:rPr>
          <w:szCs w:val="26"/>
        </w:rPr>
        <w:t>1</w:t>
      </w:r>
      <w:r w:rsidR="00162284" w:rsidRPr="0085355E">
        <w:rPr>
          <w:szCs w:val="26"/>
        </w:rPr>
        <w:t xml:space="preserve"> measures</w:t>
      </w:r>
      <w:r w:rsidR="00162284">
        <w:rPr>
          <w:szCs w:val="26"/>
        </w:rPr>
        <w:t xml:space="preserve"> the burden to pipelines to revise their business practices and computer programming to conform to any changes in the standards/business practices.</w:t>
      </w:r>
    </w:p>
    <w:p w14:paraId="796909D9" w14:textId="604689B3" w:rsidR="002C118D" w:rsidRDefault="002C118D" w:rsidP="002C118D">
      <w:pPr>
        <w:rPr>
          <w:b/>
          <w:bCs/>
          <w:szCs w:val="26"/>
        </w:rPr>
      </w:pPr>
    </w:p>
    <w:p w14:paraId="38873040" w14:textId="20A4D6D7" w:rsidR="00701586" w:rsidRPr="008A3BC2" w:rsidRDefault="002C118D" w:rsidP="002C118D">
      <w:pPr>
        <w:rPr>
          <w:bCs/>
          <w:szCs w:val="26"/>
        </w:rPr>
      </w:pPr>
      <w:r w:rsidRPr="00425731">
        <w:rPr>
          <w:b/>
          <w:bCs/>
          <w:szCs w:val="26"/>
        </w:rPr>
        <w:t>Summary table</w:t>
      </w:r>
      <w:r w:rsidRPr="009D6A25">
        <w:rPr>
          <w:bCs/>
          <w:szCs w:val="26"/>
        </w:rPr>
        <w:t xml:space="preserve"> of changes to burden hours, with current approved inventory, as listed in ROCIS and reginfo.gov</w:t>
      </w:r>
      <w:r>
        <w:rPr>
          <w:bCs/>
          <w:szCs w:val="26"/>
        </w:rPr>
        <w:t xml:space="preserve"> follow.  (The additional implementation burden due to </w:t>
      </w:r>
      <w:r w:rsidRPr="00060C29">
        <w:rPr>
          <w:bCs/>
          <w:szCs w:val="26"/>
        </w:rPr>
        <w:t xml:space="preserve">the </w:t>
      </w:r>
      <w:r w:rsidR="00060C29" w:rsidRPr="00060C29">
        <w:rPr>
          <w:bCs/>
          <w:szCs w:val="26"/>
        </w:rPr>
        <w:t>NOPR</w:t>
      </w:r>
      <w:r w:rsidRPr="00060C29">
        <w:rPr>
          <w:bCs/>
          <w:szCs w:val="26"/>
        </w:rPr>
        <w:t xml:space="preserve"> in RM96-1-0</w:t>
      </w:r>
      <w:r w:rsidR="00060C29" w:rsidRPr="00060C29">
        <w:rPr>
          <w:bCs/>
          <w:szCs w:val="26"/>
        </w:rPr>
        <w:t>41</w:t>
      </w:r>
      <w:r w:rsidRPr="00060C29">
        <w:rPr>
          <w:bCs/>
          <w:szCs w:val="26"/>
        </w:rPr>
        <w:t xml:space="preserve"> is being averaged over Years 1-3, as discussed in #12 above.)</w:t>
      </w:r>
    </w:p>
    <w:p w14:paraId="527E0C80" w14:textId="77777777" w:rsidR="002C118D" w:rsidRPr="009D6A25" w:rsidRDefault="002C118D" w:rsidP="002C118D">
      <w:pPr>
        <w:rPr>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C118D" w:rsidRPr="00254D55" w14:paraId="5933FAFD" w14:textId="77777777" w:rsidTr="008B1488">
        <w:trPr>
          <w:trHeight w:val="870"/>
        </w:trPr>
        <w:tc>
          <w:tcPr>
            <w:tcW w:w="2679" w:type="dxa"/>
            <w:tcBorders>
              <w:bottom w:val="single" w:sz="4" w:space="0" w:color="auto"/>
            </w:tcBorders>
            <w:shd w:val="clear" w:color="auto" w:fill="D9D9D9"/>
            <w:vAlign w:val="bottom"/>
          </w:tcPr>
          <w:p w14:paraId="435ADA7B" w14:textId="77777777" w:rsidR="002C118D" w:rsidRDefault="002C118D" w:rsidP="008B1488">
            <w:pPr>
              <w:jc w:val="center"/>
              <w:rPr>
                <w:rFonts w:eastAsia="Calibri"/>
                <w:b/>
                <w:szCs w:val="26"/>
              </w:rPr>
            </w:pPr>
          </w:p>
          <w:p w14:paraId="0F7C78F4" w14:textId="77777777" w:rsidR="008A3BC2" w:rsidRDefault="008A3BC2" w:rsidP="008B1488">
            <w:pPr>
              <w:jc w:val="center"/>
              <w:rPr>
                <w:rFonts w:eastAsia="Calibri"/>
                <w:b/>
                <w:szCs w:val="26"/>
              </w:rPr>
            </w:pPr>
          </w:p>
          <w:p w14:paraId="48B25A60" w14:textId="77777777" w:rsidR="008A3BC2" w:rsidRPr="00254D55" w:rsidRDefault="008A3BC2" w:rsidP="008B1488">
            <w:pPr>
              <w:jc w:val="center"/>
              <w:rPr>
                <w:rFonts w:eastAsia="Calibri"/>
                <w:b/>
                <w:szCs w:val="26"/>
              </w:rPr>
            </w:pPr>
          </w:p>
        </w:tc>
        <w:tc>
          <w:tcPr>
            <w:tcW w:w="1461" w:type="dxa"/>
            <w:tcBorders>
              <w:bottom w:val="single" w:sz="4" w:space="0" w:color="auto"/>
            </w:tcBorders>
            <w:shd w:val="clear" w:color="auto" w:fill="D9D9D9"/>
            <w:vAlign w:val="bottom"/>
          </w:tcPr>
          <w:p w14:paraId="7D41E079" w14:textId="77777777" w:rsidR="002C118D" w:rsidRPr="00254D55" w:rsidRDefault="002C118D" w:rsidP="008B1488">
            <w:pPr>
              <w:jc w:val="center"/>
              <w:rPr>
                <w:rFonts w:eastAsia="Calibri"/>
                <w:b/>
                <w:szCs w:val="26"/>
              </w:rPr>
            </w:pPr>
            <w:r w:rsidRPr="00254D55">
              <w:rPr>
                <w:rFonts w:eastAsia="Calibri"/>
                <w:b/>
                <w:szCs w:val="26"/>
              </w:rPr>
              <w:t>Total Request</w:t>
            </w:r>
          </w:p>
        </w:tc>
        <w:tc>
          <w:tcPr>
            <w:tcW w:w="1620" w:type="dxa"/>
            <w:tcBorders>
              <w:bottom w:val="single" w:sz="4" w:space="0" w:color="auto"/>
            </w:tcBorders>
            <w:shd w:val="clear" w:color="auto" w:fill="D9D9D9"/>
            <w:vAlign w:val="bottom"/>
          </w:tcPr>
          <w:p w14:paraId="634D8CB9" w14:textId="77777777" w:rsidR="002C118D" w:rsidRPr="00254D55" w:rsidRDefault="002C118D" w:rsidP="008B1488">
            <w:pPr>
              <w:jc w:val="center"/>
              <w:rPr>
                <w:rFonts w:eastAsia="Calibri"/>
                <w:b/>
                <w:szCs w:val="26"/>
              </w:rPr>
            </w:pPr>
            <w:r w:rsidRPr="00254D55">
              <w:rPr>
                <w:rFonts w:eastAsia="Calibri"/>
                <w:b/>
                <w:szCs w:val="26"/>
              </w:rPr>
              <w:t>Previously Approved</w:t>
            </w:r>
          </w:p>
        </w:tc>
        <w:tc>
          <w:tcPr>
            <w:tcW w:w="1800" w:type="dxa"/>
            <w:tcBorders>
              <w:bottom w:val="single" w:sz="4" w:space="0" w:color="auto"/>
            </w:tcBorders>
            <w:shd w:val="clear" w:color="auto" w:fill="D9D9D9"/>
            <w:vAlign w:val="bottom"/>
          </w:tcPr>
          <w:p w14:paraId="311C7E55" w14:textId="77777777" w:rsidR="002C118D" w:rsidRPr="00254D55" w:rsidRDefault="002C118D" w:rsidP="008B1488">
            <w:pPr>
              <w:jc w:val="center"/>
              <w:rPr>
                <w:rFonts w:eastAsia="Calibri"/>
                <w:b/>
                <w:szCs w:val="26"/>
              </w:rPr>
            </w:pPr>
            <w:r w:rsidRPr="00254D55">
              <w:rPr>
                <w:rFonts w:eastAsia="Calibri"/>
                <w:b/>
                <w:szCs w:val="26"/>
              </w:rPr>
              <w:t>Change due to Adjustment in Estimate</w:t>
            </w:r>
          </w:p>
        </w:tc>
        <w:tc>
          <w:tcPr>
            <w:tcW w:w="1800" w:type="dxa"/>
            <w:tcBorders>
              <w:bottom w:val="single" w:sz="4" w:space="0" w:color="auto"/>
            </w:tcBorders>
            <w:shd w:val="clear" w:color="auto" w:fill="D9D9D9"/>
            <w:vAlign w:val="bottom"/>
          </w:tcPr>
          <w:p w14:paraId="2D2756A6" w14:textId="77777777" w:rsidR="002C118D" w:rsidRPr="00254D55" w:rsidRDefault="002C118D" w:rsidP="008B1488">
            <w:pPr>
              <w:jc w:val="center"/>
              <w:rPr>
                <w:rFonts w:eastAsia="Calibri"/>
                <w:b/>
                <w:szCs w:val="26"/>
              </w:rPr>
            </w:pPr>
            <w:r w:rsidRPr="00254D55">
              <w:rPr>
                <w:rFonts w:eastAsia="Calibri"/>
                <w:b/>
                <w:szCs w:val="26"/>
              </w:rPr>
              <w:t>Change Due to Agency Discretion</w:t>
            </w:r>
          </w:p>
        </w:tc>
      </w:tr>
      <w:tr w:rsidR="002C118D" w:rsidRPr="00254D55" w14:paraId="78E46AC4" w14:textId="77777777" w:rsidTr="008B1488">
        <w:trPr>
          <w:trHeight w:val="431"/>
        </w:trPr>
        <w:tc>
          <w:tcPr>
            <w:tcW w:w="9360" w:type="dxa"/>
            <w:gridSpan w:val="5"/>
            <w:shd w:val="clear" w:color="auto" w:fill="C6D9F1" w:themeFill="text2" w:themeFillTint="33"/>
            <w:vAlign w:val="bottom"/>
          </w:tcPr>
          <w:p w14:paraId="3A30B033" w14:textId="04B34C6D" w:rsidR="002C118D" w:rsidRPr="00C75C08" w:rsidRDefault="004B21FD" w:rsidP="008B1488">
            <w:pPr>
              <w:jc w:val="center"/>
              <w:rPr>
                <w:b/>
                <w:bCs/>
                <w:szCs w:val="26"/>
              </w:rPr>
            </w:pPr>
            <w:r>
              <w:rPr>
                <w:b/>
                <w:bCs/>
                <w:szCs w:val="26"/>
              </w:rPr>
              <w:t>FERC-545B</w:t>
            </w:r>
          </w:p>
        </w:tc>
      </w:tr>
      <w:tr w:rsidR="002C118D" w:rsidRPr="00254D55" w14:paraId="420C7837" w14:textId="77777777" w:rsidTr="008B1488">
        <w:trPr>
          <w:trHeight w:val="591"/>
        </w:trPr>
        <w:tc>
          <w:tcPr>
            <w:tcW w:w="2679" w:type="dxa"/>
            <w:shd w:val="clear" w:color="auto" w:fill="auto"/>
          </w:tcPr>
          <w:p w14:paraId="6DE0E407" w14:textId="77777777" w:rsidR="002C118D" w:rsidRPr="00254D55" w:rsidRDefault="002C118D" w:rsidP="008B1488">
            <w:pPr>
              <w:jc w:val="center"/>
              <w:rPr>
                <w:rFonts w:eastAsia="Calibri"/>
                <w:szCs w:val="26"/>
              </w:rPr>
            </w:pPr>
            <w:r w:rsidRPr="00254D55">
              <w:rPr>
                <w:rFonts w:eastAsia="Calibri"/>
                <w:szCs w:val="26"/>
              </w:rPr>
              <w:t>Annual Number of Responses</w:t>
            </w:r>
          </w:p>
        </w:tc>
        <w:tc>
          <w:tcPr>
            <w:tcW w:w="1461" w:type="dxa"/>
            <w:shd w:val="clear" w:color="auto" w:fill="auto"/>
            <w:vAlign w:val="bottom"/>
          </w:tcPr>
          <w:p w14:paraId="6798BFED" w14:textId="77777777" w:rsidR="002C118D" w:rsidRPr="006923C8" w:rsidRDefault="002C118D" w:rsidP="008B1488">
            <w:pPr>
              <w:jc w:val="right"/>
              <w:rPr>
                <w:rFonts w:eastAsia="Calibri"/>
                <w:szCs w:val="26"/>
              </w:rPr>
            </w:pPr>
            <w:r w:rsidRPr="006923C8">
              <w:rPr>
                <w:rFonts w:eastAsia="Calibri"/>
                <w:szCs w:val="26"/>
              </w:rPr>
              <w:t>165</w:t>
            </w:r>
          </w:p>
        </w:tc>
        <w:tc>
          <w:tcPr>
            <w:tcW w:w="1620" w:type="dxa"/>
            <w:shd w:val="clear" w:color="auto" w:fill="auto"/>
            <w:vAlign w:val="bottom"/>
          </w:tcPr>
          <w:p w14:paraId="6A07C9C7" w14:textId="77777777" w:rsidR="002C118D" w:rsidRPr="006923C8" w:rsidRDefault="002C118D" w:rsidP="008B1488">
            <w:pPr>
              <w:jc w:val="right"/>
              <w:rPr>
                <w:rFonts w:eastAsia="Calibri"/>
                <w:szCs w:val="26"/>
              </w:rPr>
            </w:pPr>
            <w:r w:rsidRPr="006923C8">
              <w:rPr>
                <w:rFonts w:eastAsia="Calibri"/>
                <w:szCs w:val="26"/>
              </w:rPr>
              <w:t>0</w:t>
            </w:r>
          </w:p>
        </w:tc>
        <w:tc>
          <w:tcPr>
            <w:tcW w:w="1800" w:type="dxa"/>
            <w:shd w:val="clear" w:color="auto" w:fill="auto"/>
            <w:vAlign w:val="bottom"/>
          </w:tcPr>
          <w:p w14:paraId="47D4B999" w14:textId="77777777" w:rsidR="002C118D" w:rsidRPr="006923C8" w:rsidRDefault="002C118D" w:rsidP="008B1488">
            <w:pPr>
              <w:jc w:val="right"/>
              <w:rPr>
                <w:rFonts w:eastAsia="Calibri"/>
                <w:szCs w:val="26"/>
              </w:rPr>
            </w:pPr>
            <w:r w:rsidRPr="006923C8">
              <w:rPr>
                <w:rFonts w:eastAsia="Calibri"/>
                <w:szCs w:val="26"/>
              </w:rPr>
              <w:t>0</w:t>
            </w:r>
          </w:p>
        </w:tc>
        <w:tc>
          <w:tcPr>
            <w:tcW w:w="1800" w:type="dxa"/>
            <w:shd w:val="clear" w:color="auto" w:fill="auto"/>
            <w:vAlign w:val="bottom"/>
          </w:tcPr>
          <w:p w14:paraId="46E10869" w14:textId="6D71AF3E" w:rsidR="002C118D" w:rsidRPr="006923C8" w:rsidRDefault="00266BF7" w:rsidP="008B1488">
            <w:pPr>
              <w:jc w:val="right"/>
              <w:rPr>
                <w:rFonts w:eastAsia="Calibri"/>
                <w:szCs w:val="26"/>
              </w:rPr>
            </w:pPr>
            <w:r>
              <w:rPr>
                <w:rFonts w:eastAsia="Calibri"/>
                <w:szCs w:val="26"/>
              </w:rPr>
              <w:t>165</w:t>
            </w:r>
          </w:p>
        </w:tc>
      </w:tr>
      <w:tr w:rsidR="002C118D" w:rsidRPr="00254D55" w14:paraId="04164A0A" w14:textId="77777777" w:rsidTr="008B1488">
        <w:trPr>
          <w:trHeight w:val="575"/>
        </w:trPr>
        <w:tc>
          <w:tcPr>
            <w:tcW w:w="2679" w:type="dxa"/>
            <w:shd w:val="clear" w:color="auto" w:fill="auto"/>
          </w:tcPr>
          <w:p w14:paraId="736CA82D" w14:textId="77777777" w:rsidR="002C118D" w:rsidRPr="00254D55" w:rsidRDefault="002C118D" w:rsidP="008B1488">
            <w:pPr>
              <w:jc w:val="center"/>
              <w:rPr>
                <w:rFonts w:eastAsia="Calibri"/>
                <w:szCs w:val="26"/>
              </w:rPr>
            </w:pPr>
            <w:r w:rsidRPr="00254D55">
              <w:rPr>
                <w:rFonts w:eastAsia="Calibri"/>
                <w:szCs w:val="26"/>
              </w:rPr>
              <w:t>Annual Time Burden (Hr.)</w:t>
            </w:r>
          </w:p>
        </w:tc>
        <w:tc>
          <w:tcPr>
            <w:tcW w:w="1461" w:type="dxa"/>
            <w:shd w:val="clear" w:color="auto" w:fill="auto"/>
            <w:vAlign w:val="bottom"/>
          </w:tcPr>
          <w:p w14:paraId="2A7CAA27" w14:textId="36F5E351" w:rsidR="002C118D" w:rsidRPr="006923C8" w:rsidRDefault="003A5D61" w:rsidP="008B1488">
            <w:pPr>
              <w:jc w:val="right"/>
              <w:rPr>
                <w:rFonts w:eastAsia="Calibri"/>
                <w:szCs w:val="26"/>
              </w:rPr>
            </w:pPr>
            <w:r>
              <w:rPr>
                <w:rFonts w:eastAsia="Calibri"/>
                <w:szCs w:val="26"/>
              </w:rPr>
              <w:t>550</w:t>
            </w:r>
          </w:p>
        </w:tc>
        <w:tc>
          <w:tcPr>
            <w:tcW w:w="1620" w:type="dxa"/>
            <w:shd w:val="clear" w:color="auto" w:fill="auto"/>
            <w:vAlign w:val="bottom"/>
          </w:tcPr>
          <w:p w14:paraId="0B9871EA" w14:textId="77777777" w:rsidR="002C118D" w:rsidRPr="006923C8" w:rsidRDefault="002C118D" w:rsidP="008B1488">
            <w:pPr>
              <w:jc w:val="right"/>
              <w:rPr>
                <w:rFonts w:eastAsia="Calibri"/>
                <w:szCs w:val="26"/>
              </w:rPr>
            </w:pPr>
            <w:r w:rsidRPr="006923C8">
              <w:rPr>
                <w:rFonts w:eastAsia="Calibri"/>
                <w:szCs w:val="26"/>
              </w:rPr>
              <w:t>0</w:t>
            </w:r>
          </w:p>
        </w:tc>
        <w:tc>
          <w:tcPr>
            <w:tcW w:w="1800" w:type="dxa"/>
            <w:shd w:val="clear" w:color="auto" w:fill="auto"/>
            <w:vAlign w:val="bottom"/>
          </w:tcPr>
          <w:p w14:paraId="7256C604" w14:textId="77777777" w:rsidR="002C118D" w:rsidRPr="006923C8" w:rsidRDefault="002C118D" w:rsidP="008B1488">
            <w:pPr>
              <w:jc w:val="right"/>
              <w:rPr>
                <w:rFonts w:eastAsia="Calibri"/>
                <w:szCs w:val="26"/>
              </w:rPr>
            </w:pPr>
            <w:r w:rsidRPr="006923C8">
              <w:rPr>
                <w:rFonts w:eastAsia="Calibri"/>
                <w:szCs w:val="26"/>
              </w:rPr>
              <w:t>0</w:t>
            </w:r>
          </w:p>
        </w:tc>
        <w:tc>
          <w:tcPr>
            <w:tcW w:w="1800" w:type="dxa"/>
            <w:shd w:val="clear" w:color="auto" w:fill="auto"/>
            <w:vAlign w:val="bottom"/>
          </w:tcPr>
          <w:p w14:paraId="05F78782" w14:textId="1FB6AF23" w:rsidR="002C118D" w:rsidRPr="006923C8" w:rsidRDefault="00266BF7" w:rsidP="008B1488">
            <w:pPr>
              <w:jc w:val="right"/>
              <w:rPr>
                <w:rFonts w:eastAsia="Calibri"/>
                <w:szCs w:val="26"/>
              </w:rPr>
            </w:pPr>
            <w:r>
              <w:rPr>
                <w:rFonts w:eastAsia="Calibri"/>
                <w:szCs w:val="26"/>
              </w:rPr>
              <w:t>550</w:t>
            </w:r>
          </w:p>
        </w:tc>
      </w:tr>
      <w:tr w:rsidR="002C118D" w:rsidRPr="00254D55" w14:paraId="5B108C7E" w14:textId="77777777" w:rsidTr="008B1488">
        <w:trPr>
          <w:trHeight w:val="295"/>
        </w:trPr>
        <w:tc>
          <w:tcPr>
            <w:tcW w:w="2679" w:type="dxa"/>
            <w:tcBorders>
              <w:bottom w:val="single" w:sz="4" w:space="0" w:color="auto"/>
            </w:tcBorders>
            <w:shd w:val="clear" w:color="auto" w:fill="auto"/>
          </w:tcPr>
          <w:p w14:paraId="662323DE" w14:textId="77777777" w:rsidR="002C118D" w:rsidRPr="00254D55" w:rsidRDefault="002C118D" w:rsidP="008B1488">
            <w:pPr>
              <w:jc w:val="center"/>
              <w:rPr>
                <w:rFonts w:eastAsia="Calibri"/>
                <w:szCs w:val="26"/>
              </w:rPr>
            </w:pPr>
            <w:r w:rsidRPr="00254D55">
              <w:rPr>
                <w:rFonts w:eastAsia="Calibri"/>
                <w:szCs w:val="26"/>
              </w:rPr>
              <w:t>Annual Cost Burden ($)</w:t>
            </w:r>
          </w:p>
        </w:tc>
        <w:tc>
          <w:tcPr>
            <w:tcW w:w="1461" w:type="dxa"/>
            <w:tcBorders>
              <w:bottom w:val="single" w:sz="4" w:space="0" w:color="auto"/>
            </w:tcBorders>
            <w:shd w:val="clear" w:color="auto" w:fill="auto"/>
            <w:vAlign w:val="bottom"/>
          </w:tcPr>
          <w:p w14:paraId="6D23EB5D" w14:textId="77777777" w:rsidR="002C118D" w:rsidRPr="00254D55" w:rsidRDefault="002C118D" w:rsidP="008B1488">
            <w:pPr>
              <w:jc w:val="right"/>
              <w:rPr>
                <w:rFonts w:eastAsia="Calibri"/>
                <w:szCs w:val="26"/>
                <w:highlight w:val="yellow"/>
              </w:rPr>
            </w:pPr>
            <w:r w:rsidRPr="00A55F2D">
              <w:rPr>
                <w:rFonts w:eastAsia="Calibri"/>
                <w:szCs w:val="26"/>
              </w:rPr>
              <w:t>$0</w:t>
            </w:r>
          </w:p>
        </w:tc>
        <w:tc>
          <w:tcPr>
            <w:tcW w:w="1620" w:type="dxa"/>
            <w:tcBorders>
              <w:bottom w:val="single" w:sz="4" w:space="0" w:color="auto"/>
            </w:tcBorders>
            <w:shd w:val="clear" w:color="auto" w:fill="auto"/>
            <w:vAlign w:val="bottom"/>
          </w:tcPr>
          <w:p w14:paraId="16094852" w14:textId="77777777" w:rsidR="002C118D" w:rsidRPr="00254D55" w:rsidRDefault="002C118D" w:rsidP="008B1488">
            <w:pPr>
              <w:jc w:val="right"/>
              <w:rPr>
                <w:rFonts w:eastAsia="Calibri"/>
                <w:szCs w:val="26"/>
              </w:rPr>
            </w:pPr>
            <w:r>
              <w:rPr>
                <w:rFonts w:eastAsia="Calibri"/>
                <w:szCs w:val="26"/>
              </w:rPr>
              <w:t>$0</w:t>
            </w:r>
          </w:p>
        </w:tc>
        <w:tc>
          <w:tcPr>
            <w:tcW w:w="1800" w:type="dxa"/>
            <w:tcBorders>
              <w:bottom w:val="single" w:sz="4" w:space="0" w:color="auto"/>
            </w:tcBorders>
            <w:shd w:val="clear" w:color="auto" w:fill="auto"/>
            <w:vAlign w:val="bottom"/>
          </w:tcPr>
          <w:p w14:paraId="7D283D17" w14:textId="77777777" w:rsidR="002C118D" w:rsidRPr="00254D55" w:rsidRDefault="002C118D" w:rsidP="008B1488">
            <w:pPr>
              <w:jc w:val="right"/>
              <w:rPr>
                <w:rFonts w:eastAsia="Calibri"/>
                <w:szCs w:val="26"/>
              </w:rPr>
            </w:pPr>
            <w:r w:rsidRPr="00A55F2D">
              <w:rPr>
                <w:rFonts w:eastAsia="Calibri"/>
                <w:szCs w:val="26"/>
              </w:rPr>
              <w:t>$0</w:t>
            </w:r>
          </w:p>
        </w:tc>
        <w:tc>
          <w:tcPr>
            <w:tcW w:w="1800" w:type="dxa"/>
            <w:tcBorders>
              <w:bottom w:val="single" w:sz="4" w:space="0" w:color="auto"/>
            </w:tcBorders>
            <w:shd w:val="clear" w:color="auto" w:fill="auto"/>
            <w:vAlign w:val="bottom"/>
          </w:tcPr>
          <w:p w14:paraId="0BBC8A41" w14:textId="77777777" w:rsidR="002C118D" w:rsidRPr="00254D55" w:rsidRDefault="002C118D" w:rsidP="008B1488">
            <w:pPr>
              <w:jc w:val="right"/>
              <w:rPr>
                <w:rFonts w:eastAsia="Calibri"/>
                <w:szCs w:val="26"/>
              </w:rPr>
            </w:pPr>
            <w:r w:rsidRPr="00A55F2D">
              <w:rPr>
                <w:rFonts w:eastAsia="Calibri"/>
                <w:szCs w:val="26"/>
              </w:rPr>
              <w:t>$0</w:t>
            </w:r>
          </w:p>
        </w:tc>
      </w:tr>
      <w:tr w:rsidR="002C118D" w:rsidRPr="00254D55" w14:paraId="5B649E8D" w14:textId="77777777" w:rsidTr="008B1488">
        <w:trPr>
          <w:trHeight w:val="295"/>
        </w:trPr>
        <w:tc>
          <w:tcPr>
            <w:tcW w:w="9360" w:type="dxa"/>
            <w:gridSpan w:val="5"/>
            <w:tcBorders>
              <w:bottom w:val="single" w:sz="4" w:space="0" w:color="auto"/>
            </w:tcBorders>
            <w:shd w:val="clear" w:color="auto" w:fill="C6D9F1" w:themeFill="text2" w:themeFillTint="33"/>
            <w:vAlign w:val="bottom"/>
          </w:tcPr>
          <w:p w14:paraId="24EAB669" w14:textId="6D87A1B3" w:rsidR="002C118D" w:rsidRPr="00C75C08" w:rsidRDefault="002C118D" w:rsidP="008B1488">
            <w:pPr>
              <w:jc w:val="center"/>
              <w:rPr>
                <w:rFonts w:eastAsia="Calibri"/>
                <w:b/>
                <w:szCs w:val="26"/>
              </w:rPr>
            </w:pPr>
            <w:r>
              <w:rPr>
                <w:rFonts w:eastAsia="Calibri"/>
                <w:b/>
                <w:szCs w:val="26"/>
              </w:rPr>
              <w:t>FERC-549C</w:t>
            </w:r>
            <w:r w:rsidR="004B21FD">
              <w:rPr>
                <w:rFonts w:eastAsia="Calibri"/>
                <w:b/>
                <w:szCs w:val="26"/>
              </w:rPr>
              <w:t>1</w:t>
            </w:r>
          </w:p>
        </w:tc>
      </w:tr>
      <w:tr w:rsidR="002C118D" w:rsidRPr="00254D55" w14:paraId="3BA2AFAE" w14:textId="77777777" w:rsidTr="008B1488">
        <w:trPr>
          <w:trHeight w:val="295"/>
        </w:trPr>
        <w:tc>
          <w:tcPr>
            <w:tcW w:w="2679" w:type="dxa"/>
            <w:tcBorders>
              <w:bottom w:val="single" w:sz="4" w:space="0" w:color="auto"/>
            </w:tcBorders>
            <w:shd w:val="clear" w:color="auto" w:fill="auto"/>
          </w:tcPr>
          <w:p w14:paraId="3E238135" w14:textId="77777777" w:rsidR="002C118D" w:rsidRPr="00117A4E" w:rsidRDefault="002C118D" w:rsidP="008B1488">
            <w:pPr>
              <w:jc w:val="center"/>
              <w:rPr>
                <w:rFonts w:eastAsia="Calibri"/>
                <w:szCs w:val="26"/>
              </w:rPr>
            </w:pPr>
            <w:r w:rsidRPr="00117A4E">
              <w:rPr>
                <w:rFonts w:eastAsia="Calibri"/>
                <w:szCs w:val="26"/>
              </w:rPr>
              <w:t>Annual Number of Responses</w:t>
            </w:r>
          </w:p>
        </w:tc>
        <w:tc>
          <w:tcPr>
            <w:tcW w:w="1461" w:type="dxa"/>
            <w:tcBorders>
              <w:bottom w:val="single" w:sz="4" w:space="0" w:color="auto"/>
            </w:tcBorders>
            <w:shd w:val="clear" w:color="auto" w:fill="auto"/>
            <w:vAlign w:val="bottom"/>
          </w:tcPr>
          <w:p w14:paraId="73209D00" w14:textId="57954926" w:rsidR="002C118D" w:rsidRPr="00425731" w:rsidRDefault="004B21FD" w:rsidP="008B1488">
            <w:pPr>
              <w:jc w:val="right"/>
              <w:rPr>
                <w:rFonts w:eastAsia="Calibri"/>
                <w:szCs w:val="26"/>
              </w:rPr>
            </w:pPr>
            <w:r>
              <w:rPr>
                <w:rFonts w:eastAsia="Calibri"/>
                <w:szCs w:val="26"/>
              </w:rPr>
              <w:t>165</w:t>
            </w:r>
          </w:p>
        </w:tc>
        <w:tc>
          <w:tcPr>
            <w:tcW w:w="1620" w:type="dxa"/>
            <w:tcBorders>
              <w:bottom w:val="single" w:sz="4" w:space="0" w:color="auto"/>
            </w:tcBorders>
            <w:shd w:val="clear" w:color="auto" w:fill="auto"/>
            <w:vAlign w:val="bottom"/>
          </w:tcPr>
          <w:p w14:paraId="45340588" w14:textId="200092CA" w:rsidR="002C118D" w:rsidRPr="00425731" w:rsidRDefault="004B21FD" w:rsidP="008B1488">
            <w:pPr>
              <w:jc w:val="right"/>
              <w:rPr>
                <w:rFonts w:eastAsia="Calibri"/>
                <w:szCs w:val="26"/>
              </w:rPr>
            </w:pPr>
            <w:r>
              <w:rPr>
                <w:rFonts w:eastAsia="Calibri"/>
                <w:szCs w:val="26"/>
              </w:rPr>
              <w:t>0</w:t>
            </w:r>
          </w:p>
        </w:tc>
        <w:tc>
          <w:tcPr>
            <w:tcW w:w="1800" w:type="dxa"/>
            <w:tcBorders>
              <w:bottom w:val="single" w:sz="4" w:space="0" w:color="auto"/>
            </w:tcBorders>
            <w:shd w:val="clear" w:color="auto" w:fill="auto"/>
            <w:vAlign w:val="bottom"/>
          </w:tcPr>
          <w:p w14:paraId="77C507E5" w14:textId="77777777" w:rsidR="002C118D" w:rsidRPr="00425731" w:rsidRDefault="002C118D" w:rsidP="008B1488">
            <w:pPr>
              <w:jc w:val="right"/>
              <w:rPr>
                <w:rFonts w:eastAsia="Calibri"/>
                <w:szCs w:val="26"/>
              </w:rPr>
            </w:pPr>
            <w:r w:rsidRPr="00425731">
              <w:rPr>
                <w:rFonts w:eastAsia="Calibri"/>
                <w:szCs w:val="26"/>
              </w:rPr>
              <w:t>0</w:t>
            </w:r>
          </w:p>
        </w:tc>
        <w:tc>
          <w:tcPr>
            <w:tcW w:w="1800" w:type="dxa"/>
            <w:tcBorders>
              <w:bottom w:val="single" w:sz="4" w:space="0" w:color="auto"/>
            </w:tcBorders>
            <w:shd w:val="clear" w:color="auto" w:fill="auto"/>
            <w:vAlign w:val="bottom"/>
          </w:tcPr>
          <w:p w14:paraId="5CCCE60F" w14:textId="6347BF6C" w:rsidR="002C118D" w:rsidRPr="00425731" w:rsidRDefault="00B269BE" w:rsidP="008B1488">
            <w:pPr>
              <w:jc w:val="right"/>
              <w:rPr>
                <w:rFonts w:eastAsia="Calibri"/>
                <w:szCs w:val="26"/>
              </w:rPr>
            </w:pPr>
            <w:r>
              <w:rPr>
                <w:rFonts w:eastAsia="Calibri"/>
                <w:szCs w:val="26"/>
              </w:rPr>
              <w:t>165</w:t>
            </w:r>
          </w:p>
        </w:tc>
      </w:tr>
      <w:tr w:rsidR="002C118D" w:rsidRPr="006923C8" w14:paraId="6473DFF9" w14:textId="77777777" w:rsidTr="008B1488">
        <w:trPr>
          <w:trHeight w:val="295"/>
        </w:trPr>
        <w:tc>
          <w:tcPr>
            <w:tcW w:w="2679" w:type="dxa"/>
            <w:tcBorders>
              <w:bottom w:val="single" w:sz="4" w:space="0" w:color="auto"/>
            </w:tcBorders>
            <w:shd w:val="clear" w:color="auto" w:fill="auto"/>
          </w:tcPr>
          <w:p w14:paraId="6B3A8511" w14:textId="77777777" w:rsidR="002C118D" w:rsidRPr="00254D55" w:rsidRDefault="002C118D" w:rsidP="008B1488">
            <w:pPr>
              <w:jc w:val="center"/>
              <w:rPr>
                <w:rFonts w:eastAsia="Calibri"/>
                <w:szCs w:val="26"/>
              </w:rPr>
            </w:pPr>
            <w:r w:rsidRPr="00254D55">
              <w:rPr>
                <w:rFonts w:eastAsia="Calibri"/>
                <w:szCs w:val="26"/>
              </w:rPr>
              <w:t>Annual Time Burden (Hr.)</w:t>
            </w:r>
            <w:r w:rsidRPr="00254D55">
              <w:rPr>
                <w:rStyle w:val="FootnoteReference"/>
                <w:rFonts w:eastAsia="Calibri"/>
              </w:rPr>
              <w:footnoteReference w:id="14"/>
            </w:r>
          </w:p>
        </w:tc>
        <w:tc>
          <w:tcPr>
            <w:tcW w:w="1461" w:type="dxa"/>
            <w:tcBorders>
              <w:bottom w:val="single" w:sz="4" w:space="0" w:color="auto"/>
            </w:tcBorders>
            <w:shd w:val="clear" w:color="auto" w:fill="auto"/>
            <w:vAlign w:val="bottom"/>
          </w:tcPr>
          <w:p w14:paraId="3F0FDBBB" w14:textId="5FAEB7CD" w:rsidR="002C118D" w:rsidRPr="001F374E" w:rsidRDefault="003A5D61" w:rsidP="008B1488">
            <w:pPr>
              <w:jc w:val="right"/>
              <w:rPr>
                <w:bCs/>
                <w:szCs w:val="26"/>
              </w:rPr>
            </w:pPr>
            <w:r>
              <w:rPr>
                <w:szCs w:val="26"/>
              </w:rPr>
              <w:t>1,210</w:t>
            </w:r>
          </w:p>
        </w:tc>
        <w:tc>
          <w:tcPr>
            <w:tcW w:w="1620" w:type="dxa"/>
            <w:tcBorders>
              <w:bottom w:val="single" w:sz="4" w:space="0" w:color="auto"/>
            </w:tcBorders>
            <w:shd w:val="clear" w:color="auto" w:fill="auto"/>
            <w:vAlign w:val="bottom"/>
          </w:tcPr>
          <w:p w14:paraId="5E6D66D4" w14:textId="575D467F" w:rsidR="002C118D" w:rsidRPr="00254D55" w:rsidRDefault="004B21FD" w:rsidP="008B1488">
            <w:pPr>
              <w:jc w:val="right"/>
              <w:rPr>
                <w:rFonts w:eastAsia="Calibri"/>
                <w:szCs w:val="26"/>
              </w:rPr>
            </w:pPr>
            <w:r>
              <w:rPr>
                <w:rFonts w:eastAsia="Calibri"/>
                <w:szCs w:val="26"/>
              </w:rPr>
              <w:t>0</w:t>
            </w:r>
          </w:p>
        </w:tc>
        <w:tc>
          <w:tcPr>
            <w:tcW w:w="1800" w:type="dxa"/>
            <w:tcBorders>
              <w:bottom w:val="single" w:sz="4" w:space="0" w:color="auto"/>
            </w:tcBorders>
            <w:shd w:val="clear" w:color="auto" w:fill="auto"/>
            <w:vAlign w:val="bottom"/>
          </w:tcPr>
          <w:p w14:paraId="260EC150" w14:textId="77777777" w:rsidR="002C118D" w:rsidRPr="00254D55" w:rsidRDefault="002C118D" w:rsidP="008B1488">
            <w:pPr>
              <w:jc w:val="right"/>
              <w:rPr>
                <w:rFonts w:eastAsia="Calibri"/>
                <w:szCs w:val="26"/>
              </w:rPr>
            </w:pPr>
            <w:r>
              <w:rPr>
                <w:rFonts w:eastAsia="Calibri"/>
                <w:szCs w:val="26"/>
              </w:rPr>
              <w:t>0</w:t>
            </w:r>
          </w:p>
        </w:tc>
        <w:tc>
          <w:tcPr>
            <w:tcW w:w="1800" w:type="dxa"/>
            <w:tcBorders>
              <w:bottom w:val="single" w:sz="4" w:space="0" w:color="auto"/>
            </w:tcBorders>
            <w:shd w:val="clear" w:color="auto" w:fill="auto"/>
            <w:vAlign w:val="bottom"/>
          </w:tcPr>
          <w:p w14:paraId="1F1ADBED" w14:textId="59F7752C" w:rsidR="002C118D" w:rsidRPr="006923C8" w:rsidRDefault="00B269BE" w:rsidP="008B1488">
            <w:pPr>
              <w:jc w:val="right"/>
              <w:rPr>
                <w:bCs/>
                <w:szCs w:val="26"/>
              </w:rPr>
            </w:pPr>
            <w:r>
              <w:rPr>
                <w:bCs/>
                <w:szCs w:val="26"/>
              </w:rPr>
              <w:t>1,210</w:t>
            </w:r>
          </w:p>
        </w:tc>
      </w:tr>
      <w:tr w:rsidR="002C118D" w:rsidRPr="00254D55" w14:paraId="575250F6" w14:textId="77777777" w:rsidTr="008B1488">
        <w:trPr>
          <w:trHeight w:val="295"/>
        </w:trPr>
        <w:tc>
          <w:tcPr>
            <w:tcW w:w="2679" w:type="dxa"/>
            <w:tcBorders>
              <w:bottom w:val="single" w:sz="4" w:space="0" w:color="auto"/>
            </w:tcBorders>
            <w:shd w:val="clear" w:color="auto" w:fill="auto"/>
          </w:tcPr>
          <w:p w14:paraId="4C643B3B" w14:textId="77777777" w:rsidR="002C118D" w:rsidRPr="00254D55" w:rsidRDefault="002C118D" w:rsidP="008B1488">
            <w:pPr>
              <w:jc w:val="center"/>
              <w:rPr>
                <w:rFonts w:eastAsia="Calibri"/>
                <w:szCs w:val="26"/>
              </w:rPr>
            </w:pPr>
            <w:r w:rsidRPr="00254D55">
              <w:rPr>
                <w:rFonts w:eastAsia="Calibri"/>
                <w:szCs w:val="26"/>
              </w:rPr>
              <w:t>Annual Cost Burden ($)</w:t>
            </w:r>
          </w:p>
        </w:tc>
        <w:tc>
          <w:tcPr>
            <w:tcW w:w="1461" w:type="dxa"/>
            <w:tcBorders>
              <w:bottom w:val="single" w:sz="4" w:space="0" w:color="auto"/>
            </w:tcBorders>
            <w:shd w:val="clear" w:color="auto" w:fill="auto"/>
            <w:vAlign w:val="bottom"/>
          </w:tcPr>
          <w:p w14:paraId="3C41363A" w14:textId="77777777" w:rsidR="002C118D" w:rsidRPr="00254D55" w:rsidRDefault="002C118D" w:rsidP="008B1488">
            <w:pPr>
              <w:jc w:val="right"/>
              <w:rPr>
                <w:rFonts w:eastAsia="Calibri"/>
                <w:szCs w:val="26"/>
              </w:rPr>
            </w:pPr>
            <w:r w:rsidRPr="00B325A1">
              <w:t>$0</w:t>
            </w:r>
          </w:p>
        </w:tc>
        <w:tc>
          <w:tcPr>
            <w:tcW w:w="1620" w:type="dxa"/>
            <w:tcBorders>
              <w:bottom w:val="single" w:sz="4" w:space="0" w:color="auto"/>
            </w:tcBorders>
            <w:shd w:val="clear" w:color="auto" w:fill="auto"/>
            <w:vAlign w:val="bottom"/>
          </w:tcPr>
          <w:p w14:paraId="2CCA2936" w14:textId="77777777" w:rsidR="002C118D" w:rsidRPr="00254D55" w:rsidRDefault="002C118D" w:rsidP="008B1488">
            <w:pPr>
              <w:jc w:val="right"/>
              <w:rPr>
                <w:rFonts w:eastAsia="Calibri"/>
                <w:szCs w:val="26"/>
              </w:rPr>
            </w:pPr>
            <w:r w:rsidRPr="00B325A1">
              <w:t>$0</w:t>
            </w:r>
          </w:p>
        </w:tc>
        <w:tc>
          <w:tcPr>
            <w:tcW w:w="1800" w:type="dxa"/>
            <w:tcBorders>
              <w:bottom w:val="single" w:sz="4" w:space="0" w:color="auto"/>
            </w:tcBorders>
            <w:shd w:val="clear" w:color="auto" w:fill="auto"/>
            <w:vAlign w:val="bottom"/>
          </w:tcPr>
          <w:p w14:paraId="629BC3CC" w14:textId="77777777" w:rsidR="002C118D" w:rsidRPr="00254D55" w:rsidRDefault="002C118D" w:rsidP="008B1488">
            <w:pPr>
              <w:jc w:val="right"/>
              <w:rPr>
                <w:rFonts w:eastAsia="Calibri"/>
                <w:szCs w:val="26"/>
              </w:rPr>
            </w:pPr>
            <w:r w:rsidRPr="00B325A1">
              <w:t>$0</w:t>
            </w:r>
          </w:p>
        </w:tc>
        <w:tc>
          <w:tcPr>
            <w:tcW w:w="1800" w:type="dxa"/>
            <w:tcBorders>
              <w:bottom w:val="single" w:sz="4" w:space="0" w:color="auto"/>
            </w:tcBorders>
            <w:shd w:val="clear" w:color="auto" w:fill="auto"/>
            <w:vAlign w:val="bottom"/>
          </w:tcPr>
          <w:p w14:paraId="0CB35862" w14:textId="77777777" w:rsidR="002C118D" w:rsidRPr="00254D55" w:rsidRDefault="002C118D" w:rsidP="008B1488">
            <w:pPr>
              <w:jc w:val="right"/>
              <w:rPr>
                <w:rFonts w:eastAsia="Calibri"/>
                <w:szCs w:val="26"/>
              </w:rPr>
            </w:pPr>
            <w:r w:rsidRPr="00B325A1">
              <w:t>$0</w:t>
            </w:r>
          </w:p>
        </w:tc>
      </w:tr>
    </w:tbl>
    <w:p w14:paraId="0BF8D166" w14:textId="77777777" w:rsidR="002C118D" w:rsidRPr="003B18DD" w:rsidRDefault="002C118D" w:rsidP="00BC15BE">
      <w:pPr>
        <w:rPr>
          <w:szCs w:val="26"/>
        </w:rPr>
      </w:pPr>
    </w:p>
    <w:p w14:paraId="6385FC56" w14:textId="77777777" w:rsidR="00BC15BE" w:rsidRPr="003B18DD" w:rsidRDefault="00BC15BE" w:rsidP="00BC15BE">
      <w:pPr>
        <w:pStyle w:val="Level1"/>
        <w:rPr>
          <w:b/>
          <w:sz w:val="26"/>
          <w:szCs w:val="26"/>
        </w:rPr>
      </w:pPr>
      <w:r w:rsidRPr="003B18DD">
        <w:rPr>
          <w:b/>
          <w:sz w:val="26"/>
          <w:szCs w:val="26"/>
        </w:rPr>
        <w:t>TIME SCHEDULE FOR PUBLICATION OF DATA</w:t>
      </w:r>
    </w:p>
    <w:p w14:paraId="262E579F" w14:textId="77777777" w:rsidR="00BC15BE" w:rsidRPr="003B18DD" w:rsidRDefault="00BC15BE" w:rsidP="00BC15BE">
      <w:pPr>
        <w:rPr>
          <w:szCs w:val="26"/>
        </w:rPr>
      </w:pPr>
    </w:p>
    <w:p w14:paraId="5AE42336" w14:textId="77777777" w:rsidR="00BC15BE" w:rsidRPr="003B18DD" w:rsidRDefault="003D2136" w:rsidP="00BC15BE">
      <w:pPr>
        <w:rPr>
          <w:szCs w:val="26"/>
        </w:rPr>
      </w:pPr>
      <w:r w:rsidRPr="00DA6CEC">
        <w:rPr>
          <w:szCs w:val="26"/>
        </w:rPr>
        <w:t>There are no publications of the information</w:t>
      </w:r>
      <w:r w:rsidR="00BC15BE" w:rsidRPr="003B18DD">
        <w:rPr>
          <w:szCs w:val="26"/>
        </w:rPr>
        <w:t>.</w:t>
      </w:r>
    </w:p>
    <w:p w14:paraId="7D27AE26" w14:textId="77777777" w:rsidR="00BC15BE" w:rsidRPr="003B18DD" w:rsidRDefault="00BC15BE" w:rsidP="00BC15BE">
      <w:pPr>
        <w:rPr>
          <w:szCs w:val="26"/>
        </w:rPr>
      </w:pPr>
    </w:p>
    <w:p w14:paraId="7650D858" w14:textId="77777777" w:rsidR="00BC15BE" w:rsidRPr="003B18DD" w:rsidRDefault="00BC15BE" w:rsidP="00BC15BE">
      <w:pPr>
        <w:pStyle w:val="Level1"/>
        <w:rPr>
          <w:b/>
          <w:sz w:val="26"/>
          <w:szCs w:val="26"/>
        </w:rPr>
      </w:pPr>
      <w:r w:rsidRPr="003B18DD">
        <w:rPr>
          <w:b/>
          <w:sz w:val="26"/>
          <w:szCs w:val="26"/>
        </w:rPr>
        <w:t>DISPLAY OF EXPIRATION DATE</w:t>
      </w:r>
    </w:p>
    <w:p w14:paraId="1688A16E" w14:textId="77777777" w:rsidR="00BC15BE" w:rsidRPr="003B18DD" w:rsidRDefault="00BC15BE" w:rsidP="00BC15BE">
      <w:pPr>
        <w:rPr>
          <w:szCs w:val="26"/>
        </w:rPr>
      </w:pPr>
    </w:p>
    <w:p w14:paraId="12A5BD60" w14:textId="196A5723" w:rsidR="00BC15BE" w:rsidRPr="003B18DD" w:rsidRDefault="003D2136" w:rsidP="00BC15BE">
      <w:pPr>
        <w:rPr>
          <w:szCs w:val="26"/>
        </w:rPr>
      </w:pPr>
      <w:r w:rsidRPr="0074677E">
        <w:rPr>
          <w:szCs w:val="26"/>
        </w:rPr>
        <w:t xml:space="preserve">The expiration dates are displayed on ferc.gov with links to the updated table </w:t>
      </w:r>
      <w:r w:rsidR="008A127E">
        <w:rPr>
          <w:szCs w:val="26"/>
        </w:rPr>
        <w:t>at</w:t>
      </w:r>
      <w:r w:rsidRPr="0074677E">
        <w:rPr>
          <w:szCs w:val="26"/>
        </w:rPr>
        <w:t xml:space="preserve"> </w:t>
      </w:r>
      <w:hyperlink r:id="rId14" w:history="1">
        <w:r w:rsidRPr="0074677E">
          <w:rPr>
            <w:rStyle w:val="Hyperlink"/>
            <w:szCs w:val="26"/>
          </w:rPr>
          <w:t>http://www.ferc.gov/docs-filing/info-collections.asp</w:t>
        </w:r>
      </w:hyperlink>
      <w:r w:rsidR="008A127E">
        <w:rPr>
          <w:szCs w:val="26"/>
        </w:rPr>
        <w:t>.</w:t>
      </w:r>
    </w:p>
    <w:p w14:paraId="7B5EB921" w14:textId="77777777" w:rsidR="00BC15BE" w:rsidRPr="003B18DD" w:rsidRDefault="00BC15BE" w:rsidP="00BC15BE">
      <w:pPr>
        <w:rPr>
          <w:szCs w:val="26"/>
        </w:rPr>
      </w:pPr>
    </w:p>
    <w:p w14:paraId="7BF11C19" w14:textId="77777777" w:rsidR="00BC15BE" w:rsidRPr="003B18DD" w:rsidRDefault="00BC15BE" w:rsidP="00BC15BE">
      <w:pPr>
        <w:pStyle w:val="Level1"/>
        <w:rPr>
          <w:b/>
          <w:sz w:val="26"/>
          <w:szCs w:val="26"/>
        </w:rPr>
      </w:pPr>
      <w:r w:rsidRPr="003B18DD">
        <w:rPr>
          <w:b/>
          <w:sz w:val="26"/>
          <w:szCs w:val="26"/>
        </w:rPr>
        <w:t>EXCEPTIONS TO THE CERTIFICATION STATEMENT</w:t>
      </w:r>
    </w:p>
    <w:p w14:paraId="6BCFE7AF" w14:textId="77777777" w:rsidR="00BC15BE" w:rsidRPr="003B18DD" w:rsidRDefault="00BC15BE" w:rsidP="00BC15BE">
      <w:pPr>
        <w:rPr>
          <w:szCs w:val="26"/>
        </w:rPr>
      </w:pPr>
    </w:p>
    <w:p w14:paraId="21F8277A" w14:textId="77777777" w:rsidR="00BC15BE" w:rsidRPr="003B18DD" w:rsidRDefault="00BC15BE" w:rsidP="00BC15BE">
      <w:pPr>
        <w:rPr>
          <w:szCs w:val="26"/>
        </w:rPr>
      </w:pPr>
      <w:r>
        <w:rPr>
          <w:szCs w:val="26"/>
        </w:rPr>
        <w:t>There are no exceptions.</w:t>
      </w:r>
    </w:p>
    <w:p w14:paraId="480F3362" w14:textId="77777777" w:rsidR="0010764F" w:rsidRDefault="0010764F"/>
    <w:sectPr w:rsidR="0010764F" w:rsidSect="008B1488">
      <w:headerReference w:type="default" r:id="rId15"/>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172DE" w14:textId="77777777" w:rsidR="00784586" w:rsidRDefault="00784586" w:rsidP="00BC15BE">
      <w:r>
        <w:separator/>
      </w:r>
    </w:p>
  </w:endnote>
  <w:endnote w:type="continuationSeparator" w:id="0">
    <w:p w14:paraId="1F67A32E" w14:textId="77777777" w:rsidR="00784586" w:rsidRDefault="00784586" w:rsidP="00BC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EE466" w14:textId="77777777" w:rsidR="00784586" w:rsidRDefault="00784586" w:rsidP="00BC15BE">
      <w:r>
        <w:separator/>
      </w:r>
    </w:p>
  </w:footnote>
  <w:footnote w:type="continuationSeparator" w:id="0">
    <w:p w14:paraId="7CC4575D" w14:textId="77777777" w:rsidR="00784586" w:rsidRDefault="00784586" w:rsidP="00BC15BE">
      <w:r>
        <w:continuationSeparator/>
      </w:r>
    </w:p>
  </w:footnote>
  <w:footnote w:id="1">
    <w:p w14:paraId="6072A687" w14:textId="77777777" w:rsidR="00800C90" w:rsidRPr="009A01C8" w:rsidRDefault="00800C90" w:rsidP="00800C90">
      <w:pPr>
        <w:pStyle w:val="FootnoteText"/>
        <w:spacing w:after="0"/>
        <w:ind w:firstLine="0"/>
        <w:rPr>
          <w:szCs w:val="26"/>
        </w:rPr>
      </w:pPr>
      <w:r w:rsidRPr="009A01C8">
        <w:rPr>
          <w:rStyle w:val="FootnoteReference"/>
        </w:rPr>
        <w:footnoteRef/>
      </w:r>
      <w:r w:rsidRPr="009A01C8">
        <w:rPr>
          <w:szCs w:val="26"/>
        </w:rPr>
        <w:t xml:space="preserve"> FERC-545B, as </w:t>
      </w:r>
      <w:r>
        <w:rPr>
          <w:szCs w:val="26"/>
        </w:rPr>
        <w:t>‘</w:t>
      </w:r>
      <w:r w:rsidRPr="009A01C8">
        <w:rPr>
          <w:szCs w:val="26"/>
        </w:rPr>
        <w:t>placeholder</w:t>
      </w:r>
      <w:r>
        <w:rPr>
          <w:szCs w:val="26"/>
        </w:rPr>
        <w:t>’</w:t>
      </w:r>
      <w:r w:rsidRPr="009A01C8">
        <w:rPr>
          <w:szCs w:val="26"/>
        </w:rPr>
        <w:t xml:space="preserve"> </w:t>
      </w:r>
      <w:r>
        <w:rPr>
          <w:szCs w:val="26"/>
        </w:rPr>
        <w:t xml:space="preserve">information collection number </w:t>
      </w:r>
      <w:r w:rsidRPr="009A01C8">
        <w:rPr>
          <w:szCs w:val="26"/>
        </w:rPr>
        <w:t>for FERC-545, is a one-time reporting burden based on the preparation and filing of tariff filings to conform the pipelines’ tariffs to the standards/business practices.</w:t>
      </w:r>
    </w:p>
  </w:footnote>
  <w:footnote w:id="2">
    <w:p w14:paraId="0AABA6B5" w14:textId="77777777" w:rsidR="00800C90" w:rsidRPr="009A01C8" w:rsidRDefault="00800C90" w:rsidP="00800C90">
      <w:pPr>
        <w:pStyle w:val="FootnoteText"/>
        <w:spacing w:after="0"/>
        <w:ind w:firstLine="0"/>
        <w:rPr>
          <w:szCs w:val="26"/>
        </w:rPr>
      </w:pPr>
      <w:r w:rsidRPr="009A01C8">
        <w:rPr>
          <w:rStyle w:val="FootnoteReference"/>
        </w:rPr>
        <w:footnoteRef/>
      </w:r>
      <w:r w:rsidRPr="009A01C8">
        <w:rPr>
          <w:szCs w:val="26"/>
        </w:rPr>
        <w:t xml:space="preserve"> FERC-549C1, as </w:t>
      </w:r>
      <w:r>
        <w:rPr>
          <w:szCs w:val="26"/>
        </w:rPr>
        <w:t>‘</w:t>
      </w:r>
      <w:r w:rsidRPr="009A01C8">
        <w:rPr>
          <w:szCs w:val="26"/>
        </w:rPr>
        <w:t>placeholder</w:t>
      </w:r>
      <w:r>
        <w:rPr>
          <w:szCs w:val="26"/>
        </w:rPr>
        <w:t>’</w:t>
      </w:r>
      <w:r w:rsidRPr="009A01C8">
        <w:rPr>
          <w:szCs w:val="26"/>
        </w:rPr>
        <w:t xml:space="preserve"> </w:t>
      </w:r>
      <w:r w:rsidRPr="002C5AF3">
        <w:rPr>
          <w:szCs w:val="26"/>
        </w:rPr>
        <w:t xml:space="preserve">information collection number </w:t>
      </w:r>
      <w:r w:rsidRPr="009A01C8">
        <w:rPr>
          <w:szCs w:val="26"/>
        </w:rPr>
        <w:t>for FERC-549C, is a one-time reporting burden based on implementing the revised standards/business practices proposed in the NOPR.</w:t>
      </w:r>
    </w:p>
    <w:p w14:paraId="76272679" w14:textId="77777777" w:rsidR="00800C90" w:rsidRPr="00820CFB" w:rsidRDefault="00800C90" w:rsidP="00800C90">
      <w:pPr>
        <w:pStyle w:val="FootnoteText"/>
        <w:spacing w:after="0"/>
        <w:ind w:firstLine="0"/>
        <w:rPr>
          <w:sz w:val="20"/>
        </w:rPr>
      </w:pPr>
    </w:p>
  </w:footnote>
  <w:footnote w:id="3">
    <w:p w14:paraId="39007681" w14:textId="77777777" w:rsidR="00784586" w:rsidRPr="007C3D09" w:rsidRDefault="00784586" w:rsidP="00820CFB">
      <w:pPr>
        <w:rPr>
          <w:szCs w:val="26"/>
        </w:rPr>
      </w:pPr>
      <w:r w:rsidRPr="007C3D09">
        <w:rPr>
          <w:rStyle w:val="FootnoteReference"/>
        </w:rPr>
        <w:footnoteRef/>
      </w:r>
      <w:r w:rsidRPr="007C3D09">
        <w:rPr>
          <w:szCs w:val="26"/>
        </w:rPr>
        <w:t xml:space="preserve"> FERC-549C was created in Order No. 587 (July 26, 1996, 61 FR 39053) because interstate pipelines were required to adopt certain standards for business practices that required changes in the day-to-day operations.  In addition, these standards required pipelines to adopt certain mechanisms for electronic communication between the pipelines and those doing business with the pipelines.</w:t>
      </w:r>
    </w:p>
    <w:p w14:paraId="61CF04A5" w14:textId="77777777" w:rsidR="00784586" w:rsidRPr="007C3D09" w:rsidRDefault="00784586" w:rsidP="00820CFB">
      <w:pPr>
        <w:rPr>
          <w:szCs w:val="26"/>
        </w:rPr>
      </w:pPr>
    </w:p>
  </w:footnote>
  <w:footnote w:id="4">
    <w:p w14:paraId="5DF22500" w14:textId="77777777" w:rsidR="00784586" w:rsidRPr="007C3D09" w:rsidRDefault="00784586" w:rsidP="00820CFB">
      <w:pPr>
        <w:pStyle w:val="FootnoteText"/>
        <w:spacing w:after="0"/>
        <w:ind w:firstLine="0"/>
        <w:rPr>
          <w:szCs w:val="26"/>
        </w:rPr>
      </w:pPr>
      <w:r w:rsidRPr="007C3D09">
        <w:rPr>
          <w:rStyle w:val="FootnoteReference"/>
        </w:rPr>
        <w:footnoteRef/>
      </w:r>
      <w:r w:rsidRPr="007C3D09">
        <w:rPr>
          <w:szCs w:val="26"/>
        </w:rPr>
        <w:t xml:space="preserve"> Additional information is available on NAESB’s website at </w:t>
      </w:r>
      <w:hyperlink r:id="rId1" w:history="1">
        <w:r w:rsidRPr="007C3D09">
          <w:rPr>
            <w:rStyle w:val="Hyperlink"/>
            <w:szCs w:val="26"/>
          </w:rPr>
          <w:t>http://www.naesb.org/</w:t>
        </w:r>
      </w:hyperlink>
      <w:r w:rsidRPr="007C3D09">
        <w:rPr>
          <w:szCs w:val="26"/>
        </w:rPr>
        <w:t xml:space="preserve"> .  NAESB described its standards development process as of 1/29/2013 in “Submittal of Modifications to the NAESB Public Key Infrastructure Standards and Other Standards to support the Public Key Infrastructure (Docket Nos. RM05-5-000 and RM05-5-022),” Appendix E, posted on ferc.gov at </w:t>
      </w:r>
      <w:hyperlink r:id="rId2" w:history="1">
        <w:r w:rsidRPr="007C3D09">
          <w:rPr>
            <w:rStyle w:val="Hyperlink"/>
            <w:szCs w:val="26"/>
          </w:rPr>
          <w:t>http://elibrary.ferc.gov/idmws/common/opennat.asp?fileID=13165589</w:t>
        </w:r>
      </w:hyperlink>
      <w:r w:rsidRPr="007C3D09">
        <w:rPr>
          <w:szCs w:val="26"/>
        </w:rPr>
        <w:t xml:space="preserve"> .  The same process is used by the WGQ in developing standards for interstate natural gas pipelines, with the exception that the composition of the voting segments have been designed to match the participants in the natural gas industry.</w:t>
      </w:r>
    </w:p>
  </w:footnote>
  <w:footnote w:id="5">
    <w:p w14:paraId="2D8262E4" w14:textId="7A46D448" w:rsidR="00784586" w:rsidRPr="007C3D09" w:rsidRDefault="00784586" w:rsidP="00820CFB">
      <w:pPr>
        <w:pStyle w:val="FootnoteText"/>
        <w:spacing w:after="0"/>
        <w:ind w:firstLine="0"/>
        <w:rPr>
          <w:szCs w:val="26"/>
        </w:rPr>
      </w:pPr>
      <w:r w:rsidRPr="007C3D09">
        <w:rPr>
          <w:rStyle w:val="FootnoteReference"/>
        </w:rPr>
        <w:footnoteRef/>
      </w:r>
      <w:r w:rsidRPr="007C3D09">
        <w:rPr>
          <w:szCs w:val="26"/>
        </w:rPr>
        <w:t xml:space="preserve"> More information is available on FERC’s eTariff page at </w:t>
      </w:r>
      <w:hyperlink r:id="rId3" w:history="1">
        <w:r w:rsidRPr="007C3D09">
          <w:rPr>
            <w:rStyle w:val="Hyperlink"/>
            <w:szCs w:val="26"/>
          </w:rPr>
          <w:t>http://www.ferc.gov/docs-filing/etariff.asp</w:t>
        </w:r>
      </w:hyperlink>
      <w:r w:rsidRPr="007C3D09">
        <w:rPr>
          <w:szCs w:val="26"/>
        </w:rPr>
        <w:t xml:space="preserve"> .</w:t>
      </w:r>
    </w:p>
  </w:footnote>
  <w:footnote w:id="6">
    <w:p w14:paraId="7E18A243" w14:textId="77777777" w:rsidR="00784586" w:rsidRPr="007C3D09" w:rsidRDefault="00784586" w:rsidP="00820CFB">
      <w:pPr>
        <w:pStyle w:val="FootnoteText"/>
        <w:spacing w:after="0"/>
        <w:ind w:firstLine="0"/>
        <w:rPr>
          <w:szCs w:val="26"/>
        </w:rPr>
      </w:pPr>
      <w:r w:rsidRPr="007C3D09">
        <w:rPr>
          <w:rStyle w:val="FootnoteReference"/>
        </w:rPr>
        <w:footnoteRef/>
      </w:r>
      <w:r w:rsidRPr="007C3D09">
        <w:rPr>
          <w:szCs w:val="26"/>
        </w:rPr>
        <w:t xml:space="preserve"> U.S. Small Business Administration, Table of Small Business Size Standards for  Pipeline Transportation of Natural Gas, NAICS Code 486210,  available at https://www.sba.gov/sites/default/files/files/Size_Standards_Table.pdf, Subsector 486. </w:t>
      </w:r>
    </w:p>
    <w:p w14:paraId="1215D197" w14:textId="05570363" w:rsidR="00784586" w:rsidRPr="00820CFB" w:rsidRDefault="00592815" w:rsidP="00820CFB">
      <w:pPr>
        <w:pStyle w:val="FootnoteText"/>
        <w:spacing w:after="0"/>
        <w:ind w:firstLine="0"/>
        <w:rPr>
          <w:sz w:val="20"/>
        </w:rPr>
      </w:pPr>
      <w:r>
        <w:rPr>
          <w:szCs w:val="26"/>
        </w:rPr>
        <w:t>This is m</w:t>
      </w:r>
      <w:r w:rsidR="00784586" w:rsidRPr="007C3D09">
        <w:rPr>
          <w:szCs w:val="26"/>
        </w:rPr>
        <w:t>atched to North American Industry Classification System Codes, Natural Gas Pipeline Transportation, NAICS Code 486210, page 27, July 14, 2014, available at https://www.sba.gov/sites/default/files/files/Size_Standards_Table.pdf, Subsector 486.</w:t>
      </w:r>
    </w:p>
  </w:footnote>
  <w:footnote w:id="7">
    <w:p w14:paraId="0D6581AF" w14:textId="77777777" w:rsidR="00784586" w:rsidRPr="007C3D09" w:rsidRDefault="00784586" w:rsidP="00820CFB">
      <w:pPr>
        <w:pStyle w:val="FootnoteText"/>
        <w:spacing w:after="0"/>
        <w:ind w:firstLine="0"/>
        <w:rPr>
          <w:szCs w:val="26"/>
        </w:rPr>
      </w:pPr>
      <w:r w:rsidRPr="007C3D09">
        <w:rPr>
          <w:rStyle w:val="FootnoteReference"/>
        </w:rPr>
        <w:footnoteRef/>
      </w:r>
      <w:r w:rsidRPr="007C3D09">
        <w:rPr>
          <w:szCs w:val="26"/>
        </w:rPr>
        <w:t xml:space="preserve"> The number of respondents is the number of entities in which a change in burden from the current standards to the proposed exists, not the total number of entities from the current or proposed standards that are applicable.</w:t>
      </w:r>
    </w:p>
  </w:footnote>
  <w:footnote w:id="8">
    <w:p w14:paraId="0A2CCF86" w14:textId="77777777" w:rsidR="00784586" w:rsidRPr="007C3D09" w:rsidRDefault="00784586" w:rsidP="00820CFB">
      <w:pPr>
        <w:pStyle w:val="FootnoteText"/>
        <w:spacing w:after="0"/>
        <w:ind w:firstLine="0"/>
        <w:rPr>
          <w:szCs w:val="26"/>
        </w:rPr>
      </w:pPr>
      <w:r w:rsidRPr="007C3D09">
        <w:rPr>
          <w:rStyle w:val="FootnoteReference"/>
        </w:rPr>
        <w:footnoteRef/>
      </w:r>
      <w:r w:rsidRPr="007C3D09">
        <w:rPr>
          <w:szCs w:val="26"/>
        </w:rPr>
        <w:t xml:space="preserve"> The estimated hourly cost (salary plus benefits) provided in this section is based on the salary figures for May 2017 posted by the Bureau of Labor Statistics for the Utilities sector (available at </w:t>
      </w:r>
      <w:r w:rsidRPr="007C3D09">
        <w:rPr>
          <w:szCs w:val="26"/>
          <w:u w:val="single"/>
        </w:rPr>
        <w:t>http://www.bls.gov/oes/current/naics2_22.htm#13-0000</w:t>
      </w:r>
      <w:r w:rsidRPr="007C3D09">
        <w:rPr>
          <w:szCs w:val="26"/>
        </w:rPr>
        <w:t xml:space="preserve">) and scaled to reflect benefits using the relative importance of employer costs in employee compensation from May 2017 (available at </w:t>
      </w:r>
      <w:r w:rsidRPr="007C3D09">
        <w:rPr>
          <w:szCs w:val="26"/>
          <w:u w:val="single"/>
        </w:rPr>
        <w:t>https://www.bls.gov/oes/current/naics2_22.htm</w:t>
      </w:r>
      <w:r w:rsidRPr="007C3D09">
        <w:rPr>
          <w:szCs w:val="26"/>
        </w:rPr>
        <w:t xml:space="preserve">).  The hourly estimates for salary plus benefits are: </w:t>
      </w:r>
    </w:p>
    <w:p w14:paraId="7421FCF3" w14:textId="0B2B8DF2" w:rsidR="00784586" w:rsidRPr="007C3D09" w:rsidRDefault="00FE755C" w:rsidP="00820CFB">
      <w:pPr>
        <w:pStyle w:val="FootnoteText"/>
        <w:spacing w:after="0"/>
        <w:ind w:firstLine="0"/>
        <w:rPr>
          <w:rFonts w:eastAsia="Calibri"/>
          <w:szCs w:val="26"/>
        </w:rPr>
      </w:pPr>
      <w:r>
        <w:rPr>
          <w:rFonts w:eastAsia="Calibri"/>
          <w:szCs w:val="26"/>
        </w:rPr>
        <w:tab/>
      </w:r>
      <w:r w:rsidR="00784586" w:rsidRPr="007C3D09">
        <w:rPr>
          <w:rFonts w:eastAsia="Calibri"/>
          <w:szCs w:val="26"/>
        </w:rPr>
        <w:t xml:space="preserve">Computer and Information Systems Manager (Occupation Code: 11-3021), $96.51 </w:t>
      </w:r>
      <w:r w:rsidR="00784586" w:rsidRPr="007C3D09">
        <w:rPr>
          <w:rFonts w:eastAsia="Calibri"/>
          <w:szCs w:val="26"/>
        </w:rPr>
        <w:tab/>
        <w:t>Electrical Engineer (Occupation Code: 17-2071), $66.90</w:t>
      </w:r>
    </w:p>
    <w:p w14:paraId="56F1FC19" w14:textId="51D84330" w:rsidR="00784586" w:rsidRPr="007C3D09" w:rsidRDefault="002A57F3" w:rsidP="00820CFB">
      <w:pPr>
        <w:pStyle w:val="FootnoteText"/>
        <w:spacing w:after="0"/>
        <w:ind w:firstLine="0"/>
        <w:rPr>
          <w:rFonts w:eastAsia="Calibri"/>
          <w:szCs w:val="26"/>
        </w:rPr>
      </w:pPr>
      <w:r w:rsidRPr="007C3D09">
        <w:rPr>
          <w:rFonts w:eastAsia="Calibri"/>
          <w:szCs w:val="26"/>
        </w:rPr>
        <w:tab/>
      </w:r>
      <w:r w:rsidR="00784586" w:rsidRPr="007C3D09">
        <w:rPr>
          <w:rFonts w:eastAsia="Calibri"/>
          <w:szCs w:val="26"/>
        </w:rPr>
        <w:t>Legal (Occupation Code: 23-0000), $143.68</w:t>
      </w:r>
    </w:p>
    <w:p w14:paraId="1C6134CF" w14:textId="77777777" w:rsidR="00784586" w:rsidRPr="00820CFB" w:rsidRDefault="00784586" w:rsidP="00820CFB">
      <w:pPr>
        <w:autoSpaceDE w:val="0"/>
        <w:autoSpaceDN w:val="0"/>
        <w:adjustRightInd w:val="0"/>
        <w:rPr>
          <w:sz w:val="20"/>
          <w:szCs w:val="20"/>
        </w:rPr>
      </w:pPr>
      <w:r w:rsidRPr="007C3D09">
        <w:rPr>
          <w:szCs w:val="26"/>
        </w:rPr>
        <w:t>The average hourly cost (salary plus benefits), weighting all of these skill sets evenly, is $102.36. The Commission rounds it to $102/hour.</w:t>
      </w:r>
    </w:p>
  </w:footnote>
  <w:footnote w:id="9">
    <w:p w14:paraId="43E35E4E" w14:textId="3F5F0EAF" w:rsidR="00784586" w:rsidRPr="007C3D09" w:rsidRDefault="00784586" w:rsidP="00820CFB">
      <w:pPr>
        <w:pStyle w:val="FootnoteText"/>
        <w:spacing w:after="0"/>
        <w:ind w:firstLine="0"/>
        <w:rPr>
          <w:szCs w:val="26"/>
        </w:rPr>
      </w:pPr>
      <w:r w:rsidRPr="007C3D09">
        <w:rPr>
          <w:rStyle w:val="FootnoteReference"/>
        </w:rPr>
        <w:footnoteRef/>
      </w:r>
      <w:r w:rsidRPr="007C3D09">
        <w:rPr>
          <w:szCs w:val="26"/>
        </w:rPr>
        <w:t xml:space="preserve"> Based on FERC’s Fiscal Year 201</w:t>
      </w:r>
      <w:r w:rsidR="00B269BE" w:rsidRPr="007C3D09">
        <w:rPr>
          <w:szCs w:val="26"/>
        </w:rPr>
        <w:t>8</w:t>
      </w:r>
      <w:r w:rsidRPr="007C3D09">
        <w:rPr>
          <w:szCs w:val="26"/>
        </w:rPr>
        <w:t xml:space="preserve"> average cost per FTE (salary plus benefits) of $1</w:t>
      </w:r>
      <w:r w:rsidR="00B269BE" w:rsidRPr="007C3D09">
        <w:rPr>
          <w:szCs w:val="26"/>
        </w:rPr>
        <w:t>64,820</w:t>
      </w:r>
      <w:r w:rsidRPr="007C3D09">
        <w:rPr>
          <w:szCs w:val="26"/>
        </w:rPr>
        <w:t xml:space="preserve"> per year (or 2,080 work hours), rounded to $7</w:t>
      </w:r>
      <w:r w:rsidR="00B269BE" w:rsidRPr="007C3D09">
        <w:rPr>
          <w:szCs w:val="26"/>
        </w:rPr>
        <w:t>9</w:t>
      </w:r>
      <w:r w:rsidRPr="007C3D09">
        <w:rPr>
          <w:szCs w:val="26"/>
        </w:rPr>
        <w:t xml:space="preserve">.00 per hour. </w:t>
      </w:r>
    </w:p>
  </w:footnote>
  <w:footnote w:id="10">
    <w:p w14:paraId="04A5AC82" w14:textId="21325B3B" w:rsidR="00784586" w:rsidRPr="007C3D09" w:rsidRDefault="00784586" w:rsidP="00820CFB">
      <w:pPr>
        <w:pStyle w:val="FootnoteText"/>
        <w:spacing w:after="0"/>
        <w:ind w:firstLine="0"/>
        <w:rPr>
          <w:szCs w:val="26"/>
        </w:rPr>
      </w:pPr>
      <w:r w:rsidRPr="007C3D09">
        <w:rPr>
          <w:rStyle w:val="FootnoteReference"/>
        </w:rPr>
        <w:footnoteRef/>
      </w:r>
      <w:r w:rsidRPr="007C3D09">
        <w:rPr>
          <w:szCs w:val="26"/>
        </w:rPr>
        <w:t xml:space="preserve"> Paperwork Reduction Act of 1995 (PRA).</w:t>
      </w:r>
    </w:p>
  </w:footnote>
  <w:footnote w:id="11">
    <w:p w14:paraId="62D7A65B" w14:textId="37F56A42" w:rsidR="00784586" w:rsidRPr="00B269BE" w:rsidRDefault="00784586" w:rsidP="00820CFB">
      <w:pPr>
        <w:pStyle w:val="FootnoteText"/>
        <w:spacing w:after="0"/>
        <w:ind w:firstLine="0"/>
        <w:rPr>
          <w:sz w:val="20"/>
        </w:rPr>
      </w:pPr>
      <w:r w:rsidRPr="007C3D09">
        <w:rPr>
          <w:rStyle w:val="FootnoteReference"/>
        </w:rPr>
        <w:footnoteRef/>
      </w:r>
      <w:r w:rsidRPr="007C3D09">
        <w:rPr>
          <w:szCs w:val="26"/>
        </w:rPr>
        <w:t xml:space="preserve"> The PRA Administration Cost is $</w:t>
      </w:r>
      <w:r w:rsidR="00B269BE">
        <w:rPr>
          <w:szCs w:val="26"/>
        </w:rPr>
        <w:t>4,931</w:t>
      </w:r>
      <w:r w:rsidRPr="007C3D09">
        <w:rPr>
          <w:szCs w:val="26"/>
        </w:rPr>
        <w:t>, and includes preparing supporting statements, notices, and other activities associated with PRA compliance.</w:t>
      </w:r>
    </w:p>
  </w:footnote>
  <w:footnote w:id="12">
    <w:p w14:paraId="0615D491" w14:textId="7B0D7434" w:rsidR="00784586" w:rsidRPr="007C3D09" w:rsidRDefault="00784586" w:rsidP="00820CFB">
      <w:pPr>
        <w:pStyle w:val="FootnoteText"/>
        <w:spacing w:after="0"/>
        <w:ind w:firstLine="0"/>
        <w:rPr>
          <w:szCs w:val="26"/>
        </w:rPr>
      </w:pPr>
      <w:r w:rsidRPr="007C3D09">
        <w:rPr>
          <w:rStyle w:val="FootnoteReference"/>
        </w:rPr>
        <w:footnoteRef/>
      </w:r>
      <w:r w:rsidRPr="007C3D09">
        <w:rPr>
          <w:szCs w:val="26"/>
        </w:rPr>
        <w:t xml:space="preserve"> The estimate of federal FTE’s and the indicated split between FERC-545B and FERC-549C1 is based on staff’s experience and the fact that the FERC-545B filings are one-time filings, with the FERC-549C1 requirements one-time.</w:t>
      </w:r>
    </w:p>
  </w:footnote>
  <w:footnote w:id="13">
    <w:p w14:paraId="0E887A8C" w14:textId="0926325E" w:rsidR="00784586" w:rsidRPr="00820CFB" w:rsidRDefault="00784586" w:rsidP="00820CFB">
      <w:pPr>
        <w:pStyle w:val="FootnoteText"/>
        <w:spacing w:after="0"/>
        <w:ind w:firstLine="0"/>
        <w:rPr>
          <w:sz w:val="20"/>
        </w:rPr>
      </w:pPr>
      <w:r w:rsidRPr="007C3D09">
        <w:rPr>
          <w:rStyle w:val="FootnoteReference"/>
        </w:rPr>
        <w:footnoteRef/>
      </w:r>
      <w:r w:rsidRPr="007C3D09">
        <w:rPr>
          <w:szCs w:val="26"/>
        </w:rPr>
        <w:t xml:space="preserve"> </w:t>
      </w:r>
      <w:r w:rsidRPr="007C3D09">
        <w:rPr>
          <w:szCs w:val="26"/>
          <w:shd w:val="clear" w:color="auto" w:fill="FFFFFF"/>
        </w:rPr>
        <w:t xml:space="preserve">The 1 FTE we are estimating here in connection with the issuance of the NOPR in Docket No. </w:t>
      </w:r>
      <w:r w:rsidRPr="007C3D09">
        <w:rPr>
          <w:bCs/>
          <w:szCs w:val="26"/>
          <w:shd w:val="clear" w:color="auto" w:fill="FFFFFF"/>
        </w:rPr>
        <w:t>RM96-1-041</w:t>
      </w:r>
      <w:r w:rsidRPr="007C3D09">
        <w:rPr>
          <w:szCs w:val="26"/>
          <w:shd w:val="clear" w:color="auto" w:fill="FFFFFF"/>
        </w:rPr>
        <w:t xml:space="preserve"> does not represent an additional FTE.</w:t>
      </w:r>
    </w:p>
  </w:footnote>
  <w:footnote w:id="14">
    <w:p w14:paraId="24D2055B" w14:textId="0E9AA390" w:rsidR="00784586" w:rsidRPr="00820CFB" w:rsidRDefault="00784586" w:rsidP="00820CFB">
      <w:pPr>
        <w:pStyle w:val="FootnoteText"/>
        <w:spacing w:after="0"/>
        <w:ind w:firstLine="0"/>
        <w:rPr>
          <w:sz w:val="20"/>
        </w:rPr>
      </w:pPr>
      <w:r w:rsidRPr="00820CFB">
        <w:rPr>
          <w:rStyle w:val="FootnoteReference"/>
          <w:sz w:val="20"/>
          <w:szCs w:val="20"/>
        </w:rPr>
        <w:footnoteRef/>
      </w:r>
      <w:r w:rsidRPr="00820CFB">
        <w:rPr>
          <w:sz w:val="20"/>
        </w:rPr>
        <w:t xml:space="preserve"> Averaging the one-time burden and cost over Years 1-3 for the purposes of this PRA-related supporting statement (for the total number of entities).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FAD29" w14:textId="77777777" w:rsidR="00784586" w:rsidRPr="005E290C" w:rsidRDefault="00784586" w:rsidP="008B1488">
    <w:pPr>
      <w:pStyle w:val="Header"/>
      <w:framePr w:wrap="around" w:vAnchor="text" w:hAnchor="margin" w:xAlign="right" w:y="1"/>
      <w:rPr>
        <w:rStyle w:val="PageNumber"/>
        <w:sz w:val="20"/>
        <w:szCs w:val="20"/>
      </w:rPr>
    </w:pPr>
    <w:r w:rsidRPr="005E290C">
      <w:rPr>
        <w:rStyle w:val="PageNumber"/>
        <w:sz w:val="20"/>
        <w:szCs w:val="20"/>
      </w:rPr>
      <w:fldChar w:fldCharType="begin"/>
    </w:r>
    <w:r w:rsidRPr="005E290C">
      <w:rPr>
        <w:rStyle w:val="PageNumber"/>
        <w:sz w:val="20"/>
        <w:szCs w:val="20"/>
      </w:rPr>
      <w:instrText xml:space="preserve">PAGE  </w:instrText>
    </w:r>
    <w:r w:rsidRPr="005E290C">
      <w:rPr>
        <w:rStyle w:val="PageNumber"/>
        <w:sz w:val="20"/>
        <w:szCs w:val="20"/>
      </w:rPr>
      <w:fldChar w:fldCharType="separate"/>
    </w:r>
    <w:r w:rsidR="00EB1C71">
      <w:rPr>
        <w:rStyle w:val="PageNumber"/>
        <w:noProof/>
        <w:sz w:val="20"/>
        <w:szCs w:val="20"/>
      </w:rPr>
      <w:t>1</w:t>
    </w:r>
    <w:r w:rsidRPr="005E290C">
      <w:rPr>
        <w:rStyle w:val="PageNumber"/>
        <w:sz w:val="20"/>
        <w:szCs w:val="20"/>
      </w:rPr>
      <w:fldChar w:fldCharType="end"/>
    </w:r>
  </w:p>
  <w:p w14:paraId="0DF1EDAE" w14:textId="0328D17A" w:rsidR="00784586" w:rsidRPr="00EC0440" w:rsidRDefault="00784586" w:rsidP="002B45F1">
    <w:pPr>
      <w:pStyle w:val="Header"/>
      <w:rPr>
        <w:sz w:val="26"/>
        <w:szCs w:val="26"/>
      </w:rPr>
    </w:pPr>
    <w:r w:rsidRPr="00EC0440">
      <w:rPr>
        <w:sz w:val="26"/>
        <w:szCs w:val="26"/>
      </w:rPr>
      <w:t>FERC-545B (OMB Control No. TBD)</w:t>
    </w:r>
  </w:p>
  <w:p w14:paraId="66F2B9D6" w14:textId="4FF8D756" w:rsidR="00784586" w:rsidRPr="00EC0440" w:rsidRDefault="00784586" w:rsidP="002B45F1">
    <w:pPr>
      <w:pStyle w:val="Header"/>
      <w:rPr>
        <w:sz w:val="26"/>
        <w:szCs w:val="26"/>
      </w:rPr>
    </w:pPr>
    <w:r w:rsidRPr="00EC0440">
      <w:rPr>
        <w:sz w:val="26"/>
        <w:szCs w:val="26"/>
      </w:rPr>
      <w:t>FERC-549C1 (OMB Control No. TBD)</w:t>
    </w:r>
  </w:p>
  <w:p w14:paraId="08D02C93" w14:textId="082E2CBA" w:rsidR="00784586" w:rsidRPr="00EC0440" w:rsidRDefault="00784586" w:rsidP="008B1488">
    <w:pPr>
      <w:tabs>
        <w:tab w:val="left" w:pos="-1440"/>
      </w:tabs>
      <w:ind w:left="5760" w:right="360" w:hanging="5760"/>
      <w:rPr>
        <w:b/>
        <w:szCs w:val="26"/>
      </w:rPr>
    </w:pPr>
    <w:r w:rsidRPr="00EC0440">
      <w:rPr>
        <w:b/>
        <w:szCs w:val="26"/>
      </w:rPr>
      <w:t>Changes due to Docket No. RM96-1-041 (NOPR, issued 8/21/2018)</w:t>
    </w:r>
  </w:p>
  <w:p w14:paraId="354AB11C" w14:textId="19809202" w:rsidR="00784586" w:rsidRPr="00EC0440" w:rsidRDefault="00060C29" w:rsidP="008B1488">
    <w:pPr>
      <w:tabs>
        <w:tab w:val="left" w:pos="-1440"/>
      </w:tabs>
      <w:ind w:left="5760" w:right="360" w:hanging="5760"/>
      <w:rPr>
        <w:b/>
        <w:szCs w:val="26"/>
      </w:rPr>
    </w:pPr>
    <w:r>
      <w:rPr>
        <w:b/>
        <w:szCs w:val="26"/>
      </w:rPr>
      <w:t>RIN:  1902-AF54</w:t>
    </w:r>
  </w:p>
  <w:p w14:paraId="0D79515F" w14:textId="77777777" w:rsidR="00784586" w:rsidRPr="005C32C4" w:rsidRDefault="00784586" w:rsidP="008B1488">
    <w:pPr>
      <w:tabs>
        <w:tab w:val="left" w:pos="-1440"/>
      </w:tabs>
      <w:ind w:left="5760" w:right="360" w:hanging="5760"/>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25379F"/>
    <w:multiLevelType w:val="hybridMultilevel"/>
    <w:tmpl w:val="092AD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1C72F6"/>
    <w:multiLevelType w:val="hybridMultilevel"/>
    <w:tmpl w:val="45CAD20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
    <w:nsid w:val="2024364F"/>
    <w:multiLevelType w:val="hybridMultilevel"/>
    <w:tmpl w:val="8B4E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204DF4"/>
    <w:multiLevelType w:val="hybridMultilevel"/>
    <w:tmpl w:val="8794AC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11562D7"/>
    <w:multiLevelType w:val="hybridMultilevel"/>
    <w:tmpl w:val="57F2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E719D3"/>
    <w:multiLevelType w:val="hybridMultilevel"/>
    <w:tmpl w:val="B9A2F77C"/>
    <w:lvl w:ilvl="0" w:tplc="0409000F">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6AC1F6C"/>
    <w:multiLevelType w:val="hybridMultilevel"/>
    <w:tmpl w:val="4F8A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6B3665"/>
    <w:multiLevelType w:val="hybridMultilevel"/>
    <w:tmpl w:val="1A1E3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6F3B08F0"/>
    <w:multiLevelType w:val="hybridMultilevel"/>
    <w:tmpl w:val="1E3E7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3B09D3"/>
    <w:multiLevelType w:val="hybridMultilevel"/>
    <w:tmpl w:val="CB16B30C"/>
    <w:lvl w:ilvl="0" w:tplc="290C1E10">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4E4DD3"/>
    <w:multiLevelType w:val="hybridMultilevel"/>
    <w:tmpl w:val="C6FC6362"/>
    <w:lvl w:ilvl="0" w:tplc="03DC8F60">
      <w:start w:val="1"/>
      <w:numFmt w:val="decimal"/>
      <w:lvlText w:val="%1."/>
      <w:lvlJc w:val="left"/>
      <w:pPr>
        <w:tabs>
          <w:tab w:val="num" w:pos="720"/>
        </w:tabs>
        <w:ind w:left="0" w:firstLine="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EC81DC3"/>
    <w:multiLevelType w:val="hybridMultilevel"/>
    <w:tmpl w:val="FB7C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0"/>
    <w:lvlOverride w:ilvl="0">
      <w:startOverride w:val="11"/>
      <w:lvl w:ilvl="0">
        <w:start w:val="11"/>
        <w:numFmt w:val="decimal"/>
        <w:pStyle w:val="Level1"/>
        <w:lvlText w:val="%1."/>
        <w:lvlJc w:val="left"/>
      </w:lvl>
    </w:lvlOverride>
  </w:num>
  <w:num w:numId="4">
    <w:abstractNumId w:val="8"/>
  </w:num>
  <w:num w:numId="5">
    <w:abstractNumId w:val="4"/>
  </w:num>
  <w:num w:numId="6">
    <w:abstractNumId w:val="11"/>
  </w:num>
  <w:num w:numId="7">
    <w:abstractNumId w:val="3"/>
  </w:num>
  <w:num w:numId="8">
    <w:abstractNumId w:val="2"/>
  </w:num>
  <w:num w:numId="9">
    <w:abstractNumId w:val="5"/>
  </w:num>
  <w:num w:numId="10">
    <w:abstractNumId w:val="7"/>
  </w:num>
  <w:num w:numId="11">
    <w:abstractNumId w:val="1"/>
  </w:num>
  <w:num w:numId="12">
    <w:abstractNumId w:val="10"/>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5BE"/>
    <w:rsid w:val="00000E45"/>
    <w:rsid w:val="00046371"/>
    <w:rsid w:val="00060C29"/>
    <w:rsid w:val="000665E6"/>
    <w:rsid w:val="0009251D"/>
    <w:rsid w:val="00093DDA"/>
    <w:rsid w:val="000D504F"/>
    <w:rsid w:val="000E61EA"/>
    <w:rsid w:val="0010764F"/>
    <w:rsid w:val="00123C5E"/>
    <w:rsid w:val="00124194"/>
    <w:rsid w:val="0012699D"/>
    <w:rsid w:val="00133D80"/>
    <w:rsid w:val="00140DCE"/>
    <w:rsid w:val="001456AE"/>
    <w:rsid w:val="00153816"/>
    <w:rsid w:val="00162284"/>
    <w:rsid w:val="00166C61"/>
    <w:rsid w:val="001675A9"/>
    <w:rsid w:val="0019650C"/>
    <w:rsid w:val="001A2797"/>
    <w:rsid w:val="001C2383"/>
    <w:rsid w:val="0020662B"/>
    <w:rsid w:val="00210361"/>
    <w:rsid w:val="002206E3"/>
    <w:rsid w:val="00242969"/>
    <w:rsid w:val="00250097"/>
    <w:rsid w:val="00256088"/>
    <w:rsid w:val="00266BF7"/>
    <w:rsid w:val="002750C1"/>
    <w:rsid w:val="002807AF"/>
    <w:rsid w:val="0029533E"/>
    <w:rsid w:val="002A3F93"/>
    <w:rsid w:val="002A57F3"/>
    <w:rsid w:val="002B45F1"/>
    <w:rsid w:val="002C118D"/>
    <w:rsid w:val="002C5AF3"/>
    <w:rsid w:val="002D7F3A"/>
    <w:rsid w:val="002E7DA9"/>
    <w:rsid w:val="002F4077"/>
    <w:rsid w:val="002F4567"/>
    <w:rsid w:val="00315EBB"/>
    <w:rsid w:val="00347522"/>
    <w:rsid w:val="00353A27"/>
    <w:rsid w:val="0035483A"/>
    <w:rsid w:val="003813F4"/>
    <w:rsid w:val="00384167"/>
    <w:rsid w:val="003850D7"/>
    <w:rsid w:val="00385B39"/>
    <w:rsid w:val="003A5D61"/>
    <w:rsid w:val="003A6CBA"/>
    <w:rsid w:val="003C46CE"/>
    <w:rsid w:val="003D2136"/>
    <w:rsid w:val="003D40BD"/>
    <w:rsid w:val="003D5A1B"/>
    <w:rsid w:val="003E7963"/>
    <w:rsid w:val="003F0E97"/>
    <w:rsid w:val="00420920"/>
    <w:rsid w:val="00436AC7"/>
    <w:rsid w:val="00447DF9"/>
    <w:rsid w:val="004569BE"/>
    <w:rsid w:val="00467693"/>
    <w:rsid w:val="00475FBB"/>
    <w:rsid w:val="004B0B8F"/>
    <w:rsid w:val="004B21FD"/>
    <w:rsid w:val="004E1C38"/>
    <w:rsid w:val="004F7F90"/>
    <w:rsid w:val="00504150"/>
    <w:rsid w:val="005109BD"/>
    <w:rsid w:val="00515923"/>
    <w:rsid w:val="0052316B"/>
    <w:rsid w:val="0057056C"/>
    <w:rsid w:val="0059053D"/>
    <w:rsid w:val="00592815"/>
    <w:rsid w:val="005B305F"/>
    <w:rsid w:val="005B6EA9"/>
    <w:rsid w:val="005C4E85"/>
    <w:rsid w:val="005D4B69"/>
    <w:rsid w:val="005E008F"/>
    <w:rsid w:val="005E223E"/>
    <w:rsid w:val="006035D0"/>
    <w:rsid w:val="006100C3"/>
    <w:rsid w:val="00652747"/>
    <w:rsid w:val="00653765"/>
    <w:rsid w:val="00670872"/>
    <w:rsid w:val="00685293"/>
    <w:rsid w:val="00690884"/>
    <w:rsid w:val="00691DF4"/>
    <w:rsid w:val="006A617C"/>
    <w:rsid w:val="006A6C5F"/>
    <w:rsid w:val="006C29BE"/>
    <w:rsid w:val="006E49AD"/>
    <w:rsid w:val="00701586"/>
    <w:rsid w:val="00701E24"/>
    <w:rsid w:val="007051A1"/>
    <w:rsid w:val="00716BEB"/>
    <w:rsid w:val="00725D1D"/>
    <w:rsid w:val="007309C7"/>
    <w:rsid w:val="00754735"/>
    <w:rsid w:val="007742DE"/>
    <w:rsid w:val="007777B4"/>
    <w:rsid w:val="00784586"/>
    <w:rsid w:val="007C3A3E"/>
    <w:rsid w:val="007C3D09"/>
    <w:rsid w:val="007F3726"/>
    <w:rsid w:val="00800BED"/>
    <w:rsid w:val="00800C90"/>
    <w:rsid w:val="0081171B"/>
    <w:rsid w:val="00817C62"/>
    <w:rsid w:val="00820CFB"/>
    <w:rsid w:val="00844DA9"/>
    <w:rsid w:val="00847C4A"/>
    <w:rsid w:val="0085355E"/>
    <w:rsid w:val="00871DFA"/>
    <w:rsid w:val="008852B5"/>
    <w:rsid w:val="008A127E"/>
    <w:rsid w:val="008A3BC2"/>
    <w:rsid w:val="008A7029"/>
    <w:rsid w:val="008B1488"/>
    <w:rsid w:val="008C6892"/>
    <w:rsid w:val="008D1BAD"/>
    <w:rsid w:val="008E06A4"/>
    <w:rsid w:val="008E3B5A"/>
    <w:rsid w:val="008E5E0E"/>
    <w:rsid w:val="008F4BFB"/>
    <w:rsid w:val="009263FC"/>
    <w:rsid w:val="0094085E"/>
    <w:rsid w:val="00960734"/>
    <w:rsid w:val="00972F0E"/>
    <w:rsid w:val="00974932"/>
    <w:rsid w:val="00986AA7"/>
    <w:rsid w:val="0098727A"/>
    <w:rsid w:val="009878A3"/>
    <w:rsid w:val="009A20AA"/>
    <w:rsid w:val="009C3D22"/>
    <w:rsid w:val="00A460DE"/>
    <w:rsid w:val="00A5298F"/>
    <w:rsid w:val="00A70C44"/>
    <w:rsid w:val="00A92762"/>
    <w:rsid w:val="00AA44F5"/>
    <w:rsid w:val="00AC1388"/>
    <w:rsid w:val="00AC3786"/>
    <w:rsid w:val="00AE573D"/>
    <w:rsid w:val="00AF61A8"/>
    <w:rsid w:val="00B03766"/>
    <w:rsid w:val="00B16615"/>
    <w:rsid w:val="00B17130"/>
    <w:rsid w:val="00B231D0"/>
    <w:rsid w:val="00B269BE"/>
    <w:rsid w:val="00B36148"/>
    <w:rsid w:val="00B53FAC"/>
    <w:rsid w:val="00B6435E"/>
    <w:rsid w:val="00B725FA"/>
    <w:rsid w:val="00B83CB7"/>
    <w:rsid w:val="00B872BB"/>
    <w:rsid w:val="00B90ECF"/>
    <w:rsid w:val="00BA4975"/>
    <w:rsid w:val="00BA6359"/>
    <w:rsid w:val="00BB19D5"/>
    <w:rsid w:val="00BB1B6C"/>
    <w:rsid w:val="00BB4B15"/>
    <w:rsid w:val="00BC15BE"/>
    <w:rsid w:val="00BD71A6"/>
    <w:rsid w:val="00BE7994"/>
    <w:rsid w:val="00BF0788"/>
    <w:rsid w:val="00C002D1"/>
    <w:rsid w:val="00C1018A"/>
    <w:rsid w:val="00C15A3E"/>
    <w:rsid w:val="00C51371"/>
    <w:rsid w:val="00C735AF"/>
    <w:rsid w:val="00C80821"/>
    <w:rsid w:val="00C832E1"/>
    <w:rsid w:val="00C905B0"/>
    <w:rsid w:val="00CB3E3D"/>
    <w:rsid w:val="00CC4015"/>
    <w:rsid w:val="00CC6BD5"/>
    <w:rsid w:val="00CD37BA"/>
    <w:rsid w:val="00D00388"/>
    <w:rsid w:val="00D3660A"/>
    <w:rsid w:val="00D36815"/>
    <w:rsid w:val="00D37661"/>
    <w:rsid w:val="00D61273"/>
    <w:rsid w:val="00D70AD6"/>
    <w:rsid w:val="00D8678E"/>
    <w:rsid w:val="00DD56EA"/>
    <w:rsid w:val="00DF110F"/>
    <w:rsid w:val="00E113B4"/>
    <w:rsid w:val="00E16682"/>
    <w:rsid w:val="00E23227"/>
    <w:rsid w:val="00E27C58"/>
    <w:rsid w:val="00E47F03"/>
    <w:rsid w:val="00E50E84"/>
    <w:rsid w:val="00E5325E"/>
    <w:rsid w:val="00E639DE"/>
    <w:rsid w:val="00E65FDF"/>
    <w:rsid w:val="00E738C7"/>
    <w:rsid w:val="00E858A7"/>
    <w:rsid w:val="00EA3209"/>
    <w:rsid w:val="00EA3F5C"/>
    <w:rsid w:val="00EB1C71"/>
    <w:rsid w:val="00EB6234"/>
    <w:rsid w:val="00EC0440"/>
    <w:rsid w:val="00EC2AAF"/>
    <w:rsid w:val="00ED3CAB"/>
    <w:rsid w:val="00EF1531"/>
    <w:rsid w:val="00F20606"/>
    <w:rsid w:val="00F37E43"/>
    <w:rsid w:val="00F43EB8"/>
    <w:rsid w:val="00F45B52"/>
    <w:rsid w:val="00F56F9C"/>
    <w:rsid w:val="00F72334"/>
    <w:rsid w:val="00F75BD5"/>
    <w:rsid w:val="00F8150C"/>
    <w:rsid w:val="00F84A1D"/>
    <w:rsid w:val="00FA7C25"/>
    <w:rsid w:val="00FC1EA4"/>
    <w:rsid w:val="00FC35DD"/>
    <w:rsid w:val="00FC664D"/>
    <w:rsid w:val="00FE7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A65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5BE"/>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uiPriority w:val="99"/>
    <w:qFormat/>
    <w:rsid w:val="00BC15BE"/>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C15BE"/>
    <w:rPr>
      <w:rFonts w:ascii="Times New Roman" w:hAnsi="Times New Roman"/>
      <w:b/>
      <w:sz w:val="26"/>
      <w:szCs w:val="26"/>
      <w:vertAlign w:val="superscript"/>
    </w:r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 Char,Char,fn1,fn3"/>
    <w:basedOn w:val="Normal"/>
    <w:link w:val="FootnoteTextChar2"/>
    <w:qFormat/>
    <w:rsid w:val="00BC15BE"/>
    <w:pPr>
      <w:spacing w:after="260"/>
      <w:ind w:firstLine="720"/>
    </w:pPr>
    <w:rPr>
      <w:szCs w:val="20"/>
    </w:rPr>
  </w:style>
  <w:style w:type="character" w:customStyle="1" w:styleId="FootnoteTextChar">
    <w:name w:val="Footnote Text Char"/>
    <w:aliases w:val="Footnote Text Char Char Char,Footnote Text Char1 Char1 Char Char,Footnote Text Char2 Char Char Char Char,Footnote Text Char Char1 Char Char Char Char"/>
    <w:basedOn w:val="DefaultParagraphFont"/>
    <w:rsid w:val="00BC15BE"/>
    <w:rPr>
      <w:rFonts w:ascii="Times New Roman" w:eastAsia="Times New Roman" w:hAnsi="Times New Roman" w:cs="Times New Roman"/>
      <w:sz w:val="20"/>
      <w:szCs w:val="20"/>
    </w:rPr>
  </w:style>
  <w:style w:type="paragraph" w:customStyle="1" w:styleId="Level1">
    <w:name w:val="Level 1"/>
    <w:basedOn w:val="Normal"/>
    <w:rsid w:val="00BC15BE"/>
    <w:pPr>
      <w:widowControl w:val="0"/>
      <w:numPr>
        <w:numId w:val="2"/>
      </w:numPr>
      <w:autoSpaceDE w:val="0"/>
      <w:autoSpaceDN w:val="0"/>
      <w:adjustRightInd w:val="0"/>
      <w:outlineLvl w:val="0"/>
    </w:pPr>
    <w:rPr>
      <w:sz w:val="24"/>
    </w:rPr>
  </w:style>
  <w:style w:type="paragraph" w:styleId="Header">
    <w:name w:val="header"/>
    <w:basedOn w:val="Normal"/>
    <w:link w:val="HeaderChar"/>
    <w:uiPriority w:val="99"/>
    <w:rsid w:val="00BC15BE"/>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uiPriority w:val="99"/>
    <w:rsid w:val="00BC15BE"/>
    <w:rPr>
      <w:rFonts w:ascii="Times New Roman" w:eastAsia="Times New Roman" w:hAnsi="Times New Roman" w:cs="Times New Roman"/>
      <w:sz w:val="24"/>
      <w:szCs w:val="24"/>
    </w:rPr>
  </w:style>
  <w:style w:type="character" w:styleId="PageNumber">
    <w:name w:val="page number"/>
    <w:basedOn w:val="DefaultParagraphFont"/>
    <w:rsid w:val="00BC15BE"/>
  </w:style>
  <w:style w:type="character" w:styleId="Hyperlink">
    <w:name w:val="Hyperlink"/>
    <w:rsid w:val="00BC15BE"/>
    <w:rPr>
      <w:color w:val="0000FF"/>
      <w:u w:val="single"/>
    </w:rPr>
  </w:style>
  <w:style w:type="character" w:customStyle="1" w:styleId="FootnoteTextChar2">
    <w:name w:val="Footnote Text Char2"/>
    <w:aliases w:val="Footnote Text1 Char Char,Footnote Text Char Ch Char,Footnote Text Char1 Char,Footnote Text1 Char1 Char,Footnote Text Char Ch1 Char,Footnote Text Char2 Char Char,Footnote Text Char Char1 Char Char,ft Char1,fn Char,ft Char Char"/>
    <w:link w:val="FootnoteText"/>
    <w:uiPriority w:val="99"/>
    <w:rsid w:val="00BC15BE"/>
    <w:rPr>
      <w:rFonts w:ascii="Times New Roman" w:eastAsia="Times New Roman" w:hAnsi="Times New Roman" w:cs="Times New Roman"/>
      <w:sz w:val="26"/>
      <w:szCs w:val="20"/>
    </w:rPr>
  </w:style>
  <w:style w:type="character" w:customStyle="1" w:styleId="FERCparanumberChar">
    <w:name w:val="FERC paranumber Char"/>
    <w:link w:val="FERCparanumber"/>
    <w:uiPriority w:val="99"/>
    <w:rsid w:val="00BC15BE"/>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C15BE"/>
    <w:pPr>
      <w:tabs>
        <w:tab w:val="center" w:pos="4680"/>
        <w:tab w:val="right" w:pos="9360"/>
      </w:tabs>
    </w:pPr>
  </w:style>
  <w:style w:type="character" w:customStyle="1" w:styleId="FooterChar">
    <w:name w:val="Footer Char"/>
    <w:basedOn w:val="DefaultParagraphFont"/>
    <w:link w:val="Footer"/>
    <w:uiPriority w:val="99"/>
    <w:rsid w:val="00BC15BE"/>
    <w:rPr>
      <w:rFonts w:ascii="Times New Roman" w:eastAsia="Times New Roman" w:hAnsi="Times New Roman" w:cs="Times New Roman"/>
      <w:sz w:val="26"/>
      <w:szCs w:val="24"/>
    </w:rPr>
  </w:style>
  <w:style w:type="paragraph" w:styleId="NormalWeb">
    <w:name w:val="Normal (Web)"/>
    <w:basedOn w:val="Normal"/>
    <w:uiPriority w:val="99"/>
    <w:unhideWhenUsed/>
    <w:rsid w:val="00BC15BE"/>
    <w:pPr>
      <w:spacing w:before="100" w:beforeAutospacing="1" w:after="100" w:afterAutospacing="1"/>
    </w:pPr>
    <w:rPr>
      <w:sz w:val="24"/>
    </w:rPr>
  </w:style>
  <w:style w:type="paragraph" w:styleId="ListParagraph">
    <w:name w:val="List Paragraph"/>
    <w:basedOn w:val="Normal"/>
    <w:uiPriority w:val="99"/>
    <w:qFormat/>
    <w:rsid w:val="002B45F1"/>
    <w:pPr>
      <w:widowControl w:val="0"/>
      <w:autoSpaceDE w:val="0"/>
      <w:autoSpaceDN w:val="0"/>
      <w:adjustRightInd w:val="0"/>
      <w:ind w:left="720"/>
      <w:contextualSpacing/>
    </w:pPr>
    <w:rPr>
      <w:sz w:val="24"/>
    </w:rPr>
  </w:style>
  <w:style w:type="paragraph" w:styleId="BalloonText">
    <w:name w:val="Balloon Text"/>
    <w:basedOn w:val="Normal"/>
    <w:link w:val="BalloonTextChar"/>
    <w:uiPriority w:val="99"/>
    <w:semiHidden/>
    <w:unhideWhenUsed/>
    <w:rsid w:val="002B45F1"/>
    <w:rPr>
      <w:rFonts w:ascii="Tahoma" w:hAnsi="Tahoma" w:cs="Tahoma"/>
      <w:sz w:val="16"/>
      <w:szCs w:val="16"/>
    </w:rPr>
  </w:style>
  <w:style w:type="character" w:customStyle="1" w:styleId="BalloonTextChar">
    <w:name w:val="Balloon Text Char"/>
    <w:basedOn w:val="DefaultParagraphFont"/>
    <w:link w:val="BalloonText"/>
    <w:uiPriority w:val="99"/>
    <w:semiHidden/>
    <w:rsid w:val="002B45F1"/>
    <w:rPr>
      <w:rFonts w:ascii="Tahoma" w:eastAsia="Times New Roman" w:hAnsi="Tahoma" w:cs="Tahoma"/>
      <w:sz w:val="16"/>
      <w:szCs w:val="16"/>
    </w:rPr>
  </w:style>
  <w:style w:type="character" w:styleId="CommentReference">
    <w:name w:val="annotation reference"/>
    <w:basedOn w:val="DefaultParagraphFont"/>
    <w:uiPriority w:val="99"/>
    <w:semiHidden/>
    <w:rsid w:val="003F0E97"/>
    <w:rPr>
      <w:rFonts w:cs="Times New Roman"/>
      <w:sz w:val="16"/>
      <w:szCs w:val="16"/>
    </w:rPr>
  </w:style>
  <w:style w:type="paragraph" w:styleId="CommentText">
    <w:name w:val="annotation text"/>
    <w:basedOn w:val="Normal"/>
    <w:link w:val="CommentTextChar"/>
    <w:uiPriority w:val="99"/>
    <w:semiHidden/>
    <w:rsid w:val="003F0E9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3F0E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50C"/>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F8150C"/>
    <w:rPr>
      <w:rFonts w:ascii="Times New Roman" w:eastAsia="Times New Roman" w:hAnsi="Times New Roman" w:cs="Times New Roman"/>
      <w:b/>
      <w:bCs/>
      <w:sz w:val="20"/>
      <w:szCs w:val="20"/>
    </w:rPr>
  </w:style>
  <w:style w:type="character" w:customStyle="1" w:styleId="FERCparanumberChar1">
    <w:name w:val="FERC paranumber Char1"/>
    <w:rsid w:val="00F8150C"/>
    <w:rPr>
      <w:rFonts w:ascii="Times New Roman" w:eastAsia="Times New Roman" w:hAnsi="Times New Roman"/>
      <w:sz w:val="26"/>
      <w:szCs w:val="24"/>
    </w:rPr>
  </w:style>
  <w:style w:type="table" w:styleId="TableGrid">
    <w:name w:val="Table Grid"/>
    <w:basedOn w:val="TableNormal"/>
    <w:rsid w:val="003D2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5BE"/>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uiPriority w:val="99"/>
    <w:qFormat/>
    <w:rsid w:val="00BC15BE"/>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C15BE"/>
    <w:rPr>
      <w:rFonts w:ascii="Times New Roman" w:hAnsi="Times New Roman"/>
      <w:b/>
      <w:sz w:val="26"/>
      <w:szCs w:val="26"/>
      <w:vertAlign w:val="superscript"/>
    </w:r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 Char,Char,fn1,fn3"/>
    <w:basedOn w:val="Normal"/>
    <w:link w:val="FootnoteTextChar2"/>
    <w:qFormat/>
    <w:rsid w:val="00BC15BE"/>
    <w:pPr>
      <w:spacing w:after="260"/>
      <w:ind w:firstLine="720"/>
    </w:pPr>
    <w:rPr>
      <w:szCs w:val="20"/>
    </w:rPr>
  </w:style>
  <w:style w:type="character" w:customStyle="1" w:styleId="FootnoteTextChar">
    <w:name w:val="Footnote Text Char"/>
    <w:aliases w:val="Footnote Text Char Char Char,Footnote Text Char1 Char1 Char Char,Footnote Text Char2 Char Char Char Char,Footnote Text Char Char1 Char Char Char Char"/>
    <w:basedOn w:val="DefaultParagraphFont"/>
    <w:rsid w:val="00BC15BE"/>
    <w:rPr>
      <w:rFonts w:ascii="Times New Roman" w:eastAsia="Times New Roman" w:hAnsi="Times New Roman" w:cs="Times New Roman"/>
      <w:sz w:val="20"/>
      <w:szCs w:val="20"/>
    </w:rPr>
  </w:style>
  <w:style w:type="paragraph" w:customStyle="1" w:styleId="Level1">
    <w:name w:val="Level 1"/>
    <w:basedOn w:val="Normal"/>
    <w:rsid w:val="00BC15BE"/>
    <w:pPr>
      <w:widowControl w:val="0"/>
      <w:numPr>
        <w:numId w:val="2"/>
      </w:numPr>
      <w:autoSpaceDE w:val="0"/>
      <w:autoSpaceDN w:val="0"/>
      <w:adjustRightInd w:val="0"/>
      <w:outlineLvl w:val="0"/>
    </w:pPr>
    <w:rPr>
      <w:sz w:val="24"/>
    </w:rPr>
  </w:style>
  <w:style w:type="paragraph" w:styleId="Header">
    <w:name w:val="header"/>
    <w:basedOn w:val="Normal"/>
    <w:link w:val="HeaderChar"/>
    <w:uiPriority w:val="99"/>
    <w:rsid w:val="00BC15BE"/>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uiPriority w:val="99"/>
    <w:rsid w:val="00BC15BE"/>
    <w:rPr>
      <w:rFonts w:ascii="Times New Roman" w:eastAsia="Times New Roman" w:hAnsi="Times New Roman" w:cs="Times New Roman"/>
      <w:sz w:val="24"/>
      <w:szCs w:val="24"/>
    </w:rPr>
  </w:style>
  <w:style w:type="character" w:styleId="PageNumber">
    <w:name w:val="page number"/>
    <w:basedOn w:val="DefaultParagraphFont"/>
    <w:rsid w:val="00BC15BE"/>
  </w:style>
  <w:style w:type="character" w:styleId="Hyperlink">
    <w:name w:val="Hyperlink"/>
    <w:rsid w:val="00BC15BE"/>
    <w:rPr>
      <w:color w:val="0000FF"/>
      <w:u w:val="single"/>
    </w:rPr>
  </w:style>
  <w:style w:type="character" w:customStyle="1" w:styleId="FootnoteTextChar2">
    <w:name w:val="Footnote Text Char2"/>
    <w:aliases w:val="Footnote Text1 Char Char,Footnote Text Char Ch Char,Footnote Text Char1 Char,Footnote Text1 Char1 Char,Footnote Text Char Ch1 Char,Footnote Text Char2 Char Char,Footnote Text Char Char1 Char Char,ft Char1,fn Char,ft Char Char"/>
    <w:link w:val="FootnoteText"/>
    <w:uiPriority w:val="99"/>
    <w:rsid w:val="00BC15BE"/>
    <w:rPr>
      <w:rFonts w:ascii="Times New Roman" w:eastAsia="Times New Roman" w:hAnsi="Times New Roman" w:cs="Times New Roman"/>
      <w:sz w:val="26"/>
      <w:szCs w:val="20"/>
    </w:rPr>
  </w:style>
  <w:style w:type="character" w:customStyle="1" w:styleId="FERCparanumberChar">
    <w:name w:val="FERC paranumber Char"/>
    <w:link w:val="FERCparanumber"/>
    <w:uiPriority w:val="99"/>
    <w:rsid w:val="00BC15BE"/>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C15BE"/>
    <w:pPr>
      <w:tabs>
        <w:tab w:val="center" w:pos="4680"/>
        <w:tab w:val="right" w:pos="9360"/>
      </w:tabs>
    </w:pPr>
  </w:style>
  <w:style w:type="character" w:customStyle="1" w:styleId="FooterChar">
    <w:name w:val="Footer Char"/>
    <w:basedOn w:val="DefaultParagraphFont"/>
    <w:link w:val="Footer"/>
    <w:uiPriority w:val="99"/>
    <w:rsid w:val="00BC15BE"/>
    <w:rPr>
      <w:rFonts w:ascii="Times New Roman" w:eastAsia="Times New Roman" w:hAnsi="Times New Roman" w:cs="Times New Roman"/>
      <w:sz w:val="26"/>
      <w:szCs w:val="24"/>
    </w:rPr>
  </w:style>
  <w:style w:type="paragraph" w:styleId="NormalWeb">
    <w:name w:val="Normal (Web)"/>
    <w:basedOn w:val="Normal"/>
    <w:uiPriority w:val="99"/>
    <w:unhideWhenUsed/>
    <w:rsid w:val="00BC15BE"/>
    <w:pPr>
      <w:spacing w:before="100" w:beforeAutospacing="1" w:after="100" w:afterAutospacing="1"/>
    </w:pPr>
    <w:rPr>
      <w:sz w:val="24"/>
    </w:rPr>
  </w:style>
  <w:style w:type="paragraph" w:styleId="ListParagraph">
    <w:name w:val="List Paragraph"/>
    <w:basedOn w:val="Normal"/>
    <w:uiPriority w:val="99"/>
    <w:qFormat/>
    <w:rsid w:val="002B45F1"/>
    <w:pPr>
      <w:widowControl w:val="0"/>
      <w:autoSpaceDE w:val="0"/>
      <w:autoSpaceDN w:val="0"/>
      <w:adjustRightInd w:val="0"/>
      <w:ind w:left="720"/>
      <w:contextualSpacing/>
    </w:pPr>
    <w:rPr>
      <w:sz w:val="24"/>
    </w:rPr>
  </w:style>
  <w:style w:type="paragraph" w:styleId="BalloonText">
    <w:name w:val="Balloon Text"/>
    <w:basedOn w:val="Normal"/>
    <w:link w:val="BalloonTextChar"/>
    <w:uiPriority w:val="99"/>
    <w:semiHidden/>
    <w:unhideWhenUsed/>
    <w:rsid w:val="002B45F1"/>
    <w:rPr>
      <w:rFonts w:ascii="Tahoma" w:hAnsi="Tahoma" w:cs="Tahoma"/>
      <w:sz w:val="16"/>
      <w:szCs w:val="16"/>
    </w:rPr>
  </w:style>
  <w:style w:type="character" w:customStyle="1" w:styleId="BalloonTextChar">
    <w:name w:val="Balloon Text Char"/>
    <w:basedOn w:val="DefaultParagraphFont"/>
    <w:link w:val="BalloonText"/>
    <w:uiPriority w:val="99"/>
    <w:semiHidden/>
    <w:rsid w:val="002B45F1"/>
    <w:rPr>
      <w:rFonts w:ascii="Tahoma" w:eastAsia="Times New Roman" w:hAnsi="Tahoma" w:cs="Tahoma"/>
      <w:sz w:val="16"/>
      <w:szCs w:val="16"/>
    </w:rPr>
  </w:style>
  <w:style w:type="character" w:styleId="CommentReference">
    <w:name w:val="annotation reference"/>
    <w:basedOn w:val="DefaultParagraphFont"/>
    <w:uiPriority w:val="99"/>
    <w:semiHidden/>
    <w:rsid w:val="003F0E97"/>
    <w:rPr>
      <w:rFonts w:cs="Times New Roman"/>
      <w:sz w:val="16"/>
      <w:szCs w:val="16"/>
    </w:rPr>
  </w:style>
  <w:style w:type="paragraph" w:styleId="CommentText">
    <w:name w:val="annotation text"/>
    <w:basedOn w:val="Normal"/>
    <w:link w:val="CommentTextChar"/>
    <w:uiPriority w:val="99"/>
    <w:semiHidden/>
    <w:rsid w:val="003F0E9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3F0E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50C"/>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F8150C"/>
    <w:rPr>
      <w:rFonts w:ascii="Times New Roman" w:eastAsia="Times New Roman" w:hAnsi="Times New Roman" w:cs="Times New Roman"/>
      <w:b/>
      <w:bCs/>
      <w:sz w:val="20"/>
      <w:szCs w:val="20"/>
    </w:rPr>
  </w:style>
  <w:style w:type="character" w:customStyle="1" w:styleId="FERCparanumberChar1">
    <w:name w:val="FERC paranumber Char1"/>
    <w:rsid w:val="00F8150C"/>
    <w:rPr>
      <w:rFonts w:ascii="Times New Roman" w:eastAsia="Times New Roman" w:hAnsi="Times New Roman"/>
      <w:sz w:val="26"/>
      <w:szCs w:val="24"/>
    </w:rPr>
  </w:style>
  <w:style w:type="table" w:styleId="TableGrid">
    <w:name w:val="Table Grid"/>
    <w:basedOn w:val="TableNormal"/>
    <w:rsid w:val="003D2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264943">
      <w:bodyDiv w:val="1"/>
      <w:marLeft w:val="0"/>
      <w:marRight w:val="0"/>
      <w:marTop w:val="0"/>
      <w:marBottom w:val="0"/>
      <w:divBdr>
        <w:top w:val="none" w:sz="0" w:space="0" w:color="auto"/>
        <w:left w:val="none" w:sz="0" w:space="0" w:color="auto"/>
        <w:bottom w:val="none" w:sz="0" w:space="0" w:color="auto"/>
        <w:right w:val="none" w:sz="0" w:space="0" w:color="auto"/>
      </w:divBdr>
      <w:divsChild>
        <w:div w:id="2012180470">
          <w:marLeft w:val="0"/>
          <w:marRight w:val="0"/>
          <w:marTop w:val="0"/>
          <w:marBottom w:val="0"/>
          <w:divBdr>
            <w:top w:val="none" w:sz="0" w:space="0" w:color="auto"/>
            <w:left w:val="none" w:sz="0" w:space="0" w:color="auto"/>
            <w:bottom w:val="none" w:sz="0" w:space="0" w:color="auto"/>
            <w:right w:val="none" w:sz="0" w:space="0" w:color="auto"/>
          </w:divBdr>
          <w:divsChild>
            <w:div w:id="1624380243">
              <w:marLeft w:val="0"/>
              <w:marRight w:val="0"/>
              <w:marTop w:val="0"/>
              <w:marBottom w:val="0"/>
              <w:divBdr>
                <w:top w:val="none" w:sz="0" w:space="0" w:color="auto"/>
                <w:left w:val="none" w:sz="0" w:space="0" w:color="auto"/>
                <w:bottom w:val="none" w:sz="0" w:space="0" w:color="auto"/>
                <w:right w:val="none" w:sz="0" w:space="0" w:color="auto"/>
              </w:divBdr>
              <w:divsChild>
                <w:div w:id="1275559644">
                  <w:marLeft w:val="0"/>
                  <w:marRight w:val="0"/>
                  <w:marTop w:val="0"/>
                  <w:marBottom w:val="0"/>
                  <w:divBdr>
                    <w:top w:val="none" w:sz="0" w:space="0" w:color="auto"/>
                    <w:left w:val="none" w:sz="0" w:space="0" w:color="auto"/>
                    <w:bottom w:val="none" w:sz="0" w:space="0" w:color="auto"/>
                    <w:right w:val="none" w:sz="0" w:space="0" w:color="auto"/>
                  </w:divBdr>
                  <w:divsChild>
                    <w:div w:id="1465386056">
                      <w:marLeft w:val="0"/>
                      <w:marRight w:val="0"/>
                      <w:marTop w:val="0"/>
                      <w:marBottom w:val="0"/>
                      <w:divBdr>
                        <w:top w:val="none" w:sz="0" w:space="0" w:color="auto"/>
                        <w:left w:val="none" w:sz="0" w:space="0" w:color="auto"/>
                        <w:bottom w:val="none" w:sz="0" w:space="0" w:color="auto"/>
                        <w:right w:val="none" w:sz="0" w:space="0" w:color="auto"/>
                      </w:divBdr>
                      <w:divsChild>
                        <w:div w:id="558901593">
                          <w:marLeft w:val="0"/>
                          <w:marRight w:val="0"/>
                          <w:marTop w:val="0"/>
                          <w:marBottom w:val="0"/>
                          <w:divBdr>
                            <w:top w:val="none" w:sz="0" w:space="0" w:color="auto"/>
                            <w:left w:val="none" w:sz="0" w:space="0" w:color="auto"/>
                            <w:bottom w:val="none" w:sz="0" w:space="0" w:color="auto"/>
                            <w:right w:val="none" w:sz="0" w:space="0" w:color="auto"/>
                          </w:divBdr>
                          <w:divsChild>
                            <w:div w:id="985089116">
                              <w:marLeft w:val="0"/>
                              <w:marRight w:val="0"/>
                              <w:marTop w:val="0"/>
                              <w:marBottom w:val="0"/>
                              <w:divBdr>
                                <w:top w:val="none" w:sz="0" w:space="0" w:color="auto"/>
                                <w:left w:val="none" w:sz="0" w:space="0" w:color="auto"/>
                                <w:bottom w:val="none" w:sz="0" w:space="0" w:color="auto"/>
                                <w:right w:val="none" w:sz="0" w:space="0" w:color="auto"/>
                              </w:divBdr>
                              <w:divsChild>
                                <w:div w:id="2097166578">
                                  <w:marLeft w:val="0"/>
                                  <w:marRight w:val="0"/>
                                  <w:marTop w:val="0"/>
                                  <w:marBottom w:val="0"/>
                                  <w:divBdr>
                                    <w:top w:val="none" w:sz="0" w:space="0" w:color="auto"/>
                                    <w:left w:val="none" w:sz="0" w:space="0" w:color="auto"/>
                                    <w:bottom w:val="none" w:sz="0" w:space="0" w:color="auto"/>
                                    <w:right w:val="none" w:sz="0" w:space="0" w:color="auto"/>
                                  </w:divBdr>
                                  <w:divsChild>
                                    <w:div w:id="1512254130">
                                      <w:marLeft w:val="0"/>
                                      <w:marRight w:val="0"/>
                                      <w:marTop w:val="0"/>
                                      <w:marBottom w:val="0"/>
                                      <w:divBdr>
                                        <w:top w:val="none" w:sz="0" w:space="0" w:color="auto"/>
                                        <w:left w:val="none" w:sz="0" w:space="0" w:color="auto"/>
                                        <w:bottom w:val="none" w:sz="0" w:space="0" w:color="auto"/>
                                        <w:right w:val="none" w:sz="0" w:space="0" w:color="auto"/>
                                      </w:divBdr>
                                      <w:divsChild>
                                        <w:div w:id="1685784766">
                                          <w:marLeft w:val="0"/>
                                          <w:marRight w:val="0"/>
                                          <w:marTop w:val="0"/>
                                          <w:marBottom w:val="0"/>
                                          <w:divBdr>
                                            <w:top w:val="none" w:sz="0" w:space="0" w:color="auto"/>
                                            <w:left w:val="none" w:sz="0" w:space="0" w:color="auto"/>
                                            <w:bottom w:val="none" w:sz="0" w:space="0" w:color="auto"/>
                                            <w:right w:val="none" w:sz="0" w:space="0" w:color="auto"/>
                                          </w:divBdr>
                                          <w:divsChild>
                                            <w:div w:id="1317496808">
                                              <w:marLeft w:val="0"/>
                                              <w:marRight w:val="0"/>
                                              <w:marTop w:val="0"/>
                                              <w:marBottom w:val="0"/>
                                              <w:divBdr>
                                                <w:top w:val="none" w:sz="0" w:space="0" w:color="auto"/>
                                                <w:left w:val="none" w:sz="0" w:space="0" w:color="auto"/>
                                                <w:bottom w:val="none" w:sz="0" w:space="0" w:color="auto"/>
                                                <w:right w:val="none" w:sz="0" w:space="0" w:color="auto"/>
                                              </w:divBdr>
                                              <w:divsChild>
                                                <w:div w:id="1225606885">
                                                  <w:marLeft w:val="0"/>
                                                  <w:marRight w:val="0"/>
                                                  <w:marTop w:val="0"/>
                                                  <w:marBottom w:val="0"/>
                                                  <w:divBdr>
                                                    <w:top w:val="none" w:sz="0" w:space="0" w:color="auto"/>
                                                    <w:left w:val="none" w:sz="0" w:space="0" w:color="auto"/>
                                                    <w:bottom w:val="none" w:sz="0" w:space="0" w:color="auto"/>
                                                    <w:right w:val="none" w:sz="0" w:space="0" w:color="auto"/>
                                                  </w:divBdr>
                                                  <w:divsChild>
                                                    <w:div w:id="1381901290">
                                                      <w:marLeft w:val="0"/>
                                                      <w:marRight w:val="0"/>
                                                      <w:marTop w:val="0"/>
                                                      <w:marBottom w:val="0"/>
                                                      <w:divBdr>
                                                        <w:top w:val="none" w:sz="0" w:space="0" w:color="auto"/>
                                                        <w:left w:val="none" w:sz="0" w:space="0" w:color="auto"/>
                                                        <w:bottom w:val="none" w:sz="0" w:space="0" w:color="auto"/>
                                                        <w:right w:val="none" w:sz="0" w:space="0" w:color="auto"/>
                                                      </w:divBdr>
                                                      <w:divsChild>
                                                        <w:div w:id="2128350548">
                                                          <w:marLeft w:val="0"/>
                                                          <w:marRight w:val="0"/>
                                                          <w:marTop w:val="0"/>
                                                          <w:marBottom w:val="0"/>
                                                          <w:divBdr>
                                                            <w:top w:val="none" w:sz="0" w:space="0" w:color="auto"/>
                                                            <w:left w:val="none" w:sz="0" w:space="0" w:color="auto"/>
                                                            <w:bottom w:val="none" w:sz="0" w:space="0" w:color="auto"/>
                                                            <w:right w:val="none" w:sz="0" w:space="0" w:color="auto"/>
                                                          </w:divBdr>
                                                          <w:divsChild>
                                                            <w:div w:id="1796216029">
                                                              <w:marLeft w:val="0"/>
                                                              <w:marRight w:val="0"/>
                                                              <w:marTop w:val="0"/>
                                                              <w:marBottom w:val="0"/>
                                                              <w:divBdr>
                                                                <w:top w:val="none" w:sz="0" w:space="0" w:color="auto"/>
                                                                <w:left w:val="none" w:sz="0" w:space="0" w:color="auto"/>
                                                                <w:bottom w:val="none" w:sz="0" w:space="0" w:color="auto"/>
                                                                <w:right w:val="none" w:sz="0" w:space="0" w:color="auto"/>
                                                              </w:divBdr>
                                                              <w:divsChild>
                                                                <w:div w:id="601566924">
                                                                  <w:marLeft w:val="480"/>
                                                                  <w:marRight w:val="0"/>
                                                                  <w:marTop w:val="0"/>
                                                                  <w:marBottom w:val="0"/>
                                                                  <w:divBdr>
                                                                    <w:top w:val="none" w:sz="0" w:space="0" w:color="auto"/>
                                                                    <w:left w:val="none" w:sz="0" w:space="0" w:color="auto"/>
                                                                    <w:bottom w:val="none" w:sz="0" w:space="0" w:color="auto"/>
                                                                    <w:right w:val="none" w:sz="0" w:space="0" w:color="auto"/>
                                                                  </w:divBdr>
                                                                  <w:divsChild>
                                                                    <w:div w:id="480849274">
                                                                      <w:marLeft w:val="0"/>
                                                                      <w:marRight w:val="0"/>
                                                                      <w:marTop w:val="0"/>
                                                                      <w:marBottom w:val="0"/>
                                                                      <w:divBdr>
                                                                        <w:top w:val="none" w:sz="0" w:space="0" w:color="auto"/>
                                                                        <w:left w:val="none" w:sz="0" w:space="0" w:color="auto"/>
                                                                        <w:bottom w:val="none" w:sz="0" w:space="0" w:color="auto"/>
                                                                        <w:right w:val="none" w:sz="0" w:space="0" w:color="auto"/>
                                                                      </w:divBdr>
                                                                      <w:divsChild>
                                                                        <w:div w:id="214703263">
                                                                          <w:marLeft w:val="0"/>
                                                                          <w:marRight w:val="0"/>
                                                                          <w:marTop w:val="0"/>
                                                                          <w:marBottom w:val="0"/>
                                                                          <w:divBdr>
                                                                            <w:top w:val="none" w:sz="0" w:space="0" w:color="auto"/>
                                                                            <w:left w:val="none" w:sz="0" w:space="0" w:color="auto"/>
                                                                            <w:bottom w:val="none" w:sz="0" w:space="0" w:color="auto"/>
                                                                            <w:right w:val="none" w:sz="0" w:space="0" w:color="auto"/>
                                                                          </w:divBdr>
                                                                          <w:divsChild>
                                                                            <w:div w:id="1970545753">
                                                                              <w:marLeft w:val="0"/>
                                                                              <w:marRight w:val="0"/>
                                                                              <w:marTop w:val="0"/>
                                                                              <w:marBottom w:val="0"/>
                                                                              <w:divBdr>
                                                                                <w:top w:val="none" w:sz="0" w:space="0" w:color="auto"/>
                                                                                <w:left w:val="none" w:sz="0" w:space="0" w:color="auto"/>
                                                                                <w:bottom w:val="none" w:sz="0" w:space="0" w:color="auto"/>
                                                                                <w:right w:val="none" w:sz="0" w:space="0" w:color="auto"/>
                                                                              </w:divBdr>
                                                                              <w:divsChild>
                                                                                <w:div w:id="1469319011">
                                                                                  <w:marLeft w:val="0"/>
                                                                                  <w:marRight w:val="0"/>
                                                                                  <w:marTop w:val="0"/>
                                                                                  <w:marBottom w:val="0"/>
                                                                                  <w:divBdr>
                                                                                    <w:top w:val="none" w:sz="0" w:space="0" w:color="auto"/>
                                                                                    <w:left w:val="none" w:sz="0" w:space="0" w:color="auto"/>
                                                                                    <w:bottom w:val="none" w:sz="0" w:space="0" w:color="auto"/>
                                                                                    <w:right w:val="none" w:sz="0" w:space="0" w:color="auto"/>
                                                                                  </w:divBdr>
                                                                                  <w:divsChild>
                                                                                    <w:div w:id="506403651">
                                                                                      <w:marLeft w:val="0"/>
                                                                                      <w:marRight w:val="0"/>
                                                                                      <w:marTop w:val="0"/>
                                                                                      <w:marBottom w:val="0"/>
                                                                                      <w:divBdr>
                                                                                        <w:top w:val="none" w:sz="0" w:space="0" w:color="auto"/>
                                                                                        <w:left w:val="none" w:sz="0" w:space="0" w:color="auto"/>
                                                                                        <w:bottom w:val="none" w:sz="0" w:space="0" w:color="auto"/>
                                                                                        <w:right w:val="none" w:sz="0" w:space="0" w:color="auto"/>
                                                                                      </w:divBdr>
                                                                                      <w:divsChild>
                                                                                        <w:div w:id="336347885">
                                                                                          <w:marLeft w:val="0"/>
                                                                                          <w:marRight w:val="0"/>
                                                                                          <w:marTop w:val="240"/>
                                                                                          <w:marBottom w:val="0"/>
                                                                                          <w:divBdr>
                                                                                            <w:top w:val="none" w:sz="0" w:space="0" w:color="auto"/>
                                                                                            <w:left w:val="none" w:sz="0" w:space="0" w:color="auto"/>
                                                                                            <w:bottom w:val="single" w:sz="6" w:space="23" w:color="auto"/>
                                                                                            <w:right w:val="none" w:sz="0" w:space="0" w:color="auto"/>
                                                                                          </w:divBdr>
                                                                                          <w:divsChild>
                                                                                            <w:div w:id="2000186876">
                                                                                              <w:marLeft w:val="0"/>
                                                                                              <w:marRight w:val="0"/>
                                                                                              <w:marTop w:val="0"/>
                                                                                              <w:marBottom w:val="0"/>
                                                                                              <w:divBdr>
                                                                                                <w:top w:val="none" w:sz="0" w:space="0" w:color="auto"/>
                                                                                                <w:left w:val="none" w:sz="0" w:space="0" w:color="auto"/>
                                                                                                <w:bottom w:val="none" w:sz="0" w:space="0" w:color="auto"/>
                                                                                                <w:right w:val="none" w:sz="0" w:space="0" w:color="auto"/>
                                                                                              </w:divBdr>
                                                                                              <w:divsChild>
                                                                                                <w:div w:id="653025633">
                                                                                                  <w:marLeft w:val="0"/>
                                                                                                  <w:marRight w:val="0"/>
                                                                                                  <w:marTop w:val="0"/>
                                                                                                  <w:marBottom w:val="0"/>
                                                                                                  <w:divBdr>
                                                                                                    <w:top w:val="none" w:sz="0" w:space="0" w:color="auto"/>
                                                                                                    <w:left w:val="none" w:sz="0" w:space="0" w:color="auto"/>
                                                                                                    <w:bottom w:val="none" w:sz="0" w:space="0" w:color="auto"/>
                                                                                                    <w:right w:val="none" w:sz="0" w:space="0" w:color="auto"/>
                                                                                                  </w:divBdr>
                                                                                                  <w:divsChild>
                                                                                                    <w:div w:id="248971648">
                                                                                                      <w:marLeft w:val="0"/>
                                                                                                      <w:marRight w:val="0"/>
                                                                                                      <w:marTop w:val="0"/>
                                                                                                      <w:marBottom w:val="0"/>
                                                                                                      <w:divBdr>
                                                                                                        <w:top w:val="none" w:sz="0" w:space="0" w:color="auto"/>
                                                                                                        <w:left w:val="none" w:sz="0" w:space="0" w:color="auto"/>
                                                                                                        <w:bottom w:val="none" w:sz="0" w:space="0" w:color="auto"/>
                                                                                                        <w:right w:val="none" w:sz="0" w:space="0" w:color="auto"/>
                                                                                                      </w:divBdr>
                                                                                                      <w:divsChild>
                                                                                                        <w:div w:id="109861761">
                                                                                                          <w:marLeft w:val="0"/>
                                                                                                          <w:marRight w:val="0"/>
                                                                                                          <w:marTop w:val="0"/>
                                                                                                          <w:marBottom w:val="0"/>
                                                                                                          <w:divBdr>
                                                                                                            <w:top w:val="none" w:sz="0" w:space="0" w:color="auto"/>
                                                                                                            <w:left w:val="none" w:sz="0" w:space="0" w:color="auto"/>
                                                                                                            <w:bottom w:val="none" w:sz="0" w:space="0" w:color="auto"/>
                                                                                                            <w:right w:val="none" w:sz="0" w:space="0" w:color="auto"/>
                                                                                                          </w:divBdr>
                                                                                                          <w:divsChild>
                                                                                                            <w:div w:id="658465172">
                                                                                                              <w:marLeft w:val="0"/>
                                                                                                              <w:marRight w:val="0"/>
                                                                                                              <w:marTop w:val="0"/>
                                                                                                              <w:marBottom w:val="0"/>
                                                                                                              <w:divBdr>
                                                                                                                <w:top w:val="none" w:sz="0" w:space="0" w:color="auto"/>
                                                                                                                <w:left w:val="none" w:sz="0" w:space="0" w:color="auto"/>
                                                                                                                <w:bottom w:val="none" w:sz="0" w:space="0" w:color="auto"/>
                                                                                                                <w:right w:val="none" w:sz="0" w:space="0" w:color="auto"/>
                                                                                                              </w:divBdr>
                                                                                                              <w:divsChild>
                                                                                                                <w:div w:id="164521922">
                                                                                                                  <w:marLeft w:val="0"/>
                                                                                                                  <w:marRight w:val="0"/>
                                                                                                                  <w:marTop w:val="0"/>
                                                                                                                  <w:marBottom w:val="0"/>
                                                                                                                  <w:divBdr>
                                                                                                                    <w:top w:val="none" w:sz="0" w:space="0" w:color="auto"/>
                                                                                                                    <w:left w:val="none" w:sz="0" w:space="0" w:color="auto"/>
                                                                                                                    <w:bottom w:val="none" w:sz="0" w:space="0" w:color="auto"/>
                                                                                                                    <w:right w:val="none" w:sz="0" w:space="0" w:color="auto"/>
                                                                                                                  </w:divBdr>
                                                                                                                  <w:divsChild>
                                                                                                                    <w:div w:id="1455979712">
                                                                                                                      <w:marLeft w:val="0"/>
                                                                                                                      <w:marRight w:val="0"/>
                                                                                                                      <w:marTop w:val="0"/>
                                                                                                                      <w:marBottom w:val="0"/>
                                                                                                                      <w:divBdr>
                                                                                                                        <w:top w:val="none" w:sz="0" w:space="0" w:color="auto"/>
                                                                                                                        <w:left w:val="none" w:sz="0" w:space="0" w:color="auto"/>
                                                                                                                        <w:bottom w:val="none" w:sz="0" w:space="0" w:color="auto"/>
                                                                                                                        <w:right w:val="none" w:sz="0" w:space="0" w:color="auto"/>
                                                                                                                      </w:divBdr>
                                                                                                                      <w:divsChild>
                                                                                                                        <w:div w:id="13851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erc.gov/docs-filing/etariff.asp" TargetMode="External"/><Relationship Id="rId2" Type="http://schemas.openxmlformats.org/officeDocument/2006/relationships/hyperlink" Target="http://elibrary.ferc.gov/idmws/common/opennat.asp?fileID=13165589" TargetMode="External"/><Relationship Id="rId1" Type="http://schemas.openxmlformats.org/officeDocument/2006/relationships/hyperlink" Target="http://www.naes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545B</_x0031__x002e__x0020_Collection_x0020_Number>
    <Date xmlns="d6eefc7d-9817-4fa6-84d5-3bc009be21b8">2018-09-20T00:00:00-04:00</Date>
    <Status xmlns="d6eefc7d-9817-4fa6-84d5-3bc009be21b8">Final</Status>
    <_x0032__x002e__x0020_Docket_x0020_Number xmlns="d6eefc7d-9817-4fa6-84d5-3bc009be21b8" xsi:nil="true"/>
    <_x0032__x002e__x0020_Collection_x0020_Number xmlns="d6eefc7d-9817-4fa6-84d5-3bc009be21b8">549C1</_x0032__x002e__x0020_Collection_x0020_Number>
    <_x0031__x002e__x0020_Docket_x0020_Number xmlns="d6eefc7d-9817-4fa6-84d5-3bc009be21b8">RM96-1-041</_x0031__x002e__x0020_Docket_x0020_Number>
    <_x0033__x002e__x0020_Collection_x0020_Number xmlns="d6eefc7d-9817-4fa6-84d5-3bc009be21b8"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472E6-E3F7-4C35-B2DC-3F4E7649F8B4}">
  <ds:schemaRef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infopath/2007/PartnerControls"/>
    <ds:schemaRef ds:uri="d6eefc7d-9817-4fa6-84d5-3bc009be21b8"/>
    <ds:schemaRef ds:uri="http://purl.org/dc/terms/"/>
  </ds:schemaRefs>
</ds:datastoreItem>
</file>

<file path=customXml/itemProps2.xml><?xml version="1.0" encoding="utf-8"?>
<ds:datastoreItem xmlns:ds="http://schemas.openxmlformats.org/officeDocument/2006/customXml" ds:itemID="{C3E338BA-AA6A-476A-994F-C160E78BD30A}">
  <ds:schemaRefs>
    <ds:schemaRef ds:uri="Microsoft.SharePoint.Taxonomy.ContentTypeSync"/>
  </ds:schemaRefs>
</ds:datastoreItem>
</file>

<file path=customXml/itemProps3.xml><?xml version="1.0" encoding="utf-8"?>
<ds:datastoreItem xmlns:ds="http://schemas.openxmlformats.org/officeDocument/2006/customXml" ds:itemID="{1A85353D-2075-4313-BFF1-9493A336B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FF7434-2410-413C-AA07-BAD0241B9270}">
  <ds:schemaRefs>
    <ds:schemaRef ds:uri="http://schemas.microsoft.com/office/2006/metadata/customXsn"/>
  </ds:schemaRefs>
</ds:datastoreItem>
</file>

<file path=customXml/itemProps5.xml><?xml version="1.0" encoding="utf-8"?>
<ds:datastoreItem xmlns:ds="http://schemas.openxmlformats.org/officeDocument/2006/customXml" ds:itemID="{358C3B1B-D3A1-4D23-881C-01A455364216}">
  <ds:schemaRefs>
    <ds:schemaRef ds:uri="http://schemas.microsoft.com/sharepoint/v3/contenttype/forms"/>
  </ds:schemaRefs>
</ds:datastoreItem>
</file>

<file path=customXml/itemProps6.xml><?xml version="1.0" encoding="utf-8"?>
<ds:datastoreItem xmlns:ds="http://schemas.openxmlformats.org/officeDocument/2006/customXml" ds:itemID="{54DE249C-3A45-4F16-A8AA-AE8A569BA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3196</Words>
  <Characters>18219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RM96-1-041 NOPR</vt:lpstr>
    </vt:vector>
  </TitlesOfParts>
  <Company>Federal Energy Regulatory Commission</Company>
  <LinksUpToDate>false</LinksUpToDate>
  <CharactersWithSpaces>21373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RM96-1-041 NOPR</dc:title>
  <dc:creator>Camilla Ryan</dc:creator>
  <cp:lastModifiedBy>SYSTEM</cp:lastModifiedBy>
  <cp:revision>2</cp:revision>
  <dcterms:created xsi:type="dcterms:W3CDTF">2018-09-21T19:52:00Z</dcterms:created>
  <dcterms:modified xsi:type="dcterms:W3CDTF">2018-09-21T19:52:00Z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