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2EE7" w14:textId="77777777" w:rsidR="00A30C0B" w:rsidRPr="00C71E81" w:rsidRDefault="00A30C0B" w:rsidP="00A30C0B">
      <w:pPr>
        <w:jc w:val="center"/>
        <w:rPr>
          <w:szCs w:val="26"/>
        </w:rPr>
      </w:pPr>
      <w:bookmarkStart w:id="0" w:name="_GoBack"/>
      <w:bookmarkEnd w:id="0"/>
      <w:r w:rsidRPr="00C71E81">
        <w:rPr>
          <w:szCs w:val="26"/>
        </w:rPr>
        <w:t>UNITED STATES OF AMERICA</w:t>
      </w:r>
    </w:p>
    <w:p w14:paraId="37842EE8" w14:textId="77777777" w:rsidR="00A30C0B" w:rsidRPr="00C71E81" w:rsidRDefault="00A30C0B" w:rsidP="00A30C0B">
      <w:pPr>
        <w:jc w:val="center"/>
        <w:rPr>
          <w:szCs w:val="26"/>
        </w:rPr>
      </w:pPr>
      <w:r w:rsidRPr="00C71E81">
        <w:rPr>
          <w:szCs w:val="26"/>
        </w:rPr>
        <w:t>FEDERAL ENERGY REGULATORY COMMISSION</w:t>
      </w:r>
    </w:p>
    <w:p w14:paraId="37842EE9" w14:textId="77777777" w:rsidR="00A30C0B" w:rsidRPr="00C71E81" w:rsidRDefault="00A30C0B" w:rsidP="00A30C0B">
      <w:pPr>
        <w:rPr>
          <w:szCs w:val="26"/>
        </w:rPr>
      </w:pPr>
    </w:p>
    <w:p w14:paraId="37842EEA" w14:textId="77777777" w:rsidR="00A30C0B" w:rsidRPr="00C71E81" w:rsidRDefault="00A30C0B" w:rsidP="00A30C0B">
      <w:pPr>
        <w:jc w:val="center"/>
        <w:rPr>
          <w:szCs w:val="26"/>
        </w:rPr>
      </w:pPr>
      <w:r w:rsidRPr="00C71E81">
        <w:rPr>
          <w:szCs w:val="26"/>
        </w:rPr>
        <w:t>[Docket No. IC19-6-000]</w:t>
      </w:r>
    </w:p>
    <w:p w14:paraId="37842EEB" w14:textId="77777777" w:rsidR="00A30C0B" w:rsidRPr="00C71E81" w:rsidRDefault="00A30C0B" w:rsidP="00A30C0B">
      <w:pPr>
        <w:rPr>
          <w:szCs w:val="26"/>
        </w:rPr>
      </w:pPr>
    </w:p>
    <w:p w14:paraId="37842EEC" w14:textId="77777777" w:rsidR="00A30C0B" w:rsidRPr="00C71E81" w:rsidRDefault="00A30C0B" w:rsidP="00A30C0B">
      <w:pPr>
        <w:jc w:val="center"/>
        <w:rPr>
          <w:szCs w:val="26"/>
        </w:rPr>
      </w:pPr>
      <w:r w:rsidRPr="00C71E81">
        <w:rPr>
          <w:szCs w:val="26"/>
        </w:rPr>
        <w:t>COMMISSION INFORMATION COLLECTION ACTIVITIES (FERC-914);</w:t>
      </w:r>
    </w:p>
    <w:p w14:paraId="37842EED" w14:textId="77777777" w:rsidR="00A30C0B" w:rsidRPr="00C71E81" w:rsidRDefault="00A30C0B" w:rsidP="00A30C0B">
      <w:pPr>
        <w:jc w:val="center"/>
        <w:rPr>
          <w:szCs w:val="26"/>
        </w:rPr>
      </w:pPr>
      <w:r w:rsidRPr="00C71E81">
        <w:rPr>
          <w:szCs w:val="26"/>
        </w:rPr>
        <w:t>COMMENT REQUEST; EXTENSION</w:t>
      </w:r>
    </w:p>
    <w:p w14:paraId="37842EEE" w14:textId="77777777" w:rsidR="00A30C0B" w:rsidRPr="00C71E81" w:rsidRDefault="00A30C0B" w:rsidP="00A30C0B">
      <w:pPr>
        <w:jc w:val="center"/>
        <w:rPr>
          <w:szCs w:val="26"/>
        </w:rPr>
      </w:pPr>
    </w:p>
    <w:p w14:paraId="241490B6" w14:textId="77777777" w:rsidR="001C13B4" w:rsidRDefault="001C13B4" w:rsidP="001C13B4">
      <w:pPr>
        <w:jc w:val="center"/>
        <w:rPr>
          <w:szCs w:val="26"/>
        </w:rPr>
      </w:pPr>
      <w:r w:rsidRPr="001C13B4">
        <w:rPr>
          <w:szCs w:val="26"/>
        </w:rPr>
        <w:t>(June 13, 2019)</w:t>
      </w:r>
    </w:p>
    <w:p w14:paraId="42442DB4" w14:textId="77777777" w:rsidR="001C13B4" w:rsidRDefault="001C13B4" w:rsidP="001C13B4">
      <w:pPr>
        <w:rPr>
          <w:szCs w:val="26"/>
        </w:rPr>
      </w:pPr>
    </w:p>
    <w:p w14:paraId="37842EF0" w14:textId="4400676A" w:rsidR="00A30C0B" w:rsidRDefault="00A30C0B" w:rsidP="001C13B4">
      <w:pPr>
        <w:rPr>
          <w:szCs w:val="26"/>
        </w:rPr>
      </w:pPr>
      <w:r w:rsidRPr="001C13B4">
        <w:rPr>
          <w:szCs w:val="26"/>
          <w:u w:val="single"/>
        </w:rPr>
        <w:t>AGENCY:</w:t>
      </w:r>
      <w:r w:rsidRPr="001C13B4">
        <w:rPr>
          <w:szCs w:val="26"/>
        </w:rPr>
        <w:t xml:space="preserve">  Federal Energy Regulatory Commission.</w:t>
      </w:r>
    </w:p>
    <w:p w14:paraId="20D87BA1" w14:textId="77777777" w:rsidR="001C13B4" w:rsidRPr="001C13B4" w:rsidRDefault="001C13B4" w:rsidP="001C13B4">
      <w:pPr>
        <w:rPr>
          <w:szCs w:val="26"/>
        </w:rPr>
      </w:pPr>
    </w:p>
    <w:p w14:paraId="37842EF1" w14:textId="77777777" w:rsidR="00A30C0B" w:rsidRPr="00C71E81" w:rsidRDefault="00A30C0B" w:rsidP="00A30C0B">
      <w:pPr>
        <w:spacing w:line="480" w:lineRule="auto"/>
        <w:rPr>
          <w:szCs w:val="26"/>
        </w:rPr>
      </w:pPr>
      <w:r w:rsidRPr="001C13B4">
        <w:rPr>
          <w:szCs w:val="26"/>
          <w:u w:val="single"/>
        </w:rPr>
        <w:t>ACTION:</w:t>
      </w:r>
      <w:r w:rsidRPr="00C71E81">
        <w:rPr>
          <w:szCs w:val="26"/>
        </w:rPr>
        <w:t xml:space="preserve">  Notice of information collection and request for comments.</w:t>
      </w:r>
    </w:p>
    <w:p w14:paraId="37842EF2" w14:textId="77777777" w:rsidR="00A30C0B" w:rsidRPr="00C71E81" w:rsidRDefault="00A30C0B" w:rsidP="00A30C0B">
      <w:pPr>
        <w:tabs>
          <w:tab w:val="left" w:pos="1800"/>
        </w:tabs>
        <w:spacing w:line="480" w:lineRule="auto"/>
        <w:rPr>
          <w:szCs w:val="26"/>
        </w:rPr>
      </w:pPr>
      <w:r w:rsidRPr="001C13B4">
        <w:rPr>
          <w:szCs w:val="26"/>
          <w:u w:val="single"/>
        </w:rPr>
        <w:t>SUMMARY:</w:t>
      </w:r>
      <w:r w:rsidRPr="00C71E81">
        <w:rPr>
          <w:szCs w:val="26"/>
        </w:rPr>
        <w:t xml:space="preserve">  In compliance with the requirements of the Paperwork Reduction Act of 1995, the Federal Energy Regulatory Commission (Commission or FERC) is soliciting public comment on the currently approved information collection, FERC-914 (Cogeneration and Small Power Production – Tariff Filings) and submitting the information collection to the Office of Management and Budget (OMB) for review.  Any interested person may file comments directly with OMB and should address a copy of those comments to the Commission as explained below. On </w:t>
      </w:r>
      <w:r w:rsidR="00C71E81" w:rsidRPr="00C71E81">
        <w:rPr>
          <w:szCs w:val="26"/>
        </w:rPr>
        <w:t>January 31</w:t>
      </w:r>
      <w:r w:rsidRPr="00C71E81">
        <w:rPr>
          <w:szCs w:val="26"/>
        </w:rPr>
        <w:t>, 2019, the Commission published a Notice in the Federal Register in Docket No. IC19-</w:t>
      </w:r>
      <w:r w:rsidR="00C71E81" w:rsidRPr="00C71E81">
        <w:rPr>
          <w:szCs w:val="26"/>
        </w:rPr>
        <w:t>6</w:t>
      </w:r>
      <w:r w:rsidRPr="00C71E81">
        <w:rPr>
          <w:szCs w:val="26"/>
        </w:rPr>
        <w:t>-000 requesting public comments.  The Commission received no public comments and is noting that in the related submittal to OMB.</w:t>
      </w:r>
    </w:p>
    <w:p w14:paraId="37842EF3" w14:textId="77777777" w:rsidR="00784B95" w:rsidRDefault="00A30C0B" w:rsidP="00A30C0B">
      <w:pPr>
        <w:spacing w:line="480" w:lineRule="auto"/>
        <w:rPr>
          <w:b/>
          <w:szCs w:val="26"/>
        </w:rPr>
      </w:pPr>
      <w:r w:rsidRPr="001C13B4">
        <w:rPr>
          <w:szCs w:val="26"/>
          <w:u w:val="single"/>
        </w:rPr>
        <w:t>DATES:</w:t>
      </w:r>
      <w:r w:rsidRPr="00C71E81">
        <w:rPr>
          <w:szCs w:val="26"/>
        </w:rPr>
        <w:t xml:space="preserve">  Comments on the collection of information are due [</w:t>
      </w:r>
      <w:r w:rsidR="00784B95" w:rsidRPr="00784B95">
        <w:rPr>
          <w:b/>
          <w:szCs w:val="26"/>
        </w:rPr>
        <w:t>Insert Date 30 days after date of publication in the Federal Register]</w:t>
      </w:r>
    </w:p>
    <w:p w14:paraId="37842EF4" w14:textId="77777777" w:rsidR="00784B95" w:rsidRPr="00784B95" w:rsidRDefault="00A30C0B" w:rsidP="00784B95">
      <w:pPr>
        <w:spacing w:line="480" w:lineRule="auto"/>
      </w:pPr>
      <w:r w:rsidRPr="001C13B4">
        <w:rPr>
          <w:szCs w:val="26"/>
          <w:u w:val="single"/>
        </w:rPr>
        <w:t>ADDRESSES:</w:t>
      </w:r>
      <w:r w:rsidRPr="00C71E81">
        <w:rPr>
          <w:szCs w:val="26"/>
        </w:rPr>
        <w:t xml:space="preserve">  </w:t>
      </w:r>
      <w:r w:rsidR="00784B95" w:rsidRPr="00784B95">
        <w:t>Comments filed with OMB, identified by OMB Control No. 1902-02</w:t>
      </w:r>
      <w:r w:rsidR="00784B95">
        <w:t>31</w:t>
      </w:r>
      <w:r w:rsidR="00784B95" w:rsidRPr="00784B95">
        <w:t xml:space="preserve">, should be sent via email to the Office of Information and Regulatory Affairs: </w:t>
      </w:r>
      <w:hyperlink r:id="rId13" w:history="1">
        <w:r w:rsidR="00784B95" w:rsidRPr="00784B95">
          <w:rPr>
            <w:color w:val="0000FF"/>
            <w:u w:val="single"/>
          </w:rPr>
          <w:t>oira_submission@omb.gov</w:t>
        </w:r>
      </w:hyperlink>
      <w:r w:rsidR="00784B95" w:rsidRPr="00784B95">
        <w:t xml:space="preserve">.  Attention: Federal Energy Regulatory Commission Desk Officer.  </w:t>
      </w:r>
    </w:p>
    <w:p w14:paraId="37842EF5" w14:textId="77777777" w:rsidR="00784B95" w:rsidRPr="00784B95" w:rsidRDefault="00784B95" w:rsidP="00784B95">
      <w:pPr>
        <w:spacing w:line="480" w:lineRule="auto"/>
      </w:pPr>
      <w:r w:rsidRPr="00784B95">
        <w:t>A copy of the comments should also be sent to the Commission, in Docket No. IC19-</w:t>
      </w:r>
      <w:r>
        <w:t>6</w:t>
      </w:r>
      <w:r w:rsidRPr="00784B95">
        <w:t>-000, by either of the following methods:</w:t>
      </w:r>
    </w:p>
    <w:p w14:paraId="37842EF6" w14:textId="77777777" w:rsidR="00A30C0B" w:rsidRPr="00C71E81" w:rsidRDefault="00A30C0B" w:rsidP="00A30C0B">
      <w:pPr>
        <w:numPr>
          <w:ilvl w:val="0"/>
          <w:numId w:val="1"/>
        </w:numPr>
        <w:tabs>
          <w:tab w:val="clear" w:pos="1500"/>
          <w:tab w:val="num" w:pos="1080"/>
        </w:tabs>
        <w:spacing w:line="480" w:lineRule="auto"/>
        <w:ind w:left="720" w:firstLine="0"/>
        <w:rPr>
          <w:szCs w:val="26"/>
        </w:rPr>
      </w:pPr>
      <w:r w:rsidRPr="00C71E81">
        <w:rPr>
          <w:szCs w:val="26"/>
        </w:rPr>
        <w:t xml:space="preserve">eFiling at Commission’s Web Site: </w:t>
      </w:r>
      <w:hyperlink r:id="rId14" w:history="1">
        <w:r w:rsidRPr="00C71E81">
          <w:rPr>
            <w:rStyle w:val="Hyperlink"/>
            <w:szCs w:val="26"/>
          </w:rPr>
          <w:t>http://www.ferc.gov/docs-filing/efiling.asp</w:t>
        </w:r>
      </w:hyperlink>
    </w:p>
    <w:p w14:paraId="37842EF7" w14:textId="77777777" w:rsidR="00A30C0B" w:rsidRPr="00C71E81" w:rsidRDefault="00A30C0B" w:rsidP="00A30C0B">
      <w:pPr>
        <w:numPr>
          <w:ilvl w:val="0"/>
          <w:numId w:val="1"/>
        </w:numPr>
        <w:tabs>
          <w:tab w:val="clear" w:pos="1500"/>
          <w:tab w:val="num" w:pos="1080"/>
        </w:tabs>
        <w:spacing w:line="480" w:lineRule="auto"/>
        <w:ind w:left="1080"/>
        <w:rPr>
          <w:szCs w:val="26"/>
        </w:rPr>
      </w:pPr>
      <w:r w:rsidRPr="00C71E81">
        <w:rPr>
          <w:szCs w:val="26"/>
        </w:rPr>
        <w:t>Mail/Hand Delivery/Courier: Federal Energy Regulatory Commission, Secretary of the Commission, 888 First Street, NE, Washington, DC 20426.</w:t>
      </w:r>
    </w:p>
    <w:p w14:paraId="37842EF8" w14:textId="0B43A43B" w:rsidR="00A30C0B" w:rsidRPr="00C71E81" w:rsidRDefault="00A30C0B" w:rsidP="00A30C0B">
      <w:pPr>
        <w:spacing w:line="480" w:lineRule="auto"/>
        <w:rPr>
          <w:szCs w:val="26"/>
        </w:rPr>
      </w:pPr>
      <w:r w:rsidRPr="00C71E81">
        <w:rPr>
          <w:i/>
          <w:szCs w:val="26"/>
        </w:rPr>
        <w:t xml:space="preserve">Instructions: </w:t>
      </w:r>
      <w:r w:rsidRPr="00C71E81">
        <w:rPr>
          <w:szCs w:val="26"/>
        </w:rPr>
        <w:t xml:space="preserve">All submissions must be formatted and filed in accordance with submission guidelines at: </w:t>
      </w:r>
      <w:hyperlink r:id="rId15" w:history="1">
        <w:r w:rsidRPr="00C71E81">
          <w:rPr>
            <w:rStyle w:val="Hyperlink"/>
            <w:szCs w:val="26"/>
          </w:rPr>
          <w:t>http://www.ferc.gov/help/submission-guide.asp</w:t>
        </w:r>
      </w:hyperlink>
      <w:r w:rsidRPr="00C71E81">
        <w:rPr>
          <w:szCs w:val="26"/>
        </w:rPr>
        <w:t>.  For user assistance</w:t>
      </w:r>
      <w:r w:rsidR="00E336F7">
        <w:rPr>
          <w:szCs w:val="26"/>
        </w:rPr>
        <w:t>,</w:t>
      </w:r>
      <w:r w:rsidRPr="00C71E81">
        <w:rPr>
          <w:szCs w:val="26"/>
        </w:rPr>
        <w:t xml:space="preserve"> contact FERC Online Support by e-mail at ferconlinesupport@ferc.gov, or by phone at:  (866) 208-3676 (toll-free), or (202) 502-8659 for TTY.</w:t>
      </w:r>
    </w:p>
    <w:p w14:paraId="37842EF9" w14:textId="77777777" w:rsidR="00A30C0B" w:rsidRPr="00C71E81" w:rsidRDefault="00A30C0B" w:rsidP="00A30C0B">
      <w:pPr>
        <w:spacing w:line="480" w:lineRule="auto"/>
        <w:rPr>
          <w:szCs w:val="26"/>
        </w:rPr>
      </w:pPr>
      <w:r w:rsidRPr="00C71E81">
        <w:rPr>
          <w:i/>
          <w:szCs w:val="26"/>
        </w:rPr>
        <w:t>Docket:</w:t>
      </w:r>
      <w:r w:rsidRPr="00C71E81">
        <w:rPr>
          <w:szCs w:val="26"/>
        </w:rPr>
        <w:t xml:space="preserve"> Users interested in receiving automatic notification of activity in this docket or in viewing/downloading comments and issuances in this docket may do so at </w:t>
      </w:r>
      <w:hyperlink r:id="rId16" w:history="1">
        <w:r w:rsidRPr="00C71E81">
          <w:rPr>
            <w:rStyle w:val="Hyperlink"/>
            <w:szCs w:val="26"/>
          </w:rPr>
          <w:t>http://www.ferc.gov/docs-filing/docs-filing.asp</w:t>
        </w:r>
      </w:hyperlink>
      <w:r w:rsidRPr="00C71E81">
        <w:rPr>
          <w:szCs w:val="26"/>
        </w:rPr>
        <w:t xml:space="preserve">. </w:t>
      </w:r>
    </w:p>
    <w:p w14:paraId="37842EFA" w14:textId="77777777" w:rsidR="00A30C0B" w:rsidRPr="00C71E81" w:rsidRDefault="00A30C0B" w:rsidP="00A30C0B">
      <w:pPr>
        <w:spacing w:line="480" w:lineRule="auto"/>
        <w:rPr>
          <w:szCs w:val="26"/>
        </w:rPr>
      </w:pPr>
      <w:r w:rsidRPr="001C13B4">
        <w:rPr>
          <w:szCs w:val="26"/>
          <w:u w:val="single"/>
        </w:rPr>
        <w:t>FOR FURTHER INFORMATION:</w:t>
      </w:r>
      <w:r w:rsidRPr="00C71E81">
        <w:rPr>
          <w:szCs w:val="26"/>
        </w:rPr>
        <w:t xml:space="preserve">  Ellen Brown may be reached by e-mail at </w:t>
      </w:r>
      <w:hyperlink r:id="rId17" w:history="1">
        <w:r w:rsidRPr="00C71E81">
          <w:rPr>
            <w:rStyle w:val="Hyperlink"/>
            <w:szCs w:val="26"/>
          </w:rPr>
          <w:t>DataClearance@FERC.gov</w:t>
        </w:r>
      </w:hyperlink>
      <w:r w:rsidRPr="00C71E81">
        <w:rPr>
          <w:szCs w:val="26"/>
        </w:rPr>
        <w:t>, telephone at (202) 502-8663, and fax at (202) 273-0873.</w:t>
      </w:r>
    </w:p>
    <w:p w14:paraId="37842EFB" w14:textId="77777777" w:rsidR="00A30C0B" w:rsidRPr="001C13B4" w:rsidRDefault="00A30C0B" w:rsidP="00A30C0B">
      <w:pPr>
        <w:spacing w:line="480" w:lineRule="auto"/>
        <w:rPr>
          <w:szCs w:val="26"/>
          <w:u w:val="single"/>
        </w:rPr>
      </w:pPr>
      <w:r w:rsidRPr="001C13B4">
        <w:rPr>
          <w:szCs w:val="26"/>
          <w:u w:val="single"/>
        </w:rPr>
        <w:t xml:space="preserve">SUPPLEMENTARY INFORMATION:  </w:t>
      </w:r>
    </w:p>
    <w:p w14:paraId="37842EFC" w14:textId="77777777" w:rsidR="00C71E81" w:rsidRPr="00C71E81" w:rsidRDefault="00C71E81" w:rsidP="00C71E81">
      <w:pPr>
        <w:spacing w:line="480" w:lineRule="auto"/>
        <w:rPr>
          <w:szCs w:val="26"/>
        </w:rPr>
      </w:pPr>
      <w:r w:rsidRPr="00C71E81">
        <w:rPr>
          <w:i/>
          <w:szCs w:val="26"/>
        </w:rPr>
        <w:t xml:space="preserve">Title: </w:t>
      </w:r>
      <w:r w:rsidRPr="00C71E81">
        <w:rPr>
          <w:szCs w:val="26"/>
        </w:rPr>
        <w:t xml:space="preserve">FERC-914, </w:t>
      </w:r>
      <w:r w:rsidRPr="00C71E81">
        <w:rPr>
          <w:bCs/>
          <w:szCs w:val="26"/>
        </w:rPr>
        <w:t>Cogeneration and Small Power Production - Tariff Filings</w:t>
      </w:r>
    </w:p>
    <w:p w14:paraId="37842EFD" w14:textId="77777777" w:rsidR="00C71E81" w:rsidRPr="00C71E81" w:rsidRDefault="00C71E81" w:rsidP="00C71E81">
      <w:pPr>
        <w:spacing w:line="480" w:lineRule="auto"/>
        <w:rPr>
          <w:szCs w:val="26"/>
        </w:rPr>
      </w:pPr>
      <w:r w:rsidRPr="00C71E81">
        <w:rPr>
          <w:i/>
          <w:szCs w:val="26"/>
        </w:rPr>
        <w:t>OMB Control No.:</w:t>
      </w:r>
      <w:r w:rsidRPr="00C71E81">
        <w:rPr>
          <w:szCs w:val="26"/>
        </w:rPr>
        <w:t xml:space="preserve"> 1902-0231</w:t>
      </w:r>
    </w:p>
    <w:p w14:paraId="37842EFE" w14:textId="77777777" w:rsidR="00C71E81" w:rsidRPr="00C71E81" w:rsidRDefault="00C71E81" w:rsidP="00C71E81">
      <w:pPr>
        <w:spacing w:line="480" w:lineRule="auto"/>
        <w:rPr>
          <w:szCs w:val="26"/>
        </w:rPr>
      </w:pPr>
      <w:r w:rsidRPr="00C71E81">
        <w:rPr>
          <w:i/>
          <w:szCs w:val="26"/>
        </w:rPr>
        <w:t>Type of Request:</w:t>
      </w:r>
      <w:r w:rsidRPr="00C71E81">
        <w:rPr>
          <w:szCs w:val="26"/>
        </w:rPr>
        <w:t xml:space="preserve"> Three-year extension of the FERC-914 information collection requirements with no changes to the current reporting requirements. </w:t>
      </w:r>
    </w:p>
    <w:p w14:paraId="37842EFF" w14:textId="77777777" w:rsidR="00C71E81" w:rsidRPr="00C71E81" w:rsidRDefault="00C71E81" w:rsidP="00C71E81">
      <w:pPr>
        <w:spacing w:line="480" w:lineRule="auto"/>
        <w:rPr>
          <w:szCs w:val="26"/>
        </w:rPr>
      </w:pPr>
      <w:r w:rsidRPr="00C71E81">
        <w:rPr>
          <w:i/>
          <w:szCs w:val="26"/>
        </w:rPr>
        <w:lastRenderedPageBreak/>
        <w:t xml:space="preserve">Abstract: </w:t>
      </w:r>
      <w:r w:rsidRPr="00C71E81">
        <w:rPr>
          <w:szCs w:val="26"/>
        </w:rPr>
        <w:t>Section 205(c) of the Federal Power Act (FPA) and 18 CFR 292 require that every public utility have all of its jurisdictional rates and tariffs on file with the Commission and make them available for public inspection, within such time and in such form as the Commission may designate.  Section 205(d) of the FPA requires that every public utility must provide notice to the Commission and the public of any changes to its jurisdictional rates and tariffs, file such changes with the Commission, and make them available for public inspection, in such manner as directed by the Commission.  In addition, FPA section 206 requires the Commission, upon complaint or its own motion, to modify existing rates or services that are found to be unjust, unreasonable, unduly discriminatory or preferential.  FPA section 207 requires the Commission upon complaint by a state commission and a finding of insufficient interstate service, to order the rendering of adequate interstate service by public utilities, the rates for which would be filed in accordance with FPA sections 205 and 206.</w:t>
      </w:r>
    </w:p>
    <w:p w14:paraId="37842F00" w14:textId="77777777" w:rsidR="00C71E81" w:rsidRPr="00C71E81" w:rsidRDefault="00C71E81" w:rsidP="00C71E81">
      <w:pPr>
        <w:spacing w:line="480" w:lineRule="auto"/>
        <w:rPr>
          <w:bCs/>
          <w:szCs w:val="26"/>
        </w:rPr>
      </w:pPr>
      <w:r w:rsidRPr="00C71E81">
        <w:rPr>
          <w:bCs/>
          <w:szCs w:val="26"/>
        </w:rPr>
        <w:tab/>
      </w:r>
      <w:r w:rsidRPr="00C71E81">
        <w:rPr>
          <w:szCs w:val="26"/>
        </w:rPr>
        <w:t>In Order Nos. 671 and 671-A</w:t>
      </w:r>
      <w:r w:rsidRPr="00C71E81">
        <w:rPr>
          <w:szCs w:val="26"/>
          <w:vertAlign w:val="superscript"/>
        </w:rPr>
        <w:footnoteReference w:id="1"/>
      </w:r>
      <w:r w:rsidRPr="00C71E81">
        <w:rPr>
          <w:szCs w:val="26"/>
        </w:rPr>
        <w:t>, the Commission revised its regulations that govern qualifying small power production and cogeneration facilities.  Among other things, the Commission eliminated certain exemptions from rate regulation that were previously available to qualifying facilities (QFs).  New qualifying facilities may need to make tariff filings if they do not meet the exemption requirements.</w:t>
      </w:r>
    </w:p>
    <w:p w14:paraId="37842F01" w14:textId="72A1C4DF" w:rsidR="00C71E81" w:rsidRPr="00C71E81" w:rsidRDefault="00C71E81" w:rsidP="00C71E81">
      <w:pPr>
        <w:spacing w:line="480" w:lineRule="auto"/>
        <w:ind w:firstLine="720"/>
        <w:rPr>
          <w:szCs w:val="26"/>
        </w:rPr>
      </w:pPr>
      <w:r w:rsidRPr="00C71E81">
        <w:rPr>
          <w:szCs w:val="26"/>
        </w:rPr>
        <w:t>FERC implemented the Congressional mandate of the Energy Policy Act of 2005 (EPAct 2005) to establish criteria for new qualifying cogeneration facilities by:  (1) amending the exemptions available to qualifying facilities from the FPA and from Public Utility Holding Company Act (PUHCA) [resulting in the burden imposed by FERC-914, the subject of this notice]; (2) ensuring that these facilities are using their thermal output in a productive and beneficial manner; that the electrical, thermal, chemical and mechanical output of new qualifying cogeneration facilities is used fundamentally for commercial, residential or industrial purposes; and there is continuing progress in the development of efficient electric energy generating technology; (3) amending the FERC Form 556</w:t>
      </w:r>
      <w:r w:rsidRPr="00C71E81">
        <w:rPr>
          <w:b/>
          <w:szCs w:val="26"/>
          <w:vertAlign w:val="superscript"/>
        </w:rPr>
        <w:footnoteReference w:id="2"/>
      </w:r>
      <w:r w:rsidRPr="00C71E81">
        <w:rPr>
          <w:szCs w:val="26"/>
        </w:rPr>
        <w:t xml:space="preserve"> to reflect the criteria for new qualifying cogeneration facilities; and (4) eliminating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14:paraId="37842F02" w14:textId="77777777" w:rsidR="00C71E81" w:rsidRPr="00C71E81" w:rsidRDefault="00C71E81" w:rsidP="00C71E81">
      <w:pPr>
        <w:spacing w:line="480" w:lineRule="auto"/>
        <w:rPr>
          <w:szCs w:val="26"/>
        </w:rPr>
      </w:pPr>
      <w:r w:rsidRPr="00C71E81">
        <w:rPr>
          <w:i/>
          <w:szCs w:val="26"/>
        </w:rPr>
        <w:t xml:space="preserve">Type of Respondents: </w:t>
      </w:r>
      <w:r w:rsidRPr="00C71E81">
        <w:rPr>
          <w:szCs w:val="26"/>
        </w:rPr>
        <w:t>New qualifying facilities and small power producers that do not meet Commission exemption criteria</w:t>
      </w:r>
    </w:p>
    <w:p w14:paraId="37842F03" w14:textId="4BA7FDCD" w:rsidR="00C71E81" w:rsidRPr="00C71E81" w:rsidRDefault="00C71E81" w:rsidP="00C71E81">
      <w:pPr>
        <w:spacing w:line="480" w:lineRule="auto"/>
        <w:rPr>
          <w:szCs w:val="26"/>
        </w:rPr>
      </w:pPr>
      <w:r w:rsidRPr="00C71E81">
        <w:rPr>
          <w:i/>
          <w:szCs w:val="26"/>
        </w:rPr>
        <w:t>Estimate of Annual Burden</w:t>
      </w:r>
      <w:r w:rsidRPr="00C71E81">
        <w:rPr>
          <w:b/>
          <w:i/>
          <w:szCs w:val="26"/>
          <w:vertAlign w:val="superscript"/>
        </w:rPr>
        <w:footnoteReference w:id="3"/>
      </w:r>
      <w:r w:rsidRPr="00C71E81">
        <w:rPr>
          <w:i/>
          <w:szCs w:val="26"/>
        </w:rPr>
        <w:t xml:space="preserve">: </w:t>
      </w:r>
      <w:r w:rsidRPr="00C71E81">
        <w:rPr>
          <w:szCs w:val="26"/>
        </w:rPr>
        <w:t xml:space="preserve">The Commission estimates the annual public reporting burden </w:t>
      </w:r>
      <w:r w:rsidR="00AB797D">
        <w:rPr>
          <w:szCs w:val="26"/>
        </w:rPr>
        <w:t>and cost</w:t>
      </w:r>
      <w:r w:rsidR="00AB797D">
        <w:rPr>
          <w:rStyle w:val="FootnoteReference"/>
        </w:rPr>
        <w:footnoteReference w:id="4"/>
      </w:r>
      <w:r w:rsidR="00AB797D">
        <w:rPr>
          <w:szCs w:val="26"/>
        </w:rPr>
        <w:t xml:space="preserve"> </w:t>
      </w:r>
      <w:r w:rsidRPr="00C71E81">
        <w:rPr>
          <w:szCs w:val="26"/>
        </w:rP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C71E81" w:rsidRPr="00C71E81" w14:paraId="37842F05" w14:textId="77777777" w:rsidTr="00EE7506">
        <w:trPr>
          <w:cantSplit/>
        </w:trPr>
        <w:tc>
          <w:tcPr>
            <w:tcW w:w="5000" w:type="pct"/>
            <w:gridSpan w:val="7"/>
            <w:tcBorders>
              <w:bottom w:val="single" w:sz="4" w:space="0" w:color="auto"/>
            </w:tcBorders>
            <w:shd w:val="clear" w:color="auto" w:fill="D9D9D9"/>
          </w:tcPr>
          <w:p w14:paraId="37842F04" w14:textId="77777777" w:rsidR="00C71E81" w:rsidRPr="00C71E81" w:rsidRDefault="00C71E81" w:rsidP="00C71E81">
            <w:pPr>
              <w:jc w:val="center"/>
              <w:rPr>
                <w:rFonts w:eastAsia="Calibri"/>
                <w:b/>
                <w:szCs w:val="26"/>
              </w:rPr>
            </w:pPr>
            <w:r w:rsidRPr="00C71E81">
              <w:rPr>
                <w:rFonts w:eastAsia="Calibri"/>
                <w:b/>
                <w:szCs w:val="26"/>
              </w:rPr>
              <w:t>FERC-914: Cogeneration and Small Power Production – Tariff Filings</w:t>
            </w:r>
          </w:p>
        </w:tc>
      </w:tr>
      <w:tr w:rsidR="00C71E81" w:rsidRPr="00C71E81" w14:paraId="37842F12" w14:textId="77777777" w:rsidTr="00EE7506">
        <w:trPr>
          <w:cantSplit/>
        </w:trPr>
        <w:tc>
          <w:tcPr>
            <w:tcW w:w="878" w:type="pct"/>
            <w:shd w:val="clear" w:color="auto" w:fill="D9D9D9"/>
          </w:tcPr>
          <w:p w14:paraId="37842F06" w14:textId="77777777" w:rsidR="00C71E81" w:rsidRPr="00C71E81" w:rsidRDefault="00C71E81" w:rsidP="00C71E81">
            <w:pPr>
              <w:jc w:val="center"/>
              <w:rPr>
                <w:rFonts w:eastAsia="Calibri"/>
                <w:b/>
                <w:sz w:val="20"/>
                <w:szCs w:val="20"/>
              </w:rPr>
            </w:pPr>
          </w:p>
        </w:tc>
        <w:tc>
          <w:tcPr>
            <w:tcW w:w="746" w:type="pct"/>
            <w:shd w:val="clear" w:color="auto" w:fill="D9D9D9"/>
            <w:vAlign w:val="bottom"/>
          </w:tcPr>
          <w:p w14:paraId="37842F07" w14:textId="77777777" w:rsidR="00C71E81" w:rsidRPr="00C71E81" w:rsidRDefault="00C71E81" w:rsidP="00C71E81">
            <w:pPr>
              <w:jc w:val="center"/>
              <w:rPr>
                <w:rFonts w:eastAsia="Calibri"/>
                <w:b/>
                <w:sz w:val="20"/>
                <w:szCs w:val="20"/>
              </w:rPr>
            </w:pPr>
            <w:r w:rsidRPr="00C71E81">
              <w:rPr>
                <w:rFonts w:eastAsia="Calibri"/>
                <w:b/>
                <w:sz w:val="20"/>
                <w:szCs w:val="20"/>
              </w:rPr>
              <w:t>Number of Respondents</w:t>
            </w:r>
            <w:r w:rsidRPr="00C71E81">
              <w:rPr>
                <w:rFonts w:eastAsia="Calibri"/>
                <w:b/>
                <w:sz w:val="20"/>
                <w:szCs w:val="20"/>
              </w:rPr>
              <w:br/>
              <w:t>(1)</w:t>
            </w:r>
          </w:p>
        </w:tc>
        <w:tc>
          <w:tcPr>
            <w:tcW w:w="746" w:type="pct"/>
            <w:shd w:val="clear" w:color="auto" w:fill="D9D9D9"/>
            <w:vAlign w:val="bottom"/>
          </w:tcPr>
          <w:p w14:paraId="37842F08" w14:textId="77777777" w:rsidR="00C71E81" w:rsidRPr="00C71E81" w:rsidRDefault="00C71E81" w:rsidP="00C71E81">
            <w:pPr>
              <w:jc w:val="center"/>
              <w:rPr>
                <w:rFonts w:eastAsia="Calibri"/>
                <w:b/>
                <w:sz w:val="20"/>
                <w:szCs w:val="20"/>
              </w:rPr>
            </w:pPr>
            <w:r w:rsidRPr="00C71E81">
              <w:rPr>
                <w:rFonts w:eastAsia="Calibri"/>
                <w:b/>
                <w:sz w:val="20"/>
                <w:szCs w:val="20"/>
              </w:rPr>
              <w:t>Annual Number of Responses per Respondent</w:t>
            </w:r>
          </w:p>
          <w:p w14:paraId="37842F09" w14:textId="77777777" w:rsidR="00C71E81" w:rsidRPr="00C71E81" w:rsidRDefault="00C71E81" w:rsidP="00C71E81">
            <w:pPr>
              <w:jc w:val="center"/>
              <w:rPr>
                <w:rFonts w:eastAsia="Calibri"/>
                <w:b/>
                <w:sz w:val="20"/>
                <w:szCs w:val="20"/>
              </w:rPr>
            </w:pPr>
            <w:r w:rsidRPr="00C71E81">
              <w:rPr>
                <w:rFonts w:eastAsia="Calibri"/>
                <w:b/>
                <w:sz w:val="20"/>
                <w:szCs w:val="20"/>
              </w:rPr>
              <w:t>(2)</w:t>
            </w:r>
          </w:p>
        </w:tc>
        <w:tc>
          <w:tcPr>
            <w:tcW w:w="703" w:type="pct"/>
            <w:shd w:val="clear" w:color="auto" w:fill="D9D9D9"/>
            <w:vAlign w:val="bottom"/>
          </w:tcPr>
          <w:p w14:paraId="37842F0A" w14:textId="77777777" w:rsidR="00C71E81" w:rsidRPr="00C71E81" w:rsidRDefault="00C71E81" w:rsidP="00C71E81">
            <w:pPr>
              <w:jc w:val="center"/>
              <w:rPr>
                <w:rFonts w:eastAsia="Calibri"/>
                <w:b/>
                <w:sz w:val="20"/>
                <w:szCs w:val="20"/>
              </w:rPr>
            </w:pPr>
            <w:r w:rsidRPr="00C71E81">
              <w:rPr>
                <w:rFonts w:eastAsia="Calibri"/>
                <w:b/>
                <w:sz w:val="20"/>
                <w:szCs w:val="20"/>
              </w:rPr>
              <w:t>Total Number of Responses (1)*(2)=(3)</w:t>
            </w:r>
          </w:p>
        </w:tc>
        <w:tc>
          <w:tcPr>
            <w:tcW w:w="654" w:type="pct"/>
            <w:shd w:val="clear" w:color="auto" w:fill="D9D9D9"/>
            <w:vAlign w:val="bottom"/>
          </w:tcPr>
          <w:p w14:paraId="37842F0B" w14:textId="050746B8" w:rsidR="00C71E81" w:rsidRPr="00C71E81" w:rsidRDefault="00C71E81" w:rsidP="00C71E81">
            <w:pPr>
              <w:jc w:val="center"/>
              <w:rPr>
                <w:rFonts w:eastAsia="Calibri"/>
                <w:b/>
                <w:sz w:val="20"/>
                <w:szCs w:val="20"/>
              </w:rPr>
            </w:pPr>
            <w:r w:rsidRPr="00C71E81">
              <w:rPr>
                <w:rFonts w:eastAsia="Calibri"/>
                <w:b/>
                <w:sz w:val="20"/>
                <w:szCs w:val="20"/>
              </w:rPr>
              <w:t xml:space="preserve">Average Burden </w:t>
            </w:r>
            <w:r w:rsidR="00AB797D">
              <w:rPr>
                <w:rFonts w:eastAsia="Calibri"/>
                <w:b/>
                <w:sz w:val="20"/>
                <w:szCs w:val="20"/>
              </w:rPr>
              <w:t xml:space="preserve">Hours </w:t>
            </w:r>
            <w:r w:rsidRPr="00C71E81">
              <w:rPr>
                <w:rFonts w:eastAsia="Calibri"/>
                <w:b/>
                <w:sz w:val="20"/>
                <w:szCs w:val="20"/>
              </w:rPr>
              <w:t xml:space="preserve">&amp; Cost </w:t>
            </w:r>
            <w:r w:rsidR="00AB797D" w:rsidRPr="00C71E81">
              <w:rPr>
                <w:rFonts w:eastAsia="Calibri"/>
                <w:b/>
                <w:sz w:val="20"/>
                <w:szCs w:val="20"/>
              </w:rPr>
              <w:t>($)</w:t>
            </w:r>
            <w:r w:rsidR="00AB797D">
              <w:rPr>
                <w:rFonts w:eastAsia="Calibri"/>
                <w:b/>
                <w:sz w:val="20"/>
                <w:szCs w:val="20"/>
              </w:rPr>
              <w:t xml:space="preserve"> </w:t>
            </w:r>
            <w:r w:rsidRPr="00C71E81">
              <w:rPr>
                <w:rFonts w:eastAsia="Calibri"/>
                <w:b/>
                <w:sz w:val="20"/>
                <w:szCs w:val="20"/>
              </w:rPr>
              <w:t>Per Response</w:t>
            </w:r>
          </w:p>
          <w:p w14:paraId="37842F0C" w14:textId="77777777" w:rsidR="00C71E81" w:rsidRPr="00C71E81" w:rsidRDefault="00C71E81" w:rsidP="00C71E81">
            <w:pPr>
              <w:jc w:val="center"/>
              <w:rPr>
                <w:rFonts w:eastAsia="Calibri"/>
                <w:b/>
                <w:sz w:val="20"/>
                <w:szCs w:val="20"/>
              </w:rPr>
            </w:pPr>
            <w:r w:rsidRPr="00C71E81">
              <w:rPr>
                <w:rFonts w:eastAsia="Calibri"/>
                <w:b/>
                <w:sz w:val="20"/>
                <w:szCs w:val="20"/>
              </w:rPr>
              <w:t>(4)</w:t>
            </w:r>
          </w:p>
        </w:tc>
        <w:tc>
          <w:tcPr>
            <w:tcW w:w="657" w:type="pct"/>
            <w:shd w:val="clear" w:color="auto" w:fill="D9D9D9"/>
            <w:vAlign w:val="bottom"/>
          </w:tcPr>
          <w:p w14:paraId="37842F0D" w14:textId="77777777" w:rsidR="00C71E81" w:rsidRPr="00C71E81" w:rsidRDefault="00C71E81" w:rsidP="00C71E81">
            <w:pPr>
              <w:jc w:val="center"/>
              <w:rPr>
                <w:rFonts w:eastAsia="Calibri"/>
                <w:b/>
                <w:sz w:val="20"/>
                <w:szCs w:val="20"/>
              </w:rPr>
            </w:pPr>
            <w:r w:rsidRPr="00C71E81">
              <w:rPr>
                <w:rFonts w:eastAsia="Calibri"/>
                <w:b/>
                <w:sz w:val="20"/>
                <w:szCs w:val="20"/>
              </w:rPr>
              <w:t>Total Annual Burden Hours &amp; Total Annual Cost ($)</w:t>
            </w:r>
          </w:p>
          <w:p w14:paraId="37842F0E" w14:textId="77777777" w:rsidR="00C71E81" w:rsidRPr="00C71E81" w:rsidRDefault="00C71E81" w:rsidP="00C71E81">
            <w:pPr>
              <w:jc w:val="center"/>
              <w:rPr>
                <w:rFonts w:eastAsia="Calibri"/>
                <w:b/>
                <w:sz w:val="20"/>
                <w:szCs w:val="20"/>
              </w:rPr>
            </w:pPr>
            <w:r w:rsidRPr="00C71E81">
              <w:rPr>
                <w:rFonts w:eastAsia="Calibri"/>
                <w:b/>
                <w:sz w:val="20"/>
                <w:szCs w:val="20"/>
              </w:rPr>
              <w:t>(3)*(4)=(5)</w:t>
            </w:r>
          </w:p>
        </w:tc>
        <w:tc>
          <w:tcPr>
            <w:tcW w:w="616" w:type="pct"/>
            <w:shd w:val="clear" w:color="auto" w:fill="D9D9D9"/>
            <w:vAlign w:val="bottom"/>
          </w:tcPr>
          <w:p w14:paraId="37842F0F" w14:textId="77777777" w:rsidR="00C71E81" w:rsidRPr="00C71E81" w:rsidRDefault="00C71E81" w:rsidP="00C71E81">
            <w:pPr>
              <w:jc w:val="center"/>
              <w:rPr>
                <w:rFonts w:eastAsia="Calibri"/>
                <w:b/>
                <w:sz w:val="20"/>
                <w:szCs w:val="20"/>
              </w:rPr>
            </w:pPr>
            <w:r w:rsidRPr="00C71E81">
              <w:rPr>
                <w:rFonts w:eastAsia="Calibri"/>
                <w:b/>
                <w:sz w:val="20"/>
                <w:szCs w:val="20"/>
              </w:rPr>
              <w:t>Cost per Respondent</w:t>
            </w:r>
          </w:p>
          <w:p w14:paraId="37842F10" w14:textId="77777777" w:rsidR="00C71E81" w:rsidRPr="00C71E81" w:rsidRDefault="00C71E81" w:rsidP="00C71E81">
            <w:pPr>
              <w:jc w:val="center"/>
              <w:rPr>
                <w:rFonts w:eastAsia="Calibri"/>
                <w:b/>
                <w:sz w:val="20"/>
                <w:szCs w:val="20"/>
              </w:rPr>
            </w:pPr>
            <w:r w:rsidRPr="00C71E81">
              <w:rPr>
                <w:rFonts w:eastAsia="Calibri"/>
                <w:b/>
                <w:sz w:val="20"/>
                <w:szCs w:val="20"/>
              </w:rPr>
              <w:t xml:space="preserve"> ($)</w:t>
            </w:r>
          </w:p>
          <w:p w14:paraId="37842F11" w14:textId="77777777" w:rsidR="00C71E81" w:rsidRPr="00C71E81" w:rsidRDefault="00C71E81" w:rsidP="00C71E81">
            <w:pPr>
              <w:jc w:val="center"/>
              <w:rPr>
                <w:rFonts w:eastAsia="Calibri"/>
                <w:b/>
                <w:sz w:val="20"/>
                <w:szCs w:val="20"/>
              </w:rPr>
            </w:pPr>
            <w:r w:rsidRPr="00C71E81">
              <w:rPr>
                <w:rFonts w:eastAsia="Calibri"/>
                <w:b/>
                <w:sz w:val="20"/>
                <w:szCs w:val="20"/>
              </w:rPr>
              <w:t>(5)÷(1)</w:t>
            </w:r>
          </w:p>
        </w:tc>
      </w:tr>
      <w:tr w:rsidR="00C71E81" w:rsidRPr="00C71E81" w14:paraId="37842F1D" w14:textId="77777777" w:rsidTr="00EE7506">
        <w:trPr>
          <w:cantSplit/>
        </w:trPr>
        <w:tc>
          <w:tcPr>
            <w:tcW w:w="878" w:type="pct"/>
          </w:tcPr>
          <w:p w14:paraId="37842F13" w14:textId="77777777" w:rsidR="00C71E81" w:rsidRPr="00C71E81" w:rsidRDefault="00C71E81" w:rsidP="00C71E81">
            <w:pPr>
              <w:rPr>
                <w:rFonts w:eastAsia="Calibri"/>
                <w:sz w:val="20"/>
                <w:szCs w:val="20"/>
              </w:rPr>
            </w:pPr>
            <w:r w:rsidRPr="00C71E81">
              <w:rPr>
                <w:rFonts w:eastAsia="Calibri"/>
                <w:sz w:val="20"/>
                <w:szCs w:val="20"/>
              </w:rPr>
              <w:t>FPA Section 205 Filings</w:t>
            </w:r>
          </w:p>
        </w:tc>
        <w:tc>
          <w:tcPr>
            <w:tcW w:w="746" w:type="pct"/>
          </w:tcPr>
          <w:p w14:paraId="37842F15" w14:textId="0330C1E3" w:rsidR="00C71E81" w:rsidRPr="00C71E81" w:rsidRDefault="00C71E81" w:rsidP="00C71E81">
            <w:pPr>
              <w:jc w:val="right"/>
              <w:rPr>
                <w:rFonts w:eastAsia="Calibri"/>
                <w:sz w:val="20"/>
                <w:szCs w:val="20"/>
              </w:rPr>
            </w:pPr>
            <w:r w:rsidRPr="00C71E81">
              <w:rPr>
                <w:rFonts w:eastAsia="Calibri"/>
                <w:sz w:val="20"/>
                <w:szCs w:val="20"/>
              </w:rPr>
              <w:t>35</w:t>
            </w:r>
          </w:p>
        </w:tc>
        <w:tc>
          <w:tcPr>
            <w:tcW w:w="746" w:type="pct"/>
          </w:tcPr>
          <w:p w14:paraId="37842F16" w14:textId="77777777" w:rsidR="00C71E81" w:rsidRPr="00C71E81" w:rsidRDefault="00C71E81" w:rsidP="00C71E81">
            <w:pPr>
              <w:jc w:val="right"/>
              <w:rPr>
                <w:rFonts w:eastAsia="Calibri"/>
                <w:sz w:val="20"/>
                <w:szCs w:val="20"/>
              </w:rPr>
            </w:pPr>
            <w:r w:rsidRPr="00C71E81">
              <w:rPr>
                <w:rFonts w:eastAsia="Calibri"/>
                <w:sz w:val="20"/>
                <w:szCs w:val="20"/>
              </w:rPr>
              <w:t>1</w:t>
            </w:r>
          </w:p>
        </w:tc>
        <w:tc>
          <w:tcPr>
            <w:tcW w:w="703" w:type="pct"/>
          </w:tcPr>
          <w:p w14:paraId="37842F17" w14:textId="77777777" w:rsidR="00C71E81" w:rsidRPr="00C71E81" w:rsidRDefault="00C71E81" w:rsidP="00C71E81">
            <w:pPr>
              <w:jc w:val="right"/>
              <w:rPr>
                <w:rFonts w:eastAsia="Calibri"/>
                <w:sz w:val="20"/>
                <w:szCs w:val="20"/>
              </w:rPr>
            </w:pPr>
            <w:r w:rsidRPr="00C71E81">
              <w:rPr>
                <w:rFonts w:eastAsia="Calibri"/>
                <w:sz w:val="20"/>
                <w:szCs w:val="20"/>
              </w:rPr>
              <w:t>35</w:t>
            </w:r>
          </w:p>
        </w:tc>
        <w:tc>
          <w:tcPr>
            <w:tcW w:w="654" w:type="pct"/>
          </w:tcPr>
          <w:p w14:paraId="37842F18" w14:textId="77777777" w:rsidR="00C71E81" w:rsidRPr="00C71E81" w:rsidRDefault="00C71E81" w:rsidP="00C71E81">
            <w:pPr>
              <w:jc w:val="right"/>
              <w:rPr>
                <w:rFonts w:eastAsia="Calibri"/>
                <w:sz w:val="20"/>
                <w:szCs w:val="20"/>
              </w:rPr>
            </w:pPr>
            <w:r w:rsidRPr="00C71E81">
              <w:rPr>
                <w:rFonts w:eastAsia="Calibri"/>
                <w:sz w:val="20"/>
                <w:szCs w:val="20"/>
              </w:rPr>
              <w:t xml:space="preserve">183 hrs.; </w:t>
            </w:r>
          </w:p>
          <w:p w14:paraId="37842F19" w14:textId="77777777" w:rsidR="00C71E81" w:rsidRPr="00C71E81" w:rsidRDefault="00C71E81" w:rsidP="00C71E81">
            <w:pPr>
              <w:jc w:val="right"/>
              <w:rPr>
                <w:rFonts w:eastAsia="Calibri"/>
                <w:sz w:val="20"/>
                <w:szCs w:val="20"/>
              </w:rPr>
            </w:pPr>
            <w:r w:rsidRPr="00C71E81">
              <w:rPr>
                <w:rFonts w:eastAsia="Calibri"/>
                <w:sz w:val="20"/>
                <w:szCs w:val="20"/>
              </w:rPr>
              <w:t>$14,457</w:t>
            </w:r>
          </w:p>
        </w:tc>
        <w:tc>
          <w:tcPr>
            <w:tcW w:w="657" w:type="pct"/>
          </w:tcPr>
          <w:p w14:paraId="37842F1A" w14:textId="77777777" w:rsidR="00C71E81" w:rsidRPr="00C71E81" w:rsidRDefault="00C71E81" w:rsidP="00C71E81">
            <w:pPr>
              <w:jc w:val="right"/>
              <w:rPr>
                <w:rFonts w:eastAsia="Calibri"/>
                <w:sz w:val="20"/>
                <w:szCs w:val="20"/>
              </w:rPr>
            </w:pPr>
            <w:r w:rsidRPr="00C71E81">
              <w:rPr>
                <w:rFonts w:eastAsia="Calibri"/>
                <w:sz w:val="20"/>
                <w:szCs w:val="20"/>
              </w:rPr>
              <w:t xml:space="preserve">6,405 hrs.; </w:t>
            </w:r>
          </w:p>
          <w:p w14:paraId="37842F1B" w14:textId="77777777" w:rsidR="00C71E81" w:rsidRPr="00C71E81" w:rsidRDefault="00C71E81" w:rsidP="00C71E81">
            <w:pPr>
              <w:jc w:val="right"/>
              <w:rPr>
                <w:rFonts w:eastAsia="Calibri"/>
                <w:sz w:val="20"/>
                <w:szCs w:val="20"/>
              </w:rPr>
            </w:pPr>
            <w:r w:rsidRPr="00C71E81">
              <w:rPr>
                <w:rFonts w:eastAsia="Calibri"/>
                <w:sz w:val="20"/>
                <w:szCs w:val="20"/>
              </w:rPr>
              <w:t>$505,995</w:t>
            </w:r>
          </w:p>
        </w:tc>
        <w:tc>
          <w:tcPr>
            <w:tcW w:w="616" w:type="pct"/>
          </w:tcPr>
          <w:p w14:paraId="37842F1C" w14:textId="77777777" w:rsidR="00C71E81" w:rsidRPr="00C71E81" w:rsidRDefault="00C71E81" w:rsidP="00C71E81">
            <w:pPr>
              <w:jc w:val="right"/>
              <w:rPr>
                <w:rFonts w:eastAsia="Calibri"/>
                <w:sz w:val="20"/>
                <w:szCs w:val="20"/>
              </w:rPr>
            </w:pPr>
            <w:r w:rsidRPr="00C71E81">
              <w:rPr>
                <w:rFonts w:eastAsia="Calibri"/>
                <w:sz w:val="20"/>
                <w:szCs w:val="20"/>
              </w:rPr>
              <w:t>$14,457</w:t>
            </w:r>
          </w:p>
        </w:tc>
      </w:tr>
      <w:tr w:rsidR="00C71E81" w:rsidRPr="00C71E81" w14:paraId="37842F27" w14:textId="77777777" w:rsidTr="00EE7506">
        <w:trPr>
          <w:cantSplit/>
        </w:trPr>
        <w:tc>
          <w:tcPr>
            <w:tcW w:w="878" w:type="pct"/>
          </w:tcPr>
          <w:p w14:paraId="37842F1E" w14:textId="77777777" w:rsidR="00C71E81" w:rsidRPr="00C71E81" w:rsidRDefault="00C71E81" w:rsidP="00C71E81">
            <w:pPr>
              <w:rPr>
                <w:rFonts w:eastAsia="Calibri"/>
                <w:sz w:val="20"/>
                <w:szCs w:val="20"/>
              </w:rPr>
            </w:pPr>
            <w:r w:rsidRPr="00C71E81">
              <w:rPr>
                <w:rFonts w:eastAsia="Calibri"/>
                <w:sz w:val="20"/>
                <w:szCs w:val="20"/>
              </w:rPr>
              <w:t>Electric Quarterly Reports (initial)</w:t>
            </w:r>
          </w:p>
        </w:tc>
        <w:tc>
          <w:tcPr>
            <w:tcW w:w="746" w:type="pct"/>
          </w:tcPr>
          <w:p w14:paraId="37842F1F" w14:textId="77777777" w:rsidR="00C71E81" w:rsidRPr="00C71E81" w:rsidRDefault="00C71E81" w:rsidP="00C71E81">
            <w:pPr>
              <w:jc w:val="right"/>
              <w:rPr>
                <w:rFonts w:eastAsia="Calibri"/>
                <w:sz w:val="20"/>
                <w:szCs w:val="20"/>
              </w:rPr>
            </w:pPr>
            <w:r w:rsidRPr="00C71E81">
              <w:rPr>
                <w:rFonts w:eastAsia="Calibri"/>
                <w:sz w:val="20"/>
                <w:szCs w:val="20"/>
              </w:rPr>
              <w:t>0</w:t>
            </w:r>
          </w:p>
        </w:tc>
        <w:tc>
          <w:tcPr>
            <w:tcW w:w="746" w:type="pct"/>
          </w:tcPr>
          <w:p w14:paraId="37842F20" w14:textId="77777777" w:rsidR="00C71E81" w:rsidRPr="00C71E81" w:rsidRDefault="00C71E81" w:rsidP="00C71E81">
            <w:pPr>
              <w:jc w:val="right"/>
              <w:rPr>
                <w:rFonts w:eastAsia="Calibri"/>
                <w:sz w:val="20"/>
                <w:szCs w:val="20"/>
              </w:rPr>
            </w:pPr>
            <w:r w:rsidRPr="00C71E81">
              <w:rPr>
                <w:rFonts w:eastAsia="Calibri"/>
                <w:sz w:val="20"/>
                <w:szCs w:val="20"/>
              </w:rPr>
              <w:t>0</w:t>
            </w:r>
          </w:p>
        </w:tc>
        <w:tc>
          <w:tcPr>
            <w:tcW w:w="703" w:type="pct"/>
          </w:tcPr>
          <w:p w14:paraId="37842F21" w14:textId="77777777" w:rsidR="00C71E81" w:rsidRPr="00C71E81" w:rsidRDefault="00C71E81" w:rsidP="00C71E81">
            <w:pPr>
              <w:jc w:val="right"/>
              <w:rPr>
                <w:rFonts w:eastAsia="Calibri"/>
                <w:sz w:val="20"/>
                <w:szCs w:val="20"/>
              </w:rPr>
            </w:pPr>
            <w:r w:rsidRPr="00C71E81">
              <w:rPr>
                <w:rFonts w:eastAsia="Calibri"/>
                <w:sz w:val="20"/>
                <w:szCs w:val="20"/>
              </w:rPr>
              <w:t>0</w:t>
            </w:r>
          </w:p>
        </w:tc>
        <w:tc>
          <w:tcPr>
            <w:tcW w:w="654" w:type="pct"/>
          </w:tcPr>
          <w:p w14:paraId="37842F22" w14:textId="77777777" w:rsidR="00C71E81" w:rsidRPr="00C71E81" w:rsidRDefault="00C71E81" w:rsidP="00C71E81">
            <w:pPr>
              <w:jc w:val="right"/>
              <w:rPr>
                <w:rFonts w:eastAsia="Calibri"/>
                <w:sz w:val="20"/>
                <w:szCs w:val="20"/>
              </w:rPr>
            </w:pPr>
            <w:r w:rsidRPr="00C71E81">
              <w:rPr>
                <w:rFonts w:eastAsia="Calibri"/>
                <w:sz w:val="20"/>
                <w:szCs w:val="20"/>
              </w:rPr>
              <w:t>230 hrs.;</w:t>
            </w:r>
          </w:p>
          <w:p w14:paraId="37842F23" w14:textId="77777777" w:rsidR="00C71E81" w:rsidRPr="00C71E81" w:rsidRDefault="00C71E81" w:rsidP="00C71E81">
            <w:pPr>
              <w:jc w:val="right"/>
              <w:rPr>
                <w:rFonts w:eastAsia="Calibri"/>
                <w:sz w:val="20"/>
                <w:szCs w:val="20"/>
              </w:rPr>
            </w:pPr>
            <w:r w:rsidRPr="00C71E81">
              <w:rPr>
                <w:rFonts w:eastAsia="Calibri"/>
                <w:sz w:val="20"/>
                <w:szCs w:val="20"/>
              </w:rPr>
              <w:t>$18,170</w:t>
            </w:r>
          </w:p>
        </w:tc>
        <w:tc>
          <w:tcPr>
            <w:tcW w:w="657" w:type="pct"/>
          </w:tcPr>
          <w:p w14:paraId="37842F24" w14:textId="77777777" w:rsidR="00C71E81" w:rsidRPr="00C71E81" w:rsidRDefault="00C71E81" w:rsidP="00C71E81">
            <w:pPr>
              <w:jc w:val="right"/>
              <w:rPr>
                <w:rFonts w:eastAsia="Calibri"/>
                <w:sz w:val="20"/>
                <w:szCs w:val="20"/>
              </w:rPr>
            </w:pPr>
            <w:r w:rsidRPr="00C71E81">
              <w:rPr>
                <w:rFonts w:eastAsia="Calibri"/>
                <w:sz w:val="20"/>
                <w:szCs w:val="20"/>
              </w:rPr>
              <w:t>0 hrs.;</w:t>
            </w:r>
          </w:p>
          <w:p w14:paraId="37842F25" w14:textId="77777777" w:rsidR="00C71E81" w:rsidRPr="00C71E81" w:rsidRDefault="00C71E81" w:rsidP="00C71E81">
            <w:pPr>
              <w:jc w:val="right"/>
              <w:rPr>
                <w:rFonts w:eastAsia="Calibri"/>
                <w:sz w:val="20"/>
                <w:szCs w:val="20"/>
              </w:rPr>
            </w:pPr>
            <w:r w:rsidRPr="00C71E81">
              <w:rPr>
                <w:rFonts w:eastAsia="Calibri"/>
                <w:sz w:val="20"/>
                <w:szCs w:val="20"/>
              </w:rPr>
              <w:t>$0</w:t>
            </w:r>
          </w:p>
        </w:tc>
        <w:tc>
          <w:tcPr>
            <w:tcW w:w="616" w:type="pct"/>
          </w:tcPr>
          <w:p w14:paraId="37842F26" w14:textId="77777777" w:rsidR="00C71E81" w:rsidRPr="00C71E81" w:rsidRDefault="00C71E81" w:rsidP="00C71E81">
            <w:pPr>
              <w:jc w:val="right"/>
              <w:rPr>
                <w:rFonts w:eastAsia="Calibri"/>
                <w:sz w:val="20"/>
                <w:szCs w:val="20"/>
              </w:rPr>
            </w:pPr>
            <w:r w:rsidRPr="00C71E81">
              <w:rPr>
                <w:rFonts w:eastAsia="Calibri"/>
                <w:sz w:val="20"/>
                <w:szCs w:val="20"/>
              </w:rPr>
              <w:t>$0</w:t>
            </w:r>
          </w:p>
        </w:tc>
      </w:tr>
      <w:tr w:rsidR="00C71E81" w:rsidRPr="00C71E81" w14:paraId="37842F31" w14:textId="77777777" w:rsidTr="00EE7506">
        <w:trPr>
          <w:cantSplit/>
        </w:trPr>
        <w:tc>
          <w:tcPr>
            <w:tcW w:w="878" w:type="pct"/>
          </w:tcPr>
          <w:p w14:paraId="37842F28" w14:textId="77777777" w:rsidR="00C71E81" w:rsidRPr="00C71E81" w:rsidRDefault="00C71E81" w:rsidP="00C71E81">
            <w:pPr>
              <w:rPr>
                <w:rFonts w:eastAsia="Calibri"/>
                <w:sz w:val="20"/>
                <w:szCs w:val="20"/>
              </w:rPr>
            </w:pPr>
            <w:r w:rsidRPr="00C71E81">
              <w:rPr>
                <w:rFonts w:eastAsia="Calibri"/>
                <w:sz w:val="20"/>
                <w:szCs w:val="20"/>
              </w:rPr>
              <w:t>Electric Quarterly Reports (later)</w:t>
            </w:r>
          </w:p>
        </w:tc>
        <w:tc>
          <w:tcPr>
            <w:tcW w:w="746" w:type="pct"/>
          </w:tcPr>
          <w:p w14:paraId="37842F29" w14:textId="77777777" w:rsidR="00C71E81" w:rsidRPr="00C71E81" w:rsidRDefault="00C71E81" w:rsidP="00C71E81">
            <w:pPr>
              <w:jc w:val="right"/>
              <w:rPr>
                <w:rFonts w:eastAsia="Calibri"/>
                <w:sz w:val="20"/>
                <w:szCs w:val="20"/>
              </w:rPr>
            </w:pPr>
            <w:r w:rsidRPr="00C71E81">
              <w:rPr>
                <w:rFonts w:eastAsia="Calibri"/>
                <w:sz w:val="20"/>
                <w:szCs w:val="20"/>
              </w:rPr>
              <w:t>35</w:t>
            </w:r>
          </w:p>
        </w:tc>
        <w:tc>
          <w:tcPr>
            <w:tcW w:w="746" w:type="pct"/>
          </w:tcPr>
          <w:p w14:paraId="37842F2A" w14:textId="77777777" w:rsidR="00C71E81" w:rsidRPr="00C71E81" w:rsidRDefault="00C71E81" w:rsidP="00C71E81">
            <w:pPr>
              <w:jc w:val="right"/>
              <w:rPr>
                <w:rFonts w:eastAsia="Calibri"/>
                <w:sz w:val="20"/>
                <w:szCs w:val="20"/>
              </w:rPr>
            </w:pPr>
            <w:r w:rsidRPr="00C71E81">
              <w:rPr>
                <w:rFonts w:eastAsia="Calibri"/>
                <w:sz w:val="20"/>
                <w:szCs w:val="20"/>
              </w:rPr>
              <w:t>4</w:t>
            </w:r>
          </w:p>
        </w:tc>
        <w:tc>
          <w:tcPr>
            <w:tcW w:w="703" w:type="pct"/>
          </w:tcPr>
          <w:p w14:paraId="37842F2B" w14:textId="77777777" w:rsidR="00C71E81" w:rsidRPr="00C71E81" w:rsidRDefault="00C71E81" w:rsidP="00C71E81">
            <w:pPr>
              <w:jc w:val="right"/>
              <w:rPr>
                <w:rFonts w:eastAsia="Calibri"/>
                <w:sz w:val="20"/>
                <w:szCs w:val="20"/>
              </w:rPr>
            </w:pPr>
            <w:r w:rsidRPr="00C71E81">
              <w:rPr>
                <w:rFonts w:eastAsia="Calibri"/>
                <w:sz w:val="20"/>
                <w:szCs w:val="20"/>
              </w:rPr>
              <w:t>140</w:t>
            </w:r>
          </w:p>
        </w:tc>
        <w:tc>
          <w:tcPr>
            <w:tcW w:w="654" w:type="pct"/>
          </w:tcPr>
          <w:p w14:paraId="37842F2C" w14:textId="77777777" w:rsidR="00C71E81" w:rsidRPr="00C71E81" w:rsidRDefault="00C71E81" w:rsidP="00C71E81">
            <w:pPr>
              <w:jc w:val="right"/>
              <w:rPr>
                <w:rFonts w:eastAsia="Calibri"/>
                <w:sz w:val="20"/>
                <w:szCs w:val="20"/>
              </w:rPr>
            </w:pPr>
            <w:r w:rsidRPr="00C71E81">
              <w:rPr>
                <w:rFonts w:eastAsia="Calibri"/>
                <w:sz w:val="20"/>
                <w:szCs w:val="20"/>
              </w:rPr>
              <w:t>6 hrs.;</w:t>
            </w:r>
          </w:p>
          <w:p w14:paraId="37842F2D" w14:textId="77777777" w:rsidR="00C71E81" w:rsidRPr="00C71E81" w:rsidRDefault="00C71E81" w:rsidP="00C71E81">
            <w:pPr>
              <w:jc w:val="right"/>
              <w:rPr>
                <w:rFonts w:eastAsia="Calibri"/>
                <w:sz w:val="20"/>
                <w:szCs w:val="20"/>
              </w:rPr>
            </w:pPr>
            <w:r w:rsidRPr="00C71E81">
              <w:rPr>
                <w:rFonts w:eastAsia="Calibri"/>
                <w:sz w:val="20"/>
                <w:szCs w:val="20"/>
              </w:rPr>
              <w:t>$474</w:t>
            </w:r>
          </w:p>
        </w:tc>
        <w:tc>
          <w:tcPr>
            <w:tcW w:w="657" w:type="pct"/>
          </w:tcPr>
          <w:p w14:paraId="37842F2E" w14:textId="77777777" w:rsidR="00C71E81" w:rsidRPr="00C71E81" w:rsidRDefault="00C71E81" w:rsidP="00C71E81">
            <w:pPr>
              <w:jc w:val="right"/>
              <w:rPr>
                <w:rFonts w:eastAsia="Calibri"/>
                <w:sz w:val="20"/>
                <w:szCs w:val="20"/>
              </w:rPr>
            </w:pPr>
            <w:r w:rsidRPr="00C71E81">
              <w:rPr>
                <w:rFonts w:eastAsia="Calibri"/>
                <w:sz w:val="20"/>
                <w:szCs w:val="20"/>
              </w:rPr>
              <w:t>840 hrs,;</w:t>
            </w:r>
          </w:p>
          <w:p w14:paraId="37842F2F" w14:textId="77777777" w:rsidR="00C71E81" w:rsidRPr="00C71E81" w:rsidRDefault="00C71E81" w:rsidP="00C71E81">
            <w:pPr>
              <w:jc w:val="right"/>
              <w:rPr>
                <w:rFonts w:eastAsia="Calibri"/>
                <w:sz w:val="20"/>
                <w:szCs w:val="20"/>
              </w:rPr>
            </w:pPr>
            <w:r w:rsidRPr="00C71E81">
              <w:rPr>
                <w:rFonts w:eastAsia="Calibri"/>
                <w:sz w:val="20"/>
                <w:szCs w:val="20"/>
              </w:rPr>
              <w:t>$66,360</w:t>
            </w:r>
          </w:p>
        </w:tc>
        <w:tc>
          <w:tcPr>
            <w:tcW w:w="616" w:type="pct"/>
          </w:tcPr>
          <w:p w14:paraId="37842F30" w14:textId="77777777" w:rsidR="00C71E81" w:rsidRPr="00C71E81" w:rsidRDefault="00C71E81" w:rsidP="00C71E81">
            <w:pPr>
              <w:jc w:val="right"/>
              <w:rPr>
                <w:rFonts w:eastAsia="Calibri"/>
                <w:sz w:val="20"/>
                <w:szCs w:val="20"/>
              </w:rPr>
            </w:pPr>
            <w:r w:rsidRPr="00C71E81">
              <w:rPr>
                <w:rFonts w:eastAsia="Calibri"/>
                <w:sz w:val="20"/>
                <w:szCs w:val="20"/>
              </w:rPr>
              <w:t>$1,896</w:t>
            </w:r>
          </w:p>
        </w:tc>
      </w:tr>
      <w:tr w:rsidR="00C71E81" w:rsidRPr="00C71E81" w14:paraId="37842F3B" w14:textId="77777777" w:rsidTr="00EE7506">
        <w:trPr>
          <w:cantSplit/>
        </w:trPr>
        <w:tc>
          <w:tcPr>
            <w:tcW w:w="878" w:type="pct"/>
          </w:tcPr>
          <w:p w14:paraId="37842F32" w14:textId="77777777" w:rsidR="00C71E81" w:rsidRPr="00C71E81" w:rsidRDefault="00C71E81" w:rsidP="00C71E81">
            <w:pPr>
              <w:rPr>
                <w:rFonts w:eastAsia="Calibri"/>
                <w:sz w:val="20"/>
                <w:szCs w:val="20"/>
              </w:rPr>
            </w:pPr>
            <w:r w:rsidRPr="00C71E81">
              <w:rPr>
                <w:rFonts w:eastAsia="Calibri"/>
                <w:sz w:val="20"/>
                <w:szCs w:val="20"/>
              </w:rPr>
              <w:t>Change of Status</w:t>
            </w:r>
          </w:p>
        </w:tc>
        <w:tc>
          <w:tcPr>
            <w:tcW w:w="746" w:type="pct"/>
          </w:tcPr>
          <w:p w14:paraId="37842F33" w14:textId="77777777" w:rsidR="00C71E81" w:rsidRPr="00C71E81" w:rsidRDefault="00C71E81" w:rsidP="00C71E81">
            <w:pPr>
              <w:jc w:val="right"/>
              <w:rPr>
                <w:rFonts w:eastAsia="Calibri"/>
                <w:sz w:val="20"/>
                <w:szCs w:val="20"/>
              </w:rPr>
            </w:pPr>
            <w:r w:rsidRPr="00C71E81">
              <w:rPr>
                <w:rFonts w:eastAsia="Calibri"/>
                <w:sz w:val="20"/>
                <w:szCs w:val="20"/>
              </w:rPr>
              <w:t>10</w:t>
            </w:r>
          </w:p>
        </w:tc>
        <w:tc>
          <w:tcPr>
            <w:tcW w:w="746" w:type="pct"/>
          </w:tcPr>
          <w:p w14:paraId="37842F34" w14:textId="77777777" w:rsidR="00C71E81" w:rsidRPr="00C71E81" w:rsidRDefault="00C71E81" w:rsidP="00C71E81">
            <w:pPr>
              <w:jc w:val="right"/>
              <w:rPr>
                <w:rFonts w:eastAsia="Calibri"/>
                <w:sz w:val="20"/>
                <w:szCs w:val="20"/>
              </w:rPr>
            </w:pPr>
            <w:r w:rsidRPr="00C71E81">
              <w:rPr>
                <w:rFonts w:eastAsia="Calibri"/>
                <w:sz w:val="20"/>
                <w:szCs w:val="20"/>
              </w:rPr>
              <w:t>1</w:t>
            </w:r>
          </w:p>
        </w:tc>
        <w:tc>
          <w:tcPr>
            <w:tcW w:w="703" w:type="pct"/>
          </w:tcPr>
          <w:p w14:paraId="37842F35" w14:textId="77777777" w:rsidR="00C71E81" w:rsidRPr="00C71E81" w:rsidRDefault="00C71E81" w:rsidP="00C71E81">
            <w:pPr>
              <w:jc w:val="right"/>
              <w:rPr>
                <w:rFonts w:eastAsia="Calibri"/>
                <w:sz w:val="20"/>
                <w:szCs w:val="20"/>
              </w:rPr>
            </w:pPr>
            <w:r w:rsidRPr="00C71E81">
              <w:rPr>
                <w:rFonts w:eastAsia="Calibri"/>
                <w:sz w:val="20"/>
                <w:szCs w:val="20"/>
              </w:rPr>
              <w:t>10</w:t>
            </w:r>
          </w:p>
        </w:tc>
        <w:tc>
          <w:tcPr>
            <w:tcW w:w="654" w:type="pct"/>
          </w:tcPr>
          <w:p w14:paraId="37842F36" w14:textId="77777777" w:rsidR="00C71E81" w:rsidRPr="00C71E81" w:rsidRDefault="00C71E81" w:rsidP="00C71E81">
            <w:pPr>
              <w:jc w:val="right"/>
              <w:rPr>
                <w:rFonts w:eastAsia="Calibri"/>
                <w:sz w:val="20"/>
                <w:szCs w:val="20"/>
              </w:rPr>
            </w:pPr>
            <w:r w:rsidRPr="00C71E81">
              <w:rPr>
                <w:rFonts w:eastAsia="Calibri"/>
                <w:sz w:val="20"/>
                <w:szCs w:val="20"/>
              </w:rPr>
              <w:t>3 hrs.;</w:t>
            </w:r>
          </w:p>
          <w:p w14:paraId="37842F37" w14:textId="77777777" w:rsidR="00C71E81" w:rsidRPr="00C71E81" w:rsidRDefault="00C71E81" w:rsidP="00C71E81">
            <w:pPr>
              <w:jc w:val="right"/>
              <w:rPr>
                <w:rFonts w:eastAsia="Calibri"/>
                <w:sz w:val="20"/>
                <w:szCs w:val="20"/>
              </w:rPr>
            </w:pPr>
            <w:r w:rsidRPr="00C71E81">
              <w:rPr>
                <w:rFonts w:eastAsia="Calibri"/>
                <w:sz w:val="20"/>
                <w:szCs w:val="20"/>
              </w:rPr>
              <w:t>$237</w:t>
            </w:r>
          </w:p>
        </w:tc>
        <w:tc>
          <w:tcPr>
            <w:tcW w:w="657" w:type="pct"/>
          </w:tcPr>
          <w:p w14:paraId="37842F38" w14:textId="77777777" w:rsidR="00C71E81" w:rsidRPr="00C71E81" w:rsidRDefault="00C71E81" w:rsidP="00C71E81">
            <w:pPr>
              <w:jc w:val="right"/>
              <w:rPr>
                <w:rFonts w:eastAsia="Calibri"/>
                <w:sz w:val="20"/>
                <w:szCs w:val="20"/>
              </w:rPr>
            </w:pPr>
            <w:r w:rsidRPr="00C71E81">
              <w:rPr>
                <w:rFonts w:eastAsia="Calibri"/>
                <w:sz w:val="20"/>
                <w:szCs w:val="20"/>
              </w:rPr>
              <w:t>30 hrs.;</w:t>
            </w:r>
          </w:p>
          <w:p w14:paraId="37842F39" w14:textId="77777777" w:rsidR="00C71E81" w:rsidRPr="00C71E81" w:rsidRDefault="00C71E81" w:rsidP="00C71E81">
            <w:pPr>
              <w:jc w:val="right"/>
              <w:rPr>
                <w:rFonts w:eastAsia="Calibri"/>
                <w:sz w:val="20"/>
                <w:szCs w:val="20"/>
              </w:rPr>
            </w:pPr>
            <w:r w:rsidRPr="00C71E81">
              <w:rPr>
                <w:rFonts w:eastAsia="Calibri"/>
                <w:sz w:val="20"/>
                <w:szCs w:val="20"/>
              </w:rPr>
              <w:t>$2,370</w:t>
            </w:r>
          </w:p>
        </w:tc>
        <w:tc>
          <w:tcPr>
            <w:tcW w:w="616" w:type="pct"/>
          </w:tcPr>
          <w:p w14:paraId="37842F3A" w14:textId="77777777" w:rsidR="00C71E81" w:rsidRPr="00C71E81" w:rsidRDefault="00C71E81" w:rsidP="00C71E81">
            <w:pPr>
              <w:jc w:val="right"/>
              <w:rPr>
                <w:rFonts w:eastAsia="Calibri"/>
                <w:sz w:val="20"/>
                <w:szCs w:val="20"/>
              </w:rPr>
            </w:pPr>
            <w:r w:rsidRPr="00C71E81">
              <w:rPr>
                <w:rFonts w:eastAsia="Calibri"/>
                <w:sz w:val="20"/>
                <w:szCs w:val="20"/>
              </w:rPr>
              <w:t>$237</w:t>
            </w:r>
          </w:p>
        </w:tc>
      </w:tr>
      <w:tr w:rsidR="00C71E81" w:rsidRPr="00C71E81" w14:paraId="37842F43" w14:textId="77777777" w:rsidTr="00EE7506">
        <w:trPr>
          <w:cantSplit/>
          <w:trHeight w:val="485"/>
        </w:trPr>
        <w:tc>
          <w:tcPr>
            <w:tcW w:w="878" w:type="pct"/>
            <w:tcBorders>
              <w:bottom w:val="single" w:sz="4" w:space="0" w:color="auto"/>
            </w:tcBorders>
          </w:tcPr>
          <w:p w14:paraId="37842F3C" w14:textId="77777777" w:rsidR="00C71E81" w:rsidRPr="00C71E81" w:rsidRDefault="00C71E81" w:rsidP="00C71E81">
            <w:pPr>
              <w:rPr>
                <w:rFonts w:eastAsia="Calibri"/>
                <w:b/>
                <w:sz w:val="20"/>
                <w:szCs w:val="20"/>
              </w:rPr>
            </w:pPr>
            <w:r w:rsidRPr="00C71E81">
              <w:rPr>
                <w:rFonts w:eastAsia="Calibri"/>
                <w:b/>
                <w:sz w:val="20"/>
                <w:szCs w:val="20"/>
              </w:rPr>
              <w:t>TOTAL</w:t>
            </w:r>
          </w:p>
        </w:tc>
        <w:tc>
          <w:tcPr>
            <w:tcW w:w="1492" w:type="pct"/>
            <w:gridSpan w:val="2"/>
            <w:tcBorders>
              <w:bottom w:val="single" w:sz="4" w:space="0" w:color="auto"/>
            </w:tcBorders>
            <w:shd w:val="clear" w:color="auto" w:fill="D9D9D9"/>
          </w:tcPr>
          <w:p w14:paraId="37842F3D" w14:textId="77777777" w:rsidR="00C71E81" w:rsidRPr="00C71E81" w:rsidRDefault="00C71E81" w:rsidP="00C71E81">
            <w:pPr>
              <w:jc w:val="right"/>
              <w:rPr>
                <w:rFonts w:eastAsia="Calibri"/>
                <w:sz w:val="20"/>
                <w:szCs w:val="20"/>
              </w:rPr>
            </w:pPr>
          </w:p>
        </w:tc>
        <w:tc>
          <w:tcPr>
            <w:tcW w:w="703" w:type="pct"/>
            <w:tcBorders>
              <w:bottom w:val="single" w:sz="4" w:space="0" w:color="auto"/>
            </w:tcBorders>
            <w:shd w:val="clear" w:color="auto" w:fill="auto"/>
          </w:tcPr>
          <w:p w14:paraId="37842F3E" w14:textId="77777777" w:rsidR="00C71E81" w:rsidRPr="00C71E81" w:rsidRDefault="00C71E81" w:rsidP="00C71E81">
            <w:pPr>
              <w:jc w:val="right"/>
              <w:rPr>
                <w:rFonts w:eastAsia="Calibri"/>
                <w:b/>
                <w:sz w:val="20"/>
                <w:szCs w:val="20"/>
              </w:rPr>
            </w:pPr>
            <w:r w:rsidRPr="00C71E81">
              <w:rPr>
                <w:rFonts w:eastAsia="Calibri"/>
                <w:b/>
                <w:sz w:val="20"/>
                <w:szCs w:val="20"/>
              </w:rPr>
              <w:t>185</w:t>
            </w:r>
          </w:p>
        </w:tc>
        <w:tc>
          <w:tcPr>
            <w:tcW w:w="654" w:type="pct"/>
            <w:tcBorders>
              <w:bottom w:val="single" w:sz="4" w:space="0" w:color="auto"/>
            </w:tcBorders>
            <w:shd w:val="clear" w:color="auto" w:fill="D9D9D9"/>
          </w:tcPr>
          <w:p w14:paraId="37842F3F" w14:textId="77777777" w:rsidR="00C71E81" w:rsidRPr="00C71E81" w:rsidRDefault="00C71E81" w:rsidP="00C71E81">
            <w:pPr>
              <w:jc w:val="right"/>
              <w:rPr>
                <w:rFonts w:eastAsia="Calibri"/>
                <w:sz w:val="20"/>
                <w:szCs w:val="20"/>
              </w:rPr>
            </w:pPr>
          </w:p>
        </w:tc>
        <w:tc>
          <w:tcPr>
            <w:tcW w:w="657" w:type="pct"/>
            <w:tcBorders>
              <w:bottom w:val="single" w:sz="4" w:space="0" w:color="auto"/>
            </w:tcBorders>
          </w:tcPr>
          <w:p w14:paraId="37842F40" w14:textId="77777777" w:rsidR="00C71E81" w:rsidRPr="00C71E81" w:rsidRDefault="00C71E81" w:rsidP="00C71E81">
            <w:pPr>
              <w:jc w:val="right"/>
              <w:rPr>
                <w:rFonts w:eastAsia="Calibri"/>
                <w:b/>
                <w:sz w:val="20"/>
                <w:szCs w:val="20"/>
              </w:rPr>
            </w:pPr>
            <w:r w:rsidRPr="00C71E81">
              <w:rPr>
                <w:rFonts w:eastAsia="Calibri"/>
                <w:b/>
                <w:sz w:val="20"/>
                <w:szCs w:val="20"/>
              </w:rPr>
              <w:t>7,275 hrs.;</w:t>
            </w:r>
          </w:p>
          <w:p w14:paraId="37842F41" w14:textId="77777777" w:rsidR="00C71E81" w:rsidRPr="00C71E81" w:rsidRDefault="00C71E81" w:rsidP="00C71E81">
            <w:pPr>
              <w:jc w:val="right"/>
              <w:rPr>
                <w:rFonts w:eastAsia="Calibri"/>
                <w:b/>
                <w:sz w:val="20"/>
                <w:szCs w:val="20"/>
              </w:rPr>
            </w:pPr>
            <w:r w:rsidRPr="00C71E81">
              <w:rPr>
                <w:rFonts w:eastAsia="Calibri"/>
                <w:b/>
                <w:sz w:val="20"/>
                <w:szCs w:val="20"/>
              </w:rPr>
              <w:t>$574,725.</w:t>
            </w:r>
          </w:p>
        </w:tc>
        <w:tc>
          <w:tcPr>
            <w:tcW w:w="616" w:type="pct"/>
            <w:tcBorders>
              <w:bottom w:val="single" w:sz="4" w:space="0" w:color="auto"/>
            </w:tcBorders>
          </w:tcPr>
          <w:p w14:paraId="37842F42" w14:textId="77777777" w:rsidR="00C71E81" w:rsidRPr="00C71E81" w:rsidRDefault="00C71E81" w:rsidP="00C71E81">
            <w:pPr>
              <w:jc w:val="right"/>
              <w:rPr>
                <w:rFonts w:eastAsia="Calibri"/>
                <w:b/>
                <w:sz w:val="20"/>
                <w:szCs w:val="20"/>
              </w:rPr>
            </w:pPr>
          </w:p>
        </w:tc>
      </w:tr>
    </w:tbl>
    <w:p w14:paraId="37842F44" w14:textId="77777777" w:rsidR="00C71E81" w:rsidRPr="00C71E81" w:rsidRDefault="00C71E81" w:rsidP="00C71E81">
      <w:pPr>
        <w:spacing w:line="480" w:lineRule="auto"/>
      </w:pPr>
    </w:p>
    <w:p w14:paraId="37842F45" w14:textId="77777777" w:rsidR="00C71E81" w:rsidRPr="00C71E81" w:rsidRDefault="00C71E81" w:rsidP="00C71E81">
      <w:pPr>
        <w:spacing w:line="480" w:lineRule="auto"/>
      </w:pPr>
      <w:r w:rsidRPr="00C71E81">
        <w:rPr>
          <w:i/>
        </w:rPr>
        <w:t xml:space="preserve">Comments:  </w:t>
      </w:r>
      <w:r w:rsidRPr="00C71E81">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7842F4A" w14:textId="23D0CD4E" w:rsidR="00C71E81" w:rsidRDefault="00C71E81" w:rsidP="00C71E81"/>
    <w:p w14:paraId="1C60E608" w14:textId="65AE949A" w:rsidR="001C13B4" w:rsidRDefault="001C13B4" w:rsidP="00C71E81"/>
    <w:p w14:paraId="7587BEF8" w14:textId="5DE0A007" w:rsidR="001C13B4" w:rsidRDefault="001C13B4" w:rsidP="00C71E81"/>
    <w:p w14:paraId="0D681765" w14:textId="16A3297F" w:rsidR="001C13B4" w:rsidRDefault="001C13B4" w:rsidP="00C71E81"/>
    <w:p w14:paraId="0C7BAAF5" w14:textId="7F76A237" w:rsidR="001C13B4" w:rsidRPr="001C13B4" w:rsidRDefault="001C13B4" w:rsidP="001C13B4">
      <w:pPr>
        <w:ind w:firstLine="2174"/>
        <w:jc w:val="center"/>
      </w:pPr>
      <w:r w:rsidRPr="001C13B4">
        <w:t>Kimberly D. Bose,</w:t>
      </w:r>
    </w:p>
    <w:p w14:paraId="40722D19" w14:textId="053A072E" w:rsidR="001C13B4" w:rsidRPr="001C13B4" w:rsidRDefault="001C13B4" w:rsidP="001C13B4">
      <w:pPr>
        <w:ind w:firstLine="2174"/>
        <w:jc w:val="center"/>
      </w:pPr>
      <w:r w:rsidRPr="001C13B4">
        <w:t>Secretary.</w:t>
      </w:r>
    </w:p>
    <w:p w14:paraId="5B198C36" w14:textId="77777777" w:rsidR="001C13B4" w:rsidRPr="00C71E81" w:rsidRDefault="001C13B4" w:rsidP="00C71E81"/>
    <w:p w14:paraId="37842F4B" w14:textId="77777777" w:rsidR="00917F44" w:rsidRDefault="00917F44"/>
    <w:sectPr w:rsidR="00917F44" w:rsidSect="00C71E81">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42F4E" w14:textId="77777777" w:rsidR="00A30C0B" w:rsidRDefault="00A30C0B" w:rsidP="00A30C0B">
      <w:r>
        <w:separator/>
      </w:r>
    </w:p>
  </w:endnote>
  <w:endnote w:type="continuationSeparator" w:id="0">
    <w:p w14:paraId="37842F4F" w14:textId="77777777" w:rsidR="00A30C0B" w:rsidRDefault="00A30C0B" w:rsidP="00A3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42F51" w14:textId="367D12E5" w:rsidR="00C71E81" w:rsidRDefault="00C71E81">
    <w:pPr>
      <w:pStyle w:val="Footer"/>
      <w:tabs>
        <w:tab w:val="clear" w:pos="4680"/>
        <w:tab w:val="clear" w:pos="9360"/>
      </w:tabs>
      <w:jc w:val="center"/>
      <w:rPr>
        <w:caps/>
        <w:noProof/>
        <w:color w:val="5B9BD5" w:themeColor="accent1"/>
      </w:rPr>
    </w:pPr>
  </w:p>
  <w:p w14:paraId="37842F52" w14:textId="77777777" w:rsidR="00C71E81" w:rsidRDefault="00C71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42F53" w14:textId="77777777" w:rsidR="00C71E81" w:rsidRDefault="00C71E81">
    <w:pPr>
      <w:pStyle w:val="Footer"/>
      <w:tabs>
        <w:tab w:val="clear" w:pos="4680"/>
        <w:tab w:val="clear" w:pos="9360"/>
      </w:tabs>
      <w:jc w:val="center"/>
      <w:rPr>
        <w:caps/>
        <w:noProof/>
        <w:color w:val="5B9BD5" w:themeColor="accent1"/>
      </w:rPr>
    </w:pPr>
  </w:p>
  <w:p w14:paraId="37842F54" w14:textId="77777777" w:rsidR="00C71E81" w:rsidRDefault="00C71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2F4C" w14:textId="77777777" w:rsidR="00A30C0B" w:rsidRDefault="00A30C0B" w:rsidP="00A30C0B">
      <w:r>
        <w:separator/>
      </w:r>
    </w:p>
  </w:footnote>
  <w:footnote w:type="continuationSeparator" w:id="0">
    <w:p w14:paraId="37842F4D" w14:textId="77777777" w:rsidR="00A30C0B" w:rsidRDefault="00A30C0B" w:rsidP="00A30C0B">
      <w:r>
        <w:continuationSeparator/>
      </w:r>
    </w:p>
  </w:footnote>
  <w:footnote w:id="1">
    <w:p w14:paraId="37842F55" w14:textId="77777777" w:rsidR="00C71E81" w:rsidRDefault="00C71E81" w:rsidP="00C71E81">
      <w:pPr>
        <w:pStyle w:val="FootnoteText"/>
        <w:rPr>
          <w:sz w:val="26"/>
          <w:szCs w:val="26"/>
        </w:rPr>
      </w:pPr>
      <w:r w:rsidRPr="00617EF5">
        <w:rPr>
          <w:rStyle w:val="FootnoteReference"/>
        </w:rPr>
        <w:footnoteRef/>
      </w:r>
      <w:r w:rsidRPr="00617EF5">
        <w:rPr>
          <w:sz w:val="26"/>
          <w:szCs w:val="26"/>
        </w:rPr>
        <w:t xml:space="preserve"> </w:t>
      </w:r>
      <w:r w:rsidRPr="00617EF5">
        <w:rPr>
          <w:sz w:val="26"/>
          <w:szCs w:val="26"/>
          <w:u w:val="single"/>
        </w:rPr>
        <w:t>Revised Regulations Governing Small Power Production and Cogeneration Facilities</w:t>
      </w:r>
      <w:r w:rsidRPr="00617EF5">
        <w:rPr>
          <w:sz w:val="26"/>
          <w:szCs w:val="26"/>
        </w:rPr>
        <w:t xml:space="preserve">, Order No. 671, 71 FR 7852 (2/15/2006), FERC Stats. &amp; Regs. ¶ 31,203 (2006); and </w:t>
      </w:r>
      <w:r w:rsidRPr="00617EF5">
        <w:rPr>
          <w:sz w:val="26"/>
          <w:szCs w:val="26"/>
          <w:u w:val="single"/>
        </w:rPr>
        <w:t>Revised Regulations Governing Small Power Production and Cogeneration Facilities</w:t>
      </w:r>
      <w:r w:rsidRPr="00617EF5">
        <w:rPr>
          <w:sz w:val="26"/>
          <w:szCs w:val="26"/>
        </w:rPr>
        <w:t>, Order 671-A, 71 FR 30585 (5/30/2006), in Docket No.  RM05-36.</w:t>
      </w:r>
    </w:p>
    <w:p w14:paraId="37842F56" w14:textId="77777777" w:rsidR="00C71E81" w:rsidRPr="00617EF5" w:rsidRDefault="00C71E81" w:rsidP="00C71E81">
      <w:pPr>
        <w:pStyle w:val="FootnoteText"/>
        <w:rPr>
          <w:sz w:val="26"/>
          <w:szCs w:val="26"/>
        </w:rPr>
      </w:pPr>
    </w:p>
  </w:footnote>
  <w:footnote w:id="2">
    <w:p w14:paraId="37842F57" w14:textId="008AC80F" w:rsidR="00C71E81" w:rsidRPr="00617EF5" w:rsidRDefault="00C71E81" w:rsidP="00C71E81">
      <w:pPr>
        <w:pStyle w:val="FootnoteText"/>
        <w:rPr>
          <w:sz w:val="26"/>
          <w:szCs w:val="26"/>
        </w:rPr>
      </w:pPr>
      <w:r w:rsidRPr="00617EF5">
        <w:rPr>
          <w:rStyle w:val="FootnoteReference"/>
        </w:rPr>
        <w:footnoteRef/>
      </w:r>
      <w:r w:rsidRPr="00617EF5">
        <w:rPr>
          <w:sz w:val="26"/>
          <w:szCs w:val="26"/>
        </w:rPr>
        <w:t xml:space="preserve"> The FERC</w:t>
      </w:r>
      <w:r w:rsidR="00E336F7">
        <w:rPr>
          <w:sz w:val="26"/>
          <w:szCs w:val="26"/>
        </w:rPr>
        <w:t xml:space="preserve"> Form </w:t>
      </w:r>
      <w:r w:rsidRPr="00617EF5">
        <w:rPr>
          <w:sz w:val="26"/>
          <w:szCs w:val="26"/>
        </w:rPr>
        <w:t xml:space="preserve">556 </w:t>
      </w:r>
      <w:r>
        <w:rPr>
          <w:sz w:val="26"/>
          <w:szCs w:val="26"/>
        </w:rPr>
        <w:t>(</w:t>
      </w:r>
      <w:r w:rsidRPr="003E3AA7">
        <w:rPr>
          <w:sz w:val="26"/>
          <w:szCs w:val="26"/>
        </w:rPr>
        <w:t>Certification of Qualifying Facility (QF) Status for a Small Power Production or Cogeneration Facility</w:t>
      </w:r>
      <w:r>
        <w:rPr>
          <w:sz w:val="26"/>
          <w:szCs w:val="26"/>
        </w:rPr>
        <w:t>)</w:t>
      </w:r>
      <w:r w:rsidRPr="003E3AA7">
        <w:rPr>
          <w:sz w:val="26"/>
          <w:szCs w:val="26"/>
        </w:rPr>
        <w:t xml:space="preserve"> </w:t>
      </w:r>
      <w:r w:rsidRPr="00617EF5">
        <w:rPr>
          <w:sz w:val="26"/>
          <w:szCs w:val="26"/>
        </w:rPr>
        <w:t>is cleared separately as OMB Control No. 1902-0075 and is not a subject of this notice.</w:t>
      </w:r>
    </w:p>
  </w:footnote>
  <w:footnote w:id="3">
    <w:p w14:paraId="37842F59" w14:textId="67298978" w:rsidR="00C71E81" w:rsidRPr="00F45C82" w:rsidRDefault="00C71E81" w:rsidP="00C71E81">
      <w:pPr>
        <w:pStyle w:val="FootnoteText"/>
        <w:rPr>
          <w:sz w:val="26"/>
          <w:szCs w:val="26"/>
        </w:rPr>
      </w:pPr>
      <w:r w:rsidRPr="00F45C82">
        <w:rPr>
          <w:rStyle w:val="FootnoteReference"/>
        </w:rPr>
        <w:footnoteRef/>
      </w:r>
      <w:r w:rsidRPr="00F45C82">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14:paraId="06C07279" w14:textId="2FA45830" w:rsidR="00AB797D" w:rsidRDefault="00AB797D">
      <w:pPr>
        <w:pStyle w:val="FootnoteText"/>
      </w:pPr>
      <w:r>
        <w:rPr>
          <w:rStyle w:val="FootnoteReference"/>
        </w:rPr>
        <w:footnoteRef/>
      </w:r>
      <w:r>
        <w:t xml:space="preserve"> </w:t>
      </w:r>
      <w:r w:rsidRPr="00F45C82">
        <w:rPr>
          <w:sz w:val="26"/>
          <w:szCs w:val="26"/>
        </w:rPr>
        <w:t xml:space="preserve">FERC staff estimates that industry costs for salary plus benefits are similar to Commission costs.  The cost figure is the FY2018 FERC average annual salary plus benefits ($164,820/year or $79/hour).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50139"/>
      <w:docPartObj>
        <w:docPartGallery w:val="Page Numbers (Top of Page)"/>
        <w:docPartUnique/>
      </w:docPartObj>
    </w:sdtPr>
    <w:sdtEndPr>
      <w:rPr>
        <w:noProof/>
      </w:rPr>
    </w:sdtEndPr>
    <w:sdtContent>
      <w:p w14:paraId="3B2ECC5E" w14:textId="171CEC6B" w:rsidR="001C13B4" w:rsidRDefault="001C13B4">
        <w:pPr>
          <w:pStyle w:val="Header"/>
        </w:pPr>
        <w:r>
          <w:t>Docket No. IC19-6-000</w:t>
        </w:r>
        <w:r>
          <w:tab/>
        </w:r>
        <w:r>
          <w:fldChar w:fldCharType="begin"/>
        </w:r>
        <w:r>
          <w:instrText xml:space="preserve"> PAGE   \* MERGEFORMAT </w:instrText>
        </w:r>
        <w:r>
          <w:fldChar w:fldCharType="separate"/>
        </w:r>
        <w:r w:rsidR="00A77040">
          <w:rPr>
            <w:noProof/>
          </w:rPr>
          <w:t>2</w:t>
        </w:r>
        <w:r>
          <w:rPr>
            <w:noProof/>
          </w:rPr>
          <w:fldChar w:fldCharType="end"/>
        </w:r>
      </w:p>
    </w:sdtContent>
  </w:sdt>
  <w:p w14:paraId="37842F50" w14:textId="0D98D4F7" w:rsidR="00A30C0B" w:rsidRPr="001C13B4" w:rsidRDefault="00A30C0B" w:rsidP="001C1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0B"/>
    <w:rsid w:val="001C13B4"/>
    <w:rsid w:val="00430E77"/>
    <w:rsid w:val="0046384F"/>
    <w:rsid w:val="00784B95"/>
    <w:rsid w:val="00917F44"/>
    <w:rsid w:val="00A30C0B"/>
    <w:rsid w:val="00A77040"/>
    <w:rsid w:val="00A927E6"/>
    <w:rsid w:val="00AB797D"/>
    <w:rsid w:val="00B75EB3"/>
    <w:rsid w:val="00BB29E9"/>
    <w:rsid w:val="00C71E81"/>
    <w:rsid w:val="00E336F7"/>
    <w:rsid w:val="00E756BE"/>
    <w:rsid w:val="00F6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84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0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C0B"/>
    <w:rPr>
      <w:color w:val="0000FF"/>
      <w:u w:val="single"/>
    </w:rPr>
  </w:style>
  <w:style w:type="paragraph" w:styleId="Header">
    <w:name w:val="header"/>
    <w:basedOn w:val="Normal"/>
    <w:link w:val="HeaderChar"/>
    <w:uiPriority w:val="99"/>
    <w:unhideWhenUsed/>
    <w:rsid w:val="00A30C0B"/>
    <w:pPr>
      <w:tabs>
        <w:tab w:val="center" w:pos="4680"/>
        <w:tab w:val="right" w:pos="9360"/>
      </w:tabs>
    </w:pPr>
  </w:style>
  <w:style w:type="character" w:customStyle="1" w:styleId="HeaderChar">
    <w:name w:val="Header Char"/>
    <w:basedOn w:val="DefaultParagraphFont"/>
    <w:link w:val="Header"/>
    <w:uiPriority w:val="99"/>
    <w:rsid w:val="00A30C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30C0B"/>
    <w:pPr>
      <w:tabs>
        <w:tab w:val="center" w:pos="4680"/>
        <w:tab w:val="right" w:pos="9360"/>
      </w:tabs>
    </w:pPr>
  </w:style>
  <w:style w:type="character" w:customStyle="1" w:styleId="FooterChar">
    <w:name w:val="Footer Char"/>
    <w:basedOn w:val="DefaultParagraphFont"/>
    <w:link w:val="Footer"/>
    <w:uiPriority w:val="99"/>
    <w:rsid w:val="00A30C0B"/>
    <w:rPr>
      <w:rFonts w:ascii="Times New Roman" w:eastAsia="Times New Roman" w:hAnsi="Times New Roman" w:cs="Times New Roman"/>
      <w:sz w:val="26"/>
      <w:szCs w:val="24"/>
    </w:rPr>
  </w:style>
  <w:style w:type="paragraph" w:styleId="FootnoteText">
    <w:name w:val="footnote text"/>
    <w:basedOn w:val="Normal"/>
    <w:link w:val="FootnoteTextChar"/>
    <w:uiPriority w:val="99"/>
    <w:semiHidden/>
    <w:unhideWhenUsed/>
    <w:rsid w:val="00C71E81"/>
    <w:rPr>
      <w:sz w:val="20"/>
      <w:szCs w:val="20"/>
    </w:rPr>
  </w:style>
  <w:style w:type="character" w:customStyle="1" w:styleId="FootnoteTextChar">
    <w:name w:val="Footnote Text Char"/>
    <w:basedOn w:val="DefaultParagraphFont"/>
    <w:link w:val="FootnoteText"/>
    <w:uiPriority w:val="99"/>
    <w:semiHidden/>
    <w:rsid w:val="00C71E81"/>
    <w:rPr>
      <w:rFonts w:ascii="Times New Roman" w:eastAsia="Times New Roman" w:hAnsi="Times New Roman" w:cs="Times New Roman"/>
      <w:sz w:val="20"/>
      <w:szCs w:val="20"/>
    </w:rPr>
  </w:style>
  <w:style w:type="character" w:styleId="FootnoteReference">
    <w:name w:val="footnote reference"/>
    <w:aliases w:val="o"/>
    <w:rsid w:val="00C71E81"/>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B75EB3"/>
    <w:rPr>
      <w:sz w:val="16"/>
      <w:szCs w:val="16"/>
    </w:rPr>
  </w:style>
  <w:style w:type="paragraph" w:styleId="CommentText">
    <w:name w:val="annotation text"/>
    <w:basedOn w:val="Normal"/>
    <w:link w:val="CommentTextChar"/>
    <w:uiPriority w:val="99"/>
    <w:semiHidden/>
    <w:unhideWhenUsed/>
    <w:rsid w:val="00B75EB3"/>
    <w:rPr>
      <w:sz w:val="20"/>
      <w:szCs w:val="20"/>
    </w:rPr>
  </w:style>
  <w:style w:type="character" w:customStyle="1" w:styleId="CommentTextChar">
    <w:name w:val="Comment Text Char"/>
    <w:basedOn w:val="DefaultParagraphFont"/>
    <w:link w:val="CommentText"/>
    <w:uiPriority w:val="99"/>
    <w:semiHidden/>
    <w:rsid w:val="00B75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EB3"/>
    <w:rPr>
      <w:b/>
      <w:bCs/>
    </w:rPr>
  </w:style>
  <w:style w:type="character" w:customStyle="1" w:styleId="CommentSubjectChar">
    <w:name w:val="Comment Subject Char"/>
    <w:basedOn w:val="CommentTextChar"/>
    <w:link w:val="CommentSubject"/>
    <w:uiPriority w:val="99"/>
    <w:semiHidden/>
    <w:rsid w:val="00B75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B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0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C0B"/>
    <w:rPr>
      <w:color w:val="0000FF"/>
      <w:u w:val="single"/>
    </w:rPr>
  </w:style>
  <w:style w:type="paragraph" w:styleId="Header">
    <w:name w:val="header"/>
    <w:basedOn w:val="Normal"/>
    <w:link w:val="HeaderChar"/>
    <w:uiPriority w:val="99"/>
    <w:unhideWhenUsed/>
    <w:rsid w:val="00A30C0B"/>
    <w:pPr>
      <w:tabs>
        <w:tab w:val="center" w:pos="4680"/>
        <w:tab w:val="right" w:pos="9360"/>
      </w:tabs>
    </w:pPr>
  </w:style>
  <w:style w:type="character" w:customStyle="1" w:styleId="HeaderChar">
    <w:name w:val="Header Char"/>
    <w:basedOn w:val="DefaultParagraphFont"/>
    <w:link w:val="Header"/>
    <w:uiPriority w:val="99"/>
    <w:rsid w:val="00A30C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30C0B"/>
    <w:pPr>
      <w:tabs>
        <w:tab w:val="center" w:pos="4680"/>
        <w:tab w:val="right" w:pos="9360"/>
      </w:tabs>
    </w:pPr>
  </w:style>
  <w:style w:type="character" w:customStyle="1" w:styleId="FooterChar">
    <w:name w:val="Footer Char"/>
    <w:basedOn w:val="DefaultParagraphFont"/>
    <w:link w:val="Footer"/>
    <w:uiPriority w:val="99"/>
    <w:rsid w:val="00A30C0B"/>
    <w:rPr>
      <w:rFonts w:ascii="Times New Roman" w:eastAsia="Times New Roman" w:hAnsi="Times New Roman" w:cs="Times New Roman"/>
      <w:sz w:val="26"/>
      <w:szCs w:val="24"/>
    </w:rPr>
  </w:style>
  <w:style w:type="paragraph" w:styleId="FootnoteText">
    <w:name w:val="footnote text"/>
    <w:basedOn w:val="Normal"/>
    <w:link w:val="FootnoteTextChar"/>
    <w:uiPriority w:val="99"/>
    <w:semiHidden/>
    <w:unhideWhenUsed/>
    <w:rsid w:val="00C71E81"/>
    <w:rPr>
      <w:sz w:val="20"/>
      <w:szCs w:val="20"/>
    </w:rPr>
  </w:style>
  <w:style w:type="character" w:customStyle="1" w:styleId="FootnoteTextChar">
    <w:name w:val="Footnote Text Char"/>
    <w:basedOn w:val="DefaultParagraphFont"/>
    <w:link w:val="FootnoteText"/>
    <w:uiPriority w:val="99"/>
    <w:semiHidden/>
    <w:rsid w:val="00C71E81"/>
    <w:rPr>
      <w:rFonts w:ascii="Times New Roman" w:eastAsia="Times New Roman" w:hAnsi="Times New Roman" w:cs="Times New Roman"/>
      <w:sz w:val="20"/>
      <w:szCs w:val="20"/>
    </w:rPr>
  </w:style>
  <w:style w:type="character" w:styleId="FootnoteReference">
    <w:name w:val="footnote reference"/>
    <w:aliases w:val="o"/>
    <w:rsid w:val="00C71E81"/>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B75EB3"/>
    <w:rPr>
      <w:sz w:val="16"/>
      <w:szCs w:val="16"/>
    </w:rPr>
  </w:style>
  <w:style w:type="paragraph" w:styleId="CommentText">
    <w:name w:val="annotation text"/>
    <w:basedOn w:val="Normal"/>
    <w:link w:val="CommentTextChar"/>
    <w:uiPriority w:val="99"/>
    <w:semiHidden/>
    <w:unhideWhenUsed/>
    <w:rsid w:val="00B75EB3"/>
    <w:rPr>
      <w:sz w:val="20"/>
      <w:szCs w:val="20"/>
    </w:rPr>
  </w:style>
  <w:style w:type="character" w:customStyle="1" w:styleId="CommentTextChar">
    <w:name w:val="Comment Text Char"/>
    <w:basedOn w:val="DefaultParagraphFont"/>
    <w:link w:val="CommentText"/>
    <w:uiPriority w:val="99"/>
    <w:semiHidden/>
    <w:rsid w:val="00B75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EB3"/>
    <w:rPr>
      <w:b/>
      <w:bCs/>
    </w:rPr>
  </w:style>
  <w:style w:type="character" w:customStyle="1" w:styleId="CommentSubjectChar">
    <w:name w:val="Comment Subject Char"/>
    <w:basedOn w:val="CommentTextChar"/>
    <w:link w:val="CommentSubject"/>
    <w:uiPriority w:val="99"/>
    <w:semiHidden/>
    <w:rsid w:val="00B75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D949-B6E7-435E-8CA6-1E41374EF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8B04B-74D7-43AC-9238-BEAA922102CA}">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5e8733a2-e908-454b-85cf-c9d17e1d0943"/>
    <ds:schemaRef ds:uri="http://www.w3.org/XML/1998/namespace"/>
  </ds:schemaRefs>
</ds:datastoreItem>
</file>

<file path=customXml/itemProps3.xml><?xml version="1.0" encoding="utf-8"?>
<ds:datastoreItem xmlns:ds="http://schemas.openxmlformats.org/officeDocument/2006/customXml" ds:itemID="{67E83F9C-50E0-4706-B87C-62C651D70CEE}">
  <ds:schemaRefs>
    <ds:schemaRef ds:uri="http://schemas.microsoft.com/sharepoint/v3/contenttype/forms"/>
  </ds:schemaRefs>
</ds:datastoreItem>
</file>

<file path=customXml/itemProps4.xml><?xml version="1.0" encoding="utf-8"?>
<ds:datastoreItem xmlns:ds="http://schemas.openxmlformats.org/officeDocument/2006/customXml" ds:itemID="{438D0504-957D-4A06-BAF5-76D780B526C7}">
  <ds:schemaRefs>
    <ds:schemaRef ds:uri="Microsoft.SharePoint.Taxonomy.ContentTypeSync"/>
  </ds:schemaRefs>
</ds:datastoreItem>
</file>

<file path=customXml/itemProps5.xml><?xml version="1.0" encoding="utf-8"?>
<ds:datastoreItem xmlns:ds="http://schemas.openxmlformats.org/officeDocument/2006/customXml" ds:itemID="{64C343A9-D9C2-4797-AC25-787C3B9B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2019-06-25T15:40:00Z</dcterms:created>
  <dcterms:modified xsi:type="dcterms:W3CDTF">2019-06-25T15:40:00Z</dcterms:modified>
  <cp:category/>
  <dc:identifier/>
  <cp:contentStatus/>
  <cp:version/>
</cp:coreProperties>
</file>