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87E69" w14:textId="77777777" w:rsidR="004B5DB5" w:rsidRPr="004B5DB5" w:rsidRDefault="004B5DB5" w:rsidP="004B5DB5">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place">
        <w:smartTag w:uri="urn:schemas-microsoft-com:office:smarttags" w:element="country-region">
          <w:r w:rsidRPr="004B5DB5">
            <w:rPr>
              <w:rFonts w:ascii="Times New Roman" w:eastAsia="Times New Roman" w:hAnsi="Times New Roman" w:cs="Times New Roman"/>
              <w:sz w:val="26"/>
              <w:szCs w:val="24"/>
            </w:rPr>
            <w:t>UNITED STATES OF AMERICA</w:t>
          </w:r>
        </w:smartTag>
      </w:smartTag>
    </w:p>
    <w:p w14:paraId="55487E6A" w14:textId="77777777" w:rsidR="004B5DB5" w:rsidRPr="004B5DB5" w:rsidRDefault="004B5DB5" w:rsidP="004B5DB5">
      <w:pPr>
        <w:spacing w:after="0" w:line="240" w:lineRule="auto"/>
        <w:jc w:val="center"/>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FEDERAL ENERGY REGULATORY COMMISSION</w:t>
      </w:r>
    </w:p>
    <w:p w14:paraId="55487E6B" w14:textId="77777777" w:rsidR="004B5DB5" w:rsidRDefault="004B5DB5" w:rsidP="004B5DB5">
      <w:pPr>
        <w:spacing w:after="0" w:line="240" w:lineRule="auto"/>
        <w:rPr>
          <w:rFonts w:ascii="Times New Roman" w:eastAsia="Times New Roman" w:hAnsi="Times New Roman" w:cs="Times New Roman"/>
          <w:sz w:val="26"/>
          <w:szCs w:val="24"/>
        </w:rPr>
      </w:pPr>
    </w:p>
    <w:p w14:paraId="55487E6C" w14:textId="77777777" w:rsidR="004B5DB5" w:rsidRPr="004B5DB5" w:rsidRDefault="004B5DB5" w:rsidP="004B5DB5">
      <w:pPr>
        <w:spacing w:after="0" w:line="240" w:lineRule="auto"/>
        <w:jc w:val="center"/>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 xml:space="preserve">[Docket No. </w:t>
      </w:r>
      <w:r w:rsidR="00B06752">
        <w:rPr>
          <w:rFonts w:ascii="Times New Roman" w:eastAsia="Times New Roman" w:hAnsi="Times New Roman" w:cs="Times New Roman"/>
          <w:sz w:val="26"/>
          <w:szCs w:val="24"/>
        </w:rPr>
        <w:t>IC19-4-</w:t>
      </w:r>
      <w:r w:rsidRPr="004B5DB5">
        <w:rPr>
          <w:rFonts w:ascii="Times New Roman" w:eastAsia="Times New Roman" w:hAnsi="Times New Roman" w:cs="Times New Roman"/>
          <w:sz w:val="26"/>
          <w:szCs w:val="24"/>
        </w:rPr>
        <w:t>000]</w:t>
      </w:r>
    </w:p>
    <w:p w14:paraId="64BB7161" w14:textId="77777777" w:rsidR="0087414F" w:rsidRPr="004B5DB5" w:rsidRDefault="0087414F" w:rsidP="004B5DB5">
      <w:pPr>
        <w:spacing w:after="0" w:line="240" w:lineRule="auto"/>
        <w:rPr>
          <w:rFonts w:ascii="Times New Roman" w:eastAsia="Times New Roman" w:hAnsi="Times New Roman" w:cs="Times New Roman"/>
          <w:sz w:val="26"/>
          <w:szCs w:val="24"/>
        </w:rPr>
      </w:pPr>
    </w:p>
    <w:p w14:paraId="55487E6E" w14:textId="77777777" w:rsidR="004B5DB5" w:rsidRPr="004B5DB5" w:rsidRDefault="004B5DB5" w:rsidP="004B5DB5">
      <w:pPr>
        <w:spacing w:after="0" w:line="240" w:lineRule="auto"/>
        <w:jc w:val="center"/>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COMMISSION INFORMATION COLLECTION ACTIVITIES (FERC-7</w:t>
      </w:r>
      <w:r w:rsidR="00B06752">
        <w:rPr>
          <w:rFonts w:ascii="Times New Roman" w:eastAsia="Times New Roman" w:hAnsi="Times New Roman" w:cs="Times New Roman"/>
          <w:sz w:val="26"/>
          <w:szCs w:val="24"/>
        </w:rPr>
        <w:t>14</w:t>
      </w:r>
      <w:r w:rsidRPr="004B5DB5">
        <w:rPr>
          <w:rFonts w:ascii="Times New Roman" w:eastAsia="Times New Roman" w:hAnsi="Times New Roman" w:cs="Times New Roman"/>
          <w:sz w:val="26"/>
          <w:szCs w:val="24"/>
        </w:rPr>
        <w:t>);</w:t>
      </w:r>
    </w:p>
    <w:p w14:paraId="55487E6F" w14:textId="77777777" w:rsidR="004B5DB5" w:rsidRPr="004B5DB5" w:rsidRDefault="004B5DB5" w:rsidP="004B5DB5">
      <w:pPr>
        <w:spacing w:after="0" w:line="240" w:lineRule="auto"/>
        <w:jc w:val="center"/>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COMMENT REQUEST; EXTENSION</w:t>
      </w:r>
    </w:p>
    <w:p w14:paraId="55487E70" w14:textId="77777777" w:rsidR="004B5DB5" w:rsidRDefault="004B5DB5" w:rsidP="004B5DB5">
      <w:pPr>
        <w:spacing w:after="0" w:line="240" w:lineRule="auto"/>
        <w:rPr>
          <w:rFonts w:ascii="Times New Roman" w:eastAsia="Times New Roman" w:hAnsi="Times New Roman" w:cs="Times New Roman"/>
          <w:sz w:val="26"/>
          <w:szCs w:val="24"/>
        </w:rPr>
      </w:pPr>
    </w:p>
    <w:p w14:paraId="55487E72" w14:textId="3A6F254F" w:rsidR="004B5DB5" w:rsidRDefault="003E68F9" w:rsidP="003E68F9">
      <w:pPr>
        <w:spacing w:after="0" w:line="240" w:lineRule="auto"/>
        <w:jc w:val="center"/>
        <w:rPr>
          <w:rFonts w:ascii="Times New Roman" w:eastAsia="Times New Roman" w:hAnsi="Times New Roman" w:cs="Times New Roman"/>
          <w:sz w:val="26"/>
          <w:szCs w:val="24"/>
        </w:rPr>
      </w:pPr>
      <w:r w:rsidRPr="003E68F9">
        <w:rPr>
          <w:rFonts w:ascii="Times New Roman" w:eastAsia="Times New Roman" w:hAnsi="Times New Roman" w:cs="Times New Roman"/>
          <w:sz w:val="26"/>
          <w:szCs w:val="24"/>
        </w:rPr>
        <w:t>(March 7, 2019)</w:t>
      </w:r>
    </w:p>
    <w:p w14:paraId="55487E73" w14:textId="77777777" w:rsidR="004B5DB5" w:rsidRPr="004B5DB5" w:rsidRDefault="004B5DB5" w:rsidP="004B5DB5">
      <w:pPr>
        <w:spacing w:after="0" w:line="240" w:lineRule="auto"/>
        <w:rPr>
          <w:rFonts w:ascii="Times New Roman" w:eastAsia="Times New Roman" w:hAnsi="Times New Roman" w:cs="Times New Roman"/>
          <w:sz w:val="26"/>
          <w:szCs w:val="24"/>
        </w:rPr>
      </w:pPr>
    </w:p>
    <w:p w14:paraId="55487E74" w14:textId="77777777" w:rsidR="004B5DB5" w:rsidRPr="004B5DB5" w:rsidRDefault="004B5DB5" w:rsidP="004B5DB5">
      <w:pPr>
        <w:spacing w:after="0" w:line="240" w:lineRule="auto"/>
        <w:rPr>
          <w:rFonts w:ascii="Times New Roman" w:eastAsia="Times New Roman" w:hAnsi="Times New Roman" w:cs="Times New Roman"/>
          <w:sz w:val="26"/>
          <w:szCs w:val="24"/>
        </w:rPr>
      </w:pPr>
      <w:r w:rsidRPr="004B5DB5">
        <w:rPr>
          <w:rFonts w:ascii="Times New Roman" w:eastAsia="Times New Roman" w:hAnsi="Times New Roman" w:cs="Times New Roman"/>
          <w:b/>
          <w:sz w:val="26"/>
          <w:szCs w:val="24"/>
        </w:rPr>
        <w:t>AGENCY:</w:t>
      </w:r>
      <w:r w:rsidRPr="004B5DB5">
        <w:rPr>
          <w:rFonts w:ascii="Times New Roman" w:eastAsia="Times New Roman" w:hAnsi="Times New Roman" w:cs="Times New Roman"/>
          <w:sz w:val="26"/>
          <w:szCs w:val="24"/>
        </w:rPr>
        <w:t xml:space="preserve">  Federal Energy Regulatory Commission.</w:t>
      </w:r>
    </w:p>
    <w:p w14:paraId="55487E75" w14:textId="77777777" w:rsidR="004B5DB5" w:rsidRPr="004B5DB5" w:rsidRDefault="004B5DB5" w:rsidP="004B5DB5">
      <w:pPr>
        <w:spacing w:after="0" w:line="240" w:lineRule="auto"/>
        <w:rPr>
          <w:rFonts w:ascii="Times New Roman" w:eastAsia="Times New Roman" w:hAnsi="Times New Roman" w:cs="Times New Roman"/>
          <w:sz w:val="26"/>
          <w:szCs w:val="24"/>
        </w:rPr>
      </w:pPr>
    </w:p>
    <w:p w14:paraId="55487E76"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b/>
          <w:sz w:val="26"/>
          <w:szCs w:val="24"/>
        </w:rPr>
        <w:t>ACTION:</w:t>
      </w:r>
      <w:r w:rsidRPr="004B5DB5">
        <w:rPr>
          <w:rFonts w:ascii="Times New Roman" w:eastAsia="Times New Roman" w:hAnsi="Times New Roman" w:cs="Times New Roman"/>
          <w:sz w:val="26"/>
          <w:szCs w:val="24"/>
        </w:rPr>
        <w:t xml:space="preserve">  Notice of information collection and request for comments.</w:t>
      </w:r>
    </w:p>
    <w:p w14:paraId="55487E77" w14:textId="0F6A89A9" w:rsidR="004B5DB5" w:rsidRPr="004B5DB5" w:rsidRDefault="004B5DB5" w:rsidP="004B5DB5">
      <w:pPr>
        <w:spacing w:after="0" w:line="480" w:lineRule="auto"/>
        <w:rPr>
          <w:rFonts w:ascii="Times New Roman" w:eastAsia="Times New Roman" w:hAnsi="Times New Roman" w:cs="Times New Roman"/>
          <w:sz w:val="26"/>
          <w:szCs w:val="24"/>
          <w:highlight w:val="yellow"/>
        </w:rPr>
      </w:pPr>
      <w:r w:rsidRPr="004B5DB5">
        <w:rPr>
          <w:rFonts w:ascii="Times New Roman" w:eastAsia="Times New Roman" w:hAnsi="Times New Roman" w:cs="Times New Roman"/>
          <w:b/>
          <w:sz w:val="26"/>
          <w:szCs w:val="24"/>
        </w:rPr>
        <w:t>SUMMARY:</w:t>
      </w:r>
      <w:r w:rsidRPr="004B5DB5">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w:t>
      </w:r>
      <w:r w:rsidR="00B06752">
        <w:rPr>
          <w:rFonts w:ascii="Times New Roman" w:eastAsia="Times New Roman" w:hAnsi="Times New Roman" w:cs="Times New Roman"/>
          <w:sz w:val="26"/>
          <w:szCs w:val="24"/>
        </w:rPr>
        <w:t>714</w:t>
      </w:r>
      <w:r w:rsidRPr="004B5DB5">
        <w:rPr>
          <w:rFonts w:ascii="Times New Roman" w:eastAsia="Times New Roman" w:hAnsi="Times New Roman" w:cs="Times New Roman"/>
          <w:sz w:val="26"/>
          <w:szCs w:val="24"/>
        </w:rPr>
        <w:t xml:space="preserve"> (</w:t>
      </w:r>
      <w:r w:rsidR="00B06752" w:rsidRPr="00B06752">
        <w:rPr>
          <w:rFonts w:ascii="Times New Roman" w:eastAsia="Times New Roman" w:hAnsi="Times New Roman" w:cs="Times New Roman"/>
          <w:sz w:val="26"/>
          <w:szCs w:val="24"/>
        </w:rPr>
        <w:t>Annual Electric Balancing Authority Area and Planning Area Report</w:t>
      </w:r>
      <w:r w:rsidRPr="004B5DB5">
        <w:rPr>
          <w:rFonts w:ascii="Times New Roman" w:eastAsia="Times New Roman" w:hAnsi="Times New Roman" w:cs="Times New Roman"/>
          <w:sz w:val="26"/>
          <w:szCs w:val="24"/>
        </w:rPr>
        <w:t xml:space="preserve">) and submitting the information collection to the Office of Management and Budget (OMB) for review.  Any interested person may file comments directly with OMB and should address a copy of those comments to the Commission as explained below. On </w:t>
      </w:r>
      <w:r w:rsidR="00B06752" w:rsidRPr="00B06752">
        <w:rPr>
          <w:rFonts w:ascii="Times New Roman" w:eastAsia="Times New Roman" w:hAnsi="Times New Roman" w:cs="Times New Roman"/>
          <w:sz w:val="26"/>
          <w:szCs w:val="24"/>
        </w:rPr>
        <w:t>November 7,</w:t>
      </w:r>
      <w:r w:rsidRPr="004B5DB5">
        <w:rPr>
          <w:rFonts w:ascii="Times New Roman" w:eastAsia="Times New Roman" w:hAnsi="Times New Roman" w:cs="Times New Roman"/>
          <w:sz w:val="26"/>
          <w:szCs w:val="24"/>
        </w:rPr>
        <w:t xml:space="preserve"> 2018, the Commission published a Notice in the Federal Register in Docket No. </w:t>
      </w:r>
      <w:r w:rsidR="00B06752">
        <w:rPr>
          <w:rFonts w:ascii="Times New Roman" w:eastAsia="Times New Roman" w:hAnsi="Times New Roman" w:cs="Times New Roman"/>
          <w:sz w:val="26"/>
          <w:szCs w:val="24"/>
        </w:rPr>
        <w:t>IC19-4</w:t>
      </w:r>
      <w:r w:rsidRPr="004B5DB5">
        <w:rPr>
          <w:rFonts w:ascii="Times New Roman" w:eastAsia="Times New Roman" w:hAnsi="Times New Roman" w:cs="Times New Roman"/>
          <w:sz w:val="26"/>
          <w:szCs w:val="24"/>
        </w:rPr>
        <w:t>-000 requesting public comments.  The Commission received no comments.</w:t>
      </w:r>
    </w:p>
    <w:p w14:paraId="55487E78" w14:textId="641B8DAB"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b/>
          <w:sz w:val="26"/>
          <w:szCs w:val="24"/>
        </w:rPr>
        <w:t>DATES:</w:t>
      </w:r>
      <w:r w:rsidRPr="004B5DB5">
        <w:rPr>
          <w:rFonts w:ascii="Times New Roman" w:eastAsia="Times New Roman" w:hAnsi="Times New Roman" w:cs="Times New Roman"/>
          <w:sz w:val="26"/>
          <w:szCs w:val="24"/>
        </w:rPr>
        <w:t xml:space="preserve">  Comments on the collection of information are due </w:t>
      </w:r>
      <w:bookmarkStart w:id="1" w:name="OLE_LINK1"/>
      <w:r w:rsidRPr="004B5DB5">
        <w:rPr>
          <w:rFonts w:ascii="Times New Roman" w:eastAsia="Times New Roman" w:hAnsi="Times New Roman" w:cs="Times New Roman"/>
          <w:b/>
          <w:sz w:val="26"/>
          <w:szCs w:val="24"/>
        </w:rPr>
        <w:t>[</w:t>
      </w:r>
      <w:r w:rsidR="003E68F9" w:rsidRPr="004B5DB5">
        <w:rPr>
          <w:rFonts w:ascii="Times New Roman" w:eastAsia="Times New Roman" w:hAnsi="Times New Roman" w:cs="Times New Roman"/>
          <w:b/>
          <w:sz w:val="26"/>
          <w:szCs w:val="24"/>
        </w:rPr>
        <w:t>Insert Date 30 days after date of publication in the Federal Register</w:t>
      </w:r>
      <w:r w:rsidRPr="004B5DB5">
        <w:rPr>
          <w:rFonts w:ascii="Times New Roman" w:eastAsia="Times New Roman" w:hAnsi="Times New Roman" w:cs="Times New Roman"/>
          <w:b/>
          <w:caps/>
          <w:sz w:val="26"/>
          <w:szCs w:val="24"/>
        </w:rPr>
        <w:t>].</w:t>
      </w:r>
      <w:r w:rsidRPr="004B5DB5">
        <w:rPr>
          <w:rFonts w:ascii="Times New Roman" w:eastAsia="Times New Roman" w:hAnsi="Times New Roman" w:cs="Times New Roman"/>
          <w:caps/>
          <w:sz w:val="26"/>
          <w:szCs w:val="24"/>
        </w:rPr>
        <w:t xml:space="preserve">  </w:t>
      </w:r>
    </w:p>
    <w:p w14:paraId="55487E79"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b/>
          <w:sz w:val="26"/>
          <w:szCs w:val="24"/>
        </w:rPr>
        <w:t>ADDRESSES:</w:t>
      </w:r>
      <w:r w:rsidRPr="004B5DB5">
        <w:rPr>
          <w:rFonts w:ascii="Times New Roman" w:eastAsia="Times New Roman" w:hAnsi="Times New Roman" w:cs="Times New Roman"/>
          <w:sz w:val="26"/>
          <w:szCs w:val="24"/>
        </w:rPr>
        <w:t xml:space="preserve">  Comments filed with OMB, identified by OMB Control No. 1902-0</w:t>
      </w:r>
      <w:r w:rsidR="00B06752">
        <w:rPr>
          <w:rFonts w:ascii="Times New Roman" w:eastAsia="Times New Roman" w:hAnsi="Times New Roman" w:cs="Times New Roman"/>
          <w:sz w:val="26"/>
          <w:szCs w:val="24"/>
        </w:rPr>
        <w:t>140</w:t>
      </w:r>
      <w:r w:rsidRPr="004B5DB5">
        <w:rPr>
          <w:rFonts w:ascii="Times New Roman" w:eastAsia="Times New Roman" w:hAnsi="Times New Roman" w:cs="Times New Roman"/>
          <w:sz w:val="26"/>
          <w:szCs w:val="24"/>
        </w:rPr>
        <w:t xml:space="preserve">, should be sent via email to the Office of Information and Regulatory Affairs: </w:t>
      </w:r>
      <w:hyperlink r:id="rId13" w:history="1">
        <w:r w:rsidRPr="004B5DB5">
          <w:rPr>
            <w:rFonts w:ascii="Times New Roman" w:eastAsia="Times New Roman" w:hAnsi="Times New Roman" w:cs="Times New Roman"/>
            <w:color w:val="0000FF"/>
            <w:sz w:val="26"/>
            <w:szCs w:val="24"/>
            <w:u w:val="single"/>
          </w:rPr>
          <w:t>oira_submission@omb.gov</w:t>
        </w:r>
      </w:hyperlink>
      <w:r w:rsidRPr="004B5DB5">
        <w:rPr>
          <w:rFonts w:ascii="Times New Roman" w:eastAsia="Times New Roman" w:hAnsi="Times New Roman" w:cs="Times New Roman"/>
          <w:sz w:val="26"/>
          <w:szCs w:val="24"/>
        </w:rPr>
        <w:t xml:space="preserve">.  Attention: Federal Energy Regulatory Commission Desk Officer.  </w:t>
      </w:r>
    </w:p>
    <w:p w14:paraId="55487E7A"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lastRenderedPageBreak/>
        <w:t xml:space="preserve">A copy of the comments should also be sent to the Commission, in Docket No. </w:t>
      </w:r>
      <w:r w:rsidR="00B06752">
        <w:rPr>
          <w:rFonts w:ascii="Times New Roman" w:eastAsia="Times New Roman" w:hAnsi="Times New Roman" w:cs="Times New Roman"/>
          <w:sz w:val="26"/>
          <w:szCs w:val="24"/>
        </w:rPr>
        <w:t>IC19-4</w:t>
      </w:r>
      <w:r w:rsidRPr="004B5DB5">
        <w:rPr>
          <w:rFonts w:ascii="Times New Roman" w:eastAsia="Times New Roman" w:hAnsi="Times New Roman" w:cs="Times New Roman"/>
          <w:sz w:val="26"/>
          <w:szCs w:val="24"/>
        </w:rPr>
        <w:t>-000, by either of the following methods:</w:t>
      </w:r>
    </w:p>
    <w:p w14:paraId="55487E7B" w14:textId="77777777" w:rsidR="004B5DB5" w:rsidRPr="004B5DB5" w:rsidRDefault="004B5DB5" w:rsidP="004B5DB5">
      <w:pPr>
        <w:numPr>
          <w:ilvl w:val="0"/>
          <w:numId w:val="1"/>
        </w:numPr>
        <w:tabs>
          <w:tab w:val="num" w:pos="1080"/>
        </w:tabs>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 xml:space="preserve">eFiling at Commission’s Web Site: </w:t>
      </w:r>
      <w:hyperlink r:id="rId14" w:history="1">
        <w:r w:rsidRPr="004B5DB5">
          <w:rPr>
            <w:rFonts w:ascii="Times New Roman" w:eastAsia="Times New Roman" w:hAnsi="Times New Roman" w:cs="Times New Roman"/>
            <w:color w:val="0000FF"/>
            <w:sz w:val="26"/>
            <w:szCs w:val="24"/>
            <w:u w:val="single"/>
          </w:rPr>
          <w:t>http://www.ferc.gov/docs-filing/efiling.asp</w:t>
        </w:r>
      </w:hyperlink>
    </w:p>
    <w:p w14:paraId="55487E7C" w14:textId="77777777" w:rsidR="004B5DB5" w:rsidRPr="004B5DB5" w:rsidRDefault="004B5DB5" w:rsidP="004B5DB5">
      <w:pPr>
        <w:numPr>
          <w:ilvl w:val="0"/>
          <w:numId w:val="1"/>
        </w:numPr>
        <w:tabs>
          <w:tab w:val="num" w:pos="1080"/>
        </w:tabs>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55487E7D"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i/>
          <w:sz w:val="26"/>
          <w:szCs w:val="24"/>
        </w:rPr>
        <w:t xml:space="preserve">Instructions: </w:t>
      </w:r>
      <w:r w:rsidRPr="004B5DB5">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4B5DB5">
          <w:rPr>
            <w:rFonts w:ascii="Times New Roman" w:eastAsia="Times New Roman" w:hAnsi="Times New Roman" w:cs="Times New Roman"/>
            <w:color w:val="0000FF"/>
            <w:sz w:val="26"/>
            <w:szCs w:val="24"/>
            <w:u w:val="single"/>
          </w:rPr>
          <w:t>http://www.ferc.gov/help/submission-guide.asp</w:t>
        </w:r>
      </w:hyperlink>
      <w:r w:rsidRPr="004B5DB5">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55487E7E"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i/>
          <w:sz w:val="26"/>
          <w:szCs w:val="24"/>
        </w:rPr>
        <w:t>Docket:</w:t>
      </w:r>
      <w:r w:rsidRPr="004B5DB5">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4B5DB5">
          <w:rPr>
            <w:rFonts w:ascii="Times New Roman" w:eastAsia="Times New Roman" w:hAnsi="Times New Roman" w:cs="Times New Roman"/>
            <w:color w:val="0000FF"/>
            <w:sz w:val="26"/>
            <w:szCs w:val="24"/>
            <w:u w:val="single"/>
          </w:rPr>
          <w:t>http://www.ferc.gov/docs-filing/docs-filing.asp</w:t>
        </w:r>
      </w:hyperlink>
      <w:r w:rsidRPr="004B5DB5">
        <w:rPr>
          <w:rFonts w:ascii="Times New Roman" w:eastAsia="Times New Roman" w:hAnsi="Times New Roman" w:cs="Times New Roman"/>
          <w:sz w:val="26"/>
          <w:szCs w:val="24"/>
        </w:rPr>
        <w:t xml:space="preserve">. </w:t>
      </w:r>
    </w:p>
    <w:bookmarkEnd w:id="1"/>
    <w:p w14:paraId="55487E7F" w14:textId="77777777" w:rsidR="004B5DB5" w:rsidRPr="004B5DB5" w:rsidRDefault="004B5DB5" w:rsidP="004B5DB5">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b/>
          <w:sz w:val="26"/>
          <w:szCs w:val="24"/>
        </w:rPr>
        <w:t>FOR FURTHER INFORMATION CONTACT:</w:t>
      </w:r>
      <w:r w:rsidRPr="004B5DB5">
        <w:rPr>
          <w:rFonts w:ascii="Times New Roman" w:eastAsia="Times New Roman" w:hAnsi="Times New Roman" w:cs="Times New Roman"/>
          <w:sz w:val="26"/>
          <w:szCs w:val="24"/>
        </w:rPr>
        <w:t xml:space="preserve">  Ellen Brown may be reached by e-mail at </w:t>
      </w:r>
      <w:hyperlink r:id="rId17" w:history="1">
        <w:r w:rsidRPr="004B5DB5">
          <w:rPr>
            <w:rFonts w:ascii="Times New Roman" w:eastAsia="Times New Roman" w:hAnsi="Times New Roman" w:cs="Times New Roman"/>
            <w:color w:val="0000FF"/>
            <w:sz w:val="26"/>
            <w:szCs w:val="24"/>
            <w:u w:val="single"/>
          </w:rPr>
          <w:t>DataClearance@FERC.gov</w:t>
        </w:r>
      </w:hyperlink>
      <w:r w:rsidRPr="004B5DB5">
        <w:rPr>
          <w:rFonts w:ascii="Times New Roman" w:eastAsia="Times New Roman" w:hAnsi="Times New Roman" w:cs="Times New Roman"/>
          <w:sz w:val="26"/>
          <w:szCs w:val="24"/>
        </w:rPr>
        <w:t>, telephone at (202) 502-8663, and fax at (202) 273-0873.</w:t>
      </w:r>
    </w:p>
    <w:p w14:paraId="55487E80" w14:textId="77777777" w:rsidR="004B5DB5" w:rsidRDefault="004B5DB5" w:rsidP="004B5DB5">
      <w:pPr>
        <w:tabs>
          <w:tab w:val="left" w:pos="7880"/>
        </w:tabs>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 xml:space="preserve"> </w:t>
      </w:r>
      <w:r w:rsidRPr="004B5DB5">
        <w:rPr>
          <w:rFonts w:ascii="Times New Roman" w:eastAsia="Times New Roman" w:hAnsi="Times New Roman" w:cs="Times New Roman"/>
          <w:b/>
          <w:sz w:val="26"/>
          <w:szCs w:val="24"/>
        </w:rPr>
        <w:t>SUPPLEMENTARY INFORMATION:</w:t>
      </w:r>
      <w:r w:rsidRPr="004B5DB5">
        <w:rPr>
          <w:rFonts w:ascii="Times New Roman" w:eastAsia="Times New Roman" w:hAnsi="Times New Roman" w:cs="Times New Roman"/>
          <w:sz w:val="26"/>
          <w:szCs w:val="24"/>
        </w:rPr>
        <w:t xml:space="preserve">  </w:t>
      </w:r>
    </w:p>
    <w:p w14:paraId="55487E81"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t>Title:</w:t>
      </w:r>
      <w:r w:rsidRPr="00B06752">
        <w:rPr>
          <w:rFonts w:ascii="Times New Roman" w:eastAsia="Times New Roman" w:hAnsi="Times New Roman" w:cs="Times New Roman"/>
          <w:sz w:val="26"/>
          <w:szCs w:val="24"/>
        </w:rPr>
        <w:t xml:space="preserve"> FERC-714, Annual Electric Balancing Authority Area and Planning Area Report</w:t>
      </w:r>
    </w:p>
    <w:p w14:paraId="55487E82"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t xml:space="preserve">OMB Control No.: </w:t>
      </w:r>
      <w:r w:rsidRPr="00B06752">
        <w:rPr>
          <w:rFonts w:ascii="Times New Roman" w:eastAsia="Times New Roman" w:hAnsi="Times New Roman" w:cs="Times New Roman"/>
          <w:sz w:val="26"/>
          <w:szCs w:val="24"/>
        </w:rPr>
        <w:t>1902-0140</w:t>
      </w:r>
    </w:p>
    <w:p w14:paraId="55487E83"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t xml:space="preserve">Type of Request: </w:t>
      </w:r>
      <w:r w:rsidRPr="00B06752">
        <w:rPr>
          <w:rFonts w:ascii="Times New Roman" w:eastAsia="Times New Roman" w:hAnsi="Times New Roman" w:cs="Times New Roman"/>
          <w:sz w:val="26"/>
          <w:szCs w:val="24"/>
        </w:rPr>
        <w:t xml:space="preserve"> Three-year extension of the FERC-714 information collection requirements with no changes to the current reporting requirements.  </w:t>
      </w:r>
    </w:p>
    <w:p w14:paraId="55487E84"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lastRenderedPageBreak/>
        <w:t xml:space="preserve">Abstract: </w:t>
      </w:r>
      <w:r w:rsidRPr="00B06752">
        <w:rPr>
          <w:rFonts w:ascii="Times New Roman" w:eastAsia="Times New Roman" w:hAnsi="Times New Roman" w:cs="Times New Roman"/>
          <w:sz w:val="26"/>
          <w:szCs w:val="24"/>
        </w:rPr>
        <w:t>The Commission uses the FERC-714 data to analyze power system operations.  These analyses estimate the effect of changes in power system operations resulting from the installation of a new generating unit or plant, transmission facilities, energy transfers between systems, and/or new points of interconnections.  The FERC-714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r w:rsidR="00992730">
        <w:rPr>
          <w:rFonts w:ascii="Times New Roman" w:eastAsia="Times New Roman" w:hAnsi="Times New Roman" w:cs="Times New Roman"/>
          <w:sz w:val="26"/>
          <w:szCs w:val="24"/>
        </w:rPr>
        <w:t xml:space="preserve"> </w:t>
      </w:r>
      <w:r w:rsidRPr="00B06752">
        <w:rPr>
          <w:rFonts w:ascii="Times New Roman" w:eastAsia="Times New Roman" w:hAnsi="Times New Roman" w:cs="Times New Roman"/>
          <w:sz w:val="26"/>
          <w:szCs w:val="24"/>
        </w:rPr>
        <w:t>The Commission uses the collected data from planning areas to monitor forecasted demands by electric utilities with fundamental demand responsibilities and to develop hourly demand characteristics.</w:t>
      </w:r>
    </w:p>
    <w:p w14:paraId="55487E85"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t xml:space="preserve">Type of Respondent: </w:t>
      </w:r>
      <w:r w:rsidRPr="00B06752">
        <w:rPr>
          <w:rFonts w:ascii="Times New Roman" w:eastAsia="Times New Roman" w:hAnsi="Times New Roman" w:cs="Times New Roman"/>
          <w:sz w:val="26"/>
          <w:szCs w:val="24"/>
        </w:rPr>
        <w:t>Electric utility balancing authorities and planning areas in the United States.</w:t>
      </w:r>
    </w:p>
    <w:p w14:paraId="55487E86" w14:textId="77777777" w:rsidR="00B06752" w:rsidRPr="00B06752" w:rsidRDefault="00B06752" w:rsidP="00B06752">
      <w:pPr>
        <w:tabs>
          <w:tab w:val="left" w:pos="7880"/>
        </w:tabs>
        <w:spacing w:after="0" w:line="480" w:lineRule="auto"/>
        <w:rPr>
          <w:rFonts w:ascii="Times New Roman" w:eastAsia="Times New Roman" w:hAnsi="Times New Roman" w:cs="Times New Roman"/>
          <w:sz w:val="26"/>
          <w:szCs w:val="24"/>
        </w:rPr>
      </w:pPr>
      <w:r w:rsidRPr="00B06752">
        <w:rPr>
          <w:rFonts w:ascii="Times New Roman" w:eastAsia="Times New Roman" w:hAnsi="Times New Roman" w:cs="Times New Roman"/>
          <w:i/>
          <w:sz w:val="26"/>
          <w:szCs w:val="24"/>
        </w:rPr>
        <w:t>Estimate of Annual Burden</w:t>
      </w:r>
      <w:r w:rsidRPr="00B06752">
        <w:rPr>
          <w:rFonts w:ascii="Times New Roman" w:eastAsia="Times New Roman" w:hAnsi="Times New Roman" w:cs="Times New Roman"/>
          <w:b/>
          <w:i/>
          <w:sz w:val="26"/>
          <w:szCs w:val="24"/>
          <w:vertAlign w:val="superscript"/>
        </w:rPr>
        <w:footnoteReference w:id="1"/>
      </w:r>
      <w:r w:rsidRPr="00B06752">
        <w:rPr>
          <w:rFonts w:ascii="Times New Roman" w:eastAsia="Times New Roman" w:hAnsi="Times New Roman" w:cs="Times New Roman"/>
          <w:i/>
          <w:sz w:val="26"/>
          <w:szCs w:val="24"/>
        </w:rPr>
        <w:t xml:space="preserve">: </w:t>
      </w:r>
      <w:r w:rsidRPr="00B06752">
        <w:rPr>
          <w:rFonts w:ascii="Times New Roman" w:eastAsia="Times New Roman" w:hAnsi="Times New Roman" w:cs="Times New Roman"/>
          <w:sz w:val="26"/>
          <w:szCs w:val="24"/>
        </w:rPr>
        <w:t>The Commission estimates the annual public reporting burden and cost</w:t>
      </w:r>
      <w:r w:rsidRPr="00B06752">
        <w:rPr>
          <w:rFonts w:ascii="Times New Roman" w:eastAsia="Times New Roman" w:hAnsi="Times New Roman" w:cs="Times New Roman"/>
          <w:b/>
          <w:sz w:val="26"/>
          <w:szCs w:val="24"/>
          <w:vertAlign w:val="superscript"/>
        </w:rPr>
        <w:footnoteReference w:id="2"/>
      </w:r>
      <w:r w:rsidRPr="00B06752">
        <w:rPr>
          <w:rFonts w:ascii="Times New Roman" w:eastAsia="Times New Roman" w:hAnsi="Times New Roman" w:cs="Times New Roman"/>
          <w:sz w:val="26"/>
          <w:szCs w:val="24"/>
        </w:rPr>
        <w:t xml:space="preserve">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60"/>
        <w:gridCol w:w="1804"/>
        <w:gridCol w:w="1442"/>
        <w:gridCol w:w="2700"/>
        <w:gridCol w:w="1384"/>
      </w:tblGrid>
      <w:tr w:rsidR="00B06752" w:rsidRPr="00B06752" w14:paraId="55487E88" w14:textId="77777777" w:rsidTr="00014E4B">
        <w:trPr>
          <w:cantSplit/>
        </w:trPr>
        <w:tc>
          <w:tcPr>
            <w:tcW w:w="5000" w:type="pct"/>
            <w:gridSpan w:val="6"/>
            <w:tcBorders>
              <w:bottom w:val="single" w:sz="4" w:space="0" w:color="auto"/>
            </w:tcBorders>
            <w:shd w:val="clear" w:color="auto" w:fill="D9D9D9"/>
          </w:tcPr>
          <w:p w14:paraId="55487E87"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FERC-714 (Annual Electric Balancing Authority Area and Planning Area Report)</w:t>
            </w:r>
          </w:p>
        </w:tc>
      </w:tr>
      <w:tr w:rsidR="00B06752" w:rsidRPr="00B06752" w14:paraId="55487E94" w14:textId="77777777" w:rsidTr="00014E4B">
        <w:trPr>
          <w:cantSplit/>
        </w:trPr>
        <w:tc>
          <w:tcPr>
            <w:tcW w:w="867" w:type="pct"/>
            <w:shd w:val="clear" w:color="auto" w:fill="D9D9D9"/>
            <w:vAlign w:val="bottom"/>
          </w:tcPr>
          <w:p w14:paraId="55487E89"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Number of Respondents</w:t>
            </w:r>
            <w:r w:rsidRPr="00B06752">
              <w:rPr>
                <w:rFonts w:ascii="Times New Roman" w:eastAsia="Times New Roman" w:hAnsi="Times New Roman" w:cs="Times New Roman"/>
                <w:b/>
                <w:sz w:val="26"/>
                <w:szCs w:val="24"/>
              </w:rPr>
              <w:br/>
              <w:t>(1)</w:t>
            </w:r>
          </w:p>
        </w:tc>
        <w:tc>
          <w:tcPr>
            <w:tcW w:w="606" w:type="pct"/>
            <w:shd w:val="clear" w:color="auto" w:fill="D9D9D9"/>
            <w:vAlign w:val="bottom"/>
          </w:tcPr>
          <w:p w14:paraId="55487E8A"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Annual Number of Responses per Respondent</w:t>
            </w:r>
          </w:p>
          <w:p w14:paraId="55487E8B"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(2)</w:t>
            </w:r>
          </w:p>
        </w:tc>
        <w:tc>
          <w:tcPr>
            <w:tcW w:w="868" w:type="pct"/>
            <w:shd w:val="clear" w:color="auto" w:fill="D9D9D9"/>
            <w:vAlign w:val="bottom"/>
          </w:tcPr>
          <w:p w14:paraId="55487E8C"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Total Number of Responses (1)*(2)=(3)</w:t>
            </w:r>
          </w:p>
        </w:tc>
        <w:tc>
          <w:tcPr>
            <w:tcW w:w="694" w:type="pct"/>
            <w:shd w:val="clear" w:color="auto" w:fill="D9D9D9"/>
            <w:vAlign w:val="bottom"/>
          </w:tcPr>
          <w:p w14:paraId="55487E8D"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Average Burden &amp; Cost Per Response</w:t>
            </w:r>
          </w:p>
          <w:p w14:paraId="55487E8E"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(4)</w:t>
            </w:r>
          </w:p>
        </w:tc>
        <w:tc>
          <w:tcPr>
            <w:tcW w:w="1299" w:type="pct"/>
            <w:shd w:val="clear" w:color="auto" w:fill="D9D9D9"/>
            <w:vAlign w:val="bottom"/>
          </w:tcPr>
          <w:p w14:paraId="55487E8F"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Total Annual Burden Hours &amp; Total Annual Cost</w:t>
            </w:r>
          </w:p>
          <w:p w14:paraId="55487E90"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(3)*(4)=(5)</w:t>
            </w:r>
          </w:p>
        </w:tc>
        <w:tc>
          <w:tcPr>
            <w:tcW w:w="666" w:type="pct"/>
            <w:shd w:val="clear" w:color="auto" w:fill="D9D9D9"/>
            <w:vAlign w:val="bottom"/>
          </w:tcPr>
          <w:p w14:paraId="55487E91"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Cost per Respondent</w:t>
            </w:r>
          </w:p>
          <w:p w14:paraId="55487E92"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 xml:space="preserve"> ($)</w:t>
            </w:r>
          </w:p>
          <w:p w14:paraId="55487E93"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b/>
                <w:sz w:val="26"/>
                <w:szCs w:val="24"/>
              </w:rPr>
            </w:pPr>
            <w:r w:rsidRPr="00B06752">
              <w:rPr>
                <w:rFonts w:ascii="Times New Roman" w:eastAsia="Times New Roman" w:hAnsi="Times New Roman" w:cs="Times New Roman"/>
                <w:b/>
                <w:sz w:val="26"/>
                <w:szCs w:val="24"/>
              </w:rPr>
              <w:t>(5)÷(1)</w:t>
            </w:r>
          </w:p>
        </w:tc>
      </w:tr>
      <w:tr w:rsidR="00B06752" w:rsidRPr="00B06752" w14:paraId="55487E9F" w14:textId="77777777" w:rsidTr="00014E4B">
        <w:trPr>
          <w:cantSplit/>
        </w:trPr>
        <w:tc>
          <w:tcPr>
            <w:tcW w:w="867" w:type="pct"/>
          </w:tcPr>
          <w:p w14:paraId="55487E95"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177</w:t>
            </w:r>
          </w:p>
          <w:p w14:paraId="55487E96"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p>
        </w:tc>
        <w:tc>
          <w:tcPr>
            <w:tcW w:w="606" w:type="pct"/>
          </w:tcPr>
          <w:p w14:paraId="55487E97"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1</w:t>
            </w:r>
          </w:p>
        </w:tc>
        <w:tc>
          <w:tcPr>
            <w:tcW w:w="868" w:type="pct"/>
          </w:tcPr>
          <w:p w14:paraId="55487E98"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177</w:t>
            </w:r>
          </w:p>
        </w:tc>
        <w:tc>
          <w:tcPr>
            <w:tcW w:w="694" w:type="pct"/>
          </w:tcPr>
          <w:p w14:paraId="55487E9A" w14:textId="6D29F838"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87</w:t>
            </w:r>
            <w:r w:rsidR="00A33D2D">
              <w:rPr>
                <w:rFonts w:ascii="Times New Roman" w:eastAsia="Times New Roman" w:hAnsi="Times New Roman" w:cs="Times New Roman"/>
                <w:sz w:val="26"/>
                <w:szCs w:val="24"/>
              </w:rPr>
              <w:t xml:space="preserve"> hrs.; </w:t>
            </w:r>
            <w:r w:rsidRPr="00B06752">
              <w:rPr>
                <w:rFonts w:ascii="Times New Roman" w:eastAsia="Times New Roman" w:hAnsi="Times New Roman" w:cs="Times New Roman"/>
                <w:sz w:val="26"/>
                <w:szCs w:val="24"/>
              </w:rPr>
              <w:t>$6,264.00</w:t>
            </w:r>
          </w:p>
        </w:tc>
        <w:tc>
          <w:tcPr>
            <w:tcW w:w="1299" w:type="pct"/>
          </w:tcPr>
          <w:p w14:paraId="55487E9C" w14:textId="7E245F78"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 xml:space="preserve"> 15,399</w:t>
            </w:r>
            <w:r w:rsidR="00A33D2D">
              <w:rPr>
                <w:rFonts w:ascii="Times New Roman" w:eastAsia="Times New Roman" w:hAnsi="Times New Roman" w:cs="Times New Roman"/>
                <w:sz w:val="26"/>
                <w:szCs w:val="24"/>
              </w:rPr>
              <w:t xml:space="preserve"> hrs.; </w:t>
            </w:r>
            <w:r w:rsidRPr="00B06752">
              <w:rPr>
                <w:rFonts w:ascii="Times New Roman" w:eastAsia="Times New Roman" w:hAnsi="Times New Roman" w:cs="Times New Roman"/>
                <w:sz w:val="26"/>
                <w:szCs w:val="24"/>
              </w:rPr>
              <w:t>$1,108,728.00</w:t>
            </w:r>
          </w:p>
        </w:tc>
        <w:tc>
          <w:tcPr>
            <w:tcW w:w="666" w:type="pct"/>
          </w:tcPr>
          <w:p w14:paraId="55487E9D"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r w:rsidRPr="00B06752">
              <w:rPr>
                <w:rFonts w:ascii="Times New Roman" w:eastAsia="Times New Roman" w:hAnsi="Times New Roman" w:cs="Times New Roman"/>
                <w:sz w:val="26"/>
                <w:szCs w:val="24"/>
              </w:rPr>
              <w:t xml:space="preserve">$6,264.00 </w:t>
            </w:r>
          </w:p>
          <w:p w14:paraId="55487E9E" w14:textId="77777777" w:rsidR="00B06752" w:rsidRPr="00B06752" w:rsidRDefault="00B06752" w:rsidP="00992730">
            <w:pPr>
              <w:tabs>
                <w:tab w:val="left" w:pos="7880"/>
              </w:tabs>
              <w:spacing w:after="0" w:line="240" w:lineRule="auto"/>
              <w:jc w:val="right"/>
              <w:rPr>
                <w:rFonts w:ascii="Times New Roman" w:eastAsia="Times New Roman" w:hAnsi="Times New Roman" w:cs="Times New Roman"/>
                <w:sz w:val="26"/>
                <w:szCs w:val="24"/>
              </w:rPr>
            </w:pPr>
          </w:p>
        </w:tc>
      </w:tr>
    </w:tbl>
    <w:p w14:paraId="55487EA0" w14:textId="77777777" w:rsidR="004B5DB5" w:rsidRPr="004B5DB5" w:rsidRDefault="004B5DB5" w:rsidP="00992730">
      <w:pPr>
        <w:spacing w:after="0" w:line="480" w:lineRule="auto"/>
        <w:rPr>
          <w:rFonts w:ascii="Times New Roman" w:eastAsia="Times New Roman" w:hAnsi="Times New Roman" w:cs="Times New Roman"/>
          <w:sz w:val="26"/>
          <w:szCs w:val="24"/>
        </w:rPr>
      </w:pPr>
      <w:r w:rsidRPr="004B5DB5">
        <w:rPr>
          <w:rFonts w:ascii="Times New Roman" w:eastAsia="Times New Roman" w:hAnsi="Times New Roman" w:cs="Times New Roman"/>
          <w:i/>
          <w:sz w:val="26"/>
          <w:szCs w:val="24"/>
        </w:rPr>
        <w:t xml:space="preserve">Comments:  </w:t>
      </w:r>
      <w:r w:rsidRPr="004B5DB5">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55487EA4" w14:textId="77777777" w:rsidR="004B5DB5" w:rsidRDefault="004B5DB5" w:rsidP="004B5DB5">
      <w:pPr>
        <w:spacing w:after="0" w:line="240" w:lineRule="auto"/>
        <w:rPr>
          <w:rFonts w:ascii="Times New Roman" w:eastAsia="Times New Roman" w:hAnsi="Times New Roman" w:cs="Times New Roman"/>
          <w:sz w:val="26"/>
          <w:szCs w:val="24"/>
        </w:rPr>
      </w:pPr>
    </w:p>
    <w:p w14:paraId="2D3D7AB9" w14:textId="07BE320A" w:rsidR="0087414F" w:rsidRDefault="0087414F" w:rsidP="004B5DB5">
      <w:pPr>
        <w:spacing w:after="0" w:line="240" w:lineRule="auto"/>
        <w:rPr>
          <w:rFonts w:ascii="Times New Roman" w:eastAsia="Times New Roman" w:hAnsi="Times New Roman" w:cs="Times New Roman"/>
          <w:sz w:val="26"/>
          <w:szCs w:val="24"/>
        </w:rPr>
      </w:pPr>
    </w:p>
    <w:p w14:paraId="6F681A19" w14:textId="77777777" w:rsidR="0087414F" w:rsidRDefault="0087414F" w:rsidP="004B5DB5">
      <w:pPr>
        <w:spacing w:after="0" w:line="240" w:lineRule="auto"/>
        <w:rPr>
          <w:rFonts w:ascii="Times New Roman" w:eastAsia="Times New Roman" w:hAnsi="Times New Roman" w:cs="Times New Roman"/>
          <w:sz w:val="26"/>
          <w:szCs w:val="24"/>
        </w:rPr>
      </w:pPr>
    </w:p>
    <w:p w14:paraId="63A3A430" w14:textId="77777777" w:rsidR="0087414F" w:rsidRPr="004B5DB5" w:rsidRDefault="0087414F" w:rsidP="004B5DB5">
      <w:pPr>
        <w:spacing w:after="0" w:line="240" w:lineRule="auto"/>
        <w:rPr>
          <w:rFonts w:ascii="Times New Roman" w:eastAsia="Times New Roman" w:hAnsi="Times New Roman" w:cs="Times New Roman"/>
          <w:sz w:val="26"/>
          <w:szCs w:val="24"/>
        </w:rPr>
      </w:pPr>
    </w:p>
    <w:p w14:paraId="55487EA5" w14:textId="77777777" w:rsidR="004B5DB5" w:rsidRPr="004B5DB5" w:rsidRDefault="004B5DB5" w:rsidP="004B5DB5">
      <w:pPr>
        <w:spacing w:after="0" w:line="240" w:lineRule="auto"/>
        <w:ind w:firstLine="2174"/>
        <w:jc w:val="center"/>
        <w:rPr>
          <w:rFonts w:ascii="Times New Roman" w:eastAsia="Times New Roman" w:hAnsi="Times New Roman" w:cs="Times New Roman"/>
          <w:sz w:val="26"/>
          <w:szCs w:val="24"/>
        </w:rPr>
      </w:pPr>
      <w:r w:rsidRPr="004B5DB5">
        <w:rPr>
          <w:rFonts w:ascii="Times New Roman" w:eastAsia="Times New Roman" w:hAnsi="Times New Roman" w:cs="Times New Roman"/>
          <w:sz w:val="26"/>
          <w:szCs w:val="24"/>
        </w:rPr>
        <w:t>Kimberly D. Bose,</w:t>
      </w:r>
    </w:p>
    <w:p w14:paraId="55487EA8" w14:textId="77BACC84" w:rsidR="000A5C58" w:rsidRDefault="004B5DB5" w:rsidP="0087414F">
      <w:pPr>
        <w:spacing w:after="0" w:line="240" w:lineRule="auto"/>
        <w:ind w:firstLine="2174"/>
        <w:jc w:val="center"/>
      </w:pPr>
      <w:r w:rsidRPr="004B5DB5">
        <w:rPr>
          <w:rFonts w:ascii="Times New Roman" w:eastAsia="Times New Roman" w:hAnsi="Times New Roman" w:cs="Times New Roman"/>
          <w:sz w:val="26"/>
          <w:szCs w:val="24"/>
        </w:rPr>
        <w:t>Secretary.</w:t>
      </w:r>
      <w:r w:rsidR="0087414F">
        <w:rPr>
          <w:rFonts w:ascii="Times New Roman" w:eastAsia="Times New Roman" w:hAnsi="Times New Roman" w:cs="Times New Roman"/>
          <w:sz w:val="26"/>
          <w:szCs w:val="24"/>
        </w:rPr>
        <w:t xml:space="preserve"> </w:t>
      </w:r>
    </w:p>
    <w:sectPr w:rsidR="000A5C58"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87EAB" w14:textId="77777777" w:rsidR="004B5DB5" w:rsidRDefault="004B5DB5" w:rsidP="004B5DB5">
      <w:pPr>
        <w:spacing w:after="0" w:line="240" w:lineRule="auto"/>
      </w:pPr>
      <w:r>
        <w:separator/>
      </w:r>
    </w:p>
  </w:endnote>
  <w:endnote w:type="continuationSeparator" w:id="0">
    <w:p w14:paraId="55487EAC" w14:textId="77777777" w:rsidR="004B5DB5" w:rsidRDefault="004B5DB5" w:rsidP="004B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87EA9" w14:textId="77777777" w:rsidR="004B5DB5" w:rsidRDefault="004B5DB5" w:rsidP="004B5DB5">
      <w:pPr>
        <w:spacing w:after="0" w:line="240" w:lineRule="auto"/>
      </w:pPr>
      <w:r>
        <w:separator/>
      </w:r>
    </w:p>
  </w:footnote>
  <w:footnote w:type="continuationSeparator" w:id="0">
    <w:p w14:paraId="55487EAA" w14:textId="77777777" w:rsidR="004B5DB5" w:rsidRDefault="004B5DB5" w:rsidP="004B5DB5">
      <w:pPr>
        <w:spacing w:after="0" w:line="240" w:lineRule="auto"/>
      </w:pPr>
      <w:r>
        <w:continuationSeparator/>
      </w:r>
    </w:p>
  </w:footnote>
  <w:footnote w:id="1">
    <w:p w14:paraId="55487EAF" w14:textId="77777777" w:rsidR="00B06752" w:rsidRDefault="00B06752" w:rsidP="00B06752">
      <w:pPr>
        <w:pStyle w:val="FootnoteText"/>
      </w:pPr>
      <w:r>
        <w:rPr>
          <w:rStyle w:val="FootnoteReference"/>
        </w:rPr>
        <w:footnoteRef/>
      </w:r>
      <w:r>
        <w:t xml:space="preserve"> </w:t>
      </w:r>
      <w:r w:rsidRPr="00AF43DD">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55487EB0" w14:textId="77777777" w:rsidR="00B06752" w:rsidRDefault="00B06752" w:rsidP="00B06752">
      <w:pPr>
        <w:pStyle w:val="FootnoteText"/>
        <w:rPr>
          <w:rFonts w:ascii="Times New Roman" w:hAnsi="Times New Roman" w:cs="Times New Roman"/>
          <w:sz w:val="26"/>
          <w:szCs w:val="26"/>
        </w:rPr>
      </w:pPr>
      <w:r w:rsidRPr="0031346F">
        <w:rPr>
          <w:rStyle w:val="FootnoteReference"/>
        </w:rPr>
        <w:footnoteRef/>
      </w:r>
      <w:r w:rsidRPr="0031346F">
        <w:t xml:space="preserve"> </w:t>
      </w:r>
      <w:r w:rsidRPr="0025343E">
        <w:rPr>
          <w:rFonts w:ascii="Times New Roman" w:hAnsi="Times New Roman" w:cs="Times New Roman"/>
          <w:sz w:val="26"/>
          <w:szCs w:val="26"/>
        </w:rPr>
        <w:t>The hourly cost (for salary plus benefits) uses the figures from the Bureau of Labor Statistics, May 2017, for t</w:t>
      </w:r>
      <w:r>
        <w:rPr>
          <w:rFonts w:ascii="Times New Roman" w:hAnsi="Times New Roman" w:cs="Times New Roman"/>
          <w:sz w:val="26"/>
          <w:szCs w:val="26"/>
        </w:rPr>
        <w:t xml:space="preserve">he listed </w:t>
      </w:r>
      <w:r w:rsidRPr="0025343E">
        <w:rPr>
          <w:rFonts w:ascii="Times New Roman" w:hAnsi="Times New Roman" w:cs="Times New Roman"/>
          <w:sz w:val="26"/>
          <w:szCs w:val="26"/>
        </w:rPr>
        <w:t>reporting requirements.  These figures include salary (</w:t>
      </w:r>
      <w:hyperlink r:id="rId1" w:history="1">
        <w:r w:rsidRPr="0025343E">
          <w:rPr>
            <w:rFonts w:ascii="Times New Roman" w:hAnsi="Times New Roman" w:cs="Times New Roman"/>
            <w:color w:val="0000FF"/>
            <w:sz w:val="26"/>
            <w:szCs w:val="26"/>
            <w:u w:val="single"/>
          </w:rPr>
          <w:t>https://www.bls.gov/oes/current/naics2_22.htm</w:t>
        </w:r>
      </w:hyperlink>
      <w:r w:rsidRPr="0025343E">
        <w:rPr>
          <w:rFonts w:ascii="Times New Roman" w:hAnsi="Times New Roman" w:cs="Times New Roman"/>
          <w:sz w:val="26"/>
          <w:szCs w:val="26"/>
        </w:rPr>
        <w:t xml:space="preserve"> ) and benefits </w:t>
      </w:r>
      <w:hyperlink r:id="rId2" w:history="1">
        <w:r w:rsidRPr="0025343E">
          <w:rPr>
            <w:rFonts w:ascii="Times New Roman" w:hAnsi="Times New Roman" w:cs="Times New Roman"/>
            <w:color w:val="0000FF"/>
            <w:sz w:val="26"/>
            <w:szCs w:val="26"/>
            <w:u w:val="single"/>
          </w:rPr>
          <w:t>http://www.bls.gov/news.release/ecec.nr0.htm</w:t>
        </w:r>
      </w:hyperlink>
      <w:r w:rsidRPr="0025343E">
        <w:rPr>
          <w:rFonts w:ascii="Times New Roman" w:hAnsi="Times New Roman" w:cs="Times New Roman"/>
          <w:sz w:val="26"/>
          <w:szCs w:val="26"/>
        </w:rPr>
        <w:t>) and are</w:t>
      </w:r>
      <w:r w:rsidRPr="00D07469">
        <w:rPr>
          <w:rFonts w:ascii="Times New Roman" w:hAnsi="Times New Roman" w:cs="Times New Roman"/>
          <w:sz w:val="26"/>
          <w:szCs w:val="26"/>
        </w:rPr>
        <w:t xml:space="preserve">:  </w:t>
      </w:r>
    </w:p>
    <w:p w14:paraId="55487EB1" w14:textId="4DE7E021"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Management (Code 11-0000), $94.28/hr.</w:t>
      </w:r>
    </w:p>
    <w:p w14:paraId="55487EB2" w14:textId="4B04E3CA"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Computer and mathematical (Code 15-0000), $63.25/hr.</w:t>
      </w:r>
    </w:p>
    <w:p w14:paraId="55487EB3" w14:textId="15A3A356"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Electrical Engineers (Code 17-2071), $66.90/hr.</w:t>
      </w:r>
    </w:p>
    <w:p w14:paraId="55487EB4" w14:textId="41BDE3BF"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Economist (Code 19-3011), $71.98/hr.</w:t>
      </w:r>
    </w:p>
    <w:p w14:paraId="55487EB5" w14:textId="2CD6F77F"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Computer and Information Systems Managers (Code 11-3021), $96.51/hr.</w:t>
      </w:r>
    </w:p>
    <w:p w14:paraId="55487EB6" w14:textId="4DE18632"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 xml:space="preserve">Accountants and Auditors (Code 13-2011), $56.59/hr. </w:t>
      </w:r>
    </w:p>
    <w:p w14:paraId="55487EB7" w14:textId="5FE61BCE"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Transportation, Storage, and Distribution Managers (Code 11-3071), $75.34/hr.</w:t>
      </w:r>
    </w:p>
    <w:p w14:paraId="55487EB8" w14:textId="19C5A067" w:rsidR="00B06752" w:rsidRPr="00D07469" w:rsidRDefault="00B06752" w:rsidP="00B06752">
      <w:pPr>
        <w:pStyle w:val="FootnoteText"/>
        <w:rPr>
          <w:rFonts w:ascii="Times New Roman" w:hAnsi="Times New Roman" w:cs="Times New Roman"/>
          <w:sz w:val="26"/>
          <w:szCs w:val="26"/>
        </w:rPr>
      </w:pPr>
      <w:r w:rsidRPr="00D07469">
        <w:rPr>
          <w:rFonts w:ascii="Times New Roman" w:hAnsi="Times New Roman" w:cs="Times New Roman"/>
          <w:sz w:val="26"/>
          <w:szCs w:val="26"/>
        </w:rPr>
        <w:tab/>
        <w:t>Power Distributors and Dispatchers (Code 51-8012), $53.48/hr.</w:t>
      </w:r>
    </w:p>
    <w:p w14:paraId="55487EB9" w14:textId="576A70D4" w:rsidR="00B06752" w:rsidRPr="00D07469" w:rsidRDefault="00B06752" w:rsidP="00B06752">
      <w:pPr>
        <w:pStyle w:val="FootnoteText"/>
        <w:rPr>
          <w:rFonts w:ascii="Times New Roman" w:hAnsi="Times New Roman" w:cs="Times New Roman"/>
          <w:sz w:val="26"/>
          <w:szCs w:val="26"/>
        </w:rPr>
      </w:pPr>
      <w:r w:rsidRPr="007B52C6">
        <w:rPr>
          <w:rFonts w:ascii="Times New Roman" w:hAnsi="Times New Roman" w:cs="Times New Roman"/>
          <w:sz w:val="26"/>
          <w:szCs w:val="26"/>
        </w:rPr>
        <w:t xml:space="preserve">The average hourly cost (wages plus benefits) </w:t>
      </w:r>
      <w:r>
        <w:rPr>
          <w:rFonts w:ascii="Times New Roman" w:hAnsi="Times New Roman" w:cs="Times New Roman"/>
          <w:sz w:val="26"/>
          <w:szCs w:val="26"/>
        </w:rPr>
        <w:t xml:space="preserve">for the above wages is </w:t>
      </w:r>
      <w:r w:rsidRPr="007B52C6">
        <w:rPr>
          <w:rFonts w:ascii="Times New Roman" w:hAnsi="Times New Roman" w:cs="Times New Roman"/>
          <w:sz w:val="26"/>
          <w:szCs w:val="26"/>
        </w:rPr>
        <w:t>$72.</w:t>
      </w:r>
      <w:r>
        <w:rPr>
          <w:rFonts w:ascii="Times New Roman" w:hAnsi="Times New Roman" w:cs="Times New Roman"/>
          <w:sz w:val="26"/>
          <w:szCs w:val="26"/>
        </w:rPr>
        <w:t>29</w:t>
      </w:r>
      <w:r w:rsidRPr="007B52C6">
        <w:rPr>
          <w:rFonts w:ascii="Times New Roman" w:hAnsi="Times New Roman" w:cs="Times New Roman"/>
          <w:sz w:val="26"/>
          <w:szCs w:val="26"/>
        </w:rPr>
        <w:t>/hour</w:t>
      </w:r>
      <w:r>
        <w:rPr>
          <w:rFonts w:ascii="Times New Roman" w:hAnsi="Times New Roman" w:cs="Times New Roman"/>
          <w:sz w:val="26"/>
          <w:szCs w:val="26"/>
        </w:rPr>
        <w:t xml:space="preserve"> (rounded </w:t>
      </w:r>
      <w:r w:rsidR="00A33D2D">
        <w:rPr>
          <w:rFonts w:ascii="Times New Roman" w:hAnsi="Times New Roman" w:cs="Times New Roman"/>
          <w:sz w:val="26"/>
          <w:szCs w:val="26"/>
        </w:rPr>
        <w:t xml:space="preserve">to </w:t>
      </w:r>
      <w:r>
        <w:rPr>
          <w:rFonts w:ascii="Times New Roman" w:hAnsi="Times New Roman" w:cs="Times New Roman"/>
          <w:sz w:val="26"/>
          <w:szCs w:val="26"/>
        </w:rPr>
        <w:t>$72.00</w:t>
      </w:r>
      <w:r w:rsidR="00A33D2D">
        <w:rPr>
          <w:rFonts w:ascii="Times New Roman" w:hAnsi="Times New Roman" w:cs="Times New Roman"/>
          <w:sz w:val="26"/>
          <w:szCs w:val="26"/>
        </w:rPr>
        <w:t>/hour</w:t>
      </w:r>
      <w:r>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87EAD" w14:textId="329552E0" w:rsidR="00810D18" w:rsidRDefault="00924430" w:rsidP="00810D18">
    <w:pPr>
      <w:pStyle w:val="Header"/>
    </w:pPr>
    <w:r>
      <w:t>Docket No.</w:t>
    </w:r>
    <w:r w:rsidR="0087414F">
      <w:t xml:space="preserve"> </w:t>
    </w:r>
    <w:r>
      <w:t>IC19-4-000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0EDE">
          <w:rPr>
            <w:noProof/>
          </w:rPr>
          <w:t>2</w:t>
        </w:r>
        <w:r>
          <w:rPr>
            <w:noProof/>
          </w:rPr>
          <w:fldChar w:fldCharType="end"/>
        </w:r>
      </w:sdtContent>
    </w:sdt>
  </w:p>
  <w:p w14:paraId="55487EAE" w14:textId="77777777" w:rsidR="00BF2D74" w:rsidRDefault="00A80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B5"/>
    <w:rsid w:val="00096A4E"/>
    <w:rsid w:val="000A5C58"/>
    <w:rsid w:val="003E68F9"/>
    <w:rsid w:val="004B5DB5"/>
    <w:rsid w:val="007E5D52"/>
    <w:rsid w:val="0087414F"/>
    <w:rsid w:val="00924430"/>
    <w:rsid w:val="00992730"/>
    <w:rsid w:val="00A3372B"/>
    <w:rsid w:val="00A33D2D"/>
    <w:rsid w:val="00A80EDE"/>
    <w:rsid w:val="00B06752"/>
    <w:rsid w:val="00BD3784"/>
    <w:rsid w:val="00C46EFB"/>
    <w:rsid w:val="00D0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5548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5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DB5"/>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B5DB5"/>
    <w:rPr>
      <w:rFonts w:ascii="Times New Roman" w:hAnsi="Times New Roman"/>
      <w:b/>
      <w:sz w:val="26"/>
      <w:szCs w:val="26"/>
      <w:vertAlign w:val="superscript"/>
    </w:rPr>
  </w:style>
  <w:style w:type="character" w:styleId="Hyperlink">
    <w:name w:val="Hyperlink"/>
    <w:rsid w:val="004B5DB5"/>
    <w:rPr>
      <w:color w:val="0000FF"/>
      <w:u w:val="single"/>
    </w:rPr>
  </w:style>
  <w:style w:type="paragraph" w:styleId="Header">
    <w:name w:val="header"/>
    <w:basedOn w:val="Normal"/>
    <w:link w:val="HeaderChar"/>
    <w:uiPriority w:val="99"/>
    <w:unhideWhenUsed/>
    <w:rsid w:val="004B5DB5"/>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4B5DB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2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30"/>
  </w:style>
  <w:style w:type="paragraph" w:styleId="BalloonText">
    <w:name w:val="Balloon Text"/>
    <w:basedOn w:val="Normal"/>
    <w:link w:val="BalloonTextChar"/>
    <w:uiPriority w:val="99"/>
    <w:semiHidden/>
    <w:unhideWhenUsed/>
    <w:rsid w:val="00A33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D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5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DB5"/>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B5DB5"/>
    <w:rPr>
      <w:rFonts w:ascii="Times New Roman" w:hAnsi="Times New Roman"/>
      <w:b/>
      <w:sz w:val="26"/>
      <w:szCs w:val="26"/>
      <w:vertAlign w:val="superscript"/>
    </w:rPr>
  </w:style>
  <w:style w:type="character" w:styleId="Hyperlink">
    <w:name w:val="Hyperlink"/>
    <w:rsid w:val="004B5DB5"/>
    <w:rPr>
      <w:color w:val="0000FF"/>
      <w:u w:val="single"/>
    </w:rPr>
  </w:style>
  <w:style w:type="paragraph" w:styleId="Header">
    <w:name w:val="header"/>
    <w:basedOn w:val="Normal"/>
    <w:link w:val="HeaderChar"/>
    <w:uiPriority w:val="99"/>
    <w:unhideWhenUsed/>
    <w:rsid w:val="004B5DB5"/>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4B5DB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2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30"/>
  </w:style>
  <w:style w:type="paragraph" w:styleId="BalloonText">
    <w:name w:val="Balloon Text"/>
    <w:basedOn w:val="Normal"/>
    <w:link w:val="BalloonTextChar"/>
    <w:uiPriority w:val="99"/>
    <w:semiHidden/>
    <w:unhideWhenUsed/>
    <w:rsid w:val="00A33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C343-D26F-4098-AAD5-58FD65A2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E4659-33FE-4530-8890-699E069BFA9F}">
  <ds:schemaRefs>
    <ds:schemaRef ds:uri="Microsoft.SharePoint.Taxonomy.ContentTypeSync"/>
  </ds:schemaRefs>
</ds:datastoreItem>
</file>

<file path=customXml/itemProps3.xml><?xml version="1.0" encoding="utf-8"?>
<ds:datastoreItem xmlns:ds="http://schemas.openxmlformats.org/officeDocument/2006/customXml" ds:itemID="{5A492AA9-D9BE-40A9-B1CD-6D193439F6B2}">
  <ds:schemaRefs>
    <ds:schemaRef ds:uri="http://schemas.microsoft.com/sharepoint/v3/contenttype/forms"/>
  </ds:schemaRefs>
</ds:datastoreItem>
</file>

<file path=customXml/itemProps4.xml><?xml version="1.0" encoding="utf-8"?>
<ds:datastoreItem xmlns:ds="http://schemas.openxmlformats.org/officeDocument/2006/customXml" ds:itemID="{C3468D90-394F-4A48-B279-F2D9E9900CEC}">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5e8733a2-e908-454b-85cf-c9d17e1d0943"/>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7540148-62D0-46CC-A4FF-2096F75C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2019-03-15T10:40:00Z</dcterms:created>
  <dcterms:modified xsi:type="dcterms:W3CDTF">2019-03-15T10:40:00Z</dcterms:modified>
  <cp:category/>
  <dc:identifier/>
  <cp:contentStatus/>
  <cp:version/>
</cp:coreProperties>
</file>