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2A0B57DB" w:rsidR="00A2604E" w:rsidRDefault="00A2604E" w:rsidP="00A2604E">
      <w:pPr>
        <w:jc w:val="center"/>
      </w:pPr>
      <w:r w:rsidRPr="00AC750B">
        <w:t xml:space="preserve">[Docket No. </w:t>
      </w:r>
      <w:r w:rsidR="00BB7D82">
        <w:t>IC18-17-000</w:t>
      </w:r>
      <w:r w:rsidRPr="00AC750B">
        <w:t>]</w:t>
      </w:r>
    </w:p>
    <w:p w14:paraId="37A99FB4" w14:textId="77777777" w:rsidR="00A2604E" w:rsidRDefault="00A2604E" w:rsidP="00A2604E"/>
    <w:p w14:paraId="0160830D" w14:textId="1036414E" w:rsidR="00A2604E" w:rsidRDefault="00A2604E" w:rsidP="00A2604E">
      <w:pPr>
        <w:jc w:val="center"/>
      </w:pPr>
      <w:r>
        <w:t>COMMISSION INFORMATION COLLECTION ACTIVITIES (</w:t>
      </w:r>
      <w:r w:rsidR="00BB7D82">
        <w:t>FERC-576</w:t>
      </w:r>
      <w:r>
        <w:t>);</w:t>
      </w:r>
    </w:p>
    <w:p w14:paraId="6E904836" w14:textId="77777777" w:rsidR="00A2604E" w:rsidRDefault="00A2604E" w:rsidP="00A2604E">
      <w:pPr>
        <w:jc w:val="center"/>
      </w:pPr>
      <w:r>
        <w:t>COMMENT REQUEST; EXTENSION</w:t>
      </w:r>
    </w:p>
    <w:p w14:paraId="6FC67CE5" w14:textId="1157AFF8" w:rsidR="00810D18" w:rsidRDefault="00810D18" w:rsidP="00810D18"/>
    <w:p w14:paraId="4B30359C" w14:textId="7192E139" w:rsidR="00A43A4A" w:rsidRPr="00FE4B8E" w:rsidRDefault="00B65A09" w:rsidP="00B65A09">
      <w:pPr>
        <w:jc w:val="center"/>
      </w:pPr>
      <w:r w:rsidRPr="00FE4B8E">
        <w:t>(</w:t>
      </w:r>
      <w:r w:rsidR="00B56882" w:rsidRPr="00B56882">
        <w:t>October 2, 2018</w:t>
      </w:r>
      <w:r w:rsidRPr="00FE4B8E">
        <w:t>)</w:t>
      </w:r>
    </w:p>
    <w:p w14:paraId="08DA33D0" w14:textId="77777777" w:rsidR="00F11631" w:rsidRPr="00F11631" w:rsidRDefault="00F11631" w:rsidP="00F11631"/>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2BFA00F5" w:rsidR="00A2604E" w:rsidRDefault="00A2604E" w:rsidP="00F8646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BB7D82">
        <w:t>FERC-576</w:t>
      </w:r>
      <w:r w:rsidR="00A713D0" w:rsidRPr="00A713D0">
        <w:t xml:space="preserve"> </w:t>
      </w:r>
      <w:r w:rsidR="00A713D0">
        <w:t>(</w:t>
      </w:r>
      <w:r w:rsidR="00BB7D82" w:rsidRPr="00BB7D82">
        <w:t>Report of Service Interruptions</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AC77B8">
        <w:t xml:space="preserve">explained below. </w:t>
      </w:r>
      <w:r w:rsidR="00BA0FBC">
        <w:t xml:space="preserve">On </w:t>
      </w:r>
      <w:r w:rsidR="007C6AC2">
        <w:t>July 23</w:t>
      </w:r>
      <w:r w:rsidR="00BA0FBC">
        <w:t>, 2018, t</w:t>
      </w:r>
      <w:r w:rsidR="00642602" w:rsidRPr="00AC77B8">
        <w:t xml:space="preserve">he Commission published a Notice in the Federal Register in Docket No. </w:t>
      </w:r>
      <w:r w:rsidR="00BB7D82">
        <w:t>IC18-17-000</w:t>
      </w:r>
      <w:r w:rsidR="00642602" w:rsidRPr="00AC77B8">
        <w:t xml:space="preserve"> requesting public </w:t>
      </w:r>
      <w:r w:rsidR="00642602" w:rsidRPr="00CE3598">
        <w:t xml:space="preserve">comments.  </w:t>
      </w:r>
      <w:r w:rsidR="00485A51" w:rsidRPr="0015578A">
        <w:t xml:space="preserve">The Commission received </w:t>
      </w:r>
      <w:r w:rsidR="007C6AC2" w:rsidRPr="0015578A">
        <w:t xml:space="preserve">no </w:t>
      </w:r>
      <w:r w:rsidR="00485A51" w:rsidRPr="0015578A">
        <w:t>comments</w:t>
      </w:r>
      <w:r w:rsidR="007C6AC2" w:rsidRPr="0015578A">
        <w:t>.</w:t>
      </w:r>
    </w:p>
    <w:p w14:paraId="442CCE36" w14:textId="4EBC3054" w:rsidR="007C1916" w:rsidRPr="007C1916" w:rsidRDefault="00A2604E" w:rsidP="007C1916">
      <w:pPr>
        <w:spacing w:line="480" w:lineRule="auto"/>
      </w:pPr>
      <w:r w:rsidRPr="00CE64F2">
        <w:rPr>
          <w:b/>
        </w:rPr>
        <w:t>DATES:</w:t>
      </w:r>
      <w:r>
        <w:t xml:space="preserve">  Comments on the collection of information are due </w:t>
      </w:r>
      <w:bookmarkStart w:id="1" w:name="OLE_LINK1"/>
      <w:r w:rsidR="007C1916" w:rsidRPr="007C1916">
        <w:rPr>
          <w:b/>
        </w:rPr>
        <w:t>[</w:t>
      </w:r>
      <w:r w:rsidR="007C1916" w:rsidRPr="00F11631">
        <w:rPr>
          <w:b/>
          <w:caps/>
        </w:rPr>
        <w:t xml:space="preserve">Insert Date 30 days after </w:t>
      </w:r>
      <w:r w:rsidR="00B65A09">
        <w:rPr>
          <w:b/>
          <w:caps/>
        </w:rPr>
        <w:t xml:space="preserve">date of </w:t>
      </w:r>
      <w:r w:rsidR="007C1916" w:rsidRPr="00F11631">
        <w:rPr>
          <w:b/>
          <w:caps/>
        </w:rPr>
        <w:t>publication in the Federal Register]</w:t>
      </w:r>
      <w:r w:rsidR="00B65A09" w:rsidRPr="00F11631">
        <w:rPr>
          <w:b/>
          <w:caps/>
        </w:rPr>
        <w:t>.</w:t>
      </w:r>
      <w:r w:rsidR="00B65A09" w:rsidRPr="00F11631">
        <w:rPr>
          <w:caps/>
        </w:rPr>
        <w:t xml:space="preserve">  </w:t>
      </w:r>
    </w:p>
    <w:p w14:paraId="05EFC9C8" w14:textId="2FBD7E21" w:rsidR="007C1916" w:rsidRPr="007C1916" w:rsidRDefault="007C1916" w:rsidP="007C1916">
      <w:pPr>
        <w:spacing w:line="480" w:lineRule="auto"/>
      </w:pPr>
      <w:r w:rsidRPr="007C1916">
        <w:rPr>
          <w:b/>
        </w:rPr>
        <w:t>ADDRESSES:</w:t>
      </w:r>
      <w:r w:rsidRPr="007C1916">
        <w:t xml:space="preserve">  Comments filed with OMB, identified by OMB Control No. </w:t>
      </w:r>
      <w:r w:rsidR="009E5557">
        <w:t>1902-0004</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5114A4F7" w:rsidR="007C1916" w:rsidRPr="007C1916" w:rsidRDefault="007C1916" w:rsidP="007C1916">
      <w:pPr>
        <w:spacing w:line="480" w:lineRule="auto"/>
      </w:pPr>
      <w:r w:rsidRPr="007C1916">
        <w:lastRenderedPageBreak/>
        <w:t xml:space="preserve">A copy of the comments should also be sent to the Commission, in Docket No. </w:t>
      </w:r>
      <w:r w:rsidR="00BB7D82">
        <w:t>IC18-17-000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1BF6A34E" w:rsidR="00A2604E" w:rsidRDefault="00A2604E" w:rsidP="00A2604E">
      <w:pPr>
        <w:spacing w:line="480" w:lineRule="auto"/>
      </w:pPr>
      <w:r w:rsidRPr="00656DF0">
        <w:rPr>
          <w:b/>
        </w:rPr>
        <w:t>FOR FURTHER INFORMATION</w:t>
      </w:r>
      <w:r w:rsidR="00B56882">
        <w:rPr>
          <w:b/>
        </w:rPr>
        <w:t xml:space="preserve"> CONTACT</w:t>
      </w:r>
      <w:r w:rsidRPr="00656DF0">
        <w:rPr>
          <w:b/>
        </w:rPr>
        <w:t>:</w:t>
      </w:r>
      <w:r>
        <w:t xml:space="preserve">  </w:t>
      </w:r>
      <w:r w:rsidRPr="007731D6">
        <w:t>Ellen Brown</w:t>
      </w:r>
      <w:r>
        <w:t xml:space="preserve"> may be reached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1828F029" w14:textId="68D00224" w:rsidR="00AA4050" w:rsidRDefault="00AA4050" w:rsidP="009E5557">
      <w:pPr>
        <w:spacing w:line="480" w:lineRule="auto"/>
        <w:rPr>
          <w:i/>
        </w:rPr>
      </w:pPr>
      <w:r>
        <w:rPr>
          <w:i/>
        </w:rPr>
        <w:t xml:space="preserve">Title: </w:t>
      </w:r>
      <w:r w:rsidR="009E5557">
        <w:t>FERC–576, Report of Service Interruptions.</w:t>
      </w:r>
      <w:r w:rsidR="00A8690F">
        <w:t>.</w:t>
      </w:r>
    </w:p>
    <w:p w14:paraId="75921495" w14:textId="50BA3FF6" w:rsidR="00AA4050" w:rsidRDefault="00AA4050" w:rsidP="00AA4050">
      <w:pPr>
        <w:spacing w:line="480" w:lineRule="auto"/>
      </w:pPr>
      <w:r>
        <w:rPr>
          <w:i/>
        </w:rPr>
        <w:t>OMB Control No.:</w:t>
      </w:r>
      <w:r w:rsidRPr="00F50EDA">
        <w:t xml:space="preserve"> </w:t>
      </w:r>
      <w:r w:rsidR="009E5557">
        <w:t>1902-0004</w:t>
      </w:r>
    </w:p>
    <w:p w14:paraId="002C811C" w14:textId="74CBAFAC" w:rsidR="00AA4050" w:rsidRPr="00B5364C" w:rsidRDefault="00AA4050" w:rsidP="00AA4050">
      <w:pPr>
        <w:spacing w:line="480" w:lineRule="auto"/>
      </w:pPr>
      <w:r>
        <w:rPr>
          <w:i/>
        </w:rPr>
        <w:t>Type of Request:</w:t>
      </w:r>
      <w:r>
        <w:t xml:space="preserve"> Three-year extension of the </w:t>
      </w:r>
      <w:r w:rsidR="00BB7D82">
        <w:t>FERC-576</w:t>
      </w:r>
      <w:r>
        <w:t xml:space="preserve"> information collection requirements with no changes to the current reporting requirements. </w:t>
      </w:r>
    </w:p>
    <w:p w14:paraId="7C97CB93" w14:textId="38AA1148" w:rsidR="009E5557" w:rsidRPr="009E5557" w:rsidRDefault="00B01B16" w:rsidP="009E5557">
      <w:pPr>
        <w:spacing w:line="480" w:lineRule="auto"/>
      </w:pPr>
      <w:r>
        <w:rPr>
          <w:i/>
        </w:rPr>
        <w:t xml:space="preserve">Abstract: </w:t>
      </w:r>
      <w:r w:rsidR="001E6510">
        <w:rPr>
          <w:i/>
        </w:rPr>
        <w:t xml:space="preserve"> </w:t>
      </w:r>
      <w:r w:rsidR="009E5557" w:rsidRPr="009E5557">
        <w:t>A natural gas company must obtain Commission authorization to engage in the transportation, sale, or exchange of natural gas in interstate commerce under the Natural Gas Act (NGA).</w:t>
      </w:r>
      <w:r w:rsidR="009E5557" w:rsidRPr="009E5557">
        <w:rPr>
          <w:b/>
          <w:vertAlign w:val="superscript"/>
        </w:rPr>
        <w:footnoteReference w:id="1"/>
      </w:r>
      <w:r w:rsidR="009E5557" w:rsidRPr="009E5557">
        <w:t xml:space="preserve">  The NGA also empowers the Commission to oversee continuity of service in the transportation of natural gas in interstate commerce.  The information collected under FERC-576 notifies the Commission of: 1) damage to jurisdictional natural gas facilities as a result of a hurricane, earthquake, or other natural disaster, or terrorist activity, 2) serious interruptions to service, and 3) damage to jurisdictional natural gas facilities due to natural disaster or terrorist activity, that creates the potential for serious delivery problems on the pipeline’s own system or the pipeline grid.  </w:t>
      </w:r>
    </w:p>
    <w:p w14:paraId="6669B512" w14:textId="77777777" w:rsidR="009E5557" w:rsidRPr="009E5557" w:rsidRDefault="009E5557" w:rsidP="009E5557">
      <w:pPr>
        <w:spacing w:line="480" w:lineRule="auto"/>
      </w:pPr>
      <w:r w:rsidRPr="009E5557">
        <w:tab/>
        <w:t>Filings (in accordance with the provisions of section 4(d) of the NGA)</w:t>
      </w:r>
      <w:r w:rsidRPr="009E5557">
        <w:rPr>
          <w:b/>
          <w:vertAlign w:val="superscript"/>
        </w:rPr>
        <w:footnoteReference w:id="2"/>
      </w:r>
      <w:r w:rsidRPr="009E5557">
        <w:t xml:space="preserve"> must contain information necessary to advise the Commission when a change in service has occurred.  Section 7(d) of the NGA</w:t>
      </w:r>
      <w:r w:rsidRPr="009E5557">
        <w:rPr>
          <w:b/>
          <w:vertAlign w:val="superscript"/>
        </w:rPr>
        <w:footnoteReference w:id="3"/>
      </w:r>
      <w:r w:rsidRPr="009E5557">
        <w:t xml:space="preserve"> authorizes the Commission to issue a temporary certificate in cases of emergency to assure maintenance of adequate service or to serve particular customers, without notice or hearing.  </w:t>
      </w:r>
    </w:p>
    <w:p w14:paraId="00545852" w14:textId="60C6F940" w:rsidR="009E5557" w:rsidRPr="009E5557" w:rsidRDefault="009E5557" w:rsidP="009E5557">
      <w:pPr>
        <w:spacing w:line="480" w:lineRule="auto"/>
      </w:pPr>
      <w:r>
        <w:tab/>
      </w:r>
      <w:r w:rsidRPr="009E5557">
        <w:t xml:space="preserve">Respondents to the FERC-576 are encouraged to submit the reports by e-mail to </w:t>
      </w:r>
      <w:hyperlink r:id="rId19" w:history="1">
        <w:r w:rsidRPr="009E5557">
          <w:rPr>
            <w:rStyle w:val="Hyperlink"/>
          </w:rPr>
          <w:t>pipeline.outage@ferc.gov</w:t>
        </w:r>
      </w:hyperlink>
      <w:r w:rsidRPr="009E5557">
        <w:t xml:space="preserve"> but also have the option of faxing the reports to the Director of the Division of Pipeline Certificates.  18 CFR 260.9(b) requires that a report of service interruption or damage to natural gas facilities state:  (1) The location of the service interruption or damage to natural gas pipeline or storage facilities; (2) The nature of any damage to pipeline or storage facilities; (3) Specific identification of the facilities damaged; (4) The time the service interruption or damage to the facilities occurred; (5) The customers affected by the service interruption or damage to the facilities; (6) Emergency actions taken to maintain service; and (7) Company contact and telephone number.  The Commission may contact pipelines reporting damage or other pipelines to determine availability of supply, and if necessary, authorize transportation or construction of facilities to alleviate constraints in response to these reports.  </w:t>
      </w:r>
    </w:p>
    <w:p w14:paraId="3ECD0107" w14:textId="4C550209" w:rsidR="009E5557" w:rsidRPr="009E5557" w:rsidRDefault="009E5557" w:rsidP="009E5557">
      <w:pPr>
        <w:spacing w:line="480" w:lineRule="auto"/>
      </w:pPr>
      <w:r>
        <w:tab/>
      </w:r>
      <w:r w:rsidRPr="009E5557">
        <w:t>A report required by 18 CFR 260.9(a)(1)(i) of damage to natural gas facilities resulting in loss of pipeline throughput or storage deliverability shall be reported to the Director of the Commission’s Division of Pipeline Certificates at the earliest feasible time when pipeline throughput or storage deliverability has been restored.</w:t>
      </w:r>
    </w:p>
    <w:p w14:paraId="59AD4F12" w14:textId="05DAF0EA" w:rsidR="009E5557" w:rsidRPr="009E5557" w:rsidRDefault="0034195C" w:rsidP="009E5557">
      <w:pPr>
        <w:spacing w:line="480" w:lineRule="auto"/>
      </w:pPr>
      <w:r>
        <w:tab/>
      </w:r>
      <w:r w:rsidR="009E5557" w:rsidRPr="009E5557">
        <w:t>In any instance in which an incident or damage report involving jurisdictional natural gas facilities is required by Department of Transportation (DOT) reporting requirements under the Natural Gas Pipeline Safety Act of 1968, a copy of such report shall be submitted to the Director of the Commission’s Division of Pipeline Certificates, within 30 days of the reportable incident</w:t>
      </w:r>
      <w:r w:rsidR="009E5557" w:rsidRPr="009E5557">
        <w:rPr>
          <w:b/>
          <w:vertAlign w:val="superscript"/>
        </w:rPr>
        <w:footnoteReference w:id="4"/>
      </w:r>
      <w:r w:rsidR="009E5557" w:rsidRPr="009E5557">
        <w:t xml:space="preserve">. </w:t>
      </w:r>
    </w:p>
    <w:p w14:paraId="68BF527C" w14:textId="77777777" w:rsidR="009E5557" w:rsidRPr="009E5557" w:rsidRDefault="009E5557" w:rsidP="009E5557">
      <w:pPr>
        <w:spacing w:line="480" w:lineRule="auto"/>
      </w:pPr>
      <w:r w:rsidRPr="009E5557">
        <w:tab/>
        <w:t>If the Commission failed to collect these data, it would lose the ability to monitor and evaluate transactions, operations, and reliability of interstate pipelines and perform its regulatory functions.  These reports are kept by the Commission Staff as non-public information and are not made part of the public record.</w:t>
      </w:r>
    </w:p>
    <w:p w14:paraId="0ECC3CEF" w14:textId="77777777" w:rsidR="009E5557" w:rsidRPr="009E5557" w:rsidRDefault="009E5557" w:rsidP="009E5557">
      <w:pPr>
        <w:spacing w:line="480" w:lineRule="auto"/>
      </w:pPr>
      <w:r w:rsidRPr="009E5557">
        <w:rPr>
          <w:i/>
        </w:rPr>
        <w:t xml:space="preserve">Type of Respondents: </w:t>
      </w:r>
      <w:r w:rsidRPr="009E5557">
        <w:t xml:space="preserve">Natural gas companies </w:t>
      </w:r>
    </w:p>
    <w:p w14:paraId="5253FA6F" w14:textId="14E6A8A5" w:rsidR="00812B30" w:rsidRDefault="00AA4050" w:rsidP="00AA4050">
      <w:pPr>
        <w:spacing w:line="480" w:lineRule="auto"/>
      </w:pPr>
      <w:r>
        <w:rPr>
          <w:i/>
        </w:rPr>
        <w:t>Estimate of Annual Burden:</w:t>
      </w:r>
      <w:r w:rsidRPr="00A759B3">
        <w:rPr>
          <w:rStyle w:val="FootnoteReference"/>
          <w:b w:val="0"/>
        </w:rPr>
        <w:footnoteReference w:id="5"/>
      </w:r>
      <w:r>
        <w:rPr>
          <w:i/>
        </w:rPr>
        <w:t xml:space="preserve"> </w:t>
      </w:r>
      <w:r w:rsidR="00A8690F">
        <w:rPr>
          <w:i/>
        </w:rPr>
        <w:t xml:space="preserve"> </w:t>
      </w:r>
      <w:r>
        <w:t>The Commission estimates the average annual burden and cost</w:t>
      </w:r>
      <w:r w:rsidR="006A34AE" w:rsidRPr="00A759B3">
        <w:rPr>
          <w:rStyle w:val="FootnoteReference"/>
          <w:b w:val="0"/>
        </w:rPr>
        <w:footnoteReference w:id="6"/>
      </w:r>
      <w:r>
        <w:t xml:space="preserve"> for this information collection as follows.</w:t>
      </w:r>
    </w:p>
    <w:tbl>
      <w:tblPr>
        <w:tblW w:w="535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34195C" w:rsidRPr="0034195C" w14:paraId="53409159" w14:textId="77777777" w:rsidTr="00444833">
        <w:trPr>
          <w:cantSplit/>
          <w:jc w:val="right"/>
        </w:trPr>
        <w:tc>
          <w:tcPr>
            <w:tcW w:w="5000" w:type="pct"/>
            <w:gridSpan w:val="7"/>
            <w:tcBorders>
              <w:bottom w:val="single" w:sz="4" w:space="0" w:color="auto"/>
            </w:tcBorders>
            <w:shd w:val="clear" w:color="auto" w:fill="D9D9D9"/>
          </w:tcPr>
          <w:p w14:paraId="21B26104" w14:textId="77777777" w:rsidR="0034195C" w:rsidRPr="0034195C" w:rsidRDefault="0034195C" w:rsidP="0034195C">
            <w:pPr>
              <w:jc w:val="center"/>
              <w:rPr>
                <w:rFonts w:eastAsia="Calibri"/>
                <w:b/>
                <w:sz w:val="24"/>
              </w:rPr>
            </w:pPr>
            <w:r w:rsidRPr="0034195C">
              <w:rPr>
                <w:rFonts w:eastAsia="Calibri"/>
                <w:b/>
                <w:sz w:val="24"/>
              </w:rPr>
              <w:t>FERC-576, Report of Service Interruptions</w:t>
            </w:r>
          </w:p>
        </w:tc>
      </w:tr>
      <w:tr w:rsidR="0034195C" w:rsidRPr="0034195C" w14:paraId="341EA70E" w14:textId="77777777" w:rsidTr="00444833">
        <w:trPr>
          <w:cantSplit/>
          <w:jc w:val="right"/>
        </w:trPr>
        <w:tc>
          <w:tcPr>
            <w:tcW w:w="878" w:type="pct"/>
            <w:shd w:val="clear" w:color="auto" w:fill="D9D9D9"/>
          </w:tcPr>
          <w:p w14:paraId="6F14D454" w14:textId="77777777" w:rsidR="0034195C" w:rsidRPr="0034195C" w:rsidRDefault="0034195C" w:rsidP="0034195C">
            <w:pPr>
              <w:jc w:val="center"/>
              <w:rPr>
                <w:rFonts w:eastAsia="Calibri"/>
                <w:b/>
                <w:sz w:val="24"/>
              </w:rPr>
            </w:pPr>
          </w:p>
        </w:tc>
        <w:tc>
          <w:tcPr>
            <w:tcW w:w="746" w:type="pct"/>
            <w:shd w:val="clear" w:color="auto" w:fill="D9D9D9"/>
            <w:vAlign w:val="bottom"/>
          </w:tcPr>
          <w:p w14:paraId="3C4673AD" w14:textId="69C2051A" w:rsidR="0034195C" w:rsidRDefault="0034195C" w:rsidP="0034195C">
            <w:pPr>
              <w:jc w:val="center"/>
              <w:rPr>
                <w:rFonts w:eastAsia="Calibri"/>
                <w:b/>
                <w:sz w:val="24"/>
              </w:rPr>
            </w:pPr>
            <w:r w:rsidRPr="0034195C">
              <w:rPr>
                <w:rFonts w:eastAsia="Calibri"/>
                <w:b/>
                <w:sz w:val="24"/>
              </w:rPr>
              <w:t>Number of Respondents</w:t>
            </w:r>
          </w:p>
          <w:p w14:paraId="0D2281EC" w14:textId="75D099AC" w:rsidR="0034195C" w:rsidRPr="0034195C" w:rsidRDefault="0034195C" w:rsidP="0034195C">
            <w:pPr>
              <w:jc w:val="center"/>
              <w:rPr>
                <w:rFonts w:eastAsia="Calibri"/>
                <w:b/>
                <w:sz w:val="24"/>
              </w:rPr>
            </w:pPr>
            <w:r w:rsidRPr="0034195C">
              <w:rPr>
                <w:rFonts w:eastAsia="Calibri"/>
                <w:b/>
                <w:sz w:val="24"/>
              </w:rPr>
              <w:t>(1)</w:t>
            </w:r>
          </w:p>
        </w:tc>
        <w:tc>
          <w:tcPr>
            <w:tcW w:w="746" w:type="pct"/>
            <w:shd w:val="clear" w:color="auto" w:fill="D9D9D9"/>
            <w:vAlign w:val="bottom"/>
          </w:tcPr>
          <w:p w14:paraId="7FDEE152" w14:textId="77777777" w:rsidR="0034195C" w:rsidRPr="0034195C" w:rsidRDefault="0034195C" w:rsidP="0034195C">
            <w:pPr>
              <w:jc w:val="center"/>
              <w:rPr>
                <w:rFonts w:eastAsia="Calibri"/>
                <w:b/>
                <w:sz w:val="24"/>
              </w:rPr>
            </w:pPr>
            <w:r w:rsidRPr="0034195C">
              <w:rPr>
                <w:rFonts w:eastAsia="Calibri"/>
                <w:b/>
                <w:sz w:val="24"/>
              </w:rPr>
              <w:t>Annual Number of Responses per Respondent</w:t>
            </w:r>
          </w:p>
          <w:p w14:paraId="2476F589" w14:textId="77777777" w:rsidR="0034195C" w:rsidRPr="0034195C" w:rsidRDefault="0034195C" w:rsidP="0034195C">
            <w:pPr>
              <w:jc w:val="center"/>
              <w:rPr>
                <w:rFonts w:eastAsia="Calibri"/>
                <w:b/>
                <w:sz w:val="24"/>
              </w:rPr>
            </w:pPr>
            <w:r w:rsidRPr="0034195C">
              <w:rPr>
                <w:rFonts w:eastAsia="Calibri"/>
                <w:b/>
                <w:sz w:val="24"/>
              </w:rPr>
              <w:t>(2)</w:t>
            </w:r>
          </w:p>
        </w:tc>
        <w:tc>
          <w:tcPr>
            <w:tcW w:w="703" w:type="pct"/>
            <w:shd w:val="clear" w:color="auto" w:fill="D9D9D9"/>
            <w:vAlign w:val="bottom"/>
          </w:tcPr>
          <w:p w14:paraId="02B64E3B" w14:textId="77777777" w:rsidR="0034195C" w:rsidRPr="0034195C" w:rsidRDefault="0034195C" w:rsidP="0034195C">
            <w:pPr>
              <w:jc w:val="center"/>
              <w:rPr>
                <w:rFonts w:eastAsia="Calibri"/>
                <w:b/>
                <w:sz w:val="24"/>
              </w:rPr>
            </w:pPr>
            <w:r w:rsidRPr="0034195C">
              <w:rPr>
                <w:rFonts w:eastAsia="Calibri"/>
                <w:b/>
                <w:sz w:val="24"/>
              </w:rPr>
              <w:t>Total Number of Responses (1)*(2)=(3)</w:t>
            </w:r>
          </w:p>
        </w:tc>
        <w:tc>
          <w:tcPr>
            <w:tcW w:w="654" w:type="pct"/>
            <w:shd w:val="clear" w:color="auto" w:fill="D9D9D9"/>
            <w:vAlign w:val="bottom"/>
          </w:tcPr>
          <w:p w14:paraId="26E3EF86" w14:textId="77777777" w:rsidR="0034195C" w:rsidRPr="0034195C" w:rsidRDefault="0034195C" w:rsidP="0034195C">
            <w:pPr>
              <w:jc w:val="center"/>
              <w:rPr>
                <w:rFonts w:eastAsia="Calibri"/>
                <w:b/>
                <w:sz w:val="24"/>
              </w:rPr>
            </w:pPr>
            <w:r w:rsidRPr="0034195C">
              <w:rPr>
                <w:rFonts w:eastAsia="Calibri"/>
                <w:b/>
                <w:sz w:val="24"/>
              </w:rPr>
              <w:t>Average Burden Hrs. &amp; Cost ($) Per Response</w:t>
            </w:r>
          </w:p>
          <w:p w14:paraId="1168A31A" w14:textId="77777777" w:rsidR="0034195C" w:rsidRPr="0034195C" w:rsidRDefault="0034195C" w:rsidP="0034195C">
            <w:pPr>
              <w:jc w:val="center"/>
              <w:rPr>
                <w:rFonts w:eastAsia="Calibri"/>
                <w:b/>
                <w:sz w:val="24"/>
              </w:rPr>
            </w:pPr>
            <w:r w:rsidRPr="0034195C">
              <w:rPr>
                <w:rFonts w:eastAsia="Calibri"/>
                <w:b/>
                <w:sz w:val="24"/>
              </w:rPr>
              <w:t>(4)</w:t>
            </w:r>
          </w:p>
        </w:tc>
        <w:tc>
          <w:tcPr>
            <w:tcW w:w="657" w:type="pct"/>
            <w:shd w:val="clear" w:color="auto" w:fill="D9D9D9"/>
            <w:vAlign w:val="bottom"/>
          </w:tcPr>
          <w:p w14:paraId="7645E87F" w14:textId="77777777" w:rsidR="0034195C" w:rsidRPr="0034195C" w:rsidRDefault="0034195C" w:rsidP="0034195C">
            <w:pPr>
              <w:jc w:val="center"/>
              <w:rPr>
                <w:rFonts w:eastAsia="Calibri"/>
                <w:b/>
                <w:sz w:val="24"/>
              </w:rPr>
            </w:pPr>
            <w:r w:rsidRPr="0034195C">
              <w:rPr>
                <w:rFonts w:eastAsia="Calibri"/>
                <w:b/>
                <w:sz w:val="24"/>
              </w:rPr>
              <w:t>Total Annual Burden Hrs. &amp; Total Annual Cost</w:t>
            </w:r>
          </w:p>
          <w:p w14:paraId="72F537FC" w14:textId="77777777" w:rsidR="0034195C" w:rsidRPr="0034195C" w:rsidRDefault="0034195C" w:rsidP="0034195C">
            <w:pPr>
              <w:jc w:val="center"/>
              <w:rPr>
                <w:rFonts w:eastAsia="Calibri"/>
                <w:b/>
                <w:sz w:val="24"/>
              </w:rPr>
            </w:pPr>
            <w:r w:rsidRPr="0034195C">
              <w:rPr>
                <w:rFonts w:eastAsia="Calibri"/>
                <w:b/>
                <w:sz w:val="24"/>
              </w:rPr>
              <w:t>(3)*(4)=(5)</w:t>
            </w:r>
          </w:p>
        </w:tc>
        <w:tc>
          <w:tcPr>
            <w:tcW w:w="616" w:type="pct"/>
            <w:shd w:val="clear" w:color="auto" w:fill="D9D9D9"/>
            <w:vAlign w:val="bottom"/>
          </w:tcPr>
          <w:p w14:paraId="4471B575" w14:textId="7C2E28AE" w:rsidR="0034195C" w:rsidRPr="0034195C" w:rsidRDefault="0034195C" w:rsidP="0034195C">
            <w:pPr>
              <w:jc w:val="center"/>
              <w:rPr>
                <w:rFonts w:eastAsia="Calibri"/>
                <w:b/>
                <w:sz w:val="24"/>
              </w:rPr>
            </w:pPr>
            <w:r w:rsidRPr="0034195C">
              <w:rPr>
                <w:rFonts w:eastAsia="Calibri"/>
                <w:b/>
                <w:sz w:val="24"/>
              </w:rPr>
              <w:t>Cost per Respondent</w:t>
            </w:r>
            <w:r w:rsidR="003060F0">
              <w:rPr>
                <w:rStyle w:val="FootnoteReference"/>
                <w:rFonts w:eastAsia="Calibri"/>
                <w:b w:val="0"/>
              </w:rPr>
              <w:footnoteReference w:id="7"/>
            </w:r>
            <w:r w:rsidRPr="0034195C">
              <w:rPr>
                <w:rFonts w:eastAsia="Calibri"/>
                <w:b/>
                <w:sz w:val="24"/>
              </w:rPr>
              <w:t xml:space="preserve"> ($)</w:t>
            </w:r>
          </w:p>
          <w:p w14:paraId="594B2D88" w14:textId="77777777" w:rsidR="0034195C" w:rsidRPr="0034195C" w:rsidRDefault="0034195C" w:rsidP="0034195C">
            <w:pPr>
              <w:jc w:val="center"/>
              <w:rPr>
                <w:rFonts w:eastAsia="Calibri"/>
                <w:b/>
                <w:sz w:val="24"/>
              </w:rPr>
            </w:pPr>
            <w:r w:rsidRPr="0034195C">
              <w:rPr>
                <w:rFonts w:eastAsia="Calibri"/>
                <w:b/>
                <w:sz w:val="24"/>
              </w:rPr>
              <w:t>(5)÷(1)</w:t>
            </w:r>
          </w:p>
        </w:tc>
      </w:tr>
      <w:tr w:rsidR="0034195C" w:rsidRPr="0034195C" w14:paraId="435DF66E" w14:textId="77777777" w:rsidTr="00444833">
        <w:trPr>
          <w:cantSplit/>
          <w:jc w:val="right"/>
        </w:trPr>
        <w:tc>
          <w:tcPr>
            <w:tcW w:w="878" w:type="pct"/>
          </w:tcPr>
          <w:p w14:paraId="16FB861A" w14:textId="77777777" w:rsidR="0034195C" w:rsidRPr="0034195C" w:rsidRDefault="0034195C" w:rsidP="0034195C">
            <w:pPr>
              <w:rPr>
                <w:rFonts w:eastAsia="Calibri"/>
                <w:sz w:val="24"/>
              </w:rPr>
            </w:pPr>
            <w:r w:rsidRPr="0034195C">
              <w:rPr>
                <w:rFonts w:eastAsia="Calibri"/>
                <w:sz w:val="24"/>
              </w:rPr>
              <w:t>Submittal of Original Email/Fax</w:t>
            </w:r>
          </w:p>
        </w:tc>
        <w:tc>
          <w:tcPr>
            <w:tcW w:w="746" w:type="pct"/>
            <w:vAlign w:val="bottom"/>
          </w:tcPr>
          <w:p w14:paraId="4A5447E5" w14:textId="77777777" w:rsidR="0034195C" w:rsidRPr="0034195C" w:rsidRDefault="0034195C" w:rsidP="00B56882">
            <w:pPr>
              <w:jc w:val="center"/>
              <w:rPr>
                <w:rFonts w:eastAsia="Calibri"/>
                <w:sz w:val="24"/>
              </w:rPr>
            </w:pPr>
            <w:r w:rsidRPr="0034195C">
              <w:rPr>
                <w:rFonts w:eastAsia="Calibri"/>
                <w:sz w:val="24"/>
              </w:rPr>
              <w:t>21</w:t>
            </w:r>
          </w:p>
        </w:tc>
        <w:tc>
          <w:tcPr>
            <w:tcW w:w="746" w:type="pct"/>
            <w:vAlign w:val="bottom"/>
          </w:tcPr>
          <w:p w14:paraId="1E56FBBA" w14:textId="77777777" w:rsidR="0034195C" w:rsidRPr="0034195C" w:rsidRDefault="0034195C" w:rsidP="00B56882">
            <w:pPr>
              <w:jc w:val="center"/>
              <w:rPr>
                <w:rFonts w:eastAsia="Calibri"/>
                <w:sz w:val="24"/>
              </w:rPr>
            </w:pPr>
            <w:r w:rsidRPr="0034195C">
              <w:rPr>
                <w:rFonts w:eastAsia="Calibri"/>
                <w:sz w:val="24"/>
              </w:rPr>
              <w:t>3</w:t>
            </w:r>
          </w:p>
        </w:tc>
        <w:tc>
          <w:tcPr>
            <w:tcW w:w="703" w:type="pct"/>
            <w:vAlign w:val="bottom"/>
          </w:tcPr>
          <w:p w14:paraId="0A03D8C1" w14:textId="77777777" w:rsidR="0034195C" w:rsidRPr="0034195C" w:rsidRDefault="0034195C" w:rsidP="00B56882">
            <w:pPr>
              <w:jc w:val="center"/>
              <w:rPr>
                <w:rFonts w:eastAsia="Calibri"/>
                <w:sz w:val="24"/>
              </w:rPr>
            </w:pPr>
            <w:r w:rsidRPr="0034195C">
              <w:rPr>
                <w:rFonts w:eastAsia="Calibri"/>
                <w:sz w:val="24"/>
              </w:rPr>
              <w:t>63</w:t>
            </w:r>
          </w:p>
        </w:tc>
        <w:tc>
          <w:tcPr>
            <w:tcW w:w="654" w:type="pct"/>
            <w:vAlign w:val="bottom"/>
          </w:tcPr>
          <w:p w14:paraId="0156192C" w14:textId="6EF5B707" w:rsidR="0034195C" w:rsidRPr="0034195C" w:rsidRDefault="0034195C" w:rsidP="00B56882">
            <w:pPr>
              <w:jc w:val="center"/>
              <w:rPr>
                <w:rFonts w:eastAsia="Calibri"/>
                <w:sz w:val="24"/>
              </w:rPr>
            </w:pPr>
            <w:r w:rsidRPr="0034195C">
              <w:rPr>
                <w:rFonts w:eastAsia="Calibri"/>
                <w:sz w:val="24"/>
              </w:rPr>
              <w:t>1 hr.;</w:t>
            </w:r>
            <w:r w:rsidR="0015578A">
              <w:rPr>
                <w:rFonts w:eastAsia="Calibri"/>
                <w:sz w:val="24"/>
              </w:rPr>
              <w:t xml:space="preserve"> </w:t>
            </w:r>
            <w:r w:rsidRPr="0034195C">
              <w:rPr>
                <w:rFonts w:eastAsia="Calibri"/>
                <w:sz w:val="24"/>
              </w:rPr>
              <w:t>$133.80</w:t>
            </w:r>
          </w:p>
        </w:tc>
        <w:tc>
          <w:tcPr>
            <w:tcW w:w="657" w:type="pct"/>
            <w:vAlign w:val="bottom"/>
          </w:tcPr>
          <w:p w14:paraId="1057774E" w14:textId="378BD061" w:rsidR="0034195C" w:rsidRPr="0034195C" w:rsidRDefault="0034195C" w:rsidP="00B56882">
            <w:pPr>
              <w:jc w:val="center"/>
              <w:rPr>
                <w:rFonts w:eastAsia="Calibri"/>
                <w:sz w:val="24"/>
              </w:rPr>
            </w:pPr>
            <w:r w:rsidRPr="0034195C">
              <w:rPr>
                <w:rFonts w:eastAsia="Calibri"/>
                <w:sz w:val="24"/>
              </w:rPr>
              <w:t>63 hrs.; $8,429.40</w:t>
            </w:r>
          </w:p>
        </w:tc>
        <w:tc>
          <w:tcPr>
            <w:tcW w:w="616" w:type="pct"/>
            <w:vAlign w:val="bottom"/>
          </w:tcPr>
          <w:p w14:paraId="0688A63C" w14:textId="4F95ADDC" w:rsidR="0034195C" w:rsidRPr="0034195C" w:rsidRDefault="003060F0" w:rsidP="00B56882">
            <w:pPr>
              <w:jc w:val="center"/>
              <w:rPr>
                <w:rFonts w:eastAsia="Calibri"/>
                <w:sz w:val="24"/>
              </w:rPr>
            </w:pPr>
            <w:r>
              <w:rPr>
                <w:rFonts w:eastAsia="Calibri"/>
                <w:sz w:val="24"/>
              </w:rPr>
              <w:t>$401.4</w:t>
            </w:r>
            <w:r w:rsidR="002B7AA8">
              <w:rPr>
                <w:rFonts w:eastAsia="Calibri"/>
                <w:sz w:val="24"/>
              </w:rPr>
              <w:t>0</w:t>
            </w:r>
          </w:p>
        </w:tc>
      </w:tr>
      <w:tr w:rsidR="0034195C" w:rsidRPr="0034195C" w14:paraId="416569D3" w14:textId="77777777" w:rsidTr="00444833">
        <w:trPr>
          <w:cantSplit/>
          <w:jc w:val="right"/>
        </w:trPr>
        <w:tc>
          <w:tcPr>
            <w:tcW w:w="878" w:type="pct"/>
          </w:tcPr>
          <w:p w14:paraId="06C3C15E" w14:textId="77777777" w:rsidR="0034195C" w:rsidRPr="0034195C" w:rsidRDefault="0034195C" w:rsidP="0034195C">
            <w:pPr>
              <w:rPr>
                <w:rFonts w:eastAsia="Calibri"/>
                <w:sz w:val="24"/>
              </w:rPr>
            </w:pPr>
            <w:r w:rsidRPr="0034195C">
              <w:rPr>
                <w:rFonts w:eastAsia="Calibri"/>
                <w:sz w:val="24"/>
              </w:rPr>
              <w:t>Submittal of Damage Report</w:t>
            </w:r>
          </w:p>
        </w:tc>
        <w:tc>
          <w:tcPr>
            <w:tcW w:w="746" w:type="pct"/>
            <w:vAlign w:val="bottom"/>
          </w:tcPr>
          <w:p w14:paraId="1EDDD9BD" w14:textId="5FE396C4" w:rsidR="0034195C" w:rsidRPr="0034195C" w:rsidRDefault="0034195C" w:rsidP="00B56882">
            <w:pPr>
              <w:jc w:val="center"/>
              <w:rPr>
                <w:rFonts w:eastAsia="Calibri"/>
                <w:sz w:val="24"/>
              </w:rPr>
            </w:pPr>
            <w:r w:rsidRPr="0034195C">
              <w:rPr>
                <w:rFonts w:eastAsia="Calibri"/>
                <w:sz w:val="24"/>
              </w:rPr>
              <w:t>21</w:t>
            </w:r>
          </w:p>
        </w:tc>
        <w:tc>
          <w:tcPr>
            <w:tcW w:w="746" w:type="pct"/>
            <w:vAlign w:val="bottom"/>
          </w:tcPr>
          <w:p w14:paraId="3FF6F00B" w14:textId="77777777" w:rsidR="0034195C" w:rsidRPr="0034195C" w:rsidRDefault="0034195C" w:rsidP="00B56882">
            <w:pPr>
              <w:jc w:val="center"/>
              <w:rPr>
                <w:rFonts w:eastAsia="Calibri"/>
                <w:sz w:val="24"/>
              </w:rPr>
            </w:pPr>
            <w:r w:rsidRPr="0034195C">
              <w:rPr>
                <w:rFonts w:eastAsia="Calibri"/>
                <w:sz w:val="24"/>
              </w:rPr>
              <w:t>3</w:t>
            </w:r>
          </w:p>
        </w:tc>
        <w:tc>
          <w:tcPr>
            <w:tcW w:w="703" w:type="pct"/>
            <w:vAlign w:val="bottom"/>
          </w:tcPr>
          <w:p w14:paraId="7F639B4D" w14:textId="77777777" w:rsidR="0034195C" w:rsidRPr="0034195C" w:rsidRDefault="0034195C" w:rsidP="00B56882">
            <w:pPr>
              <w:jc w:val="center"/>
              <w:rPr>
                <w:rFonts w:eastAsia="Calibri"/>
                <w:sz w:val="24"/>
              </w:rPr>
            </w:pPr>
            <w:r w:rsidRPr="0034195C">
              <w:rPr>
                <w:rFonts w:eastAsia="Calibri"/>
                <w:sz w:val="24"/>
              </w:rPr>
              <w:t>63</w:t>
            </w:r>
          </w:p>
        </w:tc>
        <w:tc>
          <w:tcPr>
            <w:tcW w:w="654" w:type="pct"/>
            <w:vAlign w:val="bottom"/>
          </w:tcPr>
          <w:p w14:paraId="4B3743DB" w14:textId="4DA30311" w:rsidR="0034195C" w:rsidRPr="0034195C" w:rsidRDefault="0034195C" w:rsidP="00B56882">
            <w:pPr>
              <w:jc w:val="center"/>
              <w:rPr>
                <w:rFonts w:eastAsia="Calibri"/>
                <w:sz w:val="24"/>
              </w:rPr>
            </w:pPr>
            <w:r w:rsidRPr="0034195C">
              <w:rPr>
                <w:rFonts w:eastAsia="Calibri"/>
                <w:sz w:val="24"/>
              </w:rPr>
              <w:t>0.25 hrs.; $33.45</w:t>
            </w:r>
          </w:p>
        </w:tc>
        <w:tc>
          <w:tcPr>
            <w:tcW w:w="657" w:type="pct"/>
            <w:vAlign w:val="bottom"/>
          </w:tcPr>
          <w:p w14:paraId="22330339" w14:textId="6E7BF60B" w:rsidR="0034195C" w:rsidRPr="0034195C" w:rsidRDefault="0034195C" w:rsidP="00B56882">
            <w:pPr>
              <w:jc w:val="center"/>
              <w:rPr>
                <w:rFonts w:eastAsia="Calibri"/>
                <w:sz w:val="24"/>
              </w:rPr>
            </w:pPr>
            <w:r w:rsidRPr="0034195C">
              <w:rPr>
                <w:rFonts w:eastAsia="Calibri"/>
                <w:sz w:val="24"/>
              </w:rPr>
              <w:t>15.75 hrs.;</w:t>
            </w:r>
          </w:p>
          <w:p w14:paraId="1A0F734E" w14:textId="77777777" w:rsidR="0034195C" w:rsidRPr="0034195C" w:rsidRDefault="0034195C" w:rsidP="00B56882">
            <w:pPr>
              <w:jc w:val="center"/>
              <w:rPr>
                <w:rFonts w:eastAsia="Calibri"/>
                <w:sz w:val="24"/>
              </w:rPr>
            </w:pPr>
            <w:r w:rsidRPr="0034195C">
              <w:rPr>
                <w:rFonts w:eastAsia="Calibri"/>
                <w:sz w:val="24"/>
              </w:rPr>
              <w:t>$2,107.35</w:t>
            </w:r>
          </w:p>
        </w:tc>
        <w:tc>
          <w:tcPr>
            <w:tcW w:w="616" w:type="pct"/>
            <w:vAlign w:val="bottom"/>
          </w:tcPr>
          <w:p w14:paraId="5DC749C1" w14:textId="7703AA02" w:rsidR="0034195C" w:rsidRPr="0034195C" w:rsidRDefault="0034195C" w:rsidP="00B56882">
            <w:pPr>
              <w:jc w:val="center"/>
              <w:rPr>
                <w:rFonts w:eastAsia="Calibri"/>
                <w:sz w:val="24"/>
              </w:rPr>
            </w:pPr>
            <w:r w:rsidRPr="0034195C">
              <w:rPr>
                <w:rFonts w:eastAsia="Calibri"/>
                <w:sz w:val="24"/>
              </w:rPr>
              <w:t>$</w:t>
            </w:r>
            <w:r w:rsidR="00585F73">
              <w:rPr>
                <w:rFonts w:eastAsia="Calibri"/>
                <w:sz w:val="24"/>
              </w:rPr>
              <w:t>100.35</w:t>
            </w:r>
          </w:p>
        </w:tc>
      </w:tr>
      <w:tr w:rsidR="0034195C" w:rsidRPr="0034195C" w14:paraId="58D7E372" w14:textId="77777777" w:rsidTr="00444833">
        <w:trPr>
          <w:cantSplit/>
          <w:jc w:val="right"/>
        </w:trPr>
        <w:tc>
          <w:tcPr>
            <w:tcW w:w="878" w:type="pct"/>
          </w:tcPr>
          <w:p w14:paraId="6A998F07" w14:textId="77777777" w:rsidR="0034195C" w:rsidRPr="0034195C" w:rsidRDefault="0034195C" w:rsidP="0034195C">
            <w:pPr>
              <w:rPr>
                <w:rFonts w:eastAsia="Calibri"/>
                <w:sz w:val="24"/>
              </w:rPr>
            </w:pPr>
            <w:r w:rsidRPr="0034195C">
              <w:rPr>
                <w:rFonts w:eastAsia="Calibri"/>
                <w:sz w:val="24"/>
              </w:rPr>
              <w:t>Submittal of DOT Incident Report</w:t>
            </w:r>
          </w:p>
        </w:tc>
        <w:tc>
          <w:tcPr>
            <w:tcW w:w="746" w:type="pct"/>
            <w:vAlign w:val="bottom"/>
          </w:tcPr>
          <w:p w14:paraId="2010F568" w14:textId="2DE8D6B7" w:rsidR="0034195C" w:rsidRPr="0034195C" w:rsidRDefault="0034195C" w:rsidP="00B56882">
            <w:pPr>
              <w:jc w:val="center"/>
              <w:rPr>
                <w:rFonts w:eastAsia="Calibri"/>
                <w:sz w:val="24"/>
              </w:rPr>
            </w:pPr>
            <w:r w:rsidRPr="0034195C">
              <w:rPr>
                <w:rFonts w:eastAsia="Calibri"/>
                <w:sz w:val="24"/>
              </w:rPr>
              <w:t>21</w:t>
            </w:r>
          </w:p>
        </w:tc>
        <w:tc>
          <w:tcPr>
            <w:tcW w:w="746" w:type="pct"/>
            <w:vAlign w:val="bottom"/>
          </w:tcPr>
          <w:p w14:paraId="45A365E8" w14:textId="77777777" w:rsidR="0034195C" w:rsidRPr="0034195C" w:rsidRDefault="0034195C" w:rsidP="00B56882">
            <w:pPr>
              <w:jc w:val="center"/>
              <w:rPr>
                <w:rFonts w:eastAsia="Calibri"/>
                <w:sz w:val="24"/>
              </w:rPr>
            </w:pPr>
            <w:r w:rsidRPr="0034195C">
              <w:rPr>
                <w:rFonts w:eastAsia="Calibri"/>
                <w:sz w:val="24"/>
              </w:rPr>
              <w:t>1</w:t>
            </w:r>
          </w:p>
        </w:tc>
        <w:tc>
          <w:tcPr>
            <w:tcW w:w="703" w:type="pct"/>
            <w:vAlign w:val="bottom"/>
          </w:tcPr>
          <w:p w14:paraId="288947EE" w14:textId="0B127201" w:rsidR="0034195C" w:rsidRPr="0034195C" w:rsidRDefault="0034195C" w:rsidP="00B56882">
            <w:pPr>
              <w:jc w:val="center"/>
              <w:rPr>
                <w:rFonts w:eastAsia="Calibri"/>
                <w:sz w:val="24"/>
              </w:rPr>
            </w:pPr>
            <w:r w:rsidRPr="0034195C">
              <w:rPr>
                <w:rFonts w:eastAsia="Calibri"/>
                <w:sz w:val="24"/>
              </w:rPr>
              <w:t>21</w:t>
            </w:r>
          </w:p>
        </w:tc>
        <w:tc>
          <w:tcPr>
            <w:tcW w:w="654" w:type="pct"/>
            <w:vAlign w:val="bottom"/>
          </w:tcPr>
          <w:p w14:paraId="51C6D9B6" w14:textId="0BB1782C" w:rsidR="0034195C" w:rsidRPr="0034195C" w:rsidRDefault="0034195C" w:rsidP="00B56882">
            <w:pPr>
              <w:jc w:val="center"/>
              <w:rPr>
                <w:rFonts w:eastAsia="Calibri"/>
                <w:sz w:val="24"/>
              </w:rPr>
            </w:pPr>
            <w:r w:rsidRPr="0034195C">
              <w:rPr>
                <w:rFonts w:eastAsia="Calibri"/>
                <w:sz w:val="24"/>
              </w:rPr>
              <w:t>0.25 hrs.;</w:t>
            </w:r>
            <w:r w:rsidR="0015578A">
              <w:rPr>
                <w:rFonts w:eastAsia="Calibri"/>
                <w:sz w:val="24"/>
              </w:rPr>
              <w:t xml:space="preserve"> </w:t>
            </w:r>
            <w:r w:rsidRPr="0034195C">
              <w:rPr>
                <w:rFonts w:eastAsia="Calibri"/>
                <w:sz w:val="24"/>
              </w:rPr>
              <w:t>$33.45</w:t>
            </w:r>
          </w:p>
        </w:tc>
        <w:tc>
          <w:tcPr>
            <w:tcW w:w="657" w:type="pct"/>
            <w:vAlign w:val="bottom"/>
          </w:tcPr>
          <w:p w14:paraId="549AEBBD" w14:textId="095616F5" w:rsidR="0034195C" w:rsidRPr="0034195C" w:rsidRDefault="0034195C" w:rsidP="00B56882">
            <w:pPr>
              <w:jc w:val="center"/>
              <w:rPr>
                <w:rFonts w:eastAsia="Calibri"/>
                <w:sz w:val="24"/>
              </w:rPr>
            </w:pPr>
            <w:r w:rsidRPr="0034195C">
              <w:rPr>
                <w:rFonts w:eastAsia="Calibri"/>
                <w:sz w:val="24"/>
              </w:rPr>
              <w:t>5.25 hrs.;</w:t>
            </w:r>
          </w:p>
          <w:p w14:paraId="56529C95" w14:textId="77777777" w:rsidR="0034195C" w:rsidRPr="0034195C" w:rsidRDefault="0034195C" w:rsidP="00B56882">
            <w:pPr>
              <w:jc w:val="center"/>
              <w:rPr>
                <w:rFonts w:eastAsia="Calibri"/>
                <w:sz w:val="24"/>
              </w:rPr>
            </w:pPr>
            <w:r w:rsidRPr="0034195C">
              <w:rPr>
                <w:rFonts w:eastAsia="Calibri"/>
                <w:sz w:val="24"/>
              </w:rPr>
              <w:t>$702.45</w:t>
            </w:r>
          </w:p>
        </w:tc>
        <w:tc>
          <w:tcPr>
            <w:tcW w:w="616" w:type="pct"/>
            <w:vAlign w:val="bottom"/>
          </w:tcPr>
          <w:p w14:paraId="3A4DE1B0" w14:textId="77777777" w:rsidR="0034195C" w:rsidRPr="0034195C" w:rsidRDefault="0034195C" w:rsidP="00B56882">
            <w:pPr>
              <w:jc w:val="center"/>
              <w:rPr>
                <w:rFonts w:eastAsia="Calibri"/>
                <w:sz w:val="24"/>
              </w:rPr>
            </w:pPr>
            <w:r w:rsidRPr="0034195C">
              <w:rPr>
                <w:rFonts w:eastAsia="Calibri"/>
                <w:sz w:val="24"/>
              </w:rPr>
              <w:t>$33.45</w:t>
            </w:r>
          </w:p>
        </w:tc>
      </w:tr>
      <w:tr w:rsidR="0034195C" w:rsidRPr="0034195C" w14:paraId="13317A09" w14:textId="77777777" w:rsidTr="00444833">
        <w:trPr>
          <w:cantSplit/>
          <w:trHeight w:val="485"/>
          <w:jc w:val="right"/>
        </w:trPr>
        <w:tc>
          <w:tcPr>
            <w:tcW w:w="878" w:type="pct"/>
            <w:tcBorders>
              <w:bottom w:val="single" w:sz="4" w:space="0" w:color="auto"/>
            </w:tcBorders>
          </w:tcPr>
          <w:p w14:paraId="6D3D6354" w14:textId="77777777" w:rsidR="0034195C" w:rsidRPr="0034195C" w:rsidRDefault="0034195C" w:rsidP="0034195C">
            <w:pPr>
              <w:rPr>
                <w:rFonts w:eastAsia="Calibri"/>
                <w:b/>
                <w:sz w:val="24"/>
              </w:rPr>
            </w:pPr>
            <w:r w:rsidRPr="0034195C">
              <w:rPr>
                <w:rFonts w:eastAsia="Calibri"/>
                <w:b/>
                <w:sz w:val="24"/>
              </w:rPr>
              <w:t>TOTAL</w:t>
            </w:r>
          </w:p>
        </w:tc>
        <w:tc>
          <w:tcPr>
            <w:tcW w:w="2849" w:type="pct"/>
            <w:gridSpan w:val="4"/>
            <w:tcBorders>
              <w:bottom w:val="single" w:sz="4" w:space="0" w:color="auto"/>
            </w:tcBorders>
            <w:shd w:val="clear" w:color="auto" w:fill="D9D9D9"/>
            <w:vAlign w:val="bottom"/>
          </w:tcPr>
          <w:p w14:paraId="67188254" w14:textId="77777777" w:rsidR="0034195C" w:rsidRPr="0034195C" w:rsidRDefault="0034195C" w:rsidP="0034195C">
            <w:pPr>
              <w:jc w:val="right"/>
              <w:rPr>
                <w:rFonts w:eastAsia="Calibri"/>
                <w:sz w:val="24"/>
              </w:rPr>
            </w:pPr>
          </w:p>
        </w:tc>
        <w:tc>
          <w:tcPr>
            <w:tcW w:w="657" w:type="pct"/>
            <w:tcBorders>
              <w:bottom w:val="single" w:sz="4" w:space="0" w:color="auto"/>
            </w:tcBorders>
            <w:vAlign w:val="bottom"/>
          </w:tcPr>
          <w:p w14:paraId="4338AAD5" w14:textId="104DF5B0" w:rsidR="0034195C" w:rsidRPr="0034195C" w:rsidRDefault="0034195C" w:rsidP="00B56882">
            <w:pPr>
              <w:jc w:val="center"/>
              <w:rPr>
                <w:rFonts w:eastAsia="Calibri"/>
                <w:sz w:val="24"/>
              </w:rPr>
            </w:pPr>
            <w:r w:rsidRPr="0034195C">
              <w:rPr>
                <w:rFonts w:eastAsia="Calibri"/>
                <w:sz w:val="24"/>
              </w:rPr>
              <w:t>84 hrs.; $11,239.20</w:t>
            </w:r>
          </w:p>
        </w:tc>
        <w:tc>
          <w:tcPr>
            <w:tcW w:w="616" w:type="pct"/>
            <w:tcBorders>
              <w:bottom w:val="single" w:sz="4" w:space="0" w:color="auto"/>
            </w:tcBorders>
            <w:shd w:val="clear" w:color="auto" w:fill="D9D9D9"/>
            <w:vAlign w:val="bottom"/>
          </w:tcPr>
          <w:p w14:paraId="6FFE8B43" w14:textId="77777777" w:rsidR="0034195C" w:rsidRPr="0034195C" w:rsidRDefault="0034195C" w:rsidP="0034195C">
            <w:pPr>
              <w:jc w:val="right"/>
              <w:rPr>
                <w:rFonts w:eastAsia="Calibri"/>
                <w:sz w:val="24"/>
                <w:highlight w:val="yellow"/>
              </w:rPr>
            </w:pPr>
          </w:p>
        </w:tc>
      </w:tr>
    </w:tbl>
    <w:p w14:paraId="1E78FC20" w14:textId="77777777" w:rsidR="006A423E" w:rsidRDefault="006A423E" w:rsidP="00AE1F12">
      <w:pPr>
        <w:spacing w:line="480" w:lineRule="auto"/>
        <w:rPr>
          <w:i/>
        </w:rPr>
      </w:pPr>
    </w:p>
    <w:p w14:paraId="6ED19215" w14:textId="5DDB3190"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0652AB31" w14:textId="22B910EF" w:rsidR="00853ABC" w:rsidRDefault="00853ABC" w:rsidP="00F11631"/>
    <w:p w14:paraId="30CB5833" w14:textId="0631D1DE" w:rsidR="00F11631" w:rsidRDefault="00F11631" w:rsidP="00F11631"/>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736C4" w14:textId="77777777" w:rsidR="005F726F" w:rsidRDefault="005F726F" w:rsidP="00B01B16">
      <w:r>
        <w:separator/>
      </w:r>
    </w:p>
  </w:endnote>
  <w:endnote w:type="continuationSeparator" w:id="0">
    <w:p w14:paraId="3293A662" w14:textId="77777777" w:rsidR="005F726F" w:rsidRDefault="005F726F"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E7BC5" w14:textId="77777777" w:rsidR="005F726F" w:rsidRDefault="005F726F" w:rsidP="00B01B16">
      <w:r>
        <w:separator/>
      </w:r>
    </w:p>
  </w:footnote>
  <w:footnote w:type="continuationSeparator" w:id="0">
    <w:p w14:paraId="78E6B14B" w14:textId="77777777" w:rsidR="005F726F" w:rsidRDefault="005F726F" w:rsidP="00B01B16">
      <w:r>
        <w:continuationSeparator/>
      </w:r>
    </w:p>
  </w:footnote>
  <w:footnote w:id="1">
    <w:p w14:paraId="4C4A6727" w14:textId="3471EAB5" w:rsidR="009E5557" w:rsidRPr="00737768" w:rsidRDefault="009E5557" w:rsidP="009E5557">
      <w:pPr>
        <w:pStyle w:val="FootnoteText"/>
        <w:rPr>
          <w:sz w:val="26"/>
          <w:szCs w:val="26"/>
        </w:rPr>
      </w:pPr>
      <w:r w:rsidRPr="00737768">
        <w:rPr>
          <w:rStyle w:val="FootnoteReference"/>
        </w:rPr>
        <w:footnoteRef/>
      </w:r>
      <w:r w:rsidRPr="00737768">
        <w:rPr>
          <w:sz w:val="26"/>
          <w:szCs w:val="26"/>
        </w:rPr>
        <w:t xml:space="preserve"> Public Law 75 688; 15 USC 717</w:t>
      </w:r>
      <w:r w:rsidR="007C729C">
        <w:rPr>
          <w:sz w:val="26"/>
          <w:szCs w:val="26"/>
        </w:rPr>
        <w:t>-</w:t>
      </w:r>
      <w:r w:rsidRPr="00737768">
        <w:rPr>
          <w:sz w:val="26"/>
          <w:szCs w:val="26"/>
        </w:rPr>
        <w:t>717w</w:t>
      </w:r>
    </w:p>
  </w:footnote>
  <w:footnote w:id="2">
    <w:p w14:paraId="5D642433" w14:textId="74678C4D" w:rsidR="009E5557" w:rsidRPr="00737768" w:rsidRDefault="009E5557" w:rsidP="009E5557">
      <w:pPr>
        <w:pStyle w:val="FootnoteText"/>
        <w:rPr>
          <w:sz w:val="26"/>
          <w:szCs w:val="26"/>
        </w:rPr>
      </w:pPr>
      <w:r w:rsidRPr="00737768">
        <w:rPr>
          <w:rStyle w:val="FootnoteReference"/>
        </w:rPr>
        <w:footnoteRef/>
      </w:r>
      <w:r>
        <w:rPr>
          <w:sz w:val="26"/>
          <w:szCs w:val="26"/>
        </w:rPr>
        <w:t xml:space="preserve"> </w:t>
      </w:r>
      <w:r w:rsidRPr="00737768">
        <w:rPr>
          <w:sz w:val="26"/>
          <w:szCs w:val="26"/>
        </w:rPr>
        <w:t>15 USC 717c</w:t>
      </w:r>
    </w:p>
  </w:footnote>
  <w:footnote w:id="3">
    <w:p w14:paraId="65CD9AFB" w14:textId="437E5671" w:rsidR="009E5557" w:rsidRPr="00737768" w:rsidRDefault="009E5557" w:rsidP="009E5557">
      <w:pPr>
        <w:pStyle w:val="FootnoteText"/>
        <w:rPr>
          <w:sz w:val="26"/>
          <w:szCs w:val="26"/>
        </w:rPr>
      </w:pPr>
      <w:r w:rsidRPr="00737768">
        <w:rPr>
          <w:rStyle w:val="FootnoteReference"/>
        </w:rPr>
        <w:footnoteRef/>
      </w:r>
      <w:r w:rsidRPr="00737768">
        <w:rPr>
          <w:sz w:val="26"/>
          <w:szCs w:val="26"/>
        </w:rPr>
        <w:t xml:space="preserve"> 15 USC 717f</w:t>
      </w:r>
    </w:p>
  </w:footnote>
  <w:footnote w:id="4">
    <w:p w14:paraId="1BBF82F3" w14:textId="77777777" w:rsidR="009E5557" w:rsidRPr="00737768" w:rsidRDefault="009E5557" w:rsidP="009E5557">
      <w:pPr>
        <w:pStyle w:val="FootnoteText"/>
        <w:rPr>
          <w:sz w:val="26"/>
          <w:szCs w:val="26"/>
        </w:rPr>
      </w:pPr>
      <w:r w:rsidRPr="00737768">
        <w:rPr>
          <w:rStyle w:val="FootnoteReference"/>
        </w:rPr>
        <w:footnoteRef/>
      </w:r>
      <w:r w:rsidRPr="00737768">
        <w:rPr>
          <w:sz w:val="26"/>
          <w:szCs w:val="26"/>
        </w:rPr>
        <w:t xml:space="preserve"> 18 CFR 260.9(d)</w:t>
      </w:r>
    </w:p>
  </w:footnote>
  <w:footnote w:id="5">
    <w:p w14:paraId="43FA1B13" w14:textId="77777777" w:rsidR="00AA4050" w:rsidRPr="004759C4" w:rsidRDefault="00AA4050" w:rsidP="00AA4050">
      <w:pPr>
        <w:pStyle w:val="FootnoteText"/>
        <w:rPr>
          <w:sz w:val="26"/>
          <w:szCs w:val="26"/>
        </w:rPr>
      </w:pPr>
      <w:r w:rsidRPr="00D9761F">
        <w:rPr>
          <w:rStyle w:val="FootnoteReference"/>
        </w:rPr>
        <w:footnoteRef/>
      </w:r>
      <w:r w:rsidRPr="0015578A">
        <w:rPr>
          <w:sz w:val="26"/>
          <w:szCs w:val="26"/>
        </w:rPr>
        <w:t xml:space="preserve"> </w:t>
      </w:r>
      <w:r w:rsidRPr="004759C4">
        <w:rPr>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6">
    <w:p w14:paraId="0B46061A" w14:textId="031AB046" w:rsidR="006A34AE" w:rsidRDefault="006A34AE">
      <w:pPr>
        <w:pStyle w:val="FootnoteText"/>
      </w:pPr>
      <w:r w:rsidRPr="00CE3598">
        <w:rPr>
          <w:rStyle w:val="FootnoteReference"/>
        </w:rPr>
        <w:footnoteRef/>
      </w:r>
      <w:r w:rsidRPr="00A759B3">
        <w:rPr>
          <w:b/>
        </w:rPr>
        <w:t xml:space="preserve"> </w:t>
      </w:r>
      <w:r w:rsidRPr="004759C4">
        <w:rPr>
          <w:sz w:val="26"/>
          <w:szCs w:val="26"/>
        </w:rPr>
        <w:t xml:space="preserve">Costs (for wages and benefits) are based on wage figures from the Bureau of Labor Statistics (BLS) for May 2016 (at https://www.bls.gov/oes/current/naics2_22.htm) and benefits information (for December 2017, issued March 20, 2018, at https://www.bls.gov/news.release/ecec.nr0.htm).  </w:t>
      </w:r>
      <w:r w:rsidR="00695E65" w:rsidRPr="00695E65">
        <w:rPr>
          <w:sz w:val="26"/>
          <w:szCs w:val="26"/>
        </w:rPr>
        <w:t>Commission staff estimates that 20% of the work is performed by a manager, and 80% is performed by legal staff members.  The hourly costs for wages plus benefits are:  $94.28 for management services (code 11-0000), and $143.68 for legal services (code 23-0000).  Therefore, the weighted hourly cost (for wages plus benefits) is $133.80 [or (0.80 * $143.68) + (0.20 * $94.28)].</w:t>
      </w:r>
    </w:p>
  </w:footnote>
  <w:footnote w:id="7">
    <w:p w14:paraId="11DB8B62" w14:textId="264737AC" w:rsidR="003060F0" w:rsidRPr="0015578A" w:rsidRDefault="003060F0">
      <w:pPr>
        <w:pStyle w:val="FootnoteText"/>
        <w:rPr>
          <w:sz w:val="26"/>
          <w:szCs w:val="26"/>
        </w:rPr>
      </w:pPr>
      <w:r w:rsidRPr="003060F0">
        <w:rPr>
          <w:rStyle w:val="FootnoteReference"/>
        </w:rPr>
        <w:footnoteRef/>
      </w:r>
      <w:r w:rsidRPr="0015578A">
        <w:rPr>
          <w:sz w:val="26"/>
          <w:szCs w:val="26"/>
        </w:rPr>
        <w:t xml:space="preserve"> In the 60-day Notice </w:t>
      </w:r>
      <w:r w:rsidR="00585F73">
        <w:rPr>
          <w:sz w:val="26"/>
          <w:szCs w:val="26"/>
        </w:rPr>
        <w:t>publish</w:t>
      </w:r>
      <w:r w:rsidRPr="0015578A">
        <w:rPr>
          <w:sz w:val="26"/>
          <w:szCs w:val="26"/>
        </w:rPr>
        <w:t xml:space="preserve">ed July </w:t>
      </w:r>
      <w:r w:rsidR="00585F73">
        <w:rPr>
          <w:sz w:val="26"/>
          <w:szCs w:val="26"/>
        </w:rPr>
        <w:t>23</w:t>
      </w:r>
      <w:r w:rsidRPr="0015578A">
        <w:rPr>
          <w:sz w:val="26"/>
          <w:szCs w:val="26"/>
        </w:rPr>
        <w:t>,</w:t>
      </w:r>
      <w:r>
        <w:rPr>
          <w:sz w:val="26"/>
          <w:szCs w:val="26"/>
        </w:rPr>
        <w:t xml:space="preserve"> </w:t>
      </w:r>
      <w:r w:rsidRPr="0015578A">
        <w:rPr>
          <w:sz w:val="26"/>
          <w:szCs w:val="26"/>
        </w:rPr>
        <w:t xml:space="preserve">2018, the figures in this column </w:t>
      </w:r>
      <w:r w:rsidR="00585F73">
        <w:rPr>
          <w:sz w:val="26"/>
          <w:szCs w:val="26"/>
        </w:rPr>
        <w:t>for “</w:t>
      </w:r>
      <w:r w:rsidR="00585F73" w:rsidRPr="00585F73">
        <w:rPr>
          <w:sz w:val="26"/>
          <w:szCs w:val="26"/>
        </w:rPr>
        <w:t>Submittal of Original Email/Fax</w:t>
      </w:r>
      <w:r w:rsidR="00585F73">
        <w:rPr>
          <w:sz w:val="26"/>
          <w:szCs w:val="26"/>
        </w:rPr>
        <w:t xml:space="preserve">” and “Submittal of Damage Report” </w:t>
      </w:r>
      <w:r w:rsidRPr="0015578A">
        <w:rPr>
          <w:sz w:val="26"/>
          <w:szCs w:val="26"/>
        </w:rPr>
        <w:t xml:space="preserve">inadvertently showed </w:t>
      </w:r>
      <w:r w:rsidR="00585F73">
        <w:rPr>
          <w:sz w:val="26"/>
          <w:szCs w:val="26"/>
        </w:rPr>
        <w:t>“</w:t>
      </w:r>
      <w:r w:rsidRPr="0015578A">
        <w:rPr>
          <w:sz w:val="26"/>
          <w:szCs w:val="26"/>
        </w:rPr>
        <w:t>cost per response</w:t>
      </w:r>
      <w:r w:rsidR="00585F73">
        <w:rPr>
          <w:sz w:val="26"/>
          <w:szCs w:val="26"/>
        </w:rPr>
        <w:t>”</w:t>
      </w:r>
      <w:r w:rsidRPr="0015578A">
        <w:rPr>
          <w:sz w:val="26"/>
          <w:szCs w:val="26"/>
        </w:rPr>
        <w:t xml:space="preserve"> rather than </w:t>
      </w:r>
      <w:r w:rsidR="00585F73">
        <w:rPr>
          <w:sz w:val="26"/>
          <w:szCs w:val="26"/>
        </w:rPr>
        <w:t>“</w:t>
      </w:r>
      <w:r w:rsidRPr="0015578A">
        <w:rPr>
          <w:sz w:val="26"/>
          <w:szCs w:val="26"/>
        </w:rPr>
        <w:t>cost per respondent</w:t>
      </w:r>
      <w:r w:rsidR="00585F73">
        <w:rPr>
          <w:sz w:val="26"/>
          <w:szCs w:val="26"/>
        </w:rPr>
        <w:t>.”  Those figures are corrected in this notice to show “cost per respondent.”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24F92F54" w:rsidR="00810D18" w:rsidRDefault="00810D18" w:rsidP="00810D18">
    <w:pPr>
      <w:pStyle w:val="Header"/>
    </w:pPr>
    <w:r>
      <w:t xml:space="preserve">Docket No. </w:t>
    </w:r>
    <w:r w:rsidR="00BB7D82">
      <w:t>IC18-17-000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7452E">
          <w:rPr>
            <w:noProof/>
          </w:rPr>
          <w:t>2</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122E1"/>
    <w:rsid w:val="000241AE"/>
    <w:rsid w:val="000459B6"/>
    <w:rsid w:val="00056C5D"/>
    <w:rsid w:val="00062427"/>
    <w:rsid w:val="000A0250"/>
    <w:rsid w:val="000A7E68"/>
    <w:rsid w:val="000E2568"/>
    <w:rsid w:val="0015578A"/>
    <w:rsid w:val="00156BBB"/>
    <w:rsid w:val="001600DF"/>
    <w:rsid w:val="00171725"/>
    <w:rsid w:val="00181BF7"/>
    <w:rsid w:val="001A6AD6"/>
    <w:rsid w:val="001B78B8"/>
    <w:rsid w:val="001E6510"/>
    <w:rsid w:val="00224BF2"/>
    <w:rsid w:val="0027452E"/>
    <w:rsid w:val="00293D56"/>
    <w:rsid w:val="002B7AA8"/>
    <w:rsid w:val="002F697A"/>
    <w:rsid w:val="003060F0"/>
    <w:rsid w:val="00311D90"/>
    <w:rsid w:val="003149BC"/>
    <w:rsid w:val="0034195C"/>
    <w:rsid w:val="00361371"/>
    <w:rsid w:val="00363638"/>
    <w:rsid w:val="003673EC"/>
    <w:rsid w:val="00376525"/>
    <w:rsid w:val="003960E0"/>
    <w:rsid w:val="003A1A72"/>
    <w:rsid w:val="003C3E7A"/>
    <w:rsid w:val="003E44AD"/>
    <w:rsid w:val="00443282"/>
    <w:rsid w:val="0045734B"/>
    <w:rsid w:val="004759C4"/>
    <w:rsid w:val="00485A51"/>
    <w:rsid w:val="0049480F"/>
    <w:rsid w:val="004C70C8"/>
    <w:rsid w:val="004C77EF"/>
    <w:rsid w:val="004D27A2"/>
    <w:rsid w:val="004F26DA"/>
    <w:rsid w:val="00516493"/>
    <w:rsid w:val="0054746C"/>
    <w:rsid w:val="00585F73"/>
    <w:rsid w:val="005A0148"/>
    <w:rsid w:val="005A2F24"/>
    <w:rsid w:val="005B4DA4"/>
    <w:rsid w:val="005C6D4E"/>
    <w:rsid w:val="005D16A1"/>
    <w:rsid w:val="005E19EE"/>
    <w:rsid w:val="005F3DAA"/>
    <w:rsid w:val="005F726F"/>
    <w:rsid w:val="006128A5"/>
    <w:rsid w:val="006144F3"/>
    <w:rsid w:val="00634374"/>
    <w:rsid w:val="00637F43"/>
    <w:rsid w:val="00642602"/>
    <w:rsid w:val="00644A1B"/>
    <w:rsid w:val="00650FA1"/>
    <w:rsid w:val="006536D8"/>
    <w:rsid w:val="00654BA4"/>
    <w:rsid w:val="00680D78"/>
    <w:rsid w:val="00695E65"/>
    <w:rsid w:val="006963BC"/>
    <w:rsid w:val="006A34AE"/>
    <w:rsid w:val="006A423E"/>
    <w:rsid w:val="006E75AA"/>
    <w:rsid w:val="006E7CBB"/>
    <w:rsid w:val="00727C5E"/>
    <w:rsid w:val="0075009F"/>
    <w:rsid w:val="00782ACA"/>
    <w:rsid w:val="007C1916"/>
    <w:rsid w:val="007C6AC2"/>
    <w:rsid w:val="007C729C"/>
    <w:rsid w:val="00803CA2"/>
    <w:rsid w:val="00807CAC"/>
    <w:rsid w:val="00810D18"/>
    <w:rsid w:val="008115BF"/>
    <w:rsid w:val="00812B30"/>
    <w:rsid w:val="00824D81"/>
    <w:rsid w:val="00836DF9"/>
    <w:rsid w:val="00853ABC"/>
    <w:rsid w:val="00881405"/>
    <w:rsid w:val="0089069F"/>
    <w:rsid w:val="00895DA2"/>
    <w:rsid w:val="00897359"/>
    <w:rsid w:val="008A020E"/>
    <w:rsid w:val="008B6E06"/>
    <w:rsid w:val="008C572B"/>
    <w:rsid w:val="008D25B7"/>
    <w:rsid w:val="008D300A"/>
    <w:rsid w:val="008D5479"/>
    <w:rsid w:val="008E0DF5"/>
    <w:rsid w:val="008E3273"/>
    <w:rsid w:val="009179E9"/>
    <w:rsid w:val="00937284"/>
    <w:rsid w:val="00940C0F"/>
    <w:rsid w:val="00954CCB"/>
    <w:rsid w:val="009744C8"/>
    <w:rsid w:val="00981886"/>
    <w:rsid w:val="00990FEC"/>
    <w:rsid w:val="009A1B08"/>
    <w:rsid w:val="009A6E91"/>
    <w:rsid w:val="009B4450"/>
    <w:rsid w:val="009C25C4"/>
    <w:rsid w:val="009C4A13"/>
    <w:rsid w:val="009E5557"/>
    <w:rsid w:val="009E66F8"/>
    <w:rsid w:val="009F7DE3"/>
    <w:rsid w:val="00A038F9"/>
    <w:rsid w:val="00A2604E"/>
    <w:rsid w:val="00A43A4A"/>
    <w:rsid w:val="00A507F0"/>
    <w:rsid w:val="00A664DF"/>
    <w:rsid w:val="00A713D0"/>
    <w:rsid w:val="00A72814"/>
    <w:rsid w:val="00A759B3"/>
    <w:rsid w:val="00A82A29"/>
    <w:rsid w:val="00A8690F"/>
    <w:rsid w:val="00AA4050"/>
    <w:rsid w:val="00AA516A"/>
    <w:rsid w:val="00AA5B0E"/>
    <w:rsid w:val="00AC750B"/>
    <w:rsid w:val="00AC77B8"/>
    <w:rsid w:val="00AD4128"/>
    <w:rsid w:val="00AE1F12"/>
    <w:rsid w:val="00AE3A78"/>
    <w:rsid w:val="00AE4155"/>
    <w:rsid w:val="00AE4B7C"/>
    <w:rsid w:val="00AF349B"/>
    <w:rsid w:val="00B01B16"/>
    <w:rsid w:val="00B22DCB"/>
    <w:rsid w:val="00B447D7"/>
    <w:rsid w:val="00B46F03"/>
    <w:rsid w:val="00B5066A"/>
    <w:rsid w:val="00B56882"/>
    <w:rsid w:val="00B65A09"/>
    <w:rsid w:val="00B76A1F"/>
    <w:rsid w:val="00B82F8C"/>
    <w:rsid w:val="00BA0FBC"/>
    <w:rsid w:val="00BA5479"/>
    <w:rsid w:val="00BB7D82"/>
    <w:rsid w:val="00BC200B"/>
    <w:rsid w:val="00BD74AE"/>
    <w:rsid w:val="00BE3FE7"/>
    <w:rsid w:val="00BF29D8"/>
    <w:rsid w:val="00BF2D74"/>
    <w:rsid w:val="00BF38BC"/>
    <w:rsid w:val="00BF4CC8"/>
    <w:rsid w:val="00C1124F"/>
    <w:rsid w:val="00C37BFF"/>
    <w:rsid w:val="00C51458"/>
    <w:rsid w:val="00C53580"/>
    <w:rsid w:val="00C55838"/>
    <w:rsid w:val="00C77EF7"/>
    <w:rsid w:val="00C820F1"/>
    <w:rsid w:val="00C91512"/>
    <w:rsid w:val="00CA6636"/>
    <w:rsid w:val="00CA6D76"/>
    <w:rsid w:val="00CD57EB"/>
    <w:rsid w:val="00CD5C97"/>
    <w:rsid w:val="00CD786C"/>
    <w:rsid w:val="00CE3598"/>
    <w:rsid w:val="00CF4753"/>
    <w:rsid w:val="00CF71E0"/>
    <w:rsid w:val="00D0083B"/>
    <w:rsid w:val="00D44183"/>
    <w:rsid w:val="00D9761F"/>
    <w:rsid w:val="00DA529F"/>
    <w:rsid w:val="00DC5017"/>
    <w:rsid w:val="00DD7F1B"/>
    <w:rsid w:val="00E024B6"/>
    <w:rsid w:val="00E13A02"/>
    <w:rsid w:val="00E34382"/>
    <w:rsid w:val="00E41DB9"/>
    <w:rsid w:val="00E762BB"/>
    <w:rsid w:val="00E8661B"/>
    <w:rsid w:val="00EA689F"/>
    <w:rsid w:val="00EF2866"/>
    <w:rsid w:val="00EF33BE"/>
    <w:rsid w:val="00F0383C"/>
    <w:rsid w:val="00F11631"/>
    <w:rsid w:val="00F24AB0"/>
    <w:rsid w:val="00F309CB"/>
    <w:rsid w:val="00F44A0E"/>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yperlink" Target="mailto:pipeline.outage@ferc.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576</_x0031__x002e__x0020_Collection_x0020_Number>
    <Date xmlns="d6eefc7d-9817-4fa6-84d5-3bc009be21b8">2018-10-02T00:00:00-04:00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IC18-17</_x0031__x002e__x0020_Docket_x0020_Number>
    <_x0033__x002e__x0020_Collection_x0020_Number xmlns="d6eefc7d-9817-4fa6-84d5-3bc009be21b8" xsi:nil="true"/>
  </documentManagement>
</p:properti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dcmitype/"/>
    <ds:schemaRef ds:uri="http://schemas.openxmlformats.org/package/2006/metadata/core-properties"/>
    <ds:schemaRef ds:uri="http://purl.org/dc/terms/"/>
    <ds:schemaRef ds:uri="http://schemas.microsoft.com/office/2006/documentManagement/types"/>
    <ds:schemaRef ds:uri="http://www.w3.org/XML/1998/namespace"/>
    <ds:schemaRef ds:uri="d6eefc7d-9817-4fa6-84d5-3bc009be21b8"/>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26CEB6CF-6B78-481C-87A4-95928FD26266}">
  <ds:schemaRefs>
    <ds:schemaRef ds:uri="http://schemas.microsoft.com/office/2006/metadata/customXsn"/>
  </ds:schemaRefs>
</ds:datastoreItem>
</file>

<file path=customXml/itemProps5.xml><?xml version="1.0" encoding="utf-8"?>
<ds:datastoreItem xmlns:ds="http://schemas.openxmlformats.org/officeDocument/2006/customXml" ds:itemID="{D12E48DC-2306-405E-8D9F-630FCAAFE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BBD9CA-88DC-4B69-8797-CD13CD96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7646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2018-10-02T19:06:00Z</dcterms:created>
  <dcterms:modified xsi:type="dcterms:W3CDTF">2018-10-02T19:06:00Z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