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A0" w:rsidRPr="007919E5" w:rsidRDefault="000530F2" w:rsidP="00BD53A4">
      <w:pPr>
        <w:spacing w:before="40"/>
        <w:jc w:val="center"/>
        <w:rPr>
          <w:b/>
          <w:lang w:bidi="en-US"/>
        </w:rPr>
      </w:pPr>
      <w:bookmarkStart w:id="0" w:name="_GoBack"/>
      <w:bookmarkEnd w:id="0"/>
      <w:r w:rsidRPr="007919E5">
        <w:rPr>
          <w:b/>
          <w:lang w:bidi="en-US"/>
        </w:rPr>
        <w:t xml:space="preserve">Supporting Statement for an Information Collection Request </w:t>
      </w:r>
      <w:r w:rsidR="002B34A0" w:rsidRPr="007919E5">
        <w:rPr>
          <w:b/>
          <w:lang w:bidi="en-US"/>
        </w:rPr>
        <w:t>(ICR)</w:t>
      </w:r>
    </w:p>
    <w:p w:rsidR="002B34A0" w:rsidRPr="007919E5" w:rsidRDefault="000530F2" w:rsidP="002B34A0">
      <w:pPr>
        <w:jc w:val="center"/>
        <w:rPr>
          <w:b/>
          <w:lang w:bidi="en-US"/>
        </w:rPr>
      </w:pPr>
      <w:r w:rsidRPr="007919E5">
        <w:rPr>
          <w:b/>
          <w:lang w:bidi="en-US"/>
        </w:rPr>
        <w:t xml:space="preserve">Under the Paperwork Reduction Act </w:t>
      </w:r>
      <w:r w:rsidR="002B34A0" w:rsidRPr="007919E5">
        <w:rPr>
          <w:b/>
          <w:lang w:bidi="en-US"/>
        </w:rPr>
        <w:t>(PRA)</w:t>
      </w:r>
    </w:p>
    <w:p w:rsidR="00BD53A4" w:rsidRPr="007919E5" w:rsidRDefault="002B34A0" w:rsidP="00BD53A4">
      <w:pPr>
        <w:rPr>
          <w:rFonts w:cs="Arial"/>
          <w:sz w:val="20"/>
          <w:szCs w:val="20"/>
        </w:rPr>
      </w:pPr>
      <w:r w:rsidRPr="007919E5">
        <w:rPr>
          <w:lang w:bidi="en-US"/>
        </w:rPr>
        <w:tab/>
      </w:r>
    </w:p>
    <w:p w:rsidR="002B34A0" w:rsidRPr="007919E5" w:rsidRDefault="005B4F77" w:rsidP="002C395B">
      <w:pPr>
        <w:pStyle w:val="Heading1"/>
        <w:numPr>
          <w:ilvl w:val="0"/>
          <w:numId w:val="3"/>
        </w:numPr>
        <w:rPr>
          <w:lang w:bidi="en-US"/>
        </w:rPr>
      </w:pPr>
      <w:bookmarkStart w:id="1" w:name="_Toc447203161"/>
      <w:r w:rsidRPr="007919E5">
        <w:rPr>
          <w:lang w:bidi="en-US"/>
        </w:rPr>
        <w:t>EXECUTIVE SUMMARY</w:t>
      </w:r>
      <w:bookmarkEnd w:id="1"/>
    </w:p>
    <w:p w:rsidR="002B34A0" w:rsidRPr="007919E5" w:rsidRDefault="005B4F77" w:rsidP="002C395B">
      <w:pPr>
        <w:pStyle w:val="Heading2"/>
        <w:numPr>
          <w:ilvl w:val="1"/>
          <w:numId w:val="3"/>
        </w:numPr>
        <w:tabs>
          <w:tab w:val="left" w:pos="1080"/>
        </w:tabs>
        <w:rPr>
          <w:lang w:bidi="en-US"/>
        </w:rPr>
      </w:pPr>
      <w:bookmarkStart w:id="2" w:name="_Toc447203162"/>
      <w:r w:rsidRPr="007919E5">
        <w:rPr>
          <w:lang w:bidi="en-US"/>
        </w:rPr>
        <w:t xml:space="preserve">Identification of the </w:t>
      </w:r>
      <w:r w:rsidR="002B34A0" w:rsidRPr="007919E5">
        <w:rPr>
          <w:lang w:bidi="en-US"/>
        </w:rPr>
        <w:t>Information Collection – Title and Numbers</w:t>
      </w:r>
      <w:bookmarkEnd w:id="2"/>
      <w:r w:rsidR="002B34A0" w:rsidRPr="007919E5">
        <w:rPr>
          <w:lang w:bidi="en-US"/>
        </w:rPr>
        <w:t xml:space="preserve"> </w:t>
      </w:r>
    </w:p>
    <w:p w:rsidR="002B34A0" w:rsidRPr="008469F4" w:rsidRDefault="00C54579" w:rsidP="00D23E6C">
      <w:pPr>
        <w:tabs>
          <w:tab w:val="left" w:pos="1440"/>
        </w:tabs>
        <w:spacing w:after="120"/>
        <w:ind w:left="1440" w:hanging="720"/>
        <w:rPr>
          <w:lang w:bidi="en-US"/>
        </w:rPr>
      </w:pPr>
      <w:r w:rsidRPr="007919E5">
        <w:rPr>
          <w:b/>
          <w:lang w:bidi="en-US"/>
        </w:rPr>
        <w:t>Title</w:t>
      </w:r>
      <w:r w:rsidRPr="008469F4">
        <w:rPr>
          <w:b/>
          <w:lang w:bidi="en-US"/>
        </w:rPr>
        <w:t xml:space="preserve">: </w:t>
      </w:r>
      <w:r w:rsidR="00D23E6C">
        <w:rPr>
          <w:b/>
          <w:lang w:bidi="en-US"/>
        </w:rPr>
        <w:tab/>
      </w:r>
      <w:r w:rsidR="00B1587B">
        <w:rPr>
          <w:lang w:bidi="en-US"/>
        </w:rPr>
        <w:t>User Fees for the Administration of the Toxic Substances Control Act</w:t>
      </w:r>
      <w:r w:rsidR="00D23E6C">
        <w:rPr>
          <w:lang w:bidi="en-US"/>
        </w:rPr>
        <w:t xml:space="preserve"> (TSCA) – Proposed Rule</w:t>
      </w:r>
    </w:p>
    <w:p w:rsidR="002A0BEE" w:rsidRPr="007919E5" w:rsidRDefault="007E3DA7" w:rsidP="007E3DA7">
      <w:pPr>
        <w:spacing w:after="120"/>
        <w:ind w:firstLine="720"/>
        <w:rPr>
          <w:lang w:bidi="en-US"/>
        </w:rPr>
      </w:pPr>
      <w:r w:rsidRPr="007919E5">
        <w:rPr>
          <w:b/>
          <w:lang w:bidi="en-US"/>
        </w:rPr>
        <w:t xml:space="preserve">ICR </w:t>
      </w:r>
      <w:r w:rsidR="00C54579" w:rsidRPr="007919E5">
        <w:rPr>
          <w:b/>
          <w:lang w:bidi="en-US"/>
        </w:rPr>
        <w:t>Number</w:t>
      </w:r>
      <w:r w:rsidRPr="007919E5">
        <w:rPr>
          <w:b/>
          <w:lang w:bidi="en-US"/>
        </w:rPr>
        <w:t>s</w:t>
      </w:r>
      <w:r w:rsidR="00C54579" w:rsidRPr="007919E5">
        <w:rPr>
          <w:b/>
          <w:lang w:bidi="en-US"/>
        </w:rPr>
        <w:t>:</w:t>
      </w:r>
      <w:r w:rsidR="00C54579" w:rsidRPr="007919E5">
        <w:rPr>
          <w:lang w:bidi="en-US"/>
        </w:rPr>
        <w:t xml:space="preserve"> </w:t>
      </w:r>
      <w:r w:rsidR="002B34A0" w:rsidRPr="007919E5">
        <w:rPr>
          <w:lang w:bidi="en-US"/>
        </w:rPr>
        <w:t xml:space="preserve">EPA ICR No.: </w:t>
      </w:r>
      <w:r w:rsidR="00580718" w:rsidRPr="00580718">
        <w:rPr>
          <w:lang w:bidi="en-US"/>
        </w:rPr>
        <w:t>2569.01</w:t>
      </w:r>
      <w:r w:rsidR="000A522E" w:rsidRPr="007919E5">
        <w:rPr>
          <w:lang w:bidi="en-US"/>
        </w:rPr>
        <w:t xml:space="preserve">; OMB Control No.: </w:t>
      </w:r>
      <w:r w:rsidR="003E563D" w:rsidRPr="003E563D">
        <w:rPr>
          <w:lang w:bidi="en-US"/>
        </w:rPr>
        <w:t>2070-NEW.</w:t>
      </w:r>
    </w:p>
    <w:p w:rsidR="00735A14" w:rsidRPr="007919E5" w:rsidRDefault="004124F7" w:rsidP="00FE2B03">
      <w:pPr>
        <w:pStyle w:val="NoSpacing"/>
        <w:spacing w:after="120"/>
        <w:ind w:left="720"/>
        <w:rPr>
          <w:lang w:bidi="en-US"/>
        </w:rPr>
      </w:pPr>
      <w:r w:rsidRPr="007919E5">
        <w:rPr>
          <w:b/>
          <w:lang w:bidi="en-US"/>
        </w:rPr>
        <w:t xml:space="preserve">EPA </w:t>
      </w:r>
      <w:r w:rsidR="007E3DA7" w:rsidRPr="007919E5">
        <w:rPr>
          <w:b/>
          <w:lang w:bidi="en-US"/>
        </w:rPr>
        <w:t>Form N</w:t>
      </w:r>
      <w:r w:rsidR="00A84026" w:rsidRPr="007919E5">
        <w:rPr>
          <w:b/>
          <w:lang w:bidi="en-US"/>
        </w:rPr>
        <w:t>umber</w:t>
      </w:r>
      <w:r w:rsidR="007E3DA7" w:rsidRPr="007919E5">
        <w:rPr>
          <w:b/>
          <w:lang w:bidi="en-US"/>
        </w:rPr>
        <w:t>s:</w:t>
      </w:r>
      <w:r w:rsidR="007E3DA7" w:rsidRPr="007919E5">
        <w:rPr>
          <w:lang w:bidi="en-US"/>
        </w:rPr>
        <w:t xml:space="preserve"> </w:t>
      </w:r>
      <w:r w:rsidR="008E6C60" w:rsidRPr="007919E5">
        <w:t xml:space="preserve"> </w:t>
      </w:r>
      <w:r w:rsidR="00FE2B03">
        <w:rPr>
          <w:lang w:bidi="en-US"/>
        </w:rPr>
        <w:t>EPA Form No. TBD:</w:t>
      </w:r>
      <w:r w:rsidR="00FE2B03" w:rsidRPr="00FE2B03">
        <w:t xml:space="preserve"> </w:t>
      </w:r>
      <w:r w:rsidR="00FE2B03" w:rsidRPr="00FE2B03">
        <w:rPr>
          <w:lang w:bidi="en-US"/>
        </w:rPr>
        <w:t>Certification of Attempt to Enter into an Agreement with Manufacturers/Processors to Share in TSCA Fees</w:t>
      </w:r>
      <w:r w:rsidR="009A6FD7">
        <w:rPr>
          <w:lang w:bidi="en-US"/>
        </w:rPr>
        <w:t>.</w:t>
      </w:r>
      <w:r w:rsidR="00FA3C69" w:rsidRPr="007919E5">
        <w:rPr>
          <w:lang w:bidi="en-US"/>
        </w:rPr>
        <w:t xml:space="preserve">  </w:t>
      </w:r>
    </w:p>
    <w:p w:rsidR="005B4F77" w:rsidRPr="007919E5" w:rsidRDefault="005B4F77" w:rsidP="005B4F77">
      <w:pPr>
        <w:pStyle w:val="NoSpacing"/>
        <w:rPr>
          <w:rFonts w:cs="Arial"/>
          <w:bCs/>
          <w:color w:val="008000"/>
        </w:rPr>
      </w:pPr>
      <w:r w:rsidRPr="007919E5">
        <w:rPr>
          <w:lang w:bidi="en-US"/>
        </w:rPr>
        <w:tab/>
      </w:r>
      <w:r w:rsidRPr="007919E5">
        <w:rPr>
          <w:b/>
          <w:lang w:bidi="en-US"/>
        </w:rPr>
        <w:t>Docket ID Number:</w:t>
      </w:r>
      <w:r w:rsidRPr="007919E5">
        <w:rPr>
          <w:lang w:bidi="en-US"/>
        </w:rPr>
        <w:t xml:space="preserve"> EPA-HQ-</w:t>
      </w:r>
      <w:r w:rsidRPr="007919E5">
        <w:rPr>
          <w:bCs/>
        </w:rPr>
        <w:t>OPPT</w:t>
      </w:r>
      <w:r w:rsidR="008469F4" w:rsidRPr="008469F4">
        <w:rPr>
          <w:bCs/>
        </w:rPr>
        <w:t>-2016-</w:t>
      </w:r>
      <w:r w:rsidR="00D048FA">
        <w:rPr>
          <w:bCs/>
        </w:rPr>
        <w:t>0401</w:t>
      </w:r>
      <w:r w:rsidR="008469F4">
        <w:rPr>
          <w:bCs/>
        </w:rPr>
        <w:t>.</w:t>
      </w:r>
    </w:p>
    <w:p w:rsidR="005B4F77" w:rsidRPr="007919E5" w:rsidRDefault="005B4F77" w:rsidP="005B4F77">
      <w:pPr>
        <w:pStyle w:val="NoSpacing"/>
        <w:rPr>
          <w:lang w:bidi="en-US"/>
        </w:rPr>
      </w:pPr>
    </w:p>
    <w:p w:rsidR="0098584B" w:rsidRPr="007919E5" w:rsidRDefault="005B4F77" w:rsidP="0098584B">
      <w:pPr>
        <w:pStyle w:val="Heading2"/>
        <w:numPr>
          <w:ilvl w:val="1"/>
          <w:numId w:val="3"/>
        </w:numPr>
        <w:tabs>
          <w:tab w:val="left" w:pos="1080"/>
        </w:tabs>
      </w:pPr>
      <w:bookmarkStart w:id="3" w:name="_Toc447203163"/>
      <w:r w:rsidRPr="007919E5">
        <w:t>Docket Information</w:t>
      </w:r>
      <w:bookmarkEnd w:id="3"/>
    </w:p>
    <w:p w:rsidR="002361E1" w:rsidRDefault="00003EFE" w:rsidP="008C3615">
      <w:r w:rsidRPr="007919E5">
        <w:t>Th</w:t>
      </w:r>
      <w:r w:rsidR="00D25245">
        <w:t>is</w:t>
      </w:r>
      <w:r w:rsidRPr="007919E5">
        <w:t xml:space="preserve"> information collection request (ICR)</w:t>
      </w:r>
      <w:r w:rsidR="00F847F6">
        <w:t>,</w:t>
      </w:r>
      <w:r w:rsidRPr="007919E5">
        <w:t xml:space="preserve"> </w:t>
      </w:r>
      <w:r w:rsidR="00D25245">
        <w:t xml:space="preserve">which </w:t>
      </w:r>
      <w:r w:rsidRPr="007919E5">
        <w:t xml:space="preserve">explains the information collection activities </w:t>
      </w:r>
      <w:r w:rsidR="00136A83">
        <w:t xml:space="preserve">of a proposed rule </w:t>
      </w:r>
      <w:r w:rsidRPr="007919E5">
        <w:t>and related burden and cost estimates, as well as other supporting documents</w:t>
      </w:r>
      <w:r w:rsidR="00C76F17" w:rsidRPr="007919E5">
        <w:t xml:space="preserve"> related to the ICR</w:t>
      </w:r>
      <w:r w:rsidRPr="007919E5">
        <w:t xml:space="preserve"> are available in the docket </w:t>
      </w:r>
      <w:r w:rsidR="00C76F17" w:rsidRPr="007919E5">
        <w:t xml:space="preserve">established </w:t>
      </w:r>
      <w:r w:rsidRPr="007919E5">
        <w:t>for th</w:t>
      </w:r>
      <w:r w:rsidR="00136A83">
        <w:t>e</w:t>
      </w:r>
      <w:r w:rsidR="00706899">
        <w:t xml:space="preserve"> proposed</w:t>
      </w:r>
      <w:r w:rsidRPr="007919E5">
        <w:t xml:space="preserve"> </w:t>
      </w:r>
      <w:r w:rsidR="00136A83">
        <w:t>rulemaking</w:t>
      </w:r>
      <w:r w:rsidRPr="007919E5">
        <w:t xml:space="preserve">. The docket can be viewed online at http://www.regulations.gov or in person at the EPA Docket Center, West William Jefferson Clinton Bldg., Rm. 3334, 1301 Constitution Ave., NW., Washington, DC. The telephone number for the Docket Center is (202) 566-1744. For additional information about EPA’s public docket, visit </w:t>
      </w:r>
      <w:hyperlink r:id="rId9" w:history="1">
        <w:r w:rsidR="005B4F77" w:rsidRPr="007919E5">
          <w:rPr>
            <w:rStyle w:val="Hyperlink"/>
          </w:rPr>
          <w:t>http://www.epa.gov/dockets</w:t>
        </w:r>
      </w:hyperlink>
      <w:r w:rsidRPr="007919E5">
        <w:t>.</w:t>
      </w:r>
      <w:r w:rsidR="002361E1">
        <w:t xml:space="preserve"> </w:t>
      </w:r>
    </w:p>
    <w:p w:rsidR="005B4F77" w:rsidRPr="007919E5" w:rsidRDefault="005B4F77" w:rsidP="005B4F77">
      <w:pPr>
        <w:pStyle w:val="NoSpacing"/>
        <w:rPr>
          <w:lang w:bidi="en-US"/>
        </w:rPr>
      </w:pPr>
    </w:p>
    <w:p w:rsidR="005B4F77" w:rsidRPr="007919E5" w:rsidRDefault="005B4F77" w:rsidP="005B4F77">
      <w:pPr>
        <w:pStyle w:val="Heading2"/>
        <w:numPr>
          <w:ilvl w:val="1"/>
          <w:numId w:val="3"/>
        </w:numPr>
        <w:tabs>
          <w:tab w:val="left" w:pos="1080"/>
        </w:tabs>
      </w:pPr>
      <w:bookmarkStart w:id="4" w:name="_Toc447203164"/>
      <w:r w:rsidRPr="007919E5">
        <w:t>ICR Status</w:t>
      </w:r>
      <w:bookmarkEnd w:id="4"/>
      <w:r w:rsidRPr="007919E5">
        <w:t xml:space="preserve"> </w:t>
      </w:r>
    </w:p>
    <w:p w:rsidR="00003EFE" w:rsidRPr="007919E5" w:rsidRDefault="00157337" w:rsidP="00003EFE">
      <w:r w:rsidRPr="00157337">
        <w:t>This is a new ICR that addresses the information collection activities that are contained in a proposed rule</w:t>
      </w:r>
      <w:r w:rsidR="00BD53A4">
        <w:t xml:space="preserve"> (RIN 2070-AK</w:t>
      </w:r>
      <w:r w:rsidR="00B1587B">
        <w:t>27</w:t>
      </w:r>
      <w:r w:rsidR="00BD53A4">
        <w:t>)</w:t>
      </w:r>
      <w:r w:rsidRPr="00157337">
        <w:t>.</w:t>
      </w:r>
      <w:r>
        <w:t xml:space="preserve"> </w:t>
      </w:r>
      <w:r w:rsidR="00003EFE" w:rsidRPr="007919E5">
        <w:t xml:space="preserve">Under </w:t>
      </w:r>
      <w:r w:rsidR="003C30C1" w:rsidRPr="007919E5">
        <w:t>the Paperwork Reduction Act (</w:t>
      </w:r>
      <w:r w:rsidR="00003EFE" w:rsidRPr="007919E5">
        <w:t>PRA</w:t>
      </w:r>
      <w:r w:rsidR="003C30C1" w:rsidRPr="007919E5">
        <w:t>)</w:t>
      </w:r>
      <w:r w:rsidR="00003EFE" w:rsidRPr="007919E5">
        <w:t>, 44 U.S.C. 3501 et seq., an agency may not conduct or sponsor, and a person is not required to respond to, a collection of information, unless it displays a currently valid control number</w:t>
      </w:r>
      <w:r w:rsidR="003C30C1" w:rsidRPr="007919E5">
        <w:t xml:space="preserve"> issued by the Office of Management and Budget (OMB)</w:t>
      </w:r>
      <w:r w:rsidR="00003EFE" w:rsidRPr="007919E5">
        <w:t>.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rsidR="008B4785" w:rsidRPr="007919E5" w:rsidRDefault="008B4785" w:rsidP="008B4785">
      <w:pPr>
        <w:pStyle w:val="NoSpacing"/>
      </w:pPr>
    </w:p>
    <w:p w:rsidR="00E62F2E" w:rsidRDefault="00E62F2E" w:rsidP="0098584B">
      <w:r w:rsidRPr="007919E5">
        <w:t xml:space="preserve">Before submitting </w:t>
      </w:r>
      <w:r w:rsidR="00843F2F" w:rsidRPr="007919E5">
        <w:t>an</w:t>
      </w:r>
      <w:r w:rsidRPr="007919E5">
        <w:t xml:space="preserve"> ICR to </w:t>
      </w:r>
      <w:r w:rsidRPr="007919E5">
        <w:rPr>
          <w:lang w:bidi="en-US"/>
        </w:rPr>
        <w:t xml:space="preserve">OMB </w:t>
      </w:r>
      <w:r w:rsidRPr="007919E5">
        <w:t xml:space="preserve">for review and approval under the PRA, </w:t>
      </w:r>
      <w:r w:rsidR="003C30C1" w:rsidRPr="007919E5">
        <w:t>an agency</w:t>
      </w:r>
      <w:r w:rsidRPr="007919E5">
        <w:t xml:space="preserve"> </w:t>
      </w:r>
      <w:r w:rsidR="003C30C1" w:rsidRPr="007919E5">
        <w:t xml:space="preserve">must </w:t>
      </w:r>
      <w:r w:rsidRPr="007919E5">
        <w:t xml:space="preserve">solicit comments pursuant to PRA §3506(c)(2)(A) and </w:t>
      </w:r>
      <w:hyperlink r:id="rId10" w:anchor="5:3.0.2.3.9.0.48.8" w:history="1">
        <w:r w:rsidR="008B4785" w:rsidRPr="007919E5">
          <w:rPr>
            <w:rStyle w:val="Hyperlink"/>
          </w:rPr>
          <w:t>5 CFR 1320.8(d)(1)</w:t>
        </w:r>
      </w:hyperlink>
      <w:r w:rsidRPr="007919E5">
        <w:t>.</w:t>
      </w:r>
      <w:r w:rsidR="003C30C1" w:rsidRPr="007919E5">
        <w:t xml:space="preserve"> After considering comments</w:t>
      </w:r>
      <w:r w:rsidR="008B4785" w:rsidRPr="007919E5">
        <w:t xml:space="preserve"> received on the draft ICR</w:t>
      </w:r>
      <w:r w:rsidR="003C30C1" w:rsidRPr="007919E5">
        <w:t xml:space="preserve">, the agency </w:t>
      </w:r>
      <w:r w:rsidR="007F4564" w:rsidRPr="007919E5">
        <w:t xml:space="preserve">must </w:t>
      </w:r>
      <w:r w:rsidR="008B4785" w:rsidRPr="007919E5">
        <w:t xml:space="preserve">submit the ICR to </w:t>
      </w:r>
      <w:r w:rsidR="008B4785" w:rsidRPr="007919E5">
        <w:rPr>
          <w:lang w:bidi="en-US"/>
        </w:rPr>
        <w:t xml:space="preserve">OMB </w:t>
      </w:r>
      <w:r w:rsidR="008B4785" w:rsidRPr="007919E5">
        <w:t xml:space="preserve">for review and approval according to the procedures prescribed in </w:t>
      </w:r>
      <w:hyperlink r:id="rId11" w:anchor="5:3.0.2.3.9.0.48.12" w:history="1">
        <w:r w:rsidR="008B4785" w:rsidRPr="007919E5">
          <w:rPr>
            <w:rStyle w:val="Hyperlink"/>
          </w:rPr>
          <w:t>5 CFR 1320.12</w:t>
        </w:r>
      </w:hyperlink>
      <w:r w:rsidR="008B4785" w:rsidRPr="007919E5">
        <w:t xml:space="preserve">. </w:t>
      </w:r>
      <w:r w:rsidR="007F4564" w:rsidRPr="007919E5">
        <w:t>In announcing the submission of the final ICR to OMB for review and approval, the agency must provide another opportunity for public review and comments on the revised ICR pursuant to 5 CFR 1320.12(c).</w:t>
      </w:r>
    </w:p>
    <w:p w:rsidR="00D048FA" w:rsidRDefault="00D048FA" w:rsidP="00D048FA">
      <w:pPr>
        <w:pStyle w:val="NoSpacing"/>
      </w:pPr>
    </w:p>
    <w:p w:rsidR="005B4F77" w:rsidRPr="007919E5" w:rsidRDefault="005B4F77" w:rsidP="005B4F77">
      <w:pPr>
        <w:pStyle w:val="Heading2"/>
        <w:numPr>
          <w:ilvl w:val="1"/>
          <w:numId w:val="3"/>
        </w:numPr>
        <w:tabs>
          <w:tab w:val="left" w:pos="1080"/>
        </w:tabs>
      </w:pPr>
      <w:bookmarkStart w:id="5" w:name="_Toc447203165"/>
      <w:r w:rsidRPr="007919E5">
        <w:t>Abstract</w:t>
      </w:r>
      <w:bookmarkEnd w:id="5"/>
    </w:p>
    <w:p w:rsidR="00497BC4" w:rsidRPr="00497BC4" w:rsidRDefault="00497BC4" w:rsidP="00497BC4">
      <w:pPr>
        <w:rPr>
          <w:rFonts w:cs="Arial"/>
          <w:lang w:bidi="en-US"/>
        </w:rPr>
      </w:pPr>
      <w:r w:rsidRPr="00497BC4">
        <w:rPr>
          <w:rFonts w:cs="Arial"/>
          <w:lang w:bidi="en-US"/>
        </w:rPr>
        <w:t>The Environmental Protection Agency (EPA) is developing a proposed rule in response to new</w:t>
      </w:r>
    </w:p>
    <w:p w:rsidR="00497BC4" w:rsidRDefault="00497BC4" w:rsidP="00497BC4">
      <w:pPr>
        <w:rPr>
          <w:lang w:bidi="en-US"/>
        </w:rPr>
      </w:pPr>
      <w:r w:rsidRPr="00497BC4">
        <w:rPr>
          <w:rFonts w:cs="Arial"/>
          <w:lang w:bidi="en-US"/>
        </w:rPr>
        <w:t xml:space="preserve">provisions </w:t>
      </w:r>
      <w:r w:rsidR="001C68C7">
        <w:rPr>
          <w:rFonts w:cs="Arial"/>
          <w:lang w:bidi="en-US"/>
        </w:rPr>
        <w:t xml:space="preserve">amending the Toxic Substances Control Act (TSCA) </w:t>
      </w:r>
      <w:r w:rsidRPr="00497BC4">
        <w:rPr>
          <w:rFonts w:cs="Arial"/>
          <w:lang w:bidi="en-US"/>
        </w:rPr>
        <w:t xml:space="preserve">outlined in the Frank R. </w:t>
      </w:r>
      <w:r w:rsidR="00D377EF" w:rsidRPr="00497BC4">
        <w:rPr>
          <w:rFonts w:cs="Arial"/>
          <w:lang w:bidi="en-US"/>
        </w:rPr>
        <w:t>Lautenb</w:t>
      </w:r>
      <w:r w:rsidR="00D377EF">
        <w:rPr>
          <w:rFonts w:cs="Arial"/>
          <w:lang w:bidi="en-US"/>
        </w:rPr>
        <w:t>e</w:t>
      </w:r>
      <w:r w:rsidR="00D377EF" w:rsidRPr="00497BC4">
        <w:rPr>
          <w:rFonts w:cs="Arial"/>
          <w:lang w:bidi="en-US"/>
        </w:rPr>
        <w:t xml:space="preserve">rg </w:t>
      </w:r>
      <w:r w:rsidRPr="00497BC4">
        <w:rPr>
          <w:rFonts w:cs="Arial"/>
          <w:lang w:bidi="en-US"/>
        </w:rPr>
        <w:t>Chemical Safety of the 21st Century Act passed</w:t>
      </w:r>
      <w:r>
        <w:rPr>
          <w:rFonts w:cs="Arial"/>
          <w:lang w:bidi="en-US"/>
        </w:rPr>
        <w:t xml:space="preserve"> </w:t>
      </w:r>
      <w:r w:rsidRPr="00497BC4">
        <w:rPr>
          <w:rFonts w:cs="Arial"/>
          <w:lang w:bidi="en-US"/>
        </w:rPr>
        <w:t>in June 2016</w:t>
      </w:r>
      <w:r w:rsidR="006E197D">
        <w:rPr>
          <w:rFonts w:cs="Arial"/>
          <w:lang w:bidi="en-US"/>
        </w:rPr>
        <w:t xml:space="preserve"> (</w:t>
      </w:r>
      <w:r w:rsidR="00AD0B36" w:rsidRPr="00AD0B36">
        <w:rPr>
          <w:rFonts w:cs="Arial"/>
          <w:lang w:bidi="en-US"/>
        </w:rPr>
        <w:t>Pub. L. 114-182, 130 Stat. 448), enacted on June 22, 2016</w:t>
      </w:r>
      <w:r w:rsidR="00AD0B36">
        <w:rPr>
          <w:rFonts w:cs="Arial"/>
          <w:lang w:bidi="en-US"/>
        </w:rPr>
        <w:t>)</w:t>
      </w:r>
      <w:r w:rsidRPr="00497BC4">
        <w:rPr>
          <w:rFonts w:cs="Arial"/>
          <w:lang w:bidi="en-US"/>
        </w:rPr>
        <w:t>.</w:t>
      </w:r>
      <w:r>
        <w:rPr>
          <w:rFonts w:cs="Arial"/>
          <w:lang w:bidi="en-US"/>
        </w:rPr>
        <w:t xml:space="preserve"> </w:t>
      </w:r>
      <w:r w:rsidR="00943DF6">
        <w:rPr>
          <w:rFonts w:cs="Arial"/>
          <w:lang w:bidi="en-US"/>
        </w:rPr>
        <w:t xml:space="preserve">Section 26(b) of </w:t>
      </w:r>
      <w:r w:rsidR="001C68C7">
        <w:rPr>
          <w:rFonts w:cs="Arial"/>
          <w:lang w:bidi="en-US"/>
        </w:rPr>
        <w:t xml:space="preserve">amended </w:t>
      </w:r>
      <w:r w:rsidR="00943DF6">
        <w:rPr>
          <w:rFonts w:cs="Arial"/>
          <w:lang w:bidi="en-US"/>
        </w:rPr>
        <w:t>TSCA authorizes</w:t>
      </w:r>
      <w:r w:rsidRPr="00497BC4">
        <w:rPr>
          <w:rFonts w:cs="Arial"/>
          <w:lang w:bidi="en-US"/>
        </w:rPr>
        <w:t xml:space="preserve"> EPA to </w:t>
      </w:r>
      <w:r w:rsidR="00F30E98">
        <w:rPr>
          <w:rFonts w:cs="Arial"/>
          <w:lang w:bidi="en-US"/>
        </w:rPr>
        <w:t>establish</w:t>
      </w:r>
      <w:r w:rsidRPr="00497BC4">
        <w:rPr>
          <w:rFonts w:cs="Arial"/>
          <w:lang w:bidi="en-US"/>
        </w:rPr>
        <w:t xml:space="preserve"> fees to defray </w:t>
      </w:r>
      <w:r w:rsidR="00F30E98">
        <w:rPr>
          <w:rFonts w:cs="Arial"/>
          <w:lang w:bidi="en-US"/>
        </w:rPr>
        <w:t>a portion</w:t>
      </w:r>
      <w:r w:rsidRPr="00497BC4">
        <w:rPr>
          <w:rFonts w:cs="Arial"/>
          <w:lang w:bidi="en-US"/>
        </w:rPr>
        <w:t xml:space="preserve"> of the costs of ad</w:t>
      </w:r>
      <w:r w:rsidR="00063D08">
        <w:rPr>
          <w:rFonts w:cs="Arial"/>
          <w:lang w:bidi="en-US"/>
        </w:rPr>
        <w:t xml:space="preserve">ministering TSCA </w:t>
      </w:r>
      <w:r w:rsidR="00D377EF">
        <w:rPr>
          <w:rFonts w:cs="Arial"/>
        </w:rPr>
        <w:t>section</w:t>
      </w:r>
      <w:r w:rsidR="00D377EF">
        <w:rPr>
          <w:rFonts w:cs="Arial"/>
          <w:lang w:bidi="en-US"/>
        </w:rPr>
        <w:t xml:space="preserve">s </w:t>
      </w:r>
      <w:r w:rsidR="00DB7C34">
        <w:rPr>
          <w:rFonts w:cs="Arial"/>
          <w:lang w:bidi="en-US"/>
        </w:rPr>
        <w:t xml:space="preserve">4, 5, 6 and </w:t>
      </w:r>
      <w:r w:rsidRPr="00497BC4">
        <w:rPr>
          <w:rFonts w:cs="Arial"/>
          <w:lang w:bidi="en-US"/>
        </w:rPr>
        <w:t xml:space="preserve">14. </w:t>
      </w:r>
      <w:r w:rsidR="0071097B">
        <w:rPr>
          <w:rFonts w:cs="Arial"/>
          <w:lang w:bidi="en-US"/>
        </w:rPr>
        <w:lastRenderedPageBreak/>
        <w:t>The proposed rule would require</w:t>
      </w:r>
      <w:r w:rsidRPr="00497BC4">
        <w:rPr>
          <w:rFonts w:cs="Arial"/>
          <w:lang w:bidi="en-US"/>
        </w:rPr>
        <w:t xml:space="preserve"> payment from manufactures, importers and processors</w:t>
      </w:r>
      <w:r w:rsidR="002D2B79">
        <w:rPr>
          <w:rFonts w:cs="Arial"/>
          <w:lang w:bidi="en-US"/>
        </w:rPr>
        <w:t xml:space="preserve"> of a chemical substance</w:t>
      </w:r>
      <w:r w:rsidRPr="00497BC4">
        <w:rPr>
          <w:rFonts w:cs="Arial"/>
          <w:lang w:bidi="en-US"/>
        </w:rPr>
        <w:t xml:space="preserve">, as appropriate, who: </w:t>
      </w:r>
      <w:r w:rsidR="00D377EF">
        <w:rPr>
          <w:rFonts w:cs="Arial"/>
          <w:lang w:bidi="en-US"/>
        </w:rPr>
        <w:t>s</w:t>
      </w:r>
      <w:r w:rsidR="00D377EF" w:rsidRPr="00497BC4">
        <w:rPr>
          <w:rFonts w:cs="Arial"/>
          <w:lang w:bidi="en-US"/>
        </w:rPr>
        <w:t xml:space="preserve">ubmit </w:t>
      </w:r>
      <w:r w:rsidRPr="00497BC4">
        <w:rPr>
          <w:rFonts w:cs="Arial"/>
          <w:lang w:bidi="en-US"/>
        </w:rPr>
        <w:t xml:space="preserve">information under TSCA section 4; </w:t>
      </w:r>
      <w:r w:rsidR="00D377EF">
        <w:rPr>
          <w:rFonts w:cs="Arial"/>
          <w:lang w:bidi="en-US"/>
        </w:rPr>
        <w:t>s</w:t>
      </w:r>
      <w:r w:rsidR="00D377EF" w:rsidRPr="00497BC4">
        <w:rPr>
          <w:rFonts w:cs="Arial"/>
          <w:lang w:bidi="en-US"/>
        </w:rPr>
        <w:t xml:space="preserve">ubmit </w:t>
      </w:r>
      <w:r w:rsidRPr="00497BC4">
        <w:rPr>
          <w:rFonts w:cs="Arial"/>
          <w:lang w:bidi="en-US"/>
        </w:rPr>
        <w:t xml:space="preserve">a notice, exemption application, or other information under TSCA section 5; </w:t>
      </w:r>
      <w:r w:rsidR="00D377EF">
        <w:rPr>
          <w:rFonts w:cs="Arial"/>
          <w:lang w:bidi="en-US"/>
        </w:rPr>
        <w:t>a</w:t>
      </w:r>
      <w:r w:rsidR="00D377EF" w:rsidRPr="00497BC4">
        <w:rPr>
          <w:rFonts w:cs="Arial"/>
          <w:lang w:bidi="en-US"/>
        </w:rPr>
        <w:t xml:space="preserve">nd </w:t>
      </w:r>
      <w:r w:rsidRPr="00497BC4">
        <w:rPr>
          <w:rFonts w:cs="Arial"/>
          <w:lang w:bidi="en-US"/>
        </w:rPr>
        <w:t xml:space="preserve">who manufacture a chemical substance that is the subject of a risk evaluation under TSCA section 6(b). These fees are intended to achieve the goals </w:t>
      </w:r>
      <w:r w:rsidR="00C30F54">
        <w:rPr>
          <w:rFonts w:cs="Arial"/>
          <w:lang w:bidi="en-US"/>
        </w:rPr>
        <w:t xml:space="preserve">articulated by </w:t>
      </w:r>
      <w:r w:rsidRPr="00497BC4">
        <w:rPr>
          <w:rFonts w:cs="Arial"/>
          <w:lang w:bidi="en-US"/>
        </w:rPr>
        <w:t xml:space="preserve">Congress to provide a sustainable source of funds for EPA to fulfill its legal obligations to conduct activities such as risk-based screenings, designation of applicable substances as High- and Low-Priority, conducting risk evaluations to determine whether a chemical substance presents an unreasonable risk of injury to health or the environment, requiring testing of chemical substances and mixtures, and evaluating and reviewing </w:t>
      </w:r>
      <w:r w:rsidR="001C68C7">
        <w:rPr>
          <w:rFonts w:cs="Arial"/>
          <w:lang w:bidi="en-US"/>
        </w:rPr>
        <w:t>and making determinations on new chemicals</w:t>
      </w:r>
      <w:r w:rsidRPr="00497BC4">
        <w:rPr>
          <w:rFonts w:cs="Arial"/>
          <w:lang w:bidi="en-US"/>
        </w:rPr>
        <w:t>, as required under TSCA sections 4, 5 and 6, as well as collection and management of</w:t>
      </w:r>
      <w:r w:rsidR="001C68C7">
        <w:rPr>
          <w:rFonts w:cs="Arial"/>
          <w:lang w:bidi="en-US"/>
        </w:rPr>
        <w:t xml:space="preserve"> TSCA</w:t>
      </w:r>
      <w:r w:rsidRPr="00497BC4">
        <w:rPr>
          <w:rFonts w:cs="Arial"/>
          <w:lang w:bidi="en-US"/>
        </w:rPr>
        <w:t xml:space="preserve"> </w:t>
      </w:r>
      <w:r w:rsidR="001C68C7">
        <w:rPr>
          <w:rFonts w:cs="Arial"/>
          <w:lang w:bidi="en-US"/>
        </w:rPr>
        <w:t>Confidential Business I</w:t>
      </w:r>
      <w:r w:rsidRPr="00497BC4">
        <w:rPr>
          <w:rFonts w:cs="Arial"/>
          <w:lang w:bidi="en-US"/>
        </w:rPr>
        <w:t>nformation under TSCA section 14.</w:t>
      </w:r>
    </w:p>
    <w:p w:rsidR="00497BC4" w:rsidRPr="00497BC4" w:rsidRDefault="00497BC4" w:rsidP="00497BC4">
      <w:pPr>
        <w:pStyle w:val="NoSpacing"/>
        <w:rPr>
          <w:lang w:bidi="en-US"/>
        </w:rPr>
      </w:pPr>
    </w:p>
    <w:p w:rsidR="00F40219" w:rsidRPr="007919E5" w:rsidRDefault="00F40219" w:rsidP="00E65DB2">
      <w:pPr>
        <w:rPr>
          <w:lang w:bidi="en-US"/>
        </w:rPr>
      </w:pPr>
      <w:r w:rsidRPr="007919E5">
        <w:rPr>
          <w:i/>
        </w:rPr>
        <w:t xml:space="preserve">Legal </w:t>
      </w:r>
      <w:r w:rsidR="002406C5" w:rsidRPr="007919E5">
        <w:rPr>
          <w:i/>
        </w:rPr>
        <w:t>a</w:t>
      </w:r>
      <w:r w:rsidRPr="007919E5">
        <w:rPr>
          <w:i/>
        </w:rPr>
        <w:t>uthority:</w:t>
      </w:r>
      <w:r w:rsidRPr="007919E5">
        <w:t xml:space="preserve"> </w:t>
      </w:r>
      <w:r w:rsidR="00E65DB2" w:rsidRPr="007919E5">
        <w:t xml:space="preserve">The Toxic Substances Control Act (TSCA), </w:t>
      </w:r>
      <w:r w:rsidR="00F260ED" w:rsidRPr="00F260ED">
        <w:t xml:space="preserve">15 U.S.C. </w:t>
      </w:r>
      <w:r w:rsidR="008110FB">
        <w:t>2625(b)</w:t>
      </w:r>
      <w:r w:rsidR="00E65DB2" w:rsidRPr="007919E5">
        <w:rPr>
          <w:rStyle w:val="Hyperlink"/>
          <w:color w:val="auto"/>
          <w:u w:val="none"/>
        </w:rPr>
        <w:t>.</w:t>
      </w:r>
    </w:p>
    <w:p w:rsidR="005A7AEA" w:rsidRPr="007919E5" w:rsidRDefault="005A7AEA" w:rsidP="005A7AEA">
      <w:pPr>
        <w:pStyle w:val="NoSpacing"/>
      </w:pPr>
    </w:p>
    <w:p w:rsidR="005A7AEA" w:rsidRPr="007919E5" w:rsidRDefault="005A7AEA" w:rsidP="005A7AEA">
      <w:pPr>
        <w:rPr>
          <w:rFonts w:eastAsia="Times New Roman" w:cs="Arial"/>
          <w:szCs w:val="24"/>
        </w:rPr>
      </w:pPr>
      <w:r w:rsidRPr="007919E5">
        <w:rPr>
          <w:rFonts w:eastAsia="Times New Roman" w:cs="Arial"/>
          <w:i/>
          <w:iCs/>
          <w:szCs w:val="24"/>
        </w:rPr>
        <w:t>Respondents/</w:t>
      </w:r>
      <w:r w:rsidR="002406C5" w:rsidRPr="007919E5">
        <w:rPr>
          <w:rFonts w:eastAsia="Times New Roman" w:cs="Arial"/>
          <w:i/>
          <w:iCs/>
          <w:szCs w:val="24"/>
        </w:rPr>
        <w:t>a</w:t>
      </w:r>
      <w:r w:rsidRPr="007919E5">
        <w:rPr>
          <w:rFonts w:eastAsia="Times New Roman" w:cs="Arial"/>
          <w:i/>
          <w:iCs/>
          <w:szCs w:val="24"/>
        </w:rPr>
        <w:t xml:space="preserve">ffected </w:t>
      </w:r>
      <w:r w:rsidR="002406C5" w:rsidRPr="007919E5">
        <w:rPr>
          <w:rFonts w:eastAsia="Times New Roman" w:cs="Arial"/>
          <w:i/>
          <w:iCs/>
          <w:szCs w:val="24"/>
        </w:rPr>
        <w:t>e</w:t>
      </w:r>
      <w:r w:rsidRPr="007919E5">
        <w:rPr>
          <w:rFonts w:eastAsia="Times New Roman" w:cs="Arial"/>
          <w:i/>
          <w:iCs/>
          <w:szCs w:val="24"/>
        </w:rPr>
        <w:t>ntities</w:t>
      </w:r>
      <w:r w:rsidRPr="007919E5">
        <w:rPr>
          <w:rFonts w:eastAsia="Times New Roman" w:cs="Arial"/>
          <w:szCs w:val="24"/>
        </w:rPr>
        <w:t xml:space="preserve">: Entities potentially affected by this ICR </w:t>
      </w:r>
      <w:r w:rsidR="00570FC3" w:rsidRPr="007919E5">
        <w:t xml:space="preserve">include </w:t>
      </w:r>
      <w:r w:rsidR="008110FB">
        <w:t>p</w:t>
      </w:r>
      <w:r w:rsidR="008110FB">
        <w:rPr>
          <w:bCs/>
        </w:rPr>
        <w:t>ersons who</w:t>
      </w:r>
      <w:r w:rsidR="008110FB" w:rsidRPr="008110FB">
        <w:rPr>
          <w:bCs/>
        </w:rPr>
        <w:t xml:space="preserve"> manufacture, distribute in commerce, use, dispose, process a chemical substance (or any combination of such activities) and are required to submit informatio</w:t>
      </w:r>
      <w:r w:rsidR="0071097B">
        <w:rPr>
          <w:bCs/>
        </w:rPr>
        <w:t xml:space="preserve">n to EPA under TSCA sections 4 and </w:t>
      </w:r>
      <w:r w:rsidR="008110FB" w:rsidRPr="008110FB">
        <w:rPr>
          <w:bCs/>
        </w:rPr>
        <w:t xml:space="preserve">5, or </w:t>
      </w:r>
      <w:r w:rsidR="008110FB">
        <w:rPr>
          <w:bCs/>
        </w:rPr>
        <w:t>persons who</w:t>
      </w:r>
      <w:r w:rsidR="008110FB" w:rsidRPr="008110FB">
        <w:rPr>
          <w:bCs/>
        </w:rPr>
        <w:t xml:space="preserve"> manufacture (including import) or process a chemical substance that is the subject of a risk evaluation under TSCA section 6(b).</w:t>
      </w:r>
      <w:r w:rsidR="00F260ED">
        <w:rPr>
          <w:bCs/>
        </w:rPr>
        <w:t xml:space="preserve"> </w:t>
      </w:r>
    </w:p>
    <w:p w:rsidR="005A7AEA" w:rsidRPr="007919E5" w:rsidRDefault="005A7AEA" w:rsidP="005A7AEA">
      <w:pPr>
        <w:rPr>
          <w:rFonts w:eastAsia="Times New Roman" w:cs="Arial"/>
          <w:szCs w:val="24"/>
        </w:rPr>
      </w:pPr>
    </w:p>
    <w:p w:rsidR="000A02BA" w:rsidRPr="007919E5" w:rsidRDefault="005A7AEA" w:rsidP="005A7AEA">
      <w:pPr>
        <w:rPr>
          <w:rFonts w:eastAsia="Times New Roman" w:cs="Arial"/>
          <w:bCs/>
          <w:szCs w:val="24"/>
        </w:rPr>
      </w:pPr>
      <w:r w:rsidRPr="007919E5">
        <w:rPr>
          <w:rFonts w:eastAsia="Times New Roman" w:cs="Arial"/>
          <w:i/>
          <w:szCs w:val="24"/>
        </w:rPr>
        <w:t>Respondent’s obligation to respond</w:t>
      </w:r>
      <w:r w:rsidRPr="007919E5">
        <w:rPr>
          <w:rFonts w:eastAsia="Times New Roman" w:cs="Arial"/>
          <w:szCs w:val="24"/>
        </w:rPr>
        <w:t xml:space="preserve">: </w:t>
      </w:r>
      <w:r w:rsidR="008110FB">
        <w:rPr>
          <w:bCs/>
        </w:rPr>
        <w:t>Responses are mandatory under TSCA section 26(b)</w:t>
      </w:r>
      <w:r w:rsidR="008B1AF9">
        <w:rPr>
          <w:bCs/>
        </w:rPr>
        <w:t>.</w:t>
      </w:r>
    </w:p>
    <w:p w:rsidR="000A02BA" w:rsidRPr="007919E5" w:rsidRDefault="000A02BA" w:rsidP="005A7AEA">
      <w:pPr>
        <w:rPr>
          <w:rFonts w:eastAsia="Times New Roman" w:cs="Arial"/>
          <w:bCs/>
          <w:szCs w:val="24"/>
        </w:rPr>
      </w:pPr>
    </w:p>
    <w:p w:rsidR="005A7AEA" w:rsidRPr="007919E5" w:rsidRDefault="000A02BA" w:rsidP="00D4779C">
      <w:pPr>
        <w:rPr>
          <w:rFonts w:eastAsia="Times New Roman" w:cs="Arial"/>
          <w:szCs w:val="24"/>
        </w:rPr>
      </w:pPr>
      <w:r w:rsidRPr="007919E5">
        <w:rPr>
          <w:rFonts w:eastAsia="Times New Roman" w:cs="Arial"/>
          <w:bCs/>
          <w:i/>
          <w:szCs w:val="24"/>
        </w:rPr>
        <w:t>Confidentiality of responses:</w:t>
      </w:r>
      <w:r w:rsidR="00570FC3" w:rsidRPr="007919E5">
        <w:rPr>
          <w:rFonts w:eastAsia="Times New Roman" w:cs="Arial"/>
          <w:bCs/>
          <w:szCs w:val="24"/>
        </w:rPr>
        <w:t xml:space="preserve"> </w:t>
      </w:r>
      <w:r w:rsidR="00A34D0D" w:rsidRPr="0009007E">
        <w:rPr>
          <w:rFonts w:eastAsia="Times New Roman" w:cs="Arial"/>
          <w:bCs/>
          <w:szCs w:val="24"/>
        </w:rPr>
        <w:t>N/A</w:t>
      </w:r>
      <w:r w:rsidR="009A6FD7">
        <w:rPr>
          <w:rFonts w:eastAsia="Times New Roman" w:cs="Arial"/>
          <w:bCs/>
          <w:szCs w:val="24"/>
        </w:rPr>
        <w:t>.</w:t>
      </w:r>
      <w:r w:rsidR="005A7AEA" w:rsidRPr="007919E5">
        <w:rPr>
          <w:rFonts w:eastAsia="Times New Roman" w:cs="Arial"/>
          <w:szCs w:val="24"/>
          <w:lang w:val="en-CA"/>
        </w:rPr>
        <w:fldChar w:fldCharType="begin"/>
      </w:r>
      <w:r w:rsidR="005A7AEA" w:rsidRPr="007919E5">
        <w:rPr>
          <w:rFonts w:eastAsia="Times New Roman" w:cs="Arial"/>
          <w:szCs w:val="24"/>
          <w:lang w:val="en-CA"/>
        </w:rPr>
        <w:instrText xml:space="preserve"> SEQ CHAPTER \h \r 1</w:instrText>
      </w:r>
      <w:r w:rsidR="005A7AEA" w:rsidRPr="007919E5">
        <w:rPr>
          <w:rFonts w:eastAsia="Times New Roman" w:cs="Arial"/>
          <w:szCs w:val="24"/>
          <w:lang w:val="en-CA"/>
        </w:rPr>
        <w:fldChar w:fldCharType="end"/>
      </w:r>
      <w:r w:rsidR="005A7AEA" w:rsidRPr="007919E5">
        <w:rPr>
          <w:rFonts w:eastAsia="Times New Roman" w:cs="Arial"/>
          <w:szCs w:val="24"/>
          <w:lang w:val="en-CA"/>
        </w:rPr>
        <w:fldChar w:fldCharType="begin"/>
      </w:r>
      <w:r w:rsidR="005A7AEA" w:rsidRPr="007919E5">
        <w:rPr>
          <w:rFonts w:eastAsia="Times New Roman" w:cs="Arial"/>
          <w:szCs w:val="24"/>
          <w:lang w:val="en-CA"/>
        </w:rPr>
        <w:instrText xml:space="preserve"> SEQ CHAPTER \h \r 1</w:instrText>
      </w:r>
      <w:r w:rsidR="005A7AEA" w:rsidRPr="007919E5">
        <w:rPr>
          <w:rFonts w:eastAsia="Times New Roman" w:cs="Arial"/>
          <w:szCs w:val="24"/>
          <w:lang w:val="en-CA"/>
        </w:rPr>
        <w:fldChar w:fldCharType="end"/>
      </w:r>
    </w:p>
    <w:p w:rsidR="005A7AEA" w:rsidRPr="007919E5" w:rsidRDefault="005A7AEA" w:rsidP="005A7AEA">
      <w:pPr>
        <w:rPr>
          <w:rFonts w:eastAsia="Times New Roman" w:cs="Arial"/>
          <w:i/>
          <w:iCs/>
          <w:szCs w:val="24"/>
        </w:rPr>
      </w:pPr>
    </w:p>
    <w:p w:rsidR="005A7AEA" w:rsidRPr="007919E5" w:rsidRDefault="005A7AEA" w:rsidP="005A7AEA">
      <w:pPr>
        <w:rPr>
          <w:rFonts w:eastAsia="Times New Roman" w:cs="Arial"/>
          <w:szCs w:val="24"/>
        </w:rPr>
      </w:pPr>
      <w:r w:rsidRPr="007919E5">
        <w:rPr>
          <w:rFonts w:eastAsia="Times New Roman" w:cs="Arial"/>
          <w:i/>
          <w:iCs/>
          <w:szCs w:val="24"/>
        </w:rPr>
        <w:t xml:space="preserve">Estimated total </w:t>
      </w:r>
      <w:r w:rsidR="00F30E98">
        <w:rPr>
          <w:rFonts w:eastAsia="Times New Roman" w:cs="Arial"/>
          <w:i/>
          <w:iCs/>
          <w:szCs w:val="24"/>
        </w:rPr>
        <w:t xml:space="preserve">annual </w:t>
      </w:r>
      <w:r w:rsidRPr="007919E5">
        <w:rPr>
          <w:rFonts w:eastAsia="Times New Roman" w:cs="Arial"/>
          <w:i/>
          <w:iCs/>
          <w:szCs w:val="24"/>
        </w:rPr>
        <w:t>number of potential respondents</w:t>
      </w:r>
      <w:r w:rsidRPr="007919E5">
        <w:rPr>
          <w:rFonts w:eastAsia="Times New Roman" w:cs="Arial"/>
          <w:szCs w:val="24"/>
        </w:rPr>
        <w:t>:</w:t>
      </w:r>
      <w:r w:rsidR="00FE7F37" w:rsidRPr="0072355B">
        <w:rPr>
          <w:rFonts w:eastAsia="Times New Roman" w:cs="Arial"/>
          <w:color w:val="000000" w:themeColor="text1"/>
          <w:szCs w:val="24"/>
        </w:rPr>
        <w:t xml:space="preserve"> </w:t>
      </w:r>
      <w:r w:rsidR="008D604D" w:rsidRPr="0016501F">
        <w:rPr>
          <w:bCs/>
          <w:color w:val="000000" w:themeColor="text1"/>
        </w:rPr>
        <w:t>1,</w:t>
      </w:r>
      <w:r w:rsidR="00106423" w:rsidRPr="0016501F">
        <w:rPr>
          <w:bCs/>
          <w:color w:val="000000" w:themeColor="text1"/>
        </w:rPr>
        <w:t>4</w:t>
      </w:r>
      <w:r w:rsidR="00106423">
        <w:rPr>
          <w:bCs/>
          <w:color w:val="000000" w:themeColor="text1"/>
        </w:rPr>
        <w:t>14</w:t>
      </w:r>
      <w:r w:rsidR="009A6FD7">
        <w:rPr>
          <w:bCs/>
          <w:color w:val="000000" w:themeColor="text1"/>
        </w:rPr>
        <w:t>.</w:t>
      </w:r>
    </w:p>
    <w:p w:rsidR="00D4779C" w:rsidRDefault="00D4779C" w:rsidP="005A7AEA">
      <w:pPr>
        <w:rPr>
          <w:rFonts w:eastAsia="Times New Roman" w:cs="Arial"/>
          <w:i/>
          <w:iCs/>
          <w:szCs w:val="24"/>
        </w:rPr>
      </w:pPr>
    </w:p>
    <w:p w:rsidR="005A7AEA" w:rsidRPr="007919E5" w:rsidRDefault="005A7AEA" w:rsidP="005A7AEA">
      <w:pPr>
        <w:rPr>
          <w:rFonts w:eastAsia="Times New Roman" w:cs="Arial"/>
          <w:szCs w:val="24"/>
        </w:rPr>
      </w:pPr>
      <w:r w:rsidRPr="007919E5">
        <w:rPr>
          <w:rFonts w:eastAsia="Times New Roman" w:cs="Arial"/>
          <w:i/>
          <w:iCs/>
          <w:szCs w:val="24"/>
        </w:rPr>
        <w:t>Frequency of response</w:t>
      </w:r>
      <w:r w:rsidRPr="007919E5">
        <w:rPr>
          <w:rFonts w:eastAsia="Times New Roman" w:cs="Arial"/>
          <w:szCs w:val="24"/>
        </w:rPr>
        <w:t>:</w:t>
      </w:r>
      <w:r w:rsidR="00FE7F37" w:rsidRPr="007919E5">
        <w:rPr>
          <w:rFonts w:eastAsia="Times New Roman" w:cs="Arial"/>
          <w:szCs w:val="24"/>
        </w:rPr>
        <w:t xml:space="preserve"> </w:t>
      </w:r>
      <w:r w:rsidR="00A3693A">
        <w:rPr>
          <w:rFonts w:eastAsia="Times New Roman" w:cs="Arial"/>
          <w:szCs w:val="24"/>
        </w:rPr>
        <w:t xml:space="preserve">On occasion to </w:t>
      </w:r>
      <w:r w:rsidR="00550A1F">
        <w:rPr>
          <w:rFonts w:eastAsia="Times New Roman" w:cs="Arial"/>
          <w:szCs w:val="24"/>
        </w:rPr>
        <w:t>EPA</w:t>
      </w:r>
      <w:r w:rsidR="00A3693A">
        <w:rPr>
          <w:rFonts w:eastAsia="Times New Roman" w:cs="Arial"/>
          <w:szCs w:val="24"/>
        </w:rPr>
        <w:t xml:space="preserve"> as needed.</w:t>
      </w:r>
    </w:p>
    <w:p w:rsidR="00D4779C" w:rsidRDefault="00D4779C" w:rsidP="00570FC3">
      <w:pPr>
        <w:pStyle w:val="NoSpacing"/>
      </w:pPr>
    </w:p>
    <w:p w:rsidR="005A7AEA" w:rsidRPr="007919E5" w:rsidRDefault="005A7AEA" w:rsidP="00570FC3">
      <w:pPr>
        <w:pStyle w:val="NoSpacing"/>
        <w:rPr>
          <w:rFonts w:eastAsia="Times New Roman" w:cs="Arial"/>
          <w:szCs w:val="24"/>
        </w:rPr>
      </w:pPr>
      <w:r w:rsidRPr="007919E5">
        <w:rPr>
          <w:rFonts w:eastAsia="Times New Roman" w:cs="Arial"/>
          <w:i/>
          <w:iCs/>
          <w:szCs w:val="24"/>
        </w:rPr>
        <w:t xml:space="preserve">Estimated total </w:t>
      </w:r>
      <w:r w:rsidR="00570FC3" w:rsidRPr="007919E5">
        <w:rPr>
          <w:rFonts w:eastAsia="Times New Roman" w:cs="Arial"/>
          <w:i/>
          <w:iCs/>
          <w:szCs w:val="24"/>
        </w:rPr>
        <w:t xml:space="preserve">annual </w:t>
      </w:r>
      <w:r w:rsidRPr="007919E5">
        <w:rPr>
          <w:rFonts w:eastAsia="Times New Roman" w:cs="Arial"/>
          <w:i/>
          <w:iCs/>
          <w:szCs w:val="24"/>
        </w:rPr>
        <w:t>burden</w:t>
      </w:r>
      <w:r w:rsidRPr="007919E5">
        <w:rPr>
          <w:rFonts w:eastAsia="Times New Roman" w:cs="Arial"/>
          <w:szCs w:val="24"/>
        </w:rPr>
        <w:t>:</w:t>
      </w:r>
      <w:r w:rsidR="00FE7F37" w:rsidRPr="0072355B">
        <w:rPr>
          <w:rFonts w:eastAsia="Times New Roman" w:cs="Arial"/>
          <w:color w:val="000000" w:themeColor="text1"/>
          <w:szCs w:val="24"/>
        </w:rPr>
        <w:t xml:space="preserve"> </w:t>
      </w:r>
      <w:r w:rsidR="00724EC4" w:rsidRPr="0016501F">
        <w:rPr>
          <w:bCs/>
          <w:color w:val="000000" w:themeColor="text1"/>
        </w:rPr>
        <w:t>7</w:t>
      </w:r>
      <w:r w:rsidR="00B516CE">
        <w:rPr>
          <w:bCs/>
          <w:color w:val="000000" w:themeColor="text1"/>
        </w:rPr>
        <w:t>40</w:t>
      </w:r>
      <w:r w:rsidR="00724EC4" w:rsidRPr="0072355B">
        <w:rPr>
          <w:bCs/>
          <w:color w:val="000000" w:themeColor="text1"/>
        </w:rPr>
        <w:t xml:space="preserve"> </w:t>
      </w:r>
      <w:r w:rsidRPr="007919E5">
        <w:rPr>
          <w:rFonts w:eastAsia="Times New Roman" w:cs="Arial"/>
          <w:szCs w:val="24"/>
        </w:rPr>
        <w:t>hours. Burden is defined at 5 CFR 1320.3(b).</w:t>
      </w:r>
    </w:p>
    <w:p w:rsidR="005A7AEA" w:rsidRPr="007919E5" w:rsidRDefault="005A7AEA" w:rsidP="005A7AEA">
      <w:pPr>
        <w:rPr>
          <w:rFonts w:eastAsia="Times New Roman" w:cs="Arial"/>
          <w:i/>
          <w:iCs/>
          <w:szCs w:val="24"/>
        </w:rPr>
      </w:pPr>
    </w:p>
    <w:p w:rsidR="005A7AEA" w:rsidRPr="007919E5" w:rsidRDefault="005A7AEA" w:rsidP="005A7AEA">
      <w:pPr>
        <w:rPr>
          <w:rFonts w:eastAsia="Times New Roman" w:cs="Arial"/>
          <w:szCs w:val="24"/>
        </w:rPr>
      </w:pPr>
      <w:r w:rsidRPr="007919E5">
        <w:rPr>
          <w:rFonts w:eastAsia="Times New Roman" w:cs="Arial"/>
          <w:i/>
          <w:iCs/>
          <w:szCs w:val="24"/>
        </w:rPr>
        <w:t xml:space="preserve">Estimated total </w:t>
      </w:r>
      <w:r w:rsidR="00570FC3" w:rsidRPr="007919E5">
        <w:rPr>
          <w:rFonts w:eastAsia="Times New Roman" w:cs="Arial"/>
          <w:i/>
          <w:iCs/>
          <w:szCs w:val="24"/>
        </w:rPr>
        <w:t xml:space="preserve">annual </w:t>
      </w:r>
      <w:r w:rsidRPr="007919E5">
        <w:rPr>
          <w:rFonts w:eastAsia="Times New Roman" w:cs="Arial"/>
          <w:i/>
          <w:iCs/>
          <w:szCs w:val="24"/>
        </w:rPr>
        <w:t>costs</w:t>
      </w:r>
      <w:r w:rsidRPr="007919E5">
        <w:rPr>
          <w:rFonts w:eastAsia="Times New Roman" w:cs="Arial"/>
          <w:szCs w:val="24"/>
        </w:rPr>
        <w:t>:</w:t>
      </w:r>
      <w:r w:rsidR="00FE7F37" w:rsidRPr="007919E5">
        <w:rPr>
          <w:rFonts w:eastAsia="Times New Roman" w:cs="Arial"/>
          <w:szCs w:val="24"/>
        </w:rPr>
        <w:t xml:space="preserve"> </w:t>
      </w:r>
      <w:r w:rsidR="00AC260B" w:rsidRPr="0016501F">
        <w:rPr>
          <w:rFonts w:eastAsia="Times New Roman" w:cs="Arial"/>
          <w:color w:val="000000" w:themeColor="text1"/>
          <w:szCs w:val="24"/>
        </w:rPr>
        <w:t>$</w:t>
      </w:r>
      <w:r w:rsidR="00B516CE">
        <w:rPr>
          <w:rFonts w:eastAsia="Times New Roman" w:cs="Arial"/>
          <w:color w:val="000000" w:themeColor="text1"/>
          <w:szCs w:val="24"/>
        </w:rPr>
        <w:t>59</w:t>
      </w:r>
      <w:r w:rsidR="00AC260B" w:rsidRPr="0016501F">
        <w:rPr>
          <w:rFonts w:eastAsia="Times New Roman" w:cs="Arial"/>
          <w:color w:val="000000" w:themeColor="text1"/>
          <w:szCs w:val="24"/>
        </w:rPr>
        <w:t>,</w:t>
      </w:r>
      <w:r w:rsidR="00B516CE">
        <w:rPr>
          <w:rFonts w:eastAsia="Times New Roman" w:cs="Arial"/>
          <w:color w:val="000000" w:themeColor="text1"/>
          <w:szCs w:val="24"/>
        </w:rPr>
        <w:t>540</w:t>
      </w:r>
      <w:r w:rsidR="009A6FD7">
        <w:rPr>
          <w:rFonts w:eastAsia="Times New Roman" w:cs="Arial"/>
          <w:color w:val="000000" w:themeColor="text1"/>
          <w:szCs w:val="24"/>
        </w:rPr>
        <w:t>.</w:t>
      </w:r>
    </w:p>
    <w:p w:rsidR="005A7AEA" w:rsidRPr="007919E5" w:rsidRDefault="005A7AEA" w:rsidP="005A7AEA">
      <w:pPr>
        <w:pStyle w:val="NoSpacing"/>
      </w:pPr>
    </w:p>
    <w:p w:rsidR="0033644F" w:rsidRPr="006A6522" w:rsidRDefault="005A7AEA" w:rsidP="00146061">
      <w:r w:rsidRPr="007919E5">
        <w:rPr>
          <w:rFonts w:eastAsia="Times New Roman" w:cs="Arial"/>
          <w:i/>
          <w:szCs w:val="24"/>
        </w:rPr>
        <w:t>Changes in the estimates</w:t>
      </w:r>
      <w:r w:rsidRPr="007919E5">
        <w:rPr>
          <w:rFonts w:eastAsia="Times New Roman" w:cs="Arial"/>
          <w:szCs w:val="24"/>
        </w:rPr>
        <w:t>:</w:t>
      </w:r>
      <w:r w:rsidR="00FE7F37" w:rsidRPr="007919E5">
        <w:rPr>
          <w:rFonts w:eastAsia="Times New Roman" w:cs="Arial"/>
          <w:szCs w:val="24"/>
        </w:rPr>
        <w:t xml:space="preserve"> </w:t>
      </w:r>
      <w:r w:rsidR="00A34D0D" w:rsidRPr="0009007E">
        <w:t>N/A</w:t>
      </w:r>
      <w:r w:rsidR="009A6FD7">
        <w:t>.</w:t>
      </w:r>
    </w:p>
    <w:p w:rsidR="008B4785" w:rsidRPr="007919E5" w:rsidRDefault="008B4785" w:rsidP="00D4779C">
      <w:pPr>
        <w:rPr>
          <w:rFonts w:cs="Arial"/>
          <w:lang w:bidi="en-US"/>
        </w:rPr>
      </w:pPr>
    </w:p>
    <w:p w:rsidR="00E62F2E" w:rsidRPr="007919E5" w:rsidRDefault="00E62F2E" w:rsidP="00AF4CFB">
      <w:pPr>
        <w:pStyle w:val="NoSpacing"/>
        <w:rPr>
          <w:lang w:bidi="en-US"/>
        </w:rPr>
      </w:pPr>
    </w:p>
    <w:p w:rsidR="002B34A0" w:rsidRPr="007919E5" w:rsidRDefault="00512823" w:rsidP="005B4F77">
      <w:pPr>
        <w:pStyle w:val="Heading1"/>
        <w:numPr>
          <w:ilvl w:val="0"/>
          <w:numId w:val="3"/>
        </w:numPr>
      </w:pPr>
      <w:bookmarkStart w:id="6" w:name="_Toc447203166"/>
      <w:r w:rsidRPr="007919E5">
        <w:t>NECESSITY OF THE INFORMATION COLLECTION</w:t>
      </w:r>
      <w:bookmarkEnd w:id="6"/>
    </w:p>
    <w:p w:rsidR="00F40219" w:rsidRPr="007919E5" w:rsidRDefault="00F40219" w:rsidP="005B4F77">
      <w:pPr>
        <w:pStyle w:val="Heading2"/>
        <w:numPr>
          <w:ilvl w:val="1"/>
          <w:numId w:val="3"/>
        </w:numPr>
        <w:tabs>
          <w:tab w:val="left" w:pos="1080"/>
        </w:tabs>
      </w:pPr>
      <w:bookmarkStart w:id="7" w:name="_Toc447203167"/>
      <w:r w:rsidRPr="007919E5">
        <w:t>Related Legal and/or Administrative Requirements</w:t>
      </w:r>
      <w:bookmarkEnd w:id="7"/>
    </w:p>
    <w:p w:rsidR="006C58CA" w:rsidRDefault="000B530C" w:rsidP="000B530C">
      <w:pPr>
        <w:pStyle w:val="NormalWeb"/>
        <w:rPr>
          <w:rFonts w:ascii="Arial" w:hAnsi="Arial" w:cs="Arial"/>
        </w:rPr>
      </w:pPr>
      <w:r>
        <w:rPr>
          <w:rFonts w:ascii="Arial" w:hAnsi="Arial" w:cs="Arial"/>
        </w:rPr>
        <w:t>TSCA section 26(b)</w:t>
      </w:r>
      <w:r w:rsidRPr="000B530C">
        <w:rPr>
          <w:rFonts w:ascii="Arial" w:hAnsi="Arial" w:cs="Arial"/>
        </w:rPr>
        <w:t xml:space="preserve"> provides EPA with authority to </w:t>
      </w:r>
      <w:r w:rsidR="00F30E98">
        <w:rPr>
          <w:rFonts w:ascii="Arial" w:hAnsi="Arial" w:cs="Arial"/>
        </w:rPr>
        <w:t>establish</w:t>
      </w:r>
      <w:r w:rsidRPr="000B530C">
        <w:rPr>
          <w:rFonts w:ascii="Arial" w:hAnsi="Arial" w:cs="Arial"/>
        </w:rPr>
        <w:t xml:space="preserve"> fees to defray </w:t>
      </w:r>
      <w:r w:rsidR="00EE05EA">
        <w:rPr>
          <w:rFonts w:ascii="Arial" w:hAnsi="Arial" w:cs="Arial"/>
        </w:rPr>
        <w:t>some</w:t>
      </w:r>
      <w:r w:rsidRPr="000B530C">
        <w:rPr>
          <w:rFonts w:ascii="Arial" w:hAnsi="Arial" w:cs="Arial"/>
        </w:rPr>
        <w:t xml:space="preserve"> of the costs associated with administering TSCA sections 4, 5, 6</w:t>
      </w:r>
      <w:r w:rsidR="00E741A2">
        <w:rPr>
          <w:rFonts w:ascii="Arial" w:hAnsi="Arial" w:cs="Arial"/>
        </w:rPr>
        <w:t xml:space="preserve"> and 1</w:t>
      </w:r>
      <w:r w:rsidRPr="000B530C">
        <w:rPr>
          <w:rFonts w:ascii="Arial" w:hAnsi="Arial" w:cs="Arial"/>
        </w:rPr>
        <w:t xml:space="preserve">4. </w:t>
      </w:r>
      <w:r w:rsidR="000A475E">
        <w:rPr>
          <w:rFonts w:ascii="Arial" w:hAnsi="Arial" w:cs="Arial"/>
        </w:rPr>
        <w:t xml:space="preserve">The proposed rule will require </w:t>
      </w:r>
      <w:r w:rsidR="00E42F58">
        <w:rPr>
          <w:rFonts w:ascii="Arial" w:hAnsi="Arial" w:cs="Arial"/>
        </w:rPr>
        <w:t xml:space="preserve">fee payments from </w:t>
      </w:r>
      <w:r w:rsidR="00D74E75">
        <w:rPr>
          <w:rFonts w:ascii="Arial" w:hAnsi="Arial" w:cs="Arial"/>
        </w:rPr>
        <w:t xml:space="preserve">chemical </w:t>
      </w:r>
      <w:r w:rsidR="000A475E" w:rsidRPr="000A475E">
        <w:rPr>
          <w:rFonts w:ascii="Arial" w:hAnsi="Arial" w:cs="Arial"/>
        </w:rPr>
        <w:t>manufactures, importers and processors</w:t>
      </w:r>
      <w:r w:rsidR="000A475E">
        <w:rPr>
          <w:rFonts w:ascii="Arial" w:hAnsi="Arial" w:cs="Arial"/>
        </w:rPr>
        <w:t xml:space="preserve"> </w:t>
      </w:r>
      <w:r w:rsidR="00E42F58">
        <w:rPr>
          <w:rFonts w:ascii="Arial" w:hAnsi="Arial" w:cs="Arial"/>
        </w:rPr>
        <w:t>who submit</w:t>
      </w:r>
      <w:r w:rsidR="000A475E">
        <w:rPr>
          <w:rFonts w:ascii="Arial" w:hAnsi="Arial" w:cs="Arial"/>
        </w:rPr>
        <w:t xml:space="preserve"> information under TSCA sections 4</w:t>
      </w:r>
      <w:r w:rsidR="00550A1F">
        <w:rPr>
          <w:rFonts w:ascii="Arial" w:hAnsi="Arial" w:cs="Arial"/>
        </w:rPr>
        <w:t xml:space="preserve">, </w:t>
      </w:r>
      <w:r w:rsidR="000A475E">
        <w:rPr>
          <w:rFonts w:ascii="Arial" w:hAnsi="Arial" w:cs="Arial"/>
        </w:rPr>
        <w:t>5</w:t>
      </w:r>
      <w:r w:rsidR="00550A1F">
        <w:rPr>
          <w:rFonts w:ascii="Arial" w:hAnsi="Arial" w:cs="Arial"/>
        </w:rPr>
        <w:t xml:space="preserve"> and 6,</w:t>
      </w:r>
      <w:r w:rsidR="00534F9B">
        <w:rPr>
          <w:rFonts w:ascii="Arial" w:hAnsi="Arial" w:cs="Arial"/>
        </w:rPr>
        <w:t xml:space="preserve"> and who manufacture a chemical that is the subject</w:t>
      </w:r>
      <w:r w:rsidR="00E42F58">
        <w:rPr>
          <w:rFonts w:ascii="Arial" w:hAnsi="Arial" w:cs="Arial"/>
        </w:rPr>
        <w:t xml:space="preserve"> of a risk evaluation under </w:t>
      </w:r>
      <w:r w:rsidR="00471836">
        <w:rPr>
          <w:rFonts w:ascii="Arial" w:hAnsi="Arial" w:cs="Arial"/>
        </w:rPr>
        <w:t xml:space="preserve">TSCA </w:t>
      </w:r>
      <w:r w:rsidR="00E42F58">
        <w:rPr>
          <w:rFonts w:ascii="Arial" w:hAnsi="Arial" w:cs="Arial"/>
        </w:rPr>
        <w:t>section 6(b)</w:t>
      </w:r>
      <w:r w:rsidR="000A475E">
        <w:rPr>
          <w:rFonts w:ascii="Arial" w:hAnsi="Arial" w:cs="Arial"/>
        </w:rPr>
        <w:t xml:space="preserve">. EPA is not proposing to collect a fee for submissions of Confidential Business Information (CBI) submitted under TSCA section 14. </w:t>
      </w:r>
    </w:p>
    <w:p w:rsidR="006C58CA" w:rsidRDefault="006C58CA" w:rsidP="000B530C">
      <w:pPr>
        <w:pStyle w:val="NormalWeb"/>
        <w:rPr>
          <w:rFonts w:ascii="Arial" w:hAnsi="Arial" w:cs="Arial"/>
        </w:rPr>
      </w:pPr>
    </w:p>
    <w:p w:rsidR="00FE5445" w:rsidRDefault="006C58CA" w:rsidP="000B530C">
      <w:pPr>
        <w:pStyle w:val="NormalWeb"/>
        <w:rPr>
          <w:rFonts w:ascii="Arial" w:hAnsi="Arial" w:cs="Arial"/>
        </w:rPr>
      </w:pPr>
      <w:r>
        <w:rPr>
          <w:rFonts w:ascii="Arial" w:hAnsi="Arial" w:cs="Arial"/>
        </w:rPr>
        <w:lastRenderedPageBreak/>
        <w:t>Under the proposed rule, persons subject to fees</w:t>
      </w:r>
      <w:r w:rsidRPr="006C58CA">
        <w:rPr>
          <w:rFonts w:ascii="Arial" w:hAnsi="Arial" w:cs="Arial"/>
        </w:rPr>
        <w:t xml:space="preserve"> would be required to make fee payments electronically using </w:t>
      </w:r>
      <w:r w:rsidR="007325B1">
        <w:rPr>
          <w:rFonts w:ascii="Arial" w:hAnsi="Arial" w:cs="Arial"/>
        </w:rPr>
        <w:t xml:space="preserve">Department of Treasury’s </w:t>
      </w:r>
      <w:r w:rsidRPr="006C58CA">
        <w:rPr>
          <w:rFonts w:ascii="Arial" w:hAnsi="Arial" w:cs="Arial"/>
        </w:rPr>
        <w:t>Pay.gov</w:t>
      </w:r>
      <w:r w:rsidR="007325B1">
        <w:rPr>
          <w:rFonts w:ascii="Arial" w:hAnsi="Arial" w:cs="Arial"/>
        </w:rPr>
        <w:t xml:space="preserve"> electronic collection payment services</w:t>
      </w:r>
      <w:r w:rsidRPr="006C58CA">
        <w:rPr>
          <w:rFonts w:ascii="Arial" w:hAnsi="Arial" w:cs="Arial"/>
        </w:rPr>
        <w:t xml:space="preserve"> or Fedwire. </w:t>
      </w:r>
      <w:r w:rsidR="00D377EF" w:rsidRPr="00B21038">
        <w:rPr>
          <w:rFonts w:ascii="Arial" w:hAnsi="Arial" w:cs="Arial"/>
        </w:rPr>
        <w:t xml:space="preserve">Fedwire, which is generally used for foreign payments, allows payers to authorize their financial institution to initiate an electronic (wire transfer) payment to the Federal Reserve Bank of New York. </w:t>
      </w:r>
      <w:r w:rsidR="00D377EF">
        <w:rPr>
          <w:rFonts w:ascii="Arial" w:hAnsi="Arial" w:cs="Arial"/>
        </w:rPr>
        <w:t xml:space="preserve">Once the payment is made, Federal agencies are allowed to access the payment and associated information. </w:t>
      </w:r>
      <w:r w:rsidR="00D74E75" w:rsidRPr="006C58CA">
        <w:rPr>
          <w:rFonts w:ascii="Arial" w:hAnsi="Arial" w:cs="Arial"/>
        </w:rPr>
        <w:t>Th</w:t>
      </w:r>
      <w:r w:rsidR="00D74E75">
        <w:rPr>
          <w:rFonts w:ascii="Arial" w:hAnsi="Arial" w:cs="Arial"/>
        </w:rPr>
        <w:t>e</w:t>
      </w:r>
      <w:r w:rsidR="00D74E75" w:rsidRPr="006C58CA">
        <w:rPr>
          <w:rFonts w:ascii="Arial" w:hAnsi="Arial" w:cs="Arial"/>
        </w:rPr>
        <w:t xml:space="preserve"> information </w:t>
      </w:r>
      <w:r w:rsidR="00D74E75">
        <w:rPr>
          <w:rFonts w:ascii="Arial" w:hAnsi="Arial" w:cs="Arial"/>
        </w:rPr>
        <w:t>submitted to EPA during the payment process includes</w:t>
      </w:r>
      <w:r w:rsidR="00D74E75" w:rsidRPr="006C58CA">
        <w:rPr>
          <w:rFonts w:ascii="Arial" w:hAnsi="Arial" w:cs="Arial"/>
        </w:rPr>
        <w:t xml:space="preserve"> </w:t>
      </w:r>
      <w:r w:rsidR="00D74E75">
        <w:rPr>
          <w:rFonts w:ascii="Arial" w:hAnsi="Arial" w:cs="Arial"/>
        </w:rPr>
        <w:t>c</w:t>
      </w:r>
      <w:r w:rsidR="00D74E75" w:rsidRPr="006C58CA">
        <w:rPr>
          <w:rFonts w:ascii="Arial" w:hAnsi="Arial" w:cs="Arial"/>
        </w:rPr>
        <w:t xml:space="preserve">ompany contact information, payment amount and method information. </w:t>
      </w:r>
      <w:r w:rsidR="00D74E75">
        <w:rPr>
          <w:rFonts w:ascii="Arial" w:hAnsi="Arial" w:cs="Arial"/>
        </w:rPr>
        <w:t xml:space="preserve">Once submitted via Pay.gov or Fedwire, the payment </w:t>
      </w:r>
      <w:r w:rsidR="007325B1">
        <w:rPr>
          <w:rFonts w:ascii="Arial" w:hAnsi="Arial" w:cs="Arial"/>
        </w:rPr>
        <w:t xml:space="preserve">information is sent to EPA. </w:t>
      </w:r>
    </w:p>
    <w:p w:rsidR="006C58CA" w:rsidRDefault="006C58CA" w:rsidP="000B530C">
      <w:pPr>
        <w:pStyle w:val="NormalWeb"/>
        <w:rPr>
          <w:rFonts w:ascii="Arial" w:hAnsi="Arial" w:cs="Arial"/>
        </w:rPr>
      </w:pPr>
    </w:p>
    <w:p w:rsidR="006C58CA" w:rsidRDefault="006C58CA" w:rsidP="000B530C">
      <w:pPr>
        <w:pStyle w:val="NormalWeb"/>
        <w:rPr>
          <w:rFonts w:ascii="Arial" w:hAnsi="Arial" w:cs="Arial"/>
        </w:rPr>
      </w:pPr>
      <w:r>
        <w:rPr>
          <w:rFonts w:ascii="Arial" w:hAnsi="Arial" w:cs="Arial"/>
        </w:rPr>
        <w:t>The proposed rule will also</w:t>
      </w:r>
      <w:r w:rsidR="00E42F58">
        <w:rPr>
          <w:rFonts w:ascii="Arial" w:hAnsi="Arial" w:cs="Arial"/>
        </w:rPr>
        <w:t xml:space="preserve"> make </w:t>
      </w:r>
      <w:r w:rsidR="008D35D1">
        <w:rPr>
          <w:rFonts w:ascii="Arial" w:hAnsi="Arial" w:cs="Arial"/>
        </w:rPr>
        <w:t xml:space="preserve">several </w:t>
      </w:r>
      <w:r w:rsidR="00E42F58">
        <w:rPr>
          <w:rFonts w:ascii="Arial" w:hAnsi="Arial" w:cs="Arial"/>
        </w:rPr>
        <w:t xml:space="preserve">minor changes to </w:t>
      </w:r>
      <w:r w:rsidR="00D74E75">
        <w:rPr>
          <w:rFonts w:ascii="Arial" w:hAnsi="Arial" w:cs="Arial"/>
        </w:rPr>
        <w:t>existing regulations</w:t>
      </w:r>
      <w:r w:rsidR="00E42F58">
        <w:rPr>
          <w:rFonts w:ascii="Arial" w:hAnsi="Arial" w:cs="Arial"/>
        </w:rPr>
        <w:t xml:space="preserve">. </w:t>
      </w:r>
      <w:r w:rsidR="00D74E75">
        <w:rPr>
          <w:rFonts w:ascii="Arial" w:hAnsi="Arial" w:cs="Arial"/>
        </w:rPr>
        <w:t>The proposal</w:t>
      </w:r>
      <w:r w:rsidR="00E42F58">
        <w:rPr>
          <w:rFonts w:ascii="Arial" w:hAnsi="Arial" w:cs="Arial"/>
        </w:rPr>
        <w:t xml:space="preserve"> will</w:t>
      </w:r>
      <w:r>
        <w:rPr>
          <w:rFonts w:ascii="Arial" w:hAnsi="Arial" w:cs="Arial"/>
        </w:rPr>
        <w:t xml:space="preserve"> require certain </w:t>
      </w:r>
      <w:r w:rsidR="00F55405" w:rsidRPr="00F55405">
        <w:rPr>
          <w:rFonts w:ascii="Arial" w:hAnsi="Arial" w:cs="Arial"/>
        </w:rPr>
        <w:t>manufactures, importers and processors</w:t>
      </w:r>
      <w:r w:rsidR="00534F9B">
        <w:rPr>
          <w:rFonts w:ascii="Arial" w:hAnsi="Arial" w:cs="Arial"/>
        </w:rPr>
        <w:t xml:space="preserve"> to submit a</w:t>
      </w:r>
      <w:r w:rsidR="000102B1">
        <w:rPr>
          <w:rFonts w:ascii="Arial" w:hAnsi="Arial" w:cs="Arial"/>
        </w:rPr>
        <w:t>n identifying number and</w:t>
      </w:r>
      <w:r w:rsidR="00534F9B">
        <w:rPr>
          <w:rFonts w:ascii="Arial" w:hAnsi="Arial" w:cs="Arial"/>
        </w:rPr>
        <w:t xml:space="preserve"> payment </w:t>
      </w:r>
      <w:r w:rsidR="00625363">
        <w:rPr>
          <w:rFonts w:ascii="Arial" w:hAnsi="Arial" w:cs="Arial"/>
        </w:rPr>
        <w:t>identity</w:t>
      </w:r>
      <w:r w:rsidR="00534F9B">
        <w:rPr>
          <w:rFonts w:ascii="Arial" w:hAnsi="Arial" w:cs="Arial"/>
        </w:rPr>
        <w:t xml:space="preserve"> number</w:t>
      </w:r>
      <w:r w:rsidR="00F72FBC">
        <w:rPr>
          <w:rFonts w:ascii="Arial" w:hAnsi="Arial" w:cs="Arial"/>
        </w:rPr>
        <w:t xml:space="preserve"> with their payments</w:t>
      </w:r>
      <w:r w:rsidR="00534F9B">
        <w:rPr>
          <w:rFonts w:ascii="Arial" w:hAnsi="Arial" w:cs="Arial"/>
        </w:rPr>
        <w:t xml:space="preserve"> for submissions under </w:t>
      </w:r>
      <w:r w:rsidR="00471836">
        <w:rPr>
          <w:rFonts w:ascii="Arial" w:hAnsi="Arial" w:cs="Arial"/>
        </w:rPr>
        <w:t xml:space="preserve">TSCA </w:t>
      </w:r>
      <w:r w:rsidR="00534F9B">
        <w:rPr>
          <w:rFonts w:ascii="Arial" w:hAnsi="Arial" w:cs="Arial"/>
        </w:rPr>
        <w:t>sections 4</w:t>
      </w:r>
      <w:r w:rsidR="00D74E75">
        <w:rPr>
          <w:rFonts w:ascii="Arial" w:hAnsi="Arial" w:cs="Arial"/>
        </w:rPr>
        <w:t xml:space="preserve"> </w:t>
      </w:r>
      <w:r w:rsidR="00534F9B">
        <w:rPr>
          <w:rFonts w:ascii="Arial" w:hAnsi="Arial" w:cs="Arial"/>
        </w:rPr>
        <w:t xml:space="preserve">and 6, </w:t>
      </w:r>
      <w:r w:rsidR="00D74E75">
        <w:rPr>
          <w:rFonts w:ascii="Arial" w:hAnsi="Arial" w:cs="Arial"/>
        </w:rPr>
        <w:t>and</w:t>
      </w:r>
      <w:r w:rsidR="00534F9B">
        <w:rPr>
          <w:rFonts w:ascii="Arial" w:hAnsi="Arial" w:cs="Arial"/>
        </w:rPr>
        <w:t xml:space="preserve"> exemption applications under </w:t>
      </w:r>
      <w:r w:rsidR="00471836" w:rsidRPr="00471836">
        <w:rPr>
          <w:rFonts w:ascii="Arial" w:hAnsi="Arial" w:cs="Arial"/>
        </w:rPr>
        <w:t xml:space="preserve">TSCA </w:t>
      </w:r>
      <w:r w:rsidR="00534F9B">
        <w:rPr>
          <w:rFonts w:ascii="Arial" w:hAnsi="Arial" w:cs="Arial"/>
        </w:rPr>
        <w:t xml:space="preserve">section 5. </w:t>
      </w:r>
      <w:r w:rsidR="00E9323F">
        <w:rPr>
          <w:rFonts w:ascii="Arial" w:hAnsi="Arial" w:cs="Arial"/>
        </w:rPr>
        <w:t xml:space="preserve">The Agency will also require </w:t>
      </w:r>
      <w:r w:rsidR="00E9323F" w:rsidRPr="00E9323F">
        <w:rPr>
          <w:rFonts w:ascii="Arial" w:hAnsi="Arial" w:cs="Arial"/>
        </w:rPr>
        <w:t>manufactures, importers and processors</w:t>
      </w:r>
      <w:r w:rsidR="00E9323F">
        <w:rPr>
          <w:rFonts w:ascii="Arial" w:hAnsi="Arial" w:cs="Arial"/>
        </w:rPr>
        <w:t xml:space="preserve"> to inform EPA </w:t>
      </w:r>
      <w:r w:rsidR="00F76B26">
        <w:rPr>
          <w:rFonts w:ascii="Arial" w:hAnsi="Arial" w:cs="Arial"/>
        </w:rPr>
        <w:t>if they choose to</w:t>
      </w:r>
      <w:r w:rsidR="00E9323F">
        <w:rPr>
          <w:rFonts w:ascii="Arial" w:hAnsi="Arial" w:cs="Arial"/>
        </w:rPr>
        <w:t xml:space="preserve"> </w:t>
      </w:r>
      <w:r w:rsidR="00F76B26">
        <w:rPr>
          <w:rFonts w:ascii="Arial" w:hAnsi="Arial" w:cs="Arial"/>
        </w:rPr>
        <w:t xml:space="preserve">associate as a consortium. Under TSCA, a consortium is </w:t>
      </w:r>
      <w:r w:rsidR="00F76B26" w:rsidRPr="00F76B26">
        <w:rPr>
          <w:rFonts w:ascii="Arial" w:hAnsi="Arial" w:cs="Arial"/>
        </w:rPr>
        <w:t>an association of manufacturers (including importers) and/or processors who have made an agreement to jointly split the cost of applicable user fees</w:t>
      </w:r>
      <w:r w:rsidR="00F76B26">
        <w:rPr>
          <w:rFonts w:ascii="Arial" w:hAnsi="Arial" w:cs="Arial"/>
        </w:rPr>
        <w:t xml:space="preserve">. </w:t>
      </w:r>
    </w:p>
    <w:p w:rsidR="00534F9B" w:rsidRDefault="00534F9B" w:rsidP="000B530C">
      <w:pPr>
        <w:pStyle w:val="NormalWeb"/>
        <w:rPr>
          <w:rFonts w:ascii="Arial" w:hAnsi="Arial" w:cs="Arial"/>
        </w:rPr>
      </w:pPr>
    </w:p>
    <w:p w:rsidR="005B4F77" w:rsidRPr="007919E5" w:rsidRDefault="005B4F77" w:rsidP="005B4F77">
      <w:pPr>
        <w:pStyle w:val="Heading2"/>
        <w:numPr>
          <w:ilvl w:val="1"/>
          <w:numId w:val="3"/>
        </w:numPr>
        <w:tabs>
          <w:tab w:val="left" w:pos="1080"/>
        </w:tabs>
      </w:pPr>
      <w:bookmarkStart w:id="8" w:name="_Toc447203168"/>
      <w:r w:rsidRPr="007919E5">
        <w:t>Necessity of the Information Collection</w:t>
      </w:r>
      <w:bookmarkEnd w:id="8"/>
    </w:p>
    <w:p w:rsidR="00271BE5" w:rsidRDefault="00271BE5" w:rsidP="00654239">
      <w:pPr>
        <w:rPr>
          <w:rFonts w:cs="Arial"/>
        </w:rPr>
      </w:pPr>
      <w:r w:rsidRPr="00271BE5">
        <w:rPr>
          <w:rFonts w:cs="Arial"/>
        </w:rPr>
        <w:t xml:space="preserve">The information collection activities covered by this ICR are necessary </w:t>
      </w:r>
      <w:r w:rsidR="00F30E98" w:rsidRPr="00271BE5">
        <w:rPr>
          <w:rFonts w:cs="Arial"/>
        </w:rPr>
        <w:t>to</w:t>
      </w:r>
      <w:r w:rsidRPr="00271BE5">
        <w:rPr>
          <w:rFonts w:cs="Arial"/>
        </w:rPr>
        <w:t xml:space="preserve"> </w:t>
      </w:r>
      <w:r w:rsidR="00654239">
        <w:rPr>
          <w:rFonts w:cs="Arial"/>
        </w:rPr>
        <w:t>collect</w:t>
      </w:r>
      <w:r w:rsidR="00F8475E">
        <w:rPr>
          <w:rFonts w:cs="Arial"/>
        </w:rPr>
        <w:t xml:space="preserve"> and process</w:t>
      </w:r>
      <w:r w:rsidR="00654239">
        <w:rPr>
          <w:rFonts w:cs="Arial"/>
        </w:rPr>
        <w:t xml:space="preserve"> fees as required by section 26(b) of TSCA</w:t>
      </w:r>
      <w:r w:rsidRPr="00271BE5">
        <w:rPr>
          <w:rFonts w:cs="Arial"/>
        </w:rPr>
        <w:t xml:space="preserve">. </w:t>
      </w:r>
      <w:r w:rsidR="008D35D1">
        <w:rPr>
          <w:rFonts w:cs="Arial"/>
        </w:rPr>
        <w:t xml:space="preserve">The </w:t>
      </w:r>
      <w:r w:rsidR="008D35D1" w:rsidRPr="008D35D1">
        <w:rPr>
          <w:rFonts w:cs="Arial"/>
        </w:rPr>
        <w:t xml:space="preserve">fees </w:t>
      </w:r>
      <w:r w:rsidR="008D35D1">
        <w:rPr>
          <w:rFonts w:cs="Arial"/>
        </w:rPr>
        <w:t>collected will</w:t>
      </w:r>
      <w:r w:rsidR="008D35D1" w:rsidRPr="008D35D1">
        <w:rPr>
          <w:rFonts w:cs="Arial"/>
        </w:rPr>
        <w:t xml:space="preserve"> defray </w:t>
      </w:r>
      <w:r w:rsidR="00EE05EA">
        <w:rPr>
          <w:rFonts w:cs="Arial"/>
        </w:rPr>
        <w:t>some</w:t>
      </w:r>
      <w:r w:rsidR="008D35D1" w:rsidRPr="008D35D1">
        <w:rPr>
          <w:rFonts w:cs="Arial"/>
        </w:rPr>
        <w:t xml:space="preserve"> of the costs of administering TSCA sections 4, 5, 6 and 14</w:t>
      </w:r>
      <w:r w:rsidR="008D35D1">
        <w:rPr>
          <w:rFonts w:cs="Arial"/>
        </w:rPr>
        <w:t xml:space="preserve">. </w:t>
      </w:r>
    </w:p>
    <w:p w:rsidR="008D35D1" w:rsidRDefault="008D35D1" w:rsidP="008D35D1">
      <w:pPr>
        <w:pStyle w:val="NoSpacing"/>
      </w:pPr>
    </w:p>
    <w:p w:rsidR="008648B5" w:rsidRPr="007919E5" w:rsidRDefault="008648B5" w:rsidP="008648B5">
      <w:pPr>
        <w:pStyle w:val="Heading2"/>
        <w:numPr>
          <w:ilvl w:val="1"/>
          <w:numId w:val="3"/>
        </w:numPr>
        <w:tabs>
          <w:tab w:val="left" w:pos="1080"/>
        </w:tabs>
      </w:pPr>
      <w:bookmarkStart w:id="9" w:name="_Toc447203169"/>
      <w:r w:rsidRPr="007919E5">
        <w:t>Uses, Users, and Purpose of the Information Collection</w:t>
      </w:r>
      <w:bookmarkEnd w:id="9"/>
    </w:p>
    <w:p w:rsidR="00625363" w:rsidRDefault="00F8475E" w:rsidP="00512823">
      <w:r>
        <w:t xml:space="preserve">When </w:t>
      </w:r>
      <w:r w:rsidRPr="00F8475E">
        <w:t>manufactures, importers and processors</w:t>
      </w:r>
      <w:r>
        <w:t xml:space="preserve"> pay a fee they must submit information that includes </w:t>
      </w:r>
      <w:r>
        <w:rPr>
          <w:rFonts w:cs="Arial"/>
        </w:rPr>
        <w:t>c</w:t>
      </w:r>
      <w:r w:rsidRPr="006C58CA">
        <w:rPr>
          <w:rFonts w:cs="Arial"/>
        </w:rPr>
        <w:t xml:space="preserve">ompany contact information, payment amount and </w:t>
      </w:r>
      <w:r w:rsidR="002D2B79">
        <w:rPr>
          <w:rFonts w:cs="Arial"/>
        </w:rPr>
        <w:t xml:space="preserve">payment </w:t>
      </w:r>
      <w:r w:rsidRPr="006C58CA">
        <w:rPr>
          <w:rFonts w:cs="Arial"/>
        </w:rPr>
        <w:t>method information</w:t>
      </w:r>
      <w:r>
        <w:rPr>
          <w:rFonts w:cs="Arial"/>
        </w:rPr>
        <w:t>.</w:t>
      </w:r>
      <w:r>
        <w:t xml:space="preserve"> </w:t>
      </w:r>
      <w:r w:rsidR="008D35D1" w:rsidRPr="008D35D1">
        <w:t xml:space="preserve">The information </w:t>
      </w:r>
      <w:r w:rsidR="00D74E75">
        <w:t>will be</w:t>
      </w:r>
      <w:r w:rsidR="008D35D1" w:rsidRPr="008D35D1">
        <w:t xml:space="preserve"> used by the Agency to </w:t>
      </w:r>
      <w:r w:rsidR="00D74E75">
        <w:t>calculate the revenue gene</w:t>
      </w:r>
      <w:r w:rsidR="00B26E7A">
        <w:t xml:space="preserve">rated by the TSCA fee programs and </w:t>
      </w:r>
      <w:r w:rsidR="008D35D1" w:rsidRPr="008D35D1">
        <w:t xml:space="preserve">ensure that the </w:t>
      </w:r>
      <w:r>
        <w:t>required fees</w:t>
      </w:r>
      <w:r w:rsidR="008D35D1" w:rsidRPr="008D35D1">
        <w:t xml:space="preserve"> have been paid by each </w:t>
      </w:r>
      <w:r w:rsidR="00B34BBC">
        <w:t>respondent</w:t>
      </w:r>
      <w:r>
        <w:t xml:space="preserve">. </w:t>
      </w:r>
    </w:p>
    <w:p w:rsidR="00625363" w:rsidRDefault="00625363" w:rsidP="00512823"/>
    <w:p w:rsidR="00512823" w:rsidRDefault="009614EF" w:rsidP="00512823">
      <w:r>
        <w:t xml:space="preserve">Under the proposed rule, </w:t>
      </w:r>
      <w:r w:rsidR="00D74E75">
        <w:t xml:space="preserve">chemical </w:t>
      </w:r>
      <w:r>
        <w:t>m</w:t>
      </w:r>
      <w:r w:rsidR="00625363" w:rsidRPr="00625363">
        <w:t xml:space="preserve">anufactures, importers and processors </w:t>
      </w:r>
      <w:r w:rsidR="00D74E75">
        <w:t>will be required to</w:t>
      </w:r>
      <w:r w:rsidR="00625363" w:rsidRPr="00625363">
        <w:t xml:space="preserve"> submit a</w:t>
      </w:r>
      <w:r w:rsidR="000102B1">
        <w:t>n identifying number and</w:t>
      </w:r>
      <w:r w:rsidR="00625363" w:rsidRPr="00625363">
        <w:t xml:space="preserve"> payment </w:t>
      </w:r>
      <w:r w:rsidR="00625363">
        <w:t xml:space="preserve">identity </w:t>
      </w:r>
      <w:r w:rsidR="00625363" w:rsidRPr="00625363">
        <w:t xml:space="preserve">number with their submissions </w:t>
      </w:r>
      <w:r w:rsidR="00625363">
        <w:t xml:space="preserve">required </w:t>
      </w:r>
      <w:r w:rsidR="00D74E75">
        <w:t xml:space="preserve">under </w:t>
      </w:r>
      <w:r w:rsidR="00471836">
        <w:rPr>
          <w:rFonts w:cs="Arial"/>
        </w:rPr>
        <w:t xml:space="preserve">TSCA </w:t>
      </w:r>
      <w:r w:rsidR="00D74E75">
        <w:t>sections 4</w:t>
      </w:r>
      <w:r w:rsidR="00625363" w:rsidRPr="00625363">
        <w:t xml:space="preserve"> and 6, </w:t>
      </w:r>
      <w:r w:rsidR="00D74E75">
        <w:t>and</w:t>
      </w:r>
      <w:r w:rsidR="00625363" w:rsidRPr="00625363">
        <w:t xml:space="preserve"> exemption applications under</w:t>
      </w:r>
      <w:r w:rsidR="00471836">
        <w:t xml:space="preserve"> </w:t>
      </w:r>
      <w:r w:rsidR="00471836">
        <w:rPr>
          <w:rFonts w:cs="Arial"/>
        </w:rPr>
        <w:t>TSCA</w:t>
      </w:r>
      <w:r w:rsidR="00625363" w:rsidRPr="00625363">
        <w:t xml:space="preserve"> section 5.</w:t>
      </w:r>
      <w:r w:rsidR="00625363">
        <w:t xml:space="preserve"> The </w:t>
      </w:r>
      <w:r w:rsidR="000102B1">
        <w:t>identifying</w:t>
      </w:r>
      <w:r w:rsidR="00625363">
        <w:t xml:space="preserve"> number</w:t>
      </w:r>
      <w:r w:rsidR="00B412A5">
        <w:t xml:space="preserve"> </w:t>
      </w:r>
      <w:r w:rsidR="002D2B79">
        <w:t xml:space="preserve">is </w:t>
      </w:r>
      <w:r w:rsidR="00B412A5">
        <w:t>also submitted with payment information in Pay.gov or Fedwire and</w:t>
      </w:r>
      <w:r w:rsidR="00625363">
        <w:t xml:space="preserve"> is used to match the information submitted to the Agency with the payment </w:t>
      </w:r>
      <w:r w:rsidR="00D74E75">
        <w:t>associated with that submission</w:t>
      </w:r>
      <w:r w:rsidR="00625363">
        <w:t xml:space="preserve">. </w:t>
      </w:r>
      <w:r w:rsidR="00625363" w:rsidRPr="00625363">
        <w:t xml:space="preserve">The </w:t>
      </w:r>
      <w:r w:rsidR="000102B1">
        <w:t xml:space="preserve">identifying </w:t>
      </w:r>
      <w:r w:rsidR="00625363" w:rsidRPr="00625363">
        <w:t xml:space="preserve">number </w:t>
      </w:r>
      <w:r w:rsidR="00D377EF">
        <w:t xml:space="preserve">is created by the submitter and </w:t>
      </w:r>
      <w:r w:rsidR="00B412A5" w:rsidRPr="00B412A5">
        <w:t>must include the letters “TS” followed by a combination of 6 numbers (letters may be substituted for some numbers)</w:t>
      </w:r>
      <w:r w:rsidR="00625363" w:rsidRPr="00625363">
        <w:t>.</w:t>
      </w:r>
      <w:r w:rsidR="00B412A5">
        <w:t xml:space="preserve"> </w:t>
      </w:r>
      <w:r w:rsidR="000102B1" w:rsidRPr="000102B1">
        <w:t>The payment identity number may be a Pay.gov transaction number or FedWire wire transfer number used to transmit the user fee.</w:t>
      </w:r>
    </w:p>
    <w:p w:rsidR="008D35D1" w:rsidRDefault="008D35D1" w:rsidP="008D35D1">
      <w:pPr>
        <w:pStyle w:val="NoSpacing"/>
      </w:pPr>
    </w:p>
    <w:p w:rsidR="009614EF" w:rsidRDefault="009614EF" w:rsidP="008D35D1">
      <w:pPr>
        <w:pStyle w:val="NoSpacing"/>
      </w:pPr>
      <w:r>
        <w:t xml:space="preserve">The proposed rule requires </w:t>
      </w:r>
      <w:r w:rsidRPr="009614EF">
        <w:t>manufactures, importers and processors to inform EPA if they choose to associate as a consortium</w:t>
      </w:r>
      <w:r w:rsidR="00AE609F">
        <w:t xml:space="preserve"> for submissions under </w:t>
      </w:r>
      <w:r w:rsidR="00471836">
        <w:rPr>
          <w:rFonts w:cs="Arial"/>
        </w:rPr>
        <w:t xml:space="preserve">TSCA </w:t>
      </w:r>
      <w:r w:rsidR="00AE609F">
        <w:t>section</w:t>
      </w:r>
      <w:r w:rsidR="002D2B79">
        <w:t>s</w:t>
      </w:r>
      <w:r w:rsidR="00AE609F">
        <w:t xml:space="preserve"> 4 and 6</w:t>
      </w:r>
      <w:r w:rsidRPr="009614EF">
        <w:t>.</w:t>
      </w:r>
      <w:r>
        <w:t xml:space="preserve"> </w:t>
      </w:r>
      <w:r w:rsidR="002D2B79">
        <w:t>EPA will use this information to determine the fee assessed to the consortium based on a formula explained in the proposed rule. Once the fee is assessed by the Agency, t</w:t>
      </w:r>
      <w:r w:rsidR="005F359D">
        <w:t xml:space="preserve">he consortium </w:t>
      </w:r>
      <w:r w:rsidR="00A80A5F">
        <w:t>can determine how the fees will be split among its members. However, if the consortium is unable to come to terms on how the fees will be split among its members, EPA will determine the portion of the fee to be paid by each member.</w:t>
      </w:r>
      <w:r w:rsidR="00C43817">
        <w:t xml:space="preserve"> </w:t>
      </w:r>
      <w:r w:rsidR="00A80A5F">
        <w:t xml:space="preserve"> </w:t>
      </w:r>
      <w:r>
        <w:t xml:space="preserve"> </w:t>
      </w:r>
    </w:p>
    <w:p w:rsidR="008D35D1" w:rsidRPr="008D35D1" w:rsidRDefault="008D35D1" w:rsidP="008D35D1">
      <w:pPr>
        <w:pStyle w:val="NoSpacing"/>
      </w:pPr>
    </w:p>
    <w:p w:rsidR="00E33A13" w:rsidRPr="007919E5" w:rsidRDefault="00512823" w:rsidP="00E33A13">
      <w:pPr>
        <w:pStyle w:val="Heading2"/>
        <w:numPr>
          <w:ilvl w:val="0"/>
          <w:numId w:val="3"/>
        </w:numPr>
        <w:tabs>
          <w:tab w:val="left" w:pos="1080"/>
        </w:tabs>
      </w:pPr>
      <w:bookmarkStart w:id="10" w:name="_Toc447203170"/>
      <w:r w:rsidRPr="007919E5">
        <w:t>NON-DUPLICATION, CONSULTATIONS, AND OTHER COLLECTION CRITERIA</w:t>
      </w:r>
      <w:bookmarkEnd w:id="10"/>
    </w:p>
    <w:p w:rsidR="00512823" w:rsidRPr="007919E5" w:rsidRDefault="00512823" w:rsidP="00E33A13">
      <w:pPr>
        <w:pStyle w:val="Heading2"/>
        <w:numPr>
          <w:ilvl w:val="1"/>
          <w:numId w:val="3"/>
        </w:numPr>
        <w:tabs>
          <w:tab w:val="left" w:pos="1080"/>
        </w:tabs>
      </w:pPr>
      <w:bookmarkStart w:id="11" w:name="_Toc447203171"/>
      <w:r w:rsidRPr="007919E5">
        <w:t>Non-Duplication</w:t>
      </w:r>
      <w:bookmarkEnd w:id="11"/>
    </w:p>
    <w:p w:rsidR="00512823" w:rsidRPr="007919E5" w:rsidRDefault="00512823" w:rsidP="00512823">
      <w:pPr>
        <w:numPr>
          <w:ilvl w:val="12"/>
          <w:numId w:val="0"/>
        </w:numPr>
      </w:pPr>
      <w:r w:rsidRPr="007919E5">
        <w:t xml:space="preserve">The </w:t>
      </w:r>
      <w:r w:rsidR="0016777D">
        <w:t>EPA</w:t>
      </w:r>
      <w:r w:rsidRPr="007919E5">
        <w:t xml:space="preserve">’s collection pursuant to the TSCA </w:t>
      </w:r>
      <w:r w:rsidR="00483E28">
        <w:t xml:space="preserve">section </w:t>
      </w:r>
      <w:r w:rsidR="00C43817">
        <w:t>26(b)</w:t>
      </w:r>
      <w:r w:rsidRPr="007919E5">
        <w:t xml:space="preserve"> do not duplicate any other collection.</w:t>
      </w:r>
      <w:r w:rsidR="00FE7F37" w:rsidRPr="007919E5">
        <w:t xml:space="preserve"> </w:t>
      </w:r>
      <w:r w:rsidRPr="007919E5">
        <w:t xml:space="preserve">There </w:t>
      </w:r>
      <w:r w:rsidR="00483E28">
        <w:t xml:space="preserve">is no other Federal program that requires the information collection activities related to the </w:t>
      </w:r>
      <w:r w:rsidR="00A44D8A">
        <w:t>fees</w:t>
      </w:r>
      <w:r w:rsidR="00483E28">
        <w:t xml:space="preserve"> under the proposed rule. </w:t>
      </w:r>
    </w:p>
    <w:p w:rsidR="00E33A13" w:rsidRPr="007919E5" w:rsidRDefault="00E33A13" w:rsidP="00E33A13"/>
    <w:p w:rsidR="0036683A" w:rsidRPr="0036683A" w:rsidRDefault="0036683A" w:rsidP="007A1B37">
      <w:pPr>
        <w:pStyle w:val="Heading2"/>
        <w:numPr>
          <w:ilvl w:val="1"/>
          <w:numId w:val="3"/>
        </w:numPr>
        <w:tabs>
          <w:tab w:val="left" w:pos="1080"/>
        </w:tabs>
        <w:rPr>
          <w:szCs w:val="24"/>
        </w:rPr>
      </w:pPr>
      <w:bookmarkStart w:id="12" w:name="_Toc447203172"/>
      <w:r>
        <w:t>Public Notice Required Prior to ICR Submission to OMB</w:t>
      </w:r>
      <w:bookmarkEnd w:id="12"/>
    </w:p>
    <w:p w:rsidR="0036683A" w:rsidRDefault="0036683A" w:rsidP="0036683A">
      <w:pPr>
        <w:rPr>
          <w:szCs w:val="24"/>
        </w:rPr>
      </w:pPr>
      <w:r w:rsidRPr="0036683A">
        <w:rPr>
          <w:szCs w:val="24"/>
        </w:rPr>
        <w:t>The notice of proposed rulemaking serves as the public notice for this ICR. Interested parties should submit comments referencing Docket ID No</w:t>
      </w:r>
      <w:r w:rsidRPr="008469F4">
        <w:rPr>
          <w:szCs w:val="24"/>
        </w:rPr>
        <w:t xml:space="preserve">. </w:t>
      </w:r>
      <w:r w:rsidR="00A44D8A" w:rsidRPr="00A44D8A">
        <w:rPr>
          <w:szCs w:val="24"/>
        </w:rPr>
        <w:t>EPA-HQ-OPPT-2016-0401</w:t>
      </w:r>
      <w:r w:rsidR="00A44D8A">
        <w:rPr>
          <w:szCs w:val="24"/>
        </w:rPr>
        <w:t xml:space="preserve"> </w:t>
      </w:r>
      <w:r w:rsidRPr="0036683A">
        <w:rPr>
          <w:szCs w:val="24"/>
        </w:rPr>
        <w:t>to the address listed at the end of this document. Responses will be taken into account in developing the final rulemaking.</w:t>
      </w:r>
    </w:p>
    <w:p w:rsidR="0036683A" w:rsidRDefault="0036683A" w:rsidP="0036683A">
      <w:pPr>
        <w:pStyle w:val="NoSpacing"/>
        <w:rPr>
          <w:b/>
        </w:rPr>
      </w:pPr>
    </w:p>
    <w:p w:rsidR="00886EEA" w:rsidRPr="00886EEA" w:rsidRDefault="0036683A" w:rsidP="00886EEA">
      <w:pPr>
        <w:pStyle w:val="Heading2"/>
        <w:tabs>
          <w:tab w:val="left" w:pos="1080"/>
        </w:tabs>
        <w:ind w:left="360"/>
        <w:rPr>
          <w:szCs w:val="24"/>
        </w:rPr>
      </w:pPr>
      <w:bookmarkStart w:id="13" w:name="_Toc447203173"/>
      <w:r>
        <w:rPr>
          <w:szCs w:val="24"/>
        </w:rPr>
        <w:t>3(c).</w:t>
      </w:r>
      <w:r>
        <w:rPr>
          <w:szCs w:val="24"/>
        </w:rPr>
        <w:tab/>
        <w:t>Consultations</w:t>
      </w:r>
      <w:bookmarkEnd w:id="13"/>
    </w:p>
    <w:p w:rsidR="0036683A" w:rsidRPr="00A44D8A" w:rsidRDefault="00A44D8A" w:rsidP="0036683A">
      <w:pPr>
        <w:pStyle w:val="NoSpacing"/>
      </w:pPr>
      <w:r w:rsidRPr="00A44D8A">
        <w:t>EPA engaged with members of the public (or their representatives) potentially subject to the fees. The Agency held a public meeting and webinar on August 11, 2016, and an industry-specific consultation meeting and webinar on September 13, 2016, in accordance with TSCA section 26(b)(4)(E). The Agency sought comments from industry on various aspects of the proposed rulemaking, including the amendment of existing TSCA section 5 fees, the establishment of new fees for TSCA sections 4 and 6 activities, and small business considerations. As part of EPA’s efforts to consult with industry on the proposed fees and the methodology for establishing the fees, the Agency also opened a docket and collected written comments from stakeholder</w:t>
      </w:r>
      <w:r w:rsidR="00875475">
        <w:t>s. To view the comments</w:t>
      </w:r>
      <w:r w:rsidRPr="00A44D8A">
        <w:t>, go to http://www.regulation.gov and search for docket number:  EPA-HQ-OPPT-2016-0401.</w:t>
      </w:r>
    </w:p>
    <w:p w:rsidR="00A44D8A" w:rsidRPr="0036683A" w:rsidRDefault="00A44D8A" w:rsidP="0036683A">
      <w:pPr>
        <w:pStyle w:val="NoSpacing"/>
        <w:rPr>
          <w:b/>
        </w:rPr>
      </w:pPr>
    </w:p>
    <w:p w:rsidR="00512823" w:rsidRPr="001203BA" w:rsidRDefault="0036683A" w:rsidP="0036683A">
      <w:pPr>
        <w:pStyle w:val="Heading2"/>
        <w:tabs>
          <w:tab w:val="left" w:pos="1080"/>
        </w:tabs>
        <w:ind w:left="360"/>
        <w:rPr>
          <w:szCs w:val="24"/>
        </w:rPr>
      </w:pPr>
      <w:bookmarkStart w:id="14" w:name="_Toc447203174"/>
      <w:r>
        <w:rPr>
          <w:szCs w:val="24"/>
        </w:rPr>
        <w:t>3(d).</w:t>
      </w:r>
      <w:r>
        <w:rPr>
          <w:szCs w:val="24"/>
        </w:rPr>
        <w:tab/>
      </w:r>
      <w:r w:rsidR="00512823" w:rsidRPr="001203BA">
        <w:rPr>
          <w:szCs w:val="24"/>
        </w:rPr>
        <w:t>Effects of Less Frequent Collection</w:t>
      </w:r>
      <w:bookmarkEnd w:id="14"/>
    </w:p>
    <w:p w:rsidR="00512823" w:rsidRPr="007919E5" w:rsidRDefault="00512823" w:rsidP="00512823">
      <w:pPr>
        <w:numPr>
          <w:ilvl w:val="12"/>
          <w:numId w:val="0"/>
        </w:numPr>
      </w:pPr>
      <w:r w:rsidRPr="007919E5">
        <w:t xml:space="preserve">Due to the nature of the </w:t>
      </w:r>
      <w:r w:rsidR="00F45153">
        <w:t xml:space="preserve">triggering events that initiate information collection activities under the proposed rule, </w:t>
      </w:r>
      <w:r w:rsidRPr="007919E5">
        <w:t>less frequent collection is not feasible.</w:t>
      </w:r>
      <w:r w:rsidR="00BC1E84">
        <w:t xml:space="preserve"> T</w:t>
      </w:r>
      <w:r w:rsidR="0071097B" w:rsidRPr="0071097B">
        <w:t>here is no set collection schedule</w:t>
      </w:r>
      <w:r w:rsidR="00BC1E84">
        <w:t xml:space="preserve"> for the payment information </w:t>
      </w:r>
      <w:r w:rsidR="00163F68">
        <w:t xml:space="preserve">associated with </w:t>
      </w:r>
      <w:r w:rsidR="00BC1E84">
        <w:t>fee payments</w:t>
      </w:r>
      <w:r w:rsidR="00163F68">
        <w:t xml:space="preserve"> (e.g. payment method)</w:t>
      </w:r>
      <w:r w:rsidR="0071097B" w:rsidRPr="0071097B">
        <w:t xml:space="preserve">. </w:t>
      </w:r>
      <w:r w:rsidR="00BC1E84">
        <w:t>P</w:t>
      </w:r>
      <w:r w:rsidR="0071097B">
        <w:t>ayment</w:t>
      </w:r>
      <w:r w:rsidR="0071097B" w:rsidRPr="0071097B">
        <w:t xml:space="preserve"> </w:t>
      </w:r>
      <w:r w:rsidR="0071097B">
        <w:t xml:space="preserve">information </w:t>
      </w:r>
      <w:r w:rsidR="0071097B" w:rsidRPr="0071097B">
        <w:t xml:space="preserve">is collected each time a </w:t>
      </w:r>
      <w:r w:rsidR="0071097B">
        <w:t>fee payment is made</w:t>
      </w:r>
      <w:r w:rsidR="00163F68">
        <w:t xml:space="preserve"> via Pay.gov or Fedwire</w:t>
      </w:r>
      <w:r w:rsidR="00822BFA">
        <w:t xml:space="preserve"> with t</w:t>
      </w:r>
      <w:r w:rsidR="0071097B" w:rsidRPr="0071097B">
        <w:t>he frequency of collection depend</w:t>
      </w:r>
      <w:r w:rsidR="00822BFA">
        <w:t>ing</w:t>
      </w:r>
      <w:r w:rsidR="0071097B" w:rsidRPr="0071097B">
        <w:t xml:space="preserve"> entirely on the frequency with which applicants submit </w:t>
      </w:r>
      <w:r w:rsidR="00163F68">
        <w:t>information</w:t>
      </w:r>
      <w:r w:rsidR="002D2B79">
        <w:t xml:space="preserve"> to EPA</w:t>
      </w:r>
      <w:r w:rsidR="00822BFA">
        <w:t xml:space="preserve"> under TSCA sections 4, 5 and 6</w:t>
      </w:r>
      <w:r w:rsidR="0071097B" w:rsidRPr="0071097B">
        <w:t>. Therefore, less frequent collection is not an option.</w:t>
      </w:r>
    </w:p>
    <w:p w:rsidR="00512823" w:rsidRPr="007919E5" w:rsidRDefault="00512823" w:rsidP="00512823">
      <w:pPr>
        <w:numPr>
          <w:ilvl w:val="12"/>
          <w:numId w:val="0"/>
        </w:numPr>
      </w:pPr>
    </w:p>
    <w:p w:rsidR="00DB7F57" w:rsidRPr="0016501F" w:rsidRDefault="0036683A" w:rsidP="00081FA0">
      <w:pPr>
        <w:pStyle w:val="Heading2"/>
        <w:tabs>
          <w:tab w:val="left" w:pos="1080"/>
        </w:tabs>
        <w:ind w:left="360"/>
      </w:pPr>
      <w:bookmarkStart w:id="15" w:name="_Toc447203175"/>
      <w:r w:rsidRPr="0016501F">
        <w:t>3(e</w:t>
      </w:r>
      <w:r w:rsidR="00081FA0" w:rsidRPr="0016501F">
        <w:t>).</w:t>
      </w:r>
      <w:r w:rsidR="00081FA0" w:rsidRPr="0016501F">
        <w:tab/>
      </w:r>
      <w:r w:rsidR="00DB7F57" w:rsidRPr="0016501F">
        <w:t>Small Entity Flexibility</w:t>
      </w:r>
      <w:bookmarkEnd w:id="15"/>
    </w:p>
    <w:p w:rsidR="00F45153" w:rsidRPr="007919E5" w:rsidRDefault="00CE1A7E" w:rsidP="00F45153">
      <w:pPr>
        <w:numPr>
          <w:ilvl w:val="12"/>
          <w:numId w:val="0"/>
        </w:numPr>
      </w:pPr>
      <w:r w:rsidRPr="0016501F">
        <w:t xml:space="preserve">The EPA believes that the regulatory requirements do not unduly burden small businesses. </w:t>
      </w:r>
      <w:r w:rsidR="00092D5D" w:rsidRPr="0016501F">
        <w:t xml:space="preserve">As stated in the preamble to the proposed rule, </w:t>
      </w:r>
      <w:r w:rsidR="00B73C22" w:rsidRPr="0016501F">
        <w:t xml:space="preserve">EPA estimates that, of the </w:t>
      </w:r>
      <w:r w:rsidR="00106423">
        <w:t>298</w:t>
      </w:r>
      <w:r w:rsidR="00106423" w:rsidRPr="0016501F">
        <w:t xml:space="preserve"> </w:t>
      </w:r>
      <w:r w:rsidR="00B73C22" w:rsidRPr="0016501F">
        <w:t xml:space="preserve">small businesses paying fees every year, </w:t>
      </w:r>
      <w:r w:rsidR="00106423">
        <w:t xml:space="preserve">all firms </w:t>
      </w:r>
      <w:r w:rsidR="00B73C22" w:rsidRPr="0016501F">
        <w:t>may have annual cost-revenue impacts less than 1%.</w:t>
      </w:r>
      <w:r w:rsidR="00136D0D">
        <w:t xml:space="preserve"> </w:t>
      </w:r>
    </w:p>
    <w:p w:rsidR="00DB7F57" w:rsidRPr="007919E5" w:rsidRDefault="00DB7F57" w:rsidP="00DB7F57">
      <w:pPr>
        <w:tabs>
          <w:tab w:val="left" w:pos="1080"/>
        </w:tabs>
      </w:pPr>
    </w:p>
    <w:p w:rsidR="00512823" w:rsidRPr="007919E5" w:rsidRDefault="0036683A" w:rsidP="00081FA0">
      <w:pPr>
        <w:pStyle w:val="Heading2"/>
        <w:tabs>
          <w:tab w:val="left" w:pos="1080"/>
        </w:tabs>
        <w:ind w:left="360"/>
      </w:pPr>
      <w:bookmarkStart w:id="16" w:name="_Toc447203176"/>
      <w:r>
        <w:t>3(f</w:t>
      </w:r>
      <w:r w:rsidR="00081FA0">
        <w:t>).</w:t>
      </w:r>
      <w:r w:rsidR="00081FA0">
        <w:tab/>
      </w:r>
      <w:r w:rsidR="00512823" w:rsidRPr="00C35AC7">
        <w:t xml:space="preserve">General </w:t>
      </w:r>
      <w:r w:rsidR="00E33A13" w:rsidRPr="00C35AC7">
        <w:t xml:space="preserve">PRA Related </w:t>
      </w:r>
      <w:r w:rsidR="00512823" w:rsidRPr="00C35AC7">
        <w:t>Guidelines</w:t>
      </w:r>
      <w:bookmarkEnd w:id="16"/>
    </w:p>
    <w:p w:rsidR="00512823" w:rsidRPr="007919E5" w:rsidRDefault="00512823" w:rsidP="00512823">
      <w:pPr>
        <w:numPr>
          <w:ilvl w:val="12"/>
          <w:numId w:val="0"/>
        </w:numPr>
      </w:pPr>
      <w:r w:rsidRPr="007919E5">
        <w:t>This ICR is consistent with OMB’s general guidelines</w:t>
      </w:r>
      <w:r w:rsidR="00910791">
        <w:t xml:space="preserve"> </w:t>
      </w:r>
      <w:r w:rsidR="00910791" w:rsidRPr="007919E5">
        <w:t>do not exceed any of the Paperwork Reduction Act guidelines at 5 CFR 1320.5.</w:t>
      </w:r>
      <w:r w:rsidR="00910791">
        <w:t xml:space="preserve"> </w:t>
      </w:r>
    </w:p>
    <w:p w:rsidR="00E33A13" w:rsidRPr="007919E5" w:rsidRDefault="00E33A13" w:rsidP="00E33A13"/>
    <w:p w:rsidR="00512823" w:rsidRPr="00F45153" w:rsidRDefault="0036683A" w:rsidP="00081FA0">
      <w:pPr>
        <w:pStyle w:val="Heading2"/>
        <w:tabs>
          <w:tab w:val="left" w:pos="1080"/>
        </w:tabs>
        <w:ind w:left="360"/>
        <w:rPr>
          <w:highlight w:val="yellow"/>
        </w:rPr>
      </w:pPr>
      <w:bookmarkStart w:id="17" w:name="_Toc447203177"/>
      <w:r>
        <w:t>3(g</w:t>
      </w:r>
      <w:r w:rsidR="00081FA0">
        <w:t>).</w:t>
      </w:r>
      <w:r w:rsidR="00081FA0">
        <w:tab/>
      </w:r>
      <w:r w:rsidR="00512823" w:rsidRPr="00081FA0">
        <w:t>Confidentiality</w:t>
      </w:r>
      <w:bookmarkEnd w:id="17"/>
    </w:p>
    <w:p w:rsidR="00E33A13" w:rsidRDefault="00611E72" w:rsidP="00E33A13">
      <w:r w:rsidRPr="00611E72">
        <w:t xml:space="preserve">Since the </w:t>
      </w:r>
      <w:r>
        <w:t>information collected under this ICR involves only information related to payments</w:t>
      </w:r>
      <w:r w:rsidRPr="00611E72">
        <w:t xml:space="preserve">, EPA does not believe that respondents </w:t>
      </w:r>
      <w:r w:rsidR="00B26E7A">
        <w:t xml:space="preserve">will </w:t>
      </w:r>
      <w:r w:rsidRPr="00611E72">
        <w:t>submit any</w:t>
      </w:r>
      <w:r>
        <w:t xml:space="preserve"> confidential</w:t>
      </w:r>
      <w:r w:rsidRPr="00611E72">
        <w:t xml:space="preserve"> information collected under this ICR. However, to the extent information submitted by respondents is business confidential, procedures are in place to protect the information from improper disclosure consistent with section 14 of TSCA.</w:t>
      </w:r>
    </w:p>
    <w:p w:rsidR="007658A4" w:rsidRPr="007658A4" w:rsidRDefault="007658A4" w:rsidP="007658A4">
      <w:pPr>
        <w:pStyle w:val="NoSpacing"/>
      </w:pPr>
    </w:p>
    <w:p w:rsidR="00512823" w:rsidRPr="007919E5" w:rsidRDefault="0036683A" w:rsidP="0036683A">
      <w:pPr>
        <w:pStyle w:val="Heading2"/>
        <w:tabs>
          <w:tab w:val="left" w:pos="1080"/>
        </w:tabs>
        <w:ind w:left="360"/>
      </w:pPr>
      <w:bookmarkStart w:id="18" w:name="_Toc447203178"/>
      <w:r>
        <w:t>3(h).</w:t>
      </w:r>
      <w:r>
        <w:tab/>
      </w:r>
      <w:r w:rsidR="00512823" w:rsidRPr="007919E5">
        <w:t>Sensitive Questions</w:t>
      </w:r>
      <w:bookmarkEnd w:id="18"/>
    </w:p>
    <w:p w:rsidR="008648B5" w:rsidRPr="007919E5" w:rsidRDefault="00081FA0" w:rsidP="00E33A13">
      <w:pPr>
        <w:numPr>
          <w:ilvl w:val="12"/>
          <w:numId w:val="0"/>
        </w:numPr>
      </w:pPr>
      <w:r>
        <w:t>The</w:t>
      </w:r>
      <w:r w:rsidR="00512823" w:rsidRPr="007919E5">
        <w:t xml:space="preserve"> information collection </w:t>
      </w:r>
      <w:r>
        <w:t>activities do</w:t>
      </w:r>
      <w:r w:rsidR="00512823" w:rsidRPr="007919E5">
        <w:t xml:space="preserve"> not include questions of a sensitive nature.</w:t>
      </w:r>
    </w:p>
    <w:p w:rsidR="008648B5" w:rsidRPr="007919E5" w:rsidRDefault="008648B5" w:rsidP="008648B5">
      <w:pPr>
        <w:pStyle w:val="NoSpacing"/>
      </w:pPr>
    </w:p>
    <w:p w:rsidR="00DB7F57" w:rsidRPr="00C80719" w:rsidRDefault="00DB7F57" w:rsidP="00081FA0">
      <w:pPr>
        <w:pStyle w:val="Heading1"/>
        <w:numPr>
          <w:ilvl w:val="0"/>
          <w:numId w:val="3"/>
        </w:numPr>
        <w:rPr>
          <w:sz w:val="24"/>
          <w:szCs w:val="24"/>
        </w:rPr>
      </w:pPr>
      <w:bookmarkStart w:id="19" w:name="_Toc447203179"/>
      <w:r w:rsidRPr="00C80719">
        <w:t>AGENCY ACTIVITIES, COLLECTION METHODOLOGY, AND INFORMATION MANAGEMENT</w:t>
      </w:r>
      <w:bookmarkEnd w:id="19"/>
    </w:p>
    <w:p w:rsidR="00DB7F57" w:rsidRPr="00C80719" w:rsidRDefault="00DB7F57" w:rsidP="00FF6973">
      <w:pPr>
        <w:pStyle w:val="Heading1"/>
        <w:numPr>
          <w:ilvl w:val="1"/>
          <w:numId w:val="3"/>
        </w:numPr>
        <w:tabs>
          <w:tab w:val="left" w:pos="1080"/>
        </w:tabs>
        <w:rPr>
          <w:sz w:val="24"/>
          <w:szCs w:val="24"/>
        </w:rPr>
      </w:pPr>
      <w:bookmarkStart w:id="20" w:name="_Toc447203180"/>
      <w:r w:rsidRPr="00C80719">
        <w:rPr>
          <w:sz w:val="24"/>
          <w:szCs w:val="24"/>
        </w:rPr>
        <w:t>Agency Activities</w:t>
      </w:r>
      <w:bookmarkEnd w:id="20"/>
    </w:p>
    <w:p w:rsidR="007658A4" w:rsidRDefault="00DF245B" w:rsidP="007658A4">
      <w:pPr>
        <w:pStyle w:val="NoSpacing"/>
      </w:pPr>
      <w:r>
        <w:t xml:space="preserve">Agency activities include </w:t>
      </w:r>
      <w:r w:rsidR="00167866">
        <w:t>data management of the fee</w:t>
      </w:r>
      <w:r>
        <w:t xml:space="preserve"> information. </w:t>
      </w:r>
    </w:p>
    <w:p w:rsidR="00DF245B" w:rsidRPr="007658A4" w:rsidRDefault="00DF245B" w:rsidP="007658A4">
      <w:pPr>
        <w:pStyle w:val="NoSpacing"/>
      </w:pPr>
    </w:p>
    <w:p w:rsidR="00660CEA" w:rsidRPr="0016501F" w:rsidRDefault="00660CEA" w:rsidP="00DB7F57">
      <w:pPr>
        <w:pStyle w:val="Heading2"/>
        <w:numPr>
          <w:ilvl w:val="1"/>
          <w:numId w:val="3"/>
        </w:numPr>
        <w:tabs>
          <w:tab w:val="left" w:pos="1080"/>
        </w:tabs>
      </w:pPr>
      <w:bookmarkStart w:id="21" w:name="_Toc447203181"/>
      <w:r w:rsidRPr="0016501F">
        <w:t>Estimated Agency Costs</w:t>
      </w:r>
      <w:bookmarkEnd w:id="21"/>
    </w:p>
    <w:p w:rsidR="00FF6973" w:rsidRDefault="00CF6D5B" w:rsidP="005E5522">
      <w:pPr>
        <w:pStyle w:val="Heading2"/>
        <w:tabs>
          <w:tab w:val="left" w:pos="1080"/>
        </w:tabs>
        <w:rPr>
          <w:rFonts w:eastAsiaTheme="minorHAnsi" w:cstheme="minorBidi"/>
          <w:b w:val="0"/>
          <w:bCs w:val="0"/>
          <w:szCs w:val="22"/>
        </w:rPr>
      </w:pPr>
      <w:r w:rsidRPr="0016501F">
        <w:rPr>
          <w:rFonts w:eastAsiaTheme="minorHAnsi" w:cstheme="minorBidi"/>
          <w:b w:val="0"/>
          <w:bCs w:val="0"/>
          <w:szCs w:val="22"/>
        </w:rPr>
        <w:t xml:space="preserve">EPA estimates that managing the </w:t>
      </w:r>
      <w:r w:rsidR="00ED28BB" w:rsidRPr="0016501F">
        <w:rPr>
          <w:rFonts w:eastAsiaTheme="minorHAnsi" w:cstheme="minorBidi"/>
          <w:b w:val="0"/>
          <w:bCs w:val="0"/>
          <w:szCs w:val="22"/>
        </w:rPr>
        <w:t>information that is submitted at the time of the fee payment would</w:t>
      </w:r>
      <w:r w:rsidRPr="0016501F">
        <w:rPr>
          <w:rFonts w:eastAsiaTheme="minorHAnsi" w:cstheme="minorBidi"/>
          <w:b w:val="0"/>
          <w:bCs w:val="0"/>
          <w:szCs w:val="22"/>
        </w:rPr>
        <w:t xml:space="preserve"> require one </w:t>
      </w:r>
      <w:r w:rsidR="00ED28BB" w:rsidRPr="0016501F">
        <w:rPr>
          <w:rFonts w:eastAsiaTheme="minorHAnsi" w:cstheme="minorBidi"/>
          <w:b w:val="0"/>
          <w:bCs w:val="0"/>
          <w:szCs w:val="22"/>
        </w:rPr>
        <w:t>business day of labor</w:t>
      </w:r>
      <w:r w:rsidRPr="0016501F">
        <w:rPr>
          <w:rFonts w:eastAsiaTheme="minorHAnsi" w:cstheme="minorBidi"/>
          <w:b w:val="0"/>
          <w:bCs w:val="0"/>
          <w:szCs w:val="22"/>
        </w:rPr>
        <w:t xml:space="preserve"> per year for a GS-13, Step 5 employee in the Washington D.C. area, which will amount to an annual Agency cost associated with the proposed rule of $642.64 ($80.33 x 8 = $642.64). To calculate the loaded wage rate, EPA uses the wage rate for a GS-13, Step 5 employee in the Washington D.C. area, loaded with a combined fringe and overhead factor of 60% to obtain a loaded wage rate of $167,093 per year. Dividing this wage rate over 2,080 hours – the annual labor hours of a</w:t>
      </w:r>
      <w:r w:rsidR="002D36EA" w:rsidRPr="0016501F">
        <w:rPr>
          <w:rFonts w:eastAsiaTheme="minorHAnsi" w:cstheme="minorBidi"/>
          <w:b w:val="0"/>
          <w:bCs w:val="0"/>
          <w:szCs w:val="22"/>
        </w:rPr>
        <w:t xml:space="preserve"> full-</w:t>
      </w:r>
      <w:r w:rsidRPr="0016501F">
        <w:rPr>
          <w:rFonts w:eastAsiaTheme="minorHAnsi" w:cstheme="minorBidi"/>
          <w:b w:val="0"/>
          <w:bCs w:val="0"/>
          <w:szCs w:val="22"/>
        </w:rPr>
        <w:t xml:space="preserve">time employee – </w:t>
      </w:r>
      <w:r w:rsidR="00ED28BB" w:rsidRPr="0016501F">
        <w:rPr>
          <w:rFonts w:eastAsiaTheme="minorHAnsi" w:cstheme="minorBidi"/>
          <w:b w:val="0"/>
          <w:bCs w:val="0"/>
          <w:szCs w:val="22"/>
        </w:rPr>
        <w:t>results in</w:t>
      </w:r>
      <w:r w:rsidRPr="0016501F">
        <w:rPr>
          <w:rFonts w:eastAsiaTheme="minorHAnsi" w:cstheme="minorBidi"/>
          <w:b w:val="0"/>
          <w:bCs w:val="0"/>
          <w:szCs w:val="22"/>
        </w:rPr>
        <w:t xml:space="preserve"> an hourly wage rate of $80.33.</w:t>
      </w:r>
    </w:p>
    <w:p w:rsidR="00DB7F57" w:rsidRPr="007919E5" w:rsidRDefault="00DB7F57" w:rsidP="00660CEA">
      <w:pPr>
        <w:pStyle w:val="Heading2"/>
        <w:numPr>
          <w:ilvl w:val="2"/>
          <w:numId w:val="3"/>
        </w:numPr>
        <w:tabs>
          <w:tab w:val="left" w:pos="1080"/>
          <w:tab w:val="left" w:pos="1620"/>
        </w:tabs>
      </w:pPr>
      <w:bookmarkStart w:id="22" w:name="_Toc447203183"/>
      <w:r w:rsidRPr="00C80719">
        <w:t>Collection Schedule</w:t>
      </w:r>
      <w:bookmarkEnd w:id="22"/>
    </w:p>
    <w:p w:rsidR="005E5522" w:rsidRDefault="005049FB" w:rsidP="003A6A0C">
      <w:r w:rsidRPr="005049FB">
        <w:t>This information collection activity does not have a calendar-based schedule</w:t>
      </w:r>
      <w:r>
        <w:t xml:space="preserve">. </w:t>
      </w:r>
      <w:r w:rsidR="00CF6D5B">
        <w:t xml:space="preserve">Fee payments are </w:t>
      </w:r>
      <w:r>
        <w:t>made</w:t>
      </w:r>
      <w:r w:rsidR="00CF6D5B">
        <w:t xml:space="preserve"> when a manufacturer, importer or processor of a chemical triggers the requirements for submitting information about that chemical to EPA or when EPA initiates a risk evaluation.</w:t>
      </w:r>
      <w:r w:rsidR="005E5522">
        <w:t xml:space="preserve"> </w:t>
      </w:r>
      <w:r>
        <w:t xml:space="preserve">These activities </w:t>
      </w:r>
      <w:r w:rsidR="002D2B79">
        <w:t xml:space="preserve">occur on </w:t>
      </w:r>
      <w:r w:rsidR="003A6A0C">
        <w:t xml:space="preserve">an </w:t>
      </w:r>
      <w:r w:rsidR="003A6A0C" w:rsidRPr="003A6A0C">
        <w:t>as-needed, on-occasion basis, initiated by the respondents</w:t>
      </w:r>
      <w:r>
        <w:t xml:space="preserve">. </w:t>
      </w:r>
    </w:p>
    <w:p w:rsidR="00DB7F57" w:rsidRPr="007919E5" w:rsidRDefault="00DB7F57" w:rsidP="00DB7F57"/>
    <w:p w:rsidR="00660CEA" w:rsidRPr="007919E5" w:rsidRDefault="00660CEA" w:rsidP="00660CEA">
      <w:pPr>
        <w:pStyle w:val="Heading3"/>
        <w:numPr>
          <w:ilvl w:val="2"/>
          <w:numId w:val="3"/>
        </w:numPr>
        <w:tabs>
          <w:tab w:val="left" w:pos="1800"/>
        </w:tabs>
        <w:spacing w:after="200"/>
      </w:pPr>
      <w:bookmarkStart w:id="23" w:name="_Toc447203184"/>
      <w:r w:rsidRPr="00AF6755">
        <w:t>Use of Technology to Facilitate Collection Activities</w:t>
      </w:r>
      <w:bookmarkEnd w:id="23"/>
    </w:p>
    <w:p w:rsidR="00660CEA" w:rsidRPr="007919E5" w:rsidRDefault="005049FB" w:rsidP="0018266B">
      <w:pPr>
        <w:tabs>
          <w:tab w:val="left" w:pos="720"/>
          <w:tab w:val="left" w:pos="1080"/>
        </w:tabs>
      </w:pPr>
      <w:r w:rsidRPr="005049FB">
        <w:t xml:space="preserve">EPA will make use of existing technology to </w:t>
      </w:r>
      <w:r>
        <w:t>collect the information subject to this ICR</w:t>
      </w:r>
      <w:r w:rsidRPr="005049FB">
        <w:t xml:space="preserve">. </w:t>
      </w:r>
      <w:r>
        <w:t xml:space="preserve">Fee payments will be made electronically via Pay.gov or Fedwire. </w:t>
      </w:r>
      <w:r w:rsidR="00871408">
        <w:t xml:space="preserve">The collection of the </w:t>
      </w:r>
      <w:r w:rsidR="000102B1">
        <w:t xml:space="preserve">identifying number and </w:t>
      </w:r>
      <w:r w:rsidR="00871408">
        <w:t>payment identity number will be made thr</w:t>
      </w:r>
      <w:r w:rsidR="000D16B3">
        <w:t>ough the Central Data Exchange</w:t>
      </w:r>
      <w:r w:rsidR="00871408">
        <w:t>, EPA</w:t>
      </w:r>
      <w:r w:rsidR="000D16B3">
        <w:t>’s</w:t>
      </w:r>
      <w:r w:rsidR="00871408">
        <w:t xml:space="preserve"> portal for submitting information electronically. </w:t>
      </w:r>
    </w:p>
    <w:p w:rsidR="00DB7F57" w:rsidRPr="007919E5" w:rsidRDefault="00DB7F57" w:rsidP="00DB7F57">
      <w:pPr>
        <w:pStyle w:val="NoSpacing"/>
      </w:pPr>
    </w:p>
    <w:p w:rsidR="006D7B41" w:rsidRPr="007919E5" w:rsidRDefault="00E33A13" w:rsidP="00660CEA">
      <w:pPr>
        <w:pStyle w:val="Heading1"/>
        <w:numPr>
          <w:ilvl w:val="0"/>
          <w:numId w:val="3"/>
        </w:numPr>
      </w:pPr>
      <w:bookmarkStart w:id="24" w:name="_Toc447203185"/>
      <w:r w:rsidRPr="007919E5">
        <w:t xml:space="preserve">The RESPONDENTS AND </w:t>
      </w:r>
      <w:r w:rsidR="006D7B41" w:rsidRPr="007919E5">
        <w:t>INFORMATION COLLECTION (IC) ACTIVITIES</w:t>
      </w:r>
      <w:bookmarkEnd w:id="24"/>
    </w:p>
    <w:p w:rsidR="004A492D" w:rsidRPr="007919E5" w:rsidRDefault="00E33A13" w:rsidP="004A492D">
      <w:r w:rsidRPr="007919E5">
        <w:t xml:space="preserve">For each </w:t>
      </w:r>
      <w:r w:rsidR="00512823" w:rsidRPr="007919E5">
        <w:t>respondent category</w:t>
      </w:r>
      <w:r w:rsidRPr="007919E5">
        <w:t>, this section of the ICR describes the respondents, the information collection activities and related estimates for burden and costs associated with those activities.</w:t>
      </w:r>
      <w:r w:rsidR="004A492D" w:rsidRPr="007919E5">
        <w:t xml:space="preserve"> </w:t>
      </w:r>
    </w:p>
    <w:p w:rsidR="00F44411" w:rsidRPr="007919E5" w:rsidRDefault="00F44411" w:rsidP="00F44411">
      <w:pPr>
        <w:pStyle w:val="NoSpacing"/>
        <w:rPr>
          <w:lang w:bidi="en-US"/>
        </w:rPr>
      </w:pPr>
    </w:p>
    <w:p w:rsidR="00452297" w:rsidRPr="009462D5" w:rsidRDefault="00660CEA" w:rsidP="00452297">
      <w:pPr>
        <w:pStyle w:val="Heading2"/>
        <w:numPr>
          <w:ilvl w:val="1"/>
          <w:numId w:val="3"/>
        </w:numPr>
        <w:tabs>
          <w:tab w:val="left" w:pos="1080"/>
        </w:tabs>
      </w:pPr>
      <w:bookmarkStart w:id="25" w:name="_Toc447203186"/>
      <w:r w:rsidRPr="009462D5">
        <w:t>Methodology for Estimating Respondent Burden and Costs</w:t>
      </w:r>
      <w:bookmarkEnd w:id="25"/>
    </w:p>
    <w:p w:rsidR="006A3A8A" w:rsidRPr="009462D5" w:rsidRDefault="006A3A8A" w:rsidP="006A3A8A">
      <w:r w:rsidRPr="009462D5">
        <w:t>The collection specifies fee payment</w:t>
      </w:r>
      <w:r w:rsidR="00A9598B" w:rsidRPr="009462D5">
        <w:t xml:space="preserve"> requirements for</w:t>
      </w:r>
      <w:r w:rsidRPr="009462D5">
        <w:t xml:space="preserve"> firms which manufacturer, process, or distribute chemicals under TSCA as amended by the Frank R. Lautenberg Chemical Safety for the 21st Century Act. </w:t>
      </w:r>
      <w:r w:rsidR="00DA4B3B" w:rsidRPr="009462D5">
        <w:t>TSCA section 6(b). The following list of North American Industry Classification System (NAICS) codes is not intended to be exhaustive, but rather provides a guide to help readers determine whether this document applies to them. Potentially affected entities may include companies found in major NAICS groups:</w:t>
      </w:r>
    </w:p>
    <w:p w:rsidR="00DA4B3B" w:rsidRPr="006B0F45" w:rsidRDefault="00DA4B3B" w:rsidP="00DA4B3B">
      <w:pPr>
        <w:pStyle w:val="NoSpacing"/>
      </w:pPr>
    </w:p>
    <w:p w:rsidR="006A3A8A" w:rsidRPr="006B0F45" w:rsidRDefault="006A3A8A" w:rsidP="006A3A8A">
      <w:r w:rsidRPr="009462D5">
        <w:t>32</w:t>
      </w:r>
      <w:r w:rsidR="00C34DC8" w:rsidRPr="009462D5">
        <w:t>4</w:t>
      </w:r>
      <w:r w:rsidR="00C34DC8" w:rsidRPr="009462D5">
        <w:tab/>
      </w:r>
      <w:r w:rsidRPr="006B0F45">
        <w:tab/>
      </w:r>
      <w:r w:rsidR="00C34DC8" w:rsidRPr="006B0F45">
        <w:t>Petroleum and Coal Products</w:t>
      </w:r>
    </w:p>
    <w:p w:rsidR="006A3A8A" w:rsidRPr="006B0F45" w:rsidRDefault="00C34DC8" w:rsidP="006A3A8A">
      <w:r w:rsidRPr="006B0F45">
        <w:t>325</w:t>
      </w:r>
      <w:r w:rsidRPr="006B0F45">
        <w:tab/>
      </w:r>
      <w:r w:rsidR="006A3A8A" w:rsidRPr="006B0F45">
        <w:tab/>
      </w:r>
      <w:r w:rsidRPr="006B0F45">
        <w:t>Chemical M</w:t>
      </w:r>
      <w:r w:rsidR="006A3A8A" w:rsidRPr="006B0F45">
        <w:t>anufacturing</w:t>
      </w:r>
    </w:p>
    <w:p w:rsidR="006A3A8A" w:rsidRPr="006B0F45" w:rsidRDefault="00C34DC8" w:rsidP="006A3A8A">
      <w:r w:rsidRPr="006B0F45">
        <w:t>424</w:t>
      </w:r>
      <w:r w:rsidRPr="006B0F45">
        <w:tab/>
      </w:r>
      <w:r w:rsidR="006A3A8A" w:rsidRPr="006B0F45">
        <w:tab/>
      </w:r>
      <w:r w:rsidRPr="006B0F45">
        <w:t>Chemical, Petroleum and Merchant Wholesalers</w:t>
      </w:r>
    </w:p>
    <w:p w:rsidR="006A3A8A" w:rsidRPr="006B0F45" w:rsidRDefault="006A3A8A" w:rsidP="006A3A8A">
      <w:pPr>
        <w:pStyle w:val="NoSpacing"/>
      </w:pPr>
    </w:p>
    <w:p w:rsidR="006A3A8A" w:rsidRPr="006B0F45" w:rsidRDefault="006A3A8A" w:rsidP="006A3A8A">
      <w:r w:rsidRPr="006B0F45">
        <w:t xml:space="preserve">The proposed rule </w:t>
      </w:r>
      <w:r w:rsidR="00DA4B3B" w:rsidRPr="006B0F45">
        <w:t>would require</w:t>
      </w:r>
      <w:r w:rsidRPr="006B0F45">
        <w:t xml:space="preserve"> that </w:t>
      </w:r>
      <w:r w:rsidR="00545E03">
        <w:t xml:space="preserve">certain </w:t>
      </w:r>
      <w:r w:rsidRPr="006B0F45">
        <w:t>firm</w:t>
      </w:r>
      <w:r w:rsidR="00545E03">
        <w:t>s</w:t>
      </w:r>
      <w:r w:rsidRPr="006B0F45">
        <w:t xml:space="preserve"> </w:t>
      </w:r>
      <w:r w:rsidR="00545E03">
        <w:t xml:space="preserve">that </w:t>
      </w:r>
      <w:r w:rsidRPr="006B0F45">
        <w:t xml:space="preserve">manufacture, process, or distribute chemicals subject to TSCA </w:t>
      </w:r>
      <w:r w:rsidR="002934B7">
        <w:t>s</w:t>
      </w:r>
      <w:r w:rsidR="00A9598B" w:rsidRPr="006B0F45">
        <w:t xml:space="preserve">ections 4, 5, and 6 </w:t>
      </w:r>
      <w:r w:rsidRPr="006B0F45">
        <w:t>actions pay a fee specific to that action</w:t>
      </w:r>
      <w:r w:rsidR="00A9598B" w:rsidRPr="006B0F45">
        <w:t xml:space="preserve">. Fees </w:t>
      </w:r>
      <w:r w:rsidR="00DA4B3B" w:rsidRPr="006B0F45">
        <w:t xml:space="preserve">would </w:t>
      </w:r>
      <w:r w:rsidR="00A9598B" w:rsidRPr="006B0F45">
        <w:t>be paid</w:t>
      </w:r>
      <w:r w:rsidRPr="006B0F45">
        <w:t xml:space="preserve"> via Pay.gov or Fedwire. Firms </w:t>
      </w:r>
      <w:r w:rsidR="00DA4B3B" w:rsidRPr="006B0F45">
        <w:t xml:space="preserve">would </w:t>
      </w:r>
      <w:r w:rsidRPr="006B0F45">
        <w:t>also need to determine if they qualify as a</w:t>
      </w:r>
      <w:r w:rsidR="00AB6E44" w:rsidRPr="006B0F45">
        <w:t>n eligible</w:t>
      </w:r>
      <w:r w:rsidRPr="006B0F45">
        <w:t xml:space="preserve"> small business </w:t>
      </w:r>
      <w:r w:rsidR="00AB6E44" w:rsidRPr="006B0F45">
        <w:t>for</w:t>
      </w:r>
      <w:r w:rsidRPr="006B0F45">
        <w:t xml:space="preserve"> discounted fe</w:t>
      </w:r>
      <w:r w:rsidR="00DA4B3B" w:rsidRPr="006B0F45">
        <w:t xml:space="preserve">es. For the proposed </w:t>
      </w:r>
      <w:r w:rsidRPr="006B0F45">
        <w:t xml:space="preserve">rule, EPA </w:t>
      </w:r>
      <w:r w:rsidR="004A19BD" w:rsidRPr="006B0F45">
        <w:t xml:space="preserve">specifies discounted fees for </w:t>
      </w:r>
      <w:r w:rsidRPr="006B0F45">
        <w:t xml:space="preserve">small business with </w:t>
      </w:r>
      <w:r w:rsidR="004A19BD" w:rsidRPr="006B0F45">
        <w:t xml:space="preserve">average </w:t>
      </w:r>
      <w:r w:rsidRPr="006B0F45">
        <w:t xml:space="preserve">annual sales </w:t>
      </w:r>
      <w:r w:rsidR="004A19BD" w:rsidRPr="006B0F45">
        <w:t xml:space="preserve">of </w:t>
      </w:r>
      <w:r w:rsidRPr="006B0F45">
        <w:t>less than $91 million</w:t>
      </w:r>
      <w:r w:rsidR="004A19BD" w:rsidRPr="006B0F45">
        <w:t xml:space="preserve"> for the three preceding years</w:t>
      </w:r>
      <w:r w:rsidRPr="006B0F45">
        <w:t xml:space="preserve">. For </w:t>
      </w:r>
      <w:r w:rsidR="002934B7">
        <w:t>TSCA s</w:t>
      </w:r>
      <w:r w:rsidRPr="006B0F45">
        <w:t xml:space="preserve">ection 4 and 6 fees, firms are allowed to </w:t>
      </w:r>
      <w:r w:rsidR="004A19BD" w:rsidRPr="006B0F45">
        <w:t xml:space="preserve">form </w:t>
      </w:r>
      <w:r w:rsidRPr="006B0F45">
        <w:t xml:space="preserve">a consortium </w:t>
      </w:r>
      <w:r w:rsidR="004A19BD" w:rsidRPr="006B0F45">
        <w:t xml:space="preserve">for paying the specified fees </w:t>
      </w:r>
      <w:r w:rsidRPr="006B0F45">
        <w:t xml:space="preserve">and </w:t>
      </w:r>
      <w:r w:rsidR="00DA4B3B" w:rsidRPr="006B0F45">
        <w:t>would be required to</w:t>
      </w:r>
      <w:r w:rsidRPr="006B0F45">
        <w:t xml:space="preserve"> </w:t>
      </w:r>
      <w:r w:rsidR="00580718">
        <w:t>notify</w:t>
      </w:r>
      <w:r w:rsidRPr="006B0F45">
        <w:t xml:space="preserve"> EPA</w:t>
      </w:r>
      <w:r w:rsidR="00580718">
        <w:t xml:space="preserve"> that the consortium was formed</w:t>
      </w:r>
      <w:r w:rsidR="004A19BD" w:rsidRPr="006B0F45">
        <w:t>,</w:t>
      </w:r>
      <w:r w:rsidRPr="006B0F45">
        <w:t xml:space="preserve"> detailing the members of the consortium. This </w:t>
      </w:r>
      <w:r w:rsidR="00580718">
        <w:t>notification</w:t>
      </w:r>
      <w:r w:rsidR="00580718" w:rsidRPr="006B0F45">
        <w:t xml:space="preserve"> </w:t>
      </w:r>
      <w:r w:rsidRPr="006B0F45">
        <w:t>must be submitted electronically with EPA’s Central Data Exchange (CDX).</w:t>
      </w:r>
    </w:p>
    <w:p w:rsidR="006A3A8A" w:rsidRPr="006B0F45" w:rsidRDefault="006A3A8A" w:rsidP="006A3A8A"/>
    <w:p w:rsidR="006A3A8A" w:rsidRPr="006B0F45" w:rsidRDefault="006A3A8A" w:rsidP="006A3A8A">
      <w:pPr>
        <w:rPr>
          <w:u w:val="single"/>
        </w:rPr>
      </w:pPr>
      <w:r w:rsidRPr="006B0F45">
        <w:rPr>
          <w:u w:val="single"/>
        </w:rPr>
        <w:t>Number of Entities Affected</w:t>
      </w:r>
    </w:p>
    <w:p w:rsidR="006A3A8A" w:rsidRPr="006B0F45" w:rsidRDefault="006A3A8A" w:rsidP="006A3A8A">
      <w:r w:rsidRPr="006B0F45">
        <w:t xml:space="preserve">EPA developed estimates for number of firms affected per action based on the average number of manufacturers per chemicals multiplied by the number of chemicals affected per action. For </w:t>
      </w:r>
      <w:r w:rsidR="002934B7">
        <w:t>TSCA s</w:t>
      </w:r>
      <w:r w:rsidRPr="006B0F45">
        <w:t xml:space="preserve">ection 4, the number of manufacturers per chemical and number of chemicals per action was estimated from the High Production Volume (HPV) Test Rules 2, 3, and 4. With an average of seven chemicals involved per </w:t>
      </w:r>
      <w:r w:rsidR="002934B7">
        <w:t>TSCA s</w:t>
      </w:r>
      <w:r w:rsidRPr="006B0F45">
        <w:t xml:space="preserve">ection 4 action and an average of four manufacturers per chemical, each </w:t>
      </w:r>
      <w:r w:rsidR="002934B7">
        <w:t>TSCA s</w:t>
      </w:r>
      <w:r w:rsidRPr="006B0F45">
        <w:t xml:space="preserve">ection 4 action is estimated to impact </w:t>
      </w:r>
      <w:r w:rsidR="00DA4B3B" w:rsidRPr="006B0F45">
        <w:t>28</w:t>
      </w:r>
      <w:r w:rsidRPr="006B0F45">
        <w:t xml:space="preserve"> firms. </w:t>
      </w:r>
      <w:r w:rsidR="002934B7">
        <w:t>TSCA s</w:t>
      </w:r>
      <w:r w:rsidRPr="006B0F45">
        <w:t xml:space="preserve">ection 5 actions impact one firm per action. The number of firms affected per action for </w:t>
      </w:r>
      <w:r w:rsidR="002934B7">
        <w:t>TSCA s</w:t>
      </w:r>
      <w:r w:rsidRPr="006B0F45">
        <w:t xml:space="preserve">ection 6 is estimated from the average number of manufacturers for the first </w:t>
      </w:r>
      <w:r w:rsidR="00DA4B3B" w:rsidRPr="006B0F45">
        <w:t>10</w:t>
      </w:r>
      <w:r w:rsidRPr="006B0F45">
        <w:t xml:space="preserve"> chemicals </w:t>
      </w:r>
      <w:r w:rsidR="00DA4B3B" w:rsidRPr="006B0F45">
        <w:t>identified for risk evaluations under</w:t>
      </w:r>
      <w:r w:rsidRPr="006B0F45">
        <w:t xml:space="preserve"> TSCA as amended by the Frank R. Lautenberg Chemical S</w:t>
      </w:r>
      <w:r w:rsidR="00DA4B3B" w:rsidRPr="006B0F45">
        <w:t>afety for the 21st Century Act</w:t>
      </w:r>
      <w:r w:rsidRPr="006B0F45">
        <w:t xml:space="preserve">, amounting to seven firms affected per </w:t>
      </w:r>
      <w:r w:rsidR="002934B7">
        <w:t>TSCA s</w:t>
      </w:r>
      <w:r w:rsidRPr="006B0F45">
        <w:t>ection 6 action.</w:t>
      </w:r>
    </w:p>
    <w:p w:rsidR="006A3A8A" w:rsidRPr="006B0F45" w:rsidRDefault="006A3A8A" w:rsidP="006A3A8A">
      <w:pPr>
        <w:pStyle w:val="NoSpacing"/>
      </w:pPr>
    </w:p>
    <w:p w:rsidR="006A3A8A" w:rsidRPr="006B0F45" w:rsidRDefault="006A3A8A" w:rsidP="006A3A8A">
      <w:pPr>
        <w:pStyle w:val="NoSpacing"/>
      </w:pPr>
      <w:r w:rsidRPr="006B0F45">
        <w:t xml:space="preserve">The total number of firms affected per year is the product of the number of firms affected per action and the estimated number of actions per year. EPA estimates the number of </w:t>
      </w:r>
      <w:r w:rsidR="002934B7">
        <w:t>TSCA s</w:t>
      </w:r>
      <w:r w:rsidRPr="006B0F45">
        <w:t>ection 4 actions</w:t>
      </w:r>
      <w:r w:rsidR="000A63A0" w:rsidRPr="006B0F45">
        <w:t xml:space="preserve"> to </w:t>
      </w:r>
      <w:r w:rsidR="00DA4B3B" w:rsidRPr="006B0F45">
        <w:t xml:space="preserve">total </w:t>
      </w:r>
      <w:r w:rsidR="009703F8">
        <w:t>12</w:t>
      </w:r>
      <w:r w:rsidR="009703F8" w:rsidRPr="006B0F45">
        <w:t xml:space="preserve"> </w:t>
      </w:r>
      <w:r w:rsidRPr="006B0F45">
        <w:t xml:space="preserve">actions per year. </w:t>
      </w:r>
      <w:r w:rsidR="00D941B6">
        <w:t xml:space="preserve">Certain </w:t>
      </w:r>
      <w:r w:rsidR="002934B7">
        <w:t>TSCA s</w:t>
      </w:r>
      <w:r w:rsidRPr="006B0F45">
        <w:t xml:space="preserve">ection 5 actions are estimated as </w:t>
      </w:r>
      <w:r w:rsidR="0030281D">
        <w:t>2</w:t>
      </w:r>
      <w:r w:rsidRPr="006B0F45">
        <w:t xml:space="preserve">0% lower than the </w:t>
      </w:r>
      <w:r w:rsidR="000A63A0" w:rsidRPr="006B0F45">
        <w:t xml:space="preserve">average </w:t>
      </w:r>
      <w:r w:rsidRPr="006B0F45">
        <w:t xml:space="preserve">number of </w:t>
      </w:r>
      <w:r w:rsidR="002934B7">
        <w:t>TSCA s</w:t>
      </w:r>
      <w:r w:rsidR="000A63A0" w:rsidRPr="006B0F45">
        <w:t>ection 5</w:t>
      </w:r>
      <w:r w:rsidRPr="006B0F45">
        <w:t xml:space="preserve"> submissions </w:t>
      </w:r>
      <w:r w:rsidR="008849E7">
        <w:t>in fiscal year</w:t>
      </w:r>
      <w:r w:rsidR="000A63A0" w:rsidRPr="006B0F45">
        <w:t xml:space="preserve"> 2016, </w:t>
      </w:r>
      <w:r w:rsidRPr="006B0F45">
        <w:t>due to increased fees</w:t>
      </w:r>
      <w:r w:rsidR="000A63A0" w:rsidRPr="006B0F45">
        <w:t>,</w:t>
      </w:r>
      <w:r w:rsidRPr="006B0F45">
        <w:t xml:space="preserve"> for a total of 1,</w:t>
      </w:r>
      <w:r w:rsidR="00106423" w:rsidRPr="006B0F45">
        <w:t>0</w:t>
      </w:r>
      <w:r w:rsidR="00106423">
        <w:t>22</w:t>
      </w:r>
      <w:r w:rsidR="00106423" w:rsidRPr="006B0F45">
        <w:t xml:space="preserve"> </w:t>
      </w:r>
      <w:r w:rsidR="00DA4B3B" w:rsidRPr="006B0F45">
        <w:t xml:space="preserve">submissions </w:t>
      </w:r>
      <w:r w:rsidRPr="006B0F45">
        <w:t xml:space="preserve">per year. Since risk evaluations are new actions under </w:t>
      </w:r>
      <w:r w:rsidR="002934B7">
        <w:t>TSCA s</w:t>
      </w:r>
      <w:r w:rsidRPr="006B0F45">
        <w:t>ect</w:t>
      </w:r>
      <w:r w:rsidR="00DA4B3B" w:rsidRPr="006B0F45">
        <w:t>ion 6, EPA based its estimate of</w:t>
      </w:r>
      <w:r w:rsidRPr="006B0F45">
        <w:t xml:space="preserve"> the number of actions per year on the statutory requirement of </w:t>
      </w:r>
      <w:r w:rsidR="001020B5">
        <w:t>25</w:t>
      </w:r>
      <w:r w:rsidRPr="006B0F45">
        <w:t xml:space="preserve"> ongoing risk evaluations over a three-year period, resulting in an average of </w:t>
      </w:r>
      <w:r w:rsidR="00106423">
        <w:t>eight</w:t>
      </w:r>
      <w:r w:rsidR="00106423" w:rsidRPr="006B0F45">
        <w:t xml:space="preserve"> </w:t>
      </w:r>
      <w:r w:rsidR="002934B7">
        <w:t>TSCA s</w:t>
      </w:r>
      <w:r w:rsidR="00DA4B3B" w:rsidRPr="006B0F45">
        <w:t xml:space="preserve">ection 6 </w:t>
      </w:r>
      <w:r w:rsidRPr="006B0F45">
        <w:t>actions per year. Combined with the number of firms affected per action, the total number of firms impacted per year is 1,</w:t>
      </w:r>
      <w:r w:rsidR="00106423" w:rsidRPr="006B0F45">
        <w:t>4</w:t>
      </w:r>
      <w:r w:rsidR="00106423">
        <w:t>14</w:t>
      </w:r>
      <w:r w:rsidR="00106423" w:rsidRPr="006B0F45">
        <w:t xml:space="preserve"> </w:t>
      </w:r>
      <w:r w:rsidR="00DA4B3B" w:rsidRPr="006B0F45">
        <w:t>firms;</w:t>
      </w:r>
      <w:r w:rsidRPr="006B0F45">
        <w:t xml:space="preserve"> 336 firms from </w:t>
      </w:r>
      <w:r w:rsidR="002934B7">
        <w:t>TSCA s</w:t>
      </w:r>
      <w:r w:rsidRPr="006B0F45">
        <w:t>ection 4 actions, 1,</w:t>
      </w:r>
      <w:r w:rsidR="00106423" w:rsidRPr="006B0F45">
        <w:t>0</w:t>
      </w:r>
      <w:r w:rsidR="00106423">
        <w:t>22</w:t>
      </w:r>
      <w:r w:rsidR="00106423" w:rsidRPr="006B0F45">
        <w:t xml:space="preserve"> </w:t>
      </w:r>
      <w:r w:rsidRPr="006B0F45">
        <w:t xml:space="preserve">firms from </w:t>
      </w:r>
      <w:r w:rsidR="002934B7">
        <w:t>TSCA s</w:t>
      </w:r>
      <w:r w:rsidRPr="006B0F45">
        <w:t>ection 5 actions</w:t>
      </w:r>
      <w:r w:rsidR="00DA4B3B" w:rsidRPr="006B0F45">
        <w:t>,</w:t>
      </w:r>
      <w:r w:rsidRPr="006B0F45">
        <w:t xml:space="preserve"> and </w:t>
      </w:r>
      <w:r w:rsidR="00106423">
        <w:t>56</w:t>
      </w:r>
      <w:r w:rsidR="00106423" w:rsidRPr="006B0F45">
        <w:t xml:space="preserve"> </w:t>
      </w:r>
      <w:r w:rsidRPr="006B0F45">
        <w:t xml:space="preserve">firms from </w:t>
      </w:r>
      <w:r w:rsidR="002934B7">
        <w:t>TSCA s</w:t>
      </w:r>
      <w:r w:rsidRPr="006B0F45">
        <w:t>ection 6 actions.</w:t>
      </w:r>
    </w:p>
    <w:p w:rsidR="006A3A8A" w:rsidRPr="006B0F45" w:rsidRDefault="006A3A8A" w:rsidP="006A3A8A">
      <w:pPr>
        <w:pStyle w:val="NoSpacing"/>
      </w:pPr>
    </w:p>
    <w:p w:rsidR="006A3A8A" w:rsidRPr="006B0F45" w:rsidRDefault="006A3A8A" w:rsidP="006A3A8A">
      <w:pPr>
        <w:pStyle w:val="NoSpacing"/>
        <w:rPr>
          <w:u w:val="single"/>
        </w:rPr>
      </w:pPr>
      <w:r w:rsidRPr="006B0F45">
        <w:rPr>
          <w:u w:val="single"/>
        </w:rPr>
        <w:t>Rule Familiarization Burden</w:t>
      </w:r>
    </w:p>
    <w:p w:rsidR="006A3A8A" w:rsidRPr="006B0F45" w:rsidRDefault="006A3A8A" w:rsidP="006A3A8A">
      <w:r w:rsidRPr="006B0F45">
        <w:t xml:space="preserve">EPA assumes that each firm subject to a fee from a TSCA action </w:t>
      </w:r>
      <w:r w:rsidR="00DA4B3B" w:rsidRPr="006B0F45">
        <w:t>will</w:t>
      </w:r>
      <w:r w:rsidRPr="006B0F45">
        <w:t xml:space="preserve"> spend </w:t>
      </w:r>
      <w:r w:rsidR="004367D6" w:rsidRPr="006B0F45">
        <w:t>0</w:t>
      </w:r>
      <w:r w:rsidR="00DA4B3B" w:rsidRPr="006B0F45">
        <w:t xml:space="preserve">.5 hours </w:t>
      </w:r>
      <w:r w:rsidRPr="006B0F45">
        <w:t xml:space="preserve">becoming familiar with the requirements of the </w:t>
      </w:r>
      <w:r w:rsidR="00DA4B3B" w:rsidRPr="006B0F45">
        <w:t xml:space="preserve">proposed </w:t>
      </w:r>
      <w:r w:rsidRPr="006B0F45">
        <w:t xml:space="preserve">rule and developing an understanding of what actions are necessary to comply with the fee payment requirements. This is estimated as a one-time burden. The burden is estimated to occur the first </w:t>
      </w:r>
      <w:r w:rsidR="004A19BD" w:rsidRPr="006B0F45">
        <w:t>time a firm is affected by the proposed rule</w:t>
      </w:r>
      <w:r w:rsidRPr="006B0F45">
        <w:t xml:space="preserve">. To </w:t>
      </w:r>
      <w:r w:rsidR="004367D6" w:rsidRPr="006B0F45">
        <w:t xml:space="preserve">simplify the analysis, EPA assumes that no firm will be subject to any of the </w:t>
      </w:r>
      <w:r w:rsidR="002934B7">
        <w:t>TSCA section 4,</w:t>
      </w:r>
      <w:r w:rsidR="004367D6" w:rsidRPr="006B0F45">
        <w:t xml:space="preserve"> 5, or 6 action</w:t>
      </w:r>
      <w:r w:rsidR="00F30E98">
        <w:t>s more than once over the three-</w:t>
      </w:r>
      <w:r w:rsidR="004367D6" w:rsidRPr="006B0F45">
        <w:t>year period of this ICR.</w:t>
      </w:r>
      <w:r w:rsidRPr="006B0F45">
        <w:t xml:space="preserve"> Therefore, average burden per respondent for each year is calculated as </w:t>
      </w:r>
      <w:r w:rsidR="002C15B0" w:rsidRPr="006B0F45">
        <w:t xml:space="preserve">0.5/3 = 0.167 </w:t>
      </w:r>
      <w:r w:rsidRPr="006B0F45">
        <w:t>hour</w:t>
      </w:r>
      <w:r w:rsidR="00D27C11" w:rsidRPr="006B0F45">
        <w:t>s</w:t>
      </w:r>
      <w:r w:rsidRPr="006B0F45">
        <w:t>/year.</w:t>
      </w:r>
    </w:p>
    <w:p w:rsidR="006A3A8A" w:rsidRPr="006B0F45" w:rsidRDefault="006A3A8A" w:rsidP="006A3A8A">
      <w:pPr>
        <w:pStyle w:val="NoSpacing"/>
      </w:pPr>
    </w:p>
    <w:p w:rsidR="006A3A8A" w:rsidRPr="006B0F45" w:rsidRDefault="002C15B0" w:rsidP="004A19BD">
      <w:pPr>
        <w:keepNext/>
        <w:rPr>
          <w:u w:val="single"/>
        </w:rPr>
      </w:pPr>
      <w:r w:rsidRPr="006B0F45">
        <w:rPr>
          <w:u w:val="single"/>
        </w:rPr>
        <w:t>Discounted Fee Eligibility Determination</w:t>
      </w:r>
    </w:p>
    <w:p w:rsidR="006A3A8A" w:rsidRPr="006B0F45" w:rsidRDefault="004367D6" w:rsidP="00803F2D">
      <w:pPr>
        <w:pStyle w:val="NormalBullets1"/>
        <w:numPr>
          <w:ilvl w:val="0"/>
          <w:numId w:val="0"/>
        </w:numPr>
      </w:pPr>
      <w:r w:rsidRPr="006B0F45">
        <w:rPr>
          <w:rFonts w:ascii="Arial" w:eastAsiaTheme="minorHAnsi" w:hAnsi="Arial" w:cstheme="minorBidi"/>
          <w:sz w:val="24"/>
          <w:szCs w:val="22"/>
        </w:rPr>
        <w:t>The proposed rule specifi</w:t>
      </w:r>
      <w:r w:rsidR="006A3A8A" w:rsidRPr="006B0F45">
        <w:rPr>
          <w:rFonts w:ascii="Arial" w:eastAsiaTheme="minorHAnsi" w:hAnsi="Arial" w:cstheme="minorBidi"/>
          <w:sz w:val="24"/>
          <w:szCs w:val="22"/>
        </w:rPr>
        <w:t xml:space="preserve">es </w:t>
      </w:r>
      <w:r w:rsidRPr="006B0F45">
        <w:rPr>
          <w:rFonts w:ascii="Arial" w:eastAsiaTheme="minorHAnsi" w:hAnsi="Arial" w:cstheme="minorBidi"/>
          <w:sz w:val="24"/>
          <w:szCs w:val="22"/>
        </w:rPr>
        <w:t>discounted fees for firms</w:t>
      </w:r>
      <w:r w:rsidR="006A3A8A" w:rsidRPr="006B0F45">
        <w:rPr>
          <w:rFonts w:ascii="Arial" w:eastAsiaTheme="minorHAnsi" w:hAnsi="Arial" w:cstheme="minorBidi"/>
          <w:sz w:val="24"/>
          <w:szCs w:val="22"/>
        </w:rPr>
        <w:t xml:space="preserve"> with average </w:t>
      </w:r>
      <w:r w:rsidRPr="006B0F45">
        <w:rPr>
          <w:rFonts w:ascii="Arial" w:eastAsiaTheme="minorHAnsi" w:hAnsi="Arial" w:cstheme="minorBidi"/>
          <w:sz w:val="24"/>
          <w:szCs w:val="22"/>
        </w:rPr>
        <w:t xml:space="preserve">annual sales </w:t>
      </w:r>
      <w:r w:rsidR="006A3A8A" w:rsidRPr="006B0F45">
        <w:rPr>
          <w:rFonts w:ascii="Arial" w:eastAsiaTheme="minorHAnsi" w:hAnsi="Arial" w:cstheme="minorBidi"/>
          <w:sz w:val="24"/>
          <w:szCs w:val="22"/>
        </w:rPr>
        <w:t xml:space="preserve">of </w:t>
      </w:r>
      <w:r w:rsidRPr="006B0F45">
        <w:rPr>
          <w:rFonts w:ascii="Arial" w:eastAsiaTheme="minorHAnsi" w:hAnsi="Arial" w:cstheme="minorBidi"/>
          <w:sz w:val="24"/>
          <w:szCs w:val="22"/>
        </w:rPr>
        <w:t xml:space="preserve">less than </w:t>
      </w:r>
      <w:r w:rsidR="006A3A8A" w:rsidRPr="006B0F45">
        <w:rPr>
          <w:rFonts w:ascii="Arial" w:eastAsiaTheme="minorHAnsi" w:hAnsi="Arial" w:cstheme="minorBidi"/>
          <w:sz w:val="24"/>
          <w:szCs w:val="22"/>
        </w:rPr>
        <w:t xml:space="preserve">$91 million in annual sales over the three years preceding the submission. EPA estimates a burden of 0.5 hours of </w:t>
      </w:r>
      <w:r w:rsidR="00D27C11" w:rsidRPr="006B0F45">
        <w:rPr>
          <w:rFonts w:ascii="Arial" w:eastAsiaTheme="minorHAnsi" w:hAnsi="Arial" w:cstheme="minorBidi"/>
          <w:sz w:val="24"/>
          <w:szCs w:val="22"/>
        </w:rPr>
        <w:t>managerial burden</w:t>
      </w:r>
      <w:r w:rsidR="006A3A8A" w:rsidRPr="006B0F45">
        <w:rPr>
          <w:rFonts w:ascii="Arial" w:eastAsiaTheme="minorHAnsi" w:hAnsi="Arial" w:cstheme="minorBidi"/>
          <w:sz w:val="24"/>
          <w:szCs w:val="22"/>
        </w:rPr>
        <w:t xml:space="preserve"> to review the proposed rule’s threshold </w:t>
      </w:r>
      <w:r w:rsidR="00DE5648" w:rsidRPr="006B0F45">
        <w:rPr>
          <w:rFonts w:ascii="Arial" w:eastAsiaTheme="minorHAnsi" w:hAnsi="Arial" w:cstheme="minorBidi"/>
          <w:sz w:val="24"/>
          <w:szCs w:val="22"/>
        </w:rPr>
        <w:t xml:space="preserve">for firms eligible for a discounted fee </w:t>
      </w:r>
      <w:r w:rsidR="006A3A8A" w:rsidRPr="006B0F45">
        <w:rPr>
          <w:rFonts w:ascii="Arial" w:eastAsiaTheme="minorHAnsi" w:hAnsi="Arial" w:cstheme="minorBidi"/>
          <w:sz w:val="24"/>
          <w:szCs w:val="22"/>
        </w:rPr>
        <w:t>and compare it to the fi</w:t>
      </w:r>
      <w:r w:rsidR="00DE5648" w:rsidRPr="006B0F45">
        <w:rPr>
          <w:rFonts w:ascii="Arial" w:eastAsiaTheme="minorHAnsi" w:hAnsi="Arial" w:cstheme="minorBidi"/>
          <w:sz w:val="24"/>
          <w:szCs w:val="22"/>
        </w:rPr>
        <w:t>rm’s sales figures over the preceding</w:t>
      </w:r>
      <w:r w:rsidR="006A3A8A" w:rsidRPr="006B0F45">
        <w:rPr>
          <w:rFonts w:ascii="Arial" w:eastAsiaTheme="minorHAnsi" w:hAnsi="Arial" w:cstheme="minorBidi"/>
          <w:sz w:val="24"/>
          <w:szCs w:val="22"/>
        </w:rPr>
        <w:t xml:space="preserve"> three years to determine eligibility for the discount. EPA estimates that small businesses account for one in four firms for </w:t>
      </w:r>
      <w:r w:rsidR="002934B7">
        <w:rPr>
          <w:rFonts w:ascii="Arial" w:eastAsiaTheme="minorHAnsi" w:hAnsi="Arial" w:cstheme="minorBidi"/>
          <w:sz w:val="24"/>
          <w:szCs w:val="22"/>
        </w:rPr>
        <w:t>TSCA s</w:t>
      </w:r>
      <w:r w:rsidR="006A3A8A" w:rsidRPr="006B0F45">
        <w:rPr>
          <w:rFonts w:ascii="Arial" w:eastAsiaTheme="minorHAnsi" w:hAnsi="Arial" w:cstheme="minorBidi"/>
          <w:sz w:val="24"/>
          <w:szCs w:val="22"/>
        </w:rPr>
        <w:t>ection 4</w:t>
      </w:r>
      <w:r w:rsidR="00803F2D" w:rsidRPr="006B0F45">
        <w:rPr>
          <w:rFonts w:ascii="Arial" w:eastAsiaTheme="minorHAnsi" w:hAnsi="Arial" w:cstheme="minorBidi"/>
          <w:sz w:val="24"/>
          <w:szCs w:val="22"/>
        </w:rPr>
        <w:t xml:space="preserve"> actions</w:t>
      </w:r>
      <w:r w:rsidR="006A3A8A" w:rsidRPr="006B0F45">
        <w:rPr>
          <w:rFonts w:ascii="Arial" w:eastAsiaTheme="minorHAnsi" w:hAnsi="Arial" w:cstheme="minorBidi"/>
          <w:sz w:val="24"/>
          <w:szCs w:val="22"/>
        </w:rPr>
        <w:t xml:space="preserve">, </w:t>
      </w:r>
      <w:r w:rsidR="00DE5648" w:rsidRPr="006B0F45">
        <w:rPr>
          <w:rFonts w:ascii="Arial" w:eastAsiaTheme="minorHAnsi" w:hAnsi="Arial" w:cstheme="minorBidi"/>
          <w:sz w:val="24"/>
          <w:szCs w:val="22"/>
        </w:rPr>
        <w:t>18.5%</w:t>
      </w:r>
      <w:r w:rsidR="006A3A8A" w:rsidRPr="006B0F45">
        <w:rPr>
          <w:rFonts w:ascii="Arial" w:eastAsiaTheme="minorHAnsi" w:hAnsi="Arial" w:cstheme="minorBidi"/>
          <w:sz w:val="24"/>
          <w:szCs w:val="22"/>
        </w:rPr>
        <w:t xml:space="preserve"> of affected firms for </w:t>
      </w:r>
      <w:r w:rsidR="002934B7">
        <w:rPr>
          <w:rFonts w:ascii="Arial" w:eastAsiaTheme="minorHAnsi" w:hAnsi="Arial" w:cstheme="minorBidi"/>
          <w:sz w:val="24"/>
          <w:szCs w:val="22"/>
        </w:rPr>
        <w:t>TSCA s</w:t>
      </w:r>
      <w:r w:rsidR="006A3A8A" w:rsidRPr="006B0F45">
        <w:rPr>
          <w:rFonts w:ascii="Arial" w:eastAsiaTheme="minorHAnsi" w:hAnsi="Arial" w:cstheme="minorBidi"/>
          <w:sz w:val="24"/>
          <w:szCs w:val="22"/>
        </w:rPr>
        <w:t>ection 5</w:t>
      </w:r>
      <w:r w:rsidR="00803F2D" w:rsidRPr="006B0F45">
        <w:rPr>
          <w:rFonts w:ascii="Arial" w:eastAsiaTheme="minorHAnsi" w:hAnsi="Arial" w:cstheme="minorBidi"/>
          <w:sz w:val="24"/>
          <w:szCs w:val="22"/>
        </w:rPr>
        <w:t xml:space="preserve"> actions</w:t>
      </w:r>
      <w:r w:rsidR="00DE5648" w:rsidRPr="006B0F45">
        <w:rPr>
          <w:rFonts w:ascii="Arial" w:eastAsiaTheme="minorHAnsi" w:hAnsi="Arial" w:cstheme="minorBidi"/>
          <w:sz w:val="24"/>
          <w:szCs w:val="22"/>
        </w:rPr>
        <w:t>, and 2</w:t>
      </w:r>
      <w:r w:rsidR="00106423">
        <w:rPr>
          <w:rFonts w:ascii="Arial" w:eastAsiaTheme="minorHAnsi" w:hAnsi="Arial" w:cstheme="minorBidi"/>
          <w:sz w:val="24"/>
          <w:szCs w:val="22"/>
        </w:rPr>
        <w:t>4</w:t>
      </w:r>
      <w:r w:rsidR="006A3A8A" w:rsidRPr="006B0F45">
        <w:rPr>
          <w:rFonts w:ascii="Arial" w:eastAsiaTheme="minorHAnsi" w:hAnsi="Arial" w:cstheme="minorBidi"/>
          <w:sz w:val="24"/>
          <w:szCs w:val="22"/>
        </w:rPr>
        <w:t xml:space="preserve"> of </w:t>
      </w:r>
      <w:r w:rsidR="00106423">
        <w:rPr>
          <w:rFonts w:ascii="Arial" w:eastAsiaTheme="minorHAnsi" w:hAnsi="Arial" w:cstheme="minorBidi"/>
          <w:sz w:val="24"/>
          <w:szCs w:val="22"/>
        </w:rPr>
        <w:t>56</w:t>
      </w:r>
      <w:r w:rsidR="006A3A8A" w:rsidRPr="006B0F45">
        <w:rPr>
          <w:rFonts w:ascii="Arial" w:eastAsiaTheme="minorHAnsi" w:hAnsi="Arial" w:cstheme="minorBidi"/>
          <w:sz w:val="24"/>
          <w:szCs w:val="22"/>
        </w:rPr>
        <w:t xml:space="preserve"> firms for </w:t>
      </w:r>
      <w:r w:rsidR="002934B7">
        <w:rPr>
          <w:rFonts w:ascii="Arial" w:eastAsiaTheme="minorHAnsi" w:hAnsi="Arial" w:cstheme="minorBidi"/>
          <w:sz w:val="24"/>
          <w:szCs w:val="22"/>
        </w:rPr>
        <w:t>TSCA s</w:t>
      </w:r>
      <w:r w:rsidR="006A3A8A" w:rsidRPr="006B0F45">
        <w:rPr>
          <w:rFonts w:ascii="Arial" w:eastAsiaTheme="minorHAnsi" w:hAnsi="Arial" w:cstheme="minorBidi"/>
          <w:sz w:val="24"/>
          <w:szCs w:val="22"/>
        </w:rPr>
        <w:t>ection 6</w:t>
      </w:r>
      <w:r w:rsidR="00D27C11" w:rsidRPr="006B0F45">
        <w:rPr>
          <w:rFonts w:ascii="Arial" w:eastAsiaTheme="minorHAnsi" w:hAnsi="Arial" w:cstheme="minorBidi"/>
          <w:sz w:val="24"/>
          <w:szCs w:val="22"/>
        </w:rPr>
        <w:t xml:space="preserve"> actions</w:t>
      </w:r>
      <w:r w:rsidR="006A3A8A" w:rsidRPr="006B0F45">
        <w:rPr>
          <w:rFonts w:ascii="Arial" w:eastAsiaTheme="minorHAnsi" w:hAnsi="Arial" w:cstheme="minorBidi"/>
          <w:sz w:val="24"/>
          <w:szCs w:val="22"/>
        </w:rPr>
        <w:t xml:space="preserve">. EPA assumes that the proportion of firms that will incur this cost is roughly equivalent to the proportion of affected </w:t>
      </w:r>
      <w:r w:rsidR="00803F2D" w:rsidRPr="006B0F45">
        <w:rPr>
          <w:rFonts w:ascii="Arial" w:eastAsiaTheme="minorHAnsi" w:hAnsi="Arial" w:cstheme="minorBidi"/>
          <w:sz w:val="24"/>
          <w:szCs w:val="22"/>
        </w:rPr>
        <w:t xml:space="preserve">firms </w:t>
      </w:r>
      <w:r w:rsidR="006A3A8A" w:rsidRPr="006B0F45">
        <w:rPr>
          <w:rFonts w:ascii="Arial" w:eastAsiaTheme="minorHAnsi" w:hAnsi="Arial" w:cstheme="minorBidi"/>
          <w:sz w:val="24"/>
          <w:szCs w:val="22"/>
        </w:rPr>
        <w:t xml:space="preserve">that are small. This </w:t>
      </w:r>
      <w:r w:rsidR="00DE5648" w:rsidRPr="006B0F45">
        <w:rPr>
          <w:rFonts w:ascii="Arial" w:eastAsiaTheme="minorHAnsi" w:hAnsi="Arial" w:cstheme="minorBidi"/>
          <w:sz w:val="24"/>
          <w:szCs w:val="22"/>
        </w:rPr>
        <w:t>may be an over</w:t>
      </w:r>
      <w:r w:rsidR="006A3A8A" w:rsidRPr="006B0F45">
        <w:rPr>
          <w:rFonts w:ascii="Arial" w:eastAsiaTheme="minorHAnsi" w:hAnsi="Arial" w:cstheme="minorBidi"/>
          <w:sz w:val="24"/>
          <w:szCs w:val="22"/>
        </w:rPr>
        <w:t xml:space="preserve">estimate </w:t>
      </w:r>
      <w:r w:rsidR="00DE5648" w:rsidRPr="006B0F45">
        <w:rPr>
          <w:rFonts w:ascii="Arial" w:eastAsiaTheme="minorHAnsi" w:hAnsi="Arial" w:cstheme="minorBidi"/>
          <w:sz w:val="24"/>
          <w:szCs w:val="22"/>
        </w:rPr>
        <w:t>as</w:t>
      </w:r>
      <w:r w:rsidR="006A3A8A" w:rsidRPr="006B0F45">
        <w:rPr>
          <w:rFonts w:ascii="Arial" w:eastAsiaTheme="minorHAnsi" w:hAnsi="Arial" w:cstheme="minorBidi"/>
          <w:sz w:val="24"/>
          <w:szCs w:val="22"/>
        </w:rPr>
        <w:t xml:space="preserve"> some small businesses with annual sales far below the threshold will not spend the time to confirm eligibility for the discount, while other firms with annual sales </w:t>
      </w:r>
      <w:r w:rsidR="00DE5648" w:rsidRPr="006B0F45">
        <w:rPr>
          <w:rFonts w:ascii="Arial" w:eastAsiaTheme="minorHAnsi" w:hAnsi="Arial" w:cstheme="minorBidi"/>
          <w:sz w:val="24"/>
          <w:szCs w:val="22"/>
        </w:rPr>
        <w:t xml:space="preserve">far exceeding </w:t>
      </w:r>
      <w:r w:rsidR="006A3A8A" w:rsidRPr="006B0F45">
        <w:rPr>
          <w:rFonts w:ascii="Arial" w:eastAsiaTheme="minorHAnsi" w:hAnsi="Arial" w:cstheme="minorBidi"/>
          <w:sz w:val="24"/>
          <w:szCs w:val="22"/>
        </w:rPr>
        <w:t xml:space="preserve">the threshold may </w:t>
      </w:r>
      <w:r w:rsidR="00DE5648" w:rsidRPr="006B0F45">
        <w:rPr>
          <w:rFonts w:ascii="Arial" w:eastAsiaTheme="minorHAnsi" w:hAnsi="Arial" w:cstheme="minorBidi"/>
          <w:sz w:val="24"/>
          <w:szCs w:val="22"/>
        </w:rPr>
        <w:t>also not</w:t>
      </w:r>
      <w:r w:rsidR="006A3A8A" w:rsidRPr="006B0F45">
        <w:rPr>
          <w:rFonts w:ascii="Arial" w:eastAsiaTheme="minorHAnsi" w:hAnsi="Arial" w:cstheme="minorBidi"/>
          <w:sz w:val="24"/>
          <w:szCs w:val="22"/>
        </w:rPr>
        <w:t xml:space="preserve"> spend the time to determine if</w:t>
      </w:r>
      <w:r w:rsidR="00803F2D" w:rsidRPr="006B0F45">
        <w:rPr>
          <w:rFonts w:ascii="Arial" w:eastAsiaTheme="minorHAnsi" w:hAnsi="Arial" w:cstheme="minorBidi"/>
          <w:sz w:val="24"/>
          <w:szCs w:val="22"/>
        </w:rPr>
        <w:t xml:space="preserve"> they qualify for the discount.</w:t>
      </w:r>
    </w:p>
    <w:p w:rsidR="006A3A8A" w:rsidRPr="006B0F45" w:rsidRDefault="00D27C11" w:rsidP="006A3A8A">
      <w:r w:rsidRPr="006B0F45">
        <w:t>This</w:t>
      </w:r>
      <w:r w:rsidR="006A3A8A" w:rsidRPr="006B0F45">
        <w:t xml:space="preserve"> burden is </w:t>
      </w:r>
      <w:r w:rsidRPr="006B0F45">
        <w:t>assumed t</w:t>
      </w:r>
      <w:r w:rsidR="006A3A8A" w:rsidRPr="006B0F45">
        <w:t xml:space="preserve">o </w:t>
      </w:r>
      <w:r w:rsidR="00DF53E1" w:rsidRPr="006B0F45">
        <w:t>oc</w:t>
      </w:r>
      <w:r w:rsidR="00803F2D" w:rsidRPr="006B0F45">
        <w:t xml:space="preserve">cur once </w:t>
      </w:r>
      <w:r w:rsidR="00892262" w:rsidRPr="006B0F45">
        <w:t>for each affected firm over the</w:t>
      </w:r>
      <w:r w:rsidR="00803F2D" w:rsidRPr="006B0F45">
        <w:t xml:space="preserve"> three-year period of this ICR</w:t>
      </w:r>
      <w:r w:rsidR="006A3A8A" w:rsidRPr="006B0F45">
        <w:t xml:space="preserve">. </w:t>
      </w:r>
      <w:r w:rsidR="00892262" w:rsidRPr="006B0F45">
        <w:t xml:space="preserve">Since EPA assumes that no firm will be subject to any of the </w:t>
      </w:r>
      <w:r w:rsidR="002934B7">
        <w:t>TSCA s</w:t>
      </w:r>
      <w:r w:rsidR="00892262" w:rsidRPr="006B0F45">
        <w:t>ection 4, 5, or 6 action</w:t>
      </w:r>
      <w:r w:rsidRPr="006B0F45">
        <w:t>s more than once over the three-</w:t>
      </w:r>
      <w:r w:rsidR="00892262" w:rsidRPr="006B0F45">
        <w:t>year period of this ICR</w:t>
      </w:r>
      <w:r w:rsidR="006A3A8A" w:rsidRPr="006B0F45">
        <w:t xml:space="preserve">, </w:t>
      </w:r>
      <w:r w:rsidR="00892262" w:rsidRPr="006B0F45">
        <w:t xml:space="preserve">the </w:t>
      </w:r>
      <w:r w:rsidR="006A3A8A" w:rsidRPr="006B0F45">
        <w:t xml:space="preserve">average burden per respondent is calculated as </w:t>
      </w:r>
      <w:r w:rsidR="00803F2D" w:rsidRPr="006B0F45">
        <w:t>0.5</w:t>
      </w:r>
      <w:r w:rsidR="002C15B0" w:rsidRPr="006B0F45">
        <w:t>/3 = 0.167</w:t>
      </w:r>
      <w:r w:rsidR="006A3A8A" w:rsidRPr="006B0F45">
        <w:t xml:space="preserve"> hour</w:t>
      </w:r>
      <w:r w:rsidRPr="006B0F45">
        <w:t>s</w:t>
      </w:r>
      <w:r w:rsidR="006A3A8A" w:rsidRPr="006B0F45">
        <w:t>/year.</w:t>
      </w:r>
    </w:p>
    <w:p w:rsidR="006A3A8A" w:rsidRPr="006B0F45" w:rsidRDefault="006A3A8A" w:rsidP="006A3A8A"/>
    <w:p w:rsidR="006A3A8A" w:rsidRPr="006B0F45" w:rsidRDefault="006A3A8A" w:rsidP="006A3A8A">
      <w:pPr>
        <w:rPr>
          <w:u w:val="single"/>
        </w:rPr>
      </w:pPr>
      <w:r w:rsidRPr="006B0F45">
        <w:rPr>
          <w:u w:val="single"/>
        </w:rPr>
        <w:t>Fee Payment Burden</w:t>
      </w:r>
    </w:p>
    <w:p w:rsidR="000A65CA" w:rsidRPr="006B0F45" w:rsidRDefault="00EE3D6D" w:rsidP="000A65CA">
      <w:pPr>
        <w:pStyle w:val="NoSpacing"/>
      </w:pPr>
      <w:r w:rsidRPr="006B0F45">
        <w:t xml:space="preserve">Firms would be required to make fee payments electronically using Pay.gov or Fedwire. Firms will need to spend time gathering the necessary information required by the two-page </w:t>
      </w:r>
      <w:r w:rsidR="00892262" w:rsidRPr="006B0F45">
        <w:t xml:space="preserve">form for </w:t>
      </w:r>
      <w:r w:rsidRPr="006B0F45">
        <w:t>payment. This information include</w:t>
      </w:r>
      <w:r w:rsidR="00892262" w:rsidRPr="006B0F45">
        <w:t>s</w:t>
      </w:r>
      <w:r w:rsidRPr="006B0F45">
        <w:t xml:space="preserve">: Company contact information, payment amount and method information. For Pay.gov, acceptable forms of payment include bank account (Automated Clearing House), debit card, and credit card. EPA estimates a burden of 0.5 hours per year of </w:t>
      </w:r>
      <w:r w:rsidR="00D27C11" w:rsidRPr="006B0F45">
        <w:t>technical burden</w:t>
      </w:r>
      <w:r w:rsidRPr="006B0F45">
        <w:t xml:space="preserve"> to collect </w:t>
      </w:r>
      <w:r w:rsidR="00D27C11" w:rsidRPr="006B0F45">
        <w:t>the required</w:t>
      </w:r>
      <w:r w:rsidRPr="006B0F45">
        <w:t xml:space="preserve"> information and fill out the Pay.gov form or initiate a Fedwire payment.</w:t>
      </w:r>
    </w:p>
    <w:p w:rsidR="006A3A8A" w:rsidRPr="006B0F45" w:rsidRDefault="006A3A8A" w:rsidP="006A3A8A">
      <w:pPr>
        <w:pStyle w:val="NoSpacing"/>
      </w:pPr>
    </w:p>
    <w:p w:rsidR="006A3A8A" w:rsidRPr="006B0F45" w:rsidRDefault="00A737F1" w:rsidP="006A3A8A">
      <w:r w:rsidRPr="006B0F45">
        <w:t>For each affected firm, t</w:t>
      </w:r>
      <w:r w:rsidR="006A3A8A" w:rsidRPr="006B0F45">
        <w:t xml:space="preserve">he burden is estimated to occur </w:t>
      </w:r>
      <w:r w:rsidR="00DF53E1" w:rsidRPr="006B0F45">
        <w:t>once over the three-year period of this ICR</w:t>
      </w:r>
      <w:r w:rsidR="006A3A8A" w:rsidRPr="006B0F45">
        <w:t xml:space="preserve">. </w:t>
      </w:r>
      <w:r w:rsidR="00D27C11" w:rsidRPr="006B0F45">
        <w:t xml:space="preserve">Since </w:t>
      </w:r>
      <w:r w:rsidRPr="006B0F45">
        <w:t xml:space="preserve">EPA assumes that no firm will be subject to any of the </w:t>
      </w:r>
      <w:r w:rsidR="002934B7">
        <w:t>TSCA s</w:t>
      </w:r>
      <w:r w:rsidRPr="006B0F45">
        <w:t>ection 4, 5, or 6 actions more than once over the three</w:t>
      </w:r>
      <w:r w:rsidR="00D27C11" w:rsidRPr="006B0F45">
        <w:t>-</w:t>
      </w:r>
      <w:r w:rsidRPr="006B0F45">
        <w:t xml:space="preserve">year period of this ICR, the average burden per respondent is calculated as </w:t>
      </w:r>
      <w:r w:rsidR="002C15B0" w:rsidRPr="006B0F45">
        <w:t xml:space="preserve">0.5/3 = 0.167 </w:t>
      </w:r>
      <w:r w:rsidR="00D27C11" w:rsidRPr="006B0F45">
        <w:t>hours</w:t>
      </w:r>
      <w:r w:rsidRPr="006B0F45">
        <w:t>/year.</w:t>
      </w:r>
    </w:p>
    <w:p w:rsidR="006A3A8A" w:rsidRPr="006B0F45" w:rsidRDefault="006A3A8A" w:rsidP="000A65CA">
      <w:pPr>
        <w:pStyle w:val="NoSpacing"/>
      </w:pPr>
    </w:p>
    <w:p w:rsidR="0043139C" w:rsidRPr="006B0F45" w:rsidRDefault="0043139C" w:rsidP="000A65CA">
      <w:pPr>
        <w:pStyle w:val="NoSpacing"/>
        <w:rPr>
          <w:u w:val="single"/>
        </w:rPr>
      </w:pPr>
      <w:r w:rsidRPr="006B0F45">
        <w:rPr>
          <w:u w:val="single"/>
        </w:rPr>
        <w:t>CDX Submission Burden</w:t>
      </w:r>
    </w:p>
    <w:p w:rsidR="00FF2259" w:rsidRPr="006B0F45" w:rsidRDefault="0043139C" w:rsidP="000A65CA">
      <w:pPr>
        <w:pStyle w:val="NoSpacing"/>
      </w:pPr>
      <w:r w:rsidRPr="006B0F45">
        <w:t>Firms</w:t>
      </w:r>
      <w:r w:rsidR="00D27C11" w:rsidRPr="006B0F45">
        <w:t xml:space="preserve"> subject to </w:t>
      </w:r>
      <w:r w:rsidR="002934B7" w:rsidRPr="002934B7">
        <w:t>TSCA s</w:t>
      </w:r>
      <w:r w:rsidR="00D27C11" w:rsidRPr="006B0F45">
        <w:t>ection 4 or 6 actions, who</w:t>
      </w:r>
      <w:r w:rsidR="00FF2259" w:rsidRPr="006B0F45">
        <w:t xml:space="preserve"> </w:t>
      </w:r>
      <w:r w:rsidR="00D27C11" w:rsidRPr="006B0F45">
        <w:t>decide to join</w:t>
      </w:r>
      <w:r w:rsidR="00FF2259" w:rsidRPr="006B0F45">
        <w:t xml:space="preserve"> consortium</w:t>
      </w:r>
      <w:r w:rsidR="00D27C11" w:rsidRPr="006B0F45">
        <w:t>,</w:t>
      </w:r>
      <w:r w:rsidR="00FF2259" w:rsidRPr="006B0F45">
        <w:t xml:space="preserve"> must </w:t>
      </w:r>
      <w:r w:rsidR="00580718">
        <w:t>notify</w:t>
      </w:r>
      <w:r w:rsidR="00FF2259" w:rsidRPr="009462D5">
        <w:t xml:space="preserve"> EPA with their firm’s information</w:t>
      </w:r>
      <w:r w:rsidR="00E94D9A">
        <w:t xml:space="preserve"> and</w:t>
      </w:r>
      <w:r w:rsidR="00FF2259" w:rsidRPr="009462D5">
        <w:t xml:space="preserve"> the names of the other members of the consortium via CDX. To simplify this analysis, EPA assumes that all firms will pay in a consortium when possible and that all firms are first-</w:t>
      </w:r>
      <w:r w:rsidR="004C6935" w:rsidRPr="006B0F45">
        <w:t xml:space="preserve">time </w:t>
      </w:r>
      <w:r w:rsidR="00FF2259" w:rsidRPr="006B0F45">
        <w:t xml:space="preserve">users of CDX. </w:t>
      </w:r>
      <w:r w:rsidR="00AF0DDD" w:rsidRPr="006B0F45">
        <w:t xml:space="preserve">EPA estimates that </w:t>
      </w:r>
      <w:r w:rsidR="00D27C11" w:rsidRPr="006B0F45">
        <w:t xml:space="preserve">this will require 0.25 hours per year of technical burden </w:t>
      </w:r>
      <w:r w:rsidR="00AF0DDD" w:rsidRPr="006B0F45">
        <w:t xml:space="preserve">to </w:t>
      </w:r>
      <w:r w:rsidR="00A3495C">
        <w:t>submit the information to EPA</w:t>
      </w:r>
      <w:r w:rsidR="00AF0DDD" w:rsidRPr="006B0F45">
        <w:t>. The registration and use burden associated with first-time CDX submissions are detailed in the table below</w:t>
      </w:r>
      <w:r w:rsidR="001F67AA" w:rsidRPr="006B0F45">
        <w:t>, adapted from previous ICRs for the Lead Renovation and Repair program</w:t>
      </w:r>
      <w:r w:rsidR="00647866" w:rsidRPr="009462D5">
        <w:t xml:space="preserve"> (EPA, 2016)</w:t>
      </w:r>
      <w:r w:rsidR="00AF0DDD" w:rsidRPr="009462D5">
        <w:t>.</w:t>
      </w:r>
      <w:r w:rsidR="00051254" w:rsidRPr="009462D5">
        <w:t xml:space="preserve"> </w:t>
      </w:r>
      <w:r w:rsidR="00AF101E" w:rsidRPr="009462D5">
        <w:t>F</w:t>
      </w:r>
      <w:r w:rsidR="00D27C11" w:rsidRPr="009462D5">
        <w:t xml:space="preserve">irst time users are estimated to incur 1.46 hours/year of technical burden. </w:t>
      </w:r>
      <w:r w:rsidR="00AF101E" w:rsidRPr="009462D5">
        <w:t xml:space="preserve">EPA estimates this burden to </w:t>
      </w:r>
      <w:r w:rsidR="00AF101E" w:rsidRPr="006B0F45">
        <w:t>occur once over the three-year period of this ICR</w:t>
      </w:r>
      <w:r w:rsidR="004C6935" w:rsidRPr="006B0F45">
        <w:t xml:space="preserve"> for each affected firm for </w:t>
      </w:r>
      <w:r w:rsidR="002934B7" w:rsidRPr="002934B7">
        <w:t>TSCA s</w:t>
      </w:r>
      <w:r w:rsidR="004C6935" w:rsidRPr="006B0F45">
        <w:t>ection 4 and 6 actions</w:t>
      </w:r>
      <w:r w:rsidR="00AF101E" w:rsidRPr="006B0F45">
        <w:t xml:space="preserve">. Thus, the average annual burden is calculated as </w:t>
      </w:r>
      <w:r w:rsidR="00AB6E44" w:rsidRPr="006B0F45">
        <w:t>(</w:t>
      </w:r>
      <w:r w:rsidR="00AF101E" w:rsidRPr="006B0F45">
        <w:t>0.25+1.46</w:t>
      </w:r>
      <w:r w:rsidR="00AB6E44" w:rsidRPr="006B0F45">
        <w:t>)/3</w:t>
      </w:r>
      <w:r w:rsidR="00AF101E" w:rsidRPr="006B0F45">
        <w:t xml:space="preserve"> = </w:t>
      </w:r>
      <w:r w:rsidR="00AB6E44" w:rsidRPr="006B0F45">
        <w:t>0</w:t>
      </w:r>
      <w:r w:rsidR="004C6935" w:rsidRPr="006B0F45">
        <w:t>.</w:t>
      </w:r>
      <w:r w:rsidR="00AB6E44" w:rsidRPr="006B0F45">
        <w:t>5</w:t>
      </w:r>
      <w:r w:rsidR="004C6935" w:rsidRPr="006B0F45">
        <w:t>7</w:t>
      </w:r>
      <w:r w:rsidR="00AF101E" w:rsidRPr="006B0F45">
        <w:t xml:space="preserve"> hours/year</w:t>
      </w:r>
    </w:p>
    <w:p w:rsidR="00AF0DDD" w:rsidRPr="006B0F45" w:rsidRDefault="00AF0DDD" w:rsidP="000A65CA">
      <w:pPr>
        <w:pStyle w:val="NoSpacing"/>
      </w:pPr>
    </w:p>
    <w:tbl>
      <w:tblPr>
        <w:tblW w:w="6768" w:type="dxa"/>
        <w:jc w:val="center"/>
        <w:tblLayout w:type="fixed"/>
        <w:tblLook w:val="04A0" w:firstRow="1" w:lastRow="0" w:firstColumn="1" w:lastColumn="0" w:noHBand="0" w:noVBand="1"/>
      </w:tblPr>
      <w:tblGrid>
        <w:gridCol w:w="3168"/>
        <w:gridCol w:w="3600"/>
      </w:tblGrid>
      <w:tr w:rsidR="001F67AA" w:rsidRPr="009462D5" w:rsidTr="004A19BD">
        <w:trPr>
          <w:trHeight w:val="350"/>
          <w:jc w:val="center"/>
        </w:trPr>
        <w:tc>
          <w:tcPr>
            <w:tcW w:w="6768" w:type="dxa"/>
            <w:gridSpan w:val="2"/>
            <w:tcBorders>
              <w:top w:val="single" w:sz="4" w:space="0" w:color="auto"/>
              <w:left w:val="single" w:sz="4" w:space="0" w:color="auto"/>
              <w:bottom w:val="nil"/>
              <w:right w:val="single" w:sz="4" w:space="0" w:color="auto"/>
            </w:tcBorders>
            <w:shd w:val="clear" w:color="auto" w:fill="BFBFBF" w:themeFill="background1" w:themeFillShade="BF"/>
            <w:hideMark/>
          </w:tcPr>
          <w:p w:rsidR="001F67AA" w:rsidRPr="006B0F45" w:rsidRDefault="001F67AA" w:rsidP="004A19BD">
            <w:pPr>
              <w:keepNext/>
              <w:spacing w:line="276" w:lineRule="auto"/>
              <w:jc w:val="center"/>
              <w:rPr>
                <w:rFonts w:eastAsia="Times New Roman" w:cs="Arial"/>
                <w:b/>
                <w:bCs/>
                <w:color w:val="000000"/>
                <w:sz w:val="22"/>
                <w:vertAlign w:val="superscript"/>
              </w:rPr>
            </w:pPr>
            <w:r w:rsidRPr="006B0F45">
              <w:rPr>
                <w:rFonts w:eastAsia="Times New Roman" w:cs="Arial"/>
                <w:b/>
                <w:bCs/>
                <w:color w:val="000000"/>
                <w:sz w:val="22"/>
              </w:rPr>
              <w:t>Initial Burden of CDX Submissions</w:t>
            </w:r>
          </w:p>
        </w:tc>
      </w:tr>
      <w:tr w:rsidR="00AF101E" w:rsidRPr="009462D5" w:rsidTr="004A19BD">
        <w:trPr>
          <w:trHeight w:val="443"/>
          <w:jc w:val="center"/>
        </w:trPr>
        <w:tc>
          <w:tcPr>
            <w:tcW w:w="3168"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rsidR="00AF101E" w:rsidRPr="009462D5" w:rsidRDefault="00AF101E" w:rsidP="004A19BD">
            <w:pPr>
              <w:keepNext/>
              <w:spacing w:line="276" w:lineRule="auto"/>
              <w:jc w:val="center"/>
              <w:rPr>
                <w:rFonts w:eastAsia="Times New Roman" w:cs="Arial"/>
                <w:b/>
                <w:bCs/>
                <w:sz w:val="18"/>
                <w:szCs w:val="18"/>
              </w:rPr>
            </w:pPr>
            <w:r w:rsidRPr="009462D5">
              <w:rPr>
                <w:rFonts w:eastAsia="Times New Roman" w:cs="Arial"/>
                <w:b/>
                <w:bCs/>
                <w:sz w:val="18"/>
                <w:szCs w:val="18"/>
              </w:rPr>
              <w:t>Activity</w:t>
            </w:r>
          </w:p>
        </w:tc>
        <w:tc>
          <w:tcPr>
            <w:tcW w:w="36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F101E" w:rsidRPr="006B0F45" w:rsidRDefault="00AF101E" w:rsidP="004A19BD">
            <w:pPr>
              <w:keepNext/>
              <w:spacing w:line="276" w:lineRule="auto"/>
              <w:jc w:val="center"/>
              <w:rPr>
                <w:rFonts w:eastAsia="Times New Roman" w:cs="Arial"/>
                <w:b/>
                <w:bCs/>
                <w:sz w:val="18"/>
                <w:szCs w:val="18"/>
              </w:rPr>
            </w:pPr>
            <w:r w:rsidRPr="006B0F45">
              <w:rPr>
                <w:rFonts w:eastAsia="Times New Roman" w:cs="Arial"/>
                <w:b/>
                <w:bCs/>
                <w:sz w:val="18"/>
                <w:szCs w:val="18"/>
              </w:rPr>
              <w:t>Burden (hours)</w:t>
            </w:r>
          </w:p>
        </w:tc>
      </w:tr>
      <w:tr w:rsidR="00AF101E" w:rsidRPr="009462D5" w:rsidTr="004A19BD">
        <w:trPr>
          <w:trHeight w:val="343"/>
          <w:jc w:val="center"/>
        </w:trPr>
        <w:tc>
          <w:tcPr>
            <w:tcW w:w="3168" w:type="dxa"/>
            <w:tcBorders>
              <w:top w:val="single" w:sz="4" w:space="0" w:color="auto"/>
              <w:left w:val="single" w:sz="4" w:space="0" w:color="auto"/>
              <w:bottom w:val="single" w:sz="8" w:space="0" w:color="auto"/>
              <w:right w:val="single" w:sz="4" w:space="0" w:color="auto"/>
            </w:tcBorders>
            <w:vAlign w:val="center"/>
            <w:hideMark/>
          </w:tcPr>
          <w:p w:rsidR="00AF101E" w:rsidRPr="009462D5" w:rsidRDefault="00AF101E" w:rsidP="004A19BD">
            <w:pPr>
              <w:spacing w:line="276" w:lineRule="auto"/>
              <w:rPr>
                <w:rFonts w:cs="Arial"/>
                <w:sz w:val="18"/>
                <w:szCs w:val="18"/>
              </w:rPr>
            </w:pPr>
            <w:r w:rsidRPr="009462D5">
              <w:rPr>
                <w:rFonts w:eastAsia="Times New Roman" w:cs="Arial"/>
                <w:sz w:val="18"/>
                <w:szCs w:val="18"/>
              </w:rPr>
              <w:t>CDX Registration</w:t>
            </w:r>
          </w:p>
        </w:tc>
        <w:tc>
          <w:tcPr>
            <w:tcW w:w="3600" w:type="dxa"/>
            <w:tcBorders>
              <w:top w:val="single" w:sz="4" w:space="0" w:color="auto"/>
              <w:left w:val="single" w:sz="4" w:space="0" w:color="auto"/>
              <w:bottom w:val="single" w:sz="4" w:space="0" w:color="auto"/>
              <w:right w:val="single" w:sz="4" w:space="0" w:color="auto"/>
            </w:tcBorders>
            <w:vAlign w:val="center"/>
            <w:hideMark/>
          </w:tcPr>
          <w:p w:rsidR="00AF101E" w:rsidRPr="006B0F45" w:rsidRDefault="00AF101E" w:rsidP="004A19BD">
            <w:pPr>
              <w:spacing w:line="276" w:lineRule="auto"/>
              <w:jc w:val="center"/>
              <w:rPr>
                <w:rFonts w:eastAsia="Times New Roman" w:cs="Arial"/>
                <w:color w:val="000000"/>
                <w:sz w:val="18"/>
                <w:szCs w:val="18"/>
              </w:rPr>
            </w:pPr>
            <w:r w:rsidRPr="006B0F45">
              <w:rPr>
                <w:rFonts w:eastAsia="Times New Roman" w:cs="Arial"/>
                <w:color w:val="000000"/>
                <w:sz w:val="18"/>
                <w:szCs w:val="18"/>
              </w:rPr>
              <w:t>0.84</w:t>
            </w:r>
          </w:p>
        </w:tc>
      </w:tr>
      <w:tr w:rsidR="00AF101E" w:rsidRPr="009462D5" w:rsidTr="004A19BD">
        <w:trPr>
          <w:trHeight w:val="325"/>
          <w:jc w:val="center"/>
        </w:trPr>
        <w:tc>
          <w:tcPr>
            <w:tcW w:w="3168" w:type="dxa"/>
            <w:tcBorders>
              <w:top w:val="nil"/>
              <w:left w:val="single" w:sz="4" w:space="0" w:color="auto"/>
              <w:bottom w:val="single" w:sz="8" w:space="0" w:color="auto"/>
              <w:right w:val="single" w:sz="4" w:space="0" w:color="auto"/>
            </w:tcBorders>
            <w:vAlign w:val="center"/>
            <w:hideMark/>
          </w:tcPr>
          <w:p w:rsidR="00AF101E" w:rsidRPr="009462D5" w:rsidRDefault="00AF101E" w:rsidP="004A19BD">
            <w:pPr>
              <w:spacing w:line="276" w:lineRule="auto"/>
              <w:rPr>
                <w:rFonts w:cs="Arial"/>
                <w:sz w:val="18"/>
                <w:szCs w:val="18"/>
              </w:rPr>
            </w:pPr>
            <w:r w:rsidRPr="009462D5">
              <w:rPr>
                <w:rFonts w:eastAsia="Times New Roman" w:cs="Arial"/>
                <w:sz w:val="18"/>
                <w:szCs w:val="18"/>
              </w:rPr>
              <w:t>Electronic Subscriber Agreement</w:t>
            </w:r>
          </w:p>
        </w:tc>
        <w:tc>
          <w:tcPr>
            <w:tcW w:w="3600" w:type="dxa"/>
            <w:tcBorders>
              <w:top w:val="single" w:sz="4" w:space="0" w:color="auto"/>
              <w:left w:val="single" w:sz="4" w:space="0" w:color="auto"/>
              <w:bottom w:val="single" w:sz="4" w:space="0" w:color="auto"/>
              <w:right w:val="single" w:sz="4" w:space="0" w:color="auto"/>
            </w:tcBorders>
            <w:vAlign w:val="center"/>
            <w:hideMark/>
          </w:tcPr>
          <w:p w:rsidR="00AF101E" w:rsidRPr="006B0F45" w:rsidRDefault="00AF101E" w:rsidP="004A19BD">
            <w:pPr>
              <w:spacing w:line="276" w:lineRule="auto"/>
              <w:jc w:val="center"/>
              <w:rPr>
                <w:rFonts w:eastAsia="Times New Roman" w:cs="Arial"/>
                <w:color w:val="000000"/>
                <w:sz w:val="18"/>
                <w:szCs w:val="18"/>
              </w:rPr>
            </w:pPr>
            <w:r w:rsidRPr="006B0F45">
              <w:rPr>
                <w:rFonts w:eastAsia="Times New Roman" w:cs="Arial"/>
                <w:color w:val="000000"/>
                <w:sz w:val="18"/>
                <w:szCs w:val="18"/>
              </w:rPr>
              <w:t>0.25</w:t>
            </w:r>
          </w:p>
        </w:tc>
      </w:tr>
      <w:tr w:rsidR="00AF101E" w:rsidRPr="009462D5" w:rsidTr="004A19BD">
        <w:trPr>
          <w:trHeight w:val="352"/>
          <w:jc w:val="center"/>
        </w:trPr>
        <w:tc>
          <w:tcPr>
            <w:tcW w:w="3168" w:type="dxa"/>
            <w:tcBorders>
              <w:top w:val="nil"/>
              <w:left w:val="single" w:sz="4" w:space="0" w:color="auto"/>
              <w:bottom w:val="single" w:sz="8" w:space="0" w:color="auto"/>
              <w:right w:val="single" w:sz="4" w:space="0" w:color="auto"/>
            </w:tcBorders>
            <w:vAlign w:val="center"/>
            <w:hideMark/>
          </w:tcPr>
          <w:p w:rsidR="00AF101E" w:rsidRPr="009462D5" w:rsidRDefault="00AF101E" w:rsidP="004A19BD">
            <w:pPr>
              <w:spacing w:line="276" w:lineRule="auto"/>
              <w:rPr>
                <w:rFonts w:eastAsia="Times New Roman" w:cs="Arial"/>
                <w:sz w:val="18"/>
                <w:szCs w:val="18"/>
              </w:rPr>
            </w:pPr>
            <w:r w:rsidRPr="009462D5">
              <w:rPr>
                <w:rFonts w:eastAsia="Times New Roman" w:cs="Arial"/>
                <w:sz w:val="18"/>
                <w:szCs w:val="18"/>
              </w:rPr>
              <w:t>Help Desk</w:t>
            </w:r>
          </w:p>
        </w:tc>
        <w:tc>
          <w:tcPr>
            <w:tcW w:w="3600" w:type="dxa"/>
            <w:tcBorders>
              <w:top w:val="single" w:sz="4" w:space="0" w:color="auto"/>
              <w:left w:val="single" w:sz="4" w:space="0" w:color="auto"/>
              <w:bottom w:val="single" w:sz="4" w:space="0" w:color="auto"/>
              <w:right w:val="single" w:sz="4" w:space="0" w:color="auto"/>
            </w:tcBorders>
            <w:vAlign w:val="center"/>
          </w:tcPr>
          <w:p w:rsidR="00AF101E" w:rsidRPr="006B0F45" w:rsidRDefault="00AF101E" w:rsidP="004A19BD">
            <w:pPr>
              <w:spacing w:line="276" w:lineRule="auto"/>
              <w:jc w:val="center"/>
              <w:rPr>
                <w:rFonts w:eastAsia="Times New Roman" w:cs="Arial"/>
                <w:color w:val="000000"/>
                <w:sz w:val="18"/>
                <w:szCs w:val="18"/>
              </w:rPr>
            </w:pPr>
            <w:r w:rsidRPr="006B0F45">
              <w:rPr>
                <w:rFonts w:cs="Arial"/>
                <w:sz w:val="18"/>
                <w:szCs w:val="18"/>
              </w:rPr>
              <w:t>0.34</w:t>
            </w:r>
          </w:p>
        </w:tc>
      </w:tr>
      <w:tr w:rsidR="00AF101E" w:rsidRPr="009462D5" w:rsidTr="004A19BD">
        <w:trPr>
          <w:trHeight w:val="343"/>
          <w:jc w:val="center"/>
        </w:trPr>
        <w:tc>
          <w:tcPr>
            <w:tcW w:w="3168" w:type="dxa"/>
            <w:tcBorders>
              <w:top w:val="single" w:sz="8" w:space="0" w:color="auto"/>
              <w:left w:val="single" w:sz="4" w:space="0" w:color="auto"/>
              <w:bottom w:val="single" w:sz="4" w:space="0" w:color="auto"/>
              <w:right w:val="single" w:sz="4" w:space="0" w:color="auto"/>
            </w:tcBorders>
            <w:vAlign w:val="center"/>
            <w:hideMark/>
          </w:tcPr>
          <w:p w:rsidR="00AF101E" w:rsidRPr="009462D5" w:rsidRDefault="00AF101E" w:rsidP="004A19BD">
            <w:pPr>
              <w:spacing w:line="276" w:lineRule="auto"/>
              <w:rPr>
                <w:rFonts w:eastAsia="Times New Roman" w:cs="Arial"/>
                <w:bCs/>
                <w:color w:val="000000"/>
                <w:sz w:val="18"/>
                <w:szCs w:val="18"/>
              </w:rPr>
            </w:pPr>
            <w:r w:rsidRPr="009462D5">
              <w:rPr>
                <w:rFonts w:eastAsia="Times New Roman" w:cs="Arial"/>
                <w:bCs/>
                <w:color w:val="000000"/>
                <w:sz w:val="18"/>
                <w:szCs w:val="18"/>
              </w:rPr>
              <w:t>Problem Resolution</w:t>
            </w:r>
          </w:p>
        </w:tc>
        <w:tc>
          <w:tcPr>
            <w:tcW w:w="3600" w:type="dxa"/>
            <w:tcBorders>
              <w:top w:val="single" w:sz="4" w:space="0" w:color="auto"/>
              <w:left w:val="single" w:sz="4" w:space="0" w:color="auto"/>
              <w:bottom w:val="single" w:sz="4" w:space="0" w:color="auto"/>
              <w:right w:val="single" w:sz="4" w:space="0" w:color="auto"/>
            </w:tcBorders>
            <w:vAlign w:val="center"/>
          </w:tcPr>
          <w:p w:rsidR="00AF101E" w:rsidRPr="006B0F45" w:rsidRDefault="00AF101E" w:rsidP="004A19BD">
            <w:pPr>
              <w:spacing w:line="276" w:lineRule="auto"/>
              <w:jc w:val="center"/>
              <w:rPr>
                <w:rFonts w:cs="Arial"/>
                <w:sz w:val="18"/>
                <w:szCs w:val="18"/>
              </w:rPr>
            </w:pPr>
            <w:r w:rsidRPr="006B0F45">
              <w:rPr>
                <w:rFonts w:cs="Arial"/>
                <w:sz w:val="18"/>
                <w:szCs w:val="18"/>
              </w:rPr>
              <w:t>0.03</w:t>
            </w:r>
          </w:p>
        </w:tc>
      </w:tr>
      <w:tr w:rsidR="00AF101E" w:rsidRPr="009462D5" w:rsidTr="004A19BD">
        <w:trPr>
          <w:trHeight w:val="343"/>
          <w:jc w:val="center"/>
        </w:trPr>
        <w:tc>
          <w:tcPr>
            <w:tcW w:w="3168" w:type="dxa"/>
            <w:tcBorders>
              <w:top w:val="single" w:sz="8" w:space="0" w:color="auto"/>
              <w:left w:val="single" w:sz="4" w:space="0" w:color="auto"/>
              <w:bottom w:val="single" w:sz="4" w:space="0" w:color="auto"/>
              <w:right w:val="single" w:sz="4" w:space="0" w:color="auto"/>
            </w:tcBorders>
            <w:vAlign w:val="center"/>
            <w:hideMark/>
          </w:tcPr>
          <w:p w:rsidR="00AF101E" w:rsidRPr="009462D5" w:rsidRDefault="00AF101E" w:rsidP="004A19BD">
            <w:pPr>
              <w:spacing w:line="276" w:lineRule="auto"/>
              <w:rPr>
                <w:rFonts w:eastAsia="Times New Roman" w:cs="Arial"/>
                <w:bCs/>
                <w:color w:val="000000"/>
                <w:sz w:val="18"/>
                <w:szCs w:val="18"/>
              </w:rPr>
            </w:pPr>
            <w:r w:rsidRPr="009462D5">
              <w:rPr>
                <w:rFonts w:eastAsia="Times New Roman" w:cs="Arial"/>
                <w:bCs/>
                <w:color w:val="000000"/>
                <w:sz w:val="18"/>
                <w:szCs w:val="18"/>
              </w:rPr>
              <w:t>Report Compromised Signature</w:t>
            </w:r>
          </w:p>
        </w:tc>
        <w:tc>
          <w:tcPr>
            <w:tcW w:w="3600" w:type="dxa"/>
            <w:tcBorders>
              <w:top w:val="single" w:sz="4" w:space="0" w:color="auto"/>
              <w:left w:val="single" w:sz="4" w:space="0" w:color="auto"/>
              <w:bottom w:val="single" w:sz="4" w:space="0" w:color="auto"/>
              <w:right w:val="single" w:sz="4" w:space="0" w:color="auto"/>
            </w:tcBorders>
            <w:vAlign w:val="center"/>
            <w:hideMark/>
          </w:tcPr>
          <w:p w:rsidR="00AF101E" w:rsidRPr="006B0F45" w:rsidRDefault="00AF101E" w:rsidP="004A19BD">
            <w:pPr>
              <w:spacing w:line="276" w:lineRule="auto"/>
              <w:jc w:val="center"/>
              <w:rPr>
                <w:rFonts w:cs="Arial"/>
                <w:sz w:val="18"/>
                <w:szCs w:val="18"/>
              </w:rPr>
            </w:pPr>
            <w:r w:rsidRPr="006B0F45">
              <w:rPr>
                <w:rFonts w:cs="Arial"/>
                <w:sz w:val="18"/>
                <w:szCs w:val="18"/>
              </w:rPr>
              <w:t>-</w:t>
            </w:r>
          </w:p>
        </w:tc>
      </w:tr>
      <w:tr w:rsidR="00AF101E" w:rsidRPr="009462D5" w:rsidTr="004A19BD">
        <w:trPr>
          <w:trHeight w:val="325"/>
          <w:jc w:val="center"/>
        </w:trPr>
        <w:tc>
          <w:tcPr>
            <w:tcW w:w="3168" w:type="dxa"/>
            <w:tcBorders>
              <w:top w:val="single" w:sz="8" w:space="0" w:color="auto"/>
              <w:left w:val="single" w:sz="4" w:space="0" w:color="auto"/>
              <w:bottom w:val="single" w:sz="4" w:space="0" w:color="auto"/>
              <w:right w:val="single" w:sz="4" w:space="0" w:color="auto"/>
            </w:tcBorders>
            <w:vAlign w:val="center"/>
            <w:hideMark/>
          </w:tcPr>
          <w:p w:rsidR="00AF101E" w:rsidRPr="009462D5" w:rsidRDefault="00AF101E" w:rsidP="004A19BD">
            <w:pPr>
              <w:spacing w:line="276" w:lineRule="auto"/>
              <w:rPr>
                <w:rFonts w:cs="Arial"/>
                <w:sz w:val="18"/>
                <w:szCs w:val="18"/>
              </w:rPr>
            </w:pPr>
            <w:r w:rsidRPr="009462D5">
              <w:rPr>
                <w:rFonts w:eastAsia="Times New Roman" w:cs="Arial"/>
                <w:b/>
                <w:bCs/>
                <w:color w:val="000000"/>
                <w:sz w:val="18"/>
                <w:szCs w:val="18"/>
              </w:rPr>
              <w:t xml:space="preserve">Total </w:t>
            </w:r>
          </w:p>
        </w:tc>
        <w:tc>
          <w:tcPr>
            <w:tcW w:w="3600" w:type="dxa"/>
            <w:tcBorders>
              <w:top w:val="single" w:sz="4" w:space="0" w:color="auto"/>
              <w:left w:val="single" w:sz="4" w:space="0" w:color="auto"/>
              <w:bottom w:val="single" w:sz="4" w:space="0" w:color="auto"/>
              <w:right w:val="single" w:sz="4" w:space="0" w:color="auto"/>
            </w:tcBorders>
            <w:vAlign w:val="center"/>
            <w:hideMark/>
          </w:tcPr>
          <w:p w:rsidR="00AF101E" w:rsidRPr="006B0F45" w:rsidRDefault="00AF101E" w:rsidP="004A19BD">
            <w:pPr>
              <w:spacing w:line="276" w:lineRule="auto"/>
              <w:jc w:val="center"/>
              <w:rPr>
                <w:rFonts w:eastAsia="Times New Roman" w:cs="Arial"/>
                <w:color w:val="000000"/>
                <w:sz w:val="18"/>
                <w:szCs w:val="18"/>
              </w:rPr>
            </w:pPr>
            <w:r w:rsidRPr="006B0F45">
              <w:rPr>
                <w:rFonts w:eastAsia="Times New Roman" w:cs="Arial"/>
                <w:color w:val="000000"/>
                <w:sz w:val="18"/>
                <w:szCs w:val="18"/>
              </w:rPr>
              <w:t>1.46</w:t>
            </w:r>
          </w:p>
        </w:tc>
      </w:tr>
    </w:tbl>
    <w:p w:rsidR="00AF101E" w:rsidRPr="009462D5" w:rsidRDefault="00AF101E" w:rsidP="006A3A8A">
      <w:pPr>
        <w:rPr>
          <w:u w:val="single"/>
        </w:rPr>
      </w:pPr>
    </w:p>
    <w:p w:rsidR="006A3A8A" w:rsidRPr="006B0F45" w:rsidRDefault="006A3A8A" w:rsidP="006A3A8A">
      <w:pPr>
        <w:rPr>
          <w:u w:val="single"/>
        </w:rPr>
      </w:pPr>
      <w:r w:rsidRPr="006B0F45">
        <w:rPr>
          <w:u w:val="single"/>
        </w:rPr>
        <w:t>Costs</w:t>
      </w:r>
    </w:p>
    <w:p w:rsidR="006A3A8A" w:rsidRPr="009462D5" w:rsidRDefault="006A3A8A" w:rsidP="00C744AE">
      <w:r w:rsidRPr="006B0F45">
        <w:t xml:space="preserve">EPA assumes </w:t>
      </w:r>
      <w:r w:rsidR="00D27C11" w:rsidRPr="006B0F45">
        <w:t xml:space="preserve">that </w:t>
      </w:r>
      <w:r w:rsidRPr="006B0F45">
        <w:t xml:space="preserve">no direct costs are associated with this collection. Labor costs are based on fully loaded wage rates. </w:t>
      </w:r>
      <w:r w:rsidR="00C744AE" w:rsidRPr="006B0F45">
        <w:rPr>
          <w:rStyle w:val="BodyTextChar"/>
          <w:rFonts w:eastAsiaTheme="minorHAnsi"/>
        </w:rPr>
        <w:t>EPA obtained wage rates from the Employer Costs for Employee Compensation (ECEC) Supplementary Tables (</w:t>
      </w:r>
      <w:r w:rsidR="00C744AE" w:rsidRPr="009462D5">
        <w:fldChar w:fldCharType="begin"/>
      </w:r>
      <w:r w:rsidR="00C744AE" w:rsidRPr="006B0F45">
        <w:instrText xml:space="preserve"> ADDIN EN.CITE &lt;EndNote&gt;&lt;Cite ExcludeAuth="1"&gt;&lt;Author&gt;U.S. Bureau of Labor Statistics&lt;/Author&gt;&lt;Year&gt;2016&lt;/Year&gt;&lt;RecNum&gt;12&lt;/RecNum&gt;&lt;Prefix&gt;BLS`, &lt;/Prefix&gt;&lt;DisplayText&gt;BLS, 2016&lt;/DisplayText&gt;&lt;record&gt;&lt;rec-number&gt;12&lt;/rec-number&gt;&lt;foreign-keys&gt;&lt;key app="EN" db-id="vevfxsrp9dv5wbe52zs5vpvr09pvtwers59e" timestamp="1480361328"&gt;12&lt;/key&gt;&lt;/foreign-keys&gt;&lt;ref-type name="Generic"&gt;13&lt;/ref-type&gt;&lt;contributors&gt;&lt;authors&gt;&lt;author&gt;U.S. Bureau of Labor Statistics,&lt;/author&gt;&lt;/authors&gt;&lt;/contributors&gt;&lt;titles&gt;&lt;title&gt;Employer Costs for Employee Compensation (ECEC) Supplementary Tables: December 2015&lt;/title&gt;&lt;/titles&gt;&lt;dates&gt;&lt;year&gt;2016&lt;/year&gt;&lt;/dates&gt;&lt;urls&gt;&lt;related-urls&gt;&lt;url&gt;http://www.bls.gov/ncs/ect/sp/ecsuptc37.pdf&lt;/url&gt;&lt;/related-urls&gt;&lt;/urls&gt;&lt;/record&gt;&lt;/Cite&gt;&lt;/EndNote&gt;</w:instrText>
      </w:r>
      <w:r w:rsidR="00C744AE" w:rsidRPr="009462D5">
        <w:fldChar w:fldCharType="separate"/>
      </w:r>
      <w:r w:rsidR="00C744AE" w:rsidRPr="009462D5">
        <w:rPr>
          <w:noProof/>
        </w:rPr>
        <w:t>BLS, 2016</w:t>
      </w:r>
      <w:r w:rsidR="00C744AE" w:rsidRPr="009462D5">
        <w:fldChar w:fldCharType="end"/>
      </w:r>
      <w:r w:rsidR="00C744AE" w:rsidRPr="009462D5">
        <w:t>)</w:t>
      </w:r>
      <w:r w:rsidR="00C744AE" w:rsidRPr="009462D5">
        <w:rPr>
          <w:rStyle w:val="BodyTextChar"/>
          <w:rFonts w:eastAsiaTheme="minorHAnsi"/>
        </w:rPr>
        <w:t>.</w:t>
      </w:r>
      <w:r w:rsidR="00C744AE" w:rsidRPr="009462D5">
        <w:t xml:space="preserve"> EPA used the wage rate for Professional/Technical workers </w:t>
      </w:r>
      <w:r w:rsidR="00D27C11" w:rsidRPr="006B0F45">
        <w:t>and M</w:t>
      </w:r>
      <w:r w:rsidR="00AB6E44" w:rsidRPr="006B0F45">
        <w:t xml:space="preserve">anagers </w:t>
      </w:r>
      <w:r w:rsidR="00C744AE" w:rsidRPr="006B0F45">
        <w:t xml:space="preserve">in private </w:t>
      </w:r>
      <w:r w:rsidR="00AB6E44" w:rsidRPr="006B0F45">
        <w:t xml:space="preserve">chemical </w:t>
      </w:r>
      <w:r w:rsidR="00C744AE" w:rsidRPr="006B0F45">
        <w:t xml:space="preserve">manufacturing industries. Fringe benefits are calculated based on the ratio of benefits to </w:t>
      </w:r>
      <w:r w:rsidR="00AB6E44" w:rsidRPr="006B0F45">
        <w:t>total compensation from the 2016</w:t>
      </w:r>
      <w:r w:rsidR="00C744AE" w:rsidRPr="006B0F45">
        <w:t xml:space="preserve"> BLS Employer Costs for Employee Compensation data series (</w:t>
      </w:r>
      <w:r w:rsidR="00C744AE" w:rsidRPr="009462D5">
        <w:fldChar w:fldCharType="begin"/>
      </w:r>
      <w:r w:rsidR="00C744AE" w:rsidRPr="006B0F45">
        <w:instrText xml:space="preserve"> ADDIN EN.CITE &lt;EndNote&gt;&lt;Cite ExcludeAuth="1"&gt;&lt;Author&gt;U.S. Bureau of Labor Statistics&lt;/Author&gt;&lt;Year&gt;2016&lt;/Year&gt;&lt;RecNum&gt;12&lt;/RecNum&gt;&lt;Prefix&gt;BLS`, &lt;/Prefix&gt;&lt;DisplayText&gt;BLS, 2016&lt;/DisplayText&gt;&lt;record&gt;&lt;rec-number&gt;12&lt;/rec-number&gt;&lt;foreign-keys&gt;&lt;key app="EN" db-id="vevfxsrp9dv5wbe52zs5vpvr09pvtwers59e" timestamp="1480361328"&gt;12&lt;/key&gt;&lt;/foreign-keys&gt;&lt;ref-type name="Generic"&gt;13&lt;/ref-type&gt;&lt;contributors&gt;&lt;authors&gt;&lt;author&gt;U.S. Bureau of Labor Statistics,&lt;/author&gt;&lt;/authors&gt;&lt;/contributors&gt;&lt;titles&gt;&lt;title&gt;Employer Costs for Employee Compensation (ECEC) Supplementary Tables: December 2015&lt;/title&gt;&lt;/titles&gt;&lt;dates&gt;&lt;year&gt;2016&lt;/year&gt;&lt;/dates&gt;&lt;urls&gt;&lt;related-urls&gt;&lt;url&gt;http://www.bls.gov/ncs/ect/sp/ecsuptc37.pdf&lt;/url&gt;&lt;/related-urls&gt;&lt;/urls&gt;&lt;/record&gt;&lt;/Cite&gt;&lt;/EndNote&gt;</w:instrText>
      </w:r>
      <w:r w:rsidR="00C744AE" w:rsidRPr="009462D5">
        <w:fldChar w:fldCharType="separate"/>
      </w:r>
      <w:r w:rsidR="00C744AE" w:rsidRPr="009462D5">
        <w:rPr>
          <w:noProof/>
        </w:rPr>
        <w:t>BLS, 2016</w:t>
      </w:r>
      <w:r w:rsidR="00C744AE" w:rsidRPr="009462D5">
        <w:fldChar w:fldCharType="end"/>
      </w:r>
      <w:r w:rsidR="00C744AE" w:rsidRPr="009462D5">
        <w:t>). An overhead rate of 17 percent is used based on assumptions in Wage Rates for Economic Analysis of the Toxics Release Inventory Program (</w:t>
      </w:r>
      <w:r w:rsidR="00C744AE" w:rsidRPr="009462D5">
        <w:fldChar w:fldCharType="begin"/>
      </w:r>
      <w:r w:rsidR="00C744AE" w:rsidRPr="006B0F45">
        <w:instrText xml:space="preserve"> ADDIN EN.CITE &lt;EndNote&gt;&lt;Cite ExcludeAuth="1"&gt;&lt;Author&gt;Rice&lt;/Author&gt;&lt;Year&gt;2002&lt;/Year&gt;&lt;RecNum&gt;15&lt;/RecNum&gt;&lt;Prefix&gt;Rice`, &lt;/Prefix&gt;&lt;DisplayText&gt;Rice, 2002&lt;/DisplayText&gt;&lt;record&gt;&lt;rec-number&gt;15&lt;/rec-number&gt;&lt;foreign-keys&gt;&lt;key app="EN" db-id="vevfxsrp9dv5wbe52zs5vpvr09pvtwers59e" timestamp="1480456628"&gt;15&lt;/key&gt;&lt;/foreign-keys&gt;&lt;ref-type name="Generic"&gt;13&lt;/ref-type&gt;&lt;contributors&gt;&lt;authors&gt;&lt;author&gt;Rice, Cody&lt;/author&gt;&lt;/authors&gt;&lt;secondary-authors&gt;&lt;author&gt;Office of Environmental Information: U.S. Environmental Protection Agency,&lt;/author&gt;&lt;/secondary-authors&gt;&lt;/contributors&gt;&lt;titles&gt;&lt;title&gt;Wage Rates for Economic Analysis of The Toxic&amp;apos;s Release Inventory Program&lt;/title&gt;&lt;/titles&gt;&lt;dates&gt;&lt;year&gt;2002&lt;/year&gt;&lt;/dates&gt;&lt;urls&gt;&lt;/urls&gt;&lt;/record&gt;&lt;/Cite&gt;&lt;Cite&gt;&lt;Author&gt;Rice&lt;/Author&gt;&lt;Year&gt;2002&lt;/Year&gt;&lt;RecNum&gt;15&lt;/RecNum&gt;&lt;record&gt;&lt;rec-number&gt;15&lt;/rec-number&gt;&lt;foreign-keys&gt;&lt;key app="EN" db-id="vevfxsrp9dv5wbe52zs5vpvr09pvtwers59e" timestamp="1480456628"&gt;15&lt;/key&gt;&lt;/foreign-keys&gt;&lt;ref-type name="Generic"&gt;13&lt;/ref-type&gt;&lt;contributors&gt;&lt;authors&gt;&lt;author&gt;Rice, Cody&lt;/author&gt;&lt;/authors&gt;&lt;secondary-authors&gt;&lt;author&gt;Office of Environmental Information: U.S. Environmental Protection Agency,&lt;/author&gt;&lt;/secondary-authors&gt;&lt;/contributors&gt;&lt;titles&gt;&lt;title&gt;Wage Rates for Economic Analysis of The Toxic&amp;apos;s Release Inventory Program&lt;/title&gt;&lt;/titles&gt;&lt;dates&gt;&lt;year&gt;2002&lt;/year&gt;&lt;/dates&gt;&lt;urls&gt;&lt;/urls&gt;&lt;/record&gt;&lt;/Cite&gt;&lt;/EndNote&gt;</w:instrText>
      </w:r>
      <w:r w:rsidR="00C744AE" w:rsidRPr="009462D5">
        <w:fldChar w:fldCharType="separate"/>
      </w:r>
      <w:r w:rsidR="00C744AE" w:rsidRPr="009462D5">
        <w:rPr>
          <w:noProof/>
        </w:rPr>
        <w:t>Rice, 2002</w:t>
      </w:r>
      <w:r w:rsidR="00C744AE" w:rsidRPr="009462D5">
        <w:fldChar w:fldCharType="end"/>
      </w:r>
      <w:r w:rsidR="00C744AE" w:rsidRPr="009462D5">
        <w:t xml:space="preserve">) and the Revised Economic Analysis for the Amended Inventory Update Rule: Final Report (EPA, 2001). </w:t>
      </w:r>
      <w:r w:rsidR="0037166D" w:rsidRPr="006B0F45">
        <w:t xml:space="preserve">The estimated </w:t>
      </w:r>
      <w:r w:rsidR="00126B70" w:rsidRPr="006B0F45">
        <w:t>fully loaded</w:t>
      </w:r>
      <w:r w:rsidR="00AB6E44" w:rsidRPr="006B0F45">
        <w:t xml:space="preserve"> hourly</w:t>
      </w:r>
      <w:r w:rsidR="00126B70" w:rsidRPr="006B0F45">
        <w:t xml:space="preserve"> </w:t>
      </w:r>
      <w:r w:rsidR="0037166D" w:rsidRPr="006B0F45">
        <w:t xml:space="preserve">wage </w:t>
      </w:r>
      <w:r w:rsidR="00126B70" w:rsidRPr="006B0F45">
        <w:t xml:space="preserve">rate </w:t>
      </w:r>
      <w:r w:rsidR="0037166D" w:rsidRPr="006B0F45">
        <w:t>for a technical worker</w:t>
      </w:r>
      <w:r w:rsidR="00A568A1" w:rsidRPr="006B0F45">
        <w:t xml:space="preserve"> </w:t>
      </w:r>
      <w:r w:rsidR="0037166D" w:rsidRPr="006B0F45">
        <w:t xml:space="preserve">in this industry is </w:t>
      </w:r>
      <w:r w:rsidR="00AB6E44" w:rsidRPr="006B0F45">
        <w:t>$78.40</w:t>
      </w:r>
      <w:r w:rsidR="00D27C11" w:rsidRPr="006B0F45">
        <w:t xml:space="preserve">. The estimated fully loaded hourly wage rate for a manager in this industry is </w:t>
      </w:r>
      <w:r w:rsidR="00AB6E44" w:rsidRPr="006B0F45">
        <w:t>$111.87</w:t>
      </w:r>
      <w:r w:rsidR="0037166D" w:rsidRPr="006B0F45">
        <w:t>.</w:t>
      </w:r>
    </w:p>
    <w:p w:rsidR="00452297" w:rsidRPr="006B0F45" w:rsidRDefault="00452297" w:rsidP="00452297">
      <w:pPr>
        <w:pStyle w:val="NoSpacing"/>
        <w:rPr>
          <w:highlight w:val="yellow"/>
        </w:rPr>
      </w:pPr>
    </w:p>
    <w:p w:rsidR="006A384E" w:rsidRPr="006B0F45" w:rsidRDefault="006A384E" w:rsidP="00452297">
      <w:pPr>
        <w:pStyle w:val="NoSpacing"/>
        <w:rPr>
          <w:highlight w:val="yellow"/>
        </w:rPr>
      </w:pPr>
    </w:p>
    <w:p w:rsidR="006A384E" w:rsidRPr="006B0F45" w:rsidRDefault="006A384E" w:rsidP="00452297">
      <w:pPr>
        <w:pStyle w:val="NoSpacing"/>
        <w:rPr>
          <w:highlight w:val="yellow"/>
        </w:rPr>
      </w:pPr>
    </w:p>
    <w:p w:rsidR="006A384E" w:rsidRPr="006B0F45" w:rsidRDefault="006A384E" w:rsidP="00452297">
      <w:pPr>
        <w:pStyle w:val="NoSpacing"/>
        <w:rPr>
          <w:highlight w:val="yellow"/>
        </w:rPr>
      </w:pPr>
    </w:p>
    <w:p w:rsidR="006A384E" w:rsidRPr="006B0F45" w:rsidRDefault="006A384E" w:rsidP="00452297">
      <w:pPr>
        <w:pStyle w:val="NoSpacing"/>
        <w:rPr>
          <w:highlight w:val="yellow"/>
        </w:rPr>
      </w:pPr>
    </w:p>
    <w:p w:rsidR="006A384E" w:rsidRPr="006B0F45" w:rsidRDefault="006A384E" w:rsidP="00452297">
      <w:pPr>
        <w:pStyle w:val="NoSpacing"/>
        <w:rPr>
          <w:highlight w:val="yellow"/>
        </w:rPr>
      </w:pPr>
    </w:p>
    <w:tbl>
      <w:tblPr>
        <w:tblW w:w="5000" w:type="pct"/>
        <w:tblLook w:val="04A0" w:firstRow="1" w:lastRow="0" w:firstColumn="1" w:lastColumn="0" w:noHBand="0" w:noVBand="1"/>
      </w:tblPr>
      <w:tblGrid>
        <w:gridCol w:w="1718"/>
        <w:gridCol w:w="1718"/>
        <w:gridCol w:w="1715"/>
        <w:gridCol w:w="1715"/>
        <w:gridCol w:w="1715"/>
        <w:gridCol w:w="1715"/>
      </w:tblGrid>
      <w:tr w:rsidR="00746158" w:rsidRPr="003946EE" w:rsidTr="006A384E">
        <w:trPr>
          <w:cantSplit/>
          <w:trHeight w:val="315"/>
        </w:trPr>
        <w:tc>
          <w:tcPr>
            <w:tcW w:w="5000" w:type="pct"/>
            <w:gridSpan w:val="6"/>
            <w:tcBorders>
              <w:top w:val="single" w:sz="8" w:space="0" w:color="auto"/>
              <w:left w:val="single" w:sz="8" w:space="0" w:color="auto"/>
              <w:bottom w:val="single" w:sz="4" w:space="0" w:color="auto"/>
              <w:right w:val="single" w:sz="8" w:space="0" w:color="000000"/>
            </w:tcBorders>
            <w:shd w:val="clear" w:color="auto" w:fill="A6A6A6" w:themeFill="background1" w:themeFillShade="A6"/>
          </w:tcPr>
          <w:p w:rsidR="00746158" w:rsidRPr="009462D5" w:rsidRDefault="00746158" w:rsidP="00746158">
            <w:pPr>
              <w:spacing w:line="276" w:lineRule="auto"/>
              <w:jc w:val="center"/>
              <w:rPr>
                <w:rFonts w:cs="Arial"/>
              </w:rPr>
            </w:pPr>
            <w:bookmarkStart w:id="26" w:name="_Toc480192477"/>
            <w:r w:rsidRPr="009462D5">
              <w:rPr>
                <w:rFonts w:eastAsia="Times New Roman" w:cs="Arial"/>
                <w:b/>
                <w:bCs/>
                <w:color w:val="000000"/>
                <w:sz w:val="22"/>
              </w:rPr>
              <w:t>Technical Worker and Manager Industry Wage Rates</w:t>
            </w:r>
            <w:bookmarkEnd w:id="26"/>
          </w:p>
        </w:tc>
      </w:tr>
      <w:tr w:rsidR="00746158" w:rsidRPr="003946EE" w:rsidTr="006A384E">
        <w:trPr>
          <w:cantSplit/>
          <w:trHeight w:val="647"/>
        </w:trPr>
        <w:tc>
          <w:tcPr>
            <w:tcW w:w="8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46158" w:rsidRPr="009462D5" w:rsidRDefault="00746158" w:rsidP="00746158">
            <w:pPr>
              <w:keepNext/>
              <w:keepLines/>
              <w:rPr>
                <w:rFonts w:eastAsia="Times New Roman" w:cs="Arial"/>
                <w:b/>
                <w:bCs/>
                <w:sz w:val="18"/>
                <w:szCs w:val="18"/>
              </w:rPr>
            </w:pPr>
            <w:r w:rsidRPr="009462D5">
              <w:rPr>
                <w:rFonts w:eastAsia="Times New Roman" w:cs="Arial"/>
                <w:b/>
                <w:bCs/>
                <w:sz w:val="18"/>
                <w:szCs w:val="18"/>
              </w:rPr>
              <w:t>Occupation</w:t>
            </w:r>
          </w:p>
        </w:tc>
        <w:tc>
          <w:tcPr>
            <w:tcW w:w="8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Wage</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Fringes as % Wage</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Over-head % wage a</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Fringe + Overhead Factor</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Loaded Wages</w:t>
            </w:r>
          </w:p>
        </w:tc>
      </w:tr>
      <w:tr w:rsidR="00746158" w:rsidRPr="003946EE" w:rsidTr="006A384E">
        <w:trPr>
          <w:cantSplit/>
          <w:trHeight w:val="300"/>
        </w:trPr>
        <w:tc>
          <w:tcPr>
            <w:tcW w:w="8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46158" w:rsidRPr="009462D5" w:rsidRDefault="00746158" w:rsidP="00181C48">
            <w:pPr>
              <w:keepNext/>
              <w:keepLines/>
              <w:jc w:val="center"/>
              <w:rPr>
                <w:rFonts w:eastAsia="Times New Roman" w:cs="Arial"/>
                <w:b/>
                <w:bCs/>
                <w:sz w:val="18"/>
                <w:szCs w:val="18"/>
              </w:rPr>
            </w:pPr>
          </w:p>
        </w:tc>
        <w:tc>
          <w:tcPr>
            <w:tcW w:w="8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(a)</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(b)</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(c)</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(d)=(b)+(c)+1</w:t>
            </w:r>
          </w:p>
        </w:tc>
        <w:tc>
          <w:tcPr>
            <w:tcW w:w="83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46158" w:rsidRPr="006B0F45" w:rsidRDefault="00746158" w:rsidP="00181C48">
            <w:pPr>
              <w:keepNext/>
              <w:keepLines/>
              <w:jc w:val="center"/>
              <w:rPr>
                <w:rFonts w:eastAsia="Times New Roman" w:cs="Arial"/>
                <w:b/>
                <w:bCs/>
                <w:sz w:val="18"/>
                <w:szCs w:val="18"/>
              </w:rPr>
            </w:pPr>
            <w:r w:rsidRPr="006B0F45">
              <w:rPr>
                <w:rFonts w:eastAsia="Times New Roman" w:cs="Arial"/>
                <w:b/>
                <w:bCs/>
                <w:sz w:val="18"/>
                <w:szCs w:val="18"/>
              </w:rPr>
              <w:t>(a)×(d)</w:t>
            </w:r>
          </w:p>
        </w:tc>
      </w:tr>
      <w:tr w:rsidR="00106423" w:rsidRPr="003946EE" w:rsidTr="006A384E">
        <w:trPr>
          <w:cantSplit/>
          <w:trHeight w:val="525"/>
        </w:trPr>
        <w:tc>
          <w:tcPr>
            <w:tcW w:w="834" w:type="pct"/>
            <w:tcBorders>
              <w:top w:val="single" w:sz="4" w:space="0" w:color="auto"/>
              <w:left w:val="single" w:sz="4" w:space="0" w:color="auto"/>
              <w:bottom w:val="single" w:sz="4" w:space="0" w:color="auto"/>
              <w:right w:val="single" w:sz="4" w:space="0" w:color="auto"/>
            </w:tcBorders>
            <w:vAlign w:val="center"/>
          </w:tcPr>
          <w:p w:rsidR="00106423" w:rsidRPr="009462D5" w:rsidRDefault="00106423" w:rsidP="00746158">
            <w:pPr>
              <w:rPr>
                <w:rFonts w:ascii="Arial Narrow" w:hAnsi="Arial Narrow"/>
                <w:color w:val="000000"/>
                <w:sz w:val="20"/>
              </w:rPr>
            </w:pPr>
            <w:r w:rsidRPr="009462D5">
              <w:rPr>
                <w:rFonts w:ascii="Arial Narrow" w:hAnsi="Arial Narrow"/>
                <w:color w:val="000000"/>
                <w:sz w:val="20"/>
              </w:rPr>
              <w:t>Technical Worker</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423" w:rsidRPr="006B0F45" w:rsidRDefault="00106423" w:rsidP="00181C48">
            <w:pPr>
              <w:jc w:val="center"/>
              <w:rPr>
                <w:rFonts w:ascii="Arial Narrow" w:hAnsi="Arial Narrow"/>
                <w:color w:val="000000"/>
                <w:sz w:val="20"/>
              </w:rPr>
            </w:pPr>
            <w:r>
              <w:rPr>
                <w:rFonts w:ascii="Arial Narrow" w:hAnsi="Arial Narrow"/>
                <w:color w:val="000000"/>
                <w:sz w:val="20"/>
                <w:szCs w:val="20"/>
              </w:rPr>
              <w:t xml:space="preserve">$45.66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106423" w:rsidRPr="006B0F45" w:rsidRDefault="00106423" w:rsidP="00181C48">
            <w:pPr>
              <w:jc w:val="center"/>
              <w:rPr>
                <w:rFonts w:ascii="Arial Narrow" w:hAnsi="Arial Narrow"/>
                <w:color w:val="000000"/>
                <w:sz w:val="20"/>
              </w:rPr>
            </w:pPr>
            <w:r>
              <w:rPr>
                <w:rFonts w:ascii="Arial Narrow" w:hAnsi="Arial Narrow"/>
                <w:color w:val="000000"/>
                <w:sz w:val="20"/>
                <w:szCs w:val="20"/>
              </w:rPr>
              <w:t>55%</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106423" w:rsidRPr="006B0F45" w:rsidRDefault="00106423" w:rsidP="00181C48">
            <w:pPr>
              <w:jc w:val="center"/>
              <w:rPr>
                <w:rFonts w:ascii="Arial Narrow" w:hAnsi="Arial Narrow"/>
                <w:color w:val="000000"/>
                <w:sz w:val="20"/>
              </w:rPr>
            </w:pPr>
            <w:r>
              <w:rPr>
                <w:rFonts w:ascii="Arial Narrow" w:hAnsi="Arial Narrow"/>
                <w:color w:val="000000"/>
                <w:sz w:val="20"/>
                <w:szCs w:val="20"/>
              </w:rPr>
              <w:t>17%</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106423" w:rsidRPr="006B0F45" w:rsidRDefault="00106423" w:rsidP="00181C48">
            <w:pPr>
              <w:jc w:val="center"/>
              <w:rPr>
                <w:rFonts w:ascii="Arial Narrow" w:hAnsi="Arial Narrow"/>
                <w:color w:val="000000"/>
                <w:sz w:val="20"/>
              </w:rPr>
            </w:pPr>
            <w:r>
              <w:rPr>
                <w:rFonts w:ascii="Arial Narrow" w:hAnsi="Arial Narrow"/>
                <w:color w:val="000000"/>
                <w:sz w:val="20"/>
                <w:szCs w:val="20"/>
              </w:rPr>
              <w:t>1.72</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106423" w:rsidRPr="006B0F45" w:rsidRDefault="00106423" w:rsidP="00181C48">
            <w:pPr>
              <w:jc w:val="center"/>
              <w:rPr>
                <w:rFonts w:ascii="Arial Narrow" w:hAnsi="Arial Narrow"/>
                <w:color w:val="000000"/>
                <w:sz w:val="20"/>
              </w:rPr>
            </w:pPr>
            <w:r>
              <w:rPr>
                <w:rFonts w:ascii="Arial Narrow" w:hAnsi="Arial Narrow"/>
                <w:color w:val="000000"/>
                <w:sz w:val="20"/>
                <w:szCs w:val="20"/>
              </w:rPr>
              <w:t xml:space="preserve">$78.40 </w:t>
            </w:r>
          </w:p>
        </w:tc>
      </w:tr>
      <w:tr w:rsidR="00746158" w:rsidRPr="003946EE" w:rsidTr="006A384E">
        <w:trPr>
          <w:cantSplit/>
          <w:trHeight w:val="525"/>
        </w:trPr>
        <w:tc>
          <w:tcPr>
            <w:tcW w:w="834" w:type="pct"/>
            <w:tcBorders>
              <w:top w:val="single" w:sz="4" w:space="0" w:color="auto"/>
              <w:left w:val="single" w:sz="4" w:space="0" w:color="auto"/>
              <w:bottom w:val="single" w:sz="4" w:space="0" w:color="auto"/>
              <w:right w:val="single" w:sz="4" w:space="0" w:color="auto"/>
            </w:tcBorders>
            <w:vAlign w:val="center"/>
          </w:tcPr>
          <w:p w:rsidR="00746158" w:rsidRPr="009462D5" w:rsidRDefault="00746158" w:rsidP="00746158">
            <w:pPr>
              <w:rPr>
                <w:rFonts w:ascii="Arial Narrow" w:hAnsi="Arial Narrow"/>
                <w:color w:val="000000"/>
                <w:sz w:val="20"/>
              </w:rPr>
            </w:pPr>
            <w:r w:rsidRPr="009462D5">
              <w:rPr>
                <w:rFonts w:ascii="Arial Narrow" w:hAnsi="Arial Narrow"/>
                <w:color w:val="000000"/>
                <w:sz w:val="20"/>
              </w:rPr>
              <w:t>Manger</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746158" w:rsidRPr="006B0F45" w:rsidRDefault="00746158" w:rsidP="00181C48">
            <w:pPr>
              <w:jc w:val="center"/>
              <w:rPr>
                <w:rFonts w:ascii="Arial Narrow" w:hAnsi="Arial Narrow"/>
                <w:color w:val="000000"/>
                <w:sz w:val="20"/>
              </w:rPr>
            </w:pPr>
            <w:r w:rsidRPr="006B0F45">
              <w:rPr>
                <w:rFonts w:ascii="Arial Narrow" w:hAnsi="Arial Narrow"/>
                <w:color w:val="000000"/>
                <w:sz w:val="20"/>
              </w:rPr>
              <w:t>$66.00</w:t>
            </w:r>
          </w:p>
        </w:tc>
        <w:tc>
          <w:tcPr>
            <w:tcW w:w="833" w:type="pct"/>
            <w:tcBorders>
              <w:top w:val="single" w:sz="4" w:space="0" w:color="auto"/>
              <w:left w:val="nil"/>
              <w:bottom w:val="single" w:sz="4" w:space="0" w:color="auto"/>
              <w:right w:val="single" w:sz="4" w:space="0" w:color="auto"/>
            </w:tcBorders>
            <w:shd w:val="clear" w:color="auto" w:fill="auto"/>
            <w:vAlign w:val="center"/>
          </w:tcPr>
          <w:p w:rsidR="00746158" w:rsidRPr="006B0F45" w:rsidRDefault="00746158" w:rsidP="00181C48">
            <w:pPr>
              <w:jc w:val="center"/>
              <w:rPr>
                <w:rFonts w:ascii="Arial Narrow" w:hAnsi="Arial Narrow"/>
                <w:color w:val="000000"/>
                <w:sz w:val="20"/>
              </w:rPr>
            </w:pPr>
            <w:r w:rsidRPr="006B0F45">
              <w:rPr>
                <w:rFonts w:ascii="Arial Narrow" w:hAnsi="Arial Narrow"/>
                <w:color w:val="000000"/>
                <w:sz w:val="20"/>
              </w:rPr>
              <w:t>53%</w:t>
            </w:r>
          </w:p>
        </w:tc>
        <w:tc>
          <w:tcPr>
            <w:tcW w:w="833" w:type="pct"/>
            <w:tcBorders>
              <w:top w:val="single" w:sz="4" w:space="0" w:color="auto"/>
              <w:left w:val="nil"/>
              <w:bottom w:val="single" w:sz="4" w:space="0" w:color="auto"/>
              <w:right w:val="single" w:sz="4" w:space="0" w:color="auto"/>
            </w:tcBorders>
            <w:shd w:val="clear" w:color="auto" w:fill="auto"/>
            <w:vAlign w:val="center"/>
          </w:tcPr>
          <w:p w:rsidR="00746158" w:rsidRPr="006B0F45" w:rsidRDefault="00746158" w:rsidP="00181C48">
            <w:pPr>
              <w:jc w:val="center"/>
              <w:rPr>
                <w:rFonts w:ascii="Arial Narrow" w:hAnsi="Arial Narrow"/>
                <w:color w:val="000000"/>
                <w:sz w:val="20"/>
              </w:rPr>
            </w:pPr>
            <w:r w:rsidRPr="006B0F45">
              <w:rPr>
                <w:rFonts w:ascii="Arial Narrow" w:hAnsi="Arial Narrow"/>
                <w:color w:val="000000"/>
                <w:sz w:val="20"/>
              </w:rPr>
              <w:t>17%</w:t>
            </w:r>
          </w:p>
        </w:tc>
        <w:tc>
          <w:tcPr>
            <w:tcW w:w="833" w:type="pct"/>
            <w:tcBorders>
              <w:top w:val="single" w:sz="4" w:space="0" w:color="auto"/>
              <w:left w:val="nil"/>
              <w:bottom w:val="single" w:sz="4" w:space="0" w:color="auto"/>
              <w:right w:val="single" w:sz="4" w:space="0" w:color="auto"/>
            </w:tcBorders>
            <w:shd w:val="clear" w:color="auto" w:fill="auto"/>
            <w:vAlign w:val="center"/>
          </w:tcPr>
          <w:p w:rsidR="00746158" w:rsidRPr="006B0F45" w:rsidRDefault="00746158" w:rsidP="00181C48">
            <w:pPr>
              <w:jc w:val="center"/>
              <w:rPr>
                <w:rFonts w:ascii="Arial Narrow" w:hAnsi="Arial Narrow"/>
                <w:color w:val="000000"/>
                <w:sz w:val="20"/>
              </w:rPr>
            </w:pPr>
            <w:r w:rsidRPr="006B0F45">
              <w:rPr>
                <w:rFonts w:ascii="Arial Narrow" w:hAnsi="Arial Narrow"/>
                <w:color w:val="000000"/>
                <w:sz w:val="20"/>
              </w:rPr>
              <w:t>1.70</w:t>
            </w:r>
          </w:p>
        </w:tc>
        <w:tc>
          <w:tcPr>
            <w:tcW w:w="833" w:type="pct"/>
            <w:tcBorders>
              <w:top w:val="single" w:sz="4" w:space="0" w:color="auto"/>
              <w:left w:val="nil"/>
              <w:bottom w:val="single" w:sz="4" w:space="0" w:color="auto"/>
              <w:right w:val="single" w:sz="4" w:space="0" w:color="auto"/>
            </w:tcBorders>
            <w:shd w:val="clear" w:color="auto" w:fill="auto"/>
            <w:vAlign w:val="center"/>
          </w:tcPr>
          <w:p w:rsidR="00746158" w:rsidRPr="006B0F45" w:rsidRDefault="00746158" w:rsidP="00181C48">
            <w:pPr>
              <w:jc w:val="center"/>
              <w:rPr>
                <w:rFonts w:ascii="Arial Narrow" w:hAnsi="Arial Narrow"/>
                <w:color w:val="000000"/>
                <w:sz w:val="20"/>
              </w:rPr>
            </w:pPr>
            <w:r w:rsidRPr="006B0F45">
              <w:rPr>
                <w:rFonts w:ascii="Arial Narrow" w:hAnsi="Arial Narrow"/>
                <w:color w:val="000000"/>
                <w:sz w:val="20"/>
              </w:rPr>
              <w:t>$111.87</w:t>
            </w:r>
          </w:p>
        </w:tc>
      </w:tr>
      <w:tr w:rsidR="00746158" w:rsidRPr="00B35564" w:rsidTr="006A384E">
        <w:trPr>
          <w:cantSplit/>
          <w:trHeight w:val="525"/>
        </w:trPr>
        <w:tc>
          <w:tcPr>
            <w:tcW w:w="5000" w:type="pct"/>
            <w:gridSpan w:val="6"/>
            <w:tcBorders>
              <w:top w:val="single" w:sz="4" w:space="0" w:color="auto"/>
              <w:left w:val="single" w:sz="4" w:space="0" w:color="auto"/>
              <w:bottom w:val="single" w:sz="4" w:space="0" w:color="auto"/>
              <w:right w:val="single" w:sz="4" w:space="0" w:color="auto"/>
            </w:tcBorders>
          </w:tcPr>
          <w:p w:rsidR="00746158" w:rsidRPr="006B0F45" w:rsidRDefault="00746158" w:rsidP="00746158">
            <w:pPr>
              <w:pStyle w:val="TableNotes"/>
            </w:pPr>
            <w:r w:rsidRPr="009462D5">
              <w:rPr>
                <w:b/>
                <w:bCs/>
              </w:rPr>
              <w:t>Sources:</w:t>
            </w:r>
            <w:r w:rsidRPr="009462D5">
              <w:br/>
              <w:t>Occupational Employment Statistics (OES), May 2016 (BLS, 2017a)</w:t>
            </w:r>
          </w:p>
          <w:p w:rsidR="00746158" w:rsidRPr="009462D5" w:rsidRDefault="00746158" w:rsidP="00746158">
            <w:pPr>
              <w:pStyle w:val="TableNotes"/>
              <w:rPr>
                <w:rFonts w:ascii="Arial Narrow" w:hAnsi="Arial Narrow"/>
                <w:color w:val="000000"/>
                <w:sz w:val="20"/>
              </w:rPr>
            </w:pPr>
            <w:r w:rsidRPr="006B0F45">
              <w:t xml:space="preserve">  Employer Costs for Employee Compensation (ECEC) Supplementary Tables: December 2016 (BLS 2017b)</w:t>
            </w:r>
          </w:p>
        </w:tc>
      </w:tr>
    </w:tbl>
    <w:p w:rsidR="00A568A1" w:rsidRDefault="00A568A1" w:rsidP="00452297">
      <w:pPr>
        <w:pStyle w:val="NoSpacing"/>
      </w:pPr>
    </w:p>
    <w:p w:rsidR="00452297" w:rsidRPr="00452297" w:rsidRDefault="00452297" w:rsidP="008764B6">
      <w:pPr>
        <w:pStyle w:val="Heading2"/>
        <w:numPr>
          <w:ilvl w:val="1"/>
          <w:numId w:val="3"/>
        </w:numPr>
        <w:tabs>
          <w:tab w:val="left" w:pos="1080"/>
        </w:tabs>
      </w:pPr>
      <w:bookmarkStart w:id="27" w:name="_Toc447203187"/>
      <w:r>
        <w:t>Information Collections</w:t>
      </w:r>
      <w:bookmarkEnd w:id="27"/>
    </w:p>
    <w:p w:rsidR="006A3A8A" w:rsidRDefault="006A3A8A" w:rsidP="006A3A8A">
      <w:pPr>
        <w:pStyle w:val="ListParagraph"/>
        <w:ind w:left="0"/>
      </w:pPr>
      <w:r>
        <w:t xml:space="preserve">Respondent NAICS codes associated with industries most likely affected by the paperwork requirements are listed in </w:t>
      </w:r>
      <w:r w:rsidR="002934B7" w:rsidRPr="002934B7">
        <w:t>TSCA s</w:t>
      </w:r>
      <w:r>
        <w:t>ection 5(a).</w:t>
      </w:r>
    </w:p>
    <w:p w:rsidR="006A3A8A" w:rsidRPr="006A3A8A" w:rsidRDefault="006A3A8A" w:rsidP="006A3A8A">
      <w:pPr>
        <w:pStyle w:val="ListParagraph"/>
        <w:ind w:left="360"/>
        <w:rPr>
          <w:u w:val="single"/>
        </w:rPr>
      </w:pPr>
    </w:p>
    <w:p w:rsidR="006A3A8A" w:rsidRPr="009462D5" w:rsidRDefault="006A3A8A" w:rsidP="006A3A8A">
      <w:pPr>
        <w:pStyle w:val="ListParagraph"/>
        <w:ind w:left="0"/>
        <w:rPr>
          <w:u w:val="single"/>
        </w:rPr>
      </w:pPr>
      <w:r w:rsidRPr="009462D5">
        <w:rPr>
          <w:u w:val="single"/>
        </w:rPr>
        <w:t>Information Collection Activities</w:t>
      </w:r>
    </w:p>
    <w:p w:rsidR="006A3A8A" w:rsidRPr="006B0F45" w:rsidRDefault="006A3A8A" w:rsidP="006A3A8A">
      <w:pPr>
        <w:pStyle w:val="ListParagraph"/>
        <w:ind w:left="0"/>
      </w:pPr>
      <w:r w:rsidRPr="006B0F45">
        <w:t xml:space="preserve">The proposed rule </w:t>
      </w:r>
      <w:r w:rsidR="006A384E" w:rsidRPr="006B0F45">
        <w:rPr>
          <w:szCs w:val="24"/>
        </w:rPr>
        <w:t>would impose</w:t>
      </w:r>
      <w:r w:rsidRPr="006B0F45">
        <w:rPr>
          <w:szCs w:val="24"/>
        </w:rPr>
        <w:t xml:space="preserve"> </w:t>
      </w:r>
      <w:r w:rsidR="00207B77" w:rsidRPr="006B0F45">
        <w:rPr>
          <w:szCs w:val="24"/>
        </w:rPr>
        <w:t xml:space="preserve">a fee for specific TSCA actions to cover its implementation cost. To pay the fee, firms </w:t>
      </w:r>
      <w:r w:rsidR="006A384E" w:rsidRPr="006B0F45">
        <w:rPr>
          <w:szCs w:val="24"/>
        </w:rPr>
        <w:t xml:space="preserve">would be </w:t>
      </w:r>
      <w:r w:rsidR="00207B77" w:rsidRPr="006B0F45">
        <w:rPr>
          <w:szCs w:val="24"/>
        </w:rPr>
        <w:t>required to submit payments via Pay.gov or Fedwire. Additional burden is also</w:t>
      </w:r>
      <w:r w:rsidR="006A384E" w:rsidRPr="006B0F45">
        <w:rPr>
          <w:szCs w:val="24"/>
        </w:rPr>
        <w:t xml:space="preserve"> estimated to be</w:t>
      </w:r>
      <w:r w:rsidR="00207B77" w:rsidRPr="006B0F45">
        <w:rPr>
          <w:szCs w:val="24"/>
        </w:rPr>
        <w:t xml:space="preserve"> incurred </w:t>
      </w:r>
      <w:r w:rsidR="006A384E" w:rsidRPr="006B0F45">
        <w:rPr>
          <w:szCs w:val="24"/>
        </w:rPr>
        <w:t>for firms to</w:t>
      </w:r>
      <w:r w:rsidR="00207B77" w:rsidRPr="006B0F45">
        <w:rPr>
          <w:szCs w:val="24"/>
        </w:rPr>
        <w:t xml:space="preserve"> determine their </w:t>
      </w:r>
      <w:r w:rsidR="00746158" w:rsidRPr="006B0F45">
        <w:rPr>
          <w:szCs w:val="24"/>
        </w:rPr>
        <w:t>eligibility for fee discounts</w:t>
      </w:r>
      <w:r w:rsidR="00207B77" w:rsidRPr="006B0F45">
        <w:rPr>
          <w:szCs w:val="24"/>
        </w:rPr>
        <w:t xml:space="preserve"> and </w:t>
      </w:r>
      <w:r w:rsidR="006A384E" w:rsidRPr="006B0F45">
        <w:rPr>
          <w:szCs w:val="24"/>
        </w:rPr>
        <w:t>inform EPA of their intent to participate in</w:t>
      </w:r>
      <w:r w:rsidR="00207B77" w:rsidRPr="006B0F45">
        <w:rPr>
          <w:szCs w:val="24"/>
        </w:rPr>
        <w:t xml:space="preserve"> consortium </w:t>
      </w:r>
      <w:r w:rsidR="006A384E" w:rsidRPr="006B0F45">
        <w:rPr>
          <w:szCs w:val="24"/>
        </w:rPr>
        <w:t xml:space="preserve">by </w:t>
      </w:r>
      <w:r w:rsidR="00A3495C">
        <w:rPr>
          <w:szCs w:val="24"/>
        </w:rPr>
        <w:t>notifying EPA</w:t>
      </w:r>
      <w:r w:rsidR="00580718">
        <w:rPr>
          <w:szCs w:val="24"/>
        </w:rPr>
        <w:t xml:space="preserve"> </w:t>
      </w:r>
      <w:r w:rsidR="006A384E" w:rsidRPr="006B0F45">
        <w:rPr>
          <w:szCs w:val="24"/>
        </w:rPr>
        <w:t>via</w:t>
      </w:r>
      <w:r w:rsidR="00207B77" w:rsidRPr="006B0F45">
        <w:rPr>
          <w:szCs w:val="24"/>
        </w:rPr>
        <w:t xml:space="preserve"> CDX.</w:t>
      </w:r>
      <w:r w:rsidR="00207B77" w:rsidRPr="009462D5">
        <w:rPr>
          <w:szCs w:val="24"/>
        </w:rPr>
        <w:t xml:space="preserve"> In addition</w:t>
      </w:r>
      <w:r w:rsidRPr="009462D5">
        <w:rPr>
          <w:szCs w:val="24"/>
        </w:rPr>
        <w:t xml:space="preserve">, EPA also expects that </w:t>
      </w:r>
      <w:r w:rsidRPr="00FE2B03">
        <w:t xml:space="preserve">each </w:t>
      </w:r>
      <w:r w:rsidR="00207B77" w:rsidRPr="006B0F45">
        <w:t xml:space="preserve">firm </w:t>
      </w:r>
      <w:r w:rsidRPr="006B0F45">
        <w:t xml:space="preserve">will incur burden </w:t>
      </w:r>
      <w:r w:rsidR="006A384E" w:rsidRPr="006B0F45">
        <w:t>to familiarize themselves</w:t>
      </w:r>
      <w:r w:rsidRPr="006B0F45">
        <w:t xml:space="preserve"> with the requirements of the </w:t>
      </w:r>
      <w:r w:rsidR="006A384E" w:rsidRPr="006B0F45">
        <w:t>proposed rule and develop</w:t>
      </w:r>
      <w:r w:rsidRPr="006B0F45">
        <w:t xml:space="preserve"> an understanding of what actions are necessary to comply with the </w:t>
      </w:r>
      <w:r w:rsidR="00207B77" w:rsidRPr="006B0F45">
        <w:t xml:space="preserve">fee payment </w:t>
      </w:r>
      <w:r w:rsidRPr="006B0F45">
        <w:t xml:space="preserve">requirements. Details on the burden estimate calculations per activity are presented in </w:t>
      </w:r>
      <w:r w:rsidR="002934B7" w:rsidRPr="002934B7">
        <w:t>TSCA s</w:t>
      </w:r>
      <w:r w:rsidRPr="006B0F45">
        <w:t xml:space="preserve">ection 5(a). </w:t>
      </w:r>
      <w:r w:rsidRPr="006B0F45">
        <w:rPr>
          <w:szCs w:val="24"/>
        </w:rPr>
        <w:t>The table below presents the estimated average annual burden for each activity and each respondent type.</w:t>
      </w:r>
    </w:p>
    <w:p w:rsidR="006A384E" w:rsidRPr="00E94D9A" w:rsidRDefault="006A384E" w:rsidP="006A384E">
      <w:pPr>
        <w:pStyle w:val="NoSpacing"/>
      </w:pPr>
    </w:p>
    <w:tbl>
      <w:tblPr>
        <w:tblpPr w:leftFromText="180" w:rightFromText="180" w:bottomFromText="200" w:vertAnchor="text" w:horzAnchor="margin" w:tblpXSpec="center" w:tblpY="85"/>
        <w:tblW w:w="9918" w:type="dxa"/>
        <w:tblLayout w:type="fixed"/>
        <w:tblLook w:val="04A0" w:firstRow="1" w:lastRow="0" w:firstColumn="1" w:lastColumn="0" w:noHBand="0" w:noVBand="1"/>
      </w:tblPr>
      <w:tblGrid>
        <w:gridCol w:w="2155"/>
        <w:gridCol w:w="23"/>
        <w:gridCol w:w="1320"/>
        <w:gridCol w:w="28"/>
        <w:gridCol w:w="1232"/>
        <w:gridCol w:w="29"/>
        <w:gridCol w:w="1231"/>
        <w:gridCol w:w="30"/>
        <w:gridCol w:w="1920"/>
        <w:gridCol w:w="15"/>
        <w:gridCol w:w="1935"/>
      </w:tblGrid>
      <w:tr w:rsidR="006A3A8A" w:rsidRPr="003946EE" w:rsidTr="006A384E">
        <w:trPr>
          <w:cantSplit/>
          <w:trHeight w:val="350"/>
        </w:trPr>
        <w:tc>
          <w:tcPr>
            <w:tcW w:w="9918" w:type="dxa"/>
            <w:gridSpan w:val="11"/>
            <w:tcBorders>
              <w:top w:val="single" w:sz="4" w:space="0" w:color="auto"/>
              <w:left w:val="single" w:sz="4" w:space="0" w:color="auto"/>
              <w:bottom w:val="nil"/>
              <w:right w:val="single" w:sz="4" w:space="0" w:color="auto"/>
            </w:tcBorders>
            <w:shd w:val="clear" w:color="auto" w:fill="BFBFBF" w:themeFill="background1" w:themeFillShade="BF"/>
            <w:hideMark/>
          </w:tcPr>
          <w:p w:rsidR="006A3A8A" w:rsidRPr="006B0F45" w:rsidRDefault="006A3A8A" w:rsidP="00EE3D6D">
            <w:pPr>
              <w:spacing w:line="276" w:lineRule="auto"/>
              <w:jc w:val="center"/>
              <w:rPr>
                <w:rFonts w:eastAsia="Times New Roman" w:cs="Arial"/>
                <w:b/>
                <w:bCs/>
                <w:color w:val="000000"/>
                <w:sz w:val="22"/>
                <w:vertAlign w:val="superscript"/>
              </w:rPr>
            </w:pPr>
            <w:r w:rsidRPr="001234E6">
              <w:rPr>
                <w:rFonts w:eastAsia="Times New Roman" w:cs="Arial"/>
                <w:b/>
                <w:bCs/>
                <w:color w:val="000000"/>
                <w:sz w:val="22"/>
              </w:rPr>
              <w:t xml:space="preserve">IC# 1. </w:t>
            </w:r>
            <w:r w:rsidRPr="001234E6">
              <w:t xml:space="preserve"> </w:t>
            </w:r>
            <w:r w:rsidR="00EE3D6D" w:rsidRPr="001234E6">
              <w:rPr>
                <w:rFonts w:eastAsia="Times New Roman" w:cs="Arial"/>
                <w:b/>
                <w:bCs/>
                <w:color w:val="000000"/>
                <w:sz w:val="22"/>
              </w:rPr>
              <w:t>TSCA Action Fee Payment</w:t>
            </w:r>
            <w:r w:rsidRPr="00A345B9">
              <w:rPr>
                <w:rFonts w:eastAsia="Times New Roman" w:cs="Arial"/>
                <w:b/>
                <w:bCs/>
                <w:color w:val="000000"/>
                <w:sz w:val="22"/>
              </w:rPr>
              <w:t xml:space="preserve"> activities</w:t>
            </w:r>
            <w:r w:rsidRPr="00FE2B03">
              <w:rPr>
                <w:rFonts w:eastAsia="Times New Roman" w:cs="Arial"/>
                <w:b/>
                <w:bCs/>
                <w:color w:val="000000"/>
                <w:sz w:val="22"/>
                <w:vertAlign w:val="superscript"/>
              </w:rPr>
              <w:t>1</w:t>
            </w:r>
          </w:p>
        </w:tc>
      </w:tr>
      <w:tr w:rsidR="00360AD0" w:rsidRPr="003946EE" w:rsidTr="006A384E">
        <w:trPr>
          <w:cantSplit/>
          <w:trHeight w:val="315"/>
        </w:trPr>
        <w:tc>
          <w:tcPr>
            <w:tcW w:w="2155"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hideMark/>
          </w:tcPr>
          <w:p w:rsidR="00360AD0" w:rsidRPr="001234E6" w:rsidRDefault="00360AD0" w:rsidP="00181C48">
            <w:pPr>
              <w:spacing w:line="276" w:lineRule="auto"/>
              <w:rPr>
                <w:rFonts w:eastAsia="Times New Roman" w:cs="Arial"/>
                <w:b/>
                <w:bCs/>
                <w:sz w:val="18"/>
                <w:szCs w:val="18"/>
              </w:rPr>
            </w:pPr>
            <w:r w:rsidRPr="001234E6">
              <w:rPr>
                <w:rFonts w:eastAsia="Times New Roman" w:cs="Arial"/>
                <w:b/>
                <w:bCs/>
                <w:sz w:val="18"/>
                <w:szCs w:val="18"/>
              </w:rPr>
              <w:t>Activity/Respondent</w:t>
            </w:r>
          </w:p>
        </w:tc>
        <w:tc>
          <w:tcPr>
            <w:tcW w:w="1371" w:type="dxa"/>
            <w:gridSpan w:val="3"/>
            <w:tcBorders>
              <w:top w:val="single" w:sz="4" w:space="0" w:color="auto"/>
              <w:left w:val="nil"/>
              <w:bottom w:val="single" w:sz="8" w:space="0" w:color="auto"/>
              <w:right w:val="nil"/>
            </w:tcBorders>
            <w:shd w:val="clear" w:color="auto" w:fill="BFBFBF" w:themeFill="background1" w:themeFillShade="BF"/>
            <w:vAlign w:val="center"/>
            <w:hideMark/>
          </w:tcPr>
          <w:p w:rsidR="00360AD0" w:rsidRPr="001234E6" w:rsidRDefault="00360AD0" w:rsidP="00EB62AB">
            <w:pPr>
              <w:spacing w:line="276" w:lineRule="auto"/>
              <w:rPr>
                <w:rFonts w:eastAsia="Times New Roman" w:cs="Arial"/>
                <w:b/>
                <w:bCs/>
                <w:sz w:val="18"/>
                <w:szCs w:val="18"/>
              </w:rPr>
            </w:pPr>
            <w:r w:rsidRPr="001234E6">
              <w:rPr>
                <w:rFonts w:eastAsia="Times New Roman" w:cs="Arial"/>
                <w:b/>
                <w:bCs/>
                <w:sz w:val="18"/>
                <w:szCs w:val="18"/>
              </w:rPr>
              <w:t>Number of Respondents</w:t>
            </w:r>
          </w:p>
        </w:tc>
        <w:tc>
          <w:tcPr>
            <w:tcW w:w="1261" w:type="dxa"/>
            <w:gridSpan w:val="2"/>
            <w:tcBorders>
              <w:top w:val="single" w:sz="4" w:space="0" w:color="auto"/>
              <w:left w:val="nil"/>
              <w:bottom w:val="single" w:sz="8" w:space="0" w:color="auto"/>
              <w:right w:val="nil"/>
            </w:tcBorders>
            <w:shd w:val="clear" w:color="auto" w:fill="BFBFBF" w:themeFill="background1" w:themeFillShade="BF"/>
            <w:hideMark/>
          </w:tcPr>
          <w:p w:rsidR="00360AD0" w:rsidRPr="001234E6" w:rsidRDefault="00360AD0" w:rsidP="00181C48">
            <w:pPr>
              <w:spacing w:line="276" w:lineRule="auto"/>
              <w:rPr>
                <w:rFonts w:eastAsia="Times New Roman" w:cs="Arial"/>
                <w:b/>
                <w:bCs/>
                <w:sz w:val="18"/>
                <w:szCs w:val="18"/>
              </w:rPr>
            </w:pPr>
            <w:r w:rsidRPr="001234E6">
              <w:rPr>
                <w:rFonts w:eastAsia="Times New Roman" w:cs="Arial"/>
                <w:b/>
                <w:bCs/>
                <w:sz w:val="18"/>
                <w:szCs w:val="18"/>
              </w:rPr>
              <w:t>Burden per Response</w:t>
            </w:r>
          </w:p>
          <w:p w:rsidR="00360AD0" w:rsidRPr="001234E6" w:rsidRDefault="00360AD0" w:rsidP="00181C48">
            <w:pPr>
              <w:pStyle w:val="NoSpacing"/>
              <w:spacing w:line="276" w:lineRule="auto"/>
              <w:rPr>
                <w:b/>
                <w:sz w:val="20"/>
                <w:szCs w:val="20"/>
              </w:rPr>
            </w:pPr>
            <w:r w:rsidRPr="001234E6">
              <w:rPr>
                <w:b/>
                <w:sz w:val="18"/>
                <w:szCs w:val="18"/>
              </w:rPr>
              <w:t>(hours)</w:t>
            </w:r>
          </w:p>
        </w:tc>
        <w:tc>
          <w:tcPr>
            <w:tcW w:w="1261" w:type="dxa"/>
            <w:gridSpan w:val="2"/>
            <w:tcBorders>
              <w:top w:val="single" w:sz="4" w:space="0" w:color="auto"/>
              <w:left w:val="nil"/>
              <w:bottom w:val="single" w:sz="8" w:space="0" w:color="auto"/>
              <w:right w:val="single" w:sz="8" w:space="0" w:color="auto"/>
            </w:tcBorders>
            <w:shd w:val="clear" w:color="auto" w:fill="BFBFBF" w:themeFill="background1" w:themeFillShade="BF"/>
            <w:vAlign w:val="center"/>
            <w:hideMark/>
          </w:tcPr>
          <w:p w:rsidR="00360AD0" w:rsidRPr="001234E6" w:rsidRDefault="00360AD0" w:rsidP="00181C48">
            <w:pPr>
              <w:spacing w:line="276" w:lineRule="auto"/>
              <w:rPr>
                <w:rFonts w:eastAsia="Times New Roman" w:cs="Arial"/>
                <w:b/>
                <w:bCs/>
                <w:sz w:val="18"/>
                <w:szCs w:val="18"/>
              </w:rPr>
            </w:pPr>
            <w:r w:rsidRPr="001234E6">
              <w:rPr>
                <w:rFonts w:eastAsia="Times New Roman" w:cs="Arial"/>
                <w:b/>
                <w:bCs/>
                <w:sz w:val="18"/>
                <w:szCs w:val="18"/>
              </w:rPr>
              <w:t>Total Burden (hours)</w:t>
            </w:r>
          </w:p>
        </w:tc>
        <w:tc>
          <w:tcPr>
            <w:tcW w:w="1935" w:type="dxa"/>
            <w:gridSpan w:val="2"/>
            <w:tcBorders>
              <w:top w:val="single" w:sz="4" w:space="0" w:color="auto"/>
              <w:left w:val="nil"/>
              <w:bottom w:val="single" w:sz="8" w:space="0" w:color="auto"/>
              <w:right w:val="single" w:sz="4" w:space="0" w:color="auto"/>
            </w:tcBorders>
            <w:shd w:val="clear" w:color="auto" w:fill="BFBFBF" w:themeFill="background1" w:themeFillShade="BF"/>
            <w:vAlign w:val="center"/>
            <w:hideMark/>
          </w:tcPr>
          <w:p w:rsidR="00360AD0" w:rsidRPr="001234E6" w:rsidRDefault="00360AD0" w:rsidP="00746158">
            <w:pPr>
              <w:spacing w:line="276" w:lineRule="auto"/>
              <w:jc w:val="center"/>
              <w:rPr>
                <w:rFonts w:eastAsia="Times New Roman" w:cs="Arial"/>
                <w:b/>
                <w:bCs/>
                <w:sz w:val="18"/>
                <w:szCs w:val="18"/>
              </w:rPr>
            </w:pPr>
            <w:r w:rsidRPr="001234E6">
              <w:rPr>
                <w:rFonts w:eastAsia="Times New Roman" w:cs="Arial"/>
                <w:b/>
                <w:bCs/>
                <w:sz w:val="18"/>
                <w:szCs w:val="18"/>
              </w:rPr>
              <w:t>Cost per Respondent</w:t>
            </w:r>
          </w:p>
        </w:tc>
        <w:tc>
          <w:tcPr>
            <w:tcW w:w="1935" w:type="dxa"/>
            <w:tcBorders>
              <w:top w:val="single" w:sz="4" w:space="0" w:color="auto"/>
              <w:left w:val="nil"/>
              <w:bottom w:val="single" w:sz="8" w:space="0" w:color="auto"/>
              <w:right w:val="single" w:sz="4" w:space="0" w:color="auto"/>
            </w:tcBorders>
            <w:shd w:val="clear" w:color="auto" w:fill="BFBFBF" w:themeFill="background1" w:themeFillShade="BF"/>
            <w:vAlign w:val="center"/>
          </w:tcPr>
          <w:p w:rsidR="00360AD0" w:rsidRPr="001234E6" w:rsidRDefault="00360AD0" w:rsidP="00746158">
            <w:pPr>
              <w:spacing w:line="276" w:lineRule="auto"/>
              <w:jc w:val="center"/>
              <w:rPr>
                <w:rFonts w:eastAsia="Times New Roman" w:cs="Arial"/>
                <w:b/>
                <w:bCs/>
                <w:sz w:val="18"/>
                <w:szCs w:val="18"/>
              </w:rPr>
            </w:pPr>
            <w:r w:rsidRPr="001234E6">
              <w:rPr>
                <w:rFonts w:eastAsia="Times New Roman" w:cs="Arial"/>
                <w:b/>
                <w:bCs/>
                <w:sz w:val="18"/>
                <w:szCs w:val="18"/>
              </w:rPr>
              <w:t>Total Cost</w:t>
            </w:r>
          </w:p>
        </w:tc>
      </w:tr>
      <w:tr w:rsidR="006A3A8A" w:rsidRPr="003946EE" w:rsidTr="006A384E">
        <w:trPr>
          <w:cantSplit/>
          <w:trHeight w:val="424"/>
        </w:trPr>
        <w:tc>
          <w:tcPr>
            <w:tcW w:w="9918" w:type="dxa"/>
            <w:gridSpan w:val="11"/>
            <w:tcBorders>
              <w:top w:val="nil"/>
              <w:left w:val="single" w:sz="4" w:space="0" w:color="auto"/>
              <w:bottom w:val="single" w:sz="8" w:space="0" w:color="auto"/>
              <w:right w:val="single" w:sz="4" w:space="0" w:color="auto"/>
            </w:tcBorders>
            <w:vAlign w:val="center"/>
            <w:hideMark/>
          </w:tcPr>
          <w:p w:rsidR="006A3A8A" w:rsidRPr="00A46991" w:rsidRDefault="006A3A8A" w:rsidP="00181C48">
            <w:pPr>
              <w:spacing w:line="276" w:lineRule="auto"/>
              <w:jc w:val="center"/>
              <w:rPr>
                <w:b/>
                <w:color w:val="000000"/>
                <w:sz w:val="18"/>
                <w:szCs w:val="18"/>
              </w:rPr>
            </w:pPr>
            <w:r w:rsidRPr="00A46991">
              <w:rPr>
                <w:rFonts w:ascii="Calibri" w:eastAsia="Times New Roman" w:hAnsi="Calibri" w:cs="Calibri"/>
                <w:b/>
                <w:sz w:val="22"/>
              </w:rPr>
              <w:t>Rule Familiarization</w:t>
            </w:r>
          </w:p>
        </w:tc>
      </w:tr>
      <w:tr w:rsidR="004212D2" w:rsidRPr="003946EE" w:rsidTr="006A384E">
        <w:trPr>
          <w:cantSplit/>
          <w:trHeight w:val="343"/>
        </w:trPr>
        <w:tc>
          <w:tcPr>
            <w:tcW w:w="2155" w:type="dxa"/>
            <w:tcBorders>
              <w:top w:val="nil"/>
              <w:left w:val="single" w:sz="4" w:space="0" w:color="auto"/>
              <w:bottom w:val="single" w:sz="8" w:space="0" w:color="auto"/>
              <w:right w:val="single" w:sz="8" w:space="0" w:color="auto"/>
            </w:tcBorders>
            <w:vAlign w:val="center"/>
            <w:hideMark/>
          </w:tcPr>
          <w:p w:rsidR="004212D2" w:rsidRPr="00A46991" w:rsidRDefault="004212D2" w:rsidP="00181C48">
            <w:pPr>
              <w:spacing w:line="276" w:lineRule="auto"/>
              <w:rPr>
                <w:rFonts w:cs="Arial"/>
                <w:sz w:val="18"/>
                <w:szCs w:val="18"/>
              </w:rPr>
            </w:pPr>
            <w:r w:rsidRPr="00A46991">
              <w:rPr>
                <w:rFonts w:eastAsia="Times New Roman" w:cs="Arial"/>
                <w:sz w:val="18"/>
                <w:szCs w:val="18"/>
              </w:rPr>
              <w:t>Section 4 Actions</w:t>
            </w:r>
          </w:p>
        </w:tc>
        <w:tc>
          <w:tcPr>
            <w:tcW w:w="1371" w:type="dxa"/>
            <w:gridSpan w:val="3"/>
            <w:tcBorders>
              <w:top w:val="nil"/>
              <w:left w:val="nil"/>
              <w:bottom w:val="single" w:sz="8" w:space="0" w:color="auto"/>
              <w:right w:val="nil"/>
            </w:tcBorders>
            <w:vAlign w:val="center"/>
            <w:hideMark/>
          </w:tcPr>
          <w:p w:rsidR="004212D2" w:rsidRPr="00A46991" w:rsidRDefault="004212D2" w:rsidP="00181C48">
            <w:pPr>
              <w:spacing w:line="276" w:lineRule="auto"/>
              <w:jc w:val="center"/>
              <w:rPr>
                <w:rFonts w:eastAsia="Times New Roman" w:cs="Arial"/>
                <w:color w:val="000000"/>
                <w:sz w:val="18"/>
                <w:szCs w:val="18"/>
              </w:rPr>
            </w:pPr>
            <w:r w:rsidRPr="00A46991">
              <w:rPr>
                <w:rFonts w:cs="Arial"/>
                <w:color w:val="000000"/>
                <w:sz w:val="18"/>
                <w:szCs w:val="18"/>
              </w:rPr>
              <w:t>336</w:t>
            </w:r>
          </w:p>
        </w:tc>
        <w:tc>
          <w:tcPr>
            <w:tcW w:w="1261" w:type="dxa"/>
            <w:gridSpan w:val="2"/>
            <w:tcBorders>
              <w:top w:val="nil"/>
              <w:left w:val="nil"/>
              <w:bottom w:val="single" w:sz="8" w:space="0" w:color="auto"/>
              <w:right w:val="nil"/>
            </w:tcBorders>
            <w:vAlign w:val="center"/>
            <w:hideMark/>
          </w:tcPr>
          <w:p w:rsidR="004212D2" w:rsidRPr="001234E6" w:rsidRDefault="004212D2" w:rsidP="00181C48">
            <w:pPr>
              <w:spacing w:line="276" w:lineRule="auto"/>
              <w:jc w:val="center"/>
              <w:rPr>
                <w:rFonts w:eastAsia="Times New Roman" w:cs="Arial"/>
                <w:color w:val="000000"/>
                <w:sz w:val="18"/>
                <w:szCs w:val="18"/>
              </w:rPr>
            </w:pPr>
            <w:r w:rsidRPr="001234E6">
              <w:rPr>
                <w:rFonts w:cs="Arial"/>
                <w:color w:val="000000"/>
                <w:sz w:val="18"/>
                <w:szCs w:val="18"/>
              </w:rPr>
              <w:t>0.167</w:t>
            </w:r>
          </w:p>
        </w:tc>
        <w:tc>
          <w:tcPr>
            <w:tcW w:w="1261" w:type="dxa"/>
            <w:gridSpan w:val="2"/>
            <w:tcBorders>
              <w:top w:val="nil"/>
              <w:left w:val="nil"/>
              <w:bottom w:val="single" w:sz="8" w:space="0" w:color="auto"/>
              <w:right w:val="single" w:sz="8" w:space="0" w:color="auto"/>
            </w:tcBorders>
            <w:vAlign w:val="center"/>
            <w:hideMark/>
          </w:tcPr>
          <w:p w:rsidR="004212D2" w:rsidRPr="001234E6" w:rsidRDefault="004212D2" w:rsidP="00181C48">
            <w:pPr>
              <w:spacing w:line="276" w:lineRule="auto"/>
              <w:jc w:val="center"/>
              <w:rPr>
                <w:rFonts w:eastAsia="Times New Roman" w:cs="Arial"/>
                <w:color w:val="000000"/>
                <w:sz w:val="18"/>
                <w:szCs w:val="18"/>
              </w:rPr>
            </w:pPr>
            <w:r w:rsidRPr="001234E6">
              <w:rPr>
                <w:rFonts w:cs="Arial"/>
                <w:color w:val="000000"/>
                <w:sz w:val="18"/>
                <w:szCs w:val="18"/>
              </w:rPr>
              <w:t>56</w:t>
            </w:r>
          </w:p>
        </w:tc>
        <w:tc>
          <w:tcPr>
            <w:tcW w:w="1935" w:type="dxa"/>
            <w:gridSpan w:val="2"/>
            <w:tcBorders>
              <w:top w:val="nil"/>
              <w:left w:val="nil"/>
              <w:bottom w:val="single" w:sz="8" w:space="0" w:color="auto"/>
              <w:right w:val="single" w:sz="4" w:space="0" w:color="auto"/>
            </w:tcBorders>
            <w:vAlign w:val="center"/>
            <w:hideMark/>
          </w:tcPr>
          <w:p w:rsidR="004212D2" w:rsidRPr="001234E6" w:rsidRDefault="004212D2" w:rsidP="00360AD0">
            <w:pPr>
              <w:spacing w:line="276" w:lineRule="auto"/>
              <w:jc w:val="right"/>
              <w:rPr>
                <w:rFonts w:cs="Arial"/>
                <w:color w:val="000000"/>
                <w:sz w:val="18"/>
                <w:szCs w:val="18"/>
              </w:rPr>
            </w:pPr>
            <w:r w:rsidRPr="001234E6">
              <w:rPr>
                <w:rFonts w:cs="Arial"/>
                <w:color w:val="000000"/>
                <w:sz w:val="18"/>
                <w:szCs w:val="18"/>
              </w:rPr>
              <w:t xml:space="preserve">$13.07 </w:t>
            </w:r>
          </w:p>
        </w:tc>
        <w:tc>
          <w:tcPr>
            <w:tcW w:w="1935" w:type="dxa"/>
            <w:tcBorders>
              <w:top w:val="nil"/>
              <w:left w:val="nil"/>
              <w:bottom w:val="single" w:sz="8" w:space="0" w:color="auto"/>
              <w:right w:val="single" w:sz="4" w:space="0" w:color="auto"/>
            </w:tcBorders>
            <w:vAlign w:val="center"/>
          </w:tcPr>
          <w:p w:rsidR="004212D2" w:rsidRPr="001234E6" w:rsidRDefault="004212D2" w:rsidP="00181C48">
            <w:pPr>
              <w:spacing w:line="276" w:lineRule="auto"/>
              <w:jc w:val="right"/>
              <w:rPr>
                <w:rFonts w:cs="Arial"/>
                <w:color w:val="000000"/>
                <w:sz w:val="18"/>
                <w:szCs w:val="18"/>
              </w:rPr>
            </w:pPr>
            <w:r w:rsidRPr="001234E6">
              <w:rPr>
                <w:rFonts w:cs="Arial"/>
                <w:color w:val="000000"/>
                <w:sz w:val="18"/>
                <w:szCs w:val="18"/>
              </w:rPr>
              <w:t>$4,390</w:t>
            </w:r>
          </w:p>
        </w:tc>
      </w:tr>
      <w:tr w:rsidR="00724EC4" w:rsidRPr="003946EE" w:rsidTr="006A384E">
        <w:trPr>
          <w:cantSplit/>
          <w:trHeight w:val="325"/>
        </w:trPr>
        <w:tc>
          <w:tcPr>
            <w:tcW w:w="2155" w:type="dxa"/>
            <w:tcBorders>
              <w:top w:val="nil"/>
              <w:left w:val="single" w:sz="4" w:space="0" w:color="auto"/>
              <w:bottom w:val="single" w:sz="8" w:space="0" w:color="auto"/>
              <w:right w:val="single" w:sz="8" w:space="0" w:color="auto"/>
            </w:tcBorders>
            <w:vAlign w:val="center"/>
            <w:hideMark/>
          </w:tcPr>
          <w:p w:rsidR="00724EC4" w:rsidRPr="00A46991" w:rsidRDefault="00724EC4" w:rsidP="00181C48">
            <w:pPr>
              <w:spacing w:line="276" w:lineRule="auto"/>
              <w:rPr>
                <w:rFonts w:cs="Arial"/>
                <w:sz w:val="18"/>
                <w:szCs w:val="18"/>
              </w:rPr>
            </w:pPr>
            <w:r w:rsidRPr="00A46991">
              <w:rPr>
                <w:rFonts w:eastAsia="Times New Roman" w:cs="Arial"/>
                <w:sz w:val="18"/>
                <w:szCs w:val="18"/>
              </w:rPr>
              <w:t>Section 5 Actions</w:t>
            </w:r>
          </w:p>
        </w:tc>
        <w:tc>
          <w:tcPr>
            <w:tcW w:w="1371" w:type="dxa"/>
            <w:gridSpan w:val="3"/>
            <w:tcBorders>
              <w:top w:val="nil"/>
              <w:left w:val="nil"/>
              <w:bottom w:val="single" w:sz="8" w:space="0" w:color="auto"/>
              <w:right w:val="nil"/>
            </w:tcBorders>
            <w:vAlign w:val="center"/>
            <w:hideMark/>
          </w:tcPr>
          <w:p w:rsidR="00724EC4" w:rsidRPr="00A46991" w:rsidRDefault="00724EC4" w:rsidP="00181C48">
            <w:pPr>
              <w:spacing w:line="276" w:lineRule="auto"/>
              <w:jc w:val="center"/>
              <w:rPr>
                <w:rFonts w:eastAsia="Times New Roman" w:cs="Arial"/>
                <w:color w:val="000000"/>
                <w:sz w:val="18"/>
                <w:szCs w:val="18"/>
              </w:rPr>
            </w:pPr>
            <w:r>
              <w:rPr>
                <w:rFonts w:cs="Arial"/>
                <w:color w:val="000000"/>
                <w:sz w:val="18"/>
                <w:szCs w:val="18"/>
              </w:rPr>
              <w:t>1,022</w:t>
            </w:r>
          </w:p>
        </w:tc>
        <w:tc>
          <w:tcPr>
            <w:tcW w:w="1261" w:type="dxa"/>
            <w:gridSpan w:val="2"/>
            <w:tcBorders>
              <w:top w:val="nil"/>
              <w:left w:val="nil"/>
              <w:bottom w:val="single" w:sz="8" w:space="0" w:color="auto"/>
              <w:right w:val="nil"/>
            </w:tcBorders>
            <w:vAlign w:val="center"/>
            <w:hideMark/>
          </w:tcPr>
          <w:p w:rsidR="00724EC4" w:rsidRPr="001234E6" w:rsidRDefault="00724EC4" w:rsidP="00181C48">
            <w:pPr>
              <w:spacing w:line="276" w:lineRule="auto"/>
              <w:jc w:val="center"/>
              <w:rPr>
                <w:rFonts w:eastAsia="Times New Roman" w:cs="Arial"/>
                <w:color w:val="000000"/>
                <w:sz w:val="18"/>
                <w:szCs w:val="18"/>
              </w:rPr>
            </w:pPr>
            <w:r>
              <w:rPr>
                <w:rFonts w:cs="Arial"/>
                <w:color w:val="000000"/>
                <w:sz w:val="18"/>
                <w:szCs w:val="18"/>
              </w:rPr>
              <w:t>0.167</w:t>
            </w:r>
          </w:p>
        </w:tc>
        <w:tc>
          <w:tcPr>
            <w:tcW w:w="1261" w:type="dxa"/>
            <w:gridSpan w:val="2"/>
            <w:tcBorders>
              <w:top w:val="nil"/>
              <w:left w:val="nil"/>
              <w:bottom w:val="single" w:sz="8" w:space="0" w:color="auto"/>
              <w:right w:val="single" w:sz="8" w:space="0" w:color="auto"/>
            </w:tcBorders>
            <w:vAlign w:val="center"/>
            <w:hideMark/>
          </w:tcPr>
          <w:p w:rsidR="00724EC4" w:rsidRPr="001234E6" w:rsidRDefault="00724EC4" w:rsidP="00181C48">
            <w:pPr>
              <w:spacing w:line="276" w:lineRule="auto"/>
              <w:jc w:val="center"/>
              <w:rPr>
                <w:rFonts w:eastAsia="Times New Roman" w:cs="Arial"/>
                <w:color w:val="000000"/>
                <w:sz w:val="18"/>
                <w:szCs w:val="18"/>
              </w:rPr>
            </w:pPr>
            <w:r>
              <w:rPr>
                <w:rFonts w:cs="Arial"/>
                <w:color w:val="000000"/>
                <w:sz w:val="18"/>
                <w:szCs w:val="18"/>
              </w:rPr>
              <w:t>170</w:t>
            </w:r>
          </w:p>
        </w:tc>
        <w:tc>
          <w:tcPr>
            <w:tcW w:w="1935" w:type="dxa"/>
            <w:gridSpan w:val="2"/>
            <w:tcBorders>
              <w:top w:val="nil"/>
              <w:left w:val="nil"/>
              <w:bottom w:val="single" w:sz="8" w:space="0" w:color="auto"/>
              <w:right w:val="single" w:sz="4" w:space="0" w:color="auto"/>
            </w:tcBorders>
            <w:vAlign w:val="center"/>
            <w:hideMark/>
          </w:tcPr>
          <w:p w:rsidR="00724EC4" w:rsidRPr="001234E6" w:rsidRDefault="00724EC4" w:rsidP="00360AD0">
            <w:pPr>
              <w:spacing w:line="276" w:lineRule="auto"/>
              <w:jc w:val="right"/>
              <w:rPr>
                <w:rFonts w:cs="Arial"/>
                <w:color w:val="000000"/>
                <w:sz w:val="18"/>
                <w:szCs w:val="18"/>
              </w:rPr>
            </w:pPr>
            <w:r>
              <w:rPr>
                <w:rFonts w:cs="Arial"/>
                <w:color w:val="000000"/>
                <w:sz w:val="18"/>
                <w:szCs w:val="18"/>
              </w:rPr>
              <w:t xml:space="preserve">$13.07 </w:t>
            </w:r>
          </w:p>
        </w:tc>
        <w:tc>
          <w:tcPr>
            <w:tcW w:w="1935" w:type="dxa"/>
            <w:tcBorders>
              <w:top w:val="nil"/>
              <w:left w:val="nil"/>
              <w:bottom w:val="single" w:sz="8" w:space="0" w:color="auto"/>
              <w:right w:val="single" w:sz="4" w:space="0" w:color="auto"/>
            </w:tcBorders>
            <w:vAlign w:val="center"/>
          </w:tcPr>
          <w:p w:rsidR="00724EC4" w:rsidRPr="001234E6" w:rsidRDefault="00724EC4" w:rsidP="00181C48">
            <w:pPr>
              <w:spacing w:line="276" w:lineRule="auto"/>
              <w:jc w:val="right"/>
              <w:rPr>
                <w:rFonts w:cs="Arial"/>
                <w:color w:val="000000"/>
                <w:sz w:val="18"/>
                <w:szCs w:val="18"/>
              </w:rPr>
            </w:pPr>
            <w:r>
              <w:rPr>
                <w:rFonts w:cs="Arial"/>
                <w:color w:val="000000"/>
                <w:sz w:val="18"/>
                <w:szCs w:val="18"/>
              </w:rPr>
              <w:t>$13,354</w:t>
            </w:r>
          </w:p>
        </w:tc>
      </w:tr>
      <w:tr w:rsidR="00724EC4" w:rsidRPr="003946EE" w:rsidTr="006A384E">
        <w:trPr>
          <w:cantSplit/>
          <w:trHeight w:val="352"/>
        </w:trPr>
        <w:tc>
          <w:tcPr>
            <w:tcW w:w="2155" w:type="dxa"/>
            <w:tcBorders>
              <w:top w:val="nil"/>
              <w:left w:val="single" w:sz="4" w:space="0" w:color="auto"/>
              <w:bottom w:val="single" w:sz="8" w:space="0" w:color="auto"/>
              <w:right w:val="single" w:sz="8" w:space="0" w:color="auto"/>
            </w:tcBorders>
            <w:vAlign w:val="center"/>
            <w:hideMark/>
          </w:tcPr>
          <w:p w:rsidR="00724EC4" w:rsidRPr="00A46991" w:rsidRDefault="00724EC4" w:rsidP="00181C48">
            <w:pPr>
              <w:spacing w:line="276" w:lineRule="auto"/>
              <w:rPr>
                <w:rFonts w:eastAsia="Times New Roman" w:cs="Arial"/>
                <w:sz w:val="18"/>
                <w:szCs w:val="18"/>
              </w:rPr>
            </w:pPr>
            <w:r w:rsidRPr="00A46991">
              <w:rPr>
                <w:rFonts w:eastAsia="Times New Roman" w:cs="Arial"/>
                <w:sz w:val="18"/>
                <w:szCs w:val="18"/>
              </w:rPr>
              <w:t>Section 6 Actions</w:t>
            </w:r>
          </w:p>
        </w:tc>
        <w:tc>
          <w:tcPr>
            <w:tcW w:w="1371" w:type="dxa"/>
            <w:gridSpan w:val="3"/>
            <w:tcBorders>
              <w:top w:val="nil"/>
              <w:left w:val="nil"/>
              <w:bottom w:val="single" w:sz="8" w:space="0" w:color="auto"/>
              <w:right w:val="nil"/>
            </w:tcBorders>
            <w:vAlign w:val="center"/>
            <w:hideMark/>
          </w:tcPr>
          <w:p w:rsidR="00724EC4" w:rsidRPr="00A46991" w:rsidRDefault="00724EC4" w:rsidP="00181C48">
            <w:pPr>
              <w:spacing w:line="276" w:lineRule="auto"/>
              <w:jc w:val="center"/>
              <w:rPr>
                <w:rFonts w:eastAsia="Times New Roman" w:cs="Arial"/>
                <w:color w:val="000000"/>
                <w:sz w:val="18"/>
                <w:szCs w:val="18"/>
              </w:rPr>
            </w:pPr>
            <w:r>
              <w:rPr>
                <w:rFonts w:cs="Arial"/>
                <w:color w:val="000000"/>
                <w:sz w:val="18"/>
                <w:szCs w:val="18"/>
              </w:rPr>
              <w:t>56</w:t>
            </w:r>
          </w:p>
        </w:tc>
        <w:tc>
          <w:tcPr>
            <w:tcW w:w="1261" w:type="dxa"/>
            <w:gridSpan w:val="2"/>
            <w:tcBorders>
              <w:top w:val="nil"/>
              <w:left w:val="nil"/>
              <w:bottom w:val="single" w:sz="8" w:space="0" w:color="auto"/>
              <w:right w:val="nil"/>
            </w:tcBorders>
            <w:vAlign w:val="center"/>
            <w:hideMark/>
          </w:tcPr>
          <w:p w:rsidR="00724EC4" w:rsidRPr="001234E6" w:rsidRDefault="00724EC4" w:rsidP="00181C48">
            <w:pPr>
              <w:spacing w:line="276" w:lineRule="auto"/>
              <w:jc w:val="center"/>
              <w:rPr>
                <w:rFonts w:eastAsia="Times New Roman" w:cs="Arial"/>
                <w:color w:val="000000"/>
                <w:sz w:val="18"/>
                <w:szCs w:val="18"/>
              </w:rPr>
            </w:pPr>
            <w:r>
              <w:rPr>
                <w:rFonts w:cs="Arial"/>
                <w:color w:val="000000"/>
                <w:sz w:val="18"/>
                <w:szCs w:val="18"/>
              </w:rPr>
              <w:t>0.167</w:t>
            </w:r>
          </w:p>
        </w:tc>
        <w:tc>
          <w:tcPr>
            <w:tcW w:w="1261" w:type="dxa"/>
            <w:gridSpan w:val="2"/>
            <w:tcBorders>
              <w:top w:val="nil"/>
              <w:left w:val="nil"/>
              <w:bottom w:val="single" w:sz="8" w:space="0" w:color="auto"/>
              <w:right w:val="single" w:sz="8" w:space="0" w:color="auto"/>
            </w:tcBorders>
            <w:vAlign w:val="center"/>
            <w:hideMark/>
          </w:tcPr>
          <w:p w:rsidR="00724EC4" w:rsidRPr="001234E6" w:rsidRDefault="00724EC4" w:rsidP="00181C48">
            <w:pPr>
              <w:spacing w:line="276" w:lineRule="auto"/>
              <w:jc w:val="center"/>
              <w:rPr>
                <w:rFonts w:eastAsia="Times New Roman" w:cs="Arial"/>
                <w:color w:val="000000"/>
                <w:sz w:val="18"/>
                <w:szCs w:val="18"/>
              </w:rPr>
            </w:pPr>
            <w:r>
              <w:rPr>
                <w:rFonts w:cs="Arial"/>
                <w:color w:val="000000"/>
                <w:sz w:val="18"/>
                <w:szCs w:val="18"/>
              </w:rPr>
              <w:t>9</w:t>
            </w:r>
          </w:p>
        </w:tc>
        <w:tc>
          <w:tcPr>
            <w:tcW w:w="1935" w:type="dxa"/>
            <w:gridSpan w:val="2"/>
            <w:tcBorders>
              <w:top w:val="nil"/>
              <w:left w:val="nil"/>
              <w:bottom w:val="single" w:sz="8" w:space="0" w:color="auto"/>
              <w:right w:val="single" w:sz="4" w:space="0" w:color="auto"/>
            </w:tcBorders>
            <w:vAlign w:val="center"/>
            <w:hideMark/>
          </w:tcPr>
          <w:p w:rsidR="00724EC4" w:rsidRPr="001234E6" w:rsidRDefault="00724EC4" w:rsidP="00360AD0">
            <w:pPr>
              <w:spacing w:line="276" w:lineRule="auto"/>
              <w:jc w:val="right"/>
              <w:rPr>
                <w:rFonts w:cs="Arial"/>
                <w:color w:val="000000"/>
                <w:sz w:val="18"/>
                <w:szCs w:val="18"/>
              </w:rPr>
            </w:pPr>
            <w:r>
              <w:rPr>
                <w:rFonts w:cs="Arial"/>
                <w:color w:val="000000"/>
                <w:sz w:val="18"/>
                <w:szCs w:val="18"/>
              </w:rPr>
              <w:t xml:space="preserve">$13.07 </w:t>
            </w:r>
          </w:p>
        </w:tc>
        <w:tc>
          <w:tcPr>
            <w:tcW w:w="1935" w:type="dxa"/>
            <w:tcBorders>
              <w:top w:val="nil"/>
              <w:left w:val="nil"/>
              <w:bottom w:val="single" w:sz="8" w:space="0" w:color="auto"/>
              <w:right w:val="single" w:sz="4" w:space="0" w:color="auto"/>
            </w:tcBorders>
            <w:vAlign w:val="center"/>
          </w:tcPr>
          <w:p w:rsidR="00724EC4" w:rsidRPr="001234E6" w:rsidRDefault="00724EC4" w:rsidP="00181C48">
            <w:pPr>
              <w:spacing w:line="276" w:lineRule="auto"/>
              <w:jc w:val="right"/>
              <w:rPr>
                <w:rFonts w:cs="Arial"/>
                <w:color w:val="000000"/>
                <w:sz w:val="18"/>
                <w:szCs w:val="18"/>
              </w:rPr>
            </w:pPr>
            <w:r>
              <w:rPr>
                <w:rFonts w:cs="Arial"/>
                <w:color w:val="000000"/>
                <w:sz w:val="18"/>
                <w:szCs w:val="18"/>
              </w:rPr>
              <w:t>$732</w:t>
            </w:r>
          </w:p>
        </w:tc>
      </w:tr>
      <w:tr w:rsidR="006A3A8A" w:rsidRPr="003946EE" w:rsidTr="006A384E">
        <w:trPr>
          <w:cantSplit/>
          <w:trHeight w:val="415"/>
        </w:trPr>
        <w:tc>
          <w:tcPr>
            <w:tcW w:w="9918" w:type="dxa"/>
            <w:gridSpan w:val="11"/>
            <w:tcBorders>
              <w:top w:val="single" w:sz="8" w:space="0" w:color="auto"/>
              <w:left w:val="single" w:sz="4" w:space="0" w:color="auto"/>
              <w:bottom w:val="single" w:sz="4" w:space="0" w:color="auto"/>
              <w:right w:val="single" w:sz="4" w:space="0" w:color="auto"/>
            </w:tcBorders>
            <w:vAlign w:val="center"/>
            <w:hideMark/>
          </w:tcPr>
          <w:p w:rsidR="006A3A8A" w:rsidRPr="00A46991" w:rsidRDefault="00746158" w:rsidP="00181C48">
            <w:pPr>
              <w:spacing w:line="276" w:lineRule="auto"/>
              <w:jc w:val="center"/>
              <w:rPr>
                <w:rFonts w:cs="Arial"/>
                <w:b/>
                <w:color w:val="000000"/>
                <w:sz w:val="18"/>
                <w:szCs w:val="18"/>
              </w:rPr>
            </w:pPr>
            <w:r w:rsidRPr="00A46991">
              <w:rPr>
                <w:rFonts w:cs="Arial"/>
                <w:b/>
                <w:color w:val="000000"/>
                <w:sz w:val="18"/>
                <w:szCs w:val="18"/>
              </w:rPr>
              <w:t>Discount Eligibility Determination</w:t>
            </w:r>
          </w:p>
        </w:tc>
      </w:tr>
      <w:tr w:rsidR="004212D2"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hideMark/>
          </w:tcPr>
          <w:p w:rsidR="004212D2" w:rsidRPr="00A46991" w:rsidRDefault="004212D2" w:rsidP="00EB62AB">
            <w:pPr>
              <w:spacing w:line="276" w:lineRule="auto"/>
              <w:rPr>
                <w:rFonts w:eastAsia="Times New Roman" w:cs="Arial"/>
                <w:bCs/>
                <w:color w:val="000000"/>
                <w:sz w:val="18"/>
                <w:szCs w:val="18"/>
              </w:rPr>
            </w:pPr>
            <w:r w:rsidRPr="00A46991">
              <w:rPr>
                <w:rFonts w:eastAsia="Times New Roman" w:cs="Arial"/>
                <w:sz w:val="18"/>
                <w:szCs w:val="18"/>
              </w:rPr>
              <w:t>Section 4 Actions</w:t>
            </w:r>
          </w:p>
        </w:tc>
        <w:tc>
          <w:tcPr>
            <w:tcW w:w="1371" w:type="dxa"/>
            <w:gridSpan w:val="3"/>
            <w:tcBorders>
              <w:top w:val="nil"/>
              <w:left w:val="nil"/>
              <w:bottom w:val="single" w:sz="4" w:space="0" w:color="auto"/>
              <w:right w:val="nil"/>
            </w:tcBorders>
            <w:vAlign w:val="center"/>
            <w:hideMark/>
          </w:tcPr>
          <w:p w:rsidR="004212D2" w:rsidRPr="00A46991" w:rsidRDefault="004212D2" w:rsidP="00EB62AB">
            <w:pPr>
              <w:pStyle w:val="NoSpacing"/>
              <w:spacing w:line="276" w:lineRule="auto"/>
              <w:jc w:val="center"/>
              <w:rPr>
                <w:rFonts w:cs="Arial"/>
                <w:sz w:val="18"/>
                <w:szCs w:val="18"/>
              </w:rPr>
            </w:pPr>
            <w:r w:rsidRPr="00A46991">
              <w:rPr>
                <w:rFonts w:cs="Arial"/>
                <w:color w:val="000000"/>
                <w:sz w:val="18"/>
                <w:szCs w:val="18"/>
              </w:rPr>
              <w:t>84</w:t>
            </w:r>
          </w:p>
        </w:tc>
        <w:tc>
          <w:tcPr>
            <w:tcW w:w="1261" w:type="dxa"/>
            <w:gridSpan w:val="2"/>
            <w:tcBorders>
              <w:top w:val="nil"/>
              <w:left w:val="nil"/>
              <w:bottom w:val="single" w:sz="4" w:space="0" w:color="auto"/>
              <w:right w:val="nil"/>
            </w:tcBorders>
            <w:vAlign w:val="center"/>
            <w:hideMark/>
          </w:tcPr>
          <w:p w:rsidR="004212D2" w:rsidRPr="001234E6" w:rsidRDefault="004212D2" w:rsidP="00EB62AB">
            <w:pPr>
              <w:pStyle w:val="NoSpacing"/>
              <w:tabs>
                <w:tab w:val="left" w:pos="271"/>
                <w:tab w:val="center" w:pos="522"/>
              </w:tabs>
              <w:spacing w:line="276" w:lineRule="auto"/>
              <w:jc w:val="center"/>
              <w:rPr>
                <w:rFonts w:cs="Arial"/>
                <w:sz w:val="18"/>
                <w:szCs w:val="18"/>
              </w:rPr>
            </w:pPr>
            <w:r w:rsidRPr="001234E6">
              <w:rPr>
                <w:rFonts w:cs="Arial"/>
                <w:color w:val="000000"/>
                <w:sz w:val="18"/>
                <w:szCs w:val="18"/>
              </w:rPr>
              <w:t>0.167</w:t>
            </w:r>
          </w:p>
        </w:tc>
        <w:tc>
          <w:tcPr>
            <w:tcW w:w="1261" w:type="dxa"/>
            <w:gridSpan w:val="2"/>
            <w:tcBorders>
              <w:top w:val="nil"/>
              <w:left w:val="nil"/>
              <w:bottom w:val="single" w:sz="4" w:space="0" w:color="auto"/>
              <w:right w:val="single" w:sz="8" w:space="0" w:color="auto"/>
            </w:tcBorders>
            <w:vAlign w:val="center"/>
            <w:hideMark/>
          </w:tcPr>
          <w:p w:rsidR="004212D2" w:rsidRPr="001234E6" w:rsidRDefault="004212D2" w:rsidP="00EB62AB">
            <w:pPr>
              <w:spacing w:line="276" w:lineRule="auto"/>
              <w:jc w:val="center"/>
              <w:rPr>
                <w:rFonts w:cs="Arial"/>
                <w:color w:val="000000"/>
                <w:sz w:val="18"/>
                <w:szCs w:val="18"/>
              </w:rPr>
            </w:pPr>
            <w:r w:rsidRPr="001234E6">
              <w:rPr>
                <w:rFonts w:cs="Arial"/>
                <w:color w:val="000000"/>
                <w:sz w:val="18"/>
                <w:szCs w:val="18"/>
              </w:rPr>
              <w:t>14</w:t>
            </w:r>
          </w:p>
        </w:tc>
        <w:tc>
          <w:tcPr>
            <w:tcW w:w="1935" w:type="dxa"/>
            <w:gridSpan w:val="2"/>
            <w:tcBorders>
              <w:top w:val="nil"/>
              <w:left w:val="nil"/>
              <w:bottom w:val="single" w:sz="4" w:space="0" w:color="auto"/>
              <w:right w:val="single" w:sz="4" w:space="0" w:color="auto"/>
            </w:tcBorders>
            <w:vAlign w:val="center"/>
            <w:hideMark/>
          </w:tcPr>
          <w:p w:rsidR="004212D2" w:rsidRPr="001234E6" w:rsidRDefault="004212D2" w:rsidP="00EB62AB">
            <w:pPr>
              <w:spacing w:line="276" w:lineRule="auto"/>
              <w:jc w:val="right"/>
              <w:rPr>
                <w:rFonts w:cs="Arial"/>
                <w:color w:val="000000"/>
                <w:sz w:val="18"/>
                <w:szCs w:val="18"/>
              </w:rPr>
            </w:pPr>
            <w:r w:rsidRPr="001234E6">
              <w:rPr>
                <w:rFonts w:cs="Arial"/>
                <w:color w:val="000000"/>
                <w:sz w:val="18"/>
                <w:szCs w:val="18"/>
              </w:rPr>
              <w:t xml:space="preserve">$18.65 </w:t>
            </w:r>
          </w:p>
        </w:tc>
        <w:tc>
          <w:tcPr>
            <w:tcW w:w="1935" w:type="dxa"/>
            <w:tcBorders>
              <w:top w:val="nil"/>
              <w:left w:val="nil"/>
              <w:bottom w:val="single" w:sz="4" w:space="0" w:color="auto"/>
              <w:right w:val="single" w:sz="4" w:space="0" w:color="auto"/>
            </w:tcBorders>
            <w:vAlign w:val="center"/>
          </w:tcPr>
          <w:p w:rsidR="004212D2" w:rsidRPr="001234E6" w:rsidRDefault="004212D2" w:rsidP="00EB62AB">
            <w:pPr>
              <w:spacing w:line="276" w:lineRule="auto"/>
              <w:jc w:val="right"/>
              <w:rPr>
                <w:rFonts w:cs="Arial"/>
                <w:color w:val="000000"/>
                <w:sz w:val="18"/>
                <w:szCs w:val="18"/>
              </w:rPr>
            </w:pPr>
            <w:r w:rsidRPr="001234E6">
              <w:rPr>
                <w:rFonts w:cs="Arial"/>
                <w:color w:val="000000"/>
                <w:sz w:val="18"/>
                <w:szCs w:val="18"/>
              </w:rPr>
              <w:t>$1,566</w:t>
            </w:r>
          </w:p>
        </w:tc>
      </w:tr>
      <w:tr w:rsidR="00724EC4"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hideMark/>
          </w:tcPr>
          <w:p w:rsidR="00724EC4" w:rsidRPr="00A46991" w:rsidRDefault="00724EC4" w:rsidP="00EB62AB">
            <w:pPr>
              <w:spacing w:line="276" w:lineRule="auto"/>
              <w:rPr>
                <w:rFonts w:eastAsia="Times New Roman" w:cs="Arial"/>
                <w:bCs/>
                <w:color w:val="000000"/>
                <w:sz w:val="18"/>
                <w:szCs w:val="18"/>
              </w:rPr>
            </w:pPr>
            <w:r w:rsidRPr="00A46991">
              <w:rPr>
                <w:rFonts w:eastAsia="Times New Roman" w:cs="Arial"/>
                <w:sz w:val="18"/>
                <w:szCs w:val="18"/>
              </w:rPr>
              <w:t>Section 5 Actions</w:t>
            </w:r>
          </w:p>
        </w:tc>
        <w:tc>
          <w:tcPr>
            <w:tcW w:w="1371" w:type="dxa"/>
            <w:gridSpan w:val="3"/>
            <w:tcBorders>
              <w:top w:val="nil"/>
              <w:left w:val="nil"/>
              <w:bottom w:val="single" w:sz="4" w:space="0" w:color="auto"/>
              <w:right w:val="nil"/>
            </w:tcBorders>
            <w:vAlign w:val="center"/>
            <w:hideMark/>
          </w:tcPr>
          <w:p w:rsidR="00724EC4" w:rsidRPr="00A46991" w:rsidRDefault="00724EC4" w:rsidP="00EB62AB">
            <w:pPr>
              <w:pStyle w:val="NoSpacing"/>
              <w:spacing w:line="276" w:lineRule="auto"/>
              <w:jc w:val="center"/>
              <w:rPr>
                <w:rFonts w:cs="Arial"/>
                <w:sz w:val="18"/>
                <w:szCs w:val="18"/>
              </w:rPr>
            </w:pPr>
            <w:r>
              <w:rPr>
                <w:rFonts w:cs="Arial"/>
                <w:color w:val="000000"/>
                <w:sz w:val="18"/>
                <w:szCs w:val="18"/>
              </w:rPr>
              <w:t>164</w:t>
            </w:r>
          </w:p>
        </w:tc>
        <w:tc>
          <w:tcPr>
            <w:tcW w:w="1261" w:type="dxa"/>
            <w:gridSpan w:val="2"/>
            <w:tcBorders>
              <w:top w:val="nil"/>
              <w:left w:val="nil"/>
              <w:bottom w:val="single" w:sz="4" w:space="0" w:color="auto"/>
              <w:right w:val="nil"/>
            </w:tcBorders>
            <w:vAlign w:val="center"/>
            <w:hideMark/>
          </w:tcPr>
          <w:p w:rsidR="00724EC4" w:rsidRPr="001234E6" w:rsidRDefault="00724EC4" w:rsidP="00EB62AB">
            <w:pPr>
              <w:spacing w:line="276" w:lineRule="auto"/>
              <w:jc w:val="center"/>
              <w:rPr>
                <w:rFonts w:eastAsia="Times New Roman" w:cs="Arial"/>
                <w:color w:val="000000"/>
                <w:sz w:val="18"/>
                <w:szCs w:val="18"/>
              </w:rPr>
            </w:pPr>
            <w:r>
              <w:rPr>
                <w:rFonts w:cs="Arial"/>
                <w:color w:val="000000"/>
                <w:sz w:val="18"/>
                <w:szCs w:val="18"/>
              </w:rPr>
              <w:t>0.167</w:t>
            </w:r>
          </w:p>
        </w:tc>
        <w:tc>
          <w:tcPr>
            <w:tcW w:w="1261" w:type="dxa"/>
            <w:gridSpan w:val="2"/>
            <w:tcBorders>
              <w:top w:val="nil"/>
              <w:left w:val="nil"/>
              <w:bottom w:val="single" w:sz="4" w:space="0" w:color="auto"/>
              <w:right w:val="single" w:sz="8" w:space="0" w:color="auto"/>
            </w:tcBorders>
            <w:vAlign w:val="center"/>
            <w:hideMark/>
          </w:tcPr>
          <w:p w:rsidR="00724EC4" w:rsidRPr="001234E6" w:rsidRDefault="00724EC4" w:rsidP="00EB62AB">
            <w:pPr>
              <w:spacing w:line="276" w:lineRule="auto"/>
              <w:jc w:val="center"/>
              <w:rPr>
                <w:rFonts w:cs="Arial"/>
                <w:color w:val="000000"/>
                <w:sz w:val="18"/>
                <w:szCs w:val="18"/>
              </w:rPr>
            </w:pPr>
            <w:r>
              <w:rPr>
                <w:rFonts w:cs="Arial"/>
                <w:color w:val="000000"/>
                <w:sz w:val="18"/>
                <w:szCs w:val="18"/>
              </w:rPr>
              <w:t>27</w:t>
            </w:r>
          </w:p>
        </w:tc>
        <w:tc>
          <w:tcPr>
            <w:tcW w:w="1935" w:type="dxa"/>
            <w:gridSpan w:val="2"/>
            <w:tcBorders>
              <w:top w:val="nil"/>
              <w:left w:val="nil"/>
              <w:bottom w:val="single" w:sz="4" w:space="0" w:color="auto"/>
              <w:right w:val="single" w:sz="4" w:space="0" w:color="auto"/>
            </w:tcBorders>
            <w:vAlign w:val="center"/>
            <w:hideMark/>
          </w:tcPr>
          <w:p w:rsidR="00724EC4" w:rsidRPr="001234E6" w:rsidRDefault="00724EC4" w:rsidP="00EB62AB">
            <w:pPr>
              <w:spacing w:line="276" w:lineRule="auto"/>
              <w:jc w:val="right"/>
              <w:rPr>
                <w:rFonts w:cs="Arial"/>
                <w:color w:val="000000"/>
                <w:sz w:val="18"/>
                <w:szCs w:val="18"/>
              </w:rPr>
            </w:pPr>
            <w:r>
              <w:rPr>
                <w:rFonts w:cs="Arial"/>
                <w:color w:val="000000"/>
                <w:sz w:val="18"/>
                <w:szCs w:val="18"/>
              </w:rPr>
              <w:t xml:space="preserve">$18.65 </w:t>
            </w:r>
          </w:p>
        </w:tc>
        <w:tc>
          <w:tcPr>
            <w:tcW w:w="1935" w:type="dxa"/>
            <w:tcBorders>
              <w:top w:val="nil"/>
              <w:left w:val="nil"/>
              <w:bottom w:val="single" w:sz="4" w:space="0" w:color="auto"/>
              <w:right w:val="single" w:sz="4" w:space="0" w:color="auto"/>
            </w:tcBorders>
            <w:vAlign w:val="center"/>
          </w:tcPr>
          <w:p w:rsidR="00724EC4" w:rsidRPr="001234E6" w:rsidRDefault="00724EC4" w:rsidP="00EB62AB">
            <w:pPr>
              <w:spacing w:line="276" w:lineRule="auto"/>
              <w:jc w:val="right"/>
              <w:rPr>
                <w:rFonts w:cs="Arial"/>
                <w:color w:val="000000"/>
                <w:sz w:val="18"/>
                <w:szCs w:val="18"/>
              </w:rPr>
            </w:pPr>
            <w:r>
              <w:rPr>
                <w:rFonts w:cs="Arial"/>
                <w:color w:val="000000"/>
                <w:sz w:val="18"/>
                <w:szCs w:val="18"/>
              </w:rPr>
              <w:t>$3,058</w:t>
            </w:r>
          </w:p>
        </w:tc>
      </w:tr>
      <w:tr w:rsidR="00724EC4"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tcPr>
          <w:p w:rsidR="00724EC4" w:rsidRPr="00A46991" w:rsidRDefault="00724EC4" w:rsidP="00EB62AB">
            <w:pPr>
              <w:spacing w:line="276" w:lineRule="auto"/>
              <w:rPr>
                <w:rFonts w:eastAsia="Times New Roman" w:cs="Arial"/>
                <w:bCs/>
                <w:color w:val="000000"/>
                <w:sz w:val="18"/>
                <w:szCs w:val="18"/>
              </w:rPr>
            </w:pPr>
            <w:r w:rsidRPr="00A46991">
              <w:rPr>
                <w:rFonts w:eastAsia="Times New Roman" w:cs="Arial"/>
                <w:sz w:val="18"/>
                <w:szCs w:val="18"/>
              </w:rPr>
              <w:t>Section 6 Actions</w:t>
            </w:r>
          </w:p>
        </w:tc>
        <w:tc>
          <w:tcPr>
            <w:tcW w:w="1371" w:type="dxa"/>
            <w:gridSpan w:val="3"/>
            <w:tcBorders>
              <w:top w:val="nil"/>
              <w:left w:val="nil"/>
              <w:bottom w:val="single" w:sz="4" w:space="0" w:color="auto"/>
              <w:right w:val="nil"/>
            </w:tcBorders>
            <w:vAlign w:val="center"/>
          </w:tcPr>
          <w:p w:rsidR="00724EC4" w:rsidRPr="00A46991" w:rsidRDefault="00724EC4" w:rsidP="00EB62AB">
            <w:pPr>
              <w:pStyle w:val="NoSpacing"/>
              <w:spacing w:line="276" w:lineRule="auto"/>
              <w:jc w:val="center"/>
              <w:rPr>
                <w:rFonts w:cs="Arial"/>
                <w:sz w:val="18"/>
                <w:szCs w:val="18"/>
              </w:rPr>
            </w:pPr>
            <w:r>
              <w:rPr>
                <w:rFonts w:cs="Arial"/>
                <w:color w:val="000000"/>
                <w:sz w:val="18"/>
                <w:szCs w:val="18"/>
              </w:rPr>
              <w:t>24</w:t>
            </w:r>
          </w:p>
        </w:tc>
        <w:tc>
          <w:tcPr>
            <w:tcW w:w="1261" w:type="dxa"/>
            <w:gridSpan w:val="2"/>
            <w:tcBorders>
              <w:top w:val="nil"/>
              <w:left w:val="nil"/>
              <w:bottom w:val="single" w:sz="4" w:space="0" w:color="auto"/>
              <w:right w:val="nil"/>
            </w:tcBorders>
            <w:vAlign w:val="center"/>
          </w:tcPr>
          <w:p w:rsidR="00724EC4" w:rsidRPr="001234E6" w:rsidRDefault="00724EC4" w:rsidP="00EB62AB">
            <w:pPr>
              <w:spacing w:line="276" w:lineRule="auto"/>
              <w:jc w:val="center"/>
              <w:rPr>
                <w:rFonts w:eastAsia="Times New Roman" w:cs="Arial"/>
                <w:color w:val="000000"/>
                <w:sz w:val="18"/>
                <w:szCs w:val="18"/>
              </w:rPr>
            </w:pPr>
            <w:r>
              <w:rPr>
                <w:rFonts w:cs="Arial"/>
                <w:color w:val="000000"/>
                <w:sz w:val="18"/>
                <w:szCs w:val="18"/>
              </w:rPr>
              <w:t>0.167</w:t>
            </w:r>
          </w:p>
        </w:tc>
        <w:tc>
          <w:tcPr>
            <w:tcW w:w="1261" w:type="dxa"/>
            <w:gridSpan w:val="2"/>
            <w:tcBorders>
              <w:top w:val="nil"/>
              <w:left w:val="nil"/>
              <w:bottom w:val="single" w:sz="4" w:space="0" w:color="auto"/>
              <w:right w:val="single" w:sz="8" w:space="0" w:color="auto"/>
            </w:tcBorders>
            <w:vAlign w:val="center"/>
          </w:tcPr>
          <w:p w:rsidR="00724EC4" w:rsidRPr="001234E6" w:rsidRDefault="00724EC4" w:rsidP="00EB62AB">
            <w:pPr>
              <w:spacing w:line="276" w:lineRule="auto"/>
              <w:jc w:val="center"/>
              <w:rPr>
                <w:rFonts w:cs="Arial"/>
                <w:color w:val="000000"/>
                <w:sz w:val="18"/>
                <w:szCs w:val="18"/>
              </w:rPr>
            </w:pPr>
            <w:r>
              <w:rPr>
                <w:rFonts w:cs="Arial"/>
                <w:color w:val="000000"/>
                <w:sz w:val="18"/>
                <w:szCs w:val="18"/>
              </w:rPr>
              <w:t>4</w:t>
            </w:r>
          </w:p>
        </w:tc>
        <w:tc>
          <w:tcPr>
            <w:tcW w:w="1935" w:type="dxa"/>
            <w:gridSpan w:val="2"/>
            <w:tcBorders>
              <w:top w:val="nil"/>
              <w:left w:val="nil"/>
              <w:bottom w:val="single" w:sz="4" w:space="0" w:color="auto"/>
              <w:right w:val="single" w:sz="4" w:space="0" w:color="auto"/>
            </w:tcBorders>
            <w:vAlign w:val="center"/>
          </w:tcPr>
          <w:p w:rsidR="00724EC4" w:rsidRPr="001234E6" w:rsidRDefault="00724EC4" w:rsidP="00EB62AB">
            <w:pPr>
              <w:spacing w:line="276" w:lineRule="auto"/>
              <w:jc w:val="right"/>
              <w:rPr>
                <w:rFonts w:cs="Arial"/>
                <w:color w:val="000000"/>
                <w:sz w:val="18"/>
                <w:szCs w:val="18"/>
              </w:rPr>
            </w:pPr>
            <w:r>
              <w:rPr>
                <w:rFonts w:cs="Arial"/>
                <w:color w:val="000000"/>
                <w:sz w:val="18"/>
                <w:szCs w:val="18"/>
              </w:rPr>
              <w:t xml:space="preserve">$18.65 </w:t>
            </w:r>
          </w:p>
        </w:tc>
        <w:tc>
          <w:tcPr>
            <w:tcW w:w="1935" w:type="dxa"/>
            <w:tcBorders>
              <w:top w:val="nil"/>
              <w:left w:val="nil"/>
              <w:bottom w:val="single" w:sz="4" w:space="0" w:color="auto"/>
              <w:right w:val="single" w:sz="4" w:space="0" w:color="auto"/>
            </w:tcBorders>
            <w:vAlign w:val="center"/>
          </w:tcPr>
          <w:p w:rsidR="00724EC4" w:rsidRPr="001234E6" w:rsidRDefault="00724EC4" w:rsidP="00EB62AB">
            <w:pPr>
              <w:spacing w:line="276" w:lineRule="auto"/>
              <w:jc w:val="right"/>
              <w:rPr>
                <w:rFonts w:cs="Arial"/>
                <w:color w:val="000000"/>
                <w:sz w:val="18"/>
                <w:szCs w:val="18"/>
              </w:rPr>
            </w:pPr>
            <w:r>
              <w:rPr>
                <w:rFonts w:cs="Arial"/>
                <w:color w:val="000000"/>
                <w:sz w:val="18"/>
                <w:szCs w:val="18"/>
              </w:rPr>
              <w:t>$447</w:t>
            </w:r>
          </w:p>
        </w:tc>
      </w:tr>
      <w:tr w:rsidR="006A3A8A" w:rsidRPr="003946EE" w:rsidTr="006A384E">
        <w:trPr>
          <w:cantSplit/>
          <w:trHeight w:val="433"/>
        </w:trPr>
        <w:tc>
          <w:tcPr>
            <w:tcW w:w="9918" w:type="dxa"/>
            <w:gridSpan w:val="11"/>
            <w:tcBorders>
              <w:top w:val="single" w:sz="8" w:space="0" w:color="auto"/>
              <w:left w:val="single" w:sz="4" w:space="0" w:color="auto"/>
              <w:bottom w:val="single" w:sz="4" w:space="0" w:color="auto"/>
              <w:right w:val="single" w:sz="4" w:space="0" w:color="auto"/>
            </w:tcBorders>
            <w:vAlign w:val="center"/>
            <w:hideMark/>
          </w:tcPr>
          <w:p w:rsidR="006A3A8A" w:rsidRPr="00A46991" w:rsidRDefault="00207B77" w:rsidP="00181C48">
            <w:pPr>
              <w:spacing w:line="276" w:lineRule="auto"/>
              <w:jc w:val="center"/>
              <w:rPr>
                <w:rFonts w:cs="Arial"/>
                <w:b/>
                <w:color w:val="000000"/>
                <w:sz w:val="18"/>
                <w:szCs w:val="18"/>
              </w:rPr>
            </w:pPr>
            <w:r w:rsidRPr="00A46991">
              <w:rPr>
                <w:rFonts w:cs="Arial"/>
                <w:b/>
                <w:color w:val="000000"/>
                <w:sz w:val="18"/>
                <w:szCs w:val="18"/>
              </w:rPr>
              <w:t>Fee Payment</w:t>
            </w:r>
          </w:p>
        </w:tc>
      </w:tr>
      <w:tr w:rsidR="004212D2"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hideMark/>
          </w:tcPr>
          <w:p w:rsidR="004212D2" w:rsidRPr="00A46991" w:rsidRDefault="004212D2" w:rsidP="00181C48">
            <w:pPr>
              <w:spacing w:line="276" w:lineRule="auto"/>
              <w:rPr>
                <w:rFonts w:eastAsia="Times New Roman" w:cs="Arial"/>
                <w:bCs/>
                <w:color w:val="000000"/>
                <w:sz w:val="18"/>
                <w:szCs w:val="18"/>
              </w:rPr>
            </w:pPr>
            <w:r w:rsidRPr="00A46991">
              <w:rPr>
                <w:rFonts w:eastAsia="Times New Roman" w:cs="Arial"/>
                <w:sz w:val="18"/>
                <w:szCs w:val="18"/>
              </w:rPr>
              <w:t>Section 4 Actions</w:t>
            </w:r>
          </w:p>
        </w:tc>
        <w:tc>
          <w:tcPr>
            <w:tcW w:w="1371" w:type="dxa"/>
            <w:gridSpan w:val="3"/>
            <w:tcBorders>
              <w:top w:val="nil"/>
              <w:left w:val="nil"/>
              <w:bottom w:val="single" w:sz="4" w:space="0" w:color="auto"/>
              <w:right w:val="nil"/>
            </w:tcBorders>
            <w:vAlign w:val="center"/>
            <w:hideMark/>
          </w:tcPr>
          <w:p w:rsidR="004212D2" w:rsidRPr="00A46991" w:rsidRDefault="004212D2" w:rsidP="00181C48">
            <w:pPr>
              <w:pStyle w:val="NoSpacing"/>
              <w:spacing w:line="276" w:lineRule="auto"/>
              <w:jc w:val="center"/>
              <w:rPr>
                <w:rFonts w:cs="Arial"/>
                <w:sz w:val="18"/>
                <w:szCs w:val="18"/>
              </w:rPr>
            </w:pPr>
            <w:r w:rsidRPr="00A46991">
              <w:rPr>
                <w:rFonts w:cs="Arial"/>
                <w:color w:val="000000"/>
                <w:sz w:val="18"/>
                <w:szCs w:val="18"/>
              </w:rPr>
              <w:t>336</w:t>
            </w:r>
          </w:p>
        </w:tc>
        <w:tc>
          <w:tcPr>
            <w:tcW w:w="1261" w:type="dxa"/>
            <w:gridSpan w:val="2"/>
            <w:tcBorders>
              <w:top w:val="nil"/>
              <w:left w:val="nil"/>
              <w:bottom w:val="single" w:sz="4" w:space="0" w:color="auto"/>
              <w:right w:val="nil"/>
            </w:tcBorders>
            <w:vAlign w:val="center"/>
            <w:hideMark/>
          </w:tcPr>
          <w:p w:rsidR="004212D2" w:rsidRPr="001234E6" w:rsidRDefault="004212D2" w:rsidP="00181C48">
            <w:pPr>
              <w:pStyle w:val="NoSpacing"/>
              <w:spacing w:line="276" w:lineRule="auto"/>
              <w:jc w:val="center"/>
              <w:rPr>
                <w:rFonts w:cs="Arial"/>
                <w:sz w:val="18"/>
                <w:szCs w:val="18"/>
              </w:rPr>
            </w:pPr>
            <w:r w:rsidRPr="001234E6">
              <w:rPr>
                <w:rFonts w:cs="Arial"/>
                <w:color w:val="000000"/>
                <w:sz w:val="18"/>
                <w:szCs w:val="18"/>
              </w:rPr>
              <w:t>0.167</w:t>
            </w:r>
          </w:p>
        </w:tc>
        <w:tc>
          <w:tcPr>
            <w:tcW w:w="1261" w:type="dxa"/>
            <w:gridSpan w:val="2"/>
            <w:tcBorders>
              <w:top w:val="nil"/>
              <w:left w:val="nil"/>
              <w:bottom w:val="single" w:sz="4" w:space="0" w:color="auto"/>
              <w:right w:val="single" w:sz="8" w:space="0" w:color="auto"/>
            </w:tcBorders>
            <w:vAlign w:val="center"/>
            <w:hideMark/>
          </w:tcPr>
          <w:p w:rsidR="004212D2" w:rsidRPr="001234E6" w:rsidRDefault="004212D2" w:rsidP="00181C48">
            <w:pPr>
              <w:spacing w:line="276" w:lineRule="auto"/>
              <w:jc w:val="center"/>
              <w:rPr>
                <w:rFonts w:cs="Arial"/>
                <w:color w:val="000000"/>
                <w:sz w:val="18"/>
                <w:szCs w:val="18"/>
              </w:rPr>
            </w:pPr>
            <w:r w:rsidRPr="001234E6">
              <w:rPr>
                <w:rFonts w:cs="Arial"/>
                <w:color w:val="000000"/>
                <w:sz w:val="18"/>
                <w:szCs w:val="18"/>
              </w:rPr>
              <w:t>56</w:t>
            </w:r>
          </w:p>
        </w:tc>
        <w:tc>
          <w:tcPr>
            <w:tcW w:w="1935" w:type="dxa"/>
            <w:gridSpan w:val="2"/>
            <w:tcBorders>
              <w:top w:val="nil"/>
              <w:left w:val="nil"/>
              <w:bottom w:val="single" w:sz="4" w:space="0" w:color="auto"/>
              <w:right w:val="single" w:sz="4" w:space="0" w:color="auto"/>
            </w:tcBorders>
            <w:vAlign w:val="center"/>
            <w:hideMark/>
          </w:tcPr>
          <w:p w:rsidR="004212D2" w:rsidRPr="001234E6" w:rsidRDefault="004212D2" w:rsidP="00181C48">
            <w:pPr>
              <w:spacing w:line="276" w:lineRule="auto"/>
              <w:jc w:val="right"/>
              <w:rPr>
                <w:rFonts w:cs="Arial"/>
                <w:color w:val="000000"/>
                <w:sz w:val="18"/>
                <w:szCs w:val="18"/>
              </w:rPr>
            </w:pPr>
            <w:r w:rsidRPr="001234E6">
              <w:rPr>
                <w:rFonts w:cs="Arial"/>
                <w:color w:val="000000"/>
                <w:sz w:val="18"/>
                <w:szCs w:val="18"/>
              </w:rPr>
              <w:t xml:space="preserve">$13.07 </w:t>
            </w:r>
          </w:p>
        </w:tc>
        <w:tc>
          <w:tcPr>
            <w:tcW w:w="1935" w:type="dxa"/>
            <w:tcBorders>
              <w:top w:val="nil"/>
              <w:left w:val="nil"/>
              <w:bottom w:val="single" w:sz="4" w:space="0" w:color="auto"/>
              <w:right w:val="single" w:sz="4" w:space="0" w:color="auto"/>
            </w:tcBorders>
            <w:vAlign w:val="center"/>
          </w:tcPr>
          <w:p w:rsidR="004212D2" w:rsidRPr="001234E6" w:rsidRDefault="004212D2" w:rsidP="00181C48">
            <w:pPr>
              <w:spacing w:line="276" w:lineRule="auto"/>
              <w:jc w:val="right"/>
              <w:rPr>
                <w:rFonts w:cs="Arial"/>
                <w:color w:val="000000"/>
                <w:sz w:val="18"/>
                <w:szCs w:val="18"/>
              </w:rPr>
            </w:pPr>
            <w:r w:rsidRPr="001234E6">
              <w:rPr>
                <w:rFonts w:cs="Arial"/>
                <w:color w:val="000000"/>
                <w:sz w:val="18"/>
                <w:szCs w:val="18"/>
              </w:rPr>
              <w:t>$4,390</w:t>
            </w:r>
          </w:p>
        </w:tc>
      </w:tr>
      <w:tr w:rsidR="00724EC4"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tcPr>
          <w:p w:rsidR="00724EC4" w:rsidRPr="00A46991" w:rsidRDefault="00724EC4" w:rsidP="00181C48">
            <w:pPr>
              <w:spacing w:line="276" w:lineRule="auto"/>
              <w:rPr>
                <w:rFonts w:eastAsia="Times New Roman" w:cs="Arial"/>
                <w:bCs/>
                <w:color w:val="000000"/>
                <w:sz w:val="18"/>
                <w:szCs w:val="18"/>
              </w:rPr>
            </w:pPr>
            <w:r w:rsidRPr="00A46991">
              <w:rPr>
                <w:rFonts w:eastAsia="Times New Roman" w:cs="Arial"/>
                <w:sz w:val="18"/>
                <w:szCs w:val="18"/>
              </w:rPr>
              <w:t>Section 5 Actions</w:t>
            </w:r>
          </w:p>
        </w:tc>
        <w:tc>
          <w:tcPr>
            <w:tcW w:w="1371" w:type="dxa"/>
            <w:gridSpan w:val="3"/>
            <w:tcBorders>
              <w:top w:val="nil"/>
              <w:left w:val="nil"/>
              <w:bottom w:val="single" w:sz="4" w:space="0" w:color="auto"/>
              <w:right w:val="nil"/>
            </w:tcBorders>
            <w:vAlign w:val="center"/>
          </w:tcPr>
          <w:p w:rsidR="00724EC4" w:rsidRPr="00A46991" w:rsidRDefault="00724EC4" w:rsidP="00181C48">
            <w:pPr>
              <w:pStyle w:val="NoSpacing"/>
              <w:spacing w:line="276" w:lineRule="auto"/>
              <w:jc w:val="center"/>
              <w:rPr>
                <w:rFonts w:cs="Arial"/>
                <w:sz w:val="18"/>
                <w:szCs w:val="18"/>
              </w:rPr>
            </w:pPr>
            <w:r>
              <w:rPr>
                <w:rFonts w:cs="Arial"/>
                <w:color w:val="000000"/>
                <w:sz w:val="18"/>
                <w:szCs w:val="18"/>
              </w:rPr>
              <w:t>1,022</w:t>
            </w:r>
          </w:p>
        </w:tc>
        <w:tc>
          <w:tcPr>
            <w:tcW w:w="1261" w:type="dxa"/>
            <w:gridSpan w:val="2"/>
            <w:tcBorders>
              <w:top w:val="nil"/>
              <w:left w:val="nil"/>
              <w:bottom w:val="single" w:sz="4" w:space="0" w:color="auto"/>
              <w:right w:val="nil"/>
            </w:tcBorders>
            <w:vAlign w:val="center"/>
          </w:tcPr>
          <w:p w:rsidR="00724EC4" w:rsidRPr="001234E6" w:rsidRDefault="00724EC4" w:rsidP="00181C48">
            <w:pPr>
              <w:pStyle w:val="NoSpacing"/>
              <w:spacing w:line="276" w:lineRule="auto"/>
              <w:jc w:val="center"/>
              <w:rPr>
                <w:rFonts w:cs="Arial"/>
                <w:sz w:val="18"/>
                <w:szCs w:val="18"/>
              </w:rPr>
            </w:pPr>
            <w:r>
              <w:rPr>
                <w:rFonts w:cs="Arial"/>
                <w:color w:val="000000"/>
                <w:sz w:val="18"/>
                <w:szCs w:val="18"/>
              </w:rPr>
              <w:t>0.167</w:t>
            </w:r>
          </w:p>
        </w:tc>
        <w:tc>
          <w:tcPr>
            <w:tcW w:w="1261" w:type="dxa"/>
            <w:gridSpan w:val="2"/>
            <w:tcBorders>
              <w:top w:val="nil"/>
              <w:left w:val="nil"/>
              <w:bottom w:val="single" w:sz="4" w:space="0" w:color="auto"/>
              <w:right w:val="single" w:sz="8" w:space="0" w:color="auto"/>
            </w:tcBorders>
            <w:vAlign w:val="center"/>
          </w:tcPr>
          <w:p w:rsidR="00724EC4" w:rsidRPr="001234E6" w:rsidRDefault="00724EC4" w:rsidP="00181C48">
            <w:pPr>
              <w:spacing w:line="276" w:lineRule="auto"/>
              <w:jc w:val="center"/>
              <w:rPr>
                <w:rFonts w:cs="Arial"/>
                <w:color w:val="000000"/>
                <w:sz w:val="18"/>
                <w:szCs w:val="18"/>
              </w:rPr>
            </w:pPr>
            <w:r>
              <w:rPr>
                <w:rFonts w:cs="Arial"/>
                <w:color w:val="000000"/>
                <w:sz w:val="18"/>
                <w:szCs w:val="18"/>
              </w:rPr>
              <w:t>170</w:t>
            </w:r>
          </w:p>
        </w:tc>
        <w:tc>
          <w:tcPr>
            <w:tcW w:w="1935" w:type="dxa"/>
            <w:gridSpan w:val="2"/>
            <w:tcBorders>
              <w:top w:val="nil"/>
              <w:left w:val="nil"/>
              <w:bottom w:val="single" w:sz="4" w:space="0" w:color="auto"/>
              <w:right w:val="single" w:sz="4" w:space="0" w:color="auto"/>
            </w:tcBorders>
            <w:vAlign w:val="center"/>
          </w:tcPr>
          <w:p w:rsidR="00724EC4" w:rsidRPr="001234E6" w:rsidRDefault="00724EC4" w:rsidP="00181C48">
            <w:pPr>
              <w:spacing w:line="276" w:lineRule="auto"/>
              <w:jc w:val="right"/>
              <w:rPr>
                <w:rFonts w:cs="Arial"/>
                <w:color w:val="000000"/>
                <w:sz w:val="18"/>
                <w:szCs w:val="18"/>
              </w:rPr>
            </w:pPr>
            <w:r>
              <w:rPr>
                <w:rFonts w:cs="Arial"/>
                <w:color w:val="000000"/>
                <w:sz w:val="18"/>
                <w:szCs w:val="18"/>
              </w:rPr>
              <w:t xml:space="preserve">$13.07 </w:t>
            </w:r>
          </w:p>
        </w:tc>
        <w:tc>
          <w:tcPr>
            <w:tcW w:w="1935" w:type="dxa"/>
            <w:tcBorders>
              <w:top w:val="nil"/>
              <w:left w:val="nil"/>
              <w:bottom w:val="single" w:sz="4" w:space="0" w:color="auto"/>
              <w:right w:val="single" w:sz="4" w:space="0" w:color="auto"/>
            </w:tcBorders>
            <w:vAlign w:val="center"/>
          </w:tcPr>
          <w:p w:rsidR="00724EC4" w:rsidRPr="001234E6" w:rsidRDefault="00724EC4" w:rsidP="00181C48">
            <w:pPr>
              <w:spacing w:line="276" w:lineRule="auto"/>
              <w:jc w:val="right"/>
              <w:rPr>
                <w:rFonts w:cs="Arial"/>
                <w:color w:val="000000"/>
                <w:sz w:val="18"/>
                <w:szCs w:val="18"/>
              </w:rPr>
            </w:pPr>
            <w:r>
              <w:rPr>
                <w:rFonts w:cs="Arial"/>
                <w:color w:val="000000"/>
                <w:sz w:val="18"/>
                <w:szCs w:val="18"/>
              </w:rPr>
              <w:t>$13,354</w:t>
            </w:r>
          </w:p>
        </w:tc>
      </w:tr>
      <w:tr w:rsidR="00724EC4"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tcPr>
          <w:p w:rsidR="00724EC4" w:rsidRPr="00A46991" w:rsidRDefault="00724EC4" w:rsidP="00181C48">
            <w:pPr>
              <w:spacing w:line="276" w:lineRule="auto"/>
              <w:rPr>
                <w:rFonts w:eastAsia="Times New Roman" w:cs="Arial"/>
                <w:bCs/>
                <w:color w:val="000000"/>
                <w:sz w:val="18"/>
                <w:szCs w:val="18"/>
              </w:rPr>
            </w:pPr>
            <w:r w:rsidRPr="00A46991">
              <w:rPr>
                <w:rFonts w:eastAsia="Times New Roman" w:cs="Arial"/>
                <w:sz w:val="18"/>
                <w:szCs w:val="18"/>
              </w:rPr>
              <w:t>Section 6 Actions</w:t>
            </w:r>
          </w:p>
        </w:tc>
        <w:tc>
          <w:tcPr>
            <w:tcW w:w="1371" w:type="dxa"/>
            <w:gridSpan w:val="3"/>
            <w:tcBorders>
              <w:top w:val="nil"/>
              <w:left w:val="nil"/>
              <w:bottom w:val="single" w:sz="4" w:space="0" w:color="auto"/>
              <w:right w:val="nil"/>
            </w:tcBorders>
            <w:vAlign w:val="center"/>
          </w:tcPr>
          <w:p w:rsidR="00724EC4" w:rsidRPr="00A46991" w:rsidRDefault="00724EC4" w:rsidP="00181C48">
            <w:pPr>
              <w:pStyle w:val="NoSpacing"/>
              <w:spacing w:line="276" w:lineRule="auto"/>
              <w:jc w:val="center"/>
              <w:rPr>
                <w:rFonts w:cs="Arial"/>
                <w:sz w:val="18"/>
                <w:szCs w:val="18"/>
              </w:rPr>
            </w:pPr>
            <w:r>
              <w:rPr>
                <w:rFonts w:cs="Arial"/>
                <w:color w:val="000000"/>
                <w:sz w:val="18"/>
                <w:szCs w:val="18"/>
              </w:rPr>
              <w:t>56</w:t>
            </w:r>
          </w:p>
        </w:tc>
        <w:tc>
          <w:tcPr>
            <w:tcW w:w="1261" w:type="dxa"/>
            <w:gridSpan w:val="2"/>
            <w:tcBorders>
              <w:top w:val="nil"/>
              <w:left w:val="nil"/>
              <w:bottom w:val="single" w:sz="4" w:space="0" w:color="auto"/>
              <w:right w:val="nil"/>
            </w:tcBorders>
            <w:vAlign w:val="center"/>
          </w:tcPr>
          <w:p w:rsidR="00724EC4" w:rsidRPr="001234E6" w:rsidRDefault="00724EC4" w:rsidP="00181C48">
            <w:pPr>
              <w:pStyle w:val="NoSpacing"/>
              <w:spacing w:line="276" w:lineRule="auto"/>
              <w:jc w:val="center"/>
              <w:rPr>
                <w:rFonts w:cs="Arial"/>
                <w:sz w:val="18"/>
                <w:szCs w:val="18"/>
              </w:rPr>
            </w:pPr>
            <w:r>
              <w:rPr>
                <w:rFonts w:cs="Arial"/>
                <w:color w:val="000000"/>
                <w:sz w:val="18"/>
                <w:szCs w:val="18"/>
              </w:rPr>
              <w:t>0.167</w:t>
            </w:r>
          </w:p>
        </w:tc>
        <w:tc>
          <w:tcPr>
            <w:tcW w:w="1261" w:type="dxa"/>
            <w:gridSpan w:val="2"/>
            <w:tcBorders>
              <w:top w:val="nil"/>
              <w:left w:val="nil"/>
              <w:bottom w:val="single" w:sz="4" w:space="0" w:color="auto"/>
              <w:right w:val="single" w:sz="8" w:space="0" w:color="auto"/>
            </w:tcBorders>
            <w:vAlign w:val="center"/>
          </w:tcPr>
          <w:p w:rsidR="00724EC4" w:rsidRPr="001234E6" w:rsidRDefault="00724EC4" w:rsidP="00181C48">
            <w:pPr>
              <w:spacing w:line="276" w:lineRule="auto"/>
              <w:jc w:val="center"/>
              <w:rPr>
                <w:rFonts w:cs="Arial"/>
                <w:color w:val="000000"/>
                <w:sz w:val="18"/>
                <w:szCs w:val="18"/>
              </w:rPr>
            </w:pPr>
            <w:r>
              <w:rPr>
                <w:rFonts w:cs="Arial"/>
                <w:color w:val="000000"/>
                <w:sz w:val="18"/>
                <w:szCs w:val="18"/>
              </w:rPr>
              <w:t>9</w:t>
            </w:r>
          </w:p>
        </w:tc>
        <w:tc>
          <w:tcPr>
            <w:tcW w:w="1935" w:type="dxa"/>
            <w:gridSpan w:val="2"/>
            <w:tcBorders>
              <w:top w:val="nil"/>
              <w:left w:val="nil"/>
              <w:bottom w:val="single" w:sz="4" w:space="0" w:color="auto"/>
              <w:right w:val="single" w:sz="4" w:space="0" w:color="auto"/>
            </w:tcBorders>
            <w:vAlign w:val="center"/>
          </w:tcPr>
          <w:p w:rsidR="00724EC4" w:rsidRPr="001234E6" w:rsidRDefault="00724EC4" w:rsidP="00181C48">
            <w:pPr>
              <w:spacing w:line="276" w:lineRule="auto"/>
              <w:jc w:val="right"/>
              <w:rPr>
                <w:rFonts w:cs="Arial"/>
                <w:color w:val="000000"/>
                <w:sz w:val="18"/>
                <w:szCs w:val="18"/>
              </w:rPr>
            </w:pPr>
            <w:r>
              <w:rPr>
                <w:rFonts w:cs="Arial"/>
                <w:color w:val="000000"/>
                <w:sz w:val="18"/>
                <w:szCs w:val="18"/>
              </w:rPr>
              <w:t xml:space="preserve">$13.07 </w:t>
            </w:r>
          </w:p>
        </w:tc>
        <w:tc>
          <w:tcPr>
            <w:tcW w:w="1935" w:type="dxa"/>
            <w:tcBorders>
              <w:top w:val="nil"/>
              <w:left w:val="nil"/>
              <w:bottom w:val="single" w:sz="4" w:space="0" w:color="auto"/>
              <w:right w:val="single" w:sz="4" w:space="0" w:color="auto"/>
            </w:tcBorders>
            <w:vAlign w:val="center"/>
          </w:tcPr>
          <w:p w:rsidR="00724EC4" w:rsidRPr="001234E6" w:rsidRDefault="00724EC4" w:rsidP="00181C48">
            <w:pPr>
              <w:spacing w:line="276" w:lineRule="auto"/>
              <w:jc w:val="right"/>
              <w:rPr>
                <w:rFonts w:cs="Arial"/>
                <w:color w:val="000000"/>
                <w:sz w:val="18"/>
                <w:szCs w:val="18"/>
              </w:rPr>
            </w:pPr>
            <w:r>
              <w:rPr>
                <w:rFonts w:cs="Arial"/>
                <w:color w:val="000000"/>
                <w:sz w:val="18"/>
                <w:szCs w:val="18"/>
              </w:rPr>
              <w:t>$732</w:t>
            </w:r>
          </w:p>
        </w:tc>
      </w:tr>
      <w:tr w:rsidR="006A3A8A" w:rsidRPr="003946EE" w:rsidTr="006A384E">
        <w:trPr>
          <w:cantSplit/>
          <w:trHeight w:val="430"/>
        </w:trPr>
        <w:tc>
          <w:tcPr>
            <w:tcW w:w="9918" w:type="dxa"/>
            <w:gridSpan w:val="11"/>
            <w:tcBorders>
              <w:top w:val="single" w:sz="8" w:space="0" w:color="auto"/>
              <w:left w:val="single" w:sz="4" w:space="0" w:color="auto"/>
              <w:bottom w:val="single" w:sz="4" w:space="0" w:color="auto"/>
              <w:right w:val="single" w:sz="4" w:space="0" w:color="auto"/>
            </w:tcBorders>
            <w:vAlign w:val="center"/>
            <w:hideMark/>
          </w:tcPr>
          <w:p w:rsidR="006A3A8A" w:rsidRPr="00A46991" w:rsidRDefault="003B7BC3" w:rsidP="00181C48">
            <w:pPr>
              <w:spacing w:line="276" w:lineRule="auto"/>
              <w:jc w:val="center"/>
              <w:rPr>
                <w:rFonts w:cs="Arial"/>
                <w:b/>
                <w:color w:val="000000"/>
                <w:sz w:val="18"/>
                <w:szCs w:val="18"/>
              </w:rPr>
            </w:pPr>
            <w:r w:rsidRPr="00A46991">
              <w:rPr>
                <w:rFonts w:cs="Arial"/>
                <w:b/>
                <w:color w:val="000000"/>
                <w:sz w:val="18"/>
                <w:szCs w:val="18"/>
              </w:rPr>
              <w:t>CDX Submission</w:t>
            </w:r>
          </w:p>
        </w:tc>
      </w:tr>
      <w:tr w:rsidR="004212D2" w:rsidRPr="003946EE" w:rsidTr="006A384E">
        <w:trPr>
          <w:cantSplit/>
          <w:trHeight w:val="322"/>
        </w:trPr>
        <w:tc>
          <w:tcPr>
            <w:tcW w:w="2178" w:type="dxa"/>
            <w:gridSpan w:val="2"/>
            <w:tcBorders>
              <w:top w:val="single" w:sz="8" w:space="0" w:color="auto"/>
              <w:left w:val="single" w:sz="4" w:space="0" w:color="auto"/>
              <w:right w:val="single" w:sz="4" w:space="0" w:color="auto"/>
            </w:tcBorders>
            <w:vAlign w:val="center"/>
          </w:tcPr>
          <w:p w:rsidR="004212D2" w:rsidRPr="00A46991" w:rsidRDefault="004212D2" w:rsidP="00EB62AB">
            <w:pPr>
              <w:spacing w:line="276" w:lineRule="auto"/>
              <w:rPr>
                <w:rFonts w:eastAsia="Times New Roman" w:cs="Arial"/>
                <w:sz w:val="18"/>
                <w:szCs w:val="18"/>
              </w:rPr>
            </w:pPr>
            <w:r w:rsidRPr="00A46991">
              <w:rPr>
                <w:rFonts w:eastAsia="Times New Roman" w:cs="Arial"/>
                <w:sz w:val="18"/>
                <w:szCs w:val="18"/>
              </w:rPr>
              <w:t>Section 4 Actions</w:t>
            </w:r>
          </w:p>
        </w:tc>
        <w:tc>
          <w:tcPr>
            <w:tcW w:w="1320" w:type="dxa"/>
            <w:tcBorders>
              <w:top w:val="single" w:sz="4" w:space="0" w:color="auto"/>
              <w:left w:val="single" w:sz="4" w:space="0" w:color="auto"/>
              <w:bottom w:val="single" w:sz="4" w:space="0" w:color="auto"/>
            </w:tcBorders>
            <w:vAlign w:val="center"/>
          </w:tcPr>
          <w:p w:rsidR="004212D2" w:rsidRPr="00A46991" w:rsidRDefault="004212D2" w:rsidP="00EB62AB">
            <w:pPr>
              <w:spacing w:line="276" w:lineRule="auto"/>
              <w:jc w:val="center"/>
              <w:rPr>
                <w:rFonts w:cs="Arial"/>
                <w:b/>
                <w:color w:val="000000"/>
                <w:sz w:val="18"/>
                <w:szCs w:val="18"/>
              </w:rPr>
            </w:pPr>
            <w:r w:rsidRPr="00A46991">
              <w:rPr>
                <w:rFonts w:cs="Arial"/>
                <w:color w:val="000000"/>
                <w:sz w:val="18"/>
                <w:szCs w:val="18"/>
              </w:rPr>
              <w:t>336</w:t>
            </w:r>
          </w:p>
        </w:tc>
        <w:tc>
          <w:tcPr>
            <w:tcW w:w="1260" w:type="dxa"/>
            <w:gridSpan w:val="2"/>
            <w:tcBorders>
              <w:top w:val="single" w:sz="4" w:space="0" w:color="auto"/>
              <w:left w:val="nil"/>
              <w:bottom w:val="single" w:sz="4" w:space="0" w:color="auto"/>
            </w:tcBorders>
            <w:vAlign w:val="center"/>
          </w:tcPr>
          <w:p w:rsidR="004212D2" w:rsidRPr="00A46991" w:rsidRDefault="004212D2" w:rsidP="00EB62AB">
            <w:pPr>
              <w:spacing w:line="276" w:lineRule="auto"/>
              <w:jc w:val="center"/>
              <w:rPr>
                <w:rFonts w:cs="Arial"/>
                <w:color w:val="000000"/>
                <w:sz w:val="18"/>
                <w:szCs w:val="18"/>
              </w:rPr>
            </w:pPr>
            <w:r w:rsidRPr="00A46991">
              <w:rPr>
                <w:rFonts w:cs="Arial"/>
                <w:color w:val="000000"/>
                <w:sz w:val="18"/>
                <w:szCs w:val="18"/>
              </w:rPr>
              <w:t>0.57</w:t>
            </w:r>
          </w:p>
        </w:tc>
        <w:tc>
          <w:tcPr>
            <w:tcW w:w="1260" w:type="dxa"/>
            <w:gridSpan w:val="2"/>
            <w:tcBorders>
              <w:top w:val="single" w:sz="4" w:space="0" w:color="auto"/>
              <w:bottom w:val="single" w:sz="4" w:space="0" w:color="auto"/>
              <w:right w:val="single" w:sz="4" w:space="0" w:color="auto"/>
            </w:tcBorders>
            <w:vAlign w:val="center"/>
          </w:tcPr>
          <w:p w:rsidR="004212D2" w:rsidRPr="001234E6" w:rsidRDefault="004212D2" w:rsidP="00EB62AB">
            <w:pPr>
              <w:spacing w:line="276" w:lineRule="auto"/>
              <w:jc w:val="center"/>
              <w:rPr>
                <w:rFonts w:cs="Arial"/>
                <w:b/>
                <w:color w:val="000000"/>
                <w:sz w:val="18"/>
                <w:szCs w:val="18"/>
              </w:rPr>
            </w:pPr>
            <w:r w:rsidRPr="001234E6">
              <w:rPr>
                <w:rFonts w:cs="Arial"/>
                <w:color w:val="000000"/>
                <w:sz w:val="18"/>
                <w:szCs w:val="18"/>
              </w:rPr>
              <w:t>192</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4212D2" w:rsidRPr="001234E6" w:rsidRDefault="004212D2" w:rsidP="00EB62AB">
            <w:pPr>
              <w:spacing w:line="276" w:lineRule="auto"/>
              <w:jc w:val="right"/>
              <w:rPr>
                <w:rFonts w:cs="Arial"/>
                <w:b/>
                <w:color w:val="000000"/>
                <w:sz w:val="18"/>
                <w:szCs w:val="18"/>
              </w:rPr>
            </w:pPr>
            <w:r w:rsidRPr="001234E6">
              <w:rPr>
                <w:rFonts w:cs="Arial"/>
                <w:color w:val="000000"/>
                <w:sz w:val="18"/>
                <w:szCs w:val="18"/>
              </w:rPr>
              <w:t xml:space="preserve">$44.69 </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4212D2" w:rsidRPr="001234E6" w:rsidRDefault="004212D2" w:rsidP="005B6996">
            <w:pPr>
              <w:spacing w:line="276" w:lineRule="auto"/>
              <w:jc w:val="right"/>
              <w:rPr>
                <w:rFonts w:cs="Arial"/>
                <w:b/>
                <w:color w:val="000000"/>
                <w:sz w:val="18"/>
                <w:szCs w:val="18"/>
              </w:rPr>
            </w:pPr>
            <w:r w:rsidRPr="001234E6">
              <w:rPr>
                <w:rFonts w:cs="Arial"/>
                <w:color w:val="000000"/>
                <w:sz w:val="18"/>
                <w:szCs w:val="18"/>
              </w:rPr>
              <w:t>$15,015</w:t>
            </w:r>
          </w:p>
        </w:tc>
      </w:tr>
      <w:tr w:rsidR="00724EC4" w:rsidRPr="003946EE" w:rsidTr="006A384E">
        <w:trPr>
          <w:cantSplit/>
          <w:trHeight w:val="340"/>
        </w:trPr>
        <w:tc>
          <w:tcPr>
            <w:tcW w:w="2178" w:type="dxa"/>
            <w:gridSpan w:val="2"/>
            <w:tcBorders>
              <w:top w:val="single" w:sz="8" w:space="0" w:color="auto"/>
              <w:left w:val="single" w:sz="4" w:space="0" w:color="auto"/>
              <w:bottom w:val="single" w:sz="4" w:space="0" w:color="auto"/>
              <w:right w:val="single" w:sz="4" w:space="0" w:color="auto"/>
            </w:tcBorders>
            <w:vAlign w:val="center"/>
          </w:tcPr>
          <w:p w:rsidR="00724EC4" w:rsidRPr="00A46991" w:rsidRDefault="00724EC4" w:rsidP="00EB62AB">
            <w:pPr>
              <w:spacing w:line="276" w:lineRule="auto"/>
              <w:rPr>
                <w:rFonts w:eastAsia="Times New Roman" w:cs="Arial"/>
                <w:sz w:val="18"/>
                <w:szCs w:val="18"/>
              </w:rPr>
            </w:pPr>
            <w:r w:rsidRPr="00A46991">
              <w:rPr>
                <w:rFonts w:eastAsia="Times New Roman" w:cs="Arial"/>
                <w:sz w:val="18"/>
                <w:szCs w:val="18"/>
              </w:rPr>
              <w:t>Section 6 Actions</w:t>
            </w:r>
          </w:p>
        </w:tc>
        <w:tc>
          <w:tcPr>
            <w:tcW w:w="1320" w:type="dxa"/>
            <w:tcBorders>
              <w:top w:val="single" w:sz="4" w:space="0" w:color="auto"/>
              <w:left w:val="single" w:sz="4" w:space="0" w:color="auto"/>
              <w:bottom w:val="single" w:sz="4" w:space="0" w:color="auto"/>
            </w:tcBorders>
            <w:vAlign w:val="center"/>
          </w:tcPr>
          <w:p w:rsidR="00724EC4" w:rsidRPr="00A46991" w:rsidRDefault="00724EC4" w:rsidP="00EB62AB">
            <w:pPr>
              <w:spacing w:line="276" w:lineRule="auto"/>
              <w:jc w:val="center"/>
              <w:rPr>
                <w:rFonts w:cs="Arial"/>
                <w:b/>
                <w:color w:val="000000"/>
                <w:sz w:val="18"/>
                <w:szCs w:val="18"/>
              </w:rPr>
            </w:pPr>
            <w:r>
              <w:rPr>
                <w:rFonts w:cs="Arial"/>
                <w:color w:val="000000"/>
                <w:sz w:val="18"/>
                <w:szCs w:val="18"/>
              </w:rPr>
              <w:t>56</w:t>
            </w:r>
          </w:p>
        </w:tc>
        <w:tc>
          <w:tcPr>
            <w:tcW w:w="1260" w:type="dxa"/>
            <w:gridSpan w:val="2"/>
            <w:tcBorders>
              <w:top w:val="single" w:sz="4" w:space="0" w:color="auto"/>
              <w:left w:val="nil"/>
              <w:bottom w:val="single" w:sz="4" w:space="0" w:color="auto"/>
            </w:tcBorders>
            <w:vAlign w:val="center"/>
          </w:tcPr>
          <w:p w:rsidR="00724EC4" w:rsidRPr="00A46991" w:rsidRDefault="00724EC4" w:rsidP="00EB62AB">
            <w:pPr>
              <w:spacing w:line="276" w:lineRule="auto"/>
              <w:jc w:val="center"/>
              <w:rPr>
                <w:rFonts w:cs="Arial"/>
                <w:b/>
                <w:color w:val="000000"/>
                <w:sz w:val="18"/>
                <w:szCs w:val="18"/>
              </w:rPr>
            </w:pPr>
            <w:r>
              <w:rPr>
                <w:rFonts w:cs="Arial"/>
                <w:color w:val="000000"/>
                <w:sz w:val="18"/>
                <w:szCs w:val="18"/>
              </w:rPr>
              <w:t>0.57</w:t>
            </w:r>
          </w:p>
        </w:tc>
        <w:tc>
          <w:tcPr>
            <w:tcW w:w="1260" w:type="dxa"/>
            <w:gridSpan w:val="2"/>
            <w:tcBorders>
              <w:top w:val="single" w:sz="4" w:space="0" w:color="auto"/>
              <w:bottom w:val="single" w:sz="4" w:space="0" w:color="auto"/>
              <w:right w:val="single" w:sz="4" w:space="0" w:color="auto"/>
            </w:tcBorders>
            <w:vAlign w:val="center"/>
          </w:tcPr>
          <w:p w:rsidR="00724EC4" w:rsidRPr="001234E6" w:rsidRDefault="00724EC4" w:rsidP="00EB62AB">
            <w:pPr>
              <w:spacing w:line="276" w:lineRule="auto"/>
              <w:jc w:val="center"/>
              <w:rPr>
                <w:rFonts w:cs="Arial"/>
                <w:b/>
                <w:color w:val="000000"/>
                <w:sz w:val="18"/>
                <w:szCs w:val="18"/>
              </w:rPr>
            </w:pPr>
            <w:r>
              <w:rPr>
                <w:rFonts w:cs="Arial"/>
                <w:color w:val="000000"/>
                <w:sz w:val="18"/>
                <w:szCs w:val="18"/>
              </w:rPr>
              <w:t>32</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724EC4" w:rsidRPr="001234E6" w:rsidRDefault="00724EC4" w:rsidP="00EB62AB">
            <w:pPr>
              <w:spacing w:line="276" w:lineRule="auto"/>
              <w:jc w:val="right"/>
              <w:rPr>
                <w:rFonts w:cs="Arial"/>
                <w:b/>
                <w:color w:val="000000"/>
                <w:sz w:val="18"/>
                <w:szCs w:val="18"/>
              </w:rPr>
            </w:pPr>
            <w:r>
              <w:rPr>
                <w:rFonts w:cs="Arial"/>
                <w:color w:val="000000"/>
                <w:sz w:val="18"/>
                <w:szCs w:val="18"/>
              </w:rPr>
              <w:t xml:space="preserve">$44.69 </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724EC4" w:rsidRPr="001234E6" w:rsidRDefault="00724EC4" w:rsidP="005B6996">
            <w:pPr>
              <w:spacing w:line="276" w:lineRule="auto"/>
              <w:jc w:val="right"/>
              <w:rPr>
                <w:rFonts w:cs="Arial"/>
                <w:b/>
                <w:color w:val="000000"/>
                <w:sz w:val="18"/>
                <w:szCs w:val="18"/>
              </w:rPr>
            </w:pPr>
            <w:r>
              <w:rPr>
                <w:rFonts w:cs="Arial"/>
                <w:color w:val="000000"/>
                <w:sz w:val="18"/>
                <w:szCs w:val="18"/>
              </w:rPr>
              <w:t>$2,502</w:t>
            </w:r>
          </w:p>
        </w:tc>
      </w:tr>
      <w:tr w:rsidR="003B7BC3" w:rsidRPr="003946EE" w:rsidTr="006A384E">
        <w:trPr>
          <w:cantSplit/>
          <w:trHeight w:val="630"/>
        </w:trPr>
        <w:tc>
          <w:tcPr>
            <w:tcW w:w="9918" w:type="dxa"/>
            <w:gridSpan w:val="11"/>
            <w:tcBorders>
              <w:top w:val="single" w:sz="4" w:space="0" w:color="auto"/>
              <w:left w:val="single" w:sz="4" w:space="0" w:color="auto"/>
              <w:bottom w:val="single" w:sz="4" w:space="0" w:color="auto"/>
              <w:right w:val="single" w:sz="4" w:space="0" w:color="auto"/>
            </w:tcBorders>
            <w:vAlign w:val="center"/>
          </w:tcPr>
          <w:p w:rsidR="003B7BC3" w:rsidRPr="00A46991" w:rsidRDefault="003B7BC3" w:rsidP="003B7BC3">
            <w:pPr>
              <w:spacing w:line="276" w:lineRule="auto"/>
              <w:jc w:val="center"/>
              <w:rPr>
                <w:rFonts w:cs="Arial"/>
                <w:b/>
                <w:color w:val="000000"/>
                <w:sz w:val="18"/>
                <w:szCs w:val="18"/>
              </w:rPr>
            </w:pPr>
            <w:r w:rsidRPr="00A46991">
              <w:rPr>
                <w:rFonts w:cs="Arial"/>
                <w:b/>
                <w:color w:val="000000"/>
                <w:sz w:val="18"/>
                <w:szCs w:val="18"/>
              </w:rPr>
              <w:t>Total Burden for all Activities by Respondent</w:t>
            </w:r>
          </w:p>
        </w:tc>
      </w:tr>
      <w:tr w:rsidR="004212D2" w:rsidRPr="003946EE" w:rsidTr="006A384E">
        <w:trPr>
          <w:cantSplit/>
          <w:trHeight w:val="343"/>
        </w:trPr>
        <w:tc>
          <w:tcPr>
            <w:tcW w:w="2155" w:type="dxa"/>
            <w:tcBorders>
              <w:top w:val="single" w:sz="4" w:space="0" w:color="auto"/>
              <w:left w:val="single" w:sz="4" w:space="0" w:color="auto"/>
              <w:bottom w:val="single" w:sz="4" w:space="0" w:color="auto"/>
              <w:right w:val="single" w:sz="8" w:space="0" w:color="000000"/>
            </w:tcBorders>
            <w:vAlign w:val="center"/>
            <w:hideMark/>
          </w:tcPr>
          <w:p w:rsidR="004212D2" w:rsidRPr="00A46991" w:rsidRDefault="004212D2" w:rsidP="00EB62AB">
            <w:pPr>
              <w:spacing w:line="276" w:lineRule="auto"/>
              <w:rPr>
                <w:rFonts w:eastAsia="Times New Roman" w:cs="Arial"/>
                <w:b/>
                <w:bCs/>
                <w:color w:val="000000"/>
                <w:sz w:val="18"/>
                <w:szCs w:val="18"/>
              </w:rPr>
            </w:pPr>
            <w:r w:rsidRPr="00A46991">
              <w:rPr>
                <w:rFonts w:eastAsia="Times New Roman" w:cs="Arial"/>
                <w:b/>
                <w:sz w:val="18"/>
                <w:szCs w:val="18"/>
              </w:rPr>
              <w:t>Section 4 Actions</w:t>
            </w:r>
          </w:p>
        </w:tc>
        <w:tc>
          <w:tcPr>
            <w:tcW w:w="1371" w:type="dxa"/>
            <w:gridSpan w:val="3"/>
            <w:tcBorders>
              <w:top w:val="single" w:sz="4" w:space="0" w:color="auto"/>
              <w:left w:val="nil"/>
              <w:bottom w:val="single" w:sz="4" w:space="0" w:color="auto"/>
              <w:right w:val="nil"/>
            </w:tcBorders>
            <w:vAlign w:val="center"/>
            <w:hideMark/>
          </w:tcPr>
          <w:p w:rsidR="004212D2" w:rsidRPr="00A46991" w:rsidRDefault="004212D2" w:rsidP="00EB62AB">
            <w:pPr>
              <w:spacing w:line="276" w:lineRule="auto"/>
              <w:jc w:val="center"/>
              <w:rPr>
                <w:rFonts w:eastAsia="Times New Roman" w:cs="Arial"/>
                <w:color w:val="000000"/>
                <w:sz w:val="18"/>
                <w:szCs w:val="18"/>
              </w:rPr>
            </w:pPr>
            <w:r w:rsidRPr="00A46991">
              <w:rPr>
                <w:rFonts w:cs="Arial"/>
                <w:color w:val="000000"/>
                <w:sz w:val="18"/>
                <w:szCs w:val="18"/>
              </w:rPr>
              <w:t>336</w:t>
            </w:r>
          </w:p>
        </w:tc>
        <w:tc>
          <w:tcPr>
            <w:tcW w:w="1261" w:type="dxa"/>
            <w:gridSpan w:val="2"/>
            <w:tcBorders>
              <w:top w:val="single" w:sz="4" w:space="0" w:color="auto"/>
              <w:left w:val="nil"/>
              <w:bottom w:val="single" w:sz="4" w:space="0" w:color="auto"/>
              <w:right w:val="nil"/>
            </w:tcBorders>
            <w:vAlign w:val="center"/>
          </w:tcPr>
          <w:p w:rsidR="004212D2" w:rsidRPr="001234E6" w:rsidRDefault="004212D2" w:rsidP="00EB62AB">
            <w:pPr>
              <w:spacing w:line="276" w:lineRule="auto"/>
              <w:jc w:val="center"/>
              <w:rPr>
                <w:rFonts w:eastAsia="Times New Roman" w:cs="Arial"/>
                <w:color w:val="000000"/>
                <w:sz w:val="18"/>
                <w:szCs w:val="18"/>
              </w:rPr>
            </w:pPr>
            <w:r w:rsidRPr="001234E6">
              <w:rPr>
                <w:rFonts w:cs="Arial"/>
                <w:color w:val="000000"/>
                <w:sz w:val="18"/>
                <w:szCs w:val="18"/>
              </w:rPr>
              <w:t> </w:t>
            </w:r>
          </w:p>
        </w:tc>
        <w:tc>
          <w:tcPr>
            <w:tcW w:w="1261" w:type="dxa"/>
            <w:gridSpan w:val="2"/>
            <w:tcBorders>
              <w:top w:val="single" w:sz="4" w:space="0" w:color="auto"/>
              <w:left w:val="nil"/>
              <w:bottom w:val="single" w:sz="4" w:space="0" w:color="auto"/>
              <w:right w:val="single" w:sz="8" w:space="0" w:color="auto"/>
            </w:tcBorders>
            <w:vAlign w:val="center"/>
            <w:hideMark/>
          </w:tcPr>
          <w:p w:rsidR="004212D2" w:rsidRPr="001234E6" w:rsidRDefault="004212D2" w:rsidP="00EB62AB">
            <w:pPr>
              <w:spacing w:line="276" w:lineRule="auto"/>
              <w:jc w:val="center"/>
              <w:rPr>
                <w:rFonts w:cs="Arial"/>
                <w:b/>
                <w:color w:val="000000"/>
                <w:sz w:val="18"/>
                <w:szCs w:val="18"/>
              </w:rPr>
            </w:pPr>
            <w:r w:rsidRPr="001234E6">
              <w:rPr>
                <w:rFonts w:cs="Arial"/>
                <w:color w:val="000000"/>
                <w:sz w:val="18"/>
                <w:szCs w:val="18"/>
              </w:rPr>
              <w:t>318</w:t>
            </w:r>
          </w:p>
        </w:tc>
        <w:tc>
          <w:tcPr>
            <w:tcW w:w="1935" w:type="dxa"/>
            <w:gridSpan w:val="2"/>
            <w:tcBorders>
              <w:top w:val="single" w:sz="4" w:space="0" w:color="auto"/>
              <w:left w:val="nil"/>
              <w:bottom w:val="single" w:sz="4" w:space="0" w:color="auto"/>
              <w:right w:val="single" w:sz="4" w:space="0" w:color="auto"/>
            </w:tcBorders>
            <w:vAlign w:val="center"/>
            <w:hideMark/>
          </w:tcPr>
          <w:p w:rsidR="004212D2" w:rsidRPr="001234E6" w:rsidRDefault="004212D2" w:rsidP="00EB62AB">
            <w:pPr>
              <w:spacing w:line="276" w:lineRule="auto"/>
              <w:jc w:val="right"/>
              <w:rPr>
                <w:rFonts w:cs="Arial"/>
                <w:color w:val="000000"/>
                <w:sz w:val="18"/>
                <w:szCs w:val="18"/>
              </w:rPr>
            </w:pPr>
            <w:r w:rsidRPr="001234E6">
              <w:rPr>
                <w:rFonts w:cs="Arial"/>
                <w:color w:val="000000"/>
                <w:sz w:val="18"/>
                <w:szCs w:val="18"/>
              </w:rPr>
              <w:t xml:space="preserve">$75.48 </w:t>
            </w:r>
          </w:p>
        </w:tc>
        <w:tc>
          <w:tcPr>
            <w:tcW w:w="1935" w:type="dxa"/>
            <w:tcBorders>
              <w:top w:val="single" w:sz="4" w:space="0" w:color="auto"/>
              <w:left w:val="nil"/>
              <w:bottom w:val="single" w:sz="4" w:space="0" w:color="auto"/>
              <w:right w:val="single" w:sz="4" w:space="0" w:color="auto"/>
            </w:tcBorders>
            <w:vAlign w:val="center"/>
          </w:tcPr>
          <w:p w:rsidR="004212D2" w:rsidRPr="001234E6" w:rsidRDefault="004212D2" w:rsidP="00EB62AB">
            <w:pPr>
              <w:spacing w:line="276" w:lineRule="auto"/>
              <w:jc w:val="right"/>
              <w:rPr>
                <w:rFonts w:cs="Arial"/>
                <w:color w:val="000000"/>
                <w:sz w:val="18"/>
                <w:szCs w:val="18"/>
              </w:rPr>
            </w:pPr>
            <w:r w:rsidRPr="001234E6">
              <w:rPr>
                <w:rFonts w:cs="Arial"/>
                <w:b/>
                <w:bCs/>
                <w:color w:val="000000"/>
                <w:sz w:val="18"/>
                <w:szCs w:val="18"/>
              </w:rPr>
              <w:t>$25,362</w:t>
            </w:r>
          </w:p>
        </w:tc>
      </w:tr>
      <w:tr w:rsidR="00724EC4"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hideMark/>
          </w:tcPr>
          <w:p w:rsidR="00724EC4" w:rsidRPr="00A46991" w:rsidRDefault="00724EC4" w:rsidP="00EB62AB">
            <w:pPr>
              <w:spacing w:line="276" w:lineRule="auto"/>
              <w:rPr>
                <w:rFonts w:eastAsia="Times New Roman" w:cs="Arial"/>
                <w:b/>
                <w:bCs/>
                <w:color w:val="000000"/>
                <w:sz w:val="18"/>
                <w:szCs w:val="18"/>
              </w:rPr>
            </w:pPr>
            <w:r w:rsidRPr="00A46991">
              <w:rPr>
                <w:rFonts w:eastAsia="Times New Roman" w:cs="Arial"/>
                <w:b/>
                <w:sz w:val="18"/>
                <w:szCs w:val="18"/>
              </w:rPr>
              <w:t>Section 5 Actions</w:t>
            </w:r>
          </w:p>
        </w:tc>
        <w:tc>
          <w:tcPr>
            <w:tcW w:w="1371" w:type="dxa"/>
            <w:gridSpan w:val="3"/>
            <w:tcBorders>
              <w:top w:val="nil"/>
              <w:left w:val="nil"/>
              <w:bottom w:val="single" w:sz="4" w:space="0" w:color="auto"/>
              <w:right w:val="nil"/>
            </w:tcBorders>
            <w:vAlign w:val="center"/>
            <w:hideMark/>
          </w:tcPr>
          <w:p w:rsidR="00724EC4" w:rsidRPr="00A46991" w:rsidRDefault="00724EC4" w:rsidP="00EB62AB">
            <w:pPr>
              <w:spacing w:line="276" w:lineRule="auto"/>
              <w:jc w:val="center"/>
              <w:rPr>
                <w:rFonts w:eastAsia="Times New Roman" w:cs="Arial"/>
                <w:color w:val="000000"/>
                <w:sz w:val="18"/>
                <w:szCs w:val="18"/>
              </w:rPr>
            </w:pPr>
            <w:r>
              <w:rPr>
                <w:rFonts w:cs="Arial"/>
                <w:color w:val="000000"/>
                <w:sz w:val="18"/>
                <w:szCs w:val="18"/>
              </w:rPr>
              <w:t>1,022</w:t>
            </w:r>
          </w:p>
        </w:tc>
        <w:tc>
          <w:tcPr>
            <w:tcW w:w="1261" w:type="dxa"/>
            <w:gridSpan w:val="2"/>
            <w:tcBorders>
              <w:top w:val="nil"/>
              <w:left w:val="nil"/>
              <w:bottom w:val="single" w:sz="4" w:space="0" w:color="auto"/>
              <w:right w:val="nil"/>
            </w:tcBorders>
            <w:vAlign w:val="center"/>
          </w:tcPr>
          <w:p w:rsidR="00724EC4" w:rsidRPr="001234E6" w:rsidRDefault="00724EC4" w:rsidP="00EB62AB">
            <w:pPr>
              <w:spacing w:line="276" w:lineRule="auto"/>
              <w:jc w:val="center"/>
              <w:rPr>
                <w:rFonts w:eastAsia="Times New Roman" w:cs="Arial"/>
                <w:color w:val="000000"/>
                <w:sz w:val="18"/>
                <w:szCs w:val="18"/>
              </w:rPr>
            </w:pPr>
          </w:p>
        </w:tc>
        <w:tc>
          <w:tcPr>
            <w:tcW w:w="1261" w:type="dxa"/>
            <w:gridSpan w:val="2"/>
            <w:tcBorders>
              <w:top w:val="nil"/>
              <w:left w:val="nil"/>
              <w:bottom w:val="single" w:sz="4" w:space="0" w:color="auto"/>
              <w:right w:val="single" w:sz="8" w:space="0" w:color="auto"/>
            </w:tcBorders>
            <w:vAlign w:val="center"/>
            <w:hideMark/>
          </w:tcPr>
          <w:p w:rsidR="00724EC4" w:rsidRPr="001234E6" w:rsidRDefault="00724EC4" w:rsidP="00EB62AB">
            <w:pPr>
              <w:spacing w:line="276" w:lineRule="auto"/>
              <w:jc w:val="center"/>
              <w:rPr>
                <w:rFonts w:cs="Arial"/>
                <w:b/>
                <w:color w:val="000000"/>
                <w:sz w:val="18"/>
                <w:szCs w:val="18"/>
              </w:rPr>
            </w:pPr>
            <w:r>
              <w:rPr>
                <w:rFonts w:cs="Arial"/>
                <w:color w:val="000000"/>
                <w:sz w:val="18"/>
                <w:szCs w:val="18"/>
              </w:rPr>
              <w:t>368</w:t>
            </w:r>
          </w:p>
        </w:tc>
        <w:tc>
          <w:tcPr>
            <w:tcW w:w="1935" w:type="dxa"/>
            <w:gridSpan w:val="2"/>
            <w:tcBorders>
              <w:top w:val="nil"/>
              <w:left w:val="nil"/>
              <w:bottom w:val="single" w:sz="4" w:space="0" w:color="auto"/>
              <w:right w:val="single" w:sz="4" w:space="0" w:color="auto"/>
            </w:tcBorders>
            <w:vAlign w:val="center"/>
            <w:hideMark/>
          </w:tcPr>
          <w:p w:rsidR="00724EC4" w:rsidRPr="001234E6" w:rsidRDefault="00724EC4" w:rsidP="00EB62AB">
            <w:pPr>
              <w:spacing w:line="276" w:lineRule="auto"/>
              <w:jc w:val="right"/>
              <w:rPr>
                <w:rFonts w:cs="Arial"/>
                <w:b/>
                <w:color w:val="000000"/>
                <w:sz w:val="18"/>
                <w:szCs w:val="18"/>
              </w:rPr>
            </w:pPr>
            <w:r>
              <w:rPr>
                <w:rFonts w:cs="Arial"/>
                <w:color w:val="000000"/>
                <w:sz w:val="18"/>
                <w:szCs w:val="18"/>
              </w:rPr>
              <w:t xml:space="preserve">$29.12 </w:t>
            </w:r>
          </w:p>
        </w:tc>
        <w:tc>
          <w:tcPr>
            <w:tcW w:w="1935" w:type="dxa"/>
            <w:tcBorders>
              <w:top w:val="nil"/>
              <w:left w:val="nil"/>
              <w:bottom w:val="single" w:sz="4" w:space="0" w:color="auto"/>
              <w:right w:val="single" w:sz="4" w:space="0" w:color="auto"/>
            </w:tcBorders>
            <w:vAlign w:val="center"/>
          </w:tcPr>
          <w:p w:rsidR="00724EC4" w:rsidRPr="001234E6" w:rsidRDefault="00724EC4" w:rsidP="00EB62AB">
            <w:pPr>
              <w:spacing w:line="276" w:lineRule="auto"/>
              <w:jc w:val="right"/>
              <w:rPr>
                <w:rFonts w:cs="Arial"/>
                <w:b/>
                <w:color w:val="000000"/>
                <w:sz w:val="18"/>
                <w:szCs w:val="18"/>
              </w:rPr>
            </w:pPr>
            <w:r>
              <w:rPr>
                <w:rFonts w:cs="Arial"/>
                <w:b/>
                <w:bCs/>
                <w:color w:val="000000"/>
                <w:sz w:val="18"/>
                <w:szCs w:val="18"/>
              </w:rPr>
              <w:t>$29,765</w:t>
            </w:r>
          </w:p>
        </w:tc>
      </w:tr>
      <w:tr w:rsidR="00724EC4" w:rsidRPr="003946EE" w:rsidTr="006A384E">
        <w:trPr>
          <w:cantSplit/>
          <w:trHeight w:val="343"/>
        </w:trPr>
        <w:tc>
          <w:tcPr>
            <w:tcW w:w="2155" w:type="dxa"/>
            <w:tcBorders>
              <w:top w:val="single" w:sz="8" w:space="0" w:color="auto"/>
              <w:left w:val="single" w:sz="4" w:space="0" w:color="auto"/>
              <w:bottom w:val="single" w:sz="4" w:space="0" w:color="auto"/>
              <w:right w:val="single" w:sz="8" w:space="0" w:color="000000"/>
            </w:tcBorders>
            <w:vAlign w:val="center"/>
            <w:hideMark/>
          </w:tcPr>
          <w:p w:rsidR="00724EC4" w:rsidRPr="00A46991" w:rsidRDefault="00724EC4" w:rsidP="00EB62AB">
            <w:pPr>
              <w:spacing w:line="276" w:lineRule="auto"/>
              <w:rPr>
                <w:rFonts w:eastAsia="Times New Roman" w:cs="Arial"/>
                <w:b/>
                <w:bCs/>
                <w:color w:val="000000"/>
                <w:sz w:val="18"/>
                <w:szCs w:val="18"/>
              </w:rPr>
            </w:pPr>
            <w:r w:rsidRPr="00A46991">
              <w:rPr>
                <w:rFonts w:eastAsia="Times New Roman" w:cs="Arial"/>
                <w:b/>
                <w:sz w:val="18"/>
                <w:szCs w:val="18"/>
              </w:rPr>
              <w:t>Section 6 Actions</w:t>
            </w:r>
          </w:p>
        </w:tc>
        <w:tc>
          <w:tcPr>
            <w:tcW w:w="1371" w:type="dxa"/>
            <w:gridSpan w:val="3"/>
            <w:tcBorders>
              <w:top w:val="nil"/>
              <w:left w:val="nil"/>
              <w:bottom w:val="single" w:sz="4" w:space="0" w:color="auto"/>
              <w:right w:val="nil"/>
            </w:tcBorders>
            <w:vAlign w:val="center"/>
            <w:hideMark/>
          </w:tcPr>
          <w:p w:rsidR="00724EC4" w:rsidRPr="00A46991" w:rsidRDefault="00724EC4" w:rsidP="00EB62AB">
            <w:pPr>
              <w:spacing w:line="276" w:lineRule="auto"/>
              <w:jc w:val="center"/>
              <w:rPr>
                <w:rFonts w:eastAsia="Times New Roman" w:cs="Arial"/>
                <w:color w:val="000000"/>
                <w:sz w:val="18"/>
                <w:szCs w:val="18"/>
              </w:rPr>
            </w:pPr>
            <w:r>
              <w:rPr>
                <w:rFonts w:cs="Arial"/>
                <w:color w:val="000000"/>
                <w:sz w:val="18"/>
                <w:szCs w:val="18"/>
              </w:rPr>
              <w:t>56</w:t>
            </w:r>
          </w:p>
        </w:tc>
        <w:tc>
          <w:tcPr>
            <w:tcW w:w="1261" w:type="dxa"/>
            <w:gridSpan w:val="2"/>
            <w:tcBorders>
              <w:top w:val="nil"/>
              <w:left w:val="nil"/>
              <w:bottom w:val="single" w:sz="4" w:space="0" w:color="auto"/>
              <w:right w:val="nil"/>
            </w:tcBorders>
            <w:vAlign w:val="center"/>
          </w:tcPr>
          <w:p w:rsidR="00724EC4" w:rsidRPr="001234E6" w:rsidRDefault="00724EC4" w:rsidP="00EB62AB">
            <w:pPr>
              <w:spacing w:line="276" w:lineRule="auto"/>
              <w:jc w:val="center"/>
              <w:rPr>
                <w:rFonts w:eastAsia="Times New Roman" w:cs="Arial"/>
                <w:color w:val="000000"/>
                <w:sz w:val="18"/>
                <w:szCs w:val="18"/>
              </w:rPr>
            </w:pPr>
          </w:p>
        </w:tc>
        <w:tc>
          <w:tcPr>
            <w:tcW w:w="1261" w:type="dxa"/>
            <w:gridSpan w:val="2"/>
            <w:tcBorders>
              <w:top w:val="nil"/>
              <w:left w:val="nil"/>
              <w:bottom w:val="single" w:sz="4" w:space="0" w:color="auto"/>
              <w:right w:val="single" w:sz="8" w:space="0" w:color="auto"/>
            </w:tcBorders>
            <w:vAlign w:val="center"/>
            <w:hideMark/>
          </w:tcPr>
          <w:p w:rsidR="00724EC4" w:rsidRPr="001234E6" w:rsidRDefault="00724EC4" w:rsidP="00EB62AB">
            <w:pPr>
              <w:spacing w:line="276" w:lineRule="auto"/>
              <w:jc w:val="center"/>
              <w:rPr>
                <w:rFonts w:cs="Arial"/>
                <w:b/>
                <w:color w:val="000000"/>
                <w:sz w:val="18"/>
                <w:szCs w:val="18"/>
              </w:rPr>
            </w:pPr>
            <w:r>
              <w:rPr>
                <w:rFonts w:cs="Arial"/>
                <w:color w:val="000000"/>
                <w:sz w:val="18"/>
                <w:szCs w:val="18"/>
              </w:rPr>
              <w:t>55</w:t>
            </w:r>
          </w:p>
        </w:tc>
        <w:tc>
          <w:tcPr>
            <w:tcW w:w="1935" w:type="dxa"/>
            <w:gridSpan w:val="2"/>
            <w:tcBorders>
              <w:top w:val="nil"/>
              <w:left w:val="nil"/>
              <w:bottom w:val="single" w:sz="4" w:space="0" w:color="auto"/>
              <w:right w:val="single" w:sz="4" w:space="0" w:color="auto"/>
            </w:tcBorders>
            <w:vAlign w:val="center"/>
            <w:hideMark/>
          </w:tcPr>
          <w:p w:rsidR="00724EC4" w:rsidRPr="001234E6" w:rsidRDefault="00724EC4" w:rsidP="00EB62AB">
            <w:pPr>
              <w:spacing w:line="276" w:lineRule="auto"/>
              <w:jc w:val="right"/>
              <w:rPr>
                <w:rFonts w:cs="Arial"/>
                <w:b/>
                <w:color w:val="000000"/>
                <w:sz w:val="18"/>
                <w:szCs w:val="18"/>
              </w:rPr>
            </w:pPr>
            <w:r>
              <w:rPr>
                <w:rFonts w:cs="Arial"/>
                <w:color w:val="000000"/>
                <w:sz w:val="18"/>
                <w:szCs w:val="18"/>
              </w:rPr>
              <w:t xml:space="preserve">$78.81 </w:t>
            </w:r>
          </w:p>
        </w:tc>
        <w:tc>
          <w:tcPr>
            <w:tcW w:w="1935" w:type="dxa"/>
            <w:tcBorders>
              <w:top w:val="nil"/>
              <w:left w:val="nil"/>
              <w:bottom w:val="single" w:sz="4" w:space="0" w:color="auto"/>
              <w:right w:val="single" w:sz="4" w:space="0" w:color="auto"/>
            </w:tcBorders>
            <w:vAlign w:val="center"/>
          </w:tcPr>
          <w:p w:rsidR="00724EC4" w:rsidRPr="001234E6" w:rsidRDefault="00724EC4" w:rsidP="00EB62AB">
            <w:pPr>
              <w:spacing w:line="276" w:lineRule="auto"/>
              <w:jc w:val="right"/>
              <w:rPr>
                <w:rFonts w:cs="Arial"/>
                <w:b/>
                <w:color w:val="000000"/>
                <w:sz w:val="18"/>
                <w:szCs w:val="18"/>
              </w:rPr>
            </w:pPr>
            <w:r>
              <w:rPr>
                <w:rFonts w:cs="Arial"/>
                <w:b/>
                <w:bCs/>
                <w:color w:val="000000"/>
                <w:sz w:val="18"/>
                <w:szCs w:val="18"/>
              </w:rPr>
              <w:t>$4,413</w:t>
            </w:r>
          </w:p>
        </w:tc>
      </w:tr>
      <w:tr w:rsidR="00724EC4" w:rsidRPr="003946EE" w:rsidTr="006A384E">
        <w:trPr>
          <w:cantSplit/>
          <w:trHeight w:val="325"/>
        </w:trPr>
        <w:tc>
          <w:tcPr>
            <w:tcW w:w="2155" w:type="dxa"/>
            <w:tcBorders>
              <w:top w:val="single" w:sz="8" w:space="0" w:color="auto"/>
              <w:left w:val="single" w:sz="4" w:space="0" w:color="auto"/>
              <w:bottom w:val="single" w:sz="4" w:space="0" w:color="auto"/>
              <w:right w:val="single" w:sz="8" w:space="0" w:color="000000"/>
            </w:tcBorders>
            <w:vAlign w:val="center"/>
            <w:hideMark/>
          </w:tcPr>
          <w:p w:rsidR="00724EC4" w:rsidRPr="00A46991" w:rsidRDefault="00724EC4" w:rsidP="003B7BC3">
            <w:pPr>
              <w:spacing w:line="276" w:lineRule="auto"/>
              <w:rPr>
                <w:rFonts w:cs="Arial"/>
                <w:sz w:val="18"/>
                <w:szCs w:val="18"/>
              </w:rPr>
            </w:pPr>
            <w:r w:rsidRPr="00A46991">
              <w:rPr>
                <w:rFonts w:eastAsia="Times New Roman" w:cs="Arial"/>
                <w:b/>
                <w:bCs/>
                <w:color w:val="000000"/>
                <w:sz w:val="18"/>
                <w:szCs w:val="18"/>
              </w:rPr>
              <w:t xml:space="preserve">Total </w:t>
            </w:r>
          </w:p>
        </w:tc>
        <w:tc>
          <w:tcPr>
            <w:tcW w:w="1371" w:type="dxa"/>
            <w:gridSpan w:val="3"/>
            <w:tcBorders>
              <w:top w:val="nil"/>
              <w:left w:val="nil"/>
              <w:bottom w:val="single" w:sz="4" w:space="0" w:color="auto"/>
              <w:right w:val="nil"/>
            </w:tcBorders>
            <w:vAlign w:val="center"/>
            <w:hideMark/>
          </w:tcPr>
          <w:p w:rsidR="00724EC4" w:rsidRPr="00A46991" w:rsidRDefault="00724EC4" w:rsidP="003B7BC3">
            <w:pPr>
              <w:spacing w:line="276" w:lineRule="auto"/>
              <w:jc w:val="center"/>
              <w:rPr>
                <w:rFonts w:eastAsia="Times New Roman" w:cs="Arial"/>
                <w:b/>
                <w:color w:val="000000"/>
                <w:sz w:val="18"/>
                <w:szCs w:val="18"/>
              </w:rPr>
            </w:pPr>
            <w:r>
              <w:rPr>
                <w:rFonts w:cs="Arial"/>
                <w:color w:val="000000"/>
                <w:sz w:val="18"/>
                <w:szCs w:val="18"/>
              </w:rPr>
              <w:t>1,414</w:t>
            </w:r>
          </w:p>
        </w:tc>
        <w:tc>
          <w:tcPr>
            <w:tcW w:w="1261" w:type="dxa"/>
            <w:gridSpan w:val="2"/>
            <w:tcBorders>
              <w:top w:val="nil"/>
              <w:left w:val="nil"/>
              <w:bottom w:val="single" w:sz="4" w:space="0" w:color="auto"/>
              <w:right w:val="nil"/>
            </w:tcBorders>
            <w:vAlign w:val="center"/>
          </w:tcPr>
          <w:p w:rsidR="00724EC4" w:rsidRPr="001234E6" w:rsidRDefault="00724EC4" w:rsidP="003B7BC3">
            <w:pPr>
              <w:spacing w:line="276" w:lineRule="auto"/>
              <w:jc w:val="center"/>
              <w:rPr>
                <w:rFonts w:eastAsia="Times New Roman" w:cs="Arial"/>
                <w:b/>
                <w:color w:val="000000"/>
                <w:sz w:val="18"/>
                <w:szCs w:val="18"/>
              </w:rPr>
            </w:pPr>
          </w:p>
        </w:tc>
        <w:tc>
          <w:tcPr>
            <w:tcW w:w="1261" w:type="dxa"/>
            <w:gridSpan w:val="2"/>
            <w:tcBorders>
              <w:top w:val="nil"/>
              <w:left w:val="nil"/>
              <w:bottom w:val="single" w:sz="4" w:space="0" w:color="auto"/>
              <w:right w:val="single" w:sz="8" w:space="0" w:color="auto"/>
            </w:tcBorders>
            <w:vAlign w:val="center"/>
            <w:hideMark/>
          </w:tcPr>
          <w:p w:rsidR="00724EC4" w:rsidRPr="001234E6" w:rsidRDefault="00724EC4" w:rsidP="003B7BC3">
            <w:pPr>
              <w:spacing w:line="276" w:lineRule="auto"/>
              <w:jc w:val="center"/>
              <w:rPr>
                <w:rFonts w:eastAsia="Times New Roman" w:cs="Arial"/>
                <w:b/>
                <w:color w:val="000000"/>
                <w:sz w:val="18"/>
                <w:szCs w:val="18"/>
              </w:rPr>
            </w:pPr>
            <w:r>
              <w:rPr>
                <w:rFonts w:cs="Arial"/>
                <w:color w:val="000000"/>
                <w:sz w:val="18"/>
                <w:szCs w:val="18"/>
              </w:rPr>
              <w:t>740</w:t>
            </w:r>
          </w:p>
        </w:tc>
        <w:tc>
          <w:tcPr>
            <w:tcW w:w="1935" w:type="dxa"/>
            <w:gridSpan w:val="2"/>
            <w:tcBorders>
              <w:top w:val="nil"/>
              <w:left w:val="nil"/>
              <w:bottom w:val="single" w:sz="4" w:space="0" w:color="auto"/>
              <w:right w:val="single" w:sz="4" w:space="0" w:color="auto"/>
            </w:tcBorders>
            <w:vAlign w:val="center"/>
            <w:hideMark/>
          </w:tcPr>
          <w:p w:rsidR="00724EC4" w:rsidRPr="001234E6" w:rsidRDefault="00724EC4" w:rsidP="003B7BC3">
            <w:pPr>
              <w:spacing w:line="276" w:lineRule="auto"/>
              <w:jc w:val="right"/>
              <w:rPr>
                <w:rFonts w:cs="Arial"/>
                <w:b/>
                <w:color w:val="000000"/>
                <w:sz w:val="18"/>
                <w:szCs w:val="18"/>
              </w:rPr>
            </w:pPr>
          </w:p>
        </w:tc>
        <w:tc>
          <w:tcPr>
            <w:tcW w:w="1935" w:type="dxa"/>
            <w:tcBorders>
              <w:top w:val="nil"/>
              <w:left w:val="nil"/>
              <w:bottom w:val="single" w:sz="4" w:space="0" w:color="auto"/>
              <w:right w:val="single" w:sz="4" w:space="0" w:color="auto"/>
            </w:tcBorders>
            <w:vAlign w:val="center"/>
          </w:tcPr>
          <w:p w:rsidR="00724EC4" w:rsidRPr="001234E6" w:rsidRDefault="00724EC4" w:rsidP="003B7BC3">
            <w:pPr>
              <w:spacing w:line="276" w:lineRule="auto"/>
              <w:jc w:val="right"/>
              <w:rPr>
                <w:rFonts w:cs="Arial"/>
                <w:b/>
                <w:color w:val="000000"/>
                <w:sz w:val="18"/>
                <w:szCs w:val="18"/>
              </w:rPr>
            </w:pPr>
            <w:r>
              <w:rPr>
                <w:rFonts w:cs="Arial"/>
                <w:b/>
                <w:bCs/>
                <w:color w:val="000000"/>
                <w:sz w:val="18"/>
                <w:szCs w:val="18"/>
              </w:rPr>
              <w:t>$59,540</w:t>
            </w:r>
          </w:p>
        </w:tc>
      </w:tr>
      <w:tr w:rsidR="004212D2" w:rsidTr="006A384E">
        <w:trPr>
          <w:cantSplit/>
          <w:trHeight w:val="325"/>
        </w:trPr>
        <w:tc>
          <w:tcPr>
            <w:tcW w:w="9918" w:type="dxa"/>
            <w:gridSpan w:val="11"/>
            <w:tcBorders>
              <w:top w:val="single" w:sz="4" w:space="0" w:color="auto"/>
              <w:left w:val="single" w:sz="4" w:space="0" w:color="auto"/>
              <w:bottom w:val="single" w:sz="4" w:space="0" w:color="auto"/>
              <w:right w:val="single" w:sz="4" w:space="0" w:color="auto"/>
            </w:tcBorders>
          </w:tcPr>
          <w:p w:rsidR="004212D2" w:rsidRPr="001234E6" w:rsidRDefault="004212D2" w:rsidP="004212D2">
            <w:pPr>
              <w:spacing w:line="276" w:lineRule="auto"/>
              <w:rPr>
                <w:rFonts w:cs="Arial"/>
                <w:bCs/>
                <w:color w:val="000000"/>
                <w:sz w:val="18"/>
                <w:szCs w:val="18"/>
              </w:rPr>
            </w:pPr>
            <w:r w:rsidRPr="001234E6">
              <w:rPr>
                <w:rFonts w:cs="Arial"/>
                <w:bCs/>
                <w:color w:val="000000"/>
                <w:sz w:val="18"/>
                <w:szCs w:val="18"/>
                <w:vertAlign w:val="superscript"/>
              </w:rPr>
              <w:t xml:space="preserve">1 </w:t>
            </w:r>
            <w:r w:rsidRPr="001234E6">
              <w:rPr>
                <w:rFonts w:cs="Arial"/>
                <w:bCs/>
                <w:color w:val="000000"/>
                <w:sz w:val="18"/>
                <w:szCs w:val="18"/>
              </w:rPr>
              <w:t>Values may not calculate exactly due to rounding. Total burden and cost may be overestimate</w:t>
            </w:r>
            <w:r w:rsidR="003946EE" w:rsidRPr="001234E6">
              <w:rPr>
                <w:rFonts w:cs="Arial"/>
                <w:bCs/>
                <w:color w:val="000000"/>
                <w:sz w:val="18"/>
                <w:szCs w:val="18"/>
              </w:rPr>
              <w:t>d</w:t>
            </w:r>
            <w:r w:rsidRPr="001234E6">
              <w:rPr>
                <w:rFonts w:cs="Arial"/>
                <w:bCs/>
                <w:color w:val="000000"/>
                <w:sz w:val="18"/>
                <w:szCs w:val="18"/>
              </w:rPr>
              <w:t xml:space="preserve"> due to assumptions on the number of firms in consortia and first-time users of CDX.</w:t>
            </w:r>
          </w:p>
        </w:tc>
      </w:tr>
    </w:tbl>
    <w:p w:rsidR="00D2670C" w:rsidRPr="006A3A8A" w:rsidRDefault="00D2670C" w:rsidP="006A3A8A"/>
    <w:p w:rsidR="00BD53A4" w:rsidRPr="007919E5" w:rsidRDefault="00BD53A4" w:rsidP="00BD53A4">
      <w:pPr>
        <w:pStyle w:val="Heading1"/>
        <w:numPr>
          <w:ilvl w:val="0"/>
          <w:numId w:val="3"/>
        </w:numPr>
      </w:pPr>
      <w:bookmarkStart w:id="28" w:name="_Toc447203190"/>
      <w:bookmarkStart w:id="29" w:name="_Toc447203189"/>
      <w:r>
        <w:t>PRA Burden Statement</w:t>
      </w:r>
      <w:bookmarkEnd w:id="28"/>
    </w:p>
    <w:p w:rsidR="002361E1" w:rsidRPr="004C676E" w:rsidRDefault="00BD53A4" w:rsidP="002361E1">
      <w:pPr>
        <w:rPr>
          <w:color w:val="000000" w:themeColor="text1"/>
        </w:rPr>
      </w:pPr>
      <w:r w:rsidRPr="007919E5">
        <w:t>Under the PRA, b</w:t>
      </w:r>
      <w:r w:rsidRPr="007919E5">
        <w:rPr>
          <w:lang w:bidi="en-US"/>
        </w:rPr>
        <w:t xml:space="preserve">urden is defined at </w:t>
      </w:r>
      <w:hyperlink r:id="rId12" w:anchor="5:3.0.2.3.9.0.48.3" w:history="1">
        <w:r w:rsidRPr="007919E5">
          <w:rPr>
            <w:rStyle w:val="Hyperlink"/>
            <w:lang w:bidi="en-US"/>
          </w:rPr>
          <w:t>5 CFR 1320.3(b)</w:t>
        </w:r>
      </w:hyperlink>
      <w:r w:rsidRPr="007919E5">
        <w:rPr>
          <w:lang w:bidi="en-US"/>
        </w:rPr>
        <w:t>.</w:t>
      </w:r>
      <w:r w:rsidRPr="00BD53A4">
        <w:rPr>
          <w:color w:val="000000" w:themeColor="text1"/>
        </w:rPr>
        <w:t xml:space="preserve"> </w:t>
      </w:r>
      <w:r w:rsidRPr="007919E5">
        <w:rPr>
          <w:color w:val="000000" w:themeColor="text1"/>
        </w:rPr>
        <w:t xml:space="preserve">This </w:t>
      </w:r>
      <w:r w:rsidR="00136A83">
        <w:rPr>
          <w:color w:val="000000" w:themeColor="text1"/>
        </w:rPr>
        <w:t xml:space="preserve">is </w:t>
      </w:r>
      <w:r w:rsidR="006A384E">
        <w:rPr>
          <w:color w:val="000000" w:themeColor="text1"/>
        </w:rPr>
        <w:t xml:space="preserve">a </w:t>
      </w:r>
      <w:r w:rsidR="00136A83">
        <w:rPr>
          <w:color w:val="000000" w:themeColor="text1"/>
        </w:rPr>
        <w:t>new, rule-related</w:t>
      </w:r>
      <w:r w:rsidR="00136A83" w:rsidRPr="007919E5">
        <w:rPr>
          <w:color w:val="000000" w:themeColor="text1"/>
        </w:rPr>
        <w:t xml:space="preserve"> </w:t>
      </w:r>
      <w:r w:rsidRPr="007919E5">
        <w:rPr>
          <w:color w:val="000000" w:themeColor="text1"/>
        </w:rPr>
        <w:t xml:space="preserve">information collection. The total burden requested for this ICR is </w:t>
      </w:r>
      <w:r w:rsidR="00724EC4" w:rsidRPr="00C06385">
        <w:rPr>
          <w:color w:val="000000" w:themeColor="text1"/>
        </w:rPr>
        <w:t>7</w:t>
      </w:r>
      <w:r w:rsidR="00724EC4">
        <w:rPr>
          <w:color w:val="000000" w:themeColor="text1"/>
        </w:rPr>
        <w:t>40</w:t>
      </w:r>
      <w:r w:rsidR="00724EC4" w:rsidRPr="00C06385">
        <w:rPr>
          <w:color w:val="000000" w:themeColor="text1"/>
        </w:rPr>
        <w:t xml:space="preserve"> </w:t>
      </w:r>
      <w:r w:rsidRPr="00C06385">
        <w:rPr>
          <w:color w:val="000000" w:themeColor="text1"/>
        </w:rPr>
        <w:t>hours per year</w:t>
      </w:r>
      <w:r w:rsidR="002D36EA" w:rsidRPr="00C06385">
        <w:rPr>
          <w:color w:val="000000" w:themeColor="text1"/>
        </w:rPr>
        <w:t>, with a total of 1,</w:t>
      </w:r>
      <w:r w:rsidR="00724EC4" w:rsidRPr="00C06385">
        <w:rPr>
          <w:color w:val="000000" w:themeColor="text1"/>
        </w:rPr>
        <w:t>4</w:t>
      </w:r>
      <w:r w:rsidR="00724EC4">
        <w:rPr>
          <w:color w:val="000000" w:themeColor="text1"/>
        </w:rPr>
        <w:t>14</w:t>
      </w:r>
      <w:r w:rsidR="00724EC4" w:rsidRPr="00C06385">
        <w:rPr>
          <w:color w:val="000000" w:themeColor="text1"/>
        </w:rPr>
        <w:t xml:space="preserve"> </w:t>
      </w:r>
      <w:r w:rsidR="002D36EA" w:rsidRPr="00C06385">
        <w:rPr>
          <w:color w:val="000000" w:themeColor="text1"/>
        </w:rPr>
        <w:t>respondents</w:t>
      </w:r>
      <w:r w:rsidRPr="00C06385">
        <w:rPr>
          <w:color w:val="000000" w:themeColor="text1"/>
        </w:rPr>
        <w:t xml:space="preserve">. The total annual cost </w:t>
      </w:r>
      <w:r w:rsidR="004C676E" w:rsidRPr="00C06385">
        <w:rPr>
          <w:color w:val="000000" w:themeColor="text1"/>
        </w:rPr>
        <w:t xml:space="preserve">requested for this ICR is </w:t>
      </w:r>
      <w:r w:rsidR="00CA4605" w:rsidRPr="00C06385">
        <w:rPr>
          <w:color w:val="000000" w:themeColor="text1"/>
        </w:rPr>
        <w:t>$</w:t>
      </w:r>
      <w:r w:rsidR="00724EC4">
        <w:rPr>
          <w:color w:val="000000" w:themeColor="text1"/>
        </w:rPr>
        <w:t>59</w:t>
      </w:r>
      <w:r w:rsidR="00AC260B" w:rsidRPr="00C06385">
        <w:rPr>
          <w:color w:val="000000" w:themeColor="text1"/>
        </w:rPr>
        <w:t>,</w:t>
      </w:r>
      <w:r w:rsidR="00724EC4" w:rsidRPr="00C06385">
        <w:rPr>
          <w:color w:val="000000" w:themeColor="text1"/>
        </w:rPr>
        <w:t>5</w:t>
      </w:r>
      <w:r w:rsidR="00724EC4">
        <w:rPr>
          <w:color w:val="000000" w:themeColor="text1"/>
        </w:rPr>
        <w:t>40</w:t>
      </w:r>
      <w:r w:rsidRPr="007919E5">
        <w:rPr>
          <w:color w:val="000000" w:themeColor="text1"/>
        </w:rPr>
        <w:t xml:space="preserve">. </w:t>
      </w:r>
      <w:r w:rsidR="002361E1" w:rsidRPr="003E7836">
        <w:t xml:space="preserve">You may submit comments regarding the accuracy of the provided burden estimates and any suggested methods for minimizing respondent burden, including the use of automated collection techniques. Comments, referencing Docket ID No. </w:t>
      </w:r>
      <w:r w:rsidR="00A44D8A" w:rsidRPr="00A44D8A">
        <w:rPr>
          <w:lang w:bidi="en-US"/>
        </w:rPr>
        <w:t>EPA-HQ-OPPT-2016-0401</w:t>
      </w:r>
      <w:r w:rsidR="00A44D8A">
        <w:rPr>
          <w:lang w:bidi="en-US"/>
        </w:rPr>
        <w:t xml:space="preserve"> </w:t>
      </w:r>
      <w:r w:rsidR="002361E1" w:rsidRPr="003E7836">
        <w:t xml:space="preserve">and OMB Control No. </w:t>
      </w:r>
      <w:r w:rsidR="002361E1">
        <w:t xml:space="preserve">2070-NEW (EPA ICR No. </w:t>
      </w:r>
      <w:r w:rsidR="007F229C">
        <w:rPr>
          <w:lang w:bidi="en-US"/>
        </w:rPr>
        <w:t>2569.01</w:t>
      </w:r>
      <w:r w:rsidR="002361E1" w:rsidRPr="003E7836">
        <w:t xml:space="preserve">), may be submitted to EPA electronically through </w:t>
      </w:r>
      <w:r w:rsidR="002361E1" w:rsidRPr="00A77D1F">
        <w:rPr>
          <w:i/>
        </w:rPr>
        <w:t>http://www.regulations.gov</w:t>
      </w:r>
      <w:r w:rsidR="002361E1" w:rsidRPr="00A77D1F">
        <w:t xml:space="preserve"> </w:t>
      </w:r>
      <w:r w:rsidR="002361E1">
        <w:t>and</w:t>
      </w:r>
      <w:r w:rsidR="002361E1" w:rsidRPr="003E7836">
        <w:t xml:space="preserve"> to OMB, addressed to “OMB Desk Officer for EPA” and referencing OMB Control No. </w:t>
      </w:r>
      <w:r w:rsidR="002361E1">
        <w:t xml:space="preserve">2070-NEW (EPA ICR No. </w:t>
      </w:r>
      <w:r w:rsidR="007F229C">
        <w:rPr>
          <w:lang w:bidi="en-US"/>
        </w:rPr>
        <w:t>2569.01</w:t>
      </w:r>
      <w:r w:rsidR="002361E1" w:rsidRPr="003E7836">
        <w:t xml:space="preserve">), via email to </w:t>
      </w:r>
      <w:hyperlink r:id="rId13" w:history="1">
        <w:r w:rsidR="002361E1" w:rsidRPr="002361E1">
          <w:rPr>
            <w:i/>
            <w:color w:val="0000FF"/>
            <w:u w:val="single"/>
          </w:rPr>
          <w:t>oira_submission@omb.eop.gov</w:t>
        </w:r>
      </w:hyperlink>
      <w:r w:rsidR="002361E1" w:rsidRPr="003E7836">
        <w:t xml:space="preserve">. </w:t>
      </w:r>
    </w:p>
    <w:p w:rsidR="00BD53A4" w:rsidRPr="00BD53A4" w:rsidRDefault="00BD53A4" w:rsidP="00BD53A4">
      <w:pPr>
        <w:pStyle w:val="NoSpacing"/>
      </w:pPr>
    </w:p>
    <w:p w:rsidR="002A5DBC" w:rsidRPr="007919E5" w:rsidRDefault="002A5DBC" w:rsidP="002A5DBC">
      <w:pPr>
        <w:pStyle w:val="Heading1"/>
      </w:pPr>
      <w:r>
        <w:t>References</w:t>
      </w:r>
      <w:bookmarkEnd w:id="29"/>
    </w:p>
    <w:p w:rsidR="00794756" w:rsidRPr="00FB6713" w:rsidRDefault="00794756" w:rsidP="00794756">
      <w:r w:rsidRPr="00FB6713">
        <w:t xml:space="preserve">Rice, C. (2002). Wage Rates for Economic Analysis of The Toxics Release Inventory Program. Office of Environmental Information: U.S. </w:t>
      </w:r>
      <w:r w:rsidR="00A345B9">
        <w:t>Environmental Protection Agency</w:t>
      </w:r>
      <w:r w:rsidR="00081249">
        <w:t>.</w:t>
      </w:r>
    </w:p>
    <w:p w:rsidR="00794756" w:rsidRDefault="00794756" w:rsidP="00794756"/>
    <w:p w:rsidR="00746158" w:rsidRPr="00746158" w:rsidRDefault="00746158" w:rsidP="00746158">
      <w:pPr>
        <w:pStyle w:val="NoSpacing"/>
      </w:pPr>
      <w:r w:rsidRPr="00746158">
        <w:t>U.S. Bureau of Labor Statistics (201</w:t>
      </w:r>
      <w:r>
        <w:t>7a</w:t>
      </w:r>
      <w:r w:rsidRPr="00746158">
        <w:t xml:space="preserve">). Occupational Employment Statistics (OES): </w:t>
      </w:r>
      <w:r>
        <w:t xml:space="preserve">Chemical </w:t>
      </w:r>
      <w:r w:rsidRPr="00746158">
        <w:t xml:space="preserve">Manufacturing, Sectors </w:t>
      </w:r>
      <w:r>
        <w:t>325</w:t>
      </w:r>
      <w:r w:rsidR="00081249">
        <w:t>.</w:t>
      </w:r>
    </w:p>
    <w:p w:rsidR="00746158" w:rsidRDefault="00746158" w:rsidP="00794756"/>
    <w:p w:rsidR="00794756" w:rsidRPr="00FB6713" w:rsidRDefault="00794756" w:rsidP="00794756">
      <w:r w:rsidRPr="00FB6713">
        <w:t>U.S. Bureau of Labor Statistics (201</w:t>
      </w:r>
      <w:r w:rsidR="00AB6E44">
        <w:t>7</w:t>
      </w:r>
      <w:r w:rsidR="00746158">
        <w:t>b</w:t>
      </w:r>
      <w:r w:rsidRPr="00FB6713">
        <w:t>). Employer Costs for Employee Compensation (ECEC) Supplementary Tables: December 201</w:t>
      </w:r>
      <w:r w:rsidR="00AB6E44">
        <w:t>6</w:t>
      </w:r>
      <w:r w:rsidRPr="00FB6713">
        <w:t>.</w:t>
      </w:r>
    </w:p>
    <w:p w:rsidR="00987C22" w:rsidRDefault="00987C22" w:rsidP="00F81FD4">
      <w:pPr>
        <w:pStyle w:val="NoSpacing"/>
      </w:pPr>
    </w:p>
    <w:p w:rsidR="00794756" w:rsidRDefault="00794756" w:rsidP="00B80285">
      <w:pPr>
        <w:pStyle w:val="BodyText"/>
      </w:pPr>
      <w:r>
        <w:t>U.S. Environmental Protection Agency (EPA). (2001)</w:t>
      </w:r>
      <w:r w:rsidR="007F229C">
        <w:t>.</w:t>
      </w:r>
      <w:r>
        <w:t xml:space="preserve"> “Revised Economic Analysis for the Amended Inventory Update Rule (IUR).” </w:t>
      </w:r>
      <w:r w:rsidRPr="004003C0">
        <w:t>Research Triangle Park</w:t>
      </w:r>
      <w:r>
        <w:t xml:space="preserve">. </w:t>
      </w:r>
    </w:p>
    <w:p w:rsidR="001234E6" w:rsidRPr="00B363C7" w:rsidRDefault="001234E6" w:rsidP="00B80285">
      <w:pPr>
        <w:pStyle w:val="BodyText"/>
      </w:pPr>
      <w:r>
        <w:t xml:space="preserve">U.S. Environmental Protection Agency (EPA) </w:t>
      </w:r>
      <w:r w:rsidR="00A345B9">
        <w:t>(2016)</w:t>
      </w:r>
      <w:r w:rsidR="007F229C">
        <w:t>.</w:t>
      </w:r>
      <w:r w:rsidR="00A345B9">
        <w:t xml:space="preserve"> </w:t>
      </w:r>
      <w:r w:rsidR="00B80285">
        <w:t>Information Collection Request:</w:t>
      </w:r>
      <w:r w:rsidR="00A345B9">
        <w:t xml:space="preserve"> </w:t>
      </w:r>
      <w:r w:rsidR="00A345B9" w:rsidRPr="00A345B9">
        <w:t>Lead Training, Certification, Accreditation and Authorization Activities</w:t>
      </w:r>
      <w:r w:rsidR="00B80285">
        <w:t xml:space="preserve">. EPA ICR No: </w:t>
      </w:r>
      <w:r w:rsidR="00B80285" w:rsidRPr="00B80285">
        <w:t>2507.01</w:t>
      </w:r>
      <w:r w:rsidR="00B80285">
        <w:t xml:space="preserve">. OMB Control No: 2070-0195. Docket ID: </w:t>
      </w:r>
      <w:r w:rsidR="00B80285" w:rsidRPr="00B80285">
        <w:t>EPA-HQ-OPPT-2014-0486</w:t>
      </w:r>
      <w:r w:rsidR="00081249">
        <w:t>.</w:t>
      </w:r>
    </w:p>
    <w:p w:rsidR="007F229C" w:rsidRPr="007F229C" w:rsidRDefault="007F229C" w:rsidP="002A5DBC">
      <w:pPr>
        <w:pStyle w:val="NoSpacing"/>
      </w:pPr>
      <w:r>
        <w:t xml:space="preserve">U.S. Environmental Protection Agency (EPA) (2016). Proposed Rule; </w:t>
      </w:r>
      <w:r w:rsidRPr="007F229C">
        <w:rPr>
          <w:rFonts w:eastAsia="Times New Roman"/>
        </w:rPr>
        <w:t xml:space="preserve">Fees for the Administration of the Toxic Substances Control Act. </w:t>
      </w:r>
      <w:r>
        <w:rPr>
          <w:rFonts w:eastAsia="Times New Roman"/>
        </w:rPr>
        <w:t xml:space="preserve">(83 FR 8212, February 26, 2018) (FRL-9974-31). </w:t>
      </w:r>
      <w:r>
        <w:t>Docket ID</w:t>
      </w:r>
      <w:r w:rsidRPr="007F229C">
        <w:t xml:space="preserve">: </w:t>
      </w:r>
      <w:r w:rsidRPr="007F229C">
        <w:rPr>
          <w:rFonts w:eastAsia="Times New Roman"/>
        </w:rPr>
        <w:t>EPA-HQ-OPPT-2016-0401.</w:t>
      </w:r>
    </w:p>
    <w:p w:rsidR="002B34A0" w:rsidRPr="007919E5" w:rsidRDefault="002B34A0" w:rsidP="002B34A0">
      <w:pPr>
        <w:rPr>
          <w:b/>
          <w:lang w:bidi="en-US"/>
        </w:rPr>
      </w:pPr>
    </w:p>
    <w:sectPr w:rsidR="002B34A0" w:rsidRPr="007919E5" w:rsidSect="00471836">
      <w:footerReference w:type="default" r:id="rId14"/>
      <w:headerReference w:type="first" r:id="rId15"/>
      <w:pgSz w:w="12240" w:h="15840"/>
      <w:pgMar w:top="1080" w:right="1080" w:bottom="1080" w:left="108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5B" w:rsidRDefault="0064525B" w:rsidP="002B34A0">
      <w:r>
        <w:separator/>
      </w:r>
    </w:p>
  </w:endnote>
  <w:endnote w:type="continuationSeparator" w:id="0">
    <w:p w:rsidR="0064525B" w:rsidRDefault="0064525B" w:rsidP="002B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20684"/>
      <w:docPartObj>
        <w:docPartGallery w:val="Page Numbers (Bottom of Page)"/>
        <w:docPartUnique/>
      </w:docPartObj>
    </w:sdtPr>
    <w:sdtEndPr/>
    <w:sdtContent>
      <w:sdt>
        <w:sdtPr>
          <w:id w:val="-1801530361"/>
          <w:docPartObj>
            <w:docPartGallery w:val="Page Numbers (Top of Page)"/>
            <w:docPartUnique/>
          </w:docPartObj>
        </w:sdtPr>
        <w:sdtEndPr/>
        <w:sdtContent>
          <w:p w:rsidR="006A384E" w:rsidRDefault="006A384E" w:rsidP="002B34A0">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sidR="00EF6008">
              <w:rPr>
                <w:noProof/>
                <w:sz w:val="20"/>
                <w:szCs w:val="20"/>
              </w:rPr>
              <w:t>2</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sidR="00EF6008">
              <w:rPr>
                <w:noProof/>
                <w:sz w:val="20"/>
                <w:szCs w:val="20"/>
              </w:rPr>
              <w:t>2</w:t>
            </w:r>
            <w:r w:rsidRPr="002B34A0">
              <w:rPr>
                <w:sz w:val="20"/>
                <w:szCs w:val="20"/>
              </w:rPr>
              <w:fldChar w:fldCharType="end"/>
            </w:r>
          </w:p>
        </w:sdtContent>
      </w:sdt>
    </w:sdtContent>
  </w:sdt>
  <w:p w:rsidR="006A384E" w:rsidRDefault="006A384E" w:rsidP="002361E1">
    <w:pPr>
      <w:tabs>
        <w:tab w:val="left" w:pos="553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5B" w:rsidRDefault="0064525B" w:rsidP="002B34A0">
      <w:r>
        <w:separator/>
      </w:r>
    </w:p>
  </w:footnote>
  <w:footnote w:type="continuationSeparator" w:id="0">
    <w:p w:rsidR="0064525B" w:rsidRDefault="0064525B" w:rsidP="002B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6C" w:rsidRPr="00D23E6C" w:rsidRDefault="00D23E6C" w:rsidP="00D23E6C">
    <w:pPr>
      <w:pStyle w:val="Header"/>
      <w:jc w:val="right"/>
      <w:rPr>
        <w:i/>
        <w:sz w:val="20"/>
        <w:szCs w:val="20"/>
      </w:rPr>
    </w:pPr>
    <w:r w:rsidRPr="00D23E6C">
      <w:rPr>
        <w:i/>
        <w:sz w:val="20"/>
        <w:szCs w:val="20"/>
      </w:rPr>
      <w:t>12/15/2017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F2707FA"/>
    <w:multiLevelType w:val="hybridMultilevel"/>
    <w:tmpl w:val="1C66C61A"/>
    <w:lvl w:ilvl="0" w:tplc="66F8CE7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056473"/>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CAF3C84"/>
    <w:multiLevelType w:val="hybridMultilevel"/>
    <w:tmpl w:val="B3D2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180FF2"/>
    <w:multiLevelType w:val="multilevel"/>
    <w:tmpl w:val="BED805E8"/>
    <w:lvl w:ilvl="0">
      <w:start w:val="1"/>
      <w:numFmt w:val="decimal"/>
      <w:lvlText w:val="(%1)"/>
      <w:lvlJc w:val="left"/>
      <w:pPr>
        <w:tabs>
          <w:tab w:val="num" w:pos="720"/>
        </w:tabs>
        <w:ind w:left="720" w:hanging="360"/>
      </w:pPr>
      <w:rPr>
        <w:rFonts w:ascii="Arial" w:eastAsia="Times New Roman" w:hAnsi="Arial" w:cs="Aria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9E5606"/>
    <w:multiLevelType w:val="hybridMultilevel"/>
    <w:tmpl w:val="D3ECAB9E"/>
    <w:lvl w:ilvl="0" w:tplc="C05E90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22">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AD63DA6"/>
    <w:multiLevelType w:val="singleLevel"/>
    <w:tmpl w:val="35A8CB6A"/>
    <w:lvl w:ilvl="0">
      <w:start w:val="1"/>
      <w:numFmt w:val="bullet"/>
      <w:pStyle w:val="Bullets"/>
      <w:lvlText w:val=""/>
      <w:lvlJc w:val="left"/>
      <w:pPr>
        <w:ind w:left="360" w:hanging="360"/>
      </w:pPr>
      <w:rPr>
        <w:rFonts w:ascii="Symbol" w:hAnsi="Symbol" w:hint="default"/>
        <w:color w:val="DA291C"/>
        <w:sz w:val="22"/>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0"/>
  </w:num>
  <w:num w:numId="5">
    <w:abstractNumId w:val="22"/>
  </w:num>
  <w:num w:numId="6">
    <w:abstractNumId w:val="16"/>
  </w:num>
  <w:num w:numId="7">
    <w:abstractNumId w:val="24"/>
  </w:num>
  <w:num w:numId="8">
    <w:abstractNumId w:val="15"/>
  </w:num>
  <w:num w:numId="9">
    <w:abstractNumId w:val="25"/>
  </w:num>
  <w:num w:numId="10">
    <w:abstractNumId w:val="10"/>
  </w:num>
  <w:num w:numId="11">
    <w:abstractNumId w:val="9"/>
  </w:num>
  <w:num w:numId="12">
    <w:abstractNumId w:val="6"/>
  </w:num>
  <w:num w:numId="13">
    <w:abstractNumId w:val="11"/>
  </w:num>
  <w:num w:numId="14">
    <w:abstractNumId w:val="23"/>
  </w:num>
  <w:num w:numId="15">
    <w:abstractNumId w:val="14"/>
  </w:num>
  <w:num w:numId="16">
    <w:abstractNumId w:val="19"/>
  </w:num>
  <w:num w:numId="17">
    <w:abstractNumId w:val="13"/>
  </w:num>
  <w:num w:numId="18">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7"/>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6"/>
  </w:num>
  <w:num w:numId="24">
    <w:abstractNumId w:val="8"/>
  </w:num>
  <w:num w:numId="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A0"/>
    <w:rsid w:val="00003C59"/>
    <w:rsid w:val="00003EFE"/>
    <w:rsid w:val="00005662"/>
    <w:rsid w:val="000069E3"/>
    <w:rsid w:val="000102B1"/>
    <w:rsid w:val="00012C7C"/>
    <w:rsid w:val="0001558A"/>
    <w:rsid w:val="0002070E"/>
    <w:rsid w:val="0002255B"/>
    <w:rsid w:val="000244E2"/>
    <w:rsid w:val="00025468"/>
    <w:rsid w:val="000255F1"/>
    <w:rsid w:val="00030A58"/>
    <w:rsid w:val="00032FBE"/>
    <w:rsid w:val="00034CB4"/>
    <w:rsid w:val="00035C5E"/>
    <w:rsid w:val="000441D5"/>
    <w:rsid w:val="0004568C"/>
    <w:rsid w:val="00051254"/>
    <w:rsid w:val="000525A8"/>
    <w:rsid w:val="00052FA1"/>
    <w:rsid w:val="000530F2"/>
    <w:rsid w:val="00053361"/>
    <w:rsid w:val="00053D9D"/>
    <w:rsid w:val="00054FE9"/>
    <w:rsid w:val="00055451"/>
    <w:rsid w:val="00056B1D"/>
    <w:rsid w:val="00063D08"/>
    <w:rsid w:val="00070ACE"/>
    <w:rsid w:val="00070BCF"/>
    <w:rsid w:val="00071069"/>
    <w:rsid w:val="00071571"/>
    <w:rsid w:val="00077910"/>
    <w:rsid w:val="0008007A"/>
    <w:rsid w:val="00080514"/>
    <w:rsid w:val="00081249"/>
    <w:rsid w:val="000812A8"/>
    <w:rsid w:val="00081FA0"/>
    <w:rsid w:val="000836DB"/>
    <w:rsid w:val="00086F52"/>
    <w:rsid w:val="000874F8"/>
    <w:rsid w:val="0009007E"/>
    <w:rsid w:val="00092D5D"/>
    <w:rsid w:val="00096E80"/>
    <w:rsid w:val="00097B26"/>
    <w:rsid w:val="000A02BA"/>
    <w:rsid w:val="000A185F"/>
    <w:rsid w:val="000A22C8"/>
    <w:rsid w:val="000A2F92"/>
    <w:rsid w:val="000A409C"/>
    <w:rsid w:val="000A475E"/>
    <w:rsid w:val="000A522E"/>
    <w:rsid w:val="000A63A0"/>
    <w:rsid w:val="000A65CA"/>
    <w:rsid w:val="000B24B3"/>
    <w:rsid w:val="000B2A10"/>
    <w:rsid w:val="000B424E"/>
    <w:rsid w:val="000B530C"/>
    <w:rsid w:val="000C0271"/>
    <w:rsid w:val="000C42F1"/>
    <w:rsid w:val="000D0374"/>
    <w:rsid w:val="000D16B3"/>
    <w:rsid w:val="000D1990"/>
    <w:rsid w:val="000D3066"/>
    <w:rsid w:val="000D5722"/>
    <w:rsid w:val="000E19FB"/>
    <w:rsid w:val="000E1C35"/>
    <w:rsid w:val="000E6951"/>
    <w:rsid w:val="000E778D"/>
    <w:rsid w:val="000E7B38"/>
    <w:rsid w:val="000F0C52"/>
    <w:rsid w:val="000F20E1"/>
    <w:rsid w:val="001020B5"/>
    <w:rsid w:val="00102480"/>
    <w:rsid w:val="00103F89"/>
    <w:rsid w:val="00105F59"/>
    <w:rsid w:val="00106423"/>
    <w:rsid w:val="0010776C"/>
    <w:rsid w:val="00110EB7"/>
    <w:rsid w:val="00111C76"/>
    <w:rsid w:val="00117444"/>
    <w:rsid w:val="0011790C"/>
    <w:rsid w:val="001203BA"/>
    <w:rsid w:val="00121CD3"/>
    <w:rsid w:val="001234E6"/>
    <w:rsid w:val="00125B5B"/>
    <w:rsid w:val="00126B70"/>
    <w:rsid w:val="00126EAC"/>
    <w:rsid w:val="00136A83"/>
    <w:rsid w:val="00136D0D"/>
    <w:rsid w:val="00136D8F"/>
    <w:rsid w:val="00136F1D"/>
    <w:rsid w:val="001415B4"/>
    <w:rsid w:val="001417FF"/>
    <w:rsid w:val="00146061"/>
    <w:rsid w:val="001462BA"/>
    <w:rsid w:val="00151FC5"/>
    <w:rsid w:val="0015601E"/>
    <w:rsid w:val="00157337"/>
    <w:rsid w:val="001606AF"/>
    <w:rsid w:val="001635AE"/>
    <w:rsid w:val="00163F68"/>
    <w:rsid w:val="0016501F"/>
    <w:rsid w:val="00165581"/>
    <w:rsid w:val="0016777D"/>
    <w:rsid w:val="00167866"/>
    <w:rsid w:val="00171D01"/>
    <w:rsid w:val="0017447C"/>
    <w:rsid w:val="00175529"/>
    <w:rsid w:val="00176015"/>
    <w:rsid w:val="00176685"/>
    <w:rsid w:val="00181C48"/>
    <w:rsid w:val="0018203B"/>
    <w:rsid w:val="0018266B"/>
    <w:rsid w:val="0018440A"/>
    <w:rsid w:val="00185866"/>
    <w:rsid w:val="00191899"/>
    <w:rsid w:val="0019305C"/>
    <w:rsid w:val="0019470B"/>
    <w:rsid w:val="001A11AE"/>
    <w:rsid w:val="001A2515"/>
    <w:rsid w:val="001A42FB"/>
    <w:rsid w:val="001B0EFE"/>
    <w:rsid w:val="001B2877"/>
    <w:rsid w:val="001C248D"/>
    <w:rsid w:val="001C3BC2"/>
    <w:rsid w:val="001C4A80"/>
    <w:rsid w:val="001C68C7"/>
    <w:rsid w:val="001D3125"/>
    <w:rsid w:val="001D3543"/>
    <w:rsid w:val="001D41E1"/>
    <w:rsid w:val="001E01CF"/>
    <w:rsid w:val="001E06E3"/>
    <w:rsid w:val="001E1EE6"/>
    <w:rsid w:val="001E28DD"/>
    <w:rsid w:val="001E3039"/>
    <w:rsid w:val="001E6980"/>
    <w:rsid w:val="001E7129"/>
    <w:rsid w:val="001F67AA"/>
    <w:rsid w:val="00200219"/>
    <w:rsid w:val="002011E3"/>
    <w:rsid w:val="00204C29"/>
    <w:rsid w:val="00207B77"/>
    <w:rsid w:val="00210657"/>
    <w:rsid w:val="00212522"/>
    <w:rsid w:val="002132E5"/>
    <w:rsid w:val="00215F6B"/>
    <w:rsid w:val="0022191B"/>
    <w:rsid w:val="00230D29"/>
    <w:rsid w:val="002321AA"/>
    <w:rsid w:val="002361E1"/>
    <w:rsid w:val="002406C5"/>
    <w:rsid w:val="00246E64"/>
    <w:rsid w:val="00247F31"/>
    <w:rsid w:val="00250322"/>
    <w:rsid w:val="002526AB"/>
    <w:rsid w:val="002529E5"/>
    <w:rsid w:val="00260275"/>
    <w:rsid w:val="002679E0"/>
    <w:rsid w:val="00270944"/>
    <w:rsid w:val="00271BE5"/>
    <w:rsid w:val="00280301"/>
    <w:rsid w:val="00282443"/>
    <w:rsid w:val="002840C6"/>
    <w:rsid w:val="002849FA"/>
    <w:rsid w:val="00284B0F"/>
    <w:rsid w:val="00284D84"/>
    <w:rsid w:val="00286682"/>
    <w:rsid w:val="00292F1B"/>
    <w:rsid w:val="002934B7"/>
    <w:rsid w:val="00293DB1"/>
    <w:rsid w:val="00294C0D"/>
    <w:rsid w:val="002951E5"/>
    <w:rsid w:val="00295A23"/>
    <w:rsid w:val="00296D25"/>
    <w:rsid w:val="002A0BEE"/>
    <w:rsid w:val="002A13C4"/>
    <w:rsid w:val="002A22F0"/>
    <w:rsid w:val="002A5DBC"/>
    <w:rsid w:val="002B125C"/>
    <w:rsid w:val="002B34A0"/>
    <w:rsid w:val="002B5F8D"/>
    <w:rsid w:val="002C15B0"/>
    <w:rsid w:val="002C395B"/>
    <w:rsid w:val="002C3E17"/>
    <w:rsid w:val="002C5AA8"/>
    <w:rsid w:val="002C5DC6"/>
    <w:rsid w:val="002C66D1"/>
    <w:rsid w:val="002D00BA"/>
    <w:rsid w:val="002D04A7"/>
    <w:rsid w:val="002D0FCC"/>
    <w:rsid w:val="002D2665"/>
    <w:rsid w:val="002D2B79"/>
    <w:rsid w:val="002D3008"/>
    <w:rsid w:val="002D36EA"/>
    <w:rsid w:val="002D371B"/>
    <w:rsid w:val="002E0400"/>
    <w:rsid w:val="002E1029"/>
    <w:rsid w:val="002E2BC0"/>
    <w:rsid w:val="002E3969"/>
    <w:rsid w:val="002E51C6"/>
    <w:rsid w:val="002E58DE"/>
    <w:rsid w:val="002E73BC"/>
    <w:rsid w:val="002F01B9"/>
    <w:rsid w:val="002F5C6B"/>
    <w:rsid w:val="00300831"/>
    <w:rsid w:val="00301205"/>
    <w:rsid w:val="0030281D"/>
    <w:rsid w:val="00304F9B"/>
    <w:rsid w:val="003057D9"/>
    <w:rsid w:val="00310CD3"/>
    <w:rsid w:val="00316FC3"/>
    <w:rsid w:val="0032236E"/>
    <w:rsid w:val="0032425B"/>
    <w:rsid w:val="00325A55"/>
    <w:rsid w:val="003269AC"/>
    <w:rsid w:val="00326BA2"/>
    <w:rsid w:val="00327C9E"/>
    <w:rsid w:val="00327CF3"/>
    <w:rsid w:val="00330422"/>
    <w:rsid w:val="00334223"/>
    <w:rsid w:val="00334380"/>
    <w:rsid w:val="0033540C"/>
    <w:rsid w:val="0033644F"/>
    <w:rsid w:val="0033668C"/>
    <w:rsid w:val="0034411C"/>
    <w:rsid w:val="0034717C"/>
    <w:rsid w:val="00352760"/>
    <w:rsid w:val="0035280E"/>
    <w:rsid w:val="003552E0"/>
    <w:rsid w:val="00355DA6"/>
    <w:rsid w:val="00356529"/>
    <w:rsid w:val="00356731"/>
    <w:rsid w:val="00360250"/>
    <w:rsid w:val="0036061B"/>
    <w:rsid w:val="00360761"/>
    <w:rsid w:val="00360AD0"/>
    <w:rsid w:val="0036340C"/>
    <w:rsid w:val="0036430D"/>
    <w:rsid w:val="00364D69"/>
    <w:rsid w:val="00366294"/>
    <w:rsid w:val="0036683A"/>
    <w:rsid w:val="0037166D"/>
    <w:rsid w:val="00371C40"/>
    <w:rsid w:val="00374615"/>
    <w:rsid w:val="003750C6"/>
    <w:rsid w:val="0038462B"/>
    <w:rsid w:val="003857D8"/>
    <w:rsid w:val="00386027"/>
    <w:rsid w:val="00387F20"/>
    <w:rsid w:val="003946EE"/>
    <w:rsid w:val="00396F7B"/>
    <w:rsid w:val="003A0601"/>
    <w:rsid w:val="003A1E25"/>
    <w:rsid w:val="003A268B"/>
    <w:rsid w:val="003A2D1D"/>
    <w:rsid w:val="003A5E99"/>
    <w:rsid w:val="003A6A0C"/>
    <w:rsid w:val="003A791C"/>
    <w:rsid w:val="003A7FD9"/>
    <w:rsid w:val="003B1154"/>
    <w:rsid w:val="003B53BD"/>
    <w:rsid w:val="003B7BC3"/>
    <w:rsid w:val="003C148D"/>
    <w:rsid w:val="003C1896"/>
    <w:rsid w:val="003C26C1"/>
    <w:rsid w:val="003C30C1"/>
    <w:rsid w:val="003C76C7"/>
    <w:rsid w:val="003D08A0"/>
    <w:rsid w:val="003D180B"/>
    <w:rsid w:val="003D238F"/>
    <w:rsid w:val="003D2F08"/>
    <w:rsid w:val="003E14CD"/>
    <w:rsid w:val="003E39A7"/>
    <w:rsid w:val="003E530C"/>
    <w:rsid w:val="003E563D"/>
    <w:rsid w:val="003E6001"/>
    <w:rsid w:val="003E6143"/>
    <w:rsid w:val="003E75A8"/>
    <w:rsid w:val="003F1086"/>
    <w:rsid w:val="003F14B2"/>
    <w:rsid w:val="003F4389"/>
    <w:rsid w:val="00403F39"/>
    <w:rsid w:val="00406130"/>
    <w:rsid w:val="004124F7"/>
    <w:rsid w:val="00412D81"/>
    <w:rsid w:val="00413204"/>
    <w:rsid w:val="00416D2C"/>
    <w:rsid w:val="004212D2"/>
    <w:rsid w:val="00423275"/>
    <w:rsid w:val="004236AE"/>
    <w:rsid w:val="00423A88"/>
    <w:rsid w:val="0042487F"/>
    <w:rsid w:val="0042502D"/>
    <w:rsid w:val="0042678C"/>
    <w:rsid w:val="00430D9C"/>
    <w:rsid w:val="0043139C"/>
    <w:rsid w:val="00431F33"/>
    <w:rsid w:val="0043426C"/>
    <w:rsid w:val="004367D6"/>
    <w:rsid w:val="00437482"/>
    <w:rsid w:val="00441F7E"/>
    <w:rsid w:val="0044471A"/>
    <w:rsid w:val="00446301"/>
    <w:rsid w:val="00452297"/>
    <w:rsid w:val="00461D76"/>
    <w:rsid w:val="0046257F"/>
    <w:rsid w:val="00471836"/>
    <w:rsid w:val="00476F7F"/>
    <w:rsid w:val="0047703D"/>
    <w:rsid w:val="0048229D"/>
    <w:rsid w:val="00483E28"/>
    <w:rsid w:val="004842E9"/>
    <w:rsid w:val="00484B2B"/>
    <w:rsid w:val="004965C5"/>
    <w:rsid w:val="0049732F"/>
    <w:rsid w:val="00497BC4"/>
    <w:rsid w:val="004A19BD"/>
    <w:rsid w:val="004A239F"/>
    <w:rsid w:val="004A492D"/>
    <w:rsid w:val="004B1DCA"/>
    <w:rsid w:val="004B3889"/>
    <w:rsid w:val="004B7815"/>
    <w:rsid w:val="004C096D"/>
    <w:rsid w:val="004C676E"/>
    <w:rsid w:val="004C6935"/>
    <w:rsid w:val="004C7770"/>
    <w:rsid w:val="004D7591"/>
    <w:rsid w:val="004E1DF2"/>
    <w:rsid w:val="004E33E1"/>
    <w:rsid w:val="004E33EC"/>
    <w:rsid w:val="004E341A"/>
    <w:rsid w:val="004E3826"/>
    <w:rsid w:val="004E4981"/>
    <w:rsid w:val="004E61F0"/>
    <w:rsid w:val="004E7767"/>
    <w:rsid w:val="004F4446"/>
    <w:rsid w:val="005001E4"/>
    <w:rsid w:val="005017EF"/>
    <w:rsid w:val="00501DF2"/>
    <w:rsid w:val="00503C49"/>
    <w:rsid w:val="005049FB"/>
    <w:rsid w:val="0050524A"/>
    <w:rsid w:val="0051135E"/>
    <w:rsid w:val="0051161C"/>
    <w:rsid w:val="00512823"/>
    <w:rsid w:val="00521347"/>
    <w:rsid w:val="0053065B"/>
    <w:rsid w:val="00531A17"/>
    <w:rsid w:val="00532AEF"/>
    <w:rsid w:val="00532B03"/>
    <w:rsid w:val="00534F9B"/>
    <w:rsid w:val="005357E6"/>
    <w:rsid w:val="00536EBE"/>
    <w:rsid w:val="00537DD1"/>
    <w:rsid w:val="00541D82"/>
    <w:rsid w:val="00544CF7"/>
    <w:rsid w:val="00545E03"/>
    <w:rsid w:val="00550544"/>
    <w:rsid w:val="005508AE"/>
    <w:rsid w:val="00550A1F"/>
    <w:rsid w:val="00551F16"/>
    <w:rsid w:val="00556801"/>
    <w:rsid w:val="00556CC3"/>
    <w:rsid w:val="00563634"/>
    <w:rsid w:val="005666FA"/>
    <w:rsid w:val="00570FC3"/>
    <w:rsid w:val="005741BC"/>
    <w:rsid w:val="00574388"/>
    <w:rsid w:val="00574A56"/>
    <w:rsid w:val="00575F41"/>
    <w:rsid w:val="00580718"/>
    <w:rsid w:val="00591280"/>
    <w:rsid w:val="005914B3"/>
    <w:rsid w:val="00597302"/>
    <w:rsid w:val="005A1E50"/>
    <w:rsid w:val="005A27C8"/>
    <w:rsid w:val="005A30AA"/>
    <w:rsid w:val="005A31BA"/>
    <w:rsid w:val="005A411B"/>
    <w:rsid w:val="005A566C"/>
    <w:rsid w:val="005A7AEA"/>
    <w:rsid w:val="005A7BF5"/>
    <w:rsid w:val="005B0214"/>
    <w:rsid w:val="005B0C89"/>
    <w:rsid w:val="005B1BE2"/>
    <w:rsid w:val="005B4F77"/>
    <w:rsid w:val="005B6996"/>
    <w:rsid w:val="005C72EA"/>
    <w:rsid w:val="005D283C"/>
    <w:rsid w:val="005D3611"/>
    <w:rsid w:val="005D6C36"/>
    <w:rsid w:val="005D7BD1"/>
    <w:rsid w:val="005E3164"/>
    <w:rsid w:val="005E5522"/>
    <w:rsid w:val="005E7D3F"/>
    <w:rsid w:val="005F359D"/>
    <w:rsid w:val="005F7651"/>
    <w:rsid w:val="00605066"/>
    <w:rsid w:val="00605607"/>
    <w:rsid w:val="00611E72"/>
    <w:rsid w:val="0061240D"/>
    <w:rsid w:val="00624051"/>
    <w:rsid w:val="00625363"/>
    <w:rsid w:val="006253F1"/>
    <w:rsid w:val="00631575"/>
    <w:rsid w:val="00631EE9"/>
    <w:rsid w:val="00635782"/>
    <w:rsid w:val="00637AAC"/>
    <w:rsid w:val="006407F8"/>
    <w:rsid w:val="00640E29"/>
    <w:rsid w:val="00641732"/>
    <w:rsid w:val="0064488E"/>
    <w:rsid w:val="0064525B"/>
    <w:rsid w:val="00647866"/>
    <w:rsid w:val="0064799A"/>
    <w:rsid w:val="006532BF"/>
    <w:rsid w:val="00654239"/>
    <w:rsid w:val="00654445"/>
    <w:rsid w:val="00654E8E"/>
    <w:rsid w:val="00660CEA"/>
    <w:rsid w:val="00662811"/>
    <w:rsid w:val="00665C30"/>
    <w:rsid w:val="00667805"/>
    <w:rsid w:val="00672040"/>
    <w:rsid w:val="00673434"/>
    <w:rsid w:val="00675BAE"/>
    <w:rsid w:val="00680F94"/>
    <w:rsid w:val="0068224E"/>
    <w:rsid w:val="00690CBF"/>
    <w:rsid w:val="00692305"/>
    <w:rsid w:val="0069338C"/>
    <w:rsid w:val="00694FCA"/>
    <w:rsid w:val="00696C3C"/>
    <w:rsid w:val="00696F15"/>
    <w:rsid w:val="006A29BC"/>
    <w:rsid w:val="006A3133"/>
    <w:rsid w:val="006A384E"/>
    <w:rsid w:val="006A3A8A"/>
    <w:rsid w:val="006A4CF9"/>
    <w:rsid w:val="006A6E98"/>
    <w:rsid w:val="006B0CC4"/>
    <w:rsid w:val="006B0F45"/>
    <w:rsid w:val="006B4509"/>
    <w:rsid w:val="006B51CE"/>
    <w:rsid w:val="006B6ABE"/>
    <w:rsid w:val="006C41FB"/>
    <w:rsid w:val="006C4B33"/>
    <w:rsid w:val="006C58CA"/>
    <w:rsid w:val="006C6CA1"/>
    <w:rsid w:val="006C7C07"/>
    <w:rsid w:val="006D33FB"/>
    <w:rsid w:val="006D7B41"/>
    <w:rsid w:val="006E10DE"/>
    <w:rsid w:val="006E197D"/>
    <w:rsid w:val="006E19A1"/>
    <w:rsid w:val="006E344B"/>
    <w:rsid w:val="006F0D6F"/>
    <w:rsid w:val="006F1B29"/>
    <w:rsid w:val="00702929"/>
    <w:rsid w:val="00706899"/>
    <w:rsid w:val="00707599"/>
    <w:rsid w:val="0071097B"/>
    <w:rsid w:val="00721F73"/>
    <w:rsid w:val="00722434"/>
    <w:rsid w:val="0072355B"/>
    <w:rsid w:val="00724348"/>
    <w:rsid w:val="00724EC4"/>
    <w:rsid w:val="00727420"/>
    <w:rsid w:val="00727AD1"/>
    <w:rsid w:val="00731F56"/>
    <w:rsid w:val="007325B1"/>
    <w:rsid w:val="00733163"/>
    <w:rsid w:val="00733E58"/>
    <w:rsid w:val="00735492"/>
    <w:rsid w:val="00735A14"/>
    <w:rsid w:val="007363B2"/>
    <w:rsid w:val="00736559"/>
    <w:rsid w:val="00736998"/>
    <w:rsid w:val="00746158"/>
    <w:rsid w:val="0075081D"/>
    <w:rsid w:val="00751189"/>
    <w:rsid w:val="00755EF6"/>
    <w:rsid w:val="00761599"/>
    <w:rsid w:val="0076331C"/>
    <w:rsid w:val="007658A4"/>
    <w:rsid w:val="00767352"/>
    <w:rsid w:val="00774041"/>
    <w:rsid w:val="007756F8"/>
    <w:rsid w:val="00776AFC"/>
    <w:rsid w:val="00777A60"/>
    <w:rsid w:val="0078022B"/>
    <w:rsid w:val="00785E8C"/>
    <w:rsid w:val="007919E5"/>
    <w:rsid w:val="00792DDB"/>
    <w:rsid w:val="00793390"/>
    <w:rsid w:val="00794756"/>
    <w:rsid w:val="00794D78"/>
    <w:rsid w:val="00796AA3"/>
    <w:rsid w:val="007A1B37"/>
    <w:rsid w:val="007A7EB2"/>
    <w:rsid w:val="007B075C"/>
    <w:rsid w:val="007B08F5"/>
    <w:rsid w:val="007B621D"/>
    <w:rsid w:val="007C12EF"/>
    <w:rsid w:val="007C2DB3"/>
    <w:rsid w:val="007D36AF"/>
    <w:rsid w:val="007E3DA7"/>
    <w:rsid w:val="007E6CD9"/>
    <w:rsid w:val="007F229C"/>
    <w:rsid w:val="007F3A74"/>
    <w:rsid w:val="007F4564"/>
    <w:rsid w:val="007F50C4"/>
    <w:rsid w:val="007F5223"/>
    <w:rsid w:val="007F773B"/>
    <w:rsid w:val="0080337B"/>
    <w:rsid w:val="00803F2D"/>
    <w:rsid w:val="0080693E"/>
    <w:rsid w:val="008110FB"/>
    <w:rsid w:val="008226B6"/>
    <w:rsid w:val="008226F2"/>
    <w:rsid w:val="00822BFA"/>
    <w:rsid w:val="00822D03"/>
    <w:rsid w:val="00826A89"/>
    <w:rsid w:val="00827483"/>
    <w:rsid w:val="0083466F"/>
    <w:rsid w:val="00835A3D"/>
    <w:rsid w:val="008410E7"/>
    <w:rsid w:val="00841864"/>
    <w:rsid w:val="008427A3"/>
    <w:rsid w:val="00842AA6"/>
    <w:rsid w:val="00842C8C"/>
    <w:rsid w:val="00843F2F"/>
    <w:rsid w:val="008444CB"/>
    <w:rsid w:val="00844D1C"/>
    <w:rsid w:val="008469F4"/>
    <w:rsid w:val="00847766"/>
    <w:rsid w:val="008528EB"/>
    <w:rsid w:val="008569D9"/>
    <w:rsid w:val="00857C49"/>
    <w:rsid w:val="008648B5"/>
    <w:rsid w:val="00865AE8"/>
    <w:rsid w:val="008660C5"/>
    <w:rsid w:val="008675BB"/>
    <w:rsid w:val="00871408"/>
    <w:rsid w:val="00874232"/>
    <w:rsid w:val="00875475"/>
    <w:rsid w:val="0087637A"/>
    <w:rsid w:val="008763E7"/>
    <w:rsid w:val="008764B6"/>
    <w:rsid w:val="008766FD"/>
    <w:rsid w:val="00880280"/>
    <w:rsid w:val="00884766"/>
    <w:rsid w:val="008849E7"/>
    <w:rsid w:val="0088633C"/>
    <w:rsid w:val="00886666"/>
    <w:rsid w:val="00886EEA"/>
    <w:rsid w:val="00892262"/>
    <w:rsid w:val="0089356F"/>
    <w:rsid w:val="008B1AF9"/>
    <w:rsid w:val="008B2652"/>
    <w:rsid w:val="008B4785"/>
    <w:rsid w:val="008B7176"/>
    <w:rsid w:val="008C3615"/>
    <w:rsid w:val="008D26A9"/>
    <w:rsid w:val="008D2A4F"/>
    <w:rsid w:val="008D35D1"/>
    <w:rsid w:val="008D604D"/>
    <w:rsid w:val="008D7033"/>
    <w:rsid w:val="008E2771"/>
    <w:rsid w:val="008E3649"/>
    <w:rsid w:val="008E3797"/>
    <w:rsid w:val="008E4D1D"/>
    <w:rsid w:val="008E63B5"/>
    <w:rsid w:val="008E6C60"/>
    <w:rsid w:val="008F1492"/>
    <w:rsid w:val="008F3996"/>
    <w:rsid w:val="008F3DD7"/>
    <w:rsid w:val="008F4003"/>
    <w:rsid w:val="00901041"/>
    <w:rsid w:val="00902078"/>
    <w:rsid w:val="00904514"/>
    <w:rsid w:val="009103F9"/>
    <w:rsid w:val="00910791"/>
    <w:rsid w:val="0091244B"/>
    <w:rsid w:val="00913DF3"/>
    <w:rsid w:val="00914485"/>
    <w:rsid w:val="009151E0"/>
    <w:rsid w:val="00915CA6"/>
    <w:rsid w:val="00916BA4"/>
    <w:rsid w:val="0091773D"/>
    <w:rsid w:val="00930BD3"/>
    <w:rsid w:val="00930FCC"/>
    <w:rsid w:val="0093149D"/>
    <w:rsid w:val="00932F42"/>
    <w:rsid w:val="009377D8"/>
    <w:rsid w:val="00941034"/>
    <w:rsid w:val="00942BAB"/>
    <w:rsid w:val="00943756"/>
    <w:rsid w:val="00943DF6"/>
    <w:rsid w:val="00944D8B"/>
    <w:rsid w:val="009462D5"/>
    <w:rsid w:val="00951447"/>
    <w:rsid w:val="00952831"/>
    <w:rsid w:val="00953144"/>
    <w:rsid w:val="00956FF7"/>
    <w:rsid w:val="0095717E"/>
    <w:rsid w:val="00957E5C"/>
    <w:rsid w:val="00961018"/>
    <w:rsid w:val="009614EF"/>
    <w:rsid w:val="00963C71"/>
    <w:rsid w:val="0096646D"/>
    <w:rsid w:val="0096786C"/>
    <w:rsid w:val="009703F8"/>
    <w:rsid w:val="009746B0"/>
    <w:rsid w:val="00975B75"/>
    <w:rsid w:val="009779DE"/>
    <w:rsid w:val="00981ED7"/>
    <w:rsid w:val="009837C4"/>
    <w:rsid w:val="00984C87"/>
    <w:rsid w:val="0098584B"/>
    <w:rsid w:val="00987C22"/>
    <w:rsid w:val="0099071F"/>
    <w:rsid w:val="009909A4"/>
    <w:rsid w:val="00990D16"/>
    <w:rsid w:val="009920C4"/>
    <w:rsid w:val="009A6FD7"/>
    <w:rsid w:val="009A7344"/>
    <w:rsid w:val="009B060F"/>
    <w:rsid w:val="009B24C2"/>
    <w:rsid w:val="009B6B48"/>
    <w:rsid w:val="009C196B"/>
    <w:rsid w:val="009C4CAC"/>
    <w:rsid w:val="009C6F48"/>
    <w:rsid w:val="009D1478"/>
    <w:rsid w:val="009D16EA"/>
    <w:rsid w:val="009D3FC5"/>
    <w:rsid w:val="009D497D"/>
    <w:rsid w:val="009D4AD6"/>
    <w:rsid w:val="009D77E6"/>
    <w:rsid w:val="009F5C14"/>
    <w:rsid w:val="00A05BD4"/>
    <w:rsid w:val="00A07236"/>
    <w:rsid w:val="00A12976"/>
    <w:rsid w:val="00A131BF"/>
    <w:rsid w:val="00A1513C"/>
    <w:rsid w:val="00A2087C"/>
    <w:rsid w:val="00A20CE9"/>
    <w:rsid w:val="00A277B5"/>
    <w:rsid w:val="00A322C3"/>
    <w:rsid w:val="00A328FD"/>
    <w:rsid w:val="00A345B9"/>
    <w:rsid w:val="00A3495C"/>
    <w:rsid w:val="00A34D0D"/>
    <w:rsid w:val="00A3693A"/>
    <w:rsid w:val="00A412C0"/>
    <w:rsid w:val="00A4169D"/>
    <w:rsid w:val="00A446D1"/>
    <w:rsid w:val="00A44D8A"/>
    <w:rsid w:val="00A46202"/>
    <w:rsid w:val="00A468E2"/>
    <w:rsid w:val="00A46991"/>
    <w:rsid w:val="00A503CA"/>
    <w:rsid w:val="00A5122C"/>
    <w:rsid w:val="00A5188E"/>
    <w:rsid w:val="00A5495D"/>
    <w:rsid w:val="00A568A1"/>
    <w:rsid w:val="00A57D08"/>
    <w:rsid w:val="00A62F3F"/>
    <w:rsid w:val="00A63AA3"/>
    <w:rsid w:val="00A66927"/>
    <w:rsid w:val="00A737F1"/>
    <w:rsid w:val="00A80A5F"/>
    <w:rsid w:val="00A82C34"/>
    <w:rsid w:val="00A84026"/>
    <w:rsid w:val="00A904E9"/>
    <w:rsid w:val="00A93298"/>
    <w:rsid w:val="00A9598B"/>
    <w:rsid w:val="00AA30FD"/>
    <w:rsid w:val="00AA6F17"/>
    <w:rsid w:val="00AA73A3"/>
    <w:rsid w:val="00AA777E"/>
    <w:rsid w:val="00AB0AA4"/>
    <w:rsid w:val="00AB1434"/>
    <w:rsid w:val="00AB22ED"/>
    <w:rsid w:val="00AB3026"/>
    <w:rsid w:val="00AB5C53"/>
    <w:rsid w:val="00AB6E44"/>
    <w:rsid w:val="00AC0031"/>
    <w:rsid w:val="00AC260B"/>
    <w:rsid w:val="00AC2D0F"/>
    <w:rsid w:val="00AC71EB"/>
    <w:rsid w:val="00AD0B36"/>
    <w:rsid w:val="00AD5C47"/>
    <w:rsid w:val="00AD5F3D"/>
    <w:rsid w:val="00AD70A9"/>
    <w:rsid w:val="00AE3BE9"/>
    <w:rsid w:val="00AE4E19"/>
    <w:rsid w:val="00AE5001"/>
    <w:rsid w:val="00AE5D54"/>
    <w:rsid w:val="00AE609F"/>
    <w:rsid w:val="00AF0DDD"/>
    <w:rsid w:val="00AF101E"/>
    <w:rsid w:val="00AF4CFB"/>
    <w:rsid w:val="00AF53E0"/>
    <w:rsid w:val="00AF6755"/>
    <w:rsid w:val="00B0057B"/>
    <w:rsid w:val="00B025D6"/>
    <w:rsid w:val="00B116F2"/>
    <w:rsid w:val="00B12414"/>
    <w:rsid w:val="00B14530"/>
    <w:rsid w:val="00B1466B"/>
    <w:rsid w:val="00B1587B"/>
    <w:rsid w:val="00B2037A"/>
    <w:rsid w:val="00B22528"/>
    <w:rsid w:val="00B26B2F"/>
    <w:rsid w:val="00B26E7A"/>
    <w:rsid w:val="00B302C6"/>
    <w:rsid w:val="00B34BBC"/>
    <w:rsid w:val="00B35FC9"/>
    <w:rsid w:val="00B40059"/>
    <w:rsid w:val="00B40F84"/>
    <w:rsid w:val="00B412A5"/>
    <w:rsid w:val="00B440E3"/>
    <w:rsid w:val="00B464E8"/>
    <w:rsid w:val="00B4755C"/>
    <w:rsid w:val="00B516CE"/>
    <w:rsid w:val="00B55D88"/>
    <w:rsid w:val="00B628D9"/>
    <w:rsid w:val="00B63384"/>
    <w:rsid w:val="00B6613E"/>
    <w:rsid w:val="00B71800"/>
    <w:rsid w:val="00B7315B"/>
    <w:rsid w:val="00B737CA"/>
    <w:rsid w:val="00B73C22"/>
    <w:rsid w:val="00B7437D"/>
    <w:rsid w:val="00B75F79"/>
    <w:rsid w:val="00B80285"/>
    <w:rsid w:val="00B80EE4"/>
    <w:rsid w:val="00B80F41"/>
    <w:rsid w:val="00B83574"/>
    <w:rsid w:val="00BA0426"/>
    <w:rsid w:val="00BA1CD4"/>
    <w:rsid w:val="00BA318E"/>
    <w:rsid w:val="00BB06BD"/>
    <w:rsid w:val="00BB1E37"/>
    <w:rsid w:val="00BB41F6"/>
    <w:rsid w:val="00BB57FB"/>
    <w:rsid w:val="00BB7877"/>
    <w:rsid w:val="00BC1E84"/>
    <w:rsid w:val="00BC218F"/>
    <w:rsid w:val="00BC2963"/>
    <w:rsid w:val="00BC4C5F"/>
    <w:rsid w:val="00BC78BC"/>
    <w:rsid w:val="00BD0085"/>
    <w:rsid w:val="00BD1D8D"/>
    <w:rsid w:val="00BD217B"/>
    <w:rsid w:val="00BD2BFA"/>
    <w:rsid w:val="00BD46DF"/>
    <w:rsid w:val="00BD53A4"/>
    <w:rsid w:val="00BD5CAA"/>
    <w:rsid w:val="00BD6CBA"/>
    <w:rsid w:val="00BD757F"/>
    <w:rsid w:val="00BE0643"/>
    <w:rsid w:val="00BE066E"/>
    <w:rsid w:val="00BE3201"/>
    <w:rsid w:val="00BE5369"/>
    <w:rsid w:val="00BE5F80"/>
    <w:rsid w:val="00BE6440"/>
    <w:rsid w:val="00BE64E0"/>
    <w:rsid w:val="00BF03AD"/>
    <w:rsid w:val="00BF1A35"/>
    <w:rsid w:val="00BF281C"/>
    <w:rsid w:val="00C001AC"/>
    <w:rsid w:val="00C02691"/>
    <w:rsid w:val="00C0354B"/>
    <w:rsid w:val="00C062CB"/>
    <w:rsid w:val="00C06385"/>
    <w:rsid w:val="00C06E7A"/>
    <w:rsid w:val="00C11C59"/>
    <w:rsid w:val="00C11E60"/>
    <w:rsid w:val="00C14432"/>
    <w:rsid w:val="00C25222"/>
    <w:rsid w:val="00C2660B"/>
    <w:rsid w:val="00C267CB"/>
    <w:rsid w:val="00C30F54"/>
    <w:rsid w:val="00C31803"/>
    <w:rsid w:val="00C32E01"/>
    <w:rsid w:val="00C34DC8"/>
    <w:rsid w:val="00C35AC7"/>
    <w:rsid w:val="00C35E29"/>
    <w:rsid w:val="00C360B9"/>
    <w:rsid w:val="00C43817"/>
    <w:rsid w:val="00C5231E"/>
    <w:rsid w:val="00C54579"/>
    <w:rsid w:val="00C622B8"/>
    <w:rsid w:val="00C62F93"/>
    <w:rsid w:val="00C63425"/>
    <w:rsid w:val="00C636A1"/>
    <w:rsid w:val="00C656B4"/>
    <w:rsid w:val="00C6615B"/>
    <w:rsid w:val="00C662CD"/>
    <w:rsid w:val="00C679EB"/>
    <w:rsid w:val="00C744AE"/>
    <w:rsid w:val="00C74E75"/>
    <w:rsid w:val="00C75732"/>
    <w:rsid w:val="00C76F17"/>
    <w:rsid w:val="00C80719"/>
    <w:rsid w:val="00C85ED0"/>
    <w:rsid w:val="00C85F64"/>
    <w:rsid w:val="00C87678"/>
    <w:rsid w:val="00C8772F"/>
    <w:rsid w:val="00C944E8"/>
    <w:rsid w:val="00CA3DA7"/>
    <w:rsid w:val="00CA4605"/>
    <w:rsid w:val="00CA4D5A"/>
    <w:rsid w:val="00CB4A57"/>
    <w:rsid w:val="00CC11EF"/>
    <w:rsid w:val="00CC2874"/>
    <w:rsid w:val="00CD1CF1"/>
    <w:rsid w:val="00CD5437"/>
    <w:rsid w:val="00CD5980"/>
    <w:rsid w:val="00CD5A48"/>
    <w:rsid w:val="00CE12C8"/>
    <w:rsid w:val="00CE1A7E"/>
    <w:rsid w:val="00CE293D"/>
    <w:rsid w:val="00CF1F3F"/>
    <w:rsid w:val="00CF4847"/>
    <w:rsid w:val="00CF6D5B"/>
    <w:rsid w:val="00D048FA"/>
    <w:rsid w:val="00D049C2"/>
    <w:rsid w:val="00D21819"/>
    <w:rsid w:val="00D21FAA"/>
    <w:rsid w:val="00D23E6C"/>
    <w:rsid w:val="00D24E7A"/>
    <w:rsid w:val="00D25245"/>
    <w:rsid w:val="00D2572E"/>
    <w:rsid w:val="00D2670C"/>
    <w:rsid w:val="00D27C11"/>
    <w:rsid w:val="00D33DD6"/>
    <w:rsid w:val="00D34C4C"/>
    <w:rsid w:val="00D358D9"/>
    <w:rsid w:val="00D36F33"/>
    <w:rsid w:val="00D3733D"/>
    <w:rsid w:val="00D377EF"/>
    <w:rsid w:val="00D421B9"/>
    <w:rsid w:val="00D4574B"/>
    <w:rsid w:val="00D4779C"/>
    <w:rsid w:val="00D5015E"/>
    <w:rsid w:val="00D53A9E"/>
    <w:rsid w:val="00D63126"/>
    <w:rsid w:val="00D651D2"/>
    <w:rsid w:val="00D672FE"/>
    <w:rsid w:val="00D70814"/>
    <w:rsid w:val="00D71846"/>
    <w:rsid w:val="00D74614"/>
    <w:rsid w:val="00D74E75"/>
    <w:rsid w:val="00D75079"/>
    <w:rsid w:val="00D838D6"/>
    <w:rsid w:val="00D83F2E"/>
    <w:rsid w:val="00D8631D"/>
    <w:rsid w:val="00D86DF5"/>
    <w:rsid w:val="00D873E1"/>
    <w:rsid w:val="00D941B6"/>
    <w:rsid w:val="00D95B40"/>
    <w:rsid w:val="00D96504"/>
    <w:rsid w:val="00DA1962"/>
    <w:rsid w:val="00DA47BE"/>
    <w:rsid w:val="00DA4B3B"/>
    <w:rsid w:val="00DA4D51"/>
    <w:rsid w:val="00DB067F"/>
    <w:rsid w:val="00DB17AB"/>
    <w:rsid w:val="00DB65B3"/>
    <w:rsid w:val="00DB7C34"/>
    <w:rsid w:val="00DB7F57"/>
    <w:rsid w:val="00DC2121"/>
    <w:rsid w:val="00DC2E81"/>
    <w:rsid w:val="00DC68F6"/>
    <w:rsid w:val="00DD5D7D"/>
    <w:rsid w:val="00DD66CB"/>
    <w:rsid w:val="00DD758B"/>
    <w:rsid w:val="00DE1015"/>
    <w:rsid w:val="00DE3EB7"/>
    <w:rsid w:val="00DE4106"/>
    <w:rsid w:val="00DE5648"/>
    <w:rsid w:val="00DE6946"/>
    <w:rsid w:val="00DF1387"/>
    <w:rsid w:val="00DF245B"/>
    <w:rsid w:val="00DF53E1"/>
    <w:rsid w:val="00E01C78"/>
    <w:rsid w:val="00E02920"/>
    <w:rsid w:val="00E07EAA"/>
    <w:rsid w:val="00E1095D"/>
    <w:rsid w:val="00E23A39"/>
    <w:rsid w:val="00E24AB5"/>
    <w:rsid w:val="00E25D46"/>
    <w:rsid w:val="00E33A13"/>
    <w:rsid w:val="00E40B93"/>
    <w:rsid w:val="00E422FE"/>
    <w:rsid w:val="00E42F58"/>
    <w:rsid w:val="00E47DCF"/>
    <w:rsid w:val="00E50CF3"/>
    <w:rsid w:val="00E51904"/>
    <w:rsid w:val="00E571A7"/>
    <w:rsid w:val="00E62F2E"/>
    <w:rsid w:val="00E643DA"/>
    <w:rsid w:val="00E650C2"/>
    <w:rsid w:val="00E65DB2"/>
    <w:rsid w:val="00E67053"/>
    <w:rsid w:val="00E67B3B"/>
    <w:rsid w:val="00E706C3"/>
    <w:rsid w:val="00E73CDA"/>
    <w:rsid w:val="00E741A2"/>
    <w:rsid w:val="00E7591A"/>
    <w:rsid w:val="00E8306D"/>
    <w:rsid w:val="00E8468E"/>
    <w:rsid w:val="00E85723"/>
    <w:rsid w:val="00E9323F"/>
    <w:rsid w:val="00E94D9A"/>
    <w:rsid w:val="00E94DDB"/>
    <w:rsid w:val="00E953E8"/>
    <w:rsid w:val="00E971AF"/>
    <w:rsid w:val="00E97E4F"/>
    <w:rsid w:val="00EA18A9"/>
    <w:rsid w:val="00EA260A"/>
    <w:rsid w:val="00EA2C44"/>
    <w:rsid w:val="00EA4817"/>
    <w:rsid w:val="00EA7743"/>
    <w:rsid w:val="00EB2DAE"/>
    <w:rsid w:val="00EB3B66"/>
    <w:rsid w:val="00EB6143"/>
    <w:rsid w:val="00EB62AB"/>
    <w:rsid w:val="00EB62F7"/>
    <w:rsid w:val="00EB6901"/>
    <w:rsid w:val="00EC0D20"/>
    <w:rsid w:val="00EC2628"/>
    <w:rsid w:val="00EC3C02"/>
    <w:rsid w:val="00EC4165"/>
    <w:rsid w:val="00EC5C0D"/>
    <w:rsid w:val="00ED23D1"/>
    <w:rsid w:val="00ED28BB"/>
    <w:rsid w:val="00ED38D8"/>
    <w:rsid w:val="00ED48B9"/>
    <w:rsid w:val="00ED4B4E"/>
    <w:rsid w:val="00EE05EA"/>
    <w:rsid w:val="00EE3D6D"/>
    <w:rsid w:val="00EE6696"/>
    <w:rsid w:val="00EE6976"/>
    <w:rsid w:val="00EE7D5D"/>
    <w:rsid w:val="00EF0B41"/>
    <w:rsid w:val="00EF45B5"/>
    <w:rsid w:val="00EF6008"/>
    <w:rsid w:val="00F0035E"/>
    <w:rsid w:val="00F0322F"/>
    <w:rsid w:val="00F03904"/>
    <w:rsid w:val="00F06B4C"/>
    <w:rsid w:val="00F07228"/>
    <w:rsid w:val="00F11847"/>
    <w:rsid w:val="00F1407C"/>
    <w:rsid w:val="00F1637F"/>
    <w:rsid w:val="00F16CF5"/>
    <w:rsid w:val="00F20628"/>
    <w:rsid w:val="00F22AFD"/>
    <w:rsid w:val="00F24D66"/>
    <w:rsid w:val="00F260ED"/>
    <w:rsid w:val="00F30E98"/>
    <w:rsid w:val="00F31976"/>
    <w:rsid w:val="00F31B27"/>
    <w:rsid w:val="00F3647A"/>
    <w:rsid w:val="00F40219"/>
    <w:rsid w:val="00F41FE8"/>
    <w:rsid w:val="00F422C7"/>
    <w:rsid w:val="00F44411"/>
    <w:rsid w:val="00F4454E"/>
    <w:rsid w:val="00F45153"/>
    <w:rsid w:val="00F55405"/>
    <w:rsid w:val="00F5691D"/>
    <w:rsid w:val="00F6313E"/>
    <w:rsid w:val="00F65D24"/>
    <w:rsid w:val="00F65E1C"/>
    <w:rsid w:val="00F706DB"/>
    <w:rsid w:val="00F72FBC"/>
    <w:rsid w:val="00F748A8"/>
    <w:rsid w:val="00F76B26"/>
    <w:rsid w:val="00F81FD4"/>
    <w:rsid w:val="00F8275F"/>
    <w:rsid w:val="00F82FAD"/>
    <w:rsid w:val="00F8475E"/>
    <w:rsid w:val="00F847F6"/>
    <w:rsid w:val="00F8480C"/>
    <w:rsid w:val="00F854A7"/>
    <w:rsid w:val="00F90D38"/>
    <w:rsid w:val="00F93707"/>
    <w:rsid w:val="00FA3C69"/>
    <w:rsid w:val="00FA6BBA"/>
    <w:rsid w:val="00FB077A"/>
    <w:rsid w:val="00FB0FC4"/>
    <w:rsid w:val="00FB1C04"/>
    <w:rsid w:val="00FC6926"/>
    <w:rsid w:val="00FC6D19"/>
    <w:rsid w:val="00FD5AA7"/>
    <w:rsid w:val="00FE1363"/>
    <w:rsid w:val="00FE2B03"/>
    <w:rsid w:val="00FE5445"/>
    <w:rsid w:val="00FE6240"/>
    <w:rsid w:val="00FE7F37"/>
    <w:rsid w:val="00FF2259"/>
    <w:rsid w:val="00FF362D"/>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18" w:qFormat="1"/>
    <w:lsdException w:name="footnote reference" w:uiPriority="0" w:qFormat="1"/>
    <w:lsdException w:name="page number"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Char,ALTS FOOTNOTE1,fn1"/>
    <w:basedOn w:val="Normal"/>
    <w:link w:val="FootnoteTextChar"/>
    <w:uiPriority w:val="99"/>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semiHidden/>
    <w:rsid w:val="002B34A0"/>
    <w:rPr>
      <w:rFonts w:eastAsiaTheme="minorEastAsia"/>
      <w:sz w:val="20"/>
      <w:szCs w:val="20"/>
      <w:lang w:bidi="en-US"/>
    </w:rPr>
  </w:style>
  <w:style w:type="character" w:customStyle="1" w:styleId="CommentTextChar">
    <w:name w:val="Comment Text Char"/>
    <w:basedOn w:val="DefaultParagraphFont"/>
    <w:link w:val="CommentText"/>
    <w:uiPriority w:val="99"/>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aliases w:val="Caption1,Caption Char1 Char,Caption Char Char C... + 12 pt"/>
    <w:basedOn w:val="Normal"/>
    <w:next w:val="Normal"/>
    <w:link w:val="CaptionChar"/>
    <w:uiPriority w:val="18"/>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unhideWhenUsed/>
    <w:qFormat/>
    <w:rsid w:val="002B34A0"/>
    <w:pPr>
      <w:spacing w:after="0"/>
      <w:ind w:left="432" w:hanging="432"/>
      <w:outlineLvl w:val="9"/>
    </w:pPr>
    <w:rPr>
      <w:sz w:val="32"/>
      <w:lang w:bidi="en-US"/>
    </w:rPr>
  </w:style>
  <w:style w:type="paragraph" w:styleId="NormalWeb">
    <w:name w:val="Normal (Web)"/>
    <w:basedOn w:val="Normal"/>
    <w:uiPriority w:val="99"/>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A5DBC"/>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2A5DBC"/>
    <w:rPr>
      <w:rFonts w:ascii="Times New Roman" w:eastAsia="Times New Roman" w:hAnsi="Times New Roman" w:cs="Times New Roman"/>
      <w:noProof/>
      <w:szCs w:val="20"/>
    </w:rPr>
  </w:style>
  <w:style w:type="paragraph" w:customStyle="1" w:styleId="TableNotes">
    <w:name w:val="Table Notes"/>
    <w:basedOn w:val="Normal"/>
    <w:qFormat/>
    <w:rsid w:val="002361E1"/>
    <w:pPr>
      <w:keepNext/>
      <w:keepLines/>
      <w:spacing w:before="80" w:after="40" w:line="264" w:lineRule="auto"/>
      <w:ind w:left="86" w:hanging="86"/>
    </w:pPr>
    <w:rPr>
      <w:rFonts w:eastAsia="Times New Roman" w:cs="Times New Roman"/>
      <w:sz w:val="16"/>
      <w:szCs w:val="24"/>
    </w:rPr>
  </w:style>
  <w:style w:type="character" w:styleId="LineNumber">
    <w:name w:val="line number"/>
    <w:basedOn w:val="DefaultParagraphFont"/>
    <w:uiPriority w:val="99"/>
    <w:semiHidden/>
    <w:unhideWhenUsed/>
    <w:rsid w:val="008528EB"/>
  </w:style>
  <w:style w:type="paragraph" w:customStyle="1" w:styleId="Bullets">
    <w:name w:val="Bullets"/>
    <w:basedOn w:val="BodyText"/>
    <w:qFormat/>
    <w:rsid w:val="006A3A8A"/>
    <w:pPr>
      <w:numPr>
        <w:numId w:val="23"/>
      </w:numPr>
      <w:spacing w:line="264" w:lineRule="auto"/>
    </w:pPr>
    <w:rPr>
      <w:rFonts w:ascii="Times New Roman" w:eastAsia="Times New Roman" w:hAnsi="Times New Roman" w:cs="Times New Roman"/>
      <w:sz w:val="22"/>
      <w:szCs w:val="20"/>
      <w:lang w:bidi="ar-SA"/>
    </w:rPr>
  </w:style>
  <w:style w:type="paragraph" w:customStyle="1" w:styleId="NormalBullets1">
    <w:name w:val="Normal Bullets 1"/>
    <w:basedOn w:val="Bullets"/>
    <w:link w:val="NormalBullets1Char"/>
    <w:qFormat/>
    <w:rsid w:val="006A3A8A"/>
    <w:pPr>
      <w:ind w:left="1080"/>
    </w:pPr>
  </w:style>
  <w:style w:type="character" w:customStyle="1" w:styleId="NormalBullets1Char">
    <w:name w:val="Normal Bullets 1 Char"/>
    <w:basedOn w:val="DefaultParagraphFont"/>
    <w:link w:val="NormalBullets1"/>
    <w:rsid w:val="006A3A8A"/>
    <w:rPr>
      <w:rFonts w:ascii="Times New Roman" w:eastAsia="Times New Roman" w:hAnsi="Times New Roman" w:cs="Times New Roman"/>
      <w:szCs w:val="20"/>
    </w:rPr>
  </w:style>
  <w:style w:type="character" w:customStyle="1" w:styleId="CaptionChar">
    <w:name w:val="Caption Char"/>
    <w:aliases w:val="Caption1 Char,Caption Char1 Char Char,Caption Char Char C... + 12 pt Char"/>
    <w:basedOn w:val="DefaultParagraphFont"/>
    <w:link w:val="Caption"/>
    <w:uiPriority w:val="18"/>
    <w:rsid w:val="00A568A1"/>
    <w:rPr>
      <w:rFonts w:ascii="Arial" w:eastAsiaTheme="minorEastAsia" w:hAnsi="Arial"/>
      <w:b/>
      <w:bCs/>
      <w:color w:val="4F81BD" w:themeColor="accent1"/>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18" w:qFormat="1"/>
    <w:lsdException w:name="footnote reference" w:uiPriority="0" w:qFormat="1"/>
    <w:lsdException w:name="page number"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Char,ALTS FOOTNOTE1,fn1"/>
    <w:basedOn w:val="Normal"/>
    <w:link w:val="FootnoteTextChar"/>
    <w:uiPriority w:val="99"/>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semiHidden/>
    <w:rsid w:val="002B34A0"/>
    <w:rPr>
      <w:rFonts w:eastAsiaTheme="minorEastAsia"/>
      <w:sz w:val="20"/>
      <w:szCs w:val="20"/>
      <w:lang w:bidi="en-US"/>
    </w:rPr>
  </w:style>
  <w:style w:type="character" w:customStyle="1" w:styleId="CommentTextChar">
    <w:name w:val="Comment Text Char"/>
    <w:basedOn w:val="DefaultParagraphFont"/>
    <w:link w:val="CommentText"/>
    <w:uiPriority w:val="99"/>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aliases w:val="Caption1,Caption Char1 Char,Caption Char Char C... + 12 pt"/>
    <w:basedOn w:val="Normal"/>
    <w:next w:val="Normal"/>
    <w:link w:val="CaptionChar"/>
    <w:uiPriority w:val="18"/>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unhideWhenUsed/>
    <w:qFormat/>
    <w:rsid w:val="002B34A0"/>
    <w:pPr>
      <w:spacing w:after="0"/>
      <w:ind w:left="432" w:hanging="432"/>
      <w:outlineLvl w:val="9"/>
    </w:pPr>
    <w:rPr>
      <w:sz w:val="32"/>
      <w:lang w:bidi="en-US"/>
    </w:rPr>
  </w:style>
  <w:style w:type="paragraph" w:styleId="NormalWeb">
    <w:name w:val="Normal (Web)"/>
    <w:basedOn w:val="Normal"/>
    <w:uiPriority w:val="99"/>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A5DBC"/>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2A5DBC"/>
    <w:rPr>
      <w:rFonts w:ascii="Times New Roman" w:eastAsia="Times New Roman" w:hAnsi="Times New Roman" w:cs="Times New Roman"/>
      <w:noProof/>
      <w:szCs w:val="20"/>
    </w:rPr>
  </w:style>
  <w:style w:type="paragraph" w:customStyle="1" w:styleId="TableNotes">
    <w:name w:val="Table Notes"/>
    <w:basedOn w:val="Normal"/>
    <w:qFormat/>
    <w:rsid w:val="002361E1"/>
    <w:pPr>
      <w:keepNext/>
      <w:keepLines/>
      <w:spacing w:before="80" w:after="40" w:line="264" w:lineRule="auto"/>
      <w:ind w:left="86" w:hanging="86"/>
    </w:pPr>
    <w:rPr>
      <w:rFonts w:eastAsia="Times New Roman" w:cs="Times New Roman"/>
      <w:sz w:val="16"/>
      <w:szCs w:val="24"/>
    </w:rPr>
  </w:style>
  <w:style w:type="character" w:styleId="LineNumber">
    <w:name w:val="line number"/>
    <w:basedOn w:val="DefaultParagraphFont"/>
    <w:uiPriority w:val="99"/>
    <w:semiHidden/>
    <w:unhideWhenUsed/>
    <w:rsid w:val="008528EB"/>
  </w:style>
  <w:style w:type="paragraph" w:customStyle="1" w:styleId="Bullets">
    <w:name w:val="Bullets"/>
    <w:basedOn w:val="BodyText"/>
    <w:qFormat/>
    <w:rsid w:val="006A3A8A"/>
    <w:pPr>
      <w:numPr>
        <w:numId w:val="23"/>
      </w:numPr>
      <w:spacing w:line="264" w:lineRule="auto"/>
    </w:pPr>
    <w:rPr>
      <w:rFonts w:ascii="Times New Roman" w:eastAsia="Times New Roman" w:hAnsi="Times New Roman" w:cs="Times New Roman"/>
      <w:sz w:val="22"/>
      <w:szCs w:val="20"/>
      <w:lang w:bidi="ar-SA"/>
    </w:rPr>
  </w:style>
  <w:style w:type="paragraph" w:customStyle="1" w:styleId="NormalBullets1">
    <w:name w:val="Normal Bullets 1"/>
    <w:basedOn w:val="Bullets"/>
    <w:link w:val="NormalBullets1Char"/>
    <w:qFormat/>
    <w:rsid w:val="006A3A8A"/>
    <w:pPr>
      <w:ind w:left="1080"/>
    </w:pPr>
  </w:style>
  <w:style w:type="character" w:customStyle="1" w:styleId="NormalBullets1Char">
    <w:name w:val="Normal Bullets 1 Char"/>
    <w:basedOn w:val="DefaultParagraphFont"/>
    <w:link w:val="NormalBullets1"/>
    <w:rsid w:val="006A3A8A"/>
    <w:rPr>
      <w:rFonts w:ascii="Times New Roman" w:eastAsia="Times New Roman" w:hAnsi="Times New Roman" w:cs="Times New Roman"/>
      <w:szCs w:val="20"/>
    </w:rPr>
  </w:style>
  <w:style w:type="character" w:customStyle="1" w:styleId="CaptionChar">
    <w:name w:val="Caption Char"/>
    <w:aliases w:val="Caption1 Char,Caption Char1 Char Char,Caption Char Char C... + 12 pt Char"/>
    <w:basedOn w:val="DefaultParagraphFont"/>
    <w:link w:val="Caption"/>
    <w:uiPriority w:val="18"/>
    <w:rsid w:val="00A568A1"/>
    <w:rPr>
      <w:rFonts w:ascii="Arial" w:eastAsiaTheme="minorEastAsia" w:hAnsi="Arial"/>
      <w:b/>
      <w:bCs/>
      <w:color w:val="4F81BD" w:themeColor="accent1"/>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555973415">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522669188">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2055155203">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ira_submission@omb.eop.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retrieveECFR?gp=1&amp;SID=67b7f8b06cce47cf338b3b52057016a4&amp;ty=HTML&amp;h=L&amp;n=5y3.0.2.3.9&amp;r=P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retrieveECFR?gp=1&amp;SID=67b7f8b06cce47cf338b3b52057016a4&amp;ty=HTML&amp;h=L&amp;n=5y3.0.2.3.9&amp;r=PAR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cfr.gov/cgi-bin/retrieveECFR?gp=1&amp;SID=67b7f8b06cce47cf338b3b52057016a4&amp;ty=HTML&amp;h=L&amp;n=5y3.0.2.3.9&amp;r=PART" TargetMode="External"/><Relationship Id="rId4" Type="http://schemas.microsoft.com/office/2007/relationships/stylesWithEffects" Target="stylesWithEffects.xml"/><Relationship Id="rId9" Type="http://schemas.openxmlformats.org/officeDocument/2006/relationships/hyperlink" Target="http://www.epa.gov/docke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11E2-4587-41F1-BB4F-CD074222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SYSTEM</cp:lastModifiedBy>
  <cp:revision>2</cp:revision>
  <cp:lastPrinted>2017-12-15T18:44:00Z</cp:lastPrinted>
  <dcterms:created xsi:type="dcterms:W3CDTF">2018-09-24T14:49:00Z</dcterms:created>
  <dcterms:modified xsi:type="dcterms:W3CDTF">2018-09-24T14:49:00Z</dcterms:modified>
</cp:coreProperties>
</file>