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D2" w:rsidRPr="00FD06AE" w:rsidRDefault="001074FF" w:rsidP="00E26FC7">
      <w:pPr>
        <w:pStyle w:val="Heading1"/>
        <w:ind w:left="0"/>
      </w:pPr>
      <w:bookmarkStart w:id="0" w:name="_Toc125447290"/>
      <w:bookmarkStart w:id="1" w:name="_Toc126394118"/>
      <w:bookmarkStart w:id="2" w:name="_GoBack"/>
      <w:bookmarkEnd w:id="2"/>
      <w:r w:rsidRPr="00FD06AE">
        <w:t>Supporting Statement</w:t>
      </w:r>
      <w:bookmarkEnd w:id="0"/>
      <w:bookmarkEnd w:id="1"/>
      <w:r w:rsidR="000624D2" w:rsidRPr="00FD06AE">
        <w:t>:  Section B</w:t>
      </w:r>
    </w:p>
    <w:p w:rsidR="000624D2" w:rsidRPr="00FD06AE" w:rsidRDefault="000624D2" w:rsidP="000624D2">
      <w:pPr>
        <w:jc w:val="center"/>
      </w:pPr>
    </w:p>
    <w:p w:rsidR="000624D2" w:rsidRPr="00FD06AE" w:rsidRDefault="000624D2" w:rsidP="000624D2">
      <w:pPr>
        <w:jc w:val="center"/>
        <w:rPr>
          <w:i/>
        </w:rPr>
      </w:pPr>
      <w:r w:rsidRPr="00FD06AE">
        <w:rPr>
          <w:i/>
        </w:rPr>
        <w:t>Crash Risk Associated with Drug and Alcohol Use by                                                        Drivers in Fatal and Serious Injury Crashes</w:t>
      </w:r>
    </w:p>
    <w:p w:rsidR="00617993" w:rsidRPr="00FD06AE" w:rsidRDefault="00617993" w:rsidP="00617993"/>
    <w:p w:rsidR="00334DC9" w:rsidRPr="00FD06AE" w:rsidRDefault="007A7D39" w:rsidP="007A7D39">
      <w:pPr>
        <w:pStyle w:val="BodyText"/>
        <w:kinsoku w:val="0"/>
        <w:overflowPunct w:val="0"/>
        <w:spacing w:before="0" w:after="0"/>
        <w:ind w:right="115"/>
        <w:rPr>
          <w:b/>
        </w:rPr>
      </w:pPr>
      <w:r w:rsidRPr="00FD06AE">
        <w:rPr>
          <w:b/>
        </w:rPr>
        <w:t>Background</w:t>
      </w:r>
    </w:p>
    <w:p w:rsidR="007A7D39" w:rsidRPr="00FD06AE" w:rsidRDefault="007A7D39" w:rsidP="007A7D39">
      <w:pPr>
        <w:pStyle w:val="BodyText"/>
        <w:kinsoku w:val="0"/>
        <w:overflowPunct w:val="0"/>
        <w:spacing w:before="0" w:after="0"/>
        <w:ind w:right="115"/>
      </w:pPr>
    </w:p>
    <w:p w:rsidR="004A0621" w:rsidRPr="00FD06AE" w:rsidRDefault="004A0621" w:rsidP="00BB4C30">
      <w:pPr>
        <w:autoSpaceDE w:val="0"/>
        <w:autoSpaceDN w:val="0"/>
        <w:adjustRightInd w:val="0"/>
        <w:ind w:firstLine="720"/>
      </w:pPr>
      <w:r w:rsidRPr="00FD06AE">
        <w:t>The National Highway Traffic Safety Administration’s (NHTSA) mission is to save lives, prevent injuries</w:t>
      </w:r>
      <w:r w:rsidR="00D209F0" w:rsidRPr="00FD06AE">
        <w:t>,</w:t>
      </w:r>
      <w:r w:rsidRPr="00FD06AE">
        <w:t xml:space="preserve"> and reduce traffic-related health care and other economic costs. One area receiving much current attention is the study of drug use and drivin</w:t>
      </w:r>
      <w:r w:rsidR="00C15D87" w:rsidRPr="00FD06AE">
        <w:t xml:space="preserve">g. Interest has intensified as </w:t>
      </w:r>
      <w:r w:rsidR="00020B2E" w:rsidRPr="00FD06AE">
        <w:t>s</w:t>
      </w:r>
      <w:r w:rsidRPr="00FD06AE">
        <w:t xml:space="preserve">tates legalize use of marijuana for recreational or medicinal </w:t>
      </w:r>
      <w:r w:rsidR="00D209F0" w:rsidRPr="00FD06AE">
        <w:t xml:space="preserve">purposes. </w:t>
      </w:r>
      <w:r w:rsidRPr="00FD06AE">
        <w:t>States and other federal agencies look to NHTSA for information on the safety impact of consuming a drug and then driving a motor vehicle</w:t>
      </w:r>
      <w:r w:rsidR="00287830" w:rsidRPr="00FD06AE">
        <w:t xml:space="preserve">, </w:t>
      </w:r>
      <w:r w:rsidR="003E2BAD" w:rsidRPr="00FD06AE">
        <w:t xml:space="preserve">because </w:t>
      </w:r>
      <w:r w:rsidR="00D209F0" w:rsidRPr="00FD06AE">
        <w:t xml:space="preserve">such behaviors </w:t>
      </w:r>
      <w:r w:rsidR="00287830" w:rsidRPr="00FD06AE">
        <w:t>may increase with fewer legal restrictions</w:t>
      </w:r>
      <w:r w:rsidR="00D209F0" w:rsidRPr="00FD06AE">
        <w:t xml:space="preserve"> on marijuana and increased use of prescription drugs</w:t>
      </w:r>
      <w:r w:rsidRPr="00FD06AE">
        <w:t xml:space="preserve">. In March 2018, </w:t>
      </w:r>
      <w:r w:rsidR="00287830" w:rsidRPr="00FD06AE">
        <w:t xml:space="preserve">the </w:t>
      </w:r>
      <w:r w:rsidRPr="00FD06AE">
        <w:t xml:space="preserve">NHTSA </w:t>
      </w:r>
      <w:r w:rsidR="00287830" w:rsidRPr="00FD06AE">
        <w:t xml:space="preserve">Deputy Administrator </w:t>
      </w:r>
      <w:r w:rsidRPr="00FD06AE">
        <w:t xml:space="preserve">held a summit on </w:t>
      </w:r>
      <w:r w:rsidR="0036569A" w:rsidRPr="00FD06AE">
        <w:t>the drug</w:t>
      </w:r>
      <w:r w:rsidR="00D209F0" w:rsidRPr="00FD06AE">
        <w:t xml:space="preserve"> topic</w:t>
      </w:r>
      <w:r w:rsidRPr="00FD06AE">
        <w:t xml:space="preserve"> with a “Call to Action” for our agency and our partners</w:t>
      </w:r>
      <w:r w:rsidR="00884F76" w:rsidRPr="00FD06AE">
        <w:t xml:space="preserve"> to look for new ways to prevent driving after the use of impairing drug</w:t>
      </w:r>
      <w:r w:rsidR="00C15D87" w:rsidRPr="00FD06AE">
        <w:t>s</w:t>
      </w:r>
      <w:r w:rsidR="003E2BAD" w:rsidRPr="00FD06AE">
        <w:t xml:space="preserve"> in order</w:t>
      </w:r>
      <w:r w:rsidR="00884F76" w:rsidRPr="00FD06AE">
        <w:t xml:space="preserve"> to reduce crashes, and to save lives</w:t>
      </w:r>
      <w:r w:rsidRPr="00FD06AE">
        <w:t xml:space="preserve">. </w:t>
      </w:r>
    </w:p>
    <w:p w:rsidR="004A0621" w:rsidRPr="00FD06AE" w:rsidRDefault="004A0621" w:rsidP="00BB4C30">
      <w:pPr>
        <w:autoSpaceDE w:val="0"/>
        <w:autoSpaceDN w:val="0"/>
        <w:adjustRightInd w:val="0"/>
        <w:ind w:firstLine="720"/>
      </w:pPr>
    </w:p>
    <w:p w:rsidR="007A4EC0" w:rsidRPr="00FD06AE" w:rsidRDefault="004A0621" w:rsidP="00BB4C30">
      <w:pPr>
        <w:autoSpaceDE w:val="0"/>
        <w:autoSpaceDN w:val="0"/>
        <w:adjustRightInd w:val="0"/>
        <w:ind w:firstLine="720"/>
      </w:pPr>
      <w:r w:rsidRPr="00FD06AE">
        <w:t>NHTSA’s Office of Behavioral Safety Research has conducted a range of studies examining all aspects of traffic safety, including the impairing effects of drugs, prevalence of drug-positive drivers, field test</w:t>
      </w:r>
      <w:r w:rsidR="00C15D87" w:rsidRPr="00FD06AE">
        <w:t>s</w:t>
      </w:r>
      <w:r w:rsidRPr="00FD06AE">
        <w:t xml:space="preserve"> for law enforcement to use in the detection of drug-impaired driving, evaluation</w:t>
      </w:r>
      <w:r w:rsidR="009073CF" w:rsidRPr="00FD06AE">
        <w:t>s</w:t>
      </w:r>
      <w:r w:rsidRPr="00FD06AE">
        <w:t xml:space="preserve"> of drug-impaired driving laws, and</w:t>
      </w:r>
      <w:r w:rsidR="00C15D87" w:rsidRPr="00FD06AE">
        <w:t xml:space="preserve"> the</w:t>
      </w:r>
      <w:r w:rsidRPr="00FD06AE">
        <w:t xml:space="preserve"> impact on the criminal justice system. A key component of our research strategy is examining whether drugs (over-the-counter, prescription, and illegal; and also alcohol) increase a driver’s risk of being in a crash</w:t>
      </w:r>
      <w:r w:rsidR="00884F76" w:rsidRPr="00FD06AE">
        <w:t>, and if so, which drugs create the most risk</w:t>
      </w:r>
      <w:r w:rsidRPr="00FD06AE">
        <w:t xml:space="preserve">. </w:t>
      </w:r>
      <w:r w:rsidR="009073CF" w:rsidRPr="00FD06AE">
        <w:t>This is a continuing</w:t>
      </w:r>
      <w:r w:rsidR="00884F76" w:rsidRPr="00FD06AE">
        <w:t xml:space="preserve"> topic</w:t>
      </w:r>
      <w:r w:rsidR="009073CF" w:rsidRPr="00FD06AE">
        <w:t xml:space="preserve"> of discussion</w:t>
      </w:r>
      <w:r w:rsidR="00884F76" w:rsidRPr="00FD06AE">
        <w:t xml:space="preserve"> for senior management testifying before Congress, </w:t>
      </w:r>
      <w:r w:rsidR="009073CF" w:rsidRPr="00FD06AE">
        <w:t xml:space="preserve">meeting with </w:t>
      </w:r>
      <w:r w:rsidR="00020B2E" w:rsidRPr="00FD06AE">
        <w:t>s</w:t>
      </w:r>
      <w:r w:rsidR="009073CF" w:rsidRPr="00FD06AE">
        <w:t>tate</w:t>
      </w:r>
      <w:r w:rsidR="00884F76" w:rsidRPr="00FD06AE">
        <w:t xml:space="preserve"> representatives, and working with law enforcement agencies to decrease impaired driving. </w:t>
      </w:r>
    </w:p>
    <w:p w:rsidR="007A4EC0" w:rsidRPr="00FD06AE" w:rsidRDefault="007A4EC0" w:rsidP="00BB4C30">
      <w:pPr>
        <w:autoSpaceDE w:val="0"/>
        <w:autoSpaceDN w:val="0"/>
        <w:adjustRightInd w:val="0"/>
        <w:ind w:firstLine="720"/>
      </w:pPr>
    </w:p>
    <w:p w:rsidR="004A0621" w:rsidRPr="00FD06AE" w:rsidRDefault="007A4EC0" w:rsidP="00BB4C30">
      <w:pPr>
        <w:autoSpaceDE w:val="0"/>
        <w:autoSpaceDN w:val="0"/>
        <w:adjustRightInd w:val="0"/>
        <w:ind w:firstLine="720"/>
      </w:pPr>
      <w:r w:rsidRPr="00FD06AE">
        <w:t xml:space="preserve">Although </w:t>
      </w:r>
      <w:r w:rsidR="00C15D87" w:rsidRPr="00FD06AE">
        <w:t xml:space="preserve">there </w:t>
      </w:r>
      <w:r w:rsidRPr="00FD06AE">
        <w:t>are decades of research on the impairing effects of alcohol and a clear relationship between blood alcohol concentration (BAC) and level of impairment, the same is not true for the hundreds of drugs that exist and may be in use by a driver.</w:t>
      </w:r>
      <w:r w:rsidRPr="00FD06AE">
        <w:rPr>
          <w:rStyle w:val="FootnoteReference"/>
        </w:rPr>
        <w:footnoteReference w:id="2"/>
      </w:r>
      <w:r w:rsidRPr="00FD06AE">
        <w:t xml:space="preserve"> There are also breath test devices that are used at roadside to determine a driver’s BAC</w:t>
      </w:r>
      <w:r w:rsidR="00C15D87" w:rsidRPr="00FD06AE">
        <w:t xml:space="preserve"> and</w:t>
      </w:r>
      <w:r w:rsidRPr="00FD06AE">
        <w:t xml:space="preserve"> infer level of impairment. For a person who has consumed a drug and then drive</w:t>
      </w:r>
      <w:r w:rsidR="005E7DAE" w:rsidRPr="00FD06AE">
        <w:t>s</w:t>
      </w:r>
      <w:r w:rsidRPr="00FD06AE">
        <w:t xml:space="preserve">, </w:t>
      </w:r>
      <w:r w:rsidR="00235EB0" w:rsidRPr="00FD06AE">
        <w:t xml:space="preserve">however, </w:t>
      </w:r>
      <w:r w:rsidR="00C15D87" w:rsidRPr="00FD06AE">
        <w:t>no way</w:t>
      </w:r>
      <w:r w:rsidRPr="00FD06AE">
        <w:t xml:space="preserve"> exist</w:t>
      </w:r>
      <w:r w:rsidR="00C15D87" w:rsidRPr="00FD06AE">
        <w:t>s t</w:t>
      </w:r>
      <w:r w:rsidRPr="00FD06AE">
        <w:t xml:space="preserve">o measure their level of consumption of that drug or the extent of impairment. </w:t>
      </w:r>
      <w:r w:rsidR="005E7DAE" w:rsidRPr="00FD06AE">
        <w:t>NHTSA must examine the issue of drug impair</w:t>
      </w:r>
      <w:r w:rsidR="00C15D87" w:rsidRPr="00FD06AE">
        <w:t>ed</w:t>
      </w:r>
      <w:r w:rsidR="005E7DAE" w:rsidRPr="00FD06AE">
        <w:t xml:space="preserve"> </w:t>
      </w:r>
      <w:r w:rsidR="00C15D87" w:rsidRPr="00FD06AE">
        <w:t>driving</w:t>
      </w:r>
      <w:r w:rsidR="005E7DAE" w:rsidRPr="00FD06AE">
        <w:t xml:space="preserve"> using other strategies. </w:t>
      </w:r>
      <w:r w:rsidR="006D0F88" w:rsidRPr="00FD06AE">
        <w:t>The “National Roadside Studies” have estimated the prevalence of alcohol and dru</w:t>
      </w:r>
      <w:r w:rsidR="00C15D87" w:rsidRPr="00FD06AE">
        <w:t>g use among drivers on the road, but</w:t>
      </w:r>
      <w:r w:rsidR="006D0F88" w:rsidRPr="00FD06AE">
        <w:t xml:space="preserve"> those studies are not designed to address the issues of impairment or crash risk.</w:t>
      </w:r>
    </w:p>
    <w:p w:rsidR="004A0621" w:rsidRPr="00FD06AE" w:rsidRDefault="004A0621" w:rsidP="00BB4C30">
      <w:pPr>
        <w:autoSpaceDE w:val="0"/>
        <w:autoSpaceDN w:val="0"/>
        <w:adjustRightInd w:val="0"/>
        <w:ind w:firstLine="720"/>
      </w:pPr>
    </w:p>
    <w:p w:rsidR="00305770" w:rsidRPr="00FD06AE" w:rsidRDefault="009D30FA" w:rsidP="00305770">
      <w:pPr>
        <w:ind w:right="-360" w:firstLine="720"/>
      </w:pPr>
      <w:r w:rsidRPr="00FD06AE">
        <w:lastRenderedPageBreak/>
        <w:t xml:space="preserve">In </w:t>
      </w:r>
      <w:r w:rsidR="00305770" w:rsidRPr="00FD06AE">
        <w:t>201</w:t>
      </w:r>
      <w:r w:rsidR="004D3F1D" w:rsidRPr="00FD06AE">
        <w:t>6</w:t>
      </w:r>
      <w:r w:rsidR="00305770" w:rsidRPr="00FD06AE">
        <w:t xml:space="preserve">, </w:t>
      </w:r>
      <w:r w:rsidR="00826EDB" w:rsidRPr="00FD06AE">
        <w:t>NHTSA</w:t>
      </w:r>
      <w:r w:rsidR="00F119C6" w:rsidRPr="00FD06AE">
        <w:t xml:space="preserve"> </w:t>
      </w:r>
      <w:r w:rsidRPr="00FD06AE">
        <w:t>released the results of our “Virginia Beach Crash Risk”</w:t>
      </w:r>
      <w:r w:rsidR="00786E37" w:rsidRPr="00FD06AE">
        <w:t xml:space="preserve"> study.</w:t>
      </w:r>
      <w:bookmarkStart w:id="3" w:name="_Ref511899256"/>
      <w:r w:rsidR="00235EB0" w:rsidRPr="00FD06AE">
        <w:rPr>
          <w:rStyle w:val="FootnoteReference"/>
        </w:rPr>
        <w:footnoteReference w:id="3"/>
      </w:r>
      <w:bookmarkEnd w:id="3"/>
      <w:r w:rsidRPr="00FD06AE">
        <w:t xml:space="preserve"> </w:t>
      </w:r>
      <w:r w:rsidR="00305770" w:rsidRPr="00FD06AE">
        <w:t>This was the first large-scale study of drugs and motor vehicle crashes in the United States and was ground-breaking research in the area of drugs and driving.</w:t>
      </w:r>
      <w:bookmarkStart w:id="4" w:name="_Hlk508169105"/>
      <w:r w:rsidR="00305770" w:rsidRPr="00FD06AE">
        <w:t xml:space="preserve"> It used a case-control methodology to take a first look at the crash risk of various drugs. The design included obtaining anonymous and </w:t>
      </w:r>
      <w:r w:rsidR="00F73B68" w:rsidRPr="00FD06AE">
        <w:t>voluntary</w:t>
      </w:r>
      <w:r w:rsidR="00305770" w:rsidRPr="00FD06AE">
        <w:t xml:space="preserve"> breath, oral fluid, and blood samples from </w:t>
      </w:r>
      <w:r w:rsidR="00F73B68" w:rsidRPr="00FD06AE">
        <w:t xml:space="preserve">crash-involved </w:t>
      </w:r>
      <w:r w:rsidR="00305770" w:rsidRPr="00FD06AE">
        <w:t>drivers in Virginia Beach, Virginia across the 20-month study period</w:t>
      </w:r>
      <w:r w:rsidR="00D209F0" w:rsidRPr="00FD06AE">
        <w:t xml:space="preserve">. </w:t>
      </w:r>
      <w:r w:rsidR="00305770" w:rsidRPr="00FD06AE">
        <w:t>The research teams also obtained</w:t>
      </w:r>
      <w:r w:rsidR="00F73B68" w:rsidRPr="00FD06AE">
        <w:t xml:space="preserve"> </w:t>
      </w:r>
      <w:r w:rsidR="00C92DA1" w:rsidRPr="00FD06AE">
        <w:t xml:space="preserve">anonymous and </w:t>
      </w:r>
      <w:r w:rsidR="00F73B68" w:rsidRPr="00FD06AE">
        <w:t>voluntary</w:t>
      </w:r>
      <w:r w:rsidR="00C92DA1" w:rsidRPr="00FD06AE">
        <w:t xml:space="preserve"> </w:t>
      </w:r>
      <w:r w:rsidR="00305770" w:rsidRPr="00FD06AE">
        <w:t xml:space="preserve">breath, oral fluid, and blood samples from </w:t>
      </w:r>
      <w:r w:rsidR="007966E0" w:rsidRPr="00FD06AE">
        <w:t>recruited</w:t>
      </w:r>
      <w:r w:rsidR="00305770" w:rsidRPr="00FD06AE">
        <w:t xml:space="preserve"> drivers at th</w:t>
      </w:r>
      <w:r w:rsidR="007966E0" w:rsidRPr="00FD06AE">
        <w:t>e</w:t>
      </w:r>
      <w:r w:rsidR="00305770" w:rsidRPr="00FD06AE">
        <w:t xml:space="preserve"> same crash location</w:t>
      </w:r>
      <w:r w:rsidR="007966E0" w:rsidRPr="00FD06AE">
        <w:t>s</w:t>
      </w:r>
      <w:r w:rsidR="00305770" w:rsidRPr="00FD06AE">
        <w:t xml:space="preserve"> a week later, at the same time of day, and the same direction of traffic – thus controlling for as many factors as </w:t>
      </w:r>
      <w:r w:rsidR="007966E0" w:rsidRPr="00FD06AE">
        <w:t>possible</w:t>
      </w:r>
      <w:r w:rsidR="00305770" w:rsidRPr="00FD06AE">
        <w:t xml:space="preserve"> – and then matching the results of the tests of biological samples from the crash-involved drivers to the non-crash involved drivers.</w:t>
      </w:r>
      <w:r w:rsidR="00C92DA1" w:rsidRPr="00FD06AE">
        <w:t xml:space="preserve"> Examining the </w:t>
      </w:r>
      <w:r w:rsidR="007966E0" w:rsidRPr="00FD06AE">
        <w:t>data</w:t>
      </w:r>
      <w:r w:rsidR="00C92DA1" w:rsidRPr="00FD06AE">
        <w:t xml:space="preserve"> required going beyond the initial </w:t>
      </w:r>
      <w:r w:rsidR="007966E0" w:rsidRPr="00FD06AE">
        <w:t xml:space="preserve">basic </w:t>
      </w:r>
      <w:r w:rsidR="00C92DA1" w:rsidRPr="00FD06AE">
        <w:t xml:space="preserve">analyses and conducting more sophisticated </w:t>
      </w:r>
      <w:r w:rsidR="007966E0" w:rsidRPr="00FD06AE">
        <w:t xml:space="preserve">statistical </w:t>
      </w:r>
      <w:r w:rsidR="00C15D87" w:rsidRPr="00FD06AE">
        <w:t>analyses</w:t>
      </w:r>
      <w:r w:rsidR="00D209F0" w:rsidRPr="00FD06AE">
        <w:t xml:space="preserve">. </w:t>
      </w:r>
      <w:r w:rsidR="00C15D87" w:rsidRPr="00FD06AE">
        <w:t>The initial analysis</w:t>
      </w:r>
      <w:r w:rsidR="00C92DA1" w:rsidRPr="00FD06AE">
        <w:t xml:space="preserve"> provided the </w:t>
      </w:r>
      <w:r w:rsidR="00305770" w:rsidRPr="00FD06AE">
        <w:t xml:space="preserve">odds </w:t>
      </w:r>
      <w:r w:rsidR="00C92DA1" w:rsidRPr="00FD06AE">
        <w:t xml:space="preserve">ratio </w:t>
      </w:r>
      <w:r w:rsidR="00305770" w:rsidRPr="00FD06AE">
        <w:t>of a crash if a person te</w:t>
      </w:r>
      <w:r w:rsidR="00C15D87" w:rsidRPr="00FD06AE">
        <w:t>sted positive for a single drug</w:t>
      </w:r>
      <w:r w:rsidR="00305770" w:rsidRPr="00FD06AE">
        <w:t xml:space="preserve"> or combination of drugs. The</w:t>
      </w:r>
      <w:r w:rsidR="00C92DA1" w:rsidRPr="00FD06AE">
        <w:t xml:space="preserve">se unadjusted </w:t>
      </w:r>
      <w:r w:rsidR="00305770" w:rsidRPr="00FD06AE">
        <w:t xml:space="preserve">analyses suggested </w:t>
      </w:r>
      <w:r w:rsidR="00305770" w:rsidRPr="00FD06AE">
        <w:rPr>
          <w:i/>
        </w:rPr>
        <w:t>increased</w:t>
      </w:r>
      <w:r w:rsidR="00305770" w:rsidRPr="00FD06AE">
        <w:t xml:space="preserve"> crash risk for some drugs, including marijuana. However, </w:t>
      </w:r>
      <w:r w:rsidR="00C92DA1" w:rsidRPr="00FD06AE">
        <w:t>when additional variables known to be assoc</w:t>
      </w:r>
      <w:r w:rsidR="00C15D87" w:rsidRPr="00FD06AE">
        <w:t>iated with elevated crash risk (e.g.</w:t>
      </w:r>
      <w:r w:rsidR="00305770" w:rsidRPr="00FD06AE">
        <w:t xml:space="preserve"> driver age</w:t>
      </w:r>
      <w:r w:rsidR="00C92DA1" w:rsidRPr="00FD06AE">
        <w:t xml:space="preserve"> </w:t>
      </w:r>
      <w:r w:rsidR="00305770" w:rsidRPr="00FD06AE">
        <w:t>and sex</w:t>
      </w:r>
      <w:r w:rsidR="00C15D87" w:rsidRPr="00FD06AE">
        <w:t>)</w:t>
      </w:r>
      <w:r w:rsidR="00305770" w:rsidRPr="00FD06AE">
        <w:t xml:space="preserve"> </w:t>
      </w:r>
      <w:r w:rsidR="00C92DA1" w:rsidRPr="00FD06AE">
        <w:t xml:space="preserve">were included, along with </w:t>
      </w:r>
      <w:r w:rsidR="00305770" w:rsidRPr="00FD06AE">
        <w:t>the presence of alcohol in a person’s system, the results indicated</w:t>
      </w:r>
      <w:r w:rsidR="00C92DA1" w:rsidRPr="00FD06AE">
        <w:t xml:space="preserve"> there was </w:t>
      </w:r>
      <w:r w:rsidR="00C92DA1" w:rsidRPr="00FD06AE">
        <w:rPr>
          <w:i/>
        </w:rPr>
        <w:t>no</w:t>
      </w:r>
      <w:r w:rsidR="007966E0" w:rsidRPr="00FD06AE">
        <w:rPr>
          <w:i/>
        </w:rPr>
        <w:t xml:space="preserve"> statistically significant</w:t>
      </w:r>
      <w:r w:rsidR="00C92DA1" w:rsidRPr="00FD06AE">
        <w:rPr>
          <w:i/>
        </w:rPr>
        <w:t xml:space="preserve"> increase</w:t>
      </w:r>
      <w:r w:rsidR="00287830" w:rsidRPr="00FD06AE">
        <w:t xml:space="preserve"> in </w:t>
      </w:r>
      <w:r w:rsidR="00C92DA1" w:rsidRPr="00FD06AE">
        <w:t xml:space="preserve">crash risk for any drug other than alcohol. </w:t>
      </w:r>
      <w:r w:rsidR="0041044D" w:rsidRPr="00FD06AE">
        <w:t xml:space="preserve">These </w:t>
      </w:r>
      <w:r w:rsidR="007966E0" w:rsidRPr="00FD06AE">
        <w:t>findings</w:t>
      </w:r>
      <w:r w:rsidR="0041044D" w:rsidRPr="00FD06AE">
        <w:t xml:space="preserve"> illustrate the importance of collecting basic-level </w:t>
      </w:r>
      <w:r w:rsidR="00305770" w:rsidRPr="00FD06AE">
        <w:t>demographic information</w:t>
      </w:r>
      <w:r w:rsidR="007966E0" w:rsidRPr="00FD06AE">
        <w:t xml:space="preserve"> for use in additional analyses</w:t>
      </w:r>
      <w:r w:rsidR="0041044D" w:rsidRPr="00FD06AE">
        <w:t>. Without our addi</w:t>
      </w:r>
      <w:r w:rsidR="00305770" w:rsidRPr="00FD06AE">
        <w:t>tional analyses, different conclusions would have been reached</w:t>
      </w:r>
      <w:r w:rsidR="007966E0" w:rsidRPr="00FD06AE">
        <w:t xml:space="preserve"> and </w:t>
      </w:r>
      <w:r w:rsidR="00065AFF" w:rsidRPr="00FD06AE">
        <w:t>resulted in</w:t>
      </w:r>
      <w:r w:rsidR="00305770" w:rsidRPr="00FD06AE">
        <w:t xml:space="preserve"> </w:t>
      </w:r>
      <w:r w:rsidR="0041044D" w:rsidRPr="00FD06AE">
        <w:t xml:space="preserve">very </w:t>
      </w:r>
      <w:r w:rsidR="00305770" w:rsidRPr="00FD06AE">
        <w:t xml:space="preserve">different policy </w:t>
      </w:r>
      <w:r w:rsidR="0041044D" w:rsidRPr="00FD06AE">
        <w:t xml:space="preserve">implications. </w:t>
      </w:r>
      <w:bookmarkEnd w:id="4"/>
    </w:p>
    <w:p w:rsidR="00305770" w:rsidRPr="00FD06AE" w:rsidRDefault="00305770" w:rsidP="00305770">
      <w:pPr>
        <w:ind w:right="-360" w:firstLine="720"/>
      </w:pPr>
    </w:p>
    <w:p w:rsidR="000639D3" w:rsidRPr="00FD06AE" w:rsidRDefault="00136BE7" w:rsidP="000639D3">
      <w:pPr>
        <w:ind w:firstLine="720"/>
        <w:rPr>
          <w:vertAlign w:val="superscript"/>
        </w:rPr>
      </w:pPr>
      <w:r w:rsidRPr="00FD06AE">
        <w:t>Use of this methodology to examine crash risk</w:t>
      </w:r>
      <w:r w:rsidR="000639D3" w:rsidRPr="00FD06AE">
        <w:t xml:space="preserve"> (with alcohol only)</w:t>
      </w:r>
      <w:r w:rsidRPr="00FD06AE">
        <w:t xml:space="preserve"> began</w:t>
      </w:r>
      <w:r w:rsidR="000639D3" w:rsidRPr="00FD06AE">
        <w:t xml:space="preserve"> with Borkenstein’s </w:t>
      </w:r>
      <w:r w:rsidR="006F272D" w:rsidRPr="00FD06AE">
        <w:t xml:space="preserve">landmark </w:t>
      </w:r>
      <w:r w:rsidR="000639D3" w:rsidRPr="00FD06AE">
        <w:t>“Grand Rapids Study</w:t>
      </w:r>
      <w:r w:rsidR="000639D3" w:rsidRPr="00FD06AE">
        <w:rPr>
          <w:i/>
        </w:rPr>
        <w:t>”</w:t>
      </w:r>
      <w:r w:rsidR="000639D3" w:rsidRPr="00FD06AE">
        <w:t xml:space="preserve"> in 1964.</w:t>
      </w:r>
      <w:r w:rsidR="000639D3" w:rsidRPr="00FD06AE">
        <w:rPr>
          <w:vertAlign w:val="superscript"/>
        </w:rPr>
        <w:footnoteReference w:id="4"/>
      </w:r>
      <w:r w:rsidR="000639D3" w:rsidRPr="00FD06AE">
        <w:rPr>
          <w:vertAlign w:val="superscript"/>
        </w:rPr>
        <w:t xml:space="preserve">  </w:t>
      </w:r>
      <w:r w:rsidR="000639D3" w:rsidRPr="00FD06AE">
        <w:t>This was the first study in this area to use case control methodology, that is, with the use of crash-involved drivers matched to non-crash-involved control drivers. The results provided compelling evidence that moderate BAC levels were associated with increased crash risk, and that risk grew exponentially at BACs of 0.10 g/dL or higher.</w:t>
      </w:r>
      <w:r w:rsidR="000639D3" w:rsidRPr="00FD06AE">
        <w:rPr>
          <w:vertAlign w:val="superscript"/>
        </w:rPr>
        <w:footnoteReference w:id="5"/>
      </w:r>
      <w:r w:rsidR="000639D3" w:rsidRPr="00FD06AE">
        <w:t xml:space="preserve"> </w:t>
      </w:r>
      <w:r w:rsidR="000639D3" w:rsidRPr="00FD06AE">
        <w:rPr>
          <w:vertAlign w:val="superscript"/>
        </w:rPr>
        <w:t xml:space="preserve"> </w:t>
      </w:r>
      <w:r w:rsidR="000639D3" w:rsidRPr="00FD06AE">
        <w:t>Following from Borkenstein’s initial work,</w:t>
      </w:r>
      <w:r w:rsidR="00C15D87" w:rsidRPr="00FD06AE">
        <w:t xml:space="preserve"> NHTSA used a similar approach to </w:t>
      </w:r>
      <w:r w:rsidR="000639D3" w:rsidRPr="00FD06AE">
        <w:t>again examin</w:t>
      </w:r>
      <w:r w:rsidR="00C15D87" w:rsidRPr="00FD06AE">
        <w:t>e</w:t>
      </w:r>
      <w:r w:rsidR="000639D3" w:rsidRPr="00FD06AE">
        <w:t xml:space="preserve"> the crash risk of alcohol between 1996 and 1998 in Long Beach, California, and Fort Lauderdale, Florida. Th</w:t>
      </w:r>
      <w:r w:rsidR="00C15D87" w:rsidRPr="00FD06AE">
        <w:t>is study</w:t>
      </w:r>
      <w:r w:rsidR="000639D3" w:rsidRPr="00FD06AE">
        <w:t xml:space="preserve"> confirmed the results of the Grand Rapids Study using modern data collection and statistical techniques.</w:t>
      </w:r>
      <w:r w:rsidR="000639D3" w:rsidRPr="00FD06AE">
        <w:rPr>
          <w:vertAlign w:val="superscript"/>
        </w:rPr>
        <w:footnoteReference w:id="6"/>
      </w:r>
      <w:r w:rsidR="000639D3" w:rsidRPr="00FD06AE">
        <w:t xml:space="preserve">  These </w:t>
      </w:r>
      <w:r w:rsidR="006F272D" w:rsidRPr="00FD06AE">
        <w:t xml:space="preserve">case control crash risk </w:t>
      </w:r>
      <w:r w:rsidR="000639D3" w:rsidRPr="00FD06AE">
        <w:t>studies were key com</w:t>
      </w:r>
      <w:r w:rsidR="00C15D87" w:rsidRPr="00FD06AE">
        <w:t>ponents in the body of research</w:t>
      </w:r>
      <w:r w:rsidR="000639D3" w:rsidRPr="00FD06AE">
        <w:t xml:space="preserve"> that led U.S. legislators </w:t>
      </w:r>
      <w:r w:rsidR="007005AF" w:rsidRPr="00FD06AE">
        <w:t>to encourage (and later mandate) States to lower their BAC limits to .08 (from .10 or higher), to strengthen other impaired driving laws, and to increase enforcement efforts, implement enhanced sanctions, and to develop additional prevention programs</w:t>
      </w:r>
      <w:r w:rsidR="00D209F0" w:rsidRPr="00FD06AE">
        <w:t xml:space="preserve">. </w:t>
      </w:r>
    </w:p>
    <w:p w:rsidR="000639D3" w:rsidRPr="00FD06AE" w:rsidRDefault="000639D3" w:rsidP="000639D3">
      <w:pPr>
        <w:ind w:right="-360" w:firstLine="720"/>
      </w:pPr>
    </w:p>
    <w:p w:rsidR="00E12475" w:rsidRPr="00FD06AE" w:rsidRDefault="00136BE7" w:rsidP="001E5C9E">
      <w:pPr>
        <w:autoSpaceDE w:val="0"/>
        <w:autoSpaceDN w:val="0"/>
        <w:adjustRightInd w:val="0"/>
        <w:ind w:firstLine="720"/>
        <w:rPr>
          <w:color w:val="000000"/>
        </w:rPr>
      </w:pPr>
      <w:r w:rsidRPr="00FD06AE">
        <w:lastRenderedPageBreak/>
        <w:t xml:space="preserve">Case </w:t>
      </w:r>
      <w:r w:rsidR="00D85074" w:rsidRPr="00FD06AE">
        <w:t>c</w:t>
      </w:r>
      <w:r w:rsidRPr="00FD06AE">
        <w:t xml:space="preserve">ontrol </w:t>
      </w:r>
      <w:r w:rsidR="00D85074" w:rsidRPr="00FD06AE">
        <w:t>m</w:t>
      </w:r>
      <w:r w:rsidRPr="00FD06AE">
        <w:t xml:space="preserve">ethodology is </w:t>
      </w:r>
      <w:r w:rsidR="00D85074" w:rsidRPr="00FD06AE">
        <w:t xml:space="preserve">critical in </w:t>
      </w:r>
      <w:r w:rsidR="009D4CBF" w:rsidRPr="00FD06AE">
        <w:t>studies</w:t>
      </w:r>
      <w:r w:rsidR="00D85074" w:rsidRPr="00FD06AE">
        <w:t xml:space="preserve"> of this nature</w:t>
      </w:r>
      <w:r w:rsidR="009D4CBF" w:rsidRPr="00FD06AE">
        <w:t xml:space="preserve">, and </w:t>
      </w:r>
      <w:r w:rsidR="001E5C9E" w:rsidRPr="00FD06AE">
        <w:t>is widely used throughout public health and epidemiological research</w:t>
      </w:r>
      <w:r w:rsidR="009D4CBF" w:rsidRPr="00FD06AE">
        <w:t xml:space="preserve"> </w:t>
      </w:r>
      <w:r w:rsidR="007966E0" w:rsidRPr="00FD06AE">
        <w:t>by</w:t>
      </w:r>
      <w:r w:rsidR="00D85074" w:rsidRPr="00FD06AE">
        <w:t xml:space="preserve"> examining the risk</w:t>
      </w:r>
      <w:r w:rsidR="00600C3E" w:rsidRPr="00FD06AE">
        <w:t xml:space="preserve"> (frequency)</w:t>
      </w:r>
      <w:r w:rsidR="00D85074" w:rsidRPr="00FD06AE">
        <w:t xml:space="preserve"> of an action or condition, compared to</w:t>
      </w:r>
      <w:r w:rsidR="00600C3E" w:rsidRPr="00FD06AE">
        <w:t xml:space="preserve"> the </w:t>
      </w:r>
      <w:r w:rsidR="009D4CBF" w:rsidRPr="00FD06AE">
        <w:t xml:space="preserve">risk </w:t>
      </w:r>
      <w:r w:rsidR="00600C3E" w:rsidRPr="00FD06AE">
        <w:t xml:space="preserve">(frequency) </w:t>
      </w:r>
      <w:r w:rsidR="009D4CBF" w:rsidRPr="00FD06AE">
        <w:t>of not conducting that action or having that condition</w:t>
      </w:r>
      <w:r w:rsidR="007966E0" w:rsidRPr="00FD06AE">
        <w:t>.</w:t>
      </w:r>
      <w:r w:rsidR="00600C3E" w:rsidRPr="00FD06AE">
        <w:t xml:space="preserve"> </w:t>
      </w:r>
      <w:r w:rsidR="007966E0" w:rsidRPr="00FD06AE">
        <w:t>T</w:t>
      </w:r>
      <w:r w:rsidR="00600C3E" w:rsidRPr="00FD06AE">
        <w:t xml:space="preserve">he results provide the </w:t>
      </w:r>
      <w:r w:rsidR="001E5C9E" w:rsidRPr="00FD06AE">
        <w:rPr>
          <w:color w:val="000000"/>
        </w:rPr>
        <w:t>relative risk of having a</w:t>
      </w:r>
      <w:r w:rsidR="00600C3E" w:rsidRPr="00FD06AE">
        <w:rPr>
          <w:color w:val="000000"/>
        </w:rPr>
        <w:t>n</w:t>
      </w:r>
      <w:r w:rsidR="001E5C9E" w:rsidRPr="00FD06AE">
        <w:rPr>
          <w:color w:val="000000"/>
        </w:rPr>
        <w:t xml:space="preserve"> outcome when </w:t>
      </w:r>
      <w:r w:rsidR="00600C3E" w:rsidRPr="00FD06AE">
        <w:rPr>
          <w:color w:val="000000"/>
        </w:rPr>
        <w:t xml:space="preserve">the person </w:t>
      </w:r>
      <w:r w:rsidR="00C15D87" w:rsidRPr="00FD06AE">
        <w:rPr>
          <w:color w:val="000000"/>
        </w:rPr>
        <w:t xml:space="preserve">is </w:t>
      </w:r>
      <w:r w:rsidR="001E5C9E" w:rsidRPr="00FD06AE">
        <w:rPr>
          <w:color w:val="000000"/>
        </w:rPr>
        <w:t xml:space="preserve">exposed to the risk factor. </w:t>
      </w:r>
      <w:r w:rsidR="00E12475" w:rsidRPr="00FD06AE">
        <w:t>Because the case-control design is a retrospective examination of factors impacting the case drivers (i.e., after they have already crashed), it is limited in the extent to which signal can be manipulated. This is because a case-control study does not involve the recruitment and random assignment of participants to treatment groups, has no control over participants’ responses to the factor of interest, and does not control the potency of the influencing factor (i.e., drug) of interest. In effect, there is no treatment such as that found in randomized control trial. The experimental group characteristics are determined by the conditions under which the sample is acquired. Thus, the case-control study can dictate a number of relevant factors/events that are measured for participants and the validity of those measures.</w:t>
      </w:r>
    </w:p>
    <w:p w:rsidR="00E12475" w:rsidRPr="00FD06AE" w:rsidRDefault="00E12475" w:rsidP="001E5C9E">
      <w:pPr>
        <w:autoSpaceDE w:val="0"/>
        <w:autoSpaceDN w:val="0"/>
        <w:adjustRightInd w:val="0"/>
        <w:ind w:firstLine="720"/>
        <w:rPr>
          <w:color w:val="000000"/>
        </w:rPr>
      </w:pPr>
    </w:p>
    <w:p w:rsidR="00A201E4" w:rsidRPr="00FD06AE" w:rsidRDefault="001E5C9E" w:rsidP="001E5C9E">
      <w:pPr>
        <w:autoSpaceDE w:val="0"/>
        <w:autoSpaceDN w:val="0"/>
        <w:adjustRightInd w:val="0"/>
        <w:ind w:firstLine="720"/>
        <w:rPr>
          <w:color w:val="000000"/>
        </w:rPr>
      </w:pPr>
      <w:r w:rsidRPr="00FD06AE">
        <w:rPr>
          <w:color w:val="000000"/>
        </w:rPr>
        <w:t xml:space="preserve">In this study, the outcome </w:t>
      </w:r>
      <w:r w:rsidR="00600C3E" w:rsidRPr="00FD06AE">
        <w:rPr>
          <w:color w:val="000000"/>
        </w:rPr>
        <w:t xml:space="preserve">variable </w:t>
      </w:r>
      <w:r w:rsidRPr="00FD06AE">
        <w:rPr>
          <w:color w:val="000000"/>
        </w:rPr>
        <w:t xml:space="preserve">of interest is </w:t>
      </w:r>
      <w:r w:rsidR="00600C3E" w:rsidRPr="00FD06AE">
        <w:rPr>
          <w:color w:val="000000"/>
        </w:rPr>
        <w:t xml:space="preserve">a driver being </w:t>
      </w:r>
      <w:r w:rsidR="00071858" w:rsidRPr="00FD06AE">
        <w:rPr>
          <w:color w:val="000000"/>
        </w:rPr>
        <w:t xml:space="preserve">seriously injured </w:t>
      </w:r>
      <w:r w:rsidR="00600C3E" w:rsidRPr="00FD06AE">
        <w:rPr>
          <w:color w:val="000000"/>
        </w:rPr>
        <w:t>in a motor vehicle crash, and the risk factor</w:t>
      </w:r>
      <w:r w:rsidR="002E32AF" w:rsidRPr="00FD06AE">
        <w:rPr>
          <w:color w:val="000000"/>
        </w:rPr>
        <w:t xml:space="preserve"> is the presence of one of</w:t>
      </w:r>
      <w:r w:rsidR="001926D6" w:rsidRPr="00FD06AE">
        <w:rPr>
          <w:color w:val="000000"/>
        </w:rPr>
        <w:t xml:space="preserve"> the</w:t>
      </w:r>
      <w:r w:rsidR="002E32AF" w:rsidRPr="00FD06AE">
        <w:rPr>
          <w:color w:val="000000"/>
        </w:rPr>
        <w:t xml:space="preserve"> tested-for </w:t>
      </w:r>
      <w:r w:rsidRPr="00FD06AE">
        <w:rPr>
          <w:color w:val="000000"/>
        </w:rPr>
        <w:t xml:space="preserve">drugs </w:t>
      </w:r>
      <w:r w:rsidR="002E32AF" w:rsidRPr="00FD06AE">
        <w:rPr>
          <w:color w:val="000000"/>
        </w:rPr>
        <w:t xml:space="preserve">being </w:t>
      </w:r>
      <w:r w:rsidR="00600C3E" w:rsidRPr="00FD06AE">
        <w:rPr>
          <w:color w:val="000000"/>
        </w:rPr>
        <w:t>present</w:t>
      </w:r>
      <w:r w:rsidR="00C15D87" w:rsidRPr="00FD06AE">
        <w:rPr>
          <w:color w:val="000000"/>
        </w:rPr>
        <w:t xml:space="preserve"> in</w:t>
      </w:r>
      <w:r w:rsidR="00600C3E" w:rsidRPr="00FD06AE">
        <w:rPr>
          <w:color w:val="000000"/>
        </w:rPr>
        <w:t xml:space="preserve"> </w:t>
      </w:r>
      <w:r w:rsidRPr="00FD06AE">
        <w:rPr>
          <w:color w:val="000000"/>
        </w:rPr>
        <w:t>the driver</w:t>
      </w:r>
      <w:r w:rsidR="00C15D87" w:rsidRPr="00FD06AE">
        <w:rPr>
          <w:color w:val="000000"/>
        </w:rPr>
        <w:t>’s system</w:t>
      </w:r>
      <w:r w:rsidR="002E32AF" w:rsidRPr="00FD06AE">
        <w:rPr>
          <w:color w:val="000000"/>
        </w:rPr>
        <w:t xml:space="preserve">. To determine presence of a drug of interest in the driver, </w:t>
      </w:r>
      <w:r w:rsidR="009F491E" w:rsidRPr="00FD06AE">
        <w:rPr>
          <w:color w:val="000000"/>
        </w:rPr>
        <w:t>the participating trauma centers and medical examiners will provide de-identified</w:t>
      </w:r>
      <w:r w:rsidRPr="00FD06AE">
        <w:rPr>
          <w:color w:val="000000"/>
        </w:rPr>
        <w:t xml:space="preserve"> blood sample</w:t>
      </w:r>
      <w:r w:rsidR="009F491E" w:rsidRPr="00FD06AE">
        <w:rPr>
          <w:color w:val="000000"/>
        </w:rPr>
        <w:t>s</w:t>
      </w:r>
      <w:r w:rsidR="00C15D87" w:rsidRPr="00FD06AE">
        <w:rPr>
          <w:color w:val="000000"/>
        </w:rPr>
        <w:t xml:space="preserve"> from</w:t>
      </w:r>
      <w:r w:rsidR="002E32AF" w:rsidRPr="00FD06AE">
        <w:rPr>
          <w:color w:val="000000"/>
        </w:rPr>
        <w:t xml:space="preserve"> </w:t>
      </w:r>
      <w:r w:rsidRPr="00FD06AE">
        <w:rPr>
          <w:color w:val="000000"/>
        </w:rPr>
        <w:t>crash-involved drivers</w:t>
      </w:r>
      <w:r w:rsidR="002E32AF" w:rsidRPr="00FD06AE">
        <w:rPr>
          <w:color w:val="000000"/>
        </w:rPr>
        <w:t xml:space="preserve">, and </w:t>
      </w:r>
      <w:r w:rsidR="009F491E" w:rsidRPr="00FD06AE">
        <w:rPr>
          <w:color w:val="000000"/>
        </w:rPr>
        <w:t>NHTSA contract personnel will gather equivalent samples</w:t>
      </w:r>
      <w:r w:rsidR="002E32AF" w:rsidRPr="00FD06AE">
        <w:rPr>
          <w:color w:val="000000"/>
        </w:rPr>
        <w:t xml:space="preserve"> from </w:t>
      </w:r>
      <w:r w:rsidR="005D12C9" w:rsidRPr="00FD06AE">
        <w:rPr>
          <w:color w:val="000000"/>
        </w:rPr>
        <w:t>c</w:t>
      </w:r>
      <w:r w:rsidR="002E32AF" w:rsidRPr="00FD06AE">
        <w:rPr>
          <w:color w:val="000000"/>
        </w:rPr>
        <w:t xml:space="preserve">ontrol drivers </w:t>
      </w:r>
      <w:r w:rsidR="005D12C9" w:rsidRPr="00FD06AE">
        <w:rPr>
          <w:color w:val="000000"/>
        </w:rPr>
        <w:t>near the</w:t>
      </w:r>
      <w:r w:rsidR="002E32AF" w:rsidRPr="00FD06AE">
        <w:rPr>
          <w:color w:val="000000"/>
        </w:rPr>
        <w:t xml:space="preserve"> location </w:t>
      </w:r>
      <w:r w:rsidR="005D12C9" w:rsidRPr="00FD06AE">
        <w:rPr>
          <w:color w:val="000000"/>
        </w:rPr>
        <w:t>of the crash one week later at the</w:t>
      </w:r>
      <w:r w:rsidR="002E32AF" w:rsidRPr="00FD06AE">
        <w:rPr>
          <w:color w:val="000000"/>
        </w:rPr>
        <w:t xml:space="preserve"> same time of day, and in the same direction of tra</w:t>
      </w:r>
      <w:r w:rsidR="005D12C9" w:rsidRPr="00FD06AE">
        <w:rPr>
          <w:color w:val="000000"/>
        </w:rPr>
        <w:t>vel</w:t>
      </w:r>
      <w:r w:rsidR="002E32AF" w:rsidRPr="00FD06AE">
        <w:rPr>
          <w:color w:val="000000"/>
        </w:rPr>
        <w:t xml:space="preserve">. </w:t>
      </w:r>
    </w:p>
    <w:p w:rsidR="00A201E4" w:rsidRPr="00FD06AE" w:rsidRDefault="00A201E4" w:rsidP="001E5C9E">
      <w:pPr>
        <w:autoSpaceDE w:val="0"/>
        <w:autoSpaceDN w:val="0"/>
        <w:adjustRightInd w:val="0"/>
        <w:ind w:firstLine="720"/>
        <w:rPr>
          <w:color w:val="000000"/>
        </w:rPr>
      </w:pPr>
    </w:p>
    <w:p w:rsidR="00A201E4" w:rsidRPr="00FD06AE" w:rsidRDefault="00A201E4" w:rsidP="00A201E4">
      <w:pPr>
        <w:ind w:firstLine="720"/>
      </w:pPr>
      <w:r w:rsidRPr="00FD06AE">
        <w:t xml:space="preserve">The current study will be testing for numerous potentially impairing drugs using state-of-the-art toxicology testing methods. Also the study’s selection criteria allow for the inclusion of only seriously- or fatally-injured drivers which should, in theory, increase the baseline rate of the case drivers having one or more of the drugs of interest in their systems compared to earlier studies which included all levels of crash severity with most being low severity crashes. This relies on the assumption that these severe crashes are more likely to occur when a person is drug-impaired and loses control of the vehicle, or commits some other critical driving error that leads to a violent crash in which the driver is seriously injured. </w:t>
      </w:r>
    </w:p>
    <w:p w:rsidR="00A201E4" w:rsidRPr="00FD06AE" w:rsidRDefault="00A201E4" w:rsidP="00A201E4">
      <w:r w:rsidRPr="00FD06AE">
        <w:t xml:space="preserve"> </w:t>
      </w:r>
    </w:p>
    <w:p w:rsidR="00A201E4" w:rsidRPr="00FD06AE" w:rsidRDefault="00A201E4" w:rsidP="00A201E4">
      <w:pPr>
        <w:ind w:firstLine="720"/>
      </w:pPr>
      <w:r w:rsidRPr="00FD06AE">
        <w:t>This</w:t>
      </w:r>
      <w:r w:rsidR="00E12475" w:rsidRPr="00FD06AE">
        <w:t xml:space="preserve"> study will </w:t>
      </w:r>
      <w:r w:rsidR="006C0FDE" w:rsidRPr="00FD06AE">
        <w:t>minimize</w:t>
      </w:r>
      <w:r w:rsidR="00E12475" w:rsidRPr="00FD06AE">
        <w:t xml:space="preserve"> n</w:t>
      </w:r>
      <w:r w:rsidRPr="00FD06AE">
        <w:t xml:space="preserve">oise by using identical data collection procedures at each location and </w:t>
      </w:r>
      <w:r w:rsidR="00E12475" w:rsidRPr="00FD06AE">
        <w:t>analyzing</w:t>
      </w:r>
      <w:r w:rsidRPr="00FD06AE">
        <w:t xml:space="preserve"> blood samples </w:t>
      </w:r>
      <w:r w:rsidR="00E12475" w:rsidRPr="00FD06AE">
        <w:t xml:space="preserve">that the trauma centers collected </w:t>
      </w:r>
      <w:r w:rsidRPr="00FD06AE">
        <w:t>as soon as possible after a crash. These methodological steps</w:t>
      </w:r>
      <w:r w:rsidR="00E12475" w:rsidRPr="00FD06AE">
        <w:t xml:space="preserve"> will increase c</w:t>
      </w:r>
      <w:r w:rsidRPr="00FD06AE">
        <w:t xml:space="preserve">onfidence that a given drug was present in the driver’s system at the time of a crash. The study will document any drugs administered by EMS and/or the trauma teams before a blood sample is taken to further reduce </w:t>
      </w:r>
      <w:r w:rsidR="00E12475" w:rsidRPr="00FD06AE">
        <w:t>n</w:t>
      </w:r>
      <w:r w:rsidRPr="00FD06AE">
        <w:t xml:space="preserve">oise. Additional driver demographic information will be collected and used as part of covariate analyses to further reduce uncertainty that an observed effect was due to a factor other than the drugs of interest. Noise will also be reduced by matching control sampling sites to the crash sites in terms of location, time of day, day of the week, and direction of travel. The control sampling will take place exactly one week after a crash whenever possible. This approach will eliminate </w:t>
      </w:r>
      <w:r w:rsidR="00E12475" w:rsidRPr="00FD06AE">
        <w:t>n</w:t>
      </w:r>
      <w:r w:rsidRPr="00FD06AE">
        <w:t xml:space="preserve">oise associated with differences in driver populations due to roadways traveled, traffic conditions, time of day/day of week, and seasonality. Finally, </w:t>
      </w:r>
      <w:r w:rsidR="00E12475" w:rsidRPr="00FD06AE">
        <w:t>the IRB</w:t>
      </w:r>
      <w:r w:rsidR="006C0FDE" w:rsidRPr="00FD06AE">
        <w:t>(s)</w:t>
      </w:r>
      <w:r w:rsidR="00E12475" w:rsidRPr="00FD06AE">
        <w:t xml:space="preserve">-approved waiver of consent ensures that </w:t>
      </w:r>
      <w:r w:rsidRPr="00FD06AE">
        <w:t xml:space="preserve">participation rates will be near 100% for injured case drivers given the study approach, which eliminates much </w:t>
      </w:r>
      <w:r w:rsidR="006C0FDE" w:rsidRPr="00FD06AE">
        <w:t>potential</w:t>
      </w:r>
      <w:r w:rsidRPr="00FD06AE">
        <w:t xml:space="preserve"> </w:t>
      </w:r>
      <w:r w:rsidR="00E12475" w:rsidRPr="00FD06AE">
        <w:t>n</w:t>
      </w:r>
      <w:r w:rsidRPr="00FD06AE">
        <w:t>oise for this group.</w:t>
      </w:r>
      <w:r w:rsidR="00E12475" w:rsidRPr="00FD06AE">
        <w:t xml:space="preserve"> </w:t>
      </w:r>
      <w:r w:rsidR="006C0FDE" w:rsidRPr="00FD06AE">
        <w:t xml:space="preserve">The only drivers who will not be participants are those for who </w:t>
      </w:r>
      <w:r w:rsidR="00E12475" w:rsidRPr="00FD06AE">
        <w:t>the trauma center is unable to provide a blood sample (e.g., venous access could not be obtained for treatment; could not determine if the person was a driver).</w:t>
      </w:r>
      <w:r w:rsidRPr="00FD06AE">
        <w:t xml:space="preserve"> </w:t>
      </w:r>
      <w:r w:rsidR="006C0FDE" w:rsidRPr="00FD06AE">
        <w:t xml:space="preserve"> Based on NHTSA past studies with similar protocols</w:t>
      </w:r>
      <w:r w:rsidR="0026510A" w:rsidRPr="00FD06AE">
        <w:t>,</w:t>
      </w:r>
      <w:r w:rsidR="006C0FDE" w:rsidRPr="00FD06AE">
        <w:t xml:space="preserve"> </w:t>
      </w:r>
      <w:r w:rsidR="00581623" w:rsidRPr="00FD06AE">
        <w:t xml:space="preserve">we </w:t>
      </w:r>
      <w:r w:rsidR="0026510A" w:rsidRPr="00FD06AE">
        <w:t xml:space="preserve">expect strong </w:t>
      </w:r>
      <w:r w:rsidR="00E12475" w:rsidRPr="00FD06AE">
        <w:t>participation rates</w:t>
      </w:r>
      <w:r w:rsidR="0026510A" w:rsidRPr="00FD06AE">
        <w:t xml:space="preserve"> for control drivers, which will </w:t>
      </w:r>
      <w:r w:rsidR="00E12475" w:rsidRPr="00FD06AE">
        <w:t>reduce n</w:t>
      </w:r>
      <w:r w:rsidRPr="00FD06AE">
        <w:t xml:space="preserve">oise. We </w:t>
      </w:r>
      <w:r w:rsidR="0026510A" w:rsidRPr="00FD06AE">
        <w:t xml:space="preserve">anticipate </w:t>
      </w:r>
      <w:r w:rsidRPr="00FD06AE">
        <w:t xml:space="preserve">driver participation rates (for those </w:t>
      </w:r>
      <w:r w:rsidR="0026510A" w:rsidRPr="00FD06AE">
        <w:t xml:space="preserve">drivers </w:t>
      </w:r>
      <w:r w:rsidRPr="00FD06AE">
        <w:t xml:space="preserve">who enter the </w:t>
      </w:r>
      <w:r w:rsidR="0026510A" w:rsidRPr="00FD06AE">
        <w:t>research bays</w:t>
      </w:r>
      <w:r w:rsidRPr="00FD06AE">
        <w:t>) will be 50% or higher based on prior efforts and recent pilot testing.</w:t>
      </w:r>
      <w:r w:rsidR="0026510A" w:rsidRPr="00FD06AE">
        <w:rPr>
          <w:rStyle w:val="FootnoteReference"/>
        </w:rPr>
        <w:footnoteReference w:id="7"/>
      </w:r>
      <w:r w:rsidR="0026510A" w:rsidRPr="00FD06AE">
        <w:t xml:space="preserve"> </w:t>
      </w:r>
      <w:r w:rsidRPr="00FD06AE">
        <w:t>While th</w:t>
      </w:r>
      <w:r w:rsidR="0026510A" w:rsidRPr="00FD06AE">
        <w:t xml:space="preserve">ere may be some remaining noise </w:t>
      </w:r>
      <w:r w:rsidRPr="00FD06AE">
        <w:t>for the control sample, the participation rate for a study of this type is acceptable. Also, valuable information such as sex, vehicle type, and, possibly, BAC will be available for non-participants thereby further reducing noise.</w:t>
      </w:r>
    </w:p>
    <w:p w:rsidR="00A201E4" w:rsidRPr="00FD06AE" w:rsidRDefault="00A201E4" w:rsidP="001E5C9E">
      <w:pPr>
        <w:autoSpaceDE w:val="0"/>
        <w:autoSpaceDN w:val="0"/>
        <w:adjustRightInd w:val="0"/>
        <w:ind w:firstLine="720"/>
        <w:rPr>
          <w:color w:val="000000"/>
        </w:rPr>
      </w:pPr>
    </w:p>
    <w:p w:rsidR="00D85074" w:rsidRPr="00FD06AE" w:rsidRDefault="002E32AF" w:rsidP="001E5C9E">
      <w:pPr>
        <w:autoSpaceDE w:val="0"/>
        <w:autoSpaceDN w:val="0"/>
        <w:adjustRightInd w:val="0"/>
        <w:ind w:firstLine="720"/>
      </w:pPr>
      <w:r w:rsidRPr="00FD06AE">
        <w:rPr>
          <w:color w:val="000000"/>
        </w:rPr>
        <w:t>This</w:t>
      </w:r>
      <w:r w:rsidR="00E12475" w:rsidRPr="00FD06AE">
        <w:rPr>
          <w:color w:val="000000"/>
        </w:rPr>
        <w:t xml:space="preserve"> approach</w:t>
      </w:r>
      <w:r w:rsidRPr="00FD06AE">
        <w:rPr>
          <w:color w:val="000000"/>
        </w:rPr>
        <w:t xml:space="preserve"> will provide matched </w:t>
      </w:r>
      <w:r w:rsidR="005D12C9" w:rsidRPr="00FD06AE">
        <w:rPr>
          <w:color w:val="000000"/>
        </w:rPr>
        <w:t xml:space="preserve">cases </w:t>
      </w:r>
      <w:r w:rsidRPr="00FD06AE">
        <w:rPr>
          <w:color w:val="000000"/>
        </w:rPr>
        <w:t xml:space="preserve">that will </w:t>
      </w:r>
      <w:r w:rsidR="005D12C9" w:rsidRPr="00FD06AE">
        <w:rPr>
          <w:color w:val="000000"/>
        </w:rPr>
        <w:t>allow for a calculation of</w:t>
      </w:r>
      <w:r w:rsidRPr="00FD06AE">
        <w:rPr>
          <w:color w:val="000000"/>
        </w:rPr>
        <w:t xml:space="preserve"> a</w:t>
      </w:r>
      <w:r w:rsidR="001E5C9E" w:rsidRPr="00FD06AE">
        <w:rPr>
          <w:color w:val="000000"/>
        </w:rPr>
        <w:t xml:space="preserve"> risk estimate for </w:t>
      </w:r>
      <w:r w:rsidR="007966E0" w:rsidRPr="00FD06AE">
        <w:rPr>
          <w:color w:val="000000"/>
        </w:rPr>
        <w:t xml:space="preserve">each </w:t>
      </w:r>
      <w:r w:rsidR="001E5C9E" w:rsidRPr="00FD06AE">
        <w:rPr>
          <w:color w:val="000000"/>
        </w:rPr>
        <w:t>class of drugs</w:t>
      </w:r>
      <w:r w:rsidRPr="00FD06AE">
        <w:rPr>
          <w:color w:val="000000"/>
        </w:rPr>
        <w:t xml:space="preserve"> and</w:t>
      </w:r>
      <w:r w:rsidR="005D12C9" w:rsidRPr="00FD06AE">
        <w:rPr>
          <w:color w:val="000000"/>
        </w:rPr>
        <w:t>,</w:t>
      </w:r>
      <w:r w:rsidRPr="00FD06AE">
        <w:rPr>
          <w:color w:val="000000"/>
        </w:rPr>
        <w:t xml:space="preserve"> in some cases, for </w:t>
      </w:r>
      <w:r w:rsidR="002470A8" w:rsidRPr="00FD06AE">
        <w:rPr>
          <w:color w:val="000000"/>
        </w:rPr>
        <w:t>individual</w:t>
      </w:r>
      <w:r w:rsidRPr="00FD06AE">
        <w:rPr>
          <w:color w:val="000000"/>
        </w:rPr>
        <w:t xml:space="preserve"> drugs with </w:t>
      </w:r>
      <w:r w:rsidR="005D12C9" w:rsidRPr="00FD06AE">
        <w:rPr>
          <w:color w:val="000000"/>
        </w:rPr>
        <w:t>greater</w:t>
      </w:r>
      <w:r w:rsidRPr="00FD06AE">
        <w:rPr>
          <w:color w:val="000000"/>
        </w:rPr>
        <w:t xml:space="preserve"> prevalence such as alcohol and marijuana. With this information, NHTSA and our Federal partners can develop policies and countermeasures for drugs that </w:t>
      </w:r>
      <w:r w:rsidR="00AF2F50" w:rsidRPr="00FD06AE">
        <w:rPr>
          <w:color w:val="000000"/>
        </w:rPr>
        <w:t xml:space="preserve">represent a true </w:t>
      </w:r>
      <w:r w:rsidR="005D12C9" w:rsidRPr="00FD06AE">
        <w:rPr>
          <w:color w:val="000000"/>
        </w:rPr>
        <w:t xml:space="preserve">increase in </w:t>
      </w:r>
      <w:r w:rsidRPr="00FD06AE">
        <w:rPr>
          <w:color w:val="000000"/>
        </w:rPr>
        <w:t>crash</w:t>
      </w:r>
      <w:r w:rsidR="005D12C9" w:rsidRPr="00FD06AE">
        <w:rPr>
          <w:color w:val="000000"/>
        </w:rPr>
        <w:t xml:space="preserve"> risk</w:t>
      </w:r>
      <w:r w:rsidRPr="00FD06AE">
        <w:rPr>
          <w:color w:val="000000"/>
        </w:rPr>
        <w:t xml:space="preserve">, rather than </w:t>
      </w:r>
      <w:r w:rsidR="005D12C9" w:rsidRPr="00FD06AE">
        <w:rPr>
          <w:color w:val="000000"/>
        </w:rPr>
        <w:t xml:space="preserve">focusing on </w:t>
      </w:r>
      <w:r w:rsidRPr="00FD06AE">
        <w:rPr>
          <w:color w:val="000000"/>
        </w:rPr>
        <w:t>drugs that are typical</w:t>
      </w:r>
      <w:r w:rsidR="000F1E21" w:rsidRPr="00FD06AE">
        <w:rPr>
          <w:color w:val="000000"/>
        </w:rPr>
        <w:t>ly presumed to be a risk factor</w:t>
      </w:r>
      <w:r w:rsidRPr="00FD06AE">
        <w:rPr>
          <w:color w:val="000000"/>
        </w:rPr>
        <w:t xml:space="preserve"> without</w:t>
      </w:r>
      <w:r w:rsidR="00797CC1" w:rsidRPr="00FD06AE">
        <w:rPr>
          <w:color w:val="000000"/>
        </w:rPr>
        <w:t xml:space="preserve"> supporting</w:t>
      </w:r>
      <w:r w:rsidRPr="00FD06AE">
        <w:rPr>
          <w:color w:val="000000"/>
        </w:rPr>
        <w:t xml:space="preserve"> evidence</w:t>
      </w:r>
      <w:r w:rsidR="00D209F0" w:rsidRPr="00FD06AE">
        <w:rPr>
          <w:color w:val="000000"/>
        </w:rPr>
        <w:t xml:space="preserve">. </w:t>
      </w:r>
    </w:p>
    <w:p w:rsidR="00BE1C93" w:rsidRPr="00FD06AE" w:rsidRDefault="00BE1C93" w:rsidP="00BB4C30">
      <w:pPr>
        <w:autoSpaceDE w:val="0"/>
        <w:autoSpaceDN w:val="0"/>
        <w:adjustRightInd w:val="0"/>
        <w:ind w:firstLine="720"/>
      </w:pPr>
    </w:p>
    <w:p w:rsidR="00D85074" w:rsidRPr="00FD06AE" w:rsidRDefault="00647DAA" w:rsidP="00BB4C30">
      <w:pPr>
        <w:autoSpaceDE w:val="0"/>
        <w:autoSpaceDN w:val="0"/>
        <w:adjustRightInd w:val="0"/>
        <w:ind w:firstLine="720"/>
      </w:pPr>
      <w:r w:rsidRPr="00FD06AE">
        <w:t xml:space="preserve">For NHTSA, this type of </w:t>
      </w:r>
      <w:r w:rsidR="00BE2F59" w:rsidRPr="00FD06AE">
        <w:t xml:space="preserve">data collection is crucial </w:t>
      </w:r>
      <w:r w:rsidR="0082160C" w:rsidRPr="00FD06AE">
        <w:t xml:space="preserve">for </w:t>
      </w:r>
      <w:r w:rsidR="00BE2F59" w:rsidRPr="00FD06AE">
        <w:t>learning about the relationship between drug use and crash risk, as the bodily specimen data is completely objective</w:t>
      </w:r>
      <w:r w:rsidR="007966E0" w:rsidRPr="00FD06AE">
        <w:t xml:space="preserve"> because it</w:t>
      </w:r>
      <w:r w:rsidR="00BE2F59" w:rsidRPr="00FD06AE">
        <w:t xml:space="preserve"> comes directly from drivers in crashes </w:t>
      </w:r>
      <w:r w:rsidR="007966E0" w:rsidRPr="00FD06AE">
        <w:t>shortly</w:t>
      </w:r>
      <w:r w:rsidR="00E418C0" w:rsidRPr="00FD06AE">
        <w:t xml:space="preserve"> after the crash event w</w:t>
      </w:r>
      <w:r w:rsidR="0082160C" w:rsidRPr="00FD06AE">
        <w:t>hen any drugs are still present</w:t>
      </w:r>
      <w:r w:rsidR="00E418C0" w:rsidRPr="00FD06AE">
        <w:t xml:space="preserve"> and have not yet been metabolized </w:t>
      </w:r>
      <w:r w:rsidR="0082160C" w:rsidRPr="00FD06AE">
        <w:t xml:space="preserve">by </w:t>
      </w:r>
      <w:r w:rsidR="00E418C0" w:rsidRPr="00FD06AE">
        <w:t xml:space="preserve">the body. However, </w:t>
      </w:r>
      <w:r w:rsidR="00BE2F59" w:rsidRPr="00FD06AE">
        <w:t xml:space="preserve">relative risk </w:t>
      </w:r>
      <w:r w:rsidR="0082160C" w:rsidRPr="00FD06AE">
        <w:t xml:space="preserve">can only be estimated </w:t>
      </w:r>
      <w:r w:rsidR="00BE2F59" w:rsidRPr="00FD06AE">
        <w:t>if we obtain the same data from matched controls. The</w:t>
      </w:r>
      <w:r w:rsidR="0082160C" w:rsidRPr="00FD06AE">
        <w:t xml:space="preserve"> findings </w:t>
      </w:r>
      <w:r w:rsidR="007966E0" w:rsidRPr="00FD06AE">
        <w:t xml:space="preserve">will </w:t>
      </w:r>
      <w:r w:rsidR="0082160C" w:rsidRPr="00FD06AE">
        <w:t>allow us</w:t>
      </w:r>
      <w:r w:rsidR="00BE2F59" w:rsidRPr="00FD06AE">
        <w:t xml:space="preserve"> to focus </w:t>
      </w:r>
      <w:r w:rsidR="0082160C" w:rsidRPr="00FD06AE">
        <w:t>countermeasure</w:t>
      </w:r>
      <w:r w:rsidR="00BE2F59" w:rsidRPr="00FD06AE">
        <w:t xml:space="preserve"> efforts on the drugs that present the most risk. </w:t>
      </w:r>
    </w:p>
    <w:p w:rsidR="00D85074" w:rsidRPr="00FD06AE" w:rsidRDefault="00D85074" w:rsidP="00BB4C30">
      <w:pPr>
        <w:autoSpaceDE w:val="0"/>
        <w:autoSpaceDN w:val="0"/>
        <w:adjustRightInd w:val="0"/>
        <w:ind w:firstLine="720"/>
      </w:pPr>
    </w:p>
    <w:p w:rsidR="00D658DE" w:rsidRPr="00FD06AE" w:rsidRDefault="00E418C0" w:rsidP="001532A9">
      <w:pPr>
        <w:pStyle w:val="FootnoteText"/>
        <w:ind w:firstLine="720"/>
      </w:pPr>
      <w:r w:rsidRPr="00FD06AE">
        <w:rPr>
          <w:sz w:val="24"/>
        </w:rPr>
        <w:t xml:space="preserve">NHTSA is conducting this Crash Risk study as the </w:t>
      </w:r>
      <w:r w:rsidR="00C66D27" w:rsidRPr="00FD06AE">
        <w:rPr>
          <w:sz w:val="24"/>
        </w:rPr>
        <w:t xml:space="preserve">next </w:t>
      </w:r>
      <w:r w:rsidRPr="00FD06AE">
        <w:rPr>
          <w:sz w:val="24"/>
        </w:rPr>
        <w:t>progression of our research in this area</w:t>
      </w:r>
      <w:r w:rsidR="00BD5A20" w:rsidRPr="00FD06AE">
        <w:rPr>
          <w:sz w:val="24"/>
        </w:rPr>
        <w:t xml:space="preserve"> to learn about how drug use plays a role in severe</w:t>
      </w:r>
      <w:r w:rsidR="0082160C" w:rsidRPr="00FD06AE">
        <w:rPr>
          <w:sz w:val="24"/>
          <w:szCs w:val="24"/>
        </w:rPr>
        <w:t xml:space="preserve"> injury</w:t>
      </w:r>
      <w:r w:rsidR="00BD5A20" w:rsidRPr="00FD06AE">
        <w:rPr>
          <w:sz w:val="24"/>
        </w:rPr>
        <w:t xml:space="preserve"> crashes</w:t>
      </w:r>
      <w:r w:rsidR="0026510A" w:rsidRPr="00FD06AE">
        <w:rPr>
          <w:sz w:val="24"/>
        </w:rPr>
        <w:t>. The Borkenstein and Dunlap stu</w:t>
      </w:r>
      <w:r w:rsidRPr="00FD06AE">
        <w:rPr>
          <w:sz w:val="24"/>
        </w:rPr>
        <w:t xml:space="preserve">dies sought information on the risk of alcohol use and driving. With the Virginia Beach study, we </w:t>
      </w:r>
      <w:r w:rsidR="00786E37" w:rsidRPr="00FD06AE">
        <w:rPr>
          <w:sz w:val="24"/>
        </w:rPr>
        <w:t>could</w:t>
      </w:r>
      <w:r w:rsidRPr="00FD06AE">
        <w:rPr>
          <w:sz w:val="24"/>
        </w:rPr>
        <w:t xml:space="preserve"> use newly developed oral fluid collection devices, and </w:t>
      </w:r>
      <w:r w:rsidR="00A2180F" w:rsidRPr="00FD06AE">
        <w:rPr>
          <w:sz w:val="24"/>
          <w:szCs w:val="24"/>
        </w:rPr>
        <w:t>explore</w:t>
      </w:r>
      <w:r w:rsidR="00A86FB7" w:rsidRPr="00FD06AE">
        <w:rPr>
          <w:sz w:val="24"/>
          <w:szCs w:val="24"/>
        </w:rPr>
        <w:t xml:space="preserve"> the</w:t>
      </w:r>
      <w:r w:rsidRPr="00FD06AE">
        <w:rPr>
          <w:sz w:val="24"/>
          <w:szCs w:val="24"/>
        </w:rPr>
        <w:t xml:space="preserve"> </w:t>
      </w:r>
      <w:r w:rsidRPr="00FD06AE">
        <w:rPr>
          <w:sz w:val="24"/>
        </w:rPr>
        <w:t xml:space="preserve">feasibility </w:t>
      </w:r>
      <w:r w:rsidR="00A2180F" w:rsidRPr="00FD06AE">
        <w:rPr>
          <w:sz w:val="24"/>
          <w:szCs w:val="24"/>
        </w:rPr>
        <w:t xml:space="preserve">of </w:t>
      </w:r>
      <w:r w:rsidRPr="00FD06AE">
        <w:rPr>
          <w:sz w:val="24"/>
          <w:szCs w:val="24"/>
        </w:rPr>
        <w:t>obtain</w:t>
      </w:r>
      <w:r w:rsidR="00A2180F" w:rsidRPr="00FD06AE">
        <w:rPr>
          <w:sz w:val="24"/>
          <w:szCs w:val="24"/>
        </w:rPr>
        <w:t>ing</w:t>
      </w:r>
      <w:r w:rsidR="00A2180F" w:rsidRPr="00FD06AE">
        <w:rPr>
          <w:sz w:val="24"/>
        </w:rPr>
        <w:t xml:space="preserve"> blood samples at roadside</w:t>
      </w:r>
      <w:r w:rsidRPr="00FD06AE">
        <w:rPr>
          <w:sz w:val="24"/>
          <w:szCs w:val="24"/>
        </w:rPr>
        <w:t xml:space="preserve"> to</w:t>
      </w:r>
      <w:r w:rsidRPr="00FD06AE">
        <w:rPr>
          <w:sz w:val="24"/>
        </w:rPr>
        <w:t xml:space="preserve"> examine the risk of drugs other than alcohol. </w:t>
      </w:r>
      <w:r w:rsidR="00D658DE" w:rsidRPr="00FD06AE">
        <w:rPr>
          <w:sz w:val="24"/>
        </w:rPr>
        <w:t xml:space="preserve">In the Virginia Beach study, the </w:t>
      </w:r>
      <w:r w:rsidR="007876F0" w:rsidRPr="00FD06AE">
        <w:rPr>
          <w:sz w:val="24"/>
        </w:rPr>
        <w:t xml:space="preserve">vast </w:t>
      </w:r>
      <w:r w:rsidR="00D658DE" w:rsidRPr="00FD06AE">
        <w:rPr>
          <w:sz w:val="24"/>
        </w:rPr>
        <w:t>majority of</w:t>
      </w:r>
      <w:r w:rsidR="007876F0" w:rsidRPr="00FD06AE">
        <w:rPr>
          <w:sz w:val="24"/>
        </w:rPr>
        <w:t xml:space="preserve"> </w:t>
      </w:r>
      <w:r w:rsidR="00DE4E1F" w:rsidRPr="00FD06AE">
        <w:rPr>
          <w:sz w:val="24"/>
          <w:szCs w:val="24"/>
        </w:rPr>
        <w:t>participants</w:t>
      </w:r>
      <w:r w:rsidR="007876F0" w:rsidRPr="00FD06AE">
        <w:rPr>
          <w:sz w:val="24"/>
        </w:rPr>
        <w:t xml:space="preserve"> (drivers) were involved in </w:t>
      </w:r>
      <w:r w:rsidR="00D658DE" w:rsidRPr="00FD06AE">
        <w:rPr>
          <w:sz w:val="24"/>
        </w:rPr>
        <w:t xml:space="preserve">crashes </w:t>
      </w:r>
      <w:r w:rsidR="007876F0" w:rsidRPr="00FD06AE">
        <w:rPr>
          <w:sz w:val="24"/>
        </w:rPr>
        <w:t xml:space="preserve">that </w:t>
      </w:r>
      <w:r w:rsidR="00DE4E1F" w:rsidRPr="00FD06AE">
        <w:rPr>
          <w:sz w:val="24"/>
          <w:szCs w:val="24"/>
        </w:rPr>
        <w:t>included</w:t>
      </w:r>
      <w:r w:rsidR="00D658DE" w:rsidRPr="00FD06AE">
        <w:rPr>
          <w:sz w:val="24"/>
        </w:rPr>
        <w:t xml:space="preserve"> damage </w:t>
      </w:r>
      <w:r w:rsidR="007876F0" w:rsidRPr="00FD06AE">
        <w:rPr>
          <w:sz w:val="24"/>
        </w:rPr>
        <w:t>to the vehi</w:t>
      </w:r>
      <w:r w:rsidR="00A2180F" w:rsidRPr="00FD06AE">
        <w:rPr>
          <w:sz w:val="24"/>
        </w:rPr>
        <w:t>cle but no</w:t>
      </w:r>
      <w:r w:rsidR="00A86FB7" w:rsidRPr="00FD06AE">
        <w:rPr>
          <w:sz w:val="24"/>
        </w:rPr>
        <w:t xml:space="preserve"> </w:t>
      </w:r>
      <w:r w:rsidR="00A86FB7" w:rsidRPr="00FD06AE">
        <w:rPr>
          <w:sz w:val="24"/>
          <w:szCs w:val="24"/>
        </w:rPr>
        <w:t>major</w:t>
      </w:r>
      <w:r w:rsidR="00A2180F" w:rsidRPr="00FD06AE">
        <w:rPr>
          <w:sz w:val="24"/>
          <w:szCs w:val="24"/>
        </w:rPr>
        <w:t xml:space="preserve"> </w:t>
      </w:r>
      <w:r w:rsidR="00A2180F" w:rsidRPr="00FD06AE">
        <w:rPr>
          <w:sz w:val="24"/>
        </w:rPr>
        <w:t xml:space="preserve">injury to the </w:t>
      </w:r>
      <w:r w:rsidR="00A2180F" w:rsidRPr="00FD06AE">
        <w:rPr>
          <w:sz w:val="24"/>
          <w:szCs w:val="24"/>
        </w:rPr>
        <w:t>driver</w:t>
      </w:r>
      <w:r w:rsidR="001851A2" w:rsidRPr="00FD06AE">
        <w:rPr>
          <w:sz w:val="24"/>
          <w:szCs w:val="24"/>
        </w:rPr>
        <w:t>.</w:t>
      </w:r>
      <w:r w:rsidR="00DE4E1F" w:rsidRPr="00FD06AE">
        <w:rPr>
          <w:sz w:val="24"/>
          <w:szCs w:val="24"/>
        </w:rPr>
        <w:t xml:space="preserve"> While 33% of </w:t>
      </w:r>
      <w:r w:rsidR="00DE4E1F" w:rsidRPr="00FD06AE">
        <w:rPr>
          <w:sz w:val="24"/>
        </w:rPr>
        <w:t xml:space="preserve">the crashes </w:t>
      </w:r>
      <w:r w:rsidR="00DE4E1F" w:rsidRPr="00FD06AE">
        <w:rPr>
          <w:sz w:val="24"/>
          <w:szCs w:val="24"/>
        </w:rPr>
        <w:t>involved some type of</w:t>
      </w:r>
      <w:r w:rsidR="00DE4E1F" w:rsidRPr="00FD06AE">
        <w:rPr>
          <w:sz w:val="24"/>
        </w:rPr>
        <w:t xml:space="preserve"> a </w:t>
      </w:r>
      <w:r w:rsidR="00DE4E1F" w:rsidRPr="00FD06AE">
        <w:rPr>
          <w:sz w:val="24"/>
          <w:szCs w:val="24"/>
        </w:rPr>
        <w:t>driver injury</w:t>
      </w:r>
      <w:r w:rsidR="00D449E7" w:rsidRPr="00FD06AE">
        <w:rPr>
          <w:sz w:val="24"/>
          <w:szCs w:val="24"/>
        </w:rPr>
        <w:t>,</w:t>
      </w:r>
      <w:r w:rsidR="00DE4E1F" w:rsidRPr="00FD06AE">
        <w:rPr>
          <w:sz w:val="24"/>
          <w:szCs w:val="24"/>
        </w:rPr>
        <w:t xml:space="preserve"> the injuries typically were not</w:t>
      </w:r>
      <w:r w:rsidR="00DE4E1F" w:rsidRPr="00FD06AE">
        <w:rPr>
          <w:sz w:val="24"/>
        </w:rPr>
        <w:t xml:space="preserve"> serious </w:t>
      </w:r>
      <w:r w:rsidR="00DE4E1F" w:rsidRPr="00FD06AE">
        <w:rPr>
          <w:sz w:val="24"/>
          <w:szCs w:val="24"/>
        </w:rPr>
        <w:t xml:space="preserve">and less than 1% involved a driver </w:t>
      </w:r>
      <w:r w:rsidR="00DE4E1F" w:rsidRPr="00FD06AE">
        <w:rPr>
          <w:sz w:val="24"/>
        </w:rPr>
        <w:t xml:space="preserve">fatality. </w:t>
      </w:r>
      <w:r w:rsidR="00A86FB7" w:rsidRPr="00FD06AE">
        <w:rPr>
          <w:sz w:val="24"/>
          <w:szCs w:val="24"/>
        </w:rPr>
        <w:t>These studies all</w:t>
      </w:r>
      <w:r w:rsidR="00D449E7" w:rsidRPr="00FD06AE">
        <w:rPr>
          <w:sz w:val="24"/>
          <w:szCs w:val="24"/>
        </w:rPr>
        <w:t xml:space="preserve"> </w:t>
      </w:r>
      <w:r w:rsidR="007876F0" w:rsidRPr="00FD06AE">
        <w:rPr>
          <w:sz w:val="24"/>
          <w:szCs w:val="24"/>
        </w:rPr>
        <w:t>re</w:t>
      </w:r>
      <w:r w:rsidR="00A2180F" w:rsidRPr="00FD06AE">
        <w:rPr>
          <w:sz w:val="24"/>
          <w:szCs w:val="24"/>
        </w:rPr>
        <w:t>presented</w:t>
      </w:r>
      <w:r w:rsidR="007876F0" w:rsidRPr="00FD06AE">
        <w:rPr>
          <w:sz w:val="24"/>
          <w:szCs w:val="24"/>
        </w:rPr>
        <w:t xml:space="preserve"> </w:t>
      </w:r>
      <w:r w:rsidR="00D449E7" w:rsidRPr="00FD06AE">
        <w:rPr>
          <w:sz w:val="24"/>
          <w:szCs w:val="24"/>
        </w:rPr>
        <w:t>crashes in general, but</w:t>
      </w:r>
      <w:r w:rsidR="007876F0" w:rsidRPr="00FD06AE">
        <w:rPr>
          <w:sz w:val="24"/>
          <w:szCs w:val="24"/>
        </w:rPr>
        <w:t xml:space="preserve"> </w:t>
      </w:r>
      <w:r w:rsidR="00A2180F" w:rsidRPr="00FD06AE">
        <w:rPr>
          <w:sz w:val="24"/>
          <w:szCs w:val="24"/>
        </w:rPr>
        <w:t>did not allow for an in</w:t>
      </w:r>
      <w:r w:rsidR="00065AFF" w:rsidRPr="00FD06AE">
        <w:rPr>
          <w:sz w:val="24"/>
          <w:szCs w:val="24"/>
        </w:rPr>
        <w:t>-</w:t>
      </w:r>
      <w:r w:rsidR="00A2180F" w:rsidRPr="00FD06AE">
        <w:rPr>
          <w:sz w:val="24"/>
          <w:szCs w:val="24"/>
        </w:rPr>
        <w:t>depth examination of the most severe crashes where a driver is seriously or fatally injured.</w:t>
      </w:r>
    </w:p>
    <w:p w:rsidR="00D658DE" w:rsidRPr="00FD06AE" w:rsidRDefault="00D658DE" w:rsidP="00BB4C30">
      <w:pPr>
        <w:autoSpaceDE w:val="0"/>
        <w:autoSpaceDN w:val="0"/>
        <w:adjustRightInd w:val="0"/>
        <w:ind w:firstLine="720"/>
      </w:pPr>
    </w:p>
    <w:p w:rsidR="0044165E" w:rsidRPr="00FD06AE" w:rsidRDefault="00786E37" w:rsidP="00BC44C1">
      <w:pPr>
        <w:autoSpaceDE w:val="0"/>
        <w:autoSpaceDN w:val="0"/>
        <w:adjustRightInd w:val="0"/>
        <w:ind w:firstLine="720"/>
      </w:pPr>
      <w:r w:rsidRPr="00FD06AE">
        <w:rPr>
          <w:color w:val="000000"/>
        </w:rPr>
        <w:t xml:space="preserve">For the current study, NHTSA is collaborating with Level I trauma centers </w:t>
      </w:r>
      <w:r w:rsidR="009F491E" w:rsidRPr="00FD06AE">
        <w:rPr>
          <w:color w:val="000000"/>
        </w:rPr>
        <w:t>who routinely</w:t>
      </w:r>
      <w:r w:rsidRPr="00FD06AE">
        <w:rPr>
          <w:color w:val="000000"/>
        </w:rPr>
        <w:t xml:space="preserve"> collect blood sample</w:t>
      </w:r>
      <w:r w:rsidR="009F491E" w:rsidRPr="00FD06AE">
        <w:rPr>
          <w:color w:val="000000"/>
        </w:rPr>
        <w:t>s</w:t>
      </w:r>
      <w:r w:rsidRPr="00FD06AE">
        <w:rPr>
          <w:color w:val="000000"/>
        </w:rPr>
        <w:t xml:space="preserve"> from injured crash-involved drivers </w:t>
      </w:r>
      <w:r w:rsidR="00EE4590" w:rsidRPr="00FD06AE">
        <w:rPr>
          <w:color w:val="000000"/>
        </w:rPr>
        <w:t>shortly</w:t>
      </w:r>
      <w:r w:rsidR="00A2180F" w:rsidRPr="00FD06AE">
        <w:rPr>
          <w:color w:val="000000"/>
        </w:rPr>
        <w:t xml:space="preserve"> after the crash. </w:t>
      </w:r>
      <w:r w:rsidR="00E91FCE" w:rsidRPr="00FD06AE">
        <w:rPr>
          <w:color w:val="000000"/>
        </w:rPr>
        <w:t>Seriously</w:t>
      </w:r>
      <w:r w:rsidRPr="00FD06AE">
        <w:rPr>
          <w:color w:val="000000"/>
        </w:rPr>
        <w:t xml:space="preserve"> injured drivers are a large percentage of trauma center patients</w:t>
      </w:r>
      <w:r w:rsidR="009F491E" w:rsidRPr="00FD06AE">
        <w:rPr>
          <w:color w:val="000000"/>
        </w:rPr>
        <w:t>, and blood is drawn for treatment purposes.</w:t>
      </w:r>
      <w:r w:rsidR="0044165E" w:rsidRPr="00FD06AE">
        <w:rPr>
          <w:color w:val="000000"/>
        </w:rPr>
        <w:t xml:space="preserve"> </w:t>
      </w:r>
      <w:r w:rsidR="009F491E" w:rsidRPr="00FD06AE">
        <w:rPr>
          <w:color w:val="000000"/>
        </w:rPr>
        <w:t xml:space="preserve">Because it is not known how many </w:t>
      </w:r>
      <w:r w:rsidR="00E91FCE" w:rsidRPr="00FD06AE">
        <w:rPr>
          <w:color w:val="000000"/>
        </w:rPr>
        <w:t xml:space="preserve">medical </w:t>
      </w:r>
      <w:r w:rsidR="009F491E" w:rsidRPr="00FD06AE">
        <w:rPr>
          <w:color w:val="000000"/>
        </w:rPr>
        <w:t xml:space="preserve">tests will be run for a given patient, more blood is drawn than is generally needed. While the blood draw methods may vary slightly by center (some initially fill a single large syringe while others fill smaller, individual tubes directly), a residual sample is almost always available for research purposes. This de-identified sample </w:t>
      </w:r>
      <w:r w:rsidR="00A75678" w:rsidRPr="00FD06AE">
        <w:rPr>
          <w:color w:val="000000"/>
        </w:rPr>
        <w:t>can be used</w:t>
      </w:r>
      <w:r w:rsidR="009F491E" w:rsidRPr="00FD06AE">
        <w:rPr>
          <w:color w:val="000000"/>
        </w:rPr>
        <w:t xml:space="preserve"> for research purposes under the Common Rule</w:t>
      </w:r>
      <w:r w:rsidR="00E91FCE" w:rsidRPr="00FD06AE">
        <w:rPr>
          <w:rStyle w:val="FootnoteReference"/>
          <w:color w:val="000000"/>
        </w:rPr>
        <w:footnoteReference w:id="8"/>
      </w:r>
      <w:r w:rsidR="009F491E" w:rsidRPr="00FD06AE">
        <w:rPr>
          <w:color w:val="000000"/>
        </w:rPr>
        <w:t xml:space="preserve"> that regulates the use of biological specimens in federally funded research. In fact, part of a Level 1 trauma center’s mission is to engage in research.</w:t>
      </w:r>
      <w:r w:rsidR="009F491E" w:rsidRPr="00FD06AE">
        <w:t xml:space="preserve"> </w:t>
      </w:r>
      <w:r w:rsidR="009F491E" w:rsidRPr="00FD06AE">
        <w:rPr>
          <w:color w:val="000000"/>
        </w:rPr>
        <w:t>This is an important factor in being a Level 1 center versus a Level 2 center.</w:t>
      </w:r>
      <w:r w:rsidR="009F491E" w:rsidRPr="00FD06AE">
        <w:rPr>
          <w:rStyle w:val="FootnoteReference"/>
          <w:color w:val="000000"/>
        </w:rPr>
        <w:footnoteReference w:id="9"/>
      </w:r>
      <w:r w:rsidR="009F491E" w:rsidRPr="00FD06AE">
        <w:rPr>
          <w:color w:val="000000"/>
        </w:rPr>
        <w:t xml:space="preserve"> </w:t>
      </w:r>
      <w:r w:rsidR="009F491E" w:rsidRPr="00FD06AE">
        <w:t>An example of related Level 1 research was a study to determine the incidence and prevalence of alcohol and other drug use among motor vehicle crash victims, but this study did not use a case-control design to assess the risk of being severely injured.</w:t>
      </w:r>
      <w:r w:rsidR="009F491E" w:rsidRPr="00FD06AE">
        <w:rPr>
          <w:rStyle w:val="FootnoteReference"/>
        </w:rPr>
        <w:footnoteReference w:id="10"/>
      </w:r>
      <w:r w:rsidR="009F491E" w:rsidRPr="00FD06AE">
        <w:t xml:space="preserve"> </w:t>
      </w:r>
      <w:r w:rsidR="009F491E" w:rsidRPr="00FD06AE">
        <w:rPr>
          <w:color w:val="000000"/>
        </w:rPr>
        <w:t xml:space="preserve">Similarly, the medical examiners collect blood for autopsy purposes and residual blood is available for research purposes. The participating trauma centers and medical examiners have agreed to provide these de-identified samples of blood and </w:t>
      </w:r>
      <w:r w:rsidR="009F491E" w:rsidRPr="00FD06AE">
        <w:t xml:space="preserve">de-identified information (e.g., demographics, drugs administered prior to arrival, crash location) </w:t>
      </w:r>
      <w:r w:rsidR="009F491E" w:rsidRPr="00FD06AE">
        <w:rPr>
          <w:color w:val="000000"/>
        </w:rPr>
        <w:t xml:space="preserve">to the study. </w:t>
      </w:r>
      <w:r w:rsidR="00831BC7" w:rsidRPr="00FD06AE">
        <w:rPr>
          <w:color w:val="000000"/>
        </w:rPr>
        <w:t xml:space="preserve"> </w:t>
      </w:r>
      <w:r w:rsidR="00DC3886" w:rsidRPr="00FD06AE">
        <w:rPr>
          <w:color w:val="000000"/>
        </w:rPr>
        <w:t xml:space="preserve"> </w:t>
      </w:r>
      <w:r w:rsidRPr="00FD06AE">
        <w:t xml:space="preserve"> </w:t>
      </w:r>
    </w:p>
    <w:p w:rsidR="00BE1C93" w:rsidRPr="00FD06AE" w:rsidRDefault="00BE1C93" w:rsidP="00786E37">
      <w:pPr>
        <w:autoSpaceDE w:val="0"/>
        <w:autoSpaceDN w:val="0"/>
        <w:adjustRightInd w:val="0"/>
        <w:ind w:firstLine="720"/>
      </w:pPr>
    </w:p>
    <w:p w:rsidR="00786E37" w:rsidRPr="00FD06AE" w:rsidRDefault="0044165E" w:rsidP="00786E37">
      <w:pPr>
        <w:autoSpaceDE w:val="0"/>
        <w:autoSpaceDN w:val="0"/>
        <w:adjustRightInd w:val="0"/>
        <w:ind w:firstLine="720"/>
        <w:rPr>
          <w:color w:val="000000"/>
        </w:rPr>
      </w:pPr>
      <w:r w:rsidRPr="00FD06AE">
        <w:t xml:space="preserve">This study </w:t>
      </w:r>
      <w:r w:rsidR="006813F1" w:rsidRPr="00FD06AE">
        <w:t>brings together the ability to obtain a</w:t>
      </w:r>
      <w:r w:rsidR="001B05E2" w:rsidRPr="00FD06AE">
        <w:t xml:space="preserve"> de-identified blood</w:t>
      </w:r>
      <w:r w:rsidR="006813F1" w:rsidRPr="00FD06AE">
        <w:t xml:space="preserve"> sample</w:t>
      </w:r>
      <w:r w:rsidR="00A75678" w:rsidRPr="00FD06AE">
        <w:t xml:space="preserve"> previously collected</w:t>
      </w:r>
      <w:r w:rsidR="00AF2F50" w:rsidRPr="00FD06AE">
        <w:t xml:space="preserve"> from drivers </w:t>
      </w:r>
      <w:r w:rsidR="00EE4590" w:rsidRPr="00FD06AE">
        <w:t>shortly</w:t>
      </w:r>
      <w:r w:rsidR="00AF2F50" w:rsidRPr="00FD06AE">
        <w:t xml:space="preserve"> after a crash</w:t>
      </w:r>
      <w:r w:rsidR="006813F1" w:rsidRPr="00FD06AE">
        <w:t xml:space="preserve"> and </w:t>
      </w:r>
      <w:r w:rsidR="001B05E2" w:rsidRPr="00FD06AE">
        <w:t xml:space="preserve">anonymously obtained samples </w:t>
      </w:r>
      <w:r w:rsidR="006813F1" w:rsidRPr="00FD06AE">
        <w:t xml:space="preserve">from drivers </w:t>
      </w:r>
      <w:r w:rsidR="00EE4590" w:rsidRPr="00FD06AE">
        <w:t>r</w:t>
      </w:r>
      <w:r w:rsidR="00AF2F50" w:rsidRPr="00FD06AE">
        <w:t xml:space="preserve">ecruited on the same roadway where </w:t>
      </w:r>
      <w:r w:rsidR="006813F1" w:rsidRPr="00FD06AE">
        <w:t>the crash occurred</w:t>
      </w:r>
      <w:r w:rsidR="00D209F0" w:rsidRPr="00FD06AE">
        <w:t xml:space="preserve">. </w:t>
      </w:r>
      <w:r w:rsidR="006813F1" w:rsidRPr="00FD06AE">
        <w:t xml:space="preserve">This collaboration of efforts </w:t>
      </w:r>
      <w:r w:rsidR="00786E37" w:rsidRPr="00FD06AE">
        <w:rPr>
          <w:color w:val="000000"/>
        </w:rPr>
        <w:t>allow</w:t>
      </w:r>
      <w:r w:rsidR="006813F1" w:rsidRPr="00FD06AE">
        <w:rPr>
          <w:color w:val="000000"/>
        </w:rPr>
        <w:t>s</w:t>
      </w:r>
      <w:r w:rsidR="00786E37" w:rsidRPr="00FD06AE">
        <w:rPr>
          <w:color w:val="000000"/>
        </w:rPr>
        <w:t xml:space="preserve"> for the best investigation into the relationship of drugs to the risk of being seriously or fatally</w:t>
      </w:r>
      <w:r w:rsidR="00AF2F50" w:rsidRPr="00FD06AE">
        <w:rPr>
          <w:color w:val="000000"/>
        </w:rPr>
        <w:t xml:space="preserve"> </w:t>
      </w:r>
      <w:r w:rsidR="00786E37" w:rsidRPr="00FD06AE">
        <w:rPr>
          <w:color w:val="000000"/>
        </w:rPr>
        <w:t>i</w:t>
      </w:r>
      <w:r w:rsidR="006813F1" w:rsidRPr="00FD06AE">
        <w:rPr>
          <w:color w:val="000000"/>
        </w:rPr>
        <w:t xml:space="preserve">njured in a motor vehicle crash, and providing NHTSA, other Federal agencies, </w:t>
      </w:r>
      <w:r w:rsidR="0064326A" w:rsidRPr="00FD06AE">
        <w:rPr>
          <w:color w:val="000000"/>
        </w:rPr>
        <w:t xml:space="preserve">and </w:t>
      </w:r>
      <w:r w:rsidR="00AF2F50" w:rsidRPr="00FD06AE">
        <w:rPr>
          <w:color w:val="000000"/>
        </w:rPr>
        <w:t>S</w:t>
      </w:r>
      <w:r w:rsidR="006813F1" w:rsidRPr="00FD06AE">
        <w:rPr>
          <w:color w:val="000000"/>
        </w:rPr>
        <w:t>tates with information they need develop data-driven prevention and enforcement programs for key drugs of interest.</w:t>
      </w:r>
    </w:p>
    <w:p w:rsidR="00786E37" w:rsidRPr="00FD06AE" w:rsidRDefault="00786E37" w:rsidP="00786E37">
      <w:pPr>
        <w:pStyle w:val="BodyText"/>
        <w:kinsoku w:val="0"/>
        <w:overflowPunct w:val="0"/>
        <w:spacing w:before="0" w:after="0"/>
        <w:ind w:left="43" w:right="115" w:firstLine="677"/>
      </w:pPr>
    </w:p>
    <w:p w:rsidR="00665549" w:rsidRPr="00FD06AE" w:rsidRDefault="0064326A" w:rsidP="00BB4C30">
      <w:pPr>
        <w:autoSpaceDE w:val="0"/>
        <w:autoSpaceDN w:val="0"/>
        <w:adjustRightInd w:val="0"/>
        <w:ind w:firstLine="720"/>
      </w:pPr>
      <w:r w:rsidRPr="00FD06AE">
        <w:t xml:space="preserve">As with Virginia Beach, this study is examining </w:t>
      </w:r>
      <w:r w:rsidR="00334DC9" w:rsidRPr="00FD06AE">
        <w:t xml:space="preserve">the relative risk associated with </w:t>
      </w:r>
      <w:bookmarkStart w:id="5" w:name="_Hlk508171640"/>
      <w:r w:rsidR="006E6768" w:rsidRPr="00FD06AE">
        <w:t xml:space="preserve">over-the-counter, prescription, and illegal </w:t>
      </w:r>
      <w:bookmarkEnd w:id="5"/>
      <w:r w:rsidR="00334DC9" w:rsidRPr="00FD06AE">
        <w:t>drug use by studying drivers in crashes</w:t>
      </w:r>
      <w:r w:rsidRPr="00FD06AE">
        <w:t>.</w:t>
      </w:r>
      <w:r w:rsidR="00F119C6" w:rsidRPr="00FD06AE">
        <w:rPr>
          <w:rStyle w:val="FootnoteReference"/>
        </w:rPr>
        <w:footnoteReference w:id="11"/>
      </w:r>
      <w:r w:rsidR="00F119C6" w:rsidRPr="00FD06AE">
        <w:t xml:space="preserve"> </w:t>
      </w:r>
      <w:r w:rsidRPr="00FD06AE">
        <w:t xml:space="preserve"> We are testing for </w:t>
      </w:r>
      <w:r w:rsidR="00665549" w:rsidRPr="00FD06AE">
        <w:t>64 drugs that fall into the following classes:</w:t>
      </w:r>
    </w:p>
    <w:p w:rsidR="00C57450" w:rsidRPr="00FD06AE" w:rsidRDefault="00C57450" w:rsidP="00BB4C30">
      <w:pPr>
        <w:autoSpaceDE w:val="0"/>
        <w:autoSpaceDN w:val="0"/>
        <w:adjustRightInd w:val="0"/>
        <w:ind w:firstLine="720"/>
      </w:pP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SSRIs</w:t>
      </w:r>
      <w:r w:rsidR="0020774B" w:rsidRPr="00FD06AE">
        <w:rPr>
          <w:rStyle w:val="FootnoteReference"/>
          <w:rFonts w:ascii="Times New Roman" w:hAnsi="Times New Roman"/>
          <w:sz w:val="24"/>
          <w:szCs w:val="24"/>
        </w:rPr>
        <w:footnoteReference w:id="12"/>
      </w:r>
      <w:r w:rsidR="0020774B" w:rsidRPr="00FD06AE">
        <w:rPr>
          <w:rFonts w:ascii="Times New Roman" w:hAnsi="Times New Roman" w:cs="Times New Roman"/>
          <w:sz w:val="24"/>
          <w:szCs w:val="24"/>
        </w:rPr>
        <w:t xml:space="preserve"> </w:t>
      </w:r>
      <w:r w:rsidR="001532A9" w:rsidRPr="00FD06AE">
        <w:rPr>
          <w:rFonts w:ascii="Times New Roman" w:hAnsi="Times New Roman" w:cs="Times New Roman"/>
          <w:sz w:val="24"/>
          <w:szCs w:val="24"/>
        </w:rPr>
        <w:t xml:space="preserve"> </w:t>
      </w:r>
      <w:r w:rsidRPr="00FD06AE">
        <w:rPr>
          <w:rFonts w:ascii="Times New Roman" w:hAnsi="Times New Roman" w:cs="Times New Roman"/>
          <w:sz w:val="24"/>
          <w:szCs w:val="24"/>
        </w:rPr>
        <w:t>and (5)</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T</w:t>
      </w:r>
      <w:r w:rsidR="00306567" w:rsidRPr="00FD06AE">
        <w:rPr>
          <w:rFonts w:ascii="Times New Roman" w:hAnsi="Times New Roman" w:cs="Times New Roman"/>
          <w:sz w:val="24"/>
          <w:szCs w:val="24"/>
        </w:rPr>
        <w:t>ricyclics</w:t>
      </w:r>
      <w:r w:rsidRPr="00FD06AE">
        <w:rPr>
          <w:rFonts w:ascii="Times New Roman" w:hAnsi="Times New Roman" w:cs="Times New Roman"/>
          <w:sz w:val="24"/>
          <w:szCs w:val="24"/>
        </w:rPr>
        <w:t xml:space="preserve"> (5)</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C</w:t>
      </w:r>
      <w:r w:rsidR="00306567" w:rsidRPr="00FD06AE">
        <w:rPr>
          <w:rFonts w:ascii="Times New Roman" w:hAnsi="Times New Roman" w:cs="Times New Roman"/>
          <w:sz w:val="24"/>
          <w:szCs w:val="24"/>
        </w:rPr>
        <w:t>annabinoids</w:t>
      </w:r>
      <w:r w:rsidRPr="00FD06AE">
        <w:rPr>
          <w:rFonts w:ascii="Times New Roman" w:hAnsi="Times New Roman" w:cs="Times New Roman"/>
          <w:sz w:val="24"/>
          <w:szCs w:val="24"/>
        </w:rPr>
        <w:t xml:space="preserve"> (3)</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M</w:t>
      </w:r>
      <w:r w:rsidR="00306567" w:rsidRPr="00FD06AE">
        <w:rPr>
          <w:rFonts w:ascii="Times New Roman" w:hAnsi="Times New Roman" w:cs="Times New Roman"/>
          <w:sz w:val="24"/>
          <w:szCs w:val="24"/>
        </w:rPr>
        <w:t>ethadone</w:t>
      </w:r>
      <w:r w:rsidRPr="00FD06AE">
        <w:rPr>
          <w:rFonts w:ascii="Times New Roman" w:hAnsi="Times New Roman" w:cs="Times New Roman"/>
          <w:sz w:val="24"/>
          <w:szCs w:val="24"/>
        </w:rPr>
        <w:t xml:space="preserve"> (2)</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Opiates (3)</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Opioids (11)</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Barbiturates (3)</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Benzodiazepines (9)</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Muscle relaxants (3)</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Sleep aids (1)</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Amphetamines (6)</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Cocaine (3)</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Antihistamines (3)</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Cough suppressants (3)</w:t>
      </w:r>
    </w:p>
    <w:p w:rsidR="00665549" w:rsidRPr="00FD06AE" w:rsidRDefault="00665549" w:rsidP="00665549">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S</w:t>
      </w:r>
      <w:r w:rsidR="00306567" w:rsidRPr="00FD06AE">
        <w:rPr>
          <w:rFonts w:ascii="Times New Roman" w:hAnsi="Times New Roman" w:cs="Times New Roman"/>
          <w:sz w:val="24"/>
          <w:szCs w:val="24"/>
        </w:rPr>
        <w:t>treet</w:t>
      </w:r>
      <w:r w:rsidRPr="00FD06AE">
        <w:rPr>
          <w:rFonts w:ascii="Times New Roman" w:hAnsi="Times New Roman" w:cs="Times New Roman"/>
          <w:sz w:val="24"/>
          <w:szCs w:val="24"/>
        </w:rPr>
        <w:t xml:space="preserve"> drugs (3)</w:t>
      </w:r>
    </w:p>
    <w:p w:rsidR="00C57450" w:rsidRPr="00FD06AE" w:rsidRDefault="00C57450" w:rsidP="00C57450">
      <w:pPr>
        <w:pStyle w:val="ListParagraph"/>
        <w:numPr>
          <w:ilvl w:val="0"/>
          <w:numId w:val="33"/>
        </w:numPr>
        <w:autoSpaceDE w:val="0"/>
        <w:autoSpaceDN w:val="0"/>
        <w:adjustRightInd w:val="0"/>
        <w:spacing w:after="0"/>
        <w:rPr>
          <w:rFonts w:ascii="Times New Roman" w:hAnsi="Times New Roman" w:cs="Times New Roman"/>
          <w:sz w:val="24"/>
          <w:szCs w:val="24"/>
        </w:rPr>
      </w:pPr>
      <w:r w:rsidRPr="00FD06AE">
        <w:rPr>
          <w:rFonts w:ascii="Times New Roman" w:hAnsi="Times New Roman" w:cs="Times New Roman"/>
          <w:sz w:val="24"/>
          <w:szCs w:val="24"/>
        </w:rPr>
        <w:t>Alcohol (1)</w:t>
      </w:r>
    </w:p>
    <w:p w:rsidR="00D66C69" w:rsidRPr="00FD06AE" w:rsidRDefault="00D66C69" w:rsidP="00BB4C30">
      <w:pPr>
        <w:autoSpaceDE w:val="0"/>
        <w:autoSpaceDN w:val="0"/>
        <w:adjustRightInd w:val="0"/>
        <w:ind w:firstLine="720"/>
      </w:pPr>
    </w:p>
    <w:p w:rsidR="0064326A" w:rsidRPr="00FD06AE" w:rsidRDefault="0064326A" w:rsidP="00BB4C30">
      <w:pPr>
        <w:autoSpaceDE w:val="0"/>
        <w:autoSpaceDN w:val="0"/>
        <w:adjustRightInd w:val="0"/>
        <w:ind w:firstLine="720"/>
      </w:pPr>
      <w:r w:rsidRPr="00FD06AE">
        <w:t xml:space="preserve">These </w:t>
      </w:r>
      <w:r w:rsidR="00D66C69" w:rsidRPr="00FD06AE">
        <w:t xml:space="preserve">drugs </w:t>
      </w:r>
      <w:r w:rsidRPr="00FD06AE">
        <w:t xml:space="preserve">have been selected </w:t>
      </w:r>
      <w:r w:rsidR="00D66C69" w:rsidRPr="00FD06AE">
        <w:t>because</w:t>
      </w:r>
      <w:r w:rsidRPr="00FD06AE">
        <w:t xml:space="preserve"> t</w:t>
      </w:r>
      <w:r w:rsidR="00D66C69" w:rsidRPr="00FD06AE">
        <w:t>hey can have impairing effects</w:t>
      </w:r>
      <w:r w:rsidR="00EE4590" w:rsidRPr="00FD06AE">
        <w:t>;</w:t>
      </w:r>
      <w:r w:rsidR="00D66C69" w:rsidRPr="00FD06AE">
        <w:t xml:space="preserve"> </w:t>
      </w:r>
      <w:r w:rsidRPr="00FD06AE">
        <w:t>are known to be present in toxicology reports of drivers who</w:t>
      </w:r>
      <w:r w:rsidR="00EE4590" w:rsidRPr="00FD06AE">
        <w:t xml:space="preserve"> were</w:t>
      </w:r>
      <w:r w:rsidRPr="00FD06AE">
        <w:t xml:space="preserve"> arrested for impaired d</w:t>
      </w:r>
      <w:r w:rsidR="00D66C69" w:rsidRPr="00FD06AE">
        <w:t xml:space="preserve">riving, </w:t>
      </w:r>
      <w:r w:rsidRPr="00FD06AE">
        <w:t xml:space="preserve">who </w:t>
      </w:r>
      <w:r w:rsidR="00EE4590" w:rsidRPr="00FD06AE">
        <w:t>were</w:t>
      </w:r>
      <w:r w:rsidRPr="00FD06AE">
        <w:t xml:space="preserve"> involved in fatal crashes</w:t>
      </w:r>
      <w:r w:rsidR="00EE4590" w:rsidRPr="00FD06AE">
        <w:t>;</w:t>
      </w:r>
      <w:r w:rsidRPr="00FD06AE">
        <w:t xml:space="preserve"> and they were present in drivers in NHTSA’s recent National Roadside Study.</w:t>
      </w:r>
      <w:bookmarkStart w:id="6" w:name="_Ref511899828"/>
      <w:r w:rsidRPr="00FD06AE">
        <w:rPr>
          <w:rStyle w:val="FootnoteReference"/>
        </w:rPr>
        <w:footnoteReference w:id="13"/>
      </w:r>
      <w:bookmarkEnd w:id="6"/>
      <w:r w:rsidRPr="00FD06AE">
        <w:t xml:space="preserve"> </w:t>
      </w:r>
      <w:r w:rsidR="00523326" w:rsidRPr="00FD06AE">
        <w:t xml:space="preserve">Any drugs that were not </w:t>
      </w:r>
      <w:r w:rsidR="00D66C69" w:rsidRPr="00FD06AE">
        <w:t>found in previous studies</w:t>
      </w:r>
      <w:r w:rsidR="00523326" w:rsidRPr="00FD06AE">
        <w:t xml:space="preserve"> were excluded</w:t>
      </w:r>
      <w:r w:rsidR="00EE4590" w:rsidRPr="00FD06AE">
        <w:t xml:space="preserve"> from the current effort</w:t>
      </w:r>
      <w:r w:rsidR="00523326" w:rsidRPr="00FD06AE">
        <w:t xml:space="preserve">. </w:t>
      </w:r>
      <w:r w:rsidRPr="00FD06AE">
        <w:t>The selection of drugs was also reviewed by the trauma doctors participating in the study</w:t>
      </w:r>
      <w:r w:rsidR="00BF7853" w:rsidRPr="00FD06AE">
        <w:t xml:space="preserve"> </w:t>
      </w:r>
      <w:r w:rsidR="00D66C69" w:rsidRPr="00FD06AE">
        <w:t>with</w:t>
      </w:r>
      <w:r w:rsidR="00BF7853" w:rsidRPr="00FD06AE">
        <w:t xml:space="preserve"> some</w:t>
      </w:r>
      <w:r w:rsidR="00D66C69" w:rsidRPr="00FD06AE">
        <w:t xml:space="preserve"> new</w:t>
      </w:r>
      <w:r w:rsidR="00BF7853" w:rsidRPr="00FD06AE">
        <w:t xml:space="preserve"> drugs added that the doctors are now seeing in their </w:t>
      </w:r>
      <w:r w:rsidR="00D66C69" w:rsidRPr="00FD06AE">
        <w:t xml:space="preserve">trauma </w:t>
      </w:r>
      <w:r w:rsidR="00BF7853" w:rsidRPr="00FD06AE">
        <w:t>patients</w:t>
      </w:r>
      <w:r w:rsidRPr="00FD06AE">
        <w:t xml:space="preserve">. The ability to test for </w:t>
      </w:r>
      <w:r w:rsidR="00BF7853" w:rsidRPr="00FD06AE">
        <w:t>each of these</w:t>
      </w:r>
      <w:r w:rsidRPr="00FD06AE">
        <w:t xml:space="preserve"> drugs</w:t>
      </w:r>
      <w:r w:rsidR="00BF7853" w:rsidRPr="00FD06AE">
        <w:t xml:space="preserve"> </w:t>
      </w:r>
      <w:r w:rsidR="008B029B" w:rsidRPr="00FD06AE">
        <w:t xml:space="preserve">within a small sample of blood </w:t>
      </w:r>
      <w:r w:rsidRPr="00FD06AE">
        <w:t>was confirmed with the toxicology laboratory</w:t>
      </w:r>
      <w:r w:rsidR="00D209F0" w:rsidRPr="00FD06AE">
        <w:t xml:space="preserve">. </w:t>
      </w:r>
    </w:p>
    <w:p w:rsidR="0064326A" w:rsidRPr="00FD06AE" w:rsidRDefault="0064326A" w:rsidP="00BB4C30">
      <w:pPr>
        <w:autoSpaceDE w:val="0"/>
        <w:autoSpaceDN w:val="0"/>
        <w:adjustRightInd w:val="0"/>
        <w:ind w:firstLine="720"/>
      </w:pPr>
    </w:p>
    <w:p w:rsidR="009B6A45" w:rsidRPr="00FD06AE" w:rsidRDefault="00E60614" w:rsidP="009B6A45">
      <w:pPr>
        <w:ind w:firstLine="720"/>
        <w:rPr>
          <w:spacing w:val="-1"/>
        </w:rPr>
      </w:pPr>
      <w:r w:rsidRPr="00FD06AE">
        <w:t xml:space="preserve">As </w:t>
      </w:r>
      <w:r w:rsidR="001B05E2" w:rsidRPr="00FD06AE">
        <w:t xml:space="preserve">mentioned above, as </w:t>
      </w:r>
      <w:r w:rsidRPr="00FD06AE">
        <w:t>a driver enters a participating trauma center</w:t>
      </w:r>
      <w:r w:rsidR="00BF7853" w:rsidRPr="00FD06AE">
        <w:t xml:space="preserve"> the medical team </w:t>
      </w:r>
      <w:r w:rsidR="001B05E2" w:rsidRPr="00FD06AE">
        <w:t>extracts blood samples for use during treatment. The trauma centers indicated that more blood is drawn than is usually needed, and de-identified samples can be made available for research purposes along with other de-identified patient information (e.g., demographics, drugs administered prior to arrival, crash location) under the Common Rule. Similarly, the</w:t>
      </w:r>
      <w:r w:rsidR="00ED4419" w:rsidRPr="00FD06AE">
        <w:t xml:space="preserve"> medical examiner </w:t>
      </w:r>
      <w:r w:rsidR="001B05E2" w:rsidRPr="00FD06AE">
        <w:t xml:space="preserve">can make de-identified samples and information available for research. </w:t>
      </w:r>
      <w:r w:rsidR="009B6A45" w:rsidRPr="00FD06AE">
        <w:rPr>
          <w:iCs/>
          <w:spacing w:val="-1"/>
        </w:rPr>
        <w:t>This method of sample collection for research is not novel. The samples are being collected under routine procedures for the collection of blood for clinical care. The risks, benefits and ethical considerations of the study have been carefully weighed by the investigators, research staff</w:t>
      </w:r>
      <w:r w:rsidR="00FC42C2" w:rsidRPr="00FD06AE">
        <w:rPr>
          <w:iCs/>
          <w:spacing w:val="-1"/>
        </w:rPr>
        <w:t>,</w:t>
      </w:r>
      <w:r w:rsidR="009B6A45" w:rsidRPr="00FD06AE">
        <w:rPr>
          <w:iCs/>
          <w:spacing w:val="-1"/>
        </w:rPr>
        <w:t xml:space="preserve"> and </w:t>
      </w:r>
      <w:r w:rsidR="00FC42C2" w:rsidRPr="00FD06AE">
        <w:rPr>
          <w:iCs/>
          <w:spacing w:val="-1"/>
        </w:rPr>
        <w:t xml:space="preserve">two </w:t>
      </w:r>
      <w:r w:rsidR="009B6A45" w:rsidRPr="00FD06AE">
        <w:rPr>
          <w:iCs/>
          <w:spacing w:val="-1"/>
        </w:rPr>
        <w:t>IRB</w:t>
      </w:r>
      <w:r w:rsidR="00FC42C2" w:rsidRPr="00FD06AE">
        <w:rPr>
          <w:iCs/>
          <w:spacing w:val="-1"/>
        </w:rPr>
        <w:t>s which have both approved the study</w:t>
      </w:r>
      <w:r w:rsidR="009B6A45" w:rsidRPr="00FD06AE">
        <w:rPr>
          <w:iCs/>
          <w:spacing w:val="-1"/>
        </w:rPr>
        <w:t>. </w:t>
      </w:r>
      <w:r w:rsidR="00FC42C2" w:rsidRPr="00FD06AE">
        <w:rPr>
          <w:iCs/>
          <w:spacing w:val="-1"/>
        </w:rPr>
        <w:t xml:space="preserve"> I</w:t>
      </w:r>
      <w:r w:rsidR="009B6A45" w:rsidRPr="00FD06AE">
        <w:rPr>
          <w:iCs/>
          <w:spacing w:val="-1"/>
        </w:rPr>
        <w:t xml:space="preserve">t is common </w:t>
      </w:r>
      <w:r w:rsidR="00FC42C2" w:rsidRPr="00FD06AE">
        <w:rPr>
          <w:iCs/>
          <w:spacing w:val="-1"/>
        </w:rPr>
        <w:t xml:space="preserve">for Level I trauma centers </w:t>
      </w:r>
      <w:r w:rsidR="009B6A45" w:rsidRPr="00FD06AE">
        <w:rPr>
          <w:iCs/>
          <w:spacing w:val="-1"/>
        </w:rPr>
        <w:t>to collect residual blood for research purposes</w:t>
      </w:r>
      <w:r w:rsidR="00FC42C2" w:rsidRPr="00FD06AE">
        <w:rPr>
          <w:iCs/>
          <w:spacing w:val="-1"/>
        </w:rPr>
        <w:t>.  In this study,</w:t>
      </w:r>
      <w:r w:rsidR="009B6A45" w:rsidRPr="00FD06AE">
        <w:rPr>
          <w:iCs/>
          <w:spacing w:val="-1"/>
        </w:rPr>
        <w:t xml:space="preserve"> the samples are being collected under IRB-approved waiver</w:t>
      </w:r>
      <w:r w:rsidR="00FC42C2" w:rsidRPr="00FD06AE">
        <w:rPr>
          <w:iCs/>
          <w:spacing w:val="-1"/>
        </w:rPr>
        <w:t>s</w:t>
      </w:r>
      <w:r w:rsidR="009B6A45" w:rsidRPr="00FD06AE">
        <w:rPr>
          <w:iCs/>
          <w:spacing w:val="-1"/>
        </w:rPr>
        <w:t xml:space="preserve"> of consent</w:t>
      </w:r>
      <w:r w:rsidR="00FC42C2" w:rsidRPr="00FD06AE">
        <w:rPr>
          <w:iCs/>
          <w:spacing w:val="-1"/>
        </w:rPr>
        <w:t xml:space="preserve">.  All blood samples for this study will be stored in color-coded tubes </w:t>
      </w:r>
      <w:r w:rsidR="009B6A45" w:rsidRPr="00FD06AE">
        <w:rPr>
          <w:iCs/>
          <w:spacing w:val="-1"/>
        </w:rPr>
        <w:t xml:space="preserve">specific </w:t>
      </w:r>
      <w:r w:rsidR="00FC42C2" w:rsidRPr="00FD06AE">
        <w:rPr>
          <w:iCs/>
          <w:spacing w:val="-1"/>
        </w:rPr>
        <w:t xml:space="preserve">to this study, and trauma center staff will </w:t>
      </w:r>
      <w:r w:rsidR="009B6A45" w:rsidRPr="00FD06AE">
        <w:rPr>
          <w:iCs/>
          <w:spacing w:val="-1"/>
        </w:rPr>
        <w:t xml:space="preserve">ensure </w:t>
      </w:r>
      <w:r w:rsidR="00FC42C2" w:rsidRPr="00FD06AE">
        <w:rPr>
          <w:iCs/>
          <w:spacing w:val="-1"/>
        </w:rPr>
        <w:t>each sample is f</w:t>
      </w:r>
      <w:r w:rsidR="009B6A45" w:rsidRPr="00FD06AE">
        <w:rPr>
          <w:iCs/>
          <w:spacing w:val="-1"/>
        </w:rPr>
        <w:t>ully de-identified</w:t>
      </w:r>
      <w:r w:rsidR="00FC42C2" w:rsidRPr="00FD06AE">
        <w:rPr>
          <w:iCs/>
          <w:spacing w:val="-1"/>
        </w:rPr>
        <w:t xml:space="preserve"> prior to it being available for this study.  This will </w:t>
      </w:r>
      <w:r w:rsidR="009B6A45" w:rsidRPr="00FD06AE">
        <w:rPr>
          <w:iCs/>
          <w:spacing w:val="-1"/>
        </w:rPr>
        <w:t>protect patient privacy</w:t>
      </w:r>
      <w:r w:rsidR="00FC42C2" w:rsidRPr="00FD06AE">
        <w:rPr>
          <w:iCs/>
          <w:spacing w:val="-1"/>
        </w:rPr>
        <w:t>,</w:t>
      </w:r>
      <w:r w:rsidR="009B6A45" w:rsidRPr="00FD06AE">
        <w:rPr>
          <w:iCs/>
          <w:spacing w:val="-1"/>
        </w:rPr>
        <w:t xml:space="preserve"> and </w:t>
      </w:r>
      <w:r w:rsidR="00FC42C2" w:rsidRPr="00FD06AE">
        <w:rPr>
          <w:iCs/>
          <w:spacing w:val="-1"/>
        </w:rPr>
        <w:t xml:space="preserve">will </w:t>
      </w:r>
      <w:r w:rsidR="009B6A45" w:rsidRPr="00FD06AE">
        <w:rPr>
          <w:iCs/>
          <w:spacing w:val="-1"/>
        </w:rPr>
        <w:t>reduce burden on the participant population. This process</w:t>
      </w:r>
      <w:r w:rsidR="00FC42C2" w:rsidRPr="00FD06AE">
        <w:rPr>
          <w:iCs/>
          <w:spacing w:val="-1"/>
        </w:rPr>
        <w:t>,</w:t>
      </w:r>
      <w:r w:rsidR="009B6A45" w:rsidRPr="00FD06AE">
        <w:rPr>
          <w:iCs/>
          <w:spacing w:val="-1"/>
        </w:rPr>
        <w:t xml:space="preserve"> and human subject protections were discussed with the IRB at length prior to approval.</w:t>
      </w:r>
    </w:p>
    <w:p w:rsidR="009B6A45" w:rsidRPr="00FD06AE" w:rsidRDefault="009B6A45" w:rsidP="00B47C16">
      <w:pPr>
        <w:autoSpaceDE w:val="0"/>
        <w:autoSpaceDN w:val="0"/>
        <w:adjustRightInd w:val="0"/>
        <w:ind w:firstLine="720"/>
      </w:pPr>
    </w:p>
    <w:p w:rsidR="007A7D39" w:rsidRPr="00FD06AE" w:rsidRDefault="008B029B" w:rsidP="00B47C16">
      <w:pPr>
        <w:autoSpaceDE w:val="0"/>
        <w:autoSpaceDN w:val="0"/>
        <w:adjustRightInd w:val="0"/>
        <w:ind w:firstLine="720"/>
      </w:pPr>
      <w:r w:rsidRPr="00FD06AE">
        <w:t>One week later</w:t>
      </w:r>
      <w:r w:rsidR="00BF7853" w:rsidRPr="00FD06AE">
        <w:t xml:space="preserve"> on the same day of the week, same time of day, and same direction of traffic, a research team, including a phlebotomist</w:t>
      </w:r>
      <w:r w:rsidR="00ED4419" w:rsidRPr="00FD06AE">
        <w:t xml:space="preserve"> will conduct data collection for the control drivers. R</w:t>
      </w:r>
      <w:r w:rsidRPr="00FD06AE">
        <w:t>ecrui</w:t>
      </w:r>
      <w:r w:rsidR="00ED4419" w:rsidRPr="00FD06AE">
        <w:t xml:space="preserve">ted drivers will be requested to </w:t>
      </w:r>
      <w:r w:rsidR="00DE1358" w:rsidRPr="00FD06AE">
        <w:t xml:space="preserve">voluntarily </w:t>
      </w:r>
      <w:r w:rsidRPr="00FD06AE">
        <w:t>participate, and for</w:t>
      </w:r>
      <w:r w:rsidR="0040117D" w:rsidRPr="00FD06AE">
        <w:t xml:space="preserve"> those who consent </w:t>
      </w:r>
      <w:r w:rsidR="00ED4419" w:rsidRPr="00FD06AE">
        <w:t>the phlebotomist</w:t>
      </w:r>
      <w:r w:rsidR="00BF7853" w:rsidRPr="00FD06AE">
        <w:t xml:space="preserve"> will request a </w:t>
      </w:r>
      <w:r w:rsidR="00ED4419" w:rsidRPr="00FD06AE">
        <w:t xml:space="preserve">small </w:t>
      </w:r>
      <w:r w:rsidR="00BF7853" w:rsidRPr="00FD06AE">
        <w:t>blood sample.</w:t>
      </w:r>
      <w:r w:rsidR="00B47C16" w:rsidRPr="00FD06AE">
        <w:t xml:space="preserve"> These control drivers will also be asked to provide a breath test (allows us further information about the presence of alcohol)</w:t>
      </w:r>
      <w:r w:rsidR="00C6435D" w:rsidRPr="00FD06AE">
        <w:t xml:space="preserve"> via a preliminary breath test device</w:t>
      </w:r>
      <w:r w:rsidR="00B47C16" w:rsidRPr="00FD06AE">
        <w:t xml:space="preserve">, and to answer questions including </w:t>
      </w:r>
      <w:r w:rsidR="00BF6EB6" w:rsidRPr="00FD06AE">
        <w:t>demographic information, trip information, and opinions about driving while using alcohol</w:t>
      </w:r>
      <w:r w:rsidR="00B47C16" w:rsidRPr="00FD06AE">
        <w:t xml:space="preserve"> or </w:t>
      </w:r>
      <w:r w:rsidR="00BF6EB6" w:rsidRPr="00FD06AE">
        <w:t>drugs</w:t>
      </w:r>
      <w:r w:rsidR="00334DC9" w:rsidRPr="00FD06AE">
        <w:t xml:space="preserve">. </w:t>
      </w:r>
      <w:r w:rsidR="00B47C16" w:rsidRPr="00FD06AE">
        <w:t>All</w:t>
      </w:r>
      <w:r w:rsidRPr="00FD06AE">
        <w:t xml:space="preserve"> data from </w:t>
      </w:r>
      <w:r w:rsidR="00B47C16" w:rsidRPr="00FD06AE">
        <w:t>control d</w:t>
      </w:r>
      <w:r w:rsidRPr="00FD06AE">
        <w:t>rivers</w:t>
      </w:r>
      <w:r w:rsidR="00B47C16" w:rsidRPr="00FD06AE">
        <w:t xml:space="preserve"> will be </w:t>
      </w:r>
      <w:r w:rsidR="00334DC9" w:rsidRPr="00FD06AE">
        <w:t>anonymous</w:t>
      </w:r>
      <w:r w:rsidR="00C6435D" w:rsidRPr="00FD06AE">
        <w:t>.</w:t>
      </w:r>
      <w:r w:rsidR="00CB1BAE" w:rsidRPr="00FD06AE">
        <w:t xml:space="preserve"> If the data collector belie</w:t>
      </w:r>
      <w:r w:rsidR="0040117D" w:rsidRPr="00FD06AE">
        <w:t>ves that the driver is impaired</w:t>
      </w:r>
      <w:r w:rsidR="00CB1BAE" w:rsidRPr="00FD06AE">
        <w:t xml:space="preserve"> for any reason, the study’s protocol includes several strategie</w:t>
      </w:r>
      <w:r w:rsidRPr="00FD06AE">
        <w:t>s to get the person home safely</w:t>
      </w:r>
      <w:r w:rsidR="00CB1BAE" w:rsidRPr="00FD06AE">
        <w:t xml:space="preserve"> with no involvement of law enforcement and no cost to the driver. </w:t>
      </w:r>
    </w:p>
    <w:p w:rsidR="001C0AA3" w:rsidRPr="00FD06AE" w:rsidRDefault="001C0AA3" w:rsidP="007A7D39">
      <w:pPr>
        <w:pStyle w:val="BodyText"/>
        <w:kinsoku w:val="0"/>
        <w:overflowPunct w:val="0"/>
        <w:spacing w:before="0" w:after="0"/>
        <w:ind w:left="43" w:right="115" w:firstLine="677"/>
      </w:pPr>
    </w:p>
    <w:p w:rsidR="00882BC2" w:rsidRPr="00FD06AE" w:rsidRDefault="009D36FD" w:rsidP="007A7D39">
      <w:pPr>
        <w:pStyle w:val="BodyText"/>
        <w:kinsoku w:val="0"/>
        <w:overflowPunct w:val="0"/>
        <w:spacing w:before="0" w:after="0"/>
        <w:ind w:left="43" w:right="115" w:firstLine="677"/>
      </w:pPr>
      <w:r w:rsidRPr="00FD06AE">
        <w:t>The trauma centers and medical examiners will provide</w:t>
      </w:r>
      <w:r w:rsidR="00DE1358" w:rsidRPr="00FD06AE">
        <w:t xml:space="preserve"> data </w:t>
      </w:r>
      <w:r w:rsidRPr="00FD06AE">
        <w:t xml:space="preserve">for </w:t>
      </w:r>
      <w:r w:rsidR="00C32B25" w:rsidRPr="00FD06AE">
        <w:t>a minimum of</w:t>
      </w:r>
      <w:r w:rsidR="00334DC9" w:rsidRPr="00FD06AE">
        <w:t xml:space="preserve"> 2,500 crash-involved drivers and </w:t>
      </w:r>
      <w:r w:rsidRPr="00FD06AE">
        <w:t xml:space="preserve">field teams will gather data from </w:t>
      </w:r>
      <w:r w:rsidR="00334DC9" w:rsidRPr="00FD06AE">
        <w:t>at least 5,000 control drivers</w:t>
      </w:r>
      <w:r w:rsidR="00DE1358" w:rsidRPr="00FD06AE">
        <w:t xml:space="preserve"> – </w:t>
      </w:r>
      <w:r w:rsidR="008B029B" w:rsidRPr="00FD06AE">
        <w:t>1:2 matched design</w:t>
      </w:r>
      <w:r w:rsidR="00D209F0" w:rsidRPr="00FD06AE">
        <w:t xml:space="preserve">. </w:t>
      </w:r>
      <w:r w:rsidR="00DE1358" w:rsidRPr="00FD06AE">
        <w:t>Data collection will occur i</w:t>
      </w:r>
      <w:r w:rsidR="0040117D" w:rsidRPr="00FD06AE">
        <w:t>n three Level 1 trauma centers</w:t>
      </w:r>
      <w:r w:rsidR="0075370C" w:rsidRPr="00FD06AE">
        <w:t xml:space="preserve"> and the associated medical examiners</w:t>
      </w:r>
      <w:r w:rsidR="0040117D" w:rsidRPr="00FD06AE">
        <w:t>. E</w:t>
      </w:r>
      <w:r w:rsidR="00DE1358" w:rsidRPr="00FD06AE">
        <w:t>ach of these centers has a large catchment area and routinely receives large numbers of people involved in motor vehicle crashes</w:t>
      </w:r>
      <w:r w:rsidR="00D209F0" w:rsidRPr="00FD06AE">
        <w:t xml:space="preserve">. </w:t>
      </w:r>
    </w:p>
    <w:p w:rsidR="00882BC2" w:rsidRPr="00FD06AE" w:rsidRDefault="00882BC2" w:rsidP="007A7D39">
      <w:pPr>
        <w:pStyle w:val="BodyText"/>
        <w:kinsoku w:val="0"/>
        <w:overflowPunct w:val="0"/>
        <w:spacing w:before="0" w:after="0"/>
        <w:ind w:left="43" w:right="115" w:firstLine="677"/>
      </w:pPr>
    </w:p>
    <w:p w:rsidR="00C769F8" w:rsidRPr="00FD06AE" w:rsidRDefault="00DE1358" w:rsidP="007A7D39">
      <w:pPr>
        <w:pStyle w:val="BodyText"/>
        <w:kinsoku w:val="0"/>
        <w:overflowPunct w:val="0"/>
        <w:spacing w:before="0" w:after="0"/>
        <w:ind w:left="43" w:right="115" w:firstLine="677"/>
      </w:pPr>
      <w:r w:rsidRPr="00FD06AE">
        <w:t>Each trauma center, including their research and administrative offices</w:t>
      </w:r>
      <w:r w:rsidR="008B029B" w:rsidRPr="00FD06AE">
        <w:t>, has</w:t>
      </w:r>
      <w:r w:rsidRPr="00FD06AE">
        <w:t xml:space="preserve"> agreed to participate and </w:t>
      </w:r>
      <w:r w:rsidR="008B029B" w:rsidRPr="00FD06AE">
        <w:t xml:space="preserve">they </w:t>
      </w:r>
      <w:r w:rsidRPr="00FD06AE">
        <w:t xml:space="preserve">have been involved in planning and </w:t>
      </w:r>
      <w:r w:rsidR="008B029B" w:rsidRPr="00FD06AE">
        <w:t xml:space="preserve">the development of </w:t>
      </w:r>
      <w:r w:rsidRPr="00FD06AE">
        <w:t xml:space="preserve">protocols </w:t>
      </w:r>
      <w:r w:rsidR="001B05E2" w:rsidRPr="00FD06AE">
        <w:t xml:space="preserve">for </w:t>
      </w:r>
      <w:r w:rsidRPr="00FD06AE">
        <w:t xml:space="preserve">obtaining </w:t>
      </w:r>
      <w:r w:rsidR="001B05E2" w:rsidRPr="00FD06AE">
        <w:t xml:space="preserve">de-identified </w:t>
      </w:r>
      <w:r w:rsidRPr="00FD06AE">
        <w:t xml:space="preserve">blood samples. </w:t>
      </w:r>
      <w:r w:rsidR="00C769F8" w:rsidRPr="00FD06AE">
        <w:t xml:space="preserve">NHTSA is also working with the approval of law enforcement agencies in each of these sites, and their management have been involved in planning meetings. </w:t>
      </w:r>
    </w:p>
    <w:p w:rsidR="00882BC2" w:rsidRPr="00FD06AE" w:rsidRDefault="00882BC2" w:rsidP="007A7D39">
      <w:pPr>
        <w:pStyle w:val="BodyText"/>
        <w:kinsoku w:val="0"/>
        <w:overflowPunct w:val="0"/>
        <w:spacing w:before="0" w:after="0"/>
        <w:ind w:left="43" w:right="115" w:firstLine="677"/>
      </w:pPr>
    </w:p>
    <w:p w:rsidR="00B93628" w:rsidRPr="00FD06AE" w:rsidRDefault="00882BC2" w:rsidP="009D36FD">
      <w:pPr>
        <w:pStyle w:val="BodyText"/>
        <w:kinsoku w:val="0"/>
        <w:overflowPunct w:val="0"/>
        <w:spacing w:before="0" w:after="0"/>
        <w:ind w:left="43" w:right="115" w:firstLine="677"/>
        <w:rPr>
          <w:rFonts w:ascii="TimesNewRomanPSMT" w:hAnsi="TimesNewRomanPSMT" w:cs="TimesNewRomanPSMT"/>
        </w:rPr>
      </w:pPr>
      <w:r w:rsidRPr="00FD06AE">
        <w:t>This study’s design and protocol</w:t>
      </w:r>
      <w:r w:rsidR="006413D2" w:rsidRPr="00FD06AE">
        <w:t>s</w:t>
      </w:r>
      <w:r w:rsidRPr="00FD06AE">
        <w:t xml:space="preserve"> were approved </w:t>
      </w:r>
      <w:r w:rsidR="006413D2" w:rsidRPr="00FD06AE">
        <w:t xml:space="preserve">by </w:t>
      </w:r>
      <w:r w:rsidRPr="00FD06AE">
        <w:t>a</w:t>
      </w:r>
      <w:r w:rsidR="003B0E85" w:rsidRPr="00FD06AE">
        <w:t xml:space="preserve"> central </w:t>
      </w:r>
      <w:r w:rsidRPr="00FD06AE">
        <w:t>IRB</w:t>
      </w:r>
      <w:r w:rsidR="005972F5" w:rsidRPr="00FD06AE">
        <w:t xml:space="preserve"> </w:t>
      </w:r>
      <w:r w:rsidR="00796197" w:rsidRPr="00FD06AE">
        <w:t xml:space="preserve">for the </w:t>
      </w:r>
      <w:r w:rsidR="009B6A45" w:rsidRPr="00FD06AE">
        <w:t xml:space="preserve">trauma center </w:t>
      </w:r>
      <w:r w:rsidR="00796197" w:rsidRPr="00FD06AE">
        <w:t>data collection effort</w:t>
      </w:r>
      <w:r w:rsidR="003B0E85" w:rsidRPr="00FD06AE">
        <w:t>s</w:t>
      </w:r>
      <w:r w:rsidR="005972F5" w:rsidRPr="00FD06AE">
        <w:t xml:space="preserve"> </w:t>
      </w:r>
      <w:r w:rsidR="009B6A45" w:rsidRPr="00FD06AE">
        <w:t>in Charlotte and Miami</w:t>
      </w:r>
      <w:r w:rsidR="003B0E85" w:rsidRPr="00FD06AE">
        <w:t>,</w:t>
      </w:r>
      <w:r w:rsidR="009B6A45" w:rsidRPr="00FD06AE">
        <w:t xml:space="preserve"> and control sampling activities at all three sites </w:t>
      </w:r>
      <w:r w:rsidR="005972F5" w:rsidRPr="00FD06AE">
        <w:t>(</w:t>
      </w:r>
      <w:r w:rsidR="00A04297" w:rsidRPr="00FD06AE">
        <w:t>Chesapeake</w:t>
      </w:r>
      <w:r w:rsidR="005972F5" w:rsidRPr="00FD06AE">
        <w:t xml:space="preserve">, </w:t>
      </w:r>
      <w:r w:rsidR="005972F5" w:rsidRPr="00FD06AE">
        <w:rPr>
          <w:rFonts w:ascii="TimesNewRomanPSMT" w:hAnsi="TimesNewRomanPSMT" w:cs="TimesNewRomanPSMT"/>
        </w:rPr>
        <w:t>Pro00022129</w:t>
      </w:r>
      <w:r w:rsidR="00A04297" w:rsidRPr="00FD06AE">
        <w:rPr>
          <w:rFonts w:ascii="TimesNewRomanPSMT" w:hAnsi="TimesNewRomanPSMT" w:cs="TimesNewRomanPSMT"/>
        </w:rPr>
        <w:t>, November 2917</w:t>
      </w:r>
      <w:r w:rsidR="005972F5" w:rsidRPr="00FD06AE">
        <w:rPr>
          <w:rFonts w:ascii="TimesNewRomanPSMT" w:hAnsi="TimesNewRomanPSMT" w:cs="TimesNewRomanPSMT"/>
        </w:rPr>
        <w:t>)</w:t>
      </w:r>
      <w:r w:rsidR="00D209F0" w:rsidRPr="00FD06AE">
        <w:rPr>
          <w:rFonts w:ascii="TimesNewRomanPSMT" w:hAnsi="TimesNewRomanPSMT" w:cs="TimesNewRomanPSMT"/>
        </w:rPr>
        <w:t>.</w:t>
      </w:r>
      <w:r w:rsidR="009B6A45" w:rsidRPr="00FD06AE">
        <w:rPr>
          <w:rFonts w:ascii="TimesNewRomanPSMT" w:hAnsi="TimesNewRomanPSMT" w:cs="TimesNewRomanPSMT"/>
        </w:rPr>
        <w:t xml:space="preserve"> The University of Florida Health Jacksonville opted to have its local IRB</w:t>
      </w:r>
      <w:r w:rsidR="003B0E85" w:rsidRPr="00FD06AE">
        <w:rPr>
          <w:rFonts w:ascii="TimesNewRomanPSMT" w:hAnsi="TimesNewRomanPSMT" w:cs="TimesNewRomanPSMT"/>
        </w:rPr>
        <w:t xml:space="preserve"> review the protocol for its</w:t>
      </w:r>
      <w:r w:rsidR="009B6A45" w:rsidRPr="00FD06AE">
        <w:rPr>
          <w:rFonts w:ascii="TimesNewRomanPSMT" w:hAnsi="TimesNewRomanPSMT" w:cs="TimesNewRomanPSMT"/>
        </w:rPr>
        <w:t xml:space="preserve"> trauma center </w:t>
      </w:r>
      <w:r w:rsidR="003B0E85" w:rsidRPr="00FD06AE">
        <w:rPr>
          <w:rFonts w:ascii="TimesNewRomanPSMT" w:hAnsi="TimesNewRomanPSMT" w:cs="TimesNewRomanPSMT"/>
        </w:rPr>
        <w:t xml:space="preserve">data collection </w:t>
      </w:r>
      <w:r w:rsidR="009B6A45" w:rsidRPr="00FD06AE">
        <w:rPr>
          <w:rFonts w:ascii="TimesNewRomanPSMT" w:hAnsi="TimesNewRomanPSMT" w:cs="TimesNewRomanPSMT"/>
        </w:rPr>
        <w:t>activities. The local</w:t>
      </w:r>
      <w:r w:rsidR="003B0E85" w:rsidRPr="00FD06AE">
        <w:rPr>
          <w:rFonts w:ascii="TimesNewRomanPSMT" w:hAnsi="TimesNewRomanPSMT" w:cs="TimesNewRomanPSMT"/>
        </w:rPr>
        <w:t xml:space="preserve"> U</w:t>
      </w:r>
      <w:r w:rsidR="00E12475" w:rsidRPr="00FD06AE">
        <w:rPr>
          <w:rFonts w:ascii="TimesNewRomanPSMT" w:hAnsi="TimesNewRomanPSMT" w:cs="TimesNewRomanPSMT"/>
        </w:rPr>
        <w:t>niversity of Florida</w:t>
      </w:r>
      <w:r w:rsidR="009B6A45" w:rsidRPr="00FD06AE">
        <w:rPr>
          <w:rFonts w:ascii="TimesNewRomanPSMT" w:hAnsi="TimesNewRomanPSMT" w:cs="TimesNewRomanPSMT"/>
        </w:rPr>
        <w:t xml:space="preserve"> IRB approved the protocols</w:t>
      </w:r>
      <w:r w:rsidR="003B0E85" w:rsidRPr="00FD06AE">
        <w:rPr>
          <w:rFonts w:ascii="TimesNewRomanPSMT" w:hAnsi="TimesNewRomanPSMT" w:cs="TimesNewRomanPSMT"/>
        </w:rPr>
        <w:t xml:space="preserve"> for trauma center data collection and providing of de-identified </w:t>
      </w:r>
      <w:r w:rsidR="00E12475" w:rsidRPr="00FD06AE">
        <w:rPr>
          <w:rFonts w:ascii="TimesNewRomanPSMT" w:hAnsi="TimesNewRomanPSMT" w:cs="TimesNewRomanPSMT"/>
        </w:rPr>
        <w:t xml:space="preserve">samples and information </w:t>
      </w:r>
      <w:r w:rsidR="003B0E85" w:rsidRPr="00FD06AE">
        <w:rPr>
          <w:rFonts w:ascii="TimesNewRomanPSMT" w:hAnsi="TimesNewRomanPSMT" w:cs="TimesNewRomanPSMT"/>
        </w:rPr>
        <w:t xml:space="preserve">to NHTSA (UF IRB201800117). </w:t>
      </w:r>
      <w:r w:rsidR="00A04297" w:rsidRPr="00FD06AE">
        <w:rPr>
          <w:rFonts w:ascii="TimesNewRomanPSMT" w:hAnsi="TimesNewRomanPSMT"/>
        </w:rPr>
        <w:t xml:space="preserve">Each participating trauma center’s </w:t>
      </w:r>
      <w:r w:rsidR="00796197" w:rsidRPr="00FD06AE">
        <w:rPr>
          <w:rFonts w:ascii="TimesNewRomanPSMT" w:hAnsi="TimesNewRomanPSMT"/>
        </w:rPr>
        <w:t xml:space="preserve">research </w:t>
      </w:r>
      <w:r w:rsidR="00796197" w:rsidRPr="00FD06AE">
        <w:rPr>
          <w:rFonts w:ascii="TimesNewRomanPSMT" w:hAnsi="TimesNewRomanPSMT" w:cs="TimesNewRomanPSMT"/>
        </w:rPr>
        <w:t>staff have</w:t>
      </w:r>
      <w:r w:rsidR="00796197" w:rsidRPr="00FD06AE">
        <w:rPr>
          <w:rFonts w:ascii="TimesNewRomanPSMT" w:hAnsi="TimesNewRomanPSMT"/>
        </w:rPr>
        <w:t xml:space="preserve"> also reviewed the protocols</w:t>
      </w:r>
      <w:r w:rsidR="00796197" w:rsidRPr="00FD06AE">
        <w:rPr>
          <w:rFonts w:ascii="TimesNewRomanPSMT" w:hAnsi="TimesNewRomanPSMT" w:cs="TimesNewRomanPSMT"/>
        </w:rPr>
        <w:t xml:space="preserve"> along with any other required IRB or research committee reviews that must be completed before the data collection is allowed to take place</w:t>
      </w:r>
      <w:r w:rsidR="00D209F0" w:rsidRPr="00FD06AE">
        <w:rPr>
          <w:rFonts w:ascii="TimesNewRomanPSMT" w:hAnsi="TimesNewRomanPSMT" w:cs="TimesNewRomanPSMT"/>
        </w:rPr>
        <w:t>.</w:t>
      </w:r>
    </w:p>
    <w:p w:rsidR="001B05E2" w:rsidRPr="00FD06AE" w:rsidRDefault="001B05E2" w:rsidP="009D36FD">
      <w:pPr>
        <w:pStyle w:val="BodyText"/>
        <w:kinsoku w:val="0"/>
        <w:overflowPunct w:val="0"/>
        <w:spacing w:before="0" w:after="0"/>
        <w:ind w:left="43" w:right="115" w:firstLine="677"/>
        <w:rPr>
          <w:rFonts w:ascii="TimesNewRomanPSMT" w:hAnsi="TimesNewRomanPSMT" w:cs="TimesNewRomanPSMT"/>
        </w:rPr>
      </w:pPr>
    </w:p>
    <w:p w:rsidR="00334DC9" w:rsidRPr="00FD06AE" w:rsidRDefault="005B0910" w:rsidP="007A7D39">
      <w:pPr>
        <w:pStyle w:val="BodyText"/>
        <w:kinsoku w:val="0"/>
        <w:overflowPunct w:val="0"/>
        <w:spacing w:before="0" w:after="0"/>
        <w:ind w:left="43" w:right="115" w:firstLine="677"/>
      </w:pPr>
      <w:r w:rsidRPr="00FD06AE">
        <w:t xml:space="preserve">The </w:t>
      </w:r>
      <w:r w:rsidR="001217EB" w:rsidRPr="00FD06AE">
        <w:t xml:space="preserve">anticipated </w:t>
      </w:r>
      <w:r w:rsidRPr="00FD06AE">
        <w:t>general participant flow for both crash-involved and control drivers is as follows:</w:t>
      </w:r>
    </w:p>
    <w:p w:rsidR="005B0910" w:rsidRPr="00FD06AE" w:rsidRDefault="005B0910" w:rsidP="00334DC9">
      <w:pPr>
        <w:pStyle w:val="BodyText"/>
        <w:kinsoku w:val="0"/>
        <w:overflowPunct w:val="0"/>
        <w:spacing w:before="0" w:after="0"/>
        <w:ind w:left="43" w:right="115" w:firstLine="677"/>
      </w:pPr>
    </w:p>
    <w:tbl>
      <w:tblPr>
        <w:tblStyle w:val="TableGrid"/>
        <w:tblW w:w="0" w:type="auto"/>
        <w:tblInd w:w="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736FC0" w:rsidRPr="00FD06AE" w:rsidTr="009345A2">
        <w:tc>
          <w:tcPr>
            <w:tcW w:w="4315" w:type="dxa"/>
            <w:tcBorders>
              <w:top w:val="single" w:sz="4" w:space="0" w:color="auto"/>
              <w:bottom w:val="single" w:sz="4" w:space="0" w:color="auto"/>
            </w:tcBorders>
          </w:tcPr>
          <w:p w:rsidR="00736FC0" w:rsidRPr="00FD06AE" w:rsidRDefault="00736FC0" w:rsidP="00334DC9">
            <w:pPr>
              <w:pStyle w:val="BodyText"/>
              <w:kinsoku w:val="0"/>
              <w:overflowPunct w:val="0"/>
              <w:spacing w:before="0" w:after="0"/>
              <w:ind w:right="115"/>
              <w:rPr>
                <w:smallCaps/>
              </w:rPr>
            </w:pPr>
            <w:r w:rsidRPr="00FD06AE">
              <w:rPr>
                <w:smallCaps/>
              </w:rPr>
              <w:t>Crash-Involved Drivers</w:t>
            </w:r>
          </w:p>
        </w:tc>
        <w:tc>
          <w:tcPr>
            <w:tcW w:w="4315" w:type="dxa"/>
            <w:tcBorders>
              <w:top w:val="single" w:sz="4" w:space="0" w:color="auto"/>
              <w:bottom w:val="single" w:sz="4" w:space="0" w:color="auto"/>
            </w:tcBorders>
          </w:tcPr>
          <w:p w:rsidR="00736FC0" w:rsidRPr="00FD06AE" w:rsidRDefault="001F1204" w:rsidP="00334DC9">
            <w:pPr>
              <w:pStyle w:val="BodyText"/>
              <w:kinsoku w:val="0"/>
              <w:overflowPunct w:val="0"/>
              <w:spacing w:before="0" w:after="0"/>
              <w:ind w:right="115"/>
              <w:rPr>
                <w:smallCaps/>
              </w:rPr>
            </w:pPr>
            <w:r w:rsidRPr="00FD06AE">
              <w:rPr>
                <w:smallCaps/>
              </w:rPr>
              <w:t xml:space="preserve">   </w:t>
            </w:r>
            <w:r w:rsidR="00736FC0" w:rsidRPr="00FD06AE">
              <w:rPr>
                <w:smallCaps/>
              </w:rPr>
              <w:t>Control Drivers</w:t>
            </w:r>
          </w:p>
        </w:tc>
      </w:tr>
      <w:tr w:rsidR="00736FC0" w:rsidRPr="00FD06AE" w:rsidTr="009345A2">
        <w:tc>
          <w:tcPr>
            <w:tcW w:w="4315" w:type="dxa"/>
            <w:tcBorders>
              <w:top w:val="single" w:sz="4" w:space="0" w:color="auto"/>
            </w:tcBorders>
          </w:tcPr>
          <w:p w:rsidR="005E655E" w:rsidRPr="00FD06AE" w:rsidRDefault="009F5D0A" w:rsidP="003B1E88">
            <w:pPr>
              <w:pStyle w:val="BodyText"/>
              <w:numPr>
                <w:ilvl w:val="0"/>
                <w:numId w:val="27"/>
              </w:numPr>
              <w:kinsoku w:val="0"/>
              <w:overflowPunct w:val="0"/>
              <w:ind w:right="115"/>
            </w:pPr>
            <w:r w:rsidRPr="00FD06AE">
              <w:t>C</w:t>
            </w:r>
            <w:r w:rsidR="00736FC0" w:rsidRPr="00FD06AE">
              <w:t>rash</w:t>
            </w:r>
            <w:r w:rsidRPr="00FD06AE">
              <w:t xml:space="preserve"> occurs / EMS on scene</w:t>
            </w:r>
          </w:p>
          <w:p w:rsidR="00736FC0" w:rsidRPr="00FD06AE" w:rsidRDefault="005E655E" w:rsidP="003B1E88">
            <w:pPr>
              <w:pStyle w:val="BodyText"/>
              <w:numPr>
                <w:ilvl w:val="0"/>
                <w:numId w:val="27"/>
              </w:numPr>
              <w:kinsoku w:val="0"/>
              <w:overflowPunct w:val="0"/>
              <w:ind w:right="115"/>
            </w:pPr>
            <w:r w:rsidRPr="00FD06AE">
              <w:t>Tri</w:t>
            </w:r>
            <w:r w:rsidR="00736FC0" w:rsidRPr="00FD06AE">
              <w:t>age by EMS</w:t>
            </w:r>
            <w:r w:rsidR="001217EB" w:rsidRPr="00FD06AE">
              <w:t xml:space="preserve"> or </w:t>
            </w:r>
            <w:r w:rsidR="00580CFB" w:rsidRPr="00FD06AE">
              <w:t>at trauma center</w:t>
            </w:r>
            <w:r w:rsidR="00736FC0" w:rsidRPr="00FD06AE">
              <w:t xml:space="preserve"> </w:t>
            </w:r>
          </w:p>
          <w:p w:rsidR="00736FC0" w:rsidRPr="00FD06AE" w:rsidRDefault="00347372" w:rsidP="003B1E88">
            <w:pPr>
              <w:pStyle w:val="BodyText"/>
              <w:numPr>
                <w:ilvl w:val="0"/>
                <w:numId w:val="27"/>
              </w:numPr>
              <w:kinsoku w:val="0"/>
              <w:overflowPunct w:val="0"/>
              <w:ind w:right="115"/>
            </w:pPr>
            <w:r w:rsidRPr="00FD06AE">
              <w:t>Seriously</w:t>
            </w:r>
            <w:r w:rsidR="00584BE8" w:rsidRPr="00FD06AE">
              <w:t xml:space="preserve"> </w:t>
            </w:r>
            <w:r w:rsidR="00736FC0" w:rsidRPr="00FD06AE">
              <w:t>injure</w:t>
            </w:r>
            <w:r w:rsidR="001217EB" w:rsidRPr="00FD06AE">
              <w:t>d</w:t>
            </w:r>
            <w:r w:rsidR="00736FC0" w:rsidRPr="00FD06AE">
              <w:t xml:space="preserve"> </w:t>
            </w:r>
            <w:r w:rsidR="009F5D0A" w:rsidRPr="00FD06AE">
              <w:t xml:space="preserve">driver </w:t>
            </w:r>
            <w:r w:rsidR="00736FC0" w:rsidRPr="00FD06AE">
              <w:t xml:space="preserve">sent to </w:t>
            </w:r>
            <w:r w:rsidR="009F5D0A" w:rsidRPr="00FD06AE">
              <w:t>t</w:t>
            </w:r>
            <w:r w:rsidR="00736FC0" w:rsidRPr="00FD06AE">
              <w:t xml:space="preserve">rauma </w:t>
            </w:r>
            <w:r w:rsidR="009F5D0A" w:rsidRPr="00FD06AE">
              <w:t>c</w:t>
            </w:r>
            <w:r w:rsidR="00736FC0" w:rsidRPr="00FD06AE">
              <w:t>enter</w:t>
            </w:r>
            <w:r w:rsidR="001B05E2" w:rsidRPr="00FD06AE">
              <w:t xml:space="preserve"> for treatment</w:t>
            </w:r>
            <w:r w:rsidR="00F42386" w:rsidRPr="00FD06AE">
              <w:t xml:space="preserve">; </w:t>
            </w:r>
            <w:r w:rsidR="009F5D0A" w:rsidRPr="00FD06AE">
              <w:t>f</w:t>
            </w:r>
            <w:r w:rsidRPr="00FD06AE">
              <w:t>atally</w:t>
            </w:r>
            <w:r w:rsidR="00584BE8" w:rsidRPr="00FD06AE">
              <w:t xml:space="preserve"> </w:t>
            </w:r>
            <w:r w:rsidR="00F42386" w:rsidRPr="00FD06AE">
              <w:t xml:space="preserve">injured sent to </w:t>
            </w:r>
            <w:r w:rsidR="009F5D0A" w:rsidRPr="00FD06AE">
              <w:t>m</w:t>
            </w:r>
            <w:r w:rsidR="00F42386" w:rsidRPr="00FD06AE">
              <w:t>orgue</w:t>
            </w:r>
          </w:p>
          <w:p w:rsidR="00736FC0" w:rsidRPr="00FD06AE" w:rsidRDefault="001B05E2" w:rsidP="009D36FD">
            <w:pPr>
              <w:pStyle w:val="BodyText"/>
              <w:numPr>
                <w:ilvl w:val="0"/>
                <w:numId w:val="27"/>
              </w:numPr>
              <w:kinsoku w:val="0"/>
              <w:overflowPunct w:val="0"/>
              <w:ind w:right="115"/>
            </w:pPr>
            <w:r w:rsidRPr="00FD06AE">
              <w:t xml:space="preserve">De-identified </w:t>
            </w:r>
            <w:r w:rsidR="00BE57F5" w:rsidRPr="00FD06AE">
              <w:t>blood s</w:t>
            </w:r>
            <w:r w:rsidR="00736FC0" w:rsidRPr="00FD06AE">
              <w:t>ample</w:t>
            </w:r>
            <w:r w:rsidRPr="00FD06AE">
              <w:t xml:space="preserve"> provided by trauma center or ME</w:t>
            </w:r>
          </w:p>
        </w:tc>
        <w:tc>
          <w:tcPr>
            <w:tcW w:w="4315" w:type="dxa"/>
            <w:tcBorders>
              <w:top w:val="single" w:sz="4" w:space="0" w:color="auto"/>
            </w:tcBorders>
          </w:tcPr>
          <w:p w:rsidR="00736FC0" w:rsidRPr="00FD06AE" w:rsidRDefault="00736FC0" w:rsidP="004C569A">
            <w:pPr>
              <w:pStyle w:val="BodyText"/>
              <w:numPr>
                <w:ilvl w:val="0"/>
                <w:numId w:val="29"/>
              </w:numPr>
              <w:kinsoku w:val="0"/>
              <w:overflowPunct w:val="0"/>
              <w:ind w:right="115"/>
            </w:pPr>
            <w:r w:rsidRPr="00FD06AE">
              <w:t>Recruit driver from free-flowing traffic</w:t>
            </w:r>
            <w:r w:rsidR="000C43CB" w:rsidRPr="00FD06AE">
              <w:t xml:space="preserve"> and request consent</w:t>
            </w:r>
          </w:p>
          <w:p w:rsidR="00736FC0" w:rsidRPr="00FD06AE" w:rsidRDefault="001217EB" w:rsidP="004C569A">
            <w:pPr>
              <w:pStyle w:val="BodyText"/>
              <w:numPr>
                <w:ilvl w:val="0"/>
                <w:numId w:val="29"/>
              </w:numPr>
              <w:kinsoku w:val="0"/>
              <w:overflowPunct w:val="0"/>
              <w:ind w:right="115"/>
            </w:pPr>
            <w:r w:rsidRPr="00FD06AE">
              <w:t>Survey</w:t>
            </w:r>
            <w:r w:rsidR="00BE57F5" w:rsidRPr="00FD06AE">
              <w:t xml:space="preserve"> driver</w:t>
            </w:r>
          </w:p>
          <w:p w:rsidR="001217EB" w:rsidRPr="00FD06AE" w:rsidRDefault="006E6768" w:rsidP="004C569A">
            <w:pPr>
              <w:pStyle w:val="BodyText"/>
              <w:numPr>
                <w:ilvl w:val="0"/>
                <w:numId w:val="29"/>
              </w:numPr>
              <w:kinsoku w:val="0"/>
              <w:overflowPunct w:val="0"/>
              <w:ind w:right="115"/>
            </w:pPr>
            <w:r w:rsidRPr="00FD06AE">
              <w:t>Request</w:t>
            </w:r>
            <w:r w:rsidR="009F5D0A" w:rsidRPr="00FD06AE">
              <w:t xml:space="preserve"> breath sample</w:t>
            </w:r>
          </w:p>
          <w:p w:rsidR="00736FC0" w:rsidRPr="00FD06AE" w:rsidRDefault="006E6768" w:rsidP="004C569A">
            <w:pPr>
              <w:pStyle w:val="BodyText"/>
              <w:numPr>
                <w:ilvl w:val="0"/>
                <w:numId w:val="29"/>
              </w:numPr>
              <w:kinsoku w:val="0"/>
              <w:overflowPunct w:val="0"/>
              <w:ind w:right="115"/>
            </w:pPr>
            <w:r w:rsidRPr="00FD06AE">
              <w:t>Request</w:t>
            </w:r>
            <w:r w:rsidR="00736FC0" w:rsidRPr="00FD06AE">
              <w:t xml:space="preserve"> blood</w:t>
            </w:r>
            <w:r w:rsidR="00BE57F5" w:rsidRPr="00FD06AE">
              <w:t xml:space="preserve"> sample</w:t>
            </w:r>
          </w:p>
        </w:tc>
      </w:tr>
    </w:tbl>
    <w:p w:rsidR="004A541C" w:rsidRPr="00FD06AE" w:rsidRDefault="004A541C" w:rsidP="009345A2">
      <w:pPr>
        <w:contextualSpacing/>
        <w:rPr>
          <w:rFonts w:eastAsia="Calibri"/>
          <w:b/>
        </w:rPr>
      </w:pPr>
    </w:p>
    <w:p w:rsidR="003B0E85" w:rsidRPr="00FD06AE" w:rsidRDefault="003B0E85">
      <w:pPr>
        <w:rPr>
          <w:rFonts w:eastAsia="Calibri"/>
          <w:b/>
        </w:rPr>
      </w:pPr>
      <w:r w:rsidRPr="00FD06AE">
        <w:rPr>
          <w:rFonts w:eastAsia="Calibri"/>
          <w:b/>
        </w:rPr>
        <w:br w:type="page"/>
      </w:r>
    </w:p>
    <w:p w:rsidR="003767CA" w:rsidRPr="00FD06AE" w:rsidRDefault="003767CA" w:rsidP="009345A2">
      <w:pPr>
        <w:contextualSpacing/>
        <w:rPr>
          <w:rFonts w:eastAsia="Calibri"/>
          <w:b/>
        </w:rPr>
      </w:pPr>
      <w:r w:rsidRPr="00FD06AE">
        <w:rPr>
          <w:rFonts w:eastAsia="Calibri"/>
          <w:b/>
        </w:rPr>
        <w:t>Sa</w:t>
      </w:r>
      <w:r w:rsidR="007A7D39" w:rsidRPr="00FD06AE">
        <w:rPr>
          <w:rFonts w:eastAsia="Calibri"/>
          <w:b/>
        </w:rPr>
        <w:t>mple Size and Statistical Power</w:t>
      </w:r>
      <w:r w:rsidRPr="00FD06AE">
        <w:rPr>
          <w:rFonts w:eastAsia="Calibri"/>
          <w:b/>
        </w:rPr>
        <w:t xml:space="preserve"> </w:t>
      </w:r>
    </w:p>
    <w:p w:rsidR="00D80C84" w:rsidRPr="00FD06AE" w:rsidRDefault="00D80C84" w:rsidP="003767CA">
      <w:pPr>
        <w:ind w:firstLine="720"/>
        <w:contextualSpacing/>
        <w:rPr>
          <w:rFonts w:eastAsia="Calibri"/>
          <w:b/>
        </w:rPr>
      </w:pPr>
    </w:p>
    <w:p w:rsidR="003767CA" w:rsidRPr="00FD06AE" w:rsidRDefault="00D80C84" w:rsidP="003767CA">
      <w:pPr>
        <w:ind w:firstLine="720"/>
        <w:contextualSpacing/>
        <w:rPr>
          <w:rFonts w:eastAsia="Calibri"/>
        </w:rPr>
      </w:pPr>
      <w:r w:rsidRPr="00FD06AE">
        <w:rPr>
          <w:rFonts w:eastAsia="Calibri"/>
          <w:b/>
        </w:rPr>
        <w:t>Selected Sites</w:t>
      </w:r>
      <w:r w:rsidR="00D209F0" w:rsidRPr="00FD06AE">
        <w:rPr>
          <w:rFonts w:eastAsia="Calibri"/>
          <w:b/>
        </w:rPr>
        <w:t xml:space="preserve">. </w:t>
      </w:r>
      <w:r w:rsidR="003574F3" w:rsidRPr="00FD06AE">
        <w:rPr>
          <w:rFonts w:eastAsia="Calibri"/>
        </w:rPr>
        <w:t>NHTSA is working wi</w:t>
      </w:r>
      <w:r w:rsidR="008B029B" w:rsidRPr="00FD06AE">
        <w:rPr>
          <w:rFonts w:eastAsia="Calibri"/>
        </w:rPr>
        <w:t>th three Level 1 trauma centers located in Ch</w:t>
      </w:r>
      <w:r w:rsidRPr="00FD06AE">
        <w:rPr>
          <w:rFonts w:eastAsia="Calibri"/>
        </w:rPr>
        <w:t>arlotte, N</w:t>
      </w:r>
      <w:r w:rsidR="003574F3" w:rsidRPr="00FD06AE">
        <w:rPr>
          <w:rFonts w:eastAsia="Calibri"/>
        </w:rPr>
        <w:t>orth Carolina</w:t>
      </w:r>
      <w:r w:rsidRPr="00FD06AE">
        <w:rPr>
          <w:rFonts w:eastAsia="Calibri"/>
        </w:rPr>
        <w:t>, Jacksonville, F</w:t>
      </w:r>
      <w:r w:rsidR="003574F3" w:rsidRPr="00FD06AE">
        <w:rPr>
          <w:rFonts w:eastAsia="Calibri"/>
        </w:rPr>
        <w:t>lorida</w:t>
      </w:r>
      <w:r w:rsidRPr="00FD06AE">
        <w:rPr>
          <w:rFonts w:eastAsia="Calibri"/>
        </w:rPr>
        <w:t>, and Miami, F</w:t>
      </w:r>
      <w:r w:rsidR="003574F3" w:rsidRPr="00FD06AE">
        <w:rPr>
          <w:rFonts w:eastAsia="Calibri"/>
        </w:rPr>
        <w:t>lorida.</w:t>
      </w:r>
      <w:r w:rsidR="008B029B" w:rsidRPr="00FD06AE">
        <w:rPr>
          <w:rFonts w:eastAsia="Calibri"/>
        </w:rPr>
        <w:t xml:space="preserve"> They were selected by NHTSA because </w:t>
      </w:r>
      <w:r w:rsidR="003574F3" w:rsidRPr="00FD06AE">
        <w:rPr>
          <w:rFonts w:eastAsia="Calibri"/>
        </w:rPr>
        <w:t xml:space="preserve">they each have </w:t>
      </w:r>
      <w:r w:rsidR="000C43CB" w:rsidRPr="00FD06AE">
        <w:rPr>
          <w:rFonts w:eastAsia="Calibri"/>
        </w:rPr>
        <w:t>qualified research staff</w:t>
      </w:r>
      <w:r w:rsidR="003574F3" w:rsidRPr="00FD06AE">
        <w:rPr>
          <w:rFonts w:eastAsia="Calibri"/>
        </w:rPr>
        <w:t xml:space="preserve"> and high numbers of patient</w:t>
      </w:r>
      <w:r w:rsidR="008B029B" w:rsidRPr="00FD06AE">
        <w:rPr>
          <w:rFonts w:eastAsia="Calibri"/>
        </w:rPr>
        <w:t>s</w:t>
      </w:r>
      <w:r w:rsidR="003574F3" w:rsidRPr="00FD06AE">
        <w:rPr>
          <w:rFonts w:eastAsia="Calibri"/>
        </w:rPr>
        <w:t xml:space="preserve"> </w:t>
      </w:r>
      <w:r w:rsidR="002B4979" w:rsidRPr="00FD06AE">
        <w:rPr>
          <w:rFonts w:eastAsia="Calibri"/>
        </w:rPr>
        <w:t xml:space="preserve">with injuries </w:t>
      </w:r>
      <w:r w:rsidR="008B029B" w:rsidRPr="00FD06AE">
        <w:rPr>
          <w:rFonts w:eastAsia="Calibri"/>
        </w:rPr>
        <w:t>r</w:t>
      </w:r>
      <w:r w:rsidR="003574F3" w:rsidRPr="00FD06AE">
        <w:rPr>
          <w:rFonts w:eastAsia="Calibri"/>
        </w:rPr>
        <w:t>esulting from motor vehicle crashes</w:t>
      </w:r>
      <w:r w:rsidR="00D209F0" w:rsidRPr="00FD06AE">
        <w:rPr>
          <w:rFonts w:eastAsia="Calibri"/>
        </w:rPr>
        <w:t xml:space="preserve">. </w:t>
      </w:r>
      <w:r w:rsidR="00A04297" w:rsidRPr="00FD06AE">
        <w:rPr>
          <w:rFonts w:eastAsia="Calibri"/>
        </w:rPr>
        <w:t>Importantly, these</w:t>
      </w:r>
      <w:r w:rsidR="000C43CB" w:rsidRPr="00FD06AE">
        <w:rPr>
          <w:rFonts w:eastAsia="Calibri"/>
        </w:rPr>
        <w:t xml:space="preserve"> centers</w:t>
      </w:r>
      <w:r w:rsidRPr="00FD06AE">
        <w:rPr>
          <w:rFonts w:eastAsia="Calibri"/>
        </w:rPr>
        <w:t xml:space="preserve"> are </w:t>
      </w:r>
      <w:r w:rsidR="003574F3" w:rsidRPr="00FD06AE">
        <w:rPr>
          <w:rFonts w:eastAsia="Calibri"/>
        </w:rPr>
        <w:t xml:space="preserve">all </w:t>
      </w:r>
      <w:r w:rsidRPr="00FD06AE">
        <w:rPr>
          <w:rFonts w:eastAsia="Calibri"/>
        </w:rPr>
        <w:t>located in temperate climates</w:t>
      </w:r>
      <w:r w:rsidR="00EC5FCF" w:rsidRPr="00FD06AE">
        <w:rPr>
          <w:rFonts w:eastAsia="Calibri"/>
        </w:rPr>
        <w:t xml:space="preserve"> with </w:t>
      </w:r>
      <w:r w:rsidRPr="00FD06AE">
        <w:rPr>
          <w:rFonts w:eastAsia="Calibri"/>
        </w:rPr>
        <w:t xml:space="preserve">“normal driving </w:t>
      </w:r>
      <w:r w:rsidR="006425A9" w:rsidRPr="00FD06AE">
        <w:rPr>
          <w:rFonts w:eastAsia="Calibri"/>
        </w:rPr>
        <w:t>conditions</w:t>
      </w:r>
      <w:r w:rsidR="00EC5FCF" w:rsidRPr="00FD06AE">
        <w:rPr>
          <w:rFonts w:eastAsia="Calibri"/>
        </w:rPr>
        <w:t>.</w:t>
      </w:r>
      <w:r w:rsidR="006425A9" w:rsidRPr="00FD06AE">
        <w:rPr>
          <w:rFonts w:eastAsia="Calibri"/>
        </w:rPr>
        <w:t xml:space="preserve">” </w:t>
      </w:r>
      <w:r w:rsidR="00A04297" w:rsidRPr="00FD06AE">
        <w:rPr>
          <w:rFonts w:eastAsia="Calibri"/>
        </w:rPr>
        <w:t xml:space="preserve"> </w:t>
      </w:r>
      <w:r w:rsidR="00EC5FCF" w:rsidRPr="00FD06AE">
        <w:rPr>
          <w:rFonts w:eastAsia="Calibri"/>
        </w:rPr>
        <w:t xml:space="preserve">This allows </w:t>
      </w:r>
      <w:r w:rsidR="004A541C" w:rsidRPr="00FD06AE">
        <w:rPr>
          <w:rFonts w:eastAsia="Calibri"/>
        </w:rPr>
        <w:t xml:space="preserve">ideal conditions </w:t>
      </w:r>
      <w:r w:rsidR="00EC5FCF" w:rsidRPr="00FD06AE">
        <w:rPr>
          <w:rFonts w:eastAsia="Calibri"/>
        </w:rPr>
        <w:t>for data collection</w:t>
      </w:r>
      <w:r w:rsidR="00A04297" w:rsidRPr="00FD06AE">
        <w:rPr>
          <w:rFonts w:eastAsia="Calibri"/>
        </w:rPr>
        <w:t>, as the research can continue</w:t>
      </w:r>
      <w:r w:rsidR="00EC5FCF" w:rsidRPr="00FD06AE">
        <w:rPr>
          <w:rFonts w:eastAsia="Calibri"/>
        </w:rPr>
        <w:t xml:space="preserve"> </w:t>
      </w:r>
      <w:r w:rsidR="006425A9" w:rsidRPr="00FD06AE">
        <w:rPr>
          <w:rFonts w:eastAsia="Calibri"/>
        </w:rPr>
        <w:t>year</w:t>
      </w:r>
      <w:r w:rsidR="00EC5FCF" w:rsidRPr="00FD06AE">
        <w:rPr>
          <w:rFonts w:eastAsia="Calibri"/>
        </w:rPr>
        <w:t>-</w:t>
      </w:r>
      <w:r w:rsidR="006425A9" w:rsidRPr="00FD06AE">
        <w:rPr>
          <w:rFonts w:eastAsia="Calibri"/>
        </w:rPr>
        <w:t>round</w:t>
      </w:r>
      <w:r w:rsidR="003574F3" w:rsidRPr="00FD06AE">
        <w:rPr>
          <w:rFonts w:eastAsia="Calibri"/>
        </w:rPr>
        <w:t xml:space="preserve"> and the study will not be hampered by severe weather on a regular basis</w:t>
      </w:r>
      <w:r w:rsidR="006425A9" w:rsidRPr="00FD06AE">
        <w:rPr>
          <w:rFonts w:eastAsia="Calibri"/>
        </w:rPr>
        <w:t xml:space="preserve">. </w:t>
      </w:r>
      <w:r w:rsidR="004A541C" w:rsidRPr="00FD06AE">
        <w:rPr>
          <w:rFonts w:eastAsia="Calibri"/>
        </w:rPr>
        <w:t>These trauma centers offer NHTSA the best opportunity to gather the necessary sample size in the shortest time possible.</w:t>
      </w:r>
      <w:r w:rsidR="007073AC" w:rsidRPr="00FD06AE">
        <w:rPr>
          <w:rFonts w:eastAsia="Calibri"/>
        </w:rPr>
        <w:t xml:space="preserve"> </w:t>
      </w:r>
      <w:r w:rsidR="00FE60C1" w:rsidRPr="00FD06AE">
        <w:rPr>
          <w:rFonts w:eastAsia="Calibri"/>
        </w:rPr>
        <w:t>The same data collection protocols will be utilized at</w:t>
      </w:r>
      <w:r w:rsidR="00460D32" w:rsidRPr="00FD06AE">
        <w:rPr>
          <w:rFonts w:eastAsia="Calibri"/>
        </w:rPr>
        <w:t xml:space="preserve"> each </w:t>
      </w:r>
      <w:r w:rsidR="00FE60C1" w:rsidRPr="00FD06AE">
        <w:rPr>
          <w:rFonts w:eastAsia="Calibri"/>
        </w:rPr>
        <w:t>site</w:t>
      </w:r>
      <w:r w:rsidR="00460D32" w:rsidRPr="00FD06AE">
        <w:rPr>
          <w:rFonts w:eastAsia="Calibri"/>
        </w:rPr>
        <w:t>. All data will be</w:t>
      </w:r>
      <w:r w:rsidR="006308A9" w:rsidRPr="00FD06AE">
        <w:rPr>
          <w:rFonts w:eastAsia="Calibri"/>
        </w:rPr>
        <w:t xml:space="preserve"> used only in </w:t>
      </w:r>
      <w:r w:rsidR="00FE60C1" w:rsidRPr="00FD06AE">
        <w:rPr>
          <w:rFonts w:eastAsia="Calibri"/>
        </w:rPr>
        <w:t xml:space="preserve">aggregate </w:t>
      </w:r>
      <w:r w:rsidR="00460D32" w:rsidRPr="00FD06AE">
        <w:rPr>
          <w:rFonts w:eastAsia="Calibri"/>
        </w:rPr>
        <w:t xml:space="preserve">for the </w:t>
      </w:r>
      <w:r w:rsidR="00185BDA" w:rsidRPr="00FD06AE">
        <w:rPr>
          <w:rFonts w:eastAsia="Calibri"/>
        </w:rPr>
        <w:t>risk estimates for drugs, including alcohol.</w:t>
      </w:r>
      <w:r w:rsidR="008B029B" w:rsidRPr="00FD06AE">
        <w:rPr>
          <w:rFonts w:eastAsia="Calibri"/>
        </w:rPr>
        <w:t xml:space="preserve"> No individual </w:t>
      </w:r>
      <w:r w:rsidR="006308A9" w:rsidRPr="00FD06AE">
        <w:rPr>
          <w:rFonts w:eastAsia="Calibri"/>
        </w:rPr>
        <w:t>data will be identifiable.</w:t>
      </w:r>
    </w:p>
    <w:p w:rsidR="00D80C84" w:rsidRPr="00FD06AE" w:rsidRDefault="00D80C84" w:rsidP="003767CA">
      <w:pPr>
        <w:ind w:firstLine="720"/>
        <w:contextualSpacing/>
        <w:rPr>
          <w:rFonts w:eastAsia="Calibri"/>
        </w:rPr>
      </w:pPr>
    </w:p>
    <w:p w:rsidR="00F119C6" w:rsidRPr="00FD06AE" w:rsidRDefault="006559B3" w:rsidP="00FB2F8A">
      <w:pPr>
        <w:ind w:firstLine="720"/>
      </w:pPr>
      <w:r w:rsidRPr="00FD06AE">
        <w:rPr>
          <w:b/>
        </w:rPr>
        <w:t>Sample Size for BAC</w:t>
      </w:r>
      <w:r w:rsidR="00D209F0" w:rsidRPr="00FD06AE">
        <w:rPr>
          <w:b/>
        </w:rPr>
        <w:t xml:space="preserve">. </w:t>
      </w:r>
      <w:r w:rsidR="00584B32" w:rsidRPr="00FD06AE">
        <w:t>Hsieh</w:t>
      </w:r>
      <w:r w:rsidR="00F119C6" w:rsidRPr="00FD06AE">
        <w:t xml:space="preserve"> (1989)</w:t>
      </w:r>
      <w:r w:rsidR="00584B32" w:rsidRPr="00FD06AE">
        <w:rPr>
          <w:rStyle w:val="FootnoteReference"/>
        </w:rPr>
        <w:footnoteReference w:id="14"/>
      </w:r>
      <w:r w:rsidR="00584B32" w:rsidRPr="00FD06AE">
        <w:t xml:space="preserve"> presents a method for computing sample sizes for unconditional logistic regression where the independent variable and covariates are continuous. </w:t>
      </w:r>
      <w:r w:rsidRPr="00FD06AE">
        <w:t xml:space="preserve">A copy of the Hsieh paper is appended to this submission. </w:t>
      </w:r>
      <w:r w:rsidR="00584B32" w:rsidRPr="00FD06AE">
        <w:t xml:space="preserve">His tables show sample sizes for powers of .70-.95 at alpha=.05 (one-tailed). These tables are univariate and hence are based on the crude-odds ratios, but Hsieh provides a formula that allows an adjustment for multiple covariates based on the multiple R² for the relationship between the covariates considered to be the independent variable (e.g., alcohol and drug status) and the other covariates. </w:t>
      </w:r>
      <w:r w:rsidR="00F119C6" w:rsidRPr="00FD06AE">
        <w:t xml:space="preserve">We could not find a published nomogram or table for computing power for a logistic regression model that matches the proposed design (i.e., 1:2 matched design involving multiple covariates where the covariates include both binary and continuous measures). </w:t>
      </w:r>
    </w:p>
    <w:p w:rsidR="002B4979" w:rsidRPr="00FD06AE" w:rsidRDefault="002B4979" w:rsidP="00FB2F8A">
      <w:pPr>
        <w:ind w:firstLine="720"/>
      </w:pPr>
    </w:p>
    <w:p w:rsidR="003B0E85" w:rsidRPr="00FD06AE" w:rsidRDefault="00601933" w:rsidP="003B0E85">
      <w:pPr>
        <w:keepNext/>
        <w:ind w:firstLine="720"/>
      </w:pPr>
      <w:r w:rsidRPr="00FD06AE">
        <w:t>For t</w:t>
      </w:r>
      <w:r w:rsidR="00F119C6" w:rsidRPr="00FD06AE">
        <w:t xml:space="preserve">his study’s </w:t>
      </w:r>
      <w:r w:rsidRPr="00FD06AE">
        <w:t xml:space="preserve">power analysis, </w:t>
      </w:r>
      <w:r w:rsidR="00584B32" w:rsidRPr="00FD06AE">
        <w:t>a value of R² = .04</w:t>
      </w:r>
      <w:r w:rsidRPr="00FD06AE">
        <w:t xml:space="preserve"> was assumed</w:t>
      </w:r>
      <w:r w:rsidR="00584B32" w:rsidRPr="00FD06AE">
        <w:t xml:space="preserve"> based on the Virginia Beach </w:t>
      </w:r>
      <w:r w:rsidRPr="00FD06AE">
        <w:t xml:space="preserve">crash risk </w:t>
      </w:r>
      <w:r w:rsidR="00584B32" w:rsidRPr="00FD06AE">
        <w:t>study</w:t>
      </w:r>
      <w:r w:rsidRPr="00FD06AE">
        <w:t xml:space="preserve"> results</w:t>
      </w:r>
      <w:r w:rsidR="00584B32" w:rsidRPr="00FD06AE">
        <w:t>.</w:t>
      </w:r>
      <w:r w:rsidR="004D3F1D" w:rsidRPr="00FD06AE">
        <w:rPr>
          <w:vertAlign w:val="superscript"/>
        </w:rPr>
        <w:fldChar w:fldCharType="begin"/>
      </w:r>
      <w:r w:rsidR="004D3F1D" w:rsidRPr="00FD06AE">
        <w:rPr>
          <w:vertAlign w:val="superscript"/>
        </w:rPr>
        <w:instrText xml:space="preserve"> NOTEREF _Ref511899256 \h  \* MERGEFORMAT </w:instrText>
      </w:r>
      <w:r w:rsidR="004D3F1D" w:rsidRPr="00FD06AE">
        <w:rPr>
          <w:vertAlign w:val="superscript"/>
        </w:rPr>
      </w:r>
      <w:r w:rsidR="004D3F1D" w:rsidRPr="00FD06AE">
        <w:rPr>
          <w:vertAlign w:val="superscript"/>
        </w:rPr>
        <w:fldChar w:fldCharType="separate"/>
      </w:r>
      <w:r w:rsidR="00F57FAC" w:rsidRPr="00FD06AE">
        <w:rPr>
          <w:vertAlign w:val="superscript"/>
        </w:rPr>
        <w:t>2</w:t>
      </w:r>
      <w:r w:rsidR="004D3F1D" w:rsidRPr="00FD06AE">
        <w:rPr>
          <w:vertAlign w:val="superscript"/>
        </w:rPr>
        <w:fldChar w:fldCharType="end"/>
      </w:r>
      <w:r w:rsidR="00584B32" w:rsidRPr="00FD06AE">
        <w:t xml:space="preserve"> In the case of BAC and using the results obtained in Virginia Beach, one standard deviation above the mean represents a BAC of .018. These tables are applicable to assessing models where all the covariates are continuous (e.g., BAC) but would not be strictly applicable to binary covariates or </w:t>
      </w:r>
      <w:r w:rsidR="008B029B" w:rsidRPr="00FD06AE">
        <w:t xml:space="preserve">a </w:t>
      </w:r>
      <w:r w:rsidR="00584B32" w:rsidRPr="00FD06AE">
        <w:t>matched design</w:t>
      </w:r>
      <w:r w:rsidR="00D209F0" w:rsidRPr="00FD06AE">
        <w:t xml:space="preserve">. </w:t>
      </w:r>
      <w:r w:rsidR="00584B32" w:rsidRPr="00FD06AE">
        <w:t>Hsieh refers to a paper by Dupont</w:t>
      </w:r>
      <w:r w:rsidR="00584B32" w:rsidRPr="00FD06AE">
        <w:rPr>
          <w:rStyle w:val="FootnoteReference"/>
        </w:rPr>
        <w:footnoteReference w:id="15"/>
      </w:r>
      <w:r w:rsidR="00584B32" w:rsidRPr="00FD06AE">
        <w:t xml:space="preserve"> based on the McNemar test and to Fleiss</w:t>
      </w:r>
      <w:r w:rsidR="00584B32" w:rsidRPr="00FD06AE">
        <w:rPr>
          <w:rStyle w:val="FootnoteReference"/>
        </w:rPr>
        <w:footnoteReference w:id="16"/>
      </w:r>
      <w:r w:rsidR="00584B32" w:rsidRPr="00FD06AE">
        <w:t xml:space="preserve"> for the case where the risk is dichotomous. </w:t>
      </w:r>
      <w:r w:rsidR="000C43CB" w:rsidRPr="00FD06AE">
        <w:t>Because</w:t>
      </w:r>
      <w:r w:rsidR="00584B32" w:rsidRPr="00FD06AE">
        <w:t xml:space="preserve"> BAC is continuous, the Hsieh tables are applicable in the present study to BAC. </w:t>
      </w:r>
    </w:p>
    <w:p w:rsidR="003B0E85" w:rsidRPr="00FD06AE" w:rsidRDefault="003B0E85" w:rsidP="003B0E85">
      <w:r w:rsidRPr="00FD06AE">
        <w:br w:type="page"/>
      </w:r>
    </w:p>
    <w:p w:rsidR="00584B32" w:rsidRPr="00FD06AE" w:rsidRDefault="00584B32" w:rsidP="003B0E85">
      <w:pPr>
        <w:keepNext/>
        <w:ind w:firstLine="720"/>
      </w:pPr>
      <w:r w:rsidRPr="00FD06AE">
        <w:t xml:space="preserve">Tables 1 and 2 show the estimated total combined sample sizes needed to achieve a power of .80 using a one-tailed alpha=.05 and range of effect sizes (odds ratios) for various prevalence rates for BAC. The multiple R² variance inflation factor was set at .04 based on the Virginia Beach study. </w:t>
      </w:r>
    </w:p>
    <w:p w:rsidR="007073AC" w:rsidRPr="00FD06AE" w:rsidRDefault="007073AC" w:rsidP="003B0E85">
      <w:pPr>
        <w:pStyle w:val="ListParagraph"/>
        <w:keepNext/>
        <w:spacing w:after="0" w:line="240" w:lineRule="auto"/>
        <w:ind w:left="0"/>
        <w:jc w:val="center"/>
        <w:rPr>
          <w:rFonts w:ascii="Times New Roman" w:hAnsi="Times New Roman" w:cs="Times New Roman"/>
          <w:b/>
          <w:sz w:val="24"/>
          <w:szCs w:val="24"/>
        </w:rPr>
      </w:pPr>
    </w:p>
    <w:p w:rsidR="008830BC" w:rsidRPr="00FD06AE" w:rsidRDefault="008830BC" w:rsidP="008830BC">
      <w:pPr>
        <w:pStyle w:val="ListParagraph"/>
        <w:keepNext/>
        <w:spacing w:after="0" w:line="240" w:lineRule="auto"/>
        <w:ind w:left="0"/>
        <w:jc w:val="center"/>
        <w:rPr>
          <w:rFonts w:ascii="Times New Roman" w:hAnsi="Times New Roman" w:cs="Times New Roman"/>
          <w:b/>
          <w:sz w:val="24"/>
          <w:szCs w:val="24"/>
        </w:rPr>
      </w:pPr>
      <w:r w:rsidRPr="00FD06AE">
        <w:rPr>
          <w:rFonts w:ascii="Times New Roman" w:hAnsi="Times New Roman" w:cs="Times New Roman"/>
          <w:b/>
          <w:sz w:val="24"/>
          <w:szCs w:val="24"/>
        </w:rPr>
        <w:t>Table 1. BAC: Total sample size (crash + controls) needed to detect various increases in risk (crude odds ratio) at alpha ≤ .05 and power=.80. The odds ratios correspond to a one standard deviation from the mean value of the covariate (BAC).</w:t>
      </w:r>
    </w:p>
    <w:tbl>
      <w:tblPr>
        <w:tblStyle w:val="TableGrid"/>
        <w:tblW w:w="9094" w:type="dxa"/>
        <w:jc w:val="center"/>
        <w:tblLook w:val="04A0" w:firstRow="1" w:lastRow="0" w:firstColumn="1" w:lastColumn="0" w:noHBand="0" w:noVBand="1"/>
      </w:tblPr>
      <w:tblGrid>
        <w:gridCol w:w="1453"/>
        <w:gridCol w:w="1608"/>
        <w:gridCol w:w="1357"/>
        <w:gridCol w:w="1357"/>
        <w:gridCol w:w="1357"/>
        <w:gridCol w:w="1357"/>
        <w:gridCol w:w="605"/>
      </w:tblGrid>
      <w:tr w:rsidR="008830BC" w:rsidRPr="00FD06AE" w:rsidTr="009F4EEB">
        <w:trPr>
          <w:trHeight w:hRule="exact" w:val="419"/>
          <w:jc w:val="center"/>
        </w:trPr>
        <w:tc>
          <w:tcPr>
            <w:tcW w:w="1453" w:type="dxa"/>
            <w:vMerge w:val="restart"/>
            <w:vAlign w:val="bottom"/>
          </w:tcPr>
          <w:p w:rsidR="008830BC" w:rsidRPr="00FD06AE" w:rsidRDefault="008830BC" w:rsidP="009F4EEB">
            <w:pPr>
              <w:pStyle w:val="ListParagraph"/>
              <w:ind w:left="0"/>
              <w:rPr>
                <w:rFonts w:ascii="Times New Roman" w:hAnsi="Times New Roman" w:cs="Times New Roman"/>
                <w:sz w:val="24"/>
                <w:szCs w:val="24"/>
              </w:rPr>
            </w:pPr>
            <w:r w:rsidRPr="00FD06AE">
              <w:rPr>
                <w:rFonts w:ascii="Times New Roman" w:hAnsi="Times New Roman" w:cs="Times New Roman"/>
                <w:sz w:val="24"/>
                <w:szCs w:val="24"/>
              </w:rPr>
              <w:t>Prevalence*</w:t>
            </w:r>
          </w:p>
        </w:tc>
        <w:tc>
          <w:tcPr>
            <w:tcW w:w="7641" w:type="dxa"/>
            <w:gridSpan w:val="6"/>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Odds Ratio</w:t>
            </w:r>
          </w:p>
        </w:tc>
      </w:tr>
      <w:tr w:rsidR="008830BC" w:rsidRPr="00FD06AE" w:rsidTr="009F4EEB">
        <w:trPr>
          <w:trHeight w:hRule="exact" w:val="419"/>
          <w:jc w:val="center"/>
        </w:trPr>
        <w:tc>
          <w:tcPr>
            <w:tcW w:w="1453" w:type="dxa"/>
            <w:vMerge/>
          </w:tcPr>
          <w:p w:rsidR="008830BC" w:rsidRPr="00FD06AE" w:rsidRDefault="008830BC" w:rsidP="009F4EEB">
            <w:pPr>
              <w:pStyle w:val="ListParagraph"/>
              <w:ind w:left="0"/>
              <w:rPr>
                <w:rFonts w:ascii="Times New Roman" w:hAnsi="Times New Roman" w:cs="Times New Roman"/>
                <w:sz w:val="24"/>
                <w:szCs w:val="24"/>
              </w:rPr>
            </w:pPr>
          </w:p>
        </w:tc>
        <w:tc>
          <w:tcPr>
            <w:tcW w:w="1608"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1.1</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1.2</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1.3</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1.4</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1.5</w:t>
            </w:r>
          </w:p>
        </w:tc>
        <w:tc>
          <w:tcPr>
            <w:tcW w:w="605"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2.0</w:t>
            </w:r>
          </w:p>
        </w:tc>
      </w:tr>
      <w:tr w:rsidR="008830BC" w:rsidRPr="00FD06AE" w:rsidTr="009F4EEB">
        <w:trPr>
          <w:trHeight w:hRule="exact" w:val="419"/>
          <w:jc w:val="center"/>
        </w:trPr>
        <w:tc>
          <w:tcPr>
            <w:tcW w:w="1453"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4%</w:t>
            </w:r>
          </w:p>
        </w:tc>
        <w:tc>
          <w:tcPr>
            <w:tcW w:w="1608"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18,371</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u w:val="single"/>
              </w:rPr>
            </w:pPr>
            <w:r w:rsidRPr="00FD06AE">
              <w:rPr>
                <w:rFonts w:ascii="Times New Roman" w:hAnsi="Times New Roman" w:cs="Times New Roman"/>
                <w:b/>
                <w:sz w:val="24"/>
                <w:szCs w:val="24"/>
                <w:u w:val="single"/>
              </w:rPr>
              <w:t>5,012</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2,414</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1,464</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1,006</w:t>
            </w:r>
          </w:p>
        </w:tc>
        <w:tc>
          <w:tcPr>
            <w:tcW w:w="605"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344</w:t>
            </w:r>
          </w:p>
        </w:tc>
      </w:tr>
      <w:tr w:rsidR="008830BC" w:rsidRPr="00FD06AE" w:rsidTr="009F4EEB">
        <w:trPr>
          <w:trHeight w:hRule="exact" w:val="419"/>
          <w:jc w:val="center"/>
        </w:trPr>
        <w:tc>
          <w:tcPr>
            <w:tcW w:w="1453"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8%</w:t>
            </w:r>
          </w:p>
        </w:tc>
        <w:tc>
          <w:tcPr>
            <w:tcW w:w="1608"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9,873</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2,699</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1,304</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794</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548</w:t>
            </w:r>
          </w:p>
        </w:tc>
        <w:tc>
          <w:tcPr>
            <w:tcW w:w="605"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196</w:t>
            </w:r>
          </w:p>
        </w:tc>
      </w:tr>
      <w:tr w:rsidR="008830BC" w:rsidRPr="00FD06AE" w:rsidTr="009F4EEB">
        <w:trPr>
          <w:trHeight w:hRule="exact" w:val="419"/>
          <w:jc w:val="center"/>
        </w:trPr>
        <w:tc>
          <w:tcPr>
            <w:tcW w:w="1453"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12%</w:t>
            </w:r>
          </w:p>
        </w:tc>
        <w:tc>
          <w:tcPr>
            <w:tcW w:w="1608"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7,041</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1,928</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934</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571</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396</w:t>
            </w:r>
          </w:p>
        </w:tc>
        <w:tc>
          <w:tcPr>
            <w:tcW w:w="605"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146</w:t>
            </w:r>
          </w:p>
        </w:tc>
      </w:tr>
      <w:tr w:rsidR="008830BC" w:rsidRPr="00FD06AE" w:rsidTr="009F4EEB">
        <w:trPr>
          <w:trHeight w:hRule="exact" w:val="419"/>
          <w:jc w:val="center"/>
        </w:trPr>
        <w:tc>
          <w:tcPr>
            <w:tcW w:w="1453"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16%</w:t>
            </w:r>
          </w:p>
        </w:tc>
        <w:tc>
          <w:tcPr>
            <w:tcW w:w="1608"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5,624</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1,542</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749</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459</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320</w:t>
            </w:r>
          </w:p>
        </w:tc>
        <w:tc>
          <w:tcPr>
            <w:tcW w:w="605"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121</w:t>
            </w:r>
          </w:p>
        </w:tc>
      </w:tr>
      <w:tr w:rsidR="008830BC" w:rsidRPr="00FD06AE" w:rsidTr="009F4EEB">
        <w:trPr>
          <w:trHeight w:hRule="exact" w:val="419"/>
          <w:jc w:val="center"/>
        </w:trPr>
        <w:tc>
          <w:tcPr>
            <w:tcW w:w="1453"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20%</w:t>
            </w:r>
          </w:p>
        </w:tc>
        <w:tc>
          <w:tcPr>
            <w:tcW w:w="1608"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4,774</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1,311</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638</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392</w:t>
            </w:r>
          </w:p>
        </w:tc>
        <w:tc>
          <w:tcPr>
            <w:tcW w:w="1357"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274</w:t>
            </w:r>
          </w:p>
        </w:tc>
        <w:tc>
          <w:tcPr>
            <w:tcW w:w="605"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106</w:t>
            </w:r>
          </w:p>
        </w:tc>
      </w:tr>
    </w:tbl>
    <w:p w:rsidR="008830BC" w:rsidRPr="00FD06AE" w:rsidRDefault="008830BC" w:rsidP="008830BC">
      <w:pPr>
        <w:ind w:left="1440"/>
        <w:rPr>
          <w:sz w:val="18"/>
          <w:szCs w:val="18"/>
        </w:rPr>
      </w:pPr>
      <w:r w:rsidRPr="00FD06AE">
        <w:rPr>
          <w:sz w:val="18"/>
          <w:szCs w:val="18"/>
        </w:rPr>
        <w:t>*Prevalence of BAC in control sample. ^The highlighted cell is the total sample size required to reliably detect a 20% increase in relative risk (1.2 odds ratio) for alcohol with a 4.0% prevalence rate in the control sample. The proposed sample size greatly exceeds this number and the relative risk for alcohol is known to be substantially higher than the 1.2 odds ratio.</w:t>
      </w:r>
    </w:p>
    <w:p w:rsidR="008830BC" w:rsidRPr="00FD06AE" w:rsidRDefault="008830BC" w:rsidP="008830BC">
      <w:pPr>
        <w:ind w:firstLine="720"/>
      </w:pPr>
    </w:p>
    <w:p w:rsidR="008830BC" w:rsidRPr="00FD06AE" w:rsidRDefault="008830BC" w:rsidP="008830BC">
      <w:r w:rsidRPr="00FD06AE">
        <w:rPr>
          <w:b/>
        </w:rPr>
        <w:t>Table 2. BAC: Total sample size (crash + controls) needed to adjust the estimates in Table 1 for the presence of multiple covariates (adjusted odds ratios)</w:t>
      </w:r>
    </w:p>
    <w:tbl>
      <w:tblPr>
        <w:tblStyle w:val="TableGrid"/>
        <w:tblW w:w="0" w:type="auto"/>
        <w:jc w:val="center"/>
        <w:tblLook w:val="04A0" w:firstRow="1" w:lastRow="0" w:firstColumn="1" w:lastColumn="0" w:noHBand="0" w:noVBand="1"/>
      </w:tblPr>
      <w:tblGrid>
        <w:gridCol w:w="1416"/>
        <w:gridCol w:w="876"/>
        <w:gridCol w:w="756"/>
        <w:gridCol w:w="756"/>
        <w:gridCol w:w="756"/>
        <w:gridCol w:w="756"/>
        <w:gridCol w:w="576"/>
      </w:tblGrid>
      <w:tr w:rsidR="008830BC" w:rsidRPr="00FD06AE" w:rsidTr="009F4EEB">
        <w:trPr>
          <w:trHeight w:hRule="exact" w:val="432"/>
          <w:jc w:val="center"/>
        </w:trPr>
        <w:tc>
          <w:tcPr>
            <w:tcW w:w="1416" w:type="dxa"/>
            <w:vMerge w:val="restart"/>
            <w:vAlign w:val="bottom"/>
          </w:tcPr>
          <w:p w:rsidR="008830BC" w:rsidRPr="00FD06AE" w:rsidRDefault="008830BC" w:rsidP="009F4EEB">
            <w:pPr>
              <w:pStyle w:val="ListParagraph"/>
              <w:keepNext/>
              <w:ind w:left="0"/>
              <w:rPr>
                <w:rFonts w:ascii="Times New Roman" w:hAnsi="Times New Roman" w:cs="Times New Roman"/>
                <w:sz w:val="24"/>
                <w:szCs w:val="24"/>
              </w:rPr>
            </w:pPr>
            <w:r w:rsidRPr="00FD06AE">
              <w:rPr>
                <w:rFonts w:ascii="Times New Roman" w:hAnsi="Times New Roman" w:cs="Times New Roman"/>
                <w:sz w:val="24"/>
                <w:szCs w:val="24"/>
              </w:rPr>
              <w:t>Prevalence*</w:t>
            </w:r>
          </w:p>
        </w:tc>
        <w:tc>
          <w:tcPr>
            <w:tcW w:w="4476" w:type="dxa"/>
            <w:gridSpan w:val="6"/>
          </w:tcPr>
          <w:p w:rsidR="008830BC" w:rsidRPr="00FD06AE" w:rsidRDefault="008830BC" w:rsidP="009F4EEB">
            <w:pPr>
              <w:pStyle w:val="ListParagraph"/>
              <w:keepNext/>
              <w:ind w:left="0"/>
              <w:jc w:val="center"/>
              <w:rPr>
                <w:rFonts w:ascii="Times New Roman" w:hAnsi="Times New Roman" w:cs="Times New Roman"/>
                <w:sz w:val="24"/>
                <w:szCs w:val="24"/>
              </w:rPr>
            </w:pPr>
            <w:r w:rsidRPr="00FD06AE">
              <w:rPr>
                <w:rFonts w:ascii="Times New Roman" w:hAnsi="Times New Roman" w:cs="Times New Roman"/>
                <w:sz w:val="24"/>
                <w:szCs w:val="24"/>
              </w:rPr>
              <w:t>Odds Ratio</w:t>
            </w:r>
          </w:p>
        </w:tc>
      </w:tr>
      <w:tr w:rsidR="008830BC" w:rsidRPr="00FD06AE" w:rsidTr="009F4EEB">
        <w:trPr>
          <w:trHeight w:hRule="exact" w:val="432"/>
          <w:jc w:val="center"/>
        </w:trPr>
        <w:tc>
          <w:tcPr>
            <w:tcW w:w="1416" w:type="dxa"/>
            <w:vMerge/>
          </w:tcPr>
          <w:p w:rsidR="008830BC" w:rsidRPr="00FD06AE" w:rsidRDefault="008830BC" w:rsidP="009F4EEB">
            <w:pPr>
              <w:pStyle w:val="ListParagraph"/>
              <w:keepNext/>
              <w:ind w:left="0"/>
              <w:rPr>
                <w:rFonts w:ascii="Times New Roman" w:hAnsi="Times New Roman" w:cs="Times New Roman"/>
                <w:i/>
                <w:sz w:val="24"/>
                <w:szCs w:val="24"/>
              </w:rPr>
            </w:pPr>
          </w:p>
        </w:tc>
        <w:tc>
          <w:tcPr>
            <w:tcW w:w="876" w:type="dxa"/>
          </w:tcPr>
          <w:p w:rsidR="008830BC" w:rsidRPr="00FD06AE" w:rsidRDefault="008830BC" w:rsidP="009F4EEB">
            <w:pPr>
              <w:pStyle w:val="ListParagraph"/>
              <w:keepNext/>
              <w:ind w:left="0"/>
              <w:jc w:val="center"/>
              <w:rPr>
                <w:rFonts w:ascii="Times New Roman" w:hAnsi="Times New Roman" w:cs="Times New Roman"/>
                <w:sz w:val="24"/>
                <w:szCs w:val="24"/>
              </w:rPr>
            </w:pPr>
            <w:r w:rsidRPr="00FD06AE">
              <w:rPr>
                <w:rFonts w:ascii="Times New Roman" w:hAnsi="Times New Roman" w:cs="Times New Roman"/>
                <w:sz w:val="24"/>
                <w:szCs w:val="24"/>
              </w:rPr>
              <w:t>1.1</w:t>
            </w:r>
          </w:p>
        </w:tc>
        <w:tc>
          <w:tcPr>
            <w:tcW w:w="756" w:type="dxa"/>
          </w:tcPr>
          <w:p w:rsidR="008830BC" w:rsidRPr="00FD06AE" w:rsidRDefault="008830BC" w:rsidP="009F4EEB">
            <w:pPr>
              <w:pStyle w:val="ListParagraph"/>
              <w:keepNext/>
              <w:ind w:left="0"/>
              <w:jc w:val="center"/>
              <w:rPr>
                <w:rFonts w:ascii="Times New Roman" w:hAnsi="Times New Roman" w:cs="Times New Roman"/>
                <w:sz w:val="24"/>
                <w:szCs w:val="24"/>
              </w:rPr>
            </w:pPr>
            <w:r w:rsidRPr="00FD06AE">
              <w:rPr>
                <w:rFonts w:ascii="Times New Roman" w:hAnsi="Times New Roman" w:cs="Times New Roman"/>
                <w:sz w:val="24"/>
                <w:szCs w:val="24"/>
              </w:rPr>
              <w:t>1.2</w:t>
            </w:r>
          </w:p>
        </w:tc>
        <w:tc>
          <w:tcPr>
            <w:tcW w:w="756" w:type="dxa"/>
          </w:tcPr>
          <w:p w:rsidR="008830BC" w:rsidRPr="00FD06AE" w:rsidRDefault="008830BC" w:rsidP="009F4EEB">
            <w:pPr>
              <w:pStyle w:val="ListParagraph"/>
              <w:keepNext/>
              <w:ind w:left="0"/>
              <w:jc w:val="center"/>
              <w:rPr>
                <w:rFonts w:ascii="Times New Roman" w:hAnsi="Times New Roman" w:cs="Times New Roman"/>
                <w:sz w:val="24"/>
                <w:szCs w:val="24"/>
              </w:rPr>
            </w:pPr>
            <w:r w:rsidRPr="00FD06AE">
              <w:rPr>
                <w:rFonts w:ascii="Times New Roman" w:hAnsi="Times New Roman" w:cs="Times New Roman"/>
                <w:sz w:val="24"/>
                <w:szCs w:val="24"/>
              </w:rPr>
              <w:t>1.3</w:t>
            </w:r>
          </w:p>
        </w:tc>
        <w:tc>
          <w:tcPr>
            <w:tcW w:w="756" w:type="dxa"/>
          </w:tcPr>
          <w:p w:rsidR="008830BC" w:rsidRPr="00FD06AE" w:rsidRDefault="008830BC" w:rsidP="009F4EEB">
            <w:pPr>
              <w:pStyle w:val="ListParagraph"/>
              <w:keepNext/>
              <w:ind w:left="0"/>
              <w:jc w:val="center"/>
              <w:rPr>
                <w:rFonts w:ascii="Times New Roman" w:hAnsi="Times New Roman" w:cs="Times New Roman"/>
                <w:sz w:val="24"/>
                <w:szCs w:val="24"/>
              </w:rPr>
            </w:pPr>
            <w:r w:rsidRPr="00FD06AE">
              <w:rPr>
                <w:rFonts w:ascii="Times New Roman" w:hAnsi="Times New Roman" w:cs="Times New Roman"/>
                <w:sz w:val="24"/>
                <w:szCs w:val="24"/>
              </w:rPr>
              <w:t>1.4</w:t>
            </w:r>
          </w:p>
        </w:tc>
        <w:tc>
          <w:tcPr>
            <w:tcW w:w="756" w:type="dxa"/>
          </w:tcPr>
          <w:p w:rsidR="008830BC" w:rsidRPr="00FD06AE" w:rsidRDefault="008830BC" w:rsidP="009F4EEB">
            <w:pPr>
              <w:pStyle w:val="ListParagraph"/>
              <w:keepNext/>
              <w:ind w:left="0"/>
              <w:jc w:val="center"/>
              <w:rPr>
                <w:rFonts w:ascii="Times New Roman" w:hAnsi="Times New Roman" w:cs="Times New Roman"/>
                <w:sz w:val="24"/>
                <w:szCs w:val="24"/>
              </w:rPr>
            </w:pPr>
            <w:r w:rsidRPr="00FD06AE">
              <w:rPr>
                <w:rFonts w:ascii="Times New Roman" w:hAnsi="Times New Roman" w:cs="Times New Roman"/>
                <w:sz w:val="24"/>
                <w:szCs w:val="24"/>
              </w:rPr>
              <w:t>1.5</w:t>
            </w:r>
          </w:p>
        </w:tc>
        <w:tc>
          <w:tcPr>
            <w:tcW w:w="576" w:type="dxa"/>
          </w:tcPr>
          <w:p w:rsidR="008830BC" w:rsidRPr="00FD06AE" w:rsidRDefault="008830BC" w:rsidP="009F4EEB">
            <w:pPr>
              <w:pStyle w:val="ListParagraph"/>
              <w:keepNext/>
              <w:ind w:left="0"/>
              <w:jc w:val="center"/>
              <w:rPr>
                <w:rFonts w:ascii="Times New Roman" w:hAnsi="Times New Roman" w:cs="Times New Roman"/>
                <w:sz w:val="24"/>
                <w:szCs w:val="24"/>
              </w:rPr>
            </w:pPr>
            <w:r w:rsidRPr="00FD06AE">
              <w:rPr>
                <w:rFonts w:ascii="Times New Roman" w:hAnsi="Times New Roman" w:cs="Times New Roman"/>
                <w:sz w:val="24"/>
                <w:szCs w:val="24"/>
              </w:rPr>
              <w:t>2.0</w:t>
            </w:r>
          </w:p>
        </w:tc>
      </w:tr>
      <w:tr w:rsidR="008830BC" w:rsidRPr="00FD06AE" w:rsidTr="009F4EEB">
        <w:trPr>
          <w:trHeight w:hRule="exact" w:val="432"/>
          <w:jc w:val="center"/>
        </w:trPr>
        <w:tc>
          <w:tcPr>
            <w:tcW w:w="141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4%</w:t>
            </w:r>
          </w:p>
        </w:tc>
        <w:tc>
          <w:tcPr>
            <w:tcW w:w="8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19,136</w:t>
            </w:r>
          </w:p>
        </w:tc>
        <w:tc>
          <w:tcPr>
            <w:tcW w:w="756" w:type="dxa"/>
          </w:tcPr>
          <w:p w:rsidR="008830BC" w:rsidRPr="00FD06AE" w:rsidRDefault="008830BC" w:rsidP="009F4EEB">
            <w:pPr>
              <w:pStyle w:val="ListParagraph"/>
              <w:ind w:left="0"/>
              <w:jc w:val="center"/>
              <w:rPr>
                <w:rFonts w:ascii="Times New Roman" w:hAnsi="Times New Roman" w:cs="Times New Roman"/>
                <w:b/>
                <w:sz w:val="24"/>
                <w:szCs w:val="24"/>
                <w:u w:val="single"/>
              </w:rPr>
            </w:pPr>
            <w:r w:rsidRPr="00FD06AE">
              <w:rPr>
                <w:rFonts w:ascii="Times New Roman" w:hAnsi="Times New Roman" w:cs="Times New Roman"/>
                <w:b/>
                <w:sz w:val="24"/>
                <w:szCs w:val="24"/>
                <w:u w:val="single"/>
              </w:rPr>
              <w:t>5,220</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2,515</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1,525</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1,048</w:t>
            </w:r>
          </w:p>
        </w:tc>
        <w:tc>
          <w:tcPr>
            <w:tcW w:w="5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358</w:t>
            </w:r>
          </w:p>
        </w:tc>
      </w:tr>
      <w:tr w:rsidR="008830BC" w:rsidRPr="00FD06AE" w:rsidTr="009F4EEB">
        <w:trPr>
          <w:trHeight w:hRule="exact" w:val="432"/>
          <w:jc w:val="center"/>
        </w:trPr>
        <w:tc>
          <w:tcPr>
            <w:tcW w:w="141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8%</w:t>
            </w:r>
          </w:p>
        </w:tc>
        <w:tc>
          <w:tcPr>
            <w:tcW w:w="8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10,284</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2,811</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1,358</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827</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571</w:t>
            </w:r>
          </w:p>
        </w:tc>
        <w:tc>
          <w:tcPr>
            <w:tcW w:w="5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204</w:t>
            </w:r>
          </w:p>
        </w:tc>
      </w:tr>
      <w:tr w:rsidR="008830BC" w:rsidRPr="00FD06AE" w:rsidTr="009F4EEB">
        <w:trPr>
          <w:trHeight w:hRule="exact" w:val="432"/>
          <w:jc w:val="center"/>
        </w:trPr>
        <w:tc>
          <w:tcPr>
            <w:tcW w:w="141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12%</w:t>
            </w:r>
          </w:p>
        </w:tc>
        <w:tc>
          <w:tcPr>
            <w:tcW w:w="8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7,333</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2,008</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973</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595</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413</w:t>
            </w:r>
          </w:p>
        </w:tc>
        <w:tc>
          <w:tcPr>
            <w:tcW w:w="5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152</w:t>
            </w:r>
          </w:p>
        </w:tc>
      </w:tr>
      <w:tr w:rsidR="008830BC" w:rsidRPr="00FD06AE" w:rsidTr="009F4EEB">
        <w:trPr>
          <w:trHeight w:hRule="exact" w:val="432"/>
          <w:jc w:val="center"/>
        </w:trPr>
        <w:tc>
          <w:tcPr>
            <w:tcW w:w="141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16%</w:t>
            </w:r>
          </w:p>
        </w:tc>
        <w:tc>
          <w:tcPr>
            <w:tcW w:w="8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5,858</w:t>
            </w:r>
          </w:p>
        </w:tc>
        <w:tc>
          <w:tcPr>
            <w:tcW w:w="756" w:type="dxa"/>
          </w:tcPr>
          <w:p w:rsidR="008830BC" w:rsidRPr="00FD06AE" w:rsidRDefault="008830BC" w:rsidP="009F4EEB">
            <w:pPr>
              <w:pStyle w:val="ListParagraph"/>
              <w:ind w:left="0"/>
              <w:rPr>
                <w:rFonts w:ascii="Times New Roman" w:hAnsi="Times New Roman" w:cs="Times New Roman"/>
                <w:sz w:val="24"/>
                <w:szCs w:val="24"/>
              </w:rPr>
            </w:pPr>
            <w:r w:rsidRPr="00FD06AE">
              <w:rPr>
                <w:rFonts w:ascii="Times New Roman" w:hAnsi="Times New Roman" w:cs="Times New Roman"/>
                <w:sz w:val="24"/>
                <w:szCs w:val="24"/>
              </w:rPr>
              <w:t>1,613</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780</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478</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333</w:t>
            </w:r>
          </w:p>
        </w:tc>
        <w:tc>
          <w:tcPr>
            <w:tcW w:w="5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126</w:t>
            </w:r>
          </w:p>
        </w:tc>
      </w:tr>
      <w:tr w:rsidR="008830BC" w:rsidRPr="00FD06AE" w:rsidTr="009F4EEB">
        <w:trPr>
          <w:trHeight w:hRule="exact" w:val="432"/>
          <w:jc w:val="center"/>
        </w:trPr>
        <w:tc>
          <w:tcPr>
            <w:tcW w:w="141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20%</w:t>
            </w:r>
          </w:p>
        </w:tc>
        <w:tc>
          <w:tcPr>
            <w:tcW w:w="8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4,973</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1,365</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665</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408</w:t>
            </w:r>
          </w:p>
        </w:tc>
        <w:tc>
          <w:tcPr>
            <w:tcW w:w="75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285</w:t>
            </w:r>
          </w:p>
        </w:tc>
        <w:tc>
          <w:tcPr>
            <w:tcW w:w="576" w:type="dxa"/>
          </w:tcPr>
          <w:p w:rsidR="008830BC" w:rsidRPr="00FD06AE" w:rsidRDefault="008830BC" w:rsidP="009F4EEB">
            <w:pPr>
              <w:pStyle w:val="ListParagraph"/>
              <w:ind w:left="0"/>
              <w:jc w:val="center"/>
              <w:rPr>
                <w:rFonts w:ascii="Times New Roman" w:hAnsi="Times New Roman" w:cs="Times New Roman"/>
                <w:sz w:val="24"/>
                <w:szCs w:val="24"/>
              </w:rPr>
            </w:pPr>
            <w:r w:rsidRPr="00FD06AE">
              <w:rPr>
                <w:rFonts w:ascii="Times New Roman" w:hAnsi="Times New Roman" w:cs="Times New Roman"/>
                <w:sz w:val="24"/>
                <w:szCs w:val="24"/>
              </w:rPr>
              <w:t>110</w:t>
            </w:r>
          </w:p>
        </w:tc>
      </w:tr>
    </w:tbl>
    <w:p w:rsidR="008830BC" w:rsidRPr="00FD06AE" w:rsidRDefault="008830BC" w:rsidP="008830BC">
      <w:pPr>
        <w:ind w:left="1440"/>
        <w:rPr>
          <w:sz w:val="18"/>
          <w:szCs w:val="18"/>
        </w:rPr>
      </w:pPr>
      <w:r w:rsidRPr="00FD06AE">
        <w:rPr>
          <w:sz w:val="18"/>
          <w:szCs w:val="18"/>
        </w:rPr>
        <w:t>*Prevalence of BAC in control sample. ^The highlighted cell is the total sample size required to reliably detect a 20% increase in relative risk (1.2 odds ratio) for alcohol with a 4.0% prevalence rate in the control sample. The proposed sample size greatly exceeds this number and the relative risk for alcohol is known to be substantially higher than the 1.2 odds ratio.</w:t>
      </w:r>
    </w:p>
    <w:p w:rsidR="008830BC" w:rsidRPr="00FD06AE" w:rsidRDefault="008830BC" w:rsidP="008830BC">
      <w:pPr>
        <w:ind w:firstLine="720"/>
      </w:pPr>
    </w:p>
    <w:p w:rsidR="003B0E85" w:rsidRPr="00FD06AE" w:rsidRDefault="003B0E85">
      <w:r w:rsidRPr="00FD06AE">
        <w:br w:type="page"/>
      </w:r>
    </w:p>
    <w:p w:rsidR="007073AC" w:rsidRPr="00FD06AE" w:rsidRDefault="00E41B2B" w:rsidP="007073AC">
      <w:pPr>
        <w:ind w:firstLine="720"/>
      </w:pPr>
      <w:r w:rsidRPr="00FD06AE">
        <w:t>The</w:t>
      </w:r>
      <w:r w:rsidR="007073AC" w:rsidRPr="00FD06AE">
        <w:t xml:space="preserve"> tables</w:t>
      </w:r>
      <w:r w:rsidRPr="00FD06AE">
        <w:t xml:space="preserve"> above</w:t>
      </w:r>
      <w:r w:rsidR="007073AC" w:rsidRPr="00FD06AE">
        <w:t xml:space="preserve"> indicate that inclusion of multiple covariates only slightly increases sample size requirements. Much more critical is the prevalence</w:t>
      </w:r>
      <w:r w:rsidR="00451D99" w:rsidRPr="00FD06AE">
        <w:t xml:space="preserve"> (</w:t>
      </w:r>
      <w:r w:rsidR="00451D99" w:rsidRPr="00FD06AE">
        <w:rPr>
          <w:i/>
        </w:rPr>
        <w:t>P</w:t>
      </w:r>
      <w:r w:rsidR="00451D99" w:rsidRPr="00FD06AE">
        <w:t xml:space="preserve">) </w:t>
      </w:r>
      <w:r w:rsidR="007073AC" w:rsidRPr="00FD06AE">
        <w:t xml:space="preserve">of </w:t>
      </w:r>
      <w:r w:rsidR="00451D99" w:rsidRPr="00FD06AE">
        <w:t xml:space="preserve">a </w:t>
      </w:r>
      <w:r w:rsidR="007073AC" w:rsidRPr="00FD06AE">
        <w:t>risk factor in the at-risk popula</w:t>
      </w:r>
      <w:r w:rsidR="00451D99" w:rsidRPr="00FD06AE">
        <w:t>tion and the assumed odds ratio</w:t>
      </w:r>
      <w:r w:rsidR="007073AC" w:rsidRPr="00FD06AE">
        <w:t>. The V</w:t>
      </w:r>
      <w:r w:rsidR="009A3DB8" w:rsidRPr="00FD06AE">
        <w:t>irginia</w:t>
      </w:r>
      <w:r w:rsidR="007073AC" w:rsidRPr="00FD06AE">
        <w:t xml:space="preserve"> Beach study found alcohol in 2.9% of the control drivers, and the most recent NRS study found alcohol in 8.3% of weekend nighttime drivers who volunteered for a roadside breath test. Given that this study is focusing only on the most severe crashes, we expect to be conducting more roadside sampling at night when prevalence rates are higher. Therefore, we anticipate the overall alcohol prevalence rates for the control sample will be somewhere between 4.0% - 8.0%. In addition, the expected effect size for BAC based on prior research is very large (greater than 2.0 even at a moderate BAC of .05 g/dL). Given the expected prevalence rates and effect size for alcohol, the sample size of 7,500 (2,500 crash and 5,000 controls) proposed in the present study</w:t>
      </w:r>
      <w:r w:rsidRPr="00FD06AE">
        <w:t xml:space="preserve"> is more than sufficient to study the impacts of alcohol</w:t>
      </w:r>
      <w:r w:rsidR="007073AC" w:rsidRPr="00FD06AE">
        <w:t xml:space="preserve">. As demonstrated by the highlighted samples size requirements in Tables 1 and 2, the proposed combined sample size will be </w:t>
      </w:r>
      <w:r w:rsidR="00192192" w:rsidRPr="00FD06AE">
        <w:t>able</w:t>
      </w:r>
      <w:r w:rsidR="007073AC" w:rsidRPr="00FD06AE">
        <w:t xml:space="preserve"> to </w:t>
      </w:r>
      <w:r w:rsidR="00192192" w:rsidRPr="00FD06AE">
        <w:t xml:space="preserve">reliably </w:t>
      </w:r>
      <w:r w:rsidR="007073AC" w:rsidRPr="00FD06AE">
        <w:t>detect a 20% increase in the relative risk associated alcohol (1.2 odds ratio). In fact, a much smaller sample would be sufficient if the study only investigated the effects alcohol</w:t>
      </w:r>
      <w:r w:rsidR="00192192" w:rsidRPr="00FD06AE">
        <w:t>,</w:t>
      </w:r>
      <w:r w:rsidR="007073AC" w:rsidRPr="00FD06AE">
        <w:t xml:space="preserve"> but as discussed later, the large sample size of this study is required to explore a variety of other drugs at lower prevalence rates and expected effect sizes.   </w:t>
      </w:r>
    </w:p>
    <w:p w:rsidR="007073AC" w:rsidRPr="00FD06AE" w:rsidRDefault="007073AC" w:rsidP="007073AC">
      <w:pPr>
        <w:ind w:firstLine="720"/>
      </w:pPr>
    </w:p>
    <w:p w:rsidR="00B93628" w:rsidRPr="00FD06AE" w:rsidRDefault="007073AC" w:rsidP="007073AC">
      <w:pPr>
        <w:ind w:firstLine="720"/>
        <w:rPr>
          <w:b/>
        </w:rPr>
      </w:pPr>
      <w:r w:rsidRPr="00FD06AE">
        <w:t xml:space="preserve">It should be noted that Tables 1 and 2 are based on a one-tailed alpha. If a two-tailed alpha is adopted, the necessary N to achieve a given power would be substantially increased. </w:t>
      </w:r>
      <w:r w:rsidR="007154FB" w:rsidRPr="00FD06AE">
        <w:t>Another issue is that the Hsieh tables are based on an unconditional non-matched sampling model. However, Peck, Gebers, Voas and Romano’s</w:t>
      </w:r>
      <w:r w:rsidR="007154FB" w:rsidRPr="00FD06AE">
        <w:rPr>
          <w:vertAlign w:val="superscript"/>
        </w:rPr>
        <w:footnoteReference w:id="17"/>
      </w:r>
      <w:r w:rsidR="007154FB" w:rsidRPr="00FD06AE">
        <w:t xml:space="preserve"> reanalysis of the Long Beach-Fort Lauderdale study found very little difference between the model fit and precision of unconditional and conditional models applied to the same data. Conditioning on the matched pairs resulted in only a 4% improvement in fit as measured by the Cox-Snell R² and produced very similar relative risk curves. </w:t>
      </w:r>
      <w:r w:rsidR="008D47D1" w:rsidRPr="00FD06AE">
        <w:t>T</w:t>
      </w:r>
      <w:r w:rsidR="007154FB" w:rsidRPr="00FD06AE">
        <w:t xml:space="preserve">he proposed sampling plan is </w:t>
      </w:r>
      <w:r w:rsidR="008D47D1" w:rsidRPr="00FD06AE">
        <w:t xml:space="preserve">sufficient </w:t>
      </w:r>
      <w:r w:rsidR="007154FB" w:rsidRPr="00FD06AE">
        <w:t>to achieve a power of .80 because the contemplated effect size for alcohol is known to be large.</w:t>
      </w:r>
    </w:p>
    <w:p w:rsidR="00584B32" w:rsidRPr="00FD06AE" w:rsidRDefault="00584B32" w:rsidP="00FB2F8A">
      <w:pPr>
        <w:pStyle w:val="ListParagraph"/>
        <w:spacing w:after="0" w:line="240" w:lineRule="auto"/>
        <w:ind w:left="0"/>
        <w:rPr>
          <w:rFonts w:ascii="Times New Roman" w:hAnsi="Times New Roman" w:cs="Times New Roman"/>
          <w:sz w:val="24"/>
          <w:szCs w:val="24"/>
        </w:rPr>
      </w:pPr>
    </w:p>
    <w:p w:rsidR="003B0E85" w:rsidRPr="00FD06AE" w:rsidRDefault="006559B3" w:rsidP="00FB2F8A">
      <w:pPr>
        <w:pStyle w:val="ListParagraph"/>
        <w:spacing w:after="0" w:line="240" w:lineRule="auto"/>
        <w:ind w:left="0" w:firstLine="720"/>
        <w:rPr>
          <w:rFonts w:ascii="Times New Roman" w:hAnsi="Times New Roman" w:cs="Times New Roman"/>
          <w:sz w:val="24"/>
          <w:szCs w:val="24"/>
        </w:rPr>
      </w:pPr>
      <w:r w:rsidRPr="00FD06AE">
        <w:rPr>
          <w:rFonts w:ascii="Times New Roman" w:hAnsi="Times New Roman" w:cs="Times New Roman"/>
          <w:b/>
          <w:sz w:val="24"/>
          <w:szCs w:val="24"/>
        </w:rPr>
        <w:t>Sample Size for Other Drugs.</w:t>
      </w:r>
      <w:r w:rsidRPr="00FD06AE">
        <w:rPr>
          <w:rFonts w:ascii="Times New Roman" w:hAnsi="Times New Roman" w:cs="Times New Roman"/>
          <w:sz w:val="24"/>
          <w:szCs w:val="24"/>
        </w:rPr>
        <w:t xml:space="preserve"> </w:t>
      </w:r>
      <w:r w:rsidR="00584B32" w:rsidRPr="00FD06AE">
        <w:rPr>
          <w:rFonts w:ascii="Times New Roman" w:hAnsi="Times New Roman" w:cs="Times New Roman"/>
          <w:sz w:val="24"/>
          <w:szCs w:val="24"/>
        </w:rPr>
        <w:t xml:space="preserve">Tables 3 and 4 show the sample size/power analysis for the drug component of the study. Table 3 presents estimated </w:t>
      </w:r>
      <w:r w:rsidR="009B3326" w:rsidRPr="00FD06AE">
        <w:rPr>
          <w:rFonts w:ascii="Times New Roman" w:hAnsi="Times New Roman" w:cs="Times New Roman"/>
          <w:sz w:val="24"/>
          <w:szCs w:val="24"/>
        </w:rPr>
        <w:t>number of</w:t>
      </w:r>
      <w:r w:rsidR="00584B32" w:rsidRPr="00FD06AE">
        <w:rPr>
          <w:rFonts w:ascii="Times New Roman" w:hAnsi="Times New Roman" w:cs="Times New Roman"/>
          <w:sz w:val="24"/>
          <w:szCs w:val="24"/>
        </w:rPr>
        <w:t xml:space="preserve"> crash drivers </w:t>
      </w:r>
      <w:r w:rsidR="009B3326" w:rsidRPr="00FD06AE">
        <w:rPr>
          <w:rFonts w:ascii="Times New Roman" w:hAnsi="Times New Roman" w:cs="Times New Roman"/>
          <w:sz w:val="24"/>
          <w:szCs w:val="24"/>
        </w:rPr>
        <w:t>needed</w:t>
      </w:r>
      <w:r w:rsidR="00584B32" w:rsidRPr="00FD06AE">
        <w:rPr>
          <w:rFonts w:ascii="Times New Roman" w:hAnsi="Times New Roman" w:cs="Times New Roman"/>
          <w:sz w:val="24"/>
          <w:szCs w:val="24"/>
        </w:rPr>
        <w:t xml:space="preserve"> and power estimates for a 1:2 matched design with no covariates other than drug status. These tables are based on Dupont (1988)</w:t>
      </w:r>
      <w:r w:rsidR="004D3F1D" w:rsidRPr="00FD06AE">
        <w:rPr>
          <w:rFonts w:ascii="Times New Roman" w:hAnsi="Times New Roman" w:cs="Times New Roman"/>
          <w:sz w:val="24"/>
          <w:szCs w:val="24"/>
        </w:rPr>
        <w:t xml:space="preserve">. </w:t>
      </w:r>
      <w:r w:rsidR="00584B32" w:rsidRPr="00FD06AE">
        <w:rPr>
          <w:rFonts w:ascii="Times New Roman" w:hAnsi="Times New Roman" w:cs="Times New Roman"/>
          <w:sz w:val="24"/>
          <w:szCs w:val="24"/>
        </w:rPr>
        <w:t xml:space="preserve">Table 4 shows the needed sample size (crash drivers only) when covariates are added (e.g. age, gender) using the same Hsieh method for estimating covariate inflation. Again, the addition of covariates has little effect on sample size and statistical power. </w:t>
      </w:r>
    </w:p>
    <w:p w:rsidR="003B0E85" w:rsidRPr="00FD06AE" w:rsidRDefault="003B0E85" w:rsidP="003B0E85">
      <w:r w:rsidRPr="00FD06AE">
        <w:br w:type="page"/>
      </w:r>
    </w:p>
    <w:p w:rsidR="00584B32" w:rsidRPr="00FD06AE" w:rsidRDefault="00584B32" w:rsidP="00FB2F8A">
      <w:pPr>
        <w:pStyle w:val="ListParagraph"/>
        <w:spacing w:after="0" w:line="240" w:lineRule="auto"/>
        <w:ind w:left="0" w:firstLine="720"/>
        <w:rPr>
          <w:rFonts w:ascii="Times New Roman" w:hAnsi="Times New Roman" w:cs="Times New Roman"/>
          <w:sz w:val="24"/>
          <w:szCs w:val="24"/>
        </w:rPr>
      </w:pPr>
      <w:r w:rsidRPr="00FD06AE">
        <w:rPr>
          <w:rFonts w:ascii="Times New Roman" w:hAnsi="Times New Roman" w:cs="Times New Roman"/>
          <w:sz w:val="24"/>
          <w:szCs w:val="24"/>
        </w:rPr>
        <w:t>It is important to note that Tables 3 and 4 show the required number of crash driver cases excluding controls</w:t>
      </w:r>
      <w:r w:rsidR="002007C0" w:rsidRPr="00FD06AE">
        <w:rPr>
          <w:rFonts w:ascii="Times New Roman" w:hAnsi="Times New Roman" w:cs="Times New Roman"/>
          <w:sz w:val="24"/>
          <w:szCs w:val="24"/>
        </w:rPr>
        <w:t xml:space="preserve"> because they are based on the Dupont paper which presented the data in this manner</w:t>
      </w:r>
      <w:r w:rsidRPr="00FD06AE">
        <w:rPr>
          <w:rFonts w:ascii="Times New Roman" w:hAnsi="Times New Roman" w:cs="Times New Roman"/>
          <w:sz w:val="24"/>
          <w:szCs w:val="24"/>
        </w:rPr>
        <w:t>. The total sample size including controls can be calculated by multiplying the cell numbers by three.</w:t>
      </w:r>
    </w:p>
    <w:p w:rsidR="004D3F1D" w:rsidRPr="00FD06AE" w:rsidRDefault="00584B32" w:rsidP="006D0F88">
      <w:pPr>
        <w:rPr>
          <w:rFonts w:eastAsia="Calibri"/>
        </w:rPr>
      </w:pPr>
      <w:r w:rsidRPr="00FD06AE">
        <w:rPr>
          <w:rFonts w:eastAsia="Calibri"/>
        </w:rPr>
        <w:t xml:space="preserve"> </w:t>
      </w:r>
    </w:p>
    <w:p w:rsidR="00584B32" w:rsidRPr="00FD06AE" w:rsidRDefault="00584B32" w:rsidP="002C51FB">
      <w:pPr>
        <w:keepNext/>
        <w:jc w:val="center"/>
        <w:rPr>
          <w:b/>
        </w:rPr>
      </w:pPr>
      <w:r w:rsidRPr="00FD06AE">
        <w:rPr>
          <w:b/>
        </w:rPr>
        <w:t xml:space="preserve">Table 3. Drugs: Number of crash drivers needed to detect given univariate effect sizes for various drugs as significant at P≤.05 and power=.80 (1:2 matched control design with </w:t>
      </w:r>
      <w:r w:rsidRPr="00FD06AE">
        <w:rPr>
          <w:b/>
          <w:u w:val="single"/>
        </w:rPr>
        <w:t>zero covariates</w:t>
      </w:r>
      <w:r w:rsidRPr="00FD06AE">
        <w:rPr>
          <w:b/>
        </w:rPr>
        <w:t>)</w:t>
      </w:r>
    </w:p>
    <w:tbl>
      <w:tblPr>
        <w:tblStyle w:val="TableGrid"/>
        <w:tblW w:w="9350" w:type="dxa"/>
        <w:tblLook w:val="04A0" w:firstRow="1" w:lastRow="0" w:firstColumn="1" w:lastColumn="0" w:noHBand="0" w:noVBand="1"/>
      </w:tblPr>
      <w:tblGrid>
        <w:gridCol w:w="1390"/>
        <w:gridCol w:w="1356"/>
        <w:gridCol w:w="1332"/>
        <w:gridCol w:w="1332"/>
        <w:gridCol w:w="1315"/>
        <w:gridCol w:w="1315"/>
        <w:gridCol w:w="1310"/>
      </w:tblGrid>
      <w:tr w:rsidR="00584B32" w:rsidRPr="00FD06AE" w:rsidTr="00ED607B">
        <w:tc>
          <w:tcPr>
            <w:tcW w:w="1390" w:type="dxa"/>
            <w:vMerge w:val="restart"/>
            <w:vAlign w:val="bottom"/>
          </w:tcPr>
          <w:p w:rsidR="00584B32" w:rsidRPr="00FD06AE" w:rsidRDefault="00584B32" w:rsidP="00ED607B">
            <w:pPr>
              <w:jc w:val="center"/>
            </w:pPr>
            <w:r w:rsidRPr="00FD06AE">
              <w:t>Prevalence*</w:t>
            </w:r>
          </w:p>
        </w:tc>
        <w:tc>
          <w:tcPr>
            <w:tcW w:w="7960" w:type="dxa"/>
            <w:gridSpan w:val="6"/>
          </w:tcPr>
          <w:p w:rsidR="00584B32" w:rsidRPr="00FD06AE" w:rsidRDefault="00584B32" w:rsidP="00ED607B">
            <w:pPr>
              <w:jc w:val="center"/>
            </w:pPr>
            <w:r w:rsidRPr="00FD06AE">
              <w:t>Odds Ratio</w:t>
            </w:r>
          </w:p>
        </w:tc>
      </w:tr>
      <w:tr w:rsidR="00584B32" w:rsidRPr="00FD06AE" w:rsidTr="00ED607B">
        <w:tc>
          <w:tcPr>
            <w:tcW w:w="1390" w:type="dxa"/>
            <w:vMerge/>
          </w:tcPr>
          <w:p w:rsidR="00584B32" w:rsidRPr="00FD06AE" w:rsidRDefault="00584B32" w:rsidP="00ED607B">
            <w:pPr>
              <w:jc w:val="center"/>
            </w:pPr>
          </w:p>
        </w:tc>
        <w:tc>
          <w:tcPr>
            <w:tcW w:w="1356" w:type="dxa"/>
          </w:tcPr>
          <w:p w:rsidR="00584B32" w:rsidRPr="00FD06AE" w:rsidRDefault="00584B32" w:rsidP="00ED607B">
            <w:pPr>
              <w:jc w:val="center"/>
            </w:pPr>
            <w:r w:rsidRPr="00FD06AE">
              <w:t>1.1</w:t>
            </w:r>
          </w:p>
        </w:tc>
        <w:tc>
          <w:tcPr>
            <w:tcW w:w="1332" w:type="dxa"/>
          </w:tcPr>
          <w:p w:rsidR="00584B32" w:rsidRPr="00FD06AE" w:rsidRDefault="00584B32" w:rsidP="00ED607B">
            <w:pPr>
              <w:jc w:val="center"/>
            </w:pPr>
            <w:r w:rsidRPr="00FD06AE">
              <w:t>1.2</w:t>
            </w:r>
          </w:p>
        </w:tc>
        <w:tc>
          <w:tcPr>
            <w:tcW w:w="1332" w:type="dxa"/>
          </w:tcPr>
          <w:p w:rsidR="00584B32" w:rsidRPr="00FD06AE" w:rsidRDefault="00584B32" w:rsidP="00ED607B">
            <w:pPr>
              <w:jc w:val="center"/>
            </w:pPr>
            <w:r w:rsidRPr="00FD06AE">
              <w:t>1.3</w:t>
            </w:r>
          </w:p>
        </w:tc>
        <w:tc>
          <w:tcPr>
            <w:tcW w:w="1315" w:type="dxa"/>
          </w:tcPr>
          <w:p w:rsidR="00584B32" w:rsidRPr="00FD06AE" w:rsidRDefault="00584B32" w:rsidP="00ED607B">
            <w:pPr>
              <w:jc w:val="center"/>
            </w:pPr>
            <w:r w:rsidRPr="00FD06AE">
              <w:t>1.4</w:t>
            </w:r>
          </w:p>
        </w:tc>
        <w:tc>
          <w:tcPr>
            <w:tcW w:w="1315" w:type="dxa"/>
          </w:tcPr>
          <w:p w:rsidR="00584B32" w:rsidRPr="00FD06AE" w:rsidRDefault="00584B32" w:rsidP="00ED607B">
            <w:pPr>
              <w:jc w:val="center"/>
            </w:pPr>
            <w:r w:rsidRPr="00FD06AE">
              <w:t>1.5</w:t>
            </w:r>
          </w:p>
        </w:tc>
        <w:tc>
          <w:tcPr>
            <w:tcW w:w="1310" w:type="dxa"/>
          </w:tcPr>
          <w:p w:rsidR="00584B32" w:rsidRPr="00FD06AE" w:rsidRDefault="00584B32" w:rsidP="00ED607B">
            <w:pPr>
              <w:jc w:val="center"/>
            </w:pPr>
            <w:r w:rsidRPr="00FD06AE">
              <w:t>2.0</w:t>
            </w:r>
          </w:p>
        </w:tc>
      </w:tr>
      <w:tr w:rsidR="00584B32" w:rsidRPr="00FD06AE" w:rsidTr="00ED607B">
        <w:tc>
          <w:tcPr>
            <w:tcW w:w="1390" w:type="dxa"/>
          </w:tcPr>
          <w:p w:rsidR="00584B32" w:rsidRPr="00FD06AE" w:rsidRDefault="00584B32" w:rsidP="00ED607B">
            <w:pPr>
              <w:jc w:val="center"/>
            </w:pPr>
            <w:r w:rsidRPr="00FD06AE">
              <w:t>1%</w:t>
            </w:r>
          </w:p>
        </w:tc>
        <w:tc>
          <w:tcPr>
            <w:tcW w:w="1356" w:type="dxa"/>
          </w:tcPr>
          <w:p w:rsidR="00584B32" w:rsidRPr="00FD06AE" w:rsidRDefault="00584B32" w:rsidP="00ED607B">
            <w:pPr>
              <w:jc w:val="center"/>
            </w:pPr>
            <w:r w:rsidRPr="00FD06AE">
              <w:t>60,000</w:t>
            </w:r>
          </w:p>
        </w:tc>
        <w:tc>
          <w:tcPr>
            <w:tcW w:w="1332" w:type="dxa"/>
          </w:tcPr>
          <w:p w:rsidR="00584B32" w:rsidRPr="00FD06AE" w:rsidRDefault="00584B32" w:rsidP="00ED607B">
            <w:pPr>
              <w:jc w:val="center"/>
            </w:pPr>
            <w:r w:rsidRPr="00FD06AE">
              <w:t>15,400</w:t>
            </w:r>
          </w:p>
        </w:tc>
        <w:tc>
          <w:tcPr>
            <w:tcW w:w="1332" w:type="dxa"/>
          </w:tcPr>
          <w:p w:rsidR="00584B32" w:rsidRPr="00FD06AE" w:rsidRDefault="00584B32" w:rsidP="00ED607B">
            <w:pPr>
              <w:jc w:val="center"/>
            </w:pPr>
            <w:r w:rsidRPr="00FD06AE">
              <w:t>7,000</w:t>
            </w:r>
          </w:p>
        </w:tc>
        <w:tc>
          <w:tcPr>
            <w:tcW w:w="1315" w:type="dxa"/>
          </w:tcPr>
          <w:p w:rsidR="00584B32" w:rsidRPr="00FD06AE" w:rsidRDefault="00584B32" w:rsidP="00ED607B">
            <w:pPr>
              <w:jc w:val="center"/>
            </w:pPr>
            <w:r w:rsidRPr="00FD06AE">
              <w:t>4,040</w:t>
            </w:r>
          </w:p>
        </w:tc>
        <w:tc>
          <w:tcPr>
            <w:tcW w:w="1315" w:type="dxa"/>
          </w:tcPr>
          <w:p w:rsidR="00584B32" w:rsidRPr="00FD06AE" w:rsidRDefault="00584B32" w:rsidP="00ED607B">
            <w:pPr>
              <w:jc w:val="center"/>
            </w:pPr>
            <w:r w:rsidRPr="00FD06AE">
              <w:t>2,650</w:t>
            </w:r>
          </w:p>
        </w:tc>
        <w:tc>
          <w:tcPr>
            <w:tcW w:w="1310" w:type="dxa"/>
          </w:tcPr>
          <w:p w:rsidR="00584B32" w:rsidRPr="00FD06AE" w:rsidRDefault="00584B32" w:rsidP="00ED607B">
            <w:pPr>
              <w:jc w:val="center"/>
            </w:pPr>
            <w:r w:rsidRPr="00FD06AE">
              <w:t>725</w:t>
            </w:r>
          </w:p>
        </w:tc>
      </w:tr>
      <w:tr w:rsidR="00584B32" w:rsidRPr="00FD06AE" w:rsidTr="00ED607B">
        <w:tc>
          <w:tcPr>
            <w:tcW w:w="1390" w:type="dxa"/>
          </w:tcPr>
          <w:p w:rsidR="00584B32" w:rsidRPr="00FD06AE" w:rsidRDefault="00584B32" w:rsidP="00ED607B">
            <w:pPr>
              <w:jc w:val="center"/>
            </w:pPr>
            <w:r w:rsidRPr="00FD06AE">
              <w:t>2%</w:t>
            </w:r>
          </w:p>
        </w:tc>
        <w:tc>
          <w:tcPr>
            <w:tcW w:w="1356" w:type="dxa"/>
          </w:tcPr>
          <w:p w:rsidR="00584B32" w:rsidRPr="00FD06AE" w:rsidRDefault="00584B32" w:rsidP="00ED607B">
            <w:pPr>
              <w:jc w:val="center"/>
            </w:pPr>
            <w:r w:rsidRPr="00FD06AE">
              <w:t>30,400</w:t>
            </w:r>
          </w:p>
        </w:tc>
        <w:tc>
          <w:tcPr>
            <w:tcW w:w="1332" w:type="dxa"/>
          </w:tcPr>
          <w:p w:rsidR="00584B32" w:rsidRPr="00FD06AE" w:rsidRDefault="00584B32" w:rsidP="00ED607B">
            <w:pPr>
              <w:jc w:val="center"/>
            </w:pPr>
            <w:r w:rsidRPr="00FD06AE">
              <w:t>7,820</w:t>
            </w:r>
          </w:p>
        </w:tc>
        <w:tc>
          <w:tcPr>
            <w:tcW w:w="1332" w:type="dxa"/>
          </w:tcPr>
          <w:p w:rsidR="00584B32" w:rsidRPr="00FD06AE" w:rsidRDefault="00584B32" w:rsidP="00ED607B">
            <w:pPr>
              <w:jc w:val="center"/>
            </w:pPr>
            <w:r w:rsidRPr="00FD06AE">
              <w:t>3,570</w:t>
            </w:r>
          </w:p>
        </w:tc>
        <w:tc>
          <w:tcPr>
            <w:tcW w:w="1315" w:type="dxa"/>
          </w:tcPr>
          <w:p w:rsidR="00584B32" w:rsidRPr="00FD06AE" w:rsidRDefault="00584B32" w:rsidP="00ED607B">
            <w:pPr>
              <w:jc w:val="center"/>
            </w:pPr>
            <w:r w:rsidRPr="00FD06AE">
              <w:t>2,060</w:t>
            </w:r>
          </w:p>
        </w:tc>
        <w:tc>
          <w:tcPr>
            <w:tcW w:w="1315" w:type="dxa"/>
          </w:tcPr>
          <w:p w:rsidR="00584B32" w:rsidRPr="00FD06AE" w:rsidRDefault="00584B32" w:rsidP="00ED607B">
            <w:pPr>
              <w:jc w:val="center"/>
            </w:pPr>
            <w:r w:rsidRPr="00FD06AE">
              <w:t>1,350</w:t>
            </w:r>
          </w:p>
        </w:tc>
        <w:tc>
          <w:tcPr>
            <w:tcW w:w="1310" w:type="dxa"/>
          </w:tcPr>
          <w:p w:rsidR="00584B32" w:rsidRPr="00FD06AE" w:rsidRDefault="00584B32" w:rsidP="00ED607B">
            <w:pPr>
              <w:jc w:val="center"/>
            </w:pPr>
            <w:r w:rsidRPr="00FD06AE">
              <w:t>375</w:t>
            </w:r>
          </w:p>
        </w:tc>
      </w:tr>
      <w:tr w:rsidR="00584B32" w:rsidRPr="00FD06AE" w:rsidTr="00ED607B">
        <w:tc>
          <w:tcPr>
            <w:tcW w:w="1390" w:type="dxa"/>
          </w:tcPr>
          <w:p w:rsidR="00584B32" w:rsidRPr="00FD06AE" w:rsidRDefault="00584B32" w:rsidP="00ED607B">
            <w:pPr>
              <w:jc w:val="center"/>
            </w:pPr>
            <w:r w:rsidRPr="00FD06AE">
              <w:t>3%</w:t>
            </w:r>
          </w:p>
        </w:tc>
        <w:tc>
          <w:tcPr>
            <w:tcW w:w="1356" w:type="dxa"/>
          </w:tcPr>
          <w:p w:rsidR="00584B32" w:rsidRPr="00FD06AE" w:rsidRDefault="00584B32" w:rsidP="00ED607B">
            <w:pPr>
              <w:jc w:val="center"/>
            </w:pPr>
            <w:r w:rsidRPr="00FD06AE">
              <w:t>20,550</w:t>
            </w:r>
          </w:p>
        </w:tc>
        <w:tc>
          <w:tcPr>
            <w:tcW w:w="1332" w:type="dxa"/>
          </w:tcPr>
          <w:p w:rsidR="00584B32" w:rsidRPr="00FD06AE" w:rsidRDefault="00584B32" w:rsidP="00ED607B">
            <w:pPr>
              <w:jc w:val="center"/>
            </w:pPr>
            <w:r w:rsidRPr="00FD06AE">
              <w:t>5,300</w:t>
            </w:r>
          </w:p>
        </w:tc>
        <w:tc>
          <w:tcPr>
            <w:tcW w:w="1332" w:type="dxa"/>
          </w:tcPr>
          <w:p w:rsidR="00584B32" w:rsidRPr="00FD06AE" w:rsidRDefault="00584B32" w:rsidP="00ED607B">
            <w:pPr>
              <w:jc w:val="center"/>
              <w:rPr>
                <w:b/>
                <w:u w:val="single"/>
              </w:rPr>
            </w:pPr>
            <w:r w:rsidRPr="00FD06AE">
              <w:rPr>
                <w:b/>
                <w:u w:val="single"/>
              </w:rPr>
              <w:t>2,420</w:t>
            </w:r>
          </w:p>
        </w:tc>
        <w:tc>
          <w:tcPr>
            <w:tcW w:w="1315" w:type="dxa"/>
          </w:tcPr>
          <w:p w:rsidR="00584B32" w:rsidRPr="00FD06AE" w:rsidRDefault="00584B32" w:rsidP="00ED607B">
            <w:pPr>
              <w:jc w:val="center"/>
            </w:pPr>
            <w:r w:rsidRPr="00FD06AE">
              <w:t>1,400</w:t>
            </w:r>
          </w:p>
        </w:tc>
        <w:tc>
          <w:tcPr>
            <w:tcW w:w="1315" w:type="dxa"/>
          </w:tcPr>
          <w:p w:rsidR="00584B32" w:rsidRPr="00FD06AE" w:rsidRDefault="00584B32" w:rsidP="00ED607B">
            <w:pPr>
              <w:jc w:val="center"/>
            </w:pPr>
            <w:r w:rsidRPr="00FD06AE">
              <w:t>920</w:t>
            </w:r>
          </w:p>
        </w:tc>
        <w:tc>
          <w:tcPr>
            <w:tcW w:w="1310" w:type="dxa"/>
          </w:tcPr>
          <w:p w:rsidR="00584B32" w:rsidRPr="00FD06AE" w:rsidRDefault="00584B32" w:rsidP="00ED607B">
            <w:pPr>
              <w:jc w:val="center"/>
            </w:pPr>
            <w:r w:rsidRPr="00FD06AE">
              <w:t>255</w:t>
            </w:r>
          </w:p>
        </w:tc>
      </w:tr>
      <w:tr w:rsidR="00584B32" w:rsidRPr="00FD06AE" w:rsidTr="00ED607B">
        <w:tc>
          <w:tcPr>
            <w:tcW w:w="1390" w:type="dxa"/>
          </w:tcPr>
          <w:p w:rsidR="00584B32" w:rsidRPr="00FD06AE" w:rsidRDefault="00584B32" w:rsidP="00ED607B">
            <w:pPr>
              <w:jc w:val="center"/>
            </w:pPr>
            <w:r w:rsidRPr="00FD06AE">
              <w:t>4%</w:t>
            </w:r>
          </w:p>
        </w:tc>
        <w:tc>
          <w:tcPr>
            <w:tcW w:w="1356" w:type="dxa"/>
          </w:tcPr>
          <w:p w:rsidR="00584B32" w:rsidRPr="00FD06AE" w:rsidRDefault="00584B32" w:rsidP="00ED607B">
            <w:pPr>
              <w:jc w:val="center"/>
            </w:pPr>
            <w:r w:rsidRPr="00FD06AE">
              <w:t>15,640</w:t>
            </w:r>
          </w:p>
        </w:tc>
        <w:tc>
          <w:tcPr>
            <w:tcW w:w="1332" w:type="dxa"/>
          </w:tcPr>
          <w:p w:rsidR="00584B32" w:rsidRPr="00FD06AE" w:rsidRDefault="00584B32" w:rsidP="00ED607B">
            <w:pPr>
              <w:jc w:val="center"/>
            </w:pPr>
            <w:r w:rsidRPr="00FD06AE">
              <w:t>4,030</w:t>
            </w:r>
          </w:p>
        </w:tc>
        <w:tc>
          <w:tcPr>
            <w:tcW w:w="1332" w:type="dxa"/>
          </w:tcPr>
          <w:p w:rsidR="00584B32" w:rsidRPr="00FD06AE" w:rsidRDefault="00584B32" w:rsidP="00ED607B">
            <w:pPr>
              <w:jc w:val="center"/>
            </w:pPr>
            <w:r w:rsidRPr="00FD06AE">
              <w:t>1,850</w:t>
            </w:r>
          </w:p>
        </w:tc>
        <w:tc>
          <w:tcPr>
            <w:tcW w:w="1315" w:type="dxa"/>
          </w:tcPr>
          <w:p w:rsidR="00584B32" w:rsidRPr="00FD06AE" w:rsidRDefault="00584B32" w:rsidP="00ED607B">
            <w:pPr>
              <w:jc w:val="center"/>
            </w:pPr>
            <w:r w:rsidRPr="00FD06AE">
              <w:t>1,070</w:t>
            </w:r>
          </w:p>
        </w:tc>
        <w:tc>
          <w:tcPr>
            <w:tcW w:w="1315" w:type="dxa"/>
          </w:tcPr>
          <w:p w:rsidR="00584B32" w:rsidRPr="00FD06AE" w:rsidRDefault="00584B32" w:rsidP="00ED607B">
            <w:pPr>
              <w:jc w:val="center"/>
            </w:pPr>
            <w:r w:rsidRPr="00FD06AE">
              <w:t>700</w:t>
            </w:r>
          </w:p>
        </w:tc>
        <w:tc>
          <w:tcPr>
            <w:tcW w:w="1310" w:type="dxa"/>
          </w:tcPr>
          <w:p w:rsidR="00584B32" w:rsidRPr="00FD06AE" w:rsidRDefault="00584B32" w:rsidP="00ED607B">
            <w:pPr>
              <w:jc w:val="center"/>
            </w:pPr>
            <w:r w:rsidRPr="00FD06AE">
              <w:t>196</w:t>
            </w:r>
          </w:p>
        </w:tc>
      </w:tr>
      <w:tr w:rsidR="00584B32" w:rsidRPr="00FD06AE" w:rsidTr="00ED607B">
        <w:tc>
          <w:tcPr>
            <w:tcW w:w="1390" w:type="dxa"/>
          </w:tcPr>
          <w:p w:rsidR="00584B32" w:rsidRPr="00FD06AE" w:rsidRDefault="00584B32" w:rsidP="00ED607B">
            <w:pPr>
              <w:jc w:val="center"/>
            </w:pPr>
            <w:r w:rsidRPr="00FD06AE">
              <w:t>5%</w:t>
            </w:r>
          </w:p>
        </w:tc>
        <w:tc>
          <w:tcPr>
            <w:tcW w:w="1356" w:type="dxa"/>
          </w:tcPr>
          <w:p w:rsidR="00584B32" w:rsidRPr="00FD06AE" w:rsidRDefault="00584B32" w:rsidP="00ED607B">
            <w:pPr>
              <w:jc w:val="center"/>
            </w:pPr>
            <w:r w:rsidRPr="00FD06AE">
              <w:t>12,700</w:t>
            </w:r>
          </w:p>
        </w:tc>
        <w:tc>
          <w:tcPr>
            <w:tcW w:w="1332" w:type="dxa"/>
          </w:tcPr>
          <w:p w:rsidR="00584B32" w:rsidRPr="00FD06AE" w:rsidRDefault="00584B32" w:rsidP="00ED607B">
            <w:pPr>
              <w:jc w:val="center"/>
            </w:pPr>
            <w:r w:rsidRPr="00FD06AE">
              <w:t>3,280</w:t>
            </w:r>
          </w:p>
        </w:tc>
        <w:tc>
          <w:tcPr>
            <w:tcW w:w="1332" w:type="dxa"/>
          </w:tcPr>
          <w:p w:rsidR="00584B32" w:rsidRPr="00FD06AE" w:rsidRDefault="00584B32" w:rsidP="00ED607B">
            <w:pPr>
              <w:jc w:val="center"/>
            </w:pPr>
            <w:r w:rsidRPr="00FD06AE">
              <w:t>1,503</w:t>
            </w:r>
          </w:p>
        </w:tc>
        <w:tc>
          <w:tcPr>
            <w:tcW w:w="1315" w:type="dxa"/>
          </w:tcPr>
          <w:p w:rsidR="00584B32" w:rsidRPr="00FD06AE" w:rsidRDefault="00584B32" w:rsidP="00ED607B">
            <w:pPr>
              <w:jc w:val="center"/>
            </w:pPr>
            <w:r w:rsidRPr="00FD06AE">
              <w:t>870</w:t>
            </w:r>
          </w:p>
        </w:tc>
        <w:tc>
          <w:tcPr>
            <w:tcW w:w="1315" w:type="dxa"/>
          </w:tcPr>
          <w:p w:rsidR="00584B32" w:rsidRPr="00FD06AE" w:rsidRDefault="00584B32" w:rsidP="00ED607B">
            <w:pPr>
              <w:jc w:val="center"/>
            </w:pPr>
            <w:r w:rsidRPr="00FD06AE">
              <w:t>570</w:t>
            </w:r>
          </w:p>
        </w:tc>
        <w:tc>
          <w:tcPr>
            <w:tcW w:w="1310" w:type="dxa"/>
          </w:tcPr>
          <w:p w:rsidR="00584B32" w:rsidRPr="00FD06AE" w:rsidRDefault="00584B32" w:rsidP="00ED607B">
            <w:pPr>
              <w:jc w:val="center"/>
            </w:pPr>
            <w:r w:rsidRPr="00FD06AE">
              <w:t>160</w:t>
            </w:r>
          </w:p>
        </w:tc>
      </w:tr>
      <w:tr w:rsidR="00584B32" w:rsidRPr="00FD06AE" w:rsidTr="00ED607B">
        <w:tc>
          <w:tcPr>
            <w:tcW w:w="1390" w:type="dxa"/>
          </w:tcPr>
          <w:p w:rsidR="00584B32" w:rsidRPr="00FD06AE" w:rsidRDefault="00584B32" w:rsidP="00ED607B">
            <w:pPr>
              <w:jc w:val="center"/>
            </w:pPr>
            <w:r w:rsidRPr="00FD06AE">
              <w:t>6%</w:t>
            </w:r>
          </w:p>
        </w:tc>
        <w:tc>
          <w:tcPr>
            <w:tcW w:w="1356" w:type="dxa"/>
          </w:tcPr>
          <w:p w:rsidR="00584B32" w:rsidRPr="00FD06AE" w:rsidRDefault="00584B32" w:rsidP="00ED607B">
            <w:pPr>
              <w:jc w:val="center"/>
            </w:pPr>
            <w:r w:rsidRPr="00FD06AE">
              <w:t>10,750</w:t>
            </w:r>
          </w:p>
        </w:tc>
        <w:tc>
          <w:tcPr>
            <w:tcW w:w="1332" w:type="dxa"/>
          </w:tcPr>
          <w:p w:rsidR="00584B32" w:rsidRPr="00FD06AE" w:rsidRDefault="00584B32" w:rsidP="00ED607B">
            <w:pPr>
              <w:jc w:val="center"/>
            </w:pPr>
            <w:r w:rsidRPr="00FD06AE">
              <w:t>2,780</w:t>
            </w:r>
          </w:p>
        </w:tc>
        <w:tc>
          <w:tcPr>
            <w:tcW w:w="1332" w:type="dxa"/>
          </w:tcPr>
          <w:p w:rsidR="00584B32" w:rsidRPr="00FD06AE" w:rsidRDefault="00584B32" w:rsidP="00ED607B">
            <w:pPr>
              <w:jc w:val="center"/>
            </w:pPr>
            <w:r w:rsidRPr="00FD06AE">
              <w:t>1,275</w:t>
            </w:r>
          </w:p>
        </w:tc>
        <w:tc>
          <w:tcPr>
            <w:tcW w:w="1315" w:type="dxa"/>
          </w:tcPr>
          <w:p w:rsidR="00584B32" w:rsidRPr="00FD06AE" w:rsidRDefault="00584B32" w:rsidP="00ED607B">
            <w:pPr>
              <w:jc w:val="center"/>
            </w:pPr>
            <w:r w:rsidRPr="00FD06AE">
              <w:t>740</w:t>
            </w:r>
          </w:p>
        </w:tc>
        <w:tc>
          <w:tcPr>
            <w:tcW w:w="1315" w:type="dxa"/>
          </w:tcPr>
          <w:p w:rsidR="00584B32" w:rsidRPr="00FD06AE" w:rsidRDefault="00584B32" w:rsidP="00ED607B">
            <w:pPr>
              <w:jc w:val="center"/>
            </w:pPr>
            <w:r w:rsidRPr="00FD06AE">
              <w:t>490</w:t>
            </w:r>
          </w:p>
        </w:tc>
        <w:tc>
          <w:tcPr>
            <w:tcW w:w="1310" w:type="dxa"/>
          </w:tcPr>
          <w:p w:rsidR="00584B32" w:rsidRPr="00FD06AE" w:rsidRDefault="00584B32" w:rsidP="00ED607B">
            <w:pPr>
              <w:jc w:val="center"/>
            </w:pPr>
            <w:r w:rsidRPr="00FD06AE">
              <w:t>140</w:t>
            </w:r>
          </w:p>
        </w:tc>
      </w:tr>
      <w:tr w:rsidR="00584B32" w:rsidRPr="00FD06AE" w:rsidTr="00ED607B">
        <w:tc>
          <w:tcPr>
            <w:tcW w:w="1390" w:type="dxa"/>
          </w:tcPr>
          <w:p w:rsidR="00584B32" w:rsidRPr="00FD06AE" w:rsidRDefault="00584B32" w:rsidP="00ED607B">
            <w:pPr>
              <w:jc w:val="center"/>
            </w:pPr>
            <w:r w:rsidRPr="00FD06AE">
              <w:t>7%</w:t>
            </w:r>
          </w:p>
        </w:tc>
        <w:tc>
          <w:tcPr>
            <w:tcW w:w="1356" w:type="dxa"/>
          </w:tcPr>
          <w:p w:rsidR="00584B32" w:rsidRPr="00FD06AE" w:rsidRDefault="00584B32" w:rsidP="00ED607B">
            <w:pPr>
              <w:jc w:val="center"/>
            </w:pPr>
            <w:r w:rsidRPr="00FD06AE">
              <w:t>9,360</w:t>
            </w:r>
          </w:p>
        </w:tc>
        <w:tc>
          <w:tcPr>
            <w:tcW w:w="1332" w:type="dxa"/>
          </w:tcPr>
          <w:p w:rsidR="00584B32" w:rsidRPr="00FD06AE" w:rsidRDefault="00584B32" w:rsidP="00ED607B">
            <w:pPr>
              <w:jc w:val="center"/>
            </w:pPr>
            <w:r w:rsidRPr="00FD06AE">
              <w:t>2,420</w:t>
            </w:r>
          </w:p>
        </w:tc>
        <w:tc>
          <w:tcPr>
            <w:tcW w:w="1332" w:type="dxa"/>
          </w:tcPr>
          <w:p w:rsidR="00584B32" w:rsidRPr="00FD06AE" w:rsidRDefault="00584B32" w:rsidP="00ED607B">
            <w:pPr>
              <w:jc w:val="center"/>
            </w:pPr>
            <w:r w:rsidRPr="00FD06AE">
              <w:t>1,115</w:t>
            </w:r>
          </w:p>
        </w:tc>
        <w:tc>
          <w:tcPr>
            <w:tcW w:w="1315" w:type="dxa"/>
          </w:tcPr>
          <w:p w:rsidR="00584B32" w:rsidRPr="00FD06AE" w:rsidRDefault="00584B32" w:rsidP="00ED607B">
            <w:pPr>
              <w:jc w:val="center"/>
            </w:pPr>
            <w:r w:rsidRPr="00FD06AE">
              <w:t>650</w:t>
            </w:r>
          </w:p>
        </w:tc>
        <w:tc>
          <w:tcPr>
            <w:tcW w:w="1315" w:type="dxa"/>
          </w:tcPr>
          <w:p w:rsidR="00584B32" w:rsidRPr="00FD06AE" w:rsidRDefault="00584B32" w:rsidP="00ED607B">
            <w:pPr>
              <w:jc w:val="center"/>
            </w:pPr>
            <w:r w:rsidRPr="00FD06AE">
              <w:t>425</w:t>
            </w:r>
          </w:p>
        </w:tc>
        <w:tc>
          <w:tcPr>
            <w:tcW w:w="1310" w:type="dxa"/>
          </w:tcPr>
          <w:p w:rsidR="00584B32" w:rsidRPr="00FD06AE" w:rsidRDefault="00584B32" w:rsidP="00ED607B">
            <w:pPr>
              <w:jc w:val="center"/>
            </w:pPr>
            <w:r w:rsidRPr="00FD06AE">
              <w:t>120</w:t>
            </w:r>
          </w:p>
        </w:tc>
      </w:tr>
      <w:tr w:rsidR="00584B32" w:rsidRPr="00FD06AE" w:rsidTr="00ED607B">
        <w:tc>
          <w:tcPr>
            <w:tcW w:w="1390" w:type="dxa"/>
          </w:tcPr>
          <w:p w:rsidR="00584B32" w:rsidRPr="00FD06AE" w:rsidRDefault="00584B32" w:rsidP="00ED607B">
            <w:pPr>
              <w:jc w:val="center"/>
            </w:pPr>
            <w:r w:rsidRPr="00FD06AE">
              <w:t>8%</w:t>
            </w:r>
          </w:p>
        </w:tc>
        <w:tc>
          <w:tcPr>
            <w:tcW w:w="1356" w:type="dxa"/>
          </w:tcPr>
          <w:p w:rsidR="00584B32" w:rsidRPr="00FD06AE" w:rsidRDefault="00584B32" w:rsidP="00ED607B">
            <w:pPr>
              <w:jc w:val="center"/>
            </w:pPr>
            <w:r w:rsidRPr="00FD06AE">
              <w:t>8,320</w:t>
            </w:r>
          </w:p>
        </w:tc>
        <w:tc>
          <w:tcPr>
            <w:tcW w:w="1332" w:type="dxa"/>
          </w:tcPr>
          <w:p w:rsidR="00584B32" w:rsidRPr="00FD06AE" w:rsidRDefault="00584B32" w:rsidP="00ED607B">
            <w:pPr>
              <w:jc w:val="center"/>
            </w:pPr>
            <w:r w:rsidRPr="00FD06AE">
              <w:t>2,160</w:t>
            </w:r>
          </w:p>
        </w:tc>
        <w:tc>
          <w:tcPr>
            <w:tcW w:w="1332" w:type="dxa"/>
          </w:tcPr>
          <w:p w:rsidR="00584B32" w:rsidRPr="00FD06AE" w:rsidRDefault="00584B32" w:rsidP="00ED607B">
            <w:pPr>
              <w:jc w:val="center"/>
            </w:pPr>
            <w:r w:rsidRPr="00FD06AE">
              <w:t>990</w:t>
            </w:r>
          </w:p>
        </w:tc>
        <w:tc>
          <w:tcPr>
            <w:tcW w:w="1315" w:type="dxa"/>
          </w:tcPr>
          <w:p w:rsidR="00584B32" w:rsidRPr="00FD06AE" w:rsidRDefault="00584B32" w:rsidP="00ED607B">
            <w:pPr>
              <w:jc w:val="center"/>
            </w:pPr>
            <w:r w:rsidRPr="00FD06AE">
              <w:t>580</w:t>
            </w:r>
          </w:p>
        </w:tc>
        <w:tc>
          <w:tcPr>
            <w:tcW w:w="1315" w:type="dxa"/>
          </w:tcPr>
          <w:p w:rsidR="00584B32" w:rsidRPr="00FD06AE" w:rsidRDefault="00584B32" w:rsidP="00ED607B">
            <w:pPr>
              <w:jc w:val="center"/>
            </w:pPr>
            <w:r w:rsidRPr="00FD06AE">
              <w:t>380</w:t>
            </w:r>
          </w:p>
        </w:tc>
        <w:tc>
          <w:tcPr>
            <w:tcW w:w="1310" w:type="dxa"/>
          </w:tcPr>
          <w:p w:rsidR="00584B32" w:rsidRPr="00FD06AE" w:rsidRDefault="00584B32" w:rsidP="00ED607B">
            <w:pPr>
              <w:jc w:val="center"/>
            </w:pPr>
            <w:r w:rsidRPr="00FD06AE">
              <w:t>110</w:t>
            </w:r>
          </w:p>
        </w:tc>
      </w:tr>
      <w:tr w:rsidR="00584B32" w:rsidRPr="00FD06AE" w:rsidTr="00ED607B">
        <w:tc>
          <w:tcPr>
            <w:tcW w:w="1390" w:type="dxa"/>
          </w:tcPr>
          <w:p w:rsidR="00584B32" w:rsidRPr="00FD06AE" w:rsidRDefault="00584B32" w:rsidP="00ED607B">
            <w:pPr>
              <w:jc w:val="center"/>
            </w:pPr>
            <w:r w:rsidRPr="00FD06AE">
              <w:t>9%</w:t>
            </w:r>
          </w:p>
        </w:tc>
        <w:tc>
          <w:tcPr>
            <w:tcW w:w="1356" w:type="dxa"/>
          </w:tcPr>
          <w:p w:rsidR="00584B32" w:rsidRPr="00FD06AE" w:rsidRDefault="00584B32" w:rsidP="00ED607B">
            <w:pPr>
              <w:jc w:val="center"/>
            </w:pPr>
            <w:r w:rsidRPr="00FD06AE">
              <w:t>7,520</w:t>
            </w:r>
          </w:p>
        </w:tc>
        <w:tc>
          <w:tcPr>
            <w:tcW w:w="1332" w:type="dxa"/>
          </w:tcPr>
          <w:p w:rsidR="00584B32" w:rsidRPr="00FD06AE" w:rsidRDefault="00584B32" w:rsidP="00ED607B">
            <w:pPr>
              <w:jc w:val="center"/>
            </w:pPr>
            <w:r w:rsidRPr="00FD06AE">
              <w:t>1,950</w:t>
            </w:r>
          </w:p>
        </w:tc>
        <w:tc>
          <w:tcPr>
            <w:tcW w:w="1332" w:type="dxa"/>
          </w:tcPr>
          <w:p w:rsidR="00584B32" w:rsidRPr="00FD06AE" w:rsidRDefault="00584B32" w:rsidP="00ED607B">
            <w:pPr>
              <w:jc w:val="center"/>
            </w:pPr>
            <w:r w:rsidRPr="00FD06AE">
              <w:t>900</w:t>
            </w:r>
          </w:p>
        </w:tc>
        <w:tc>
          <w:tcPr>
            <w:tcW w:w="1315" w:type="dxa"/>
          </w:tcPr>
          <w:p w:rsidR="00584B32" w:rsidRPr="00FD06AE" w:rsidRDefault="00584B32" w:rsidP="00ED607B">
            <w:pPr>
              <w:jc w:val="center"/>
            </w:pPr>
            <w:r w:rsidRPr="00FD06AE">
              <w:t>525</w:t>
            </w:r>
          </w:p>
        </w:tc>
        <w:tc>
          <w:tcPr>
            <w:tcW w:w="1315" w:type="dxa"/>
          </w:tcPr>
          <w:p w:rsidR="00584B32" w:rsidRPr="00FD06AE" w:rsidRDefault="00584B32" w:rsidP="00ED607B">
            <w:pPr>
              <w:jc w:val="center"/>
            </w:pPr>
            <w:r w:rsidRPr="00FD06AE">
              <w:t>350</w:t>
            </w:r>
          </w:p>
        </w:tc>
        <w:tc>
          <w:tcPr>
            <w:tcW w:w="1310" w:type="dxa"/>
          </w:tcPr>
          <w:p w:rsidR="00584B32" w:rsidRPr="00FD06AE" w:rsidRDefault="00584B32" w:rsidP="00ED607B">
            <w:pPr>
              <w:jc w:val="center"/>
            </w:pPr>
            <w:r w:rsidRPr="00FD06AE">
              <w:t>100</w:t>
            </w:r>
          </w:p>
        </w:tc>
      </w:tr>
      <w:tr w:rsidR="00584B32" w:rsidRPr="00FD06AE" w:rsidTr="00ED607B">
        <w:tc>
          <w:tcPr>
            <w:tcW w:w="1390" w:type="dxa"/>
          </w:tcPr>
          <w:p w:rsidR="00584B32" w:rsidRPr="00FD06AE" w:rsidRDefault="00584B32" w:rsidP="00ED607B">
            <w:pPr>
              <w:jc w:val="center"/>
            </w:pPr>
            <w:r w:rsidRPr="00FD06AE">
              <w:t>10%</w:t>
            </w:r>
          </w:p>
        </w:tc>
        <w:tc>
          <w:tcPr>
            <w:tcW w:w="1356" w:type="dxa"/>
          </w:tcPr>
          <w:p w:rsidR="00584B32" w:rsidRPr="00FD06AE" w:rsidRDefault="00584B32" w:rsidP="00ED607B">
            <w:pPr>
              <w:jc w:val="center"/>
            </w:pPr>
            <w:r w:rsidRPr="00FD06AE">
              <w:t>6,900</w:t>
            </w:r>
          </w:p>
        </w:tc>
        <w:tc>
          <w:tcPr>
            <w:tcW w:w="1332" w:type="dxa"/>
          </w:tcPr>
          <w:p w:rsidR="00584B32" w:rsidRPr="00FD06AE" w:rsidRDefault="00584B32" w:rsidP="00ED607B">
            <w:pPr>
              <w:jc w:val="center"/>
            </w:pPr>
            <w:r w:rsidRPr="00FD06AE">
              <w:t>1,790</w:t>
            </w:r>
          </w:p>
        </w:tc>
        <w:tc>
          <w:tcPr>
            <w:tcW w:w="1332" w:type="dxa"/>
          </w:tcPr>
          <w:p w:rsidR="00584B32" w:rsidRPr="00FD06AE" w:rsidRDefault="00584B32" w:rsidP="00ED607B">
            <w:pPr>
              <w:jc w:val="center"/>
            </w:pPr>
            <w:r w:rsidRPr="00FD06AE">
              <w:t>825</w:t>
            </w:r>
          </w:p>
        </w:tc>
        <w:tc>
          <w:tcPr>
            <w:tcW w:w="1315" w:type="dxa"/>
          </w:tcPr>
          <w:p w:rsidR="00584B32" w:rsidRPr="00FD06AE" w:rsidRDefault="00584B32" w:rsidP="00ED607B">
            <w:pPr>
              <w:jc w:val="center"/>
            </w:pPr>
            <w:r w:rsidRPr="00FD06AE">
              <w:t>480</w:t>
            </w:r>
          </w:p>
        </w:tc>
        <w:tc>
          <w:tcPr>
            <w:tcW w:w="1315" w:type="dxa"/>
          </w:tcPr>
          <w:p w:rsidR="00584B32" w:rsidRPr="00FD06AE" w:rsidRDefault="00584B32" w:rsidP="00ED607B">
            <w:pPr>
              <w:jc w:val="center"/>
            </w:pPr>
            <w:r w:rsidRPr="00FD06AE">
              <w:t>320</w:t>
            </w:r>
          </w:p>
        </w:tc>
        <w:tc>
          <w:tcPr>
            <w:tcW w:w="1310" w:type="dxa"/>
          </w:tcPr>
          <w:p w:rsidR="00584B32" w:rsidRPr="00FD06AE" w:rsidRDefault="00584B32" w:rsidP="00ED607B">
            <w:pPr>
              <w:jc w:val="center"/>
            </w:pPr>
            <w:r w:rsidRPr="00FD06AE">
              <w:t>92</w:t>
            </w:r>
          </w:p>
        </w:tc>
      </w:tr>
    </w:tbl>
    <w:p w:rsidR="00584B32" w:rsidRPr="00FD06AE" w:rsidRDefault="00584B32" w:rsidP="00584B32">
      <w:pPr>
        <w:rPr>
          <w:sz w:val="18"/>
          <w:szCs w:val="18"/>
        </w:rPr>
      </w:pPr>
      <w:r w:rsidRPr="00FD06AE">
        <w:rPr>
          <w:sz w:val="18"/>
          <w:szCs w:val="18"/>
        </w:rPr>
        <w:t>*Prevalence of drugs in control sample</w:t>
      </w:r>
      <w:r w:rsidR="001D496D" w:rsidRPr="00FD06AE">
        <w:rPr>
          <w:sz w:val="18"/>
          <w:szCs w:val="18"/>
        </w:rPr>
        <w:t xml:space="preserve">. </w:t>
      </w:r>
      <w:r w:rsidR="004A0BCA" w:rsidRPr="00FD06AE">
        <w:rPr>
          <w:sz w:val="18"/>
          <w:szCs w:val="18"/>
        </w:rPr>
        <w:t>^</w:t>
      </w:r>
      <w:r w:rsidR="001D496D" w:rsidRPr="00FD06AE">
        <w:rPr>
          <w:sz w:val="18"/>
          <w:szCs w:val="18"/>
        </w:rPr>
        <w:t xml:space="preserve">The highlighted cell is the </w:t>
      </w:r>
      <w:r w:rsidR="00C33F7F" w:rsidRPr="00FD06AE">
        <w:rPr>
          <w:sz w:val="18"/>
          <w:szCs w:val="18"/>
          <w:u w:val="single"/>
        </w:rPr>
        <w:t>crash driver</w:t>
      </w:r>
      <w:r w:rsidR="00C33F7F" w:rsidRPr="00FD06AE">
        <w:rPr>
          <w:sz w:val="18"/>
          <w:szCs w:val="18"/>
        </w:rPr>
        <w:t xml:space="preserve"> </w:t>
      </w:r>
      <w:r w:rsidR="001D496D" w:rsidRPr="00FD06AE">
        <w:rPr>
          <w:sz w:val="18"/>
          <w:szCs w:val="18"/>
        </w:rPr>
        <w:t>sample size required to reliably detect a 30% increase in relative risk (1.3 odds ratio) for a drug (or class of drugs) with a 3.0% prevalence rate in the control sample.</w:t>
      </w:r>
    </w:p>
    <w:p w:rsidR="00584B32" w:rsidRPr="00FD06AE" w:rsidRDefault="00584B32" w:rsidP="00584B32"/>
    <w:p w:rsidR="00584B32" w:rsidRPr="00FD06AE" w:rsidRDefault="00584B32" w:rsidP="006B36A2">
      <w:pPr>
        <w:keepNext/>
        <w:jc w:val="center"/>
      </w:pPr>
      <w:r w:rsidRPr="00FD06AE">
        <w:rPr>
          <w:b/>
        </w:rPr>
        <w:t xml:space="preserve">Table 4. Drugs: Number of crash drivers needed to detect significant given effect sizes (odds ratio) at P≤.05 and power=.80 (1:2 case control design with </w:t>
      </w:r>
      <w:r w:rsidR="00BF789D" w:rsidRPr="00FD06AE">
        <w:rPr>
          <w:b/>
        </w:rPr>
        <w:t xml:space="preserve">          </w:t>
      </w:r>
      <w:r w:rsidRPr="00FD06AE">
        <w:rPr>
          <w:b/>
          <w:u w:val="single"/>
        </w:rPr>
        <w:t>multiple covariates</w:t>
      </w:r>
      <w:r w:rsidRPr="00FD06AE">
        <w:rPr>
          <w:b/>
        </w:rPr>
        <w:t>)</w:t>
      </w:r>
    </w:p>
    <w:tbl>
      <w:tblPr>
        <w:tblStyle w:val="TableGrid"/>
        <w:tblW w:w="0" w:type="auto"/>
        <w:tblLook w:val="04A0" w:firstRow="1" w:lastRow="0" w:firstColumn="1" w:lastColumn="0" w:noHBand="0" w:noVBand="1"/>
      </w:tblPr>
      <w:tblGrid>
        <w:gridCol w:w="1389"/>
        <w:gridCol w:w="1258"/>
        <w:gridCol w:w="1261"/>
        <w:gridCol w:w="1248"/>
        <w:gridCol w:w="1241"/>
        <w:gridCol w:w="1241"/>
        <w:gridCol w:w="1218"/>
      </w:tblGrid>
      <w:tr w:rsidR="00584B32" w:rsidRPr="00FD06AE" w:rsidTr="00ED607B">
        <w:tc>
          <w:tcPr>
            <w:tcW w:w="1389" w:type="dxa"/>
            <w:vMerge w:val="restart"/>
            <w:vAlign w:val="bottom"/>
          </w:tcPr>
          <w:p w:rsidR="00584B32" w:rsidRPr="00FD06AE" w:rsidRDefault="00584B32" w:rsidP="00ED607B">
            <w:pPr>
              <w:jc w:val="center"/>
            </w:pPr>
            <w:r w:rsidRPr="00FD06AE">
              <w:t>Prevalence*</w:t>
            </w:r>
          </w:p>
        </w:tc>
        <w:tc>
          <w:tcPr>
            <w:tcW w:w="7961" w:type="dxa"/>
            <w:gridSpan w:val="6"/>
          </w:tcPr>
          <w:p w:rsidR="00584B32" w:rsidRPr="00FD06AE" w:rsidRDefault="00584B32" w:rsidP="00ED607B">
            <w:pPr>
              <w:jc w:val="center"/>
            </w:pPr>
            <w:r w:rsidRPr="00FD06AE">
              <w:t>Odds Ratio</w:t>
            </w:r>
          </w:p>
        </w:tc>
      </w:tr>
      <w:tr w:rsidR="00584B32" w:rsidRPr="00FD06AE" w:rsidTr="00ED607B">
        <w:tc>
          <w:tcPr>
            <w:tcW w:w="1389" w:type="dxa"/>
            <w:vMerge/>
          </w:tcPr>
          <w:p w:rsidR="00584B32" w:rsidRPr="00FD06AE" w:rsidRDefault="00584B32" w:rsidP="00ED607B">
            <w:pPr>
              <w:jc w:val="center"/>
            </w:pPr>
          </w:p>
        </w:tc>
        <w:tc>
          <w:tcPr>
            <w:tcW w:w="1325" w:type="dxa"/>
          </w:tcPr>
          <w:p w:rsidR="00584B32" w:rsidRPr="00FD06AE" w:rsidRDefault="00584B32" w:rsidP="00ED607B">
            <w:pPr>
              <w:jc w:val="center"/>
            </w:pPr>
            <w:r w:rsidRPr="00FD06AE">
              <w:t>1.1</w:t>
            </w:r>
          </w:p>
        </w:tc>
        <w:tc>
          <w:tcPr>
            <w:tcW w:w="1327" w:type="dxa"/>
          </w:tcPr>
          <w:p w:rsidR="00584B32" w:rsidRPr="00FD06AE" w:rsidRDefault="00584B32" w:rsidP="00ED607B">
            <w:pPr>
              <w:jc w:val="center"/>
            </w:pPr>
            <w:r w:rsidRPr="00FD06AE">
              <w:t>1.2</w:t>
            </w:r>
          </w:p>
        </w:tc>
        <w:tc>
          <w:tcPr>
            <w:tcW w:w="1333" w:type="dxa"/>
          </w:tcPr>
          <w:p w:rsidR="00584B32" w:rsidRPr="00FD06AE" w:rsidRDefault="00584B32" w:rsidP="00ED607B">
            <w:pPr>
              <w:jc w:val="center"/>
            </w:pPr>
            <w:r w:rsidRPr="00FD06AE">
              <w:t>1.3</w:t>
            </w:r>
          </w:p>
        </w:tc>
        <w:tc>
          <w:tcPr>
            <w:tcW w:w="1324" w:type="dxa"/>
          </w:tcPr>
          <w:p w:rsidR="00584B32" w:rsidRPr="00FD06AE" w:rsidRDefault="00584B32" w:rsidP="00ED607B">
            <w:pPr>
              <w:jc w:val="center"/>
            </w:pPr>
            <w:r w:rsidRPr="00FD06AE">
              <w:t>1.4</w:t>
            </w:r>
          </w:p>
        </w:tc>
        <w:tc>
          <w:tcPr>
            <w:tcW w:w="1324" w:type="dxa"/>
          </w:tcPr>
          <w:p w:rsidR="00584B32" w:rsidRPr="00FD06AE" w:rsidRDefault="00584B32" w:rsidP="00ED607B">
            <w:pPr>
              <w:jc w:val="center"/>
            </w:pPr>
            <w:r w:rsidRPr="00FD06AE">
              <w:t>1.5</w:t>
            </w:r>
          </w:p>
        </w:tc>
        <w:tc>
          <w:tcPr>
            <w:tcW w:w="1328" w:type="dxa"/>
          </w:tcPr>
          <w:p w:rsidR="00584B32" w:rsidRPr="00FD06AE" w:rsidRDefault="00584B32" w:rsidP="00ED607B">
            <w:pPr>
              <w:jc w:val="center"/>
            </w:pPr>
            <w:r w:rsidRPr="00FD06AE">
              <w:t>2.0</w:t>
            </w:r>
          </w:p>
        </w:tc>
      </w:tr>
      <w:tr w:rsidR="00584B32" w:rsidRPr="00FD06AE" w:rsidTr="00ED607B">
        <w:tc>
          <w:tcPr>
            <w:tcW w:w="1389" w:type="dxa"/>
          </w:tcPr>
          <w:p w:rsidR="00584B32" w:rsidRPr="00FD06AE" w:rsidRDefault="00584B32" w:rsidP="00ED607B">
            <w:pPr>
              <w:jc w:val="center"/>
            </w:pPr>
            <w:r w:rsidRPr="00FD06AE">
              <w:t>1%</w:t>
            </w:r>
          </w:p>
        </w:tc>
        <w:tc>
          <w:tcPr>
            <w:tcW w:w="1325" w:type="dxa"/>
          </w:tcPr>
          <w:p w:rsidR="00584B32" w:rsidRPr="00FD06AE" w:rsidRDefault="00584B32" w:rsidP="00ED607B">
            <w:pPr>
              <w:jc w:val="center"/>
            </w:pPr>
            <w:r w:rsidRPr="00FD06AE">
              <w:t>62,500</w:t>
            </w:r>
          </w:p>
        </w:tc>
        <w:tc>
          <w:tcPr>
            <w:tcW w:w="1327" w:type="dxa"/>
          </w:tcPr>
          <w:p w:rsidR="00584B32" w:rsidRPr="00FD06AE" w:rsidRDefault="00584B32" w:rsidP="00ED607B">
            <w:pPr>
              <w:jc w:val="center"/>
            </w:pPr>
            <w:r w:rsidRPr="00FD06AE">
              <w:t>16,040</w:t>
            </w:r>
          </w:p>
        </w:tc>
        <w:tc>
          <w:tcPr>
            <w:tcW w:w="1333" w:type="dxa"/>
          </w:tcPr>
          <w:p w:rsidR="00584B32" w:rsidRPr="00FD06AE" w:rsidRDefault="00584B32" w:rsidP="00ED607B">
            <w:pPr>
              <w:jc w:val="center"/>
            </w:pPr>
            <w:r w:rsidRPr="00FD06AE">
              <w:t>7,290</w:t>
            </w:r>
          </w:p>
        </w:tc>
        <w:tc>
          <w:tcPr>
            <w:tcW w:w="1324" w:type="dxa"/>
          </w:tcPr>
          <w:p w:rsidR="00584B32" w:rsidRPr="00FD06AE" w:rsidRDefault="00584B32" w:rsidP="00ED607B">
            <w:pPr>
              <w:jc w:val="center"/>
            </w:pPr>
            <w:r w:rsidRPr="00FD06AE">
              <w:t>4,230</w:t>
            </w:r>
          </w:p>
        </w:tc>
        <w:tc>
          <w:tcPr>
            <w:tcW w:w="1324" w:type="dxa"/>
          </w:tcPr>
          <w:p w:rsidR="00584B32" w:rsidRPr="00FD06AE" w:rsidRDefault="00584B32" w:rsidP="00ED607B">
            <w:pPr>
              <w:jc w:val="center"/>
            </w:pPr>
            <w:r w:rsidRPr="00FD06AE">
              <w:t>2,760</w:t>
            </w:r>
          </w:p>
        </w:tc>
        <w:tc>
          <w:tcPr>
            <w:tcW w:w="1328" w:type="dxa"/>
          </w:tcPr>
          <w:p w:rsidR="00584B32" w:rsidRPr="00FD06AE" w:rsidRDefault="00584B32" w:rsidP="00ED607B">
            <w:pPr>
              <w:jc w:val="center"/>
            </w:pPr>
            <w:r w:rsidRPr="00FD06AE">
              <w:t>755</w:t>
            </w:r>
          </w:p>
        </w:tc>
      </w:tr>
      <w:tr w:rsidR="00584B32" w:rsidRPr="00FD06AE" w:rsidTr="00ED607B">
        <w:tc>
          <w:tcPr>
            <w:tcW w:w="1389" w:type="dxa"/>
          </w:tcPr>
          <w:p w:rsidR="00584B32" w:rsidRPr="00FD06AE" w:rsidRDefault="00584B32" w:rsidP="00ED607B">
            <w:pPr>
              <w:jc w:val="center"/>
            </w:pPr>
            <w:r w:rsidRPr="00FD06AE">
              <w:t>2%</w:t>
            </w:r>
          </w:p>
        </w:tc>
        <w:tc>
          <w:tcPr>
            <w:tcW w:w="1325" w:type="dxa"/>
          </w:tcPr>
          <w:p w:rsidR="00584B32" w:rsidRPr="00FD06AE" w:rsidRDefault="00584B32" w:rsidP="00ED607B">
            <w:pPr>
              <w:jc w:val="center"/>
            </w:pPr>
            <w:r w:rsidRPr="00FD06AE">
              <w:t>31,670</w:t>
            </w:r>
          </w:p>
        </w:tc>
        <w:tc>
          <w:tcPr>
            <w:tcW w:w="1327" w:type="dxa"/>
          </w:tcPr>
          <w:p w:rsidR="00584B32" w:rsidRPr="00FD06AE" w:rsidRDefault="00584B32" w:rsidP="00ED607B">
            <w:pPr>
              <w:jc w:val="center"/>
            </w:pPr>
            <w:r w:rsidRPr="00FD06AE">
              <w:t>8,150</w:t>
            </w:r>
          </w:p>
        </w:tc>
        <w:tc>
          <w:tcPr>
            <w:tcW w:w="1333" w:type="dxa"/>
          </w:tcPr>
          <w:p w:rsidR="00584B32" w:rsidRPr="00FD06AE" w:rsidRDefault="00584B32" w:rsidP="00ED607B">
            <w:pPr>
              <w:jc w:val="center"/>
            </w:pPr>
            <w:r w:rsidRPr="00FD06AE">
              <w:t>3,720</w:t>
            </w:r>
          </w:p>
        </w:tc>
        <w:tc>
          <w:tcPr>
            <w:tcW w:w="1324" w:type="dxa"/>
          </w:tcPr>
          <w:p w:rsidR="00584B32" w:rsidRPr="00FD06AE" w:rsidRDefault="00584B32" w:rsidP="00ED607B">
            <w:pPr>
              <w:jc w:val="center"/>
            </w:pPr>
            <w:r w:rsidRPr="00FD06AE">
              <w:t>2,150</w:t>
            </w:r>
          </w:p>
        </w:tc>
        <w:tc>
          <w:tcPr>
            <w:tcW w:w="1324" w:type="dxa"/>
          </w:tcPr>
          <w:p w:rsidR="00584B32" w:rsidRPr="00FD06AE" w:rsidRDefault="00584B32" w:rsidP="00ED607B">
            <w:pPr>
              <w:jc w:val="center"/>
            </w:pPr>
            <w:r w:rsidRPr="00FD06AE">
              <w:t>1,405</w:t>
            </w:r>
          </w:p>
        </w:tc>
        <w:tc>
          <w:tcPr>
            <w:tcW w:w="1328" w:type="dxa"/>
          </w:tcPr>
          <w:p w:rsidR="00584B32" w:rsidRPr="00FD06AE" w:rsidRDefault="00584B32" w:rsidP="00ED607B">
            <w:pPr>
              <w:jc w:val="center"/>
            </w:pPr>
            <w:r w:rsidRPr="00FD06AE">
              <w:t>390</w:t>
            </w:r>
          </w:p>
        </w:tc>
      </w:tr>
      <w:tr w:rsidR="00584B32" w:rsidRPr="00FD06AE" w:rsidTr="00ED607B">
        <w:tc>
          <w:tcPr>
            <w:tcW w:w="1389" w:type="dxa"/>
          </w:tcPr>
          <w:p w:rsidR="00584B32" w:rsidRPr="00FD06AE" w:rsidRDefault="00584B32" w:rsidP="00ED607B">
            <w:pPr>
              <w:jc w:val="center"/>
            </w:pPr>
            <w:r w:rsidRPr="00FD06AE">
              <w:t>3%</w:t>
            </w:r>
          </w:p>
        </w:tc>
        <w:tc>
          <w:tcPr>
            <w:tcW w:w="1325" w:type="dxa"/>
          </w:tcPr>
          <w:p w:rsidR="00584B32" w:rsidRPr="00FD06AE" w:rsidRDefault="00584B32" w:rsidP="00ED607B">
            <w:pPr>
              <w:jc w:val="center"/>
            </w:pPr>
            <w:r w:rsidRPr="00FD06AE">
              <w:t>21,405</w:t>
            </w:r>
          </w:p>
        </w:tc>
        <w:tc>
          <w:tcPr>
            <w:tcW w:w="1327" w:type="dxa"/>
          </w:tcPr>
          <w:p w:rsidR="00584B32" w:rsidRPr="00FD06AE" w:rsidRDefault="00584B32" w:rsidP="00ED607B">
            <w:pPr>
              <w:jc w:val="center"/>
            </w:pPr>
            <w:r w:rsidRPr="00FD06AE">
              <w:t>5,520</w:t>
            </w:r>
          </w:p>
        </w:tc>
        <w:tc>
          <w:tcPr>
            <w:tcW w:w="1333" w:type="dxa"/>
          </w:tcPr>
          <w:p w:rsidR="00584B32" w:rsidRPr="00FD06AE" w:rsidRDefault="00584B32" w:rsidP="00ED607B">
            <w:pPr>
              <w:jc w:val="center"/>
              <w:rPr>
                <w:b/>
                <w:u w:val="single"/>
              </w:rPr>
            </w:pPr>
            <w:r w:rsidRPr="00FD06AE">
              <w:rPr>
                <w:b/>
                <w:u w:val="single"/>
              </w:rPr>
              <w:t>2,520</w:t>
            </w:r>
          </w:p>
        </w:tc>
        <w:tc>
          <w:tcPr>
            <w:tcW w:w="1324" w:type="dxa"/>
          </w:tcPr>
          <w:p w:rsidR="00584B32" w:rsidRPr="00FD06AE" w:rsidRDefault="00584B32" w:rsidP="00ED607B">
            <w:pPr>
              <w:jc w:val="center"/>
            </w:pPr>
            <w:r w:rsidRPr="00FD06AE">
              <w:t>1,460</w:t>
            </w:r>
          </w:p>
        </w:tc>
        <w:tc>
          <w:tcPr>
            <w:tcW w:w="1324" w:type="dxa"/>
          </w:tcPr>
          <w:p w:rsidR="00584B32" w:rsidRPr="00FD06AE" w:rsidRDefault="00584B32" w:rsidP="00ED607B">
            <w:pPr>
              <w:jc w:val="center"/>
            </w:pPr>
            <w:r w:rsidRPr="00FD06AE">
              <w:t>958</w:t>
            </w:r>
          </w:p>
        </w:tc>
        <w:tc>
          <w:tcPr>
            <w:tcW w:w="1328" w:type="dxa"/>
          </w:tcPr>
          <w:p w:rsidR="00584B32" w:rsidRPr="00FD06AE" w:rsidRDefault="00584B32" w:rsidP="00ED607B">
            <w:pPr>
              <w:jc w:val="center"/>
            </w:pPr>
            <w:r w:rsidRPr="00FD06AE">
              <w:t>265</w:t>
            </w:r>
          </w:p>
        </w:tc>
      </w:tr>
      <w:tr w:rsidR="00584B32" w:rsidRPr="00FD06AE" w:rsidTr="00ED607B">
        <w:tc>
          <w:tcPr>
            <w:tcW w:w="1389" w:type="dxa"/>
          </w:tcPr>
          <w:p w:rsidR="00584B32" w:rsidRPr="00FD06AE" w:rsidRDefault="00584B32" w:rsidP="00ED607B">
            <w:pPr>
              <w:jc w:val="center"/>
            </w:pPr>
            <w:r w:rsidRPr="00FD06AE">
              <w:t>4%</w:t>
            </w:r>
          </w:p>
        </w:tc>
        <w:tc>
          <w:tcPr>
            <w:tcW w:w="1325" w:type="dxa"/>
          </w:tcPr>
          <w:p w:rsidR="00584B32" w:rsidRPr="00FD06AE" w:rsidRDefault="00584B32" w:rsidP="00ED607B">
            <w:pPr>
              <w:jc w:val="center"/>
            </w:pPr>
            <w:r w:rsidRPr="00FD06AE">
              <w:t>16,290</w:t>
            </w:r>
          </w:p>
        </w:tc>
        <w:tc>
          <w:tcPr>
            <w:tcW w:w="1327" w:type="dxa"/>
          </w:tcPr>
          <w:p w:rsidR="00584B32" w:rsidRPr="00FD06AE" w:rsidRDefault="00584B32" w:rsidP="00ED607B">
            <w:pPr>
              <w:jc w:val="center"/>
            </w:pPr>
            <w:r w:rsidRPr="00FD06AE">
              <w:t>4,200</w:t>
            </w:r>
          </w:p>
        </w:tc>
        <w:tc>
          <w:tcPr>
            <w:tcW w:w="1333" w:type="dxa"/>
          </w:tcPr>
          <w:p w:rsidR="00584B32" w:rsidRPr="00FD06AE" w:rsidRDefault="00584B32" w:rsidP="00ED607B">
            <w:pPr>
              <w:jc w:val="center"/>
            </w:pPr>
            <w:r w:rsidRPr="00FD06AE">
              <w:t>1,930</w:t>
            </w:r>
          </w:p>
        </w:tc>
        <w:tc>
          <w:tcPr>
            <w:tcW w:w="1324" w:type="dxa"/>
          </w:tcPr>
          <w:p w:rsidR="00584B32" w:rsidRPr="00FD06AE" w:rsidRDefault="00584B32" w:rsidP="00ED607B">
            <w:pPr>
              <w:jc w:val="center"/>
            </w:pPr>
            <w:r w:rsidRPr="00FD06AE">
              <w:t>1,115</w:t>
            </w:r>
          </w:p>
        </w:tc>
        <w:tc>
          <w:tcPr>
            <w:tcW w:w="1324" w:type="dxa"/>
          </w:tcPr>
          <w:p w:rsidR="00584B32" w:rsidRPr="00FD06AE" w:rsidRDefault="00584B32" w:rsidP="00ED607B">
            <w:pPr>
              <w:jc w:val="center"/>
            </w:pPr>
            <w:r w:rsidRPr="00FD06AE">
              <w:t>730</w:t>
            </w:r>
          </w:p>
        </w:tc>
        <w:tc>
          <w:tcPr>
            <w:tcW w:w="1328" w:type="dxa"/>
          </w:tcPr>
          <w:p w:rsidR="00584B32" w:rsidRPr="00FD06AE" w:rsidRDefault="00584B32" w:rsidP="00ED607B">
            <w:pPr>
              <w:jc w:val="center"/>
            </w:pPr>
            <w:r w:rsidRPr="00FD06AE">
              <w:t>205</w:t>
            </w:r>
          </w:p>
        </w:tc>
      </w:tr>
      <w:tr w:rsidR="00584B32" w:rsidRPr="00FD06AE" w:rsidTr="00ED607B">
        <w:tc>
          <w:tcPr>
            <w:tcW w:w="1389" w:type="dxa"/>
          </w:tcPr>
          <w:p w:rsidR="00584B32" w:rsidRPr="00FD06AE" w:rsidRDefault="00584B32" w:rsidP="00ED607B">
            <w:pPr>
              <w:jc w:val="center"/>
            </w:pPr>
            <w:r w:rsidRPr="00FD06AE">
              <w:t>5%</w:t>
            </w:r>
          </w:p>
        </w:tc>
        <w:tc>
          <w:tcPr>
            <w:tcW w:w="1325" w:type="dxa"/>
          </w:tcPr>
          <w:p w:rsidR="00584B32" w:rsidRPr="00FD06AE" w:rsidRDefault="00584B32" w:rsidP="00ED607B">
            <w:pPr>
              <w:jc w:val="center"/>
            </w:pPr>
            <w:r w:rsidRPr="00FD06AE">
              <w:t>13,230</w:t>
            </w:r>
          </w:p>
        </w:tc>
        <w:tc>
          <w:tcPr>
            <w:tcW w:w="1327" w:type="dxa"/>
          </w:tcPr>
          <w:p w:rsidR="00584B32" w:rsidRPr="00FD06AE" w:rsidRDefault="00584B32" w:rsidP="00ED607B">
            <w:pPr>
              <w:jc w:val="center"/>
            </w:pPr>
            <w:r w:rsidRPr="00FD06AE">
              <w:t>3,415</w:t>
            </w:r>
          </w:p>
        </w:tc>
        <w:tc>
          <w:tcPr>
            <w:tcW w:w="1333" w:type="dxa"/>
          </w:tcPr>
          <w:p w:rsidR="00584B32" w:rsidRPr="00FD06AE" w:rsidRDefault="00584B32" w:rsidP="00ED607B">
            <w:pPr>
              <w:jc w:val="center"/>
            </w:pPr>
            <w:r w:rsidRPr="00FD06AE">
              <w:t>1,565</w:t>
            </w:r>
          </w:p>
        </w:tc>
        <w:tc>
          <w:tcPr>
            <w:tcW w:w="1324" w:type="dxa"/>
          </w:tcPr>
          <w:p w:rsidR="00584B32" w:rsidRPr="00FD06AE" w:rsidRDefault="00584B32" w:rsidP="00ED607B">
            <w:pPr>
              <w:jc w:val="center"/>
            </w:pPr>
            <w:r w:rsidRPr="00FD06AE">
              <w:t>905</w:t>
            </w:r>
          </w:p>
        </w:tc>
        <w:tc>
          <w:tcPr>
            <w:tcW w:w="1324" w:type="dxa"/>
          </w:tcPr>
          <w:p w:rsidR="00584B32" w:rsidRPr="00FD06AE" w:rsidRDefault="00584B32" w:rsidP="00ED607B">
            <w:pPr>
              <w:jc w:val="center"/>
            </w:pPr>
            <w:r w:rsidRPr="00FD06AE">
              <w:t>595</w:t>
            </w:r>
          </w:p>
        </w:tc>
        <w:tc>
          <w:tcPr>
            <w:tcW w:w="1328" w:type="dxa"/>
          </w:tcPr>
          <w:p w:rsidR="00584B32" w:rsidRPr="00FD06AE" w:rsidRDefault="00584B32" w:rsidP="00ED607B">
            <w:pPr>
              <w:jc w:val="center"/>
            </w:pPr>
            <w:r w:rsidRPr="00FD06AE">
              <w:t>165</w:t>
            </w:r>
          </w:p>
        </w:tc>
      </w:tr>
      <w:tr w:rsidR="00584B32" w:rsidRPr="00FD06AE" w:rsidTr="00ED607B">
        <w:tc>
          <w:tcPr>
            <w:tcW w:w="1389" w:type="dxa"/>
          </w:tcPr>
          <w:p w:rsidR="00584B32" w:rsidRPr="00FD06AE" w:rsidRDefault="00584B32" w:rsidP="00ED607B">
            <w:pPr>
              <w:jc w:val="center"/>
            </w:pPr>
            <w:r w:rsidRPr="00FD06AE">
              <w:t>6%</w:t>
            </w:r>
          </w:p>
        </w:tc>
        <w:tc>
          <w:tcPr>
            <w:tcW w:w="1325" w:type="dxa"/>
          </w:tcPr>
          <w:p w:rsidR="00584B32" w:rsidRPr="00FD06AE" w:rsidRDefault="00584B32" w:rsidP="00ED607B">
            <w:pPr>
              <w:jc w:val="center"/>
            </w:pPr>
            <w:r w:rsidRPr="00FD06AE">
              <w:t>11,200</w:t>
            </w:r>
          </w:p>
        </w:tc>
        <w:tc>
          <w:tcPr>
            <w:tcW w:w="1327" w:type="dxa"/>
          </w:tcPr>
          <w:p w:rsidR="00584B32" w:rsidRPr="00FD06AE" w:rsidRDefault="00584B32" w:rsidP="00ED607B">
            <w:pPr>
              <w:jc w:val="center"/>
            </w:pPr>
            <w:r w:rsidRPr="00FD06AE">
              <w:t>2,895</w:t>
            </w:r>
          </w:p>
        </w:tc>
        <w:tc>
          <w:tcPr>
            <w:tcW w:w="1333" w:type="dxa"/>
          </w:tcPr>
          <w:p w:rsidR="00584B32" w:rsidRPr="00FD06AE" w:rsidRDefault="00584B32" w:rsidP="00ED607B">
            <w:pPr>
              <w:jc w:val="center"/>
            </w:pPr>
            <w:r w:rsidRPr="00FD06AE">
              <w:t>1,330</w:t>
            </w:r>
          </w:p>
        </w:tc>
        <w:tc>
          <w:tcPr>
            <w:tcW w:w="1324" w:type="dxa"/>
          </w:tcPr>
          <w:p w:rsidR="00584B32" w:rsidRPr="00FD06AE" w:rsidRDefault="00584B32" w:rsidP="00ED607B">
            <w:pPr>
              <w:jc w:val="center"/>
            </w:pPr>
            <w:r w:rsidRPr="00FD06AE">
              <w:t>770</w:t>
            </w:r>
          </w:p>
        </w:tc>
        <w:tc>
          <w:tcPr>
            <w:tcW w:w="1324" w:type="dxa"/>
          </w:tcPr>
          <w:p w:rsidR="00584B32" w:rsidRPr="00FD06AE" w:rsidRDefault="00584B32" w:rsidP="00ED607B">
            <w:pPr>
              <w:jc w:val="center"/>
            </w:pPr>
            <w:r w:rsidRPr="00FD06AE">
              <w:t>510</w:t>
            </w:r>
          </w:p>
        </w:tc>
        <w:tc>
          <w:tcPr>
            <w:tcW w:w="1328" w:type="dxa"/>
          </w:tcPr>
          <w:p w:rsidR="00584B32" w:rsidRPr="00FD06AE" w:rsidRDefault="00584B32" w:rsidP="00ED607B">
            <w:pPr>
              <w:jc w:val="center"/>
            </w:pPr>
            <w:r w:rsidRPr="00FD06AE">
              <w:t>145</w:t>
            </w:r>
          </w:p>
        </w:tc>
      </w:tr>
      <w:tr w:rsidR="00584B32" w:rsidRPr="00FD06AE" w:rsidTr="00ED607B">
        <w:tc>
          <w:tcPr>
            <w:tcW w:w="1389" w:type="dxa"/>
          </w:tcPr>
          <w:p w:rsidR="00584B32" w:rsidRPr="00FD06AE" w:rsidRDefault="00584B32" w:rsidP="00ED607B">
            <w:pPr>
              <w:jc w:val="center"/>
            </w:pPr>
            <w:r w:rsidRPr="00FD06AE">
              <w:t>7%</w:t>
            </w:r>
          </w:p>
        </w:tc>
        <w:tc>
          <w:tcPr>
            <w:tcW w:w="1325" w:type="dxa"/>
          </w:tcPr>
          <w:p w:rsidR="00584B32" w:rsidRPr="00FD06AE" w:rsidRDefault="00584B32" w:rsidP="00ED607B">
            <w:pPr>
              <w:jc w:val="center"/>
            </w:pPr>
            <w:r w:rsidRPr="00FD06AE">
              <w:t>9,750</w:t>
            </w:r>
          </w:p>
        </w:tc>
        <w:tc>
          <w:tcPr>
            <w:tcW w:w="1327" w:type="dxa"/>
          </w:tcPr>
          <w:p w:rsidR="00584B32" w:rsidRPr="00FD06AE" w:rsidRDefault="00584B32" w:rsidP="00ED607B">
            <w:pPr>
              <w:jc w:val="center"/>
            </w:pPr>
            <w:r w:rsidRPr="00FD06AE">
              <w:t>2,520</w:t>
            </w:r>
          </w:p>
        </w:tc>
        <w:tc>
          <w:tcPr>
            <w:tcW w:w="1333" w:type="dxa"/>
          </w:tcPr>
          <w:p w:rsidR="00584B32" w:rsidRPr="00FD06AE" w:rsidRDefault="00584B32" w:rsidP="00ED607B">
            <w:pPr>
              <w:jc w:val="center"/>
            </w:pPr>
            <w:r w:rsidRPr="00FD06AE">
              <w:t>1,160</w:t>
            </w:r>
          </w:p>
        </w:tc>
        <w:tc>
          <w:tcPr>
            <w:tcW w:w="1324" w:type="dxa"/>
          </w:tcPr>
          <w:p w:rsidR="00584B32" w:rsidRPr="00FD06AE" w:rsidRDefault="00584B32" w:rsidP="00ED607B">
            <w:pPr>
              <w:jc w:val="center"/>
            </w:pPr>
            <w:r w:rsidRPr="00FD06AE">
              <w:t>675</w:t>
            </w:r>
          </w:p>
        </w:tc>
        <w:tc>
          <w:tcPr>
            <w:tcW w:w="1324" w:type="dxa"/>
          </w:tcPr>
          <w:p w:rsidR="00584B32" w:rsidRPr="00FD06AE" w:rsidRDefault="00584B32" w:rsidP="00ED607B">
            <w:pPr>
              <w:jc w:val="center"/>
            </w:pPr>
            <w:r w:rsidRPr="00FD06AE">
              <w:t>440</w:t>
            </w:r>
          </w:p>
        </w:tc>
        <w:tc>
          <w:tcPr>
            <w:tcW w:w="1328" w:type="dxa"/>
          </w:tcPr>
          <w:p w:rsidR="00584B32" w:rsidRPr="00FD06AE" w:rsidRDefault="00584B32" w:rsidP="00ED607B">
            <w:pPr>
              <w:jc w:val="center"/>
            </w:pPr>
            <w:r w:rsidRPr="00FD06AE">
              <w:t>125</w:t>
            </w:r>
          </w:p>
        </w:tc>
      </w:tr>
      <w:tr w:rsidR="00584B32" w:rsidRPr="00FD06AE" w:rsidTr="00ED607B">
        <w:tc>
          <w:tcPr>
            <w:tcW w:w="1389" w:type="dxa"/>
          </w:tcPr>
          <w:p w:rsidR="00584B32" w:rsidRPr="00FD06AE" w:rsidRDefault="00584B32" w:rsidP="00ED607B">
            <w:pPr>
              <w:jc w:val="center"/>
            </w:pPr>
            <w:r w:rsidRPr="00FD06AE">
              <w:t>8%</w:t>
            </w:r>
          </w:p>
        </w:tc>
        <w:tc>
          <w:tcPr>
            <w:tcW w:w="1325" w:type="dxa"/>
          </w:tcPr>
          <w:p w:rsidR="00584B32" w:rsidRPr="00FD06AE" w:rsidRDefault="00584B32" w:rsidP="00ED607B">
            <w:pPr>
              <w:jc w:val="center"/>
            </w:pPr>
            <w:r w:rsidRPr="00FD06AE">
              <w:t>8,665</w:t>
            </w:r>
          </w:p>
        </w:tc>
        <w:tc>
          <w:tcPr>
            <w:tcW w:w="1327" w:type="dxa"/>
          </w:tcPr>
          <w:p w:rsidR="00584B32" w:rsidRPr="00FD06AE" w:rsidRDefault="00584B32" w:rsidP="00ED607B">
            <w:pPr>
              <w:jc w:val="center"/>
            </w:pPr>
            <w:r w:rsidRPr="00FD06AE">
              <w:t>2,250</w:t>
            </w:r>
          </w:p>
        </w:tc>
        <w:tc>
          <w:tcPr>
            <w:tcW w:w="1333" w:type="dxa"/>
          </w:tcPr>
          <w:p w:rsidR="00584B32" w:rsidRPr="00FD06AE" w:rsidRDefault="00584B32" w:rsidP="00ED607B">
            <w:pPr>
              <w:jc w:val="center"/>
            </w:pPr>
            <w:r w:rsidRPr="00FD06AE">
              <w:t>1,030</w:t>
            </w:r>
          </w:p>
        </w:tc>
        <w:tc>
          <w:tcPr>
            <w:tcW w:w="1324" w:type="dxa"/>
          </w:tcPr>
          <w:p w:rsidR="00584B32" w:rsidRPr="00FD06AE" w:rsidRDefault="00584B32" w:rsidP="00ED607B">
            <w:pPr>
              <w:jc w:val="center"/>
            </w:pPr>
            <w:r w:rsidRPr="00FD06AE">
              <w:t>605</w:t>
            </w:r>
          </w:p>
        </w:tc>
        <w:tc>
          <w:tcPr>
            <w:tcW w:w="1324" w:type="dxa"/>
          </w:tcPr>
          <w:p w:rsidR="00584B32" w:rsidRPr="00FD06AE" w:rsidRDefault="00584B32" w:rsidP="00ED607B">
            <w:pPr>
              <w:jc w:val="center"/>
            </w:pPr>
            <w:r w:rsidRPr="00FD06AE">
              <w:t>395</w:t>
            </w:r>
          </w:p>
        </w:tc>
        <w:tc>
          <w:tcPr>
            <w:tcW w:w="1328" w:type="dxa"/>
          </w:tcPr>
          <w:p w:rsidR="00584B32" w:rsidRPr="00FD06AE" w:rsidRDefault="00584B32" w:rsidP="00ED607B">
            <w:pPr>
              <w:jc w:val="center"/>
            </w:pPr>
            <w:r w:rsidRPr="00FD06AE">
              <w:t>115</w:t>
            </w:r>
          </w:p>
        </w:tc>
      </w:tr>
      <w:tr w:rsidR="00584B32" w:rsidRPr="00FD06AE" w:rsidTr="00ED607B">
        <w:tc>
          <w:tcPr>
            <w:tcW w:w="1389" w:type="dxa"/>
          </w:tcPr>
          <w:p w:rsidR="00584B32" w:rsidRPr="00FD06AE" w:rsidRDefault="00584B32" w:rsidP="00ED607B">
            <w:pPr>
              <w:jc w:val="center"/>
            </w:pPr>
            <w:r w:rsidRPr="00FD06AE">
              <w:t>9%</w:t>
            </w:r>
          </w:p>
        </w:tc>
        <w:tc>
          <w:tcPr>
            <w:tcW w:w="1325" w:type="dxa"/>
          </w:tcPr>
          <w:p w:rsidR="00584B32" w:rsidRPr="00FD06AE" w:rsidRDefault="00584B32" w:rsidP="00ED607B">
            <w:pPr>
              <w:jc w:val="center"/>
            </w:pPr>
            <w:r w:rsidRPr="00FD06AE">
              <w:t>7,835</w:t>
            </w:r>
          </w:p>
        </w:tc>
        <w:tc>
          <w:tcPr>
            <w:tcW w:w="1327" w:type="dxa"/>
          </w:tcPr>
          <w:p w:rsidR="00584B32" w:rsidRPr="00FD06AE" w:rsidRDefault="00584B32" w:rsidP="00ED607B">
            <w:pPr>
              <w:jc w:val="center"/>
            </w:pPr>
            <w:r w:rsidRPr="00FD06AE">
              <w:t>2,030</w:t>
            </w:r>
          </w:p>
        </w:tc>
        <w:tc>
          <w:tcPr>
            <w:tcW w:w="1333" w:type="dxa"/>
          </w:tcPr>
          <w:p w:rsidR="00584B32" w:rsidRPr="00FD06AE" w:rsidRDefault="00584B32" w:rsidP="00ED607B">
            <w:pPr>
              <w:jc w:val="center"/>
            </w:pPr>
            <w:r w:rsidRPr="00FD06AE">
              <w:t>938</w:t>
            </w:r>
          </w:p>
        </w:tc>
        <w:tc>
          <w:tcPr>
            <w:tcW w:w="1324" w:type="dxa"/>
          </w:tcPr>
          <w:p w:rsidR="00584B32" w:rsidRPr="00FD06AE" w:rsidRDefault="00584B32" w:rsidP="00ED607B">
            <w:pPr>
              <w:jc w:val="center"/>
            </w:pPr>
            <w:r w:rsidRPr="00FD06AE">
              <w:t>545</w:t>
            </w:r>
          </w:p>
        </w:tc>
        <w:tc>
          <w:tcPr>
            <w:tcW w:w="1324" w:type="dxa"/>
          </w:tcPr>
          <w:p w:rsidR="00584B32" w:rsidRPr="00FD06AE" w:rsidRDefault="00584B32" w:rsidP="00ED607B">
            <w:pPr>
              <w:jc w:val="center"/>
            </w:pPr>
            <w:r w:rsidRPr="00FD06AE">
              <w:t>365</w:t>
            </w:r>
          </w:p>
        </w:tc>
        <w:tc>
          <w:tcPr>
            <w:tcW w:w="1328" w:type="dxa"/>
          </w:tcPr>
          <w:p w:rsidR="00584B32" w:rsidRPr="00FD06AE" w:rsidRDefault="00584B32" w:rsidP="00ED607B">
            <w:pPr>
              <w:jc w:val="center"/>
            </w:pPr>
            <w:r w:rsidRPr="00FD06AE">
              <w:t>105</w:t>
            </w:r>
          </w:p>
        </w:tc>
      </w:tr>
      <w:tr w:rsidR="00584B32" w:rsidRPr="00FD06AE" w:rsidTr="00ED607B">
        <w:tc>
          <w:tcPr>
            <w:tcW w:w="1389" w:type="dxa"/>
          </w:tcPr>
          <w:p w:rsidR="00584B32" w:rsidRPr="00FD06AE" w:rsidRDefault="00584B32" w:rsidP="00ED607B">
            <w:pPr>
              <w:jc w:val="center"/>
            </w:pPr>
            <w:r w:rsidRPr="00FD06AE">
              <w:t>10%</w:t>
            </w:r>
          </w:p>
        </w:tc>
        <w:tc>
          <w:tcPr>
            <w:tcW w:w="1325" w:type="dxa"/>
          </w:tcPr>
          <w:p w:rsidR="00584B32" w:rsidRPr="00FD06AE" w:rsidRDefault="00584B32" w:rsidP="00ED607B">
            <w:pPr>
              <w:jc w:val="center"/>
            </w:pPr>
            <w:r w:rsidRPr="00FD06AE">
              <w:t>7,190</w:t>
            </w:r>
          </w:p>
        </w:tc>
        <w:tc>
          <w:tcPr>
            <w:tcW w:w="1327" w:type="dxa"/>
          </w:tcPr>
          <w:p w:rsidR="00584B32" w:rsidRPr="00FD06AE" w:rsidRDefault="00584B32" w:rsidP="00ED607B">
            <w:pPr>
              <w:jc w:val="center"/>
            </w:pPr>
            <w:r w:rsidRPr="00FD06AE">
              <w:t>1,865</w:t>
            </w:r>
          </w:p>
        </w:tc>
        <w:tc>
          <w:tcPr>
            <w:tcW w:w="1333" w:type="dxa"/>
          </w:tcPr>
          <w:p w:rsidR="00584B32" w:rsidRPr="00FD06AE" w:rsidRDefault="00584B32" w:rsidP="00ED607B">
            <w:pPr>
              <w:jc w:val="center"/>
            </w:pPr>
            <w:r w:rsidRPr="00FD06AE">
              <w:t>860</w:t>
            </w:r>
          </w:p>
        </w:tc>
        <w:tc>
          <w:tcPr>
            <w:tcW w:w="1324" w:type="dxa"/>
          </w:tcPr>
          <w:p w:rsidR="00584B32" w:rsidRPr="00FD06AE" w:rsidRDefault="00584B32" w:rsidP="00ED607B">
            <w:pPr>
              <w:jc w:val="center"/>
            </w:pPr>
            <w:r w:rsidRPr="00FD06AE">
              <w:t>500</w:t>
            </w:r>
          </w:p>
        </w:tc>
        <w:tc>
          <w:tcPr>
            <w:tcW w:w="1324" w:type="dxa"/>
          </w:tcPr>
          <w:p w:rsidR="00584B32" w:rsidRPr="00FD06AE" w:rsidRDefault="00584B32" w:rsidP="00ED607B">
            <w:pPr>
              <w:jc w:val="center"/>
            </w:pPr>
            <w:r w:rsidRPr="00FD06AE">
              <w:t>335</w:t>
            </w:r>
          </w:p>
        </w:tc>
        <w:tc>
          <w:tcPr>
            <w:tcW w:w="1328" w:type="dxa"/>
          </w:tcPr>
          <w:p w:rsidR="00584B32" w:rsidRPr="00FD06AE" w:rsidRDefault="00584B32" w:rsidP="00ED607B">
            <w:pPr>
              <w:jc w:val="center"/>
            </w:pPr>
            <w:r w:rsidRPr="00FD06AE">
              <w:t>95</w:t>
            </w:r>
          </w:p>
        </w:tc>
      </w:tr>
    </w:tbl>
    <w:p w:rsidR="00584B32" w:rsidRPr="00FD06AE" w:rsidRDefault="00584B32" w:rsidP="00584B32">
      <w:pPr>
        <w:rPr>
          <w:sz w:val="18"/>
          <w:szCs w:val="18"/>
        </w:rPr>
      </w:pPr>
      <w:r w:rsidRPr="00FD06AE">
        <w:rPr>
          <w:sz w:val="18"/>
          <w:szCs w:val="18"/>
        </w:rPr>
        <w:t>*Prevalence of drugs in control sample</w:t>
      </w:r>
      <w:r w:rsidR="001D496D" w:rsidRPr="00FD06AE">
        <w:rPr>
          <w:sz w:val="18"/>
          <w:szCs w:val="18"/>
        </w:rPr>
        <w:t xml:space="preserve">. </w:t>
      </w:r>
      <w:r w:rsidR="004A0BCA" w:rsidRPr="00FD06AE">
        <w:rPr>
          <w:sz w:val="18"/>
          <w:szCs w:val="18"/>
        </w:rPr>
        <w:t>^</w:t>
      </w:r>
      <w:r w:rsidR="00C33F7F" w:rsidRPr="00FD06AE">
        <w:rPr>
          <w:sz w:val="18"/>
          <w:szCs w:val="18"/>
        </w:rPr>
        <w:t>As shown by the highlighted cell</w:t>
      </w:r>
      <w:r w:rsidR="00192192" w:rsidRPr="00FD06AE">
        <w:rPr>
          <w:sz w:val="18"/>
          <w:szCs w:val="18"/>
        </w:rPr>
        <w:t>,</w:t>
      </w:r>
      <w:r w:rsidR="00C33F7F" w:rsidRPr="00FD06AE">
        <w:rPr>
          <w:sz w:val="18"/>
          <w:szCs w:val="18"/>
        </w:rPr>
        <w:t xml:space="preserve"> accounting for multiple covariates requires a slightly higher sample size</w:t>
      </w:r>
      <w:r w:rsidR="00494004" w:rsidRPr="00FD06AE">
        <w:rPr>
          <w:sz w:val="18"/>
          <w:szCs w:val="18"/>
        </w:rPr>
        <w:t xml:space="preserve"> (crash driver N = 2,520)</w:t>
      </w:r>
      <w:r w:rsidR="00C33F7F" w:rsidRPr="00FD06AE">
        <w:rPr>
          <w:sz w:val="18"/>
          <w:szCs w:val="18"/>
        </w:rPr>
        <w:t xml:space="preserve"> than that proposed</w:t>
      </w:r>
      <w:r w:rsidR="007073AC" w:rsidRPr="00FD06AE">
        <w:rPr>
          <w:sz w:val="18"/>
          <w:szCs w:val="18"/>
        </w:rPr>
        <w:t xml:space="preserve"> to reliably detect a 30% increase in relative risk (1.3 odds ratio) for a drug (or class of drugs) with a 3.0% prevalence rate in the control sample</w:t>
      </w:r>
      <w:r w:rsidR="00494004" w:rsidRPr="00FD06AE">
        <w:rPr>
          <w:sz w:val="18"/>
          <w:szCs w:val="18"/>
        </w:rPr>
        <w:t>.</w:t>
      </w:r>
      <w:r w:rsidR="00C33F7F" w:rsidRPr="00FD06AE">
        <w:rPr>
          <w:sz w:val="18"/>
          <w:szCs w:val="18"/>
        </w:rPr>
        <w:t xml:space="preserve"> </w:t>
      </w:r>
      <w:r w:rsidR="00494004" w:rsidRPr="00FD06AE">
        <w:rPr>
          <w:sz w:val="18"/>
          <w:szCs w:val="18"/>
        </w:rPr>
        <w:t>The proposed sample size will be sufficient if the prevalence rate and/or effect size is just marginally higher for a given drug or class of drugs</w:t>
      </w:r>
      <w:r w:rsidR="00C33F7F" w:rsidRPr="00FD06AE">
        <w:rPr>
          <w:sz w:val="18"/>
          <w:szCs w:val="18"/>
        </w:rPr>
        <w:t xml:space="preserve">.  </w:t>
      </w:r>
    </w:p>
    <w:p w:rsidR="00584B32" w:rsidRPr="00FD06AE" w:rsidRDefault="00584B32" w:rsidP="00584B32"/>
    <w:p w:rsidR="002007C0" w:rsidRPr="00FD06AE" w:rsidRDefault="002007C0" w:rsidP="00584B32">
      <w:r w:rsidRPr="00FD06AE">
        <w:tab/>
      </w:r>
      <w:r w:rsidR="00FA362F" w:rsidRPr="00FD06AE">
        <w:t xml:space="preserve">In the Virginia Beach study, </w:t>
      </w:r>
      <w:r w:rsidR="008843C2" w:rsidRPr="00FD06AE">
        <w:t>few individual drugs</w:t>
      </w:r>
      <w:r w:rsidR="00DE71C3" w:rsidRPr="00FD06AE">
        <w:t xml:space="preserve"> had a prevalence rate high enough for statistical analysis. As such, classes of drugs were analyzed in most cases (except for marijuana). </w:t>
      </w:r>
      <w:r w:rsidR="007A0E5C" w:rsidRPr="00FD06AE">
        <w:t xml:space="preserve">As shown in Table 5, the prevalence of a given class of drugs was relatively small for most classes </w:t>
      </w:r>
      <w:r w:rsidR="00FA362F" w:rsidRPr="00FD06AE">
        <w:t>and</w:t>
      </w:r>
      <w:r w:rsidR="007A0E5C" w:rsidRPr="00FD06AE">
        <w:t xml:space="preserve"> varied by whether an oral fluid or blood sample was provided. </w:t>
      </w:r>
      <w:r w:rsidR="006D1A1C" w:rsidRPr="00FD06AE">
        <w:t>The exact prevalence of the various drugs of interest is unknown for the current study sites</w:t>
      </w:r>
      <w:r w:rsidR="002B4979" w:rsidRPr="00FD06AE">
        <w:t xml:space="preserve"> but </w:t>
      </w:r>
      <w:r w:rsidR="008B029B" w:rsidRPr="00FD06AE">
        <w:t xml:space="preserve">having </w:t>
      </w:r>
      <w:r w:rsidR="002B4979" w:rsidRPr="00FD06AE">
        <w:t>three locations will allow for the collection of a larger and</w:t>
      </w:r>
      <w:r w:rsidR="008B029B" w:rsidRPr="00FD06AE">
        <w:t xml:space="preserve"> more representative sample</w:t>
      </w:r>
      <w:r w:rsidR="006D1A1C" w:rsidRPr="00FD06AE">
        <w:t xml:space="preserve">. The power estimates in Tables 3 and 4 suggest the proposed sample of 2,500 injured drivers will be sufficient to reliably detect an increased risk of </w:t>
      </w:r>
      <w:r w:rsidR="00536437" w:rsidRPr="00FD06AE">
        <w:t xml:space="preserve">being severely injured in </w:t>
      </w:r>
      <w:r w:rsidR="006D1A1C" w:rsidRPr="00FD06AE">
        <w:t>a crash at an odds ratio of 1.3</w:t>
      </w:r>
      <w:r w:rsidR="00C33F7F" w:rsidRPr="00FD06AE">
        <w:t xml:space="preserve"> (or just slightly higher when accounting for multiple covariates)</w:t>
      </w:r>
      <w:r w:rsidR="006D1A1C" w:rsidRPr="00FD06AE">
        <w:t xml:space="preserve"> for drug classes with a </w:t>
      </w:r>
      <w:r w:rsidR="004416C8" w:rsidRPr="00FD06AE">
        <w:t xml:space="preserve">population </w:t>
      </w:r>
      <w:r w:rsidR="006D1A1C" w:rsidRPr="00FD06AE">
        <w:t>prevalence rate of 3% or higher</w:t>
      </w:r>
      <w:r w:rsidRPr="00FD06AE">
        <w:t>.</w:t>
      </w:r>
      <w:r w:rsidR="006D1A1C" w:rsidRPr="00FD06AE">
        <w:t xml:space="preserve"> </w:t>
      </w:r>
      <w:r w:rsidR="00536437" w:rsidRPr="00FD06AE">
        <w:t>Given the higher prevalence rate f</w:t>
      </w:r>
      <w:r w:rsidR="006D1A1C" w:rsidRPr="00FD06AE">
        <w:t>or marijuana, the study should be able to reliably detect an effect at an odds ratio of 1.2 or higher.</w:t>
      </w:r>
      <w:r w:rsidR="004416C8" w:rsidRPr="00FD06AE">
        <w:t xml:space="preserve"> Overall, the injured driver sample of 2,500 drivers will be sufficient to </w:t>
      </w:r>
      <w:r w:rsidR="00D80C84" w:rsidRPr="00FD06AE">
        <w:t xml:space="preserve">allow NHTSA to </w:t>
      </w:r>
      <w:r w:rsidR="004416C8" w:rsidRPr="00FD06AE">
        <w:t xml:space="preserve">determine if any of the drug classes of </w:t>
      </w:r>
      <w:r w:rsidR="00C33F7F" w:rsidRPr="00FD06AE">
        <w:t xml:space="preserve">most </w:t>
      </w:r>
      <w:r w:rsidR="004416C8" w:rsidRPr="00FD06AE">
        <w:t xml:space="preserve">interest have a meaningful impact </w:t>
      </w:r>
      <w:r w:rsidR="00DB1DAB" w:rsidRPr="00FD06AE">
        <w:t xml:space="preserve">on </w:t>
      </w:r>
      <w:r w:rsidR="00584BE8" w:rsidRPr="00FD06AE">
        <w:t>being severely injured in a crash</w:t>
      </w:r>
      <w:r w:rsidR="00D209F0" w:rsidRPr="00FD06AE">
        <w:t xml:space="preserve">. </w:t>
      </w:r>
    </w:p>
    <w:p w:rsidR="002007C0" w:rsidRPr="00FD06AE" w:rsidRDefault="002007C0" w:rsidP="00584B32"/>
    <w:p w:rsidR="002007C0" w:rsidRPr="00FD06AE" w:rsidRDefault="002007C0" w:rsidP="002007C0">
      <w:pPr>
        <w:jc w:val="center"/>
        <w:rPr>
          <w:b/>
        </w:rPr>
      </w:pPr>
      <w:r w:rsidRPr="00FD06AE">
        <w:rPr>
          <w:b/>
        </w:rPr>
        <w:t xml:space="preserve">Table </w:t>
      </w:r>
      <w:r w:rsidR="007A0E5C" w:rsidRPr="00FD06AE">
        <w:rPr>
          <w:b/>
        </w:rPr>
        <w:t>5</w:t>
      </w:r>
      <w:r w:rsidRPr="00FD06AE">
        <w:rPr>
          <w:b/>
        </w:rPr>
        <w:t xml:space="preserve">. </w:t>
      </w:r>
      <w:r w:rsidR="007A0E5C" w:rsidRPr="00FD06AE">
        <w:rPr>
          <w:b/>
        </w:rPr>
        <w:t xml:space="preserve">VA Beach Crash Risk Study </w:t>
      </w:r>
      <w:r w:rsidRPr="00FD06AE">
        <w:rPr>
          <w:b/>
        </w:rPr>
        <w:t>Prevalence of Drug</w:t>
      </w:r>
      <w:r w:rsidR="007A0E5C" w:rsidRPr="00FD06AE">
        <w:rPr>
          <w:b/>
        </w:rPr>
        <w:t xml:space="preserve"> Classes</w:t>
      </w:r>
      <w:r w:rsidRPr="00FD06AE">
        <w:rPr>
          <w:b/>
        </w:rPr>
        <w:t xml:space="preserve"> </w:t>
      </w:r>
    </w:p>
    <w:tbl>
      <w:tblPr>
        <w:tblW w:w="0" w:type="auto"/>
        <w:jc w:val="center"/>
        <w:tblLook w:val="04A0" w:firstRow="1" w:lastRow="0" w:firstColumn="1" w:lastColumn="0" w:noHBand="0" w:noVBand="1"/>
      </w:tblPr>
      <w:tblGrid>
        <w:gridCol w:w="2156"/>
        <w:gridCol w:w="776"/>
        <w:gridCol w:w="950"/>
        <w:gridCol w:w="276"/>
        <w:gridCol w:w="776"/>
        <w:gridCol w:w="950"/>
      </w:tblGrid>
      <w:tr w:rsidR="006D1A1C" w:rsidRPr="00FD06AE" w:rsidTr="006D1A1C">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A1C" w:rsidRPr="00FD06AE" w:rsidRDefault="006D1A1C">
            <w:pPr>
              <w:rPr>
                <w:color w:val="000000"/>
              </w:rPr>
            </w:pPr>
            <w:r w:rsidRPr="00FD06AE">
              <w:rPr>
                <w:color w:val="00000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6D1A1C" w:rsidRPr="00FD06AE" w:rsidRDefault="006D1A1C">
            <w:pPr>
              <w:jc w:val="center"/>
              <w:rPr>
                <w:color w:val="000000"/>
              </w:rPr>
            </w:pPr>
            <w:r w:rsidRPr="00FD06AE">
              <w:rPr>
                <w:color w:val="000000"/>
              </w:rPr>
              <w:t>Oral Fluid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D1A1C" w:rsidRPr="00FD06AE" w:rsidRDefault="006D1A1C">
            <w:pPr>
              <w:rPr>
                <w:color w:val="000000"/>
              </w:rPr>
            </w:pPr>
            <w:r w:rsidRPr="00FD06AE">
              <w:rPr>
                <w:color w:val="00000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6D1A1C" w:rsidRPr="00FD06AE" w:rsidRDefault="006D1A1C">
            <w:pPr>
              <w:jc w:val="center"/>
              <w:rPr>
                <w:color w:val="000000"/>
              </w:rPr>
            </w:pPr>
            <w:r w:rsidRPr="00FD06AE">
              <w:rPr>
                <w:color w:val="000000"/>
              </w:rPr>
              <w:t>Blood</w:t>
            </w:r>
          </w:p>
        </w:tc>
      </w:tr>
      <w:tr w:rsidR="006D1A1C" w:rsidRPr="00FD06AE" w:rsidTr="006D1A1C">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1A1C" w:rsidRPr="00FD06AE" w:rsidRDefault="006D1A1C">
            <w:pPr>
              <w:rPr>
                <w:color w:val="000000"/>
              </w:rPr>
            </w:pPr>
            <w:r w:rsidRPr="00FD06AE">
              <w:rPr>
                <w:color w:val="000000"/>
              </w:rPr>
              <w:t>Drug Class</w:t>
            </w:r>
          </w:p>
        </w:tc>
        <w:tc>
          <w:tcPr>
            <w:tcW w:w="0" w:type="auto"/>
            <w:tcBorders>
              <w:top w:val="nil"/>
              <w:left w:val="nil"/>
              <w:bottom w:val="single" w:sz="4" w:space="0" w:color="auto"/>
              <w:right w:val="single" w:sz="4" w:space="0" w:color="auto"/>
            </w:tcBorders>
            <w:shd w:val="clear" w:color="auto" w:fill="auto"/>
            <w:noWrap/>
            <w:vAlign w:val="bottom"/>
            <w:hideMark/>
          </w:tcPr>
          <w:p w:rsidR="006D1A1C" w:rsidRPr="00FD06AE" w:rsidRDefault="006D1A1C">
            <w:pPr>
              <w:rPr>
                <w:color w:val="000000"/>
              </w:rPr>
            </w:pPr>
            <w:r w:rsidRPr="00FD06AE">
              <w:rPr>
                <w:color w:val="000000"/>
              </w:rPr>
              <w:t>Crash</w:t>
            </w:r>
          </w:p>
        </w:tc>
        <w:tc>
          <w:tcPr>
            <w:tcW w:w="0" w:type="auto"/>
            <w:tcBorders>
              <w:top w:val="nil"/>
              <w:left w:val="nil"/>
              <w:bottom w:val="single" w:sz="4" w:space="0" w:color="auto"/>
              <w:right w:val="single" w:sz="4" w:space="0" w:color="auto"/>
            </w:tcBorders>
            <w:shd w:val="clear" w:color="auto" w:fill="auto"/>
            <w:noWrap/>
            <w:vAlign w:val="bottom"/>
            <w:hideMark/>
          </w:tcPr>
          <w:p w:rsidR="006D1A1C" w:rsidRPr="00FD06AE" w:rsidRDefault="006D1A1C">
            <w:pPr>
              <w:rPr>
                <w:color w:val="000000"/>
              </w:rPr>
            </w:pPr>
            <w:r w:rsidRPr="00FD06AE">
              <w:rPr>
                <w:color w:val="000000"/>
              </w:rPr>
              <w:t>Control</w:t>
            </w:r>
          </w:p>
        </w:tc>
        <w:tc>
          <w:tcPr>
            <w:tcW w:w="0" w:type="auto"/>
            <w:tcBorders>
              <w:top w:val="nil"/>
              <w:left w:val="nil"/>
              <w:bottom w:val="single" w:sz="4" w:space="0" w:color="auto"/>
              <w:right w:val="single" w:sz="4" w:space="0" w:color="auto"/>
            </w:tcBorders>
            <w:shd w:val="clear" w:color="auto" w:fill="auto"/>
            <w:noWrap/>
            <w:vAlign w:val="bottom"/>
            <w:hideMark/>
          </w:tcPr>
          <w:p w:rsidR="006D1A1C" w:rsidRPr="00FD06AE" w:rsidRDefault="006D1A1C">
            <w:pPr>
              <w:rPr>
                <w:color w:val="000000"/>
              </w:rPr>
            </w:pPr>
            <w:r w:rsidRPr="00FD06AE">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6D1A1C" w:rsidRPr="00FD06AE" w:rsidRDefault="006D1A1C">
            <w:pPr>
              <w:rPr>
                <w:color w:val="000000"/>
              </w:rPr>
            </w:pPr>
            <w:r w:rsidRPr="00FD06AE">
              <w:rPr>
                <w:color w:val="000000"/>
              </w:rPr>
              <w:t>Crash</w:t>
            </w:r>
          </w:p>
        </w:tc>
        <w:tc>
          <w:tcPr>
            <w:tcW w:w="0" w:type="auto"/>
            <w:tcBorders>
              <w:top w:val="nil"/>
              <w:left w:val="nil"/>
              <w:bottom w:val="single" w:sz="4" w:space="0" w:color="auto"/>
              <w:right w:val="single" w:sz="4" w:space="0" w:color="auto"/>
            </w:tcBorders>
            <w:shd w:val="clear" w:color="auto" w:fill="auto"/>
            <w:noWrap/>
            <w:vAlign w:val="bottom"/>
            <w:hideMark/>
          </w:tcPr>
          <w:p w:rsidR="006D1A1C" w:rsidRPr="00FD06AE" w:rsidRDefault="006D1A1C">
            <w:pPr>
              <w:rPr>
                <w:color w:val="000000"/>
              </w:rPr>
            </w:pPr>
            <w:r w:rsidRPr="00FD06AE">
              <w:rPr>
                <w:color w:val="000000"/>
              </w:rPr>
              <w:t>Control</w:t>
            </w:r>
          </w:p>
        </w:tc>
      </w:tr>
      <w:tr w:rsidR="006D1A1C" w:rsidRPr="00FD06AE" w:rsidTr="006D1A1C">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1A1C" w:rsidRPr="00FD06AE" w:rsidRDefault="006D1A1C">
            <w:pPr>
              <w:rPr>
                <w:color w:val="000000"/>
              </w:rPr>
            </w:pPr>
            <w:r w:rsidRPr="00FD06AE">
              <w:rPr>
                <w:color w:val="000000"/>
              </w:rPr>
              <w:t>Marijuana (THC)</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7.6%</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6.1%</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5.6%</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6.7%</w:t>
            </w:r>
          </w:p>
        </w:tc>
      </w:tr>
      <w:tr w:rsidR="006D1A1C" w:rsidRPr="00FD06AE" w:rsidTr="006D1A1C">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1A1C" w:rsidRPr="00FD06AE" w:rsidRDefault="006D1A1C">
            <w:pPr>
              <w:rPr>
                <w:color w:val="000000"/>
              </w:rPr>
            </w:pPr>
            <w:r w:rsidRPr="00FD06AE">
              <w:rPr>
                <w:color w:val="000000"/>
              </w:rPr>
              <w:t>Antidepressants</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1.3%</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4.3%</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2.5%</w:t>
            </w:r>
          </w:p>
        </w:tc>
      </w:tr>
      <w:tr w:rsidR="006D1A1C" w:rsidRPr="00FD06AE" w:rsidTr="006D1A1C">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1A1C" w:rsidRPr="00FD06AE" w:rsidRDefault="006D1A1C">
            <w:pPr>
              <w:rPr>
                <w:color w:val="000000"/>
              </w:rPr>
            </w:pPr>
            <w:r w:rsidRPr="00FD06AE">
              <w:rPr>
                <w:color w:val="000000"/>
              </w:rPr>
              <w:t>Narcotic Analgesics</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3.4%</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1.4%</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1.8%</w:t>
            </w:r>
          </w:p>
        </w:tc>
      </w:tr>
      <w:tr w:rsidR="006D1A1C" w:rsidRPr="00FD06AE" w:rsidTr="006D1A1C">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1A1C" w:rsidRPr="00FD06AE" w:rsidRDefault="006D1A1C">
            <w:pPr>
              <w:rPr>
                <w:color w:val="000000"/>
              </w:rPr>
            </w:pPr>
            <w:r w:rsidRPr="00FD06AE">
              <w:rPr>
                <w:color w:val="000000"/>
              </w:rPr>
              <w:t>Sedatives</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2.9%</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2.3%</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4.9%</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3.8%</w:t>
            </w:r>
          </w:p>
        </w:tc>
      </w:tr>
      <w:tr w:rsidR="006D1A1C" w:rsidRPr="00FD06AE" w:rsidTr="006D1A1C">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1A1C" w:rsidRPr="00FD06AE" w:rsidRDefault="006D1A1C">
            <w:pPr>
              <w:rPr>
                <w:color w:val="000000"/>
              </w:rPr>
            </w:pPr>
            <w:r w:rsidRPr="00FD06AE">
              <w:rPr>
                <w:color w:val="000000"/>
              </w:rPr>
              <w:t>Stimulants</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3.8%</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3.6%</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5.1%</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3.3%</w:t>
            </w:r>
          </w:p>
        </w:tc>
      </w:tr>
      <w:tr w:rsidR="006D1A1C" w:rsidRPr="00FD06AE" w:rsidTr="006D1A1C">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1A1C" w:rsidRPr="00FD06AE" w:rsidRDefault="006D1A1C">
            <w:pPr>
              <w:rPr>
                <w:color w:val="000000"/>
              </w:rPr>
            </w:pPr>
            <w:r w:rsidRPr="00FD06AE">
              <w:rPr>
                <w:color w:val="000000"/>
              </w:rPr>
              <w:t>Other</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0.7%</w:t>
            </w:r>
          </w:p>
        </w:tc>
        <w:tc>
          <w:tcPr>
            <w:tcW w:w="0" w:type="auto"/>
            <w:tcBorders>
              <w:top w:val="nil"/>
              <w:left w:val="nil"/>
              <w:bottom w:val="single" w:sz="4" w:space="0" w:color="auto"/>
              <w:right w:val="single" w:sz="4" w:space="0" w:color="auto"/>
            </w:tcBorders>
            <w:shd w:val="clear" w:color="auto" w:fill="auto"/>
            <w:noWrap/>
            <w:vAlign w:val="center"/>
            <w:hideMark/>
          </w:tcPr>
          <w:p w:rsidR="006D1A1C" w:rsidRPr="00FD06AE" w:rsidRDefault="006D1A1C">
            <w:pPr>
              <w:jc w:val="right"/>
              <w:rPr>
                <w:color w:val="000000"/>
              </w:rPr>
            </w:pPr>
            <w:r w:rsidRPr="00FD06AE">
              <w:rPr>
                <w:color w:val="000000"/>
              </w:rPr>
              <w:t>0.5%</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1.5%</w:t>
            </w:r>
          </w:p>
        </w:tc>
        <w:tc>
          <w:tcPr>
            <w:tcW w:w="0" w:type="auto"/>
            <w:tcBorders>
              <w:top w:val="nil"/>
              <w:left w:val="nil"/>
              <w:bottom w:val="single" w:sz="4" w:space="0" w:color="auto"/>
              <w:right w:val="single" w:sz="4" w:space="0" w:color="auto"/>
            </w:tcBorders>
            <w:shd w:val="clear" w:color="auto" w:fill="auto"/>
            <w:vAlign w:val="center"/>
            <w:hideMark/>
          </w:tcPr>
          <w:p w:rsidR="006D1A1C" w:rsidRPr="00FD06AE" w:rsidRDefault="006D1A1C">
            <w:pPr>
              <w:jc w:val="center"/>
              <w:rPr>
                <w:color w:val="000000"/>
              </w:rPr>
            </w:pPr>
            <w:r w:rsidRPr="00FD06AE">
              <w:rPr>
                <w:color w:val="000000"/>
              </w:rPr>
              <w:t>0.7%</w:t>
            </w:r>
          </w:p>
        </w:tc>
      </w:tr>
    </w:tbl>
    <w:p w:rsidR="009D15B6" w:rsidRPr="00FD06AE" w:rsidRDefault="009D15B6" w:rsidP="006B36A2">
      <w:pPr>
        <w:pStyle w:val="BodyText"/>
        <w:keepNext/>
        <w:spacing w:before="0" w:after="0"/>
        <w:rPr>
          <w:b/>
        </w:rPr>
      </w:pPr>
    </w:p>
    <w:p w:rsidR="001074FF" w:rsidRPr="00FD06AE" w:rsidRDefault="003767CA" w:rsidP="006B36A2">
      <w:pPr>
        <w:pStyle w:val="BodyText"/>
        <w:keepNext/>
        <w:spacing w:before="0" w:after="0"/>
        <w:rPr>
          <w:b/>
        </w:rPr>
      </w:pPr>
      <w:r w:rsidRPr="00FD06AE">
        <w:rPr>
          <w:b/>
        </w:rPr>
        <w:t>Statistical Analysis Plan</w:t>
      </w:r>
      <w:r w:rsidR="001074FF" w:rsidRPr="00FD06AE">
        <w:rPr>
          <w:b/>
        </w:rPr>
        <w:t xml:space="preserve"> </w:t>
      </w:r>
    </w:p>
    <w:p w:rsidR="001074FF" w:rsidRPr="00FD06AE" w:rsidRDefault="001074FF" w:rsidP="006B36A2">
      <w:pPr>
        <w:pStyle w:val="BodyText"/>
        <w:keepNext/>
        <w:spacing w:before="0" w:after="0"/>
        <w:rPr>
          <w:b/>
          <w:u w:val="single"/>
        </w:rPr>
      </w:pPr>
    </w:p>
    <w:p w:rsidR="00695215" w:rsidRPr="00FD06AE" w:rsidRDefault="00F3249D" w:rsidP="007A7D39">
      <w:pPr>
        <w:ind w:right="-360" w:firstLine="720"/>
      </w:pPr>
      <w:r w:rsidRPr="00FD06AE">
        <w:t xml:space="preserve">The primary objective of this project is to examine </w:t>
      </w:r>
      <w:r w:rsidR="00A00AD7" w:rsidRPr="00FD06AE">
        <w:t xml:space="preserve">the </w:t>
      </w:r>
      <w:r w:rsidRPr="00FD06AE">
        <w:t>risk</w:t>
      </w:r>
      <w:r w:rsidR="00A00AD7" w:rsidRPr="00FD06AE">
        <w:t xml:space="preserve"> of serious or fatal injury in motor vehicle crashes when </w:t>
      </w:r>
      <w:r w:rsidRPr="00FD06AE">
        <w:t>alcohol and</w:t>
      </w:r>
      <w:r w:rsidR="00A00AD7" w:rsidRPr="00FD06AE">
        <w:t>/or</w:t>
      </w:r>
      <w:r w:rsidRPr="00FD06AE">
        <w:t xml:space="preserve"> drug</w:t>
      </w:r>
      <w:r w:rsidR="00A00AD7" w:rsidRPr="00FD06AE">
        <w:t>s are</w:t>
      </w:r>
      <w:r w:rsidRPr="00FD06AE">
        <w:t xml:space="preserve"> use</w:t>
      </w:r>
      <w:r w:rsidR="00A00AD7" w:rsidRPr="00FD06AE">
        <w:t>d</w:t>
      </w:r>
      <w:r w:rsidRPr="00FD06AE">
        <w:t xml:space="preserve"> by drivers. </w:t>
      </w:r>
      <w:r w:rsidR="00695215" w:rsidRPr="00FD06AE">
        <w:rPr>
          <w:rFonts w:eastAsia="Calibri"/>
        </w:rPr>
        <w:t>The relationship between BAC levels, drug status</w:t>
      </w:r>
      <w:r w:rsidR="00A00AD7" w:rsidRPr="00FD06AE">
        <w:rPr>
          <w:rFonts w:eastAsia="Calibri"/>
        </w:rPr>
        <w:t>,</w:t>
      </w:r>
      <w:r w:rsidR="00695215" w:rsidRPr="00FD06AE">
        <w:rPr>
          <w:rFonts w:eastAsia="Calibri"/>
        </w:rPr>
        <w:t xml:space="preserve"> and injury/fatality crash risk will be evaluated through a series of conditional logistic regression models similar to the design used in the Virginia Beach and Long Beach-Fort Lauderdale studies.</w:t>
      </w:r>
      <w:r w:rsidR="00BC44C1" w:rsidRPr="00FD06AE">
        <w:rPr>
          <w:rFonts w:eastAsia="Calibri"/>
          <w:vertAlign w:val="superscript"/>
        </w:rPr>
        <w:t>2,5</w:t>
      </w:r>
      <w:r w:rsidR="00A00AD7" w:rsidRPr="00FD06AE">
        <w:rPr>
          <w:rFonts w:eastAsia="Calibri"/>
        </w:rPr>
        <w:t xml:space="preserve"> </w:t>
      </w:r>
      <w:r w:rsidR="00695215" w:rsidRPr="00FD06AE">
        <w:rPr>
          <w:rFonts w:eastAsia="Calibri"/>
        </w:rPr>
        <w:t xml:space="preserve">Two non-crash drivers </w:t>
      </w:r>
      <w:r w:rsidR="00671395" w:rsidRPr="00FD06AE">
        <w:rPr>
          <w:rFonts w:eastAsia="Calibri"/>
        </w:rPr>
        <w:t>(control</w:t>
      </w:r>
      <w:r w:rsidR="00B937E6" w:rsidRPr="00FD06AE">
        <w:rPr>
          <w:rFonts w:eastAsia="Calibri"/>
        </w:rPr>
        <w:t>s</w:t>
      </w:r>
      <w:r w:rsidR="00671395" w:rsidRPr="00FD06AE">
        <w:rPr>
          <w:rFonts w:eastAsia="Calibri"/>
        </w:rPr>
        <w:t xml:space="preserve">) </w:t>
      </w:r>
      <w:r w:rsidR="00695215" w:rsidRPr="00FD06AE">
        <w:rPr>
          <w:rFonts w:eastAsia="Calibri"/>
        </w:rPr>
        <w:t xml:space="preserve">will be matched to each injured crash driver. The control participants will be selected by identifying drivers who are driving one week later </w:t>
      </w:r>
      <w:r w:rsidR="00A00AD7" w:rsidRPr="00FD06AE">
        <w:rPr>
          <w:rFonts w:eastAsia="Calibri"/>
        </w:rPr>
        <w:t xml:space="preserve">at </w:t>
      </w:r>
      <w:r w:rsidR="00695215" w:rsidRPr="00FD06AE">
        <w:rPr>
          <w:rFonts w:eastAsia="Calibri"/>
        </w:rPr>
        <w:t>approximately the same location, direction of travel</w:t>
      </w:r>
      <w:r w:rsidR="00A00AD7" w:rsidRPr="00FD06AE">
        <w:rPr>
          <w:rFonts w:eastAsia="Calibri"/>
        </w:rPr>
        <w:t>,</w:t>
      </w:r>
      <w:r w:rsidR="00695215" w:rsidRPr="00FD06AE">
        <w:rPr>
          <w:rFonts w:eastAsia="Calibri"/>
        </w:rPr>
        <w:t xml:space="preserve"> and hour of day as each matching crash driver. Hence, it is a 1:2 conditional logistic regression design in which the controls represent a similar exposure and at</w:t>
      </w:r>
      <w:r w:rsidR="00A00AD7" w:rsidRPr="00FD06AE">
        <w:rPr>
          <w:rFonts w:eastAsia="Calibri"/>
        </w:rPr>
        <w:t>-</w:t>
      </w:r>
      <w:r w:rsidR="00695215" w:rsidRPr="00FD06AE">
        <w:rPr>
          <w:rFonts w:eastAsia="Calibri"/>
        </w:rPr>
        <w:t xml:space="preserve">risk driving population as the crash drivers. The use of two controls per each crash case provides increased statistical power. Both univariate and multiple logistic analyses will be conducted. The univariate models will provide estimates of the “crude” odds ratio for BAC and each drug’s relationship to crash rate separately. The multiple logistic regressions provide estimates (odds ratio) of each relationship adjusted for covariates (e.g., age, sex). </w:t>
      </w:r>
    </w:p>
    <w:p w:rsidR="00695215" w:rsidRPr="00FD06AE" w:rsidRDefault="00695215" w:rsidP="00695215">
      <w:pPr>
        <w:rPr>
          <w:rFonts w:eastAsia="Calibri"/>
        </w:rPr>
      </w:pPr>
    </w:p>
    <w:p w:rsidR="00695215" w:rsidRPr="00FD06AE" w:rsidRDefault="00695215" w:rsidP="001217EB">
      <w:pPr>
        <w:ind w:firstLine="720"/>
        <w:rPr>
          <w:rFonts w:eastAsia="Calibri"/>
        </w:rPr>
      </w:pPr>
      <w:r w:rsidRPr="00FD06AE">
        <w:rPr>
          <w:rFonts w:eastAsia="Calibri"/>
        </w:rPr>
        <w:t xml:space="preserve">The </w:t>
      </w:r>
      <w:r w:rsidR="00A96380" w:rsidRPr="00FD06AE">
        <w:rPr>
          <w:rFonts w:eastAsia="Calibri"/>
        </w:rPr>
        <w:t>process</w:t>
      </w:r>
      <w:r w:rsidRPr="00FD06AE">
        <w:rPr>
          <w:rFonts w:eastAsia="Calibri"/>
        </w:rPr>
        <w:t xml:space="preserve"> will begin with an analysis </w:t>
      </w:r>
      <w:r w:rsidR="002F7CDE" w:rsidRPr="00FD06AE">
        <w:rPr>
          <w:rFonts w:eastAsia="Calibri"/>
        </w:rPr>
        <w:t>of</w:t>
      </w:r>
      <w:r w:rsidRPr="00FD06AE">
        <w:rPr>
          <w:rFonts w:eastAsia="Calibri"/>
        </w:rPr>
        <w:t xml:space="preserve"> BAC with and without demographic covariates. This analysis will result in a curve showing how risk of being severely</w:t>
      </w:r>
      <w:r w:rsidR="00A00AD7" w:rsidRPr="00FD06AE">
        <w:rPr>
          <w:rFonts w:eastAsia="Calibri"/>
        </w:rPr>
        <w:t xml:space="preserve"> or fatally</w:t>
      </w:r>
      <w:r w:rsidRPr="00FD06AE">
        <w:rPr>
          <w:rFonts w:eastAsia="Calibri"/>
        </w:rPr>
        <w:t xml:space="preserve"> injured in a crash relates to BAC. These analyses will allow for comparisons with the risk curves obtained in the Fort Lauderdale-Long Beach and Virginia Beach studies</w:t>
      </w:r>
      <w:r w:rsidR="00D209F0" w:rsidRPr="00FD06AE">
        <w:rPr>
          <w:rFonts w:eastAsia="Calibri"/>
        </w:rPr>
        <w:t xml:space="preserve">. </w:t>
      </w:r>
      <w:r w:rsidRPr="00FD06AE">
        <w:rPr>
          <w:rFonts w:eastAsia="Calibri"/>
        </w:rPr>
        <w:t xml:space="preserve">One issue that needs to be addressed concerns the method used to account for non-linearity of the relationship between BAC and crash risk. One of the aforementioned studies used a cubic polynomial model while the other used a fractional polynomial model. In a sense, they are different approaches to the same objective and the shape of the curves produced in the two studies were very similar. The current study will explore both alternatives. The fact that the present study is limited to injury crashes and severely injured drivers means that this study may produce a different risk curve than the prior studies. </w:t>
      </w:r>
    </w:p>
    <w:p w:rsidR="00695215" w:rsidRPr="00FD06AE" w:rsidRDefault="00695215" w:rsidP="00695215">
      <w:pPr>
        <w:rPr>
          <w:rFonts w:eastAsia="Calibri"/>
        </w:rPr>
      </w:pPr>
    </w:p>
    <w:p w:rsidR="00695215" w:rsidRPr="00FD06AE" w:rsidRDefault="00695215" w:rsidP="00FA58AD">
      <w:pPr>
        <w:ind w:firstLine="720"/>
        <w:rPr>
          <w:rFonts w:eastAsia="Calibri"/>
        </w:rPr>
      </w:pPr>
      <w:r w:rsidRPr="00FD06AE">
        <w:rPr>
          <w:rFonts w:eastAsia="Calibri"/>
        </w:rPr>
        <w:t>After the above analyses are complete, the second phase of the analyses will address the role of drug impairment and drug by BAC interaction</w:t>
      </w:r>
      <w:r w:rsidR="00514FE1" w:rsidRPr="00FD06AE">
        <w:rPr>
          <w:rFonts w:eastAsia="Calibri"/>
        </w:rPr>
        <w:t>s</w:t>
      </w:r>
      <w:r w:rsidRPr="00FD06AE">
        <w:rPr>
          <w:rFonts w:eastAsia="Calibri"/>
        </w:rPr>
        <w:t xml:space="preserve">. This objective is far more complex than that of alcohol </w:t>
      </w:r>
      <w:r w:rsidR="00514FE1" w:rsidRPr="00FD06AE">
        <w:rPr>
          <w:rFonts w:eastAsia="Calibri"/>
        </w:rPr>
        <w:t>alone</w:t>
      </w:r>
      <w:r w:rsidRPr="00FD06AE">
        <w:rPr>
          <w:rFonts w:eastAsia="Calibri"/>
        </w:rPr>
        <w:t xml:space="preserve"> due to the large number of drugs, the more complex pharmacokinetics, and likely low prevalence rates. Placing drugs in broader pharmacological categories, such as those used in the Virginia Beach categories, will be explored in the current study. </w:t>
      </w:r>
    </w:p>
    <w:p w:rsidR="00695215" w:rsidRPr="00FD06AE" w:rsidRDefault="00695215" w:rsidP="00695215">
      <w:pPr>
        <w:rPr>
          <w:rFonts w:eastAsia="Calibri"/>
        </w:rPr>
      </w:pPr>
    </w:p>
    <w:p w:rsidR="00695215" w:rsidRPr="00FD06AE" w:rsidRDefault="00695215" w:rsidP="00FA58AD">
      <w:pPr>
        <w:ind w:firstLine="720"/>
        <w:rPr>
          <w:rFonts w:eastAsia="Calibri"/>
        </w:rPr>
      </w:pPr>
      <w:r w:rsidRPr="00FD06AE">
        <w:rPr>
          <w:rFonts w:eastAsia="Calibri"/>
        </w:rPr>
        <w:t>As with BAC, three sets of analyses</w:t>
      </w:r>
      <w:r w:rsidR="00514FE1" w:rsidRPr="00FD06AE">
        <w:rPr>
          <w:rFonts w:eastAsia="Calibri"/>
        </w:rPr>
        <w:t xml:space="preserve"> will be conducted</w:t>
      </w:r>
      <w:r w:rsidRPr="00FD06AE">
        <w:rPr>
          <w:rFonts w:eastAsia="Calibri"/>
        </w:rPr>
        <w:t>. The first will be a univariate logistic regression of the crude odds ratios between each drug class and risk of severe injury. The second analysis will add covariates (e.g., age, sex) to produce odds ratio</w:t>
      </w:r>
      <w:r w:rsidR="00514FE1" w:rsidRPr="00FD06AE">
        <w:rPr>
          <w:rFonts w:eastAsia="Calibri"/>
        </w:rPr>
        <w:t>s</w:t>
      </w:r>
      <w:r w:rsidRPr="00FD06AE">
        <w:rPr>
          <w:rFonts w:eastAsia="Calibri"/>
        </w:rPr>
        <w:t xml:space="preserve"> adjusted for differences between the crash and control groups on potentially confounding covariates. The third set will include both drug class and BAC along with BAC by drug interaction terms. </w:t>
      </w:r>
    </w:p>
    <w:p w:rsidR="004D79E9" w:rsidRPr="00FD06AE" w:rsidRDefault="004D79E9" w:rsidP="00FA58AD">
      <w:pPr>
        <w:ind w:firstLine="720"/>
        <w:rPr>
          <w:rFonts w:eastAsia="Calibri"/>
        </w:rPr>
      </w:pPr>
    </w:p>
    <w:p w:rsidR="00695215" w:rsidRPr="00FD06AE" w:rsidRDefault="00695215" w:rsidP="00EA3882">
      <w:pPr>
        <w:ind w:firstLine="720"/>
        <w:rPr>
          <w:rFonts w:eastAsia="Calibri"/>
        </w:rPr>
      </w:pPr>
      <w:r w:rsidRPr="00FD06AE">
        <w:rPr>
          <w:rFonts w:eastAsia="Calibri"/>
        </w:rPr>
        <w:t>The analysis involving drugs will not require the use of polynomials to adjust for any non-linearity in the logits because most of the drug variables will be binary</w:t>
      </w:r>
      <w:r w:rsidR="006B36A2" w:rsidRPr="00FD06AE">
        <w:rPr>
          <w:rFonts w:eastAsia="Calibri"/>
        </w:rPr>
        <w:t xml:space="preserve">             </w:t>
      </w:r>
      <w:r w:rsidRPr="00FD06AE">
        <w:rPr>
          <w:rFonts w:eastAsia="Calibri"/>
        </w:rPr>
        <w:t xml:space="preserve"> (0</w:t>
      </w:r>
      <w:r w:rsidR="00584BE8" w:rsidRPr="00FD06AE">
        <w:rPr>
          <w:rFonts w:eastAsia="Calibri"/>
        </w:rPr>
        <w:t xml:space="preserve"> </w:t>
      </w:r>
      <w:r w:rsidRPr="00FD06AE">
        <w:rPr>
          <w:rFonts w:eastAsia="Calibri"/>
        </w:rPr>
        <w:t>=</w:t>
      </w:r>
      <w:r w:rsidR="00584BE8" w:rsidRPr="00FD06AE">
        <w:rPr>
          <w:rFonts w:eastAsia="Calibri"/>
        </w:rPr>
        <w:t xml:space="preserve"> </w:t>
      </w:r>
      <w:r w:rsidRPr="00FD06AE">
        <w:rPr>
          <w:rFonts w:eastAsia="Calibri"/>
        </w:rPr>
        <w:t>negative; 1</w:t>
      </w:r>
      <w:r w:rsidR="00584BE8" w:rsidRPr="00FD06AE">
        <w:rPr>
          <w:rFonts w:eastAsia="Calibri"/>
        </w:rPr>
        <w:t xml:space="preserve"> </w:t>
      </w:r>
      <w:r w:rsidRPr="00FD06AE">
        <w:rPr>
          <w:rFonts w:eastAsia="Calibri"/>
        </w:rPr>
        <w:t>= positive test) due to sample size limitations. In some instance (e.g. THC), sample sizes may be sufficient for evaluating THC as a three-lev</w:t>
      </w:r>
      <w:r w:rsidR="007A7D39" w:rsidRPr="00FD06AE">
        <w:rPr>
          <w:rFonts w:eastAsia="Calibri"/>
        </w:rPr>
        <w:t xml:space="preserve">el ordinal variable using </w:t>
      </w:r>
      <w:r w:rsidRPr="00FD06AE">
        <w:rPr>
          <w:rFonts w:eastAsia="Calibri"/>
        </w:rPr>
        <w:t>ordinal regression technique</w:t>
      </w:r>
      <w:r w:rsidR="007A7D39" w:rsidRPr="00FD06AE">
        <w:rPr>
          <w:rFonts w:eastAsia="Calibri"/>
        </w:rPr>
        <w:t>s</w:t>
      </w:r>
      <w:r w:rsidR="00514FE1" w:rsidRPr="00FD06AE">
        <w:rPr>
          <w:rFonts w:eastAsia="Calibri"/>
        </w:rPr>
        <w:t>. T</w:t>
      </w:r>
      <w:r w:rsidRPr="00FD06AE">
        <w:rPr>
          <w:rFonts w:eastAsia="Calibri"/>
        </w:rPr>
        <w:t xml:space="preserve">he three THC levels </w:t>
      </w:r>
      <w:r w:rsidR="00514FE1" w:rsidRPr="00FD06AE">
        <w:rPr>
          <w:rFonts w:eastAsia="Calibri"/>
        </w:rPr>
        <w:t xml:space="preserve">may also be treated </w:t>
      </w:r>
      <w:r w:rsidRPr="00FD06AE">
        <w:rPr>
          <w:rFonts w:eastAsia="Calibri"/>
        </w:rPr>
        <w:t>as categorical variables through use of dummy codes</w:t>
      </w:r>
      <w:r w:rsidR="00514FE1" w:rsidRPr="00FD06AE">
        <w:rPr>
          <w:rFonts w:eastAsia="Calibri"/>
        </w:rPr>
        <w:t xml:space="preserve">. </w:t>
      </w:r>
      <w:r w:rsidRPr="00FD06AE">
        <w:rPr>
          <w:rFonts w:eastAsia="Calibri"/>
        </w:rPr>
        <w:t>These decisions cannot be definitively made until the data becomes available for inspection.</w:t>
      </w:r>
    </w:p>
    <w:p w:rsidR="00EA3882" w:rsidRPr="00FD06AE" w:rsidRDefault="00EA3882" w:rsidP="00EA3882">
      <w:pPr>
        <w:ind w:firstLine="720"/>
        <w:rPr>
          <w:rFonts w:eastAsia="Calibri"/>
        </w:rPr>
      </w:pPr>
    </w:p>
    <w:p w:rsidR="00695215" w:rsidRPr="00FD06AE" w:rsidRDefault="00695215" w:rsidP="00FB2F8A">
      <w:pPr>
        <w:ind w:firstLine="720"/>
        <w:rPr>
          <w:rFonts w:eastAsia="Calibri"/>
        </w:rPr>
      </w:pPr>
      <w:r w:rsidRPr="00FD06AE">
        <w:rPr>
          <w:rFonts w:eastAsia="Calibri"/>
        </w:rPr>
        <w:t>In addition to drug by BAC interactions, analyses will focus on selected drug by driver and crash characteristic interactions (e.g., drug x gender, drug x age, and drug x time of crash). One problem with including interaction terms is that they result in smaller counts within each data cell than the main effect term and less statistical power for detecting a given effect size. This</w:t>
      </w:r>
      <w:r w:rsidR="00673260" w:rsidRPr="00FD06AE">
        <w:rPr>
          <w:rFonts w:eastAsia="Calibri"/>
        </w:rPr>
        <w:t xml:space="preserve"> </w:t>
      </w:r>
      <w:r w:rsidRPr="00FD06AE">
        <w:rPr>
          <w:rFonts w:eastAsia="Calibri"/>
        </w:rPr>
        <w:t>limitation may preclude including anything beyond two-way i</w:t>
      </w:r>
      <w:r w:rsidR="007A7D39" w:rsidRPr="00FD06AE">
        <w:rPr>
          <w:rFonts w:eastAsia="Calibri"/>
        </w:rPr>
        <w:t>nteraction terms in the model.</w:t>
      </w:r>
    </w:p>
    <w:p w:rsidR="000C43CB" w:rsidRPr="00FD06AE" w:rsidRDefault="000C43CB" w:rsidP="00FB2F8A">
      <w:pPr>
        <w:ind w:firstLine="720"/>
        <w:rPr>
          <w:rFonts w:eastAsia="Calibri"/>
        </w:rPr>
      </w:pPr>
    </w:p>
    <w:p w:rsidR="000C43CB" w:rsidRPr="00FD06AE" w:rsidRDefault="001074FF" w:rsidP="000C43CB">
      <w:pPr>
        <w:pStyle w:val="Heading3"/>
      </w:pPr>
      <w:bookmarkStart w:id="7" w:name="_Toc125278832"/>
      <w:bookmarkStart w:id="8" w:name="_Toc125341755"/>
      <w:bookmarkStart w:id="9" w:name="_Toc125447313"/>
      <w:bookmarkStart w:id="10" w:name="_Toc126394140"/>
      <w:r w:rsidRPr="00FD06AE">
        <w:t>B.1.</w:t>
      </w:r>
      <w:r w:rsidRPr="00FD06AE">
        <w:tab/>
        <w:t>Describe the potential respondent universe and any sampling or other respondent selection to be used.</w:t>
      </w:r>
      <w:bookmarkEnd w:id="7"/>
      <w:bookmarkEnd w:id="8"/>
      <w:bookmarkEnd w:id="9"/>
      <w:bookmarkEnd w:id="10"/>
    </w:p>
    <w:p w:rsidR="00591FFD" w:rsidRPr="00FD06AE" w:rsidRDefault="00C527E7" w:rsidP="00183AFA">
      <w:pPr>
        <w:pStyle w:val="BodyText"/>
        <w:spacing w:after="240"/>
        <w:rPr>
          <w:rFonts w:eastAsia="Calibri"/>
        </w:rPr>
      </w:pPr>
      <w:r w:rsidRPr="00FD06AE">
        <w:rPr>
          <w:color w:val="4F81BD"/>
        </w:rPr>
        <w:tab/>
      </w:r>
      <w:r w:rsidRPr="00FD06AE">
        <w:rPr>
          <w:rFonts w:eastAsia="Calibri"/>
        </w:rPr>
        <w:t>The potential respondent universe is comprised of all drivers in the trauma center</w:t>
      </w:r>
      <w:r w:rsidR="004027A1" w:rsidRPr="00FD06AE">
        <w:rPr>
          <w:rFonts w:eastAsia="Calibri"/>
        </w:rPr>
        <w:t>s’</w:t>
      </w:r>
      <w:r w:rsidRPr="00FD06AE">
        <w:rPr>
          <w:rFonts w:eastAsia="Calibri"/>
        </w:rPr>
        <w:t xml:space="preserve"> catchment area</w:t>
      </w:r>
      <w:r w:rsidR="00675B19" w:rsidRPr="00FD06AE">
        <w:rPr>
          <w:rFonts w:eastAsia="Calibri"/>
        </w:rPr>
        <w:t>s</w:t>
      </w:r>
      <w:r w:rsidRPr="00FD06AE">
        <w:rPr>
          <w:rFonts w:eastAsia="Calibri"/>
        </w:rPr>
        <w:t xml:space="preserve">. From this universe, participants will include </w:t>
      </w:r>
      <w:r w:rsidR="00347372" w:rsidRPr="00FD06AE">
        <w:rPr>
          <w:rFonts w:eastAsia="Calibri"/>
        </w:rPr>
        <w:t>seriously</w:t>
      </w:r>
      <w:r w:rsidR="00584BE8" w:rsidRPr="00FD06AE">
        <w:rPr>
          <w:rFonts w:eastAsia="Calibri"/>
        </w:rPr>
        <w:t xml:space="preserve"> </w:t>
      </w:r>
      <w:r w:rsidRPr="00FD06AE">
        <w:rPr>
          <w:rFonts w:eastAsia="Calibri"/>
        </w:rPr>
        <w:t xml:space="preserve">injured drivers who are treated in a trauma center after a crash. Participants will also include </w:t>
      </w:r>
      <w:r w:rsidR="00347372" w:rsidRPr="00FD06AE">
        <w:rPr>
          <w:rFonts w:eastAsia="Calibri"/>
        </w:rPr>
        <w:t>fatally</w:t>
      </w:r>
      <w:r w:rsidR="00584BE8" w:rsidRPr="00FD06AE">
        <w:rPr>
          <w:rFonts w:eastAsia="Calibri"/>
        </w:rPr>
        <w:t xml:space="preserve"> </w:t>
      </w:r>
      <w:r w:rsidRPr="00FD06AE">
        <w:rPr>
          <w:rFonts w:eastAsia="Calibri"/>
        </w:rPr>
        <w:t xml:space="preserve">injured drivers who die before or during treatment within the study catchment area. This study will employ a case-control design that matches two drivers not involved in a crash </w:t>
      </w:r>
      <w:r w:rsidR="00F20CB5" w:rsidRPr="00FD06AE">
        <w:rPr>
          <w:rFonts w:eastAsia="Calibri"/>
        </w:rPr>
        <w:t>(control</w:t>
      </w:r>
      <w:r w:rsidR="00361718" w:rsidRPr="00FD06AE">
        <w:rPr>
          <w:rFonts w:eastAsia="Calibri"/>
        </w:rPr>
        <w:t>s</w:t>
      </w:r>
      <w:r w:rsidR="00F20CB5" w:rsidRPr="00FD06AE">
        <w:rPr>
          <w:rFonts w:eastAsia="Calibri"/>
        </w:rPr>
        <w:t xml:space="preserve">) </w:t>
      </w:r>
      <w:r w:rsidRPr="00FD06AE">
        <w:rPr>
          <w:rFonts w:eastAsia="Calibri"/>
        </w:rPr>
        <w:t xml:space="preserve">to every crash-involved driver. Control drivers will be selected at or near the location of the crash where a driver was </w:t>
      </w:r>
      <w:r w:rsidR="00347372" w:rsidRPr="00FD06AE">
        <w:rPr>
          <w:rFonts w:eastAsia="Calibri"/>
        </w:rPr>
        <w:t>seriously</w:t>
      </w:r>
      <w:r w:rsidR="00F54E60" w:rsidRPr="00FD06AE">
        <w:rPr>
          <w:rFonts w:eastAsia="Calibri"/>
        </w:rPr>
        <w:t xml:space="preserve"> or </w:t>
      </w:r>
      <w:r w:rsidR="00347372" w:rsidRPr="00FD06AE">
        <w:rPr>
          <w:rFonts w:eastAsia="Calibri"/>
        </w:rPr>
        <w:t xml:space="preserve">fatally </w:t>
      </w:r>
      <w:r w:rsidRPr="00FD06AE">
        <w:rPr>
          <w:rFonts w:eastAsia="Calibri"/>
        </w:rPr>
        <w:t xml:space="preserve">injured. </w:t>
      </w:r>
      <w:r w:rsidR="00922AD2" w:rsidRPr="00FD06AE">
        <w:rPr>
          <w:rFonts w:eastAsia="Calibri"/>
        </w:rPr>
        <w:t>R</w:t>
      </w:r>
      <w:r w:rsidRPr="00FD06AE">
        <w:rPr>
          <w:rFonts w:eastAsia="Calibri"/>
        </w:rPr>
        <w:t>esearchers will match control drivers based on crash day of the week, crash time of day,</w:t>
      </w:r>
      <w:r w:rsidR="00675B19" w:rsidRPr="00FD06AE">
        <w:rPr>
          <w:rFonts w:eastAsia="Calibri"/>
        </w:rPr>
        <w:t xml:space="preserve"> and</w:t>
      </w:r>
      <w:r w:rsidRPr="00FD06AE">
        <w:rPr>
          <w:rFonts w:eastAsia="Calibri"/>
        </w:rPr>
        <w:t xml:space="preserve"> crash direction of travel. The participant groups being sought include </w:t>
      </w:r>
      <w:r w:rsidR="00675B19" w:rsidRPr="00FD06AE">
        <w:rPr>
          <w:rFonts w:eastAsia="Calibri"/>
        </w:rPr>
        <w:t xml:space="preserve">a minimum of </w:t>
      </w:r>
      <w:r w:rsidRPr="00FD06AE">
        <w:rPr>
          <w:rFonts w:eastAsia="Calibri"/>
        </w:rPr>
        <w:t>2,500 crash-involved drivers and at least 5,000 control drivers. Each participant will only respond to the data collection request a single time during the study period.</w:t>
      </w:r>
    </w:p>
    <w:p w:rsidR="001074FF" w:rsidRPr="00FD06AE" w:rsidRDefault="001074FF" w:rsidP="00591FFD">
      <w:pPr>
        <w:pStyle w:val="Heading3"/>
        <w:spacing w:before="0"/>
      </w:pPr>
      <w:bookmarkStart w:id="11" w:name="_Toc125278833"/>
      <w:bookmarkStart w:id="12" w:name="_Toc125341756"/>
      <w:bookmarkStart w:id="13" w:name="_Toc125447314"/>
      <w:bookmarkStart w:id="14" w:name="_Toc126394141"/>
      <w:r w:rsidRPr="00FD06AE">
        <w:t>B.2.</w:t>
      </w:r>
      <w:r w:rsidRPr="00FD06AE">
        <w:tab/>
        <w:t>Describe the procedures for the collection of information.</w:t>
      </w:r>
      <w:bookmarkEnd w:id="11"/>
      <w:bookmarkEnd w:id="12"/>
      <w:bookmarkEnd w:id="13"/>
      <w:bookmarkEnd w:id="14"/>
    </w:p>
    <w:p w:rsidR="00EF5603" w:rsidRPr="00FD06AE" w:rsidRDefault="00EF5603" w:rsidP="00EF5603">
      <w:pPr>
        <w:ind w:right="-360" w:firstLine="720"/>
      </w:pPr>
      <w:r w:rsidRPr="00FD06AE">
        <w:t>This study will employ a case-control design that involves comparing two sampled control drivers not involved in a crash for every severely/</w:t>
      </w:r>
      <w:r w:rsidR="00347372" w:rsidRPr="00FD06AE">
        <w:t xml:space="preserve">fatally </w:t>
      </w:r>
      <w:r w:rsidRPr="00FD06AE">
        <w:t>injured driver. The data collection procedures will vary by participant group given that the nature of the circumstances under which sampling will take place are different. A description of the data collection protocol is provided below.</w:t>
      </w:r>
    </w:p>
    <w:p w:rsidR="00EF5603" w:rsidRPr="00FD06AE" w:rsidRDefault="00EF5603" w:rsidP="00EF5603">
      <w:pPr>
        <w:ind w:right="-360" w:firstLine="720"/>
      </w:pPr>
    </w:p>
    <w:p w:rsidR="00B15F75" w:rsidRPr="00FD06AE" w:rsidRDefault="00EF5603" w:rsidP="00FB2F8A">
      <w:pPr>
        <w:ind w:right="-360"/>
        <w:rPr>
          <w:u w:val="single"/>
        </w:rPr>
      </w:pPr>
      <w:r w:rsidRPr="00FD06AE">
        <w:rPr>
          <w:u w:val="single"/>
        </w:rPr>
        <w:t>Crash-Involved Drivers</w:t>
      </w:r>
    </w:p>
    <w:p w:rsidR="002B4979" w:rsidRPr="00FD06AE" w:rsidRDefault="002B4979" w:rsidP="00FB2F8A">
      <w:pPr>
        <w:ind w:right="-360"/>
        <w:rPr>
          <w:u w:val="single"/>
        </w:rPr>
      </w:pPr>
    </w:p>
    <w:p w:rsidR="00EF5603" w:rsidRPr="00FD06AE" w:rsidRDefault="009D36FD" w:rsidP="00EF5603">
      <w:pPr>
        <w:ind w:right="-360" w:firstLine="720"/>
      </w:pPr>
      <w:r w:rsidRPr="00FD06AE">
        <w:t>The trauma centers and medical examiners will provide de-identified samples and information on s</w:t>
      </w:r>
      <w:r w:rsidR="00347372" w:rsidRPr="00FD06AE">
        <w:t xml:space="preserve">eriously </w:t>
      </w:r>
      <w:r w:rsidR="00EF5603" w:rsidRPr="00FD06AE">
        <w:t xml:space="preserve">or </w:t>
      </w:r>
      <w:r w:rsidR="00347372" w:rsidRPr="00FD06AE">
        <w:t>fatally</w:t>
      </w:r>
      <w:r w:rsidR="00584BE8" w:rsidRPr="00FD06AE">
        <w:t xml:space="preserve"> </w:t>
      </w:r>
      <w:r w:rsidR="00EF5603" w:rsidRPr="00FD06AE">
        <w:t>injured drivers of motor vehicles</w:t>
      </w:r>
      <w:r w:rsidR="00F60469" w:rsidRPr="00FD06AE">
        <w:t xml:space="preserve"> </w:t>
      </w:r>
      <w:r w:rsidR="00EF5603" w:rsidRPr="00FD06AE">
        <w:t>(</w:t>
      </w:r>
      <w:r w:rsidR="00EF5603" w:rsidRPr="00FD06AE">
        <w:rPr>
          <w:i/>
        </w:rPr>
        <w:t>n</w:t>
      </w:r>
      <w:r w:rsidR="00EF5603" w:rsidRPr="00FD06AE">
        <w:t xml:space="preserve"> = 2,500) in the study catchment area. </w:t>
      </w:r>
      <w:r w:rsidR="008843C2" w:rsidRPr="00FD06AE">
        <w:t>Any driver</w:t>
      </w:r>
      <w:r w:rsidR="00756D9A" w:rsidRPr="00FD06AE">
        <w:t>, regardless of crash fault, will be included in the study.</w:t>
      </w:r>
      <w:r w:rsidR="00EF5603" w:rsidRPr="00FD06AE">
        <w:t xml:space="preserve"> The</w:t>
      </w:r>
      <w:r w:rsidR="00756D9A" w:rsidRPr="00FD06AE">
        <w:t xml:space="preserve"> </w:t>
      </w:r>
      <w:r w:rsidR="00EF5603" w:rsidRPr="00FD06AE">
        <w:t>general participant flow for crash-involved drivers is as follows:</w:t>
      </w:r>
    </w:p>
    <w:p w:rsidR="00E12475" w:rsidRPr="00FD06AE" w:rsidRDefault="00E12475" w:rsidP="00EF5603">
      <w:pPr>
        <w:ind w:right="-360" w:firstLine="720"/>
      </w:pPr>
    </w:p>
    <w:p w:rsidR="00591FFD" w:rsidRPr="00FD06AE" w:rsidRDefault="00591FFD" w:rsidP="00240C71">
      <w:pPr>
        <w:pStyle w:val="BodyText"/>
        <w:numPr>
          <w:ilvl w:val="1"/>
          <w:numId w:val="27"/>
        </w:numPr>
        <w:kinsoku w:val="0"/>
        <w:overflowPunct w:val="0"/>
        <w:spacing w:before="0" w:after="0"/>
        <w:ind w:right="115"/>
      </w:pPr>
      <w:r w:rsidRPr="00FD06AE">
        <w:t>Crash occurs / EMS on scene</w:t>
      </w:r>
    </w:p>
    <w:p w:rsidR="00591FFD" w:rsidRPr="00FD06AE" w:rsidRDefault="00591FFD" w:rsidP="00240C71">
      <w:pPr>
        <w:pStyle w:val="BodyText"/>
        <w:numPr>
          <w:ilvl w:val="1"/>
          <w:numId w:val="27"/>
        </w:numPr>
        <w:kinsoku w:val="0"/>
        <w:overflowPunct w:val="0"/>
        <w:spacing w:before="0" w:after="0"/>
        <w:ind w:right="115"/>
      </w:pPr>
      <w:r w:rsidRPr="00FD06AE">
        <w:t xml:space="preserve">Triage by EMS or at trauma center </w:t>
      </w:r>
    </w:p>
    <w:p w:rsidR="004E2F53" w:rsidRPr="00FD06AE" w:rsidRDefault="00584BE8" w:rsidP="00240C71">
      <w:pPr>
        <w:pStyle w:val="BodyText"/>
        <w:numPr>
          <w:ilvl w:val="1"/>
          <w:numId w:val="27"/>
        </w:numPr>
        <w:kinsoku w:val="0"/>
        <w:overflowPunct w:val="0"/>
        <w:spacing w:before="0" w:after="0"/>
        <w:ind w:right="115"/>
      </w:pPr>
      <w:r w:rsidRPr="00FD06AE">
        <w:t xml:space="preserve">Seriously </w:t>
      </w:r>
      <w:r w:rsidR="00591FFD" w:rsidRPr="00FD06AE">
        <w:t>injured driver</w:t>
      </w:r>
      <w:r w:rsidRPr="00FD06AE">
        <w:t xml:space="preserve"> sent to trauma center; fatally </w:t>
      </w:r>
      <w:r w:rsidR="00591FFD" w:rsidRPr="00FD06AE">
        <w:t xml:space="preserve">injured sent to </w:t>
      </w:r>
      <w:r w:rsidR="004E2F53" w:rsidRPr="00FD06AE">
        <w:t>coroner</w:t>
      </w:r>
    </w:p>
    <w:p w:rsidR="00591FFD" w:rsidRPr="00FD06AE" w:rsidRDefault="009D36FD" w:rsidP="00240C71">
      <w:pPr>
        <w:pStyle w:val="BodyText"/>
        <w:numPr>
          <w:ilvl w:val="1"/>
          <w:numId w:val="27"/>
        </w:numPr>
        <w:kinsoku w:val="0"/>
        <w:overflowPunct w:val="0"/>
        <w:spacing w:before="0" w:after="0"/>
        <w:ind w:right="115"/>
      </w:pPr>
      <w:r w:rsidRPr="00FD06AE">
        <w:t>Trauma center or medical examiner provides de-identified blood sample collected during normal procedures</w:t>
      </w:r>
    </w:p>
    <w:p w:rsidR="00E12475" w:rsidRPr="00FD06AE" w:rsidRDefault="00E12475" w:rsidP="00EF5603">
      <w:pPr>
        <w:ind w:right="-360" w:firstLine="720"/>
      </w:pPr>
    </w:p>
    <w:p w:rsidR="00EF5603" w:rsidRPr="00FD06AE" w:rsidRDefault="00EF5603" w:rsidP="00EF5603">
      <w:pPr>
        <w:ind w:right="-360" w:firstLine="720"/>
      </w:pPr>
      <w:r w:rsidRPr="00FD06AE">
        <w:t>In all cases, blood samples will be obtained as soon as possible after the crash</w:t>
      </w:r>
      <w:r w:rsidR="00E129B8" w:rsidRPr="00FD06AE">
        <w:t xml:space="preserve"> </w:t>
      </w:r>
      <w:r w:rsidR="008E30FF" w:rsidRPr="00FD06AE">
        <w:t xml:space="preserve">under </w:t>
      </w:r>
      <w:r w:rsidR="00E129B8" w:rsidRPr="00FD06AE">
        <w:t>a waiver of consent</w:t>
      </w:r>
      <w:r w:rsidR="005D0237" w:rsidRPr="00FD06AE">
        <w:t xml:space="preserve"> which was approved by the reviewing IRB</w:t>
      </w:r>
      <w:r w:rsidRPr="00FD06AE">
        <w:t>.</w:t>
      </w:r>
      <w:r w:rsidR="008E30FF" w:rsidRPr="00FD06AE">
        <w:t xml:space="preserve"> Language on the appropriateness of the waiver of informed consent is provided below from the U</w:t>
      </w:r>
      <w:r w:rsidR="000C43CB" w:rsidRPr="00FD06AE">
        <w:t>nite</w:t>
      </w:r>
      <w:r w:rsidR="00BC44C1" w:rsidRPr="00FD06AE">
        <w:t>d</w:t>
      </w:r>
      <w:r w:rsidR="000C43CB" w:rsidRPr="00FD06AE">
        <w:t xml:space="preserve"> States</w:t>
      </w:r>
      <w:r w:rsidR="008E30FF" w:rsidRPr="00FD06AE">
        <w:t xml:space="preserve"> Department of Health and Human Services</w:t>
      </w:r>
      <w:r w:rsidR="000C43CB" w:rsidRPr="00FD06AE">
        <w:t xml:space="preserve"> (HHS)</w:t>
      </w:r>
      <w:r w:rsidR="008E30FF" w:rsidRPr="00FD06AE">
        <w:t xml:space="preserve"> web site</w:t>
      </w:r>
      <w:r w:rsidR="005D0237" w:rsidRPr="00FD06AE">
        <w:t xml:space="preserve"> and as outlined under the Common Rule</w:t>
      </w:r>
      <w:r w:rsidR="00FF1BBE" w:rsidRPr="00FD06AE">
        <w:t xml:space="preserve"> which applies to the Department of Transportation with the same language under 45 CFR Part 11</w:t>
      </w:r>
      <w:r w:rsidR="008E30FF" w:rsidRPr="00FD06AE">
        <w:t>.</w:t>
      </w:r>
      <w:r w:rsidR="008E30FF" w:rsidRPr="00FD06AE">
        <w:rPr>
          <w:rStyle w:val="FootnoteReference"/>
        </w:rPr>
        <w:footnoteReference w:id="18"/>
      </w:r>
      <w:r w:rsidR="008E30FF" w:rsidRPr="00FD06AE">
        <w:t xml:space="preserve"> </w:t>
      </w:r>
      <w:r w:rsidR="002B4979" w:rsidRPr="00FD06AE">
        <w:t xml:space="preserve">The </w:t>
      </w:r>
      <w:r w:rsidR="009E321B" w:rsidRPr="00FD06AE">
        <w:t xml:space="preserve">HHS-approved </w:t>
      </w:r>
      <w:r w:rsidR="008E30FF" w:rsidRPr="00FD06AE">
        <w:t>IRB(s) granted the waiver of informed consent because the</w:t>
      </w:r>
      <w:r w:rsidR="0072487E" w:rsidRPr="00FD06AE">
        <w:t xml:space="preserve"> IRB determined the</w:t>
      </w:r>
      <w:r w:rsidR="008E30FF" w:rsidRPr="00FD06AE">
        <w:t xml:space="preserve"> study met the</w:t>
      </w:r>
      <w:r w:rsidR="0072487E" w:rsidRPr="00FD06AE">
        <w:t>se</w:t>
      </w:r>
      <w:r w:rsidR="008E30FF" w:rsidRPr="00FD06AE">
        <w:t xml:space="preserve"> requirements</w:t>
      </w:r>
      <w:r w:rsidR="009E321B" w:rsidRPr="00FD06AE">
        <w:t xml:space="preserve"> for the waiver</w:t>
      </w:r>
      <w:r w:rsidR="008E30FF" w:rsidRPr="00FD06AE">
        <w:t xml:space="preserve">. </w:t>
      </w:r>
    </w:p>
    <w:p w:rsidR="00E129B8" w:rsidRPr="00FD06AE" w:rsidRDefault="00E129B8" w:rsidP="00EF5603">
      <w:pPr>
        <w:ind w:right="-360" w:firstLine="720"/>
      </w:pPr>
    </w:p>
    <w:p w:rsidR="00E129B8" w:rsidRPr="00FD06AE" w:rsidRDefault="00E129B8" w:rsidP="009E321B">
      <w:pPr>
        <w:keepNext/>
        <w:ind w:right="-360" w:firstLine="720"/>
        <w:rPr>
          <w:i/>
          <w:color w:val="000000"/>
          <w:shd w:val="clear" w:color="auto" w:fill="FFFFFF"/>
        </w:rPr>
      </w:pPr>
      <w:r w:rsidRPr="00FD06AE">
        <w:rPr>
          <w:i/>
          <w:color w:val="000000"/>
          <w:shd w:val="clear" w:color="auto" w:fill="FFFFFF"/>
        </w:rPr>
        <w:t>Waiver or alteration of the requirements for obtaining informed consent from adult subjects can occur under any of the following three provisions:</w:t>
      </w:r>
    </w:p>
    <w:p w:rsidR="00E129B8" w:rsidRPr="00FD06AE" w:rsidRDefault="00E129B8" w:rsidP="009E321B">
      <w:pPr>
        <w:keepNext/>
        <w:ind w:right="-360" w:firstLine="720"/>
        <w:rPr>
          <w:i/>
          <w:color w:val="000000"/>
          <w:shd w:val="clear" w:color="auto" w:fill="FFFFFF"/>
        </w:rPr>
      </w:pPr>
    </w:p>
    <w:p w:rsidR="00E129B8" w:rsidRPr="00FD06AE" w:rsidRDefault="00E129B8" w:rsidP="003B45C3">
      <w:pPr>
        <w:rPr>
          <w:i/>
          <w:color w:val="000000"/>
          <w:shd w:val="clear" w:color="auto" w:fill="FFFFFF"/>
        </w:rPr>
      </w:pPr>
      <w:r w:rsidRPr="00FD06AE">
        <w:rPr>
          <w:i/>
          <w:color w:val="000000"/>
          <w:shd w:val="clear" w:color="auto" w:fill="FFFFFF"/>
        </w:rPr>
        <w:t>2. Research in general: an IRB may waive or alter the requirement of informed consent under </w:t>
      </w:r>
      <w:hyperlink r:id="rId9" w:anchor="46.116(d)" w:history="1">
        <w:r w:rsidRPr="00FD06AE">
          <w:rPr>
            <w:rStyle w:val="Hyperlink"/>
            <w:i/>
            <w:color w:val="6F57B5"/>
            <w:shd w:val="clear" w:color="auto" w:fill="FFFFFF"/>
          </w:rPr>
          <w:t>45 CFR 46.116(d)</w:t>
        </w:r>
      </w:hyperlink>
      <w:r w:rsidRPr="00FD06AE">
        <w:rPr>
          <w:i/>
          <w:color w:val="000000"/>
          <w:shd w:val="clear" w:color="auto" w:fill="FFFFFF"/>
        </w:rPr>
        <w:t>, provided that the IRB finds and documents that all of the following four conditions are met:</w:t>
      </w:r>
    </w:p>
    <w:p w:rsidR="00E129B8" w:rsidRPr="00FD06AE" w:rsidRDefault="00E129B8" w:rsidP="00240C71">
      <w:pPr>
        <w:numPr>
          <w:ilvl w:val="0"/>
          <w:numId w:val="30"/>
        </w:numPr>
        <w:shd w:val="clear" w:color="auto" w:fill="FFFFFF"/>
        <w:rPr>
          <w:i/>
          <w:color w:val="000000"/>
        </w:rPr>
      </w:pPr>
      <w:r w:rsidRPr="00FD06AE">
        <w:rPr>
          <w:i/>
          <w:color w:val="000000"/>
        </w:rPr>
        <w:t>the research involves no more than minimal risk to the subjects;</w:t>
      </w:r>
    </w:p>
    <w:p w:rsidR="00E129B8" w:rsidRPr="00FD06AE" w:rsidRDefault="00E129B8" w:rsidP="00240C71">
      <w:pPr>
        <w:numPr>
          <w:ilvl w:val="0"/>
          <w:numId w:val="30"/>
        </w:numPr>
        <w:shd w:val="clear" w:color="auto" w:fill="FFFFFF"/>
        <w:rPr>
          <w:i/>
          <w:color w:val="000000"/>
        </w:rPr>
      </w:pPr>
      <w:r w:rsidRPr="00FD06AE">
        <w:rPr>
          <w:i/>
          <w:color w:val="000000"/>
        </w:rPr>
        <w:t>the waiver or alteration will not adversely affect the rights and welfare of the subjects;</w:t>
      </w:r>
    </w:p>
    <w:p w:rsidR="00E129B8" w:rsidRPr="00FD06AE" w:rsidRDefault="00E129B8" w:rsidP="00240C71">
      <w:pPr>
        <w:numPr>
          <w:ilvl w:val="0"/>
          <w:numId w:val="30"/>
        </w:numPr>
        <w:shd w:val="clear" w:color="auto" w:fill="FFFFFF"/>
        <w:rPr>
          <w:i/>
          <w:color w:val="000000"/>
        </w:rPr>
      </w:pPr>
      <w:r w:rsidRPr="00FD06AE">
        <w:rPr>
          <w:i/>
          <w:color w:val="000000"/>
        </w:rPr>
        <w:t>the research could not practicably be carried out without the waiver or alteration; and</w:t>
      </w:r>
    </w:p>
    <w:p w:rsidR="00E129B8" w:rsidRPr="00FD06AE" w:rsidRDefault="00E129B8" w:rsidP="00240C71">
      <w:pPr>
        <w:numPr>
          <w:ilvl w:val="0"/>
          <w:numId w:val="30"/>
        </w:numPr>
        <w:shd w:val="clear" w:color="auto" w:fill="FFFFFF"/>
        <w:rPr>
          <w:i/>
          <w:color w:val="000000"/>
        </w:rPr>
      </w:pPr>
      <w:r w:rsidRPr="00FD06AE">
        <w:rPr>
          <w:i/>
          <w:color w:val="000000"/>
        </w:rPr>
        <w:t>whenever appropriate, the subjects will be provided with additional pertinent information after participation.</w:t>
      </w:r>
    </w:p>
    <w:p w:rsidR="003B45C3" w:rsidRPr="00FD06AE" w:rsidRDefault="003B45C3" w:rsidP="003B45C3">
      <w:pPr>
        <w:shd w:val="clear" w:color="auto" w:fill="FFFFFF"/>
        <w:ind w:left="806"/>
        <w:rPr>
          <w:i/>
          <w:color w:val="000000"/>
        </w:rPr>
      </w:pPr>
    </w:p>
    <w:p w:rsidR="002528F1" w:rsidRPr="00FD06AE" w:rsidRDefault="005D0237" w:rsidP="002528F1">
      <w:pPr>
        <w:ind w:right="-360" w:firstLine="720"/>
      </w:pPr>
      <w:r w:rsidRPr="00FD06AE">
        <w:t xml:space="preserve">The trauma centers are gathering demographic, treatment, and crash location information </w:t>
      </w:r>
      <w:r w:rsidR="002528F1" w:rsidRPr="00FD06AE">
        <w:t>under a waiver of HIPAA authorization as granted by the reviewing IRBs</w:t>
      </w:r>
      <w:r w:rsidR="00E91FCE" w:rsidRPr="00FD06AE">
        <w:t xml:space="preserve"> – Advarra</w:t>
      </w:r>
      <w:r w:rsidR="00E91FCE" w:rsidRPr="00FD06AE">
        <w:rPr>
          <w:rStyle w:val="FootnoteReference"/>
        </w:rPr>
        <w:footnoteReference w:id="19"/>
      </w:r>
      <w:r w:rsidR="00E91FCE" w:rsidRPr="00FD06AE">
        <w:t xml:space="preserve"> and University of Florida</w:t>
      </w:r>
      <w:r w:rsidR="002528F1" w:rsidRPr="00FD06AE">
        <w:t xml:space="preserve">. </w:t>
      </w:r>
      <w:r w:rsidR="00F34BC3" w:rsidRPr="00FD06AE">
        <w:t xml:space="preserve">The </w:t>
      </w:r>
      <w:r w:rsidRPr="00FD06AE">
        <w:t>centers will provide the</w:t>
      </w:r>
      <w:r w:rsidR="00F34BC3" w:rsidRPr="00FD06AE">
        <w:t xml:space="preserve"> de-identified </w:t>
      </w:r>
      <w:r w:rsidR="00200C94" w:rsidRPr="00FD06AE">
        <w:t>blood</w:t>
      </w:r>
      <w:r w:rsidR="00E122AC" w:rsidRPr="00FD06AE">
        <w:t xml:space="preserve">.  The results from the laboratory toxicology testing will be stored, with no subject-identifiable information, and </w:t>
      </w:r>
      <w:r w:rsidR="00200C94" w:rsidRPr="00FD06AE">
        <w:t xml:space="preserve">only </w:t>
      </w:r>
      <w:r w:rsidRPr="00FD06AE">
        <w:t xml:space="preserve">by </w:t>
      </w:r>
      <w:r w:rsidR="00E122AC" w:rsidRPr="00FD06AE">
        <w:t xml:space="preserve">a </w:t>
      </w:r>
      <w:r w:rsidRPr="00FD06AE">
        <w:t xml:space="preserve">study ID </w:t>
      </w:r>
      <w:r w:rsidR="00F34BC3" w:rsidRPr="00FD06AE">
        <w:t>in the study database</w:t>
      </w:r>
      <w:r w:rsidR="00E122AC" w:rsidRPr="00FD06AE">
        <w:t>.  R</w:t>
      </w:r>
      <w:r w:rsidR="00F34BC3" w:rsidRPr="00FD06AE">
        <w:t xml:space="preserve">esults will only be reported at the group level. </w:t>
      </w:r>
      <w:r w:rsidR="00E122AC" w:rsidRPr="00FD06AE">
        <w:t xml:space="preserve"> </w:t>
      </w:r>
      <w:r w:rsidR="002528F1" w:rsidRPr="00FD06AE">
        <w:t>HHS</w:t>
      </w:r>
      <w:r w:rsidR="00E12475" w:rsidRPr="00FD06AE">
        <w:t xml:space="preserve"> and Department of Transportation regulations</w:t>
      </w:r>
      <w:r w:rsidR="002528F1" w:rsidRPr="00FD06AE">
        <w:t xml:space="preserve"> provide for such waivers as detailed below</w:t>
      </w:r>
      <w:r w:rsidR="00200C94" w:rsidRPr="00FD06AE">
        <w:t>, and for which the two IRBs have approved this research</w:t>
      </w:r>
      <w:r w:rsidR="002528F1" w:rsidRPr="00FD06AE">
        <w:t>.</w:t>
      </w:r>
      <w:r w:rsidR="009E321B" w:rsidRPr="00FD06AE">
        <w:rPr>
          <w:rStyle w:val="FootnoteReference"/>
        </w:rPr>
        <w:footnoteReference w:id="20"/>
      </w:r>
    </w:p>
    <w:p w:rsidR="002528F1" w:rsidRPr="00FD06AE" w:rsidRDefault="002528F1" w:rsidP="002528F1">
      <w:pPr>
        <w:ind w:right="-360" w:firstLine="720"/>
      </w:pPr>
    </w:p>
    <w:p w:rsidR="009E321B" w:rsidRPr="00FD06AE" w:rsidRDefault="009E321B" w:rsidP="00183AFA">
      <w:pPr>
        <w:keepNext/>
        <w:ind w:right="-360" w:firstLine="720"/>
        <w:rPr>
          <w:i/>
          <w:color w:val="000000"/>
        </w:rPr>
      </w:pPr>
      <w:r w:rsidRPr="00FD06AE">
        <w:rPr>
          <w:i/>
          <w:color w:val="000000"/>
        </w:rPr>
        <w:t>The following three criteria must be satisfied for an IRB or Privacy Board to approve a waiver of authorization under the Privacy Rule: </w:t>
      </w:r>
    </w:p>
    <w:p w:rsidR="002528F1" w:rsidRPr="00FD06AE" w:rsidRDefault="002528F1" w:rsidP="002528F1">
      <w:pPr>
        <w:ind w:right="-360" w:firstLine="720"/>
      </w:pPr>
    </w:p>
    <w:p w:rsidR="009E321B" w:rsidRPr="00FD06AE" w:rsidRDefault="009E321B" w:rsidP="003B45C3">
      <w:pPr>
        <w:numPr>
          <w:ilvl w:val="0"/>
          <w:numId w:val="26"/>
        </w:numPr>
        <w:shd w:val="clear" w:color="auto" w:fill="FFFFFF"/>
        <w:ind w:left="274"/>
        <w:rPr>
          <w:i/>
          <w:color w:val="000000"/>
        </w:rPr>
      </w:pPr>
      <w:r w:rsidRPr="00FD06AE">
        <w:rPr>
          <w:i/>
          <w:color w:val="000000"/>
        </w:rPr>
        <w:t>The use or disclosure of protected health information involves no more than a minimal risk to the privacy of individuals, based on, at least, the presence of the following elements:</w:t>
      </w:r>
    </w:p>
    <w:p w:rsidR="009E321B" w:rsidRPr="00FD06AE" w:rsidRDefault="009E321B" w:rsidP="003B45C3">
      <w:pPr>
        <w:numPr>
          <w:ilvl w:val="1"/>
          <w:numId w:val="26"/>
        </w:numPr>
        <w:shd w:val="clear" w:color="auto" w:fill="FFFFFF"/>
        <w:ind w:left="720"/>
        <w:rPr>
          <w:i/>
          <w:color w:val="000000"/>
        </w:rPr>
      </w:pPr>
      <w:r w:rsidRPr="00FD06AE">
        <w:rPr>
          <w:i/>
          <w:color w:val="000000"/>
        </w:rPr>
        <w:t>an adequate plan to protect the identifiers from improper use and disclosure; </w:t>
      </w:r>
    </w:p>
    <w:p w:rsidR="009E321B" w:rsidRPr="00FD06AE" w:rsidRDefault="009E321B" w:rsidP="003B45C3">
      <w:pPr>
        <w:numPr>
          <w:ilvl w:val="1"/>
          <w:numId w:val="26"/>
        </w:numPr>
        <w:shd w:val="clear" w:color="auto" w:fill="FFFFFF"/>
        <w:ind w:left="720"/>
        <w:rPr>
          <w:i/>
          <w:color w:val="000000"/>
        </w:rPr>
      </w:pPr>
      <w:r w:rsidRPr="00FD06AE">
        <w:rPr>
          <w:i/>
          <w:color w:val="000000"/>
        </w:rPr>
        <w:t>an adequate plan to destroy the identifiers at the earliest opportunity consistent with conduct of the research, unless there is a health or research justification for retaining the identifiers or such retention is otherwise required by law; and </w:t>
      </w:r>
    </w:p>
    <w:p w:rsidR="003B45C3" w:rsidRPr="00FD06AE" w:rsidRDefault="009E321B" w:rsidP="00BC44C1">
      <w:pPr>
        <w:numPr>
          <w:ilvl w:val="1"/>
          <w:numId w:val="26"/>
        </w:numPr>
        <w:shd w:val="clear" w:color="auto" w:fill="FFFFFF"/>
        <w:ind w:left="720"/>
        <w:rPr>
          <w:i/>
          <w:color w:val="000000"/>
        </w:rPr>
      </w:pPr>
      <w:r w:rsidRPr="00FD06AE">
        <w:rPr>
          <w:i/>
          <w:color w:val="000000"/>
        </w:rPr>
        <w:t>adequate written assurances that the protected health information will not be reused or disclosed to any other person or entity, except as required by law, for authorized oversight of the research project, or for other research for which the use or disclosure of protected health information would be permitted by this subpart; </w:t>
      </w:r>
    </w:p>
    <w:p w:rsidR="009E321B" w:rsidRPr="00FD06AE" w:rsidRDefault="009E321B" w:rsidP="00FA68C1">
      <w:pPr>
        <w:numPr>
          <w:ilvl w:val="0"/>
          <w:numId w:val="26"/>
        </w:numPr>
        <w:shd w:val="clear" w:color="auto" w:fill="FFFFFF"/>
        <w:ind w:left="274"/>
        <w:rPr>
          <w:i/>
          <w:color w:val="000000"/>
        </w:rPr>
      </w:pPr>
      <w:r w:rsidRPr="00FD06AE">
        <w:rPr>
          <w:i/>
          <w:color w:val="000000"/>
        </w:rPr>
        <w:t>The research could not practicably be conducted without the waiver or alteration; and </w:t>
      </w:r>
    </w:p>
    <w:p w:rsidR="009E321B" w:rsidRPr="00FD06AE" w:rsidRDefault="009E321B" w:rsidP="00FA68C1">
      <w:pPr>
        <w:numPr>
          <w:ilvl w:val="0"/>
          <w:numId w:val="26"/>
        </w:numPr>
        <w:shd w:val="clear" w:color="auto" w:fill="FFFFFF"/>
        <w:ind w:left="274"/>
        <w:rPr>
          <w:i/>
          <w:color w:val="000000"/>
        </w:rPr>
      </w:pPr>
      <w:r w:rsidRPr="00FD06AE">
        <w:rPr>
          <w:i/>
          <w:color w:val="000000"/>
        </w:rPr>
        <w:t>The research could not practicably be conducted without access to and use of the protected health information. </w:t>
      </w:r>
    </w:p>
    <w:p w:rsidR="00FA68C1" w:rsidRPr="00FD06AE" w:rsidRDefault="00FA68C1" w:rsidP="00FA68C1">
      <w:pPr>
        <w:shd w:val="clear" w:color="auto" w:fill="FFFFFF"/>
        <w:ind w:left="274"/>
        <w:rPr>
          <w:i/>
          <w:color w:val="000000"/>
        </w:rPr>
      </w:pPr>
    </w:p>
    <w:p w:rsidR="00875085" w:rsidRPr="00FD06AE" w:rsidRDefault="00F8132B" w:rsidP="00F8132B">
      <w:pPr>
        <w:ind w:right="-360" w:firstLine="720"/>
      </w:pPr>
      <w:r w:rsidRPr="00FD06AE">
        <w:t xml:space="preserve">All blood samples will be stored by a study </w:t>
      </w:r>
      <w:r w:rsidR="00B21F4D" w:rsidRPr="00FD06AE">
        <w:t>tube number</w:t>
      </w:r>
      <w:r w:rsidRPr="00FD06AE">
        <w:t xml:space="preserve"> </w:t>
      </w:r>
      <w:r w:rsidR="00875085" w:rsidRPr="00FD06AE">
        <w:t xml:space="preserve">– there will be no information identifying the driver - </w:t>
      </w:r>
      <w:r w:rsidRPr="00FD06AE">
        <w:t xml:space="preserve">and sent to the independent </w:t>
      </w:r>
      <w:r w:rsidR="00875085" w:rsidRPr="00FD06AE">
        <w:t>toxicology</w:t>
      </w:r>
      <w:r w:rsidRPr="00FD06AE">
        <w:t xml:space="preserve"> laboratory for testing</w:t>
      </w:r>
      <w:r w:rsidR="00875085" w:rsidRPr="00FD06AE">
        <w:t xml:space="preserve"> for the presence of drugs</w:t>
      </w:r>
      <w:r w:rsidRPr="00FD06AE">
        <w:t xml:space="preserve">. </w:t>
      </w:r>
      <w:r w:rsidR="00875085" w:rsidRPr="00FD06AE">
        <w:t>The</w:t>
      </w:r>
      <w:r w:rsidRPr="00FD06AE">
        <w:t xml:space="preserve"> toxicology laboratory will not have access to </w:t>
      </w:r>
      <w:r w:rsidR="00B21F4D" w:rsidRPr="00FD06AE">
        <w:t>any</w:t>
      </w:r>
      <w:r w:rsidRPr="00FD06AE">
        <w:t xml:space="preserve"> study database</w:t>
      </w:r>
      <w:r w:rsidR="00B21F4D" w:rsidRPr="00FD06AE">
        <w:t xml:space="preserve"> other than their own which will house the toxicology results stored by study tube number</w:t>
      </w:r>
      <w:r w:rsidRPr="00FD06AE">
        <w:t>. All toxicology results will be transmitted from the study laboratory directly to the main study database for storage. No toxicology results will be sent back to the participating hospitals, and th</w:t>
      </w:r>
      <w:r w:rsidR="000C43CB" w:rsidRPr="00FD06AE">
        <w:t>e toxicology results will never</w:t>
      </w:r>
      <w:r w:rsidR="00584BE8" w:rsidRPr="00FD06AE">
        <w:t xml:space="preserve"> be</w:t>
      </w:r>
      <w:r w:rsidR="00875085" w:rsidRPr="00FD06AE">
        <w:t xml:space="preserve"> include</w:t>
      </w:r>
      <w:r w:rsidR="00584BE8" w:rsidRPr="00FD06AE">
        <w:t>d in</w:t>
      </w:r>
      <w:r w:rsidRPr="00FD06AE">
        <w:t xml:space="preserve"> participant medical records. </w:t>
      </w:r>
    </w:p>
    <w:p w:rsidR="00875085" w:rsidRPr="00FD06AE" w:rsidRDefault="00875085" w:rsidP="00F8132B">
      <w:pPr>
        <w:ind w:right="-360" w:firstLine="720"/>
      </w:pPr>
    </w:p>
    <w:p w:rsidR="00F8132B" w:rsidRPr="00FD06AE" w:rsidRDefault="00875085" w:rsidP="00F8132B">
      <w:pPr>
        <w:ind w:right="-360" w:firstLine="720"/>
      </w:pPr>
      <w:r w:rsidRPr="00FD06AE">
        <w:t xml:space="preserve">Throughout the study, </w:t>
      </w:r>
      <w:r w:rsidR="00B21F4D" w:rsidRPr="00FD06AE">
        <w:t xml:space="preserve">protocols </w:t>
      </w:r>
      <w:r w:rsidRPr="00FD06AE">
        <w:t>have been</w:t>
      </w:r>
      <w:r w:rsidR="00B21F4D" w:rsidRPr="00FD06AE">
        <w:t xml:space="preserve"> designed to prevent any linkage to</w:t>
      </w:r>
      <w:r w:rsidRPr="00FD06AE">
        <w:t xml:space="preserve"> an individual par</w:t>
      </w:r>
      <w:r w:rsidR="00B21F4D" w:rsidRPr="00FD06AE">
        <w:t xml:space="preserve">ticipant. </w:t>
      </w:r>
      <w:r w:rsidR="004F6023" w:rsidRPr="00FD06AE">
        <w:t>As such, law enforcement and legal teams will not be able to link results to a given individual</w:t>
      </w:r>
      <w:r w:rsidRPr="00FD06AE">
        <w:t>, even with a subpoena</w:t>
      </w:r>
      <w:r w:rsidR="004F6023" w:rsidRPr="00FD06AE">
        <w:t>.</w:t>
      </w:r>
      <w:r w:rsidRPr="00FD06AE">
        <w:t xml:space="preserve"> </w:t>
      </w:r>
      <w:r w:rsidR="004F6023" w:rsidRPr="00FD06AE">
        <w:t xml:space="preserve">In addition, </w:t>
      </w:r>
      <w:r w:rsidRPr="00FD06AE">
        <w:t xml:space="preserve">there will be </w:t>
      </w:r>
      <w:r w:rsidR="004F6023" w:rsidRPr="00FD06AE">
        <w:t>n</w:t>
      </w:r>
      <w:r w:rsidR="00B21F4D" w:rsidRPr="00FD06AE">
        <w:t>o records of exactly who had access to</w:t>
      </w:r>
      <w:r w:rsidR="004F6023" w:rsidRPr="00FD06AE">
        <w:t xml:space="preserve"> or handled</w:t>
      </w:r>
      <w:r w:rsidR="00B21F4D" w:rsidRPr="00FD06AE">
        <w:t xml:space="preserve"> the various samples at any given time. As such, </w:t>
      </w:r>
      <w:r w:rsidRPr="00FD06AE">
        <w:t xml:space="preserve">no individual’s </w:t>
      </w:r>
      <w:r w:rsidR="00B21F4D" w:rsidRPr="00FD06AE">
        <w:t xml:space="preserve">toxicology results </w:t>
      </w:r>
      <w:r w:rsidRPr="00FD06AE">
        <w:t>would be</w:t>
      </w:r>
      <w:r w:rsidR="00B21F4D" w:rsidRPr="00FD06AE">
        <w:t xml:space="preserve"> admissible in court </w:t>
      </w:r>
      <w:r w:rsidRPr="00FD06AE">
        <w:t xml:space="preserve">given the </w:t>
      </w:r>
      <w:r w:rsidR="00B21F4D" w:rsidRPr="00FD06AE">
        <w:t>lack of linkage</w:t>
      </w:r>
      <w:r w:rsidR="004F6023" w:rsidRPr="00FD06AE">
        <w:t xml:space="preserve"> </w:t>
      </w:r>
      <w:r w:rsidRPr="00FD06AE">
        <w:t>(that is, the “chain of custody” has been broken)</w:t>
      </w:r>
      <w:r w:rsidR="00B21F4D" w:rsidRPr="00FD06AE">
        <w:t xml:space="preserve">. </w:t>
      </w:r>
    </w:p>
    <w:p w:rsidR="00F8132B" w:rsidRPr="00FD06AE" w:rsidRDefault="00F8132B" w:rsidP="00EF5603">
      <w:pPr>
        <w:ind w:right="-360"/>
        <w:rPr>
          <w:u w:val="single"/>
        </w:rPr>
      </w:pPr>
    </w:p>
    <w:p w:rsidR="00EF5603" w:rsidRPr="00FD06AE" w:rsidRDefault="00EF5603" w:rsidP="00EF5603">
      <w:pPr>
        <w:ind w:right="-360"/>
        <w:rPr>
          <w:u w:val="single"/>
        </w:rPr>
      </w:pPr>
      <w:r w:rsidRPr="00FD06AE">
        <w:rPr>
          <w:u w:val="single"/>
        </w:rPr>
        <w:t>Control Drivers</w:t>
      </w:r>
    </w:p>
    <w:p w:rsidR="002B4979" w:rsidRPr="00FD06AE" w:rsidRDefault="002B4979" w:rsidP="00EF5603">
      <w:pPr>
        <w:ind w:right="-360"/>
      </w:pPr>
    </w:p>
    <w:p w:rsidR="00EF5603" w:rsidRPr="00FD06AE" w:rsidRDefault="00EF5603" w:rsidP="00EF5603">
      <w:pPr>
        <w:ind w:right="-360" w:firstLine="720"/>
      </w:pPr>
      <w:r w:rsidRPr="00FD06AE">
        <w:t xml:space="preserve">Control drivers will be </w:t>
      </w:r>
      <w:r w:rsidR="00584BE8" w:rsidRPr="00FD06AE">
        <w:t>recrui</w:t>
      </w:r>
      <w:r w:rsidRPr="00FD06AE">
        <w:t xml:space="preserve">ted from free-flowing traffic at or near the location of the crash where a driver was </w:t>
      </w:r>
      <w:r w:rsidR="00347372" w:rsidRPr="00FD06AE">
        <w:t xml:space="preserve">seriously </w:t>
      </w:r>
      <w:r w:rsidRPr="00FD06AE">
        <w:t xml:space="preserve">or </w:t>
      </w:r>
      <w:r w:rsidR="00347372" w:rsidRPr="00FD06AE">
        <w:t xml:space="preserve">fatally </w:t>
      </w:r>
      <w:r w:rsidR="00527E0E" w:rsidRPr="00FD06AE">
        <w:t>injured</w:t>
      </w:r>
      <w:r w:rsidRPr="00FD06AE">
        <w:t>.</w:t>
      </w:r>
      <w:r w:rsidR="00B666CA" w:rsidRPr="00FD06AE">
        <w:t xml:space="preserve"> R</w:t>
      </w:r>
      <w:r w:rsidRPr="00FD06AE">
        <w:t xml:space="preserve">esearchers will select </w:t>
      </w:r>
      <w:r w:rsidR="00AD5B7E" w:rsidRPr="00FD06AE">
        <w:t>l</w:t>
      </w:r>
      <w:r w:rsidRPr="00FD06AE">
        <w:t>ocations for</w:t>
      </w:r>
      <w:r w:rsidR="00AD5B7E" w:rsidRPr="00FD06AE">
        <w:t xml:space="preserve"> data collection of</w:t>
      </w:r>
      <w:r w:rsidRPr="00FD06AE">
        <w:t xml:space="preserve"> control drivers that match crash drivers by crash day of the week, crash time of day</w:t>
      </w:r>
      <w:r w:rsidR="00584BE8" w:rsidRPr="00FD06AE">
        <w:t xml:space="preserve"> and</w:t>
      </w:r>
      <w:r w:rsidRPr="00FD06AE">
        <w:t>, crash direction of travel. Two control drivers for each crash-involved driver (</w:t>
      </w:r>
      <w:r w:rsidRPr="00FD06AE">
        <w:rPr>
          <w:i/>
        </w:rPr>
        <w:t>n</w:t>
      </w:r>
      <w:r w:rsidRPr="00FD06AE">
        <w:t xml:space="preserve"> = 5,000) will be recruited </w:t>
      </w:r>
      <w:r w:rsidR="00664148" w:rsidRPr="00FD06AE">
        <w:t>one to two weeks after the crash</w:t>
      </w:r>
      <w:r w:rsidR="00330F31" w:rsidRPr="00FD06AE">
        <w:t>.</w:t>
      </w:r>
      <w:r w:rsidRPr="00FD06AE">
        <w:t xml:space="preserve"> </w:t>
      </w:r>
    </w:p>
    <w:p w:rsidR="00EF5603" w:rsidRPr="00FD06AE" w:rsidRDefault="00EF5603" w:rsidP="00EF5603">
      <w:pPr>
        <w:ind w:right="-360"/>
      </w:pPr>
    </w:p>
    <w:p w:rsidR="00EF5603" w:rsidRPr="00FD06AE" w:rsidRDefault="00EF5603" w:rsidP="00EF5603">
      <w:pPr>
        <w:ind w:right="-360" w:firstLine="720"/>
      </w:pPr>
      <w:r w:rsidRPr="00FD06AE">
        <w:t>Control drivers will be administered the survey</w:t>
      </w:r>
      <w:r w:rsidR="00CE69DA" w:rsidRPr="00FD06AE">
        <w:t>,</w:t>
      </w:r>
      <w:r w:rsidRPr="00FD06AE">
        <w:t xml:space="preserve"> and will be asked to provide </w:t>
      </w:r>
      <w:r w:rsidR="00BD31FD" w:rsidRPr="00FD06AE">
        <w:t xml:space="preserve">breath and </w:t>
      </w:r>
      <w:r w:rsidRPr="00FD06AE">
        <w:t>blood sample</w:t>
      </w:r>
      <w:r w:rsidR="00BD31FD" w:rsidRPr="00FD06AE">
        <w:t>s.</w:t>
      </w:r>
      <w:r w:rsidR="00FD6A36" w:rsidRPr="00FD06AE">
        <w:t xml:space="preserve"> All of this data will be anonymous as no identifying information on control drivers is being collected.</w:t>
      </w:r>
      <w:r w:rsidRPr="00FD06AE">
        <w:t xml:space="preserve"> Participant flow for control drivers is as follows:</w:t>
      </w:r>
    </w:p>
    <w:p w:rsidR="00F43193" w:rsidRPr="00FD06AE" w:rsidRDefault="00F43193" w:rsidP="00F43193">
      <w:pPr>
        <w:pStyle w:val="BodyText"/>
        <w:numPr>
          <w:ilvl w:val="1"/>
          <w:numId w:val="32"/>
        </w:numPr>
        <w:kinsoku w:val="0"/>
        <w:overflowPunct w:val="0"/>
        <w:spacing w:before="0" w:after="0"/>
        <w:ind w:right="115"/>
      </w:pPr>
      <w:r w:rsidRPr="00FD06AE">
        <w:t>Recruit driver from free-flowing traffic and request consent</w:t>
      </w:r>
    </w:p>
    <w:p w:rsidR="00F43193" w:rsidRPr="00FD06AE" w:rsidRDefault="00F43193" w:rsidP="00F43193">
      <w:pPr>
        <w:pStyle w:val="BodyText"/>
        <w:numPr>
          <w:ilvl w:val="1"/>
          <w:numId w:val="32"/>
        </w:numPr>
        <w:kinsoku w:val="0"/>
        <w:overflowPunct w:val="0"/>
        <w:spacing w:before="0" w:after="0"/>
        <w:ind w:right="115"/>
      </w:pPr>
      <w:r w:rsidRPr="00FD06AE">
        <w:t>Survey driver</w:t>
      </w:r>
    </w:p>
    <w:p w:rsidR="00F43193" w:rsidRPr="00FD06AE" w:rsidRDefault="00F43193" w:rsidP="00F43193">
      <w:pPr>
        <w:pStyle w:val="BodyText"/>
        <w:numPr>
          <w:ilvl w:val="1"/>
          <w:numId w:val="32"/>
        </w:numPr>
        <w:kinsoku w:val="0"/>
        <w:overflowPunct w:val="0"/>
        <w:spacing w:before="0" w:after="0"/>
        <w:ind w:right="115"/>
      </w:pPr>
      <w:r w:rsidRPr="00FD06AE">
        <w:t>Request breath sample</w:t>
      </w:r>
    </w:p>
    <w:p w:rsidR="00C115B5" w:rsidRPr="00FD06AE" w:rsidRDefault="00F43193" w:rsidP="00F43193">
      <w:pPr>
        <w:pStyle w:val="BodyText"/>
        <w:numPr>
          <w:ilvl w:val="1"/>
          <w:numId w:val="32"/>
        </w:numPr>
        <w:kinsoku w:val="0"/>
        <w:overflowPunct w:val="0"/>
        <w:spacing w:before="0" w:after="0"/>
        <w:ind w:right="115"/>
      </w:pPr>
      <w:r w:rsidRPr="00FD06AE">
        <w:t>Request blood sample</w:t>
      </w:r>
    </w:p>
    <w:p w:rsidR="00922A47" w:rsidRPr="00FD06AE" w:rsidRDefault="00922A47" w:rsidP="00922A47">
      <w:pPr>
        <w:pStyle w:val="BodyText"/>
        <w:kinsoku w:val="0"/>
        <w:overflowPunct w:val="0"/>
        <w:spacing w:before="0" w:after="0"/>
        <w:ind w:right="115"/>
      </w:pPr>
    </w:p>
    <w:p w:rsidR="00922A47" w:rsidRPr="00FD06AE" w:rsidRDefault="00922A47" w:rsidP="00922A47">
      <w:pPr>
        <w:autoSpaceDE w:val="0"/>
        <w:autoSpaceDN w:val="0"/>
        <w:adjustRightInd w:val="0"/>
        <w:ind w:firstLine="720"/>
      </w:pPr>
      <w:r w:rsidRPr="00FD06AE">
        <w:t xml:space="preserve">If the data collector believes that the driver is impaired, for any reason, the study’s protocol includes several strategies to get the person home safely, with no involvement of law enforcement and no cost to the driver. </w:t>
      </w:r>
    </w:p>
    <w:p w:rsidR="00922A47" w:rsidRPr="00FD06AE" w:rsidRDefault="00922A47" w:rsidP="00922A47">
      <w:pPr>
        <w:pStyle w:val="BodyText"/>
        <w:kinsoku w:val="0"/>
        <w:overflowPunct w:val="0"/>
        <w:spacing w:before="0" w:after="0"/>
        <w:ind w:right="115"/>
      </w:pPr>
    </w:p>
    <w:p w:rsidR="00F43193" w:rsidRPr="00FD06AE" w:rsidRDefault="00330F31" w:rsidP="00330F31">
      <w:pPr>
        <w:pStyle w:val="BodyText"/>
        <w:kinsoku w:val="0"/>
        <w:overflowPunct w:val="0"/>
        <w:spacing w:before="0" w:after="0"/>
        <w:ind w:right="115" w:firstLine="720"/>
      </w:pPr>
      <w:r w:rsidRPr="00FD06AE">
        <w:t>Local law enforcement officers, or retired officers, will be used to help the researchers in ensuring the safety of the drivers and research team. Officers will not be involved in interviewing drivers or collecting data.</w:t>
      </w:r>
    </w:p>
    <w:p w:rsidR="00330F31" w:rsidRPr="00FD06AE" w:rsidRDefault="00330F31" w:rsidP="00330F31">
      <w:pPr>
        <w:pStyle w:val="BodyText"/>
        <w:kinsoku w:val="0"/>
        <w:overflowPunct w:val="0"/>
        <w:spacing w:before="0" w:after="0"/>
        <w:ind w:right="115" w:firstLine="720"/>
      </w:pPr>
    </w:p>
    <w:p w:rsidR="001074FF" w:rsidRPr="00FD06AE" w:rsidRDefault="001074FF" w:rsidP="00354ED9">
      <w:pPr>
        <w:pStyle w:val="BodyText"/>
        <w:spacing w:after="240"/>
        <w:rPr>
          <w:color w:val="4F81BD"/>
        </w:rPr>
      </w:pPr>
      <w:bookmarkStart w:id="15" w:name="_Toc125278839"/>
      <w:bookmarkStart w:id="16" w:name="_Toc125341762"/>
      <w:bookmarkStart w:id="17" w:name="_Toc125447320"/>
      <w:bookmarkStart w:id="18" w:name="_Toc126394143"/>
      <w:r w:rsidRPr="00FD06AE">
        <w:rPr>
          <w:b/>
        </w:rPr>
        <w:t>B.3.</w:t>
      </w:r>
      <w:r w:rsidRPr="00FD06AE">
        <w:rPr>
          <w:b/>
        </w:rPr>
        <w:tab/>
        <w:t>Describe methods to maximize response rates</w:t>
      </w:r>
      <w:r w:rsidRPr="00FD06AE">
        <w:t>.</w:t>
      </w:r>
      <w:bookmarkStart w:id="19" w:name="_Toc125278840"/>
      <w:bookmarkStart w:id="20" w:name="_Toc125341763"/>
      <w:bookmarkStart w:id="21" w:name="_Toc125447321"/>
      <w:bookmarkStart w:id="22" w:name="_Toc126394144"/>
      <w:bookmarkEnd w:id="15"/>
      <w:bookmarkEnd w:id="16"/>
      <w:bookmarkEnd w:id="17"/>
      <w:bookmarkEnd w:id="18"/>
      <w:r w:rsidRPr="00FD06AE">
        <w:rPr>
          <w:color w:val="4F81BD"/>
        </w:rPr>
        <w:tab/>
      </w:r>
    </w:p>
    <w:p w:rsidR="004D3DC6" w:rsidRPr="00FD06AE" w:rsidRDefault="00C115B5" w:rsidP="00A5473A">
      <w:pPr>
        <w:pStyle w:val="BodyText"/>
        <w:spacing w:after="240"/>
        <w:ind w:firstLine="720"/>
        <w:rPr>
          <w:color w:val="FF0000"/>
        </w:rPr>
      </w:pPr>
      <w:r w:rsidRPr="00FD06AE">
        <w:t xml:space="preserve">For the </w:t>
      </w:r>
      <w:r w:rsidR="00F43193" w:rsidRPr="00FD06AE">
        <w:t xml:space="preserve">collection of the control driver data, </w:t>
      </w:r>
      <w:r w:rsidRPr="00FD06AE">
        <w:t xml:space="preserve">NHTSA anticipates approaching an estimated 9,000 drivers at roadside with approximately 5,000 </w:t>
      </w:r>
      <w:r w:rsidR="0004577B" w:rsidRPr="00FD06AE">
        <w:t>consenting to participate</w:t>
      </w:r>
      <w:r w:rsidRPr="00FD06AE">
        <w:t>. This estimate is based on NHTSA’s experience</w:t>
      </w:r>
      <w:r w:rsidR="004B2CDC" w:rsidRPr="00FD06AE">
        <w:t xml:space="preserve"> in past studies</w:t>
      </w:r>
      <w:r w:rsidRPr="00FD06AE">
        <w:t xml:space="preserve"> </w:t>
      </w:r>
      <w:r w:rsidR="004B2CDC" w:rsidRPr="00FD06AE">
        <w:t>with recruiting drivers from the roadway and asking for biological samples, including</w:t>
      </w:r>
      <w:r w:rsidR="00584BE8" w:rsidRPr="00FD06AE">
        <w:t xml:space="preserve"> the</w:t>
      </w:r>
      <w:r w:rsidR="004B2CDC" w:rsidRPr="00FD06AE">
        <w:t xml:space="preserve"> </w:t>
      </w:r>
      <w:r w:rsidR="0004577B" w:rsidRPr="00FD06AE">
        <w:t>National Roadside Study</w:t>
      </w:r>
      <w:r w:rsidR="0094119F" w:rsidRPr="00FD06AE">
        <w:rPr>
          <w:vertAlign w:val="superscript"/>
        </w:rPr>
        <w:t>9</w:t>
      </w:r>
      <w:r w:rsidR="0004577B" w:rsidRPr="00FD06AE">
        <w:t xml:space="preserve"> and the </w:t>
      </w:r>
      <w:r w:rsidR="00F43193" w:rsidRPr="00FD06AE">
        <w:t>Virginia Beach study</w:t>
      </w:r>
      <w:r w:rsidR="007E50A5" w:rsidRPr="00FD06AE">
        <w:rPr>
          <w:vertAlign w:val="superscript"/>
        </w:rPr>
        <w:fldChar w:fldCharType="begin"/>
      </w:r>
      <w:r w:rsidR="007E50A5" w:rsidRPr="00FD06AE">
        <w:rPr>
          <w:vertAlign w:val="superscript"/>
        </w:rPr>
        <w:instrText xml:space="preserve"> NOTEREF _Ref511899256 \h  \* MERGEFORMAT </w:instrText>
      </w:r>
      <w:r w:rsidR="007E50A5" w:rsidRPr="00FD06AE">
        <w:rPr>
          <w:vertAlign w:val="superscript"/>
        </w:rPr>
      </w:r>
      <w:r w:rsidR="007E50A5" w:rsidRPr="00FD06AE">
        <w:rPr>
          <w:vertAlign w:val="superscript"/>
        </w:rPr>
        <w:fldChar w:fldCharType="separate"/>
      </w:r>
      <w:r w:rsidR="00F57FAC" w:rsidRPr="00FD06AE">
        <w:rPr>
          <w:vertAlign w:val="superscript"/>
        </w:rPr>
        <w:t>2</w:t>
      </w:r>
      <w:r w:rsidR="007E50A5" w:rsidRPr="00FD06AE">
        <w:rPr>
          <w:vertAlign w:val="superscript"/>
        </w:rPr>
        <w:fldChar w:fldCharType="end"/>
      </w:r>
      <w:r w:rsidR="007E50A5" w:rsidRPr="00FD06AE">
        <w:t xml:space="preserve"> as shown in the </w:t>
      </w:r>
      <w:r w:rsidR="00E41B2B" w:rsidRPr="00FD06AE">
        <w:t xml:space="preserve">highlighted cells in the </w:t>
      </w:r>
      <w:r w:rsidR="007E50A5" w:rsidRPr="00FD06AE">
        <w:t>table</w:t>
      </w:r>
      <w:r w:rsidR="00BC44C1" w:rsidRPr="00FD06AE">
        <w:t>s</w:t>
      </w:r>
      <w:r w:rsidR="007E50A5" w:rsidRPr="00FD06AE">
        <w:t xml:space="preserve"> below.</w:t>
      </w:r>
      <w:r w:rsidR="007E50A5" w:rsidRPr="00FD06AE">
        <w:rPr>
          <w:color w:val="FF0000"/>
        </w:rPr>
        <w:t xml:space="preserve"> </w:t>
      </w:r>
    </w:p>
    <w:p w:rsidR="0004577B" w:rsidRPr="00FD06AE" w:rsidRDefault="00E41B2B" w:rsidP="0004577B">
      <w:pPr>
        <w:pStyle w:val="Caption"/>
        <w:rPr>
          <w:rFonts w:ascii="Times New Roman" w:hAnsi="Times New Roman"/>
          <w:sz w:val="24"/>
        </w:rPr>
      </w:pPr>
      <w:bookmarkStart w:id="23" w:name="_Toc450318295"/>
      <w:r w:rsidRPr="00FD06AE">
        <w:rPr>
          <w:rFonts w:ascii="Times New Roman" w:hAnsi="Times New Roman"/>
          <w:sz w:val="24"/>
        </w:rPr>
        <w:t xml:space="preserve">Table 6. </w:t>
      </w:r>
      <w:r w:rsidR="0004577B" w:rsidRPr="00FD06AE">
        <w:rPr>
          <w:rFonts w:ascii="Times New Roman" w:hAnsi="Times New Roman"/>
          <w:sz w:val="24"/>
        </w:rPr>
        <w:t>Participating Drivers</w:t>
      </w:r>
      <w:bookmarkEnd w:id="23"/>
      <w:r w:rsidR="007329B1" w:rsidRPr="00FD06AE">
        <w:rPr>
          <w:rFonts w:ascii="Times New Roman" w:hAnsi="Times New Roman"/>
          <w:sz w:val="24"/>
        </w:rPr>
        <w:t xml:space="preserve"> in All Five National Ro</w:t>
      </w:r>
      <w:r w:rsidR="00E26FC7" w:rsidRPr="00FD06AE">
        <w:rPr>
          <w:rFonts w:ascii="Times New Roman" w:hAnsi="Times New Roman"/>
          <w:sz w:val="24"/>
        </w:rPr>
        <w:t>a</w:t>
      </w:r>
      <w:r w:rsidR="007329B1" w:rsidRPr="00FD06AE">
        <w:rPr>
          <w:rFonts w:ascii="Times New Roman" w:hAnsi="Times New Roman"/>
          <w:sz w:val="24"/>
        </w:rPr>
        <w:t>dside Surveys</w:t>
      </w:r>
    </w:p>
    <w:tbl>
      <w:tblPr>
        <w:tblW w:w="9557" w:type="dxa"/>
        <w:jc w:val="center"/>
        <w:tblBorders>
          <w:top w:val="single" w:sz="12" w:space="0" w:color="000000"/>
          <w:bottom w:val="single" w:sz="12" w:space="0" w:color="000000"/>
          <w:insideH w:val="single" w:sz="6" w:space="0" w:color="000000"/>
        </w:tblBorders>
        <w:tblLook w:val="0000" w:firstRow="0" w:lastRow="0" w:firstColumn="0" w:lastColumn="0" w:noHBand="0" w:noVBand="0"/>
      </w:tblPr>
      <w:tblGrid>
        <w:gridCol w:w="1821"/>
        <w:gridCol w:w="832"/>
        <w:gridCol w:w="771"/>
        <w:gridCol w:w="953"/>
        <w:gridCol w:w="938"/>
        <w:gridCol w:w="1072"/>
        <w:gridCol w:w="798"/>
        <w:gridCol w:w="938"/>
        <w:gridCol w:w="1072"/>
        <w:gridCol w:w="839"/>
      </w:tblGrid>
      <w:tr w:rsidR="0004577B" w:rsidRPr="00FD06AE" w:rsidTr="006B36A2">
        <w:trPr>
          <w:trHeight w:val="168"/>
          <w:jc w:val="center"/>
        </w:trPr>
        <w:tc>
          <w:tcPr>
            <w:tcW w:w="1821" w:type="dxa"/>
            <w:vMerge w:val="restart"/>
            <w:tcBorders>
              <w:top w:val="single" w:sz="12" w:space="0" w:color="auto"/>
              <w:left w:val="nil"/>
              <w:bottom w:val="single" w:sz="4" w:space="0" w:color="auto"/>
              <w:right w:val="single" w:sz="8" w:space="0" w:color="000000"/>
            </w:tcBorders>
            <w:noWrap/>
            <w:vAlign w:val="bottom"/>
          </w:tcPr>
          <w:p w:rsidR="0004577B" w:rsidRPr="00FD06AE" w:rsidRDefault="0004577B" w:rsidP="003F4507">
            <w:pPr>
              <w:keepNext/>
              <w:keepLines/>
              <w:jc w:val="center"/>
              <w:rPr>
                <w:sz w:val="20"/>
              </w:rPr>
            </w:pPr>
          </w:p>
        </w:tc>
        <w:tc>
          <w:tcPr>
            <w:tcW w:w="832" w:type="dxa"/>
            <w:vMerge w:val="restart"/>
            <w:tcBorders>
              <w:top w:val="single" w:sz="12" w:space="0" w:color="auto"/>
              <w:left w:val="single" w:sz="8" w:space="0" w:color="000000"/>
              <w:bottom w:val="single" w:sz="4" w:space="0" w:color="auto"/>
              <w:right w:val="single" w:sz="8" w:space="0" w:color="000000"/>
            </w:tcBorders>
            <w:noWrap/>
            <w:vAlign w:val="bottom"/>
          </w:tcPr>
          <w:p w:rsidR="0004577B" w:rsidRPr="00FD06AE" w:rsidRDefault="0004577B" w:rsidP="003F4507">
            <w:pPr>
              <w:keepNext/>
              <w:keepLines/>
              <w:jc w:val="center"/>
              <w:rPr>
                <w:b/>
                <w:sz w:val="20"/>
              </w:rPr>
            </w:pPr>
            <w:r w:rsidRPr="00FD06AE">
              <w:rPr>
                <w:b/>
                <w:sz w:val="20"/>
              </w:rPr>
              <w:t>1973</w:t>
            </w:r>
          </w:p>
        </w:tc>
        <w:tc>
          <w:tcPr>
            <w:tcW w:w="771" w:type="dxa"/>
            <w:vMerge w:val="restart"/>
            <w:tcBorders>
              <w:top w:val="single" w:sz="12" w:space="0" w:color="auto"/>
              <w:left w:val="single" w:sz="8" w:space="0" w:color="000000"/>
              <w:bottom w:val="single" w:sz="4" w:space="0" w:color="auto"/>
              <w:right w:val="single" w:sz="8" w:space="0" w:color="000000"/>
            </w:tcBorders>
            <w:noWrap/>
            <w:vAlign w:val="bottom"/>
          </w:tcPr>
          <w:p w:rsidR="0004577B" w:rsidRPr="00FD06AE" w:rsidRDefault="0004577B" w:rsidP="003F4507">
            <w:pPr>
              <w:keepNext/>
              <w:keepLines/>
              <w:jc w:val="center"/>
              <w:rPr>
                <w:b/>
                <w:sz w:val="20"/>
              </w:rPr>
            </w:pPr>
            <w:r w:rsidRPr="00FD06AE">
              <w:rPr>
                <w:b/>
                <w:sz w:val="20"/>
              </w:rPr>
              <w:t>1986</w:t>
            </w:r>
          </w:p>
        </w:tc>
        <w:tc>
          <w:tcPr>
            <w:tcW w:w="953" w:type="dxa"/>
            <w:vMerge w:val="restart"/>
            <w:tcBorders>
              <w:top w:val="single" w:sz="12" w:space="0" w:color="auto"/>
              <w:left w:val="single" w:sz="8" w:space="0" w:color="000000"/>
              <w:bottom w:val="single" w:sz="4" w:space="0" w:color="auto"/>
              <w:right w:val="single" w:sz="8" w:space="0" w:color="000000"/>
            </w:tcBorders>
            <w:noWrap/>
            <w:vAlign w:val="bottom"/>
          </w:tcPr>
          <w:p w:rsidR="0004577B" w:rsidRPr="00FD06AE" w:rsidRDefault="0004577B" w:rsidP="003F4507">
            <w:pPr>
              <w:keepNext/>
              <w:keepLines/>
              <w:jc w:val="center"/>
              <w:rPr>
                <w:b/>
                <w:sz w:val="20"/>
              </w:rPr>
            </w:pPr>
            <w:r w:rsidRPr="00FD06AE">
              <w:rPr>
                <w:b/>
                <w:sz w:val="20"/>
              </w:rPr>
              <w:t>1996</w:t>
            </w:r>
          </w:p>
        </w:tc>
        <w:tc>
          <w:tcPr>
            <w:tcW w:w="2519" w:type="dxa"/>
            <w:gridSpan w:val="3"/>
            <w:tcBorders>
              <w:top w:val="single" w:sz="12" w:space="0" w:color="auto"/>
              <w:left w:val="single" w:sz="8" w:space="0" w:color="000000"/>
              <w:bottom w:val="single" w:sz="4" w:space="0" w:color="auto"/>
              <w:right w:val="single" w:sz="8" w:space="0" w:color="000000"/>
            </w:tcBorders>
            <w:noWrap/>
            <w:vAlign w:val="bottom"/>
          </w:tcPr>
          <w:p w:rsidR="0004577B" w:rsidRPr="00FD06AE" w:rsidRDefault="0004577B" w:rsidP="003F4507">
            <w:pPr>
              <w:keepNext/>
              <w:keepLines/>
              <w:jc w:val="center"/>
              <w:rPr>
                <w:sz w:val="20"/>
              </w:rPr>
            </w:pPr>
            <w:r w:rsidRPr="00FD06AE">
              <w:rPr>
                <w:b/>
                <w:sz w:val="20"/>
              </w:rPr>
              <w:t>2007</w:t>
            </w:r>
          </w:p>
        </w:tc>
        <w:tc>
          <w:tcPr>
            <w:tcW w:w="2661" w:type="dxa"/>
            <w:gridSpan w:val="3"/>
            <w:tcBorders>
              <w:top w:val="single" w:sz="12" w:space="0" w:color="auto"/>
              <w:left w:val="single" w:sz="8" w:space="0" w:color="000000"/>
              <w:bottom w:val="single" w:sz="4" w:space="0" w:color="auto"/>
              <w:right w:val="nil"/>
            </w:tcBorders>
            <w:vAlign w:val="bottom"/>
          </w:tcPr>
          <w:p w:rsidR="0004577B" w:rsidRPr="00FD06AE" w:rsidRDefault="0004577B" w:rsidP="003F4507">
            <w:pPr>
              <w:keepNext/>
              <w:keepLines/>
              <w:jc w:val="center"/>
              <w:rPr>
                <w:b/>
                <w:sz w:val="20"/>
              </w:rPr>
            </w:pPr>
            <w:r w:rsidRPr="00FD06AE">
              <w:rPr>
                <w:b/>
                <w:sz w:val="20"/>
              </w:rPr>
              <w:t>2013</w:t>
            </w:r>
          </w:p>
        </w:tc>
      </w:tr>
      <w:tr w:rsidR="00FB513D" w:rsidRPr="00FD06AE" w:rsidTr="003F4507">
        <w:trPr>
          <w:trHeight w:val="228"/>
          <w:jc w:val="center"/>
        </w:trPr>
        <w:tc>
          <w:tcPr>
            <w:tcW w:w="1821" w:type="dxa"/>
            <w:vMerge/>
            <w:tcBorders>
              <w:top w:val="single" w:sz="4" w:space="0" w:color="auto"/>
              <w:left w:val="nil"/>
              <w:bottom w:val="single" w:sz="8" w:space="0" w:color="auto"/>
              <w:right w:val="single" w:sz="8" w:space="0" w:color="000000"/>
            </w:tcBorders>
            <w:noWrap/>
            <w:vAlign w:val="bottom"/>
          </w:tcPr>
          <w:p w:rsidR="0004577B" w:rsidRPr="00FD06AE" w:rsidRDefault="0004577B" w:rsidP="003F4507">
            <w:pPr>
              <w:keepNext/>
              <w:keepLines/>
              <w:jc w:val="center"/>
              <w:rPr>
                <w:sz w:val="20"/>
              </w:rPr>
            </w:pPr>
          </w:p>
        </w:tc>
        <w:tc>
          <w:tcPr>
            <w:tcW w:w="832" w:type="dxa"/>
            <w:vMerge/>
            <w:tcBorders>
              <w:top w:val="single" w:sz="4" w:space="0" w:color="auto"/>
              <w:left w:val="single" w:sz="8" w:space="0" w:color="000000"/>
              <w:bottom w:val="single" w:sz="8" w:space="0" w:color="auto"/>
              <w:right w:val="single" w:sz="8" w:space="0" w:color="000000"/>
            </w:tcBorders>
            <w:noWrap/>
            <w:vAlign w:val="bottom"/>
          </w:tcPr>
          <w:p w:rsidR="0004577B" w:rsidRPr="00FD06AE" w:rsidRDefault="0004577B" w:rsidP="003F4507">
            <w:pPr>
              <w:keepNext/>
              <w:keepLines/>
              <w:jc w:val="center"/>
              <w:rPr>
                <w:b/>
                <w:sz w:val="20"/>
              </w:rPr>
            </w:pPr>
          </w:p>
        </w:tc>
        <w:tc>
          <w:tcPr>
            <w:tcW w:w="771" w:type="dxa"/>
            <w:vMerge/>
            <w:tcBorders>
              <w:top w:val="single" w:sz="4" w:space="0" w:color="auto"/>
              <w:left w:val="single" w:sz="8" w:space="0" w:color="000000"/>
              <w:bottom w:val="single" w:sz="8" w:space="0" w:color="auto"/>
              <w:right w:val="single" w:sz="8" w:space="0" w:color="000000"/>
            </w:tcBorders>
            <w:noWrap/>
            <w:vAlign w:val="bottom"/>
          </w:tcPr>
          <w:p w:rsidR="0004577B" w:rsidRPr="00FD06AE" w:rsidRDefault="0004577B" w:rsidP="003F4507">
            <w:pPr>
              <w:keepNext/>
              <w:keepLines/>
              <w:jc w:val="center"/>
              <w:rPr>
                <w:b/>
                <w:sz w:val="20"/>
              </w:rPr>
            </w:pPr>
          </w:p>
        </w:tc>
        <w:tc>
          <w:tcPr>
            <w:tcW w:w="953" w:type="dxa"/>
            <w:vMerge/>
            <w:tcBorders>
              <w:top w:val="single" w:sz="4" w:space="0" w:color="auto"/>
              <w:left w:val="single" w:sz="8" w:space="0" w:color="000000"/>
              <w:bottom w:val="single" w:sz="8" w:space="0" w:color="auto"/>
              <w:right w:val="single" w:sz="8" w:space="0" w:color="000000"/>
            </w:tcBorders>
            <w:noWrap/>
            <w:vAlign w:val="bottom"/>
          </w:tcPr>
          <w:p w:rsidR="0004577B" w:rsidRPr="00FD06AE" w:rsidRDefault="0004577B" w:rsidP="003F4507">
            <w:pPr>
              <w:keepNext/>
              <w:keepLines/>
              <w:jc w:val="center"/>
              <w:rPr>
                <w:b/>
                <w:sz w:val="20"/>
              </w:rPr>
            </w:pPr>
          </w:p>
        </w:tc>
        <w:tc>
          <w:tcPr>
            <w:tcW w:w="839" w:type="dxa"/>
            <w:tcBorders>
              <w:top w:val="single" w:sz="4" w:space="0" w:color="auto"/>
              <w:left w:val="single" w:sz="8" w:space="0" w:color="000000"/>
              <w:bottom w:val="single" w:sz="8" w:space="0" w:color="auto"/>
              <w:right w:val="nil"/>
            </w:tcBorders>
            <w:noWrap/>
            <w:vAlign w:val="bottom"/>
          </w:tcPr>
          <w:p w:rsidR="0004577B" w:rsidRPr="00FD06AE" w:rsidRDefault="0004577B" w:rsidP="003F4507">
            <w:pPr>
              <w:keepNext/>
              <w:keepLines/>
              <w:jc w:val="center"/>
              <w:rPr>
                <w:b/>
                <w:sz w:val="20"/>
              </w:rPr>
            </w:pPr>
            <w:r w:rsidRPr="00FD06AE">
              <w:rPr>
                <w:b/>
                <w:sz w:val="20"/>
              </w:rPr>
              <w:t>Daytime</w:t>
            </w:r>
          </w:p>
        </w:tc>
        <w:tc>
          <w:tcPr>
            <w:tcW w:w="954" w:type="dxa"/>
            <w:tcBorders>
              <w:top w:val="single" w:sz="4" w:space="0" w:color="auto"/>
              <w:left w:val="nil"/>
              <w:bottom w:val="single" w:sz="8" w:space="0" w:color="auto"/>
              <w:right w:val="nil"/>
            </w:tcBorders>
            <w:noWrap/>
            <w:vAlign w:val="bottom"/>
          </w:tcPr>
          <w:p w:rsidR="0004577B" w:rsidRPr="00FD06AE" w:rsidRDefault="0004577B" w:rsidP="003F4507">
            <w:pPr>
              <w:keepNext/>
              <w:keepLines/>
              <w:jc w:val="center"/>
              <w:rPr>
                <w:b/>
                <w:sz w:val="20"/>
              </w:rPr>
            </w:pPr>
            <w:r w:rsidRPr="00FD06AE">
              <w:rPr>
                <w:b/>
                <w:sz w:val="20"/>
              </w:rPr>
              <w:t>Nighttime</w:t>
            </w:r>
          </w:p>
        </w:tc>
        <w:tc>
          <w:tcPr>
            <w:tcW w:w="726" w:type="dxa"/>
            <w:tcBorders>
              <w:top w:val="single" w:sz="4" w:space="0" w:color="auto"/>
              <w:left w:val="nil"/>
              <w:bottom w:val="single" w:sz="8" w:space="0" w:color="auto"/>
              <w:right w:val="single" w:sz="8" w:space="0" w:color="000000"/>
            </w:tcBorders>
            <w:noWrap/>
            <w:vAlign w:val="bottom"/>
          </w:tcPr>
          <w:p w:rsidR="0004577B" w:rsidRPr="00FD06AE" w:rsidRDefault="0004577B" w:rsidP="003F4507">
            <w:pPr>
              <w:keepNext/>
              <w:keepLines/>
              <w:jc w:val="center"/>
              <w:rPr>
                <w:b/>
                <w:sz w:val="20"/>
              </w:rPr>
            </w:pPr>
            <w:r w:rsidRPr="00FD06AE">
              <w:rPr>
                <w:b/>
                <w:sz w:val="20"/>
              </w:rPr>
              <w:t>Total</w:t>
            </w:r>
          </w:p>
        </w:tc>
        <w:tc>
          <w:tcPr>
            <w:tcW w:w="981" w:type="dxa"/>
            <w:tcBorders>
              <w:top w:val="single" w:sz="4" w:space="0" w:color="auto"/>
              <w:left w:val="single" w:sz="8" w:space="0" w:color="000000"/>
              <w:bottom w:val="single" w:sz="8" w:space="0" w:color="auto"/>
              <w:right w:val="nil"/>
            </w:tcBorders>
            <w:vAlign w:val="bottom"/>
          </w:tcPr>
          <w:p w:rsidR="0004577B" w:rsidRPr="00FD06AE" w:rsidRDefault="0004577B" w:rsidP="003F4507">
            <w:pPr>
              <w:keepNext/>
              <w:keepLines/>
              <w:jc w:val="center"/>
              <w:rPr>
                <w:b/>
                <w:sz w:val="20"/>
              </w:rPr>
            </w:pPr>
            <w:r w:rsidRPr="00FD06AE">
              <w:rPr>
                <w:b/>
                <w:sz w:val="20"/>
              </w:rPr>
              <w:t>Daytime</w:t>
            </w:r>
          </w:p>
        </w:tc>
        <w:tc>
          <w:tcPr>
            <w:tcW w:w="954" w:type="dxa"/>
            <w:tcBorders>
              <w:top w:val="single" w:sz="4" w:space="0" w:color="auto"/>
              <w:left w:val="nil"/>
              <w:bottom w:val="single" w:sz="8" w:space="0" w:color="auto"/>
              <w:right w:val="nil"/>
            </w:tcBorders>
            <w:vAlign w:val="bottom"/>
          </w:tcPr>
          <w:p w:rsidR="0004577B" w:rsidRPr="00FD06AE" w:rsidRDefault="0004577B" w:rsidP="003F4507">
            <w:pPr>
              <w:keepNext/>
              <w:keepLines/>
              <w:jc w:val="center"/>
              <w:rPr>
                <w:b/>
                <w:sz w:val="20"/>
              </w:rPr>
            </w:pPr>
            <w:r w:rsidRPr="00FD06AE">
              <w:rPr>
                <w:b/>
                <w:sz w:val="20"/>
              </w:rPr>
              <w:t>Nighttime</w:t>
            </w:r>
          </w:p>
        </w:tc>
        <w:tc>
          <w:tcPr>
            <w:tcW w:w="726" w:type="dxa"/>
            <w:tcBorders>
              <w:top w:val="single" w:sz="4" w:space="0" w:color="auto"/>
              <w:left w:val="nil"/>
              <w:bottom w:val="single" w:sz="8" w:space="0" w:color="auto"/>
              <w:right w:val="nil"/>
            </w:tcBorders>
            <w:vAlign w:val="bottom"/>
          </w:tcPr>
          <w:p w:rsidR="0004577B" w:rsidRPr="00FD06AE" w:rsidRDefault="0004577B" w:rsidP="003F4507">
            <w:pPr>
              <w:keepNext/>
              <w:keepLines/>
              <w:jc w:val="center"/>
              <w:rPr>
                <w:b/>
                <w:sz w:val="20"/>
              </w:rPr>
            </w:pPr>
            <w:r w:rsidRPr="00FD06AE">
              <w:rPr>
                <w:b/>
                <w:sz w:val="20"/>
              </w:rPr>
              <w:t>Total</w:t>
            </w:r>
          </w:p>
        </w:tc>
      </w:tr>
      <w:tr w:rsidR="00FB513D" w:rsidRPr="00FD06AE" w:rsidTr="003F4507">
        <w:trPr>
          <w:trHeight w:val="165"/>
          <w:jc w:val="center"/>
        </w:trPr>
        <w:tc>
          <w:tcPr>
            <w:tcW w:w="1821" w:type="dxa"/>
            <w:tcBorders>
              <w:top w:val="single" w:sz="8" w:space="0" w:color="auto"/>
              <w:left w:val="nil"/>
              <w:bottom w:val="single" w:sz="8" w:space="0" w:color="000000"/>
              <w:right w:val="single" w:sz="8" w:space="0" w:color="000000"/>
            </w:tcBorders>
            <w:noWrap/>
            <w:vAlign w:val="center"/>
          </w:tcPr>
          <w:p w:rsidR="0004577B" w:rsidRPr="00FD06AE" w:rsidRDefault="0004577B" w:rsidP="003F4507">
            <w:pPr>
              <w:keepNext/>
              <w:keepLines/>
              <w:rPr>
                <w:sz w:val="20"/>
              </w:rPr>
            </w:pPr>
            <w:r w:rsidRPr="00FD06AE">
              <w:rPr>
                <w:sz w:val="20"/>
              </w:rPr>
              <w:t>Signaled to enter location</w:t>
            </w:r>
          </w:p>
        </w:tc>
        <w:tc>
          <w:tcPr>
            <w:tcW w:w="832" w:type="dxa"/>
            <w:tcBorders>
              <w:top w:val="single" w:sz="8" w:space="0" w:color="auto"/>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rFonts w:eastAsia="SimSun"/>
                <w:sz w:val="20"/>
              </w:rPr>
              <w:t>--</w:t>
            </w:r>
          </w:p>
        </w:tc>
        <w:tc>
          <w:tcPr>
            <w:tcW w:w="771" w:type="dxa"/>
            <w:tcBorders>
              <w:top w:val="single" w:sz="8" w:space="0" w:color="auto"/>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3,260</w:t>
            </w:r>
          </w:p>
        </w:tc>
        <w:tc>
          <w:tcPr>
            <w:tcW w:w="953" w:type="dxa"/>
            <w:tcBorders>
              <w:top w:val="single" w:sz="8" w:space="0" w:color="auto"/>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6,480</w:t>
            </w:r>
          </w:p>
        </w:tc>
        <w:tc>
          <w:tcPr>
            <w:tcW w:w="839" w:type="dxa"/>
            <w:tcBorders>
              <w:top w:val="single" w:sz="8" w:space="0" w:color="auto"/>
              <w:left w:val="single" w:sz="8" w:space="0" w:color="000000"/>
              <w:bottom w:val="single" w:sz="8" w:space="0" w:color="000000"/>
              <w:right w:val="nil"/>
            </w:tcBorders>
            <w:noWrap/>
            <w:vAlign w:val="center"/>
          </w:tcPr>
          <w:p w:rsidR="0004577B" w:rsidRPr="00FD06AE" w:rsidRDefault="0004577B" w:rsidP="003F4507">
            <w:pPr>
              <w:keepNext/>
              <w:keepLines/>
              <w:jc w:val="center"/>
              <w:rPr>
                <w:sz w:val="20"/>
              </w:rPr>
            </w:pPr>
            <w:r w:rsidRPr="00FD06AE">
              <w:rPr>
                <w:sz w:val="20"/>
              </w:rPr>
              <w:t>3,516</w:t>
            </w:r>
          </w:p>
        </w:tc>
        <w:tc>
          <w:tcPr>
            <w:tcW w:w="954" w:type="dxa"/>
            <w:tcBorders>
              <w:top w:val="single" w:sz="8" w:space="0" w:color="auto"/>
              <w:left w:val="nil"/>
              <w:bottom w:val="single" w:sz="8" w:space="0" w:color="000000"/>
              <w:right w:val="nil"/>
            </w:tcBorders>
            <w:noWrap/>
            <w:vAlign w:val="center"/>
          </w:tcPr>
          <w:p w:rsidR="0004577B" w:rsidRPr="00FD06AE" w:rsidRDefault="0004577B" w:rsidP="003F4507">
            <w:pPr>
              <w:keepNext/>
              <w:keepLines/>
              <w:jc w:val="center"/>
              <w:rPr>
                <w:sz w:val="20"/>
              </w:rPr>
            </w:pPr>
            <w:r w:rsidRPr="00FD06AE">
              <w:rPr>
                <w:sz w:val="20"/>
              </w:rPr>
              <w:t>9,553</w:t>
            </w:r>
          </w:p>
        </w:tc>
        <w:tc>
          <w:tcPr>
            <w:tcW w:w="726" w:type="dxa"/>
            <w:tcBorders>
              <w:top w:val="single" w:sz="8" w:space="0" w:color="auto"/>
              <w:left w:val="nil"/>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13,069</w:t>
            </w:r>
          </w:p>
        </w:tc>
        <w:tc>
          <w:tcPr>
            <w:tcW w:w="981" w:type="dxa"/>
            <w:tcBorders>
              <w:top w:val="single" w:sz="8" w:space="0" w:color="auto"/>
              <w:left w:val="single" w:sz="8" w:space="0" w:color="000000"/>
              <w:bottom w:val="single" w:sz="8" w:space="0" w:color="000000"/>
              <w:right w:val="nil"/>
            </w:tcBorders>
            <w:vAlign w:val="center"/>
          </w:tcPr>
          <w:p w:rsidR="0004577B" w:rsidRPr="00FD06AE" w:rsidRDefault="0004577B" w:rsidP="003F4507">
            <w:pPr>
              <w:keepNext/>
              <w:keepLines/>
              <w:jc w:val="center"/>
              <w:rPr>
                <w:sz w:val="20"/>
              </w:rPr>
            </w:pPr>
            <w:r w:rsidRPr="00FD06AE">
              <w:rPr>
                <w:sz w:val="20"/>
              </w:rPr>
              <w:t>3,385</w:t>
            </w:r>
          </w:p>
        </w:tc>
        <w:tc>
          <w:tcPr>
            <w:tcW w:w="954" w:type="dxa"/>
            <w:tcBorders>
              <w:top w:val="single" w:sz="8" w:space="0" w:color="auto"/>
              <w:left w:val="nil"/>
              <w:bottom w:val="single" w:sz="8" w:space="0" w:color="000000"/>
              <w:right w:val="nil"/>
            </w:tcBorders>
            <w:vAlign w:val="center"/>
          </w:tcPr>
          <w:p w:rsidR="0004577B" w:rsidRPr="00FD06AE" w:rsidRDefault="0004577B" w:rsidP="003F4507">
            <w:pPr>
              <w:keepNext/>
              <w:keepLines/>
              <w:jc w:val="center"/>
              <w:rPr>
                <w:sz w:val="20"/>
              </w:rPr>
            </w:pPr>
            <w:r w:rsidRPr="00FD06AE">
              <w:rPr>
                <w:sz w:val="20"/>
              </w:rPr>
              <w:t>10,782</w:t>
            </w:r>
          </w:p>
        </w:tc>
        <w:tc>
          <w:tcPr>
            <w:tcW w:w="726" w:type="dxa"/>
            <w:tcBorders>
              <w:top w:val="single" w:sz="8" w:space="0" w:color="auto"/>
              <w:left w:val="nil"/>
              <w:bottom w:val="single" w:sz="8" w:space="0" w:color="000000"/>
              <w:right w:val="nil"/>
            </w:tcBorders>
            <w:vAlign w:val="center"/>
          </w:tcPr>
          <w:p w:rsidR="0004577B" w:rsidRPr="00FD06AE" w:rsidRDefault="0004577B" w:rsidP="003F4507">
            <w:pPr>
              <w:keepNext/>
              <w:keepLines/>
              <w:jc w:val="center"/>
              <w:rPr>
                <w:sz w:val="20"/>
              </w:rPr>
            </w:pPr>
            <w:r w:rsidRPr="00FD06AE">
              <w:rPr>
                <w:sz w:val="20"/>
              </w:rPr>
              <w:t>14,167</w:t>
            </w:r>
          </w:p>
        </w:tc>
      </w:tr>
      <w:tr w:rsidR="00FB513D" w:rsidRPr="00FD06AE" w:rsidTr="003F4507">
        <w:trPr>
          <w:trHeight w:val="165"/>
          <w:jc w:val="center"/>
        </w:trPr>
        <w:tc>
          <w:tcPr>
            <w:tcW w:w="1821"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rPr>
                <w:sz w:val="20"/>
              </w:rPr>
            </w:pPr>
            <w:r w:rsidRPr="00FD06AE">
              <w:rPr>
                <w:sz w:val="20"/>
              </w:rPr>
              <w:t>Did not enter location</w:t>
            </w:r>
            <w:r w:rsidRPr="00FD06AE">
              <w:rPr>
                <w:sz w:val="20"/>
                <w:vertAlign w:val="superscript"/>
              </w:rPr>
              <w:t>a</w:t>
            </w:r>
          </w:p>
        </w:tc>
        <w:tc>
          <w:tcPr>
            <w:tcW w:w="832"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rFonts w:eastAsia="SimSun"/>
                <w:sz w:val="20"/>
              </w:rPr>
              <w:t>--</w:t>
            </w:r>
          </w:p>
        </w:tc>
        <w:tc>
          <w:tcPr>
            <w:tcW w:w="771"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217</w:t>
            </w:r>
          </w:p>
        </w:tc>
        <w:tc>
          <w:tcPr>
            <w:tcW w:w="953"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182</w:t>
            </w:r>
          </w:p>
        </w:tc>
        <w:tc>
          <w:tcPr>
            <w:tcW w:w="839" w:type="dxa"/>
            <w:tcBorders>
              <w:top w:val="single" w:sz="8" w:space="0" w:color="000000"/>
              <w:left w:val="single" w:sz="8" w:space="0" w:color="000000"/>
              <w:bottom w:val="single" w:sz="8" w:space="0" w:color="000000"/>
              <w:right w:val="nil"/>
            </w:tcBorders>
            <w:noWrap/>
            <w:vAlign w:val="center"/>
          </w:tcPr>
          <w:p w:rsidR="0004577B" w:rsidRPr="00FD06AE" w:rsidRDefault="0004577B" w:rsidP="003F4507">
            <w:pPr>
              <w:keepNext/>
              <w:keepLines/>
              <w:jc w:val="center"/>
              <w:rPr>
                <w:sz w:val="20"/>
              </w:rPr>
            </w:pPr>
            <w:r w:rsidRPr="00FD06AE">
              <w:rPr>
                <w:sz w:val="20"/>
              </w:rPr>
              <w:t>933</w:t>
            </w:r>
          </w:p>
        </w:tc>
        <w:tc>
          <w:tcPr>
            <w:tcW w:w="954" w:type="dxa"/>
            <w:tcBorders>
              <w:top w:val="single" w:sz="8" w:space="0" w:color="000000"/>
              <w:left w:val="nil"/>
              <w:bottom w:val="single" w:sz="8" w:space="0" w:color="000000"/>
              <w:right w:val="nil"/>
            </w:tcBorders>
            <w:noWrap/>
            <w:vAlign w:val="center"/>
          </w:tcPr>
          <w:p w:rsidR="0004577B" w:rsidRPr="00FD06AE" w:rsidRDefault="0004577B" w:rsidP="003F4507">
            <w:pPr>
              <w:keepNext/>
              <w:keepLines/>
              <w:jc w:val="center"/>
              <w:rPr>
                <w:sz w:val="20"/>
              </w:rPr>
            </w:pPr>
            <w:r w:rsidRPr="00FD06AE">
              <w:rPr>
                <w:sz w:val="20"/>
              </w:rPr>
              <w:t>1,016</w:t>
            </w:r>
          </w:p>
        </w:tc>
        <w:tc>
          <w:tcPr>
            <w:tcW w:w="726"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1,949</w:t>
            </w:r>
          </w:p>
        </w:tc>
        <w:tc>
          <w:tcPr>
            <w:tcW w:w="981" w:type="dxa"/>
            <w:tcBorders>
              <w:top w:val="single" w:sz="8" w:space="0" w:color="000000"/>
              <w:left w:val="single" w:sz="8" w:space="0" w:color="000000"/>
              <w:bottom w:val="single" w:sz="8" w:space="0" w:color="000000"/>
              <w:right w:val="nil"/>
            </w:tcBorders>
            <w:vAlign w:val="center"/>
          </w:tcPr>
          <w:p w:rsidR="0004577B" w:rsidRPr="00FD06AE" w:rsidRDefault="0004577B" w:rsidP="003F4507">
            <w:pPr>
              <w:keepNext/>
              <w:keepLines/>
              <w:jc w:val="center"/>
              <w:rPr>
                <w:sz w:val="20"/>
              </w:rPr>
            </w:pPr>
            <w:r w:rsidRPr="00FD06AE">
              <w:rPr>
                <w:sz w:val="20"/>
              </w:rPr>
              <w:t>711</w:t>
            </w:r>
          </w:p>
        </w:tc>
        <w:tc>
          <w:tcPr>
            <w:tcW w:w="954" w:type="dxa"/>
            <w:tcBorders>
              <w:top w:val="single" w:sz="8" w:space="0" w:color="000000"/>
              <w:left w:val="nil"/>
              <w:bottom w:val="single" w:sz="8" w:space="0" w:color="000000"/>
              <w:right w:val="nil"/>
            </w:tcBorders>
            <w:vAlign w:val="center"/>
          </w:tcPr>
          <w:p w:rsidR="0004577B" w:rsidRPr="00FD06AE" w:rsidRDefault="0004577B" w:rsidP="003F4507">
            <w:pPr>
              <w:keepNext/>
              <w:keepLines/>
              <w:jc w:val="center"/>
              <w:rPr>
                <w:sz w:val="20"/>
              </w:rPr>
            </w:pPr>
            <w:r w:rsidRPr="00FD06AE">
              <w:rPr>
                <w:sz w:val="20"/>
              </w:rPr>
              <w:t>2,134</w:t>
            </w:r>
          </w:p>
        </w:tc>
        <w:tc>
          <w:tcPr>
            <w:tcW w:w="726" w:type="dxa"/>
            <w:tcBorders>
              <w:top w:val="single" w:sz="8" w:space="0" w:color="000000"/>
              <w:left w:val="nil"/>
              <w:bottom w:val="single" w:sz="8" w:space="0" w:color="000000"/>
              <w:right w:val="nil"/>
            </w:tcBorders>
            <w:vAlign w:val="center"/>
          </w:tcPr>
          <w:p w:rsidR="0004577B" w:rsidRPr="00FD06AE" w:rsidRDefault="0004577B" w:rsidP="003F4507">
            <w:pPr>
              <w:keepNext/>
              <w:keepLines/>
              <w:jc w:val="center"/>
              <w:rPr>
                <w:sz w:val="20"/>
              </w:rPr>
            </w:pPr>
            <w:r w:rsidRPr="00FD06AE">
              <w:rPr>
                <w:sz w:val="20"/>
              </w:rPr>
              <w:t>2,845</w:t>
            </w:r>
          </w:p>
        </w:tc>
      </w:tr>
      <w:tr w:rsidR="00FB513D" w:rsidRPr="00FD06AE" w:rsidTr="003F4507">
        <w:trPr>
          <w:trHeight w:val="330"/>
          <w:jc w:val="center"/>
        </w:trPr>
        <w:tc>
          <w:tcPr>
            <w:tcW w:w="1821"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rPr>
                <w:sz w:val="20"/>
              </w:rPr>
            </w:pPr>
            <w:r w:rsidRPr="00FD06AE">
              <w:rPr>
                <w:sz w:val="20"/>
              </w:rPr>
              <w:t>Stopped and entered location</w:t>
            </w:r>
          </w:p>
        </w:tc>
        <w:tc>
          <w:tcPr>
            <w:tcW w:w="832"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rFonts w:eastAsia="SimSun"/>
                <w:sz w:val="20"/>
              </w:rPr>
              <w:t>--</w:t>
            </w:r>
          </w:p>
        </w:tc>
        <w:tc>
          <w:tcPr>
            <w:tcW w:w="771"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953"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839" w:type="dxa"/>
            <w:tcBorders>
              <w:top w:val="single" w:sz="8" w:space="0" w:color="000000"/>
              <w:left w:val="single" w:sz="8" w:space="0" w:color="000000"/>
              <w:bottom w:val="single" w:sz="8" w:space="0" w:color="000000"/>
              <w:right w:val="nil"/>
            </w:tcBorders>
            <w:noWrap/>
            <w:vAlign w:val="center"/>
          </w:tcPr>
          <w:p w:rsidR="0004577B" w:rsidRPr="00FD06AE" w:rsidRDefault="0004577B" w:rsidP="003F4507">
            <w:pPr>
              <w:keepNext/>
              <w:keepLines/>
              <w:jc w:val="center"/>
              <w:rPr>
                <w:sz w:val="20"/>
              </w:rPr>
            </w:pPr>
            <w:r w:rsidRPr="00FD06AE">
              <w:rPr>
                <w:sz w:val="20"/>
              </w:rPr>
              <w:t>2,583</w:t>
            </w:r>
          </w:p>
        </w:tc>
        <w:tc>
          <w:tcPr>
            <w:tcW w:w="954" w:type="dxa"/>
            <w:tcBorders>
              <w:top w:val="single" w:sz="8" w:space="0" w:color="000000"/>
              <w:left w:val="nil"/>
              <w:bottom w:val="single" w:sz="8" w:space="0" w:color="000000"/>
              <w:right w:val="nil"/>
            </w:tcBorders>
            <w:noWrap/>
            <w:vAlign w:val="center"/>
          </w:tcPr>
          <w:p w:rsidR="0004577B" w:rsidRPr="00FD06AE" w:rsidRDefault="0004577B" w:rsidP="003F4507">
            <w:pPr>
              <w:keepNext/>
              <w:keepLines/>
              <w:jc w:val="center"/>
              <w:rPr>
                <w:sz w:val="20"/>
              </w:rPr>
            </w:pPr>
            <w:r w:rsidRPr="00FD06AE">
              <w:rPr>
                <w:sz w:val="20"/>
              </w:rPr>
              <w:t>8,537</w:t>
            </w:r>
          </w:p>
        </w:tc>
        <w:tc>
          <w:tcPr>
            <w:tcW w:w="726"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11,120</w:t>
            </w:r>
          </w:p>
        </w:tc>
        <w:tc>
          <w:tcPr>
            <w:tcW w:w="981" w:type="dxa"/>
            <w:tcBorders>
              <w:top w:val="single" w:sz="8" w:space="0" w:color="000000"/>
              <w:left w:val="single" w:sz="8" w:space="0" w:color="000000"/>
              <w:bottom w:val="single" w:sz="8" w:space="0" w:color="000000"/>
              <w:right w:val="nil"/>
            </w:tcBorders>
            <w:vAlign w:val="center"/>
          </w:tcPr>
          <w:p w:rsidR="0004577B" w:rsidRPr="00FD06AE" w:rsidRDefault="0004577B" w:rsidP="003F4507">
            <w:pPr>
              <w:keepNext/>
              <w:keepLines/>
              <w:jc w:val="center"/>
              <w:rPr>
                <w:sz w:val="20"/>
              </w:rPr>
            </w:pPr>
            <w:r w:rsidRPr="00FD06AE">
              <w:rPr>
                <w:sz w:val="20"/>
              </w:rPr>
              <w:t>2,674</w:t>
            </w:r>
          </w:p>
        </w:tc>
        <w:tc>
          <w:tcPr>
            <w:tcW w:w="954" w:type="dxa"/>
            <w:tcBorders>
              <w:top w:val="single" w:sz="8" w:space="0" w:color="000000"/>
              <w:left w:val="nil"/>
              <w:bottom w:val="single" w:sz="8" w:space="0" w:color="000000"/>
              <w:right w:val="nil"/>
            </w:tcBorders>
            <w:vAlign w:val="center"/>
          </w:tcPr>
          <w:p w:rsidR="0004577B" w:rsidRPr="00FD06AE" w:rsidRDefault="0004577B" w:rsidP="003F4507">
            <w:pPr>
              <w:keepNext/>
              <w:keepLines/>
              <w:jc w:val="center"/>
              <w:rPr>
                <w:sz w:val="20"/>
              </w:rPr>
            </w:pPr>
            <w:r w:rsidRPr="00FD06AE">
              <w:rPr>
                <w:sz w:val="20"/>
              </w:rPr>
              <w:t>8,648</w:t>
            </w:r>
          </w:p>
        </w:tc>
        <w:tc>
          <w:tcPr>
            <w:tcW w:w="726" w:type="dxa"/>
            <w:tcBorders>
              <w:top w:val="single" w:sz="8" w:space="0" w:color="000000"/>
              <w:left w:val="nil"/>
              <w:bottom w:val="single" w:sz="8" w:space="0" w:color="000000"/>
              <w:right w:val="nil"/>
            </w:tcBorders>
            <w:vAlign w:val="center"/>
          </w:tcPr>
          <w:p w:rsidR="0004577B" w:rsidRPr="00FD06AE" w:rsidRDefault="0004577B" w:rsidP="003F4507">
            <w:pPr>
              <w:keepNext/>
              <w:keepLines/>
              <w:jc w:val="center"/>
              <w:rPr>
                <w:sz w:val="20"/>
              </w:rPr>
            </w:pPr>
            <w:r w:rsidRPr="00FD06AE">
              <w:rPr>
                <w:sz w:val="20"/>
              </w:rPr>
              <w:t>11,322</w:t>
            </w:r>
          </w:p>
        </w:tc>
      </w:tr>
      <w:tr w:rsidR="00FB513D" w:rsidRPr="00FD06AE" w:rsidTr="003F4507">
        <w:trPr>
          <w:trHeight w:val="210"/>
          <w:jc w:val="center"/>
        </w:trPr>
        <w:tc>
          <w:tcPr>
            <w:tcW w:w="1821"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rPr>
                <w:sz w:val="20"/>
              </w:rPr>
            </w:pPr>
            <w:r w:rsidRPr="00FD06AE">
              <w:rPr>
                <w:sz w:val="20"/>
              </w:rPr>
              <w:t>Eligible</w:t>
            </w:r>
          </w:p>
        </w:tc>
        <w:tc>
          <w:tcPr>
            <w:tcW w:w="832"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3,698</w:t>
            </w:r>
          </w:p>
        </w:tc>
        <w:tc>
          <w:tcPr>
            <w:tcW w:w="771"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3,043</w:t>
            </w:r>
          </w:p>
        </w:tc>
        <w:tc>
          <w:tcPr>
            <w:tcW w:w="953"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6,298</w:t>
            </w:r>
          </w:p>
        </w:tc>
        <w:tc>
          <w:tcPr>
            <w:tcW w:w="839" w:type="dxa"/>
            <w:tcBorders>
              <w:top w:val="single" w:sz="8" w:space="0" w:color="000000"/>
              <w:left w:val="single" w:sz="8" w:space="0" w:color="000000"/>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2,525</w:t>
            </w:r>
          </w:p>
        </w:tc>
        <w:tc>
          <w:tcPr>
            <w:tcW w:w="954" w:type="dxa"/>
            <w:tcBorders>
              <w:top w:val="single" w:sz="8" w:space="0" w:color="000000"/>
              <w:left w:val="nil"/>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8,384</w:t>
            </w:r>
          </w:p>
        </w:tc>
        <w:tc>
          <w:tcPr>
            <w:tcW w:w="726" w:type="dxa"/>
            <w:tcBorders>
              <w:top w:val="single" w:sz="8" w:space="0" w:color="000000"/>
              <w:left w:val="nil"/>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10,909</w:t>
            </w:r>
          </w:p>
        </w:tc>
        <w:tc>
          <w:tcPr>
            <w:tcW w:w="981" w:type="dxa"/>
            <w:tcBorders>
              <w:top w:val="single" w:sz="8" w:space="0" w:color="000000"/>
              <w:left w:val="single" w:sz="8" w:space="0" w:color="000000"/>
              <w:bottom w:val="single" w:sz="8" w:space="0" w:color="000000"/>
              <w:right w:val="nil"/>
            </w:tcBorders>
            <w:vAlign w:val="bottom"/>
          </w:tcPr>
          <w:p w:rsidR="0004577B" w:rsidRPr="00FD06AE" w:rsidRDefault="0004577B" w:rsidP="003F4507">
            <w:pPr>
              <w:keepNext/>
              <w:keepLines/>
              <w:jc w:val="center"/>
              <w:rPr>
                <w:sz w:val="20"/>
              </w:rPr>
            </w:pPr>
            <w:r w:rsidRPr="00FD06AE">
              <w:rPr>
                <w:sz w:val="20"/>
              </w:rPr>
              <w:t>2,617</w:t>
            </w:r>
          </w:p>
        </w:tc>
        <w:tc>
          <w:tcPr>
            <w:tcW w:w="954"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8,483</w:t>
            </w:r>
          </w:p>
        </w:tc>
        <w:tc>
          <w:tcPr>
            <w:tcW w:w="726"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11,100</w:t>
            </w:r>
          </w:p>
        </w:tc>
      </w:tr>
      <w:tr w:rsidR="00FB513D" w:rsidRPr="00FD06AE" w:rsidTr="003F4507">
        <w:trPr>
          <w:trHeight w:val="282"/>
          <w:jc w:val="center"/>
        </w:trPr>
        <w:tc>
          <w:tcPr>
            <w:tcW w:w="1821"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rPr>
                <w:sz w:val="20"/>
              </w:rPr>
            </w:pPr>
            <w:r w:rsidRPr="00FD06AE">
              <w:rPr>
                <w:sz w:val="20"/>
              </w:rPr>
              <w:t>Entered location and interviewed</w:t>
            </w:r>
          </w:p>
        </w:tc>
        <w:tc>
          <w:tcPr>
            <w:tcW w:w="832"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3,353</w:t>
            </w:r>
          </w:p>
          <w:p w:rsidR="0004577B" w:rsidRPr="00FD06AE" w:rsidRDefault="0004577B" w:rsidP="003F4507">
            <w:pPr>
              <w:keepNext/>
              <w:keepLines/>
              <w:jc w:val="center"/>
              <w:rPr>
                <w:sz w:val="20"/>
              </w:rPr>
            </w:pPr>
            <w:r w:rsidRPr="00FD06AE">
              <w:rPr>
                <w:sz w:val="20"/>
              </w:rPr>
              <w:t>90.7%</w:t>
            </w:r>
          </w:p>
        </w:tc>
        <w:tc>
          <w:tcPr>
            <w:tcW w:w="771"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2,971 97.6%</w:t>
            </w:r>
          </w:p>
        </w:tc>
        <w:tc>
          <w:tcPr>
            <w:tcW w:w="953"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6,045</w:t>
            </w:r>
          </w:p>
          <w:p w:rsidR="0004577B" w:rsidRPr="00FD06AE" w:rsidRDefault="0004577B" w:rsidP="003F4507">
            <w:pPr>
              <w:keepNext/>
              <w:keepLines/>
              <w:jc w:val="center"/>
              <w:rPr>
                <w:sz w:val="20"/>
              </w:rPr>
            </w:pPr>
            <w:r w:rsidRPr="00FD06AE">
              <w:rPr>
                <w:sz w:val="20"/>
              </w:rPr>
              <w:t>96.0%</w:t>
            </w:r>
          </w:p>
        </w:tc>
        <w:tc>
          <w:tcPr>
            <w:tcW w:w="839" w:type="dxa"/>
            <w:tcBorders>
              <w:top w:val="single" w:sz="8" w:space="0" w:color="000000"/>
              <w:left w:val="single" w:sz="8" w:space="0" w:color="000000"/>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2,174</w:t>
            </w:r>
          </w:p>
          <w:p w:rsidR="0004577B" w:rsidRPr="00FD06AE" w:rsidRDefault="0004577B" w:rsidP="003F4507">
            <w:pPr>
              <w:keepNext/>
              <w:keepLines/>
              <w:jc w:val="center"/>
              <w:rPr>
                <w:sz w:val="20"/>
              </w:rPr>
            </w:pPr>
            <w:r w:rsidRPr="00FD06AE">
              <w:rPr>
                <w:sz w:val="20"/>
              </w:rPr>
              <w:t>86.1%</w:t>
            </w:r>
            <w:r w:rsidRPr="00FD06AE">
              <w:rPr>
                <w:sz w:val="20"/>
                <w:vertAlign w:val="superscript"/>
              </w:rPr>
              <w:t>b</w:t>
            </w:r>
          </w:p>
        </w:tc>
        <w:tc>
          <w:tcPr>
            <w:tcW w:w="954" w:type="dxa"/>
            <w:tcBorders>
              <w:top w:val="single" w:sz="8" w:space="0" w:color="000000"/>
              <w:left w:val="nil"/>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6,920</w:t>
            </w:r>
          </w:p>
          <w:p w:rsidR="0004577B" w:rsidRPr="00FD06AE" w:rsidRDefault="0004577B" w:rsidP="003F4507">
            <w:pPr>
              <w:keepNext/>
              <w:keepLines/>
              <w:jc w:val="center"/>
              <w:rPr>
                <w:sz w:val="20"/>
              </w:rPr>
            </w:pPr>
            <w:r w:rsidRPr="00FD06AE">
              <w:rPr>
                <w:sz w:val="20"/>
              </w:rPr>
              <w:t>82.5%</w:t>
            </w:r>
            <w:r w:rsidRPr="00FD06AE">
              <w:rPr>
                <w:sz w:val="20"/>
                <w:vertAlign w:val="superscript"/>
              </w:rPr>
              <w:t>b</w:t>
            </w:r>
          </w:p>
        </w:tc>
        <w:tc>
          <w:tcPr>
            <w:tcW w:w="726" w:type="dxa"/>
            <w:tcBorders>
              <w:top w:val="single" w:sz="8" w:space="0" w:color="000000"/>
              <w:left w:val="nil"/>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9,094</w:t>
            </w:r>
          </w:p>
          <w:p w:rsidR="0004577B" w:rsidRPr="00FD06AE" w:rsidRDefault="0004577B" w:rsidP="003F4507">
            <w:pPr>
              <w:keepNext/>
              <w:keepLines/>
              <w:jc w:val="center"/>
              <w:rPr>
                <w:sz w:val="20"/>
              </w:rPr>
            </w:pPr>
            <w:r w:rsidRPr="00FD06AE">
              <w:rPr>
                <w:sz w:val="20"/>
              </w:rPr>
              <w:t>83.4%</w:t>
            </w:r>
            <w:r w:rsidRPr="00FD06AE">
              <w:rPr>
                <w:sz w:val="20"/>
                <w:vertAlign w:val="superscript"/>
              </w:rPr>
              <w:t>b</w:t>
            </w:r>
          </w:p>
        </w:tc>
        <w:tc>
          <w:tcPr>
            <w:tcW w:w="981" w:type="dxa"/>
            <w:tcBorders>
              <w:top w:val="single" w:sz="8" w:space="0" w:color="000000"/>
              <w:left w:val="single" w:sz="8" w:space="0" w:color="000000"/>
              <w:bottom w:val="single" w:sz="8" w:space="0" w:color="000000"/>
              <w:right w:val="nil"/>
            </w:tcBorders>
            <w:vAlign w:val="bottom"/>
          </w:tcPr>
          <w:p w:rsidR="0004577B" w:rsidRPr="00FD06AE" w:rsidRDefault="0004577B" w:rsidP="003F4507">
            <w:pPr>
              <w:keepNext/>
              <w:keepLines/>
              <w:jc w:val="center"/>
              <w:rPr>
                <w:sz w:val="20"/>
              </w:rPr>
            </w:pPr>
            <w:r w:rsidRPr="00FD06AE">
              <w:rPr>
                <w:sz w:val="20"/>
              </w:rPr>
              <w:t>2,174</w:t>
            </w:r>
          </w:p>
          <w:p w:rsidR="0004577B" w:rsidRPr="00FD06AE" w:rsidRDefault="0004577B" w:rsidP="003F4507">
            <w:pPr>
              <w:keepNext/>
              <w:keepLines/>
              <w:jc w:val="center"/>
              <w:rPr>
                <w:sz w:val="20"/>
              </w:rPr>
            </w:pPr>
            <w:r w:rsidRPr="00FD06AE">
              <w:rPr>
                <w:sz w:val="20"/>
              </w:rPr>
              <w:t>83.1%</w:t>
            </w:r>
            <w:r w:rsidRPr="00FD06AE">
              <w:rPr>
                <w:sz w:val="20"/>
                <w:vertAlign w:val="superscript"/>
              </w:rPr>
              <w:t>b</w:t>
            </w:r>
          </w:p>
        </w:tc>
        <w:tc>
          <w:tcPr>
            <w:tcW w:w="954"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6,630</w:t>
            </w:r>
          </w:p>
          <w:p w:rsidR="0004577B" w:rsidRPr="00FD06AE" w:rsidRDefault="0004577B" w:rsidP="003F4507">
            <w:pPr>
              <w:keepNext/>
              <w:keepLines/>
              <w:jc w:val="center"/>
              <w:rPr>
                <w:sz w:val="20"/>
              </w:rPr>
            </w:pPr>
            <w:r w:rsidRPr="00FD06AE">
              <w:rPr>
                <w:sz w:val="20"/>
              </w:rPr>
              <w:t>78.2%</w:t>
            </w:r>
            <w:r w:rsidRPr="00FD06AE">
              <w:rPr>
                <w:sz w:val="20"/>
                <w:vertAlign w:val="superscript"/>
              </w:rPr>
              <w:t>b</w:t>
            </w:r>
          </w:p>
        </w:tc>
        <w:tc>
          <w:tcPr>
            <w:tcW w:w="726"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8,804</w:t>
            </w:r>
          </w:p>
          <w:p w:rsidR="0004577B" w:rsidRPr="00FD06AE" w:rsidRDefault="0004577B" w:rsidP="003F4507">
            <w:pPr>
              <w:keepNext/>
              <w:keepLines/>
              <w:jc w:val="center"/>
              <w:rPr>
                <w:sz w:val="20"/>
              </w:rPr>
            </w:pPr>
            <w:r w:rsidRPr="00FD06AE">
              <w:rPr>
                <w:sz w:val="20"/>
              </w:rPr>
              <w:t>79.3%</w:t>
            </w:r>
            <w:r w:rsidRPr="00FD06AE">
              <w:rPr>
                <w:sz w:val="20"/>
                <w:vertAlign w:val="superscript"/>
              </w:rPr>
              <w:t>b</w:t>
            </w:r>
          </w:p>
        </w:tc>
      </w:tr>
      <w:tr w:rsidR="00FB513D" w:rsidRPr="00FD06AE" w:rsidTr="003F4507">
        <w:trPr>
          <w:trHeight w:val="147"/>
          <w:jc w:val="center"/>
        </w:trPr>
        <w:tc>
          <w:tcPr>
            <w:tcW w:w="1821"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rPr>
                <w:sz w:val="20"/>
              </w:rPr>
            </w:pPr>
            <w:r w:rsidRPr="00FD06AE">
              <w:rPr>
                <w:sz w:val="20"/>
              </w:rPr>
              <w:t>Valid breath sample</w:t>
            </w:r>
          </w:p>
        </w:tc>
        <w:tc>
          <w:tcPr>
            <w:tcW w:w="832"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3,192</w:t>
            </w:r>
          </w:p>
          <w:p w:rsidR="0004577B" w:rsidRPr="00FD06AE" w:rsidRDefault="0004577B" w:rsidP="003F4507">
            <w:pPr>
              <w:keepNext/>
              <w:keepLines/>
              <w:jc w:val="center"/>
              <w:rPr>
                <w:sz w:val="20"/>
              </w:rPr>
            </w:pPr>
            <w:r w:rsidRPr="00FD06AE">
              <w:rPr>
                <w:sz w:val="20"/>
              </w:rPr>
              <w:t>86.3%</w:t>
            </w:r>
          </w:p>
        </w:tc>
        <w:tc>
          <w:tcPr>
            <w:tcW w:w="771"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2,850</w:t>
            </w:r>
          </w:p>
          <w:p w:rsidR="0004577B" w:rsidRPr="00FD06AE" w:rsidRDefault="0004577B" w:rsidP="003F4507">
            <w:pPr>
              <w:keepNext/>
              <w:keepLines/>
              <w:jc w:val="center"/>
              <w:rPr>
                <w:sz w:val="20"/>
              </w:rPr>
            </w:pPr>
            <w:r w:rsidRPr="00FD06AE">
              <w:rPr>
                <w:sz w:val="20"/>
              </w:rPr>
              <w:t>93.7%</w:t>
            </w:r>
          </w:p>
        </w:tc>
        <w:tc>
          <w:tcPr>
            <w:tcW w:w="953" w:type="dxa"/>
            <w:tcBorders>
              <w:top w:val="single" w:sz="8" w:space="0" w:color="000000"/>
              <w:left w:val="single" w:sz="8" w:space="0" w:color="000000"/>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6,028</w:t>
            </w:r>
          </w:p>
          <w:p w:rsidR="0004577B" w:rsidRPr="00FD06AE" w:rsidRDefault="0004577B" w:rsidP="003F4507">
            <w:pPr>
              <w:keepNext/>
              <w:keepLines/>
              <w:jc w:val="center"/>
              <w:rPr>
                <w:sz w:val="20"/>
              </w:rPr>
            </w:pPr>
            <w:r w:rsidRPr="00FD06AE">
              <w:rPr>
                <w:sz w:val="20"/>
              </w:rPr>
              <w:t>95.7%</w:t>
            </w:r>
          </w:p>
        </w:tc>
        <w:tc>
          <w:tcPr>
            <w:tcW w:w="839" w:type="dxa"/>
            <w:tcBorders>
              <w:top w:val="single" w:sz="8" w:space="0" w:color="000000"/>
              <w:left w:val="single" w:sz="8" w:space="0" w:color="000000"/>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2,254</w:t>
            </w:r>
          </w:p>
          <w:p w:rsidR="0004577B" w:rsidRPr="00FD06AE" w:rsidRDefault="0004577B" w:rsidP="003F4507">
            <w:pPr>
              <w:keepNext/>
              <w:keepLines/>
              <w:jc w:val="center"/>
              <w:rPr>
                <w:sz w:val="20"/>
              </w:rPr>
            </w:pPr>
            <w:r w:rsidRPr="00FD06AE">
              <w:rPr>
                <w:sz w:val="20"/>
              </w:rPr>
              <w:t>89.3%</w:t>
            </w:r>
            <w:r w:rsidRPr="00FD06AE">
              <w:rPr>
                <w:sz w:val="20"/>
                <w:vertAlign w:val="superscript"/>
              </w:rPr>
              <w:t>b</w:t>
            </w:r>
          </w:p>
        </w:tc>
        <w:tc>
          <w:tcPr>
            <w:tcW w:w="954" w:type="dxa"/>
            <w:tcBorders>
              <w:top w:val="single" w:sz="8" w:space="0" w:color="000000"/>
              <w:left w:val="nil"/>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7,159</w:t>
            </w:r>
          </w:p>
          <w:p w:rsidR="0004577B" w:rsidRPr="00FD06AE" w:rsidRDefault="0004577B" w:rsidP="003F4507">
            <w:pPr>
              <w:keepNext/>
              <w:keepLines/>
              <w:jc w:val="center"/>
              <w:rPr>
                <w:sz w:val="20"/>
              </w:rPr>
            </w:pPr>
            <w:r w:rsidRPr="00FD06AE">
              <w:rPr>
                <w:sz w:val="20"/>
              </w:rPr>
              <w:t>85.4%</w:t>
            </w:r>
            <w:r w:rsidRPr="00FD06AE">
              <w:rPr>
                <w:sz w:val="20"/>
                <w:vertAlign w:val="superscript"/>
              </w:rPr>
              <w:t>b</w:t>
            </w:r>
          </w:p>
        </w:tc>
        <w:tc>
          <w:tcPr>
            <w:tcW w:w="726" w:type="dxa"/>
            <w:tcBorders>
              <w:top w:val="single" w:sz="8" w:space="0" w:color="000000"/>
              <w:left w:val="nil"/>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9,413</w:t>
            </w:r>
          </w:p>
          <w:p w:rsidR="0004577B" w:rsidRPr="00FD06AE" w:rsidRDefault="0004577B" w:rsidP="003F4507">
            <w:pPr>
              <w:keepNext/>
              <w:keepLines/>
              <w:jc w:val="center"/>
              <w:rPr>
                <w:sz w:val="20"/>
              </w:rPr>
            </w:pPr>
            <w:r w:rsidRPr="00FD06AE">
              <w:rPr>
                <w:sz w:val="20"/>
              </w:rPr>
              <w:t>86.3%</w:t>
            </w:r>
            <w:r w:rsidRPr="00FD06AE">
              <w:rPr>
                <w:sz w:val="20"/>
                <w:vertAlign w:val="superscript"/>
              </w:rPr>
              <w:t>b</w:t>
            </w:r>
          </w:p>
        </w:tc>
        <w:tc>
          <w:tcPr>
            <w:tcW w:w="981" w:type="dxa"/>
            <w:tcBorders>
              <w:top w:val="single" w:sz="8" w:space="0" w:color="000000"/>
              <w:left w:val="single" w:sz="8" w:space="0" w:color="000000"/>
              <w:bottom w:val="single" w:sz="8" w:space="0" w:color="000000"/>
              <w:right w:val="nil"/>
            </w:tcBorders>
            <w:vAlign w:val="bottom"/>
          </w:tcPr>
          <w:p w:rsidR="0004577B" w:rsidRPr="00FD06AE" w:rsidRDefault="0004577B" w:rsidP="003F4507">
            <w:pPr>
              <w:keepNext/>
              <w:keepLines/>
              <w:jc w:val="center"/>
              <w:rPr>
                <w:sz w:val="20"/>
              </w:rPr>
            </w:pPr>
            <w:r w:rsidRPr="00FD06AE">
              <w:rPr>
                <w:sz w:val="20"/>
              </w:rPr>
              <w:t>2,361</w:t>
            </w:r>
          </w:p>
          <w:p w:rsidR="0004577B" w:rsidRPr="00FD06AE" w:rsidRDefault="0004577B" w:rsidP="003F4507">
            <w:pPr>
              <w:keepNext/>
              <w:keepLines/>
              <w:jc w:val="center"/>
              <w:rPr>
                <w:sz w:val="20"/>
              </w:rPr>
            </w:pPr>
            <w:r w:rsidRPr="00FD06AE">
              <w:rPr>
                <w:sz w:val="20"/>
              </w:rPr>
              <w:t>90.2%</w:t>
            </w:r>
            <w:r w:rsidRPr="00FD06AE">
              <w:rPr>
                <w:sz w:val="20"/>
                <w:vertAlign w:val="superscript"/>
              </w:rPr>
              <w:t>b</w:t>
            </w:r>
          </w:p>
        </w:tc>
        <w:tc>
          <w:tcPr>
            <w:tcW w:w="954"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7,094</w:t>
            </w:r>
          </w:p>
          <w:p w:rsidR="0004577B" w:rsidRPr="00FD06AE" w:rsidRDefault="0004577B" w:rsidP="003F4507">
            <w:pPr>
              <w:keepNext/>
              <w:keepLines/>
              <w:jc w:val="center"/>
              <w:rPr>
                <w:sz w:val="20"/>
              </w:rPr>
            </w:pPr>
            <w:r w:rsidRPr="00FD06AE">
              <w:rPr>
                <w:sz w:val="20"/>
              </w:rPr>
              <w:t>83.6%</w:t>
            </w:r>
            <w:r w:rsidRPr="00FD06AE">
              <w:rPr>
                <w:sz w:val="20"/>
                <w:vertAlign w:val="superscript"/>
              </w:rPr>
              <w:t>b</w:t>
            </w:r>
          </w:p>
        </w:tc>
        <w:tc>
          <w:tcPr>
            <w:tcW w:w="726"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9,455</w:t>
            </w:r>
          </w:p>
          <w:p w:rsidR="0004577B" w:rsidRPr="00FD06AE" w:rsidRDefault="0004577B" w:rsidP="003F4507">
            <w:pPr>
              <w:keepNext/>
              <w:keepLines/>
              <w:jc w:val="center"/>
              <w:rPr>
                <w:sz w:val="20"/>
              </w:rPr>
            </w:pPr>
            <w:r w:rsidRPr="00FD06AE">
              <w:rPr>
                <w:sz w:val="20"/>
              </w:rPr>
              <w:t>85.2%</w:t>
            </w:r>
            <w:r w:rsidRPr="00FD06AE">
              <w:rPr>
                <w:sz w:val="20"/>
                <w:vertAlign w:val="superscript"/>
              </w:rPr>
              <w:t>b</w:t>
            </w:r>
          </w:p>
        </w:tc>
      </w:tr>
      <w:tr w:rsidR="00FB513D" w:rsidRPr="00FD06AE" w:rsidTr="003F4507">
        <w:trPr>
          <w:trHeight w:val="210"/>
          <w:jc w:val="center"/>
        </w:trPr>
        <w:tc>
          <w:tcPr>
            <w:tcW w:w="1821"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rPr>
                <w:sz w:val="20"/>
              </w:rPr>
            </w:pPr>
            <w:r w:rsidRPr="00FD06AE">
              <w:rPr>
                <w:sz w:val="20"/>
              </w:rPr>
              <w:t>Oral fluid sample</w:t>
            </w:r>
          </w:p>
        </w:tc>
        <w:tc>
          <w:tcPr>
            <w:tcW w:w="832"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771"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953"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839" w:type="dxa"/>
            <w:tcBorders>
              <w:top w:val="single" w:sz="8" w:space="0" w:color="000000"/>
              <w:left w:val="single" w:sz="8" w:space="0" w:color="000000"/>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1,850</w:t>
            </w:r>
          </w:p>
          <w:p w:rsidR="0004577B" w:rsidRPr="00FD06AE" w:rsidRDefault="0004577B" w:rsidP="003F4507">
            <w:pPr>
              <w:keepNext/>
              <w:keepLines/>
              <w:jc w:val="center"/>
              <w:rPr>
                <w:sz w:val="20"/>
              </w:rPr>
            </w:pPr>
            <w:r w:rsidRPr="00FD06AE">
              <w:rPr>
                <w:sz w:val="20"/>
              </w:rPr>
              <w:t>73.3%</w:t>
            </w:r>
            <w:r w:rsidRPr="00FD06AE">
              <w:rPr>
                <w:sz w:val="20"/>
                <w:vertAlign w:val="superscript"/>
              </w:rPr>
              <w:t>b</w:t>
            </w:r>
          </w:p>
        </w:tc>
        <w:tc>
          <w:tcPr>
            <w:tcW w:w="954" w:type="dxa"/>
            <w:tcBorders>
              <w:top w:val="single" w:sz="8" w:space="0" w:color="000000"/>
              <w:left w:val="nil"/>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5,869</w:t>
            </w:r>
          </w:p>
          <w:p w:rsidR="0004577B" w:rsidRPr="00FD06AE" w:rsidRDefault="0004577B" w:rsidP="003F4507">
            <w:pPr>
              <w:keepNext/>
              <w:keepLines/>
              <w:jc w:val="center"/>
              <w:rPr>
                <w:sz w:val="20"/>
              </w:rPr>
            </w:pPr>
            <w:r w:rsidRPr="00FD06AE">
              <w:rPr>
                <w:sz w:val="20"/>
              </w:rPr>
              <w:t>70.0%</w:t>
            </w:r>
            <w:r w:rsidRPr="00FD06AE">
              <w:rPr>
                <w:sz w:val="20"/>
                <w:vertAlign w:val="superscript"/>
              </w:rPr>
              <w:t>b</w:t>
            </w:r>
          </w:p>
        </w:tc>
        <w:tc>
          <w:tcPr>
            <w:tcW w:w="726" w:type="dxa"/>
            <w:tcBorders>
              <w:top w:val="single" w:sz="8" w:space="0" w:color="000000"/>
              <w:left w:val="nil"/>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7,719</w:t>
            </w:r>
          </w:p>
          <w:p w:rsidR="0004577B" w:rsidRPr="00FD06AE" w:rsidRDefault="0004577B" w:rsidP="003F4507">
            <w:pPr>
              <w:keepNext/>
              <w:keepLines/>
              <w:jc w:val="center"/>
              <w:rPr>
                <w:sz w:val="20"/>
              </w:rPr>
            </w:pPr>
            <w:r w:rsidRPr="00FD06AE">
              <w:rPr>
                <w:sz w:val="20"/>
              </w:rPr>
              <w:t>70.7%</w:t>
            </w:r>
            <w:r w:rsidRPr="00FD06AE">
              <w:rPr>
                <w:sz w:val="20"/>
                <w:vertAlign w:val="superscript"/>
              </w:rPr>
              <w:t>b</w:t>
            </w:r>
          </w:p>
        </w:tc>
        <w:tc>
          <w:tcPr>
            <w:tcW w:w="981" w:type="dxa"/>
            <w:tcBorders>
              <w:top w:val="single" w:sz="8" w:space="0" w:color="000000"/>
              <w:left w:val="single" w:sz="8" w:space="0" w:color="000000"/>
              <w:bottom w:val="single" w:sz="8" w:space="0" w:color="000000"/>
              <w:right w:val="nil"/>
            </w:tcBorders>
            <w:vAlign w:val="bottom"/>
          </w:tcPr>
          <w:p w:rsidR="0004577B" w:rsidRPr="00FD06AE" w:rsidRDefault="0004577B" w:rsidP="003F4507">
            <w:pPr>
              <w:keepNext/>
              <w:keepLines/>
              <w:jc w:val="center"/>
              <w:rPr>
                <w:sz w:val="20"/>
              </w:rPr>
            </w:pPr>
            <w:r w:rsidRPr="00FD06AE">
              <w:rPr>
                <w:sz w:val="20"/>
              </w:rPr>
              <w:t>1,986</w:t>
            </w:r>
          </w:p>
          <w:p w:rsidR="0004577B" w:rsidRPr="00FD06AE" w:rsidRDefault="0004577B" w:rsidP="003F4507">
            <w:pPr>
              <w:keepNext/>
              <w:keepLines/>
              <w:jc w:val="center"/>
              <w:rPr>
                <w:sz w:val="20"/>
              </w:rPr>
            </w:pPr>
            <w:r w:rsidRPr="00FD06AE">
              <w:rPr>
                <w:sz w:val="20"/>
              </w:rPr>
              <w:t>75.9%</w:t>
            </w:r>
            <w:r w:rsidRPr="00FD06AE">
              <w:rPr>
                <w:sz w:val="20"/>
                <w:vertAlign w:val="superscript"/>
              </w:rPr>
              <w:t>b</w:t>
            </w:r>
          </w:p>
        </w:tc>
        <w:tc>
          <w:tcPr>
            <w:tcW w:w="954"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5,895</w:t>
            </w:r>
          </w:p>
          <w:p w:rsidR="0004577B" w:rsidRPr="00FD06AE" w:rsidRDefault="0004577B" w:rsidP="003F4507">
            <w:pPr>
              <w:keepNext/>
              <w:keepLines/>
              <w:jc w:val="center"/>
              <w:rPr>
                <w:sz w:val="20"/>
              </w:rPr>
            </w:pPr>
            <w:r w:rsidRPr="00FD06AE">
              <w:rPr>
                <w:sz w:val="20"/>
              </w:rPr>
              <w:t>69.5%</w:t>
            </w:r>
            <w:r w:rsidRPr="00FD06AE">
              <w:rPr>
                <w:sz w:val="20"/>
                <w:vertAlign w:val="superscript"/>
              </w:rPr>
              <w:t>b</w:t>
            </w:r>
          </w:p>
        </w:tc>
        <w:tc>
          <w:tcPr>
            <w:tcW w:w="726"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7,881</w:t>
            </w:r>
          </w:p>
          <w:p w:rsidR="0004577B" w:rsidRPr="00FD06AE" w:rsidRDefault="0004577B" w:rsidP="003F4507">
            <w:pPr>
              <w:keepNext/>
              <w:keepLines/>
              <w:jc w:val="center"/>
              <w:rPr>
                <w:sz w:val="20"/>
              </w:rPr>
            </w:pPr>
            <w:r w:rsidRPr="00FD06AE">
              <w:rPr>
                <w:sz w:val="20"/>
              </w:rPr>
              <w:t>71.0%</w:t>
            </w:r>
            <w:r w:rsidRPr="00FD06AE">
              <w:rPr>
                <w:sz w:val="20"/>
                <w:vertAlign w:val="superscript"/>
              </w:rPr>
              <w:t>b</w:t>
            </w:r>
          </w:p>
        </w:tc>
      </w:tr>
      <w:tr w:rsidR="00FB513D" w:rsidRPr="00FD06AE" w:rsidTr="003F4507">
        <w:trPr>
          <w:trHeight w:val="165"/>
          <w:jc w:val="center"/>
        </w:trPr>
        <w:tc>
          <w:tcPr>
            <w:tcW w:w="1821"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rPr>
                <w:sz w:val="20"/>
              </w:rPr>
            </w:pPr>
            <w:r w:rsidRPr="00FD06AE">
              <w:rPr>
                <w:sz w:val="20"/>
              </w:rPr>
              <w:t>Blood sample</w:t>
            </w:r>
          </w:p>
        </w:tc>
        <w:tc>
          <w:tcPr>
            <w:tcW w:w="832"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771"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953"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839" w:type="dxa"/>
            <w:tcBorders>
              <w:top w:val="single" w:sz="8" w:space="0" w:color="000000"/>
              <w:left w:val="single" w:sz="8" w:space="0" w:color="000000"/>
              <w:bottom w:val="single" w:sz="8" w:space="0" w:color="000000"/>
              <w:right w:val="nil"/>
            </w:tcBorders>
            <w:noWrap/>
            <w:vAlign w:val="center"/>
          </w:tcPr>
          <w:p w:rsidR="0004577B" w:rsidRPr="00FD06AE" w:rsidRDefault="0004577B" w:rsidP="003F4507">
            <w:pPr>
              <w:keepNext/>
              <w:keepLines/>
              <w:jc w:val="center"/>
              <w:rPr>
                <w:sz w:val="20"/>
              </w:rPr>
            </w:pPr>
            <w:r w:rsidRPr="00FD06AE">
              <w:rPr>
                <w:sz w:val="20"/>
              </w:rPr>
              <w:t>N/A</w:t>
            </w:r>
            <w:r w:rsidRPr="00FD06AE">
              <w:rPr>
                <w:sz w:val="20"/>
                <w:vertAlign w:val="superscript"/>
              </w:rPr>
              <w:t>c</w:t>
            </w:r>
          </w:p>
        </w:tc>
        <w:tc>
          <w:tcPr>
            <w:tcW w:w="954" w:type="dxa"/>
            <w:tcBorders>
              <w:top w:val="single" w:sz="8" w:space="0" w:color="000000"/>
              <w:left w:val="nil"/>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3,276</w:t>
            </w:r>
          </w:p>
          <w:p w:rsidR="0004577B" w:rsidRPr="00FD06AE" w:rsidRDefault="0004577B" w:rsidP="003F4507">
            <w:pPr>
              <w:keepNext/>
              <w:keepLines/>
              <w:jc w:val="center"/>
              <w:rPr>
                <w:sz w:val="20"/>
              </w:rPr>
            </w:pPr>
            <w:r w:rsidRPr="00FD06AE">
              <w:rPr>
                <w:sz w:val="20"/>
              </w:rPr>
              <w:t>39.1%</w:t>
            </w:r>
            <w:r w:rsidRPr="00FD06AE">
              <w:rPr>
                <w:sz w:val="20"/>
                <w:vertAlign w:val="superscript"/>
              </w:rPr>
              <w:t>b</w:t>
            </w:r>
          </w:p>
        </w:tc>
        <w:tc>
          <w:tcPr>
            <w:tcW w:w="726"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N/A</w:t>
            </w:r>
            <w:r w:rsidRPr="00FD06AE">
              <w:rPr>
                <w:sz w:val="20"/>
                <w:vertAlign w:val="superscript"/>
              </w:rPr>
              <w:t>c</w:t>
            </w:r>
          </w:p>
        </w:tc>
        <w:tc>
          <w:tcPr>
            <w:tcW w:w="981" w:type="dxa"/>
            <w:tcBorders>
              <w:top w:val="single" w:sz="8" w:space="0" w:color="000000"/>
              <w:left w:val="single" w:sz="8" w:space="0" w:color="000000"/>
              <w:bottom w:val="single" w:sz="8" w:space="0" w:color="000000"/>
              <w:right w:val="nil"/>
            </w:tcBorders>
            <w:vAlign w:val="bottom"/>
          </w:tcPr>
          <w:p w:rsidR="0004577B" w:rsidRPr="00FD06AE" w:rsidRDefault="0004577B" w:rsidP="003F4507">
            <w:pPr>
              <w:keepNext/>
              <w:keepLines/>
              <w:jc w:val="center"/>
              <w:rPr>
                <w:b/>
                <w:sz w:val="20"/>
                <w:u w:val="single"/>
              </w:rPr>
            </w:pPr>
            <w:r w:rsidRPr="00FD06AE">
              <w:rPr>
                <w:b/>
                <w:sz w:val="20"/>
                <w:u w:val="single"/>
              </w:rPr>
              <w:t>1,263</w:t>
            </w:r>
          </w:p>
          <w:p w:rsidR="0004577B" w:rsidRPr="00FD06AE" w:rsidRDefault="0004577B" w:rsidP="003F4507">
            <w:pPr>
              <w:keepNext/>
              <w:keepLines/>
              <w:jc w:val="center"/>
              <w:rPr>
                <w:b/>
                <w:sz w:val="20"/>
                <w:u w:val="single"/>
              </w:rPr>
            </w:pPr>
            <w:r w:rsidRPr="00FD06AE">
              <w:rPr>
                <w:b/>
                <w:sz w:val="20"/>
                <w:u w:val="single"/>
              </w:rPr>
              <w:t>48.3%</w:t>
            </w:r>
            <w:r w:rsidRPr="00FD06AE">
              <w:rPr>
                <w:b/>
                <w:sz w:val="20"/>
                <w:u w:val="single"/>
                <w:vertAlign w:val="superscript"/>
              </w:rPr>
              <w:t>b</w:t>
            </w:r>
          </w:p>
        </w:tc>
        <w:tc>
          <w:tcPr>
            <w:tcW w:w="954"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b/>
                <w:sz w:val="20"/>
                <w:u w:val="single"/>
              </w:rPr>
            </w:pPr>
            <w:r w:rsidRPr="00FD06AE">
              <w:rPr>
                <w:b/>
                <w:sz w:val="20"/>
                <w:u w:val="single"/>
              </w:rPr>
              <w:t>3,423</w:t>
            </w:r>
          </w:p>
          <w:p w:rsidR="0004577B" w:rsidRPr="00FD06AE" w:rsidRDefault="0004577B" w:rsidP="003F4507">
            <w:pPr>
              <w:keepNext/>
              <w:keepLines/>
              <w:jc w:val="center"/>
              <w:rPr>
                <w:b/>
                <w:sz w:val="20"/>
                <w:u w:val="single"/>
              </w:rPr>
            </w:pPr>
            <w:r w:rsidRPr="00FD06AE">
              <w:rPr>
                <w:b/>
                <w:sz w:val="20"/>
                <w:u w:val="single"/>
              </w:rPr>
              <w:t>40.4%</w:t>
            </w:r>
            <w:r w:rsidRPr="00FD06AE">
              <w:rPr>
                <w:b/>
                <w:sz w:val="20"/>
                <w:u w:val="single"/>
                <w:vertAlign w:val="superscript"/>
              </w:rPr>
              <w:t>b</w:t>
            </w:r>
          </w:p>
        </w:tc>
        <w:tc>
          <w:tcPr>
            <w:tcW w:w="726"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b/>
                <w:sz w:val="20"/>
                <w:u w:val="single"/>
              </w:rPr>
            </w:pPr>
            <w:r w:rsidRPr="00FD06AE">
              <w:rPr>
                <w:b/>
                <w:sz w:val="20"/>
                <w:u w:val="single"/>
              </w:rPr>
              <w:t>4,686</w:t>
            </w:r>
          </w:p>
          <w:p w:rsidR="0004577B" w:rsidRPr="00FD06AE" w:rsidRDefault="0004577B" w:rsidP="003F4507">
            <w:pPr>
              <w:keepNext/>
              <w:keepLines/>
              <w:jc w:val="center"/>
              <w:rPr>
                <w:b/>
                <w:sz w:val="20"/>
                <w:u w:val="single"/>
              </w:rPr>
            </w:pPr>
            <w:r w:rsidRPr="00FD06AE">
              <w:rPr>
                <w:b/>
                <w:sz w:val="20"/>
                <w:u w:val="single"/>
              </w:rPr>
              <w:t>42.2%</w:t>
            </w:r>
            <w:r w:rsidRPr="00FD06AE">
              <w:rPr>
                <w:b/>
                <w:sz w:val="20"/>
                <w:u w:val="single"/>
                <w:vertAlign w:val="superscript"/>
              </w:rPr>
              <w:t>b</w:t>
            </w:r>
          </w:p>
        </w:tc>
      </w:tr>
      <w:tr w:rsidR="00FB513D" w:rsidRPr="00FD06AE" w:rsidTr="003F4507">
        <w:trPr>
          <w:trHeight w:val="228"/>
          <w:jc w:val="center"/>
        </w:trPr>
        <w:tc>
          <w:tcPr>
            <w:tcW w:w="1821" w:type="dxa"/>
            <w:tcBorders>
              <w:top w:val="single" w:sz="8" w:space="0" w:color="000000"/>
              <w:left w:val="nil"/>
              <w:bottom w:val="single" w:sz="8" w:space="0" w:color="000000"/>
              <w:right w:val="single" w:sz="8" w:space="0" w:color="000000"/>
            </w:tcBorders>
            <w:noWrap/>
            <w:vAlign w:val="center"/>
          </w:tcPr>
          <w:p w:rsidR="0004577B" w:rsidRPr="00FD06AE" w:rsidRDefault="0004577B" w:rsidP="003F4507">
            <w:pPr>
              <w:keepNext/>
              <w:keepLines/>
              <w:rPr>
                <w:sz w:val="20"/>
              </w:rPr>
            </w:pPr>
            <w:r w:rsidRPr="00FD06AE">
              <w:rPr>
                <w:sz w:val="20"/>
              </w:rPr>
              <w:t>AUD and/or drug questionnaire</w:t>
            </w:r>
          </w:p>
        </w:tc>
        <w:tc>
          <w:tcPr>
            <w:tcW w:w="832"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771"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953" w:type="dxa"/>
            <w:tcBorders>
              <w:top w:val="single" w:sz="8" w:space="0" w:color="000000"/>
              <w:left w:val="single" w:sz="8" w:space="0" w:color="000000"/>
              <w:bottom w:val="single" w:sz="8"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839" w:type="dxa"/>
            <w:tcBorders>
              <w:top w:val="single" w:sz="8" w:space="0" w:color="000000"/>
              <w:left w:val="single" w:sz="8" w:space="0" w:color="000000"/>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1,889</w:t>
            </w:r>
          </w:p>
          <w:p w:rsidR="0004577B" w:rsidRPr="00FD06AE" w:rsidRDefault="0004577B" w:rsidP="003F4507">
            <w:pPr>
              <w:keepNext/>
              <w:keepLines/>
              <w:jc w:val="center"/>
              <w:rPr>
                <w:sz w:val="20"/>
              </w:rPr>
            </w:pPr>
            <w:r w:rsidRPr="00FD06AE">
              <w:rPr>
                <w:sz w:val="20"/>
              </w:rPr>
              <w:t>75.2%</w:t>
            </w:r>
            <w:r w:rsidRPr="00FD06AE">
              <w:rPr>
                <w:sz w:val="20"/>
                <w:vertAlign w:val="superscript"/>
              </w:rPr>
              <w:t>b</w:t>
            </w:r>
          </w:p>
        </w:tc>
        <w:tc>
          <w:tcPr>
            <w:tcW w:w="954" w:type="dxa"/>
            <w:tcBorders>
              <w:top w:val="single" w:sz="8" w:space="0" w:color="000000"/>
              <w:left w:val="nil"/>
              <w:bottom w:val="single" w:sz="8" w:space="0" w:color="000000"/>
              <w:right w:val="nil"/>
            </w:tcBorders>
            <w:noWrap/>
            <w:vAlign w:val="bottom"/>
          </w:tcPr>
          <w:p w:rsidR="0004577B" w:rsidRPr="00FD06AE" w:rsidRDefault="0004577B" w:rsidP="003F4507">
            <w:pPr>
              <w:keepNext/>
              <w:keepLines/>
              <w:jc w:val="center"/>
              <w:rPr>
                <w:sz w:val="20"/>
              </w:rPr>
            </w:pPr>
            <w:r w:rsidRPr="00FD06AE">
              <w:rPr>
                <w:sz w:val="20"/>
              </w:rPr>
              <w:t>5,983</w:t>
            </w:r>
          </w:p>
          <w:p w:rsidR="0004577B" w:rsidRPr="00FD06AE" w:rsidRDefault="0004577B" w:rsidP="003F4507">
            <w:pPr>
              <w:keepNext/>
              <w:keepLines/>
              <w:jc w:val="center"/>
              <w:rPr>
                <w:sz w:val="20"/>
              </w:rPr>
            </w:pPr>
            <w:r w:rsidRPr="00FD06AE">
              <w:rPr>
                <w:sz w:val="20"/>
              </w:rPr>
              <w:t>71.4%</w:t>
            </w:r>
            <w:r w:rsidRPr="00FD06AE">
              <w:rPr>
                <w:sz w:val="20"/>
                <w:vertAlign w:val="superscript"/>
              </w:rPr>
              <w:t>b</w:t>
            </w:r>
          </w:p>
        </w:tc>
        <w:tc>
          <w:tcPr>
            <w:tcW w:w="726" w:type="dxa"/>
            <w:tcBorders>
              <w:top w:val="single" w:sz="8" w:space="0" w:color="000000"/>
              <w:left w:val="nil"/>
              <w:bottom w:val="single" w:sz="8"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7,882</w:t>
            </w:r>
          </w:p>
          <w:p w:rsidR="0004577B" w:rsidRPr="00FD06AE" w:rsidRDefault="0004577B" w:rsidP="003F4507">
            <w:pPr>
              <w:keepNext/>
              <w:keepLines/>
              <w:jc w:val="center"/>
              <w:rPr>
                <w:sz w:val="20"/>
              </w:rPr>
            </w:pPr>
            <w:r w:rsidRPr="00FD06AE">
              <w:rPr>
                <w:sz w:val="20"/>
              </w:rPr>
              <w:t>72.2%</w:t>
            </w:r>
            <w:r w:rsidRPr="00FD06AE">
              <w:rPr>
                <w:sz w:val="20"/>
                <w:vertAlign w:val="superscript"/>
              </w:rPr>
              <w:t>b</w:t>
            </w:r>
          </w:p>
        </w:tc>
        <w:tc>
          <w:tcPr>
            <w:tcW w:w="981" w:type="dxa"/>
            <w:tcBorders>
              <w:top w:val="single" w:sz="8" w:space="0" w:color="000000"/>
              <w:left w:val="single" w:sz="8" w:space="0" w:color="000000"/>
              <w:bottom w:val="single" w:sz="8" w:space="0" w:color="000000"/>
              <w:right w:val="nil"/>
            </w:tcBorders>
            <w:vAlign w:val="bottom"/>
          </w:tcPr>
          <w:p w:rsidR="0004577B" w:rsidRPr="00FD06AE" w:rsidRDefault="0004577B" w:rsidP="003F4507">
            <w:pPr>
              <w:keepNext/>
              <w:keepLines/>
              <w:jc w:val="center"/>
              <w:rPr>
                <w:sz w:val="20"/>
              </w:rPr>
            </w:pPr>
            <w:r w:rsidRPr="00FD06AE">
              <w:rPr>
                <w:sz w:val="20"/>
              </w:rPr>
              <w:t>1,848</w:t>
            </w:r>
          </w:p>
          <w:p w:rsidR="0004577B" w:rsidRPr="00FD06AE" w:rsidRDefault="0004577B" w:rsidP="003F4507">
            <w:pPr>
              <w:keepNext/>
              <w:keepLines/>
              <w:jc w:val="center"/>
              <w:rPr>
                <w:sz w:val="20"/>
              </w:rPr>
            </w:pPr>
            <w:r w:rsidRPr="00FD06AE">
              <w:rPr>
                <w:sz w:val="20"/>
              </w:rPr>
              <w:t>70.6%</w:t>
            </w:r>
            <w:r w:rsidRPr="00FD06AE">
              <w:rPr>
                <w:sz w:val="20"/>
                <w:vertAlign w:val="superscript"/>
              </w:rPr>
              <w:t>b</w:t>
            </w:r>
          </w:p>
        </w:tc>
        <w:tc>
          <w:tcPr>
            <w:tcW w:w="954"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5,592</w:t>
            </w:r>
          </w:p>
          <w:p w:rsidR="0004577B" w:rsidRPr="00FD06AE" w:rsidRDefault="0004577B" w:rsidP="003F4507">
            <w:pPr>
              <w:keepNext/>
              <w:keepLines/>
              <w:jc w:val="center"/>
              <w:rPr>
                <w:sz w:val="20"/>
              </w:rPr>
            </w:pPr>
            <w:r w:rsidRPr="00FD06AE">
              <w:rPr>
                <w:sz w:val="20"/>
              </w:rPr>
              <w:t>65.9%</w:t>
            </w:r>
            <w:r w:rsidRPr="00FD06AE">
              <w:rPr>
                <w:sz w:val="20"/>
                <w:vertAlign w:val="superscript"/>
              </w:rPr>
              <w:t>b</w:t>
            </w:r>
          </w:p>
        </w:tc>
        <w:tc>
          <w:tcPr>
            <w:tcW w:w="726" w:type="dxa"/>
            <w:tcBorders>
              <w:top w:val="single" w:sz="8" w:space="0" w:color="000000"/>
              <w:left w:val="nil"/>
              <w:bottom w:val="single" w:sz="8" w:space="0" w:color="000000"/>
              <w:right w:val="nil"/>
            </w:tcBorders>
            <w:vAlign w:val="bottom"/>
          </w:tcPr>
          <w:p w:rsidR="0004577B" w:rsidRPr="00FD06AE" w:rsidRDefault="0004577B" w:rsidP="003F4507">
            <w:pPr>
              <w:keepNext/>
              <w:keepLines/>
              <w:jc w:val="center"/>
              <w:rPr>
                <w:sz w:val="20"/>
              </w:rPr>
            </w:pPr>
            <w:r w:rsidRPr="00FD06AE">
              <w:rPr>
                <w:sz w:val="20"/>
              </w:rPr>
              <w:t>7,440</w:t>
            </w:r>
          </w:p>
          <w:p w:rsidR="0004577B" w:rsidRPr="00FD06AE" w:rsidRDefault="0004577B" w:rsidP="003F4507">
            <w:pPr>
              <w:keepNext/>
              <w:keepLines/>
              <w:jc w:val="center"/>
              <w:rPr>
                <w:sz w:val="20"/>
              </w:rPr>
            </w:pPr>
            <w:r w:rsidRPr="00FD06AE">
              <w:rPr>
                <w:sz w:val="20"/>
              </w:rPr>
              <w:t>67.0%</w:t>
            </w:r>
            <w:r w:rsidRPr="00FD06AE">
              <w:rPr>
                <w:sz w:val="20"/>
                <w:vertAlign w:val="superscript"/>
              </w:rPr>
              <w:t>b</w:t>
            </w:r>
          </w:p>
        </w:tc>
      </w:tr>
      <w:tr w:rsidR="0004577B" w:rsidRPr="00FD06AE" w:rsidTr="006B36A2">
        <w:trPr>
          <w:trHeight w:val="345"/>
          <w:jc w:val="center"/>
        </w:trPr>
        <w:tc>
          <w:tcPr>
            <w:tcW w:w="1821" w:type="dxa"/>
            <w:tcBorders>
              <w:top w:val="single" w:sz="8" w:space="0" w:color="000000"/>
              <w:bottom w:val="single" w:sz="12" w:space="0" w:color="000000"/>
              <w:right w:val="single" w:sz="8" w:space="0" w:color="000000"/>
            </w:tcBorders>
            <w:noWrap/>
            <w:vAlign w:val="center"/>
          </w:tcPr>
          <w:p w:rsidR="0004577B" w:rsidRPr="00FD06AE" w:rsidRDefault="0004577B" w:rsidP="003F4507">
            <w:pPr>
              <w:keepNext/>
              <w:keepLines/>
              <w:rPr>
                <w:sz w:val="20"/>
              </w:rPr>
            </w:pPr>
            <w:r w:rsidRPr="00FD06AE">
              <w:rPr>
                <w:sz w:val="20"/>
              </w:rPr>
              <w:t>Passenger questionnaire</w:t>
            </w:r>
          </w:p>
        </w:tc>
        <w:tc>
          <w:tcPr>
            <w:tcW w:w="832" w:type="dxa"/>
            <w:tcBorders>
              <w:top w:val="single" w:sz="8" w:space="0" w:color="000000"/>
              <w:left w:val="single" w:sz="8" w:space="0" w:color="000000"/>
              <w:bottom w:val="single" w:sz="12"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771" w:type="dxa"/>
            <w:tcBorders>
              <w:top w:val="single" w:sz="8" w:space="0" w:color="000000"/>
              <w:left w:val="single" w:sz="8" w:space="0" w:color="000000"/>
              <w:bottom w:val="single" w:sz="12" w:space="0" w:color="000000"/>
              <w:right w:val="single" w:sz="8" w:space="0" w:color="000000"/>
            </w:tcBorders>
            <w:noWrap/>
            <w:vAlign w:val="center"/>
          </w:tcPr>
          <w:p w:rsidR="0004577B" w:rsidRPr="00FD06AE" w:rsidRDefault="0004577B" w:rsidP="003F4507">
            <w:pPr>
              <w:keepNext/>
              <w:keepLines/>
              <w:jc w:val="center"/>
              <w:rPr>
                <w:sz w:val="20"/>
              </w:rPr>
            </w:pPr>
            <w:r w:rsidRPr="00FD06AE">
              <w:rPr>
                <w:sz w:val="20"/>
              </w:rPr>
              <w:t>--</w:t>
            </w:r>
          </w:p>
        </w:tc>
        <w:tc>
          <w:tcPr>
            <w:tcW w:w="953" w:type="dxa"/>
            <w:tcBorders>
              <w:top w:val="single" w:sz="8" w:space="0" w:color="000000"/>
              <w:left w:val="single" w:sz="8" w:space="0" w:color="000000"/>
              <w:bottom w:val="single" w:sz="12" w:space="0" w:color="000000"/>
              <w:right w:val="single" w:sz="8" w:space="0" w:color="000000"/>
            </w:tcBorders>
            <w:noWrap/>
            <w:vAlign w:val="center"/>
          </w:tcPr>
          <w:p w:rsidR="0004577B" w:rsidRPr="00FD06AE" w:rsidRDefault="0004577B" w:rsidP="003F4507">
            <w:pPr>
              <w:keepNext/>
              <w:keepLines/>
              <w:jc w:val="center"/>
              <w:rPr>
                <w:sz w:val="20"/>
              </w:rPr>
            </w:pPr>
            <w:r w:rsidRPr="00FD06AE">
              <w:rPr>
                <w:rFonts w:eastAsia="SimSun"/>
                <w:sz w:val="20"/>
              </w:rPr>
              <w:t>--</w:t>
            </w:r>
          </w:p>
        </w:tc>
        <w:tc>
          <w:tcPr>
            <w:tcW w:w="839" w:type="dxa"/>
            <w:tcBorders>
              <w:top w:val="single" w:sz="8" w:space="0" w:color="000000"/>
              <w:left w:val="single" w:sz="8" w:space="0" w:color="000000"/>
              <w:bottom w:val="single" w:sz="12" w:space="0" w:color="000000"/>
            </w:tcBorders>
            <w:noWrap/>
            <w:vAlign w:val="bottom"/>
          </w:tcPr>
          <w:p w:rsidR="0004577B" w:rsidRPr="00FD06AE" w:rsidRDefault="0004577B" w:rsidP="003F4507">
            <w:pPr>
              <w:keepNext/>
              <w:keepLines/>
              <w:jc w:val="center"/>
              <w:rPr>
                <w:sz w:val="20"/>
              </w:rPr>
            </w:pPr>
            <w:r w:rsidRPr="00FD06AE">
              <w:rPr>
                <w:sz w:val="20"/>
              </w:rPr>
              <w:t>220</w:t>
            </w:r>
          </w:p>
          <w:p w:rsidR="0004577B" w:rsidRPr="00FD06AE" w:rsidRDefault="0004577B" w:rsidP="003F4507">
            <w:pPr>
              <w:keepNext/>
              <w:keepLines/>
              <w:jc w:val="center"/>
              <w:rPr>
                <w:sz w:val="20"/>
              </w:rPr>
            </w:pPr>
            <w:r w:rsidRPr="00FD06AE">
              <w:rPr>
                <w:sz w:val="20"/>
              </w:rPr>
              <w:t>8.7%</w:t>
            </w:r>
            <w:r w:rsidRPr="00FD06AE">
              <w:rPr>
                <w:sz w:val="20"/>
                <w:vertAlign w:val="superscript"/>
              </w:rPr>
              <w:t>b</w:t>
            </w:r>
          </w:p>
        </w:tc>
        <w:tc>
          <w:tcPr>
            <w:tcW w:w="954" w:type="dxa"/>
            <w:tcBorders>
              <w:top w:val="single" w:sz="8" w:space="0" w:color="000000"/>
              <w:bottom w:val="single" w:sz="12" w:space="0" w:color="000000"/>
            </w:tcBorders>
            <w:noWrap/>
            <w:vAlign w:val="bottom"/>
          </w:tcPr>
          <w:p w:rsidR="0004577B" w:rsidRPr="00FD06AE" w:rsidRDefault="0004577B" w:rsidP="003F4507">
            <w:pPr>
              <w:keepNext/>
              <w:keepLines/>
              <w:jc w:val="center"/>
              <w:rPr>
                <w:sz w:val="20"/>
              </w:rPr>
            </w:pPr>
            <w:r w:rsidRPr="00FD06AE">
              <w:rPr>
                <w:sz w:val="20"/>
              </w:rPr>
              <w:t>1,393</w:t>
            </w:r>
          </w:p>
          <w:p w:rsidR="0004577B" w:rsidRPr="00FD06AE" w:rsidRDefault="0004577B" w:rsidP="003F4507">
            <w:pPr>
              <w:keepNext/>
              <w:keepLines/>
              <w:jc w:val="center"/>
              <w:rPr>
                <w:sz w:val="20"/>
              </w:rPr>
            </w:pPr>
            <w:r w:rsidRPr="00FD06AE">
              <w:rPr>
                <w:sz w:val="20"/>
              </w:rPr>
              <w:t>16.6%</w:t>
            </w:r>
            <w:r w:rsidRPr="00FD06AE">
              <w:rPr>
                <w:sz w:val="20"/>
                <w:vertAlign w:val="superscript"/>
              </w:rPr>
              <w:t>b</w:t>
            </w:r>
          </w:p>
        </w:tc>
        <w:tc>
          <w:tcPr>
            <w:tcW w:w="726" w:type="dxa"/>
            <w:tcBorders>
              <w:top w:val="single" w:sz="8" w:space="0" w:color="000000"/>
              <w:bottom w:val="single" w:sz="12" w:space="0" w:color="000000"/>
              <w:right w:val="single" w:sz="8" w:space="0" w:color="000000"/>
            </w:tcBorders>
            <w:noWrap/>
            <w:vAlign w:val="bottom"/>
          </w:tcPr>
          <w:p w:rsidR="0004577B" w:rsidRPr="00FD06AE" w:rsidRDefault="0004577B" w:rsidP="003F4507">
            <w:pPr>
              <w:keepNext/>
              <w:keepLines/>
              <w:jc w:val="center"/>
              <w:rPr>
                <w:sz w:val="20"/>
              </w:rPr>
            </w:pPr>
            <w:r w:rsidRPr="00FD06AE">
              <w:rPr>
                <w:sz w:val="20"/>
              </w:rPr>
              <w:t>1,613</w:t>
            </w:r>
          </w:p>
          <w:p w:rsidR="0004577B" w:rsidRPr="00FD06AE" w:rsidRDefault="0004577B" w:rsidP="003F4507">
            <w:pPr>
              <w:keepNext/>
              <w:keepLines/>
              <w:jc w:val="center"/>
              <w:rPr>
                <w:sz w:val="20"/>
              </w:rPr>
            </w:pPr>
            <w:r w:rsidRPr="00FD06AE">
              <w:rPr>
                <w:sz w:val="20"/>
              </w:rPr>
              <w:t>14.8%</w:t>
            </w:r>
            <w:r w:rsidRPr="00FD06AE">
              <w:rPr>
                <w:sz w:val="20"/>
                <w:vertAlign w:val="superscript"/>
              </w:rPr>
              <w:t>b</w:t>
            </w:r>
          </w:p>
        </w:tc>
        <w:tc>
          <w:tcPr>
            <w:tcW w:w="2661" w:type="dxa"/>
            <w:gridSpan w:val="3"/>
            <w:tcBorders>
              <w:top w:val="single" w:sz="8" w:space="0" w:color="000000"/>
              <w:left w:val="single" w:sz="8" w:space="0" w:color="000000"/>
              <w:bottom w:val="single" w:sz="12" w:space="0" w:color="000000"/>
            </w:tcBorders>
            <w:vAlign w:val="center"/>
          </w:tcPr>
          <w:p w:rsidR="0004577B" w:rsidRPr="00FD06AE" w:rsidRDefault="0004577B" w:rsidP="003F4507">
            <w:pPr>
              <w:keepNext/>
              <w:keepLines/>
              <w:jc w:val="center"/>
              <w:rPr>
                <w:sz w:val="20"/>
              </w:rPr>
            </w:pPr>
            <w:r w:rsidRPr="00FD06AE">
              <w:rPr>
                <w:sz w:val="20"/>
              </w:rPr>
              <w:t>Not available at time of publication</w:t>
            </w:r>
          </w:p>
        </w:tc>
      </w:tr>
    </w:tbl>
    <w:p w:rsidR="00584BE8" w:rsidRPr="00FD06AE" w:rsidRDefault="0004577B" w:rsidP="00EE0425">
      <w:pPr>
        <w:pStyle w:val="BodyText"/>
        <w:keepNext/>
        <w:keepLines/>
        <w:spacing w:before="0" w:after="0"/>
        <w:rPr>
          <w:sz w:val="20"/>
        </w:rPr>
      </w:pPr>
      <w:r w:rsidRPr="00FD06AE">
        <w:rPr>
          <w:sz w:val="20"/>
          <w:vertAlign w:val="superscript"/>
        </w:rPr>
        <w:t>a</w:t>
      </w:r>
      <w:r w:rsidRPr="00FD06AE">
        <w:rPr>
          <w:sz w:val="20"/>
        </w:rPr>
        <w:t xml:space="preserve"> When this number was not available (i.e., for six locations and 21 sessions), researchers estimated it based on the type of police involvement at the location.</w:t>
      </w:r>
      <w:r w:rsidR="00EE0425" w:rsidRPr="00FD06AE">
        <w:rPr>
          <w:sz w:val="20"/>
          <w:szCs w:val="20"/>
        </w:rPr>
        <w:t xml:space="preserve"> </w:t>
      </w:r>
      <w:r w:rsidRPr="00FD06AE">
        <w:rPr>
          <w:sz w:val="20"/>
          <w:vertAlign w:val="superscript"/>
        </w:rPr>
        <w:t>b</w:t>
      </w:r>
      <w:r w:rsidRPr="00FD06AE">
        <w:rPr>
          <w:sz w:val="20"/>
        </w:rPr>
        <w:t xml:space="preserve"> Percentage of eligible drivers. </w:t>
      </w:r>
      <w:r w:rsidRPr="00FD06AE">
        <w:rPr>
          <w:sz w:val="20"/>
          <w:vertAlign w:val="superscript"/>
        </w:rPr>
        <w:t xml:space="preserve">c </w:t>
      </w:r>
      <w:r w:rsidRPr="00FD06AE">
        <w:rPr>
          <w:sz w:val="20"/>
        </w:rPr>
        <w:t>N/A (not applicable) because blood samples were not collected at daytime sessions.</w:t>
      </w:r>
    </w:p>
    <w:p w:rsidR="007329B1" w:rsidRPr="00FD06AE" w:rsidRDefault="007329B1" w:rsidP="00EE0425">
      <w:pPr>
        <w:pStyle w:val="BodyText"/>
        <w:spacing w:before="0" w:after="0"/>
        <w:rPr>
          <w:sz w:val="20"/>
          <w:szCs w:val="20"/>
        </w:rPr>
      </w:pPr>
      <w:r w:rsidRPr="00FD06AE">
        <w:rPr>
          <w:sz w:val="20"/>
          <w:szCs w:val="20"/>
        </w:rPr>
        <w:t xml:space="preserve">Note: Reprinted from Kelley-Baker, T., Berning, A., Ramirez, A., Lacey, J. H., Carr, K., Waehrer, G., Compton, R. (2017, May). </w:t>
      </w:r>
      <w:r w:rsidRPr="00FD06AE">
        <w:rPr>
          <w:i/>
          <w:sz w:val="20"/>
          <w:szCs w:val="20"/>
        </w:rPr>
        <w:t xml:space="preserve">2013-2014 National Roadside Study of alcohol and drug use by drivers: Drug results </w:t>
      </w:r>
      <w:r w:rsidRPr="00FD06AE">
        <w:rPr>
          <w:sz w:val="20"/>
          <w:szCs w:val="20"/>
        </w:rPr>
        <w:t>(Report No. DOT HS 812 411). Washington, DC: National Highway Traffic Safety Administration.</w:t>
      </w:r>
    </w:p>
    <w:p w:rsidR="00183AFA" w:rsidRPr="00FD06AE" w:rsidRDefault="00183AFA" w:rsidP="00EE0425">
      <w:pPr>
        <w:pStyle w:val="BodyText"/>
        <w:spacing w:before="0" w:after="0"/>
        <w:rPr>
          <w:sz w:val="20"/>
          <w:szCs w:val="20"/>
        </w:rPr>
      </w:pPr>
    </w:p>
    <w:p w:rsidR="004D3DC6" w:rsidRPr="00FD06AE" w:rsidRDefault="00E41B2B" w:rsidP="00E41B2B">
      <w:pPr>
        <w:pStyle w:val="Caption"/>
        <w:rPr>
          <w:rFonts w:ascii="Times New Roman" w:hAnsi="Times New Roman"/>
          <w:sz w:val="24"/>
        </w:rPr>
      </w:pPr>
      <w:r w:rsidRPr="00FD06AE">
        <w:rPr>
          <w:rFonts w:ascii="Times New Roman" w:hAnsi="Times New Roman"/>
          <w:sz w:val="24"/>
        </w:rPr>
        <w:t xml:space="preserve">Table 7. </w:t>
      </w:r>
      <w:r w:rsidR="00BC5444" w:rsidRPr="00FD06AE">
        <w:rPr>
          <w:rFonts w:ascii="Times New Roman" w:hAnsi="Times New Roman"/>
          <w:sz w:val="24"/>
        </w:rPr>
        <w:t xml:space="preserve">Virginia Beach Crash Risk: </w:t>
      </w:r>
      <w:r w:rsidR="002E606B" w:rsidRPr="00FD06AE">
        <w:rPr>
          <w:rFonts w:ascii="Times New Roman" w:hAnsi="Times New Roman"/>
          <w:sz w:val="24"/>
        </w:rPr>
        <w:t>Number of Oral Fluid and/or Blood Samples</w:t>
      </w:r>
    </w:p>
    <w:tbl>
      <w:tblPr>
        <w:tblW w:w="9378" w:type="dxa"/>
        <w:tblLook w:val="04A0" w:firstRow="1" w:lastRow="0" w:firstColumn="1" w:lastColumn="0" w:noHBand="0" w:noVBand="1"/>
      </w:tblPr>
      <w:tblGrid>
        <w:gridCol w:w="4698"/>
        <w:gridCol w:w="2610"/>
        <w:gridCol w:w="2070"/>
      </w:tblGrid>
      <w:tr w:rsidR="004D3DC6" w:rsidRPr="00FD06AE" w:rsidTr="003F4507">
        <w:trPr>
          <w:trHeight w:val="583"/>
        </w:trPr>
        <w:tc>
          <w:tcPr>
            <w:tcW w:w="4698" w:type="dxa"/>
            <w:tcBorders>
              <w:top w:val="single" w:sz="8" w:space="0" w:color="auto"/>
              <w:left w:val="nil"/>
              <w:bottom w:val="single" w:sz="8" w:space="0" w:color="auto"/>
              <w:right w:val="single" w:sz="8" w:space="0" w:color="auto"/>
            </w:tcBorders>
            <w:shd w:val="clear" w:color="auto" w:fill="auto"/>
            <w:noWrap/>
            <w:vAlign w:val="bottom"/>
            <w:hideMark/>
          </w:tcPr>
          <w:p w:rsidR="004D3DC6" w:rsidRPr="00FD06AE" w:rsidRDefault="004D3DC6" w:rsidP="003F4507">
            <w:pPr>
              <w:keepNext/>
              <w:keepLines/>
            </w:pPr>
            <w:r w:rsidRPr="00FD06AE">
              <w:t> </w:t>
            </w:r>
          </w:p>
        </w:tc>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3DC6" w:rsidRPr="00FD06AE" w:rsidRDefault="004D3DC6" w:rsidP="003F4507">
            <w:pPr>
              <w:keepNext/>
              <w:keepLines/>
              <w:jc w:val="center"/>
              <w:rPr>
                <w:bCs/>
                <w:szCs w:val="20"/>
              </w:rPr>
            </w:pPr>
            <w:r w:rsidRPr="00FD06AE">
              <w:rPr>
                <w:bCs/>
                <w:szCs w:val="20"/>
              </w:rPr>
              <w:t>Crash-Involved</w:t>
            </w:r>
          </w:p>
          <w:p w:rsidR="004D3DC6" w:rsidRPr="00FD06AE" w:rsidRDefault="004D3DC6" w:rsidP="003F4507">
            <w:pPr>
              <w:keepNext/>
              <w:keepLines/>
              <w:jc w:val="center"/>
              <w:rPr>
                <w:bCs/>
                <w:szCs w:val="20"/>
              </w:rPr>
            </w:pPr>
            <w:r w:rsidRPr="00FD06AE">
              <w:rPr>
                <w:bCs/>
                <w:szCs w:val="20"/>
              </w:rPr>
              <w:t>Drivers</w:t>
            </w:r>
          </w:p>
        </w:tc>
        <w:tc>
          <w:tcPr>
            <w:tcW w:w="2070" w:type="dxa"/>
            <w:tcBorders>
              <w:top w:val="single" w:sz="8" w:space="0" w:color="auto"/>
              <w:left w:val="single" w:sz="8" w:space="0" w:color="auto"/>
              <w:bottom w:val="single" w:sz="8" w:space="0" w:color="auto"/>
              <w:right w:val="nil"/>
            </w:tcBorders>
            <w:shd w:val="clear" w:color="auto" w:fill="auto"/>
            <w:noWrap/>
            <w:vAlign w:val="bottom"/>
            <w:hideMark/>
          </w:tcPr>
          <w:p w:rsidR="004D3DC6" w:rsidRPr="00FD06AE" w:rsidRDefault="004D3DC6" w:rsidP="003F4507">
            <w:pPr>
              <w:keepNext/>
              <w:keepLines/>
              <w:jc w:val="center"/>
              <w:rPr>
                <w:bCs/>
                <w:szCs w:val="20"/>
              </w:rPr>
            </w:pPr>
            <w:r w:rsidRPr="00FD06AE">
              <w:rPr>
                <w:bCs/>
                <w:szCs w:val="20"/>
              </w:rPr>
              <w:t>Control</w:t>
            </w:r>
          </w:p>
          <w:p w:rsidR="004D3DC6" w:rsidRPr="00FD06AE" w:rsidRDefault="004D3DC6" w:rsidP="003F4507">
            <w:pPr>
              <w:keepNext/>
              <w:keepLines/>
              <w:jc w:val="center"/>
              <w:rPr>
                <w:bCs/>
                <w:szCs w:val="20"/>
              </w:rPr>
            </w:pPr>
            <w:r w:rsidRPr="00FD06AE">
              <w:rPr>
                <w:bCs/>
                <w:szCs w:val="20"/>
              </w:rPr>
              <w:t>Drivers</w:t>
            </w:r>
          </w:p>
        </w:tc>
      </w:tr>
      <w:tr w:rsidR="004D3DC6" w:rsidRPr="00FD06AE" w:rsidTr="003F4507">
        <w:trPr>
          <w:trHeight w:val="525"/>
        </w:trPr>
        <w:tc>
          <w:tcPr>
            <w:tcW w:w="4698" w:type="dxa"/>
            <w:tcBorders>
              <w:top w:val="single" w:sz="8" w:space="0" w:color="auto"/>
              <w:left w:val="nil"/>
              <w:bottom w:val="nil"/>
              <w:right w:val="single" w:sz="8" w:space="0" w:color="auto"/>
            </w:tcBorders>
            <w:shd w:val="clear" w:color="auto" w:fill="auto"/>
            <w:vAlign w:val="center"/>
            <w:hideMark/>
          </w:tcPr>
          <w:p w:rsidR="004D3DC6" w:rsidRPr="00FD06AE" w:rsidRDefault="004D3DC6" w:rsidP="003F4507">
            <w:pPr>
              <w:keepNext/>
              <w:keepLines/>
              <w:rPr>
                <w:szCs w:val="20"/>
              </w:rPr>
            </w:pPr>
            <w:r w:rsidRPr="00FD06AE">
              <w:rPr>
                <w:szCs w:val="20"/>
              </w:rPr>
              <w:t>Total provided oral fluid and/or blood sample (percentage of eligible drivers)</w:t>
            </w:r>
          </w:p>
        </w:tc>
        <w:tc>
          <w:tcPr>
            <w:tcW w:w="2610" w:type="dxa"/>
            <w:tcBorders>
              <w:top w:val="single" w:sz="8" w:space="0" w:color="auto"/>
              <w:left w:val="single" w:sz="8" w:space="0" w:color="auto"/>
              <w:bottom w:val="nil"/>
              <w:right w:val="single" w:sz="8" w:space="0" w:color="auto"/>
            </w:tcBorders>
            <w:shd w:val="clear" w:color="auto" w:fill="auto"/>
            <w:vAlign w:val="center"/>
            <w:hideMark/>
          </w:tcPr>
          <w:p w:rsidR="004D3DC6" w:rsidRPr="00FD06AE" w:rsidRDefault="004D3DC6" w:rsidP="003F4507">
            <w:pPr>
              <w:keepNext/>
              <w:keepLines/>
              <w:tabs>
                <w:tab w:val="decimal" w:pos="1422"/>
              </w:tabs>
              <w:ind w:right="72"/>
              <w:rPr>
                <w:szCs w:val="20"/>
              </w:rPr>
            </w:pPr>
            <w:r w:rsidRPr="00FD06AE">
              <w:rPr>
                <w:szCs w:val="20"/>
              </w:rPr>
              <w:t>3,196</w:t>
            </w:r>
          </w:p>
          <w:p w:rsidR="004D3DC6" w:rsidRPr="00FD06AE" w:rsidRDefault="004D3DC6" w:rsidP="003F4507">
            <w:pPr>
              <w:keepNext/>
              <w:keepLines/>
              <w:ind w:right="972"/>
              <w:jc w:val="right"/>
              <w:rPr>
                <w:szCs w:val="20"/>
              </w:rPr>
            </w:pPr>
            <w:r w:rsidRPr="00FD06AE">
              <w:rPr>
                <w:szCs w:val="20"/>
              </w:rPr>
              <w:t>(82.2%)</w:t>
            </w:r>
          </w:p>
        </w:tc>
        <w:tc>
          <w:tcPr>
            <w:tcW w:w="2070" w:type="dxa"/>
            <w:tcBorders>
              <w:top w:val="single" w:sz="8" w:space="0" w:color="auto"/>
              <w:left w:val="single" w:sz="8" w:space="0" w:color="auto"/>
              <w:bottom w:val="nil"/>
              <w:right w:val="nil"/>
            </w:tcBorders>
            <w:shd w:val="clear" w:color="auto" w:fill="auto"/>
            <w:vAlign w:val="center"/>
            <w:hideMark/>
          </w:tcPr>
          <w:p w:rsidR="004D3DC6" w:rsidRPr="00FD06AE" w:rsidRDefault="004D3DC6" w:rsidP="003F4507">
            <w:pPr>
              <w:keepNext/>
              <w:keepLines/>
              <w:tabs>
                <w:tab w:val="decimal" w:pos="1152"/>
              </w:tabs>
              <w:ind w:right="-108"/>
              <w:rPr>
                <w:b/>
                <w:szCs w:val="20"/>
                <w:u w:val="single"/>
              </w:rPr>
            </w:pPr>
            <w:r w:rsidRPr="00FD06AE">
              <w:rPr>
                <w:b/>
                <w:szCs w:val="20"/>
                <w:u w:val="single"/>
              </w:rPr>
              <w:t>6,935</w:t>
            </w:r>
          </w:p>
          <w:p w:rsidR="004D3DC6" w:rsidRPr="00FD06AE" w:rsidRDefault="004D3DC6" w:rsidP="003F4507">
            <w:pPr>
              <w:keepNext/>
              <w:keepLines/>
              <w:ind w:right="702"/>
              <w:jc w:val="right"/>
              <w:rPr>
                <w:szCs w:val="20"/>
              </w:rPr>
            </w:pPr>
            <w:r w:rsidRPr="00FD06AE">
              <w:rPr>
                <w:szCs w:val="20"/>
              </w:rPr>
              <w:t>(93.8%)</w:t>
            </w:r>
          </w:p>
        </w:tc>
      </w:tr>
      <w:tr w:rsidR="004D3DC6" w:rsidRPr="00FD06AE" w:rsidTr="003F4507">
        <w:trPr>
          <w:trHeight w:val="270"/>
        </w:trPr>
        <w:tc>
          <w:tcPr>
            <w:tcW w:w="4698" w:type="dxa"/>
            <w:tcBorders>
              <w:top w:val="nil"/>
              <w:left w:val="nil"/>
              <w:bottom w:val="nil"/>
              <w:right w:val="single" w:sz="8" w:space="0" w:color="auto"/>
            </w:tcBorders>
            <w:shd w:val="clear" w:color="auto" w:fill="auto"/>
            <w:vAlign w:val="center"/>
            <w:hideMark/>
          </w:tcPr>
          <w:p w:rsidR="004D3DC6" w:rsidRPr="00FD06AE" w:rsidRDefault="004D3DC6" w:rsidP="003F4507">
            <w:pPr>
              <w:keepNext/>
              <w:keepLines/>
              <w:tabs>
                <w:tab w:val="left" w:pos="326"/>
              </w:tabs>
              <w:jc w:val="center"/>
              <w:rPr>
                <w:szCs w:val="20"/>
              </w:rPr>
            </w:pPr>
            <w:r w:rsidRPr="00FD06AE">
              <w:rPr>
                <w:szCs w:val="20"/>
              </w:rPr>
              <w:t>Provided oral fluid sample (not blood)</w:t>
            </w:r>
          </w:p>
        </w:tc>
        <w:tc>
          <w:tcPr>
            <w:tcW w:w="2610" w:type="dxa"/>
            <w:tcBorders>
              <w:top w:val="nil"/>
              <w:left w:val="single" w:sz="8" w:space="0" w:color="auto"/>
              <w:bottom w:val="nil"/>
              <w:right w:val="single" w:sz="8" w:space="0" w:color="auto"/>
            </w:tcBorders>
            <w:shd w:val="clear" w:color="auto" w:fill="auto"/>
            <w:vAlign w:val="center"/>
            <w:hideMark/>
          </w:tcPr>
          <w:p w:rsidR="004D3DC6" w:rsidRPr="00FD06AE" w:rsidRDefault="004D3DC6" w:rsidP="003F4507">
            <w:pPr>
              <w:keepNext/>
              <w:keepLines/>
              <w:tabs>
                <w:tab w:val="decimal" w:pos="1422"/>
              </w:tabs>
              <w:ind w:right="72"/>
              <w:rPr>
                <w:szCs w:val="20"/>
              </w:rPr>
            </w:pPr>
            <w:r w:rsidRPr="00FD06AE">
              <w:rPr>
                <w:szCs w:val="20"/>
              </w:rPr>
              <w:t>1,852</w:t>
            </w:r>
          </w:p>
        </w:tc>
        <w:tc>
          <w:tcPr>
            <w:tcW w:w="2070" w:type="dxa"/>
            <w:tcBorders>
              <w:top w:val="nil"/>
              <w:left w:val="single" w:sz="8" w:space="0" w:color="auto"/>
              <w:bottom w:val="nil"/>
              <w:right w:val="nil"/>
            </w:tcBorders>
            <w:shd w:val="clear" w:color="auto" w:fill="auto"/>
            <w:vAlign w:val="center"/>
            <w:hideMark/>
          </w:tcPr>
          <w:p w:rsidR="004D3DC6" w:rsidRPr="00FD06AE" w:rsidRDefault="004D3DC6" w:rsidP="003F4507">
            <w:pPr>
              <w:keepNext/>
              <w:keepLines/>
              <w:tabs>
                <w:tab w:val="decimal" w:pos="1152"/>
              </w:tabs>
              <w:ind w:right="-108"/>
              <w:rPr>
                <w:szCs w:val="20"/>
              </w:rPr>
            </w:pPr>
            <w:r w:rsidRPr="00FD06AE">
              <w:rPr>
                <w:szCs w:val="20"/>
              </w:rPr>
              <w:t>2,881</w:t>
            </w:r>
          </w:p>
        </w:tc>
      </w:tr>
      <w:tr w:rsidR="004D3DC6" w:rsidRPr="00FD06AE" w:rsidTr="003F4507">
        <w:trPr>
          <w:trHeight w:val="270"/>
        </w:trPr>
        <w:tc>
          <w:tcPr>
            <w:tcW w:w="4698" w:type="dxa"/>
            <w:tcBorders>
              <w:top w:val="nil"/>
              <w:left w:val="nil"/>
              <w:bottom w:val="nil"/>
              <w:right w:val="single" w:sz="8" w:space="0" w:color="auto"/>
            </w:tcBorders>
            <w:shd w:val="clear" w:color="auto" w:fill="auto"/>
            <w:vAlign w:val="center"/>
            <w:hideMark/>
          </w:tcPr>
          <w:p w:rsidR="004D3DC6" w:rsidRPr="00FD06AE" w:rsidRDefault="004D3DC6" w:rsidP="003F4507">
            <w:pPr>
              <w:keepNext/>
              <w:keepLines/>
              <w:tabs>
                <w:tab w:val="left" w:pos="326"/>
              </w:tabs>
              <w:jc w:val="center"/>
              <w:rPr>
                <w:szCs w:val="20"/>
              </w:rPr>
            </w:pPr>
            <w:r w:rsidRPr="00FD06AE">
              <w:rPr>
                <w:szCs w:val="20"/>
              </w:rPr>
              <w:t>Provided blood sample (not oral fluid)</w:t>
            </w:r>
          </w:p>
        </w:tc>
        <w:tc>
          <w:tcPr>
            <w:tcW w:w="2610" w:type="dxa"/>
            <w:tcBorders>
              <w:top w:val="nil"/>
              <w:left w:val="single" w:sz="8" w:space="0" w:color="auto"/>
              <w:bottom w:val="nil"/>
              <w:right w:val="single" w:sz="8" w:space="0" w:color="auto"/>
            </w:tcBorders>
            <w:shd w:val="clear" w:color="auto" w:fill="auto"/>
            <w:vAlign w:val="center"/>
            <w:hideMark/>
          </w:tcPr>
          <w:p w:rsidR="004D3DC6" w:rsidRPr="00FD06AE" w:rsidRDefault="004D3DC6" w:rsidP="003F4507">
            <w:pPr>
              <w:keepNext/>
              <w:keepLines/>
              <w:tabs>
                <w:tab w:val="decimal" w:pos="1422"/>
              </w:tabs>
              <w:ind w:right="72"/>
              <w:rPr>
                <w:szCs w:val="20"/>
              </w:rPr>
            </w:pPr>
            <w:r w:rsidRPr="00FD06AE">
              <w:rPr>
                <w:szCs w:val="20"/>
              </w:rPr>
              <w:t>25</w:t>
            </w:r>
          </w:p>
        </w:tc>
        <w:tc>
          <w:tcPr>
            <w:tcW w:w="2070" w:type="dxa"/>
            <w:tcBorders>
              <w:top w:val="nil"/>
              <w:left w:val="single" w:sz="8" w:space="0" w:color="auto"/>
              <w:bottom w:val="nil"/>
              <w:right w:val="nil"/>
            </w:tcBorders>
            <w:shd w:val="clear" w:color="auto" w:fill="auto"/>
            <w:vAlign w:val="center"/>
            <w:hideMark/>
          </w:tcPr>
          <w:p w:rsidR="004D3DC6" w:rsidRPr="00FD06AE" w:rsidRDefault="004D3DC6" w:rsidP="003F4507">
            <w:pPr>
              <w:keepNext/>
              <w:keepLines/>
              <w:tabs>
                <w:tab w:val="decimal" w:pos="1152"/>
              </w:tabs>
              <w:ind w:right="-108"/>
              <w:rPr>
                <w:b/>
                <w:szCs w:val="20"/>
                <w:u w:val="single"/>
              </w:rPr>
            </w:pPr>
            <w:r w:rsidRPr="00FD06AE">
              <w:rPr>
                <w:b/>
                <w:szCs w:val="20"/>
                <w:u w:val="single"/>
              </w:rPr>
              <w:t>16</w:t>
            </w:r>
          </w:p>
        </w:tc>
      </w:tr>
      <w:tr w:rsidR="004D3DC6" w:rsidRPr="00FD06AE" w:rsidTr="003F4507">
        <w:trPr>
          <w:trHeight w:val="270"/>
        </w:trPr>
        <w:tc>
          <w:tcPr>
            <w:tcW w:w="4698" w:type="dxa"/>
            <w:tcBorders>
              <w:top w:val="nil"/>
              <w:left w:val="nil"/>
              <w:bottom w:val="single" w:sz="8" w:space="0" w:color="auto"/>
              <w:right w:val="single" w:sz="8" w:space="0" w:color="auto"/>
            </w:tcBorders>
            <w:shd w:val="clear" w:color="auto" w:fill="auto"/>
            <w:vAlign w:val="center"/>
            <w:hideMark/>
          </w:tcPr>
          <w:p w:rsidR="004D3DC6" w:rsidRPr="00FD06AE" w:rsidRDefault="004D3DC6" w:rsidP="003F4507">
            <w:pPr>
              <w:keepNext/>
              <w:keepLines/>
              <w:tabs>
                <w:tab w:val="left" w:pos="326"/>
              </w:tabs>
              <w:jc w:val="center"/>
              <w:rPr>
                <w:szCs w:val="20"/>
              </w:rPr>
            </w:pPr>
            <w:r w:rsidRPr="00FD06AE">
              <w:rPr>
                <w:szCs w:val="20"/>
              </w:rPr>
              <w:t xml:space="preserve">Provided oral fluid </w:t>
            </w:r>
            <w:r w:rsidRPr="00FD06AE">
              <w:rPr>
                <w:i/>
                <w:szCs w:val="20"/>
              </w:rPr>
              <w:t>and</w:t>
            </w:r>
            <w:r w:rsidRPr="00FD06AE">
              <w:rPr>
                <w:szCs w:val="20"/>
              </w:rPr>
              <w:t xml:space="preserve"> blood samples</w:t>
            </w:r>
          </w:p>
        </w:tc>
        <w:tc>
          <w:tcPr>
            <w:tcW w:w="2610" w:type="dxa"/>
            <w:tcBorders>
              <w:top w:val="nil"/>
              <w:left w:val="single" w:sz="8" w:space="0" w:color="auto"/>
              <w:bottom w:val="single" w:sz="8" w:space="0" w:color="auto"/>
              <w:right w:val="single" w:sz="8" w:space="0" w:color="auto"/>
            </w:tcBorders>
            <w:shd w:val="clear" w:color="auto" w:fill="auto"/>
            <w:vAlign w:val="center"/>
            <w:hideMark/>
          </w:tcPr>
          <w:p w:rsidR="004D3DC6" w:rsidRPr="00FD06AE" w:rsidRDefault="004D3DC6" w:rsidP="003F4507">
            <w:pPr>
              <w:keepNext/>
              <w:keepLines/>
              <w:tabs>
                <w:tab w:val="decimal" w:pos="1422"/>
              </w:tabs>
              <w:ind w:right="72"/>
              <w:rPr>
                <w:szCs w:val="20"/>
              </w:rPr>
            </w:pPr>
            <w:r w:rsidRPr="00FD06AE">
              <w:rPr>
                <w:szCs w:val="20"/>
              </w:rPr>
              <w:t>1,319</w:t>
            </w:r>
          </w:p>
        </w:tc>
        <w:tc>
          <w:tcPr>
            <w:tcW w:w="2070" w:type="dxa"/>
            <w:tcBorders>
              <w:top w:val="nil"/>
              <w:left w:val="single" w:sz="8" w:space="0" w:color="auto"/>
              <w:bottom w:val="single" w:sz="8" w:space="0" w:color="auto"/>
              <w:right w:val="nil"/>
            </w:tcBorders>
            <w:shd w:val="clear" w:color="auto" w:fill="auto"/>
            <w:vAlign w:val="center"/>
            <w:hideMark/>
          </w:tcPr>
          <w:p w:rsidR="004D3DC6" w:rsidRPr="00FD06AE" w:rsidRDefault="004D3DC6" w:rsidP="003F4507">
            <w:pPr>
              <w:keepNext/>
              <w:keepLines/>
              <w:tabs>
                <w:tab w:val="decimal" w:pos="1152"/>
              </w:tabs>
              <w:ind w:right="-108"/>
              <w:rPr>
                <w:b/>
                <w:szCs w:val="20"/>
                <w:u w:val="single"/>
              </w:rPr>
            </w:pPr>
            <w:r w:rsidRPr="00FD06AE">
              <w:rPr>
                <w:b/>
                <w:szCs w:val="20"/>
                <w:u w:val="single"/>
              </w:rPr>
              <w:t>4,038</w:t>
            </w:r>
          </w:p>
        </w:tc>
      </w:tr>
      <w:tr w:rsidR="004D3DC6" w:rsidRPr="00FD06AE" w:rsidTr="003F4507">
        <w:trPr>
          <w:trHeight w:val="270"/>
        </w:trPr>
        <w:tc>
          <w:tcPr>
            <w:tcW w:w="4698" w:type="dxa"/>
            <w:tcBorders>
              <w:top w:val="single" w:sz="8" w:space="0" w:color="auto"/>
              <w:left w:val="nil"/>
              <w:right w:val="single" w:sz="8" w:space="0" w:color="auto"/>
            </w:tcBorders>
            <w:shd w:val="clear" w:color="auto" w:fill="auto"/>
            <w:vAlign w:val="center"/>
            <w:hideMark/>
          </w:tcPr>
          <w:p w:rsidR="004D3DC6" w:rsidRPr="00FD06AE" w:rsidRDefault="004D3DC6" w:rsidP="003F4507">
            <w:pPr>
              <w:keepNext/>
              <w:keepLines/>
              <w:rPr>
                <w:szCs w:val="20"/>
              </w:rPr>
            </w:pPr>
            <w:r w:rsidRPr="00FD06AE">
              <w:rPr>
                <w:szCs w:val="20"/>
              </w:rPr>
              <w:t>Perfect oral fluid-based matches (1:2)</w:t>
            </w:r>
          </w:p>
        </w:tc>
        <w:tc>
          <w:tcPr>
            <w:tcW w:w="2610" w:type="dxa"/>
            <w:tcBorders>
              <w:top w:val="single" w:sz="8" w:space="0" w:color="auto"/>
              <w:left w:val="single" w:sz="8" w:space="0" w:color="auto"/>
              <w:right w:val="single" w:sz="8" w:space="0" w:color="auto"/>
            </w:tcBorders>
            <w:shd w:val="clear" w:color="auto" w:fill="auto"/>
            <w:vAlign w:val="center"/>
            <w:hideMark/>
          </w:tcPr>
          <w:p w:rsidR="004D3DC6" w:rsidRPr="00FD06AE" w:rsidRDefault="004D3DC6" w:rsidP="003F4507">
            <w:pPr>
              <w:keepNext/>
              <w:keepLines/>
              <w:tabs>
                <w:tab w:val="decimal" w:pos="1422"/>
              </w:tabs>
              <w:ind w:right="72"/>
              <w:rPr>
                <w:szCs w:val="20"/>
              </w:rPr>
            </w:pPr>
            <w:r w:rsidRPr="00FD06AE">
              <w:rPr>
                <w:szCs w:val="20"/>
              </w:rPr>
              <w:t>3,095</w:t>
            </w:r>
          </w:p>
        </w:tc>
        <w:tc>
          <w:tcPr>
            <w:tcW w:w="2070" w:type="dxa"/>
            <w:tcBorders>
              <w:top w:val="single" w:sz="8" w:space="0" w:color="auto"/>
              <w:left w:val="single" w:sz="8" w:space="0" w:color="auto"/>
              <w:right w:val="nil"/>
            </w:tcBorders>
            <w:shd w:val="clear" w:color="auto" w:fill="auto"/>
            <w:vAlign w:val="center"/>
            <w:hideMark/>
          </w:tcPr>
          <w:p w:rsidR="004D3DC6" w:rsidRPr="00FD06AE" w:rsidRDefault="004D3DC6" w:rsidP="003F4507">
            <w:pPr>
              <w:keepNext/>
              <w:keepLines/>
              <w:tabs>
                <w:tab w:val="decimal" w:pos="1152"/>
              </w:tabs>
              <w:ind w:right="-108"/>
              <w:rPr>
                <w:szCs w:val="20"/>
              </w:rPr>
            </w:pPr>
            <w:r w:rsidRPr="00FD06AE">
              <w:rPr>
                <w:szCs w:val="20"/>
              </w:rPr>
              <w:t>6,190</w:t>
            </w:r>
          </w:p>
        </w:tc>
      </w:tr>
      <w:tr w:rsidR="004D3DC6" w:rsidRPr="00FD06AE" w:rsidTr="003F4507">
        <w:trPr>
          <w:trHeight w:val="270"/>
        </w:trPr>
        <w:tc>
          <w:tcPr>
            <w:tcW w:w="4698" w:type="dxa"/>
            <w:tcBorders>
              <w:top w:val="nil"/>
              <w:left w:val="nil"/>
              <w:bottom w:val="single" w:sz="8" w:space="0" w:color="auto"/>
              <w:right w:val="single" w:sz="8" w:space="0" w:color="auto"/>
            </w:tcBorders>
            <w:shd w:val="clear" w:color="auto" w:fill="auto"/>
            <w:vAlign w:val="center"/>
          </w:tcPr>
          <w:p w:rsidR="004D3DC6" w:rsidRPr="00FD06AE" w:rsidRDefault="004D3DC6" w:rsidP="003F4507">
            <w:pPr>
              <w:keepNext/>
              <w:keepLines/>
              <w:rPr>
                <w:szCs w:val="20"/>
              </w:rPr>
            </w:pPr>
            <w:r w:rsidRPr="00FD06AE">
              <w:rPr>
                <w:szCs w:val="20"/>
              </w:rPr>
              <w:t>Perfect blood-based matches (1:2)</w:t>
            </w:r>
          </w:p>
        </w:tc>
        <w:tc>
          <w:tcPr>
            <w:tcW w:w="2610" w:type="dxa"/>
            <w:tcBorders>
              <w:top w:val="nil"/>
              <w:left w:val="single" w:sz="8" w:space="0" w:color="auto"/>
              <w:bottom w:val="single" w:sz="8" w:space="0" w:color="auto"/>
              <w:right w:val="single" w:sz="8" w:space="0" w:color="auto"/>
            </w:tcBorders>
            <w:shd w:val="clear" w:color="auto" w:fill="auto"/>
            <w:vAlign w:val="center"/>
          </w:tcPr>
          <w:p w:rsidR="004D3DC6" w:rsidRPr="00FD06AE" w:rsidRDefault="004D3DC6" w:rsidP="003F4507">
            <w:pPr>
              <w:keepNext/>
              <w:keepLines/>
              <w:tabs>
                <w:tab w:val="decimal" w:pos="1422"/>
              </w:tabs>
              <w:ind w:right="72"/>
              <w:rPr>
                <w:szCs w:val="20"/>
              </w:rPr>
            </w:pPr>
            <w:r w:rsidRPr="00FD06AE">
              <w:rPr>
                <w:szCs w:val="20"/>
              </w:rPr>
              <w:t>588</w:t>
            </w:r>
          </w:p>
        </w:tc>
        <w:tc>
          <w:tcPr>
            <w:tcW w:w="2070" w:type="dxa"/>
            <w:tcBorders>
              <w:top w:val="nil"/>
              <w:left w:val="single" w:sz="8" w:space="0" w:color="auto"/>
              <w:bottom w:val="single" w:sz="8" w:space="0" w:color="auto"/>
              <w:right w:val="nil"/>
            </w:tcBorders>
            <w:shd w:val="clear" w:color="auto" w:fill="auto"/>
            <w:vAlign w:val="center"/>
          </w:tcPr>
          <w:p w:rsidR="004D3DC6" w:rsidRPr="00FD06AE" w:rsidRDefault="004D3DC6" w:rsidP="003F4507">
            <w:pPr>
              <w:keepNext/>
              <w:keepLines/>
              <w:tabs>
                <w:tab w:val="decimal" w:pos="1152"/>
              </w:tabs>
              <w:ind w:right="-108"/>
              <w:rPr>
                <w:szCs w:val="20"/>
              </w:rPr>
            </w:pPr>
            <w:r w:rsidRPr="00FD06AE">
              <w:rPr>
                <w:szCs w:val="20"/>
              </w:rPr>
              <w:t>1,176</w:t>
            </w:r>
          </w:p>
        </w:tc>
      </w:tr>
    </w:tbl>
    <w:p w:rsidR="004F4AAF" w:rsidRPr="00FD06AE" w:rsidRDefault="00766E67" w:rsidP="004F4AAF">
      <w:pPr>
        <w:pStyle w:val="BodyText"/>
        <w:spacing w:after="240"/>
        <w:rPr>
          <w:sz w:val="20"/>
          <w:szCs w:val="20"/>
        </w:rPr>
      </w:pPr>
      <w:r w:rsidRPr="00FD06AE">
        <w:rPr>
          <w:i/>
          <w:sz w:val="20"/>
          <w:szCs w:val="20"/>
        </w:rPr>
        <w:t xml:space="preserve">Note: </w:t>
      </w:r>
      <w:r w:rsidRPr="00FD06AE">
        <w:rPr>
          <w:sz w:val="20"/>
          <w:szCs w:val="20"/>
        </w:rPr>
        <w:t>Reprinted from Lacey, J. H., Kelley-Baker, T., Berning, A., Romano, E., Ramirez, A., Yao, J., ,… &amp; Compton, R. (2016, December). Drug and alcohol crash risk: A case-control study (Report No. DOT HS 812 355). Washington, DC: National Highway Traffic Safety Administration.</w:t>
      </w:r>
    </w:p>
    <w:p w:rsidR="00232C09" w:rsidRPr="00FD06AE" w:rsidRDefault="00E72B57" w:rsidP="004F4AAF">
      <w:pPr>
        <w:pStyle w:val="BodyText"/>
        <w:spacing w:after="240"/>
        <w:ind w:firstLine="720"/>
      </w:pPr>
      <w:r w:rsidRPr="00FD06AE">
        <w:t>Th</w:t>
      </w:r>
      <w:r w:rsidR="00F43193" w:rsidRPr="00FD06AE">
        <w:t xml:space="preserve">is study’s </w:t>
      </w:r>
      <w:r w:rsidRPr="00FD06AE">
        <w:t xml:space="preserve">protocols for control driver recruitment will be similar to </w:t>
      </w:r>
      <w:r w:rsidR="002D5424" w:rsidRPr="00FD06AE">
        <w:t xml:space="preserve">those </w:t>
      </w:r>
      <w:r w:rsidRPr="00FD06AE">
        <w:t>for</w:t>
      </w:r>
      <w:r w:rsidR="00EC3770" w:rsidRPr="00FD06AE">
        <w:t xml:space="preserve"> NHTSA’s </w:t>
      </w:r>
      <w:r w:rsidRPr="00FD06AE">
        <w:t>National Roadside Survey efforts</w:t>
      </w:r>
      <w:r w:rsidR="002D5424" w:rsidRPr="00FD06AE">
        <w:t>.</w:t>
      </w:r>
      <w:r w:rsidRPr="00FD06AE">
        <w:t xml:space="preserve"> </w:t>
      </w:r>
      <w:r w:rsidR="0094119F" w:rsidRPr="00FD06AE">
        <w:t>T</w:t>
      </w:r>
      <w:r w:rsidR="00EC3770" w:rsidRPr="00FD06AE">
        <w:t>he Government Accountability’s Office review of that study’s protocols</w:t>
      </w:r>
      <w:r w:rsidR="0094119F" w:rsidRPr="00FD06AE">
        <w:t>,</w:t>
      </w:r>
      <w:r w:rsidR="00584BE8" w:rsidRPr="00FD06AE">
        <w:rPr>
          <w:rStyle w:val="FootnoteReference"/>
        </w:rPr>
        <w:footnoteReference w:id="21"/>
      </w:r>
      <w:r w:rsidR="00EC3770" w:rsidRPr="00FD06AE">
        <w:t xml:space="preserve"> it</w:t>
      </w:r>
      <w:r w:rsidR="00EC32E6" w:rsidRPr="00FD06AE">
        <w:t xml:space="preserve"> stated</w:t>
      </w:r>
      <w:r w:rsidR="008F56E2" w:rsidRPr="00FD06AE">
        <w:t xml:space="preserve"> that the methodology “followed Office of Management and Budget (OMB) standards and guidelines for survey principles related to the protection of privacy. Further, NHTSA's protocols are designed to ensure that drivers understand that participation in the survey is voluntary and anonymous, and, midway through the 2013-2014 survey, NHTSA changed several survey protocols to help drivers understand that they have the choice of whether to participate</w:t>
      </w:r>
      <w:r w:rsidR="002D5424" w:rsidRPr="00FD06AE">
        <w:t>.”</w:t>
      </w:r>
      <w:r w:rsidR="00EC32E6" w:rsidRPr="00FD06AE">
        <w:t xml:space="preserve">  </w:t>
      </w:r>
      <w:r w:rsidRPr="00FD06AE">
        <w:t>Similar to those protocols, th</w:t>
      </w:r>
      <w:r w:rsidR="001276B2" w:rsidRPr="00FD06AE">
        <w:t>is</w:t>
      </w:r>
      <w:r w:rsidRPr="00FD06AE">
        <w:t xml:space="preserve"> study will use </w:t>
      </w:r>
      <w:r w:rsidR="002D5424" w:rsidRPr="00FD06AE">
        <w:t>highly-trained researchers</w:t>
      </w:r>
      <w:r w:rsidR="00720011" w:rsidRPr="00FD06AE">
        <w:t>,</w:t>
      </w:r>
      <w:r w:rsidR="004C02EA" w:rsidRPr="00FD06AE">
        <w:t xml:space="preserve"> traffic </w:t>
      </w:r>
      <w:r w:rsidR="00702CD9" w:rsidRPr="00FD06AE">
        <w:t xml:space="preserve">signs </w:t>
      </w:r>
      <w:r w:rsidR="004C02EA" w:rsidRPr="00FD06AE">
        <w:t xml:space="preserve">placed ahead of the research area </w:t>
      </w:r>
      <w:r w:rsidR="001276B2" w:rsidRPr="00FD06AE">
        <w:t>noting</w:t>
      </w:r>
      <w:r w:rsidR="00702CD9" w:rsidRPr="00FD06AE">
        <w:t xml:space="preserve"> a “paid survey</w:t>
      </w:r>
      <w:r w:rsidR="001276B2" w:rsidRPr="00FD06AE">
        <w:t xml:space="preserve"> ahead</w:t>
      </w:r>
      <w:r w:rsidR="004C02EA" w:rsidRPr="00FD06AE">
        <w:t>,</w:t>
      </w:r>
      <w:r w:rsidR="00702CD9" w:rsidRPr="00FD06AE">
        <w:t>”</w:t>
      </w:r>
      <w:r w:rsidR="00720011" w:rsidRPr="00FD06AE">
        <w:t xml:space="preserve"> and </w:t>
      </w:r>
      <w:r w:rsidR="001276B2" w:rsidRPr="00FD06AE">
        <w:t>research</w:t>
      </w:r>
      <w:r w:rsidR="00720011" w:rsidRPr="00FD06AE">
        <w:t xml:space="preserve"> vans marked with the </w:t>
      </w:r>
      <w:r w:rsidR="001276B2" w:rsidRPr="00FD06AE">
        <w:t>trauma center’s</w:t>
      </w:r>
      <w:r w:rsidR="00720011" w:rsidRPr="00FD06AE">
        <w:t xml:space="preserve"> logos or other conspicuous markings</w:t>
      </w:r>
      <w:r w:rsidR="004C02EA" w:rsidRPr="00FD06AE">
        <w:t xml:space="preserve">. </w:t>
      </w:r>
      <w:r w:rsidR="001276B2" w:rsidRPr="00FD06AE">
        <w:t xml:space="preserve">We are </w:t>
      </w:r>
      <w:r w:rsidR="00232C09" w:rsidRPr="00FD06AE">
        <w:t>maximiz</w:t>
      </w:r>
      <w:r w:rsidR="001276B2" w:rsidRPr="00FD06AE">
        <w:t>ing</w:t>
      </w:r>
      <w:r w:rsidR="00232C09" w:rsidRPr="00FD06AE">
        <w:t xml:space="preserve"> response rates by offering financial incentives to </w:t>
      </w:r>
      <w:r w:rsidR="001276B2" w:rsidRPr="00FD06AE">
        <w:t>drivers</w:t>
      </w:r>
      <w:r w:rsidR="00232C09" w:rsidRPr="00FD06AE">
        <w:t xml:space="preserve"> for participation. </w:t>
      </w:r>
      <w:r w:rsidR="001276B2" w:rsidRPr="00FD06AE">
        <w:t xml:space="preserve">We will pay </w:t>
      </w:r>
      <w:r w:rsidR="00232C09" w:rsidRPr="00FD06AE">
        <w:t>$5 for responding to survey questions and providing a breath sample, and another $50 for a blood sample.</w:t>
      </w:r>
      <w:r w:rsidR="0013776B" w:rsidRPr="00FD06AE">
        <w:t xml:space="preserve"> </w:t>
      </w:r>
      <w:r w:rsidR="002A550C" w:rsidRPr="00FD06AE">
        <w:t>NHTSA’s e</w:t>
      </w:r>
      <w:r w:rsidR="00232C09" w:rsidRPr="00FD06AE">
        <w:t>xperience</w:t>
      </w:r>
      <w:r w:rsidR="00702CD9" w:rsidRPr="00FD06AE">
        <w:t xml:space="preserve"> with the Virginia Beach study and other roadside data collection efforts</w:t>
      </w:r>
      <w:r w:rsidR="00232C09" w:rsidRPr="00FD06AE">
        <w:t xml:space="preserve"> has shown that this level of incentive is </w:t>
      </w:r>
      <w:r w:rsidR="002A550C" w:rsidRPr="00FD06AE">
        <w:t xml:space="preserve">appropriate </w:t>
      </w:r>
      <w:r w:rsidR="00232C09" w:rsidRPr="00FD06AE">
        <w:t>to successfully recruit participants</w:t>
      </w:r>
      <w:r w:rsidR="002A550C" w:rsidRPr="00FD06AE">
        <w:t>, allowing for the needed sample size</w:t>
      </w:r>
      <w:r w:rsidR="0094119F" w:rsidRPr="00FD06AE">
        <w:t xml:space="preserve"> and to increase the representativeness of the sample</w:t>
      </w:r>
      <w:r w:rsidR="002A550C" w:rsidRPr="00FD06AE">
        <w:t xml:space="preserve">. </w:t>
      </w:r>
      <w:r w:rsidR="00232C09" w:rsidRPr="00FD06AE">
        <w:t xml:space="preserve">Additionally, the </w:t>
      </w:r>
      <w:r w:rsidR="002A550C" w:rsidRPr="00FD06AE">
        <w:t>researchers</w:t>
      </w:r>
      <w:r w:rsidR="00232C09" w:rsidRPr="00FD06AE">
        <w:t xml:space="preserve"> will provide assurances of anonymity</w:t>
      </w:r>
      <w:r w:rsidR="00702CD9" w:rsidRPr="00FD06AE">
        <w:t xml:space="preserve"> </w:t>
      </w:r>
      <w:r w:rsidR="002A550C" w:rsidRPr="00FD06AE">
        <w:t>in the</w:t>
      </w:r>
      <w:r w:rsidR="00702CD9" w:rsidRPr="00FD06AE">
        <w:t xml:space="preserve"> informed consent process</w:t>
      </w:r>
      <w:r w:rsidR="00232C09" w:rsidRPr="00FD06AE">
        <w:t xml:space="preserve">. </w:t>
      </w:r>
      <w:r w:rsidR="002A550C" w:rsidRPr="00FD06AE">
        <w:t>Drivers will be assured that no i</w:t>
      </w:r>
      <w:r w:rsidR="00232C09" w:rsidRPr="00FD06AE">
        <w:t xml:space="preserve">dentifying information will </w:t>
      </w:r>
      <w:r w:rsidR="0094119F" w:rsidRPr="00FD06AE">
        <w:t>be collected,</w:t>
      </w:r>
      <w:r w:rsidR="002A550C" w:rsidRPr="00FD06AE">
        <w:t xml:space="preserve"> that no individual’s data </w:t>
      </w:r>
      <w:r w:rsidR="00232C09" w:rsidRPr="00FD06AE">
        <w:t xml:space="preserve">will be identifiable for reports of the study’s findings, </w:t>
      </w:r>
      <w:r w:rsidR="0094119F" w:rsidRPr="00FD06AE">
        <w:t>and that no</w:t>
      </w:r>
      <w:r w:rsidR="00232C09" w:rsidRPr="00FD06AE">
        <w:t xml:space="preserve"> driver’s data</w:t>
      </w:r>
      <w:r w:rsidR="0094119F" w:rsidRPr="00FD06AE">
        <w:t xml:space="preserve"> will</w:t>
      </w:r>
      <w:r w:rsidR="00232C09" w:rsidRPr="00FD06AE">
        <w:t xml:space="preserve"> be shared with</w:t>
      </w:r>
      <w:r w:rsidR="00CD6CEF" w:rsidRPr="00FD06AE">
        <w:t xml:space="preserve"> law enforcement, prosecutors,</w:t>
      </w:r>
      <w:r w:rsidR="00232C09" w:rsidRPr="00FD06AE">
        <w:t xml:space="preserve"> </w:t>
      </w:r>
      <w:r w:rsidR="00584BE8" w:rsidRPr="00FD06AE">
        <w:t>driver</w:t>
      </w:r>
      <w:r w:rsidR="00CD6CEF" w:rsidRPr="00FD06AE">
        <w:t xml:space="preserve"> </w:t>
      </w:r>
      <w:r w:rsidR="00232C09" w:rsidRPr="00FD06AE">
        <w:t xml:space="preserve">licensing </w:t>
      </w:r>
      <w:r w:rsidR="00CD6CEF" w:rsidRPr="00FD06AE">
        <w:t xml:space="preserve">officials, or </w:t>
      </w:r>
      <w:r w:rsidR="00232C09" w:rsidRPr="00FD06AE">
        <w:t>other regulatory authority.</w:t>
      </w:r>
      <w:r w:rsidRPr="00FD06AE">
        <w:t xml:space="preserve"> </w:t>
      </w:r>
    </w:p>
    <w:p w:rsidR="00EA5290" w:rsidRPr="00FD06AE" w:rsidRDefault="00EB1AA8" w:rsidP="00FB2F8A">
      <w:pPr>
        <w:pStyle w:val="BodyText"/>
        <w:spacing w:after="240"/>
      </w:pPr>
      <w:r w:rsidRPr="00FD06AE">
        <w:tab/>
      </w:r>
      <w:r w:rsidR="00632DF9" w:rsidRPr="00FD06AE">
        <w:t>Regarding the crash-involved drivers, t</w:t>
      </w:r>
      <w:r w:rsidR="00E43919" w:rsidRPr="00FD06AE">
        <w:t xml:space="preserve">rauma centers </w:t>
      </w:r>
      <w:r w:rsidR="00294B78" w:rsidRPr="00FD06AE">
        <w:t xml:space="preserve">routinely </w:t>
      </w:r>
      <w:r w:rsidR="00E43919" w:rsidRPr="00FD06AE">
        <w:t xml:space="preserve">collect fluid samples </w:t>
      </w:r>
      <w:r w:rsidR="007D4E5B" w:rsidRPr="00FD06AE">
        <w:t xml:space="preserve">for every patient for which a trauma </w:t>
      </w:r>
      <w:r w:rsidR="00EE0425" w:rsidRPr="00FD06AE">
        <w:t>alert</w:t>
      </w:r>
      <w:r w:rsidR="007D4E5B" w:rsidRPr="00FD06AE">
        <w:t xml:space="preserve"> is activated.</w:t>
      </w:r>
      <w:r w:rsidR="00632DF9" w:rsidRPr="00FD06AE">
        <w:t xml:space="preserve"> </w:t>
      </w:r>
      <w:r w:rsidR="00EE0425" w:rsidRPr="00FD06AE">
        <w:t>Trauma alerts are activated when the transporti</w:t>
      </w:r>
      <w:r w:rsidR="00EA5290" w:rsidRPr="00FD06AE">
        <w:t xml:space="preserve">ng </w:t>
      </w:r>
      <w:r w:rsidR="00584BE8" w:rsidRPr="00FD06AE">
        <w:t>EMS staff</w:t>
      </w:r>
      <w:r w:rsidR="00EA5290" w:rsidRPr="00FD06AE">
        <w:t xml:space="preserve"> or the other treating medical staff</w:t>
      </w:r>
      <w:r w:rsidR="00EE0425" w:rsidRPr="00FD06AE">
        <w:t xml:space="preserve"> dete</w:t>
      </w:r>
      <w:r w:rsidR="000657DA" w:rsidRPr="00FD06AE">
        <w:t>rmine</w:t>
      </w:r>
      <w:r w:rsidR="00EE0425" w:rsidRPr="00FD06AE">
        <w:t xml:space="preserve"> the patient meets trauma alert criteria.</w:t>
      </w:r>
      <w:r w:rsidR="00EE0425" w:rsidRPr="00FD06AE">
        <w:rPr>
          <w:rStyle w:val="FootnoteReference"/>
        </w:rPr>
        <w:footnoteReference w:id="22"/>
      </w:r>
      <w:r w:rsidR="00EE0425" w:rsidRPr="00FD06AE">
        <w:t xml:space="preserve"> </w:t>
      </w:r>
      <w:r w:rsidR="00EA5290" w:rsidRPr="00FD06AE">
        <w:t xml:space="preserve">Even if these criteria are not met, the treating professional can use his/her judgment to activate an alert if they </w:t>
      </w:r>
      <w:r w:rsidR="00EE0425" w:rsidRPr="00FD06AE">
        <w:t>suspect a serious injury</w:t>
      </w:r>
      <w:r w:rsidR="00EA5290" w:rsidRPr="00FD06AE">
        <w:t xml:space="preserve"> may have occurred</w:t>
      </w:r>
      <w:r w:rsidR="000657DA" w:rsidRPr="00FD06AE">
        <w:t xml:space="preserve"> but is not currently presenting</w:t>
      </w:r>
      <w:r w:rsidR="00EE0425" w:rsidRPr="00FD06AE">
        <w:t xml:space="preserve">. </w:t>
      </w:r>
    </w:p>
    <w:p w:rsidR="00EC4EF1" w:rsidRPr="00FD06AE" w:rsidRDefault="00EC4EF1" w:rsidP="006B36A2">
      <w:pPr>
        <w:pStyle w:val="BodyText"/>
        <w:spacing w:after="240"/>
        <w:ind w:firstLine="720"/>
      </w:pPr>
      <w:r w:rsidRPr="00FD06AE">
        <w:t>As noted above, u</w:t>
      </w:r>
      <w:r w:rsidR="00E72B57" w:rsidRPr="00FD06AE">
        <w:t xml:space="preserve">nder a waiver of consent and waiver of HIPAA authorization </w:t>
      </w:r>
      <w:r w:rsidR="00200C94" w:rsidRPr="00FD06AE">
        <w:t xml:space="preserve">which has been </w:t>
      </w:r>
      <w:r w:rsidR="00E72B57" w:rsidRPr="00FD06AE">
        <w:t>granted by the reviewing HHS</w:t>
      </w:r>
      <w:r w:rsidRPr="00FD06AE">
        <w:t>-</w:t>
      </w:r>
      <w:r w:rsidR="00E72B57" w:rsidRPr="00FD06AE">
        <w:t>approved IRBs, t</w:t>
      </w:r>
      <w:r w:rsidR="00347372" w:rsidRPr="00FD06AE">
        <w:t xml:space="preserve">he trauma teams will </w:t>
      </w:r>
      <w:r w:rsidR="00EF255E" w:rsidRPr="00FD06AE">
        <w:t xml:space="preserve">provide to the study a de-identified </w:t>
      </w:r>
      <w:r w:rsidR="00347372" w:rsidRPr="00FD06AE">
        <w:t xml:space="preserve">blood sample for every </w:t>
      </w:r>
      <w:r w:rsidR="00294B78" w:rsidRPr="00FD06AE">
        <w:t>injured driver</w:t>
      </w:r>
      <w:r w:rsidR="00347372" w:rsidRPr="00FD06AE">
        <w:t xml:space="preserve"> that has a trauma </w:t>
      </w:r>
      <w:r w:rsidR="00EA5290" w:rsidRPr="00FD06AE">
        <w:t>alert</w:t>
      </w:r>
      <w:r w:rsidR="00347372" w:rsidRPr="00FD06AE">
        <w:t xml:space="preserve"> activated</w:t>
      </w:r>
      <w:r w:rsidR="00632DF9" w:rsidRPr="00FD06AE">
        <w:t>.</w:t>
      </w:r>
      <w:r w:rsidR="00347372" w:rsidRPr="00FD06AE">
        <w:t xml:space="preserve"> </w:t>
      </w:r>
      <w:r w:rsidRPr="00FD06AE">
        <w:t xml:space="preserve">This process provides the best opportunity to gather information on the </w:t>
      </w:r>
      <w:r w:rsidR="00C64ACA" w:rsidRPr="00FD06AE">
        <w:t>universe</w:t>
      </w:r>
      <w:r w:rsidRPr="00FD06AE">
        <w:t xml:space="preserve"> of seriously</w:t>
      </w:r>
      <w:r w:rsidR="00584BE8" w:rsidRPr="00FD06AE">
        <w:t xml:space="preserve"> </w:t>
      </w:r>
      <w:r w:rsidRPr="00FD06AE">
        <w:t>injured drivers in a given area</w:t>
      </w:r>
      <w:r w:rsidR="003741C2" w:rsidRPr="00FD06AE">
        <w:t xml:space="preserve"> i</w:t>
      </w:r>
      <w:r w:rsidR="000657DA" w:rsidRPr="00FD06AE">
        <w:t>n as quick a manner as possible</w:t>
      </w:r>
      <w:r w:rsidR="003741C2" w:rsidRPr="00FD06AE">
        <w:t xml:space="preserve"> to reduce the overall time needed for data collection</w:t>
      </w:r>
      <w:r w:rsidRPr="00FD06AE">
        <w:t>.</w:t>
      </w:r>
      <w:r w:rsidR="003741C2" w:rsidRPr="00FD06AE">
        <w:t xml:space="preserve"> </w:t>
      </w:r>
    </w:p>
    <w:p w:rsidR="00A51C1F" w:rsidRPr="00FD06AE" w:rsidRDefault="00B0257F" w:rsidP="00ED69C4">
      <w:pPr>
        <w:pStyle w:val="BodyText"/>
        <w:spacing w:after="240"/>
        <w:ind w:firstLine="720"/>
      </w:pPr>
      <w:r w:rsidRPr="00FD06AE">
        <w:t>Fo</w:t>
      </w:r>
      <w:r w:rsidR="00584BE8" w:rsidRPr="00FD06AE">
        <w:t xml:space="preserve">r fatally </w:t>
      </w:r>
      <w:r w:rsidRPr="00FD06AE">
        <w:t>injured drivers, each site’s m</w:t>
      </w:r>
      <w:r w:rsidR="007457F9" w:rsidRPr="00FD06AE">
        <w:t xml:space="preserve">edical </w:t>
      </w:r>
      <w:r w:rsidRPr="00FD06AE">
        <w:t>e</w:t>
      </w:r>
      <w:r w:rsidR="007457F9" w:rsidRPr="00FD06AE">
        <w:t>xaminers will collect samples</w:t>
      </w:r>
      <w:r w:rsidR="003E092C" w:rsidRPr="00FD06AE">
        <w:t xml:space="preserve"> </w:t>
      </w:r>
      <w:r w:rsidR="007457F9" w:rsidRPr="00FD06AE">
        <w:t>during the</w:t>
      </w:r>
      <w:r w:rsidR="00ED69C4" w:rsidRPr="00FD06AE">
        <w:t xml:space="preserve"> routine</w:t>
      </w:r>
      <w:r w:rsidR="007457F9" w:rsidRPr="00FD06AE">
        <w:t xml:space="preserve"> </w:t>
      </w:r>
      <w:r w:rsidR="00ED69C4" w:rsidRPr="00FD06AE">
        <w:t xml:space="preserve">post-mortem </w:t>
      </w:r>
      <w:r w:rsidR="007457F9" w:rsidRPr="00FD06AE">
        <w:t>examination</w:t>
      </w:r>
      <w:r w:rsidRPr="00FD06AE">
        <w:t xml:space="preserve">. </w:t>
      </w:r>
      <w:r w:rsidR="00EF255E" w:rsidRPr="00FD06AE">
        <w:t>B</w:t>
      </w:r>
      <w:r w:rsidR="00ED69C4" w:rsidRPr="00FD06AE">
        <w:t>lood samples are routinely gathered for the medical examiner’s own testing purposes</w:t>
      </w:r>
      <w:r w:rsidR="00EF255E" w:rsidRPr="00FD06AE">
        <w:t xml:space="preserve"> and residual blood is available for research</w:t>
      </w:r>
      <w:r w:rsidR="00A51C1F" w:rsidRPr="00FD06AE">
        <w:t>.</w:t>
      </w:r>
      <w:r w:rsidR="00ED69C4" w:rsidRPr="00FD06AE">
        <w:t xml:space="preserve"> </w:t>
      </w:r>
    </w:p>
    <w:p w:rsidR="001074FF" w:rsidRPr="00FD06AE" w:rsidRDefault="001074FF" w:rsidP="00083749">
      <w:pPr>
        <w:pStyle w:val="Heading3"/>
      </w:pPr>
      <w:r w:rsidRPr="00FD06AE">
        <w:t>B.4.</w:t>
      </w:r>
      <w:r w:rsidRPr="00FD06AE">
        <w:tab/>
        <w:t>Describe any tests of procedures or methods to be undertaken.</w:t>
      </w:r>
      <w:bookmarkEnd w:id="19"/>
      <w:bookmarkEnd w:id="20"/>
      <w:bookmarkEnd w:id="21"/>
      <w:bookmarkEnd w:id="22"/>
    </w:p>
    <w:p w:rsidR="008175AA" w:rsidRPr="00FD06AE" w:rsidRDefault="001074FF" w:rsidP="00FB2F8A">
      <w:pPr>
        <w:pStyle w:val="Heading3"/>
        <w:spacing w:after="240"/>
        <w:rPr>
          <w:b w:val="0"/>
        </w:rPr>
      </w:pPr>
      <w:bookmarkStart w:id="24" w:name="_Toc125278841"/>
      <w:bookmarkStart w:id="25" w:name="_Toc125341764"/>
      <w:bookmarkStart w:id="26" w:name="_Toc125447322"/>
      <w:bookmarkStart w:id="27" w:name="_Toc126394145"/>
      <w:r w:rsidRPr="00FD06AE">
        <w:rPr>
          <w:b w:val="0"/>
          <w:color w:val="4F81BD"/>
        </w:rPr>
        <w:tab/>
      </w:r>
      <w:r w:rsidR="00F75EB2" w:rsidRPr="00FD06AE">
        <w:rPr>
          <w:b w:val="0"/>
        </w:rPr>
        <w:t>W</w:t>
      </w:r>
      <w:r w:rsidR="007D4E5B" w:rsidRPr="00FD06AE">
        <w:rPr>
          <w:b w:val="0"/>
        </w:rPr>
        <w:t xml:space="preserve">e will pilot test all protocols at </w:t>
      </w:r>
      <w:r w:rsidR="008175AA" w:rsidRPr="00FD06AE">
        <w:rPr>
          <w:b w:val="0"/>
        </w:rPr>
        <w:t xml:space="preserve">each </w:t>
      </w:r>
      <w:r w:rsidR="007D4E5B" w:rsidRPr="00FD06AE">
        <w:rPr>
          <w:b w:val="0"/>
        </w:rPr>
        <w:t>trauma center</w:t>
      </w:r>
      <w:r w:rsidR="008175AA" w:rsidRPr="00FD06AE">
        <w:rPr>
          <w:b w:val="0"/>
        </w:rPr>
        <w:t>,</w:t>
      </w:r>
      <w:r w:rsidR="007D4E5B" w:rsidRPr="00FD06AE">
        <w:rPr>
          <w:b w:val="0"/>
        </w:rPr>
        <w:t xml:space="preserve"> and for </w:t>
      </w:r>
      <w:r w:rsidR="008175AA" w:rsidRPr="00FD06AE">
        <w:rPr>
          <w:b w:val="0"/>
        </w:rPr>
        <w:t>control data collection</w:t>
      </w:r>
      <w:r w:rsidR="00584BE8" w:rsidRPr="00FD06AE">
        <w:rPr>
          <w:b w:val="0"/>
        </w:rPr>
        <w:t xml:space="preserve"> at</w:t>
      </w:r>
      <w:r w:rsidR="007D4E5B" w:rsidRPr="00FD06AE">
        <w:rPr>
          <w:b w:val="0"/>
        </w:rPr>
        <w:t xml:space="preserve"> each site. W</w:t>
      </w:r>
      <w:r w:rsidR="00F75EB2" w:rsidRPr="00FD06AE">
        <w:rPr>
          <w:b w:val="0"/>
        </w:rPr>
        <w:t>e do not anticipate substantive changes to the case-control methodology outlined in this document.</w:t>
      </w:r>
      <w:r w:rsidR="00E43FF8" w:rsidRPr="00FD06AE">
        <w:rPr>
          <w:b w:val="0"/>
        </w:rPr>
        <w:t xml:space="preserve"> </w:t>
      </w:r>
    </w:p>
    <w:p w:rsidR="006D0F88" w:rsidRPr="00FD06AE" w:rsidRDefault="008175AA" w:rsidP="00FA299C">
      <w:pPr>
        <w:pStyle w:val="Heading3"/>
        <w:spacing w:after="240"/>
        <w:ind w:firstLine="720"/>
        <w:rPr>
          <w:b w:val="0"/>
        </w:rPr>
      </w:pPr>
      <w:r w:rsidRPr="00FD06AE">
        <w:rPr>
          <w:b w:val="0"/>
        </w:rPr>
        <w:t>NHTSA has experience obtaining sensitive data, including biological samples from drivers at roadside, t</w:t>
      </w:r>
      <w:r w:rsidR="00E43FF8" w:rsidRPr="00FD06AE">
        <w:rPr>
          <w:b w:val="0"/>
        </w:rPr>
        <w:t xml:space="preserve">he participating trauma </w:t>
      </w:r>
      <w:r w:rsidRPr="00FD06AE">
        <w:rPr>
          <w:b w:val="0"/>
        </w:rPr>
        <w:t xml:space="preserve">medical staff </w:t>
      </w:r>
      <w:r w:rsidR="00E43FF8" w:rsidRPr="00FD06AE">
        <w:rPr>
          <w:b w:val="0"/>
        </w:rPr>
        <w:t>ha</w:t>
      </w:r>
      <w:r w:rsidR="00C0544B" w:rsidRPr="00FD06AE">
        <w:rPr>
          <w:b w:val="0"/>
        </w:rPr>
        <w:t>ve</w:t>
      </w:r>
      <w:r w:rsidR="00E43FF8" w:rsidRPr="00FD06AE">
        <w:rPr>
          <w:b w:val="0"/>
        </w:rPr>
        <w:t xml:space="preserve"> </w:t>
      </w:r>
      <w:r w:rsidRPr="00FD06AE">
        <w:rPr>
          <w:b w:val="0"/>
        </w:rPr>
        <w:t>e</w:t>
      </w:r>
      <w:r w:rsidR="00E43FF8" w:rsidRPr="00FD06AE">
        <w:rPr>
          <w:b w:val="0"/>
        </w:rPr>
        <w:t xml:space="preserve">xperience </w:t>
      </w:r>
      <w:r w:rsidR="007D4E5B" w:rsidRPr="00FD06AE">
        <w:rPr>
          <w:b w:val="0"/>
        </w:rPr>
        <w:t>conducting</w:t>
      </w:r>
      <w:r w:rsidR="00E43FF8" w:rsidRPr="00FD06AE">
        <w:rPr>
          <w:b w:val="0"/>
        </w:rPr>
        <w:t xml:space="preserve"> research </w:t>
      </w:r>
      <w:r w:rsidRPr="00FD06AE">
        <w:rPr>
          <w:b w:val="0"/>
        </w:rPr>
        <w:t>within</w:t>
      </w:r>
      <w:r w:rsidR="00F0756D" w:rsidRPr="00FD06AE">
        <w:rPr>
          <w:b w:val="0"/>
        </w:rPr>
        <w:t xml:space="preserve"> their centers</w:t>
      </w:r>
      <w:r w:rsidR="00252C70" w:rsidRPr="00FD06AE">
        <w:rPr>
          <w:b w:val="0"/>
        </w:rPr>
        <w:t xml:space="preserve"> and providing de-identified samples and information to others for research purposes</w:t>
      </w:r>
      <w:r w:rsidR="002F7CDE" w:rsidRPr="00FD06AE">
        <w:rPr>
          <w:b w:val="0"/>
        </w:rPr>
        <w:t>,</w:t>
      </w:r>
      <w:r w:rsidR="00E43FF8" w:rsidRPr="00FD06AE">
        <w:rPr>
          <w:b w:val="0"/>
        </w:rPr>
        <w:t xml:space="preserve"> </w:t>
      </w:r>
      <w:r w:rsidRPr="00FD06AE">
        <w:rPr>
          <w:b w:val="0"/>
        </w:rPr>
        <w:t>and the contractor has experience in obtaining similar data for NHTSA, including the Long Beach and Fort Lauderdale crash risk study in the 1990s</w:t>
      </w:r>
      <w:r w:rsidR="00D209F0" w:rsidRPr="00FD06AE">
        <w:rPr>
          <w:b w:val="0"/>
        </w:rPr>
        <w:t xml:space="preserve">. </w:t>
      </w:r>
      <w:r w:rsidRPr="00FD06AE">
        <w:rPr>
          <w:b w:val="0"/>
        </w:rPr>
        <w:t>All participating entities are s</w:t>
      </w:r>
      <w:r w:rsidR="00F75EB2" w:rsidRPr="00FD06AE">
        <w:rPr>
          <w:b w:val="0"/>
        </w:rPr>
        <w:t xml:space="preserve">ensitive to the environment in which data collection will occur and will respond with modest changes as needed to meet </w:t>
      </w:r>
      <w:r w:rsidR="002D1B43" w:rsidRPr="00FD06AE">
        <w:rPr>
          <w:b w:val="0"/>
        </w:rPr>
        <w:t xml:space="preserve">the </w:t>
      </w:r>
      <w:r w:rsidRPr="00FD06AE">
        <w:rPr>
          <w:b w:val="0"/>
        </w:rPr>
        <w:t>needed sample size with the least am</w:t>
      </w:r>
      <w:r w:rsidR="00F75EB2" w:rsidRPr="00FD06AE">
        <w:rPr>
          <w:b w:val="0"/>
        </w:rPr>
        <w:t xml:space="preserve">ount of inconvenience </w:t>
      </w:r>
      <w:r w:rsidRPr="00FD06AE">
        <w:rPr>
          <w:b w:val="0"/>
        </w:rPr>
        <w:t xml:space="preserve">and burden </w:t>
      </w:r>
      <w:r w:rsidR="00FA299C" w:rsidRPr="00FD06AE">
        <w:rPr>
          <w:b w:val="0"/>
        </w:rPr>
        <w:t>to the general public.</w:t>
      </w:r>
    </w:p>
    <w:p w:rsidR="0026677E" w:rsidRPr="00FD06AE" w:rsidRDefault="001074FF" w:rsidP="0013776B">
      <w:pPr>
        <w:pStyle w:val="Heading3"/>
        <w:spacing w:after="240"/>
      </w:pPr>
      <w:r w:rsidRPr="00FD06AE">
        <w:t>B.5.</w:t>
      </w:r>
      <w:r w:rsidRPr="00FD06AE">
        <w:tab/>
        <w:t>Provide the name and telephone number of individuals consulted on statistical aspects of the design</w:t>
      </w:r>
      <w:bookmarkEnd w:id="24"/>
      <w:bookmarkEnd w:id="25"/>
      <w:bookmarkEnd w:id="26"/>
      <w:bookmarkEnd w:id="27"/>
    </w:p>
    <w:p w:rsidR="001074FF" w:rsidRPr="00FD06AE" w:rsidRDefault="001074FF" w:rsidP="00FF1BBE">
      <w:pPr>
        <w:pStyle w:val="BodyText"/>
      </w:pPr>
      <w:r w:rsidRPr="00FD06AE">
        <w:t>The following individuals have reviewed technical aspects of this research plan:</w:t>
      </w:r>
    </w:p>
    <w:p w:rsidR="004027A1" w:rsidRPr="00FD06AE" w:rsidRDefault="004027A1" w:rsidP="00706A4A">
      <w:pPr>
        <w:pStyle w:val="BodyText"/>
        <w:spacing w:before="0" w:after="0"/>
        <w:ind w:firstLine="720"/>
      </w:pPr>
      <w:r w:rsidRPr="00FD06AE">
        <w:t>Amy Berning</w:t>
      </w:r>
      <w:r w:rsidR="00092CBC" w:rsidRPr="00FD06AE">
        <w:t>, MS</w:t>
      </w:r>
    </w:p>
    <w:p w:rsidR="004027A1" w:rsidRPr="00FD06AE" w:rsidRDefault="004027A1" w:rsidP="00706A4A">
      <w:pPr>
        <w:pStyle w:val="BodyText"/>
        <w:spacing w:before="0" w:after="0"/>
        <w:ind w:firstLine="720"/>
      </w:pPr>
      <w:r w:rsidRPr="00FD06AE">
        <w:t>Research Psychologist</w:t>
      </w:r>
      <w:r w:rsidR="00E94C71" w:rsidRPr="00FD06AE">
        <w:t>, Office of Behavioral Safety Research</w:t>
      </w:r>
    </w:p>
    <w:p w:rsidR="004027A1" w:rsidRPr="00FD06AE" w:rsidRDefault="004027A1" w:rsidP="004027A1">
      <w:pPr>
        <w:pStyle w:val="BodyText"/>
        <w:spacing w:before="0" w:after="0"/>
        <w:ind w:firstLine="720"/>
      </w:pPr>
      <w:r w:rsidRPr="00FD06AE">
        <w:t>National Highway Traffic Safety Administration</w:t>
      </w:r>
    </w:p>
    <w:p w:rsidR="004027A1" w:rsidRPr="00FD06AE" w:rsidRDefault="004027A1" w:rsidP="004027A1">
      <w:pPr>
        <w:pStyle w:val="BodyText"/>
        <w:spacing w:before="0" w:after="0"/>
        <w:ind w:firstLine="720"/>
      </w:pPr>
      <w:r w:rsidRPr="00FD06AE">
        <w:t>Washington, DC</w:t>
      </w:r>
    </w:p>
    <w:p w:rsidR="00E94C71" w:rsidRPr="00FD06AE" w:rsidRDefault="00E94C71" w:rsidP="004027A1">
      <w:pPr>
        <w:pStyle w:val="BodyText"/>
        <w:spacing w:before="0" w:after="0"/>
        <w:ind w:firstLine="720"/>
      </w:pPr>
      <w:r w:rsidRPr="00FD06AE">
        <w:t>202-366-5587</w:t>
      </w:r>
    </w:p>
    <w:p w:rsidR="004027A1" w:rsidRPr="00FD06AE" w:rsidRDefault="004027A1" w:rsidP="00706A4A">
      <w:pPr>
        <w:pStyle w:val="BodyText"/>
        <w:spacing w:before="0" w:after="0"/>
        <w:ind w:firstLine="720"/>
      </w:pPr>
    </w:p>
    <w:p w:rsidR="004027A1" w:rsidRPr="00FD06AE" w:rsidRDefault="00CB5933" w:rsidP="00706A4A">
      <w:pPr>
        <w:pStyle w:val="BodyText"/>
        <w:spacing w:before="0" w:after="0"/>
        <w:ind w:firstLine="720"/>
      </w:pPr>
      <w:r w:rsidRPr="00FD06AE">
        <w:t>Richard</w:t>
      </w:r>
      <w:r w:rsidR="004027A1" w:rsidRPr="00FD06AE">
        <w:t xml:space="preserve"> Compton, Ph</w:t>
      </w:r>
      <w:r w:rsidR="001455DC" w:rsidRPr="00FD06AE">
        <w:t>D</w:t>
      </w:r>
    </w:p>
    <w:p w:rsidR="004027A1" w:rsidRPr="00FD06AE" w:rsidRDefault="004027A1" w:rsidP="00706A4A">
      <w:pPr>
        <w:pStyle w:val="BodyText"/>
        <w:spacing w:before="0" w:after="0"/>
        <w:ind w:firstLine="720"/>
      </w:pPr>
      <w:r w:rsidRPr="00FD06AE">
        <w:t xml:space="preserve">Director, Office of Behavioral Safety Research </w:t>
      </w:r>
    </w:p>
    <w:p w:rsidR="004027A1" w:rsidRPr="00FD06AE" w:rsidRDefault="004027A1" w:rsidP="00706A4A">
      <w:pPr>
        <w:pStyle w:val="BodyText"/>
        <w:spacing w:before="0" w:after="0"/>
        <w:ind w:firstLine="720"/>
      </w:pPr>
      <w:r w:rsidRPr="00FD06AE">
        <w:t>National Highway Traffic Safety Administration</w:t>
      </w:r>
    </w:p>
    <w:p w:rsidR="004027A1" w:rsidRPr="00FD06AE" w:rsidRDefault="004027A1" w:rsidP="00706A4A">
      <w:pPr>
        <w:pStyle w:val="BodyText"/>
        <w:spacing w:before="0" w:after="0"/>
        <w:ind w:firstLine="720"/>
      </w:pPr>
      <w:r w:rsidRPr="00FD06AE">
        <w:t>Washington, DC</w:t>
      </w:r>
    </w:p>
    <w:p w:rsidR="001074FF" w:rsidRPr="00FD06AE" w:rsidRDefault="004027A1" w:rsidP="00706A4A">
      <w:pPr>
        <w:pStyle w:val="BodyText"/>
        <w:spacing w:before="0" w:after="0"/>
        <w:ind w:firstLine="720"/>
      </w:pPr>
      <w:r w:rsidRPr="00FD06AE">
        <w:t>202-366-2699</w:t>
      </w:r>
    </w:p>
    <w:p w:rsidR="0013776B" w:rsidRPr="00FD06AE" w:rsidRDefault="0013776B"/>
    <w:p w:rsidR="004027A1" w:rsidRPr="00FD06AE" w:rsidRDefault="004027A1" w:rsidP="00706A4A">
      <w:pPr>
        <w:pStyle w:val="BodyText"/>
        <w:spacing w:before="0" w:after="0"/>
        <w:ind w:firstLine="720"/>
      </w:pPr>
      <w:r w:rsidRPr="00FD06AE">
        <w:t xml:space="preserve">Rory Austin, PhD </w:t>
      </w:r>
    </w:p>
    <w:p w:rsidR="004027A1" w:rsidRPr="00FD06AE" w:rsidRDefault="004027A1" w:rsidP="00706A4A">
      <w:pPr>
        <w:pStyle w:val="BodyText"/>
        <w:spacing w:before="0" w:after="0"/>
        <w:ind w:firstLine="720"/>
      </w:pPr>
      <w:r w:rsidRPr="00FD06AE">
        <w:t xml:space="preserve">Chief, </w:t>
      </w:r>
      <w:r w:rsidR="0013776B" w:rsidRPr="00FD06AE">
        <w:t>Injury Prevention Research Division</w:t>
      </w:r>
    </w:p>
    <w:p w:rsidR="004027A1" w:rsidRPr="00FD06AE" w:rsidRDefault="004027A1" w:rsidP="00706A4A">
      <w:pPr>
        <w:pStyle w:val="BodyText"/>
        <w:spacing w:before="0" w:after="0"/>
        <w:ind w:firstLine="720"/>
      </w:pPr>
      <w:r w:rsidRPr="00FD06AE">
        <w:t>National Highway Traffic Safety Administration</w:t>
      </w:r>
    </w:p>
    <w:p w:rsidR="004027A1" w:rsidRPr="00FD06AE" w:rsidRDefault="004027A1" w:rsidP="00706A4A">
      <w:pPr>
        <w:pStyle w:val="BodyText"/>
        <w:spacing w:before="0" w:after="0"/>
        <w:ind w:firstLine="720"/>
      </w:pPr>
      <w:r w:rsidRPr="00FD06AE">
        <w:t>Washington, DC</w:t>
      </w:r>
    </w:p>
    <w:p w:rsidR="004027A1" w:rsidRPr="00FD06AE" w:rsidRDefault="004027A1" w:rsidP="00706A4A">
      <w:pPr>
        <w:pStyle w:val="BodyText"/>
        <w:spacing w:before="0" w:after="0"/>
        <w:ind w:firstLine="720"/>
      </w:pPr>
      <w:r w:rsidRPr="00FD06AE">
        <w:t>202-366-</w:t>
      </w:r>
      <w:r w:rsidR="0013776B" w:rsidRPr="00FD06AE">
        <w:t>5592</w:t>
      </w:r>
    </w:p>
    <w:p w:rsidR="004027A1" w:rsidRPr="00FD06AE" w:rsidRDefault="004027A1" w:rsidP="00706A4A">
      <w:pPr>
        <w:pStyle w:val="BodyText"/>
        <w:spacing w:before="0" w:after="0"/>
        <w:ind w:firstLine="720"/>
      </w:pPr>
    </w:p>
    <w:p w:rsidR="001074FF" w:rsidRPr="00FD06AE" w:rsidRDefault="001074FF" w:rsidP="00706A4A">
      <w:pPr>
        <w:pStyle w:val="BodyText"/>
        <w:spacing w:before="0" w:after="0"/>
        <w:ind w:firstLine="720"/>
      </w:pPr>
      <w:r w:rsidRPr="00FD06AE">
        <w:t>Dennis Thomas, PhD</w:t>
      </w:r>
      <w:r w:rsidR="007154FB" w:rsidRPr="00FD06AE">
        <w:t>, M</w:t>
      </w:r>
      <w:r w:rsidR="001455DC" w:rsidRPr="00FD06AE">
        <w:t>A</w:t>
      </w:r>
    </w:p>
    <w:p w:rsidR="001074FF" w:rsidRPr="00FD06AE" w:rsidRDefault="001074FF" w:rsidP="00706A4A">
      <w:pPr>
        <w:pStyle w:val="BodyText"/>
        <w:spacing w:before="0" w:after="0"/>
        <w:ind w:firstLine="720"/>
      </w:pPr>
      <w:r w:rsidRPr="00FD06AE">
        <w:t>Vice President, Dunlap and Associates, Inc.</w:t>
      </w:r>
    </w:p>
    <w:p w:rsidR="001074FF" w:rsidRPr="00FD06AE" w:rsidRDefault="001074FF" w:rsidP="00706A4A">
      <w:pPr>
        <w:pStyle w:val="BodyText"/>
        <w:spacing w:before="0" w:after="0"/>
        <w:ind w:firstLine="720"/>
      </w:pPr>
      <w:r w:rsidRPr="00FD06AE">
        <w:t>203-323-8464 (ext. 104)</w:t>
      </w:r>
    </w:p>
    <w:p w:rsidR="001074FF" w:rsidRPr="00FD06AE" w:rsidRDefault="001074FF" w:rsidP="00706A4A">
      <w:pPr>
        <w:pStyle w:val="BodyText"/>
        <w:spacing w:before="0" w:after="0"/>
        <w:ind w:firstLine="720"/>
      </w:pPr>
    </w:p>
    <w:p w:rsidR="007C68FE" w:rsidRPr="00FD06AE" w:rsidRDefault="007C68FE" w:rsidP="007C68FE">
      <w:pPr>
        <w:pStyle w:val="BodyText"/>
        <w:spacing w:before="0" w:after="0"/>
        <w:ind w:firstLine="720"/>
      </w:pPr>
      <w:r w:rsidRPr="00FD06AE">
        <w:t>Raymond C. Peck, M</w:t>
      </w:r>
      <w:r w:rsidR="001455DC" w:rsidRPr="00FD06AE">
        <w:t>A</w:t>
      </w:r>
    </w:p>
    <w:p w:rsidR="007C68FE" w:rsidRPr="00FD06AE" w:rsidRDefault="007C68FE" w:rsidP="007C68FE">
      <w:pPr>
        <w:pStyle w:val="BodyText"/>
        <w:spacing w:before="0" w:after="0"/>
        <w:ind w:firstLine="720"/>
      </w:pPr>
      <w:r w:rsidRPr="00FD06AE">
        <w:t>President, R.C. Peck and Associates</w:t>
      </w:r>
    </w:p>
    <w:p w:rsidR="007C68FE" w:rsidRPr="00FD06AE" w:rsidRDefault="007C68FE" w:rsidP="007C68FE">
      <w:pPr>
        <w:pStyle w:val="BodyText"/>
        <w:spacing w:before="0" w:after="0"/>
        <w:ind w:firstLine="720"/>
      </w:pPr>
      <w:r w:rsidRPr="00FD06AE">
        <w:t>916-989-5628</w:t>
      </w:r>
    </w:p>
    <w:p w:rsidR="00965FCF" w:rsidRPr="00FD06AE" w:rsidRDefault="00965FCF" w:rsidP="00706A4A">
      <w:pPr>
        <w:pStyle w:val="BodyText"/>
        <w:spacing w:before="0" w:after="0"/>
        <w:ind w:firstLine="720"/>
      </w:pPr>
    </w:p>
    <w:p w:rsidR="001074FF" w:rsidRPr="00FD06AE" w:rsidRDefault="001074FF" w:rsidP="00706A4A">
      <w:pPr>
        <w:pStyle w:val="BodyText"/>
        <w:spacing w:before="0" w:after="0"/>
        <w:ind w:firstLine="720"/>
      </w:pPr>
      <w:r w:rsidRPr="00FD06AE">
        <w:t>Richard Blomberg</w:t>
      </w:r>
      <w:r w:rsidR="007D02F0" w:rsidRPr="00FD06AE">
        <w:t>, MS</w:t>
      </w:r>
    </w:p>
    <w:p w:rsidR="001074FF" w:rsidRPr="00FD06AE" w:rsidRDefault="001074FF" w:rsidP="00706A4A">
      <w:pPr>
        <w:pStyle w:val="BodyText"/>
        <w:spacing w:before="0" w:after="0"/>
        <w:ind w:firstLine="720"/>
      </w:pPr>
      <w:r w:rsidRPr="00FD06AE">
        <w:t>President, Dunlap and Associates, Inc.</w:t>
      </w:r>
    </w:p>
    <w:p w:rsidR="001074FF" w:rsidRPr="00FD06AE" w:rsidRDefault="001074FF" w:rsidP="00706A4A">
      <w:pPr>
        <w:pStyle w:val="BodyText"/>
        <w:spacing w:before="0" w:after="0"/>
        <w:ind w:firstLine="720"/>
      </w:pPr>
      <w:r w:rsidRPr="00FD06AE">
        <w:t>203-323-8464 (ext. 101)</w:t>
      </w:r>
    </w:p>
    <w:p w:rsidR="007D02F0" w:rsidRPr="00FD06AE" w:rsidRDefault="007D02F0" w:rsidP="00706A4A">
      <w:pPr>
        <w:pStyle w:val="BodyText"/>
        <w:spacing w:before="0" w:after="0"/>
        <w:ind w:firstLine="720"/>
      </w:pPr>
    </w:p>
    <w:p w:rsidR="001455DC" w:rsidRPr="00FD06AE" w:rsidRDefault="001455DC" w:rsidP="001455DC">
      <w:pPr>
        <w:shd w:val="clear" w:color="auto" w:fill="FFFFFF"/>
        <w:ind w:left="720"/>
      </w:pPr>
      <w:r w:rsidRPr="00FD06AE">
        <w:t>Carl Schulman, MD, PhD, MSPH, FACS</w:t>
      </w:r>
    </w:p>
    <w:p w:rsidR="001455DC" w:rsidRPr="00FD06AE" w:rsidRDefault="001455DC" w:rsidP="001455DC">
      <w:pPr>
        <w:shd w:val="clear" w:color="auto" w:fill="FFFFFF"/>
        <w:ind w:left="720"/>
      </w:pPr>
      <w:r w:rsidRPr="00FD06AE">
        <w:t>Professor of Surgery</w:t>
      </w:r>
    </w:p>
    <w:p w:rsidR="001455DC" w:rsidRPr="00FD06AE" w:rsidRDefault="001455DC" w:rsidP="001455DC">
      <w:pPr>
        <w:shd w:val="clear" w:color="auto" w:fill="FFFFFF"/>
        <w:ind w:left="720"/>
      </w:pPr>
      <w:r w:rsidRPr="00FD06AE">
        <w:t>Executive Dean for Research</w:t>
      </w:r>
    </w:p>
    <w:p w:rsidR="001455DC" w:rsidRPr="00FD06AE" w:rsidRDefault="001455DC" w:rsidP="001455DC">
      <w:pPr>
        <w:shd w:val="clear" w:color="auto" w:fill="FFFFFF"/>
        <w:ind w:left="720"/>
      </w:pPr>
      <w:r w:rsidRPr="00FD06AE">
        <w:t>Director – William Lehman Injury Research Center</w:t>
      </w:r>
    </w:p>
    <w:p w:rsidR="001455DC" w:rsidRPr="00FD06AE" w:rsidRDefault="001455DC" w:rsidP="001455DC">
      <w:pPr>
        <w:shd w:val="clear" w:color="auto" w:fill="FFFFFF"/>
        <w:ind w:left="720"/>
      </w:pPr>
      <w:r w:rsidRPr="00FD06AE">
        <w:t>University of Miami Miller School of Medicine / Ryder Trauma Center</w:t>
      </w:r>
    </w:p>
    <w:p w:rsidR="002D1B43" w:rsidRPr="00955E3C" w:rsidRDefault="007D02F0" w:rsidP="00E26FC7">
      <w:pPr>
        <w:pStyle w:val="BodyText"/>
        <w:spacing w:before="0" w:after="0"/>
        <w:ind w:firstLine="720"/>
      </w:pPr>
      <w:r w:rsidRPr="00FD06AE">
        <w:t>305-585-1178</w:t>
      </w:r>
    </w:p>
    <w:sectPr w:rsidR="002D1B43" w:rsidRPr="00955E3C" w:rsidSect="00E156BD">
      <w:type w:val="continuous"/>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4F" w:rsidRDefault="00A1054F">
      <w:r>
        <w:separator/>
      </w:r>
    </w:p>
  </w:endnote>
  <w:endnote w:type="continuationSeparator" w:id="0">
    <w:p w:rsidR="00A1054F" w:rsidRDefault="00A1054F">
      <w:r>
        <w:continuationSeparator/>
      </w:r>
    </w:p>
  </w:endnote>
  <w:endnote w:type="continuationNotice" w:id="1">
    <w:p w:rsidR="00A1054F" w:rsidRDefault="00A10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4F" w:rsidRDefault="00A1054F">
      <w:r>
        <w:separator/>
      </w:r>
    </w:p>
  </w:footnote>
  <w:footnote w:type="continuationSeparator" w:id="0">
    <w:p w:rsidR="00A1054F" w:rsidRDefault="00A1054F">
      <w:r>
        <w:continuationSeparator/>
      </w:r>
    </w:p>
  </w:footnote>
  <w:footnote w:type="continuationNotice" w:id="1">
    <w:p w:rsidR="00A1054F" w:rsidRDefault="00A1054F"/>
  </w:footnote>
  <w:footnote w:id="2">
    <w:p w:rsidR="00A1054F" w:rsidRDefault="00A1054F">
      <w:pPr>
        <w:pStyle w:val="FootnoteText"/>
      </w:pPr>
      <w:r w:rsidRPr="00665549">
        <w:rPr>
          <w:rStyle w:val="FootnoteReference"/>
        </w:rPr>
        <w:footnoteRef/>
      </w:r>
      <w:r w:rsidRPr="00665549">
        <w:t xml:space="preserve"> Compton, R. (2017, July). Marijuana-Impaired Driving - A Report to Congress. (DOT HS 812 440). Washington, DC: National Highway Traffic Safety Administration.</w:t>
      </w:r>
    </w:p>
  </w:footnote>
  <w:footnote w:id="3">
    <w:p w:rsidR="00A1054F" w:rsidRDefault="00A1054F" w:rsidP="00235EB0">
      <w:pPr>
        <w:pStyle w:val="FootnoteText"/>
      </w:pPr>
      <w:r>
        <w:rPr>
          <w:rStyle w:val="FootnoteReference"/>
        </w:rPr>
        <w:footnoteRef/>
      </w:r>
      <w:r>
        <w:t xml:space="preserve"> Lacey, J. H., Kelley-Baker, T., Berning, A., Romano, E., Ramirez, A., Yao, J., ,… &amp; Compton, R. (2016, December). Drug and alcohol crash risk: A case-control study (Report No. DOT HS 812 355). Washington, DC:</w:t>
      </w:r>
      <w:r w:rsidRPr="004D3F1D">
        <w:t xml:space="preserve"> </w:t>
      </w:r>
      <w:r>
        <w:t>National Highway Traffic Safety Administration.</w:t>
      </w:r>
    </w:p>
  </w:footnote>
  <w:footnote w:id="4">
    <w:p w:rsidR="00A1054F" w:rsidRPr="00F119C6" w:rsidRDefault="00A1054F" w:rsidP="000A6A85">
      <w:pPr>
        <w:ind w:right="-360"/>
        <w:rPr>
          <w:sz w:val="20"/>
          <w:szCs w:val="20"/>
        </w:rPr>
      </w:pPr>
      <w:r w:rsidRPr="00F0058A">
        <w:rPr>
          <w:rStyle w:val="FootnoteReference"/>
          <w:sz w:val="20"/>
          <w:szCs w:val="20"/>
        </w:rPr>
        <w:footnoteRef/>
      </w:r>
      <w:r w:rsidRPr="00F0058A">
        <w:rPr>
          <w:sz w:val="20"/>
          <w:szCs w:val="20"/>
        </w:rPr>
        <w:t xml:space="preserve"> </w:t>
      </w:r>
      <w:r w:rsidRPr="00F119C6">
        <w:rPr>
          <w:spacing w:val="-2"/>
          <w:sz w:val="20"/>
          <w:szCs w:val="20"/>
        </w:rPr>
        <w:t>B</w:t>
      </w:r>
      <w:r w:rsidRPr="00F119C6">
        <w:rPr>
          <w:sz w:val="20"/>
          <w:szCs w:val="20"/>
        </w:rPr>
        <w:t>o</w:t>
      </w:r>
      <w:r w:rsidRPr="00F119C6">
        <w:rPr>
          <w:spacing w:val="-1"/>
          <w:sz w:val="20"/>
          <w:szCs w:val="20"/>
        </w:rPr>
        <w:t>r</w:t>
      </w:r>
      <w:r w:rsidRPr="00F119C6">
        <w:rPr>
          <w:sz w:val="20"/>
          <w:szCs w:val="20"/>
        </w:rPr>
        <w:t>k</w:t>
      </w:r>
      <w:r w:rsidRPr="00F119C6">
        <w:rPr>
          <w:spacing w:val="-1"/>
          <w:sz w:val="20"/>
          <w:szCs w:val="20"/>
        </w:rPr>
        <w:t>e</w:t>
      </w:r>
      <w:r w:rsidRPr="00F119C6">
        <w:rPr>
          <w:sz w:val="20"/>
          <w:szCs w:val="20"/>
        </w:rPr>
        <w:t>ns</w:t>
      </w:r>
      <w:r w:rsidRPr="00F119C6">
        <w:rPr>
          <w:spacing w:val="2"/>
          <w:sz w:val="20"/>
          <w:szCs w:val="20"/>
        </w:rPr>
        <w:t>t</w:t>
      </w:r>
      <w:r w:rsidRPr="00F119C6">
        <w:rPr>
          <w:spacing w:val="-1"/>
          <w:sz w:val="20"/>
          <w:szCs w:val="20"/>
        </w:rPr>
        <w:t>e</w:t>
      </w:r>
      <w:r w:rsidRPr="00F119C6">
        <w:rPr>
          <w:sz w:val="20"/>
          <w:szCs w:val="20"/>
        </w:rPr>
        <w:t xml:space="preserve">in, R. </w:t>
      </w:r>
      <w:r w:rsidRPr="00F119C6">
        <w:rPr>
          <w:spacing w:val="-2"/>
          <w:sz w:val="20"/>
          <w:szCs w:val="20"/>
        </w:rPr>
        <w:t>F</w:t>
      </w:r>
      <w:r w:rsidRPr="00F119C6">
        <w:rPr>
          <w:sz w:val="20"/>
          <w:szCs w:val="20"/>
        </w:rPr>
        <w:t>., C</w:t>
      </w:r>
      <w:r w:rsidRPr="00F119C6">
        <w:rPr>
          <w:spacing w:val="-1"/>
          <w:sz w:val="20"/>
          <w:szCs w:val="20"/>
        </w:rPr>
        <w:t>r</w:t>
      </w:r>
      <w:r w:rsidRPr="00F119C6">
        <w:rPr>
          <w:sz w:val="20"/>
          <w:szCs w:val="20"/>
        </w:rPr>
        <w:t>o</w:t>
      </w:r>
      <w:r w:rsidRPr="00F119C6">
        <w:rPr>
          <w:spacing w:val="1"/>
          <w:sz w:val="20"/>
          <w:szCs w:val="20"/>
        </w:rPr>
        <w:t>w</w:t>
      </w:r>
      <w:r w:rsidRPr="00F119C6">
        <w:rPr>
          <w:sz w:val="20"/>
          <w:szCs w:val="20"/>
        </w:rPr>
        <w:t>th</w:t>
      </w:r>
      <w:r w:rsidRPr="00F119C6">
        <w:rPr>
          <w:spacing w:val="-1"/>
          <w:sz w:val="20"/>
          <w:szCs w:val="20"/>
        </w:rPr>
        <w:t>er</w:t>
      </w:r>
      <w:r w:rsidRPr="00F119C6">
        <w:rPr>
          <w:sz w:val="20"/>
          <w:szCs w:val="20"/>
        </w:rPr>
        <w:t xml:space="preserve">, R. </w:t>
      </w:r>
      <w:r w:rsidRPr="00F119C6">
        <w:rPr>
          <w:spacing w:val="-2"/>
          <w:sz w:val="20"/>
          <w:szCs w:val="20"/>
        </w:rPr>
        <w:t>F</w:t>
      </w:r>
      <w:r w:rsidRPr="00F119C6">
        <w:rPr>
          <w:sz w:val="20"/>
          <w:szCs w:val="20"/>
        </w:rPr>
        <w:t>., Shum</w:t>
      </w:r>
      <w:r w:rsidRPr="00F119C6">
        <w:rPr>
          <w:spacing w:val="-1"/>
          <w:sz w:val="20"/>
          <w:szCs w:val="20"/>
        </w:rPr>
        <w:t>a</w:t>
      </w:r>
      <w:r w:rsidRPr="00F119C6">
        <w:rPr>
          <w:sz w:val="20"/>
          <w:szCs w:val="20"/>
        </w:rPr>
        <w:t>nt</w:t>
      </w:r>
      <w:r w:rsidRPr="00F119C6">
        <w:rPr>
          <w:spacing w:val="-1"/>
          <w:sz w:val="20"/>
          <w:szCs w:val="20"/>
        </w:rPr>
        <w:t>e</w:t>
      </w:r>
      <w:r w:rsidRPr="00F119C6">
        <w:rPr>
          <w:sz w:val="20"/>
          <w:szCs w:val="20"/>
        </w:rPr>
        <w:t>, R.</w:t>
      </w:r>
      <w:r w:rsidRPr="00F119C6">
        <w:rPr>
          <w:spacing w:val="2"/>
          <w:sz w:val="20"/>
          <w:szCs w:val="20"/>
        </w:rPr>
        <w:t xml:space="preserve"> </w:t>
      </w:r>
      <w:r w:rsidRPr="00F119C6">
        <w:rPr>
          <w:sz w:val="20"/>
          <w:szCs w:val="20"/>
        </w:rPr>
        <w:t xml:space="preserve">P., </w:t>
      </w:r>
      <w:r w:rsidRPr="00F119C6">
        <w:rPr>
          <w:spacing w:val="-3"/>
          <w:sz w:val="20"/>
          <w:szCs w:val="20"/>
        </w:rPr>
        <w:t>Z</w:t>
      </w:r>
      <w:r w:rsidRPr="00F119C6">
        <w:rPr>
          <w:sz w:val="20"/>
          <w:szCs w:val="20"/>
        </w:rPr>
        <w:t>i</w:t>
      </w:r>
      <w:r w:rsidRPr="00F119C6">
        <w:rPr>
          <w:spacing w:val="-1"/>
          <w:sz w:val="20"/>
          <w:szCs w:val="20"/>
        </w:rPr>
        <w:t>e</w:t>
      </w:r>
      <w:r w:rsidRPr="00F119C6">
        <w:rPr>
          <w:sz w:val="20"/>
          <w:szCs w:val="20"/>
        </w:rPr>
        <w:t xml:space="preserve">l, </w:t>
      </w:r>
      <w:r w:rsidRPr="00F119C6">
        <w:rPr>
          <w:spacing w:val="1"/>
          <w:sz w:val="20"/>
          <w:szCs w:val="20"/>
        </w:rPr>
        <w:t>W</w:t>
      </w:r>
      <w:r w:rsidRPr="00F119C6">
        <w:rPr>
          <w:sz w:val="20"/>
          <w:szCs w:val="20"/>
        </w:rPr>
        <w:t xml:space="preserve">. </w:t>
      </w:r>
      <w:r w:rsidRPr="00F119C6">
        <w:rPr>
          <w:spacing w:val="-2"/>
          <w:sz w:val="20"/>
          <w:szCs w:val="20"/>
        </w:rPr>
        <w:t>B</w:t>
      </w:r>
      <w:r w:rsidRPr="00F119C6">
        <w:rPr>
          <w:sz w:val="20"/>
          <w:szCs w:val="20"/>
        </w:rPr>
        <w:t>.,</w:t>
      </w:r>
      <w:r w:rsidRPr="00F119C6">
        <w:rPr>
          <w:spacing w:val="2"/>
          <w:sz w:val="20"/>
          <w:szCs w:val="20"/>
        </w:rPr>
        <w:t xml:space="preserve"> </w:t>
      </w:r>
      <w:r w:rsidRPr="00F119C6">
        <w:rPr>
          <w:sz w:val="20"/>
          <w:szCs w:val="20"/>
        </w:rPr>
        <w:t xml:space="preserve">&amp; </w:t>
      </w:r>
      <w:r w:rsidRPr="00F119C6">
        <w:rPr>
          <w:spacing w:val="2"/>
          <w:sz w:val="20"/>
          <w:szCs w:val="20"/>
        </w:rPr>
        <w:t>Z</w:t>
      </w:r>
      <w:r w:rsidRPr="00F119C6">
        <w:rPr>
          <w:spacing w:val="-8"/>
          <w:sz w:val="20"/>
          <w:szCs w:val="20"/>
        </w:rPr>
        <w:t>y</w:t>
      </w:r>
      <w:r w:rsidRPr="00F119C6">
        <w:rPr>
          <w:sz w:val="20"/>
          <w:szCs w:val="20"/>
        </w:rPr>
        <w:t>l</w:t>
      </w:r>
      <w:r w:rsidRPr="00F119C6">
        <w:rPr>
          <w:spacing w:val="2"/>
          <w:sz w:val="20"/>
          <w:szCs w:val="20"/>
        </w:rPr>
        <w:t>m</w:t>
      </w:r>
      <w:r w:rsidRPr="00F119C6">
        <w:rPr>
          <w:spacing w:val="1"/>
          <w:sz w:val="20"/>
          <w:szCs w:val="20"/>
        </w:rPr>
        <w:t>a</w:t>
      </w:r>
      <w:r w:rsidRPr="00F119C6">
        <w:rPr>
          <w:sz w:val="20"/>
          <w:szCs w:val="20"/>
        </w:rPr>
        <w:t xml:space="preserve">n, R. </w:t>
      </w:r>
      <w:r w:rsidRPr="00F119C6">
        <w:rPr>
          <w:spacing w:val="-1"/>
          <w:sz w:val="20"/>
          <w:szCs w:val="20"/>
        </w:rPr>
        <w:t>(</w:t>
      </w:r>
      <w:r w:rsidRPr="00F119C6">
        <w:rPr>
          <w:sz w:val="20"/>
          <w:szCs w:val="20"/>
        </w:rPr>
        <w:t>1964</w:t>
      </w:r>
      <w:r w:rsidRPr="00F119C6">
        <w:rPr>
          <w:spacing w:val="-1"/>
          <w:sz w:val="20"/>
          <w:szCs w:val="20"/>
        </w:rPr>
        <w:t>)</w:t>
      </w:r>
      <w:r w:rsidRPr="00F119C6">
        <w:rPr>
          <w:sz w:val="20"/>
          <w:szCs w:val="20"/>
        </w:rPr>
        <w:t xml:space="preserve">. </w:t>
      </w:r>
      <w:r w:rsidRPr="00F119C6">
        <w:rPr>
          <w:i/>
          <w:iCs/>
          <w:sz w:val="20"/>
          <w:szCs w:val="20"/>
        </w:rPr>
        <w:t>The</w:t>
      </w:r>
      <w:r w:rsidRPr="00F119C6">
        <w:rPr>
          <w:sz w:val="20"/>
          <w:szCs w:val="20"/>
        </w:rPr>
        <w:t xml:space="preserve"> </w:t>
      </w:r>
      <w:r w:rsidRPr="00F119C6">
        <w:rPr>
          <w:i/>
          <w:iCs/>
          <w:sz w:val="20"/>
          <w:szCs w:val="20"/>
        </w:rPr>
        <w:t>role</w:t>
      </w:r>
      <w:r w:rsidRPr="00F119C6">
        <w:rPr>
          <w:i/>
          <w:iCs/>
          <w:spacing w:val="-1"/>
          <w:sz w:val="20"/>
          <w:szCs w:val="20"/>
        </w:rPr>
        <w:t xml:space="preserve"> </w:t>
      </w:r>
      <w:r w:rsidRPr="00F119C6">
        <w:rPr>
          <w:i/>
          <w:iCs/>
          <w:sz w:val="20"/>
          <w:szCs w:val="20"/>
        </w:rPr>
        <w:t>of the</w:t>
      </w:r>
      <w:r w:rsidRPr="00F119C6">
        <w:rPr>
          <w:i/>
          <w:iCs/>
          <w:spacing w:val="-1"/>
          <w:sz w:val="20"/>
          <w:szCs w:val="20"/>
        </w:rPr>
        <w:t xml:space="preserve"> </w:t>
      </w:r>
      <w:r w:rsidRPr="00F119C6">
        <w:rPr>
          <w:i/>
          <w:iCs/>
          <w:sz w:val="20"/>
          <w:szCs w:val="20"/>
        </w:rPr>
        <w:t>drin</w:t>
      </w:r>
      <w:r w:rsidRPr="00F119C6">
        <w:rPr>
          <w:i/>
          <w:iCs/>
          <w:spacing w:val="-1"/>
          <w:sz w:val="20"/>
          <w:szCs w:val="20"/>
        </w:rPr>
        <w:t>k</w:t>
      </w:r>
      <w:r w:rsidRPr="00F119C6">
        <w:rPr>
          <w:i/>
          <w:iCs/>
          <w:sz w:val="20"/>
          <w:szCs w:val="20"/>
        </w:rPr>
        <w:t>ing dri</w:t>
      </w:r>
      <w:r w:rsidRPr="00F119C6">
        <w:rPr>
          <w:i/>
          <w:iCs/>
          <w:spacing w:val="-1"/>
          <w:sz w:val="20"/>
          <w:szCs w:val="20"/>
        </w:rPr>
        <w:t>ve</w:t>
      </w:r>
      <w:r w:rsidRPr="00F119C6">
        <w:rPr>
          <w:i/>
          <w:iCs/>
          <w:sz w:val="20"/>
          <w:szCs w:val="20"/>
        </w:rPr>
        <w:t>r in traffic</w:t>
      </w:r>
      <w:r w:rsidRPr="00F119C6">
        <w:rPr>
          <w:i/>
          <w:iCs/>
          <w:spacing w:val="-1"/>
          <w:sz w:val="20"/>
          <w:szCs w:val="20"/>
        </w:rPr>
        <w:t xml:space="preserve"> </w:t>
      </w:r>
      <w:r w:rsidRPr="00F119C6">
        <w:rPr>
          <w:i/>
          <w:iCs/>
          <w:sz w:val="20"/>
          <w:szCs w:val="20"/>
        </w:rPr>
        <w:t>a</w:t>
      </w:r>
      <w:r w:rsidRPr="00F119C6">
        <w:rPr>
          <w:i/>
          <w:iCs/>
          <w:spacing w:val="-1"/>
          <w:sz w:val="20"/>
          <w:szCs w:val="20"/>
        </w:rPr>
        <w:t>cc</w:t>
      </w:r>
      <w:r w:rsidRPr="00F119C6">
        <w:rPr>
          <w:i/>
          <w:iCs/>
          <w:sz w:val="20"/>
          <w:szCs w:val="20"/>
        </w:rPr>
        <w:t>id</w:t>
      </w:r>
      <w:r w:rsidRPr="00F119C6">
        <w:rPr>
          <w:i/>
          <w:iCs/>
          <w:spacing w:val="-1"/>
          <w:sz w:val="20"/>
          <w:szCs w:val="20"/>
        </w:rPr>
        <w:t>e</w:t>
      </w:r>
      <w:r w:rsidRPr="00F119C6">
        <w:rPr>
          <w:i/>
          <w:iCs/>
          <w:sz w:val="20"/>
          <w:szCs w:val="20"/>
        </w:rPr>
        <w:t>nts</w:t>
      </w:r>
      <w:r w:rsidRPr="00F119C6">
        <w:rPr>
          <w:sz w:val="20"/>
          <w:szCs w:val="20"/>
        </w:rPr>
        <w:t xml:space="preserve">. </w:t>
      </w:r>
      <w:r w:rsidRPr="00F119C6">
        <w:rPr>
          <w:spacing w:val="-2"/>
          <w:sz w:val="20"/>
          <w:szCs w:val="20"/>
        </w:rPr>
        <w:t>B</w:t>
      </w:r>
      <w:r w:rsidRPr="00F119C6">
        <w:rPr>
          <w:sz w:val="20"/>
          <w:szCs w:val="20"/>
        </w:rPr>
        <w:t>loomin</w:t>
      </w:r>
      <w:r w:rsidRPr="00F119C6">
        <w:rPr>
          <w:spacing w:val="-3"/>
          <w:sz w:val="20"/>
          <w:szCs w:val="20"/>
        </w:rPr>
        <w:t>g</w:t>
      </w:r>
      <w:r w:rsidRPr="00F119C6">
        <w:rPr>
          <w:sz w:val="20"/>
          <w:szCs w:val="20"/>
        </w:rPr>
        <w:t>ton,</w:t>
      </w:r>
      <w:r w:rsidRPr="00F119C6">
        <w:rPr>
          <w:spacing w:val="2"/>
          <w:sz w:val="20"/>
          <w:szCs w:val="20"/>
        </w:rPr>
        <w:t xml:space="preserve"> </w:t>
      </w:r>
      <w:r w:rsidRPr="00F119C6">
        <w:rPr>
          <w:spacing w:val="-4"/>
          <w:sz w:val="20"/>
          <w:szCs w:val="20"/>
        </w:rPr>
        <w:t>I</w:t>
      </w:r>
      <w:r w:rsidRPr="00F119C6">
        <w:rPr>
          <w:spacing w:val="-1"/>
          <w:sz w:val="20"/>
          <w:szCs w:val="20"/>
        </w:rPr>
        <w:t>N</w:t>
      </w:r>
      <w:r w:rsidRPr="00F119C6">
        <w:rPr>
          <w:sz w:val="20"/>
          <w:szCs w:val="20"/>
        </w:rPr>
        <w:t xml:space="preserve">: </w:t>
      </w:r>
      <w:r w:rsidRPr="00F119C6">
        <w:rPr>
          <w:spacing w:val="-1"/>
          <w:sz w:val="20"/>
          <w:szCs w:val="20"/>
        </w:rPr>
        <w:t>De</w:t>
      </w:r>
      <w:r w:rsidRPr="00F119C6">
        <w:rPr>
          <w:spacing w:val="2"/>
          <w:sz w:val="20"/>
          <w:szCs w:val="20"/>
        </w:rPr>
        <w:t>p</w:t>
      </w:r>
      <w:r w:rsidRPr="00F119C6">
        <w:rPr>
          <w:spacing w:val="-1"/>
          <w:sz w:val="20"/>
          <w:szCs w:val="20"/>
        </w:rPr>
        <w:t>ar</w:t>
      </w:r>
      <w:r w:rsidRPr="00F119C6">
        <w:rPr>
          <w:sz w:val="20"/>
          <w:szCs w:val="20"/>
        </w:rPr>
        <w:t>tm</w:t>
      </w:r>
      <w:r w:rsidRPr="00F119C6">
        <w:rPr>
          <w:spacing w:val="1"/>
          <w:sz w:val="20"/>
          <w:szCs w:val="20"/>
        </w:rPr>
        <w:t>e</w:t>
      </w:r>
      <w:r w:rsidRPr="00F119C6">
        <w:rPr>
          <w:sz w:val="20"/>
          <w:szCs w:val="20"/>
        </w:rPr>
        <w:t>nt of</w:t>
      </w:r>
      <w:r w:rsidRPr="00F119C6">
        <w:rPr>
          <w:spacing w:val="-1"/>
          <w:sz w:val="20"/>
          <w:szCs w:val="20"/>
        </w:rPr>
        <w:t xml:space="preserve"> </w:t>
      </w:r>
      <w:r w:rsidRPr="00F119C6">
        <w:rPr>
          <w:sz w:val="20"/>
          <w:szCs w:val="20"/>
        </w:rPr>
        <w:t>Poli</w:t>
      </w:r>
      <w:r w:rsidRPr="00F119C6">
        <w:rPr>
          <w:spacing w:val="-1"/>
          <w:sz w:val="20"/>
          <w:szCs w:val="20"/>
        </w:rPr>
        <w:t>c</w:t>
      </w:r>
      <w:r w:rsidRPr="00F119C6">
        <w:rPr>
          <w:sz w:val="20"/>
          <w:szCs w:val="20"/>
        </w:rPr>
        <w:t xml:space="preserve">e </w:t>
      </w:r>
      <w:r w:rsidRPr="00F119C6">
        <w:rPr>
          <w:spacing w:val="-1"/>
          <w:sz w:val="20"/>
          <w:szCs w:val="20"/>
        </w:rPr>
        <w:t>A</w:t>
      </w:r>
      <w:r w:rsidRPr="00F119C6">
        <w:rPr>
          <w:sz w:val="20"/>
          <w:szCs w:val="20"/>
        </w:rPr>
        <w:t>dminist</w:t>
      </w:r>
      <w:r w:rsidRPr="00F119C6">
        <w:rPr>
          <w:spacing w:val="-1"/>
          <w:sz w:val="20"/>
          <w:szCs w:val="20"/>
        </w:rPr>
        <w:t>ra</w:t>
      </w:r>
      <w:r w:rsidRPr="00F119C6">
        <w:rPr>
          <w:sz w:val="20"/>
          <w:szCs w:val="20"/>
        </w:rPr>
        <w:t>tion,</w:t>
      </w:r>
      <w:r w:rsidRPr="00F119C6">
        <w:rPr>
          <w:spacing w:val="2"/>
          <w:sz w:val="20"/>
          <w:szCs w:val="20"/>
        </w:rPr>
        <w:t xml:space="preserve"> </w:t>
      </w:r>
      <w:r w:rsidRPr="00F119C6">
        <w:rPr>
          <w:spacing w:val="-6"/>
          <w:sz w:val="20"/>
          <w:szCs w:val="20"/>
        </w:rPr>
        <w:t>I</w:t>
      </w:r>
      <w:r w:rsidRPr="00F119C6">
        <w:rPr>
          <w:sz w:val="20"/>
          <w:szCs w:val="20"/>
        </w:rPr>
        <w:t>ndi</w:t>
      </w:r>
      <w:r w:rsidRPr="00F119C6">
        <w:rPr>
          <w:spacing w:val="-1"/>
          <w:sz w:val="20"/>
          <w:szCs w:val="20"/>
        </w:rPr>
        <w:t>a</w:t>
      </w:r>
      <w:r w:rsidRPr="00F119C6">
        <w:rPr>
          <w:sz w:val="20"/>
          <w:szCs w:val="20"/>
        </w:rPr>
        <w:t>na</w:t>
      </w:r>
      <w:r w:rsidRPr="00F119C6">
        <w:rPr>
          <w:spacing w:val="1"/>
          <w:sz w:val="20"/>
          <w:szCs w:val="20"/>
        </w:rPr>
        <w:t xml:space="preserve"> </w:t>
      </w:r>
      <w:r w:rsidRPr="00F119C6">
        <w:rPr>
          <w:spacing w:val="-1"/>
          <w:sz w:val="20"/>
          <w:szCs w:val="20"/>
        </w:rPr>
        <w:t>U</w:t>
      </w:r>
      <w:r w:rsidRPr="00F119C6">
        <w:rPr>
          <w:sz w:val="20"/>
          <w:szCs w:val="20"/>
        </w:rPr>
        <w:t>niv</w:t>
      </w:r>
      <w:r w:rsidRPr="00F119C6">
        <w:rPr>
          <w:spacing w:val="-1"/>
          <w:sz w:val="20"/>
          <w:szCs w:val="20"/>
        </w:rPr>
        <w:t>er</w:t>
      </w:r>
      <w:r w:rsidRPr="00F119C6">
        <w:rPr>
          <w:sz w:val="20"/>
          <w:szCs w:val="20"/>
        </w:rPr>
        <w:t>si</w:t>
      </w:r>
      <w:r w:rsidRPr="00F119C6">
        <w:rPr>
          <w:spacing w:val="2"/>
          <w:sz w:val="20"/>
          <w:szCs w:val="20"/>
        </w:rPr>
        <w:t>t</w:t>
      </w:r>
      <w:r w:rsidRPr="00F119C6">
        <w:rPr>
          <w:spacing w:val="-5"/>
          <w:sz w:val="20"/>
          <w:szCs w:val="20"/>
        </w:rPr>
        <w:t>y</w:t>
      </w:r>
      <w:r w:rsidRPr="00F119C6">
        <w:rPr>
          <w:sz w:val="20"/>
          <w:szCs w:val="20"/>
        </w:rPr>
        <w:t>.</w:t>
      </w:r>
    </w:p>
  </w:footnote>
  <w:footnote w:id="5">
    <w:p w:rsidR="00A1054F" w:rsidRPr="00F119C6" w:rsidRDefault="00A1054F" w:rsidP="000A6A85">
      <w:pPr>
        <w:rPr>
          <w:sz w:val="20"/>
          <w:szCs w:val="20"/>
        </w:rPr>
      </w:pPr>
      <w:r w:rsidRPr="00F119C6">
        <w:rPr>
          <w:rStyle w:val="FootnoteReference"/>
          <w:sz w:val="20"/>
          <w:szCs w:val="20"/>
        </w:rPr>
        <w:footnoteRef/>
      </w:r>
      <w:r w:rsidRPr="00F119C6">
        <w:rPr>
          <w:sz w:val="20"/>
          <w:szCs w:val="20"/>
        </w:rPr>
        <w:t xml:space="preserve"> Borkenstein, R.F., Crowther, R.F., Shumate, R.P., Zeil, W.W., and Zylman, R. (1974). The role of the drinking driver in traffic accidents, 2</w:t>
      </w:r>
      <w:r w:rsidRPr="00F119C6">
        <w:rPr>
          <w:sz w:val="20"/>
          <w:szCs w:val="20"/>
          <w:vertAlign w:val="superscript"/>
        </w:rPr>
        <w:t>nd</w:t>
      </w:r>
      <w:r w:rsidRPr="00F119C6">
        <w:rPr>
          <w:sz w:val="20"/>
          <w:szCs w:val="20"/>
        </w:rPr>
        <w:t xml:space="preserve"> e. </w:t>
      </w:r>
      <w:r w:rsidRPr="00F119C6">
        <w:rPr>
          <w:i/>
          <w:sz w:val="20"/>
          <w:szCs w:val="20"/>
          <w:u w:val="single"/>
        </w:rPr>
        <w:t>Blutalkohol; Alcohol, Drugs and Behavior,</w:t>
      </w:r>
      <w:r w:rsidRPr="00F119C6">
        <w:rPr>
          <w:sz w:val="20"/>
          <w:szCs w:val="20"/>
        </w:rPr>
        <w:t xml:space="preserve"> 11 (Supplement 1).</w:t>
      </w:r>
    </w:p>
  </w:footnote>
  <w:footnote w:id="6">
    <w:p w:rsidR="00A1054F" w:rsidRPr="00495B3B" w:rsidRDefault="00A1054F" w:rsidP="000A6A85">
      <w:pPr>
        <w:pStyle w:val="FootnoteText"/>
        <w:rPr>
          <w:sz w:val="19"/>
          <w:szCs w:val="19"/>
        </w:rPr>
      </w:pPr>
      <w:r w:rsidRPr="00F119C6">
        <w:rPr>
          <w:rStyle w:val="FootnoteReference"/>
        </w:rPr>
        <w:footnoteRef/>
      </w:r>
      <w:r w:rsidRPr="00F119C6">
        <w:t xml:space="preserve"> Blomberg, R. D., Peck, R. C., Moskowitz, H., Burns, M., &amp; Fiorentino, D. (2005). Crash risk of alcohol involved driving: A case-control study. Stamford, CT: Dunlap &amp; Associates, Inc.</w:t>
      </w:r>
    </w:p>
  </w:footnote>
  <w:footnote w:id="7">
    <w:p w:rsidR="00A1054F" w:rsidRDefault="00A1054F" w:rsidP="0026510A">
      <w:pPr>
        <w:pStyle w:val="FootnoteText"/>
      </w:pPr>
      <w:r>
        <w:rPr>
          <w:rStyle w:val="FootnoteReference"/>
        </w:rPr>
        <w:footnoteRef/>
      </w:r>
      <w:r>
        <w:t xml:space="preserve"> </w:t>
      </w:r>
      <w:r w:rsidRPr="00FD06AE">
        <w:t>See for examples, the studies cited in footnotes #2 and #5.</w:t>
      </w:r>
    </w:p>
  </w:footnote>
  <w:footnote w:id="8">
    <w:p w:rsidR="00A1054F" w:rsidRDefault="00A1054F">
      <w:pPr>
        <w:pStyle w:val="FootnoteText"/>
      </w:pPr>
      <w:r w:rsidRPr="009B6A45">
        <w:rPr>
          <w:rStyle w:val="FootnoteReference"/>
        </w:rPr>
        <w:footnoteRef/>
      </w:r>
      <w:r w:rsidRPr="009B6A45">
        <w:t xml:space="preserve">  Department of Health and Human Services (January 19, 2017).</w:t>
      </w:r>
      <w:r w:rsidRPr="009B6A45">
        <w:rPr>
          <w:i/>
        </w:rPr>
        <w:t xml:space="preserve"> </w:t>
      </w:r>
      <w:r w:rsidRPr="009B6A45">
        <w:t>Federal Policy for the Protection of Human Subjects: Department of Transportation 49 CFR Part 11.</w:t>
      </w:r>
      <w:r w:rsidRPr="009B6A45">
        <w:rPr>
          <w:i/>
        </w:rPr>
        <w:t xml:space="preserve"> Federal Register, Rules and Regulations. Vol. 82, No. 12</w:t>
      </w:r>
      <w:r w:rsidRPr="009B6A45">
        <w:t xml:space="preserve">; pp 7149 – 7274. </w:t>
      </w:r>
    </w:p>
  </w:footnote>
  <w:footnote w:id="9">
    <w:p w:rsidR="00A1054F" w:rsidRPr="00C57450" w:rsidRDefault="00A1054F" w:rsidP="009F491E">
      <w:pPr>
        <w:pStyle w:val="FootnoteText"/>
      </w:pPr>
      <w:r>
        <w:rPr>
          <w:rStyle w:val="FootnoteReference"/>
        </w:rPr>
        <w:footnoteRef/>
      </w:r>
      <w:r w:rsidRPr="00C57450">
        <w:rPr>
          <w:rStyle w:val="FootnoteReference"/>
        </w:rPr>
        <w:t xml:space="preserve"> </w:t>
      </w:r>
      <w:hyperlink r:id="rId1" w:history="1">
        <w:r w:rsidRPr="00C57450">
          <w:rPr>
            <w:rStyle w:val="Hyperlink"/>
          </w:rPr>
          <w:t>http://airmedical.net/resource/trauma-center-levels-explained</w:t>
        </w:r>
      </w:hyperlink>
      <w:r w:rsidRPr="00C57450">
        <w:t>, accessed April 5, 2018</w:t>
      </w:r>
    </w:p>
  </w:footnote>
  <w:footnote w:id="10">
    <w:p w:rsidR="00A1054F" w:rsidRDefault="00A1054F" w:rsidP="009F491E">
      <w:pPr>
        <w:pStyle w:val="FootnoteText"/>
      </w:pPr>
      <w:r>
        <w:rPr>
          <w:rStyle w:val="FootnoteReference"/>
        </w:rPr>
        <w:footnoteRef/>
      </w:r>
      <w:r>
        <w:t xml:space="preserve"> </w:t>
      </w:r>
      <w:r w:rsidRPr="00C57450">
        <w:t xml:space="preserve">Walsh, J. M., Flegel, R., Cangianelli, L. A., Atkins, R., Soderstrom, C.A., &amp; Kerns, T. J. (2004). Epidemiology of alcohol and other drug use among motor vehicle crash victims admitted to a trauma center. </w:t>
      </w:r>
      <w:r w:rsidRPr="00C57450">
        <w:rPr>
          <w:i/>
        </w:rPr>
        <w:t>Traffic Injury Prevention</w:t>
      </w:r>
      <w:r w:rsidRPr="00C57450">
        <w:t xml:space="preserve">, </w:t>
      </w:r>
      <w:r w:rsidRPr="00C57450">
        <w:rPr>
          <w:i/>
        </w:rPr>
        <w:t>5</w:t>
      </w:r>
      <w:r w:rsidRPr="00C57450">
        <w:t>(3), 254-60.</w:t>
      </w:r>
    </w:p>
  </w:footnote>
  <w:footnote w:id="11">
    <w:p w:rsidR="00A1054F" w:rsidRDefault="00A1054F">
      <w:pPr>
        <w:pStyle w:val="FootnoteText"/>
      </w:pPr>
      <w:r w:rsidRPr="00C57450">
        <w:rPr>
          <w:rStyle w:val="FootnoteReference"/>
        </w:rPr>
        <w:footnoteRef/>
      </w:r>
      <w:r w:rsidRPr="00C57450">
        <w:t xml:space="preserve"> </w:t>
      </w:r>
      <w:r w:rsidRPr="001532A9">
        <w:t xml:space="preserve">Much of the </w:t>
      </w:r>
      <w:r w:rsidRPr="00C57450">
        <w:t>control sampling</w:t>
      </w:r>
      <w:r w:rsidRPr="001532A9">
        <w:t xml:space="preserve"> methodology</w:t>
      </w:r>
      <w:r w:rsidRPr="00C57450">
        <w:t xml:space="preserve"> follows</w:t>
      </w:r>
      <w:r w:rsidRPr="001532A9">
        <w:t xml:space="preserve"> the Virginia Beach study</w:t>
      </w:r>
      <w:r w:rsidRPr="00C57450">
        <w:t xml:space="preserve"> model</w:t>
      </w:r>
      <w:r w:rsidRPr="001532A9">
        <w:t xml:space="preserve">. The technical report, including </w:t>
      </w:r>
      <w:r w:rsidRPr="00C57450">
        <w:t xml:space="preserve">a </w:t>
      </w:r>
      <w:r w:rsidRPr="001532A9">
        <w:t>full description of the methodology and protocol are attached.</w:t>
      </w:r>
    </w:p>
  </w:footnote>
  <w:footnote w:id="12">
    <w:p w:rsidR="00A1054F" w:rsidRPr="0020774B" w:rsidRDefault="00A1054F" w:rsidP="0020774B">
      <w:pPr>
        <w:pStyle w:val="FootnoteText"/>
      </w:pPr>
      <w:r w:rsidRPr="0020774B">
        <w:rPr>
          <w:rStyle w:val="FootnoteReference"/>
        </w:rPr>
        <w:footnoteRef/>
      </w:r>
      <w:r w:rsidRPr="0020774B">
        <w:t xml:space="preserve"> selective serotonin reuptake inhibitors</w:t>
      </w:r>
      <w:r>
        <w:t>,</w:t>
      </w:r>
      <w:r w:rsidRPr="0020774B">
        <w:t xml:space="preserve"> and</w:t>
      </w:r>
      <w:r>
        <w:t xml:space="preserve"> </w:t>
      </w:r>
      <w:r w:rsidRPr="0020774B">
        <w:t>serotonin norepinephrine reuptake inhibitors</w:t>
      </w:r>
    </w:p>
  </w:footnote>
  <w:footnote w:id="13">
    <w:p w:rsidR="00A1054F" w:rsidRDefault="00A1054F">
      <w:pPr>
        <w:pStyle w:val="FootnoteText"/>
      </w:pPr>
      <w:r w:rsidRPr="001532A9">
        <w:rPr>
          <w:rStyle w:val="FootnoteReference"/>
        </w:rPr>
        <w:footnoteRef/>
      </w:r>
      <w:r w:rsidRPr="00665549">
        <w:t xml:space="preserve"> Kelley-Baker, T., Berning, A., Ramirez, A., Lacey, J. H., Carr, K., Waehrer, G., Compton, R. (2017, May). 2013-2014 National Roadside Study of alcohol and drug use by drivers: Drug results (Report No. DOT HS 812 411). Washington, DC: National Highway Traffic Safety Administration.</w:t>
      </w:r>
    </w:p>
  </w:footnote>
  <w:footnote w:id="14">
    <w:p w:rsidR="00A1054F" w:rsidRPr="004A7D35" w:rsidRDefault="00A1054F" w:rsidP="00584B32">
      <w:pPr>
        <w:pStyle w:val="FootnoteText"/>
      </w:pPr>
      <w:r w:rsidRPr="004A7D35">
        <w:rPr>
          <w:rStyle w:val="FootnoteReference"/>
        </w:rPr>
        <w:footnoteRef/>
      </w:r>
      <w:r w:rsidRPr="004A7D35">
        <w:t xml:space="preserve"> Hsieh, F.Y. (1989). Sample Size Tables for Logistic Regression. </w:t>
      </w:r>
      <w:r w:rsidRPr="004A7D35">
        <w:rPr>
          <w:i/>
          <w:iCs/>
        </w:rPr>
        <w:t>Statistics in Medicine</w:t>
      </w:r>
      <w:r w:rsidRPr="004A7D35">
        <w:t xml:space="preserve">, </w:t>
      </w:r>
      <w:r w:rsidRPr="004A7D35">
        <w:rPr>
          <w:i/>
          <w:iCs/>
        </w:rPr>
        <w:t>8</w:t>
      </w:r>
      <w:r w:rsidRPr="004A7D35">
        <w:t>, 795–802.</w:t>
      </w:r>
    </w:p>
  </w:footnote>
  <w:footnote w:id="15">
    <w:p w:rsidR="00A1054F" w:rsidRPr="004A7D35" w:rsidRDefault="00A1054F" w:rsidP="00584B32">
      <w:pPr>
        <w:pStyle w:val="FootnoteText"/>
      </w:pPr>
      <w:r w:rsidRPr="004A7D35">
        <w:rPr>
          <w:rStyle w:val="FootnoteReference"/>
        </w:rPr>
        <w:footnoteRef/>
      </w:r>
      <w:r w:rsidRPr="004A7D35">
        <w:t xml:space="preserve"> Dupont, W.D. (1988). Power Calculations for Matched Case-Control Studies. </w:t>
      </w:r>
      <w:r w:rsidRPr="004A7D35">
        <w:rPr>
          <w:i/>
          <w:iCs/>
        </w:rPr>
        <w:t>Biometrics</w:t>
      </w:r>
      <w:r w:rsidRPr="004A7D35">
        <w:t xml:space="preserve">, </w:t>
      </w:r>
      <w:r w:rsidRPr="004A7D35">
        <w:rPr>
          <w:i/>
          <w:iCs/>
        </w:rPr>
        <w:t>44</w:t>
      </w:r>
      <w:r w:rsidRPr="004A7D35">
        <w:t>(4), 1157–1168. http://doi.org/10.2307/2531743</w:t>
      </w:r>
    </w:p>
  </w:footnote>
  <w:footnote w:id="16">
    <w:p w:rsidR="00A1054F" w:rsidRPr="004A7D35" w:rsidRDefault="00A1054F" w:rsidP="00584B32">
      <w:pPr>
        <w:pStyle w:val="FootnoteText"/>
      </w:pPr>
      <w:r w:rsidRPr="004A7D35">
        <w:rPr>
          <w:rStyle w:val="FootnoteReference"/>
        </w:rPr>
        <w:footnoteRef/>
      </w:r>
      <w:r w:rsidRPr="004A7D35">
        <w:t xml:space="preserve"> Fleiss, J. (1981). </w:t>
      </w:r>
      <w:r w:rsidRPr="004A7D35">
        <w:rPr>
          <w:i/>
          <w:iCs/>
        </w:rPr>
        <w:t>Statistical Methods for Rates and Proportions</w:t>
      </w:r>
      <w:r w:rsidRPr="004A7D35">
        <w:t>. New York: Wiley.</w:t>
      </w:r>
    </w:p>
  </w:footnote>
  <w:footnote w:id="17">
    <w:p w:rsidR="00A1054F" w:rsidRDefault="00A1054F" w:rsidP="007154FB">
      <w:pPr>
        <w:pStyle w:val="FootnoteText"/>
      </w:pPr>
      <w:r w:rsidRPr="004A7D35">
        <w:rPr>
          <w:rStyle w:val="FootnoteReference"/>
        </w:rPr>
        <w:footnoteRef/>
      </w:r>
      <w:r w:rsidRPr="004A7D35">
        <w:t xml:space="preserve"> Peck, R.C., Gebers, M.A., Voas, R.B., &amp; Romano, E</w:t>
      </w:r>
      <w:r>
        <w:t xml:space="preserve">. “Improved Methods for Estimating Relative Crash Risk in a Case Control Study of Blood Alcohol Levels”, ICADTS, Seattle, Washington, August 26-30, </w:t>
      </w:r>
    </w:p>
  </w:footnote>
  <w:footnote w:id="18">
    <w:p w:rsidR="00A1054F" w:rsidRPr="00584BE8" w:rsidRDefault="00A1054F" w:rsidP="008E30FF">
      <w:pPr>
        <w:ind w:right="-360"/>
        <w:rPr>
          <w:sz w:val="20"/>
          <w:szCs w:val="20"/>
        </w:rPr>
      </w:pPr>
      <w:r w:rsidRPr="006B36A2">
        <w:rPr>
          <w:rStyle w:val="FootnoteReference"/>
          <w:sz w:val="20"/>
        </w:rPr>
        <w:footnoteRef/>
      </w:r>
      <w:r w:rsidRPr="006B36A2">
        <w:rPr>
          <w:sz w:val="20"/>
        </w:rPr>
        <w:t xml:space="preserve"> </w:t>
      </w:r>
      <w:r w:rsidRPr="00584BE8">
        <w:rPr>
          <w:sz w:val="20"/>
          <w:szCs w:val="20"/>
        </w:rPr>
        <w:t>https://www.hhs.gov/ohrp/regulations-and-policy/guidance/faq/informed-consent/index.html</w:t>
      </w:r>
    </w:p>
  </w:footnote>
  <w:footnote w:id="19">
    <w:p w:rsidR="00A1054F" w:rsidRPr="00FD06AE" w:rsidRDefault="00A1054F">
      <w:pPr>
        <w:pStyle w:val="FootnoteText"/>
      </w:pPr>
      <w:r w:rsidRPr="00FF1BBE">
        <w:rPr>
          <w:rStyle w:val="FootnoteReference"/>
        </w:rPr>
        <w:footnoteRef/>
      </w:r>
      <w:r w:rsidRPr="00FF1BBE">
        <w:t xml:space="preserve"> </w:t>
      </w:r>
      <w:r w:rsidRPr="00FD06AE">
        <w:t>Previously known as Chesapeake IRB.</w:t>
      </w:r>
    </w:p>
  </w:footnote>
  <w:footnote w:id="20">
    <w:p w:rsidR="00A1054F" w:rsidRPr="00584BE8" w:rsidRDefault="00A1054F">
      <w:pPr>
        <w:pStyle w:val="FootnoteText"/>
      </w:pPr>
      <w:r w:rsidRPr="00FD06AE">
        <w:rPr>
          <w:rStyle w:val="FootnoteReference"/>
        </w:rPr>
        <w:footnoteRef/>
      </w:r>
      <w:r w:rsidRPr="00FD06AE">
        <w:t xml:space="preserve"> https://www.hhs.gov/hipaa/for-professionals/privacy/guidance/research/index.html</w:t>
      </w:r>
    </w:p>
  </w:footnote>
  <w:footnote w:id="21">
    <w:p w:rsidR="00A1054F" w:rsidRDefault="00A1054F" w:rsidP="00584BE8">
      <w:pPr>
        <w:pStyle w:val="FootnoteText"/>
      </w:pPr>
      <w:r>
        <w:rPr>
          <w:rStyle w:val="FootnoteReference"/>
        </w:rPr>
        <w:footnoteRef/>
      </w:r>
      <w:r>
        <w:t xml:space="preserve"> </w:t>
      </w:r>
      <w:r w:rsidRPr="00887D2A">
        <w:t>GAO-18-328R</w:t>
      </w:r>
      <w:r w:rsidRPr="00887D2A">
        <w:rPr>
          <w:spacing w:val="-13"/>
        </w:rPr>
        <w:t xml:space="preserve"> </w:t>
      </w:r>
      <w:r w:rsidRPr="00887D2A">
        <w:t>National</w:t>
      </w:r>
      <w:r w:rsidRPr="00887D2A">
        <w:rPr>
          <w:spacing w:val="-14"/>
        </w:rPr>
        <w:t xml:space="preserve"> </w:t>
      </w:r>
      <w:r w:rsidRPr="00887D2A">
        <w:t>Roadside</w:t>
      </w:r>
      <w:r w:rsidRPr="00887D2A">
        <w:rPr>
          <w:spacing w:val="-12"/>
        </w:rPr>
        <w:t xml:space="preserve"> </w:t>
      </w:r>
      <w:r w:rsidRPr="00887D2A">
        <w:t>Survey</w:t>
      </w:r>
      <w:r w:rsidRPr="00887D2A">
        <w:rPr>
          <w:spacing w:val="-14"/>
        </w:rPr>
        <w:t xml:space="preserve"> </w:t>
      </w:r>
      <w:r w:rsidRPr="00887D2A">
        <w:t>Methodology (March 12, 2018)</w:t>
      </w:r>
      <w:r>
        <w:t xml:space="preserve">  </w:t>
      </w:r>
      <w:r w:rsidRPr="0099558B">
        <w:rPr>
          <w:color w:val="FF0000"/>
        </w:rPr>
        <w:t xml:space="preserve"> </w:t>
      </w:r>
    </w:p>
  </w:footnote>
  <w:footnote w:id="22">
    <w:p w:rsidR="00A1054F" w:rsidRDefault="00A1054F">
      <w:pPr>
        <w:pStyle w:val="FootnoteText"/>
      </w:pPr>
      <w:r>
        <w:rPr>
          <w:rStyle w:val="FootnoteReference"/>
        </w:rPr>
        <w:footnoteRef/>
      </w:r>
      <w:r>
        <w:t xml:space="preserve"> See </w:t>
      </w:r>
      <w:hyperlink r:id="rId2" w:history="1">
        <w:r w:rsidRPr="00BA391C">
          <w:rPr>
            <w:rStyle w:val="Hyperlink"/>
          </w:rPr>
          <w:t>http://ems.ufhealthjax.org/uf-health-jax-trauma-criteria/</w:t>
        </w:r>
      </w:hyperlink>
      <w:r>
        <w:t xml:space="preserve"> for an example of the criteria used by one of our participating hospitals.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8388768"/>
    <w:lvl w:ilvl="0">
      <w:start w:val="1"/>
      <w:numFmt w:val="decimal"/>
      <w:pStyle w:val="ListBullet2"/>
      <w:lvlText w:val="%1."/>
      <w:lvlJc w:val="left"/>
      <w:pPr>
        <w:tabs>
          <w:tab w:val="num" w:pos="1080"/>
        </w:tabs>
        <w:ind w:left="1080" w:hanging="360"/>
      </w:pPr>
    </w:lvl>
  </w:abstractNum>
  <w:abstractNum w:abstractNumId="1">
    <w:nsid w:val="FFFFFF7F"/>
    <w:multiLevelType w:val="singleLevel"/>
    <w:tmpl w:val="D128769E"/>
    <w:lvl w:ilvl="0">
      <w:start w:val="1"/>
      <w:numFmt w:val="decimal"/>
      <w:pStyle w:val="ListNumber2"/>
      <w:lvlText w:val="%1."/>
      <w:lvlJc w:val="left"/>
      <w:pPr>
        <w:tabs>
          <w:tab w:val="num" w:pos="720"/>
        </w:tabs>
        <w:ind w:left="720" w:hanging="360"/>
      </w:pPr>
    </w:lvl>
  </w:abstractNum>
  <w:abstractNum w:abstractNumId="2">
    <w:nsid w:val="FFFFFF83"/>
    <w:multiLevelType w:val="singleLevel"/>
    <w:tmpl w:val="30605CCC"/>
    <w:lvl w:ilvl="0">
      <w:start w:val="1"/>
      <w:numFmt w:val="bullet"/>
      <w:pStyle w:val="ListNumber3"/>
      <w:lvlText w:val=""/>
      <w:lvlJc w:val="left"/>
      <w:pPr>
        <w:tabs>
          <w:tab w:val="num" w:pos="720"/>
        </w:tabs>
        <w:ind w:left="720" w:hanging="360"/>
      </w:pPr>
      <w:rPr>
        <w:rFonts w:ascii="Symbol" w:hAnsi="Symbol" w:hint="default"/>
      </w:rPr>
    </w:lvl>
  </w:abstractNum>
  <w:abstractNum w:abstractNumId="3">
    <w:nsid w:val="FFFFFF88"/>
    <w:multiLevelType w:val="singleLevel"/>
    <w:tmpl w:val="A194503C"/>
    <w:lvl w:ilvl="0">
      <w:start w:val="1"/>
      <w:numFmt w:val="decimal"/>
      <w:pStyle w:val="ListNumber"/>
      <w:lvlText w:val="%1."/>
      <w:lvlJc w:val="left"/>
      <w:pPr>
        <w:tabs>
          <w:tab w:val="num" w:pos="360"/>
        </w:tabs>
        <w:ind w:left="360" w:hanging="360"/>
      </w:pPr>
    </w:lvl>
  </w:abstractNum>
  <w:abstractNum w:abstractNumId="4">
    <w:nsid w:val="FFFFFF89"/>
    <w:multiLevelType w:val="singleLevel"/>
    <w:tmpl w:val="C47A1D4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000402"/>
    <w:multiLevelType w:val="multilevel"/>
    <w:tmpl w:val="00000885"/>
    <w:lvl w:ilvl="0">
      <w:numFmt w:val="bullet"/>
      <w:lvlText w:val="•"/>
      <w:lvlJc w:val="left"/>
      <w:pPr>
        <w:ind w:hanging="360"/>
      </w:pPr>
      <w:rPr>
        <w:rFonts w:ascii="Arial" w:hAnsi="Arial" w:cs="Arial"/>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5275E3A"/>
    <w:multiLevelType w:val="hybridMultilevel"/>
    <w:tmpl w:val="C1985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050E70"/>
    <w:multiLevelType w:val="hybridMultilevel"/>
    <w:tmpl w:val="3154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20D41"/>
    <w:multiLevelType w:val="hybridMultilevel"/>
    <w:tmpl w:val="2B8269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5C1CDA"/>
    <w:multiLevelType w:val="hybridMultilevel"/>
    <w:tmpl w:val="F88E0AF0"/>
    <w:lvl w:ilvl="0" w:tplc="04090011">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6557357"/>
    <w:multiLevelType w:val="hybridMultilevel"/>
    <w:tmpl w:val="7D4A01CA"/>
    <w:lvl w:ilvl="0" w:tplc="13B2E46A">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77645"/>
    <w:multiLevelType w:val="multilevel"/>
    <w:tmpl w:val="EB8A90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78129F"/>
    <w:multiLevelType w:val="hybridMultilevel"/>
    <w:tmpl w:val="9D8A48FA"/>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2524F67"/>
    <w:multiLevelType w:val="multilevel"/>
    <w:tmpl w:val="E7320F12"/>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4">
    <w:nsid w:val="339474CD"/>
    <w:multiLevelType w:val="multilevel"/>
    <w:tmpl w:val="4E906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697BA8"/>
    <w:multiLevelType w:val="hybridMultilevel"/>
    <w:tmpl w:val="7C7ACC3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1C546A"/>
    <w:multiLevelType w:val="hybridMultilevel"/>
    <w:tmpl w:val="7A32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A64E20"/>
    <w:multiLevelType w:val="hybridMultilevel"/>
    <w:tmpl w:val="DCF0A3BA"/>
    <w:lvl w:ilvl="0" w:tplc="2CE8240E">
      <w:start w:val="1"/>
      <w:numFmt w:val="decimal"/>
      <w:pStyle w:val="Figure"/>
      <w:lvlText w:val="Figure %1."/>
      <w:lvlJc w:val="left"/>
      <w:pPr>
        <w:tabs>
          <w:tab w:val="num" w:pos="1440"/>
        </w:tabs>
        <w:ind w:left="72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653BCC"/>
    <w:multiLevelType w:val="hybridMultilevel"/>
    <w:tmpl w:val="96C812C8"/>
    <w:lvl w:ilvl="0" w:tplc="B47C9F78">
      <w:start w:val="3"/>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820DD9"/>
    <w:multiLevelType w:val="hybridMultilevel"/>
    <w:tmpl w:val="C1985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CFB05A6"/>
    <w:multiLevelType w:val="hybridMultilevel"/>
    <w:tmpl w:val="64C41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5205584E"/>
    <w:multiLevelType w:val="hybridMultilevel"/>
    <w:tmpl w:val="090C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07372C"/>
    <w:multiLevelType w:val="hybridMultilevel"/>
    <w:tmpl w:val="82A44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CBB3BFB"/>
    <w:multiLevelType w:val="multilevel"/>
    <w:tmpl w:val="91FC08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E147A1C"/>
    <w:multiLevelType w:val="hybridMultilevel"/>
    <w:tmpl w:val="F624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A28ED"/>
    <w:multiLevelType w:val="hybridMultilevel"/>
    <w:tmpl w:val="71846CB8"/>
    <w:lvl w:ilvl="0" w:tplc="3722A046">
      <w:start w:val="1"/>
      <w:numFmt w:val="decimal"/>
      <w:lvlText w:val="Table %1."/>
      <w:lvlJc w:val="left"/>
      <w:pPr>
        <w:tabs>
          <w:tab w:val="num" w:pos="1440"/>
        </w:tabs>
        <w:ind w:left="720" w:hanging="360"/>
      </w:pPr>
      <w:rPr>
        <w:rFonts w:ascii="Times New Roman" w:hAnsi="Times New Roman" w:hint="default"/>
        <w:b/>
        <w:i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AD6532"/>
    <w:multiLevelType w:val="hybridMultilevel"/>
    <w:tmpl w:val="F2601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3B31707"/>
    <w:multiLevelType w:val="hybridMultilevel"/>
    <w:tmpl w:val="5F2A5D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1F2783"/>
    <w:multiLevelType w:val="hybridMultilevel"/>
    <w:tmpl w:val="0164C2AA"/>
    <w:lvl w:ilvl="0" w:tplc="EABA9CFA">
      <w:start w:val="1"/>
      <w:numFmt w:val="decimal"/>
      <w:pStyle w:val="bioref"/>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6F2F256C"/>
    <w:multiLevelType w:val="hybridMultilevel"/>
    <w:tmpl w:val="D81650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72016B62"/>
    <w:multiLevelType w:val="hybridMultilevel"/>
    <w:tmpl w:val="A768C91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7803170"/>
    <w:multiLevelType w:val="hybridMultilevel"/>
    <w:tmpl w:val="A092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9"/>
  </w:num>
  <w:num w:numId="7">
    <w:abstractNumId w:val="21"/>
  </w:num>
  <w:num w:numId="8">
    <w:abstractNumId w:val="16"/>
  </w:num>
  <w:num w:numId="9">
    <w:abstractNumId w:val="18"/>
  </w:num>
  <w:num w:numId="10">
    <w:abstractNumId w:val="4"/>
  </w:num>
  <w:num w:numId="11">
    <w:abstractNumId w:val="28"/>
  </w:num>
  <w:num w:numId="12">
    <w:abstractNumId w:val="30"/>
  </w:num>
  <w:num w:numId="13">
    <w:abstractNumId w:val="7"/>
  </w:num>
  <w:num w:numId="14">
    <w:abstractNumId w:val="12"/>
  </w:num>
  <w:num w:numId="15">
    <w:abstractNumId w:val="29"/>
  </w:num>
  <w:num w:numId="16">
    <w:abstractNumId w:val="23"/>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7"/>
  </w:num>
  <w:num w:numId="20">
    <w:abstractNumId w:val="5"/>
  </w:num>
  <w:num w:numId="21">
    <w:abstractNumId w:val="19"/>
  </w:num>
  <w:num w:numId="22">
    <w:abstractNumId w:val="24"/>
  </w:num>
  <w:num w:numId="23">
    <w:abstractNumId w:val="6"/>
  </w:num>
  <w:num w:numId="24">
    <w:abstractNumId w:val="31"/>
  </w:num>
  <w:num w:numId="25">
    <w:abstractNumId w:val="13"/>
  </w:num>
  <w:num w:numId="26">
    <w:abstractNumId w:val="14"/>
  </w:num>
  <w:num w:numId="27">
    <w:abstractNumId w:val="8"/>
  </w:num>
  <w:num w:numId="28">
    <w:abstractNumId w:val="10"/>
  </w:num>
  <w:num w:numId="29">
    <w:abstractNumId w:val="15"/>
  </w:num>
  <w:num w:numId="30">
    <w:abstractNumId w:val="11"/>
  </w:num>
  <w:num w:numId="31">
    <w:abstractNumId w:val="27"/>
  </w:num>
  <w:num w:numId="32">
    <w:abstractNumId w:val="26"/>
  </w:num>
  <w:num w:numId="3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ED"/>
    <w:rsid w:val="00001284"/>
    <w:rsid w:val="0000450E"/>
    <w:rsid w:val="000058C2"/>
    <w:rsid w:val="00005E5B"/>
    <w:rsid w:val="000064B7"/>
    <w:rsid w:val="000067A7"/>
    <w:rsid w:val="00007F10"/>
    <w:rsid w:val="00010AFE"/>
    <w:rsid w:val="00011905"/>
    <w:rsid w:val="00011D15"/>
    <w:rsid w:val="00013B0B"/>
    <w:rsid w:val="00020B2E"/>
    <w:rsid w:val="00024342"/>
    <w:rsid w:val="00024366"/>
    <w:rsid w:val="0002438C"/>
    <w:rsid w:val="00024CAB"/>
    <w:rsid w:val="00024F6C"/>
    <w:rsid w:val="00025F18"/>
    <w:rsid w:val="0002697A"/>
    <w:rsid w:val="000327D2"/>
    <w:rsid w:val="000334A1"/>
    <w:rsid w:val="00034259"/>
    <w:rsid w:val="0003484A"/>
    <w:rsid w:val="00036054"/>
    <w:rsid w:val="00042086"/>
    <w:rsid w:val="0004577B"/>
    <w:rsid w:val="00045EDB"/>
    <w:rsid w:val="00046487"/>
    <w:rsid w:val="000474C6"/>
    <w:rsid w:val="000509FA"/>
    <w:rsid w:val="0005144D"/>
    <w:rsid w:val="00054254"/>
    <w:rsid w:val="00060174"/>
    <w:rsid w:val="00060BF6"/>
    <w:rsid w:val="00060E35"/>
    <w:rsid w:val="0006191A"/>
    <w:rsid w:val="00061E0B"/>
    <w:rsid w:val="000624D2"/>
    <w:rsid w:val="00063277"/>
    <w:rsid w:val="000639D3"/>
    <w:rsid w:val="00063B1D"/>
    <w:rsid w:val="00065652"/>
    <w:rsid w:val="000657DA"/>
    <w:rsid w:val="00065AFF"/>
    <w:rsid w:val="000665A4"/>
    <w:rsid w:val="00070A6C"/>
    <w:rsid w:val="000717BC"/>
    <w:rsid w:val="00071858"/>
    <w:rsid w:val="000721AD"/>
    <w:rsid w:val="000727CB"/>
    <w:rsid w:val="00074D91"/>
    <w:rsid w:val="00076EE2"/>
    <w:rsid w:val="00083749"/>
    <w:rsid w:val="0008408B"/>
    <w:rsid w:val="0008444E"/>
    <w:rsid w:val="0008549A"/>
    <w:rsid w:val="00085CAD"/>
    <w:rsid w:val="00087D79"/>
    <w:rsid w:val="00090D42"/>
    <w:rsid w:val="00092002"/>
    <w:rsid w:val="00092CBC"/>
    <w:rsid w:val="000942B8"/>
    <w:rsid w:val="000942FA"/>
    <w:rsid w:val="00096AF3"/>
    <w:rsid w:val="000A1204"/>
    <w:rsid w:val="000A225D"/>
    <w:rsid w:val="000A305F"/>
    <w:rsid w:val="000A6A85"/>
    <w:rsid w:val="000A6ECE"/>
    <w:rsid w:val="000B320B"/>
    <w:rsid w:val="000B3E51"/>
    <w:rsid w:val="000B7CE1"/>
    <w:rsid w:val="000C019C"/>
    <w:rsid w:val="000C1E0F"/>
    <w:rsid w:val="000C3A05"/>
    <w:rsid w:val="000C3A5D"/>
    <w:rsid w:val="000C43CB"/>
    <w:rsid w:val="000C43F0"/>
    <w:rsid w:val="000C5629"/>
    <w:rsid w:val="000C5F0E"/>
    <w:rsid w:val="000D5FAA"/>
    <w:rsid w:val="000D7D66"/>
    <w:rsid w:val="000E44AC"/>
    <w:rsid w:val="000E6F8B"/>
    <w:rsid w:val="000F0B8B"/>
    <w:rsid w:val="000F114B"/>
    <w:rsid w:val="000F124C"/>
    <w:rsid w:val="000F1E21"/>
    <w:rsid w:val="000F341A"/>
    <w:rsid w:val="000F6CBC"/>
    <w:rsid w:val="00100D16"/>
    <w:rsid w:val="00102A61"/>
    <w:rsid w:val="00103554"/>
    <w:rsid w:val="0010502A"/>
    <w:rsid w:val="0010572F"/>
    <w:rsid w:val="001074FF"/>
    <w:rsid w:val="00110E4E"/>
    <w:rsid w:val="001113A3"/>
    <w:rsid w:val="0011176A"/>
    <w:rsid w:val="00115B34"/>
    <w:rsid w:val="00115BFE"/>
    <w:rsid w:val="00116794"/>
    <w:rsid w:val="001171C5"/>
    <w:rsid w:val="00117AB9"/>
    <w:rsid w:val="00117C47"/>
    <w:rsid w:val="00120B50"/>
    <w:rsid w:val="001217EB"/>
    <w:rsid w:val="001233E2"/>
    <w:rsid w:val="00127093"/>
    <w:rsid w:val="0012748C"/>
    <w:rsid w:val="001276B2"/>
    <w:rsid w:val="001304A5"/>
    <w:rsid w:val="001306C9"/>
    <w:rsid w:val="0013211B"/>
    <w:rsid w:val="00133FA9"/>
    <w:rsid w:val="001347BE"/>
    <w:rsid w:val="00136ADC"/>
    <w:rsid w:val="00136BE7"/>
    <w:rsid w:val="0013776B"/>
    <w:rsid w:val="00141020"/>
    <w:rsid w:val="00142303"/>
    <w:rsid w:val="00143A28"/>
    <w:rsid w:val="00143CE0"/>
    <w:rsid w:val="001455DC"/>
    <w:rsid w:val="001455FB"/>
    <w:rsid w:val="00145771"/>
    <w:rsid w:val="00146204"/>
    <w:rsid w:val="001476BB"/>
    <w:rsid w:val="00152CE0"/>
    <w:rsid w:val="00152E5C"/>
    <w:rsid w:val="001532A9"/>
    <w:rsid w:val="00153BF6"/>
    <w:rsid w:val="00156FFF"/>
    <w:rsid w:val="00157439"/>
    <w:rsid w:val="001600CD"/>
    <w:rsid w:val="00164ADA"/>
    <w:rsid w:val="00165B14"/>
    <w:rsid w:val="00170C39"/>
    <w:rsid w:val="0017221C"/>
    <w:rsid w:val="0017314D"/>
    <w:rsid w:val="00174262"/>
    <w:rsid w:val="001771CC"/>
    <w:rsid w:val="001774F2"/>
    <w:rsid w:val="00181C08"/>
    <w:rsid w:val="001827F2"/>
    <w:rsid w:val="00183A60"/>
    <w:rsid w:val="00183AFA"/>
    <w:rsid w:val="001851A2"/>
    <w:rsid w:val="00185BDA"/>
    <w:rsid w:val="00186409"/>
    <w:rsid w:val="00186E97"/>
    <w:rsid w:val="00187B5E"/>
    <w:rsid w:val="00192192"/>
    <w:rsid w:val="001926D6"/>
    <w:rsid w:val="00193E69"/>
    <w:rsid w:val="00196690"/>
    <w:rsid w:val="001A08C8"/>
    <w:rsid w:val="001A0B41"/>
    <w:rsid w:val="001A252B"/>
    <w:rsid w:val="001A2560"/>
    <w:rsid w:val="001A3C31"/>
    <w:rsid w:val="001A40F3"/>
    <w:rsid w:val="001A51FA"/>
    <w:rsid w:val="001A58F8"/>
    <w:rsid w:val="001A648D"/>
    <w:rsid w:val="001A6584"/>
    <w:rsid w:val="001A73D3"/>
    <w:rsid w:val="001A7B44"/>
    <w:rsid w:val="001B05E2"/>
    <w:rsid w:val="001B368A"/>
    <w:rsid w:val="001B473F"/>
    <w:rsid w:val="001C0617"/>
    <w:rsid w:val="001C0AA3"/>
    <w:rsid w:val="001C60CD"/>
    <w:rsid w:val="001D3A1B"/>
    <w:rsid w:val="001D4221"/>
    <w:rsid w:val="001D496D"/>
    <w:rsid w:val="001D7CB0"/>
    <w:rsid w:val="001E0B26"/>
    <w:rsid w:val="001E3C28"/>
    <w:rsid w:val="001E4536"/>
    <w:rsid w:val="001E4FF4"/>
    <w:rsid w:val="001E5C9E"/>
    <w:rsid w:val="001E7EA4"/>
    <w:rsid w:val="001F0C90"/>
    <w:rsid w:val="001F1204"/>
    <w:rsid w:val="001F2018"/>
    <w:rsid w:val="001F529E"/>
    <w:rsid w:val="001F73F3"/>
    <w:rsid w:val="002007C0"/>
    <w:rsid w:val="0020098A"/>
    <w:rsid w:val="00200C94"/>
    <w:rsid w:val="00203160"/>
    <w:rsid w:val="00206DB1"/>
    <w:rsid w:val="00207029"/>
    <w:rsid w:val="0020774B"/>
    <w:rsid w:val="00214261"/>
    <w:rsid w:val="0021689E"/>
    <w:rsid w:val="00221A57"/>
    <w:rsid w:val="00224CB1"/>
    <w:rsid w:val="00224DF4"/>
    <w:rsid w:val="002255C6"/>
    <w:rsid w:val="00227720"/>
    <w:rsid w:val="0022783E"/>
    <w:rsid w:val="00230727"/>
    <w:rsid w:val="00232B40"/>
    <w:rsid w:val="00232C09"/>
    <w:rsid w:val="0023449C"/>
    <w:rsid w:val="0023551C"/>
    <w:rsid w:val="00235928"/>
    <w:rsid w:val="00235EB0"/>
    <w:rsid w:val="00236671"/>
    <w:rsid w:val="00240C71"/>
    <w:rsid w:val="002457BF"/>
    <w:rsid w:val="00245DC0"/>
    <w:rsid w:val="002467C5"/>
    <w:rsid w:val="002470A8"/>
    <w:rsid w:val="00250889"/>
    <w:rsid w:val="00250E96"/>
    <w:rsid w:val="002518F8"/>
    <w:rsid w:val="002528F1"/>
    <w:rsid w:val="00252C70"/>
    <w:rsid w:val="00252D90"/>
    <w:rsid w:val="00253135"/>
    <w:rsid w:val="002552E4"/>
    <w:rsid w:val="00255E1F"/>
    <w:rsid w:val="002569E1"/>
    <w:rsid w:val="00256A49"/>
    <w:rsid w:val="00262923"/>
    <w:rsid w:val="0026510A"/>
    <w:rsid w:val="0026677E"/>
    <w:rsid w:val="00266D9C"/>
    <w:rsid w:val="00267883"/>
    <w:rsid w:val="002679B7"/>
    <w:rsid w:val="00270C0D"/>
    <w:rsid w:val="00271DA2"/>
    <w:rsid w:val="00273A11"/>
    <w:rsid w:val="00274FF5"/>
    <w:rsid w:val="00277BC6"/>
    <w:rsid w:val="00280951"/>
    <w:rsid w:val="002812C9"/>
    <w:rsid w:val="00282AC1"/>
    <w:rsid w:val="00283ECB"/>
    <w:rsid w:val="002842B6"/>
    <w:rsid w:val="002847EB"/>
    <w:rsid w:val="00287830"/>
    <w:rsid w:val="002912DA"/>
    <w:rsid w:val="00293145"/>
    <w:rsid w:val="00293945"/>
    <w:rsid w:val="0029462A"/>
    <w:rsid w:val="00294B78"/>
    <w:rsid w:val="002963BC"/>
    <w:rsid w:val="00297BB9"/>
    <w:rsid w:val="002A06FD"/>
    <w:rsid w:val="002A4213"/>
    <w:rsid w:val="002A550C"/>
    <w:rsid w:val="002A5908"/>
    <w:rsid w:val="002B0E4F"/>
    <w:rsid w:val="002B1F3D"/>
    <w:rsid w:val="002B27FD"/>
    <w:rsid w:val="002B2AB9"/>
    <w:rsid w:val="002B3E6A"/>
    <w:rsid w:val="002B4979"/>
    <w:rsid w:val="002B51C8"/>
    <w:rsid w:val="002B58C9"/>
    <w:rsid w:val="002B741E"/>
    <w:rsid w:val="002C2035"/>
    <w:rsid w:val="002C3800"/>
    <w:rsid w:val="002C51FB"/>
    <w:rsid w:val="002C63EC"/>
    <w:rsid w:val="002C6665"/>
    <w:rsid w:val="002C7F7F"/>
    <w:rsid w:val="002D1B43"/>
    <w:rsid w:val="002D1C34"/>
    <w:rsid w:val="002D2D26"/>
    <w:rsid w:val="002D2F31"/>
    <w:rsid w:val="002D529A"/>
    <w:rsid w:val="002D5424"/>
    <w:rsid w:val="002D797E"/>
    <w:rsid w:val="002E2A04"/>
    <w:rsid w:val="002E2C83"/>
    <w:rsid w:val="002E32AF"/>
    <w:rsid w:val="002E363C"/>
    <w:rsid w:val="002E606B"/>
    <w:rsid w:val="002E6CF0"/>
    <w:rsid w:val="002E7890"/>
    <w:rsid w:val="002F02CC"/>
    <w:rsid w:val="002F054C"/>
    <w:rsid w:val="002F0C93"/>
    <w:rsid w:val="002F3222"/>
    <w:rsid w:val="002F3472"/>
    <w:rsid w:val="002F4163"/>
    <w:rsid w:val="002F4C9C"/>
    <w:rsid w:val="002F55F7"/>
    <w:rsid w:val="002F69FF"/>
    <w:rsid w:val="002F7816"/>
    <w:rsid w:val="002F7CDE"/>
    <w:rsid w:val="00300171"/>
    <w:rsid w:val="003017EB"/>
    <w:rsid w:val="00301EC1"/>
    <w:rsid w:val="0030294C"/>
    <w:rsid w:val="00302EDC"/>
    <w:rsid w:val="003032DC"/>
    <w:rsid w:val="00303932"/>
    <w:rsid w:val="00304E44"/>
    <w:rsid w:val="00305770"/>
    <w:rsid w:val="00306567"/>
    <w:rsid w:val="003067C5"/>
    <w:rsid w:val="00307BC8"/>
    <w:rsid w:val="00310160"/>
    <w:rsid w:val="003103E4"/>
    <w:rsid w:val="00310DE6"/>
    <w:rsid w:val="00311045"/>
    <w:rsid w:val="00311393"/>
    <w:rsid w:val="00311A05"/>
    <w:rsid w:val="00311F1D"/>
    <w:rsid w:val="0031228D"/>
    <w:rsid w:val="00313D5A"/>
    <w:rsid w:val="00314319"/>
    <w:rsid w:val="0031476A"/>
    <w:rsid w:val="003162B8"/>
    <w:rsid w:val="00316A2D"/>
    <w:rsid w:val="003207ED"/>
    <w:rsid w:val="00321A34"/>
    <w:rsid w:val="00322664"/>
    <w:rsid w:val="00324B86"/>
    <w:rsid w:val="0032572C"/>
    <w:rsid w:val="00325CEA"/>
    <w:rsid w:val="003261C4"/>
    <w:rsid w:val="003274A9"/>
    <w:rsid w:val="00330F31"/>
    <w:rsid w:val="00333B6D"/>
    <w:rsid w:val="00334405"/>
    <w:rsid w:val="00334DC3"/>
    <w:rsid w:val="00334DC9"/>
    <w:rsid w:val="003408D4"/>
    <w:rsid w:val="00341CC4"/>
    <w:rsid w:val="00342409"/>
    <w:rsid w:val="00345900"/>
    <w:rsid w:val="00347372"/>
    <w:rsid w:val="00350B5F"/>
    <w:rsid w:val="00351153"/>
    <w:rsid w:val="0035363C"/>
    <w:rsid w:val="00354232"/>
    <w:rsid w:val="003542E4"/>
    <w:rsid w:val="003547CA"/>
    <w:rsid w:val="00354ED9"/>
    <w:rsid w:val="0035560D"/>
    <w:rsid w:val="003574F3"/>
    <w:rsid w:val="00357AE7"/>
    <w:rsid w:val="003600E9"/>
    <w:rsid w:val="00361718"/>
    <w:rsid w:val="00363491"/>
    <w:rsid w:val="003649A2"/>
    <w:rsid w:val="00364C3C"/>
    <w:rsid w:val="0036560B"/>
    <w:rsid w:val="0036569A"/>
    <w:rsid w:val="0036588B"/>
    <w:rsid w:val="00366692"/>
    <w:rsid w:val="003671A7"/>
    <w:rsid w:val="00367637"/>
    <w:rsid w:val="003707E1"/>
    <w:rsid w:val="00373B6D"/>
    <w:rsid w:val="003741C2"/>
    <w:rsid w:val="003761FE"/>
    <w:rsid w:val="003767CA"/>
    <w:rsid w:val="003773D1"/>
    <w:rsid w:val="00377EF2"/>
    <w:rsid w:val="00381DED"/>
    <w:rsid w:val="00383EAB"/>
    <w:rsid w:val="0038749C"/>
    <w:rsid w:val="00387F7C"/>
    <w:rsid w:val="00394AD5"/>
    <w:rsid w:val="00395E04"/>
    <w:rsid w:val="003967DE"/>
    <w:rsid w:val="00396A70"/>
    <w:rsid w:val="00396CB7"/>
    <w:rsid w:val="003A0AA1"/>
    <w:rsid w:val="003A0FEF"/>
    <w:rsid w:val="003A3D0F"/>
    <w:rsid w:val="003A5B73"/>
    <w:rsid w:val="003A657E"/>
    <w:rsid w:val="003A670F"/>
    <w:rsid w:val="003A710E"/>
    <w:rsid w:val="003B0E85"/>
    <w:rsid w:val="003B1E88"/>
    <w:rsid w:val="003B45C3"/>
    <w:rsid w:val="003B5A7C"/>
    <w:rsid w:val="003B5DC8"/>
    <w:rsid w:val="003B6432"/>
    <w:rsid w:val="003B6833"/>
    <w:rsid w:val="003B6CD5"/>
    <w:rsid w:val="003C27A2"/>
    <w:rsid w:val="003C4CB4"/>
    <w:rsid w:val="003C6414"/>
    <w:rsid w:val="003C7782"/>
    <w:rsid w:val="003C7F57"/>
    <w:rsid w:val="003D627D"/>
    <w:rsid w:val="003E092C"/>
    <w:rsid w:val="003E0A75"/>
    <w:rsid w:val="003E2BAD"/>
    <w:rsid w:val="003E482C"/>
    <w:rsid w:val="003E5EEE"/>
    <w:rsid w:val="003E7D36"/>
    <w:rsid w:val="003F00EA"/>
    <w:rsid w:val="003F3196"/>
    <w:rsid w:val="003F4507"/>
    <w:rsid w:val="003F5F28"/>
    <w:rsid w:val="003F64A0"/>
    <w:rsid w:val="003F7079"/>
    <w:rsid w:val="00400D43"/>
    <w:rsid w:val="0040117D"/>
    <w:rsid w:val="00401328"/>
    <w:rsid w:val="00402525"/>
    <w:rsid w:val="004027A1"/>
    <w:rsid w:val="00403BD0"/>
    <w:rsid w:val="00404673"/>
    <w:rsid w:val="004058C8"/>
    <w:rsid w:val="00406405"/>
    <w:rsid w:val="004065DA"/>
    <w:rsid w:val="0041044D"/>
    <w:rsid w:val="00410962"/>
    <w:rsid w:val="00417AA6"/>
    <w:rsid w:val="00422A8C"/>
    <w:rsid w:val="00422EF5"/>
    <w:rsid w:val="00424275"/>
    <w:rsid w:val="00424A82"/>
    <w:rsid w:val="00425178"/>
    <w:rsid w:val="00430458"/>
    <w:rsid w:val="004314A7"/>
    <w:rsid w:val="00432BBC"/>
    <w:rsid w:val="00433131"/>
    <w:rsid w:val="00433DBD"/>
    <w:rsid w:val="0043471D"/>
    <w:rsid w:val="00437BC7"/>
    <w:rsid w:val="0044165E"/>
    <w:rsid w:val="004416C8"/>
    <w:rsid w:val="00441F89"/>
    <w:rsid w:val="004421BF"/>
    <w:rsid w:val="00442E5D"/>
    <w:rsid w:val="00443243"/>
    <w:rsid w:val="0044515E"/>
    <w:rsid w:val="00445602"/>
    <w:rsid w:val="004457A9"/>
    <w:rsid w:val="0044583D"/>
    <w:rsid w:val="004466BA"/>
    <w:rsid w:val="00446834"/>
    <w:rsid w:val="00446980"/>
    <w:rsid w:val="004509B1"/>
    <w:rsid w:val="00451825"/>
    <w:rsid w:val="00451D99"/>
    <w:rsid w:val="0045394F"/>
    <w:rsid w:val="00453F6D"/>
    <w:rsid w:val="00454BAC"/>
    <w:rsid w:val="00460D32"/>
    <w:rsid w:val="004617C9"/>
    <w:rsid w:val="004642B5"/>
    <w:rsid w:val="00465D3C"/>
    <w:rsid w:val="00466642"/>
    <w:rsid w:val="004675ED"/>
    <w:rsid w:val="00470C13"/>
    <w:rsid w:val="00472092"/>
    <w:rsid w:val="0047275C"/>
    <w:rsid w:val="00475A8F"/>
    <w:rsid w:val="00476CCF"/>
    <w:rsid w:val="004776C1"/>
    <w:rsid w:val="0048003A"/>
    <w:rsid w:val="004812A4"/>
    <w:rsid w:val="00484731"/>
    <w:rsid w:val="00485EF8"/>
    <w:rsid w:val="00491B6D"/>
    <w:rsid w:val="00494004"/>
    <w:rsid w:val="00496C83"/>
    <w:rsid w:val="004A0621"/>
    <w:rsid w:val="004A07F5"/>
    <w:rsid w:val="004A0BCA"/>
    <w:rsid w:val="004A4102"/>
    <w:rsid w:val="004A541C"/>
    <w:rsid w:val="004B093E"/>
    <w:rsid w:val="004B2260"/>
    <w:rsid w:val="004B2CDC"/>
    <w:rsid w:val="004B3CE2"/>
    <w:rsid w:val="004C02EA"/>
    <w:rsid w:val="004C189C"/>
    <w:rsid w:val="004C29D8"/>
    <w:rsid w:val="004C3FD6"/>
    <w:rsid w:val="004C569A"/>
    <w:rsid w:val="004C6431"/>
    <w:rsid w:val="004C6E93"/>
    <w:rsid w:val="004C7B70"/>
    <w:rsid w:val="004D009F"/>
    <w:rsid w:val="004D16D1"/>
    <w:rsid w:val="004D1DD6"/>
    <w:rsid w:val="004D2988"/>
    <w:rsid w:val="004D3636"/>
    <w:rsid w:val="004D3845"/>
    <w:rsid w:val="004D3DC6"/>
    <w:rsid w:val="004D3F1D"/>
    <w:rsid w:val="004D5593"/>
    <w:rsid w:val="004D58B2"/>
    <w:rsid w:val="004D79E9"/>
    <w:rsid w:val="004D7C67"/>
    <w:rsid w:val="004D7F24"/>
    <w:rsid w:val="004E0DDD"/>
    <w:rsid w:val="004E1B6E"/>
    <w:rsid w:val="004E27B9"/>
    <w:rsid w:val="004E27E0"/>
    <w:rsid w:val="004E285E"/>
    <w:rsid w:val="004E2F53"/>
    <w:rsid w:val="004E4730"/>
    <w:rsid w:val="004E5C23"/>
    <w:rsid w:val="004E61A1"/>
    <w:rsid w:val="004E6775"/>
    <w:rsid w:val="004E70C2"/>
    <w:rsid w:val="004E744A"/>
    <w:rsid w:val="004F1507"/>
    <w:rsid w:val="004F1D59"/>
    <w:rsid w:val="004F38C4"/>
    <w:rsid w:val="004F3C0A"/>
    <w:rsid w:val="004F4A71"/>
    <w:rsid w:val="004F4AAF"/>
    <w:rsid w:val="004F5B4E"/>
    <w:rsid w:val="004F6023"/>
    <w:rsid w:val="004F63A9"/>
    <w:rsid w:val="005042B5"/>
    <w:rsid w:val="005046D5"/>
    <w:rsid w:val="00504CE0"/>
    <w:rsid w:val="0051038B"/>
    <w:rsid w:val="00510B32"/>
    <w:rsid w:val="00512907"/>
    <w:rsid w:val="00514FE1"/>
    <w:rsid w:val="005172B2"/>
    <w:rsid w:val="005210B5"/>
    <w:rsid w:val="00523180"/>
    <w:rsid w:val="00523326"/>
    <w:rsid w:val="00524026"/>
    <w:rsid w:val="005241B3"/>
    <w:rsid w:val="005256C0"/>
    <w:rsid w:val="00525A95"/>
    <w:rsid w:val="005270A5"/>
    <w:rsid w:val="00527E0E"/>
    <w:rsid w:val="00530FDC"/>
    <w:rsid w:val="00532D08"/>
    <w:rsid w:val="00532EEE"/>
    <w:rsid w:val="005333A1"/>
    <w:rsid w:val="00533B77"/>
    <w:rsid w:val="00534454"/>
    <w:rsid w:val="00534569"/>
    <w:rsid w:val="00536437"/>
    <w:rsid w:val="0053660C"/>
    <w:rsid w:val="00540AD9"/>
    <w:rsid w:val="00540BD3"/>
    <w:rsid w:val="0054103E"/>
    <w:rsid w:val="00541106"/>
    <w:rsid w:val="00543159"/>
    <w:rsid w:val="00543F15"/>
    <w:rsid w:val="00545F0D"/>
    <w:rsid w:val="00546C64"/>
    <w:rsid w:val="00551284"/>
    <w:rsid w:val="00551491"/>
    <w:rsid w:val="00551C42"/>
    <w:rsid w:val="00553793"/>
    <w:rsid w:val="00553B68"/>
    <w:rsid w:val="0055430C"/>
    <w:rsid w:val="00557A13"/>
    <w:rsid w:val="005617AD"/>
    <w:rsid w:val="00561933"/>
    <w:rsid w:val="00561FCC"/>
    <w:rsid w:val="00564172"/>
    <w:rsid w:val="00564E5A"/>
    <w:rsid w:val="00565419"/>
    <w:rsid w:val="00566C9E"/>
    <w:rsid w:val="00570CC1"/>
    <w:rsid w:val="00571710"/>
    <w:rsid w:val="00575F9A"/>
    <w:rsid w:val="005760AC"/>
    <w:rsid w:val="00580CFB"/>
    <w:rsid w:val="00581623"/>
    <w:rsid w:val="00581F2F"/>
    <w:rsid w:val="0058299E"/>
    <w:rsid w:val="005839DC"/>
    <w:rsid w:val="00584B32"/>
    <w:rsid w:val="00584BE8"/>
    <w:rsid w:val="00590C77"/>
    <w:rsid w:val="005911C4"/>
    <w:rsid w:val="00591B14"/>
    <w:rsid w:val="00591FFD"/>
    <w:rsid w:val="00593E41"/>
    <w:rsid w:val="00594347"/>
    <w:rsid w:val="00596CB2"/>
    <w:rsid w:val="005972F5"/>
    <w:rsid w:val="0059760F"/>
    <w:rsid w:val="005A1A96"/>
    <w:rsid w:val="005A394F"/>
    <w:rsid w:val="005A5D38"/>
    <w:rsid w:val="005B0910"/>
    <w:rsid w:val="005B3FB4"/>
    <w:rsid w:val="005B5760"/>
    <w:rsid w:val="005B5D09"/>
    <w:rsid w:val="005B656E"/>
    <w:rsid w:val="005C051C"/>
    <w:rsid w:val="005C0D08"/>
    <w:rsid w:val="005C2E46"/>
    <w:rsid w:val="005C3493"/>
    <w:rsid w:val="005C6426"/>
    <w:rsid w:val="005C7700"/>
    <w:rsid w:val="005D0237"/>
    <w:rsid w:val="005D12C9"/>
    <w:rsid w:val="005D1846"/>
    <w:rsid w:val="005D7E51"/>
    <w:rsid w:val="005E2536"/>
    <w:rsid w:val="005E59DD"/>
    <w:rsid w:val="005E655E"/>
    <w:rsid w:val="005E7DAE"/>
    <w:rsid w:val="005F41B9"/>
    <w:rsid w:val="005F55E6"/>
    <w:rsid w:val="006000C8"/>
    <w:rsid w:val="00600C3E"/>
    <w:rsid w:val="00601194"/>
    <w:rsid w:val="00601933"/>
    <w:rsid w:val="0060429E"/>
    <w:rsid w:val="006042B3"/>
    <w:rsid w:val="0060560F"/>
    <w:rsid w:val="0061000B"/>
    <w:rsid w:val="0061122E"/>
    <w:rsid w:val="006123B7"/>
    <w:rsid w:val="006150B3"/>
    <w:rsid w:val="006166FE"/>
    <w:rsid w:val="0061721A"/>
    <w:rsid w:val="00617993"/>
    <w:rsid w:val="006224FE"/>
    <w:rsid w:val="00624205"/>
    <w:rsid w:val="006242AA"/>
    <w:rsid w:val="006247B7"/>
    <w:rsid w:val="00626198"/>
    <w:rsid w:val="00626B14"/>
    <w:rsid w:val="00626C90"/>
    <w:rsid w:val="0063030E"/>
    <w:rsid w:val="006308A9"/>
    <w:rsid w:val="00631571"/>
    <w:rsid w:val="006324CA"/>
    <w:rsid w:val="00632DBD"/>
    <w:rsid w:val="00632DF9"/>
    <w:rsid w:val="00632E1C"/>
    <w:rsid w:val="006333F5"/>
    <w:rsid w:val="006360F2"/>
    <w:rsid w:val="00637A17"/>
    <w:rsid w:val="006413D2"/>
    <w:rsid w:val="006425A9"/>
    <w:rsid w:val="0064326A"/>
    <w:rsid w:val="00643D27"/>
    <w:rsid w:val="00644888"/>
    <w:rsid w:val="00645532"/>
    <w:rsid w:val="00645E58"/>
    <w:rsid w:val="00647DAA"/>
    <w:rsid w:val="00647F0C"/>
    <w:rsid w:val="00650D25"/>
    <w:rsid w:val="00651317"/>
    <w:rsid w:val="0065151D"/>
    <w:rsid w:val="00652D33"/>
    <w:rsid w:val="006530AD"/>
    <w:rsid w:val="006545D6"/>
    <w:rsid w:val="00654CCC"/>
    <w:rsid w:val="006559B3"/>
    <w:rsid w:val="00656945"/>
    <w:rsid w:val="006578A1"/>
    <w:rsid w:val="006614F5"/>
    <w:rsid w:val="006626F3"/>
    <w:rsid w:val="0066337C"/>
    <w:rsid w:val="00664148"/>
    <w:rsid w:val="00665549"/>
    <w:rsid w:val="00666BAA"/>
    <w:rsid w:val="00667618"/>
    <w:rsid w:val="0066798F"/>
    <w:rsid w:val="0067059A"/>
    <w:rsid w:val="00671395"/>
    <w:rsid w:val="00672019"/>
    <w:rsid w:val="00673260"/>
    <w:rsid w:val="00674101"/>
    <w:rsid w:val="00675B19"/>
    <w:rsid w:val="006763B9"/>
    <w:rsid w:val="0068056D"/>
    <w:rsid w:val="00681381"/>
    <w:rsid w:val="006813F1"/>
    <w:rsid w:val="00682385"/>
    <w:rsid w:val="00683A21"/>
    <w:rsid w:val="00684C3E"/>
    <w:rsid w:val="00686A0C"/>
    <w:rsid w:val="00686C42"/>
    <w:rsid w:val="006907C0"/>
    <w:rsid w:val="006911D7"/>
    <w:rsid w:val="00692691"/>
    <w:rsid w:val="00693061"/>
    <w:rsid w:val="00695215"/>
    <w:rsid w:val="00695D9A"/>
    <w:rsid w:val="00696AAE"/>
    <w:rsid w:val="006A0BF2"/>
    <w:rsid w:val="006A1091"/>
    <w:rsid w:val="006A2470"/>
    <w:rsid w:val="006B0D3B"/>
    <w:rsid w:val="006B36A2"/>
    <w:rsid w:val="006B57CA"/>
    <w:rsid w:val="006C0FDE"/>
    <w:rsid w:val="006C1631"/>
    <w:rsid w:val="006C42EA"/>
    <w:rsid w:val="006C656D"/>
    <w:rsid w:val="006C7D93"/>
    <w:rsid w:val="006C7E19"/>
    <w:rsid w:val="006C7F3B"/>
    <w:rsid w:val="006D0F88"/>
    <w:rsid w:val="006D1A1C"/>
    <w:rsid w:val="006D1DA3"/>
    <w:rsid w:val="006D34CD"/>
    <w:rsid w:val="006D34F3"/>
    <w:rsid w:val="006D35CC"/>
    <w:rsid w:val="006D732D"/>
    <w:rsid w:val="006E300A"/>
    <w:rsid w:val="006E3CAA"/>
    <w:rsid w:val="006E597C"/>
    <w:rsid w:val="006E5E77"/>
    <w:rsid w:val="006E6768"/>
    <w:rsid w:val="006E6D99"/>
    <w:rsid w:val="006E75A2"/>
    <w:rsid w:val="006F272D"/>
    <w:rsid w:val="007005AF"/>
    <w:rsid w:val="0070093F"/>
    <w:rsid w:val="00702CD9"/>
    <w:rsid w:val="00703563"/>
    <w:rsid w:val="00703DE5"/>
    <w:rsid w:val="0070464F"/>
    <w:rsid w:val="00704E27"/>
    <w:rsid w:val="00705D63"/>
    <w:rsid w:val="00706737"/>
    <w:rsid w:val="00706A4A"/>
    <w:rsid w:val="007073AC"/>
    <w:rsid w:val="007113B7"/>
    <w:rsid w:val="00711ADF"/>
    <w:rsid w:val="00711C71"/>
    <w:rsid w:val="007128F3"/>
    <w:rsid w:val="00713432"/>
    <w:rsid w:val="007154FB"/>
    <w:rsid w:val="00720011"/>
    <w:rsid w:val="0072250B"/>
    <w:rsid w:val="00723713"/>
    <w:rsid w:val="0072487E"/>
    <w:rsid w:val="00725BB2"/>
    <w:rsid w:val="007329B1"/>
    <w:rsid w:val="00734606"/>
    <w:rsid w:val="00734A73"/>
    <w:rsid w:val="00734CF4"/>
    <w:rsid w:val="00734E3A"/>
    <w:rsid w:val="00736FC0"/>
    <w:rsid w:val="00740D92"/>
    <w:rsid w:val="00741D44"/>
    <w:rsid w:val="007434E1"/>
    <w:rsid w:val="00744347"/>
    <w:rsid w:val="0074505D"/>
    <w:rsid w:val="007457F9"/>
    <w:rsid w:val="00746955"/>
    <w:rsid w:val="007474D1"/>
    <w:rsid w:val="00752032"/>
    <w:rsid w:val="007536F0"/>
    <w:rsid w:val="0075370C"/>
    <w:rsid w:val="00755458"/>
    <w:rsid w:val="00755594"/>
    <w:rsid w:val="00756104"/>
    <w:rsid w:val="007564E2"/>
    <w:rsid w:val="00756D9A"/>
    <w:rsid w:val="00757C32"/>
    <w:rsid w:val="00760089"/>
    <w:rsid w:val="00760A04"/>
    <w:rsid w:val="00761541"/>
    <w:rsid w:val="007629E9"/>
    <w:rsid w:val="00763AE9"/>
    <w:rsid w:val="007651DD"/>
    <w:rsid w:val="00766E67"/>
    <w:rsid w:val="00772111"/>
    <w:rsid w:val="007724C8"/>
    <w:rsid w:val="00773C25"/>
    <w:rsid w:val="00773CAC"/>
    <w:rsid w:val="00774022"/>
    <w:rsid w:val="00775A66"/>
    <w:rsid w:val="0077629D"/>
    <w:rsid w:val="00777283"/>
    <w:rsid w:val="007773B9"/>
    <w:rsid w:val="00783142"/>
    <w:rsid w:val="00785B36"/>
    <w:rsid w:val="00786168"/>
    <w:rsid w:val="00786E37"/>
    <w:rsid w:val="007876F0"/>
    <w:rsid w:val="00792503"/>
    <w:rsid w:val="007946D6"/>
    <w:rsid w:val="00796057"/>
    <w:rsid w:val="00796197"/>
    <w:rsid w:val="007966E0"/>
    <w:rsid w:val="00796ABC"/>
    <w:rsid w:val="00797CC1"/>
    <w:rsid w:val="007A091E"/>
    <w:rsid w:val="007A0E5C"/>
    <w:rsid w:val="007A1A1C"/>
    <w:rsid w:val="007A298B"/>
    <w:rsid w:val="007A298C"/>
    <w:rsid w:val="007A4EC0"/>
    <w:rsid w:val="007A502E"/>
    <w:rsid w:val="007A521A"/>
    <w:rsid w:val="007A5ED9"/>
    <w:rsid w:val="007A78B5"/>
    <w:rsid w:val="007A7D39"/>
    <w:rsid w:val="007B32CC"/>
    <w:rsid w:val="007B5278"/>
    <w:rsid w:val="007B7AAF"/>
    <w:rsid w:val="007C0C9A"/>
    <w:rsid w:val="007C2812"/>
    <w:rsid w:val="007C2F1A"/>
    <w:rsid w:val="007C3712"/>
    <w:rsid w:val="007C68FE"/>
    <w:rsid w:val="007D02F0"/>
    <w:rsid w:val="007D0914"/>
    <w:rsid w:val="007D0C3B"/>
    <w:rsid w:val="007D4836"/>
    <w:rsid w:val="007D4E5B"/>
    <w:rsid w:val="007D525A"/>
    <w:rsid w:val="007D5AB8"/>
    <w:rsid w:val="007D672F"/>
    <w:rsid w:val="007D70F6"/>
    <w:rsid w:val="007E1534"/>
    <w:rsid w:val="007E1993"/>
    <w:rsid w:val="007E50A5"/>
    <w:rsid w:val="007E5133"/>
    <w:rsid w:val="007E5B18"/>
    <w:rsid w:val="007E703C"/>
    <w:rsid w:val="007E78B2"/>
    <w:rsid w:val="007F3156"/>
    <w:rsid w:val="007F46AC"/>
    <w:rsid w:val="007F61C9"/>
    <w:rsid w:val="007F797C"/>
    <w:rsid w:val="00800205"/>
    <w:rsid w:val="008032CE"/>
    <w:rsid w:val="00804CBC"/>
    <w:rsid w:val="00805306"/>
    <w:rsid w:val="00807CF0"/>
    <w:rsid w:val="008107AA"/>
    <w:rsid w:val="00812C05"/>
    <w:rsid w:val="0081305A"/>
    <w:rsid w:val="00813803"/>
    <w:rsid w:val="0081392C"/>
    <w:rsid w:val="00813A8E"/>
    <w:rsid w:val="008150D9"/>
    <w:rsid w:val="00815329"/>
    <w:rsid w:val="00816F6C"/>
    <w:rsid w:val="008175AA"/>
    <w:rsid w:val="00817A5E"/>
    <w:rsid w:val="0082086E"/>
    <w:rsid w:val="00820B74"/>
    <w:rsid w:val="00820FD0"/>
    <w:rsid w:val="0082160C"/>
    <w:rsid w:val="00822692"/>
    <w:rsid w:val="00826EDB"/>
    <w:rsid w:val="0083137A"/>
    <w:rsid w:val="00831BC7"/>
    <w:rsid w:val="008341EF"/>
    <w:rsid w:val="00837CE4"/>
    <w:rsid w:val="00837EEF"/>
    <w:rsid w:val="00837F0F"/>
    <w:rsid w:val="00841123"/>
    <w:rsid w:val="00845530"/>
    <w:rsid w:val="00846653"/>
    <w:rsid w:val="00846D43"/>
    <w:rsid w:val="00850956"/>
    <w:rsid w:val="00850CAD"/>
    <w:rsid w:val="00850E1C"/>
    <w:rsid w:val="00852D86"/>
    <w:rsid w:val="00856ECB"/>
    <w:rsid w:val="008611D4"/>
    <w:rsid w:val="00864748"/>
    <w:rsid w:val="00867A63"/>
    <w:rsid w:val="0087031F"/>
    <w:rsid w:val="00871D81"/>
    <w:rsid w:val="008731B5"/>
    <w:rsid w:val="00875085"/>
    <w:rsid w:val="00875189"/>
    <w:rsid w:val="0088026A"/>
    <w:rsid w:val="00882B8F"/>
    <w:rsid w:val="00882BC2"/>
    <w:rsid w:val="008830BC"/>
    <w:rsid w:val="00883B5E"/>
    <w:rsid w:val="008843C2"/>
    <w:rsid w:val="00884F76"/>
    <w:rsid w:val="008856B1"/>
    <w:rsid w:val="00886746"/>
    <w:rsid w:val="00887D2A"/>
    <w:rsid w:val="008903BC"/>
    <w:rsid w:val="008910DA"/>
    <w:rsid w:val="00891D5B"/>
    <w:rsid w:val="00892534"/>
    <w:rsid w:val="008940F5"/>
    <w:rsid w:val="008946AE"/>
    <w:rsid w:val="00895D6D"/>
    <w:rsid w:val="008964A7"/>
    <w:rsid w:val="00896617"/>
    <w:rsid w:val="008A0A9A"/>
    <w:rsid w:val="008A119A"/>
    <w:rsid w:val="008A1EB2"/>
    <w:rsid w:val="008A27BC"/>
    <w:rsid w:val="008A4B24"/>
    <w:rsid w:val="008A599D"/>
    <w:rsid w:val="008A5CE6"/>
    <w:rsid w:val="008A6056"/>
    <w:rsid w:val="008A6B7E"/>
    <w:rsid w:val="008A6DE8"/>
    <w:rsid w:val="008A6EE1"/>
    <w:rsid w:val="008A73EF"/>
    <w:rsid w:val="008A7817"/>
    <w:rsid w:val="008A782F"/>
    <w:rsid w:val="008A7EF0"/>
    <w:rsid w:val="008B0171"/>
    <w:rsid w:val="008B029B"/>
    <w:rsid w:val="008B1E03"/>
    <w:rsid w:val="008B3761"/>
    <w:rsid w:val="008B3876"/>
    <w:rsid w:val="008B44B1"/>
    <w:rsid w:val="008B5AAC"/>
    <w:rsid w:val="008B6F14"/>
    <w:rsid w:val="008B7FA9"/>
    <w:rsid w:val="008C0383"/>
    <w:rsid w:val="008C14F4"/>
    <w:rsid w:val="008C25C6"/>
    <w:rsid w:val="008C2D44"/>
    <w:rsid w:val="008C3A81"/>
    <w:rsid w:val="008C6DBF"/>
    <w:rsid w:val="008C72CD"/>
    <w:rsid w:val="008C744F"/>
    <w:rsid w:val="008D47D1"/>
    <w:rsid w:val="008E2329"/>
    <w:rsid w:val="008E30FF"/>
    <w:rsid w:val="008E341E"/>
    <w:rsid w:val="008E48C1"/>
    <w:rsid w:val="008F017C"/>
    <w:rsid w:val="008F1D20"/>
    <w:rsid w:val="008F3DEF"/>
    <w:rsid w:val="008F5131"/>
    <w:rsid w:val="008F5341"/>
    <w:rsid w:val="008F56E2"/>
    <w:rsid w:val="009008E5"/>
    <w:rsid w:val="00901C14"/>
    <w:rsid w:val="00903AA1"/>
    <w:rsid w:val="0090448D"/>
    <w:rsid w:val="00904D80"/>
    <w:rsid w:val="009073CF"/>
    <w:rsid w:val="009101FC"/>
    <w:rsid w:val="00910D84"/>
    <w:rsid w:val="00910F43"/>
    <w:rsid w:val="009161DD"/>
    <w:rsid w:val="00920A1A"/>
    <w:rsid w:val="00922814"/>
    <w:rsid w:val="00922A47"/>
    <w:rsid w:val="00922AD2"/>
    <w:rsid w:val="009245EB"/>
    <w:rsid w:val="00924DBE"/>
    <w:rsid w:val="00926C87"/>
    <w:rsid w:val="00926E0B"/>
    <w:rsid w:val="009345A2"/>
    <w:rsid w:val="00935CBC"/>
    <w:rsid w:val="00937F45"/>
    <w:rsid w:val="009406A0"/>
    <w:rsid w:val="0094119F"/>
    <w:rsid w:val="0094571B"/>
    <w:rsid w:val="00945810"/>
    <w:rsid w:val="00952082"/>
    <w:rsid w:val="00952182"/>
    <w:rsid w:val="009528B1"/>
    <w:rsid w:val="009545F2"/>
    <w:rsid w:val="00954DE8"/>
    <w:rsid w:val="00955E3C"/>
    <w:rsid w:val="00960298"/>
    <w:rsid w:val="00960EE2"/>
    <w:rsid w:val="00962030"/>
    <w:rsid w:val="0096221C"/>
    <w:rsid w:val="009632CA"/>
    <w:rsid w:val="009656CE"/>
    <w:rsid w:val="00965FCF"/>
    <w:rsid w:val="00967C5A"/>
    <w:rsid w:val="009710F4"/>
    <w:rsid w:val="0097165E"/>
    <w:rsid w:val="00971BA4"/>
    <w:rsid w:val="00973473"/>
    <w:rsid w:val="00973B52"/>
    <w:rsid w:val="00973D5A"/>
    <w:rsid w:val="009807F0"/>
    <w:rsid w:val="0098483C"/>
    <w:rsid w:val="009848F0"/>
    <w:rsid w:val="009859AF"/>
    <w:rsid w:val="0099264E"/>
    <w:rsid w:val="00993077"/>
    <w:rsid w:val="00994902"/>
    <w:rsid w:val="0099500E"/>
    <w:rsid w:val="00995480"/>
    <w:rsid w:val="0099558B"/>
    <w:rsid w:val="009955E0"/>
    <w:rsid w:val="00997830"/>
    <w:rsid w:val="00997D6D"/>
    <w:rsid w:val="009A03EA"/>
    <w:rsid w:val="009A10BD"/>
    <w:rsid w:val="009A1896"/>
    <w:rsid w:val="009A3D9C"/>
    <w:rsid w:val="009A3DB8"/>
    <w:rsid w:val="009A600F"/>
    <w:rsid w:val="009B169A"/>
    <w:rsid w:val="009B3326"/>
    <w:rsid w:val="009B5523"/>
    <w:rsid w:val="009B5D20"/>
    <w:rsid w:val="009B6A45"/>
    <w:rsid w:val="009C00E4"/>
    <w:rsid w:val="009C0700"/>
    <w:rsid w:val="009C3695"/>
    <w:rsid w:val="009C4AF0"/>
    <w:rsid w:val="009C627C"/>
    <w:rsid w:val="009D06E1"/>
    <w:rsid w:val="009D15B6"/>
    <w:rsid w:val="009D1C79"/>
    <w:rsid w:val="009D1CCC"/>
    <w:rsid w:val="009D30FA"/>
    <w:rsid w:val="009D36FD"/>
    <w:rsid w:val="009D4A03"/>
    <w:rsid w:val="009D4CBF"/>
    <w:rsid w:val="009D554C"/>
    <w:rsid w:val="009D5AAB"/>
    <w:rsid w:val="009D636D"/>
    <w:rsid w:val="009D765B"/>
    <w:rsid w:val="009E2895"/>
    <w:rsid w:val="009E321B"/>
    <w:rsid w:val="009E4CF9"/>
    <w:rsid w:val="009E720B"/>
    <w:rsid w:val="009E73CA"/>
    <w:rsid w:val="009F285E"/>
    <w:rsid w:val="009F3D6E"/>
    <w:rsid w:val="009F491E"/>
    <w:rsid w:val="009F5D0A"/>
    <w:rsid w:val="009F5F5B"/>
    <w:rsid w:val="009F6C1A"/>
    <w:rsid w:val="00A00AD7"/>
    <w:rsid w:val="00A010EE"/>
    <w:rsid w:val="00A01ADD"/>
    <w:rsid w:val="00A032CA"/>
    <w:rsid w:val="00A03D8C"/>
    <w:rsid w:val="00A04297"/>
    <w:rsid w:val="00A042BA"/>
    <w:rsid w:val="00A05EE4"/>
    <w:rsid w:val="00A1054F"/>
    <w:rsid w:val="00A10AC3"/>
    <w:rsid w:val="00A13357"/>
    <w:rsid w:val="00A15508"/>
    <w:rsid w:val="00A16B91"/>
    <w:rsid w:val="00A16B93"/>
    <w:rsid w:val="00A16C2A"/>
    <w:rsid w:val="00A16D09"/>
    <w:rsid w:val="00A1710C"/>
    <w:rsid w:val="00A179BE"/>
    <w:rsid w:val="00A201E4"/>
    <w:rsid w:val="00A20AC9"/>
    <w:rsid w:val="00A214D9"/>
    <w:rsid w:val="00A2180F"/>
    <w:rsid w:val="00A22237"/>
    <w:rsid w:val="00A22399"/>
    <w:rsid w:val="00A24375"/>
    <w:rsid w:val="00A25AC7"/>
    <w:rsid w:val="00A26F36"/>
    <w:rsid w:val="00A327B5"/>
    <w:rsid w:val="00A3540F"/>
    <w:rsid w:val="00A3580A"/>
    <w:rsid w:val="00A35C67"/>
    <w:rsid w:val="00A368E8"/>
    <w:rsid w:val="00A36E78"/>
    <w:rsid w:val="00A37C91"/>
    <w:rsid w:val="00A40806"/>
    <w:rsid w:val="00A408BE"/>
    <w:rsid w:val="00A4262E"/>
    <w:rsid w:val="00A42B7F"/>
    <w:rsid w:val="00A45BEF"/>
    <w:rsid w:val="00A516C3"/>
    <w:rsid w:val="00A51C1F"/>
    <w:rsid w:val="00A5473A"/>
    <w:rsid w:val="00A54874"/>
    <w:rsid w:val="00A559B1"/>
    <w:rsid w:val="00A55DF3"/>
    <w:rsid w:val="00A60070"/>
    <w:rsid w:val="00A60337"/>
    <w:rsid w:val="00A60923"/>
    <w:rsid w:val="00A61686"/>
    <w:rsid w:val="00A627E9"/>
    <w:rsid w:val="00A65A03"/>
    <w:rsid w:val="00A6713D"/>
    <w:rsid w:val="00A714A6"/>
    <w:rsid w:val="00A72A66"/>
    <w:rsid w:val="00A73F1F"/>
    <w:rsid w:val="00A75678"/>
    <w:rsid w:val="00A76A37"/>
    <w:rsid w:val="00A76B69"/>
    <w:rsid w:val="00A80D85"/>
    <w:rsid w:val="00A823E9"/>
    <w:rsid w:val="00A85B47"/>
    <w:rsid w:val="00A86FB7"/>
    <w:rsid w:val="00A87658"/>
    <w:rsid w:val="00A96380"/>
    <w:rsid w:val="00AA04DC"/>
    <w:rsid w:val="00AA5C79"/>
    <w:rsid w:val="00AA74F9"/>
    <w:rsid w:val="00AA7591"/>
    <w:rsid w:val="00AB03A5"/>
    <w:rsid w:val="00AB1B64"/>
    <w:rsid w:val="00AB1C58"/>
    <w:rsid w:val="00AB2EF6"/>
    <w:rsid w:val="00AB33BF"/>
    <w:rsid w:val="00AB3575"/>
    <w:rsid w:val="00AB36BD"/>
    <w:rsid w:val="00AB3C29"/>
    <w:rsid w:val="00AB44A3"/>
    <w:rsid w:val="00AB6068"/>
    <w:rsid w:val="00AB7243"/>
    <w:rsid w:val="00AB7260"/>
    <w:rsid w:val="00AB79DD"/>
    <w:rsid w:val="00AC153B"/>
    <w:rsid w:val="00AC30FC"/>
    <w:rsid w:val="00AC3A25"/>
    <w:rsid w:val="00AC42FE"/>
    <w:rsid w:val="00AC7FE6"/>
    <w:rsid w:val="00AD0482"/>
    <w:rsid w:val="00AD402F"/>
    <w:rsid w:val="00AD424A"/>
    <w:rsid w:val="00AD4622"/>
    <w:rsid w:val="00AD4DB6"/>
    <w:rsid w:val="00AD5B7E"/>
    <w:rsid w:val="00AD6001"/>
    <w:rsid w:val="00AD61B5"/>
    <w:rsid w:val="00AD6C52"/>
    <w:rsid w:val="00AE3D9C"/>
    <w:rsid w:val="00AE41D0"/>
    <w:rsid w:val="00AE6E73"/>
    <w:rsid w:val="00AF229F"/>
    <w:rsid w:val="00AF2F50"/>
    <w:rsid w:val="00AF473D"/>
    <w:rsid w:val="00AF4C91"/>
    <w:rsid w:val="00AF4F4D"/>
    <w:rsid w:val="00AF6E67"/>
    <w:rsid w:val="00B015DF"/>
    <w:rsid w:val="00B016A8"/>
    <w:rsid w:val="00B0257F"/>
    <w:rsid w:val="00B027E9"/>
    <w:rsid w:val="00B02F1B"/>
    <w:rsid w:val="00B03218"/>
    <w:rsid w:val="00B03550"/>
    <w:rsid w:val="00B03FC3"/>
    <w:rsid w:val="00B04325"/>
    <w:rsid w:val="00B0617B"/>
    <w:rsid w:val="00B06629"/>
    <w:rsid w:val="00B0678E"/>
    <w:rsid w:val="00B10A9D"/>
    <w:rsid w:val="00B1141C"/>
    <w:rsid w:val="00B11594"/>
    <w:rsid w:val="00B11F89"/>
    <w:rsid w:val="00B15F75"/>
    <w:rsid w:val="00B1648E"/>
    <w:rsid w:val="00B1665B"/>
    <w:rsid w:val="00B1684E"/>
    <w:rsid w:val="00B21F4D"/>
    <w:rsid w:val="00B22559"/>
    <w:rsid w:val="00B22937"/>
    <w:rsid w:val="00B25FD1"/>
    <w:rsid w:val="00B31B20"/>
    <w:rsid w:val="00B36796"/>
    <w:rsid w:val="00B37739"/>
    <w:rsid w:val="00B426E8"/>
    <w:rsid w:val="00B4696F"/>
    <w:rsid w:val="00B47C16"/>
    <w:rsid w:val="00B50C52"/>
    <w:rsid w:val="00B522DC"/>
    <w:rsid w:val="00B52AF7"/>
    <w:rsid w:val="00B547CE"/>
    <w:rsid w:val="00B55C84"/>
    <w:rsid w:val="00B567FC"/>
    <w:rsid w:val="00B570FA"/>
    <w:rsid w:val="00B57131"/>
    <w:rsid w:val="00B573AB"/>
    <w:rsid w:val="00B62DA4"/>
    <w:rsid w:val="00B6305E"/>
    <w:rsid w:val="00B63109"/>
    <w:rsid w:val="00B6332E"/>
    <w:rsid w:val="00B638ED"/>
    <w:rsid w:val="00B65D0F"/>
    <w:rsid w:val="00B666CA"/>
    <w:rsid w:val="00B7111D"/>
    <w:rsid w:val="00B71A9B"/>
    <w:rsid w:val="00B71F0B"/>
    <w:rsid w:val="00B75BEB"/>
    <w:rsid w:val="00B77B44"/>
    <w:rsid w:val="00B800EF"/>
    <w:rsid w:val="00B87305"/>
    <w:rsid w:val="00B90DAA"/>
    <w:rsid w:val="00B910A2"/>
    <w:rsid w:val="00B92BC3"/>
    <w:rsid w:val="00B935CB"/>
    <w:rsid w:val="00B93628"/>
    <w:rsid w:val="00B937E6"/>
    <w:rsid w:val="00B94494"/>
    <w:rsid w:val="00B947D2"/>
    <w:rsid w:val="00B957E3"/>
    <w:rsid w:val="00B95C57"/>
    <w:rsid w:val="00B96706"/>
    <w:rsid w:val="00B9797C"/>
    <w:rsid w:val="00BA081E"/>
    <w:rsid w:val="00BA1C41"/>
    <w:rsid w:val="00BA3274"/>
    <w:rsid w:val="00BA4DC2"/>
    <w:rsid w:val="00BA5D6C"/>
    <w:rsid w:val="00BB02F1"/>
    <w:rsid w:val="00BB15A5"/>
    <w:rsid w:val="00BB3A3A"/>
    <w:rsid w:val="00BB4C30"/>
    <w:rsid w:val="00BB7F14"/>
    <w:rsid w:val="00BC1F5C"/>
    <w:rsid w:val="00BC3587"/>
    <w:rsid w:val="00BC3914"/>
    <w:rsid w:val="00BC4149"/>
    <w:rsid w:val="00BC44C1"/>
    <w:rsid w:val="00BC470B"/>
    <w:rsid w:val="00BC5444"/>
    <w:rsid w:val="00BC6CC0"/>
    <w:rsid w:val="00BC7E0F"/>
    <w:rsid w:val="00BD0083"/>
    <w:rsid w:val="00BD0DFC"/>
    <w:rsid w:val="00BD1E5D"/>
    <w:rsid w:val="00BD2D61"/>
    <w:rsid w:val="00BD2D91"/>
    <w:rsid w:val="00BD31FD"/>
    <w:rsid w:val="00BD3A0C"/>
    <w:rsid w:val="00BD3AA2"/>
    <w:rsid w:val="00BD3CBE"/>
    <w:rsid w:val="00BD5A20"/>
    <w:rsid w:val="00BD5DE2"/>
    <w:rsid w:val="00BD6802"/>
    <w:rsid w:val="00BD703F"/>
    <w:rsid w:val="00BE0475"/>
    <w:rsid w:val="00BE1C93"/>
    <w:rsid w:val="00BE2F59"/>
    <w:rsid w:val="00BE41AC"/>
    <w:rsid w:val="00BE41F4"/>
    <w:rsid w:val="00BE4BDE"/>
    <w:rsid w:val="00BE57F5"/>
    <w:rsid w:val="00BE6FC6"/>
    <w:rsid w:val="00BF14C8"/>
    <w:rsid w:val="00BF18C0"/>
    <w:rsid w:val="00BF1F32"/>
    <w:rsid w:val="00BF6EB6"/>
    <w:rsid w:val="00BF7853"/>
    <w:rsid w:val="00BF789D"/>
    <w:rsid w:val="00BF7FC0"/>
    <w:rsid w:val="00C01521"/>
    <w:rsid w:val="00C02721"/>
    <w:rsid w:val="00C0544B"/>
    <w:rsid w:val="00C05ED3"/>
    <w:rsid w:val="00C115B5"/>
    <w:rsid w:val="00C11D80"/>
    <w:rsid w:val="00C12C51"/>
    <w:rsid w:val="00C13E95"/>
    <w:rsid w:val="00C15D28"/>
    <w:rsid w:val="00C15D87"/>
    <w:rsid w:val="00C1664F"/>
    <w:rsid w:val="00C20797"/>
    <w:rsid w:val="00C247B2"/>
    <w:rsid w:val="00C24BA3"/>
    <w:rsid w:val="00C256C5"/>
    <w:rsid w:val="00C25E02"/>
    <w:rsid w:val="00C276C1"/>
    <w:rsid w:val="00C30B4C"/>
    <w:rsid w:val="00C32B25"/>
    <w:rsid w:val="00C33F7F"/>
    <w:rsid w:val="00C3443F"/>
    <w:rsid w:val="00C3577F"/>
    <w:rsid w:val="00C411A0"/>
    <w:rsid w:val="00C43F21"/>
    <w:rsid w:val="00C44D73"/>
    <w:rsid w:val="00C4511F"/>
    <w:rsid w:val="00C466BE"/>
    <w:rsid w:val="00C46E07"/>
    <w:rsid w:val="00C527E7"/>
    <w:rsid w:val="00C52BE2"/>
    <w:rsid w:val="00C53D67"/>
    <w:rsid w:val="00C549CA"/>
    <w:rsid w:val="00C54D7E"/>
    <w:rsid w:val="00C56887"/>
    <w:rsid w:val="00C57450"/>
    <w:rsid w:val="00C604EC"/>
    <w:rsid w:val="00C6183B"/>
    <w:rsid w:val="00C61D54"/>
    <w:rsid w:val="00C630A1"/>
    <w:rsid w:val="00C6434F"/>
    <w:rsid w:val="00C6435D"/>
    <w:rsid w:val="00C64ACA"/>
    <w:rsid w:val="00C65730"/>
    <w:rsid w:val="00C65893"/>
    <w:rsid w:val="00C65DF5"/>
    <w:rsid w:val="00C66D27"/>
    <w:rsid w:val="00C70F9B"/>
    <w:rsid w:val="00C740D1"/>
    <w:rsid w:val="00C747E2"/>
    <w:rsid w:val="00C75606"/>
    <w:rsid w:val="00C769F8"/>
    <w:rsid w:val="00C76E67"/>
    <w:rsid w:val="00C800ED"/>
    <w:rsid w:val="00C857FB"/>
    <w:rsid w:val="00C86082"/>
    <w:rsid w:val="00C87174"/>
    <w:rsid w:val="00C8755C"/>
    <w:rsid w:val="00C9008E"/>
    <w:rsid w:val="00C90E29"/>
    <w:rsid w:val="00C92DA1"/>
    <w:rsid w:val="00C933EC"/>
    <w:rsid w:val="00C941B0"/>
    <w:rsid w:val="00CA056A"/>
    <w:rsid w:val="00CA2C59"/>
    <w:rsid w:val="00CA319D"/>
    <w:rsid w:val="00CA33ED"/>
    <w:rsid w:val="00CA37AF"/>
    <w:rsid w:val="00CA4464"/>
    <w:rsid w:val="00CA679B"/>
    <w:rsid w:val="00CA67DB"/>
    <w:rsid w:val="00CB01B8"/>
    <w:rsid w:val="00CB1BAE"/>
    <w:rsid w:val="00CB2F32"/>
    <w:rsid w:val="00CB4E25"/>
    <w:rsid w:val="00CB5933"/>
    <w:rsid w:val="00CB691C"/>
    <w:rsid w:val="00CB75A5"/>
    <w:rsid w:val="00CC3AD7"/>
    <w:rsid w:val="00CC4F21"/>
    <w:rsid w:val="00CC6143"/>
    <w:rsid w:val="00CC69DA"/>
    <w:rsid w:val="00CC6C5D"/>
    <w:rsid w:val="00CD0829"/>
    <w:rsid w:val="00CD0A13"/>
    <w:rsid w:val="00CD6CEF"/>
    <w:rsid w:val="00CE1691"/>
    <w:rsid w:val="00CE3C0F"/>
    <w:rsid w:val="00CE476F"/>
    <w:rsid w:val="00CE666B"/>
    <w:rsid w:val="00CE69DA"/>
    <w:rsid w:val="00CE7053"/>
    <w:rsid w:val="00CF0F39"/>
    <w:rsid w:val="00CF181C"/>
    <w:rsid w:val="00CF240B"/>
    <w:rsid w:val="00CF2BDB"/>
    <w:rsid w:val="00CF3DDC"/>
    <w:rsid w:val="00CF3E93"/>
    <w:rsid w:val="00D00A9A"/>
    <w:rsid w:val="00D04323"/>
    <w:rsid w:val="00D05496"/>
    <w:rsid w:val="00D10051"/>
    <w:rsid w:val="00D10291"/>
    <w:rsid w:val="00D10761"/>
    <w:rsid w:val="00D1444F"/>
    <w:rsid w:val="00D174E5"/>
    <w:rsid w:val="00D17E3E"/>
    <w:rsid w:val="00D201F3"/>
    <w:rsid w:val="00D209F0"/>
    <w:rsid w:val="00D2431D"/>
    <w:rsid w:val="00D2704D"/>
    <w:rsid w:val="00D30DDB"/>
    <w:rsid w:val="00D34E9D"/>
    <w:rsid w:val="00D35321"/>
    <w:rsid w:val="00D40BA1"/>
    <w:rsid w:val="00D40E91"/>
    <w:rsid w:val="00D417EF"/>
    <w:rsid w:val="00D449B5"/>
    <w:rsid w:val="00D449E7"/>
    <w:rsid w:val="00D4631F"/>
    <w:rsid w:val="00D4661D"/>
    <w:rsid w:val="00D46B57"/>
    <w:rsid w:val="00D50F82"/>
    <w:rsid w:val="00D52275"/>
    <w:rsid w:val="00D52CF8"/>
    <w:rsid w:val="00D536A6"/>
    <w:rsid w:val="00D536C8"/>
    <w:rsid w:val="00D54585"/>
    <w:rsid w:val="00D54C1A"/>
    <w:rsid w:val="00D573FC"/>
    <w:rsid w:val="00D6196A"/>
    <w:rsid w:val="00D6437B"/>
    <w:rsid w:val="00D64F8A"/>
    <w:rsid w:val="00D658DE"/>
    <w:rsid w:val="00D66C69"/>
    <w:rsid w:val="00D70193"/>
    <w:rsid w:val="00D72B0A"/>
    <w:rsid w:val="00D733A8"/>
    <w:rsid w:val="00D77B13"/>
    <w:rsid w:val="00D77E47"/>
    <w:rsid w:val="00D800BE"/>
    <w:rsid w:val="00D80441"/>
    <w:rsid w:val="00D80710"/>
    <w:rsid w:val="00D80C84"/>
    <w:rsid w:val="00D811C1"/>
    <w:rsid w:val="00D81316"/>
    <w:rsid w:val="00D814B2"/>
    <w:rsid w:val="00D81CDA"/>
    <w:rsid w:val="00D82D73"/>
    <w:rsid w:val="00D85074"/>
    <w:rsid w:val="00D85834"/>
    <w:rsid w:val="00D85EB5"/>
    <w:rsid w:val="00D8682E"/>
    <w:rsid w:val="00D868D7"/>
    <w:rsid w:val="00D86ADA"/>
    <w:rsid w:val="00D90804"/>
    <w:rsid w:val="00D9085E"/>
    <w:rsid w:val="00D915A0"/>
    <w:rsid w:val="00D9165C"/>
    <w:rsid w:val="00D93C42"/>
    <w:rsid w:val="00D95427"/>
    <w:rsid w:val="00D9651B"/>
    <w:rsid w:val="00DA06B7"/>
    <w:rsid w:val="00DA071B"/>
    <w:rsid w:val="00DA0BF7"/>
    <w:rsid w:val="00DA186A"/>
    <w:rsid w:val="00DA4A29"/>
    <w:rsid w:val="00DA52D9"/>
    <w:rsid w:val="00DA5F1F"/>
    <w:rsid w:val="00DB0F62"/>
    <w:rsid w:val="00DB1DAB"/>
    <w:rsid w:val="00DB4075"/>
    <w:rsid w:val="00DB6671"/>
    <w:rsid w:val="00DB71C7"/>
    <w:rsid w:val="00DC0999"/>
    <w:rsid w:val="00DC1564"/>
    <w:rsid w:val="00DC156C"/>
    <w:rsid w:val="00DC3184"/>
    <w:rsid w:val="00DC3886"/>
    <w:rsid w:val="00DC4820"/>
    <w:rsid w:val="00DC516C"/>
    <w:rsid w:val="00DC7EF5"/>
    <w:rsid w:val="00DD010D"/>
    <w:rsid w:val="00DD295D"/>
    <w:rsid w:val="00DD5E85"/>
    <w:rsid w:val="00DD71F8"/>
    <w:rsid w:val="00DD7836"/>
    <w:rsid w:val="00DE1358"/>
    <w:rsid w:val="00DE1ACD"/>
    <w:rsid w:val="00DE4E1F"/>
    <w:rsid w:val="00DE71C3"/>
    <w:rsid w:val="00DE78C1"/>
    <w:rsid w:val="00DF0DA2"/>
    <w:rsid w:val="00DF13F2"/>
    <w:rsid w:val="00DF72D4"/>
    <w:rsid w:val="00DF7763"/>
    <w:rsid w:val="00E0136B"/>
    <w:rsid w:val="00E0175D"/>
    <w:rsid w:val="00E02492"/>
    <w:rsid w:val="00E026C1"/>
    <w:rsid w:val="00E03BB7"/>
    <w:rsid w:val="00E03BE1"/>
    <w:rsid w:val="00E05010"/>
    <w:rsid w:val="00E07788"/>
    <w:rsid w:val="00E11A72"/>
    <w:rsid w:val="00E122AC"/>
    <w:rsid w:val="00E12475"/>
    <w:rsid w:val="00E129B8"/>
    <w:rsid w:val="00E13909"/>
    <w:rsid w:val="00E1437D"/>
    <w:rsid w:val="00E14DAE"/>
    <w:rsid w:val="00E150C9"/>
    <w:rsid w:val="00E150D1"/>
    <w:rsid w:val="00E156BD"/>
    <w:rsid w:val="00E168EE"/>
    <w:rsid w:val="00E17CE3"/>
    <w:rsid w:val="00E17F6D"/>
    <w:rsid w:val="00E17F9A"/>
    <w:rsid w:val="00E21A19"/>
    <w:rsid w:val="00E21CDC"/>
    <w:rsid w:val="00E21D29"/>
    <w:rsid w:val="00E24C42"/>
    <w:rsid w:val="00E252CA"/>
    <w:rsid w:val="00E25823"/>
    <w:rsid w:val="00E26475"/>
    <w:rsid w:val="00E26865"/>
    <w:rsid w:val="00E26A11"/>
    <w:rsid w:val="00E26C61"/>
    <w:rsid w:val="00E26FC7"/>
    <w:rsid w:val="00E278AE"/>
    <w:rsid w:val="00E302B6"/>
    <w:rsid w:val="00E309FA"/>
    <w:rsid w:val="00E318A4"/>
    <w:rsid w:val="00E35C58"/>
    <w:rsid w:val="00E36992"/>
    <w:rsid w:val="00E418C0"/>
    <w:rsid w:val="00E41A6E"/>
    <w:rsid w:val="00E41B2B"/>
    <w:rsid w:val="00E43919"/>
    <w:rsid w:val="00E43FF8"/>
    <w:rsid w:val="00E46CC0"/>
    <w:rsid w:val="00E50055"/>
    <w:rsid w:val="00E50859"/>
    <w:rsid w:val="00E5108B"/>
    <w:rsid w:val="00E51BF5"/>
    <w:rsid w:val="00E52D7C"/>
    <w:rsid w:val="00E53BD5"/>
    <w:rsid w:val="00E55428"/>
    <w:rsid w:val="00E558B7"/>
    <w:rsid w:val="00E60614"/>
    <w:rsid w:val="00E63671"/>
    <w:rsid w:val="00E655A0"/>
    <w:rsid w:val="00E72B57"/>
    <w:rsid w:val="00E732FC"/>
    <w:rsid w:val="00E759F0"/>
    <w:rsid w:val="00E75EE2"/>
    <w:rsid w:val="00E7651F"/>
    <w:rsid w:val="00E7680C"/>
    <w:rsid w:val="00E773A5"/>
    <w:rsid w:val="00E778A3"/>
    <w:rsid w:val="00E815C7"/>
    <w:rsid w:val="00E81915"/>
    <w:rsid w:val="00E81E8F"/>
    <w:rsid w:val="00E84FB1"/>
    <w:rsid w:val="00E852F6"/>
    <w:rsid w:val="00E90DF7"/>
    <w:rsid w:val="00E91661"/>
    <w:rsid w:val="00E91FCE"/>
    <w:rsid w:val="00E94C71"/>
    <w:rsid w:val="00EA07A7"/>
    <w:rsid w:val="00EA2146"/>
    <w:rsid w:val="00EA3039"/>
    <w:rsid w:val="00EA36F6"/>
    <w:rsid w:val="00EA3882"/>
    <w:rsid w:val="00EA47AA"/>
    <w:rsid w:val="00EA5290"/>
    <w:rsid w:val="00EA696E"/>
    <w:rsid w:val="00EA6EBF"/>
    <w:rsid w:val="00EB1597"/>
    <w:rsid w:val="00EB1AA8"/>
    <w:rsid w:val="00EB3E33"/>
    <w:rsid w:val="00EB505C"/>
    <w:rsid w:val="00EB524E"/>
    <w:rsid w:val="00EB5E9C"/>
    <w:rsid w:val="00EC0B00"/>
    <w:rsid w:val="00EC0F5E"/>
    <w:rsid w:val="00EC15A4"/>
    <w:rsid w:val="00EC18FB"/>
    <w:rsid w:val="00EC1EDF"/>
    <w:rsid w:val="00EC26E2"/>
    <w:rsid w:val="00EC32E6"/>
    <w:rsid w:val="00EC3770"/>
    <w:rsid w:val="00EC465D"/>
    <w:rsid w:val="00EC4EF1"/>
    <w:rsid w:val="00EC5FCF"/>
    <w:rsid w:val="00EC62D0"/>
    <w:rsid w:val="00EC6484"/>
    <w:rsid w:val="00EC6CE0"/>
    <w:rsid w:val="00EC7FE2"/>
    <w:rsid w:val="00ED0CA4"/>
    <w:rsid w:val="00ED3244"/>
    <w:rsid w:val="00ED4419"/>
    <w:rsid w:val="00ED607B"/>
    <w:rsid w:val="00ED618C"/>
    <w:rsid w:val="00ED69C4"/>
    <w:rsid w:val="00EE021B"/>
    <w:rsid w:val="00EE0425"/>
    <w:rsid w:val="00EE33A2"/>
    <w:rsid w:val="00EE4378"/>
    <w:rsid w:val="00EE4590"/>
    <w:rsid w:val="00EF1BF1"/>
    <w:rsid w:val="00EF255E"/>
    <w:rsid w:val="00EF4C55"/>
    <w:rsid w:val="00EF5603"/>
    <w:rsid w:val="00EF7432"/>
    <w:rsid w:val="00EF7C4D"/>
    <w:rsid w:val="00EF7F04"/>
    <w:rsid w:val="00F004EA"/>
    <w:rsid w:val="00F01DBB"/>
    <w:rsid w:val="00F01E7D"/>
    <w:rsid w:val="00F03114"/>
    <w:rsid w:val="00F06AE7"/>
    <w:rsid w:val="00F070DE"/>
    <w:rsid w:val="00F07354"/>
    <w:rsid w:val="00F0756D"/>
    <w:rsid w:val="00F07A14"/>
    <w:rsid w:val="00F10584"/>
    <w:rsid w:val="00F119C6"/>
    <w:rsid w:val="00F12732"/>
    <w:rsid w:val="00F12FC5"/>
    <w:rsid w:val="00F13384"/>
    <w:rsid w:val="00F13E59"/>
    <w:rsid w:val="00F16EFD"/>
    <w:rsid w:val="00F20CB5"/>
    <w:rsid w:val="00F23762"/>
    <w:rsid w:val="00F25CBA"/>
    <w:rsid w:val="00F31DF4"/>
    <w:rsid w:val="00F321F5"/>
    <w:rsid w:val="00F3249D"/>
    <w:rsid w:val="00F3340C"/>
    <w:rsid w:val="00F347A2"/>
    <w:rsid w:val="00F34BC3"/>
    <w:rsid w:val="00F34BE2"/>
    <w:rsid w:val="00F36E44"/>
    <w:rsid w:val="00F40DA8"/>
    <w:rsid w:val="00F41BDE"/>
    <w:rsid w:val="00F42386"/>
    <w:rsid w:val="00F42CD2"/>
    <w:rsid w:val="00F43193"/>
    <w:rsid w:val="00F43CFE"/>
    <w:rsid w:val="00F447A2"/>
    <w:rsid w:val="00F44AE8"/>
    <w:rsid w:val="00F45353"/>
    <w:rsid w:val="00F51BC7"/>
    <w:rsid w:val="00F5410C"/>
    <w:rsid w:val="00F546CC"/>
    <w:rsid w:val="00F54E60"/>
    <w:rsid w:val="00F5734C"/>
    <w:rsid w:val="00F57D00"/>
    <w:rsid w:val="00F57E0C"/>
    <w:rsid w:val="00F57FAC"/>
    <w:rsid w:val="00F60469"/>
    <w:rsid w:val="00F60ED5"/>
    <w:rsid w:val="00F6215D"/>
    <w:rsid w:val="00F630FB"/>
    <w:rsid w:val="00F66600"/>
    <w:rsid w:val="00F67476"/>
    <w:rsid w:val="00F67619"/>
    <w:rsid w:val="00F7121E"/>
    <w:rsid w:val="00F73B68"/>
    <w:rsid w:val="00F74A03"/>
    <w:rsid w:val="00F75EB2"/>
    <w:rsid w:val="00F7663F"/>
    <w:rsid w:val="00F774F5"/>
    <w:rsid w:val="00F77CAD"/>
    <w:rsid w:val="00F80076"/>
    <w:rsid w:val="00F8132B"/>
    <w:rsid w:val="00F8214B"/>
    <w:rsid w:val="00F8358C"/>
    <w:rsid w:val="00F83C92"/>
    <w:rsid w:val="00F84A4D"/>
    <w:rsid w:val="00F84BA1"/>
    <w:rsid w:val="00F85DEE"/>
    <w:rsid w:val="00F87027"/>
    <w:rsid w:val="00F87EA4"/>
    <w:rsid w:val="00F87EA9"/>
    <w:rsid w:val="00F913F5"/>
    <w:rsid w:val="00F92B35"/>
    <w:rsid w:val="00F942C3"/>
    <w:rsid w:val="00F94935"/>
    <w:rsid w:val="00F9499C"/>
    <w:rsid w:val="00F9509C"/>
    <w:rsid w:val="00FA0EDE"/>
    <w:rsid w:val="00FA1ABE"/>
    <w:rsid w:val="00FA299C"/>
    <w:rsid w:val="00FA362F"/>
    <w:rsid w:val="00FA3666"/>
    <w:rsid w:val="00FA5796"/>
    <w:rsid w:val="00FA58AD"/>
    <w:rsid w:val="00FA68C1"/>
    <w:rsid w:val="00FA6B8B"/>
    <w:rsid w:val="00FA7854"/>
    <w:rsid w:val="00FB018D"/>
    <w:rsid w:val="00FB2356"/>
    <w:rsid w:val="00FB2F8A"/>
    <w:rsid w:val="00FB3808"/>
    <w:rsid w:val="00FB38C2"/>
    <w:rsid w:val="00FB4E55"/>
    <w:rsid w:val="00FB513D"/>
    <w:rsid w:val="00FB74B1"/>
    <w:rsid w:val="00FB79C9"/>
    <w:rsid w:val="00FC00B3"/>
    <w:rsid w:val="00FC062B"/>
    <w:rsid w:val="00FC0CE4"/>
    <w:rsid w:val="00FC1A15"/>
    <w:rsid w:val="00FC42C2"/>
    <w:rsid w:val="00FC5124"/>
    <w:rsid w:val="00FD0630"/>
    <w:rsid w:val="00FD06AE"/>
    <w:rsid w:val="00FD171A"/>
    <w:rsid w:val="00FD225B"/>
    <w:rsid w:val="00FD507D"/>
    <w:rsid w:val="00FD6A36"/>
    <w:rsid w:val="00FE04E2"/>
    <w:rsid w:val="00FE60C1"/>
    <w:rsid w:val="00FE7D60"/>
    <w:rsid w:val="00FF028D"/>
    <w:rsid w:val="00FF0EA0"/>
    <w:rsid w:val="00FF1BBE"/>
    <w:rsid w:val="00FF24AD"/>
    <w:rsid w:val="00FF3EEA"/>
    <w:rsid w:val="00FF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35" w:qFormat="1"/>
    <w:lsdException w:name="List Number 2" w:locked="1"/>
    <w:lsdException w:name="List Number 5" w:locked="1" w:uiPriority="0"/>
    <w:lsdException w:name="Title" w:locked="1" w:semiHidden="0" w:uiPriority="0" w:unhideWhenUsed="0" w:qFormat="1"/>
    <w:lsdException w:name="Default Paragraph Font" w:locked="1" w:uiPriority="1"/>
    <w:lsdException w:name="Body Text" w:uiPriority="1" w:qFormat="1"/>
    <w:lsdException w:name="Subtitle" w:locked="1" w:semiHidden="0" w:uiPriority="0" w:unhideWhenUsed="0" w:qFormat="1"/>
    <w:lsdException w:name="Body Text Indent 3" w:locked="1" w:uiPriority="0"/>
    <w:lsdException w:name="Block Text" w:locked="1" w:uiPriority="0"/>
    <w:lsdException w:name="Hyperlink" w:locked="1"/>
    <w:lsdException w:name="FollowedHyperlink" w:locked="1"/>
    <w:lsdException w:name="Strong" w:locked="1" w:semiHidden="0" w:uiPriority="22" w:unhideWhenUsed="0" w:qFormat="1"/>
    <w:lsdException w:name="Emphasis" w:locked="1" w:semiHidden="0" w:unhideWhenUsed="0" w:qFormat="1"/>
    <w:lsdException w:name="Normal (Web)" w:locked="1"/>
    <w:lsdException w:name="Normal Table" w:semiHidden="0" w:unhideWhenUsed="0"/>
    <w:lsdException w:name="Table Subtle 2" w:semiHidden="0" w:unhideWhenUsed="0"/>
    <w:lsdException w:name="Table Web 3"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sz w:val="24"/>
      <w:szCs w:val="24"/>
    </w:rPr>
  </w:style>
  <w:style w:type="paragraph" w:styleId="Heading1">
    <w:name w:val="heading 1"/>
    <w:basedOn w:val="Normal"/>
    <w:next w:val="Normal"/>
    <w:link w:val="Heading1Char"/>
    <w:uiPriority w:val="99"/>
    <w:qFormat/>
    <w:rsid w:val="00092002"/>
    <w:pPr>
      <w:keepNext/>
      <w:spacing w:line="360" w:lineRule="auto"/>
      <w:ind w:left="360"/>
      <w:jc w:val="center"/>
      <w:outlineLvl w:val="0"/>
    </w:pPr>
    <w:rPr>
      <w:b/>
    </w:rPr>
  </w:style>
  <w:style w:type="paragraph" w:styleId="Heading2">
    <w:name w:val="heading 2"/>
    <w:basedOn w:val="Normal"/>
    <w:next w:val="Normal"/>
    <w:link w:val="Heading2Char"/>
    <w:uiPriority w:val="99"/>
    <w:qFormat/>
    <w:rsid w:val="00424275"/>
    <w:pPr>
      <w:keepNext/>
      <w:outlineLvl w:val="1"/>
    </w:pPr>
    <w:rPr>
      <w:b/>
      <w:u w:val="single"/>
    </w:rPr>
  </w:style>
  <w:style w:type="paragraph" w:styleId="Heading3">
    <w:name w:val="heading 3"/>
    <w:basedOn w:val="Normal"/>
    <w:next w:val="Normal"/>
    <w:link w:val="Heading3Char"/>
    <w:uiPriority w:val="99"/>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2002"/>
    <w:rPr>
      <w:rFonts w:cs="Times New Roman"/>
      <w:b/>
      <w:sz w:val="24"/>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sid w:val="00EB505C"/>
    <w:rPr>
      <w:rFonts w:cs="Times New Roman"/>
      <w:b/>
      <w:sz w:val="24"/>
    </w:rPr>
  </w:style>
  <w:style w:type="paragraph" w:styleId="BodyTextIndent2">
    <w:name w:val="Body Text Indent 2"/>
    <w:basedOn w:val="Normal"/>
    <w:link w:val="BodyTextIndent2Char"/>
    <w:uiPriority w:val="99"/>
    <w:rsid w:val="00C800ED"/>
    <w:pPr>
      <w:ind w:left="720" w:hanging="720"/>
    </w:pPr>
    <w:rPr>
      <w:b/>
      <w:bCs/>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
    <w:name w:val="Body Text"/>
    <w:basedOn w:val="Normal"/>
    <w:link w:val="BodyTextChar"/>
    <w:uiPriority w:val="1"/>
    <w:qFormat/>
    <w:rsid w:val="00EB505C"/>
    <w:pPr>
      <w:spacing w:before="120" w:after="120"/>
    </w:pPr>
  </w:style>
  <w:style w:type="character" w:customStyle="1" w:styleId="BodyTextChar">
    <w:name w:val="Body Text Char"/>
    <w:link w:val="BodyText"/>
    <w:uiPriority w:val="1"/>
    <w:locked/>
    <w:rsid w:val="00EB505C"/>
    <w:rPr>
      <w:rFonts w:cs="Times New Roman"/>
      <w:sz w:val="24"/>
    </w:rPr>
  </w:style>
  <w:style w:type="character" w:styleId="Hyperlink">
    <w:name w:val="Hyperlink"/>
    <w:uiPriority w:val="99"/>
    <w:rsid w:val="00C800ED"/>
    <w:rPr>
      <w:rFonts w:cs="Times New Roman"/>
      <w:color w:val="0000FF"/>
      <w:u w:val="single"/>
    </w:rPr>
  </w:style>
  <w:style w:type="paragraph" w:styleId="HTMLPreformatted">
    <w:name w:val="HTML Preformatted"/>
    <w:basedOn w:val="Normal"/>
    <w:link w:val="HTMLPreformattedChar"/>
    <w:uiPriority w:val="99"/>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character" w:styleId="FootnoteReference">
    <w:name w:val="footnote reference"/>
    <w:uiPriority w:val="99"/>
    <w:semiHidden/>
    <w:rsid w:val="00C800ED"/>
    <w:rPr>
      <w:rFonts w:cs="Times New Roman"/>
      <w:vertAlign w:val="superscript"/>
    </w:rPr>
  </w:style>
  <w:style w:type="paragraph" w:styleId="FootnoteText">
    <w:name w:val="footnote text"/>
    <w:basedOn w:val="Normal"/>
    <w:link w:val="FootnoteTextChar"/>
    <w:uiPriority w:val="99"/>
    <w:semiHidden/>
    <w:rsid w:val="00C800ED"/>
    <w:pPr>
      <w:widowControl w:val="0"/>
      <w:autoSpaceDE w:val="0"/>
      <w:autoSpaceDN w:val="0"/>
      <w:adjustRightInd w:val="0"/>
    </w:pPr>
    <w:rPr>
      <w:sz w:val="20"/>
      <w:szCs w:val="20"/>
    </w:rPr>
  </w:style>
  <w:style w:type="character" w:customStyle="1" w:styleId="FootnoteTextChar">
    <w:name w:val="Footnote Text Char"/>
    <w:link w:val="FootnoteText"/>
    <w:uiPriority w:val="99"/>
    <w:semiHidden/>
    <w:locked/>
    <w:rPr>
      <w:rFonts w:cs="Times New Roman"/>
      <w:sz w:val="20"/>
      <w:szCs w:val="20"/>
    </w:rPr>
  </w:style>
  <w:style w:type="paragraph" w:styleId="Footer">
    <w:name w:val="footer"/>
    <w:basedOn w:val="Normal"/>
    <w:link w:val="FooterChar"/>
    <w:uiPriority w:val="99"/>
    <w:rsid w:val="00C800ED"/>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C800ED"/>
    <w:rPr>
      <w:rFonts w:cs="Times New Roman"/>
    </w:rPr>
  </w:style>
  <w:style w:type="paragraph" w:styleId="CommentText">
    <w:name w:val="annotation text"/>
    <w:basedOn w:val="Normal"/>
    <w:link w:val="CommentTextChar"/>
    <w:uiPriority w:val="99"/>
    <w:semiHidden/>
    <w:rsid w:val="00C800ED"/>
    <w:rPr>
      <w:sz w:val="20"/>
      <w:szCs w:val="20"/>
    </w:rPr>
  </w:style>
  <w:style w:type="character" w:customStyle="1" w:styleId="CommentTextChar">
    <w:name w:val="Comment Text Char"/>
    <w:link w:val="CommentText"/>
    <w:uiPriority w:val="99"/>
    <w:semiHidden/>
    <w:locked/>
    <w:rsid w:val="006C42EA"/>
    <w:rPr>
      <w:rFonts w:cs="Times New Roman"/>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uiPriority w:val="22"/>
    <w:qFormat/>
    <w:rsid w:val="00C800ED"/>
    <w:rPr>
      <w:rFonts w:cs="Times New Roman"/>
      <w:b/>
    </w:rPr>
  </w:style>
  <w:style w:type="table" w:styleId="TableGrid">
    <w:name w:val="Table Grid"/>
    <w:basedOn w:val="TableNormal"/>
    <w:uiPriority w:val="39"/>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00ED"/>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BodyText27">
    <w:name w:val="Body Text 27"/>
    <w:basedOn w:val="Normal"/>
    <w:uiPriority w:val="99"/>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hAnsi="Arial" w:cs="Arial"/>
      <w:sz w:val="22"/>
      <w:szCs w:val="22"/>
    </w:rPr>
  </w:style>
  <w:style w:type="paragraph" w:styleId="BalloonText">
    <w:name w:val="Balloon Text"/>
    <w:basedOn w:val="Normal"/>
    <w:link w:val="BalloonTextChar"/>
    <w:uiPriority w:val="99"/>
    <w:rsid w:val="00AF4C91"/>
    <w:rPr>
      <w:rFonts w:ascii="Tahoma" w:hAnsi="Tahoma"/>
      <w:sz w:val="16"/>
      <w:szCs w:val="16"/>
    </w:rPr>
  </w:style>
  <w:style w:type="character" w:customStyle="1" w:styleId="BalloonTextChar">
    <w:name w:val="Balloon Text Char"/>
    <w:link w:val="BalloonText"/>
    <w:uiPriority w:val="99"/>
    <w:locked/>
    <w:rsid w:val="00AF4C91"/>
    <w:rPr>
      <w:rFonts w:ascii="Tahoma" w:hAnsi="Tahoma" w:cs="Times New Roman"/>
      <w:sz w:val="16"/>
    </w:rPr>
  </w:style>
  <w:style w:type="paragraph" w:customStyle="1" w:styleId="Default">
    <w:name w:val="Default"/>
    <w:uiPriority w:val="99"/>
    <w:rsid w:val="008A6DE8"/>
    <w:pPr>
      <w:autoSpaceDE w:val="0"/>
      <w:autoSpaceDN w:val="0"/>
      <w:adjustRightInd w:val="0"/>
    </w:pPr>
    <w:rPr>
      <w:rFonts w:ascii="Cambria" w:hAnsi="Cambria" w:cs="Cambria"/>
      <w:color w:val="000000"/>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link w:val="CaptionChar"/>
    <w:uiPriority w:val="35"/>
    <w:qFormat/>
    <w:rsid w:val="00333B6D"/>
    <w:pPr>
      <w:keepNext/>
      <w:widowControl w:val="0"/>
      <w:spacing w:before="60" w:after="40"/>
      <w:jc w:val="center"/>
    </w:pPr>
    <w:rPr>
      <w:rFonts w:ascii="Arial" w:hAnsi="Arial"/>
      <w:b/>
      <w:sz w:val="18"/>
    </w:rPr>
  </w:style>
  <w:style w:type="character" w:styleId="CommentReference">
    <w:name w:val="annotation reference"/>
    <w:uiPriority w:val="99"/>
    <w:rsid w:val="006C42EA"/>
    <w:rPr>
      <w:rFonts w:cs="Times New Roman"/>
      <w:sz w:val="16"/>
    </w:rPr>
  </w:style>
  <w:style w:type="paragraph" w:styleId="CommentSubject">
    <w:name w:val="annotation subject"/>
    <w:basedOn w:val="CommentText"/>
    <w:next w:val="CommentText"/>
    <w:link w:val="CommentSubjectChar"/>
    <w:uiPriority w:val="99"/>
    <w:rsid w:val="006C42EA"/>
    <w:rPr>
      <w:b/>
      <w:bCs/>
    </w:rPr>
  </w:style>
  <w:style w:type="character" w:customStyle="1" w:styleId="CommentSubjectChar">
    <w:name w:val="Comment Subject Char"/>
    <w:basedOn w:val="CommentTextChar"/>
    <w:link w:val="CommentSubject"/>
    <w:uiPriority w:val="99"/>
    <w:locked/>
    <w:rsid w:val="006C42EA"/>
    <w:rPr>
      <w:rFonts w:cs="Times New Roman"/>
    </w:rPr>
  </w:style>
  <w:style w:type="paragraph" w:styleId="ListNumber">
    <w:name w:val="List Number"/>
    <w:basedOn w:val="Normal"/>
    <w:uiPriority w:val="99"/>
    <w:rsid w:val="00692691"/>
    <w:pPr>
      <w:numPr>
        <w:numId w:val="1"/>
      </w:numPr>
      <w:tabs>
        <w:tab w:val="clear" w:pos="360"/>
        <w:tab w:val="num" w:pos="1440"/>
        <w:tab w:val="num" w:pos="1560"/>
      </w:tabs>
      <w:spacing w:after="120"/>
      <w:ind w:left="504"/>
    </w:pPr>
    <w:rPr>
      <w:rFonts w:ascii="Arial" w:hAnsi="Arial"/>
      <w:sz w:val="20"/>
    </w:rPr>
  </w:style>
  <w:style w:type="paragraph" w:styleId="ListBullet">
    <w:name w:val="List Bullet"/>
    <w:basedOn w:val="Normal"/>
    <w:autoRedefine/>
    <w:uiPriority w:val="99"/>
    <w:rsid w:val="003E0A75"/>
    <w:pPr>
      <w:numPr>
        <w:numId w:val="2"/>
      </w:numPr>
      <w:spacing w:before="120" w:after="120"/>
      <w:ind w:left="792" w:hanging="432"/>
    </w:pPr>
  </w:style>
  <w:style w:type="paragraph" w:styleId="ListNumber2">
    <w:name w:val="List Number 2"/>
    <w:basedOn w:val="Normal"/>
    <w:uiPriority w:val="99"/>
    <w:rsid w:val="00424275"/>
    <w:pPr>
      <w:numPr>
        <w:numId w:val="3"/>
      </w:numPr>
      <w:tabs>
        <w:tab w:val="clear" w:pos="720"/>
      </w:tabs>
      <w:spacing w:after="60"/>
      <w:ind w:left="360" w:firstLine="0"/>
    </w:pPr>
    <w:rPr>
      <w:b/>
      <w:i/>
    </w:rPr>
  </w:style>
  <w:style w:type="paragraph" w:customStyle="1" w:styleId="StyleHeading1Centered">
    <w:name w:val="Style Heading 1 + Centered"/>
    <w:basedOn w:val="Heading1"/>
    <w:uiPriority w:val="99"/>
    <w:rsid w:val="00250889"/>
    <w:pPr>
      <w:spacing w:after="120"/>
      <w:ind w:left="0"/>
    </w:pPr>
    <w:rPr>
      <w:rFonts w:ascii="Arial Narrow" w:hAnsi="Arial Narrow"/>
      <w:kern w:val="32"/>
      <w:sz w:val="32"/>
      <w:szCs w:val="20"/>
    </w:rPr>
  </w:style>
  <w:style w:type="paragraph" w:customStyle="1" w:styleId="StyleLeft05">
    <w:name w:val="Style Left:  0.5&quot;"/>
    <w:basedOn w:val="Normal"/>
    <w:uiPriority w:val="99"/>
    <w:rsid w:val="00EB505C"/>
    <w:pPr>
      <w:spacing w:before="120" w:after="120"/>
      <w:ind w:left="720"/>
    </w:pPr>
    <w:rPr>
      <w:szCs w:val="20"/>
    </w:rPr>
  </w:style>
  <w:style w:type="paragraph" w:customStyle="1" w:styleId="StyleLeft025Hanging05">
    <w:name w:val="Style Left:  0.25&quot; Hanging:  0.5&quot;"/>
    <w:basedOn w:val="Normal"/>
    <w:uiPriority w:val="99"/>
    <w:rsid w:val="00EB505C"/>
    <w:pPr>
      <w:spacing w:before="120" w:after="120"/>
      <w:ind w:left="1080" w:hanging="720"/>
    </w:pPr>
    <w:rPr>
      <w:szCs w:val="20"/>
    </w:rPr>
  </w:style>
  <w:style w:type="paragraph" w:styleId="ListNumber3">
    <w:name w:val="List Number 3"/>
    <w:basedOn w:val="Normal"/>
    <w:uiPriority w:val="99"/>
    <w:rsid w:val="00083749"/>
    <w:pPr>
      <w:numPr>
        <w:numId w:val="5"/>
      </w:numPr>
      <w:tabs>
        <w:tab w:val="clear" w:pos="720"/>
      </w:tabs>
      <w:ind w:left="432" w:firstLine="0"/>
      <w:contextualSpacing/>
    </w:pPr>
  </w:style>
  <w:style w:type="paragraph" w:styleId="ListBullet2">
    <w:name w:val="List Bullet 2"/>
    <w:basedOn w:val="Normal"/>
    <w:uiPriority w:val="99"/>
    <w:rsid w:val="00083749"/>
    <w:pPr>
      <w:numPr>
        <w:numId w:val="4"/>
      </w:numPr>
      <w:tabs>
        <w:tab w:val="clear" w:pos="1080"/>
        <w:tab w:val="num" w:pos="720"/>
      </w:tabs>
      <w:ind w:left="720"/>
      <w:contextualSpacing/>
    </w:pPr>
  </w:style>
  <w:style w:type="paragraph" w:styleId="EndnoteText">
    <w:name w:val="endnote text"/>
    <w:basedOn w:val="Normal"/>
    <w:link w:val="EndnoteTextChar"/>
    <w:uiPriority w:val="99"/>
    <w:rsid w:val="00E24C42"/>
    <w:rPr>
      <w:sz w:val="20"/>
      <w:szCs w:val="20"/>
    </w:rPr>
  </w:style>
  <w:style w:type="character" w:customStyle="1" w:styleId="EndnoteTextChar">
    <w:name w:val="Endnote Text Char"/>
    <w:link w:val="EndnoteText"/>
    <w:uiPriority w:val="99"/>
    <w:locked/>
    <w:rsid w:val="00E24C42"/>
    <w:rPr>
      <w:rFonts w:cs="Times New Roman"/>
    </w:rPr>
  </w:style>
  <w:style w:type="character" w:styleId="EndnoteReference">
    <w:name w:val="endnote reference"/>
    <w:uiPriority w:val="99"/>
    <w:rsid w:val="00E24C42"/>
    <w:rPr>
      <w:rFonts w:cs="Times New Roman"/>
      <w:vertAlign w:val="superscript"/>
    </w:rPr>
  </w:style>
  <w:style w:type="character" w:customStyle="1" w:styleId="BodyTextChar1">
    <w:name w:val="Body Text Char1"/>
    <w:uiPriority w:val="99"/>
    <w:rsid w:val="00695D9A"/>
    <w:rPr>
      <w:rFonts w:ascii="Georgia" w:hAnsi="Georgia"/>
      <w:sz w:val="20"/>
    </w:rPr>
  </w:style>
  <w:style w:type="paragraph" w:customStyle="1" w:styleId="bioref">
    <w:name w:val="bio ref"/>
    <w:link w:val="biorefChar"/>
    <w:uiPriority w:val="99"/>
    <w:rsid w:val="00695D9A"/>
    <w:pPr>
      <w:numPr>
        <w:numId w:val="11"/>
      </w:numPr>
      <w:spacing w:before="30" w:after="30" w:line="266" w:lineRule="exact"/>
      <w:ind w:left="480" w:hanging="480"/>
    </w:pPr>
    <w:rPr>
      <w:noProof/>
      <w:sz w:val="24"/>
      <w:szCs w:val="22"/>
    </w:rPr>
  </w:style>
  <w:style w:type="character" w:customStyle="1" w:styleId="biorefChar">
    <w:name w:val="bio ref Char"/>
    <w:link w:val="bioref"/>
    <w:uiPriority w:val="99"/>
    <w:locked/>
    <w:rsid w:val="00695D9A"/>
    <w:rPr>
      <w:noProof/>
      <w:sz w:val="24"/>
    </w:rPr>
  </w:style>
  <w:style w:type="character" w:styleId="FollowedHyperlink">
    <w:name w:val="FollowedHyperlink"/>
    <w:uiPriority w:val="99"/>
    <w:rsid w:val="006247B7"/>
    <w:rPr>
      <w:rFonts w:cs="Times New Roman"/>
      <w:color w:val="800080"/>
      <w:u w:val="single"/>
    </w:rPr>
  </w:style>
  <w:style w:type="paragraph" w:styleId="Revision">
    <w:name w:val="Revision"/>
    <w:hidden/>
    <w:uiPriority w:val="99"/>
    <w:semiHidden/>
    <w:rsid w:val="00805306"/>
    <w:rPr>
      <w:sz w:val="24"/>
      <w:szCs w:val="24"/>
    </w:rPr>
  </w:style>
  <w:style w:type="paragraph" w:customStyle="1" w:styleId="Table">
    <w:name w:val="Table"/>
    <w:basedOn w:val="Normal"/>
    <w:next w:val="Normal"/>
    <w:link w:val="TableChar"/>
    <w:rsid w:val="003C4CB4"/>
    <w:pPr>
      <w:tabs>
        <w:tab w:val="num" w:pos="1440"/>
      </w:tabs>
      <w:ind w:left="720" w:hanging="360"/>
      <w:jc w:val="center"/>
    </w:pPr>
    <w:rPr>
      <w:b/>
      <w:szCs w:val="20"/>
    </w:rPr>
  </w:style>
  <w:style w:type="character" w:customStyle="1" w:styleId="TableChar">
    <w:name w:val="Table Char"/>
    <w:link w:val="Table"/>
    <w:rsid w:val="003C4CB4"/>
    <w:rPr>
      <w:b/>
      <w:sz w:val="24"/>
    </w:rPr>
  </w:style>
  <w:style w:type="paragraph" w:customStyle="1" w:styleId="Figure">
    <w:name w:val="Figure"/>
    <w:basedOn w:val="Normal"/>
    <w:next w:val="Normal"/>
    <w:link w:val="FigureChar"/>
    <w:rsid w:val="003C4CB4"/>
    <w:pPr>
      <w:numPr>
        <w:numId w:val="19"/>
      </w:numPr>
      <w:jc w:val="center"/>
    </w:pPr>
    <w:rPr>
      <w:b/>
      <w:szCs w:val="20"/>
    </w:rPr>
  </w:style>
  <w:style w:type="character" w:customStyle="1" w:styleId="FigureChar">
    <w:name w:val="Figure Char"/>
    <w:link w:val="Figure"/>
    <w:rsid w:val="003C4CB4"/>
    <w:rPr>
      <w:b/>
      <w:sz w:val="24"/>
    </w:rPr>
  </w:style>
  <w:style w:type="paragraph" w:customStyle="1" w:styleId="TableParagraph">
    <w:name w:val="Table Paragraph"/>
    <w:basedOn w:val="Normal"/>
    <w:uiPriority w:val="1"/>
    <w:qFormat/>
    <w:rsid w:val="00D85EB5"/>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7113B7"/>
  </w:style>
  <w:style w:type="numbering" w:customStyle="1" w:styleId="NoList2">
    <w:name w:val="No List2"/>
    <w:next w:val="NoList"/>
    <w:uiPriority w:val="99"/>
    <w:semiHidden/>
    <w:unhideWhenUsed/>
    <w:rsid w:val="007113B7"/>
  </w:style>
  <w:style w:type="table" w:customStyle="1" w:styleId="TableGrid1">
    <w:name w:val="Table Grid1"/>
    <w:basedOn w:val="TableNormal"/>
    <w:next w:val="TableGrid"/>
    <w:uiPriority w:val="39"/>
    <w:rsid w:val="005D18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5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156B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156BD"/>
    <w:rPr>
      <w:rFonts w:asciiTheme="minorHAnsi" w:eastAsiaTheme="minorEastAsia" w:hAnsiTheme="minorHAnsi" w:cstheme="minorBidi"/>
      <w:sz w:val="22"/>
      <w:szCs w:val="22"/>
    </w:rPr>
  </w:style>
  <w:style w:type="character" w:customStyle="1" w:styleId="Mention1">
    <w:name w:val="Mention1"/>
    <w:basedOn w:val="DefaultParagraphFont"/>
    <w:uiPriority w:val="99"/>
    <w:semiHidden/>
    <w:unhideWhenUsed/>
    <w:rsid w:val="00EA3882"/>
    <w:rPr>
      <w:color w:val="2B579A"/>
      <w:shd w:val="clear" w:color="auto" w:fill="E6E6E6"/>
    </w:rPr>
  </w:style>
  <w:style w:type="character" w:customStyle="1" w:styleId="CaptionChar">
    <w:name w:val="Caption Char"/>
    <w:link w:val="Caption"/>
    <w:uiPriority w:val="35"/>
    <w:rsid w:val="004D3DC6"/>
    <w:rPr>
      <w:rFonts w:ascii="Arial" w:hAnsi="Arial"/>
      <w:b/>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35" w:qFormat="1"/>
    <w:lsdException w:name="List Number 2" w:locked="1"/>
    <w:lsdException w:name="List Number 5" w:locked="1" w:uiPriority="0"/>
    <w:lsdException w:name="Title" w:locked="1" w:semiHidden="0" w:uiPriority="0" w:unhideWhenUsed="0" w:qFormat="1"/>
    <w:lsdException w:name="Default Paragraph Font" w:locked="1" w:uiPriority="1"/>
    <w:lsdException w:name="Body Text" w:uiPriority="1" w:qFormat="1"/>
    <w:lsdException w:name="Subtitle" w:locked="1" w:semiHidden="0" w:uiPriority="0" w:unhideWhenUsed="0" w:qFormat="1"/>
    <w:lsdException w:name="Body Text Indent 3" w:locked="1" w:uiPriority="0"/>
    <w:lsdException w:name="Block Text" w:locked="1" w:uiPriority="0"/>
    <w:lsdException w:name="Hyperlink" w:locked="1"/>
    <w:lsdException w:name="FollowedHyperlink" w:locked="1"/>
    <w:lsdException w:name="Strong" w:locked="1" w:semiHidden="0" w:uiPriority="22" w:unhideWhenUsed="0" w:qFormat="1"/>
    <w:lsdException w:name="Emphasis" w:locked="1" w:semiHidden="0" w:unhideWhenUsed="0" w:qFormat="1"/>
    <w:lsdException w:name="Normal (Web)" w:locked="1"/>
    <w:lsdException w:name="Normal Table" w:semiHidden="0" w:unhideWhenUsed="0"/>
    <w:lsdException w:name="Table Subtle 2" w:semiHidden="0" w:unhideWhenUsed="0"/>
    <w:lsdException w:name="Table Web 3"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sz w:val="24"/>
      <w:szCs w:val="24"/>
    </w:rPr>
  </w:style>
  <w:style w:type="paragraph" w:styleId="Heading1">
    <w:name w:val="heading 1"/>
    <w:basedOn w:val="Normal"/>
    <w:next w:val="Normal"/>
    <w:link w:val="Heading1Char"/>
    <w:uiPriority w:val="99"/>
    <w:qFormat/>
    <w:rsid w:val="00092002"/>
    <w:pPr>
      <w:keepNext/>
      <w:spacing w:line="360" w:lineRule="auto"/>
      <w:ind w:left="360"/>
      <w:jc w:val="center"/>
      <w:outlineLvl w:val="0"/>
    </w:pPr>
    <w:rPr>
      <w:b/>
    </w:rPr>
  </w:style>
  <w:style w:type="paragraph" w:styleId="Heading2">
    <w:name w:val="heading 2"/>
    <w:basedOn w:val="Normal"/>
    <w:next w:val="Normal"/>
    <w:link w:val="Heading2Char"/>
    <w:uiPriority w:val="99"/>
    <w:qFormat/>
    <w:rsid w:val="00424275"/>
    <w:pPr>
      <w:keepNext/>
      <w:outlineLvl w:val="1"/>
    </w:pPr>
    <w:rPr>
      <w:b/>
      <w:u w:val="single"/>
    </w:rPr>
  </w:style>
  <w:style w:type="paragraph" w:styleId="Heading3">
    <w:name w:val="heading 3"/>
    <w:basedOn w:val="Normal"/>
    <w:next w:val="Normal"/>
    <w:link w:val="Heading3Char"/>
    <w:uiPriority w:val="99"/>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2002"/>
    <w:rPr>
      <w:rFonts w:cs="Times New Roman"/>
      <w:b/>
      <w:sz w:val="24"/>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sid w:val="00EB505C"/>
    <w:rPr>
      <w:rFonts w:cs="Times New Roman"/>
      <w:b/>
      <w:sz w:val="24"/>
    </w:rPr>
  </w:style>
  <w:style w:type="paragraph" w:styleId="BodyTextIndent2">
    <w:name w:val="Body Text Indent 2"/>
    <w:basedOn w:val="Normal"/>
    <w:link w:val="BodyTextIndent2Char"/>
    <w:uiPriority w:val="99"/>
    <w:rsid w:val="00C800ED"/>
    <w:pPr>
      <w:ind w:left="720" w:hanging="720"/>
    </w:pPr>
    <w:rPr>
      <w:b/>
      <w:bCs/>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
    <w:name w:val="Body Text"/>
    <w:basedOn w:val="Normal"/>
    <w:link w:val="BodyTextChar"/>
    <w:uiPriority w:val="1"/>
    <w:qFormat/>
    <w:rsid w:val="00EB505C"/>
    <w:pPr>
      <w:spacing w:before="120" w:after="120"/>
    </w:pPr>
  </w:style>
  <w:style w:type="character" w:customStyle="1" w:styleId="BodyTextChar">
    <w:name w:val="Body Text Char"/>
    <w:link w:val="BodyText"/>
    <w:uiPriority w:val="1"/>
    <w:locked/>
    <w:rsid w:val="00EB505C"/>
    <w:rPr>
      <w:rFonts w:cs="Times New Roman"/>
      <w:sz w:val="24"/>
    </w:rPr>
  </w:style>
  <w:style w:type="character" w:styleId="Hyperlink">
    <w:name w:val="Hyperlink"/>
    <w:uiPriority w:val="99"/>
    <w:rsid w:val="00C800ED"/>
    <w:rPr>
      <w:rFonts w:cs="Times New Roman"/>
      <w:color w:val="0000FF"/>
      <w:u w:val="single"/>
    </w:rPr>
  </w:style>
  <w:style w:type="paragraph" w:styleId="HTMLPreformatted">
    <w:name w:val="HTML Preformatted"/>
    <w:basedOn w:val="Normal"/>
    <w:link w:val="HTMLPreformattedChar"/>
    <w:uiPriority w:val="99"/>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character" w:styleId="FootnoteReference">
    <w:name w:val="footnote reference"/>
    <w:uiPriority w:val="99"/>
    <w:semiHidden/>
    <w:rsid w:val="00C800ED"/>
    <w:rPr>
      <w:rFonts w:cs="Times New Roman"/>
      <w:vertAlign w:val="superscript"/>
    </w:rPr>
  </w:style>
  <w:style w:type="paragraph" w:styleId="FootnoteText">
    <w:name w:val="footnote text"/>
    <w:basedOn w:val="Normal"/>
    <w:link w:val="FootnoteTextChar"/>
    <w:uiPriority w:val="99"/>
    <w:semiHidden/>
    <w:rsid w:val="00C800ED"/>
    <w:pPr>
      <w:widowControl w:val="0"/>
      <w:autoSpaceDE w:val="0"/>
      <w:autoSpaceDN w:val="0"/>
      <w:adjustRightInd w:val="0"/>
    </w:pPr>
    <w:rPr>
      <w:sz w:val="20"/>
      <w:szCs w:val="20"/>
    </w:rPr>
  </w:style>
  <w:style w:type="character" w:customStyle="1" w:styleId="FootnoteTextChar">
    <w:name w:val="Footnote Text Char"/>
    <w:link w:val="FootnoteText"/>
    <w:uiPriority w:val="99"/>
    <w:semiHidden/>
    <w:locked/>
    <w:rPr>
      <w:rFonts w:cs="Times New Roman"/>
      <w:sz w:val="20"/>
      <w:szCs w:val="20"/>
    </w:rPr>
  </w:style>
  <w:style w:type="paragraph" w:styleId="Footer">
    <w:name w:val="footer"/>
    <w:basedOn w:val="Normal"/>
    <w:link w:val="FooterChar"/>
    <w:uiPriority w:val="99"/>
    <w:rsid w:val="00C800ED"/>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C800ED"/>
    <w:rPr>
      <w:rFonts w:cs="Times New Roman"/>
    </w:rPr>
  </w:style>
  <w:style w:type="paragraph" w:styleId="CommentText">
    <w:name w:val="annotation text"/>
    <w:basedOn w:val="Normal"/>
    <w:link w:val="CommentTextChar"/>
    <w:uiPriority w:val="99"/>
    <w:semiHidden/>
    <w:rsid w:val="00C800ED"/>
    <w:rPr>
      <w:sz w:val="20"/>
      <w:szCs w:val="20"/>
    </w:rPr>
  </w:style>
  <w:style w:type="character" w:customStyle="1" w:styleId="CommentTextChar">
    <w:name w:val="Comment Text Char"/>
    <w:link w:val="CommentText"/>
    <w:uiPriority w:val="99"/>
    <w:semiHidden/>
    <w:locked/>
    <w:rsid w:val="006C42EA"/>
    <w:rPr>
      <w:rFonts w:cs="Times New Roman"/>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uiPriority w:val="22"/>
    <w:qFormat/>
    <w:rsid w:val="00C800ED"/>
    <w:rPr>
      <w:rFonts w:cs="Times New Roman"/>
      <w:b/>
    </w:rPr>
  </w:style>
  <w:style w:type="table" w:styleId="TableGrid">
    <w:name w:val="Table Grid"/>
    <w:basedOn w:val="TableNormal"/>
    <w:uiPriority w:val="39"/>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00ED"/>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BodyText27">
    <w:name w:val="Body Text 27"/>
    <w:basedOn w:val="Normal"/>
    <w:uiPriority w:val="99"/>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hAnsi="Arial" w:cs="Arial"/>
      <w:sz w:val="22"/>
      <w:szCs w:val="22"/>
    </w:rPr>
  </w:style>
  <w:style w:type="paragraph" w:styleId="BalloonText">
    <w:name w:val="Balloon Text"/>
    <w:basedOn w:val="Normal"/>
    <w:link w:val="BalloonTextChar"/>
    <w:uiPriority w:val="99"/>
    <w:rsid w:val="00AF4C91"/>
    <w:rPr>
      <w:rFonts w:ascii="Tahoma" w:hAnsi="Tahoma"/>
      <w:sz w:val="16"/>
      <w:szCs w:val="16"/>
    </w:rPr>
  </w:style>
  <w:style w:type="character" w:customStyle="1" w:styleId="BalloonTextChar">
    <w:name w:val="Balloon Text Char"/>
    <w:link w:val="BalloonText"/>
    <w:uiPriority w:val="99"/>
    <w:locked/>
    <w:rsid w:val="00AF4C91"/>
    <w:rPr>
      <w:rFonts w:ascii="Tahoma" w:hAnsi="Tahoma" w:cs="Times New Roman"/>
      <w:sz w:val="16"/>
    </w:rPr>
  </w:style>
  <w:style w:type="paragraph" w:customStyle="1" w:styleId="Default">
    <w:name w:val="Default"/>
    <w:uiPriority w:val="99"/>
    <w:rsid w:val="008A6DE8"/>
    <w:pPr>
      <w:autoSpaceDE w:val="0"/>
      <w:autoSpaceDN w:val="0"/>
      <w:adjustRightInd w:val="0"/>
    </w:pPr>
    <w:rPr>
      <w:rFonts w:ascii="Cambria" w:hAnsi="Cambria" w:cs="Cambria"/>
      <w:color w:val="000000"/>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link w:val="CaptionChar"/>
    <w:uiPriority w:val="35"/>
    <w:qFormat/>
    <w:rsid w:val="00333B6D"/>
    <w:pPr>
      <w:keepNext/>
      <w:widowControl w:val="0"/>
      <w:spacing w:before="60" w:after="40"/>
      <w:jc w:val="center"/>
    </w:pPr>
    <w:rPr>
      <w:rFonts w:ascii="Arial" w:hAnsi="Arial"/>
      <w:b/>
      <w:sz w:val="18"/>
    </w:rPr>
  </w:style>
  <w:style w:type="character" w:styleId="CommentReference">
    <w:name w:val="annotation reference"/>
    <w:uiPriority w:val="99"/>
    <w:rsid w:val="006C42EA"/>
    <w:rPr>
      <w:rFonts w:cs="Times New Roman"/>
      <w:sz w:val="16"/>
    </w:rPr>
  </w:style>
  <w:style w:type="paragraph" w:styleId="CommentSubject">
    <w:name w:val="annotation subject"/>
    <w:basedOn w:val="CommentText"/>
    <w:next w:val="CommentText"/>
    <w:link w:val="CommentSubjectChar"/>
    <w:uiPriority w:val="99"/>
    <w:rsid w:val="006C42EA"/>
    <w:rPr>
      <w:b/>
      <w:bCs/>
    </w:rPr>
  </w:style>
  <w:style w:type="character" w:customStyle="1" w:styleId="CommentSubjectChar">
    <w:name w:val="Comment Subject Char"/>
    <w:basedOn w:val="CommentTextChar"/>
    <w:link w:val="CommentSubject"/>
    <w:uiPriority w:val="99"/>
    <w:locked/>
    <w:rsid w:val="006C42EA"/>
    <w:rPr>
      <w:rFonts w:cs="Times New Roman"/>
    </w:rPr>
  </w:style>
  <w:style w:type="paragraph" w:styleId="ListNumber">
    <w:name w:val="List Number"/>
    <w:basedOn w:val="Normal"/>
    <w:uiPriority w:val="99"/>
    <w:rsid w:val="00692691"/>
    <w:pPr>
      <w:numPr>
        <w:numId w:val="1"/>
      </w:numPr>
      <w:tabs>
        <w:tab w:val="clear" w:pos="360"/>
        <w:tab w:val="num" w:pos="1440"/>
        <w:tab w:val="num" w:pos="1560"/>
      </w:tabs>
      <w:spacing w:after="120"/>
      <w:ind w:left="504"/>
    </w:pPr>
    <w:rPr>
      <w:rFonts w:ascii="Arial" w:hAnsi="Arial"/>
      <w:sz w:val="20"/>
    </w:rPr>
  </w:style>
  <w:style w:type="paragraph" w:styleId="ListBullet">
    <w:name w:val="List Bullet"/>
    <w:basedOn w:val="Normal"/>
    <w:autoRedefine/>
    <w:uiPriority w:val="99"/>
    <w:rsid w:val="003E0A75"/>
    <w:pPr>
      <w:numPr>
        <w:numId w:val="2"/>
      </w:numPr>
      <w:spacing w:before="120" w:after="120"/>
      <w:ind w:left="792" w:hanging="432"/>
    </w:pPr>
  </w:style>
  <w:style w:type="paragraph" w:styleId="ListNumber2">
    <w:name w:val="List Number 2"/>
    <w:basedOn w:val="Normal"/>
    <w:uiPriority w:val="99"/>
    <w:rsid w:val="00424275"/>
    <w:pPr>
      <w:numPr>
        <w:numId w:val="3"/>
      </w:numPr>
      <w:tabs>
        <w:tab w:val="clear" w:pos="720"/>
      </w:tabs>
      <w:spacing w:after="60"/>
      <w:ind w:left="360" w:firstLine="0"/>
    </w:pPr>
    <w:rPr>
      <w:b/>
      <w:i/>
    </w:rPr>
  </w:style>
  <w:style w:type="paragraph" w:customStyle="1" w:styleId="StyleHeading1Centered">
    <w:name w:val="Style Heading 1 + Centered"/>
    <w:basedOn w:val="Heading1"/>
    <w:uiPriority w:val="99"/>
    <w:rsid w:val="00250889"/>
    <w:pPr>
      <w:spacing w:after="120"/>
      <w:ind w:left="0"/>
    </w:pPr>
    <w:rPr>
      <w:rFonts w:ascii="Arial Narrow" w:hAnsi="Arial Narrow"/>
      <w:kern w:val="32"/>
      <w:sz w:val="32"/>
      <w:szCs w:val="20"/>
    </w:rPr>
  </w:style>
  <w:style w:type="paragraph" w:customStyle="1" w:styleId="StyleLeft05">
    <w:name w:val="Style Left:  0.5&quot;"/>
    <w:basedOn w:val="Normal"/>
    <w:uiPriority w:val="99"/>
    <w:rsid w:val="00EB505C"/>
    <w:pPr>
      <w:spacing w:before="120" w:after="120"/>
      <w:ind w:left="720"/>
    </w:pPr>
    <w:rPr>
      <w:szCs w:val="20"/>
    </w:rPr>
  </w:style>
  <w:style w:type="paragraph" w:customStyle="1" w:styleId="StyleLeft025Hanging05">
    <w:name w:val="Style Left:  0.25&quot; Hanging:  0.5&quot;"/>
    <w:basedOn w:val="Normal"/>
    <w:uiPriority w:val="99"/>
    <w:rsid w:val="00EB505C"/>
    <w:pPr>
      <w:spacing w:before="120" w:after="120"/>
      <w:ind w:left="1080" w:hanging="720"/>
    </w:pPr>
    <w:rPr>
      <w:szCs w:val="20"/>
    </w:rPr>
  </w:style>
  <w:style w:type="paragraph" w:styleId="ListNumber3">
    <w:name w:val="List Number 3"/>
    <w:basedOn w:val="Normal"/>
    <w:uiPriority w:val="99"/>
    <w:rsid w:val="00083749"/>
    <w:pPr>
      <w:numPr>
        <w:numId w:val="5"/>
      </w:numPr>
      <w:tabs>
        <w:tab w:val="clear" w:pos="720"/>
      </w:tabs>
      <w:ind w:left="432" w:firstLine="0"/>
      <w:contextualSpacing/>
    </w:pPr>
  </w:style>
  <w:style w:type="paragraph" w:styleId="ListBullet2">
    <w:name w:val="List Bullet 2"/>
    <w:basedOn w:val="Normal"/>
    <w:uiPriority w:val="99"/>
    <w:rsid w:val="00083749"/>
    <w:pPr>
      <w:numPr>
        <w:numId w:val="4"/>
      </w:numPr>
      <w:tabs>
        <w:tab w:val="clear" w:pos="1080"/>
        <w:tab w:val="num" w:pos="720"/>
      </w:tabs>
      <w:ind w:left="720"/>
      <w:contextualSpacing/>
    </w:pPr>
  </w:style>
  <w:style w:type="paragraph" w:styleId="EndnoteText">
    <w:name w:val="endnote text"/>
    <w:basedOn w:val="Normal"/>
    <w:link w:val="EndnoteTextChar"/>
    <w:uiPriority w:val="99"/>
    <w:rsid w:val="00E24C42"/>
    <w:rPr>
      <w:sz w:val="20"/>
      <w:szCs w:val="20"/>
    </w:rPr>
  </w:style>
  <w:style w:type="character" w:customStyle="1" w:styleId="EndnoteTextChar">
    <w:name w:val="Endnote Text Char"/>
    <w:link w:val="EndnoteText"/>
    <w:uiPriority w:val="99"/>
    <w:locked/>
    <w:rsid w:val="00E24C42"/>
    <w:rPr>
      <w:rFonts w:cs="Times New Roman"/>
    </w:rPr>
  </w:style>
  <w:style w:type="character" w:styleId="EndnoteReference">
    <w:name w:val="endnote reference"/>
    <w:uiPriority w:val="99"/>
    <w:rsid w:val="00E24C42"/>
    <w:rPr>
      <w:rFonts w:cs="Times New Roman"/>
      <w:vertAlign w:val="superscript"/>
    </w:rPr>
  </w:style>
  <w:style w:type="character" w:customStyle="1" w:styleId="BodyTextChar1">
    <w:name w:val="Body Text Char1"/>
    <w:uiPriority w:val="99"/>
    <w:rsid w:val="00695D9A"/>
    <w:rPr>
      <w:rFonts w:ascii="Georgia" w:hAnsi="Georgia"/>
      <w:sz w:val="20"/>
    </w:rPr>
  </w:style>
  <w:style w:type="paragraph" w:customStyle="1" w:styleId="bioref">
    <w:name w:val="bio ref"/>
    <w:link w:val="biorefChar"/>
    <w:uiPriority w:val="99"/>
    <w:rsid w:val="00695D9A"/>
    <w:pPr>
      <w:numPr>
        <w:numId w:val="11"/>
      </w:numPr>
      <w:spacing w:before="30" w:after="30" w:line="266" w:lineRule="exact"/>
      <w:ind w:left="480" w:hanging="480"/>
    </w:pPr>
    <w:rPr>
      <w:noProof/>
      <w:sz w:val="24"/>
      <w:szCs w:val="22"/>
    </w:rPr>
  </w:style>
  <w:style w:type="character" w:customStyle="1" w:styleId="biorefChar">
    <w:name w:val="bio ref Char"/>
    <w:link w:val="bioref"/>
    <w:uiPriority w:val="99"/>
    <w:locked/>
    <w:rsid w:val="00695D9A"/>
    <w:rPr>
      <w:noProof/>
      <w:sz w:val="24"/>
    </w:rPr>
  </w:style>
  <w:style w:type="character" w:styleId="FollowedHyperlink">
    <w:name w:val="FollowedHyperlink"/>
    <w:uiPriority w:val="99"/>
    <w:rsid w:val="006247B7"/>
    <w:rPr>
      <w:rFonts w:cs="Times New Roman"/>
      <w:color w:val="800080"/>
      <w:u w:val="single"/>
    </w:rPr>
  </w:style>
  <w:style w:type="paragraph" w:styleId="Revision">
    <w:name w:val="Revision"/>
    <w:hidden/>
    <w:uiPriority w:val="99"/>
    <w:semiHidden/>
    <w:rsid w:val="00805306"/>
    <w:rPr>
      <w:sz w:val="24"/>
      <w:szCs w:val="24"/>
    </w:rPr>
  </w:style>
  <w:style w:type="paragraph" w:customStyle="1" w:styleId="Table">
    <w:name w:val="Table"/>
    <w:basedOn w:val="Normal"/>
    <w:next w:val="Normal"/>
    <w:link w:val="TableChar"/>
    <w:rsid w:val="003C4CB4"/>
    <w:pPr>
      <w:tabs>
        <w:tab w:val="num" w:pos="1440"/>
      </w:tabs>
      <w:ind w:left="720" w:hanging="360"/>
      <w:jc w:val="center"/>
    </w:pPr>
    <w:rPr>
      <w:b/>
      <w:szCs w:val="20"/>
    </w:rPr>
  </w:style>
  <w:style w:type="character" w:customStyle="1" w:styleId="TableChar">
    <w:name w:val="Table Char"/>
    <w:link w:val="Table"/>
    <w:rsid w:val="003C4CB4"/>
    <w:rPr>
      <w:b/>
      <w:sz w:val="24"/>
    </w:rPr>
  </w:style>
  <w:style w:type="paragraph" w:customStyle="1" w:styleId="Figure">
    <w:name w:val="Figure"/>
    <w:basedOn w:val="Normal"/>
    <w:next w:val="Normal"/>
    <w:link w:val="FigureChar"/>
    <w:rsid w:val="003C4CB4"/>
    <w:pPr>
      <w:numPr>
        <w:numId w:val="19"/>
      </w:numPr>
      <w:jc w:val="center"/>
    </w:pPr>
    <w:rPr>
      <w:b/>
      <w:szCs w:val="20"/>
    </w:rPr>
  </w:style>
  <w:style w:type="character" w:customStyle="1" w:styleId="FigureChar">
    <w:name w:val="Figure Char"/>
    <w:link w:val="Figure"/>
    <w:rsid w:val="003C4CB4"/>
    <w:rPr>
      <w:b/>
      <w:sz w:val="24"/>
    </w:rPr>
  </w:style>
  <w:style w:type="paragraph" w:customStyle="1" w:styleId="TableParagraph">
    <w:name w:val="Table Paragraph"/>
    <w:basedOn w:val="Normal"/>
    <w:uiPriority w:val="1"/>
    <w:qFormat/>
    <w:rsid w:val="00D85EB5"/>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7113B7"/>
  </w:style>
  <w:style w:type="numbering" w:customStyle="1" w:styleId="NoList2">
    <w:name w:val="No List2"/>
    <w:next w:val="NoList"/>
    <w:uiPriority w:val="99"/>
    <w:semiHidden/>
    <w:unhideWhenUsed/>
    <w:rsid w:val="007113B7"/>
  </w:style>
  <w:style w:type="table" w:customStyle="1" w:styleId="TableGrid1">
    <w:name w:val="Table Grid1"/>
    <w:basedOn w:val="TableNormal"/>
    <w:next w:val="TableGrid"/>
    <w:uiPriority w:val="39"/>
    <w:rsid w:val="005D18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5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156B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156BD"/>
    <w:rPr>
      <w:rFonts w:asciiTheme="minorHAnsi" w:eastAsiaTheme="minorEastAsia" w:hAnsiTheme="minorHAnsi" w:cstheme="minorBidi"/>
      <w:sz w:val="22"/>
      <w:szCs w:val="22"/>
    </w:rPr>
  </w:style>
  <w:style w:type="character" w:customStyle="1" w:styleId="Mention1">
    <w:name w:val="Mention1"/>
    <w:basedOn w:val="DefaultParagraphFont"/>
    <w:uiPriority w:val="99"/>
    <w:semiHidden/>
    <w:unhideWhenUsed/>
    <w:rsid w:val="00EA3882"/>
    <w:rPr>
      <w:color w:val="2B579A"/>
      <w:shd w:val="clear" w:color="auto" w:fill="E6E6E6"/>
    </w:rPr>
  </w:style>
  <w:style w:type="character" w:customStyle="1" w:styleId="CaptionChar">
    <w:name w:val="Caption Char"/>
    <w:link w:val="Caption"/>
    <w:uiPriority w:val="35"/>
    <w:rsid w:val="004D3DC6"/>
    <w:rPr>
      <w:rFonts w:ascii="Arial" w:hAnsi="Arial"/>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1350">
      <w:bodyDiv w:val="1"/>
      <w:marLeft w:val="0"/>
      <w:marRight w:val="0"/>
      <w:marTop w:val="0"/>
      <w:marBottom w:val="0"/>
      <w:divBdr>
        <w:top w:val="none" w:sz="0" w:space="0" w:color="auto"/>
        <w:left w:val="none" w:sz="0" w:space="0" w:color="auto"/>
        <w:bottom w:val="none" w:sz="0" w:space="0" w:color="auto"/>
        <w:right w:val="none" w:sz="0" w:space="0" w:color="auto"/>
      </w:divBdr>
    </w:div>
    <w:div w:id="288973497">
      <w:bodyDiv w:val="1"/>
      <w:marLeft w:val="0"/>
      <w:marRight w:val="0"/>
      <w:marTop w:val="0"/>
      <w:marBottom w:val="0"/>
      <w:divBdr>
        <w:top w:val="none" w:sz="0" w:space="0" w:color="auto"/>
        <w:left w:val="none" w:sz="0" w:space="0" w:color="auto"/>
        <w:bottom w:val="none" w:sz="0" w:space="0" w:color="auto"/>
        <w:right w:val="none" w:sz="0" w:space="0" w:color="auto"/>
      </w:divBdr>
    </w:div>
    <w:div w:id="396325118">
      <w:bodyDiv w:val="1"/>
      <w:marLeft w:val="0"/>
      <w:marRight w:val="0"/>
      <w:marTop w:val="0"/>
      <w:marBottom w:val="0"/>
      <w:divBdr>
        <w:top w:val="none" w:sz="0" w:space="0" w:color="auto"/>
        <w:left w:val="none" w:sz="0" w:space="0" w:color="auto"/>
        <w:bottom w:val="none" w:sz="0" w:space="0" w:color="auto"/>
        <w:right w:val="none" w:sz="0" w:space="0" w:color="auto"/>
      </w:divBdr>
    </w:div>
    <w:div w:id="808592061">
      <w:marLeft w:val="0"/>
      <w:marRight w:val="0"/>
      <w:marTop w:val="0"/>
      <w:marBottom w:val="0"/>
      <w:divBdr>
        <w:top w:val="none" w:sz="0" w:space="0" w:color="auto"/>
        <w:left w:val="none" w:sz="0" w:space="0" w:color="auto"/>
        <w:bottom w:val="none" w:sz="0" w:space="0" w:color="auto"/>
        <w:right w:val="none" w:sz="0" w:space="0" w:color="auto"/>
      </w:divBdr>
    </w:div>
    <w:div w:id="808592062">
      <w:marLeft w:val="0"/>
      <w:marRight w:val="0"/>
      <w:marTop w:val="0"/>
      <w:marBottom w:val="0"/>
      <w:divBdr>
        <w:top w:val="none" w:sz="0" w:space="0" w:color="auto"/>
        <w:left w:val="none" w:sz="0" w:space="0" w:color="auto"/>
        <w:bottom w:val="none" w:sz="0" w:space="0" w:color="auto"/>
        <w:right w:val="none" w:sz="0" w:space="0" w:color="auto"/>
      </w:divBdr>
    </w:div>
    <w:div w:id="808592063">
      <w:marLeft w:val="0"/>
      <w:marRight w:val="0"/>
      <w:marTop w:val="0"/>
      <w:marBottom w:val="0"/>
      <w:divBdr>
        <w:top w:val="none" w:sz="0" w:space="0" w:color="auto"/>
        <w:left w:val="none" w:sz="0" w:space="0" w:color="auto"/>
        <w:bottom w:val="none" w:sz="0" w:space="0" w:color="auto"/>
        <w:right w:val="none" w:sz="0" w:space="0" w:color="auto"/>
      </w:divBdr>
    </w:div>
    <w:div w:id="808592064">
      <w:marLeft w:val="0"/>
      <w:marRight w:val="0"/>
      <w:marTop w:val="0"/>
      <w:marBottom w:val="0"/>
      <w:divBdr>
        <w:top w:val="none" w:sz="0" w:space="0" w:color="auto"/>
        <w:left w:val="none" w:sz="0" w:space="0" w:color="auto"/>
        <w:bottom w:val="none" w:sz="0" w:space="0" w:color="auto"/>
        <w:right w:val="none" w:sz="0" w:space="0" w:color="auto"/>
      </w:divBdr>
    </w:div>
    <w:div w:id="808592066">
      <w:marLeft w:val="0"/>
      <w:marRight w:val="0"/>
      <w:marTop w:val="0"/>
      <w:marBottom w:val="0"/>
      <w:divBdr>
        <w:top w:val="none" w:sz="0" w:space="0" w:color="auto"/>
        <w:left w:val="none" w:sz="0" w:space="0" w:color="auto"/>
        <w:bottom w:val="none" w:sz="0" w:space="0" w:color="auto"/>
        <w:right w:val="none" w:sz="0" w:space="0" w:color="auto"/>
      </w:divBdr>
      <w:divsChild>
        <w:div w:id="808592070">
          <w:marLeft w:val="0"/>
          <w:marRight w:val="0"/>
          <w:marTop w:val="0"/>
          <w:marBottom w:val="0"/>
          <w:divBdr>
            <w:top w:val="none" w:sz="0" w:space="0" w:color="auto"/>
            <w:left w:val="none" w:sz="0" w:space="0" w:color="auto"/>
            <w:bottom w:val="none" w:sz="0" w:space="0" w:color="auto"/>
            <w:right w:val="none" w:sz="0" w:space="0" w:color="auto"/>
          </w:divBdr>
          <w:divsChild>
            <w:div w:id="808592065">
              <w:marLeft w:val="0"/>
              <w:marRight w:val="0"/>
              <w:marTop w:val="0"/>
              <w:marBottom w:val="0"/>
              <w:divBdr>
                <w:top w:val="none" w:sz="0" w:space="0" w:color="auto"/>
                <w:left w:val="none" w:sz="0" w:space="0" w:color="auto"/>
                <w:bottom w:val="none" w:sz="0" w:space="0" w:color="auto"/>
                <w:right w:val="none" w:sz="0" w:space="0" w:color="auto"/>
              </w:divBdr>
              <w:divsChild>
                <w:div w:id="80859207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8592067">
      <w:marLeft w:val="0"/>
      <w:marRight w:val="0"/>
      <w:marTop w:val="0"/>
      <w:marBottom w:val="0"/>
      <w:divBdr>
        <w:top w:val="none" w:sz="0" w:space="0" w:color="auto"/>
        <w:left w:val="none" w:sz="0" w:space="0" w:color="auto"/>
        <w:bottom w:val="none" w:sz="0" w:space="0" w:color="auto"/>
        <w:right w:val="none" w:sz="0" w:space="0" w:color="auto"/>
      </w:divBdr>
    </w:div>
    <w:div w:id="808592068">
      <w:marLeft w:val="0"/>
      <w:marRight w:val="0"/>
      <w:marTop w:val="0"/>
      <w:marBottom w:val="0"/>
      <w:divBdr>
        <w:top w:val="none" w:sz="0" w:space="0" w:color="auto"/>
        <w:left w:val="none" w:sz="0" w:space="0" w:color="auto"/>
        <w:bottom w:val="none" w:sz="0" w:space="0" w:color="auto"/>
        <w:right w:val="none" w:sz="0" w:space="0" w:color="auto"/>
      </w:divBdr>
    </w:div>
    <w:div w:id="808592069">
      <w:marLeft w:val="0"/>
      <w:marRight w:val="0"/>
      <w:marTop w:val="0"/>
      <w:marBottom w:val="0"/>
      <w:divBdr>
        <w:top w:val="none" w:sz="0" w:space="0" w:color="auto"/>
        <w:left w:val="none" w:sz="0" w:space="0" w:color="auto"/>
        <w:bottom w:val="none" w:sz="0" w:space="0" w:color="auto"/>
        <w:right w:val="none" w:sz="0" w:space="0" w:color="auto"/>
      </w:divBdr>
    </w:div>
    <w:div w:id="808592071">
      <w:marLeft w:val="0"/>
      <w:marRight w:val="0"/>
      <w:marTop w:val="0"/>
      <w:marBottom w:val="0"/>
      <w:divBdr>
        <w:top w:val="none" w:sz="0" w:space="0" w:color="auto"/>
        <w:left w:val="none" w:sz="0" w:space="0" w:color="auto"/>
        <w:bottom w:val="none" w:sz="0" w:space="0" w:color="auto"/>
        <w:right w:val="none" w:sz="0" w:space="0" w:color="auto"/>
      </w:divBdr>
    </w:div>
    <w:div w:id="808592072">
      <w:marLeft w:val="0"/>
      <w:marRight w:val="0"/>
      <w:marTop w:val="0"/>
      <w:marBottom w:val="0"/>
      <w:divBdr>
        <w:top w:val="none" w:sz="0" w:space="0" w:color="auto"/>
        <w:left w:val="none" w:sz="0" w:space="0" w:color="auto"/>
        <w:bottom w:val="none" w:sz="0" w:space="0" w:color="auto"/>
        <w:right w:val="none" w:sz="0" w:space="0" w:color="auto"/>
      </w:divBdr>
    </w:div>
    <w:div w:id="836728821">
      <w:bodyDiv w:val="1"/>
      <w:marLeft w:val="0"/>
      <w:marRight w:val="0"/>
      <w:marTop w:val="0"/>
      <w:marBottom w:val="0"/>
      <w:divBdr>
        <w:top w:val="none" w:sz="0" w:space="0" w:color="auto"/>
        <w:left w:val="none" w:sz="0" w:space="0" w:color="auto"/>
        <w:bottom w:val="none" w:sz="0" w:space="0" w:color="auto"/>
        <w:right w:val="none" w:sz="0" w:space="0" w:color="auto"/>
      </w:divBdr>
    </w:div>
    <w:div w:id="878855765">
      <w:bodyDiv w:val="1"/>
      <w:marLeft w:val="0"/>
      <w:marRight w:val="0"/>
      <w:marTop w:val="0"/>
      <w:marBottom w:val="0"/>
      <w:divBdr>
        <w:top w:val="none" w:sz="0" w:space="0" w:color="auto"/>
        <w:left w:val="none" w:sz="0" w:space="0" w:color="auto"/>
        <w:bottom w:val="none" w:sz="0" w:space="0" w:color="auto"/>
        <w:right w:val="none" w:sz="0" w:space="0" w:color="auto"/>
      </w:divBdr>
    </w:div>
    <w:div w:id="899555530">
      <w:bodyDiv w:val="1"/>
      <w:marLeft w:val="0"/>
      <w:marRight w:val="0"/>
      <w:marTop w:val="0"/>
      <w:marBottom w:val="0"/>
      <w:divBdr>
        <w:top w:val="none" w:sz="0" w:space="0" w:color="auto"/>
        <w:left w:val="none" w:sz="0" w:space="0" w:color="auto"/>
        <w:bottom w:val="none" w:sz="0" w:space="0" w:color="auto"/>
        <w:right w:val="none" w:sz="0" w:space="0" w:color="auto"/>
      </w:divBdr>
    </w:div>
    <w:div w:id="1122460361">
      <w:bodyDiv w:val="1"/>
      <w:marLeft w:val="0"/>
      <w:marRight w:val="0"/>
      <w:marTop w:val="0"/>
      <w:marBottom w:val="0"/>
      <w:divBdr>
        <w:top w:val="none" w:sz="0" w:space="0" w:color="auto"/>
        <w:left w:val="none" w:sz="0" w:space="0" w:color="auto"/>
        <w:bottom w:val="none" w:sz="0" w:space="0" w:color="auto"/>
        <w:right w:val="none" w:sz="0" w:space="0" w:color="auto"/>
      </w:divBdr>
    </w:div>
    <w:div w:id="1553618974">
      <w:bodyDiv w:val="1"/>
      <w:marLeft w:val="0"/>
      <w:marRight w:val="0"/>
      <w:marTop w:val="0"/>
      <w:marBottom w:val="0"/>
      <w:divBdr>
        <w:top w:val="none" w:sz="0" w:space="0" w:color="auto"/>
        <w:left w:val="none" w:sz="0" w:space="0" w:color="auto"/>
        <w:bottom w:val="none" w:sz="0" w:space="0" w:color="auto"/>
        <w:right w:val="none" w:sz="0" w:space="0" w:color="auto"/>
      </w:divBdr>
    </w:div>
    <w:div w:id="16006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hhs.gov/ohrp/regulations-and-policy/regulations/45-cfr-46/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ms.ufhealthjax.org/uf-health-jax-trauma-criteria/" TargetMode="External"/><Relationship Id="rId1" Type="http://schemas.openxmlformats.org/officeDocument/2006/relationships/hyperlink" Target="http://airmedical.net/resource/trauma-center-levels-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6AC0-E7C4-4180-BC83-6CB90B0E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7613</Words>
  <Characters>43398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50910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Lindsey Graham</dc:creator>
  <cp:lastModifiedBy>SYSTEM</cp:lastModifiedBy>
  <cp:revision>2</cp:revision>
  <cp:lastPrinted>2018-07-19T17:10:00Z</cp:lastPrinted>
  <dcterms:created xsi:type="dcterms:W3CDTF">2018-09-25T18:40:00Z</dcterms:created>
  <dcterms:modified xsi:type="dcterms:W3CDTF">2018-09-25T18:40:00Z</dcterms:modified>
</cp:coreProperties>
</file>