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00A9C" w14:textId="77777777" w:rsidR="005E5EDB" w:rsidRDefault="005E5EDB" w:rsidP="005E5EDB">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 xml:space="preserve">SUPPORTING STATEMENT FOR </w:t>
      </w:r>
    </w:p>
    <w:p w14:paraId="4093BDB7" w14:textId="77777777" w:rsidR="005E5EDB" w:rsidRDefault="005E5EDB" w:rsidP="005E5EDB">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r>
        <w:rPr>
          <w:rFonts w:ascii="Arial" w:eastAsia="Times New Roman" w:hAnsi="Arial" w:cs="Arial"/>
          <w:b/>
          <w:sz w:val="24"/>
          <w:szCs w:val="24"/>
        </w:rPr>
        <w:t>Application for Individualized Tutorial Assistance</w:t>
      </w:r>
    </w:p>
    <w:p w14:paraId="7EE1F469" w14:textId="77777777" w:rsidR="005E5EDB" w:rsidRDefault="005E5EDB" w:rsidP="005E5EDB">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r>
        <w:rPr>
          <w:rFonts w:ascii="Arial" w:eastAsia="Times New Roman" w:hAnsi="Arial" w:cs="Arial"/>
          <w:b/>
          <w:sz w:val="24"/>
          <w:szCs w:val="24"/>
        </w:rPr>
        <w:t>VA Form 22-1990t</w:t>
      </w:r>
    </w:p>
    <w:p w14:paraId="3D6A65AB" w14:textId="77777777" w:rsidR="005E5EDB" w:rsidRDefault="005E5EDB" w:rsidP="005E5EDB">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r>
        <w:rPr>
          <w:rFonts w:ascii="Arial" w:eastAsia="Times New Roman" w:hAnsi="Arial" w:cs="Arial"/>
          <w:b/>
          <w:sz w:val="24"/>
          <w:szCs w:val="24"/>
        </w:rPr>
        <w:t>OMB 2900-0171</w:t>
      </w:r>
    </w:p>
    <w:p w14:paraId="35CB1EF9"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14:paraId="4C7005BB"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14:paraId="0098B785" w14:textId="77777777" w:rsidR="005E5EDB" w:rsidRDefault="005E5EDB" w:rsidP="005E5EDB">
      <w:pPr>
        <w:overflowPunct w:val="0"/>
        <w:autoSpaceDE w:val="0"/>
        <w:autoSpaceDN w:val="0"/>
        <w:adjustRightInd w:val="0"/>
        <w:spacing w:after="0"/>
        <w:contextualSpacing/>
        <w:jc w:val="both"/>
        <w:rPr>
          <w:rFonts w:ascii="Arial" w:eastAsia="Times New Roman" w:hAnsi="Arial" w:cs="Arial"/>
          <w:b/>
          <w:sz w:val="24"/>
          <w:szCs w:val="24"/>
          <w:u w:val="single"/>
        </w:rPr>
      </w:pPr>
      <w:r>
        <w:rPr>
          <w:rFonts w:ascii="Arial" w:eastAsia="Times New Roman" w:hAnsi="Arial" w:cs="Arial"/>
          <w:b/>
          <w:sz w:val="24"/>
          <w:szCs w:val="24"/>
          <w:u w:val="single"/>
        </w:rPr>
        <w:t>A.  Justification.</w:t>
      </w:r>
    </w:p>
    <w:p w14:paraId="7DC521F5"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14:paraId="0EB4C08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1.</w:t>
      </w:r>
      <w:r>
        <w:rPr>
          <w:rFonts w:ascii="Arial" w:eastAsia="Times New Roman" w:hAnsi="Arial" w:cs="Arial"/>
          <w:b/>
          <w:sz w:val="24"/>
          <w:szCs w:val="24"/>
        </w:rPr>
        <w:tab/>
        <w:t>Explain the circumstances that make the collection of information necessary.  Identify legal or administrative requirements that necessitate the collection of information.</w:t>
      </w:r>
    </w:p>
    <w:p w14:paraId="47499D54"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6E258D82"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The Department of Veterans Affairs (VA) is authorized to pay tutorial assistance under Chapters 30, 32, 33, and 35, Title 38, U.S.C.; Chapters 1606 and 1607, Title 10, U.S.C., Section 903 of Public Law 96-342, and the Omnibus Diplomatic Security and Antiterrorism Act of 1986.  Tutorial assistance is a supplementary allowance payable monthly for up to 12 months.  The student must be training at one-half time or more in a post-secondary degree program, and must have a deficiency in a unit course or subject that is required as part of, or prerequisite to, his or her approved program.  </w:t>
      </w:r>
    </w:p>
    <w:p w14:paraId="31B2A6F1"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2DBB48FD"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The student uses VA Form 22-1990t, Application and Enrollment Certification for Individualized Tutorial Assistance to apply for the supplemental allowance.  </w:t>
      </w:r>
    </w:p>
    <w:p w14:paraId="04EBD8CC"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On the form, the student provides identification information; program and enrollment information; the course or courses for which he or she requires tutoring; the name of the tutor; and the date, number of hours and charges for each tutorial session.  The tutor must verify that he or she provided the tutoring at the specified charges, and that he or she is not a close relative of the student.  The professor at the student's school must verify that the tutoring was necessary for the student's pursuit of a program, that the tutor was qualified, and that the charges for the tutoring did not exceed the customary charges for other students. </w:t>
      </w:r>
    </w:p>
    <w:p w14:paraId="66E8B724"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08C6C04A" w14:textId="77777777" w:rsidR="005E5EDB" w:rsidRDefault="005E5EDB" w:rsidP="005E5EDB">
      <w:pPr>
        <w:rPr>
          <w:rFonts w:ascii="Arial" w:eastAsia="Times New Roman" w:hAnsi="Arial" w:cs="Arial"/>
          <w:b/>
          <w:sz w:val="24"/>
          <w:szCs w:val="24"/>
        </w:rPr>
      </w:pPr>
      <w:r>
        <w:rPr>
          <w:rFonts w:ascii="Arial" w:eastAsia="Times New Roman" w:hAnsi="Arial" w:cs="Arial"/>
          <w:b/>
          <w:sz w:val="24"/>
          <w:szCs w:val="24"/>
        </w:rPr>
        <w:t>2.</w:t>
      </w:r>
      <w:r>
        <w:rPr>
          <w:rFonts w:ascii="Arial" w:eastAsia="Times New Roman" w:hAnsi="Arial" w:cs="Arial"/>
          <w:b/>
          <w:sz w:val="24"/>
          <w:szCs w:val="24"/>
        </w:rPr>
        <w:tab/>
        <w:t>Indicate how, by whom, and for what purposes the information is to be used; indicate actual use the agency has made of the information received from current collection.</w:t>
      </w:r>
    </w:p>
    <w:p w14:paraId="4BCB930D"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5BD52E17"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VA uses the information collected to determine eligibility and payment for tutorial assistance.  Without the information on this form, VA would be unable to determine the applicant's eligibility for tutorial assistance.</w:t>
      </w:r>
    </w:p>
    <w:p w14:paraId="1C56166D"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2DA726EB" w14:textId="77777777" w:rsidR="005E5EDB" w:rsidRDefault="005E5EDB" w:rsidP="005E5EDB">
      <w:pPr>
        <w:rPr>
          <w:rFonts w:ascii="Arial" w:eastAsia="Times New Roman" w:hAnsi="Arial" w:cs="Arial"/>
          <w:sz w:val="24"/>
          <w:szCs w:val="24"/>
        </w:rPr>
      </w:pPr>
      <w:r>
        <w:rPr>
          <w:rFonts w:ascii="Arial" w:eastAsia="Times New Roman" w:hAnsi="Arial" w:cs="Arial"/>
          <w:b/>
          <w:sz w:val="24"/>
          <w:szCs w:val="24"/>
        </w:rPr>
        <w:t>3.</w:t>
      </w:r>
      <w:r>
        <w:rPr>
          <w:rFonts w:ascii="Arial" w:eastAsia="Times New Roman"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08CDE9D" w14:textId="77777777" w:rsidR="005E5EDB" w:rsidRDefault="005E5EDB" w:rsidP="005E5EDB">
      <w:pPr>
        <w:rPr>
          <w:rFonts w:ascii="Arial" w:hAnsi="Arial" w:cs="Arial"/>
          <w:sz w:val="24"/>
          <w:szCs w:val="24"/>
        </w:rPr>
      </w:pPr>
      <w:r>
        <w:rPr>
          <w:rFonts w:ascii="Arial" w:hAnsi="Arial" w:cs="Arial"/>
          <w:sz w:val="24"/>
          <w:szCs w:val="24"/>
        </w:rPr>
        <w:lastRenderedPageBreak/>
        <w:t xml:space="preserve">We considered using the Veterans Online Application (VONAPP) and/or the Vets.gov websites to collect this information electronically but this method doesn’t make sense because the form requires three independent signatures to verify tutorial sessions; that of the applicant, the School Certifying Official (SCO), and the professor.  Instead, we adopted the Right Now Web electronic technology to allow the form to be printed, scanned to a PDF file and submitted.  </w:t>
      </w:r>
    </w:p>
    <w:p w14:paraId="3744ED53" w14:textId="77777777" w:rsidR="005E5EDB" w:rsidRDefault="005E5EDB" w:rsidP="005E5EDB">
      <w:pPr>
        <w:rPr>
          <w:rFonts w:ascii="Arial" w:hAnsi="Arial" w:cs="Arial"/>
          <w:sz w:val="24"/>
          <w:szCs w:val="24"/>
        </w:rPr>
      </w:pPr>
    </w:p>
    <w:p w14:paraId="6A515D25"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Describe efforts to identify duplication.  Show specifically why any similar information already available cannot be used or modified for use for the purposes described in Item 2 above.</w:t>
      </w:r>
    </w:p>
    <w:p w14:paraId="4E6F517F"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1F96550C" w14:textId="77777777" w:rsidR="005E5EDB" w:rsidRDefault="005E5EDB" w:rsidP="005E5EDB">
      <w:pPr>
        <w:rPr>
          <w:rFonts w:ascii="Arial" w:hAnsi="Arial" w:cs="Arial"/>
          <w:sz w:val="24"/>
          <w:szCs w:val="24"/>
        </w:rPr>
      </w:pPr>
      <w:r>
        <w:rPr>
          <w:rFonts w:ascii="Arial" w:hAnsi="Arial" w:cs="Arial"/>
          <w:sz w:val="24"/>
          <w:szCs w:val="24"/>
        </w:rPr>
        <w:t>VA is not aware of any duplication of this information collection.</w:t>
      </w:r>
    </w:p>
    <w:p w14:paraId="65497404"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4DF4A24E"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5.</w:t>
      </w:r>
      <w:r>
        <w:rPr>
          <w:rFonts w:ascii="Arial" w:eastAsia="Times New Roman" w:hAnsi="Arial" w:cs="Arial"/>
          <w:b/>
          <w:sz w:val="24"/>
          <w:szCs w:val="24"/>
        </w:rPr>
        <w:tab/>
        <w:t>If the collection of information impacts small businesses or other small entities, describe any methods used to minimize burden.</w:t>
      </w:r>
    </w:p>
    <w:p w14:paraId="3D0376E8"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14:paraId="48F583B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hAnsi="Arial" w:cs="Arial"/>
          <w:sz w:val="24"/>
          <w:szCs w:val="24"/>
        </w:rPr>
      </w:pPr>
      <w:r>
        <w:rPr>
          <w:rFonts w:ascii="Arial" w:hAnsi="Arial" w:cs="Arial"/>
          <w:sz w:val="24"/>
          <w:szCs w:val="24"/>
        </w:rPr>
        <w:t>The information collection only involves individuals and has no impact on educational institutions or small businesses</w:t>
      </w:r>
    </w:p>
    <w:p w14:paraId="0DC9D5E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131EAB2C"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6.</w:t>
      </w:r>
      <w:r>
        <w:rPr>
          <w:rFonts w:ascii="Arial" w:eastAsia="Times New Roman" w:hAnsi="Arial" w:cs="Arial"/>
          <w:b/>
          <w:sz w:val="24"/>
          <w:szCs w:val="24"/>
        </w:rPr>
        <w:tab/>
        <w:t>Describe the consequences to Federal program or policy activities if the collection is not conducted or is conducted less frequently as well as any technical or legal obstacles to reducing burden.</w:t>
      </w:r>
    </w:p>
    <w:p w14:paraId="1A9984B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0E841547"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If this information is not collected or collected less often, VA may not be able to properly administer payments.  This would place an unnecessary financial burden on the claimant, who would have to pay for tutoring without assistance from VA.  To properly administer payments, VA must have information about the number and date of each tutoring session, the cost for each session, and the total cost for all sessions.  The form is used by the claimant at the time of application for tutorial assistance.  There are no technical or legal obstacles to reducing the burden of this information collection.</w:t>
      </w:r>
    </w:p>
    <w:p w14:paraId="7C31074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7FF026DF"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7.</w:t>
      </w:r>
      <w:r>
        <w:rPr>
          <w:rFonts w:ascii="Arial" w:eastAsia="Times New Roman" w:hAnsi="Arial"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B102655"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759B655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Cs/>
          <w:sz w:val="24"/>
          <w:szCs w:val="24"/>
        </w:rPr>
      </w:pPr>
      <w:r>
        <w:rPr>
          <w:rFonts w:ascii="Arial" w:eastAsia="Times New Roman" w:hAnsi="Arial" w:cs="Arial"/>
          <w:bCs/>
          <w:sz w:val="24"/>
          <w:szCs w:val="24"/>
        </w:rPr>
        <w:t>There is no special circumstance requiring collection in a manner inconsistent with 5 CFR 1320.6 guidelines</w:t>
      </w:r>
    </w:p>
    <w:p w14:paraId="658AB77B"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15ADC89F"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lastRenderedPageBreak/>
        <w:t>8.</w:t>
      </w:r>
      <w:r>
        <w:rPr>
          <w:rFonts w:ascii="Arial" w:eastAsia="Times New Roman" w:hAnsi="Arial" w:cs="Arial"/>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46F6348F"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6E4B1FA6" w14:textId="77777777" w:rsidR="005E5EDB" w:rsidRDefault="005E5EDB" w:rsidP="005E5EDB">
      <w:pPr>
        <w:ind w:right="90"/>
        <w:jc w:val="both"/>
        <w:rPr>
          <w:rFonts w:ascii="Arial" w:hAnsi="Arial" w:cs="Arial"/>
          <w:sz w:val="24"/>
          <w:szCs w:val="24"/>
        </w:rPr>
      </w:pPr>
      <w:r>
        <w:rPr>
          <w:rFonts w:ascii="Arial" w:hAnsi="Arial" w:cs="Arial"/>
          <w:sz w:val="24"/>
          <w:szCs w:val="24"/>
        </w:rPr>
        <w:t>The Department notice was published in the Federal Register on November 21, 2017, Volume 82, No. 223, pages 55489-55490.  No comments were received in response to this notice.</w:t>
      </w:r>
    </w:p>
    <w:p w14:paraId="530A0B01"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43550E3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9.</w:t>
      </w:r>
      <w:r>
        <w:rPr>
          <w:rFonts w:ascii="Arial" w:eastAsia="Times New Roman" w:hAnsi="Arial" w:cs="Arial"/>
          <w:b/>
          <w:sz w:val="24"/>
          <w:szCs w:val="24"/>
        </w:rPr>
        <w:tab/>
        <w:t>Explain any decision to provide any payment or gift to respondents, other than remuneration of contractors or grantees.</w:t>
      </w:r>
    </w:p>
    <w:p w14:paraId="310E25B3" w14:textId="77777777" w:rsidR="005E5EDB" w:rsidRDefault="005E5EDB" w:rsidP="005E5EDB">
      <w:pPr>
        <w:rPr>
          <w:rFonts w:ascii="Arial" w:hAnsi="Arial" w:cs="Arial"/>
          <w:sz w:val="24"/>
          <w:szCs w:val="24"/>
        </w:rPr>
      </w:pPr>
    </w:p>
    <w:p w14:paraId="06C90AD7" w14:textId="77777777" w:rsidR="005E5EDB" w:rsidRDefault="005E5EDB" w:rsidP="005E5EDB">
      <w:pPr>
        <w:tabs>
          <w:tab w:val="left" w:pos="480"/>
          <w:tab w:val="right" w:pos="8640"/>
        </w:tabs>
        <w:spacing w:after="0"/>
        <w:ind w:right="684"/>
        <w:contextualSpacing/>
        <w:rPr>
          <w:rFonts w:ascii="Arial" w:eastAsia="Times New Roman" w:hAnsi="Arial" w:cs="Arial"/>
          <w:bCs/>
          <w:sz w:val="24"/>
          <w:szCs w:val="24"/>
        </w:rPr>
      </w:pPr>
      <w:r>
        <w:rPr>
          <w:rFonts w:ascii="Arial" w:eastAsia="Times New Roman" w:hAnsi="Arial" w:cs="Arial"/>
          <w:bCs/>
          <w:sz w:val="24"/>
          <w:szCs w:val="24"/>
        </w:rPr>
        <w:t>No payments or gifts to respondents have been made under this collection of information.</w:t>
      </w:r>
    </w:p>
    <w:p w14:paraId="69B1802B"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598ED5F3"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10.</w:t>
      </w:r>
      <w:r>
        <w:rPr>
          <w:rFonts w:ascii="Arial" w:eastAsia="Times New Roman" w:hAnsi="Arial" w:cs="Arial"/>
          <w:b/>
          <w:sz w:val="24"/>
          <w:szCs w:val="24"/>
        </w:rPr>
        <w:tab/>
        <w:t>Describe any assurance of privacy to the extent permitted by law provided to respondents and the basis for the assurance in statute, regulation, or agency policy.</w:t>
      </w:r>
    </w:p>
    <w:p w14:paraId="57B2AD6F"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7CB45336"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VA Form 22-1990t is retained permanently in the claimant’s education folder. Our assurance of confidentiality is mandated by the legal provisions in 38 U.S.C. 5701. </w:t>
      </w:r>
    </w:p>
    <w:p w14:paraId="2CE9414B"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0B7AABB2"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VA published a System of Records Notice (SORN) to the Federal Register on July 19, 2012, covering our System of Records for</w:t>
      </w:r>
      <w:r>
        <w:rPr>
          <w:rFonts w:ascii="Arial" w:eastAsia="Times New Roman" w:hAnsi="Arial" w:cs="Arial"/>
          <w:sz w:val="24"/>
          <w:szCs w:val="24"/>
          <w:u w:val="single"/>
        </w:rPr>
        <w:t xml:space="preserve"> </w:t>
      </w:r>
      <w:bookmarkStart w:id="1" w:name="_Hlk523223869"/>
      <w:r>
        <w:rPr>
          <w:rFonts w:ascii="Arial" w:eastAsia="Times New Roman" w:hAnsi="Arial" w:cs="Arial"/>
          <w:sz w:val="24"/>
          <w:szCs w:val="24"/>
          <w:u w:val="single"/>
        </w:rPr>
        <w:t>Compensation, Pension, Education, and Vocational Rehabilitation and Employment Records – for VA System of Records Number (58VA21/22/28</w:t>
      </w:r>
      <w:bookmarkEnd w:id="1"/>
      <w:r>
        <w:rPr>
          <w:rFonts w:ascii="Arial" w:eastAsia="Times New Roman" w:hAnsi="Arial" w:cs="Arial"/>
          <w:sz w:val="24"/>
          <w:szCs w:val="24"/>
          <w:u w:val="single"/>
        </w:rPr>
        <w:t>)</w:t>
      </w:r>
      <w:r>
        <w:rPr>
          <w:rFonts w:ascii="Arial" w:eastAsia="Times New Roman" w:hAnsi="Arial" w:cs="Arial"/>
          <w:sz w:val="24"/>
          <w:szCs w:val="24"/>
        </w:rPr>
        <w:t>.  This information is contained in the Privacy Act Issuances, 2012 Compilation.  The document’s citation is 77 FR 42593, pages 42593-42615, document number 2012-17507.</w:t>
      </w:r>
    </w:p>
    <w:p w14:paraId="7C199025"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7BBBDC64"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11.</w:t>
      </w:r>
      <w:r>
        <w:rPr>
          <w:rFonts w:ascii="Arial" w:eastAsia="Times New Roman"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102D964"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155AD548" w14:textId="77777777" w:rsidR="005E5EDB" w:rsidRDefault="005E5EDB" w:rsidP="005E5EDB">
      <w:pPr>
        <w:rPr>
          <w:rFonts w:ascii="Arial" w:eastAsia="Times New Roman" w:hAnsi="Arial" w:cs="Arial"/>
          <w:sz w:val="24"/>
          <w:szCs w:val="24"/>
        </w:rPr>
      </w:pPr>
      <w:r>
        <w:rPr>
          <w:rFonts w:ascii="Arial" w:eastAsia="Times New Roman" w:hAnsi="Arial" w:cs="Arial"/>
          <w:sz w:val="24"/>
          <w:szCs w:val="24"/>
        </w:rPr>
        <w:t>There are no questions of a sensitive nature.</w:t>
      </w:r>
    </w:p>
    <w:p w14:paraId="58B4D9AF"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2D10070F" w14:textId="77777777" w:rsidR="005E5EDB" w:rsidRDefault="005E5EDB" w:rsidP="005E5EDB">
      <w:pPr>
        <w:rPr>
          <w:rFonts w:ascii="Arial" w:eastAsia="Times New Roman" w:hAnsi="Arial" w:cs="Arial"/>
          <w:b/>
          <w:sz w:val="24"/>
          <w:szCs w:val="24"/>
        </w:rPr>
      </w:pPr>
      <w:r>
        <w:rPr>
          <w:rFonts w:ascii="Arial" w:eastAsia="Times New Roman" w:hAnsi="Arial" w:cs="Arial"/>
          <w:b/>
          <w:sz w:val="24"/>
          <w:szCs w:val="24"/>
        </w:rPr>
        <w:t>12.</w:t>
      </w:r>
      <w:r>
        <w:rPr>
          <w:rFonts w:ascii="Arial" w:eastAsia="Times New Roman" w:hAnsi="Arial"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5AEBA749"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1D7D7762"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The estimated annual burden for the collection of the information is 179 hours based on the total number of respondents of 1078.  There was a total of 1047 respondents for chapters 30, 33, 1606 and 1607.  There was a total of 31 respondents for chapters 32 and 35.  The respondent data was used for FY 2013 through 2015. These amounts average to approximately </w:t>
      </w:r>
      <w:r>
        <w:rPr>
          <w:rFonts w:ascii="Arial" w:eastAsia="Times New Roman" w:hAnsi="Arial" w:cs="Arial"/>
          <w:b/>
          <w:sz w:val="24"/>
          <w:szCs w:val="24"/>
        </w:rPr>
        <w:t xml:space="preserve">359 </w:t>
      </w:r>
      <w:r>
        <w:rPr>
          <w:rFonts w:ascii="Arial" w:eastAsia="Times New Roman" w:hAnsi="Arial" w:cs="Arial"/>
          <w:sz w:val="24"/>
          <w:szCs w:val="24"/>
        </w:rPr>
        <w:t xml:space="preserve">respondents per year.  </w:t>
      </w:r>
    </w:p>
    <w:p w14:paraId="7159B899" w14:textId="77777777" w:rsidR="005E5EDB" w:rsidRDefault="005E5EDB" w:rsidP="005E5EDB">
      <w:pPr>
        <w:tabs>
          <w:tab w:val="left" w:pos="720"/>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1A0BC929"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eastAsia="Times New Roman" w:hAnsi="Arial" w:cs="Arial"/>
          <w:sz w:val="24"/>
          <w:szCs w:val="24"/>
        </w:rPr>
        <w:t xml:space="preserve">a. </w:t>
      </w:r>
      <w:r>
        <w:rPr>
          <w:rFonts w:ascii="Arial" w:hAnsi="Arial" w:cs="Arial"/>
          <w:sz w:val="24"/>
          <w:szCs w:val="24"/>
        </w:rPr>
        <w:t>Number of Respondents: 359</w:t>
      </w:r>
    </w:p>
    <w:p w14:paraId="5130DBDF"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14:paraId="5A6FD9C5"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b. Frequency of Response:  2 responses annually</w:t>
      </w:r>
    </w:p>
    <w:p w14:paraId="100239A7"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14:paraId="29AD9546" w14:textId="77777777" w:rsidR="00610316"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 xml:space="preserve">c. Annual Burden Hours:   </w:t>
      </w:r>
      <w:r w:rsidR="00DF24DA">
        <w:rPr>
          <w:rFonts w:ascii="Arial" w:hAnsi="Arial" w:cs="Arial"/>
          <w:sz w:val="24"/>
          <w:szCs w:val="24"/>
        </w:rPr>
        <w:t xml:space="preserve">359 </w:t>
      </w:r>
    </w:p>
    <w:p w14:paraId="406A8267" w14:textId="18D7CBAE" w:rsidR="005E5EDB" w:rsidRDefault="00DF24DA"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(359 respondents x 2 responses per annually x 30 minutes per response</w:t>
      </w:r>
      <w:r w:rsidR="00AC10FD">
        <w:rPr>
          <w:rFonts w:ascii="Arial" w:hAnsi="Arial" w:cs="Arial"/>
          <w:sz w:val="24"/>
          <w:szCs w:val="24"/>
        </w:rPr>
        <w:t xml:space="preserve"> / 60 minutes per hour</w:t>
      </w:r>
      <w:r>
        <w:rPr>
          <w:rFonts w:ascii="Arial" w:hAnsi="Arial" w:cs="Arial"/>
          <w:sz w:val="24"/>
          <w:szCs w:val="24"/>
        </w:rPr>
        <w:t>)</w:t>
      </w:r>
      <w:r w:rsidR="00610316" w:rsidDel="00610316">
        <w:rPr>
          <w:rFonts w:ascii="Arial" w:hAnsi="Arial" w:cs="Arial"/>
          <w:sz w:val="24"/>
          <w:szCs w:val="24"/>
        </w:rPr>
        <w:t xml:space="preserve"> </w:t>
      </w:r>
    </w:p>
    <w:p w14:paraId="51196EE0"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14:paraId="57BF6FD3"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d. Estimated Completion Time per response: 30 minutes</w:t>
      </w:r>
    </w:p>
    <w:p w14:paraId="6631D36F" w14:textId="77777777" w:rsidR="005E5EDB" w:rsidRDefault="005E5EDB" w:rsidP="005E5EDB">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14:paraId="208924BD" w14:textId="77777777" w:rsidR="005E5EDB" w:rsidRDefault="005E5EDB" w:rsidP="00E46561">
      <w:pPr>
        <w:tabs>
          <w:tab w:val="left" w:pos="480"/>
          <w:tab w:val="left" w:pos="1080"/>
          <w:tab w:val="left" w:pos="1680"/>
        </w:tabs>
        <w:overflowPunct w:val="0"/>
        <w:autoSpaceDE w:val="0"/>
        <w:autoSpaceDN w:val="0"/>
        <w:adjustRightInd w:val="0"/>
        <w:spacing w:after="0"/>
        <w:contextualSpacing/>
        <w:rPr>
          <w:rFonts w:ascii="Arial" w:hAnsi="Arial" w:cs="Arial"/>
          <w:sz w:val="24"/>
          <w:szCs w:val="24"/>
        </w:rPr>
      </w:pPr>
      <w:r>
        <w:rPr>
          <w:rFonts w:ascii="Arial" w:hAnsi="Arial" w:cs="Arial"/>
          <w:sz w:val="24"/>
          <w:szCs w:val="24"/>
        </w:rPr>
        <w:t xml:space="preserve">e. The respondent population consists of beneficiaries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48533137" w14:textId="77777777" w:rsidR="005E5EDB" w:rsidRDefault="005E5EDB" w:rsidP="00E46561">
      <w:pPr>
        <w:tabs>
          <w:tab w:val="left" w:pos="480"/>
          <w:tab w:val="left" w:pos="1080"/>
          <w:tab w:val="left" w:pos="1680"/>
        </w:tabs>
        <w:ind w:left="360"/>
        <w:contextualSpacing/>
        <w:rPr>
          <w:rFonts w:ascii="Arial" w:hAnsi="Arial" w:cs="Arial"/>
          <w:sz w:val="24"/>
          <w:szCs w:val="24"/>
        </w:rPr>
      </w:pPr>
    </w:p>
    <w:p w14:paraId="3A93DA8E" w14:textId="77777777" w:rsidR="005E5EDB" w:rsidRDefault="005E5EDB" w:rsidP="00E46561">
      <w:pPr>
        <w:tabs>
          <w:tab w:val="left" w:pos="480"/>
          <w:tab w:val="left" w:pos="1080"/>
          <w:tab w:val="left" w:pos="1680"/>
        </w:tabs>
      </w:pPr>
      <w:r>
        <w:rPr>
          <w:rFonts w:ascii="Arial" w:hAnsi="Arial" w:cs="Arial"/>
          <w:sz w:val="24"/>
          <w:szCs w:val="24"/>
        </w:rPr>
        <w:t>The Bureau of Labor Statistics gathers information on full-time wage and salary workers.  Accordingly, the mean hourly wage is $24.34.  The general wage code of “00-000-0000 for “All Occupations” may be found by clicking this link https://www.bls.gov/oes/2017/may/oes_nat.htm#00-0000.</w:t>
      </w:r>
    </w:p>
    <w:p w14:paraId="55344FAD" w14:textId="77777777" w:rsidR="005E5EDB" w:rsidRDefault="005E5EDB" w:rsidP="00E46561">
      <w:pPr>
        <w:tabs>
          <w:tab w:val="left" w:pos="480"/>
          <w:tab w:val="left" w:pos="1080"/>
          <w:tab w:val="left" w:pos="1680"/>
        </w:tabs>
        <w:rPr>
          <w:rFonts w:ascii="Arial" w:hAnsi="Arial" w:cs="Arial"/>
          <w:sz w:val="24"/>
          <w:szCs w:val="24"/>
        </w:rPr>
      </w:pPr>
      <w:r>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14:paraId="52E194BC" w14:textId="77777777" w:rsidR="005E5EDB" w:rsidRDefault="005E5EDB" w:rsidP="005E5EDB">
      <w:pPr>
        <w:tabs>
          <w:tab w:val="left" w:pos="480"/>
          <w:tab w:val="left" w:pos="1080"/>
          <w:tab w:val="left" w:pos="1680"/>
        </w:tabs>
        <w:jc w:val="both"/>
        <w:rPr>
          <w:rFonts w:ascii="Arial" w:hAnsi="Arial" w:cs="Arial"/>
          <w:color w:val="000000" w:themeColor="text1"/>
          <w:sz w:val="24"/>
          <w:szCs w:val="24"/>
        </w:rPr>
      </w:pPr>
    </w:p>
    <w:p w14:paraId="3313D7EC" w14:textId="77777777" w:rsidR="005E5EDB" w:rsidRDefault="005E5EDB" w:rsidP="005E5EDB">
      <w:pPr>
        <w:tabs>
          <w:tab w:val="left" w:pos="480"/>
          <w:tab w:val="left" w:pos="1080"/>
          <w:tab w:val="left" w:pos="1680"/>
        </w:tabs>
        <w:jc w:val="both"/>
        <w:rPr>
          <w:rFonts w:ascii="Arial" w:hAnsi="Arial" w:cs="Arial"/>
          <w:color w:val="000000" w:themeColor="text1"/>
          <w:sz w:val="24"/>
          <w:szCs w:val="24"/>
        </w:rPr>
      </w:pPr>
      <w:r>
        <w:rPr>
          <w:rFonts w:ascii="Arial" w:hAnsi="Arial" w:cs="Arial"/>
          <w:color w:val="000000" w:themeColor="text1"/>
          <w:sz w:val="24"/>
          <w:szCs w:val="24"/>
        </w:rPr>
        <w:t>VBA estimates the total cost to all respondents to be $4,356 (179 burden hours X $24.34 per hour).</w:t>
      </w:r>
    </w:p>
    <w:p w14:paraId="1B4F5A98" w14:textId="77777777" w:rsidR="005E5EDB" w:rsidRDefault="005E5EDB" w:rsidP="005E5EDB">
      <w:pPr>
        <w:tabs>
          <w:tab w:val="left" w:pos="576"/>
          <w:tab w:val="left" w:pos="576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14:paraId="4E53353C" w14:textId="77777777" w:rsidR="005E5EDB" w:rsidRDefault="005E5EDB" w:rsidP="005E5EDB">
      <w:pPr>
        <w:tabs>
          <w:tab w:val="left" w:pos="576"/>
          <w:tab w:val="left" w:pos="5760"/>
          <w:tab w:val="left" w:pos="8928"/>
        </w:tabs>
        <w:overflowPunct w:val="0"/>
        <w:autoSpaceDE w:val="0"/>
        <w:autoSpaceDN w:val="0"/>
        <w:adjustRightInd w:val="0"/>
        <w:spacing w:after="0"/>
        <w:contextualSpacing/>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13.</w:t>
      </w:r>
      <w:r>
        <w:rPr>
          <w:rFonts w:ascii="Arial" w:eastAsia="Times New Roman" w:hAnsi="Arial" w:cs="Arial"/>
          <w:b/>
          <w:color w:val="000000" w:themeColor="text1"/>
          <w:sz w:val="24"/>
          <w:szCs w:val="24"/>
        </w:rPr>
        <w:tab/>
        <w:t>Provide an estimate of the total annual cost burden to respondents or record-keepers resulting from the collection of information.  (Do not include the cost of any hour burden shown in Items 12 and 14).</w:t>
      </w:r>
    </w:p>
    <w:p w14:paraId="692E2B97" w14:textId="77777777" w:rsidR="005E5EDB" w:rsidRDefault="005E5EDB" w:rsidP="005E5EDB">
      <w:pPr>
        <w:tabs>
          <w:tab w:val="left" w:pos="576"/>
          <w:tab w:val="left" w:pos="576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14:paraId="2B4B362B" w14:textId="77777777" w:rsidR="005E5EDB" w:rsidRDefault="005E5EDB" w:rsidP="005E5EDB">
      <w:pPr>
        <w:tabs>
          <w:tab w:val="left" w:pos="576"/>
          <w:tab w:val="left" w:pos="576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This submission does not involve any record keeping costs.</w:t>
      </w:r>
    </w:p>
    <w:p w14:paraId="7F69E230"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14:paraId="1C175216" w14:textId="77777777" w:rsidR="005E5EDB" w:rsidRDefault="005E5EDB" w:rsidP="005E5EDB">
      <w:pPr>
        <w:pStyle w:val="Heading2"/>
        <w:jc w:val="both"/>
        <w:rPr>
          <w:rFonts w:ascii="Arial" w:hAnsi="Arial" w:cs="Arial"/>
          <w:color w:val="000000" w:themeColor="text1"/>
          <w:szCs w:val="24"/>
        </w:rPr>
      </w:pPr>
      <w:r>
        <w:rPr>
          <w:rFonts w:ascii="Arial" w:hAnsi="Arial" w:cs="Arial"/>
          <w:color w:val="000000" w:themeColor="text1"/>
          <w:szCs w:val="24"/>
        </w:rPr>
        <w:t>14.</w:t>
      </w:r>
      <w:r>
        <w:rPr>
          <w:rFonts w:ascii="Arial" w:hAnsi="Arial" w:cs="Arial"/>
          <w:color w:val="000000" w:themeColor="text1"/>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5B4D934"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The annual cost to the U. S. Government for administering the forms is estimated </w:t>
      </w:r>
      <w:r>
        <w:rPr>
          <w:rFonts w:ascii="Arial" w:eastAsia="Times New Roman" w:hAnsi="Arial" w:cs="Arial"/>
          <w:color w:val="000000"/>
          <w:sz w:val="24"/>
          <w:szCs w:val="24"/>
        </w:rPr>
        <w:t>at $4,331 ($1,644 + $2,687).</w:t>
      </w:r>
      <w:r>
        <w:rPr>
          <w:rFonts w:ascii="Arial" w:eastAsia="Times New Roman" w:hAnsi="Arial" w:cs="Arial"/>
          <w:sz w:val="24"/>
          <w:szCs w:val="24"/>
        </w:rPr>
        <w:t xml:space="preserve">  This estimate is based on 359 average responses annually.  The cost is composed of the following:</w:t>
      </w:r>
    </w:p>
    <w:p w14:paraId="45FD771B"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27CF3122" w14:textId="77777777" w:rsidR="005E5EDB" w:rsidRDefault="005E5EDB" w:rsidP="005E5EDB">
      <w:pPr>
        <w:numPr>
          <w:ilvl w:val="0"/>
          <w:numId w:val="1"/>
        </w:numPr>
        <w:tabs>
          <w:tab w:val="left" w:pos="360"/>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An initial processing cost of $1,644 is based on processing time of 10 minutes per application in the Education Division using the salary of a GS 9/5 Claims Examiner ($27.48 per hour X 359 X.10/60).  </w:t>
      </w:r>
    </w:p>
    <w:p w14:paraId="529CB586" w14:textId="77777777" w:rsidR="005E5EDB" w:rsidRDefault="005E5EDB" w:rsidP="005E5EDB">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60ECBD27" w14:textId="77777777" w:rsidR="005E5EDB" w:rsidRDefault="005E5EDB" w:rsidP="005E5EDB">
      <w:pPr>
        <w:numPr>
          <w:ilvl w:val="0"/>
          <w:numId w:val="1"/>
        </w:numPr>
        <w:tabs>
          <w:tab w:val="left" w:pos="360"/>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 xml:space="preserve">A secondary processing cost of $2,687 is based on processing time of 20 minutes in the Finance Activity using the salary of a GS 7/5 Financial Analyst ($22.46 per hour X 359 X.20/60).  </w:t>
      </w:r>
    </w:p>
    <w:p w14:paraId="75217B73" w14:textId="77777777" w:rsidR="005E5EDB" w:rsidRDefault="005E5EDB" w:rsidP="005E5EDB">
      <w:pPr>
        <w:tabs>
          <w:tab w:val="left" w:pos="360"/>
          <w:tab w:val="left" w:pos="4896"/>
          <w:tab w:val="left" w:pos="8928"/>
        </w:tabs>
        <w:overflowPunct w:val="0"/>
        <w:autoSpaceDE w:val="0"/>
        <w:autoSpaceDN w:val="0"/>
        <w:adjustRightInd w:val="0"/>
        <w:spacing w:after="0"/>
        <w:contextualSpacing/>
        <w:rPr>
          <w:rFonts w:ascii="Arial" w:eastAsia="Times New Roman" w:hAnsi="Arial" w:cs="Arial"/>
          <w:color w:val="000000"/>
          <w:sz w:val="24"/>
          <w:szCs w:val="24"/>
        </w:rPr>
      </w:pPr>
    </w:p>
    <w:p w14:paraId="2089D567" w14:textId="77777777" w:rsidR="005E5EDB" w:rsidRDefault="005E5EDB" w:rsidP="005E5EDB">
      <w:pPr>
        <w:tabs>
          <w:tab w:val="left" w:pos="480"/>
          <w:tab w:val="right" w:pos="8640"/>
        </w:tabs>
        <w:spacing w:after="0"/>
        <w:ind w:left="720" w:right="684"/>
        <w:contextualSpacing/>
        <w:rPr>
          <w:rFonts w:ascii="Arial" w:eastAsia="Times New Roman" w:hAnsi="Arial" w:cs="Arial"/>
          <w:sz w:val="24"/>
          <w:szCs w:val="20"/>
        </w:rPr>
      </w:pPr>
    </w:p>
    <w:p w14:paraId="62CC962D" w14:textId="77777777" w:rsidR="005E5EDB" w:rsidRDefault="005E5EDB" w:rsidP="005E5EDB">
      <w:pPr>
        <w:tabs>
          <w:tab w:val="left" w:pos="480"/>
          <w:tab w:val="right" w:pos="8640"/>
        </w:tabs>
        <w:spacing w:after="0"/>
        <w:ind w:right="684"/>
        <w:contextualSpacing/>
        <w:rPr>
          <w:rFonts w:ascii="Arial" w:eastAsia="Times New Roman" w:hAnsi="Arial" w:cs="Arial"/>
          <w:sz w:val="24"/>
          <w:szCs w:val="24"/>
        </w:rPr>
      </w:pPr>
      <w:r>
        <w:rPr>
          <w:rFonts w:ascii="Arial" w:eastAsia="Times New Roman" w:hAnsi="Arial" w:cs="Arial"/>
          <w:sz w:val="24"/>
          <w:szCs w:val="20"/>
        </w:rPr>
        <w:t xml:space="preserve">      Estimated </w:t>
      </w:r>
      <w:r>
        <w:rPr>
          <w:rFonts w:ascii="Arial" w:eastAsia="Times New Roman" w:hAnsi="Arial" w:cs="Arial"/>
          <w:sz w:val="24"/>
          <w:szCs w:val="24"/>
        </w:rPr>
        <w:t>Costs to the Federal Government:</w:t>
      </w:r>
    </w:p>
    <w:p w14:paraId="5DAA1A4E" w14:textId="77777777" w:rsidR="005E5EDB" w:rsidRDefault="005E5EDB" w:rsidP="005E5EDB">
      <w:pPr>
        <w:tabs>
          <w:tab w:val="left" w:pos="480"/>
          <w:tab w:val="right" w:pos="4680"/>
          <w:tab w:val="right" w:pos="8640"/>
        </w:tabs>
        <w:spacing w:after="0"/>
        <w:ind w:left="720" w:right="684"/>
        <w:contextualSpacing/>
        <w:rPr>
          <w:rFonts w:ascii="Arial" w:eastAsia="Times New Roman" w:hAnsi="Arial" w:cs="Arial"/>
          <w:sz w:val="24"/>
          <w:szCs w:val="24"/>
        </w:rPr>
      </w:pPr>
    </w:p>
    <w:tbl>
      <w:tblPr>
        <w:tblpPr w:leftFromText="180" w:rightFromText="180" w:bottomFromText="200" w:vertAnchor="text" w:horzAnchor="page" w:tblpX="1853" w:tblpY="-129"/>
        <w:tblW w:w="8298" w:type="dxa"/>
        <w:tblLook w:val="04A0" w:firstRow="1" w:lastRow="0" w:firstColumn="1" w:lastColumn="0" w:noHBand="0" w:noVBand="1"/>
      </w:tblPr>
      <w:tblGrid>
        <w:gridCol w:w="884"/>
        <w:gridCol w:w="710"/>
        <w:gridCol w:w="990"/>
        <w:gridCol w:w="1177"/>
        <w:gridCol w:w="1297"/>
        <w:gridCol w:w="1533"/>
        <w:gridCol w:w="1707"/>
      </w:tblGrid>
      <w:tr w:rsidR="005E5EDB" w14:paraId="1B60977F" w14:textId="77777777" w:rsidTr="005E5EDB">
        <w:trPr>
          <w:trHeight w:val="492"/>
        </w:trPr>
        <w:tc>
          <w:tcPr>
            <w:tcW w:w="884" w:type="dxa"/>
            <w:tcBorders>
              <w:top w:val="single" w:sz="4" w:space="0" w:color="auto"/>
              <w:left w:val="single" w:sz="4" w:space="0" w:color="auto"/>
              <w:bottom w:val="single" w:sz="4" w:space="0" w:color="auto"/>
              <w:right w:val="single" w:sz="4" w:space="0" w:color="auto"/>
            </w:tcBorders>
            <w:vAlign w:val="bottom"/>
            <w:hideMark/>
          </w:tcPr>
          <w:p w14:paraId="61C019FF"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Grade</w:t>
            </w:r>
          </w:p>
        </w:tc>
        <w:tc>
          <w:tcPr>
            <w:tcW w:w="710" w:type="dxa"/>
            <w:tcBorders>
              <w:top w:val="single" w:sz="4" w:space="0" w:color="auto"/>
              <w:left w:val="nil"/>
              <w:bottom w:val="single" w:sz="4" w:space="0" w:color="auto"/>
              <w:right w:val="single" w:sz="4" w:space="0" w:color="auto"/>
            </w:tcBorders>
            <w:vAlign w:val="bottom"/>
            <w:hideMark/>
          </w:tcPr>
          <w:p w14:paraId="21B2288D"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Step</w:t>
            </w:r>
          </w:p>
        </w:tc>
        <w:tc>
          <w:tcPr>
            <w:tcW w:w="990" w:type="dxa"/>
            <w:tcBorders>
              <w:top w:val="single" w:sz="4" w:space="0" w:color="auto"/>
              <w:left w:val="nil"/>
              <w:bottom w:val="single" w:sz="4" w:space="0" w:color="auto"/>
              <w:right w:val="single" w:sz="4" w:space="0" w:color="auto"/>
            </w:tcBorders>
            <w:vAlign w:val="bottom"/>
            <w:hideMark/>
          </w:tcPr>
          <w:p w14:paraId="4ACA65B1"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Burden Time</w:t>
            </w:r>
          </w:p>
        </w:tc>
        <w:tc>
          <w:tcPr>
            <w:tcW w:w="1177" w:type="dxa"/>
            <w:tcBorders>
              <w:top w:val="single" w:sz="4" w:space="0" w:color="auto"/>
              <w:left w:val="nil"/>
              <w:bottom w:val="single" w:sz="4" w:space="0" w:color="auto"/>
              <w:right w:val="single" w:sz="4" w:space="0" w:color="auto"/>
            </w:tcBorders>
            <w:vAlign w:val="bottom"/>
            <w:hideMark/>
          </w:tcPr>
          <w:p w14:paraId="51AC012E"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Hourly Rate</w:t>
            </w:r>
          </w:p>
        </w:tc>
        <w:tc>
          <w:tcPr>
            <w:tcW w:w="1297" w:type="dxa"/>
            <w:tcBorders>
              <w:top w:val="single" w:sz="4" w:space="0" w:color="auto"/>
              <w:left w:val="nil"/>
              <w:bottom w:val="single" w:sz="4" w:space="0" w:color="auto"/>
              <w:right w:val="single" w:sz="4" w:space="0" w:color="auto"/>
            </w:tcBorders>
            <w:vAlign w:val="bottom"/>
            <w:hideMark/>
          </w:tcPr>
          <w:p w14:paraId="4EB61F4C"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vAlign w:val="bottom"/>
            <w:hideMark/>
          </w:tcPr>
          <w:p w14:paraId="3BDB7B6E"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Total Responses</w:t>
            </w:r>
          </w:p>
        </w:tc>
        <w:tc>
          <w:tcPr>
            <w:tcW w:w="1707" w:type="dxa"/>
            <w:tcBorders>
              <w:top w:val="single" w:sz="4" w:space="0" w:color="auto"/>
              <w:left w:val="nil"/>
              <w:bottom w:val="single" w:sz="4" w:space="0" w:color="auto"/>
              <w:right w:val="single" w:sz="4" w:space="0" w:color="auto"/>
            </w:tcBorders>
            <w:vAlign w:val="bottom"/>
            <w:hideMark/>
          </w:tcPr>
          <w:p w14:paraId="6E1AF61D"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Total</w:t>
            </w:r>
          </w:p>
        </w:tc>
      </w:tr>
      <w:tr w:rsidR="005E5EDB" w14:paraId="118F3171" w14:textId="77777777" w:rsidTr="005E5EDB">
        <w:trPr>
          <w:trHeight w:val="288"/>
        </w:trPr>
        <w:tc>
          <w:tcPr>
            <w:tcW w:w="884" w:type="dxa"/>
            <w:tcBorders>
              <w:top w:val="nil"/>
              <w:left w:val="single" w:sz="4" w:space="0" w:color="auto"/>
              <w:bottom w:val="single" w:sz="4" w:space="0" w:color="auto"/>
              <w:right w:val="single" w:sz="4" w:space="0" w:color="auto"/>
            </w:tcBorders>
            <w:vAlign w:val="bottom"/>
            <w:hideMark/>
          </w:tcPr>
          <w:p w14:paraId="63A09869"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09</w:t>
            </w:r>
          </w:p>
        </w:tc>
        <w:tc>
          <w:tcPr>
            <w:tcW w:w="710" w:type="dxa"/>
            <w:tcBorders>
              <w:top w:val="nil"/>
              <w:left w:val="nil"/>
              <w:bottom w:val="single" w:sz="4" w:space="0" w:color="auto"/>
              <w:right w:val="single" w:sz="4" w:space="0" w:color="auto"/>
            </w:tcBorders>
            <w:vAlign w:val="bottom"/>
            <w:hideMark/>
          </w:tcPr>
          <w:p w14:paraId="2303D39B"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vAlign w:val="bottom"/>
            <w:hideMark/>
          </w:tcPr>
          <w:p w14:paraId="64D9A484"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10</w:t>
            </w:r>
          </w:p>
        </w:tc>
        <w:tc>
          <w:tcPr>
            <w:tcW w:w="1177" w:type="dxa"/>
            <w:tcBorders>
              <w:top w:val="nil"/>
              <w:left w:val="nil"/>
              <w:bottom w:val="single" w:sz="4" w:space="0" w:color="auto"/>
              <w:right w:val="single" w:sz="4" w:space="0" w:color="auto"/>
            </w:tcBorders>
            <w:vAlign w:val="bottom"/>
            <w:hideMark/>
          </w:tcPr>
          <w:p w14:paraId="0C895989"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$ 27.48 </w:t>
            </w:r>
          </w:p>
        </w:tc>
        <w:tc>
          <w:tcPr>
            <w:tcW w:w="1297" w:type="dxa"/>
            <w:tcBorders>
              <w:top w:val="nil"/>
              <w:left w:val="nil"/>
              <w:bottom w:val="single" w:sz="4" w:space="0" w:color="auto"/>
              <w:right w:val="single" w:sz="4" w:space="0" w:color="auto"/>
            </w:tcBorders>
            <w:vAlign w:val="bottom"/>
            <w:hideMark/>
          </w:tcPr>
          <w:p w14:paraId="0C3CA0BC"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w:t>
            </w:r>
          </w:p>
        </w:tc>
        <w:tc>
          <w:tcPr>
            <w:tcW w:w="1533" w:type="dxa"/>
            <w:tcBorders>
              <w:top w:val="nil"/>
              <w:left w:val="nil"/>
              <w:bottom w:val="single" w:sz="4" w:space="0" w:color="auto"/>
              <w:right w:val="single" w:sz="4" w:space="0" w:color="auto"/>
            </w:tcBorders>
            <w:vAlign w:val="bottom"/>
            <w:hideMark/>
          </w:tcPr>
          <w:p w14:paraId="0CEEF61C"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359</w:t>
            </w:r>
          </w:p>
        </w:tc>
        <w:tc>
          <w:tcPr>
            <w:tcW w:w="1707" w:type="dxa"/>
            <w:tcBorders>
              <w:top w:val="nil"/>
              <w:left w:val="nil"/>
              <w:bottom w:val="single" w:sz="4" w:space="0" w:color="auto"/>
              <w:right w:val="single" w:sz="4" w:space="0" w:color="auto"/>
            </w:tcBorders>
            <w:vAlign w:val="bottom"/>
            <w:hideMark/>
          </w:tcPr>
          <w:p w14:paraId="46645149"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color w:val="000000"/>
                <w:sz w:val="24"/>
                <w:szCs w:val="24"/>
              </w:rPr>
              <w:t>1,644</w:t>
            </w:r>
          </w:p>
        </w:tc>
      </w:tr>
      <w:tr w:rsidR="005E5EDB" w14:paraId="381072D4" w14:textId="77777777" w:rsidTr="005E5EDB">
        <w:trPr>
          <w:trHeight w:val="288"/>
        </w:trPr>
        <w:tc>
          <w:tcPr>
            <w:tcW w:w="884" w:type="dxa"/>
            <w:tcBorders>
              <w:top w:val="nil"/>
              <w:left w:val="single" w:sz="4" w:space="0" w:color="auto"/>
              <w:bottom w:val="single" w:sz="4" w:space="0" w:color="auto"/>
              <w:right w:val="single" w:sz="4" w:space="0" w:color="auto"/>
            </w:tcBorders>
            <w:vAlign w:val="bottom"/>
            <w:hideMark/>
          </w:tcPr>
          <w:p w14:paraId="3D688050"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07</w:t>
            </w:r>
          </w:p>
        </w:tc>
        <w:tc>
          <w:tcPr>
            <w:tcW w:w="710" w:type="dxa"/>
            <w:tcBorders>
              <w:top w:val="nil"/>
              <w:left w:val="nil"/>
              <w:bottom w:val="single" w:sz="4" w:space="0" w:color="auto"/>
              <w:right w:val="single" w:sz="4" w:space="0" w:color="auto"/>
            </w:tcBorders>
            <w:vAlign w:val="bottom"/>
            <w:hideMark/>
          </w:tcPr>
          <w:p w14:paraId="6D0F42BE"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vAlign w:val="bottom"/>
            <w:hideMark/>
          </w:tcPr>
          <w:p w14:paraId="7D807060"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20</w:t>
            </w:r>
          </w:p>
        </w:tc>
        <w:tc>
          <w:tcPr>
            <w:tcW w:w="1177" w:type="dxa"/>
            <w:tcBorders>
              <w:top w:val="nil"/>
              <w:left w:val="nil"/>
              <w:bottom w:val="single" w:sz="4" w:space="0" w:color="auto"/>
              <w:right w:val="single" w:sz="4" w:space="0" w:color="auto"/>
            </w:tcBorders>
            <w:vAlign w:val="bottom"/>
            <w:hideMark/>
          </w:tcPr>
          <w:p w14:paraId="43640EBB"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$ 22.46</w:t>
            </w:r>
          </w:p>
        </w:tc>
        <w:tc>
          <w:tcPr>
            <w:tcW w:w="1297" w:type="dxa"/>
            <w:tcBorders>
              <w:top w:val="nil"/>
              <w:left w:val="nil"/>
              <w:bottom w:val="single" w:sz="4" w:space="0" w:color="auto"/>
              <w:right w:val="single" w:sz="4" w:space="0" w:color="auto"/>
            </w:tcBorders>
            <w:vAlign w:val="bottom"/>
            <w:hideMark/>
          </w:tcPr>
          <w:p w14:paraId="7095FF83"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w:t>
            </w:r>
          </w:p>
        </w:tc>
        <w:tc>
          <w:tcPr>
            <w:tcW w:w="1533" w:type="dxa"/>
            <w:tcBorders>
              <w:top w:val="nil"/>
              <w:left w:val="nil"/>
              <w:bottom w:val="single" w:sz="4" w:space="0" w:color="auto"/>
              <w:right w:val="single" w:sz="4" w:space="0" w:color="auto"/>
            </w:tcBorders>
            <w:vAlign w:val="bottom"/>
            <w:hideMark/>
          </w:tcPr>
          <w:p w14:paraId="45782DCA"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359</w:t>
            </w:r>
          </w:p>
        </w:tc>
        <w:tc>
          <w:tcPr>
            <w:tcW w:w="1707" w:type="dxa"/>
            <w:tcBorders>
              <w:top w:val="nil"/>
              <w:left w:val="nil"/>
              <w:bottom w:val="single" w:sz="4" w:space="0" w:color="auto"/>
              <w:right w:val="single" w:sz="4" w:space="0" w:color="auto"/>
            </w:tcBorders>
            <w:vAlign w:val="bottom"/>
            <w:hideMark/>
          </w:tcPr>
          <w:p w14:paraId="2E81791F"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color w:val="000000"/>
                <w:sz w:val="24"/>
                <w:szCs w:val="24"/>
              </w:rPr>
              <w:t>2,687</w:t>
            </w:r>
          </w:p>
        </w:tc>
      </w:tr>
      <w:tr w:rsidR="005E5EDB" w14:paraId="7A907CA8" w14:textId="77777777" w:rsidTr="005E5EDB">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14:paraId="6A11FD50" w14:textId="77777777" w:rsidR="005E5EDB" w:rsidRDefault="005E5EDB">
            <w:pPr>
              <w:spacing w:after="0" w:line="276" w:lineRule="auto"/>
              <w:contextualSpacing/>
              <w:rPr>
                <w:rFonts w:ascii="Arial" w:eastAsia="Times New Roman" w:hAnsi="Arial" w:cs="Arial"/>
                <w:sz w:val="24"/>
                <w:szCs w:val="24"/>
              </w:rPr>
            </w:pPr>
            <w:r>
              <w:rPr>
                <w:rFonts w:ascii="Arial" w:eastAsia="Times New Roman" w:hAnsi="Arial" w:cs="Arial"/>
                <w:sz w:val="24"/>
                <w:szCs w:val="24"/>
              </w:rPr>
              <w:t>Overhead at 100% Salary</w:t>
            </w:r>
          </w:p>
        </w:tc>
        <w:tc>
          <w:tcPr>
            <w:tcW w:w="1707" w:type="dxa"/>
            <w:tcBorders>
              <w:top w:val="nil"/>
              <w:left w:val="nil"/>
              <w:bottom w:val="single" w:sz="4" w:space="0" w:color="auto"/>
              <w:right w:val="single" w:sz="4" w:space="0" w:color="auto"/>
            </w:tcBorders>
            <w:vAlign w:val="bottom"/>
            <w:hideMark/>
          </w:tcPr>
          <w:p w14:paraId="4F2FDF25" w14:textId="77777777" w:rsidR="005E5EDB" w:rsidRDefault="005E5EDB">
            <w:pPr>
              <w:spacing w:after="0" w:line="276" w:lineRule="auto"/>
              <w:contextualSpacing/>
              <w:rPr>
                <w:rFonts w:ascii="Arial" w:eastAsia="Times New Roman" w:hAnsi="Arial" w:cs="Arial"/>
                <w:sz w:val="24"/>
                <w:szCs w:val="24"/>
              </w:rPr>
            </w:pPr>
            <w:r>
              <w:rPr>
                <w:rFonts w:ascii="Arial" w:eastAsia="Times New Roman" w:hAnsi="Arial" w:cs="Arial"/>
                <w:sz w:val="24"/>
                <w:szCs w:val="24"/>
              </w:rPr>
              <w:t xml:space="preserve">       $4,331</w:t>
            </w:r>
          </w:p>
        </w:tc>
      </w:tr>
      <w:tr w:rsidR="005E5EDB" w14:paraId="60EA7BE6" w14:textId="77777777" w:rsidTr="005E5EDB">
        <w:trPr>
          <w:trHeight w:val="587"/>
        </w:trPr>
        <w:tc>
          <w:tcPr>
            <w:tcW w:w="6591" w:type="dxa"/>
            <w:gridSpan w:val="6"/>
            <w:tcBorders>
              <w:top w:val="single" w:sz="4" w:space="0" w:color="auto"/>
              <w:left w:val="single" w:sz="4" w:space="0" w:color="auto"/>
              <w:bottom w:val="single" w:sz="4" w:space="0" w:color="auto"/>
              <w:right w:val="single" w:sz="4" w:space="0" w:color="auto"/>
            </w:tcBorders>
            <w:vAlign w:val="center"/>
            <w:hideMark/>
          </w:tcPr>
          <w:p w14:paraId="140B40A8" w14:textId="77777777" w:rsidR="005E5EDB" w:rsidRDefault="005E5EDB">
            <w:pPr>
              <w:tabs>
                <w:tab w:val="left" w:pos="480"/>
                <w:tab w:val="right" w:pos="4680"/>
                <w:tab w:val="right" w:pos="8640"/>
              </w:tabs>
              <w:spacing w:after="0" w:line="276" w:lineRule="auto"/>
              <w:ind w:right="35"/>
              <w:contextualSpacing/>
              <w:jc w:val="center"/>
              <w:rPr>
                <w:rFonts w:ascii="Arial" w:eastAsia="Times New Roman" w:hAnsi="Arial" w:cs="Arial"/>
                <w:b/>
                <w:sz w:val="24"/>
                <w:szCs w:val="24"/>
              </w:rPr>
            </w:pPr>
            <w:r>
              <w:rPr>
                <w:rFonts w:ascii="Arial" w:eastAsia="Times New Roman" w:hAnsi="Arial" w:cs="Arial"/>
                <w:b/>
                <w:sz w:val="24"/>
                <w:szCs w:val="24"/>
              </w:rPr>
              <w:t>Overhead costs are 100% of salary and are the same as the wage listed above; and the amount is included in the total.</w:t>
            </w:r>
          </w:p>
        </w:tc>
        <w:tc>
          <w:tcPr>
            <w:tcW w:w="1707" w:type="dxa"/>
            <w:tcBorders>
              <w:top w:val="nil"/>
              <w:left w:val="nil"/>
              <w:bottom w:val="single" w:sz="4" w:space="0" w:color="auto"/>
              <w:right w:val="single" w:sz="4" w:space="0" w:color="auto"/>
            </w:tcBorders>
            <w:vAlign w:val="bottom"/>
            <w:hideMark/>
          </w:tcPr>
          <w:p w14:paraId="0EBC17D2"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w:t>
            </w:r>
          </w:p>
        </w:tc>
      </w:tr>
      <w:tr w:rsidR="005E5EDB" w14:paraId="595D9007" w14:textId="77777777" w:rsidTr="005E5EDB">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14:paraId="1EA011A1" w14:textId="77777777" w:rsidR="005E5EDB" w:rsidRDefault="005E5EDB">
            <w:pPr>
              <w:spacing w:after="0" w:line="276" w:lineRule="auto"/>
              <w:contextualSpacing/>
              <w:rPr>
                <w:rFonts w:ascii="Arial" w:eastAsia="Times New Roman" w:hAnsi="Arial" w:cs="Arial"/>
                <w:sz w:val="24"/>
                <w:szCs w:val="24"/>
              </w:rPr>
            </w:pPr>
            <w:r>
              <w:rPr>
                <w:rFonts w:ascii="Arial" w:eastAsia="Times New Roman" w:hAnsi="Arial" w:cs="Arial"/>
                <w:sz w:val="24"/>
                <w:szCs w:val="24"/>
              </w:rPr>
              <w:t>Processing / Analyzing Costs</w:t>
            </w:r>
          </w:p>
        </w:tc>
        <w:tc>
          <w:tcPr>
            <w:tcW w:w="1707" w:type="dxa"/>
            <w:tcBorders>
              <w:top w:val="nil"/>
              <w:left w:val="nil"/>
              <w:bottom w:val="single" w:sz="4" w:space="0" w:color="auto"/>
              <w:right w:val="single" w:sz="4" w:space="0" w:color="auto"/>
            </w:tcBorders>
            <w:vAlign w:val="bottom"/>
            <w:hideMark/>
          </w:tcPr>
          <w:p w14:paraId="7DD1169D"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$4,331</w:t>
            </w:r>
          </w:p>
        </w:tc>
      </w:tr>
      <w:tr w:rsidR="005E5EDB" w14:paraId="1B930508" w14:textId="77777777" w:rsidTr="005E5EDB">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14:paraId="756B3448" w14:textId="77777777" w:rsidR="005E5EDB" w:rsidRDefault="005E5EDB">
            <w:pPr>
              <w:spacing w:after="0" w:line="276" w:lineRule="auto"/>
              <w:contextualSpacing/>
              <w:rPr>
                <w:rFonts w:ascii="Arial" w:eastAsia="Times New Roman" w:hAnsi="Arial" w:cs="Arial"/>
                <w:sz w:val="24"/>
                <w:szCs w:val="24"/>
              </w:rPr>
            </w:pPr>
            <w:r>
              <w:rPr>
                <w:rFonts w:ascii="Arial" w:eastAsia="Times New Roman" w:hAnsi="Arial" w:cs="Arial"/>
                <w:sz w:val="24"/>
                <w:szCs w:val="24"/>
              </w:rPr>
              <w:t>Printing and Production Cost</w:t>
            </w:r>
          </w:p>
        </w:tc>
        <w:tc>
          <w:tcPr>
            <w:tcW w:w="1707" w:type="dxa"/>
            <w:tcBorders>
              <w:top w:val="nil"/>
              <w:left w:val="nil"/>
              <w:bottom w:val="single" w:sz="4" w:space="0" w:color="auto"/>
              <w:right w:val="single" w:sz="4" w:space="0" w:color="auto"/>
            </w:tcBorders>
            <w:vAlign w:val="bottom"/>
            <w:hideMark/>
          </w:tcPr>
          <w:p w14:paraId="2CC1A2E5"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$0 </w:t>
            </w:r>
          </w:p>
        </w:tc>
      </w:tr>
      <w:tr w:rsidR="005E5EDB" w14:paraId="419294D5" w14:textId="77777777" w:rsidTr="005E5EDB">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14:paraId="7234D593" w14:textId="77777777" w:rsidR="005E5EDB" w:rsidRDefault="005E5EDB">
            <w:pPr>
              <w:spacing w:after="0" w:line="276" w:lineRule="auto"/>
              <w:contextualSpacing/>
              <w:rPr>
                <w:rFonts w:ascii="Arial" w:eastAsia="Times New Roman" w:hAnsi="Arial" w:cs="Arial"/>
                <w:sz w:val="24"/>
                <w:szCs w:val="24"/>
              </w:rPr>
            </w:pPr>
            <w:r>
              <w:rPr>
                <w:rFonts w:ascii="Arial" w:eastAsia="Times New Roman" w:hAnsi="Arial" w:cs="Arial"/>
                <w:sz w:val="24"/>
                <w:szCs w:val="24"/>
              </w:rPr>
              <w:t>Total Cost to Government</w:t>
            </w:r>
          </w:p>
        </w:tc>
        <w:tc>
          <w:tcPr>
            <w:tcW w:w="1707" w:type="dxa"/>
            <w:tcBorders>
              <w:top w:val="nil"/>
              <w:left w:val="nil"/>
              <w:bottom w:val="single" w:sz="4" w:space="0" w:color="auto"/>
              <w:right w:val="single" w:sz="4" w:space="0" w:color="auto"/>
            </w:tcBorders>
            <w:vAlign w:val="bottom"/>
            <w:hideMark/>
          </w:tcPr>
          <w:p w14:paraId="6FF26827" w14:textId="77777777" w:rsidR="005E5EDB" w:rsidRDefault="005E5EDB">
            <w:pPr>
              <w:spacing w:after="0" w:line="276" w:lineRule="auto"/>
              <w:contextualSpacing/>
              <w:jc w:val="center"/>
              <w:rPr>
                <w:rFonts w:ascii="Arial" w:eastAsia="Times New Roman" w:hAnsi="Arial" w:cs="Arial"/>
                <w:sz w:val="24"/>
                <w:szCs w:val="24"/>
              </w:rPr>
            </w:pPr>
            <w:r>
              <w:rPr>
                <w:rFonts w:ascii="Arial" w:eastAsia="Times New Roman" w:hAnsi="Arial" w:cs="Arial"/>
                <w:sz w:val="24"/>
                <w:szCs w:val="24"/>
              </w:rPr>
              <w:t xml:space="preserve"> $4,331</w:t>
            </w:r>
          </w:p>
        </w:tc>
      </w:tr>
    </w:tbl>
    <w:p w14:paraId="2F64822D" w14:textId="77777777" w:rsidR="005E5EDB" w:rsidRDefault="005E5EDB" w:rsidP="005E5EDB">
      <w:pPr>
        <w:spacing w:after="0"/>
        <w:contextualSpacing/>
      </w:pPr>
      <w:r>
        <w:rPr>
          <w:rFonts w:ascii="Arial" w:eastAsia="Times New Roman" w:hAnsi="Arial" w:cs="Arial"/>
          <w:b/>
          <w:sz w:val="24"/>
          <w:szCs w:val="24"/>
        </w:rPr>
        <w:t>Note:</w:t>
      </w:r>
      <w:r>
        <w:rPr>
          <w:rFonts w:ascii="Arial" w:eastAsia="Times New Roman" w:hAnsi="Arial" w:cs="Arial"/>
          <w:sz w:val="24"/>
          <w:szCs w:val="24"/>
        </w:rPr>
        <w:t xml:space="preserve"> The hourly wage information above is based on the hourly ‘2018 General Schedule (Base) Pay </w:t>
      </w:r>
      <w:hyperlink r:id="rId7" w:history="1">
        <w:r>
          <w:rPr>
            <w:rStyle w:val="Hyperlink"/>
          </w:rPr>
          <w:t>https://www.opm.gov/policy-data-oversight/pay-leave/salaries-wages/2018/general-schedule/</w:t>
        </w:r>
      </w:hyperlink>
    </w:p>
    <w:p w14:paraId="3DE2C72C" w14:textId="77777777" w:rsidR="005E5EDB" w:rsidRDefault="005E5EDB" w:rsidP="005E5EDB">
      <w:pPr>
        <w:spacing w:after="0"/>
        <w:contextualSpacing/>
        <w:rPr>
          <w:rFonts w:ascii="Arial" w:eastAsia="Times New Roman" w:hAnsi="Arial" w:cs="Arial"/>
          <w:sz w:val="24"/>
          <w:szCs w:val="24"/>
        </w:rPr>
      </w:pPr>
      <w:r>
        <w:rPr>
          <w:rFonts w:ascii="Arial" w:eastAsia="Times New Roman" w:hAnsi="Arial" w:cs="Arial"/>
          <w:sz w:val="24"/>
          <w:szCs w:val="24"/>
        </w:rPr>
        <w:t xml:space="preserve">This rate does not include any locality adjustment as applicable. </w:t>
      </w:r>
    </w:p>
    <w:p w14:paraId="3FFFC01F" w14:textId="77777777" w:rsidR="005E5EDB" w:rsidRDefault="005E5EDB" w:rsidP="005E5EDB">
      <w:pPr>
        <w:spacing w:after="0"/>
        <w:ind w:left="720"/>
        <w:contextualSpacing/>
        <w:rPr>
          <w:rFonts w:ascii="Arial" w:eastAsia="Times New Roman" w:hAnsi="Arial" w:cs="Arial"/>
          <w:sz w:val="24"/>
          <w:szCs w:val="24"/>
        </w:rPr>
      </w:pPr>
    </w:p>
    <w:p w14:paraId="517A36A2" w14:textId="77777777" w:rsidR="005E5EDB" w:rsidRDefault="005E5EDB" w:rsidP="005E5EDB">
      <w:pPr>
        <w:spacing w:after="0"/>
        <w:contextualSpacing/>
        <w:rPr>
          <w:rFonts w:ascii="Arial" w:eastAsia="Times New Roman" w:hAnsi="Arial" w:cs="Arial"/>
          <w:sz w:val="24"/>
          <w:szCs w:val="24"/>
        </w:rPr>
      </w:pPr>
      <w:r>
        <w:rPr>
          <w:rFonts w:ascii="Arial" w:eastAsia="Times New Roman" w:hAnsi="Arial" w:cs="Arial"/>
          <w:sz w:val="24"/>
          <w:szCs w:val="24"/>
        </w:rPr>
        <w:t xml:space="preserve">The processing time estimates above are based on the actual amount of time employees of the grade level spend to process to completion a claim received on this form.  </w:t>
      </w:r>
    </w:p>
    <w:p w14:paraId="588EC8BB" w14:textId="77777777" w:rsidR="005E5EDB" w:rsidRDefault="005E5EDB" w:rsidP="005E5EDB">
      <w:pPr>
        <w:spacing w:after="0"/>
        <w:ind w:left="720"/>
        <w:contextualSpacing/>
        <w:rPr>
          <w:rFonts w:ascii="Arial" w:eastAsia="Times New Roman" w:hAnsi="Arial" w:cs="Arial"/>
          <w:sz w:val="24"/>
          <w:szCs w:val="24"/>
        </w:rPr>
      </w:pPr>
    </w:p>
    <w:p w14:paraId="78B78CA4" w14:textId="77777777" w:rsidR="005E5EDB" w:rsidRDefault="005E5EDB" w:rsidP="005E5EDB">
      <w:pPr>
        <w:spacing w:after="0"/>
        <w:contextualSpacing/>
        <w:rPr>
          <w:rFonts w:ascii="Arial" w:eastAsia="Times New Roman" w:hAnsi="Arial" w:cs="Arial"/>
          <w:sz w:val="24"/>
          <w:szCs w:val="24"/>
        </w:rPr>
      </w:pPr>
      <w:r>
        <w:rPr>
          <w:rFonts w:ascii="Arial" w:eastAsia="Times New Roman" w:hAnsi="Arial" w:cs="Arial"/>
          <w:sz w:val="24"/>
          <w:szCs w:val="24"/>
        </w:rPr>
        <w:t xml:space="preserve">REPORTING FEE INFORMATION:  There is no cost to schools because VA pays each school that furnishes training under the various VA education programs a fee for processing </w:t>
      </w:r>
      <w:r>
        <w:rPr>
          <w:rFonts w:ascii="Arial" w:eastAsia="Times New Roman" w:hAnsi="Arial" w:cs="Arial"/>
          <w:sz w:val="24"/>
          <w:szCs w:val="24"/>
          <w:u w:val="single"/>
        </w:rPr>
        <w:t>all</w:t>
      </w:r>
      <w:r>
        <w:rPr>
          <w:rFonts w:ascii="Arial" w:eastAsia="Times New Roman"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349B6032" w14:textId="77777777" w:rsidR="005E5EDB" w:rsidRDefault="005E5EDB" w:rsidP="005E5EDB">
      <w:pPr>
        <w:tabs>
          <w:tab w:val="left" w:pos="576"/>
          <w:tab w:val="left" w:pos="1296"/>
          <w:tab w:val="left" w:pos="2016"/>
          <w:tab w:val="left" w:pos="360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14:paraId="47C6384D"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15.</w:t>
      </w:r>
      <w:r>
        <w:rPr>
          <w:rFonts w:ascii="Arial" w:eastAsia="Times New Roman" w:hAnsi="Arial" w:cs="Arial"/>
          <w:b/>
          <w:sz w:val="24"/>
          <w:szCs w:val="24"/>
        </w:rPr>
        <w:tab/>
        <w:t>Explain the reason for any burden hour changes since the last submission.</w:t>
      </w:r>
    </w:p>
    <w:p w14:paraId="1A6ACF85"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0EA7EA3A" w14:textId="77777777" w:rsidR="005E5EDB" w:rsidRDefault="005E5EDB" w:rsidP="005E5EDB">
      <w:pPr>
        <w:rPr>
          <w:rFonts w:ascii="Arial" w:eastAsia="Times New Roman" w:hAnsi="Arial" w:cs="Arial"/>
          <w:sz w:val="24"/>
          <w:szCs w:val="24"/>
        </w:rPr>
      </w:pPr>
      <w:r>
        <w:rPr>
          <w:rFonts w:ascii="Arial" w:hAnsi="Arial" w:cs="Arial"/>
          <w:color w:val="000000" w:themeColor="text1"/>
          <w:sz w:val="24"/>
          <w:szCs w:val="24"/>
        </w:rPr>
        <w:t>There is a decrease in burden hours due to a decrease in the number of responses received for 2013 through 2015.</w:t>
      </w:r>
    </w:p>
    <w:p w14:paraId="5AD15C6E"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2CD3CBFE"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16.</w:t>
      </w:r>
      <w:r>
        <w:rPr>
          <w:rFonts w:ascii="Arial" w:eastAsia="Times New Roman"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45958E"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0C8750F7"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VA does not publish this information or make it available for publication.</w:t>
      </w:r>
    </w:p>
    <w:p w14:paraId="3E39C82E"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49C16C3F"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Pr>
          <w:rFonts w:ascii="Arial" w:eastAsia="Times New Roman" w:hAnsi="Arial" w:cs="Arial"/>
          <w:b/>
          <w:sz w:val="24"/>
          <w:szCs w:val="24"/>
        </w:rPr>
        <w:t>17.</w:t>
      </w:r>
      <w:r>
        <w:rPr>
          <w:rFonts w:ascii="Arial" w:eastAsia="Times New Roman" w:hAnsi="Arial" w:cs="Arial"/>
          <w:b/>
          <w:sz w:val="24"/>
          <w:szCs w:val="24"/>
        </w:rPr>
        <w:tab/>
        <w:t xml:space="preserve">If seeking approval to omit the expiration date for OMB approval of the information collection, explain the reasons that display would be inappropriate. </w:t>
      </w:r>
    </w:p>
    <w:p w14:paraId="1C627711"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14:paraId="087E9A46" w14:textId="77777777" w:rsidR="005E5EDB" w:rsidRDefault="005E5EDB" w:rsidP="005E5EDB">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hAnsi="Arial" w:cs="Arial"/>
          <w:sz w:val="24"/>
          <w:szCs w:val="24"/>
        </w:rPr>
        <w:t>We are not seeking approval to omit the expiration date for OMB approval.</w:t>
      </w:r>
    </w:p>
    <w:p w14:paraId="7BF133C3" w14:textId="77777777" w:rsidR="005E5EDB" w:rsidRDefault="005E5EDB" w:rsidP="005E5EDB">
      <w:pPr>
        <w:tabs>
          <w:tab w:val="left" w:pos="480"/>
          <w:tab w:val="left" w:pos="1080"/>
          <w:tab w:val="left" w:pos="1680"/>
        </w:tabs>
        <w:overflowPunct w:val="0"/>
        <w:autoSpaceDE w:val="0"/>
        <w:autoSpaceDN w:val="0"/>
        <w:adjustRightInd w:val="0"/>
        <w:spacing w:after="0"/>
        <w:ind w:right="1104"/>
        <w:contextualSpacing/>
        <w:jc w:val="both"/>
        <w:rPr>
          <w:rFonts w:ascii="Arial" w:eastAsia="Times New Roman" w:hAnsi="Arial" w:cs="Arial"/>
          <w:sz w:val="24"/>
          <w:szCs w:val="24"/>
        </w:rPr>
      </w:pPr>
    </w:p>
    <w:p w14:paraId="6F5BB2DA" w14:textId="77777777" w:rsidR="005E5EDB" w:rsidRDefault="005E5EDB" w:rsidP="005E5EDB">
      <w:pPr>
        <w:spacing w:after="0"/>
        <w:contextualSpacing/>
        <w:rPr>
          <w:rFonts w:ascii="Arial" w:eastAsia="Times New Roman" w:hAnsi="Arial" w:cs="Arial"/>
          <w:b/>
          <w:sz w:val="24"/>
          <w:szCs w:val="24"/>
        </w:rPr>
      </w:pPr>
      <w:r>
        <w:rPr>
          <w:rFonts w:ascii="Arial" w:eastAsia="Times New Roman" w:hAnsi="Arial" w:cs="Arial"/>
          <w:b/>
          <w:sz w:val="24"/>
          <w:szCs w:val="24"/>
        </w:rPr>
        <w:t>18.</w:t>
      </w:r>
      <w:r>
        <w:rPr>
          <w:rFonts w:ascii="Arial" w:eastAsia="Times New Roman" w:hAnsi="Arial" w:cs="Arial"/>
          <w:b/>
          <w:sz w:val="24"/>
          <w:szCs w:val="24"/>
        </w:rPr>
        <w:tab/>
        <w:t>Explain each exception to the certification statement identified in Item 19, “Certification for Paperwork Reduction Act Submissions,” of OMB 83-I.</w:t>
      </w:r>
    </w:p>
    <w:p w14:paraId="2BE94E81" w14:textId="77777777" w:rsidR="005E5EDB" w:rsidRDefault="005E5EDB" w:rsidP="005E5EDB">
      <w:pPr>
        <w:spacing w:after="0"/>
        <w:contextualSpacing/>
        <w:rPr>
          <w:rFonts w:ascii="Arial" w:eastAsia="Times New Roman" w:hAnsi="Arial" w:cs="Arial"/>
          <w:sz w:val="24"/>
          <w:szCs w:val="24"/>
        </w:rPr>
      </w:pPr>
    </w:p>
    <w:p w14:paraId="307587B3" w14:textId="77777777" w:rsidR="005E5EDB" w:rsidRDefault="005E5EDB" w:rsidP="005E5EDB">
      <w:pPr>
        <w:spacing w:after="0"/>
        <w:contextualSpacing/>
        <w:rPr>
          <w:rFonts w:ascii="Arial" w:eastAsia="Times New Roman" w:hAnsi="Arial" w:cs="Arial"/>
          <w:sz w:val="24"/>
          <w:szCs w:val="24"/>
        </w:rPr>
      </w:pPr>
      <w:r>
        <w:rPr>
          <w:rFonts w:ascii="Arial" w:eastAsia="Times New Roman" w:hAnsi="Arial" w:cs="Arial"/>
          <w:sz w:val="24"/>
          <w:szCs w:val="24"/>
        </w:rPr>
        <w:t>This submission does not contain any exceptions to the certification statement.</w:t>
      </w:r>
    </w:p>
    <w:p w14:paraId="27E3B9E4" w14:textId="77777777" w:rsidR="005E5EDB" w:rsidRDefault="005E5EDB" w:rsidP="005E5EDB">
      <w:pPr>
        <w:tabs>
          <w:tab w:val="left" w:pos="480"/>
          <w:tab w:val="left" w:pos="1080"/>
          <w:tab w:val="left" w:pos="1680"/>
        </w:tabs>
        <w:overflowPunct w:val="0"/>
        <w:autoSpaceDE w:val="0"/>
        <w:autoSpaceDN w:val="0"/>
        <w:adjustRightInd w:val="0"/>
        <w:spacing w:after="0"/>
        <w:ind w:right="1104"/>
        <w:contextualSpacing/>
        <w:rPr>
          <w:rFonts w:ascii="Arial" w:eastAsia="Times New Roman" w:hAnsi="Arial" w:cs="Arial"/>
          <w:sz w:val="24"/>
          <w:szCs w:val="24"/>
        </w:rPr>
      </w:pPr>
    </w:p>
    <w:p w14:paraId="665F2DD4" w14:textId="77777777" w:rsidR="005E5EDB" w:rsidRDefault="005E5EDB" w:rsidP="005E5EDB">
      <w:pPr>
        <w:overflowPunct w:val="0"/>
        <w:autoSpaceDE w:val="0"/>
        <w:autoSpaceDN w:val="0"/>
        <w:adjustRightInd w:val="0"/>
        <w:spacing w:after="0"/>
        <w:contextualSpacing/>
        <w:rPr>
          <w:rFonts w:ascii="Arial" w:eastAsia="Times New Roman" w:hAnsi="Arial" w:cs="Arial"/>
          <w:b/>
          <w:sz w:val="24"/>
          <w:szCs w:val="24"/>
          <w:u w:val="single"/>
        </w:rPr>
      </w:pPr>
      <w:r>
        <w:rPr>
          <w:rFonts w:ascii="Arial" w:eastAsia="Times New Roman" w:hAnsi="Arial" w:cs="Arial"/>
          <w:b/>
          <w:sz w:val="24"/>
          <w:szCs w:val="24"/>
          <w:u w:val="single"/>
        </w:rPr>
        <w:t>B.  Collection of Information Employing Statistical Methods.</w:t>
      </w:r>
    </w:p>
    <w:p w14:paraId="6C6DFB39" w14:textId="77777777" w:rsidR="005E5EDB" w:rsidRDefault="005E5EDB" w:rsidP="005E5EDB">
      <w:pPr>
        <w:overflowPunct w:val="0"/>
        <w:autoSpaceDE w:val="0"/>
        <w:autoSpaceDN w:val="0"/>
        <w:adjustRightInd w:val="0"/>
        <w:spacing w:after="0"/>
        <w:contextualSpacing/>
        <w:rPr>
          <w:rFonts w:ascii="Arial" w:eastAsia="Times New Roman" w:hAnsi="Arial" w:cs="Arial"/>
          <w:sz w:val="24"/>
          <w:szCs w:val="24"/>
        </w:rPr>
      </w:pPr>
    </w:p>
    <w:p w14:paraId="524BB869" w14:textId="77777777" w:rsidR="005E5EDB" w:rsidRDefault="005E5EDB" w:rsidP="005E5EDB">
      <w:pPr>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This collection of information does not employ statistical methods.</w:t>
      </w:r>
    </w:p>
    <w:p w14:paraId="3DEE73FA" w14:textId="77777777" w:rsidR="005E5EDB" w:rsidRDefault="005E5EDB" w:rsidP="005E5EDB">
      <w:pPr>
        <w:overflowPunct w:val="0"/>
        <w:autoSpaceDE w:val="0"/>
        <w:autoSpaceDN w:val="0"/>
        <w:adjustRightInd w:val="0"/>
        <w:spacing w:after="0"/>
        <w:contextualSpacing/>
        <w:rPr>
          <w:rFonts w:ascii="Arial" w:eastAsia="Times New Roman" w:hAnsi="Arial" w:cs="Arial"/>
          <w:sz w:val="24"/>
          <w:szCs w:val="24"/>
        </w:rPr>
      </w:pPr>
    </w:p>
    <w:p w14:paraId="7FE423DE" w14:textId="77777777" w:rsidR="000F7B91" w:rsidRDefault="008F5170"/>
    <w:sectPr w:rsidR="000F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511F8"/>
    <w:multiLevelType w:val="hybridMultilevel"/>
    <w:tmpl w:val="27CC1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DB"/>
    <w:rsid w:val="00281C6C"/>
    <w:rsid w:val="002C5EB3"/>
    <w:rsid w:val="00377250"/>
    <w:rsid w:val="00487B26"/>
    <w:rsid w:val="004C2042"/>
    <w:rsid w:val="0051192E"/>
    <w:rsid w:val="005E5EDB"/>
    <w:rsid w:val="00610316"/>
    <w:rsid w:val="007977A3"/>
    <w:rsid w:val="007F0162"/>
    <w:rsid w:val="008F5170"/>
    <w:rsid w:val="00A5411C"/>
    <w:rsid w:val="00AA212B"/>
    <w:rsid w:val="00AB58D2"/>
    <w:rsid w:val="00AC10FD"/>
    <w:rsid w:val="00B21B80"/>
    <w:rsid w:val="00DF24DA"/>
    <w:rsid w:val="00E46561"/>
    <w:rsid w:val="00E912C0"/>
    <w:rsid w:val="00F1030C"/>
    <w:rsid w:val="00F76D83"/>
    <w:rsid w:val="00F9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DB"/>
    <w:pPr>
      <w:spacing w:after="120" w:line="240" w:lineRule="auto"/>
    </w:pPr>
  </w:style>
  <w:style w:type="paragraph" w:styleId="Heading2">
    <w:name w:val="heading 2"/>
    <w:basedOn w:val="Normal"/>
    <w:next w:val="Normal"/>
    <w:link w:val="Heading2Char"/>
    <w:semiHidden/>
    <w:unhideWhenUsed/>
    <w:qFormat/>
    <w:rsid w:val="005E5ED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E5EDB"/>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5E5EDB"/>
    <w:rPr>
      <w:color w:val="0000FF" w:themeColor="hyperlink"/>
      <w:u w:val="single"/>
    </w:rPr>
  </w:style>
  <w:style w:type="paragraph" w:styleId="CommentText">
    <w:name w:val="annotation text"/>
    <w:basedOn w:val="Normal"/>
    <w:link w:val="CommentTextChar"/>
    <w:uiPriority w:val="99"/>
    <w:semiHidden/>
    <w:unhideWhenUsed/>
    <w:rsid w:val="005E5EDB"/>
    <w:rPr>
      <w:sz w:val="20"/>
      <w:szCs w:val="20"/>
    </w:rPr>
  </w:style>
  <w:style w:type="character" w:customStyle="1" w:styleId="CommentTextChar">
    <w:name w:val="Comment Text Char"/>
    <w:basedOn w:val="DefaultParagraphFont"/>
    <w:link w:val="CommentText"/>
    <w:uiPriority w:val="99"/>
    <w:semiHidden/>
    <w:rsid w:val="005E5EDB"/>
    <w:rPr>
      <w:sz w:val="20"/>
      <w:szCs w:val="20"/>
    </w:rPr>
  </w:style>
  <w:style w:type="character" w:styleId="CommentReference">
    <w:name w:val="annotation reference"/>
    <w:basedOn w:val="DefaultParagraphFont"/>
    <w:uiPriority w:val="99"/>
    <w:semiHidden/>
    <w:unhideWhenUsed/>
    <w:rsid w:val="005E5EDB"/>
    <w:rPr>
      <w:sz w:val="16"/>
      <w:szCs w:val="16"/>
    </w:rPr>
  </w:style>
  <w:style w:type="paragraph" w:styleId="BalloonText">
    <w:name w:val="Balloon Text"/>
    <w:basedOn w:val="Normal"/>
    <w:link w:val="BalloonTextChar"/>
    <w:uiPriority w:val="99"/>
    <w:semiHidden/>
    <w:unhideWhenUsed/>
    <w:rsid w:val="005E5E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DB"/>
    <w:rPr>
      <w:rFonts w:ascii="Segoe UI" w:hAnsi="Segoe UI" w:cs="Segoe UI"/>
      <w:sz w:val="18"/>
      <w:szCs w:val="18"/>
    </w:rPr>
  </w:style>
  <w:style w:type="paragraph" w:styleId="Revision">
    <w:name w:val="Revision"/>
    <w:hidden/>
    <w:uiPriority w:val="99"/>
    <w:semiHidden/>
    <w:rsid w:val="005E5EDB"/>
    <w:pPr>
      <w:spacing w:after="0" w:line="240" w:lineRule="auto"/>
    </w:pPr>
  </w:style>
  <w:style w:type="paragraph" w:styleId="CommentSubject">
    <w:name w:val="annotation subject"/>
    <w:basedOn w:val="CommentText"/>
    <w:next w:val="CommentText"/>
    <w:link w:val="CommentSubjectChar"/>
    <w:uiPriority w:val="99"/>
    <w:semiHidden/>
    <w:unhideWhenUsed/>
    <w:rsid w:val="00F9453A"/>
    <w:rPr>
      <w:b/>
      <w:bCs/>
    </w:rPr>
  </w:style>
  <w:style w:type="character" w:customStyle="1" w:styleId="CommentSubjectChar">
    <w:name w:val="Comment Subject Char"/>
    <w:basedOn w:val="CommentTextChar"/>
    <w:link w:val="CommentSubject"/>
    <w:uiPriority w:val="99"/>
    <w:semiHidden/>
    <w:rsid w:val="00F945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DB"/>
    <w:pPr>
      <w:spacing w:after="120" w:line="240" w:lineRule="auto"/>
    </w:pPr>
  </w:style>
  <w:style w:type="paragraph" w:styleId="Heading2">
    <w:name w:val="heading 2"/>
    <w:basedOn w:val="Normal"/>
    <w:next w:val="Normal"/>
    <w:link w:val="Heading2Char"/>
    <w:semiHidden/>
    <w:unhideWhenUsed/>
    <w:qFormat/>
    <w:rsid w:val="005E5ED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E5EDB"/>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5E5EDB"/>
    <w:rPr>
      <w:color w:val="0000FF" w:themeColor="hyperlink"/>
      <w:u w:val="single"/>
    </w:rPr>
  </w:style>
  <w:style w:type="paragraph" w:styleId="CommentText">
    <w:name w:val="annotation text"/>
    <w:basedOn w:val="Normal"/>
    <w:link w:val="CommentTextChar"/>
    <w:uiPriority w:val="99"/>
    <w:semiHidden/>
    <w:unhideWhenUsed/>
    <w:rsid w:val="005E5EDB"/>
    <w:rPr>
      <w:sz w:val="20"/>
      <w:szCs w:val="20"/>
    </w:rPr>
  </w:style>
  <w:style w:type="character" w:customStyle="1" w:styleId="CommentTextChar">
    <w:name w:val="Comment Text Char"/>
    <w:basedOn w:val="DefaultParagraphFont"/>
    <w:link w:val="CommentText"/>
    <w:uiPriority w:val="99"/>
    <w:semiHidden/>
    <w:rsid w:val="005E5EDB"/>
    <w:rPr>
      <w:sz w:val="20"/>
      <w:szCs w:val="20"/>
    </w:rPr>
  </w:style>
  <w:style w:type="character" w:styleId="CommentReference">
    <w:name w:val="annotation reference"/>
    <w:basedOn w:val="DefaultParagraphFont"/>
    <w:uiPriority w:val="99"/>
    <w:semiHidden/>
    <w:unhideWhenUsed/>
    <w:rsid w:val="005E5EDB"/>
    <w:rPr>
      <w:sz w:val="16"/>
      <w:szCs w:val="16"/>
    </w:rPr>
  </w:style>
  <w:style w:type="paragraph" w:styleId="BalloonText">
    <w:name w:val="Balloon Text"/>
    <w:basedOn w:val="Normal"/>
    <w:link w:val="BalloonTextChar"/>
    <w:uiPriority w:val="99"/>
    <w:semiHidden/>
    <w:unhideWhenUsed/>
    <w:rsid w:val="005E5E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DB"/>
    <w:rPr>
      <w:rFonts w:ascii="Segoe UI" w:hAnsi="Segoe UI" w:cs="Segoe UI"/>
      <w:sz w:val="18"/>
      <w:szCs w:val="18"/>
    </w:rPr>
  </w:style>
  <w:style w:type="paragraph" w:styleId="Revision">
    <w:name w:val="Revision"/>
    <w:hidden/>
    <w:uiPriority w:val="99"/>
    <w:semiHidden/>
    <w:rsid w:val="005E5EDB"/>
    <w:pPr>
      <w:spacing w:after="0" w:line="240" w:lineRule="auto"/>
    </w:pPr>
  </w:style>
  <w:style w:type="paragraph" w:styleId="CommentSubject">
    <w:name w:val="annotation subject"/>
    <w:basedOn w:val="CommentText"/>
    <w:next w:val="CommentText"/>
    <w:link w:val="CommentSubjectChar"/>
    <w:uiPriority w:val="99"/>
    <w:semiHidden/>
    <w:unhideWhenUsed/>
    <w:rsid w:val="00F9453A"/>
    <w:rPr>
      <w:b/>
      <w:bCs/>
    </w:rPr>
  </w:style>
  <w:style w:type="character" w:customStyle="1" w:styleId="CommentSubjectChar">
    <w:name w:val="Comment Subject Char"/>
    <w:basedOn w:val="CommentTextChar"/>
    <w:link w:val="CommentSubject"/>
    <w:uiPriority w:val="99"/>
    <w:semiHidden/>
    <w:rsid w:val="00F94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policy-data-oversight/pay-leave/salaries-wages/2018/general-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7647-A748-45AB-A669-9D8E4E14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SYSTEM</cp:lastModifiedBy>
  <cp:revision>2</cp:revision>
  <dcterms:created xsi:type="dcterms:W3CDTF">2018-09-12T17:53:00Z</dcterms:created>
  <dcterms:modified xsi:type="dcterms:W3CDTF">2018-09-12T17:53:00Z</dcterms:modified>
</cp:coreProperties>
</file>