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07C7" w:rsidRPr="000F07C7" w:rsidRDefault="000F07C7" w:rsidP="000F07C7">
      <w:pPr>
        <w:spacing w:line="240" w:lineRule="auto"/>
        <w:jc w:val="center"/>
        <w:rPr>
          <w:rFonts w:asciiTheme="minorHAnsi" w:hAnsiTheme="minorHAnsi" w:cstheme="minorHAnsi"/>
          <w:b/>
          <w:sz w:val="22"/>
          <w:szCs w:val="22"/>
        </w:rPr>
      </w:pPr>
      <w:bookmarkStart w:id="0" w:name="_GoBack"/>
      <w:bookmarkEnd w:id="0"/>
      <w:r w:rsidRPr="000F07C7">
        <w:rPr>
          <w:rFonts w:asciiTheme="minorHAnsi" w:hAnsiTheme="minorHAnsi" w:cstheme="minorHAnsi"/>
          <w:b/>
          <w:sz w:val="22"/>
          <w:szCs w:val="22"/>
        </w:rPr>
        <w:t>APPENDIX S1</w:t>
      </w:r>
    </w:p>
    <w:p w:rsidR="000F07C7" w:rsidRPr="000F07C7" w:rsidRDefault="000F07C7" w:rsidP="000F07C7">
      <w:pPr>
        <w:spacing w:line="240" w:lineRule="auto"/>
        <w:jc w:val="center"/>
        <w:rPr>
          <w:rFonts w:asciiTheme="minorHAnsi" w:hAnsiTheme="minorHAnsi" w:cstheme="minorHAnsi"/>
          <w:b/>
          <w:sz w:val="22"/>
          <w:szCs w:val="22"/>
        </w:rPr>
      </w:pPr>
      <w:r w:rsidRPr="000F07C7">
        <w:rPr>
          <w:rFonts w:asciiTheme="minorHAnsi" w:hAnsiTheme="minorHAnsi" w:cstheme="minorHAnsi"/>
          <w:b/>
          <w:sz w:val="22"/>
          <w:szCs w:val="22"/>
        </w:rPr>
        <w:t>NASS Review</w:t>
      </w:r>
    </w:p>
    <w:p w:rsidR="000F07C7" w:rsidRDefault="000F07C7" w:rsidP="006B2D39">
      <w:pPr>
        <w:spacing w:after="120" w:line="360" w:lineRule="auto"/>
        <w:jc w:val="center"/>
        <w:rPr>
          <w:rFonts w:asciiTheme="minorHAnsi" w:hAnsiTheme="minorHAnsi" w:cstheme="minorHAnsi"/>
          <w:b/>
          <w:sz w:val="22"/>
          <w:szCs w:val="22"/>
        </w:rPr>
      </w:pPr>
    </w:p>
    <w:p w:rsidR="006B2D39" w:rsidRPr="000F07C7" w:rsidRDefault="006B2D39" w:rsidP="000F07C7">
      <w:pPr>
        <w:spacing w:line="240" w:lineRule="auto"/>
        <w:jc w:val="center"/>
        <w:rPr>
          <w:rFonts w:asciiTheme="minorHAnsi" w:hAnsiTheme="minorHAnsi" w:cstheme="minorHAnsi"/>
          <w:b/>
          <w:sz w:val="22"/>
          <w:szCs w:val="22"/>
        </w:rPr>
      </w:pPr>
      <w:r w:rsidRPr="000F07C7">
        <w:rPr>
          <w:rFonts w:asciiTheme="minorHAnsi" w:hAnsiTheme="minorHAnsi" w:cstheme="minorHAnsi"/>
          <w:b/>
          <w:sz w:val="22"/>
          <w:szCs w:val="22"/>
        </w:rPr>
        <w:t>NASS Review of the</w:t>
      </w:r>
    </w:p>
    <w:p w:rsidR="006B2D39" w:rsidRPr="000F07C7" w:rsidRDefault="006B2D39" w:rsidP="000F07C7">
      <w:pPr>
        <w:spacing w:line="240" w:lineRule="auto"/>
        <w:jc w:val="center"/>
        <w:rPr>
          <w:rFonts w:asciiTheme="minorHAnsi" w:hAnsiTheme="minorHAnsi" w:cstheme="minorHAnsi"/>
          <w:b/>
          <w:caps/>
          <w:sz w:val="22"/>
          <w:szCs w:val="22"/>
        </w:rPr>
      </w:pPr>
      <w:r w:rsidRPr="000F07C7">
        <w:rPr>
          <w:rFonts w:asciiTheme="minorHAnsi" w:hAnsiTheme="minorHAnsi" w:cstheme="minorHAnsi"/>
          <w:b/>
          <w:sz w:val="22"/>
          <w:szCs w:val="22"/>
        </w:rPr>
        <w:t>Supporting Statement for OMB Clearance for</w:t>
      </w:r>
      <w:r w:rsidRPr="000F07C7">
        <w:rPr>
          <w:rFonts w:asciiTheme="minorHAnsi" w:hAnsiTheme="minorHAnsi" w:cstheme="minorHAnsi"/>
          <w:b/>
          <w:sz w:val="22"/>
          <w:szCs w:val="22"/>
        </w:rPr>
        <w:br/>
        <w:t>FNS–WIC Infant and Toddler Feeding Practices Study-2 (WIC ITFPS-2)</w:t>
      </w:r>
    </w:p>
    <w:p w:rsidR="000F07C7" w:rsidRDefault="000F07C7" w:rsidP="006B2D39">
      <w:pPr>
        <w:spacing w:after="120" w:line="360" w:lineRule="auto"/>
        <w:jc w:val="center"/>
        <w:rPr>
          <w:rFonts w:asciiTheme="minorHAnsi" w:hAnsiTheme="minorHAnsi" w:cstheme="minorHAnsi"/>
          <w:b/>
          <w:color w:val="333333"/>
          <w:kern w:val="36"/>
          <w:sz w:val="22"/>
          <w:szCs w:val="22"/>
          <w:lang w:val="en"/>
        </w:rPr>
      </w:pPr>
    </w:p>
    <w:p w:rsidR="00FF694D" w:rsidRPr="000F07C7" w:rsidRDefault="00FF694D" w:rsidP="006B2D39">
      <w:pPr>
        <w:spacing w:after="120" w:line="360" w:lineRule="auto"/>
        <w:jc w:val="center"/>
        <w:rPr>
          <w:rFonts w:asciiTheme="minorHAnsi" w:hAnsiTheme="minorHAnsi" w:cstheme="minorHAnsi"/>
          <w:b/>
          <w:color w:val="333333"/>
          <w:kern w:val="36"/>
          <w:sz w:val="22"/>
          <w:szCs w:val="22"/>
          <w:lang w:val="en"/>
        </w:rPr>
      </w:pPr>
    </w:p>
    <w:p w:rsidR="00FF694D" w:rsidRPr="000F07C7" w:rsidRDefault="00FF694D" w:rsidP="00F51545">
      <w:pPr>
        <w:spacing w:after="120" w:line="360" w:lineRule="auto"/>
        <w:jc w:val="center"/>
        <w:rPr>
          <w:rFonts w:asciiTheme="minorHAnsi" w:hAnsiTheme="minorHAnsi" w:cstheme="minorHAnsi"/>
          <w:b/>
          <w:color w:val="333333"/>
          <w:kern w:val="36"/>
          <w:sz w:val="22"/>
          <w:szCs w:val="22"/>
          <w:lang w:val="en"/>
        </w:rPr>
      </w:pPr>
      <w:r w:rsidRPr="000F07C7">
        <w:rPr>
          <w:rFonts w:asciiTheme="minorHAnsi" w:hAnsiTheme="minorHAnsi" w:cstheme="minorHAnsi"/>
          <w:b/>
          <w:color w:val="333333"/>
          <w:kern w:val="36"/>
          <w:sz w:val="22"/>
          <w:szCs w:val="22"/>
          <w:lang w:val="en"/>
        </w:rPr>
        <w:t>Part A:</w:t>
      </w:r>
    </w:p>
    <w:p w:rsidR="00FF694D" w:rsidRPr="000F07C7" w:rsidRDefault="006B4FA9" w:rsidP="00F51545">
      <w:pPr>
        <w:spacing w:after="120" w:line="240" w:lineRule="auto"/>
        <w:rPr>
          <w:rFonts w:asciiTheme="minorHAnsi" w:hAnsiTheme="minorHAnsi" w:cstheme="minorHAnsi"/>
          <w:color w:val="333333"/>
          <w:kern w:val="36"/>
          <w:sz w:val="22"/>
          <w:szCs w:val="22"/>
          <w:lang w:val="en"/>
        </w:rPr>
      </w:pPr>
      <w:r w:rsidRPr="000F07C7">
        <w:rPr>
          <w:rFonts w:asciiTheme="minorHAnsi" w:hAnsiTheme="minorHAnsi" w:cstheme="minorHAnsi"/>
          <w:color w:val="333333"/>
          <w:kern w:val="36"/>
          <w:sz w:val="22"/>
          <w:szCs w:val="22"/>
          <w:lang w:val="en"/>
        </w:rPr>
        <w:t>How did you arrive at your expectations for study participants to return measurement cards or printout measurements from provider’s offices?  In A.3, the content seems to not make sense.  How can you anticipate 100 percent of interview respondents to submit responses electronically?  Further, later it states only 48 percent of responses will be collected electronically.</w:t>
      </w:r>
      <w:r w:rsidR="00AC21BD" w:rsidRPr="000F07C7">
        <w:rPr>
          <w:rFonts w:asciiTheme="minorHAnsi" w:hAnsiTheme="minorHAnsi" w:cstheme="minorHAnsi"/>
          <w:color w:val="333333"/>
          <w:kern w:val="36"/>
          <w:sz w:val="22"/>
          <w:szCs w:val="22"/>
          <w:lang w:val="en"/>
        </w:rPr>
        <w:t xml:space="preserve">  The same is true later for non-electronic data collection.</w:t>
      </w:r>
      <w:r w:rsidR="001A2698" w:rsidRPr="000F07C7">
        <w:rPr>
          <w:rFonts w:asciiTheme="minorHAnsi" w:hAnsiTheme="minorHAnsi" w:cstheme="minorHAnsi"/>
          <w:color w:val="333333"/>
          <w:kern w:val="36"/>
          <w:sz w:val="22"/>
          <w:szCs w:val="22"/>
          <w:lang w:val="en"/>
        </w:rPr>
        <w:t xml:space="preserve">  I don’t see Appendices R1 and R2 as referenced in A.6.</w:t>
      </w:r>
      <w:r w:rsidR="001F36D8" w:rsidRPr="000F07C7">
        <w:rPr>
          <w:rFonts w:asciiTheme="minorHAnsi" w:hAnsiTheme="minorHAnsi" w:cstheme="minorHAnsi"/>
          <w:color w:val="333333"/>
          <w:kern w:val="36"/>
          <w:sz w:val="22"/>
          <w:szCs w:val="22"/>
          <w:lang w:val="en"/>
        </w:rPr>
        <w:t xml:space="preserve">  Further, in Part B, response rates are listed and all are below 100%.</w:t>
      </w:r>
    </w:p>
    <w:p w:rsidR="001A2698" w:rsidRPr="000F07C7" w:rsidRDefault="001A2698" w:rsidP="00F51545">
      <w:pPr>
        <w:spacing w:after="120" w:line="240" w:lineRule="auto"/>
        <w:rPr>
          <w:rFonts w:asciiTheme="minorHAnsi" w:hAnsiTheme="minorHAnsi" w:cstheme="minorHAnsi"/>
          <w:color w:val="333333"/>
          <w:kern w:val="36"/>
          <w:sz w:val="22"/>
          <w:szCs w:val="22"/>
          <w:lang w:val="en"/>
        </w:rPr>
      </w:pPr>
    </w:p>
    <w:p w:rsidR="00FF694D" w:rsidRPr="000F07C7" w:rsidRDefault="00FF694D" w:rsidP="006B2D39">
      <w:pPr>
        <w:spacing w:after="120" w:line="360" w:lineRule="auto"/>
        <w:jc w:val="center"/>
        <w:rPr>
          <w:rFonts w:asciiTheme="minorHAnsi" w:hAnsiTheme="minorHAnsi" w:cstheme="minorHAnsi"/>
          <w:b/>
          <w:color w:val="333333"/>
          <w:kern w:val="36"/>
          <w:sz w:val="22"/>
          <w:szCs w:val="22"/>
          <w:lang w:val="en"/>
        </w:rPr>
      </w:pPr>
      <w:r w:rsidRPr="000F07C7">
        <w:rPr>
          <w:rFonts w:asciiTheme="minorHAnsi" w:hAnsiTheme="minorHAnsi" w:cstheme="minorHAnsi"/>
          <w:b/>
          <w:color w:val="333333"/>
          <w:kern w:val="36"/>
          <w:sz w:val="22"/>
          <w:szCs w:val="22"/>
          <w:lang w:val="en"/>
        </w:rPr>
        <w:t>Part B:</w:t>
      </w:r>
    </w:p>
    <w:p w:rsidR="006B4FA9" w:rsidRPr="000F07C7" w:rsidRDefault="00EE0329">
      <w:pPr>
        <w:rPr>
          <w:rFonts w:asciiTheme="minorHAnsi" w:hAnsiTheme="minorHAnsi" w:cstheme="minorHAnsi"/>
          <w:sz w:val="22"/>
          <w:szCs w:val="22"/>
        </w:rPr>
      </w:pPr>
      <w:r w:rsidRPr="000F07C7">
        <w:rPr>
          <w:rFonts w:asciiTheme="minorHAnsi" w:hAnsiTheme="minorHAnsi" w:cstheme="minorHAnsi"/>
          <w:sz w:val="22"/>
          <w:szCs w:val="22"/>
        </w:rPr>
        <w:t xml:space="preserve">With the appendix V, everything seems to be justified appropriately and well-documented.  The only items that were unclear were as follows: 1. In Table B1.2, actual rates were higher than projected.  Will new sample rates also be higher for subsequent studies?  2.  Before the first 72-month interview is fielded, 15 percent of participants will be randomly selected for the replicate AMPM interview.  What methodology will be used for these 15% to be randomly selected?  Certain methodologies may allow for targeting specific groups to ensure you do get </w:t>
      </w:r>
      <w:r w:rsidR="008E2F87" w:rsidRPr="000F07C7">
        <w:rPr>
          <w:rFonts w:asciiTheme="minorHAnsi" w:hAnsiTheme="minorHAnsi" w:cstheme="minorHAnsi"/>
          <w:sz w:val="22"/>
          <w:szCs w:val="22"/>
        </w:rPr>
        <w:t xml:space="preserve">completed reports for 10 percent of the sample. </w:t>
      </w:r>
    </w:p>
    <w:p w:rsidR="008E2F87" w:rsidRPr="000F07C7" w:rsidRDefault="008E2F87">
      <w:pPr>
        <w:rPr>
          <w:rFonts w:asciiTheme="minorHAnsi" w:hAnsiTheme="minorHAnsi" w:cstheme="minorHAnsi"/>
          <w:sz w:val="22"/>
          <w:szCs w:val="22"/>
        </w:rPr>
      </w:pPr>
    </w:p>
    <w:p w:rsidR="008E2F87" w:rsidRPr="000F07C7" w:rsidRDefault="008E2F87">
      <w:pPr>
        <w:rPr>
          <w:rFonts w:asciiTheme="minorHAnsi" w:hAnsiTheme="minorHAnsi" w:cstheme="minorHAnsi"/>
          <w:sz w:val="22"/>
          <w:szCs w:val="22"/>
        </w:rPr>
      </w:pPr>
      <w:r w:rsidRPr="000F07C7">
        <w:rPr>
          <w:rFonts w:asciiTheme="minorHAnsi" w:hAnsiTheme="minorHAnsi" w:cstheme="minorHAnsi"/>
          <w:sz w:val="22"/>
          <w:szCs w:val="22"/>
        </w:rPr>
        <w:t>For B2, the same applies for the 10 percent subsample of caregivers who complete the first interview.  What methodology will be used to subsample the caregivers to ensure they are randomly selected?</w:t>
      </w:r>
    </w:p>
    <w:sectPr w:rsidR="008E2F87" w:rsidRPr="000F07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2D39"/>
    <w:rsid w:val="000F07C7"/>
    <w:rsid w:val="001A2698"/>
    <w:rsid w:val="001F36D8"/>
    <w:rsid w:val="00453C56"/>
    <w:rsid w:val="00653667"/>
    <w:rsid w:val="006B2D39"/>
    <w:rsid w:val="006B4FA9"/>
    <w:rsid w:val="006D2EEA"/>
    <w:rsid w:val="008E2F87"/>
    <w:rsid w:val="00AC21BD"/>
    <w:rsid w:val="00CA778C"/>
    <w:rsid w:val="00EE0329"/>
    <w:rsid w:val="00F51545"/>
    <w:rsid w:val="00FF69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2D39"/>
    <w:pPr>
      <w:spacing w:after="0" w:line="240" w:lineRule="atLeast"/>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2D39"/>
    <w:pPr>
      <w:spacing w:after="0" w:line="240" w:lineRule="atLeast"/>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229</Words>
  <Characters>1308</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NASS</Company>
  <LinksUpToDate>false</LinksUpToDate>
  <CharactersWithSpaces>1534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Kilburg, Douglas - NASS</dc:creator>
  <cp:keywords/>
  <dc:description/>
  <cp:lastModifiedBy>SYSTEM</cp:lastModifiedBy>
  <cp:revision>2</cp:revision>
  <dcterms:created xsi:type="dcterms:W3CDTF">2018-10-12T20:46:00Z</dcterms:created>
  <dcterms:modified xsi:type="dcterms:W3CDTF">2018-10-12T20:46:00Z</dcterms:modified>
</cp:coreProperties>
</file>