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EB4835" w14:textId="77777777" w:rsidR="00C23DA3" w:rsidRPr="00F6413F" w:rsidRDefault="006E28D7" w:rsidP="000C0BC0">
      <w:pPr>
        <w:pStyle w:val="NoSpacing"/>
        <w:tabs>
          <w:tab w:val="left" w:pos="720"/>
        </w:tabs>
        <w:rPr>
          <w:rFonts w:ascii="Franklin Gothic Medium" w:hAnsi="Franklin Gothic Medium"/>
          <w:b w:val="0"/>
          <w:szCs w:val="24"/>
        </w:rPr>
      </w:pPr>
      <w:bookmarkStart w:id="0" w:name="_GoBack"/>
      <w:bookmarkEnd w:id="0"/>
      <w:r>
        <w:rPr>
          <w:rFonts w:ascii="Franklin Gothic Medium" w:hAnsi="Franklin Gothic Medium"/>
          <w:szCs w:val="24"/>
        </w:rPr>
        <w:t xml:space="preserve">SUPPORTING STATEMENT </w:t>
      </w:r>
      <w:r w:rsidR="007349C0">
        <w:rPr>
          <w:rFonts w:ascii="Franklin Gothic Medium" w:hAnsi="Franklin Gothic Medium"/>
          <w:szCs w:val="24"/>
        </w:rPr>
        <w:t>PART B</w:t>
      </w:r>
      <w:r>
        <w:rPr>
          <w:rFonts w:ascii="Franklin Gothic Medium" w:hAnsi="Franklin Gothic Medium"/>
          <w:szCs w:val="24"/>
        </w:rPr>
        <w:t xml:space="preserve"> FOR</w:t>
      </w:r>
    </w:p>
    <w:p w14:paraId="7C3DF4BD" w14:textId="77777777" w:rsidR="00C23DA3" w:rsidRPr="00F6413F" w:rsidRDefault="00C23DA3" w:rsidP="000C0BC0">
      <w:pPr>
        <w:pStyle w:val="NoSpacing"/>
        <w:tabs>
          <w:tab w:val="left" w:pos="720"/>
        </w:tabs>
        <w:rPr>
          <w:rFonts w:ascii="Franklin Gothic Medium" w:hAnsi="Franklin Gothic Medium"/>
          <w:b w:val="0"/>
          <w:szCs w:val="24"/>
        </w:rPr>
      </w:pPr>
    </w:p>
    <w:p w14:paraId="6FE2EE8B" w14:textId="77777777" w:rsidR="009B04EC" w:rsidRPr="002E5AAC" w:rsidRDefault="009B04EC" w:rsidP="000C0BC0">
      <w:pPr>
        <w:pStyle w:val="NoSpacing"/>
        <w:tabs>
          <w:tab w:val="left" w:pos="720"/>
        </w:tabs>
        <w:rPr>
          <w:rFonts w:ascii="Franklin Gothic Medium" w:hAnsi="Franklin Gothic Medium"/>
          <w:szCs w:val="24"/>
        </w:rPr>
      </w:pPr>
      <w:r w:rsidRPr="002E5AAC">
        <w:rPr>
          <w:rFonts w:ascii="Franklin Gothic Medium" w:hAnsi="Franklin Gothic Medium"/>
          <w:szCs w:val="24"/>
        </w:rPr>
        <w:t xml:space="preserve">Revision to </w:t>
      </w:r>
      <w:r w:rsidRPr="002E5AAC">
        <w:rPr>
          <w:rFonts w:ascii="Franklin Gothic Medium" w:hAnsi="Franklin Gothic Medium"/>
        </w:rPr>
        <w:t>OMB Number 0584-0580</w:t>
      </w:r>
    </w:p>
    <w:p w14:paraId="6FE63C4F" w14:textId="78FAC77F" w:rsidR="009B04EC" w:rsidRPr="002E5AAC" w:rsidRDefault="009B04EC" w:rsidP="000C0BC0">
      <w:pPr>
        <w:pStyle w:val="NoSpacing"/>
        <w:tabs>
          <w:tab w:val="left" w:pos="720"/>
        </w:tabs>
        <w:rPr>
          <w:rFonts w:ascii="Franklin Gothic Medium" w:hAnsi="Franklin Gothic Medium"/>
          <w:b w:val="0"/>
          <w:szCs w:val="24"/>
        </w:rPr>
      </w:pPr>
      <w:r w:rsidRPr="002E5AAC">
        <w:rPr>
          <w:rFonts w:ascii="Franklin Gothic Medium" w:hAnsi="Franklin Gothic Medium"/>
          <w:szCs w:val="24"/>
        </w:rPr>
        <w:t xml:space="preserve">WIC Infant and Toddler Feeding Practices Study-2 (WIC ITFPS-2): </w:t>
      </w:r>
    </w:p>
    <w:p w14:paraId="6EA49F9A" w14:textId="63C29F75" w:rsidR="00C23DA3" w:rsidRPr="00F6413F" w:rsidRDefault="009B04EC" w:rsidP="000C0BC0">
      <w:pPr>
        <w:pStyle w:val="NoSpacing"/>
        <w:tabs>
          <w:tab w:val="left" w:pos="720"/>
        </w:tabs>
        <w:rPr>
          <w:rFonts w:ascii="Franklin Gothic Medium" w:hAnsi="Franklin Gothic Medium"/>
          <w:b w:val="0"/>
          <w:szCs w:val="24"/>
        </w:rPr>
      </w:pPr>
      <w:r w:rsidRPr="002E5AAC">
        <w:rPr>
          <w:rFonts w:ascii="Franklin Gothic Medium" w:hAnsi="Franklin Gothic Medium"/>
          <w:szCs w:val="24"/>
        </w:rPr>
        <w:t xml:space="preserve">Age </w:t>
      </w:r>
      <w:r w:rsidR="00117BFC">
        <w:rPr>
          <w:rFonts w:ascii="Franklin Gothic Medium" w:hAnsi="Franklin Gothic Medium"/>
          <w:szCs w:val="24"/>
        </w:rPr>
        <w:t>6</w:t>
      </w:r>
      <w:r w:rsidR="00117BFC" w:rsidRPr="002E5AAC">
        <w:rPr>
          <w:rFonts w:ascii="Franklin Gothic Medium" w:hAnsi="Franklin Gothic Medium"/>
          <w:szCs w:val="24"/>
        </w:rPr>
        <w:t xml:space="preserve"> </w:t>
      </w:r>
      <w:r w:rsidRPr="002E5AAC">
        <w:rPr>
          <w:rFonts w:ascii="Franklin Gothic Medium" w:hAnsi="Franklin Gothic Medium"/>
          <w:szCs w:val="24"/>
        </w:rPr>
        <w:t>Extension</w:t>
      </w:r>
    </w:p>
    <w:p w14:paraId="3C8BCF5B" w14:textId="77777777" w:rsidR="00C23DA3" w:rsidRPr="00F6413F" w:rsidRDefault="00C23DA3" w:rsidP="000C0BC0">
      <w:pPr>
        <w:pStyle w:val="NoSpacing"/>
        <w:tabs>
          <w:tab w:val="left" w:pos="720"/>
        </w:tabs>
        <w:rPr>
          <w:rFonts w:ascii="Franklin Gothic Medium" w:hAnsi="Franklin Gothic Medium"/>
          <w:b w:val="0"/>
          <w:szCs w:val="24"/>
        </w:rPr>
      </w:pPr>
    </w:p>
    <w:p w14:paraId="5A9EAC00" w14:textId="77777777" w:rsidR="00C23DA3" w:rsidRPr="00F6413F" w:rsidRDefault="00C23DA3" w:rsidP="000C0BC0">
      <w:pPr>
        <w:pStyle w:val="NoSpacing"/>
        <w:tabs>
          <w:tab w:val="left" w:pos="720"/>
        </w:tabs>
        <w:rPr>
          <w:rFonts w:ascii="Franklin Gothic Medium" w:hAnsi="Franklin Gothic Medium"/>
          <w:b w:val="0"/>
          <w:szCs w:val="24"/>
        </w:rPr>
      </w:pPr>
    </w:p>
    <w:p w14:paraId="4C01A2E7" w14:textId="77777777" w:rsidR="00117BFC" w:rsidRPr="002E5AAC" w:rsidRDefault="00117BFC" w:rsidP="00117BFC">
      <w:pPr>
        <w:pStyle w:val="NoSpacing"/>
        <w:tabs>
          <w:tab w:val="left" w:pos="720"/>
        </w:tabs>
        <w:rPr>
          <w:rFonts w:ascii="Franklin Gothic Medium" w:hAnsi="Franklin Gothic Medium"/>
          <w:szCs w:val="24"/>
        </w:rPr>
      </w:pPr>
      <w:r>
        <w:rPr>
          <w:rFonts w:ascii="Franklin Gothic Medium" w:hAnsi="Franklin Gothic Medium"/>
          <w:szCs w:val="24"/>
        </w:rPr>
        <w:t>Danielle Berman</w:t>
      </w:r>
    </w:p>
    <w:p w14:paraId="75D366BC" w14:textId="77777777" w:rsidR="00117BFC" w:rsidRPr="002E5AAC" w:rsidRDefault="00117BFC" w:rsidP="00117BFC">
      <w:pPr>
        <w:pStyle w:val="NoSpacing"/>
        <w:tabs>
          <w:tab w:val="left" w:pos="720"/>
        </w:tabs>
        <w:rPr>
          <w:rFonts w:ascii="Franklin Gothic Medium" w:hAnsi="Franklin Gothic Medium"/>
          <w:b w:val="0"/>
          <w:szCs w:val="24"/>
        </w:rPr>
      </w:pPr>
      <w:r w:rsidRPr="002E5AAC">
        <w:rPr>
          <w:rFonts w:ascii="Franklin Gothic Medium" w:hAnsi="Franklin Gothic Medium"/>
          <w:szCs w:val="24"/>
        </w:rPr>
        <w:t>Office of Policy Support</w:t>
      </w:r>
    </w:p>
    <w:p w14:paraId="4A193867" w14:textId="77777777" w:rsidR="00117BFC" w:rsidRPr="002E5AAC" w:rsidRDefault="00117BFC" w:rsidP="00117BFC">
      <w:pPr>
        <w:pStyle w:val="NoSpacing"/>
        <w:tabs>
          <w:tab w:val="left" w:pos="720"/>
        </w:tabs>
        <w:rPr>
          <w:rFonts w:ascii="Franklin Gothic Medium" w:hAnsi="Franklin Gothic Medium"/>
          <w:b w:val="0"/>
          <w:szCs w:val="24"/>
        </w:rPr>
      </w:pPr>
      <w:r w:rsidRPr="002E5AAC">
        <w:rPr>
          <w:rFonts w:ascii="Franklin Gothic Medium" w:hAnsi="Franklin Gothic Medium"/>
          <w:szCs w:val="24"/>
        </w:rPr>
        <w:t>Food and Nutrition Service</w:t>
      </w:r>
    </w:p>
    <w:p w14:paraId="449595DE" w14:textId="77777777" w:rsidR="00117BFC" w:rsidRPr="002E5AAC" w:rsidRDefault="00117BFC" w:rsidP="00117BFC">
      <w:pPr>
        <w:pStyle w:val="NoSpacing"/>
        <w:tabs>
          <w:tab w:val="left" w:pos="720"/>
        </w:tabs>
        <w:rPr>
          <w:rFonts w:ascii="Franklin Gothic Medium" w:hAnsi="Franklin Gothic Medium"/>
          <w:b w:val="0"/>
          <w:szCs w:val="24"/>
        </w:rPr>
      </w:pPr>
      <w:r w:rsidRPr="002E5AAC">
        <w:rPr>
          <w:rFonts w:ascii="Franklin Gothic Medium" w:hAnsi="Franklin Gothic Medium"/>
          <w:szCs w:val="24"/>
        </w:rPr>
        <w:t>US Department of Agriculture</w:t>
      </w:r>
    </w:p>
    <w:p w14:paraId="39A3464F" w14:textId="77777777" w:rsidR="00117BFC" w:rsidRPr="002E5AAC" w:rsidRDefault="00117BFC" w:rsidP="00117BFC">
      <w:pPr>
        <w:pStyle w:val="NoSpacing"/>
        <w:tabs>
          <w:tab w:val="left" w:pos="720"/>
        </w:tabs>
        <w:rPr>
          <w:rFonts w:ascii="Franklin Gothic Medium" w:hAnsi="Franklin Gothic Medium"/>
          <w:b w:val="0"/>
          <w:szCs w:val="24"/>
        </w:rPr>
      </w:pPr>
      <w:r w:rsidRPr="002E5AAC">
        <w:rPr>
          <w:rFonts w:ascii="Franklin Gothic Medium" w:hAnsi="Franklin Gothic Medium"/>
          <w:szCs w:val="24"/>
        </w:rPr>
        <w:t>3101 Park Center Drive</w:t>
      </w:r>
    </w:p>
    <w:p w14:paraId="47CD0450" w14:textId="77777777" w:rsidR="00117BFC" w:rsidRPr="002E5AAC" w:rsidRDefault="00117BFC" w:rsidP="00117BFC">
      <w:pPr>
        <w:pStyle w:val="NoSpacing"/>
        <w:tabs>
          <w:tab w:val="left" w:pos="720"/>
        </w:tabs>
        <w:rPr>
          <w:rFonts w:ascii="Franklin Gothic Medium" w:hAnsi="Franklin Gothic Medium"/>
          <w:b w:val="0"/>
          <w:szCs w:val="24"/>
        </w:rPr>
      </w:pPr>
      <w:r w:rsidRPr="002E5AAC">
        <w:rPr>
          <w:rFonts w:ascii="Franklin Gothic Medium" w:hAnsi="Franklin Gothic Medium"/>
          <w:szCs w:val="24"/>
        </w:rPr>
        <w:t>Alexandria, VA 22302</w:t>
      </w:r>
    </w:p>
    <w:p w14:paraId="1F2B5312" w14:textId="77777777" w:rsidR="00117BFC" w:rsidRPr="002E5AAC" w:rsidRDefault="00117BFC" w:rsidP="00117BFC">
      <w:pPr>
        <w:pStyle w:val="NoSpacing"/>
        <w:tabs>
          <w:tab w:val="left" w:pos="720"/>
        </w:tabs>
        <w:rPr>
          <w:rFonts w:ascii="Franklin Gothic Medium" w:hAnsi="Franklin Gothic Medium"/>
          <w:b w:val="0"/>
          <w:szCs w:val="24"/>
        </w:rPr>
      </w:pPr>
      <w:r w:rsidRPr="002E5AAC">
        <w:rPr>
          <w:rFonts w:ascii="Franklin Gothic Medium" w:hAnsi="Franklin Gothic Medium"/>
          <w:szCs w:val="24"/>
        </w:rPr>
        <w:t xml:space="preserve">Phone: </w:t>
      </w:r>
      <w:r>
        <w:rPr>
          <w:rFonts w:ascii="Franklin Gothic Medium" w:hAnsi="Franklin Gothic Medium"/>
          <w:szCs w:val="24"/>
        </w:rPr>
        <w:t>703-305-</w:t>
      </w:r>
      <w:r w:rsidRPr="003B7557">
        <w:rPr>
          <w:rFonts w:ascii="Franklin Gothic Medium" w:hAnsi="Franklin Gothic Medium"/>
          <w:szCs w:val="24"/>
        </w:rPr>
        <w:t>2698</w:t>
      </w:r>
    </w:p>
    <w:p w14:paraId="5C1EA37E" w14:textId="77777777" w:rsidR="00117BFC" w:rsidRPr="002E5AAC" w:rsidRDefault="00117BFC" w:rsidP="00117BFC">
      <w:pPr>
        <w:pStyle w:val="NoSpacing"/>
        <w:tabs>
          <w:tab w:val="left" w:pos="720"/>
        </w:tabs>
        <w:rPr>
          <w:rFonts w:ascii="Franklin Gothic Medium" w:hAnsi="Franklin Gothic Medium"/>
          <w:b w:val="0"/>
          <w:szCs w:val="24"/>
        </w:rPr>
      </w:pPr>
      <w:r w:rsidRPr="002E5AAC">
        <w:rPr>
          <w:rFonts w:ascii="Franklin Gothic Medium" w:hAnsi="Franklin Gothic Medium"/>
          <w:szCs w:val="24"/>
        </w:rPr>
        <w:t>Fax: 703-305-2576</w:t>
      </w:r>
    </w:p>
    <w:p w14:paraId="1E72FD54" w14:textId="77777777" w:rsidR="00117BFC" w:rsidRPr="002E5AAC" w:rsidRDefault="00117BFC" w:rsidP="00117BFC">
      <w:pPr>
        <w:pStyle w:val="NoSpacing"/>
        <w:tabs>
          <w:tab w:val="left" w:pos="720"/>
        </w:tabs>
        <w:rPr>
          <w:rFonts w:ascii="Franklin Gothic Medium" w:hAnsi="Franklin Gothic Medium"/>
          <w:b w:val="0"/>
          <w:szCs w:val="24"/>
        </w:rPr>
      </w:pPr>
      <w:r w:rsidRPr="002E5AAC">
        <w:rPr>
          <w:rFonts w:ascii="Franklin Gothic Medium" w:hAnsi="Franklin Gothic Medium"/>
          <w:szCs w:val="24"/>
        </w:rPr>
        <w:t xml:space="preserve">E-mail: </w:t>
      </w:r>
      <w:r>
        <w:rPr>
          <w:rFonts w:ascii="Franklin Gothic Medium" w:hAnsi="Franklin Gothic Medium"/>
          <w:szCs w:val="24"/>
        </w:rPr>
        <w:t>danielle.berman</w:t>
      </w:r>
      <w:r w:rsidRPr="002E5AAC">
        <w:rPr>
          <w:rFonts w:ascii="Franklin Gothic Medium" w:hAnsi="Franklin Gothic Medium"/>
          <w:szCs w:val="24"/>
        </w:rPr>
        <w:t>@fns.usda.gov</w:t>
      </w:r>
    </w:p>
    <w:p w14:paraId="0CD2ADDB" w14:textId="77777777" w:rsidR="00C23DA3" w:rsidRPr="00F6413F" w:rsidRDefault="00C23DA3" w:rsidP="000C0BC0">
      <w:pPr>
        <w:pStyle w:val="NoSpacing"/>
        <w:tabs>
          <w:tab w:val="left" w:pos="720"/>
        </w:tabs>
        <w:rPr>
          <w:rFonts w:ascii="Franklin Gothic Medium" w:hAnsi="Franklin Gothic Medium"/>
          <w:b w:val="0"/>
          <w:szCs w:val="24"/>
        </w:rPr>
      </w:pPr>
    </w:p>
    <w:p w14:paraId="09646D19" w14:textId="77777777" w:rsidR="00C23DA3" w:rsidRPr="00F6413F" w:rsidRDefault="00C23DA3" w:rsidP="000C0BC0">
      <w:pPr>
        <w:pStyle w:val="NoSpacing"/>
        <w:tabs>
          <w:tab w:val="left" w:pos="720"/>
        </w:tabs>
        <w:rPr>
          <w:rFonts w:ascii="Franklin Gothic Medium" w:hAnsi="Franklin Gothic Medium"/>
          <w:b w:val="0"/>
          <w:szCs w:val="24"/>
        </w:rPr>
      </w:pPr>
    </w:p>
    <w:p w14:paraId="6CBA16F2" w14:textId="462C9EB5" w:rsidR="00C23DA3" w:rsidRDefault="00DC7F43" w:rsidP="000C0BC0">
      <w:pPr>
        <w:pStyle w:val="NoSpacing"/>
        <w:tabs>
          <w:tab w:val="left" w:pos="720"/>
        </w:tabs>
        <w:rPr>
          <w:rFonts w:ascii="Franklin Gothic Medium" w:hAnsi="Franklin Gothic Medium"/>
          <w:szCs w:val="24"/>
        </w:rPr>
      </w:pPr>
      <w:r>
        <w:rPr>
          <w:rFonts w:ascii="Franklin Gothic Medium" w:hAnsi="Franklin Gothic Medium"/>
          <w:szCs w:val="24"/>
        </w:rPr>
        <w:t>10</w:t>
      </w:r>
      <w:r w:rsidR="009C44F7">
        <w:rPr>
          <w:rFonts w:ascii="Franklin Gothic Medium" w:hAnsi="Franklin Gothic Medium"/>
          <w:szCs w:val="24"/>
        </w:rPr>
        <w:t>/</w:t>
      </w:r>
      <w:r w:rsidR="003E789D">
        <w:rPr>
          <w:rFonts w:ascii="Franklin Gothic Medium" w:hAnsi="Franklin Gothic Medium"/>
          <w:szCs w:val="24"/>
        </w:rPr>
        <w:t>15</w:t>
      </w:r>
      <w:r w:rsidR="009C44F7">
        <w:rPr>
          <w:rFonts w:ascii="Franklin Gothic Medium" w:hAnsi="Franklin Gothic Medium"/>
          <w:szCs w:val="24"/>
        </w:rPr>
        <w:t>/18</w:t>
      </w:r>
    </w:p>
    <w:p w14:paraId="3A0F2AF7" w14:textId="77777777" w:rsidR="00F6413F" w:rsidRDefault="00F6413F" w:rsidP="000C0BC0">
      <w:pPr>
        <w:pStyle w:val="SL-FlLftSgl"/>
        <w:tabs>
          <w:tab w:val="left" w:pos="720"/>
        </w:tabs>
      </w:pPr>
    </w:p>
    <w:p w14:paraId="72F012AE" w14:textId="77777777" w:rsidR="00C23DA3" w:rsidRPr="00056788" w:rsidRDefault="00C23DA3" w:rsidP="000C0BC0">
      <w:pPr>
        <w:pStyle w:val="NoSpacing"/>
        <w:tabs>
          <w:tab w:val="left" w:pos="720"/>
        </w:tabs>
        <w:rPr>
          <w:rFonts w:asciiTheme="minorHAnsi" w:hAnsiTheme="minorHAnsi"/>
          <w:b w:val="0"/>
          <w:szCs w:val="24"/>
        </w:rPr>
        <w:sectPr w:rsidR="00C23DA3" w:rsidRPr="00056788" w:rsidSect="006F4794">
          <w:footerReference w:type="default" r:id="rId9"/>
          <w:pgSz w:w="12240" w:h="15840" w:code="1"/>
          <w:pgMar w:top="1440" w:right="1440" w:bottom="1440" w:left="1440" w:header="720" w:footer="576" w:gutter="0"/>
          <w:cols w:space="720"/>
          <w:vAlign w:val="center"/>
          <w:titlePg/>
          <w:docGrid w:linePitch="326"/>
        </w:sectPr>
      </w:pPr>
    </w:p>
    <w:p w14:paraId="7F098BF4" w14:textId="77777777" w:rsidR="00C23DA3" w:rsidRDefault="00C23DA3" w:rsidP="000C0BC0">
      <w:pPr>
        <w:pStyle w:val="TC-TableofContentsHeading"/>
        <w:tabs>
          <w:tab w:val="left" w:pos="720"/>
        </w:tabs>
      </w:pPr>
      <w:bookmarkStart w:id="1" w:name="_Toc329341097"/>
      <w:bookmarkStart w:id="2" w:name="_Toc400377716"/>
      <w:r w:rsidRPr="00525A50">
        <w:lastRenderedPageBreak/>
        <w:t>Table of Contents</w:t>
      </w:r>
      <w:bookmarkStart w:id="3" w:name="_Toc329341098"/>
      <w:bookmarkStart w:id="4" w:name="_Toc168384792"/>
      <w:bookmarkStart w:id="5" w:name="_Toc168384856"/>
      <w:bookmarkStart w:id="6" w:name="_Toc168384964"/>
      <w:bookmarkStart w:id="7" w:name="_Toc168385140"/>
      <w:bookmarkStart w:id="8" w:name="_Toc168385201"/>
      <w:bookmarkStart w:id="9" w:name="_Toc168468406"/>
      <w:bookmarkStart w:id="10" w:name="_Toc287257034"/>
      <w:bookmarkStart w:id="11" w:name="_Toc287257089"/>
      <w:bookmarkStart w:id="12" w:name="_Toc290021778"/>
      <w:bookmarkEnd w:id="1"/>
      <w:bookmarkEnd w:id="2"/>
    </w:p>
    <w:p w14:paraId="2C4AFB77" w14:textId="4DB661A7" w:rsidR="001D7177" w:rsidRDefault="001D7177" w:rsidP="000C0BC0">
      <w:pPr>
        <w:pStyle w:val="T0-ChapPgHd"/>
        <w:tabs>
          <w:tab w:val="left" w:pos="720"/>
        </w:tabs>
      </w:pPr>
      <w:r>
        <w:t>Part</w:t>
      </w:r>
      <w:r>
        <w:tab/>
      </w:r>
      <w:r w:rsidR="00957DEE">
        <w:tab/>
      </w:r>
      <w:r>
        <w:t>Page</w:t>
      </w:r>
    </w:p>
    <w:p w14:paraId="539DC664" w14:textId="77777777" w:rsidR="001D7177" w:rsidRPr="001D7177" w:rsidRDefault="001D7177" w:rsidP="000C0BC0">
      <w:pPr>
        <w:pStyle w:val="T0-ChapPgHd"/>
        <w:tabs>
          <w:tab w:val="left" w:pos="720"/>
        </w:tabs>
      </w:pPr>
    </w:p>
    <w:p w14:paraId="66D0D313" w14:textId="77777777" w:rsidR="00F6413F" w:rsidRDefault="00F6413F" w:rsidP="000C0BC0">
      <w:pPr>
        <w:pStyle w:val="TOC1"/>
        <w:tabs>
          <w:tab w:val="left" w:pos="720"/>
        </w:tabs>
      </w:pPr>
      <w:r w:rsidRPr="00044916">
        <w:t>B</w:t>
      </w:r>
      <w:r w:rsidRPr="00044916">
        <w:tab/>
        <w:t>Colle</w:t>
      </w:r>
      <w:r>
        <w:t xml:space="preserve">ctions of Information Employing </w:t>
      </w:r>
      <w:r w:rsidRPr="00044916">
        <w:t>Statistical Methods</w:t>
      </w:r>
      <w:r w:rsidRPr="00044916">
        <w:tab/>
      </w:r>
      <w:r>
        <w:tab/>
      </w:r>
      <w:r w:rsidRPr="00044916">
        <w:t>1</w:t>
      </w:r>
    </w:p>
    <w:p w14:paraId="743E7D8E" w14:textId="77777777" w:rsidR="00F6413F" w:rsidRPr="00044916" w:rsidRDefault="00F6413F" w:rsidP="000C0BC0">
      <w:pPr>
        <w:pStyle w:val="TOC1"/>
        <w:tabs>
          <w:tab w:val="left" w:pos="720"/>
        </w:tabs>
        <w:rPr>
          <w:rFonts w:eastAsiaTheme="minorEastAsia"/>
        </w:rPr>
      </w:pPr>
    </w:p>
    <w:p w14:paraId="1C63A1E1" w14:textId="77777777" w:rsidR="00F6413F" w:rsidRPr="00044916" w:rsidRDefault="00F6413F" w:rsidP="000C0BC0">
      <w:pPr>
        <w:pStyle w:val="TOC2"/>
        <w:tabs>
          <w:tab w:val="left" w:pos="720"/>
        </w:tabs>
        <w:rPr>
          <w:rFonts w:eastAsiaTheme="minorEastAsia"/>
        </w:rPr>
      </w:pPr>
      <w:r w:rsidRPr="00044916">
        <w:t>B.1</w:t>
      </w:r>
      <w:r w:rsidRPr="00044916">
        <w:rPr>
          <w:rFonts w:eastAsiaTheme="minorEastAsia"/>
        </w:rPr>
        <w:tab/>
      </w:r>
      <w:r w:rsidRPr="00044916">
        <w:t>Respondent Universe and Sampling Methods</w:t>
      </w:r>
      <w:r w:rsidRPr="00044916">
        <w:tab/>
      </w:r>
      <w:r>
        <w:tab/>
      </w:r>
      <w:r w:rsidRPr="00044916">
        <w:t>1</w:t>
      </w:r>
    </w:p>
    <w:p w14:paraId="354600CB" w14:textId="77777777" w:rsidR="00F6413F" w:rsidRPr="00044916" w:rsidRDefault="00F6413F" w:rsidP="000C0BC0">
      <w:pPr>
        <w:pStyle w:val="TOC3"/>
        <w:tabs>
          <w:tab w:val="left" w:pos="720"/>
        </w:tabs>
        <w:rPr>
          <w:rFonts w:eastAsiaTheme="minorEastAsia"/>
        </w:rPr>
      </w:pPr>
      <w:r w:rsidRPr="00044916">
        <w:t>Respondent Universe</w:t>
      </w:r>
      <w:r w:rsidRPr="00044916">
        <w:tab/>
      </w:r>
      <w:r>
        <w:tab/>
      </w:r>
      <w:r w:rsidRPr="00044916">
        <w:t>1</w:t>
      </w:r>
    </w:p>
    <w:p w14:paraId="59992D3B" w14:textId="4E5F193E" w:rsidR="00F6413F" w:rsidRPr="00044916" w:rsidRDefault="00F6413F" w:rsidP="000C0BC0">
      <w:pPr>
        <w:pStyle w:val="TOC3"/>
        <w:tabs>
          <w:tab w:val="left" w:pos="720"/>
        </w:tabs>
        <w:rPr>
          <w:rFonts w:eastAsiaTheme="minorEastAsia"/>
        </w:rPr>
      </w:pPr>
      <w:r w:rsidRPr="00044916">
        <w:t>Sampling Methods</w:t>
      </w:r>
      <w:r w:rsidRPr="00044916">
        <w:tab/>
      </w:r>
      <w:r>
        <w:tab/>
      </w:r>
      <w:r w:rsidR="005B1863">
        <w:t>4</w:t>
      </w:r>
    </w:p>
    <w:p w14:paraId="64692731" w14:textId="46D7807D" w:rsidR="00F6413F" w:rsidRPr="00044916" w:rsidRDefault="00F6413F" w:rsidP="000C0BC0">
      <w:pPr>
        <w:pStyle w:val="TOC3"/>
        <w:tabs>
          <w:tab w:val="left" w:pos="720"/>
        </w:tabs>
        <w:rPr>
          <w:rFonts w:eastAsiaTheme="minorEastAsia"/>
        </w:rPr>
      </w:pPr>
      <w:r w:rsidRPr="00044916">
        <w:t>Response Rates and Non-Response Bias Analysis</w:t>
      </w:r>
      <w:r w:rsidRPr="00044916">
        <w:tab/>
      </w:r>
      <w:r>
        <w:tab/>
      </w:r>
      <w:r w:rsidR="00477A09">
        <w:t>4</w:t>
      </w:r>
    </w:p>
    <w:p w14:paraId="31117F2F" w14:textId="43FC1AE0" w:rsidR="00F6413F" w:rsidRDefault="00F6413F" w:rsidP="000C0BC0">
      <w:pPr>
        <w:pStyle w:val="TOC2"/>
        <w:tabs>
          <w:tab w:val="left" w:pos="720"/>
        </w:tabs>
      </w:pPr>
      <w:r w:rsidRPr="00044916">
        <w:t>B.2</w:t>
      </w:r>
      <w:r w:rsidRPr="00044916">
        <w:rPr>
          <w:rFonts w:eastAsiaTheme="minorEastAsia"/>
        </w:rPr>
        <w:tab/>
      </w:r>
      <w:r w:rsidRPr="00044916">
        <w:t>Procedures for the Collection of Information</w:t>
      </w:r>
      <w:r w:rsidRPr="00044916">
        <w:tab/>
      </w:r>
      <w:r>
        <w:tab/>
      </w:r>
      <w:r w:rsidR="00477A09">
        <w:t>5</w:t>
      </w:r>
    </w:p>
    <w:p w14:paraId="065F52C7" w14:textId="315F0B22" w:rsidR="00790D0C" w:rsidRDefault="00790D0C" w:rsidP="000C0BC0">
      <w:pPr>
        <w:pStyle w:val="TOC2"/>
        <w:tabs>
          <w:tab w:val="left" w:pos="720"/>
        </w:tabs>
        <w:ind w:firstLine="0"/>
      </w:pPr>
      <w:r w:rsidRPr="00790D0C">
        <w:t>Statistical Methodology for Stratification and Sample Selection</w:t>
      </w:r>
      <w:r>
        <w:tab/>
      </w:r>
      <w:r>
        <w:tab/>
      </w:r>
      <w:r w:rsidR="00477A09">
        <w:t>5</w:t>
      </w:r>
    </w:p>
    <w:p w14:paraId="6419CB3D" w14:textId="2207A62A" w:rsidR="00477A09" w:rsidRDefault="00477A09" w:rsidP="00477A09">
      <w:pPr>
        <w:pStyle w:val="TOC2"/>
        <w:tabs>
          <w:tab w:val="left" w:pos="720"/>
        </w:tabs>
        <w:ind w:firstLine="0"/>
      </w:pPr>
      <w:r>
        <w:t>Estimation Procedures</w:t>
      </w:r>
      <w:r>
        <w:tab/>
      </w:r>
      <w:r>
        <w:tab/>
      </w:r>
      <w:r w:rsidR="005B1863">
        <w:t>6</w:t>
      </w:r>
    </w:p>
    <w:p w14:paraId="1C991406" w14:textId="7CED7BF6" w:rsidR="00790D0C" w:rsidRDefault="00790D0C" w:rsidP="000C0BC0">
      <w:pPr>
        <w:pStyle w:val="TOC2"/>
        <w:tabs>
          <w:tab w:val="left" w:pos="720"/>
        </w:tabs>
        <w:ind w:firstLine="0"/>
      </w:pPr>
      <w:r w:rsidRPr="004504E0">
        <w:t>Degree of Accuracy Needed for the Purpose Described in the Justification</w:t>
      </w:r>
      <w:r>
        <w:tab/>
      </w:r>
      <w:r>
        <w:tab/>
      </w:r>
      <w:r w:rsidR="005B1863">
        <w:t>7</w:t>
      </w:r>
    </w:p>
    <w:p w14:paraId="2EEDE3BB" w14:textId="12B44A64" w:rsidR="00790D0C" w:rsidRDefault="00095A6A" w:rsidP="000C0BC0">
      <w:pPr>
        <w:pStyle w:val="TOC2"/>
        <w:tabs>
          <w:tab w:val="left" w:pos="720"/>
        </w:tabs>
        <w:ind w:firstLine="0"/>
      </w:pPr>
      <w:r w:rsidRPr="00D93286">
        <w:t>Unusual Problems Requiring Specialized Sampling Procedures</w:t>
      </w:r>
      <w:r>
        <w:tab/>
      </w:r>
      <w:r>
        <w:tab/>
      </w:r>
      <w:r w:rsidR="005B1863">
        <w:t>7</w:t>
      </w:r>
    </w:p>
    <w:p w14:paraId="5193D93B" w14:textId="13A80BDD" w:rsidR="00095A6A" w:rsidRDefault="00095A6A" w:rsidP="000C0BC0">
      <w:pPr>
        <w:pStyle w:val="TOC2"/>
        <w:tabs>
          <w:tab w:val="left" w:pos="720"/>
        </w:tabs>
        <w:ind w:firstLine="0"/>
      </w:pPr>
      <w:r w:rsidRPr="00D93286">
        <w:t>Any use of Periodic (less frequent than annual) Data Collection Cycles to Reduce Burden</w:t>
      </w:r>
      <w:r>
        <w:tab/>
      </w:r>
      <w:r>
        <w:tab/>
      </w:r>
      <w:r w:rsidR="007B5385">
        <w:t>7</w:t>
      </w:r>
    </w:p>
    <w:p w14:paraId="28A9BBC9" w14:textId="1CB13716" w:rsidR="00477A09" w:rsidRDefault="00477A09" w:rsidP="00477A09">
      <w:pPr>
        <w:pStyle w:val="TOC2"/>
        <w:tabs>
          <w:tab w:val="left" w:pos="720"/>
        </w:tabs>
        <w:ind w:firstLine="0"/>
      </w:pPr>
      <w:r>
        <w:t>Procedures for Conducting Interviews</w:t>
      </w:r>
      <w:r>
        <w:tab/>
      </w:r>
      <w:r>
        <w:tab/>
        <w:t>7</w:t>
      </w:r>
    </w:p>
    <w:p w14:paraId="628D7E17" w14:textId="135E1B3D" w:rsidR="00477A09" w:rsidRDefault="00477A09" w:rsidP="00477A09">
      <w:pPr>
        <w:pStyle w:val="TOC2"/>
        <w:tabs>
          <w:tab w:val="left" w:pos="720"/>
        </w:tabs>
        <w:ind w:firstLine="0"/>
      </w:pPr>
      <w:r w:rsidRPr="00D93286">
        <w:t>Estimation and Calculation of Sampling Errors</w:t>
      </w:r>
      <w:r>
        <w:tab/>
      </w:r>
      <w:r>
        <w:tab/>
      </w:r>
      <w:r w:rsidR="005B1863">
        <w:t>8</w:t>
      </w:r>
    </w:p>
    <w:p w14:paraId="0748F5A2" w14:textId="495A67B0" w:rsidR="00F6413F" w:rsidRPr="00044916" w:rsidRDefault="00F6413F" w:rsidP="000C0BC0">
      <w:pPr>
        <w:pStyle w:val="TOC2"/>
        <w:tabs>
          <w:tab w:val="left" w:pos="720"/>
        </w:tabs>
        <w:rPr>
          <w:rFonts w:eastAsiaTheme="minorEastAsia"/>
        </w:rPr>
      </w:pPr>
      <w:r w:rsidRPr="00044916">
        <w:t>B.3</w:t>
      </w:r>
      <w:r w:rsidRPr="00044916">
        <w:rPr>
          <w:rFonts w:eastAsiaTheme="minorEastAsia"/>
        </w:rPr>
        <w:tab/>
      </w:r>
      <w:r w:rsidRPr="00044916">
        <w:t>Methods to Maximize Response Rates and to Deal with Issues of Nonresponse</w:t>
      </w:r>
      <w:r w:rsidRPr="00044916">
        <w:tab/>
      </w:r>
      <w:r>
        <w:tab/>
      </w:r>
      <w:r w:rsidR="000E33B6">
        <w:t>8</w:t>
      </w:r>
    </w:p>
    <w:p w14:paraId="15040D3D" w14:textId="690C293F" w:rsidR="00F6413F" w:rsidRPr="00044916" w:rsidRDefault="00F6413F" w:rsidP="000C0BC0">
      <w:pPr>
        <w:pStyle w:val="TOC3"/>
        <w:tabs>
          <w:tab w:val="left" w:pos="720"/>
        </w:tabs>
        <w:rPr>
          <w:rFonts w:eastAsiaTheme="minorEastAsia"/>
        </w:rPr>
      </w:pPr>
      <w:r w:rsidRPr="00044916">
        <w:t>WIC State and Local Administrators and Their WIC Sites</w:t>
      </w:r>
      <w:r w:rsidRPr="00044916">
        <w:tab/>
      </w:r>
      <w:r w:rsidR="000E33B6">
        <w:tab/>
        <w:t>8</w:t>
      </w:r>
    </w:p>
    <w:p w14:paraId="577C9847" w14:textId="265E2337" w:rsidR="00F6413F" w:rsidRDefault="000E33B6" w:rsidP="000C0BC0">
      <w:pPr>
        <w:pStyle w:val="TOC3"/>
        <w:tabs>
          <w:tab w:val="left" w:pos="720"/>
        </w:tabs>
      </w:pPr>
      <w:r>
        <w:t>Caregivers of Former WIC Children</w:t>
      </w:r>
      <w:r w:rsidR="00F6413F" w:rsidRPr="00044916">
        <w:tab/>
      </w:r>
      <w:r w:rsidR="00F6413F">
        <w:tab/>
      </w:r>
      <w:r w:rsidR="005B1863">
        <w:t>9</w:t>
      </w:r>
    </w:p>
    <w:p w14:paraId="66DF2574" w14:textId="06D00A5C" w:rsidR="000E33B6" w:rsidRPr="00044916" w:rsidRDefault="000E33B6" w:rsidP="000C0BC0">
      <w:pPr>
        <w:pStyle w:val="TOC3"/>
        <w:tabs>
          <w:tab w:val="left" w:pos="720"/>
        </w:tabs>
        <w:rPr>
          <w:rFonts w:eastAsiaTheme="minorEastAsia"/>
        </w:rPr>
      </w:pPr>
      <w:r>
        <w:t>Nonresponse Bias Analysis</w:t>
      </w:r>
      <w:r>
        <w:tab/>
      </w:r>
      <w:r>
        <w:tab/>
        <w:t>1</w:t>
      </w:r>
      <w:r w:rsidR="005B1863">
        <w:t>1</w:t>
      </w:r>
    </w:p>
    <w:p w14:paraId="61EAC1B2" w14:textId="1AA8B0C4" w:rsidR="00F6413F" w:rsidRPr="00044916" w:rsidRDefault="00F6413F" w:rsidP="000C0BC0">
      <w:pPr>
        <w:pStyle w:val="TOC2"/>
        <w:tabs>
          <w:tab w:val="left" w:pos="720"/>
        </w:tabs>
        <w:rPr>
          <w:rFonts w:eastAsiaTheme="minorEastAsia"/>
        </w:rPr>
      </w:pPr>
      <w:r w:rsidRPr="00044916">
        <w:t>B.4</w:t>
      </w:r>
      <w:r w:rsidRPr="00044916">
        <w:rPr>
          <w:rFonts w:eastAsiaTheme="minorEastAsia"/>
        </w:rPr>
        <w:tab/>
      </w:r>
      <w:r w:rsidRPr="00044916">
        <w:t>Test of Procedures or Methods to be Undertaken</w:t>
      </w:r>
      <w:r w:rsidRPr="00044916">
        <w:tab/>
      </w:r>
      <w:r>
        <w:tab/>
      </w:r>
      <w:r w:rsidR="000E33B6">
        <w:t>11</w:t>
      </w:r>
    </w:p>
    <w:p w14:paraId="0615A4B5" w14:textId="627F8E5E" w:rsidR="00F6413F" w:rsidRDefault="00F6413F" w:rsidP="000C0BC0">
      <w:pPr>
        <w:pStyle w:val="TOC2"/>
        <w:tabs>
          <w:tab w:val="left" w:pos="720"/>
        </w:tabs>
      </w:pPr>
      <w:r w:rsidRPr="00044916">
        <w:t>B.5</w:t>
      </w:r>
      <w:r w:rsidRPr="00044916">
        <w:rPr>
          <w:rFonts w:eastAsiaTheme="minorEastAsia"/>
        </w:rPr>
        <w:tab/>
      </w:r>
      <w:r w:rsidRPr="00044916">
        <w:t>Individuals Consulted on Statistical Aspects and Individuals Collecting and/or Analyzing Data</w:t>
      </w:r>
      <w:r w:rsidRPr="00044916">
        <w:tab/>
      </w:r>
      <w:r>
        <w:tab/>
      </w:r>
      <w:r w:rsidR="005B1863">
        <w:t>12</w:t>
      </w:r>
    </w:p>
    <w:p w14:paraId="075C5B78" w14:textId="77777777" w:rsidR="00F6413F" w:rsidRDefault="00F6413F" w:rsidP="000C0BC0">
      <w:pPr>
        <w:pStyle w:val="TOC2"/>
        <w:tabs>
          <w:tab w:val="left" w:pos="720"/>
        </w:tabs>
      </w:pPr>
    </w:p>
    <w:p w14:paraId="2F580F00" w14:textId="77777777" w:rsidR="00BD496D" w:rsidRDefault="00BD496D" w:rsidP="000C0BC0">
      <w:pPr>
        <w:pStyle w:val="TOC2"/>
        <w:tabs>
          <w:tab w:val="left" w:pos="720"/>
        </w:tabs>
      </w:pPr>
    </w:p>
    <w:p w14:paraId="20EDD9B7" w14:textId="77777777" w:rsidR="001B19B6" w:rsidRPr="00135F72" w:rsidRDefault="001B19B6" w:rsidP="001B19B6">
      <w:pPr>
        <w:pStyle w:val="TOC2"/>
        <w:tabs>
          <w:tab w:val="left" w:pos="720"/>
        </w:tabs>
        <w:rPr>
          <w:rFonts w:eastAsiaTheme="minorEastAsia"/>
        </w:rPr>
      </w:pPr>
    </w:p>
    <w:p w14:paraId="5FC5FFE5" w14:textId="77777777" w:rsidR="001B19B6" w:rsidRDefault="001B19B6" w:rsidP="001B19B6">
      <w:pPr>
        <w:pStyle w:val="T0-ChapPgHd"/>
        <w:tabs>
          <w:tab w:val="left" w:pos="720"/>
        </w:tabs>
      </w:pPr>
      <w:r>
        <w:t>Appendices</w:t>
      </w:r>
    </w:p>
    <w:p w14:paraId="49F6D9CB" w14:textId="77777777" w:rsidR="001B19B6" w:rsidRDefault="001B19B6" w:rsidP="001B19B6">
      <w:pPr>
        <w:pStyle w:val="T0-ChapPgHd"/>
        <w:tabs>
          <w:tab w:val="left" w:pos="720"/>
        </w:tabs>
        <w:spacing w:after="240"/>
        <w:rPr>
          <w:rFonts w:ascii="Garamond" w:hAnsi="Garamond"/>
          <w:u w:val="none"/>
        </w:rPr>
      </w:pPr>
    </w:p>
    <w:p w14:paraId="1E0E2647"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A</w:t>
      </w:r>
      <w:r w:rsidRPr="00D77A4B">
        <w:rPr>
          <w:rFonts w:eastAsia="Calibri"/>
          <w:szCs w:val="22"/>
        </w:rPr>
        <w:t>1</w:t>
      </w:r>
      <w:r w:rsidRPr="00D77A4B">
        <w:rPr>
          <w:rFonts w:eastAsia="Calibri"/>
          <w:szCs w:val="22"/>
        </w:rPr>
        <w:tab/>
        <w:t xml:space="preserve">Study </w:t>
      </w:r>
      <w:r>
        <w:rPr>
          <w:rFonts w:eastAsia="Calibri"/>
          <w:szCs w:val="22"/>
        </w:rPr>
        <w:t>e</w:t>
      </w:r>
      <w:r w:rsidRPr="00D77A4B">
        <w:rPr>
          <w:rFonts w:eastAsia="Calibri"/>
          <w:szCs w:val="22"/>
        </w:rPr>
        <w:t xml:space="preserve">xtension </w:t>
      </w:r>
      <w:r>
        <w:rPr>
          <w:rFonts w:eastAsia="Calibri"/>
          <w:szCs w:val="22"/>
        </w:rPr>
        <w:t>c</w:t>
      </w:r>
      <w:r w:rsidRPr="00D77A4B">
        <w:rPr>
          <w:rFonts w:eastAsia="Calibri"/>
          <w:szCs w:val="22"/>
        </w:rPr>
        <w:t xml:space="preserve">onsent </w:t>
      </w:r>
      <w:r>
        <w:rPr>
          <w:rFonts w:eastAsia="Calibri"/>
          <w:szCs w:val="22"/>
        </w:rPr>
        <w:t>a</w:t>
      </w:r>
      <w:r w:rsidRPr="00D77A4B">
        <w:rPr>
          <w:rFonts w:eastAsia="Calibri"/>
          <w:szCs w:val="22"/>
        </w:rPr>
        <w:t xml:space="preserve">ge </w:t>
      </w:r>
      <w:r>
        <w:rPr>
          <w:rFonts w:eastAsia="Calibri"/>
          <w:szCs w:val="22"/>
        </w:rPr>
        <w:t>6</w:t>
      </w:r>
      <w:r w:rsidRPr="00D77A4B">
        <w:rPr>
          <w:rFonts w:eastAsia="Calibri"/>
          <w:szCs w:val="22"/>
        </w:rPr>
        <w:t xml:space="preserve"> – English</w:t>
      </w:r>
    </w:p>
    <w:p w14:paraId="1FDF29FE"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A</w:t>
      </w:r>
      <w:r w:rsidRPr="00D77A4B">
        <w:rPr>
          <w:rFonts w:eastAsia="Calibri"/>
          <w:szCs w:val="22"/>
        </w:rPr>
        <w:t>2</w:t>
      </w:r>
      <w:r w:rsidRPr="00D77A4B">
        <w:rPr>
          <w:rFonts w:eastAsia="Calibri"/>
          <w:szCs w:val="22"/>
        </w:rPr>
        <w:tab/>
        <w:t xml:space="preserve">Study </w:t>
      </w:r>
      <w:r>
        <w:rPr>
          <w:rFonts w:eastAsia="Calibri"/>
          <w:szCs w:val="22"/>
        </w:rPr>
        <w:t>e</w:t>
      </w:r>
      <w:r w:rsidRPr="00D77A4B">
        <w:rPr>
          <w:rFonts w:eastAsia="Calibri"/>
          <w:szCs w:val="22"/>
        </w:rPr>
        <w:t xml:space="preserve">xtension </w:t>
      </w:r>
      <w:r>
        <w:rPr>
          <w:rFonts w:eastAsia="Calibri"/>
          <w:szCs w:val="22"/>
        </w:rPr>
        <w:t>c</w:t>
      </w:r>
      <w:r w:rsidRPr="00D77A4B">
        <w:rPr>
          <w:rFonts w:eastAsia="Calibri"/>
          <w:szCs w:val="22"/>
        </w:rPr>
        <w:t xml:space="preserve">onsent </w:t>
      </w:r>
      <w:r>
        <w:rPr>
          <w:rFonts w:eastAsia="Calibri"/>
          <w:szCs w:val="22"/>
        </w:rPr>
        <w:t>a</w:t>
      </w:r>
      <w:r w:rsidRPr="00D77A4B">
        <w:rPr>
          <w:rFonts w:eastAsia="Calibri"/>
          <w:szCs w:val="22"/>
        </w:rPr>
        <w:t xml:space="preserve">ge </w:t>
      </w:r>
      <w:r>
        <w:rPr>
          <w:rFonts w:eastAsia="Calibri"/>
          <w:szCs w:val="22"/>
        </w:rPr>
        <w:t>6</w:t>
      </w:r>
      <w:r w:rsidRPr="00D77A4B">
        <w:rPr>
          <w:rFonts w:eastAsia="Calibri"/>
          <w:szCs w:val="22"/>
        </w:rPr>
        <w:t xml:space="preserve"> – Spanish</w:t>
      </w:r>
    </w:p>
    <w:p w14:paraId="4F5AB197" w14:textId="7CA54C63" w:rsidR="001B19B6" w:rsidRDefault="001B19B6" w:rsidP="001B19B6">
      <w:pPr>
        <w:tabs>
          <w:tab w:val="left" w:pos="900"/>
        </w:tabs>
        <w:spacing w:after="200" w:line="276" w:lineRule="auto"/>
        <w:ind w:left="900" w:hanging="630"/>
        <w:rPr>
          <w:rFonts w:eastAsia="Calibri"/>
          <w:szCs w:val="22"/>
        </w:rPr>
      </w:pPr>
      <w:r>
        <w:rPr>
          <w:rFonts w:eastAsia="Calibri"/>
          <w:szCs w:val="22"/>
        </w:rPr>
        <w:t>B1</w:t>
      </w:r>
      <w:r w:rsidRPr="00D77A4B">
        <w:rPr>
          <w:rFonts w:eastAsia="Calibri"/>
          <w:szCs w:val="22"/>
        </w:rPr>
        <w:tab/>
      </w:r>
      <w:r>
        <w:rPr>
          <w:rFonts w:eastAsia="Calibri"/>
          <w:szCs w:val="22"/>
        </w:rPr>
        <w:t xml:space="preserve">Study extension </w:t>
      </w:r>
      <w:r w:rsidR="005D1863">
        <w:rPr>
          <w:rFonts w:eastAsia="Calibri"/>
          <w:szCs w:val="22"/>
        </w:rPr>
        <w:t xml:space="preserve">letter </w:t>
      </w:r>
      <w:r w:rsidRPr="00D77A4B">
        <w:rPr>
          <w:rFonts w:eastAsia="Calibri"/>
          <w:szCs w:val="22"/>
        </w:rPr>
        <w:t xml:space="preserve"> </w:t>
      </w:r>
      <w:r>
        <w:rPr>
          <w:rFonts w:eastAsia="Calibri"/>
          <w:szCs w:val="22"/>
        </w:rPr>
        <w:t>–</w:t>
      </w:r>
      <w:r w:rsidRPr="00D77A4B">
        <w:rPr>
          <w:rFonts w:eastAsia="Calibri"/>
          <w:szCs w:val="22"/>
        </w:rPr>
        <w:t xml:space="preserve"> English</w:t>
      </w:r>
    </w:p>
    <w:p w14:paraId="655BD029" w14:textId="1393C4B4" w:rsidR="001B19B6" w:rsidRDefault="001B19B6" w:rsidP="001B19B6">
      <w:pPr>
        <w:tabs>
          <w:tab w:val="left" w:pos="900"/>
        </w:tabs>
        <w:spacing w:after="200" w:line="276" w:lineRule="auto"/>
        <w:ind w:left="900" w:hanging="630"/>
        <w:rPr>
          <w:rFonts w:eastAsia="Calibri"/>
          <w:szCs w:val="22"/>
        </w:rPr>
      </w:pPr>
      <w:r>
        <w:rPr>
          <w:rFonts w:eastAsia="Calibri"/>
          <w:szCs w:val="22"/>
        </w:rPr>
        <w:t>B</w:t>
      </w:r>
      <w:r w:rsidR="00D428ED">
        <w:rPr>
          <w:rFonts w:eastAsia="Calibri"/>
          <w:szCs w:val="22"/>
        </w:rPr>
        <w:t>2</w:t>
      </w:r>
      <w:r w:rsidRPr="00D77A4B">
        <w:rPr>
          <w:rFonts w:eastAsia="Calibri"/>
          <w:szCs w:val="22"/>
        </w:rPr>
        <w:tab/>
      </w:r>
      <w:r>
        <w:rPr>
          <w:rFonts w:eastAsia="Calibri"/>
          <w:szCs w:val="22"/>
        </w:rPr>
        <w:t xml:space="preserve">Study extension </w:t>
      </w:r>
      <w:r w:rsidR="005D1863">
        <w:rPr>
          <w:rFonts w:eastAsia="Calibri"/>
          <w:szCs w:val="22"/>
        </w:rPr>
        <w:t xml:space="preserve">letter </w:t>
      </w:r>
      <w:r w:rsidRPr="00D77A4B">
        <w:rPr>
          <w:rFonts w:eastAsia="Calibri"/>
          <w:szCs w:val="22"/>
        </w:rPr>
        <w:t xml:space="preserve"> </w:t>
      </w:r>
      <w:r>
        <w:rPr>
          <w:rFonts w:eastAsia="Calibri"/>
          <w:szCs w:val="22"/>
        </w:rPr>
        <w:t>– Spanish</w:t>
      </w:r>
    </w:p>
    <w:p w14:paraId="52357F47" w14:textId="77777777" w:rsidR="001B19B6" w:rsidRDefault="001B19B6" w:rsidP="001B19B6">
      <w:pPr>
        <w:tabs>
          <w:tab w:val="left" w:pos="720"/>
          <w:tab w:val="left" w:pos="1440"/>
        </w:tabs>
        <w:spacing w:after="200" w:line="276" w:lineRule="auto"/>
        <w:ind w:left="1440" w:hanging="1170"/>
        <w:sectPr w:rsidR="001B19B6" w:rsidSect="00B349CF">
          <w:headerReference w:type="default" r:id="rId10"/>
          <w:footerReference w:type="default" r:id="rId11"/>
          <w:footerReference w:type="first" r:id="rId12"/>
          <w:endnotePr>
            <w:numFmt w:val="decimal"/>
          </w:endnotePr>
          <w:pgSz w:w="12240" w:h="15840" w:code="1"/>
          <w:pgMar w:top="1440" w:right="1440" w:bottom="1440" w:left="1440" w:header="720" w:footer="576" w:gutter="0"/>
          <w:pgNumType w:fmt="lowerRoman" w:start="1"/>
          <w:cols w:space="720"/>
          <w:noEndnote/>
          <w:titlePg/>
          <w:docGrid w:linePitch="326"/>
        </w:sectPr>
      </w:pPr>
    </w:p>
    <w:p w14:paraId="696098FD" w14:textId="77777777" w:rsidR="001B19B6" w:rsidRDefault="001B19B6" w:rsidP="001B19B6">
      <w:pPr>
        <w:pStyle w:val="TC-TableofContentsHeading"/>
        <w:tabs>
          <w:tab w:val="left" w:pos="720"/>
        </w:tabs>
        <w:spacing w:after="480"/>
        <w:rPr>
          <w:sz w:val="24"/>
        </w:rPr>
      </w:pPr>
      <w:r w:rsidRPr="00CD6C46">
        <w:rPr>
          <w:sz w:val="24"/>
        </w:rPr>
        <w:t>Contents (continued)</w:t>
      </w:r>
    </w:p>
    <w:p w14:paraId="39DA05B7" w14:textId="77777777" w:rsidR="001B19B6" w:rsidRDefault="001B19B6" w:rsidP="001B19B6">
      <w:pPr>
        <w:pStyle w:val="T0-ChapPgHd"/>
        <w:tabs>
          <w:tab w:val="left" w:pos="720"/>
        </w:tabs>
      </w:pPr>
      <w:r>
        <w:t>Appendices (continued)</w:t>
      </w:r>
    </w:p>
    <w:p w14:paraId="7C1A1538" w14:textId="77777777" w:rsidR="001B19B6" w:rsidRPr="00D77A4B" w:rsidRDefault="001B19B6" w:rsidP="001B19B6">
      <w:pPr>
        <w:tabs>
          <w:tab w:val="left" w:pos="900"/>
        </w:tabs>
        <w:spacing w:after="200" w:line="276" w:lineRule="auto"/>
        <w:ind w:left="900" w:hanging="630"/>
        <w:rPr>
          <w:rFonts w:eastAsia="Calibri"/>
          <w:szCs w:val="22"/>
        </w:rPr>
      </w:pPr>
    </w:p>
    <w:p w14:paraId="7A02D177" w14:textId="537889A9" w:rsidR="001B19B6" w:rsidRDefault="001B19B6" w:rsidP="001B19B6">
      <w:pPr>
        <w:tabs>
          <w:tab w:val="left" w:pos="900"/>
        </w:tabs>
        <w:spacing w:after="200" w:line="276" w:lineRule="auto"/>
        <w:ind w:left="900" w:hanging="630"/>
        <w:rPr>
          <w:rFonts w:eastAsia="Calibri"/>
          <w:szCs w:val="22"/>
        </w:rPr>
      </w:pPr>
      <w:r>
        <w:rPr>
          <w:rFonts w:eastAsia="Calibri"/>
          <w:szCs w:val="22"/>
        </w:rPr>
        <w:t>C1</w:t>
      </w:r>
      <w:r w:rsidRPr="00D77A4B">
        <w:rPr>
          <w:rFonts w:eastAsia="Calibri"/>
          <w:szCs w:val="22"/>
        </w:rPr>
        <w:tab/>
      </w:r>
      <w:r>
        <w:rPr>
          <w:rFonts w:eastAsia="Calibri"/>
          <w:szCs w:val="22"/>
        </w:rPr>
        <w:t>7</w:t>
      </w:r>
      <w:r w:rsidRPr="00D77A4B">
        <w:rPr>
          <w:rFonts w:eastAsia="Calibri"/>
          <w:szCs w:val="22"/>
        </w:rPr>
        <w:t>2-mo</w:t>
      </w:r>
      <w:r w:rsidR="005D1863">
        <w:rPr>
          <w:rFonts w:eastAsia="Calibri"/>
          <w:szCs w:val="22"/>
        </w:rPr>
        <w:t>nth</w:t>
      </w:r>
      <w:r w:rsidRPr="00D77A4B">
        <w:rPr>
          <w:rFonts w:eastAsia="Calibri"/>
          <w:szCs w:val="22"/>
        </w:rPr>
        <w:t xml:space="preserve"> advance letter </w:t>
      </w:r>
      <w:r>
        <w:rPr>
          <w:rFonts w:eastAsia="Calibri"/>
          <w:szCs w:val="22"/>
        </w:rPr>
        <w:t>–</w:t>
      </w:r>
      <w:r w:rsidRPr="00D77A4B">
        <w:rPr>
          <w:rFonts w:eastAsia="Calibri"/>
          <w:szCs w:val="22"/>
        </w:rPr>
        <w:t xml:space="preserve"> </w:t>
      </w:r>
      <w:r>
        <w:rPr>
          <w:rFonts w:eastAsia="Calibri"/>
          <w:szCs w:val="22"/>
        </w:rPr>
        <w:t>English</w:t>
      </w:r>
    </w:p>
    <w:p w14:paraId="592ABA44" w14:textId="524606FD" w:rsidR="001B19B6" w:rsidRDefault="001B19B6" w:rsidP="001B19B6">
      <w:pPr>
        <w:tabs>
          <w:tab w:val="left" w:pos="900"/>
        </w:tabs>
        <w:spacing w:after="200" w:line="276" w:lineRule="auto"/>
        <w:ind w:left="900" w:hanging="630"/>
        <w:rPr>
          <w:rFonts w:eastAsia="Calibri"/>
          <w:szCs w:val="22"/>
        </w:rPr>
      </w:pPr>
      <w:r>
        <w:rPr>
          <w:rFonts w:eastAsia="Calibri"/>
          <w:szCs w:val="22"/>
        </w:rPr>
        <w:t>C2</w:t>
      </w:r>
      <w:r w:rsidRPr="00D77A4B">
        <w:rPr>
          <w:rFonts w:eastAsia="Calibri"/>
          <w:szCs w:val="22"/>
        </w:rPr>
        <w:tab/>
      </w:r>
      <w:r>
        <w:rPr>
          <w:rFonts w:eastAsia="Calibri"/>
          <w:szCs w:val="22"/>
        </w:rPr>
        <w:t>7</w:t>
      </w:r>
      <w:r w:rsidRPr="00D77A4B">
        <w:rPr>
          <w:rFonts w:eastAsia="Calibri"/>
          <w:szCs w:val="22"/>
        </w:rPr>
        <w:t>2-mo</w:t>
      </w:r>
      <w:r w:rsidR="005D1863">
        <w:rPr>
          <w:rFonts w:eastAsia="Calibri"/>
          <w:szCs w:val="22"/>
        </w:rPr>
        <w:t>nth</w:t>
      </w:r>
      <w:r w:rsidRPr="00D77A4B">
        <w:rPr>
          <w:rFonts w:eastAsia="Calibri"/>
          <w:szCs w:val="22"/>
        </w:rPr>
        <w:t xml:space="preserve"> advance letter</w:t>
      </w:r>
      <w:r>
        <w:rPr>
          <w:rFonts w:eastAsia="Calibri"/>
          <w:szCs w:val="22"/>
        </w:rPr>
        <w:t xml:space="preserve"> –</w:t>
      </w:r>
      <w:r w:rsidRPr="00D77A4B">
        <w:rPr>
          <w:rFonts w:eastAsia="Calibri"/>
          <w:szCs w:val="22"/>
        </w:rPr>
        <w:t xml:space="preserve"> </w:t>
      </w:r>
      <w:r>
        <w:rPr>
          <w:rFonts w:eastAsia="Calibri"/>
          <w:szCs w:val="22"/>
        </w:rPr>
        <w:t>Spanish</w:t>
      </w:r>
    </w:p>
    <w:p w14:paraId="57389C3E"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D</w:t>
      </w:r>
      <w:r w:rsidRPr="00D77A4B">
        <w:rPr>
          <w:rFonts w:eastAsia="Calibri"/>
          <w:szCs w:val="22"/>
        </w:rPr>
        <w:t>1</w:t>
      </w:r>
      <w:r w:rsidRPr="00D77A4B">
        <w:rPr>
          <w:rFonts w:eastAsia="Calibri"/>
          <w:szCs w:val="22"/>
        </w:rPr>
        <w:tab/>
      </w:r>
      <w:r>
        <w:rPr>
          <w:rFonts w:eastAsia="Calibri"/>
          <w:szCs w:val="22"/>
        </w:rPr>
        <w:t xml:space="preserve">72-month telephone interview – </w:t>
      </w:r>
      <w:r w:rsidRPr="00D77A4B">
        <w:rPr>
          <w:rFonts w:eastAsia="Calibri"/>
          <w:szCs w:val="22"/>
        </w:rPr>
        <w:t>English</w:t>
      </w:r>
    </w:p>
    <w:p w14:paraId="31CED2B0" w14:textId="77777777" w:rsidR="001B19B6" w:rsidRDefault="001B19B6" w:rsidP="001B19B6">
      <w:pPr>
        <w:tabs>
          <w:tab w:val="left" w:pos="900"/>
        </w:tabs>
        <w:spacing w:after="200" w:line="276" w:lineRule="auto"/>
        <w:ind w:left="900" w:hanging="630"/>
        <w:rPr>
          <w:rFonts w:eastAsia="Calibri"/>
          <w:szCs w:val="22"/>
        </w:rPr>
      </w:pPr>
      <w:r>
        <w:rPr>
          <w:rFonts w:eastAsia="Calibri"/>
          <w:szCs w:val="22"/>
        </w:rPr>
        <w:t>D</w:t>
      </w:r>
      <w:r w:rsidRPr="00D77A4B">
        <w:rPr>
          <w:rFonts w:eastAsia="Calibri"/>
          <w:szCs w:val="22"/>
        </w:rPr>
        <w:t>2</w:t>
      </w:r>
      <w:r w:rsidRPr="00D77A4B">
        <w:rPr>
          <w:rFonts w:eastAsia="Calibri"/>
          <w:szCs w:val="22"/>
        </w:rPr>
        <w:tab/>
      </w:r>
      <w:r>
        <w:rPr>
          <w:rFonts w:eastAsia="Calibri"/>
          <w:szCs w:val="22"/>
        </w:rPr>
        <w:t>7</w:t>
      </w:r>
      <w:r w:rsidRPr="00D77A4B">
        <w:rPr>
          <w:rFonts w:eastAsia="Calibri"/>
          <w:szCs w:val="22"/>
        </w:rPr>
        <w:t xml:space="preserve">2-month telephone </w:t>
      </w:r>
      <w:r>
        <w:rPr>
          <w:rFonts w:eastAsia="Calibri"/>
          <w:szCs w:val="22"/>
        </w:rPr>
        <w:t>interview</w:t>
      </w:r>
      <w:r w:rsidRPr="00D77A4B">
        <w:rPr>
          <w:rFonts w:eastAsia="Calibri"/>
          <w:szCs w:val="22"/>
        </w:rPr>
        <w:t xml:space="preserve"> </w:t>
      </w:r>
      <w:r>
        <w:rPr>
          <w:rFonts w:eastAsia="Calibri"/>
          <w:szCs w:val="22"/>
        </w:rPr>
        <w:t>–</w:t>
      </w:r>
      <w:r w:rsidRPr="00D77A4B">
        <w:rPr>
          <w:rFonts w:eastAsia="Calibri"/>
          <w:szCs w:val="22"/>
        </w:rPr>
        <w:t xml:space="preserve"> Spanish</w:t>
      </w:r>
    </w:p>
    <w:p w14:paraId="66756D72" w14:textId="2E2A2C5B" w:rsidR="001B19B6" w:rsidRDefault="001B19B6" w:rsidP="001B19B6">
      <w:pPr>
        <w:tabs>
          <w:tab w:val="left" w:pos="900"/>
        </w:tabs>
        <w:spacing w:after="200" w:line="276" w:lineRule="auto"/>
        <w:ind w:left="900" w:hanging="630"/>
        <w:rPr>
          <w:rFonts w:eastAsia="Calibri"/>
          <w:szCs w:val="22"/>
        </w:rPr>
      </w:pPr>
      <w:r>
        <w:rPr>
          <w:rFonts w:eastAsia="Calibri"/>
          <w:szCs w:val="22"/>
        </w:rPr>
        <w:t>D3</w:t>
      </w:r>
      <w:r>
        <w:rPr>
          <w:rFonts w:eastAsia="Calibri"/>
          <w:szCs w:val="22"/>
        </w:rPr>
        <w:tab/>
        <w:t>72-month replicate dietary intake interview</w:t>
      </w:r>
      <w:r w:rsidR="00D428ED">
        <w:rPr>
          <w:rFonts w:eastAsia="Calibri"/>
          <w:szCs w:val="22"/>
        </w:rPr>
        <w:t xml:space="preserve"> - English</w:t>
      </w:r>
    </w:p>
    <w:p w14:paraId="2FA2F230" w14:textId="285A1443" w:rsidR="00D428ED" w:rsidRPr="00D77A4B" w:rsidRDefault="00D428ED" w:rsidP="001B19B6">
      <w:pPr>
        <w:tabs>
          <w:tab w:val="left" w:pos="900"/>
        </w:tabs>
        <w:spacing w:after="200" w:line="276" w:lineRule="auto"/>
        <w:ind w:left="900" w:hanging="630"/>
        <w:rPr>
          <w:rFonts w:eastAsia="Calibri"/>
          <w:szCs w:val="22"/>
        </w:rPr>
      </w:pPr>
      <w:r>
        <w:rPr>
          <w:rFonts w:eastAsia="Calibri"/>
          <w:szCs w:val="22"/>
        </w:rPr>
        <w:t>D4</w:t>
      </w:r>
      <w:r>
        <w:rPr>
          <w:rFonts w:eastAsia="Calibri"/>
          <w:szCs w:val="22"/>
        </w:rPr>
        <w:tab/>
        <w:t>72-month replicate dietary intake interview - Spanish</w:t>
      </w:r>
    </w:p>
    <w:p w14:paraId="41F4A181"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E1</w:t>
      </w:r>
      <w:r w:rsidRPr="00D77A4B">
        <w:rPr>
          <w:rFonts w:eastAsia="Calibri"/>
          <w:szCs w:val="22"/>
        </w:rPr>
        <w:t>a</w:t>
      </w:r>
      <w:r w:rsidRPr="00D77A4B">
        <w:rPr>
          <w:rFonts w:eastAsia="Calibri"/>
          <w:szCs w:val="22"/>
        </w:rPr>
        <w:tab/>
        <w:t>Reminders for interview from Study Liaison - English</w:t>
      </w:r>
    </w:p>
    <w:p w14:paraId="60E4ABB3"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E1</w:t>
      </w:r>
      <w:r w:rsidRPr="00D77A4B">
        <w:rPr>
          <w:rFonts w:eastAsia="Calibri"/>
          <w:szCs w:val="22"/>
        </w:rPr>
        <w:t>b</w:t>
      </w:r>
      <w:r w:rsidRPr="00D77A4B">
        <w:rPr>
          <w:rFonts w:eastAsia="Calibri"/>
          <w:szCs w:val="22"/>
        </w:rPr>
        <w:tab/>
        <w:t>Reminders for interview from Study Liaison - Spanish</w:t>
      </w:r>
    </w:p>
    <w:p w14:paraId="3F9BEA10"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2a</w:t>
      </w:r>
      <w:r w:rsidRPr="00D77A4B">
        <w:rPr>
          <w:rFonts w:eastAsia="Calibri"/>
          <w:szCs w:val="22"/>
        </w:rPr>
        <w:tab/>
        <w:t>Reminders for non-locatable active interview – English</w:t>
      </w:r>
    </w:p>
    <w:p w14:paraId="5B6F4133"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2b</w:t>
      </w:r>
      <w:r w:rsidRPr="00D77A4B">
        <w:rPr>
          <w:rFonts w:eastAsia="Calibri"/>
          <w:szCs w:val="22"/>
        </w:rPr>
        <w:tab/>
        <w:t>Reminders for non-locatable active interview – Spanish</w:t>
      </w:r>
    </w:p>
    <w:p w14:paraId="5625361D"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3a</w:t>
      </w:r>
      <w:r w:rsidRPr="00D77A4B">
        <w:rPr>
          <w:rFonts w:eastAsia="Calibri"/>
          <w:szCs w:val="22"/>
        </w:rPr>
        <w:tab/>
        <w:t>Reminders for study participation refusal conversion – English</w:t>
      </w:r>
    </w:p>
    <w:p w14:paraId="6C99E8A6"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3b</w:t>
      </w:r>
      <w:r w:rsidRPr="00D77A4B">
        <w:rPr>
          <w:rFonts w:eastAsia="Calibri"/>
          <w:szCs w:val="22"/>
        </w:rPr>
        <w:tab/>
        <w:t>Reminders for study participation refusal conversion – Spanish</w:t>
      </w:r>
    </w:p>
    <w:p w14:paraId="677F1AA5"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4a</w:t>
      </w:r>
      <w:r w:rsidRPr="00D77A4B">
        <w:rPr>
          <w:rFonts w:eastAsia="Calibri"/>
          <w:szCs w:val="22"/>
        </w:rPr>
        <w:tab/>
        <w:t>Reminders for study participation not answering calls – English</w:t>
      </w:r>
    </w:p>
    <w:p w14:paraId="122E0CFA"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4b</w:t>
      </w:r>
      <w:r w:rsidRPr="00D77A4B">
        <w:rPr>
          <w:rFonts w:eastAsia="Calibri"/>
          <w:szCs w:val="22"/>
        </w:rPr>
        <w:tab/>
        <w:t>Reminders for study participation not answering calls – Spanish</w:t>
      </w:r>
    </w:p>
    <w:p w14:paraId="0BB48EEB"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5a</w:t>
      </w:r>
      <w:r w:rsidRPr="00D77A4B">
        <w:rPr>
          <w:rFonts w:eastAsia="Calibri"/>
          <w:szCs w:val="22"/>
        </w:rPr>
        <w:tab/>
        <w:t>Reminders for Telephone Research Center voicemail, first message – English</w:t>
      </w:r>
    </w:p>
    <w:p w14:paraId="28DB7469"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5b</w:t>
      </w:r>
      <w:r w:rsidRPr="00D77A4B">
        <w:rPr>
          <w:rFonts w:eastAsia="Calibri"/>
          <w:szCs w:val="22"/>
        </w:rPr>
        <w:tab/>
        <w:t>Reminders for Telephone Research Center voicemail, first message – Spanish</w:t>
      </w:r>
    </w:p>
    <w:p w14:paraId="060DABFA"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6a</w:t>
      </w:r>
      <w:r w:rsidRPr="00D77A4B">
        <w:rPr>
          <w:rFonts w:eastAsia="Calibri"/>
          <w:szCs w:val="22"/>
        </w:rPr>
        <w:tab/>
        <w:t>Reminders for Telephone Research Center voicemail, expiring interview</w:t>
      </w:r>
      <w:r>
        <w:rPr>
          <w:rFonts w:eastAsia="Calibri"/>
          <w:szCs w:val="22"/>
        </w:rPr>
        <w:t>s</w:t>
      </w:r>
      <w:r w:rsidRPr="00D77A4B">
        <w:rPr>
          <w:rFonts w:eastAsia="Calibri"/>
          <w:szCs w:val="22"/>
        </w:rPr>
        <w:t xml:space="preserve"> – English</w:t>
      </w:r>
    </w:p>
    <w:p w14:paraId="558B4267"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E</w:t>
      </w:r>
      <w:r w:rsidRPr="00D77A4B">
        <w:rPr>
          <w:rFonts w:eastAsia="Calibri"/>
          <w:szCs w:val="22"/>
        </w:rPr>
        <w:t>6b</w:t>
      </w:r>
      <w:r w:rsidRPr="00D77A4B">
        <w:rPr>
          <w:rFonts w:eastAsia="Calibri"/>
          <w:szCs w:val="22"/>
        </w:rPr>
        <w:tab/>
        <w:t>Reminders for Telephone Research Center voicemail, expiring interview</w:t>
      </w:r>
      <w:r>
        <w:rPr>
          <w:rFonts w:eastAsia="Calibri"/>
          <w:szCs w:val="22"/>
        </w:rPr>
        <w:t>s</w:t>
      </w:r>
      <w:r w:rsidRPr="00D77A4B">
        <w:rPr>
          <w:rFonts w:eastAsia="Calibri"/>
          <w:szCs w:val="22"/>
        </w:rPr>
        <w:t xml:space="preserve"> – Spanish</w:t>
      </w:r>
    </w:p>
    <w:p w14:paraId="5A7F462E" w14:textId="77777777" w:rsidR="001B19B6" w:rsidRDefault="001B19B6" w:rsidP="001B19B6">
      <w:pPr>
        <w:tabs>
          <w:tab w:val="left" w:pos="720"/>
          <w:tab w:val="left" w:pos="1440"/>
        </w:tabs>
        <w:spacing w:after="200" w:line="276" w:lineRule="auto"/>
        <w:ind w:left="1440" w:hanging="1170"/>
        <w:sectPr w:rsidR="001B19B6" w:rsidSect="00B349CF">
          <w:headerReference w:type="default" r:id="rId13"/>
          <w:footerReference w:type="default" r:id="rId14"/>
          <w:footerReference w:type="first" r:id="rId15"/>
          <w:endnotePr>
            <w:numFmt w:val="decimal"/>
          </w:endnotePr>
          <w:pgSz w:w="12240" w:h="15840" w:code="1"/>
          <w:pgMar w:top="1440" w:right="1440" w:bottom="1440" w:left="1440" w:header="720" w:footer="576" w:gutter="0"/>
          <w:pgNumType w:fmt="lowerRoman"/>
          <w:cols w:space="720"/>
          <w:noEndnote/>
          <w:titlePg/>
          <w:docGrid w:linePitch="326"/>
        </w:sectPr>
      </w:pPr>
    </w:p>
    <w:p w14:paraId="5FB4279A" w14:textId="77777777" w:rsidR="001B19B6" w:rsidRDefault="001B19B6" w:rsidP="001B19B6">
      <w:pPr>
        <w:pStyle w:val="TC-TableofContentsHeading"/>
        <w:tabs>
          <w:tab w:val="left" w:pos="720"/>
        </w:tabs>
        <w:spacing w:after="480"/>
        <w:rPr>
          <w:sz w:val="24"/>
        </w:rPr>
      </w:pPr>
      <w:r w:rsidRPr="00CD6C46">
        <w:rPr>
          <w:sz w:val="24"/>
        </w:rPr>
        <w:t>Contents (continued)</w:t>
      </w:r>
    </w:p>
    <w:p w14:paraId="1D60376F" w14:textId="77777777" w:rsidR="001B19B6" w:rsidRDefault="001B19B6" w:rsidP="001B19B6">
      <w:pPr>
        <w:pStyle w:val="T0-ChapPgHd"/>
        <w:tabs>
          <w:tab w:val="left" w:pos="720"/>
        </w:tabs>
      </w:pPr>
      <w:r>
        <w:t>Appendices (continued)</w:t>
      </w:r>
    </w:p>
    <w:p w14:paraId="0F3B53CD" w14:textId="77777777" w:rsidR="001B19B6" w:rsidRPr="00D77A4B" w:rsidRDefault="001B19B6" w:rsidP="001B19B6">
      <w:pPr>
        <w:tabs>
          <w:tab w:val="left" w:pos="900"/>
        </w:tabs>
        <w:spacing w:after="200" w:line="276" w:lineRule="auto"/>
        <w:ind w:left="900" w:hanging="630"/>
        <w:rPr>
          <w:rFonts w:eastAsia="Calibri"/>
          <w:szCs w:val="22"/>
        </w:rPr>
      </w:pPr>
    </w:p>
    <w:p w14:paraId="720A94F8" w14:textId="60185AE3"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F</w:t>
      </w:r>
      <w:r w:rsidRPr="00D77A4B">
        <w:rPr>
          <w:rFonts w:eastAsia="Calibri"/>
          <w:szCs w:val="22"/>
        </w:rPr>
        <w:t>1</w:t>
      </w:r>
      <w:r w:rsidRPr="00D77A4B">
        <w:rPr>
          <w:rFonts w:eastAsia="Calibri"/>
          <w:szCs w:val="22"/>
        </w:rPr>
        <w:tab/>
        <w:t xml:space="preserve"> </w:t>
      </w:r>
      <w:r w:rsidR="005D1863">
        <w:rPr>
          <w:rFonts w:eastAsia="Calibri"/>
          <w:szCs w:val="22"/>
        </w:rPr>
        <w:t xml:space="preserve">72 month </w:t>
      </w:r>
      <w:r w:rsidRPr="00D77A4B">
        <w:rPr>
          <w:rFonts w:eastAsia="Calibri"/>
          <w:szCs w:val="22"/>
        </w:rPr>
        <w:t>H</w:t>
      </w:r>
      <w:r>
        <w:rPr>
          <w:rFonts w:eastAsia="Calibri"/>
          <w:szCs w:val="22"/>
        </w:rPr>
        <w:t>/</w:t>
      </w:r>
      <w:r w:rsidRPr="00D77A4B">
        <w:rPr>
          <w:rFonts w:eastAsia="Calibri"/>
          <w:szCs w:val="22"/>
        </w:rPr>
        <w:t>W measurement card – English</w:t>
      </w:r>
    </w:p>
    <w:p w14:paraId="1B01E276" w14:textId="2163AC08"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F</w:t>
      </w:r>
      <w:r w:rsidRPr="00D77A4B">
        <w:rPr>
          <w:rFonts w:eastAsia="Calibri"/>
          <w:szCs w:val="22"/>
        </w:rPr>
        <w:t>2</w:t>
      </w:r>
      <w:r w:rsidRPr="00D77A4B">
        <w:rPr>
          <w:rFonts w:eastAsia="Calibri"/>
          <w:szCs w:val="22"/>
        </w:rPr>
        <w:tab/>
        <w:t xml:space="preserve"> </w:t>
      </w:r>
      <w:r w:rsidR="005D1863">
        <w:rPr>
          <w:rFonts w:eastAsia="Calibri"/>
          <w:szCs w:val="22"/>
        </w:rPr>
        <w:t xml:space="preserve">72 month </w:t>
      </w:r>
      <w:r w:rsidRPr="00D77A4B">
        <w:rPr>
          <w:rFonts w:eastAsia="Calibri"/>
          <w:szCs w:val="22"/>
        </w:rPr>
        <w:t>H</w:t>
      </w:r>
      <w:r>
        <w:rPr>
          <w:rFonts w:eastAsia="Calibri"/>
          <w:szCs w:val="22"/>
        </w:rPr>
        <w:t>/</w:t>
      </w:r>
      <w:r w:rsidRPr="00D77A4B">
        <w:rPr>
          <w:rFonts w:eastAsia="Calibri"/>
          <w:szCs w:val="22"/>
        </w:rPr>
        <w:t>W measurement card – Spanish</w:t>
      </w:r>
    </w:p>
    <w:p w14:paraId="32597FCA" w14:textId="77777777" w:rsidR="001B19B6" w:rsidRPr="00D77A4B" w:rsidRDefault="001B19B6" w:rsidP="001B19B6">
      <w:pPr>
        <w:tabs>
          <w:tab w:val="left" w:pos="900"/>
        </w:tabs>
        <w:spacing w:after="200" w:line="276" w:lineRule="auto"/>
        <w:ind w:left="900" w:hanging="630"/>
        <w:rPr>
          <w:rFonts w:eastAsia="Calibri"/>
          <w:szCs w:val="22"/>
        </w:rPr>
      </w:pPr>
      <w:r w:rsidRPr="00D77A4B">
        <w:rPr>
          <w:rFonts w:eastAsia="Calibri"/>
          <w:szCs w:val="22"/>
        </w:rPr>
        <w:t>G1</w:t>
      </w:r>
      <w:r w:rsidRPr="00D77A4B">
        <w:rPr>
          <w:rFonts w:eastAsia="Calibri"/>
          <w:szCs w:val="22"/>
        </w:rPr>
        <w:tab/>
        <w:t>Height and weight reminders – English</w:t>
      </w:r>
    </w:p>
    <w:p w14:paraId="2E8847B1" w14:textId="77777777" w:rsidR="001B19B6" w:rsidRDefault="001B19B6" w:rsidP="001B19B6">
      <w:pPr>
        <w:tabs>
          <w:tab w:val="left" w:pos="900"/>
        </w:tabs>
        <w:spacing w:after="200" w:line="276" w:lineRule="auto"/>
        <w:ind w:left="900" w:hanging="630"/>
        <w:rPr>
          <w:rFonts w:eastAsia="Calibri"/>
          <w:szCs w:val="22"/>
        </w:rPr>
      </w:pPr>
      <w:r w:rsidRPr="00D77A4B">
        <w:rPr>
          <w:rFonts w:eastAsia="Calibri"/>
          <w:szCs w:val="22"/>
        </w:rPr>
        <w:t>G</w:t>
      </w:r>
      <w:r>
        <w:rPr>
          <w:rFonts w:eastAsia="Calibri"/>
          <w:szCs w:val="22"/>
        </w:rPr>
        <w:t>2</w:t>
      </w:r>
      <w:r w:rsidRPr="00D77A4B">
        <w:rPr>
          <w:rFonts w:eastAsia="Calibri"/>
          <w:szCs w:val="22"/>
        </w:rPr>
        <w:tab/>
        <w:t>Height and weight reminders – Spanish</w:t>
      </w:r>
    </w:p>
    <w:p w14:paraId="3D332CF0" w14:textId="07CB6229"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H</w:t>
      </w:r>
      <w:r w:rsidRPr="00D77A4B">
        <w:rPr>
          <w:rFonts w:eastAsia="Calibri"/>
          <w:szCs w:val="22"/>
        </w:rPr>
        <w:t>1</w:t>
      </w:r>
      <w:r w:rsidRPr="00D77A4B">
        <w:rPr>
          <w:rFonts w:eastAsia="Calibri"/>
          <w:szCs w:val="22"/>
        </w:rPr>
        <w:tab/>
      </w:r>
      <w:r>
        <w:rPr>
          <w:rFonts w:eastAsia="Calibri"/>
          <w:szCs w:val="22"/>
        </w:rPr>
        <w:t>72</w:t>
      </w:r>
      <w:r w:rsidRPr="00D77A4B">
        <w:rPr>
          <w:rFonts w:eastAsia="Calibri"/>
          <w:szCs w:val="22"/>
        </w:rPr>
        <w:t>-mo</w:t>
      </w:r>
      <w:r w:rsidR="005D1863">
        <w:rPr>
          <w:rFonts w:eastAsia="Calibri"/>
          <w:szCs w:val="22"/>
        </w:rPr>
        <w:t>nth</w:t>
      </w:r>
      <w:r w:rsidRPr="00D77A4B">
        <w:rPr>
          <w:rFonts w:eastAsia="Calibri"/>
          <w:szCs w:val="22"/>
        </w:rPr>
        <w:t xml:space="preserve"> text or email provider measures – English</w:t>
      </w:r>
    </w:p>
    <w:p w14:paraId="6F4FD2A5" w14:textId="20817BAA"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H2</w:t>
      </w:r>
      <w:r>
        <w:rPr>
          <w:rFonts w:eastAsia="Calibri"/>
          <w:szCs w:val="22"/>
        </w:rPr>
        <w:tab/>
        <w:t>72</w:t>
      </w:r>
      <w:r w:rsidRPr="00D77A4B">
        <w:rPr>
          <w:rFonts w:eastAsia="Calibri"/>
          <w:szCs w:val="22"/>
        </w:rPr>
        <w:t>-mo</w:t>
      </w:r>
      <w:r w:rsidR="005D1863">
        <w:rPr>
          <w:rFonts w:eastAsia="Calibri"/>
          <w:szCs w:val="22"/>
        </w:rPr>
        <w:t>nth</w:t>
      </w:r>
      <w:r w:rsidRPr="00D77A4B">
        <w:rPr>
          <w:rFonts w:eastAsia="Calibri"/>
          <w:szCs w:val="22"/>
        </w:rPr>
        <w:t xml:space="preserve"> text or email provider measures – Spanish</w:t>
      </w:r>
    </w:p>
    <w:p w14:paraId="6450ED83" w14:textId="2271E826"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I1</w:t>
      </w:r>
      <w:r w:rsidRPr="00D77A4B">
        <w:rPr>
          <w:rFonts w:eastAsia="Calibri"/>
          <w:szCs w:val="22"/>
        </w:rPr>
        <w:tab/>
      </w:r>
      <w:r>
        <w:rPr>
          <w:rFonts w:eastAsia="Calibri"/>
          <w:szCs w:val="22"/>
        </w:rPr>
        <w:t>72</w:t>
      </w:r>
      <w:r w:rsidRPr="00D77A4B">
        <w:rPr>
          <w:rFonts w:eastAsia="Calibri"/>
          <w:szCs w:val="22"/>
        </w:rPr>
        <w:t>-mo</w:t>
      </w:r>
      <w:r w:rsidR="005D1863">
        <w:rPr>
          <w:rFonts w:eastAsia="Calibri"/>
          <w:szCs w:val="22"/>
        </w:rPr>
        <w:t>nth</w:t>
      </w:r>
      <w:r w:rsidRPr="00D77A4B">
        <w:rPr>
          <w:rFonts w:eastAsia="Calibri"/>
          <w:szCs w:val="22"/>
        </w:rPr>
        <w:t xml:space="preserve"> thank you – English</w:t>
      </w:r>
    </w:p>
    <w:p w14:paraId="0FB4B83F" w14:textId="06E3C6E9"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I2</w:t>
      </w:r>
      <w:r w:rsidRPr="00D77A4B">
        <w:rPr>
          <w:rFonts w:eastAsia="Calibri"/>
          <w:szCs w:val="22"/>
        </w:rPr>
        <w:tab/>
      </w:r>
      <w:r>
        <w:rPr>
          <w:rFonts w:eastAsia="Calibri"/>
          <w:szCs w:val="22"/>
        </w:rPr>
        <w:t>72</w:t>
      </w:r>
      <w:r w:rsidRPr="00D77A4B">
        <w:rPr>
          <w:rFonts w:eastAsia="Calibri"/>
          <w:szCs w:val="22"/>
        </w:rPr>
        <w:t>-mo</w:t>
      </w:r>
      <w:r w:rsidR="005D1863">
        <w:rPr>
          <w:rFonts w:eastAsia="Calibri"/>
          <w:szCs w:val="22"/>
        </w:rPr>
        <w:t>nth</w:t>
      </w:r>
      <w:r w:rsidRPr="00D77A4B">
        <w:rPr>
          <w:rFonts w:eastAsia="Calibri"/>
          <w:szCs w:val="22"/>
        </w:rPr>
        <w:t xml:space="preserve"> thank you – Spanish</w:t>
      </w:r>
    </w:p>
    <w:p w14:paraId="230D13D1"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J</w:t>
      </w:r>
      <w:r w:rsidRPr="00D77A4B">
        <w:rPr>
          <w:rFonts w:eastAsia="Calibri"/>
          <w:szCs w:val="22"/>
        </w:rPr>
        <w:t>1</w:t>
      </w:r>
      <w:r w:rsidRPr="00D77A4B">
        <w:rPr>
          <w:rFonts w:eastAsia="Calibri"/>
          <w:szCs w:val="22"/>
        </w:rPr>
        <w:tab/>
        <w:t xml:space="preserve">Birthday card respondent year </w:t>
      </w:r>
      <w:r>
        <w:rPr>
          <w:rFonts w:eastAsia="Calibri"/>
          <w:szCs w:val="22"/>
        </w:rPr>
        <w:t>6</w:t>
      </w:r>
      <w:r w:rsidRPr="00D77A4B">
        <w:rPr>
          <w:rFonts w:eastAsia="Calibri"/>
          <w:szCs w:val="22"/>
        </w:rPr>
        <w:t xml:space="preserve"> – English</w:t>
      </w:r>
    </w:p>
    <w:p w14:paraId="47BE04FA"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J2</w:t>
      </w:r>
      <w:r w:rsidRPr="00D77A4B">
        <w:rPr>
          <w:rFonts w:eastAsia="Calibri"/>
          <w:szCs w:val="22"/>
        </w:rPr>
        <w:tab/>
        <w:t xml:space="preserve">Birthday card respondent year </w:t>
      </w:r>
      <w:r>
        <w:rPr>
          <w:rFonts w:eastAsia="Calibri"/>
          <w:szCs w:val="22"/>
        </w:rPr>
        <w:t>6</w:t>
      </w:r>
      <w:r w:rsidRPr="00D77A4B">
        <w:rPr>
          <w:rFonts w:eastAsia="Calibri"/>
          <w:szCs w:val="22"/>
        </w:rPr>
        <w:t xml:space="preserve"> – Spanish</w:t>
      </w:r>
    </w:p>
    <w:p w14:paraId="5FD1D2AB"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K1</w:t>
      </w:r>
      <w:r w:rsidRPr="00D77A4B">
        <w:rPr>
          <w:rFonts w:eastAsia="Calibri"/>
          <w:szCs w:val="22"/>
        </w:rPr>
        <w:tab/>
        <w:t xml:space="preserve">Birthday card child age </w:t>
      </w:r>
      <w:r>
        <w:rPr>
          <w:rFonts w:eastAsia="Calibri"/>
          <w:szCs w:val="22"/>
        </w:rPr>
        <w:t>6</w:t>
      </w:r>
      <w:r w:rsidRPr="00D77A4B">
        <w:rPr>
          <w:rFonts w:eastAsia="Calibri"/>
          <w:szCs w:val="22"/>
        </w:rPr>
        <w:t xml:space="preserve"> – English</w:t>
      </w:r>
    </w:p>
    <w:p w14:paraId="0F8BE0E3"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K2</w:t>
      </w:r>
      <w:r w:rsidRPr="00D77A4B">
        <w:rPr>
          <w:rFonts w:eastAsia="Calibri"/>
          <w:szCs w:val="22"/>
        </w:rPr>
        <w:tab/>
        <w:t xml:space="preserve">Birthday card child age </w:t>
      </w:r>
      <w:r>
        <w:rPr>
          <w:rFonts w:eastAsia="Calibri"/>
          <w:szCs w:val="22"/>
        </w:rPr>
        <w:t>6</w:t>
      </w:r>
      <w:r w:rsidRPr="00D77A4B">
        <w:rPr>
          <w:rFonts w:eastAsia="Calibri"/>
          <w:szCs w:val="22"/>
        </w:rPr>
        <w:t xml:space="preserve"> – Spanish</w:t>
      </w:r>
    </w:p>
    <w:p w14:paraId="043F1420"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L</w:t>
      </w:r>
      <w:r w:rsidRPr="00D77A4B">
        <w:rPr>
          <w:rFonts w:eastAsia="Calibri"/>
          <w:szCs w:val="22"/>
        </w:rPr>
        <w:t>1</w:t>
      </w:r>
      <w:r w:rsidRPr="00D77A4B">
        <w:rPr>
          <w:rFonts w:eastAsia="Calibri"/>
          <w:szCs w:val="22"/>
        </w:rPr>
        <w:tab/>
      </w:r>
      <w:r>
        <w:rPr>
          <w:rFonts w:eastAsia="Calibri"/>
          <w:szCs w:val="22"/>
        </w:rPr>
        <w:t>A</w:t>
      </w:r>
      <w:r w:rsidRPr="00D77A4B">
        <w:rPr>
          <w:rFonts w:eastAsia="Calibri"/>
          <w:szCs w:val="22"/>
        </w:rPr>
        <w:t xml:space="preserve">nnouncement </w:t>
      </w:r>
      <w:r>
        <w:rPr>
          <w:rFonts w:eastAsia="Calibri"/>
          <w:szCs w:val="22"/>
        </w:rPr>
        <w:t xml:space="preserve">of study extension </w:t>
      </w:r>
      <w:r w:rsidRPr="00D77A4B">
        <w:rPr>
          <w:rFonts w:eastAsia="Calibri"/>
          <w:szCs w:val="22"/>
        </w:rPr>
        <w:t xml:space="preserve">to WIC State </w:t>
      </w:r>
      <w:r>
        <w:rPr>
          <w:rFonts w:eastAsia="Calibri"/>
          <w:szCs w:val="22"/>
        </w:rPr>
        <w:t>a</w:t>
      </w:r>
      <w:r w:rsidRPr="00D77A4B">
        <w:rPr>
          <w:rFonts w:eastAsia="Calibri"/>
          <w:szCs w:val="22"/>
        </w:rPr>
        <w:t>gencies</w:t>
      </w:r>
    </w:p>
    <w:p w14:paraId="02F3B0D3" w14:textId="1B7EE6DD" w:rsidR="001B19B6" w:rsidRPr="00D77A4B" w:rsidRDefault="00B83A8A" w:rsidP="001B19B6">
      <w:pPr>
        <w:tabs>
          <w:tab w:val="left" w:pos="900"/>
        </w:tabs>
        <w:spacing w:after="200" w:line="276" w:lineRule="auto"/>
        <w:ind w:left="900" w:hanging="630"/>
        <w:rPr>
          <w:rFonts w:eastAsia="Calibri"/>
          <w:szCs w:val="22"/>
        </w:rPr>
      </w:pPr>
      <w:r>
        <w:rPr>
          <w:rFonts w:eastAsia="Calibri"/>
          <w:szCs w:val="22"/>
        </w:rPr>
        <w:t>L</w:t>
      </w:r>
      <w:r w:rsidR="001B19B6">
        <w:rPr>
          <w:rFonts w:eastAsia="Calibri"/>
          <w:szCs w:val="22"/>
        </w:rPr>
        <w:t>2</w:t>
      </w:r>
      <w:r w:rsidR="001B19B6" w:rsidRPr="00D77A4B">
        <w:rPr>
          <w:rFonts w:eastAsia="Calibri"/>
          <w:szCs w:val="22"/>
        </w:rPr>
        <w:tab/>
      </w:r>
      <w:r w:rsidR="001B19B6">
        <w:rPr>
          <w:rFonts w:eastAsia="Calibri"/>
          <w:szCs w:val="22"/>
        </w:rPr>
        <w:t>Announcement of s</w:t>
      </w:r>
      <w:r w:rsidR="001B19B6" w:rsidRPr="00D77A4B">
        <w:rPr>
          <w:rFonts w:eastAsia="Calibri"/>
          <w:szCs w:val="22"/>
        </w:rPr>
        <w:t xml:space="preserve">tudy extension to WIC </w:t>
      </w:r>
      <w:r w:rsidR="001B19B6">
        <w:rPr>
          <w:rFonts w:eastAsia="Calibri"/>
          <w:szCs w:val="22"/>
        </w:rPr>
        <w:t>s</w:t>
      </w:r>
      <w:r w:rsidR="001B19B6" w:rsidRPr="00D77A4B">
        <w:rPr>
          <w:rFonts w:eastAsia="Calibri"/>
          <w:szCs w:val="22"/>
        </w:rPr>
        <w:t>ites</w:t>
      </w:r>
    </w:p>
    <w:p w14:paraId="59D32DAC" w14:textId="77777777"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M</w:t>
      </w:r>
      <w:r w:rsidRPr="00D77A4B">
        <w:rPr>
          <w:rFonts w:eastAsia="Calibri"/>
          <w:szCs w:val="22"/>
        </w:rPr>
        <w:tab/>
        <w:t>Study extension webinar slides</w:t>
      </w:r>
    </w:p>
    <w:p w14:paraId="158C00F9" w14:textId="3E3B1728"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N</w:t>
      </w:r>
      <w:r w:rsidRPr="00D77A4B">
        <w:rPr>
          <w:rFonts w:eastAsia="Calibri"/>
          <w:szCs w:val="22"/>
        </w:rPr>
        <w:tab/>
      </w:r>
      <w:r w:rsidR="005D1863">
        <w:rPr>
          <w:rFonts w:eastAsia="Calibri"/>
          <w:szCs w:val="22"/>
        </w:rPr>
        <w:t xml:space="preserve">Agenda for </w:t>
      </w:r>
      <w:r w:rsidR="00D428ED">
        <w:rPr>
          <w:rFonts w:eastAsia="Calibri"/>
          <w:szCs w:val="22"/>
        </w:rPr>
        <w:t>c</w:t>
      </w:r>
      <w:r>
        <w:rPr>
          <w:rFonts w:eastAsia="Calibri"/>
          <w:szCs w:val="22"/>
        </w:rPr>
        <w:t>onference call on extension</w:t>
      </w:r>
      <w:r w:rsidR="005D1863">
        <w:rPr>
          <w:rFonts w:eastAsia="Calibri"/>
          <w:szCs w:val="22"/>
        </w:rPr>
        <w:t xml:space="preserve">with State Agency and </w:t>
      </w:r>
      <w:r w:rsidR="00D428ED">
        <w:rPr>
          <w:rFonts w:eastAsia="Calibri"/>
          <w:szCs w:val="22"/>
        </w:rPr>
        <w:t>s</w:t>
      </w:r>
      <w:r w:rsidR="005D1863">
        <w:rPr>
          <w:rFonts w:eastAsia="Calibri"/>
          <w:szCs w:val="22"/>
        </w:rPr>
        <w:t>ites</w:t>
      </w:r>
    </w:p>
    <w:p w14:paraId="370E00A3" w14:textId="611BE3ED" w:rsidR="001B19B6" w:rsidRPr="00D77A4B" w:rsidRDefault="001B19B6" w:rsidP="001B19B6">
      <w:pPr>
        <w:tabs>
          <w:tab w:val="left" w:pos="900"/>
        </w:tabs>
        <w:spacing w:after="200" w:line="276" w:lineRule="auto"/>
        <w:ind w:left="900" w:hanging="630"/>
        <w:rPr>
          <w:rFonts w:eastAsia="Calibri"/>
          <w:szCs w:val="22"/>
        </w:rPr>
      </w:pPr>
      <w:r>
        <w:rPr>
          <w:rFonts w:eastAsia="Calibri"/>
          <w:szCs w:val="22"/>
        </w:rPr>
        <w:t>O1</w:t>
      </w:r>
      <w:r w:rsidRPr="00D77A4B">
        <w:rPr>
          <w:rFonts w:eastAsia="Calibri"/>
          <w:szCs w:val="22"/>
        </w:rPr>
        <w:tab/>
      </w:r>
      <w:r>
        <w:rPr>
          <w:rFonts w:eastAsia="Calibri"/>
          <w:szCs w:val="22"/>
        </w:rPr>
        <w:t>Study extension summary and agreement</w:t>
      </w:r>
      <w:r w:rsidR="00561936">
        <w:rPr>
          <w:rFonts w:eastAsia="Calibri"/>
          <w:szCs w:val="22"/>
        </w:rPr>
        <w:t xml:space="preserve"> – Correspondence to State Agency with </w:t>
      </w:r>
      <w:r w:rsidR="00D428ED">
        <w:rPr>
          <w:rFonts w:eastAsia="Calibri"/>
          <w:szCs w:val="22"/>
        </w:rPr>
        <w:t>c</w:t>
      </w:r>
      <w:r w:rsidR="00561936">
        <w:rPr>
          <w:rFonts w:eastAsia="Calibri"/>
          <w:szCs w:val="22"/>
        </w:rPr>
        <w:t xml:space="preserve">opy to </w:t>
      </w:r>
      <w:r w:rsidR="00D428ED">
        <w:rPr>
          <w:rFonts w:eastAsia="Calibri"/>
          <w:szCs w:val="22"/>
        </w:rPr>
        <w:t>s</w:t>
      </w:r>
      <w:r w:rsidR="00561936">
        <w:rPr>
          <w:rFonts w:eastAsia="Calibri"/>
          <w:szCs w:val="22"/>
        </w:rPr>
        <w:t>ite POC</w:t>
      </w:r>
    </w:p>
    <w:p w14:paraId="209DA7E9" w14:textId="77777777" w:rsidR="00915276" w:rsidRDefault="001B19B6" w:rsidP="001B19B6">
      <w:pPr>
        <w:tabs>
          <w:tab w:val="left" w:pos="900"/>
        </w:tabs>
        <w:spacing w:after="200" w:line="276" w:lineRule="auto"/>
        <w:ind w:left="900" w:hanging="630"/>
        <w:rPr>
          <w:rFonts w:eastAsia="Calibri"/>
          <w:szCs w:val="22"/>
        </w:rPr>
      </w:pPr>
      <w:r>
        <w:rPr>
          <w:rFonts w:eastAsia="Calibri"/>
          <w:szCs w:val="22"/>
        </w:rPr>
        <w:t>O2</w:t>
      </w:r>
      <w:r w:rsidRPr="00D77A4B">
        <w:rPr>
          <w:rFonts w:eastAsia="Calibri"/>
          <w:szCs w:val="22"/>
        </w:rPr>
        <w:tab/>
        <w:t xml:space="preserve">Addendum A to </w:t>
      </w:r>
      <w:r>
        <w:rPr>
          <w:rFonts w:eastAsia="Calibri"/>
          <w:szCs w:val="22"/>
        </w:rPr>
        <w:t xml:space="preserve">study extension </w:t>
      </w:r>
      <w:r w:rsidR="00915276">
        <w:rPr>
          <w:rFonts w:eastAsia="Calibri"/>
          <w:szCs w:val="22"/>
        </w:rPr>
        <w:t>summary</w:t>
      </w:r>
    </w:p>
    <w:p w14:paraId="2F3B3F30" w14:textId="0603DDEF" w:rsidR="001B19B6" w:rsidRPr="00D77A4B" w:rsidRDefault="00915276" w:rsidP="001B19B6">
      <w:pPr>
        <w:tabs>
          <w:tab w:val="left" w:pos="900"/>
        </w:tabs>
        <w:spacing w:after="200" w:line="276" w:lineRule="auto"/>
        <w:ind w:left="900" w:hanging="630"/>
        <w:rPr>
          <w:rFonts w:eastAsia="Calibri"/>
          <w:szCs w:val="22"/>
        </w:rPr>
      </w:pPr>
      <w:r>
        <w:rPr>
          <w:rFonts w:eastAsia="Calibri"/>
          <w:szCs w:val="22"/>
        </w:rPr>
        <w:t>P</w:t>
      </w:r>
      <w:r w:rsidRPr="00D77A4B">
        <w:rPr>
          <w:rFonts w:eastAsia="Calibri"/>
          <w:szCs w:val="22"/>
        </w:rPr>
        <w:tab/>
      </w:r>
      <w:r>
        <w:rPr>
          <w:rFonts w:eastAsia="Calibri"/>
          <w:szCs w:val="22"/>
        </w:rPr>
        <w:t>Participant contact information request</w:t>
      </w:r>
    </w:p>
    <w:p w14:paraId="0EF3E357" w14:textId="5D65BD57" w:rsidR="001B19B6" w:rsidRDefault="00915276" w:rsidP="001B19B6">
      <w:pPr>
        <w:tabs>
          <w:tab w:val="left" w:pos="900"/>
        </w:tabs>
        <w:spacing w:after="200" w:line="276" w:lineRule="auto"/>
        <w:ind w:left="900" w:hanging="630"/>
        <w:rPr>
          <w:rFonts w:eastAsia="Calibri"/>
          <w:szCs w:val="22"/>
        </w:rPr>
      </w:pPr>
      <w:r>
        <w:rPr>
          <w:rFonts w:eastAsia="Calibri"/>
          <w:szCs w:val="22"/>
        </w:rPr>
        <w:t>Q</w:t>
      </w:r>
      <w:r w:rsidR="001B19B6" w:rsidRPr="00D77A4B">
        <w:rPr>
          <w:rFonts w:eastAsia="Calibri"/>
          <w:szCs w:val="22"/>
        </w:rPr>
        <w:tab/>
        <w:t>Crosswalk of previously approved and revised materials</w:t>
      </w:r>
    </w:p>
    <w:p w14:paraId="3D653E59" w14:textId="40317C9F" w:rsidR="001B19B6" w:rsidRPr="00D77A4B" w:rsidRDefault="00915276" w:rsidP="001B19B6">
      <w:pPr>
        <w:tabs>
          <w:tab w:val="left" w:pos="900"/>
        </w:tabs>
        <w:spacing w:after="200" w:line="276" w:lineRule="auto"/>
        <w:ind w:left="900" w:hanging="630"/>
        <w:rPr>
          <w:rFonts w:eastAsia="Calibri"/>
          <w:szCs w:val="22"/>
        </w:rPr>
      </w:pPr>
      <w:r>
        <w:rPr>
          <w:rFonts w:eastAsia="Calibri"/>
          <w:szCs w:val="22"/>
        </w:rPr>
        <w:t>R</w:t>
      </w:r>
      <w:r w:rsidR="001B19B6">
        <w:rPr>
          <w:rFonts w:eastAsia="Calibri"/>
          <w:szCs w:val="22"/>
        </w:rPr>
        <w:t>1</w:t>
      </w:r>
      <w:r>
        <w:rPr>
          <w:rFonts w:eastAsia="Calibri"/>
          <w:szCs w:val="22"/>
        </w:rPr>
        <w:t>a</w:t>
      </w:r>
      <w:r w:rsidR="001B19B6" w:rsidRPr="00D77A4B">
        <w:rPr>
          <w:rFonts w:eastAsia="Calibri"/>
          <w:szCs w:val="22"/>
        </w:rPr>
        <w:tab/>
        <w:t>F</w:t>
      </w:r>
      <w:r w:rsidR="001B19B6">
        <w:rPr>
          <w:rFonts w:eastAsia="Calibri"/>
          <w:szCs w:val="22"/>
        </w:rPr>
        <w:t xml:space="preserve">ederal Register Notice </w:t>
      </w:r>
      <w:r>
        <w:rPr>
          <w:rFonts w:eastAsia="Calibri"/>
          <w:szCs w:val="22"/>
        </w:rPr>
        <w:t>comment #1</w:t>
      </w:r>
    </w:p>
    <w:p w14:paraId="552FB6B5" w14:textId="77777777" w:rsidR="00561936" w:rsidRDefault="00561936" w:rsidP="00561936">
      <w:pPr>
        <w:pStyle w:val="TC-TableofContentsHeading"/>
        <w:tabs>
          <w:tab w:val="left" w:pos="720"/>
        </w:tabs>
        <w:spacing w:after="480"/>
        <w:rPr>
          <w:sz w:val="24"/>
        </w:rPr>
      </w:pPr>
      <w:r w:rsidRPr="00CD6C46">
        <w:rPr>
          <w:sz w:val="24"/>
        </w:rPr>
        <w:t>Contents (continued)</w:t>
      </w:r>
    </w:p>
    <w:p w14:paraId="22811EA3" w14:textId="77777777" w:rsidR="00561936" w:rsidRDefault="00561936" w:rsidP="00561936">
      <w:pPr>
        <w:pStyle w:val="T0-ChapPgHd"/>
        <w:tabs>
          <w:tab w:val="left" w:pos="720"/>
        </w:tabs>
      </w:pPr>
      <w:r>
        <w:t>Appendices (continued)</w:t>
      </w:r>
    </w:p>
    <w:p w14:paraId="4BDE2CF1" w14:textId="77777777" w:rsidR="00561936" w:rsidRDefault="00561936" w:rsidP="001B19B6">
      <w:pPr>
        <w:tabs>
          <w:tab w:val="left" w:pos="900"/>
        </w:tabs>
        <w:spacing w:after="200" w:line="276" w:lineRule="auto"/>
        <w:ind w:left="900" w:hanging="630"/>
        <w:rPr>
          <w:rFonts w:eastAsia="Calibri"/>
          <w:szCs w:val="22"/>
        </w:rPr>
      </w:pPr>
    </w:p>
    <w:p w14:paraId="35386E0F" w14:textId="77777777" w:rsidR="00514228" w:rsidRDefault="00514228" w:rsidP="00514228">
      <w:pPr>
        <w:tabs>
          <w:tab w:val="left" w:pos="900"/>
        </w:tabs>
        <w:spacing w:after="200" w:line="276" w:lineRule="auto"/>
        <w:ind w:left="900" w:hanging="630"/>
        <w:rPr>
          <w:rFonts w:eastAsia="Calibri"/>
          <w:szCs w:val="22"/>
        </w:rPr>
      </w:pPr>
      <w:r>
        <w:rPr>
          <w:rFonts w:eastAsia="Calibri"/>
          <w:szCs w:val="22"/>
        </w:rPr>
        <w:t>R1b</w:t>
      </w:r>
      <w:r>
        <w:rPr>
          <w:rFonts w:eastAsia="Calibri"/>
          <w:szCs w:val="22"/>
        </w:rPr>
        <w:tab/>
        <w:t>Federal Register Notice comment #2</w:t>
      </w:r>
    </w:p>
    <w:p w14:paraId="50E31821" w14:textId="77777777" w:rsidR="00514228" w:rsidRDefault="00514228" w:rsidP="00514228">
      <w:pPr>
        <w:tabs>
          <w:tab w:val="left" w:pos="900"/>
        </w:tabs>
        <w:spacing w:after="200" w:line="276" w:lineRule="auto"/>
        <w:ind w:left="900" w:hanging="630"/>
        <w:rPr>
          <w:rFonts w:eastAsia="Calibri"/>
          <w:szCs w:val="22"/>
        </w:rPr>
      </w:pPr>
      <w:r>
        <w:rPr>
          <w:rFonts w:eastAsia="Calibri"/>
          <w:szCs w:val="22"/>
        </w:rPr>
        <w:t>R</w:t>
      </w:r>
      <w:r w:rsidRPr="00D77A4B">
        <w:rPr>
          <w:rFonts w:eastAsia="Calibri"/>
          <w:szCs w:val="22"/>
        </w:rPr>
        <w:t>2</w:t>
      </w:r>
      <w:r>
        <w:rPr>
          <w:rFonts w:eastAsia="Calibri"/>
          <w:szCs w:val="22"/>
        </w:rPr>
        <w:t>a</w:t>
      </w:r>
      <w:r w:rsidRPr="00D77A4B">
        <w:rPr>
          <w:rFonts w:eastAsia="Calibri"/>
          <w:szCs w:val="22"/>
        </w:rPr>
        <w:tab/>
        <w:t>Federal Register Not</w:t>
      </w:r>
      <w:r>
        <w:rPr>
          <w:rFonts w:eastAsia="Calibri"/>
          <w:szCs w:val="22"/>
        </w:rPr>
        <w:t>ice agency response to comment #1</w:t>
      </w:r>
    </w:p>
    <w:p w14:paraId="33218C4C" w14:textId="77777777" w:rsidR="00514228" w:rsidRPr="00D77A4B" w:rsidRDefault="00514228" w:rsidP="00514228">
      <w:pPr>
        <w:tabs>
          <w:tab w:val="left" w:pos="900"/>
        </w:tabs>
        <w:spacing w:after="200" w:line="276" w:lineRule="auto"/>
        <w:ind w:left="900" w:hanging="630"/>
        <w:rPr>
          <w:rFonts w:eastAsia="Calibri"/>
          <w:szCs w:val="22"/>
        </w:rPr>
      </w:pPr>
      <w:r>
        <w:rPr>
          <w:rFonts w:eastAsia="Calibri"/>
          <w:szCs w:val="22"/>
        </w:rPr>
        <w:t>R2b</w:t>
      </w:r>
      <w:r>
        <w:rPr>
          <w:rFonts w:eastAsia="Calibri"/>
          <w:szCs w:val="22"/>
        </w:rPr>
        <w:tab/>
        <w:t>Federal Register Notice agency response to comment #2</w:t>
      </w:r>
    </w:p>
    <w:p w14:paraId="0A179D63" w14:textId="1E4FC3DE" w:rsidR="001B19B6" w:rsidRPr="00D77A4B" w:rsidRDefault="00915276" w:rsidP="001B19B6">
      <w:pPr>
        <w:tabs>
          <w:tab w:val="left" w:pos="900"/>
        </w:tabs>
        <w:spacing w:after="200" w:line="276" w:lineRule="auto"/>
        <w:ind w:left="900" w:hanging="630"/>
        <w:rPr>
          <w:rFonts w:eastAsia="Calibri"/>
          <w:szCs w:val="22"/>
        </w:rPr>
      </w:pPr>
      <w:r>
        <w:rPr>
          <w:rFonts w:eastAsia="Calibri"/>
          <w:szCs w:val="22"/>
        </w:rPr>
        <w:t>S</w:t>
      </w:r>
      <w:r w:rsidR="001B19B6" w:rsidRPr="00D77A4B">
        <w:rPr>
          <w:rFonts w:eastAsia="Calibri"/>
          <w:szCs w:val="22"/>
        </w:rPr>
        <w:t>1</w:t>
      </w:r>
      <w:r w:rsidR="001B19B6" w:rsidRPr="00D77A4B">
        <w:rPr>
          <w:rFonts w:eastAsia="Calibri"/>
          <w:szCs w:val="22"/>
        </w:rPr>
        <w:tab/>
        <w:t xml:space="preserve">NASS </w:t>
      </w:r>
      <w:r w:rsidR="001B19B6">
        <w:rPr>
          <w:rFonts w:eastAsia="Calibri"/>
          <w:szCs w:val="22"/>
        </w:rPr>
        <w:t>r</w:t>
      </w:r>
      <w:r w:rsidR="001B19B6" w:rsidRPr="00D77A4B">
        <w:rPr>
          <w:rFonts w:eastAsia="Calibri"/>
          <w:szCs w:val="22"/>
        </w:rPr>
        <w:t>eview</w:t>
      </w:r>
    </w:p>
    <w:p w14:paraId="3E752755" w14:textId="7519E719" w:rsidR="001B19B6" w:rsidRPr="00D77A4B" w:rsidRDefault="00915276" w:rsidP="001B19B6">
      <w:pPr>
        <w:tabs>
          <w:tab w:val="left" w:pos="900"/>
        </w:tabs>
        <w:spacing w:after="200" w:line="276" w:lineRule="auto"/>
        <w:ind w:left="900" w:hanging="630"/>
        <w:rPr>
          <w:rFonts w:eastAsia="Calibri"/>
          <w:szCs w:val="22"/>
        </w:rPr>
      </w:pPr>
      <w:r>
        <w:rPr>
          <w:rFonts w:eastAsia="Calibri"/>
          <w:szCs w:val="22"/>
        </w:rPr>
        <w:t>S</w:t>
      </w:r>
      <w:r w:rsidR="001B19B6" w:rsidRPr="00D77A4B">
        <w:rPr>
          <w:rFonts w:eastAsia="Calibri"/>
          <w:szCs w:val="22"/>
        </w:rPr>
        <w:t>2</w:t>
      </w:r>
      <w:r w:rsidR="001B19B6" w:rsidRPr="00D77A4B">
        <w:rPr>
          <w:rFonts w:eastAsia="Calibri"/>
          <w:szCs w:val="22"/>
        </w:rPr>
        <w:tab/>
        <w:t xml:space="preserve">NASS </w:t>
      </w:r>
      <w:r w:rsidR="001B19B6">
        <w:rPr>
          <w:rFonts w:eastAsia="Calibri"/>
          <w:szCs w:val="22"/>
        </w:rPr>
        <w:t>r</w:t>
      </w:r>
      <w:r w:rsidR="001B19B6" w:rsidRPr="00D77A4B">
        <w:rPr>
          <w:rFonts w:eastAsia="Calibri"/>
          <w:szCs w:val="22"/>
        </w:rPr>
        <w:t xml:space="preserve">eview </w:t>
      </w:r>
      <w:r w:rsidR="001B19B6">
        <w:rPr>
          <w:rFonts w:eastAsia="Calibri"/>
          <w:szCs w:val="22"/>
        </w:rPr>
        <w:t>r</w:t>
      </w:r>
      <w:r w:rsidR="001B19B6" w:rsidRPr="00D77A4B">
        <w:rPr>
          <w:rFonts w:eastAsia="Calibri"/>
          <w:szCs w:val="22"/>
        </w:rPr>
        <w:t>esponse</w:t>
      </w:r>
    </w:p>
    <w:p w14:paraId="2F72BDC0" w14:textId="7DC3A6E9" w:rsidR="001B19B6" w:rsidRDefault="00915276" w:rsidP="001B19B6">
      <w:pPr>
        <w:tabs>
          <w:tab w:val="left" w:pos="900"/>
        </w:tabs>
        <w:spacing w:after="200" w:line="276" w:lineRule="auto"/>
        <w:ind w:left="900" w:hanging="630"/>
        <w:rPr>
          <w:rFonts w:eastAsia="Calibri"/>
          <w:szCs w:val="22"/>
        </w:rPr>
      </w:pPr>
      <w:r>
        <w:rPr>
          <w:rFonts w:eastAsia="Calibri"/>
          <w:szCs w:val="22"/>
        </w:rPr>
        <w:t>T</w:t>
      </w:r>
      <w:r w:rsidR="001B19B6" w:rsidRPr="00D77A4B">
        <w:rPr>
          <w:rFonts w:eastAsia="Calibri"/>
          <w:szCs w:val="22"/>
        </w:rPr>
        <w:tab/>
        <w:t>Confidentiality and nondisclosure agreement</w:t>
      </w:r>
    </w:p>
    <w:p w14:paraId="5FE6285E" w14:textId="55E72A03" w:rsidR="001B19B6" w:rsidRPr="00D77A4B" w:rsidRDefault="00915276" w:rsidP="001B19B6">
      <w:pPr>
        <w:tabs>
          <w:tab w:val="left" w:pos="900"/>
        </w:tabs>
        <w:spacing w:after="200" w:line="276" w:lineRule="auto"/>
        <w:ind w:left="900" w:hanging="630"/>
        <w:rPr>
          <w:rFonts w:eastAsia="Calibri"/>
          <w:szCs w:val="22"/>
        </w:rPr>
      </w:pPr>
      <w:r>
        <w:rPr>
          <w:rFonts w:eastAsia="Calibri"/>
          <w:szCs w:val="22"/>
        </w:rPr>
        <w:t>U</w:t>
      </w:r>
      <w:r w:rsidR="001B19B6" w:rsidRPr="00D77A4B">
        <w:rPr>
          <w:rFonts w:eastAsia="Calibri"/>
          <w:szCs w:val="22"/>
        </w:rPr>
        <w:tab/>
        <w:t xml:space="preserve">Westat IRB </w:t>
      </w:r>
      <w:r w:rsidR="001B19B6">
        <w:rPr>
          <w:rFonts w:eastAsia="Calibri"/>
          <w:szCs w:val="22"/>
        </w:rPr>
        <w:t>a</w:t>
      </w:r>
      <w:r w:rsidR="001B19B6" w:rsidRPr="00D77A4B">
        <w:rPr>
          <w:rFonts w:eastAsia="Calibri"/>
          <w:szCs w:val="22"/>
        </w:rPr>
        <w:t xml:space="preserve">pproval </w:t>
      </w:r>
      <w:r w:rsidR="001B19B6">
        <w:rPr>
          <w:rFonts w:eastAsia="Calibri"/>
          <w:szCs w:val="22"/>
        </w:rPr>
        <w:t>l</w:t>
      </w:r>
      <w:r w:rsidR="001B19B6" w:rsidRPr="00D77A4B">
        <w:rPr>
          <w:rFonts w:eastAsia="Calibri"/>
          <w:szCs w:val="22"/>
        </w:rPr>
        <w:t>etter</w:t>
      </w:r>
    </w:p>
    <w:p w14:paraId="1BA79224" w14:textId="59CC5DC5" w:rsidR="001B19B6" w:rsidRDefault="00915276" w:rsidP="001B19B6">
      <w:pPr>
        <w:tabs>
          <w:tab w:val="left" w:pos="900"/>
        </w:tabs>
        <w:spacing w:after="200" w:line="276" w:lineRule="auto"/>
        <w:ind w:left="900" w:hanging="630"/>
        <w:rPr>
          <w:rFonts w:eastAsia="Calibri"/>
          <w:szCs w:val="22"/>
        </w:rPr>
      </w:pPr>
      <w:r>
        <w:rPr>
          <w:rFonts w:eastAsia="Calibri"/>
          <w:szCs w:val="22"/>
        </w:rPr>
        <w:t>V</w:t>
      </w:r>
      <w:r w:rsidR="001B19B6" w:rsidRPr="00D77A4B">
        <w:rPr>
          <w:rFonts w:eastAsia="Calibri"/>
          <w:szCs w:val="22"/>
        </w:rPr>
        <w:tab/>
        <w:t xml:space="preserve">Burden </w:t>
      </w:r>
      <w:r w:rsidR="009C44F7">
        <w:rPr>
          <w:rFonts w:eastAsia="Calibri"/>
          <w:szCs w:val="22"/>
        </w:rPr>
        <w:t>t</w:t>
      </w:r>
      <w:r w:rsidR="001B19B6" w:rsidRPr="00D77A4B">
        <w:rPr>
          <w:rFonts w:eastAsia="Calibri"/>
          <w:szCs w:val="22"/>
        </w:rPr>
        <w:t>able</w:t>
      </w:r>
    </w:p>
    <w:p w14:paraId="1696E198" w14:textId="590229BC" w:rsidR="00915276" w:rsidRDefault="00915276" w:rsidP="001B19B6">
      <w:pPr>
        <w:tabs>
          <w:tab w:val="left" w:pos="900"/>
        </w:tabs>
        <w:spacing w:after="200" w:line="276" w:lineRule="auto"/>
        <w:ind w:left="900" w:hanging="630"/>
        <w:rPr>
          <w:rFonts w:eastAsia="Calibri"/>
          <w:szCs w:val="22"/>
        </w:rPr>
      </w:pPr>
      <w:r>
        <w:rPr>
          <w:rFonts w:eastAsia="Calibri"/>
          <w:szCs w:val="22"/>
        </w:rPr>
        <w:t>W</w:t>
      </w:r>
      <w:r>
        <w:rPr>
          <w:rFonts w:eastAsia="Calibri"/>
          <w:szCs w:val="22"/>
        </w:rPr>
        <w:tab/>
        <w:t>Base study sampling methods</w:t>
      </w:r>
    </w:p>
    <w:p w14:paraId="069E2973" w14:textId="33B2F5FE" w:rsidR="001B19B6" w:rsidRDefault="00915276" w:rsidP="001B19B6">
      <w:pPr>
        <w:tabs>
          <w:tab w:val="left" w:pos="900"/>
        </w:tabs>
        <w:spacing w:after="200" w:line="276" w:lineRule="auto"/>
        <w:ind w:left="900" w:hanging="630"/>
        <w:rPr>
          <w:rFonts w:eastAsia="Calibri"/>
          <w:szCs w:val="22"/>
        </w:rPr>
      </w:pPr>
      <w:r>
        <w:rPr>
          <w:rFonts w:eastAsia="Calibri"/>
          <w:szCs w:val="22"/>
        </w:rPr>
        <w:t>X</w:t>
      </w:r>
      <w:r w:rsidR="001B19B6" w:rsidRPr="00D77A4B">
        <w:rPr>
          <w:rFonts w:eastAsia="Calibri"/>
          <w:szCs w:val="22"/>
        </w:rPr>
        <w:tab/>
        <w:t>Details of</w:t>
      </w:r>
      <w:r>
        <w:rPr>
          <w:rFonts w:eastAsia="Calibri"/>
          <w:szCs w:val="22"/>
        </w:rPr>
        <w:t xml:space="preserve"> i</w:t>
      </w:r>
      <w:r w:rsidR="001B19B6" w:rsidRPr="00D77A4B">
        <w:rPr>
          <w:rFonts w:eastAsia="Calibri"/>
          <w:szCs w:val="22"/>
        </w:rPr>
        <w:t xml:space="preserve">mputation, </w:t>
      </w:r>
      <w:r>
        <w:rPr>
          <w:rFonts w:eastAsia="Calibri"/>
          <w:szCs w:val="22"/>
        </w:rPr>
        <w:t>c</w:t>
      </w:r>
      <w:r w:rsidR="001B19B6" w:rsidRPr="00D77A4B">
        <w:rPr>
          <w:rFonts w:eastAsia="Calibri"/>
          <w:szCs w:val="22"/>
        </w:rPr>
        <w:t xml:space="preserve">alculation of the </w:t>
      </w:r>
      <w:r>
        <w:rPr>
          <w:rFonts w:eastAsia="Calibri"/>
          <w:szCs w:val="22"/>
        </w:rPr>
        <w:t>s</w:t>
      </w:r>
      <w:r w:rsidR="001B19B6" w:rsidRPr="00D77A4B">
        <w:rPr>
          <w:rFonts w:eastAsia="Calibri"/>
          <w:szCs w:val="22"/>
        </w:rPr>
        <w:t xml:space="preserve">urvey </w:t>
      </w:r>
      <w:r>
        <w:rPr>
          <w:rFonts w:eastAsia="Calibri"/>
          <w:szCs w:val="22"/>
        </w:rPr>
        <w:t>w</w:t>
      </w:r>
      <w:r w:rsidR="001B19B6" w:rsidRPr="00D77A4B">
        <w:rPr>
          <w:rFonts w:eastAsia="Calibri"/>
          <w:szCs w:val="22"/>
        </w:rPr>
        <w:t xml:space="preserve">eights, and </w:t>
      </w:r>
      <w:r>
        <w:rPr>
          <w:rFonts w:eastAsia="Calibri"/>
          <w:szCs w:val="22"/>
        </w:rPr>
        <w:t>n</w:t>
      </w:r>
      <w:r w:rsidR="001B19B6" w:rsidRPr="00D77A4B">
        <w:rPr>
          <w:rFonts w:eastAsia="Calibri"/>
          <w:szCs w:val="22"/>
        </w:rPr>
        <w:t xml:space="preserve">onresponse </w:t>
      </w:r>
      <w:r>
        <w:rPr>
          <w:rFonts w:eastAsia="Calibri"/>
          <w:szCs w:val="22"/>
        </w:rPr>
        <w:t>b</w:t>
      </w:r>
      <w:r w:rsidR="001B19B6" w:rsidRPr="00D77A4B">
        <w:rPr>
          <w:rFonts w:eastAsia="Calibri"/>
          <w:szCs w:val="22"/>
        </w:rPr>
        <w:t xml:space="preserve">ias </w:t>
      </w:r>
      <w:r>
        <w:rPr>
          <w:rFonts w:eastAsia="Calibri"/>
          <w:szCs w:val="22"/>
        </w:rPr>
        <w:t>a</w:t>
      </w:r>
      <w:r w:rsidR="001B19B6" w:rsidRPr="00D77A4B">
        <w:rPr>
          <w:rFonts w:eastAsia="Calibri"/>
          <w:szCs w:val="22"/>
        </w:rPr>
        <w:t>nalysis</w:t>
      </w:r>
    </w:p>
    <w:p w14:paraId="3BA5087F" w14:textId="77777777" w:rsidR="004E119F" w:rsidRPr="00D77A4B" w:rsidRDefault="004E119F" w:rsidP="001B19B6">
      <w:pPr>
        <w:tabs>
          <w:tab w:val="left" w:pos="900"/>
        </w:tabs>
        <w:spacing w:after="200" w:line="276" w:lineRule="auto"/>
        <w:ind w:left="900" w:hanging="630"/>
        <w:rPr>
          <w:rFonts w:eastAsia="Calibri"/>
          <w:szCs w:val="22"/>
        </w:rPr>
      </w:pPr>
    </w:p>
    <w:p w14:paraId="5E2AD413" w14:textId="77777777" w:rsidR="005F24C0" w:rsidRDefault="005F24C0" w:rsidP="000C0BC0">
      <w:pPr>
        <w:tabs>
          <w:tab w:val="left" w:pos="720"/>
          <w:tab w:val="left" w:pos="1008"/>
        </w:tabs>
        <w:spacing w:line="240" w:lineRule="auto"/>
        <w:ind w:left="288" w:right="-270"/>
        <w:rPr>
          <w:rFonts w:cs="Calibri"/>
          <w:color w:val="000000"/>
          <w:szCs w:val="24"/>
        </w:rPr>
      </w:pPr>
    </w:p>
    <w:p w14:paraId="474B88FB" w14:textId="0B3BAF56" w:rsidR="00F6413F" w:rsidRDefault="00F6413F" w:rsidP="000C0BC0">
      <w:pPr>
        <w:pStyle w:val="T0-ChapPgHd"/>
        <w:tabs>
          <w:tab w:val="left" w:pos="720"/>
        </w:tabs>
      </w:pPr>
      <w:r>
        <w:t>Tables</w:t>
      </w:r>
      <w:r w:rsidR="004E119F">
        <w:tab/>
      </w:r>
      <w:r w:rsidR="004E119F">
        <w:tab/>
        <w:t>Page</w:t>
      </w:r>
    </w:p>
    <w:p w14:paraId="31BABBB0" w14:textId="2F50E36A" w:rsidR="00F741A0" w:rsidRDefault="00F741A0" w:rsidP="000C0BC0">
      <w:pPr>
        <w:pStyle w:val="TOC1"/>
        <w:tabs>
          <w:tab w:val="left" w:pos="720"/>
        </w:tabs>
      </w:pPr>
    </w:p>
    <w:p w14:paraId="4D31159A" w14:textId="528595CC" w:rsidR="00F741A0" w:rsidRPr="00F741A0" w:rsidRDefault="00F741A0" w:rsidP="00F741A0">
      <w:pPr>
        <w:pStyle w:val="TOC1"/>
        <w:tabs>
          <w:tab w:val="left" w:pos="720"/>
        </w:tabs>
      </w:pPr>
      <w:r>
        <w:t>B1.1.</w:t>
      </w:r>
      <w:r>
        <w:tab/>
      </w:r>
      <w:r w:rsidRPr="00F741A0">
        <w:t>Respondent Universe, Samples, and Expected Response Rates</w:t>
      </w:r>
      <w:r w:rsidR="005B1863">
        <w:t xml:space="preserve"> for Year 6, and Response Rates for Most Recent Completed Activity</w:t>
      </w:r>
      <w:r>
        <w:tab/>
      </w:r>
      <w:r>
        <w:tab/>
      </w:r>
      <w:r w:rsidR="000E33B6">
        <w:t>2</w:t>
      </w:r>
    </w:p>
    <w:p w14:paraId="699C2F53" w14:textId="77777777" w:rsidR="00F741A0" w:rsidRDefault="00F741A0" w:rsidP="000C0BC0">
      <w:pPr>
        <w:pStyle w:val="TOC1"/>
        <w:tabs>
          <w:tab w:val="left" w:pos="720"/>
        </w:tabs>
      </w:pPr>
    </w:p>
    <w:p w14:paraId="2ABF4D1A" w14:textId="781A9BA1" w:rsidR="005F24C0" w:rsidRDefault="00F741A0" w:rsidP="000C0BC0">
      <w:pPr>
        <w:pStyle w:val="TOC1"/>
        <w:tabs>
          <w:tab w:val="left" w:pos="720"/>
        </w:tabs>
      </w:pPr>
      <w:r>
        <w:t>B1</w:t>
      </w:r>
      <w:r w:rsidR="005F24C0">
        <w:t>.</w:t>
      </w:r>
      <w:r>
        <w:t>2</w:t>
      </w:r>
      <w:r>
        <w:tab/>
      </w:r>
      <w:r w:rsidR="00957DEE">
        <w:tab/>
      </w:r>
      <w:r w:rsidR="005F24C0" w:rsidRPr="005F24C0">
        <w:t xml:space="preserve">Expected </w:t>
      </w:r>
      <w:r w:rsidR="00D070D3">
        <w:t>completed interviews</w:t>
      </w:r>
      <w:r w:rsidR="005F24C0" w:rsidRPr="005F24C0">
        <w:t xml:space="preserve"> and response rates</w:t>
      </w:r>
      <w:r w:rsidR="005F24C0">
        <w:tab/>
      </w:r>
      <w:r w:rsidR="005F24C0">
        <w:tab/>
      </w:r>
      <w:r w:rsidR="000E33B6">
        <w:t>3</w:t>
      </w:r>
    </w:p>
    <w:p w14:paraId="550FBA80" w14:textId="5B1758C7" w:rsidR="00F741A0" w:rsidRDefault="00F741A0" w:rsidP="000C0BC0">
      <w:pPr>
        <w:pStyle w:val="TOC1"/>
        <w:tabs>
          <w:tab w:val="left" w:pos="720"/>
        </w:tabs>
      </w:pPr>
    </w:p>
    <w:p w14:paraId="29B5BD29" w14:textId="7393DA1A" w:rsidR="00F741A0" w:rsidRDefault="00F741A0" w:rsidP="000C0BC0">
      <w:pPr>
        <w:pStyle w:val="TOC1"/>
        <w:tabs>
          <w:tab w:val="left" w:pos="720"/>
        </w:tabs>
      </w:pPr>
      <w:r>
        <w:t>B5.1</w:t>
      </w:r>
      <w:r w:rsidRPr="0064319D">
        <w:t>.</w:t>
      </w:r>
      <w:r w:rsidRPr="0064319D">
        <w:tab/>
      </w:r>
      <w:r>
        <w:t>Individuals consulted on statistical aspects and individuals collecting and analyzing data</w:t>
      </w:r>
      <w:r>
        <w:tab/>
      </w:r>
      <w:r>
        <w:tab/>
      </w:r>
      <w:r w:rsidR="000E33B6">
        <w:t>1</w:t>
      </w:r>
      <w:r w:rsidR="005E3CB3">
        <w:t>2</w:t>
      </w:r>
    </w:p>
    <w:p w14:paraId="07FD9A51" w14:textId="77777777" w:rsidR="005F24C0" w:rsidRDefault="005F24C0" w:rsidP="000C0BC0">
      <w:pPr>
        <w:pStyle w:val="TOC1"/>
        <w:tabs>
          <w:tab w:val="left" w:pos="720"/>
        </w:tabs>
      </w:pPr>
    </w:p>
    <w:p w14:paraId="3AF1D561" w14:textId="77777777" w:rsidR="00F6413F" w:rsidRDefault="00F6413F" w:rsidP="000C0BC0">
      <w:pPr>
        <w:pStyle w:val="L1-FlLSp12"/>
        <w:tabs>
          <w:tab w:val="left" w:pos="720"/>
        </w:tabs>
        <w:rPr>
          <w:rFonts w:cs="Calibri"/>
          <w:color w:val="000000"/>
          <w:szCs w:val="24"/>
        </w:rPr>
      </w:pPr>
    </w:p>
    <w:p w14:paraId="6A93B7F0" w14:textId="77777777" w:rsidR="00C23DA3" w:rsidRDefault="00C23DA3" w:rsidP="000C0BC0">
      <w:pPr>
        <w:pStyle w:val="Heading1"/>
        <w:tabs>
          <w:tab w:val="left" w:pos="720"/>
        </w:tabs>
        <w:rPr>
          <w:spacing w:val="-20"/>
        </w:rPr>
        <w:sectPr w:rsidR="00C23DA3" w:rsidSect="00790D0C">
          <w:headerReference w:type="default" r:id="rId16"/>
          <w:footerReference w:type="default" r:id="rId17"/>
          <w:footerReference w:type="first" r:id="rId18"/>
          <w:endnotePr>
            <w:numFmt w:val="decimal"/>
          </w:endnotePr>
          <w:pgSz w:w="12240" w:h="15840" w:code="1"/>
          <w:pgMar w:top="1440" w:right="1440" w:bottom="1440" w:left="1440" w:header="720" w:footer="576" w:gutter="0"/>
          <w:pgNumType w:fmt="lowerRoman"/>
          <w:cols w:space="720"/>
          <w:noEndnote/>
          <w:titlePg/>
          <w:docGrid w:linePitch="326"/>
        </w:sectPr>
      </w:pPr>
    </w:p>
    <w:p w14:paraId="400459E3" w14:textId="77777777" w:rsidR="00550934" w:rsidRDefault="00550934" w:rsidP="000C0BC0">
      <w:pPr>
        <w:pStyle w:val="Heading1"/>
        <w:tabs>
          <w:tab w:val="left" w:pos="720"/>
        </w:tabs>
      </w:pPr>
      <w:bookmarkStart w:id="13" w:name="_Toc400377717"/>
      <w:r w:rsidRPr="00C732EE">
        <w:rPr>
          <w:spacing w:val="-20"/>
        </w:rPr>
        <w:t>Part</w:t>
      </w:r>
      <w:r w:rsidRPr="00C732EE">
        <w:t xml:space="preserve"> </w:t>
      </w:r>
      <w:r>
        <w:t>B</w:t>
      </w:r>
    </w:p>
    <w:p w14:paraId="01F9424B" w14:textId="78D50DCB" w:rsidR="00550934" w:rsidRDefault="00550934" w:rsidP="000C0BC0">
      <w:pPr>
        <w:pStyle w:val="Heading1"/>
        <w:tabs>
          <w:tab w:val="left" w:pos="720"/>
        </w:tabs>
      </w:pPr>
      <w:r w:rsidRPr="00A75438">
        <w:t>Collections</w:t>
      </w:r>
      <w:r w:rsidRPr="00C732EE">
        <w:t xml:space="preserve"> of </w:t>
      </w:r>
      <w:r>
        <w:t>I</w:t>
      </w:r>
      <w:r w:rsidRPr="00C732EE">
        <w:t xml:space="preserve">nformation </w:t>
      </w:r>
      <w:r>
        <w:t>E</w:t>
      </w:r>
      <w:r w:rsidRPr="00C732EE">
        <w:t>mploying</w:t>
      </w:r>
    </w:p>
    <w:p w14:paraId="5270EF24" w14:textId="77777777" w:rsidR="00C23DA3" w:rsidRDefault="00550934" w:rsidP="000C0BC0">
      <w:pPr>
        <w:pStyle w:val="Heading1"/>
        <w:tabs>
          <w:tab w:val="left" w:pos="720"/>
        </w:tabs>
      </w:pPr>
      <w:r>
        <w:t>S</w:t>
      </w:r>
      <w:r w:rsidRPr="00C732EE">
        <w:t xml:space="preserve">tatistical </w:t>
      </w:r>
      <w:r>
        <w:t>M</w:t>
      </w:r>
      <w:r w:rsidRPr="00C732EE">
        <w:t>ethods</w:t>
      </w:r>
      <w:bookmarkEnd w:id="3"/>
      <w:bookmarkEnd w:id="13"/>
    </w:p>
    <w:p w14:paraId="51932540" w14:textId="77777777" w:rsidR="00550934" w:rsidRPr="00C732EE" w:rsidRDefault="00550934" w:rsidP="000C0BC0">
      <w:pPr>
        <w:pStyle w:val="Heading1"/>
        <w:tabs>
          <w:tab w:val="left" w:pos="720"/>
        </w:tabs>
      </w:pPr>
    </w:p>
    <w:p w14:paraId="1508EBAF" w14:textId="77777777" w:rsidR="00C23DA3" w:rsidRPr="007A1004" w:rsidRDefault="00C23DA3" w:rsidP="00971256">
      <w:pPr>
        <w:pStyle w:val="Heading2"/>
        <w:tabs>
          <w:tab w:val="clear" w:pos="1152"/>
          <w:tab w:val="left" w:pos="720"/>
        </w:tabs>
        <w:ind w:left="720" w:hanging="720"/>
      </w:pPr>
      <w:bookmarkStart w:id="14" w:name="_Toc329341099"/>
      <w:bookmarkStart w:id="15" w:name="_Toc400377718"/>
      <w:r w:rsidRPr="007A1004">
        <w:t>B.1</w:t>
      </w:r>
      <w:r w:rsidRPr="007A1004">
        <w:tab/>
      </w:r>
      <w:r w:rsidRPr="00A75438">
        <w:t>Respondent</w:t>
      </w:r>
      <w:r w:rsidRPr="007A1004">
        <w:t xml:space="preserve"> Universe and Sampling Methods</w:t>
      </w:r>
      <w:bookmarkEnd w:id="14"/>
      <w:bookmarkEnd w:id="15"/>
    </w:p>
    <w:p w14:paraId="12464D7A" w14:textId="77777777" w:rsidR="00C23DA3" w:rsidRPr="001436D0" w:rsidRDefault="00C23DA3" w:rsidP="00A620CD">
      <w:pPr>
        <w:pStyle w:val="L1-FlLSp12"/>
        <w:tabs>
          <w:tab w:val="left" w:pos="720"/>
        </w:tabs>
        <w:spacing w:after="240" w:line="276" w:lineRule="auto"/>
        <w:rPr>
          <w:rStyle w:val="Strong"/>
          <w:rFonts w:ascii="Franklin Gothic Medium" w:hAnsi="Franklin Gothic Medium"/>
          <w:b w:val="0"/>
          <w:color w:val="324162"/>
          <w:sz w:val="32"/>
        </w:rPr>
      </w:pPr>
      <w:bookmarkStart w:id="16" w:name="_Toc316652505"/>
      <w:bookmarkStart w:id="17" w:name="_Toc325550963"/>
      <w:bookmarkStart w:id="18" w:name="_Toc400377719"/>
      <w:bookmarkStart w:id="19" w:name="_Toc290021779"/>
      <w:bookmarkEnd w:id="4"/>
      <w:bookmarkEnd w:id="5"/>
      <w:bookmarkEnd w:id="6"/>
      <w:bookmarkEnd w:id="7"/>
      <w:bookmarkEnd w:id="8"/>
      <w:bookmarkEnd w:id="9"/>
      <w:bookmarkEnd w:id="10"/>
      <w:bookmarkEnd w:id="11"/>
      <w:bookmarkEnd w:id="12"/>
      <w:r w:rsidRPr="001436D0">
        <w:rPr>
          <w:rStyle w:val="Strong"/>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16"/>
      <w:bookmarkEnd w:id="17"/>
      <w:bookmarkEnd w:id="18"/>
    </w:p>
    <w:p w14:paraId="2657D3B5" w14:textId="77777777" w:rsidR="00C23DA3" w:rsidRPr="003F14B1" w:rsidRDefault="00C23DA3" w:rsidP="00A620CD">
      <w:pPr>
        <w:pStyle w:val="Heading4"/>
        <w:tabs>
          <w:tab w:val="left" w:pos="720"/>
        </w:tabs>
        <w:spacing w:line="480" w:lineRule="auto"/>
      </w:pPr>
      <w:bookmarkStart w:id="20" w:name="_Toc400377720"/>
      <w:bookmarkStart w:id="21" w:name="_Toc290021780"/>
      <w:bookmarkEnd w:id="19"/>
      <w:r w:rsidRPr="003F14B1">
        <w:t>Respondent Universe</w:t>
      </w:r>
      <w:bookmarkEnd w:id="20"/>
    </w:p>
    <w:p w14:paraId="12619C53" w14:textId="1883CCE7" w:rsidR="00C23DA3" w:rsidRDefault="000C0BC0" w:rsidP="00117BFC">
      <w:pPr>
        <w:pStyle w:val="L1-FlLSp12"/>
        <w:tabs>
          <w:tab w:val="left" w:pos="720"/>
        </w:tabs>
        <w:spacing w:line="480" w:lineRule="auto"/>
      </w:pPr>
      <w:r>
        <w:tab/>
      </w:r>
      <w:r w:rsidR="00117BFC">
        <w:t>This is a revision to an approved study</w:t>
      </w:r>
      <w:r w:rsidR="002F5399">
        <w:t>,</w:t>
      </w:r>
      <w:r w:rsidR="00117BFC">
        <w:t xml:space="preserve"> </w:t>
      </w:r>
      <w:r w:rsidR="002F5399">
        <w:t xml:space="preserve">The </w:t>
      </w:r>
      <w:r w:rsidR="002F5399" w:rsidRPr="00784FD8">
        <w:t>Special Supplemental Nutrition Program for Women, Infants and Children (WIC) Infant and Toddler Feeding</w:t>
      </w:r>
      <w:r w:rsidR="002F5399">
        <w:t xml:space="preserve"> Practices Study-2 (WIC ITFPS-2)</w:t>
      </w:r>
      <w:r w:rsidR="002F5399" w:rsidDel="002F5399">
        <w:t xml:space="preserve"> </w:t>
      </w:r>
      <w:r w:rsidR="002F5399">
        <w:t xml:space="preserve">(OMB No. </w:t>
      </w:r>
      <w:r w:rsidR="002F5399" w:rsidRPr="00A97138">
        <w:t>0584-0580</w:t>
      </w:r>
      <w:r w:rsidR="002F5399">
        <w:t>, expiration date: 07/31/2019)</w:t>
      </w:r>
      <w:r w:rsidR="00117BFC">
        <w:t xml:space="preserve">, extending the longitudinal study an additional year, until the children turn 6 years old. </w:t>
      </w:r>
      <w:r w:rsidR="00C23DA3">
        <w:t xml:space="preserve">The respondent universe for the Age </w:t>
      </w:r>
      <w:r w:rsidR="00BF22AB">
        <w:t>6</w:t>
      </w:r>
      <w:r w:rsidR="00C23DA3">
        <w:t xml:space="preserve"> Extension includes </w:t>
      </w:r>
      <w:r w:rsidR="002F5399">
        <w:t xml:space="preserve">children </w:t>
      </w:r>
      <w:r w:rsidR="00C23DA3">
        <w:t>enrolled in the base cohort</w:t>
      </w:r>
      <w:r w:rsidR="00117BFC">
        <w:t xml:space="preserve"> of WIC ITFPS-2. The study</w:t>
      </w:r>
      <w:r w:rsidR="00C23DA3">
        <w:t xml:space="preserve"> uses a longitudinal design</w:t>
      </w:r>
      <w:r w:rsidR="00117BFC">
        <w:t>,</w:t>
      </w:r>
      <w:r w:rsidR="00C23DA3">
        <w:t xml:space="preserve"> and the </w:t>
      </w:r>
      <w:r w:rsidR="007349C0">
        <w:t xml:space="preserve">revision </w:t>
      </w:r>
      <w:r w:rsidR="00C23DA3">
        <w:t xml:space="preserve">will continue to gather data from mothers/caregivers about their </w:t>
      </w:r>
      <w:r w:rsidR="00BF22AB">
        <w:t>72</w:t>
      </w:r>
      <w:r w:rsidR="001609F1">
        <w:t>-</w:t>
      </w:r>
      <w:r w:rsidR="00C23DA3">
        <w:t xml:space="preserve">month old children via a telephone </w:t>
      </w:r>
      <w:r w:rsidR="00C1539D">
        <w:t>interview</w:t>
      </w:r>
      <w:r w:rsidR="007349C0">
        <w:t xml:space="preserve"> (A</w:t>
      </w:r>
      <w:r w:rsidR="001D102C">
        <w:t>ppendi</w:t>
      </w:r>
      <w:r w:rsidR="005851D3">
        <w:t>x D</w:t>
      </w:r>
      <w:r w:rsidR="00EE2634">
        <w:t>1, D2</w:t>
      </w:r>
      <w:r w:rsidR="00D65596">
        <w:t>, D3</w:t>
      </w:r>
      <w:r w:rsidR="00382E6A">
        <w:t xml:space="preserve">) </w:t>
      </w:r>
      <w:r w:rsidR="00C23DA3">
        <w:t>and will collect height and weight data from direct measurements at WIC site office</w:t>
      </w:r>
      <w:r w:rsidR="00C2551E">
        <w:t>s</w:t>
      </w:r>
      <w:r w:rsidR="001D102C">
        <w:t xml:space="preserve"> </w:t>
      </w:r>
      <w:r w:rsidR="005851D3">
        <w:t xml:space="preserve">or from health care providers </w:t>
      </w:r>
      <w:r w:rsidR="001D102C">
        <w:t>(Appendi</w:t>
      </w:r>
      <w:r w:rsidR="005851D3">
        <w:t>x F</w:t>
      </w:r>
      <w:r w:rsidR="00EE2634">
        <w:t>1, F2</w:t>
      </w:r>
      <w:r w:rsidR="005851D3">
        <w:t>)</w:t>
      </w:r>
      <w:r w:rsidR="00C23DA3">
        <w:t>.</w:t>
      </w:r>
    </w:p>
    <w:p w14:paraId="3959A19B" w14:textId="77777777" w:rsidR="00B67D67" w:rsidRDefault="00B67D67" w:rsidP="00117BFC">
      <w:pPr>
        <w:pStyle w:val="L1-FlLSp12"/>
        <w:tabs>
          <w:tab w:val="left" w:pos="720"/>
        </w:tabs>
        <w:spacing w:line="480" w:lineRule="auto"/>
      </w:pPr>
    </w:p>
    <w:p w14:paraId="21C4368D" w14:textId="77777777" w:rsidR="00393981" w:rsidRDefault="00393981">
      <w:pPr>
        <w:spacing w:line="240" w:lineRule="auto"/>
        <w:rPr>
          <w:rFonts w:ascii="Franklin Gothic Medium" w:hAnsi="Franklin Gothic Medium"/>
          <w:sz w:val="22"/>
          <w:szCs w:val="22"/>
        </w:rPr>
      </w:pPr>
      <w:r>
        <w:rPr>
          <w:rFonts w:ascii="Franklin Gothic Medium" w:hAnsi="Franklin Gothic Medium"/>
          <w:b/>
          <w:sz w:val="22"/>
          <w:szCs w:val="22"/>
        </w:rPr>
        <w:br w:type="page"/>
      </w:r>
    </w:p>
    <w:p w14:paraId="2604A5F7" w14:textId="201AA4AF" w:rsidR="002F5399" w:rsidRPr="00393981" w:rsidRDefault="002F5399" w:rsidP="002F5399">
      <w:pPr>
        <w:pStyle w:val="MarkforTableHeading"/>
        <w:rPr>
          <w:rFonts w:ascii="Franklin Gothic Medium" w:hAnsi="Franklin Gothic Medium"/>
          <w:b w:val="0"/>
          <w:sz w:val="22"/>
          <w:szCs w:val="22"/>
        </w:rPr>
      </w:pPr>
      <w:r w:rsidRPr="00393981">
        <w:rPr>
          <w:rFonts w:ascii="Franklin Gothic Medium" w:hAnsi="Franklin Gothic Medium"/>
          <w:b w:val="0"/>
          <w:sz w:val="22"/>
          <w:szCs w:val="22"/>
        </w:rPr>
        <w:t xml:space="preserve">Table B1.1. Respondent Universe, Samples, Expected Response Rates </w:t>
      </w:r>
      <w:r w:rsidR="00B77DF0">
        <w:rPr>
          <w:rFonts w:ascii="Franklin Gothic Medium" w:hAnsi="Franklin Gothic Medium"/>
          <w:b w:val="0"/>
          <w:sz w:val="22"/>
          <w:szCs w:val="22"/>
        </w:rPr>
        <w:t>for Year 6</w:t>
      </w:r>
      <w:r w:rsidR="00DD6A86">
        <w:rPr>
          <w:rFonts w:ascii="Franklin Gothic Medium" w:hAnsi="Franklin Gothic Medium"/>
          <w:b w:val="0"/>
          <w:sz w:val="22"/>
          <w:szCs w:val="22"/>
        </w:rPr>
        <w:t>,</w:t>
      </w:r>
      <w:r w:rsidR="007D0F5B">
        <w:rPr>
          <w:rFonts w:ascii="Franklin Gothic Medium" w:hAnsi="Franklin Gothic Medium"/>
          <w:b w:val="0"/>
          <w:sz w:val="22"/>
          <w:szCs w:val="22"/>
        </w:rPr>
        <w:t xml:space="preserve"> and Response Rates for Most Recent Completed Activity</w:t>
      </w:r>
    </w:p>
    <w:tbl>
      <w:tblPr>
        <w:tblW w:w="5000" w:type="pct"/>
        <w:tblBorders>
          <w:top w:val="single" w:sz="12" w:space="0" w:color="auto"/>
          <w:bottom w:val="single" w:sz="4" w:space="0" w:color="auto"/>
        </w:tblBorders>
        <w:tblLook w:val="00A0" w:firstRow="1" w:lastRow="0" w:firstColumn="1" w:lastColumn="0" w:noHBand="0" w:noVBand="0"/>
      </w:tblPr>
      <w:tblGrid>
        <w:gridCol w:w="2580"/>
        <w:gridCol w:w="1103"/>
        <w:gridCol w:w="921"/>
        <w:gridCol w:w="1310"/>
        <w:gridCol w:w="1360"/>
        <w:gridCol w:w="2302"/>
      </w:tblGrid>
      <w:tr w:rsidR="000B6C81" w:rsidRPr="00393981" w14:paraId="0A4EB6DA" w14:textId="77777777" w:rsidTr="007D0F5B">
        <w:tc>
          <w:tcPr>
            <w:tcW w:w="1347" w:type="pct"/>
            <w:tcBorders>
              <w:top w:val="single" w:sz="4" w:space="0" w:color="auto"/>
              <w:left w:val="nil"/>
              <w:bottom w:val="single" w:sz="4" w:space="0" w:color="auto"/>
              <w:right w:val="nil"/>
            </w:tcBorders>
            <w:shd w:val="clear" w:color="auto" w:fill="AFBED7"/>
            <w:vAlign w:val="bottom"/>
          </w:tcPr>
          <w:p w14:paraId="1B5FC030" w14:textId="77777777" w:rsidR="002F5399" w:rsidRPr="00393981" w:rsidRDefault="002F5399" w:rsidP="00393981">
            <w:pPr>
              <w:pStyle w:val="NormalSS"/>
              <w:spacing w:after="0"/>
              <w:ind w:firstLine="0"/>
              <w:jc w:val="left"/>
              <w:rPr>
                <w:rFonts w:ascii="Franklin Gothic Medium" w:hAnsi="Franklin Gothic Medium"/>
                <w:b/>
                <w:sz w:val="20"/>
                <w:szCs w:val="20"/>
              </w:rPr>
            </w:pPr>
            <w:r w:rsidRPr="00393981">
              <w:rPr>
                <w:rFonts w:ascii="Franklin Gothic Medium" w:hAnsi="Franklin Gothic Medium"/>
                <w:b/>
                <w:sz w:val="20"/>
                <w:szCs w:val="20"/>
              </w:rPr>
              <w:t>Respondent</w:t>
            </w:r>
          </w:p>
        </w:tc>
        <w:tc>
          <w:tcPr>
            <w:tcW w:w="576" w:type="pct"/>
            <w:tcBorders>
              <w:top w:val="single" w:sz="4" w:space="0" w:color="auto"/>
              <w:left w:val="nil"/>
              <w:bottom w:val="single" w:sz="4" w:space="0" w:color="auto"/>
              <w:right w:val="nil"/>
            </w:tcBorders>
            <w:shd w:val="clear" w:color="auto" w:fill="AFBED7"/>
            <w:vAlign w:val="bottom"/>
          </w:tcPr>
          <w:p w14:paraId="435CA18B" w14:textId="184B71A6" w:rsidR="002F5399" w:rsidRPr="00393981" w:rsidRDefault="002F5399" w:rsidP="00393981">
            <w:pPr>
              <w:pStyle w:val="NormalSS"/>
              <w:spacing w:after="0"/>
              <w:ind w:firstLine="6"/>
              <w:jc w:val="center"/>
              <w:rPr>
                <w:rFonts w:ascii="Franklin Gothic Medium" w:hAnsi="Franklin Gothic Medium"/>
                <w:b/>
                <w:sz w:val="20"/>
                <w:szCs w:val="20"/>
              </w:rPr>
            </w:pPr>
            <w:r w:rsidRPr="00393981">
              <w:rPr>
                <w:rFonts w:ascii="Franklin Gothic Medium" w:hAnsi="Franklin Gothic Medium"/>
                <w:b/>
                <w:sz w:val="20"/>
                <w:szCs w:val="20"/>
              </w:rPr>
              <w:t>Universe</w:t>
            </w:r>
          </w:p>
        </w:tc>
        <w:tc>
          <w:tcPr>
            <w:tcW w:w="481" w:type="pct"/>
            <w:tcBorders>
              <w:top w:val="single" w:sz="4" w:space="0" w:color="auto"/>
              <w:left w:val="nil"/>
              <w:bottom w:val="single" w:sz="4" w:space="0" w:color="auto"/>
              <w:right w:val="nil"/>
            </w:tcBorders>
            <w:shd w:val="clear" w:color="auto" w:fill="AFBED7"/>
            <w:vAlign w:val="bottom"/>
          </w:tcPr>
          <w:p w14:paraId="53AE1C80" w14:textId="77777777" w:rsidR="002F5399" w:rsidRPr="00393981" w:rsidRDefault="002F5399" w:rsidP="00393981">
            <w:pPr>
              <w:pStyle w:val="NormalSS"/>
              <w:spacing w:after="0"/>
              <w:ind w:firstLine="0"/>
              <w:jc w:val="center"/>
              <w:rPr>
                <w:rFonts w:ascii="Franklin Gothic Medium" w:hAnsi="Franklin Gothic Medium"/>
                <w:b/>
                <w:sz w:val="20"/>
                <w:szCs w:val="20"/>
              </w:rPr>
            </w:pPr>
            <w:r w:rsidRPr="00393981">
              <w:rPr>
                <w:rFonts w:ascii="Franklin Gothic Medium" w:hAnsi="Franklin Gothic Medium"/>
                <w:b/>
                <w:sz w:val="20"/>
                <w:szCs w:val="20"/>
              </w:rPr>
              <w:t>Initial Sample</w:t>
            </w:r>
          </w:p>
        </w:tc>
        <w:tc>
          <w:tcPr>
            <w:tcW w:w="684" w:type="pct"/>
            <w:tcBorders>
              <w:top w:val="single" w:sz="4" w:space="0" w:color="auto"/>
              <w:left w:val="nil"/>
              <w:bottom w:val="single" w:sz="4" w:space="0" w:color="auto"/>
              <w:right w:val="nil"/>
            </w:tcBorders>
            <w:shd w:val="clear" w:color="auto" w:fill="AFBED7"/>
            <w:vAlign w:val="bottom"/>
          </w:tcPr>
          <w:p w14:paraId="59882D85" w14:textId="6DAB8F40" w:rsidR="002F5399" w:rsidRPr="00393981" w:rsidRDefault="002F5399" w:rsidP="00393981">
            <w:pPr>
              <w:pStyle w:val="NormalSS"/>
              <w:spacing w:after="0"/>
              <w:ind w:firstLine="0"/>
              <w:jc w:val="center"/>
              <w:rPr>
                <w:rFonts w:ascii="Franklin Gothic Medium" w:hAnsi="Franklin Gothic Medium"/>
                <w:b/>
                <w:sz w:val="20"/>
                <w:szCs w:val="20"/>
              </w:rPr>
            </w:pPr>
            <w:r w:rsidRPr="00393981">
              <w:rPr>
                <w:rFonts w:ascii="Franklin Gothic Medium" w:hAnsi="Franklin Gothic Medium"/>
                <w:b/>
                <w:sz w:val="20"/>
                <w:szCs w:val="20"/>
              </w:rPr>
              <w:t>Expected Response Rate</w:t>
            </w:r>
            <w:r w:rsidR="007D0F5B">
              <w:rPr>
                <w:rFonts w:ascii="Franklin Gothic Medium" w:hAnsi="Franklin Gothic Medium"/>
                <w:b/>
                <w:sz w:val="20"/>
                <w:szCs w:val="20"/>
              </w:rPr>
              <w:t xml:space="preserve"> Year 6</w:t>
            </w:r>
          </w:p>
        </w:tc>
        <w:tc>
          <w:tcPr>
            <w:tcW w:w="710" w:type="pct"/>
            <w:tcBorders>
              <w:top w:val="single" w:sz="4" w:space="0" w:color="auto"/>
              <w:left w:val="nil"/>
              <w:bottom w:val="single" w:sz="4" w:space="0" w:color="auto"/>
              <w:right w:val="nil"/>
            </w:tcBorders>
            <w:shd w:val="clear" w:color="auto" w:fill="AFBED7"/>
            <w:vAlign w:val="bottom"/>
          </w:tcPr>
          <w:p w14:paraId="58472B0B" w14:textId="1A4C4742" w:rsidR="002F5399" w:rsidRPr="00393981" w:rsidRDefault="002F5399" w:rsidP="00393981">
            <w:pPr>
              <w:pStyle w:val="NormalSS"/>
              <w:spacing w:after="0"/>
              <w:ind w:firstLine="0"/>
              <w:jc w:val="center"/>
              <w:rPr>
                <w:rFonts w:ascii="Franklin Gothic Medium" w:hAnsi="Franklin Gothic Medium"/>
                <w:b/>
                <w:i/>
                <w:sz w:val="20"/>
                <w:szCs w:val="20"/>
              </w:rPr>
            </w:pPr>
            <w:r w:rsidRPr="00393981">
              <w:rPr>
                <w:rFonts w:ascii="Franklin Gothic Medium" w:hAnsi="Franklin Gothic Medium"/>
                <w:b/>
                <w:sz w:val="20"/>
                <w:szCs w:val="20"/>
              </w:rPr>
              <w:t>Target completed cases</w:t>
            </w:r>
            <w:r w:rsidR="007D0F5B">
              <w:rPr>
                <w:rFonts w:ascii="Franklin Gothic Medium" w:hAnsi="Franklin Gothic Medium"/>
                <w:b/>
                <w:sz w:val="20"/>
                <w:szCs w:val="20"/>
              </w:rPr>
              <w:t xml:space="preserve"> Year 6</w:t>
            </w:r>
          </w:p>
        </w:tc>
        <w:tc>
          <w:tcPr>
            <w:tcW w:w="1202" w:type="pct"/>
            <w:tcBorders>
              <w:top w:val="single" w:sz="4" w:space="0" w:color="auto"/>
              <w:left w:val="nil"/>
              <w:bottom w:val="single" w:sz="4" w:space="0" w:color="auto"/>
              <w:right w:val="nil"/>
            </w:tcBorders>
            <w:shd w:val="clear" w:color="auto" w:fill="AFBED7"/>
            <w:vAlign w:val="bottom"/>
          </w:tcPr>
          <w:p w14:paraId="3D4B3C22" w14:textId="6064903E" w:rsidR="002F5399" w:rsidRPr="00393981" w:rsidRDefault="002F5399" w:rsidP="00393981">
            <w:pPr>
              <w:pStyle w:val="NormalSS"/>
              <w:spacing w:after="0"/>
              <w:ind w:firstLine="0"/>
              <w:jc w:val="center"/>
              <w:rPr>
                <w:rFonts w:ascii="Franklin Gothic Medium" w:hAnsi="Franklin Gothic Medium"/>
                <w:b/>
                <w:sz w:val="20"/>
                <w:szCs w:val="20"/>
              </w:rPr>
            </w:pPr>
            <w:r w:rsidRPr="00393981">
              <w:rPr>
                <w:rFonts w:ascii="Franklin Gothic Medium" w:hAnsi="Franklin Gothic Medium"/>
                <w:b/>
                <w:sz w:val="20"/>
                <w:szCs w:val="20"/>
              </w:rPr>
              <w:t>Response Rates</w:t>
            </w:r>
            <w:r w:rsidR="00F76303" w:rsidRPr="00393981">
              <w:rPr>
                <w:rFonts w:ascii="Franklin Gothic Medium" w:hAnsi="Franklin Gothic Medium"/>
                <w:b/>
                <w:sz w:val="20"/>
                <w:szCs w:val="20"/>
              </w:rPr>
              <w:t xml:space="preserve"> for Most Recent Completed </w:t>
            </w:r>
            <w:r w:rsidR="001608EA" w:rsidRPr="00393981">
              <w:rPr>
                <w:rFonts w:ascii="Franklin Gothic Medium" w:hAnsi="Franklin Gothic Medium"/>
                <w:b/>
                <w:sz w:val="20"/>
                <w:szCs w:val="20"/>
              </w:rPr>
              <w:t>Activity</w:t>
            </w:r>
          </w:p>
        </w:tc>
      </w:tr>
      <w:tr w:rsidR="002F5399" w:rsidRPr="00393981" w14:paraId="3496B3F6" w14:textId="77777777" w:rsidTr="007D0F5B">
        <w:trPr>
          <w:trHeight w:val="230"/>
        </w:trPr>
        <w:tc>
          <w:tcPr>
            <w:tcW w:w="1347" w:type="pct"/>
            <w:tcBorders>
              <w:top w:val="single" w:sz="4" w:space="0" w:color="auto"/>
              <w:bottom w:val="single" w:sz="8" w:space="0" w:color="auto"/>
            </w:tcBorders>
            <w:shd w:val="clear" w:color="auto" w:fill="auto"/>
            <w:vAlign w:val="center"/>
          </w:tcPr>
          <w:p w14:paraId="08C97C26" w14:textId="64103F8E" w:rsidR="002F5399" w:rsidRPr="00393981" w:rsidRDefault="002F5399" w:rsidP="00393981">
            <w:pPr>
              <w:pStyle w:val="NormalSS"/>
              <w:tabs>
                <w:tab w:val="clear" w:pos="432"/>
                <w:tab w:val="left" w:pos="0"/>
              </w:tabs>
              <w:spacing w:after="0"/>
              <w:ind w:firstLine="0"/>
              <w:jc w:val="left"/>
              <w:rPr>
                <w:rFonts w:ascii="Franklin Gothic Medium" w:hAnsi="Franklin Gothic Medium"/>
                <w:b/>
                <w:sz w:val="20"/>
                <w:szCs w:val="20"/>
              </w:rPr>
            </w:pPr>
            <w:r w:rsidRPr="00393981">
              <w:rPr>
                <w:rFonts w:ascii="Franklin Gothic Medium" w:hAnsi="Franklin Gothic Medium"/>
                <w:b/>
                <w:sz w:val="20"/>
                <w:szCs w:val="20"/>
              </w:rPr>
              <w:t>Individuals/Households</w:t>
            </w:r>
          </w:p>
        </w:tc>
        <w:tc>
          <w:tcPr>
            <w:tcW w:w="576" w:type="pct"/>
            <w:tcBorders>
              <w:top w:val="single" w:sz="4" w:space="0" w:color="auto"/>
              <w:bottom w:val="single" w:sz="8" w:space="0" w:color="auto"/>
            </w:tcBorders>
            <w:shd w:val="clear" w:color="auto" w:fill="auto"/>
            <w:vAlign w:val="center"/>
          </w:tcPr>
          <w:p w14:paraId="34AC8510" w14:textId="6C2AFFD9" w:rsidR="002F5399" w:rsidRPr="00393981" w:rsidRDefault="002F5399" w:rsidP="00393981">
            <w:pPr>
              <w:pStyle w:val="NormalSS"/>
              <w:spacing w:after="0"/>
              <w:jc w:val="left"/>
              <w:rPr>
                <w:rFonts w:ascii="Franklin Gothic Medium" w:hAnsi="Franklin Gothic Medium"/>
                <w:b/>
                <w:sz w:val="20"/>
                <w:szCs w:val="20"/>
              </w:rPr>
            </w:pPr>
          </w:p>
        </w:tc>
        <w:tc>
          <w:tcPr>
            <w:tcW w:w="481" w:type="pct"/>
            <w:tcBorders>
              <w:top w:val="single" w:sz="4" w:space="0" w:color="auto"/>
              <w:bottom w:val="single" w:sz="8" w:space="0" w:color="auto"/>
            </w:tcBorders>
            <w:shd w:val="clear" w:color="auto" w:fill="auto"/>
            <w:vAlign w:val="center"/>
          </w:tcPr>
          <w:p w14:paraId="597986AF" w14:textId="48A6106F" w:rsidR="002F5399" w:rsidRPr="00393981" w:rsidRDefault="002F5399" w:rsidP="00393981">
            <w:pPr>
              <w:pStyle w:val="NormalSS"/>
              <w:spacing w:after="0"/>
              <w:ind w:firstLine="0"/>
              <w:jc w:val="left"/>
              <w:rPr>
                <w:rFonts w:ascii="Franklin Gothic Medium" w:hAnsi="Franklin Gothic Medium"/>
                <w:b/>
                <w:sz w:val="20"/>
                <w:szCs w:val="20"/>
              </w:rPr>
            </w:pPr>
          </w:p>
        </w:tc>
        <w:tc>
          <w:tcPr>
            <w:tcW w:w="684" w:type="pct"/>
            <w:tcBorders>
              <w:top w:val="single" w:sz="4" w:space="0" w:color="auto"/>
              <w:bottom w:val="single" w:sz="8" w:space="0" w:color="auto"/>
            </w:tcBorders>
            <w:shd w:val="clear" w:color="auto" w:fill="auto"/>
            <w:vAlign w:val="center"/>
          </w:tcPr>
          <w:p w14:paraId="2630D98B" w14:textId="25D13BAE" w:rsidR="002F5399" w:rsidRPr="00393981" w:rsidRDefault="002F5399" w:rsidP="00393981">
            <w:pPr>
              <w:pStyle w:val="NormalSS"/>
              <w:spacing w:after="0"/>
              <w:ind w:firstLine="0"/>
              <w:jc w:val="left"/>
              <w:rPr>
                <w:rFonts w:ascii="Franklin Gothic Medium" w:hAnsi="Franklin Gothic Medium"/>
                <w:b/>
                <w:sz w:val="20"/>
                <w:szCs w:val="20"/>
              </w:rPr>
            </w:pPr>
          </w:p>
        </w:tc>
        <w:tc>
          <w:tcPr>
            <w:tcW w:w="710" w:type="pct"/>
            <w:tcBorders>
              <w:top w:val="single" w:sz="4" w:space="0" w:color="auto"/>
              <w:bottom w:val="single" w:sz="8" w:space="0" w:color="auto"/>
            </w:tcBorders>
            <w:shd w:val="clear" w:color="auto" w:fill="auto"/>
            <w:vAlign w:val="center"/>
          </w:tcPr>
          <w:p w14:paraId="3B16678A" w14:textId="66EB5561" w:rsidR="002F5399" w:rsidRPr="00393981" w:rsidRDefault="002F5399" w:rsidP="00393981">
            <w:pPr>
              <w:pStyle w:val="NormalSS"/>
              <w:spacing w:after="0"/>
              <w:ind w:firstLine="0"/>
              <w:jc w:val="left"/>
              <w:rPr>
                <w:rFonts w:ascii="Franklin Gothic Medium" w:hAnsi="Franklin Gothic Medium"/>
                <w:b/>
                <w:sz w:val="20"/>
                <w:szCs w:val="20"/>
              </w:rPr>
            </w:pPr>
          </w:p>
        </w:tc>
        <w:tc>
          <w:tcPr>
            <w:tcW w:w="1202" w:type="pct"/>
            <w:tcBorders>
              <w:top w:val="single" w:sz="4" w:space="0" w:color="auto"/>
              <w:bottom w:val="single" w:sz="8" w:space="0" w:color="auto"/>
            </w:tcBorders>
            <w:shd w:val="clear" w:color="auto" w:fill="auto"/>
            <w:vAlign w:val="center"/>
          </w:tcPr>
          <w:p w14:paraId="658EDBE4" w14:textId="6D375BE7" w:rsidR="002F5399" w:rsidRPr="00393981" w:rsidRDefault="002F5399" w:rsidP="00393981">
            <w:pPr>
              <w:pStyle w:val="NormalSS"/>
              <w:spacing w:after="0"/>
              <w:ind w:firstLine="0"/>
              <w:jc w:val="left"/>
              <w:rPr>
                <w:rFonts w:ascii="Franklin Gothic Medium" w:hAnsi="Franklin Gothic Medium"/>
                <w:b/>
                <w:sz w:val="20"/>
                <w:szCs w:val="20"/>
              </w:rPr>
            </w:pPr>
          </w:p>
        </w:tc>
      </w:tr>
      <w:tr w:rsidR="000B6C81" w:rsidRPr="00393981" w14:paraId="3D0C817E" w14:textId="77777777" w:rsidTr="007D0F5B">
        <w:tc>
          <w:tcPr>
            <w:tcW w:w="1347" w:type="pct"/>
            <w:tcBorders>
              <w:top w:val="single" w:sz="8" w:space="0" w:color="auto"/>
              <w:bottom w:val="nil"/>
            </w:tcBorders>
            <w:shd w:val="clear" w:color="auto" w:fill="auto"/>
          </w:tcPr>
          <w:p w14:paraId="1482C10E" w14:textId="4B383B0F" w:rsidR="002F5399" w:rsidRPr="00393981" w:rsidRDefault="000B6C81" w:rsidP="00393981">
            <w:pPr>
              <w:pStyle w:val="NormalSS"/>
              <w:spacing w:after="0"/>
              <w:ind w:left="435" w:hanging="270"/>
              <w:rPr>
                <w:rFonts w:ascii="Franklin Gothic Medium" w:hAnsi="Franklin Gothic Medium"/>
                <w:sz w:val="20"/>
                <w:szCs w:val="20"/>
              </w:rPr>
            </w:pPr>
            <w:r w:rsidRPr="00393981">
              <w:rPr>
                <w:rFonts w:ascii="Franklin Gothic Medium" w:hAnsi="Franklin Gothic Medium"/>
                <w:sz w:val="20"/>
                <w:szCs w:val="20"/>
              </w:rPr>
              <w:t xml:space="preserve">Telephone </w:t>
            </w:r>
            <w:r w:rsidR="00393981">
              <w:rPr>
                <w:rFonts w:ascii="Franklin Gothic Medium" w:hAnsi="Franklin Gothic Medium"/>
                <w:sz w:val="20"/>
                <w:szCs w:val="20"/>
              </w:rPr>
              <w:t>I</w:t>
            </w:r>
            <w:r w:rsidR="001B3051" w:rsidRPr="00393981">
              <w:rPr>
                <w:rFonts w:ascii="Franklin Gothic Medium" w:hAnsi="Franklin Gothic Medium"/>
                <w:sz w:val="20"/>
                <w:szCs w:val="20"/>
              </w:rPr>
              <w:t>nterview</w:t>
            </w:r>
          </w:p>
        </w:tc>
        <w:tc>
          <w:tcPr>
            <w:tcW w:w="576" w:type="pct"/>
            <w:tcBorders>
              <w:top w:val="single" w:sz="8" w:space="0" w:color="auto"/>
              <w:bottom w:val="nil"/>
            </w:tcBorders>
            <w:shd w:val="clear" w:color="auto" w:fill="auto"/>
            <w:vAlign w:val="center"/>
          </w:tcPr>
          <w:p w14:paraId="77350402" w14:textId="0DDF4DD0" w:rsidR="002F5399" w:rsidRPr="00393981" w:rsidRDefault="00E622D3" w:rsidP="00393981">
            <w:pPr>
              <w:pStyle w:val="NormalSS"/>
              <w:spacing w:after="0"/>
              <w:ind w:firstLine="0"/>
              <w:jc w:val="center"/>
              <w:rPr>
                <w:rFonts w:ascii="Franklin Gothic Medium" w:hAnsi="Franklin Gothic Medium"/>
                <w:sz w:val="20"/>
                <w:szCs w:val="20"/>
              </w:rPr>
            </w:pPr>
            <w:r w:rsidRPr="00393981">
              <w:rPr>
                <w:rFonts w:ascii="Franklin Gothic Medium" w:hAnsi="Franklin Gothic Medium"/>
                <w:sz w:val="20"/>
                <w:szCs w:val="20"/>
              </w:rPr>
              <w:t>442,905</w:t>
            </w:r>
          </w:p>
        </w:tc>
        <w:tc>
          <w:tcPr>
            <w:tcW w:w="481" w:type="pct"/>
            <w:tcBorders>
              <w:top w:val="single" w:sz="8" w:space="0" w:color="auto"/>
              <w:bottom w:val="nil"/>
            </w:tcBorders>
            <w:shd w:val="clear" w:color="auto" w:fill="auto"/>
            <w:vAlign w:val="center"/>
          </w:tcPr>
          <w:p w14:paraId="47E7BD55" w14:textId="4AB8D08C" w:rsidR="002F5399" w:rsidRPr="00393981" w:rsidRDefault="000E2D79"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4,046</w:t>
            </w:r>
          </w:p>
        </w:tc>
        <w:tc>
          <w:tcPr>
            <w:tcW w:w="684" w:type="pct"/>
            <w:tcBorders>
              <w:top w:val="single" w:sz="8" w:space="0" w:color="auto"/>
              <w:bottom w:val="nil"/>
            </w:tcBorders>
            <w:shd w:val="clear" w:color="auto" w:fill="auto"/>
            <w:vAlign w:val="center"/>
          </w:tcPr>
          <w:p w14:paraId="2057426B" w14:textId="2F25563D" w:rsidR="002F5399" w:rsidRPr="00393981" w:rsidRDefault="000E2D79"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47%</w:t>
            </w:r>
          </w:p>
        </w:tc>
        <w:tc>
          <w:tcPr>
            <w:tcW w:w="710" w:type="pct"/>
            <w:tcBorders>
              <w:top w:val="single" w:sz="8" w:space="0" w:color="auto"/>
              <w:bottom w:val="nil"/>
            </w:tcBorders>
            <w:vAlign w:val="center"/>
          </w:tcPr>
          <w:p w14:paraId="4E9BC2DC" w14:textId="3D335B96" w:rsidR="002F5399" w:rsidRPr="00393981" w:rsidRDefault="000B6C81"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1</w:t>
            </w:r>
            <w:r w:rsidR="001B3051" w:rsidRPr="00393981">
              <w:rPr>
                <w:rFonts w:ascii="Franklin Gothic Medium" w:hAnsi="Franklin Gothic Medium"/>
                <w:sz w:val="20"/>
                <w:szCs w:val="20"/>
              </w:rPr>
              <w:t>,</w:t>
            </w:r>
            <w:r w:rsidRPr="00393981">
              <w:rPr>
                <w:rFonts w:ascii="Franklin Gothic Medium" w:hAnsi="Franklin Gothic Medium"/>
                <w:sz w:val="20"/>
                <w:szCs w:val="20"/>
              </w:rPr>
              <w:t>901</w:t>
            </w:r>
          </w:p>
        </w:tc>
        <w:tc>
          <w:tcPr>
            <w:tcW w:w="1202" w:type="pct"/>
            <w:tcBorders>
              <w:top w:val="single" w:sz="8" w:space="0" w:color="auto"/>
              <w:bottom w:val="nil"/>
            </w:tcBorders>
            <w:shd w:val="clear" w:color="auto" w:fill="auto"/>
            <w:vAlign w:val="center"/>
          </w:tcPr>
          <w:p w14:paraId="488F5068" w14:textId="1C351B2D" w:rsidR="002F5399" w:rsidRPr="00393981" w:rsidRDefault="00F76303"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65%</w:t>
            </w:r>
            <w:r w:rsidRPr="00393981">
              <w:rPr>
                <w:rFonts w:ascii="Franklin Gothic Medium" w:hAnsi="Franklin Gothic Medium"/>
                <w:sz w:val="20"/>
                <w:szCs w:val="20"/>
                <w:vertAlign w:val="superscript"/>
              </w:rPr>
              <w:t xml:space="preserve"> a</w:t>
            </w:r>
          </w:p>
        </w:tc>
      </w:tr>
      <w:tr w:rsidR="000B6C81" w:rsidRPr="00393981" w14:paraId="52609987" w14:textId="77777777" w:rsidTr="007D0F5B">
        <w:tc>
          <w:tcPr>
            <w:tcW w:w="1347" w:type="pct"/>
            <w:tcBorders>
              <w:top w:val="nil"/>
              <w:bottom w:val="nil"/>
            </w:tcBorders>
            <w:shd w:val="clear" w:color="auto" w:fill="auto"/>
          </w:tcPr>
          <w:p w14:paraId="23D0A534" w14:textId="3CADF28C" w:rsidR="002F5399" w:rsidRPr="00393981" w:rsidRDefault="000B6C81" w:rsidP="00393981">
            <w:pPr>
              <w:pStyle w:val="NormalSS"/>
              <w:spacing w:after="0"/>
              <w:ind w:left="435" w:hanging="270"/>
              <w:jc w:val="left"/>
              <w:rPr>
                <w:rFonts w:ascii="Franklin Gothic Medium" w:hAnsi="Franklin Gothic Medium"/>
                <w:sz w:val="20"/>
                <w:szCs w:val="20"/>
              </w:rPr>
            </w:pPr>
            <w:r w:rsidRPr="00393981">
              <w:rPr>
                <w:rFonts w:ascii="Franklin Gothic Medium" w:hAnsi="Franklin Gothic Medium"/>
                <w:sz w:val="20"/>
                <w:szCs w:val="20"/>
              </w:rPr>
              <w:t>Replicate Dietary Intake Interview</w:t>
            </w:r>
          </w:p>
        </w:tc>
        <w:tc>
          <w:tcPr>
            <w:tcW w:w="576" w:type="pct"/>
            <w:tcBorders>
              <w:top w:val="nil"/>
              <w:bottom w:val="nil"/>
            </w:tcBorders>
            <w:shd w:val="clear" w:color="auto" w:fill="auto"/>
            <w:vAlign w:val="center"/>
          </w:tcPr>
          <w:p w14:paraId="165E7AFC" w14:textId="5F9493F6" w:rsidR="002F5399" w:rsidRPr="00393981" w:rsidRDefault="00E622D3" w:rsidP="00393981">
            <w:pPr>
              <w:pStyle w:val="NormalSS"/>
              <w:spacing w:after="0"/>
              <w:ind w:firstLine="0"/>
              <w:jc w:val="center"/>
              <w:rPr>
                <w:rFonts w:ascii="Franklin Gothic Medium" w:hAnsi="Franklin Gothic Medium"/>
                <w:sz w:val="20"/>
                <w:szCs w:val="20"/>
              </w:rPr>
            </w:pPr>
            <w:r w:rsidRPr="00393981">
              <w:rPr>
                <w:rFonts w:ascii="Franklin Gothic Medium" w:hAnsi="Franklin Gothic Medium"/>
                <w:sz w:val="20"/>
                <w:szCs w:val="20"/>
              </w:rPr>
              <w:t>442,905</w:t>
            </w:r>
          </w:p>
        </w:tc>
        <w:tc>
          <w:tcPr>
            <w:tcW w:w="481" w:type="pct"/>
            <w:tcBorders>
              <w:top w:val="nil"/>
              <w:bottom w:val="nil"/>
            </w:tcBorders>
            <w:shd w:val="clear" w:color="auto" w:fill="auto"/>
            <w:vAlign w:val="center"/>
          </w:tcPr>
          <w:p w14:paraId="41A0C6C6" w14:textId="61FD2BB1" w:rsidR="002F5399" w:rsidRPr="00393981" w:rsidRDefault="00FF3802"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285</w:t>
            </w:r>
          </w:p>
        </w:tc>
        <w:tc>
          <w:tcPr>
            <w:tcW w:w="684" w:type="pct"/>
            <w:tcBorders>
              <w:top w:val="nil"/>
              <w:bottom w:val="nil"/>
            </w:tcBorders>
            <w:shd w:val="clear" w:color="auto" w:fill="auto"/>
            <w:vAlign w:val="center"/>
          </w:tcPr>
          <w:p w14:paraId="4FF680BB" w14:textId="488211A6" w:rsidR="002F5399" w:rsidRPr="00393981" w:rsidRDefault="00FF3802"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67%</w:t>
            </w:r>
          </w:p>
        </w:tc>
        <w:tc>
          <w:tcPr>
            <w:tcW w:w="710" w:type="pct"/>
            <w:tcBorders>
              <w:top w:val="nil"/>
              <w:bottom w:val="nil"/>
            </w:tcBorders>
            <w:vAlign w:val="center"/>
          </w:tcPr>
          <w:p w14:paraId="3EB567DE" w14:textId="40EBD9CF" w:rsidR="002F5399" w:rsidRPr="00393981" w:rsidRDefault="00FF3802"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190</w:t>
            </w:r>
          </w:p>
        </w:tc>
        <w:tc>
          <w:tcPr>
            <w:tcW w:w="1202" w:type="pct"/>
            <w:tcBorders>
              <w:top w:val="nil"/>
              <w:bottom w:val="nil"/>
            </w:tcBorders>
            <w:shd w:val="clear" w:color="auto" w:fill="auto"/>
            <w:vAlign w:val="center"/>
          </w:tcPr>
          <w:p w14:paraId="505E72A2" w14:textId="0DDBC35D" w:rsidR="002F5399" w:rsidRPr="00393981" w:rsidRDefault="00961755"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67</w:t>
            </w:r>
            <w:r w:rsidR="003B2372">
              <w:rPr>
                <w:rFonts w:ascii="Franklin Gothic Medium" w:hAnsi="Franklin Gothic Medium"/>
                <w:sz w:val="20"/>
                <w:szCs w:val="20"/>
              </w:rPr>
              <w:t>%</w:t>
            </w:r>
            <w:r w:rsidR="00F76303" w:rsidRPr="00393981">
              <w:rPr>
                <w:rFonts w:ascii="Franklin Gothic Medium" w:hAnsi="Franklin Gothic Medium"/>
                <w:sz w:val="20"/>
                <w:szCs w:val="20"/>
                <w:vertAlign w:val="superscript"/>
              </w:rPr>
              <w:t xml:space="preserve"> </w:t>
            </w:r>
            <w:r w:rsidR="000B624A" w:rsidRPr="00393981">
              <w:rPr>
                <w:rFonts w:ascii="Franklin Gothic Medium" w:hAnsi="Franklin Gothic Medium"/>
                <w:sz w:val="20"/>
                <w:szCs w:val="20"/>
                <w:vertAlign w:val="superscript"/>
              </w:rPr>
              <w:t>b</w:t>
            </w:r>
          </w:p>
        </w:tc>
      </w:tr>
      <w:tr w:rsidR="000B6C81" w:rsidRPr="00393981" w14:paraId="2647EBB4" w14:textId="77777777" w:rsidTr="007D0F5B">
        <w:tc>
          <w:tcPr>
            <w:tcW w:w="1347" w:type="pct"/>
            <w:tcBorders>
              <w:top w:val="nil"/>
              <w:bottom w:val="single" w:sz="8" w:space="0" w:color="auto"/>
            </w:tcBorders>
            <w:shd w:val="clear" w:color="auto" w:fill="auto"/>
          </w:tcPr>
          <w:p w14:paraId="5EEEA05D" w14:textId="5E1F8C23" w:rsidR="002F5399" w:rsidRPr="00393981" w:rsidRDefault="000B6C81" w:rsidP="00393981">
            <w:pPr>
              <w:pStyle w:val="NormalSS"/>
              <w:spacing w:after="0"/>
              <w:ind w:left="435" w:hanging="270"/>
              <w:rPr>
                <w:rFonts w:ascii="Franklin Gothic Medium" w:hAnsi="Franklin Gothic Medium"/>
                <w:sz w:val="20"/>
                <w:szCs w:val="20"/>
              </w:rPr>
            </w:pPr>
            <w:r w:rsidRPr="00393981">
              <w:rPr>
                <w:rFonts w:ascii="Franklin Gothic Medium" w:hAnsi="Franklin Gothic Medium"/>
                <w:sz w:val="20"/>
                <w:szCs w:val="20"/>
              </w:rPr>
              <w:t>Height/Weight Measurement</w:t>
            </w:r>
          </w:p>
        </w:tc>
        <w:tc>
          <w:tcPr>
            <w:tcW w:w="576" w:type="pct"/>
            <w:tcBorders>
              <w:top w:val="nil"/>
              <w:bottom w:val="single" w:sz="8" w:space="0" w:color="auto"/>
            </w:tcBorders>
            <w:shd w:val="clear" w:color="auto" w:fill="auto"/>
            <w:vAlign w:val="center"/>
          </w:tcPr>
          <w:p w14:paraId="038B0534" w14:textId="5BCCE33B" w:rsidR="002F5399" w:rsidRPr="00393981" w:rsidRDefault="00E622D3" w:rsidP="00393981">
            <w:pPr>
              <w:pStyle w:val="NormalSS"/>
              <w:spacing w:after="0"/>
              <w:ind w:firstLine="0"/>
              <w:jc w:val="center"/>
              <w:rPr>
                <w:rFonts w:ascii="Franklin Gothic Medium" w:hAnsi="Franklin Gothic Medium"/>
                <w:sz w:val="20"/>
                <w:szCs w:val="20"/>
              </w:rPr>
            </w:pPr>
            <w:r w:rsidRPr="00393981">
              <w:rPr>
                <w:rFonts w:ascii="Franklin Gothic Medium" w:hAnsi="Franklin Gothic Medium"/>
                <w:sz w:val="20"/>
                <w:szCs w:val="20"/>
              </w:rPr>
              <w:t>442,905</w:t>
            </w:r>
          </w:p>
        </w:tc>
        <w:tc>
          <w:tcPr>
            <w:tcW w:w="481" w:type="pct"/>
            <w:tcBorders>
              <w:top w:val="nil"/>
              <w:bottom w:val="single" w:sz="8" w:space="0" w:color="auto"/>
            </w:tcBorders>
            <w:shd w:val="clear" w:color="auto" w:fill="auto"/>
            <w:vAlign w:val="center"/>
          </w:tcPr>
          <w:p w14:paraId="07534135" w14:textId="5E36275F" w:rsidR="002F5399" w:rsidRPr="00393981" w:rsidRDefault="00FF3802"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1,901</w:t>
            </w:r>
          </w:p>
        </w:tc>
        <w:tc>
          <w:tcPr>
            <w:tcW w:w="684" w:type="pct"/>
            <w:tcBorders>
              <w:top w:val="nil"/>
              <w:bottom w:val="single" w:sz="8" w:space="0" w:color="auto"/>
            </w:tcBorders>
            <w:shd w:val="clear" w:color="auto" w:fill="auto"/>
            <w:vAlign w:val="center"/>
          </w:tcPr>
          <w:p w14:paraId="1FF95344" w14:textId="5E9158A7" w:rsidR="002F5399" w:rsidRPr="00393981" w:rsidRDefault="00FF3802"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80%</w:t>
            </w:r>
          </w:p>
        </w:tc>
        <w:tc>
          <w:tcPr>
            <w:tcW w:w="710" w:type="pct"/>
            <w:tcBorders>
              <w:top w:val="nil"/>
              <w:bottom w:val="single" w:sz="8" w:space="0" w:color="auto"/>
            </w:tcBorders>
            <w:vAlign w:val="center"/>
          </w:tcPr>
          <w:p w14:paraId="3AFC1658" w14:textId="0902E327" w:rsidR="002F5399" w:rsidRPr="00393981" w:rsidRDefault="00FF3802"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1,521</w:t>
            </w:r>
          </w:p>
        </w:tc>
        <w:tc>
          <w:tcPr>
            <w:tcW w:w="1202" w:type="pct"/>
            <w:tcBorders>
              <w:top w:val="nil"/>
              <w:bottom w:val="single" w:sz="8" w:space="0" w:color="auto"/>
            </w:tcBorders>
            <w:shd w:val="clear" w:color="auto" w:fill="auto"/>
            <w:vAlign w:val="center"/>
          </w:tcPr>
          <w:p w14:paraId="73F2021C" w14:textId="4ED0F289" w:rsidR="002F5399" w:rsidRPr="00393981" w:rsidRDefault="001B3051"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72%</w:t>
            </w:r>
            <w:r w:rsidR="00961755" w:rsidRPr="00393981">
              <w:rPr>
                <w:rFonts w:ascii="Franklin Gothic Medium" w:hAnsi="Franklin Gothic Medium"/>
                <w:sz w:val="20"/>
                <w:szCs w:val="20"/>
                <w:vertAlign w:val="superscript"/>
              </w:rPr>
              <w:t xml:space="preserve"> c</w:t>
            </w:r>
          </w:p>
        </w:tc>
      </w:tr>
      <w:tr w:rsidR="00393981" w:rsidRPr="00393981" w14:paraId="001F44B0" w14:textId="77777777" w:rsidTr="007D0F5B">
        <w:tc>
          <w:tcPr>
            <w:tcW w:w="1347" w:type="pct"/>
            <w:tcBorders>
              <w:top w:val="single" w:sz="8" w:space="0" w:color="auto"/>
              <w:bottom w:val="single" w:sz="8" w:space="0" w:color="auto"/>
            </w:tcBorders>
            <w:shd w:val="clear" w:color="auto" w:fill="auto"/>
          </w:tcPr>
          <w:p w14:paraId="455ED3C4" w14:textId="7212ACB8" w:rsidR="00393981" w:rsidRPr="00393981" w:rsidRDefault="00393981" w:rsidP="00393981">
            <w:pPr>
              <w:pStyle w:val="NormalSS"/>
              <w:tabs>
                <w:tab w:val="clear" w:pos="432"/>
                <w:tab w:val="left" w:pos="0"/>
              </w:tabs>
              <w:spacing w:after="0"/>
              <w:ind w:firstLine="0"/>
              <w:rPr>
                <w:rFonts w:ascii="Franklin Gothic Medium" w:hAnsi="Franklin Gothic Medium"/>
                <w:b/>
                <w:sz w:val="20"/>
                <w:szCs w:val="20"/>
              </w:rPr>
            </w:pPr>
            <w:r w:rsidRPr="00393981">
              <w:rPr>
                <w:rFonts w:ascii="Franklin Gothic Medium" w:hAnsi="Franklin Gothic Medium"/>
                <w:b/>
                <w:sz w:val="20"/>
                <w:szCs w:val="20"/>
              </w:rPr>
              <w:t>State &amp; Local Government</w:t>
            </w:r>
          </w:p>
        </w:tc>
        <w:tc>
          <w:tcPr>
            <w:tcW w:w="576" w:type="pct"/>
            <w:tcBorders>
              <w:top w:val="single" w:sz="8" w:space="0" w:color="auto"/>
              <w:bottom w:val="single" w:sz="8" w:space="0" w:color="auto"/>
            </w:tcBorders>
            <w:shd w:val="clear" w:color="auto" w:fill="auto"/>
          </w:tcPr>
          <w:p w14:paraId="61EEDED7" w14:textId="77777777" w:rsidR="00393981" w:rsidRPr="00393981" w:rsidRDefault="00393981" w:rsidP="00393981">
            <w:pPr>
              <w:pStyle w:val="NormalSS"/>
              <w:spacing w:after="0"/>
              <w:ind w:firstLine="0"/>
              <w:jc w:val="center"/>
              <w:rPr>
                <w:rFonts w:ascii="Franklin Gothic Medium" w:hAnsi="Franklin Gothic Medium"/>
                <w:b/>
                <w:sz w:val="20"/>
                <w:szCs w:val="20"/>
              </w:rPr>
            </w:pPr>
          </w:p>
        </w:tc>
        <w:tc>
          <w:tcPr>
            <w:tcW w:w="481" w:type="pct"/>
            <w:tcBorders>
              <w:top w:val="single" w:sz="8" w:space="0" w:color="auto"/>
              <w:bottom w:val="single" w:sz="8" w:space="0" w:color="auto"/>
            </w:tcBorders>
            <w:shd w:val="clear" w:color="auto" w:fill="auto"/>
          </w:tcPr>
          <w:p w14:paraId="23E7D9BD" w14:textId="77777777" w:rsidR="00393981" w:rsidRPr="00393981" w:rsidRDefault="00393981" w:rsidP="00393981">
            <w:pPr>
              <w:pStyle w:val="NormalSS"/>
              <w:spacing w:after="0"/>
              <w:ind w:hanging="25"/>
              <w:jc w:val="center"/>
              <w:rPr>
                <w:rFonts w:ascii="Franklin Gothic Medium" w:hAnsi="Franklin Gothic Medium"/>
                <w:b/>
                <w:sz w:val="20"/>
                <w:szCs w:val="20"/>
              </w:rPr>
            </w:pPr>
          </w:p>
        </w:tc>
        <w:tc>
          <w:tcPr>
            <w:tcW w:w="684" w:type="pct"/>
            <w:tcBorders>
              <w:top w:val="single" w:sz="8" w:space="0" w:color="auto"/>
              <w:bottom w:val="single" w:sz="8" w:space="0" w:color="auto"/>
            </w:tcBorders>
            <w:shd w:val="clear" w:color="auto" w:fill="auto"/>
          </w:tcPr>
          <w:p w14:paraId="1098F643" w14:textId="77777777" w:rsidR="00393981" w:rsidRPr="00393981" w:rsidRDefault="00393981" w:rsidP="00393981">
            <w:pPr>
              <w:pStyle w:val="NormalSS"/>
              <w:spacing w:after="0"/>
              <w:ind w:hanging="25"/>
              <w:jc w:val="center"/>
              <w:rPr>
                <w:rFonts w:ascii="Franklin Gothic Medium" w:hAnsi="Franklin Gothic Medium"/>
                <w:b/>
                <w:sz w:val="20"/>
                <w:szCs w:val="20"/>
              </w:rPr>
            </w:pPr>
          </w:p>
        </w:tc>
        <w:tc>
          <w:tcPr>
            <w:tcW w:w="710" w:type="pct"/>
            <w:tcBorders>
              <w:top w:val="single" w:sz="8" w:space="0" w:color="auto"/>
              <w:bottom w:val="single" w:sz="8" w:space="0" w:color="auto"/>
            </w:tcBorders>
            <w:shd w:val="clear" w:color="auto" w:fill="auto"/>
          </w:tcPr>
          <w:p w14:paraId="572C3092" w14:textId="77777777" w:rsidR="00393981" w:rsidRPr="00393981" w:rsidRDefault="00393981" w:rsidP="00393981">
            <w:pPr>
              <w:pStyle w:val="NormalSS"/>
              <w:spacing w:after="0"/>
              <w:ind w:hanging="25"/>
              <w:jc w:val="center"/>
              <w:rPr>
                <w:rFonts w:ascii="Franklin Gothic Medium" w:hAnsi="Franklin Gothic Medium"/>
                <w:b/>
                <w:sz w:val="20"/>
                <w:szCs w:val="20"/>
              </w:rPr>
            </w:pPr>
          </w:p>
        </w:tc>
        <w:tc>
          <w:tcPr>
            <w:tcW w:w="1202" w:type="pct"/>
            <w:tcBorders>
              <w:top w:val="single" w:sz="8" w:space="0" w:color="auto"/>
              <w:bottom w:val="single" w:sz="8" w:space="0" w:color="auto"/>
            </w:tcBorders>
            <w:shd w:val="clear" w:color="auto" w:fill="auto"/>
          </w:tcPr>
          <w:p w14:paraId="55502EC6" w14:textId="77777777" w:rsidR="00393981" w:rsidRPr="00393981" w:rsidRDefault="00393981" w:rsidP="00393981">
            <w:pPr>
              <w:pStyle w:val="NormalSS"/>
              <w:spacing w:after="0"/>
              <w:ind w:hanging="25"/>
              <w:jc w:val="center"/>
              <w:rPr>
                <w:rFonts w:ascii="Franklin Gothic Medium" w:hAnsi="Franklin Gothic Medium"/>
                <w:b/>
                <w:sz w:val="20"/>
                <w:szCs w:val="20"/>
              </w:rPr>
            </w:pPr>
          </w:p>
        </w:tc>
      </w:tr>
      <w:tr w:rsidR="002F5399" w:rsidRPr="00393981" w14:paraId="1C3B1CFA" w14:textId="77777777" w:rsidTr="007D0F5B">
        <w:tc>
          <w:tcPr>
            <w:tcW w:w="1347" w:type="pct"/>
            <w:tcBorders>
              <w:top w:val="single" w:sz="8" w:space="0" w:color="auto"/>
              <w:bottom w:val="nil"/>
            </w:tcBorders>
            <w:shd w:val="clear" w:color="auto" w:fill="auto"/>
          </w:tcPr>
          <w:p w14:paraId="302A11B6" w14:textId="1CE70406" w:rsidR="002F5399" w:rsidRPr="00393981" w:rsidRDefault="000B6C81" w:rsidP="00393981">
            <w:pPr>
              <w:pStyle w:val="NormalSS"/>
              <w:tabs>
                <w:tab w:val="clear" w:pos="432"/>
              </w:tabs>
              <w:spacing w:after="0"/>
              <w:ind w:left="165" w:firstLine="0"/>
              <w:rPr>
                <w:rFonts w:ascii="Franklin Gothic Medium" w:hAnsi="Franklin Gothic Medium"/>
                <w:sz w:val="20"/>
                <w:szCs w:val="20"/>
              </w:rPr>
            </w:pPr>
            <w:r w:rsidRPr="00393981">
              <w:rPr>
                <w:rFonts w:ascii="Franklin Gothic Medium" w:hAnsi="Franklin Gothic Medium"/>
                <w:sz w:val="20"/>
                <w:szCs w:val="20"/>
              </w:rPr>
              <w:t>State WIC Staff</w:t>
            </w:r>
          </w:p>
        </w:tc>
        <w:tc>
          <w:tcPr>
            <w:tcW w:w="576" w:type="pct"/>
            <w:tcBorders>
              <w:top w:val="single" w:sz="8" w:space="0" w:color="auto"/>
              <w:bottom w:val="nil"/>
            </w:tcBorders>
            <w:shd w:val="clear" w:color="auto" w:fill="auto"/>
          </w:tcPr>
          <w:p w14:paraId="58F64B3B" w14:textId="40F5416B" w:rsidR="002F5399" w:rsidRPr="00393981" w:rsidRDefault="00A03F6C" w:rsidP="00393981">
            <w:pPr>
              <w:pStyle w:val="NormalSS"/>
              <w:spacing w:after="0"/>
              <w:ind w:firstLine="0"/>
              <w:jc w:val="center"/>
              <w:rPr>
                <w:rFonts w:ascii="Franklin Gothic Medium" w:hAnsi="Franklin Gothic Medium"/>
                <w:sz w:val="20"/>
                <w:szCs w:val="20"/>
              </w:rPr>
            </w:pPr>
            <w:r w:rsidRPr="00393981">
              <w:rPr>
                <w:rFonts w:ascii="Franklin Gothic Medium" w:hAnsi="Franklin Gothic Medium"/>
                <w:sz w:val="20"/>
                <w:szCs w:val="20"/>
              </w:rPr>
              <w:t>27</w:t>
            </w:r>
          </w:p>
        </w:tc>
        <w:tc>
          <w:tcPr>
            <w:tcW w:w="481" w:type="pct"/>
            <w:tcBorders>
              <w:top w:val="single" w:sz="8" w:space="0" w:color="auto"/>
              <w:bottom w:val="nil"/>
            </w:tcBorders>
            <w:shd w:val="clear" w:color="auto" w:fill="auto"/>
          </w:tcPr>
          <w:p w14:paraId="7BB107A6" w14:textId="0B7D4C7D" w:rsidR="002F5399" w:rsidRPr="00393981" w:rsidRDefault="000B6C81"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27</w:t>
            </w:r>
          </w:p>
        </w:tc>
        <w:tc>
          <w:tcPr>
            <w:tcW w:w="684" w:type="pct"/>
            <w:tcBorders>
              <w:top w:val="single" w:sz="8" w:space="0" w:color="auto"/>
              <w:bottom w:val="nil"/>
            </w:tcBorders>
            <w:shd w:val="clear" w:color="auto" w:fill="auto"/>
          </w:tcPr>
          <w:p w14:paraId="517F56C0" w14:textId="64F1EB9C" w:rsidR="002F5399" w:rsidRPr="00393981" w:rsidRDefault="000B6C81"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100%</w:t>
            </w:r>
          </w:p>
        </w:tc>
        <w:tc>
          <w:tcPr>
            <w:tcW w:w="710" w:type="pct"/>
            <w:tcBorders>
              <w:top w:val="single" w:sz="8" w:space="0" w:color="auto"/>
              <w:bottom w:val="nil"/>
            </w:tcBorders>
            <w:shd w:val="clear" w:color="auto" w:fill="auto"/>
          </w:tcPr>
          <w:p w14:paraId="1D2FEFB9" w14:textId="4B93C713" w:rsidR="002F5399" w:rsidRPr="00393981" w:rsidRDefault="000B6C81"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27</w:t>
            </w:r>
          </w:p>
        </w:tc>
        <w:tc>
          <w:tcPr>
            <w:tcW w:w="1202" w:type="pct"/>
            <w:tcBorders>
              <w:top w:val="single" w:sz="8" w:space="0" w:color="auto"/>
              <w:bottom w:val="nil"/>
            </w:tcBorders>
            <w:shd w:val="clear" w:color="auto" w:fill="auto"/>
          </w:tcPr>
          <w:p w14:paraId="530C5C3B" w14:textId="1BDB82EF" w:rsidR="002F5399" w:rsidRPr="00393981" w:rsidRDefault="00FF3802" w:rsidP="00393981">
            <w:pPr>
              <w:pStyle w:val="NormalSS"/>
              <w:spacing w:after="0"/>
              <w:ind w:hanging="25"/>
              <w:jc w:val="center"/>
              <w:rPr>
                <w:rFonts w:ascii="Franklin Gothic Medium" w:hAnsi="Franklin Gothic Medium"/>
                <w:sz w:val="20"/>
                <w:szCs w:val="20"/>
              </w:rPr>
            </w:pPr>
            <w:r w:rsidRPr="00393981">
              <w:rPr>
                <w:rFonts w:ascii="Franklin Gothic Medium" w:hAnsi="Franklin Gothic Medium"/>
                <w:sz w:val="20"/>
                <w:szCs w:val="20"/>
              </w:rPr>
              <w:t>100%</w:t>
            </w:r>
            <w:r w:rsidRPr="00393981">
              <w:rPr>
                <w:rFonts w:ascii="Franklin Gothic Medium" w:hAnsi="Franklin Gothic Medium"/>
                <w:sz w:val="20"/>
                <w:szCs w:val="20"/>
                <w:vertAlign w:val="superscript"/>
              </w:rPr>
              <w:t xml:space="preserve"> d</w:t>
            </w:r>
            <w:r w:rsidRPr="00393981" w:rsidDel="00FF3802">
              <w:rPr>
                <w:rFonts w:ascii="Franklin Gothic Medium" w:hAnsi="Franklin Gothic Medium"/>
                <w:sz w:val="20"/>
                <w:szCs w:val="20"/>
              </w:rPr>
              <w:t xml:space="preserve"> </w:t>
            </w:r>
          </w:p>
        </w:tc>
      </w:tr>
      <w:tr w:rsidR="002F5399" w:rsidRPr="00393981" w14:paraId="402CDCA4" w14:textId="77777777" w:rsidTr="007D0F5B">
        <w:tc>
          <w:tcPr>
            <w:tcW w:w="1347" w:type="pct"/>
            <w:tcBorders>
              <w:top w:val="nil"/>
              <w:bottom w:val="single" w:sz="12" w:space="0" w:color="auto"/>
            </w:tcBorders>
            <w:shd w:val="clear" w:color="auto" w:fill="auto"/>
          </w:tcPr>
          <w:p w14:paraId="2A277C17" w14:textId="5F54F08B" w:rsidR="002F5399" w:rsidRPr="00393981" w:rsidRDefault="000B6C81" w:rsidP="00393981">
            <w:pPr>
              <w:pStyle w:val="NormalSS"/>
              <w:spacing w:after="0"/>
              <w:ind w:left="165" w:firstLine="0"/>
              <w:rPr>
                <w:rFonts w:ascii="Franklin Gothic Medium" w:hAnsi="Franklin Gothic Medium"/>
                <w:sz w:val="20"/>
                <w:szCs w:val="20"/>
              </w:rPr>
            </w:pPr>
            <w:r w:rsidRPr="00393981">
              <w:rPr>
                <w:rFonts w:ascii="Franklin Gothic Medium" w:hAnsi="Franklin Gothic Medium"/>
                <w:sz w:val="20"/>
                <w:szCs w:val="20"/>
              </w:rPr>
              <w:t>WIC Site Staff</w:t>
            </w:r>
          </w:p>
        </w:tc>
        <w:tc>
          <w:tcPr>
            <w:tcW w:w="576" w:type="pct"/>
            <w:tcBorders>
              <w:top w:val="nil"/>
              <w:bottom w:val="single" w:sz="12" w:space="0" w:color="auto"/>
            </w:tcBorders>
            <w:shd w:val="clear" w:color="auto" w:fill="auto"/>
          </w:tcPr>
          <w:p w14:paraId="47D03F18" w14:textId="4F3AD53A" w:rsidR="002F5399" w:rsidRPr="00393981" w:rsidRDefault="00A03F6C" w:rsidP="00393981">
            <w:pPr>
              <w:pStyle w:val="NormalSS"/>
              <w:spacing w:after="0"/>
              <w:ind w:left="450" w:hanging="450"/>
              <w:jc w:val="center"/>
              <w:rPr>
                <w:rFonts w:ascii="Franklin Gothic Medium" w:hAnsi="Franklin Gothic Medium"/>
                <w:sz w:val="20"/>
                <w:szCs w:val="20"/>
              </w:rPr>
            </w:pPr>
            <w:r w:rsidRPr="00393981">
              <w:rPr>
                <w:rFonts w:ascii="Franklin Gothic Medium" w:hAnsi="Franklin Gothic Medium"/>
                <w:sz w:val="20"/>
                <w:szCs w:val="20"/>
              </w:rPr>
              <w:t>80</w:t>
            </w:r>
          </w:p>
        </w:tc>
        <w:tc>
          <w:tcPr>
            <w:tcW w:w="481" w:type="pct"/>
            <w:tcBorders>
              <w:top w:val="nil"/>
              <w:bottom w:val="single" w:sz="12" w:space="0" w:color="auto"/>
            </w:tcBorders>
            <w:shd w:val="clear" w:color="auto" w:fill="auto"/>
          </w:tcPr>
          <w:p w14:paraId="1B11532A" w14:textId="3FC01774" w:rsidR="002F5399" w:rsidRPr="00393981" w:rsidRDefault="000B6C81" w:rsidP="00393981">
            <w:pPr>
              <w:pStyle w:val="NormalSS"/>
              <w:spacing w:after="0"/>
              <w:ind w:left="450" w:hanging="450"/>
              <w:jc w:val="center"/>
              <w:rPr>
                <w:rFonts w:ascii="Franklin Gothic Medium" w:hAnsi="Franklin Gothic Medium"/>
                <w:sz w:val="20"/>
                <w:szCs w:val="20"/>
              </w:rPr>
            </w:pPr>
            <w:r w:rsidRPr="00393981">
              <w:rPr>
                <w:rFonts w:ascii="Franklin Gothic Medium" w:hAnsi="Franklin Gothic Medium"/>
                <w:sz w:val="20"/>
                <w:szCs w:val="20"/>
              </w:rPr>
              <w:t>80</w:t>
            </w:r>
          </w:p>
        </w:tc>
        <w:tc>
          <w:tcPr>
            <w:tcW w:w="684" w:type="pct"/>
            <w:tcBorders>
              <w:top w:val="nil"/>
              <w:bottom w:val="single" w:sz="12" w:space="0" w:color="auto"/>
            </w:tcBorders>
            <w:shd w:val="clear" w:color="auto" w:fill="auto"/>
          </w:tcPr>
          <w:p w14:paraId="02B024C3" w14:textId="77777777" w:rsidR="002F5399" w:rsidRPr="00393981" w:rsidRDefault="002F5399" w:rsidP="00393981">
            <w:pPr>
              <w:pStyle w:val="NormalSS"/>
              <w:spacing w:after="0"/>
              <w:ind w:left="450" w:hanging="450"/>
              <w:jc w:val="center"/>
              <w:rPr>
                <w:rFonts w:ascii="Franklin Gothic Medium" w:hAnsi="Franklin Gothic Medium"/>
                <w:sz w:val="20"/>
                <w:szCs w:val="20"/>
              </w:rPr>
            </w:pPr>
            <w:r w:rsidRPr="00393981">
              <w:rPr>
                <w:rFonts w:ascii="Franklin Gothic Medium" w:hAnsi="Franklin Gothic Medium"/>
                <w:sz w:val="20"/>
                <w:szCs w:val="20"/>
              </w:rPr>
              <w:t>100%</w:t>
            </w:r>
          </w:p>
        </w:tc>
        <w:tc>
          <w:tcPr>
            <w:tcW w:w="710" w:type="pct"/>
            <w:tcBorders>
              <w:top w:val="nil"/>
              <w:bottom w:val="single" w:sz="12" w:space="0" w:color="auto"/>
            </w:tcBorders>
            <w:shd w:val="clear" w:color="auto" w:fill="auto"/>
          </w:tcPr>
          <w:p w14:paraId="3A7F10A7" w14:textId="30F6647E" w:rsidR="002F5399" w:rsidRPr="00393981" w:rsidRDefault="000B6C81" w:rsidP="00393981">
            <w:pPr>
              <w:pStyle w:val="NormalSS"/>
              <w:spacing w:after="0"/>
              <w:ind w:left="450" w:hanging="450"/>
              <w:jc w:val="center"/>
              <w:rPr>
                <w:rFonts w:ascii="Franklin Gothic Medium" w:hAnsi="Franklin Gothic Medium"/>
                <w:sz w:val="20"/>
                <w:szCs w:val="20"/>
              </w:rPr>
            </w:pPr>
            <w:r w:rsidRPr="00393981">
              <w:rPr>
                <w:rFonts w:ascii="Franklin Gothic Medium" w:hAnsi="Franklin Gothic Medium"/>
                <w:sz w:val="20"/>
                <w:szCs w:val="20"/>
              </w:rPr>
              <w:t>80</w:t>
            </w:r>
          </w:p>
        </w:tc>
        <w:tc>
          <w:tcPr>
            <w:tcW w:w="1202" w:type="pct"/>
            <w:tcBorders>
              <w:top w:val="nil"/>
              <w:bottom w:val="single" w:sz="12" w:space="0" w:color="auto"/>
            </w:tcBorders>
            <w:shd w:val="clear" w:color="auto" w:fill="auto"/>
          </w:tcPr>
          <w:p w14:paraId="37AE98E8" w14:textId="1F12FA13" w:rsidR="002F5399" w:rsidRPr="00393981" w:rsidRDefault="00FF3802" w:rsidP="00393981">
            <w:pPr>
              <w:pStyle w:val="NormalSS"/>
              <w:spacing w:after="0"/>
              <w:ind w:left="450" w:hanging="450"/>
              <w:jc w:val="center"/>
              <w:rPr>
                <w:rFonts w:ascii="Franklin Gothic Medium" w:hAnsi="Franklin Gothic Medium"/>
                <w:sz w:val="20"/>
                <w:szCs w:val="20"/>
              </w:rPr>
            </w:pPr>
            <w:r w:rsidRPr="00393981">
              <w:rPr>
                <w:rFonts w:ascii="Franklin Gothic Medium" w:hAnsi="Franklin Gothic Medium"/>
                <w:sz w:val="20"/>
                <w:szCs w:val="20"/>
              </w:rPr>
              <w:t>100%</w:t>
            </w:r>
            <w:r w:rsidR="00A03F6C" w:rsidRPr="00393981">
              <w:rPr>
                <w:rFonts w:ascii="Franklin Gothic Medium" w:hAnsi="Franklin Gothic Medium"/>
                <w:sz w:val="20"/>
                <w:szCs w:val="20"/>
                <w:vertAlign w:val="superscript"/>
              </w:rPr>
              <w:t xml:space="preserve"> d</w:t>
            </w:r>
            <w:r w:rsidR="00A03F6C" w:rsidRPr="00393981" w:rsidDel="00FF3802">
              <w:rPr>
                <w:rFonts w:ascii="Franklin Gothic Medium" w:hAnsi="Franklin Gothic Medium"/>
                <w:sz w:val="20"/>
                <w:szCs w:val="20"/>
              </w:rPr>
              <w:t xml:space="preserve"> </w:t>
            </w:r>
          </w:p>
        </w:tc>
      </w:tr>
      <w:tr w:rsidR="002F5399" w:rsidRPr="00393981" w14:paraId="4BED4445" w14:textId="77777777" w:rsidTr="007D0F5B">
        <w:tc>
          <w:tcPr>
            <w:tcW w:w="1347" w:type="pct"/>
            <w:tcBorders>
              <w:top w:val="single" w:sz="12" w:space="0" w:color="auto"/>
              <w:bottom w:val="single" w:sz="12" w:space="0" w:color="auto"/>
            </w:tcBorders>
            <w:shd w:val="clear" w:color="auto" w:fill="auto"/>
          </w:tcPr>
          <w:p w14:paraId="1840AE56" w14:textId="77777777" w:rsidR="002F5399" w:rsidRPr="00393981" w:rsidRDefault="002F5399" w:rsidP="00393981">
            <w:pPr>
              <w:pStyle w:val="NormalSS"/>
              <w:tabs>
                <w:tab w:val="clear" w:pos="432"/>
                <w:tab w:val="left" w:pos="0"/>
              </w:tabs>
              <w:spacing w:after="0"/>
              <w:ind w:firstLine="0"/>
              <w:rPr>
                <w:rFonts w:ascii="Franklin Gothic Medium" w:hAnsi="Franklin Gothic Medium"/>
                <w:b/>
                <w:sz w:val="20"/>
                <w:szCs w:val="20"/>
              </w:rPr>
            </w:pPr>
            <w:r w:rsidRPr="00393981">
              <w:rPr>
                <w:rFonts w:ascii="Franklin Gothic Medium" w:hAnsi="Franklin Gothic Medium"/>
                <w:b/>
                <w:sz w:val="20"/>
                <w:szCs w:val="20"/>
              </w:rPr>
              <w:t>TOTAL</w:t>
            </w:r>
          </w:p>
        </w:tc>
        <w:tc>
          <w:tcPr>
            <w:tcW w:w="576" w:type="pct"/>
            <w:tcBorders>
              <w:top w:val="single" w:sz="12" w:space="0" w:color="auto"/>
              <w:bottom w:val="single" w:sz="12" w:space="0" w:color="auto"/>
            </w:tcBorders>
            <w:shd w:val="clear" w:color="auto" w:fill="auto"/>
          </w:tcPr>
          <w:p w14:paraId="046CC72D" w14:textId="361062E0" w:rsidR="002F5399" w:rsidRPr="00393981" w:rsidRDefault="001B3051" w:rsidP="00393981">
            <w:pPr>
              <w:pStyle w:val="NormalSS"/>
              <w:spacing w:after="0"/>
              <w:ind w:firstLine="0"/>
              <w:jc w:val="center"/>
              <w:rPr>
                <w:rFonts w:ascii="Franklin Gothic Medium" w:hAnsi="Franklin Gothic Medium"/>
                <w:b/>
                <w:sz w:val="20"/>
                <w:szCs w:val="20"/>
              </w:rPr>
            </w:pPr>
            <w:r w:rsidRPr="00393981">
              <w:rPr>
                <w:rFonts w:ascii="Franklin Gothic Medium" w:hAnsi="Franklin Gothic Medium"/>
                <w:b/>
                <w:sz w:val="20"/>
                <w:szCs w:val="20"/>
              </w:rPr>
              <w:t>888,822</w:t>
            </w:r>
          </w:p>
        </w:tc>
        <w:tc>
          <w:tcPr>
            <w:tcW w:w="481" w:type="pct"/>
            <w:tcBorders>
              <w:top w:val="single" w:sz="12" w:space="0" w:color="auto"/>
              <w:bottom w:val="single" w:sz="12" w:space="0" w:color="auto"/>
            </w:tcBorders>
            <w:shd w:val="clear" w:color="auto" w:fill="auto"/>
          </w:tcPr>
          <w:p w14:paraId="5C21CA16" w14:textId="2DADF927" w:rsidR="002F5399" w:rsidRPr="00393981" w:rsidRDefault="001B3051" w:rsidP="00393981">
            <w:pPr>
              <w:pStyle w:val="NormalSS"/>
              <w:spacing w:after="0"/>
              <w:ind w:hanging="25"/>
              <w:jc w:val="center"/>
              <w:rPr>
                <w:rFonts w:ascii="Franklin Gothic Medium" w:hAnsi="Franklin Gothic Medium"/>
                <w:b/>
                <w:sz w:val="20"/>
                <w:szCs w:val="20"/>
              </w:rPr>
            </w:pPr>
            <w:r w:rsidRPr="00393981">
              <w:rPr>
                <w:rFonts w:ascii="Franklin Gothic Medium" w:hAnsi="Franklin Gothic Medium"/>
                <w:b/>
                <w:sz w:val="20"/>
                <w:szCs w:val="20"/>
              </w:rPr>
              <w:t>6,339</w:t>
            </w:r>
          </w:p>
        </w:tc>
        <w:tc>
          <w:tcPr>
            <w:tcW w:w="684" w:type="pct"/>
            <w:tcBorders>
              <w:top w:val="single" w:sz="12" w:space="0" w:color="auto"/>
              <w:bottom w:val="single" w:sz="12" w:space="0" w:color="auto"/>
            </w:tcBorders>
            <w:shd w:val="clear" w:color="auto" w:fill="auto"/>
          </w:tcPr>
          <w:p w14:paraId="17528570" w14:textId="063C157A" w:rsidR="002F5399" w:rsidRPr="00393981" w:rsidRDefault="002F5399" w:rsidP="00393981">
            <w:pPr>
              <w:pStyle w:val="NormalSS"/>
              <w:spacing w:after="0"/>
              <w:ind w:hanging="25"/>
              <w:jc w:val="center"/>
              <w:rPr>
                <w:rFonts w:ascii="Franklin Gothic Medium" w:hAnsi="Franklin Gothic Medium"/>
                <w:b/>
                <w:sz w:val="20"/>
                <w:szCs w:val="20"/>
              </w:rPr>
            </w:pPr>
          </w:p>
        </w:tc>
        <w:tc>
          <w:tcPr>
            <w:tcW w:w="710" w:type="pct"/>
            <w:tcBorders>
              <w:top w:val="single" w:sz="12" w:space="0" w:color="auto"/>
              <w:bottom w:val="single" w:sz="12" w:space="0" w:color="auto"/>
            </w:tcBorders>
            <w:shd w:val="clear" w:color="auto" w:fill="auto"/>
          </w:tcPr>
          <w:p w14:paraId="53D5CC30" w14:textId="4A10A7A9" w:rsidR="002F5399" w:rsidRPr="00393981" w:rsidRDefault="001B3051" w:rsidP="00393981">
            <w:pPr>
              <w:pStyle w:val="NormalSS"/>
              <w:spacing w:after="0"/>
              <w:ind w:hanging="25"/>
              <w:jc w:val="center"/>
              <w:rPr>
                <w:rFonts w:ascii="Franklin Gothic Medium" w:hAnsi="Franklin Gothic Medium"/>
                <w:b/>
                <w:sz w:val="20"/>
                <w:szCs w:val="20"/>
              </w:rPr>
            </w:pPr>
            <w:r w:rsidRPr="00393981">
              <w:rPr>
                <w:rFonts w:ascii="Franklin Gothic Medium" w:hAnsi="Franklin Gothic Medium"/>
                <w:b/>
                <w:sz w:val="20"/>
                <w:szCs w:val="20"/>
              </w:rPr>
              <w:t>3,719</w:t>
            </w:r>
          </w:p>
        </w:tc>
        <w:tc>
          <w:tcPr>
            <w:tcW w:w="1202" w:type="pct"/>
            <w:tcBorders>
              <w:top w:val="single" w:sz="12" w:space="0" w:color="auto"/>
              <w:bottom w:val="single" w:sz="12" w:space="0" w:color="auto"/>
            </w:tcBorders>
            <w:shd w:val="clear" w:color="auto" w:fill="auto"/>
          </w:tcPr>
          <w:p w14:paraId="4C07379C" w14:textId="7BFCDD07" w:rsidR="002F5399" w:rsidRPr="00393981" w:rsidRDefault="002F5399" w:rsidP="00393981">
            <w:pPr>
              <w:pStyle w:val="NormalSS"/>
              <w:spacing w:after="0"/>
              <w:ind w:hanging="25"/>
              <w:jc w:val="center"/>
              <w:rPr>
                <w:rFonts w:ascii="Franklin Gothic Medium" w:hAnsi="Franklin Gothic Medium"/>
                <w:b/>
                <w:sz w:val="20"/>
                <w:szCs w:val="20"/>
              </w:rPr>
            </w:pPr>
          </w:p>
        </w:tc>
      </w:tr>
    </w:tbl>
    <w:p w14:paraId="71D426B4" w14:textId="0A230691" w:rsidR="000B624A" w:rsidRPr="003B2372" w:rsidRDefault="000E2D79" w:rsidP="00393981">
      <w:pPr>
        <w:pStyle w:val="L1-FlLSp12"/>
        <w:tabs>
          <w:tab w:val="left" w:pos="720"/>
        </w:tabs>
        <w:spacing w:line="240" w:lineRule="auto"/>
        <w:rPr>
          <w:rFonts w:ascii="Franklin Gothic Medium" w:hAnsi="Franklin Gothic Medium"/>
          <w:sz w:val="16"/>
          <w:szCs w:val="16"/>
        </w:rPr>
      </w:pPr>
      <w:r w:rsidRPr="003B2372">
        <w:rPr>
          <w:rFonts w:ascii="Franklin Gothic Medium" w:hAnsi="Franklin Gothic Medium"/>
          <w:sz w:val="16"/>
          <w:szCs w:val="16"/>
          <w:vertAlign w:val="superscript"/>
        </w:rPr>
        <w:t xml:space="preserve">a  </w:t>
      </w:r>
      <w:r w:rsidRPr="003B2372">
        <w:rPr>
          <w:rFonts w:ascii="Franklin Gothic Medium" w:hAnsi="Franklin Gothic Medium"/>
          <w:sz w:val="16"/>
          <w:szCs w:val="16"/>
        </w:rPr>
        <w:t>The most recent completed interview is the 42-month.</w:t>
      </w:r>
    </w:p>
    <w:p w14:paraId="43885219" w14:textId="2680E61B" w:rsidR="000B624A" w:rsidRPr="003B2372" w:rsidRDefault="000B624A" w:rsidP="00393981">
      <w:pPr>
        <w:pStyle w:val="L1-FlLSp12"/>
        <w:tabs>
          <w:tab w:val="left" w:pos="720"/>
        </w:tabs>
        <w:spacing w:line="240" w:lineRule="auto"/>
        <w:rPr>
          <w:rFonts w:ascii="Franklin Gothic Medium" w:hAnsi="Franklin Gothic Medium"/>
          <w:sz w:val="16"/>
          <w:szCs w:val="16"/>
        </w:rPr>
      </w:pPr>
      <w:r w:rsidRPr="003B2372">
        <w:rPr>
          <w:rFonts w:ascii="Franklin Gothic Medium" w:hAnsi="Franklin Gothic Medium"/>
          <w:sz w:val="16"/>
          <w:szCs w:val="16"/>
          <w:vertAlign w:val="superscript"/>
        </w:rPr>
        <w:t xml:space="preserve">b </w:t>
      </w:r>
      <w:r w:rsidRPr="003B2372">
        <w:rPr>
          <w:rFonts w:ascii="Franklin Gothic Medium" w:hAnsi="Franklin Gothic Medium"/>
          <w:sz w:val="16"/>
          <w:szCs w:val="16"/>
        </w:rPr>
        <w:t>The most recent completed replicate dietary intake was done at 36-months</w:t>
      </w:r>
      <w:r w:rsidR="00961755" w:rsidRPr="003B2372">
        <w:rPr>
          <w:rFonts w:ascii="Franklin Gothic Medium" w:hAnsi="Franklin Gothic Medium"/>
          <w:sz w:val="16"/>
          <w:szCs w:val="16"/>
        </w:rPr>
        <w:t>,</w:t>
      </w:r>
    </w:p>
    <w:p w14:paraId="743BF22D" w14:textId="5068B3B5" w:rsidR="000E2D79" w:rsidRPr="003B2372" w:rsidRDefault="00961755" w:rsidP="00393981">
      <w:pPr>
        <w:pStyle w:val="L1-FlLSp12"/>
        <w:tabs>
          <w:tab w:val="left" w:pos="720"/>
        </w:tabs>
        <w:spacing w:line="240" w:lineRule="auto"/>
        <w:rPr>
          <w:rFonts w:ascii="Franklin Gothic Medium" w:hAnsi="Franklin Gothic Medium"/>
          <w:sz w:val="16"/>
          <w:szCs w:val="16"/>
        </w:rPr>
      </w:pPr>
      <w:r w:rsidRPr="003B2372">
        <w:rPr>
          <w:rFonts w:ascii="Franklin Gothic Medium" w:hAnsi="Franklin Gothic Medium"/>
          <w:sz w:val="16"/>
          <w:szCs w:val="16"/>
          <w:vertAlign w:val="superscript"/>
        </w:rPr>
        <w:t>c</w:t>
      </w:r>
      <w:r w:rsidR="000B624A" w:rsidRPr="003B2372">
        <w:rPr>
          <w:rFonts w:ascii="Franklin Gothic Medium" w:hAnsi="Franklin Gothic Medium"/>
          <w:sz w:val="16"/>
          <w:szCs w:val="16"/>
        </w:rPr>
        <w:t xml:space="preserve"> </w:t>
      </w:r>
      <w:r w:rsidRPr="003B2372">
        <w:rPr>
          <w:rFonts w:ascii="Franklin Gothic Medium" w:hAnsi="Franklin Gothic Medium"/>
          <w:sz w:val="16"/>
          <w:szCs w:val="16"/>
        </w:rPr>
        <w:t>The most recent completed collection of h</w:t>
      </w:r>
      <w:r w:rsidR="000E2D79" w:rsidRPr="003B2372">
        <w:rPr>
          <w:rFonts w:ascii="Franklin Gothic Medium" w:hAnsi="Franklin Gothic Medium"/>
          <w:sz w:val="16"/>
          <w:szCs w:val="16"/>
        </w:rPr>
        <w:t xml:space="preserve">eight and weight data </w:t>
      </w:r>
      <w:r w:rsidRPr="003B2372">
        <w:rPr>
          <w:rFonts w:ascii="Franklin Gothic Medium" w:hAnsi="Franklin Gothic Medium"/>
          <w:sz w:val="16"/>
          <w:szCs w:val="16"/>
        </w:rPr>
        <w:t>was at 36-months</w:t>
      </w:r>
      <w:r w:rsidR="000E2D79" w:rsidRPr="003B2372">
        <w:rPr>
          <w:rFonts w:ascii="Franklin Gothic Medium" w:hAnsi="Franklin Gothic Medium"/>
          <w:sz w:val="16"/>
          <w:szCs w:val="16"/>
        </w:rPr>
        <w:t>.</w:t>
      </w:r>
    </w:p>
    <w:p w14:paraId="7B33A43E" w14:textId="7CBFAA89" w:rsidR="000E2D79" w:rsidRPr="003B2372" w:rsidRDefault="00A03F6C" w:rsidP="00393981">
      <w:pPr>
        <w:pStyle w:val="L1-FlLSp12"/>
        <w:tabs>
          <w:tab w:val="left" w:pos="720"/>
        </w:tabs>
        <w:spacing w:line="240" w:lineRule="auto"/>
        <w:rPr>
          <w:rFonts w:ascii="Franklin Gothic Medium" w:hAnsi="Franklin Gothic Medium"/>
          <w:sz w:val="16"/>
          <w:szCs w:val="16"/>
        </w:rPr>
      </w:pPr>
      <w:r w:rsidRPr="003B2372">
        <w:rPr>
          <w:rFonts w:ascii="Franklin Gothic Medium" w:hAnsi="Franklin Gothic Medium"/>
          <w:sz w:val="16"/>
          <w:szCs w:val="16"/>
          <w:vertAlign w:val="superscript"/>
        </w:rPr>
        <w:t>d</w:t>
      </w:r>
      <w:r w:rsidRPr="003B2372">
        <w:rPr>
          <w:rFonts w:ascii="Franklin Gothic Medium" w:hAnsi="Franklin Gothic Medium"/>
          <w:sz w:val="16"/>
          <w:szCs w:val="16"/>
        </w:rPr>
        <w:t xml:space="preserve"> The most recent completed webinar </w:t>
      </w:r>
      <w:r w:rsidR="00514228" w:rsidRPr="003B2372">
        <w:rPr>
          <w:rFonts w:ascii="Franklin Gothic Medium" w:hAnsi="Franklin Gothic Medium"/>
          <w:sz w:val="16"/>
          <w:szCs w:val="16"/>
        </w:rPr>
        <w:t>with</w:t>
      </w:r>
      <w:r w:rsidRPr="003B2372">
        <w:rPr>
          <w:rFonts w:ascii="Franklin Gothic Medium" w:hAnsi="Franklin Gothic Medium"/>
          <w:sz w:val="16"/>
          <w:szCs w:val="16"/>
        </w:rPr>
        <w:t xml:space="preserve"> WIC staff was completed at the time of the age 4/5 extension</w:t>
      </w:r>
    </w:p>
    <w:p w14:paraId="1024A9B3" w14:textId="4B80CAD4" w:rsidR="002F5399" w:rsidRDefault="002F5399" w:rsidP="00393981">
      <w:pPr>
        <w:pStyle w:val="L1-FlLSp12"/>
        <w:tabs>
          <w:tab w:val="left" w:pos="720"/>
        </w:tabs>
        <w:spacing w:line="240" w:lineRule="auto"/>
        <w:rPr>
          <w:rFonts w:ascii="Franklin Gothic Medium" w:hAnsi="Franklin Gothic Medium"/>
          <w:sz w:val="16"/>
          <w:szCs w:val="16"/>
        </w:rPr>
      </w:pPr>
    </w:p>
    <w:p w14:paraId="4286705F" w14:textId="77777777" w:rsidR="000E2D79" w:rsidRPr="00393981" w:rsidRDefault="000E2D79" w:rsidP="00393981">
      <w:pPr>
        <w:pStyle w:val="L1-FlLSp12"/>
        <w:tabs>
          <w:tab w:val="left" w:pos="720"/>
        </w:tabs>
        <w:spacing w:line="240" w:lineRule="auto"/>
        <w:rPr>
          <w:rFonts w:ascii="Franklin Gothic Medium" w:hAnsi="Franklin Gothic Medium"/>
          <w:sz w:val="16"/>
          <w:szCs w:val="16"/>
        </w:rPr>
      </w:pPr>
    </w:p>
    <w:p w14:paraId="55B19563" w14:textId="056FD129" w:rsidR="00A03F6C" w:rsidRDefault="000C0BC0" w:rsidP="00A620CD">
      <w:pPr>
        <w:pStyle w:val="L1-FlLSp12"/>
        <w:tabs>
          <w:tab w:val="left" w:pos="720"/>
        </w:tabs>
        <w:spacing w:line="480" w:lineRule="auto"/>
      </w:pPr>
      <w:r>
        <w:tab/>
      </w:r>
      <w:r w:rsidR="009F3593">
        <w:t>O</w:t>
      </w:r>
      <w:r w:rsidR="00C23DA3" w:rsidRPr="004504E0">
        <w:t xml:space="preserve">ur </w:t>
      </w:r>
      <w:r w:rsidR="00C23DA3">
        <w:t>base</w:t>
      </w:r>
      <w:r w:rsidR="00C23DA3" w:rsidRPr="004504E0">
        <w:t xml:space="preserve"> cohort sample was designed to obtain minimum detectable differences (MDDs) of 5 to 10 percentage points between subgroups of interest at the originally planned final measurement of 24 months. </w:t>
      </w:r>
      <w:r w:rsidR="00BF22AB">
        <w:t>O</w:t>
      </w:r>
      <w:r w:rsidR="00C23DA3" w:rsidRPr="004504E0">
        <w:t>ur current sample yield</w:t>
      </w:r>
      <w:r w:rsidR="00BF22AB">
        <w:t>ed</w:t>
      </w:r>
      <w:r w:rsidR="00C23DA3" w:rsidRPr="004504E0">
        <w:t xml:space="preserve"> </w:t>
      </w:r>
      <w:r w:rsidR="00BF22AB">
        <w:t>2,627</w:t>
      </w:r>
      <w:r w:rsidR="00C23DA3" w:rsidRPr="004504E0">
        <w:t xml:space="preserve"> completed 36-month interviews</w:t>
      </w:r>
      <w:r w:rsidR="00BF22AB">
        <w:t xml:space="preserve">, and </w:t>
      </w:r>
      <w:r w:rsidR="00DC6A2C">
        <w:t xml:space="preserve">with the </w:t>
      </w:r>
      <w:r w:rsidR="00BF22AB">
        <w:t xml:space="preserve">earlier </w:t>
      </w:r>
      <w:r w:rsidR="00DC6A2C">
        <w:t xml:space="preserve">expansion of the study to 60 months, </w:t>
      </w:r>
      <w:r w:rsidR="00F77388">
        <w:t xml:space="preserve">we </w:t>
      </w:r>
      <w:r w:rsidR="00151399">
        <w:t xml:space="preserve">obtained a total of 2,636 </w:t>
      </w:r>
      <w:r w:rsidR="00BF22AB">
        <w:t xml:space="preserve">completed </w:t>
      </w:r>
      <w:r w:rsidR="00F77388">
        <w:t>42-month interviews</w:t>
      </w:r>
      <w:r w:rsidR="00151399">
        <w:t xml:space="preserve"> (projected total was 2,319)</w:t>
      </w:r>
      <w:r w:rsidR="00F77388">
        <w:t xml:space="preserve">; </w:t>
      </w:r>
      <w:r w:rsidR="00151399">
        <w:t xml:space="preserve">with projected totals of </w:t>
      </w:r>
      <w:r w:rsidR="00F77388">
        <w:t>2,200 48-month interviews; 2,087 54-month interviews; and 1,980 60-month interviews</w:t>
      </w:r>
      <w:r w:rsidR="00C23DA3" w:rsidRPr="004504E0">
        <w:t>, assuming 10 percent annual attrition from the 24-month interview.</w:t>
      </w:r>
      <w:r w:rsidR="00C23DA3" w:rsidRPr="004504E0">
        <w:rPr>
          <w:rStyle w:val="FootnoteReference"/>
        </w:rPr>
        <w:footnoteReference w:id="1"/>
      </w:r>
      <w:r w:rsidR="00550934">
        <w:t xml:space="preserve"> </w:t>
      </w:r>
      <w:r w:rsidR="00BF22AB" w:rsidRPr="007668D0">
        <w:t xml:space="preserve">We project that </w:t>
      </w:r>
      <w:r w:rsidR="00BF22AB">
        <w:t>during the period of the extension</w:t>
      </w:r>
      <w:r w:rsidR="00BF22AB" w:rsidRPr="007668D0">
        <w:t xml:space="preserve"> our current sample will yield </w:t>
      </w:r>
      <w:r w:rsidR="00BF22AB">
        <w:t xml:space="preserve">1,901 72-month interviews, </w:t>
      </w:r>
      <w:r w:rsidR="00BF22AB" w:rsidRPr="007668D0">
        <w:t xml:space="preserve">assuming 10 percent annual attrition from the </w:t>
      </w:r>
      <w:r w:rsidR="00BF22AB">
        <w:t>actual response to the 36</w:t>
      </w:r>
      <w:r w:rsidR="00BF22AB" w:rsidRPr="007668D0">
        <w:t>-month interview.</w:t>
      </w:r>
      <w:r w:rsidR="00BF22AB">
        <w:t xml:space="preserve"> </w:t>
      </w:r>
    </w:p>
    <w:p w14:paraId="6FAB23FA" w14:textId="77777777" w:rsidR="00A03F6C" w:rsidRDefault="00A03F6C" w:rsidP="00A620CD">
      <w:pPr>
        <w:pStyle w:val="L1-FlLSp12"/>
        <w:tabs>
          <w:tab w:val="left" w:pos="720"/>
        </w:tabs>
        <w:spacing w:line="480" w:lineRule="auto"/>
      </w:pPr>
    </w:p>
    <w:p w14:paraId="1D2E55A3" w14:textId="77777777" w:rsidR="003B2372" w:rsidRDefault="003B2372">
      <w:pPr>
        <w:spacing w:line="240" w:lineRule="auto"/>
        <w:rPr>
          <w:rFonts w:ascii="Franklin Gothic Medium" w:hAnsi="Franklin Gothic Medium"/>
          <w:sz w:val="22"/>
        </w:rPr>
      </w:pPr>
      <w:r>
        <w:br w:type="page"/>
      </w:r>
    </w:p>
    <w:p w14:paraId="66AEFB93" w14:textId="644DF148" w:rsidR="00A03F6C" w:rsidRDefault="00A03F6C" w:rsidP="00A03F6C">
      <w:pPr>
        <w:pStyle w:val="TT-TableTitle"/>
        <w:tabs>
          <w:tab w:val="left" w:pos="720"/>
        </w:tabs>
      </w:pPr>
      <w:r>
        <w:t>Table B1</w:t>
      </w:r>
      <w:r w:rsidRPr="0064319D">
        <w:t>.</w:t>
      </w:r>
      <w:r>
        <w:t>2</w:t>
      </w:r>
      <w:r w:rsidRPr="0064319D">
        <w:t>.</w:t>
      </w:r>
      <w:r w:rsidRPr="0064319D">
        <w:tab/>
        <w:t xml:space="preserve">Expected </w:t>
      </w:r>
      <w:r>
        <w:t>completed interviews</w:t>
      </w:r>
      <w:r w:rsidRPr="0064319D">
        <w:t xml:space="preserve"> and </w:t>
      </w:r>
      <w:r>
        <w:t>r</w:t>
      </w:r>
      <w:r w:rsidRPr="0064319D">
        <w:t xml:space="preserve">esponse </w:t>
      </w:r>
      <w:r>
        <w:t>r</w:t>
      </w:r>
      <w:r w:rsidRPr="0064319D">
        <w:t>ates</w:t>
      </w:r>
      <w:r w:rsidRPr="00A03F6C">
        <w:rPr>
          <w:vertAlign w:val="superscript"/>
        </w:rPr>
        <w:t xml:space="preserve"> </w:t>
      </w:r>
      <w:r w:rsidRPr="006A6DF4">
        <w:rPr>
          <w:vertAlign w:val="superscript"/>
        </w:rPr>
        <w:t>a</w:t>
      </w:r>
    </w:p>
    <w:p w14:paraId="61F62D9D" w14:textId="77777777" w:rsidR="00A03F6C" w:rsidRPr="0064319D" w:rsidRDefault="00A03F6C" w:rsidP="00A03F6C">
      <w:pPr>
        <w:pStyle w:val="TT-TableTitle"/>
        <w:tabs>
          <w:tab w:val="left" w:pos="720"/>
        </w:tabs>
      </w:pPr>
    </w:p>
    <w:tbl>
      <w:tblPr>
        <w:tblStyle w:val="TableWestatStandardFormat"/>
        <w:tblW w:w="9576" w:type="dxa"/>
        <w:tblLayout w:type="fixed"/>
        <w:tblLook w:val="04A0" w:firstRow="1" w:lastRow="0" w:firstColumn="1" w:lastColumn="0" w:noHBand="0" w:noVBand="1"/>
      </w:tblPr>
      <w:tblGrid>
        <w:gridCol w:w="1440"/>
        <w:gridCol w:w="5256"/>
        <w:gridCol w:w="1440"/>
        <w:gridCol w:w="1440"/>
      </w:tblGrid>
      <w:tr w:rsidR="00A03F6C" w:rsidRPr="006A6DF4" w14:paraId="66D0F9BA" w14:textId="77777777" w:rsidTr="00B349CF">
        <w:trPr>
          <w:cnfStyle w:val="100000000000" w:firstRow="1" w:lastRow="0" w:firstColumn="0" w:lastColumn="0" w:oddVBand="0" w:evenVBand="0" w:oddHBand="0" w:evenHBand="0" w:firstRowFirstColumn="0" w:firstRowLastColumn="0" w:lastRowFirstColumn="0" w:lastRowLastColumn="0"/>
          <w:trHeight w:val="432"/>
        </w:trPr>
        <w:tc>
          <w:tcPr>
            <w:tcW w:w="1440" w:type="dxa"/>
            <w:noWrap/>
            <w:vAlign w:val="bottom"/>
            <w:hideMark/>
          </w:tcPr>
          <w:p w14:paraId="3C40B980" w14:textId="77777777" w:rsidR="00A03F6C" w:rsidRPr="006A6DF4" w:rsidRDefault="00A03F6C" w:rsidP="00B349CF">
            <w:pPr>
              <w:pStyle w:val="TH-TableHeading"/>
              <w:tabs>
                <w:tab w:val="left" w:pos="720"/>
              </w:tabs>
            </w:pPr>
          </w:p>
        </w:tc>
        <w:tc>
          <w:tcPr>
            <w:tcW w:w="5256" w:type="dxa"/>
            <w:vAlign w:val="bottom"/>
            <w:hideMark/>
          </w:tcPr>
          <w:p w14:paraId="1A1938B2" w14:textId="77777777" w:rsidR="00A03F6C" w:rsidRPr="006A6DF4" w:rsidRDefault="00A03F6C" w:rsidP="00B349CF">
            <w:pPr>
              <w:pStyle w:val="TH-TableHeading"/>
              <w:tabs>
                <w:tab w:val="left" w:pos="720"/>
              </w:tabs>
              <w:jc w:val="left"/>
            </w:pPr>
            <w:r w:rsidRPr="006A6DF4">
              <w:t>Mother infant events/interviews</w:t>
            </w:r>
          </w:p>
        </w:tc>
        <w:tc>
          <w:tcPr>
            <w:tcW w:w="1440" w:type="dxa"/>
            <w:vAlign w:val="bottom"/>
            <w:hideMark/>
          </w:tcPr>
          <w:p w14:paraId="54A0CC4B" w14:textId="77777777" w:rsidR="00A03F6C" w:rsidRPr="006A6DF4" w:rsidRDefault="00A03F6C" w:rsidP="00B349CF">
            <w:pPr>
              <w:pStyle w:val="TH-TableHeading"/>
              <w:tabs>
                <w:tab w:val="left" w:pos="720"/>
              </w:tabs>
              <w:jc w:val="left"/>
            </w:pPr>
            <w:r>
              <w:t>Completed interviews</w:t>
            </w:r>
          </w:p>
        </w:tc>
        <w:tc>
          <w:tcPr>
            <w:tcW w:w="1440" w:type="dxa"/>
            <w:vAlign w:val="bottom"/>
            <w:hideMark/>
          </w:tcPr>
          <w:p w14:paraId="37CA4BF6" w14:textId="77777777" w:rsidR="00A03F6C" w:rsidRPr="006A6DF4" w:rsidRDefault="00A03F6C" w:rsidP="00B349CF">
            <w:pPr>
              <w:pStyle w:val="TH-TableHeading"/>
              <w:tabs>
                <w:tab w:val="left" w:pos="720"/>
              </w:tabs>
              <w:jc w:val="left"/>
            </w:pPr>
            <w:r w:rsidRPr="006A6DF4">
              <w:t>Rates</w:t>
            </w:r>
          </w:p>
        </w:tc>
      </w:tr>
      <w:tr w:rsidR="00A03F6C" w:rsidRPr="006A6DF4" w14:paraId="196B18AD" w14:textId="77777777" w:rsidTr="00B349CF">
        <w:trPr>
          <w:trHeight w:val="432"/>
        </w:trPr>
        <w:tc>
          <w:tcPr>
            <w:tcW w:w="1440" w:type="dxa"/>
            <w:tcBorders>
              <w:top w:val="single" w:sz="4" w:space="0" w:color="auto"/>
              <w:bottom w:val="single" w:sz="4" w:space="0" w:color="auto"/>
            </w:tcBorders>
            <w:noWrap/>
            <w:vAlign w:val="center"/>
            <w:hideMark/>
          </w:tcPr>
          <w:p w14:paraId="7A093AD8" w14:textId="77777777" w:rsidR="00A03F6C" w:rsidRPr="006A6DF4" w:rsidRDefault="00A03F6C" w:rsidP="00B349CF">
            <w:pPr>
              <w:pStyle w:val="TX-TableText"/>
              <w:tabs>
                <w:tab w:val="left" w:pos="720"/>
              </w:tabs>
              <w:jc w:val="center"/>
            </w:pPr>
            <w:r w:rsidRPr="006A6DF4">
              <w:t>Cohort</w:t>
            </w:r>
          </w:p>
        </w:tc>
        <w:tc>
          <w:tcPr>
            <w:tcW w:w="5256" w:type="dxa"/>
            <w:tcBorders>
              <w:top w:val="single" w:sz="4" w:space="0" w:color="auto"/>
              <w:bottom w:val="single" w:sz="4" w:space="0" w:color="auto"/>
            </w:tcBorders>
            <w:vAlign w:val="center"/>
            <w:hideMark/>
          </w:tcPr>
          <w:p w14:paraId="4F236E59" w14:textId="77777777" w:rsidR="00A03F6C" w:rsidRPr="006A6DF4" w:rsidRDefault="00A03F6C" w:rsidP="00B349CF">
            <w:pPr>
              <w:pStyle w:val="TX-TableText"/>
              <w:tabs>
                <w:tab w:val="left" w:pos="720"/>
              </w:tabs>
            </w:pPr>
            <w:r w:rsidRPr="006A6DF4">
              <w:t>Total live infants consented &amp; enrolled pre/post-natal</w:t>
            </w:r>
            <w:r w:rsidRPr="006A6DF4">
              <w:rPr>
                <w:vertAlign w:val="superscript"/>
              </w:rPr>
              <w:t>b</w:t>
            </w:r>
          </w:p>
        </w:tc>
        <w:tc>
          <w:tcPr>
            <w:tcW w:w="1440" w:type="dxa"/>
            <w:tcBorders>
              <w:top w:val="single" w:sz="4" w:space="0" w:color="auto"/>
              <w:bottom w:val="single" w:sz="4" w:space="0" w:color="auto"/>
            </w:tcBorders>
            <w:noWrap/>
            <w:vAlign w:val="center"/>
            <w:hideMark/>
          </w:tcPr>
          <w:p w14:paraId="1D4D2C2B" w14:textId="77777777" w:rsidR="00A03F6C" w:rsidRPr="006A6DF4" w:rsidRDefault="00A03F6C" w:rsidP="00B349CF">
            <w:pPr>
              <w:pStyle w:val="TX-TableText"/>
              <w:tabs>
                <w:tab w:val="left" w:pos="720"/>
                <w:tab w:val="decimal" w:pos="864"/>
              </w:tabs>
            </w:pPr>
            <w:r w:rsidRPr="006A6DF4">
              <w:t>4,046</w:t>
            </w:r>
          </w:p>
        </w:tc>
        <w:tc>
          <w:tcPr>
            <w:tcW w:w="1440" w:type="dxa"/>
            <w:tcBorders>
              <w:top w:val="single" w:sz="4" w:space="0" w:color="auto"/>
              <w:bottom w:val="single" w:sz="4" w:space="0" w:color="auto"/>
            </w:tcBorders>
            <w:noWrap/>
            <w:vAlign w:val="center"/>
            <w:hideMark/>
          </w:tcPr>
          <w:p w14:paraId="34A42D50" w14:textId="77777777" w:rsidR="00A03F6C" w:rsidRPr="006A6DF4" w:rsidRDefault="00A03F6C" w:rsidP="00B349CF">
            <w:pPr>
              <w:pStyle w:val="TX-TableText"/>
              <w:tabs>
                <w:tab w:val="decimal" w:pos="684"/>
                <w:tab w:val="left" w:pos="720"/>
              </w:tabs>
            </w:pPr>
          </w:p>
        </w:tc>
      </w:tr>
      <w:tr w:rsidR="00A03F6C" w:rsidRPr="006A6DF4" w14:paraId="26F1ECDE" w14:textId="77777777" w:rsidTr="003B2372">
        <w:trPr>
          <w:trHeight w:val="288"/>
        </w:trPr>
        <w:tc>
          <w:tcPr>
            <w:tcW w:w="1440" w:type="dxa"/>
            <w:vMerge w:val="restart"/>
          </w:tcPr>
          <w:p w14:paraId="3C9E6AAE" w14:textId="77777777" w:rsidR="00A03F6C" w:rsidRPr="006A6DF4" w:rsidRDefault="00A03F6C" w:rsidP="003B2372">
            <w:pPr>
              <w:pStyle w:val="TX-TableText"/>
              <w:tabs>
                <w:tab w:val="left" w:pos="720"/>
              </w:tabs>
            </w:pPr>
          </w:p>
        </w:tc>
        <w:tc>
          <w:tcPr>
            <w:tcW w:w="5256" w:type="dxa"/>
            <w:vAlign w:val="center"/>
          </w:tcPr>
          <w:p w14:paraId="246F7A24" w14:textId="77777777" w:rsidR="00A03F6C" w:rsidRPr="000053FF" w:rsidRDefault="00A03F6C" w:rsidP="003B2372">
            <w:pPr>
              <w:pStyle w:val="TX-TableText"/>
              <w:tabs>
                <w:tab w:val="left" w:pos="720"/>
              </w:tabs>
              <w:rPr>
                <w:vertAlign w:val="superscript"/>
              </w:rPr>
            </w:pPr>
            <w:r w:rsidRPr="006A6DF4">
              <w:t>36-Month</w:t>
            </w:r>
            <w:r>
              <w:rPr>
                <w:vertAlign w:val="superscript"/>
              </w:rPr>
              <w:t>c</w:t>
            </w:r>
          </w:p>
        </w:tc>
        <w:tc>
          <w:tcPr>
            <w:tcW w:w="1440" w:type="dxa"/>
            <w:noWrap/>
            <w:vAlign w:val="center"/>
          </w:tcPr>
          <w:p w14:paraId="63AD8441" w14:textId="77777777" w:rsidR="00A03F6C" w:rsidRPr="006A6DF4" w:rsidRDefault="00A03F6C" w:rsidP="003B2372">
            <w:pPr>
              <w:pStyle w:val="TX-TableText"/>
              <w:tabs>
                <w:tab w:val="left" w:pos="720"/>
                <w:tab w:val="decimal" w:pos="864"/>
              </w:tabs>
              <w:rPr>
                <w:highlight w:val="yellow"/>
              </w:rPr>
            </w:pPr>
            <w:r w:rsidRPr="006A6DF4">
              <w:t>2,</w:t>
            </w:r>
            <w:r>
              <w:t>627</w:t>
            </w:r>
          </w:p>
        </w:tc>
        <w:tc>
          <w:tcPr>
            <w:tcW w:w="1440" w:type="dxa"/>
            <w:noWrap/>
            <w:vAlign w:val="center"/>
          </w:tcPr>
          <w:p w14:paraId="12B78EE7" w14:textId="77777777" w:rsidR="00A03F6C" w:rsidRPr="006A6DF4" w:rsidRDefault="00A03F6C" w:rsidP="003B2372">
            <w:pPr>
              <w:pStyle w:val="TX-TableText"/>
              <w:tabs>
                <w:tab w:val="decimal" w:pos="684"/>
                <w:tab w:val="left" w:pos="720"/>
              </w:tabs>
              <w:rPr>
                <w:highlight w:val="yellow"/>
              </w:rPr>
            </w:pPr>
            <w:r w:rsidRPr="006A6DF4">
              <w:t>6</w:t>
            </w:r>
            <w:r>
              <w:t>5</w:t>
            </w:r>
            <w:r w:rsidRPr="006A6DF4">
              <w:t>%</w:t>
            </w:r>
          </w:p>
        </w:tc>
      </w:tr>
      <w:tr w:rsidR="00A03F6C" w:rsidRPr="006A6DF4" w14:paraId="220C6DAE" w14:textId="77777777" w:rsidTr="003B2372">
        <w:trPr>
          <w:trHeight w:val="288"/>
        </w:trPr>
        <w:tc>
          <w:tcPr>
            <w:tcW w:w="1440" w:type="dxa"/>
            <w:vMerge/>
          </w:tcPr>
          <w:p w14:paraId="2A18B5ED" w14:textId="77777777" w:rsidR="00A03F6C" w:rsidRPr="006A6DF4" w:rsidRDefault="00A03F6C" w:rsidP="003B2372">
            <w:pPr>
              <w:pStyle w:val="TX-TableText"/>
              <w:tabs>
                <w:tab w:val="left" w:pos="720"/>
              </w:tabs>
            </w:pPr>
          </w:p>
        </w:tc>
        <w:tc>
          <w:tcPr>
            <w:tcW w:w="5256" w:type="dxa"/>
            <w:vAlign w:val="center"/>
          </w:tcPr>
          <w:p w14:paraId="1107FE32" w14:textId="243A638C" w:rsidR="00A03F6C" w:rsidRPr="006A6DF4" w:rsidRDefault="00A03F6C" w:rsidP="003B2372">
            <w:pPr>
              <w:pStyle w:val="TX-TableText"/>
              <w:tabs>
                <w:tab w:val="left" w:pos="720"/>
              </w:tabs>
            </w:pPr>
            <w:r>
              <w:t>42-Month</w:t>
            </w:r>
            <w:r>
              <w:rPr>
                <w:vertAlign w:val="superscript"/>
              </w:rPr>
              <w:t>d</w:t>
            </w:r>
          </w:p>
        </w:tc>
        <w:tc>
          <w:tcPr>
            <w:tcW w:w="1440" w:type="dxa"/>
            <w:noWrap/>
            <w:vAlign w:val="center"/>
          </w:tcPr>
          <w:p w14:paraId="7AAF875F" w14:textId="18DC7060" w:rsidR="00A03F6C" w:rsidRPr="006A6DF4" w:rsidRDefault="00A03F6C" w:rsidP="003B2372">
            <w:pPr>
              <w:pStyle w:val="TX-TableText"/>
              <w:tabs>
                <w:tab w:val="left" w:pos="720"/>
                <w:tab w:val="decimal" w:pos="864"/>
              </w:tabs>
            </w:pPr>
            <w:r>
              <w:t>2,636</w:t>
            </w:r>
          </w:p>
        </w:tc>
        <w:tc>
          <w:tcPr>
            <w:tcW w:w="1440" w:type="dxa"/>
            <w:noWrap/>
            <w:vAlign w:val="center"/>
          </w:tcPr>
          <w:p w14:paraId="3AE94518" w14:textId="1F541D50" w:rsidR="00A03F6C" w:rsidRPr="006A6DF4" w:rsidRDefault="00A03F6C" w:rsidP="003B2372">
            <w:pPr>
              <w:pStyle w:val="TX-TableText"/>
              <w:tabs>
                <w:tab w:val="decimal" w:pos="684"/>
                <w:tab w:val="left" w:pos="720"/>
              </w:tabs>
            </w:pPr>
            <w:r>
              <w:t>65%</w:t>
            </w:r>
          </w:p>
        </w:tc>
      </w:tr>
      <w:tr w:rsidR="00A03F6C" w:rsidRPr="006A6DF4" w14:paraId="391C73B6" w14:textId="77777777" w:rsidTr="003B2372">
        <w:trPr>
          <w:trHeight w:val="288"/>
        </w:trPr>
        <w:tc>
          <w:tcPr>
            <w:tcW w:w="1440" w:type="dxa"/>
            <w:vMerge/>
          </w:tcPr>
          <w:p w14:paraId="51D87C62" w14:textId="77777777" w:rsidR="00A03F6C" w:rsidRPr="006A6DF4" w:rsidRDefault="00A03F6C" w:rsidP="003B2372">
            <w:pPr>
              <w:pStyle w:val="TX-TableText"/>
              <w:tabs>
                <w:tab w:val="left" w:pos="720"/>
              </w:tabs>
            </w:pPr>
          </w:p>
        </w:tc>
        <w:tc>
          <w:tcPr>
            <w:tcW w:w="5256" w:type="dxa"/>
            <w:vAlign w:val="center"/>
          </w:tcPr>
          <w:p w14:paraId="7928A313" w14:textId="77777777" w:rsidR="00A03F6C" w:rsidRPr="006A6DF4" w:rsidRDefault="00A03F6C" w:rsidP="003B2372">
            <w:pPr>
              <w:pStyle w:val="TX-TableText"/>
              <w:tabs>
                <w:tab w:val="left" w:pos="720"/>
              </w:tabs>
            </w:pPr>
            <w:r>
              <w:t>48-Month</w:t>
            </w:r>
          </w:p>
        </w:tc>
        <w:tc>
          <w:tcPr>
            <w:tcW w:w="1440" w:type="dxa"/>
            <w:noWrap/>
            <w:vAlign w:val="center"/>
          </w:tcPr>
          <w:p w14:paraId="27050A30" w14:textId="77777777" w:rsidR="00A03F6C" w:rsidRPr="006A6DF4" w:rsidRDefault="00A03F6C" w:rsidP="003B2372">
            <w:pPr>
              <w:pStyle w:val="TX-TableText"/>
              <w:tabs>
                <w:tab w:val="left" w:pos="720"/>
                <w:tab w:val="decimal" w:pos="864"/>
              </w:tabs>
            </w:pPr>
            <w:r>
              <w:t>2,200</w:t>
            </w:r>
          </w:p>
        </w:tc>
        <w:tc>
          <w:tcPr>
            <w:tcW w:w="1440" w:type="dxa"/>
            <w:noWrap/>
            <w:vAlign w:val="center"/>
          </w:tcPr>
          <w:p w14:paraId="076497B3" w14:textId="77777777" w:rsidR="00A03F6C" w:rsidRPr="006A6DF4" w:rsidRDefault="00A03F6C" w:rsidP="003B2372">
            <w:pPr>
              <w:pStyle w:val="TX-TableText"/>
              <w:tabs>
                <w:tab w:val="decimal" w:pos="684"/>
                <w:tab w:val="left" w:pos="720"/>
              </w:tabs>
            </w:pPr>
            <w:r>
              <w:t>54%</w:t>
            </w:r>
          </w:p>
        </w:tc>
      </w:tr>
      <w:tr w:rsidR="00A03F6C" w:rsidRPr="006A6DF4" w14:paraId="53FC77B2" w14:textId="77777777" w:rsidTr="003B2372">
        <w:trPr>
          <w:trHeight w:val="288"/>
        </w:trPr>
        <w:tc>
          <w:tcPr>
            <w:tcW w:w="1440" w:type="dxa"/>
            <w:vMerge/>
          </w:tcPr>
          <w:p w14:paraId="138FE41D" w14:textId="77777777" w:rsidR="00A03F6C" w:rsidRPr="006A6DF4" w:rsidRDefault="00A03F6C" w:rsidP="003B2372">
            <w:pPr>
              <w:pStyle w:val="TX-TableText"/>
              <w:tabs>
                <w:tab w:val="left" w:pos="720"/>
              </w:tabs>
            </w:pPr>
          </w:p>
        </w:tc>
        <w:tc>
          <w:tcPr>
            <w:tcW w:w="5256" w:type="dxa"/>
            <w:vAlign w:val="center"/>
          </w:tcPr>
          <w:p w14:paraId="122EDB98" w14:textId="77777777" w:rsidR="00A03F6C" w:rsidRPr="006A6DF4" w:rsidRDefault="00A03F6C" w:rsidP="003B2372">
            <w:pPr>
              <w:pStyle w:val="TX-TableText"/>
              <w:tabs>
                <w:tab w:val="left" w:pos="720"/>
              </w:tabs>
            </w:pPr>
            <w:r>
              <w:t>54-Month</w:t>
            </w:r>
          </w:p>
        </w:tc>
        <w:tc>
          <w:tcPr>
            <w:tcW w:w="1440" w:type="dxa"/>
            <w:noWrap/>
            <w:vAlign w:val="center"/>
          </w:tcPr>
          <w:p w14:paraId="2AAB0C65" w14:textId="77777777" w:rsidR="00A03F6C" w:rsidRPr="006A6DF4" w:rsidRDefault="00A03F6C" w:rsidP="003B2372">
            <w:pPr>
              <w:pStyle w:val="TX-TableText"/>
              <w:tabs>
                <w:tab w:val="left" w:pos="720"/>
                <w:tab w:val="decimal" w:pos="864"/>
              </w:tabs>
            </w:pPr>
            <w:r>
              <w:t>2,087</w:t>
            </w:r>
          </w:p>
        </w:tc>
        <w:tc>
          <w:tcPr>
            <w:tcW w:w="1440" w:type="dxa"/>
            <w:noWrap/>
            <w:vAlign w:val="center"/>
          </w:tcPr>
          <w:p w14:paraId="7F073EAD" w14:textId="77777777" w:rsidR="00A03F6C" w:rsidRPr="006A6DF4" w:rsidRDefault="00A03F6C" w:rsidP="003B2372">
            <w:pPr>
              <w:pStyle w:val="TX-TableText"/>
              <w:tabs>
                <w:tab w:val="decimal" w:pos="684"/>
                <w:tab w:val="left" w:pos="720"/>
              </w:tabs>
            </w:pPr>
            <w:r>
              <w:t>52%</w:t>
            </w:r>
          </w:p>
        </w:tc>
      </w:tr>
      <w:tr w:rsidR="00A03F6C" w:rsidRPr="006A6DF4" w14:paraId="11CDEF7B" w14:textId="77777777" w:rsidTr="003B2372">
        <w:trPr>
          <w:trHeight w:val="288"/>
        </w:trPr>
        <w:tc>
          <w:tcPr>
            <w:tcW w:w="1440" w:type="dxa"/>
            <w:vMerge/>
          </w:tcPr>
          <w:p w14:paraId="1788C374" w14:textId="77777777" w:rsidR="00A03F6C" w:rsidRPr="006A6DF4" w:rsidRDefault="00A03F6C" w:rsidP="003B2372">
            <w:pPr>
              <w:pStyle w:val="TX-TableText"/>
              <w:tabs>
                <w:tab w:val="left" w:pos="720"/>
              </w:tabs>
            </w:pPr>
          </w:p>
        </w:tc>
        <w:tc>
          <w:tcPr>
            <w:tcW w:w="5256" w:type="dxa"/>
            <w:vAlign w:val="center"/>
          </w:tcPr>
          <w:p w14:paraId="74BF002B" w14:textId="77777777" w:rsidR="00A03F6C" w:rsidRPr="006A6DF4" w:rsidRDefault="00A03F6C" w:rsidP="003B2372">
            <w:pPr>
              <w:pStyle w:val="TX-TableText"/>
              <w:tabs>
                <w:tab w:val="left" w:pos="720"/>
              </w:tabs>
            </w:pPr>
            <w:r>
              <w:t>60-Month</w:t>
            </w:r>
          </w:p>
        </w:tc>
        <w:tc>
          <w:tcPr>
            <w:tcW w:w="1440" w:type="dxa"/>
            <w:noWrap/>
            <w:vAlign w:val="center"/>
          </w:tcPr>
          <w:p w14:paraId="5E767951" w14:textId="77777777" w:rsidR="00A03F6C" w:rsidRPr="006A6DF4" w:rsidRDefault="00A03F6C" w:rsidP="003B2372">
            <w:pPr>
              <w:pStyle w:val="TX-TableText"/>
              <w:tabs>
                <w:tab w:val="left" w:pos="720"/>
                <w:tab w:val="decimal" w:pos="864"/>
              </w:tabs>
            </w:pPr>
            <w:r>
              <w:t>1,980</w:t>
            </w:r>
          </w:p>
        </w:tc>
        <w:tc>
          <w:tcPr>
            <w:tcW w:w="1440" w:type="dxa"/>
            <w:noWrap/>
            <w:vAlign w:val="center"/>
          </w:tcPr>
          <w:p w14:paraId="0218F078" w14:textId="77777777" w:rsidR="00A03F6C" w:rsidRPr="006A6DF4" w:rsidRDefault="00A03F6C" w:rsidP="003B2372">
            <w:pPr>
              <w:pStyle w:val="TX-TableText"/>
              <w:tabs>
                <w:tab w:val="decimal" w:pos="684"/>
                <w:tab w:val="left" w:pos="720"/>
              </w:tabs>
            </w:pPr>
            <w:r>
              <w:t>49%</w:t>
            </w:r>
          </w:p>
        </w:tc>
      </w:tr>
      <w:tr w:rsidR="00A03F6C" w:rsidRPr="006A6DF4" w14:paraId="1D05DB2C" w14:textId="77777777" w:rsidTr="003B2372">
        <w:trPr>
          <w:trHeight w:val="288"/>
        </w:trPr>
        <w:tc>
          <w:tcPr>
            <w:tcW w:w="1440" w:type="dxa"/>
            <w:vMerge/>
            <w:hideMark/>
          </w:tcPr>
          <w:p w14:paraId="24690AE5" w14:textId="77777777" w:rsidR="00A03F6C" w:rsidRPr="006A6DF4" w:rsidRDefault="00A03F6C" w:rsidP="003B2372">
            <w:pPr>
              <w:pStyle w:val="TX-TableText"/>
              <w:tabs>
                <w:tab w:val="left" w:pos="720"/>
              </w:tabs>
            </w:pPr>
          </w:p>
        </w:tc>
        <w:tc>
          <w:tcPr>
            <w:tcW w:w="5256" w:type="dxa"/>
            <w:vAlign w:val="center"/>
            <w:hideMark/>
          </w:tcPr>
          <w:p w14:paraId="6CD3A910" w14:textId="77777777" w:rsidR="00A03F6C" w:rsidRPr="006A6DF4" w:rsidRDefault="00A03F6C" w:rsidP="003B2372">
            <w:pPr>
              <w:pStyle w:val="TX-TableText"/>
              <w:tabs>
                <w:tab w:val="left" w:pos="720"/>
              </w:tabs>
            </w:pPr>
            <w:r>
              <w:t>72-Month</w:t>
            </w:r>
          </w:p>
        </w:tc>
        <w:tc>
          <w:tcPr>
            <w:tcW w:w="1440" w:type="dxa"/>
            <w:noWrap/>
            <w:vAlign w:val="center"/>
            <w:hideMark/>
          </w:tcPr>
          <w:p w14:paraId="0F09BBA8" w14:textId="77777777" w:rsidR="00A03F6C" w:rsidRPr="006A6DF4" w:rsidRDefault="00A03F6C" w:rsidP="003B2372">
            <w:pPr>
              <w:pStyle w:val="TX-TableText"/>
              <w:tabs>
                <w:tab w:val="left" w:pos="720"/>
                <w:tab w:val="decimal" w:pos="864"/>
              </w:tabs>
              <w:rPr>
                <w:highlight w:val="yellow"/>
              </w:rPr>
            </w:pPr>
            <w:r>
              <w:t>1,901</w:t>
            </w:r>
          </w:p>
        </w:tc>
        <w:tc>
          <w:tcPr>
            <w:tcW w:w="1440" w:type="dxa"/>
            <w:noWrap/>
            <w:vAlign w:val="center"/>
            <w:hideMark/>
          </w:tcPr>
          <w:p w14:paraId="0370E4CA" w14:textId="77777777" w:rsidR="00A03F6C" w:rsidRPr="000053FF" w:rsidRDefault="00A03F6C" w:rsidP="003B2372">
            <w:pPr>
              <w:pStyle w:val="TX-TableText"/>
              <w:tabs>
                <w:tab w:val="decimal" w:pos="684"/>
                <w:tab w:val="left" w:pos="720"/>
              </w:tabs>
            </w:pPr>
            <w:r w:rsidRPr="000053FF">
              <w:t>47%</w:t>
            </w:r>
          </w:p>
        </w:tc>
      </w:tr>
    </w:tbl>
    <w:p w14:paraId="04B5ECE5" w14:textId="77777777" w:rsidR="00A03F6C" w:rsidRDefault="00A03F6C" w:rsidP="00A03F6C">
      <w:pPr>
        <w:pStyle w:val="TF-TblFN"/>
        <w:tabs>
          <w:tab w:val="left" w:pos="720"/>
        </w:tabs>
        <w:spacing w:before="0"/>
      </w:pPr>
      <w:r w:rsidRPr="006A6DF4">
        <w:rPr>
          <w:vertAlign w:val="superscript"/>
        </w:rPr>
        <w:t>a</w:t>
      </w:r>
      <w:r>
        <w:tab/>
        <w:t>Numbers of completed interviews</w:t>
      </w:r>
      <w:r w:rsidRPr="00954A1A">
        <w:t xml:space="preserve"> are projections based on the full consented/enrolled sample</w:t>
      </w:r>
    </w:p>
    <w:p w14:paraId="524DD2B9" w14:textId="77777777" w:rsidR="00A03F6C" w:rsidRDefault="00A03F6C" w:rsidP="00A03F6C">
      <w:pPr>
        <w:pStyle w:val="TF-TblFN"/>
        <w:tabs>
          <w:tab w:val="left" w:pos="720"/>
        </w:tabs>
        <w:spacing w:before="0"/>
      </w:pPr>
      <w:r w:rsidRPr="006A6DF4">
        <w:rPr>
          <w:vertAlign w:val="superscript"/>
        </w:rPr>
        <w:t>b</w:t>
      </w:r>
      <w:r>
        <w:tab/>
      </w:r>
      <w:r w:rsidRPr="004504E0">
        <w:t xml:space="preserve">Total live births in </w:t>
      </w:r>
      <w:r>
        <w:t>B</w:t>
      </w:r>
      <w:r w:rsidRPr="004504E0">
        <w:t>ase study cohort</w:t>
      </w:r>
    </w:p>
    <w:p w14:paraId="0E99F2A1" w14:textId="5DCB9EFC" w:rsidR="00A03F6C" w:rsidRDefault="00A03F6C" w:rsidP="00A03F6C">
      <w:pPr>
        <w:pStyle w:val="TF-TblFN"/>
        <w:spacing w:before="0"/>
      </w:pPr>
      <w:r>
        <w:rPr>
          <w:vertAlign w:val="superscript"/>
        </w:rPr>
        <w:t>c</w:t>
      </w:r>
      <w:r w:rsidRPr="007668D0">
        <w:rPr>
          <w:vertAlign w:val="superscript"/>
        </w:rPr>
        <w:tab/>
      </w:r>
      <w:r>
        <w:t>Interview is complete, this is the actual response rate. Anticipated responses were 2,444.</w:t>
      </w:r>
    </w:p>
    <w:p w14:paraId="1F2C2B79" w14:textId="1AC01F96" w:rsidR="00A03F6C" w:rsidRDefault="007D0F5B" w:rsidP="007D0F5B">
      <w:pPr>
        <w:pStyle w:val="TF-TblFN"/>
        <w:spacing w:before="0"/>
        <w:rPr>
          <w:szCs w:val="16"/>
        </w:rPr>
      </w:pPr>
      <w:r w:rsidRPr="007D0F5B">
        <w:rPr>
          <w:vertAlign w:val="superscript"/>
        </w:rPr>
        <w:t>d</w:t>
      </w:r>
      <w:r>
        <w:tab/>
      </w:r>
      <w:r w:rsidR="00A03F6C" w:rsidRPr="00393981">
        <w:rPr>
          <w:szCs w:val="16"/>
        </w:rPr>
        <w:t>Interview is complete, this is the actual response rate. A</w:t>
      </w:r>
      <w:r w:rsidR="00151399" w:rsidRPr="00151399">
        <w:rPr>
          <w:szCs w:val="16"/>
        </w:rPr>
        <w:t>nticipated responses were 2,319</w:t>
      </w:r>
    </w:p>
    <w:p w14:paraId="578878FC" w14:textId="77777777" w:rsidR="007D0F5B" w:rsidRPr="00393981" w:rsidRDefault="007D0F5B" w:rsidP="007D0F5B">
      <w:pPr>
        <w:spacing w:line="480" w:lineRule="auto"/>
      </w:pPr>
    </w:p>
    <w:p w14:paraId="13C64874" w14:textId="5FFE3D02" w:rsidR="00C23DA3" w:rsidRDefault="003B2372" w:rsidP="00A620CD">
      <w:pPr>
        <w:pStyle w:val="L1-FlLSp12"/>
        <w:tabs>
          <w:tab w:val="left" w:pos="720"/>
        </w:tabs>
        <w:spacing w:line="480" w:lineRule="auto"/>
      </w:pPr>
      <w:r>
        <w:tab/>
      </w:r>
      <w:r w:rsidR="000D4141">
        <w:t>F</w:t>
      </w:r>
      <w:r w:rsidR="000D4141" w:rsidRPr="006E6F32">
        <w:t>or generic characteristics with 20 percent, 40 percent, and 50 percent prevalences</w:t>
      </w:r>
      <w:r w:rsidR="000D4141">
        <w:t>, t</w:t>
      </w:r>
      <w:r w:rsidR="00C23DA3" w:rsidRPr="004504E0">
        <w:t xml:space="preserve">he projected sample sizes at </w:t>
      </w:r>
      <w:r w:rsidR="00F77388">
        <w:t>60</w:t>
      </w:r>
      <w:r w:rsidR="00C23DA3" w:rsidRPr="004504E0">
        <w:t xml:space="preserve"> months are expected to yield</w:t>
      </w:r>
      <w:r w:rsidR="000D4141">
        <w:t xml:space="preserve"> </w:t>
      </w:r>
      <w:r w:rsidR="000D4141" w:rsidRPr="006E6F32">
        <w:t xml:space="preserve">confidence interval half-widths at 6 years ranging from 2.2 to 7.8 percentage points for 95 percent confidence intervals, and from 1.8 to 6.5 percentage points for 90 percent confidence intervals, and </w:t>
      </w:r>
      <w:r w:rsidR="000D4141">
        <w:t>are</w:t>
      </w:r>
      <w:r w:rsidR="000D4141" w:rsidRPr="006E6F32">
        <w:t xml:space="preserve"> expected to yield </w:t>
      </w:r>
      <w:r w:rsidR="00B36B24">
        <w:t>coefficients o</w:t>
      </w:r>
      <w:r w:rsidR="00E35FE0">
        <w:t>f</w:t>
      </w:r>
      <w:r w:rsidR="00B36B24">
        <w:t xml:space="preserve"> variation (</w:t>
      </w:r>
      <w:r w:rsidR="000D4141" w:rsidRPr="006E6F32">
        <w:t>CVs</w:t>
      </w:r>
      <w:r w:rsidR="00B36B24">
        <w:t>)</w:t>
      </w:r>
      <w:r w:rsidR="000D4141" w:rsidRPr="006E6F32">
        <w:t xml:space="preserve"> ranging from 2.8 percent to 15.8 percent</w:t>
      </w:r>
      <w:r w:rsidR="000D4141">
        <w:t xml:space="preserve"> (for the range of estimates considered)</w:t>
      </w:r>
      <w:r w:rsidR="00C23DA3" w:rsidRPr="004504E0">
        <w:t>.</w:t>
      </w:r>
      <w:r w:rsidR="00550934">
        <w:t xml:space="preserve"> </w:t>
      </w:r>
    </w:p>
    <w:p w14:paraId="46092FF5" w14:textId="67A05738" w:rsidR="00D9722D" w:rsidRPr="00D9722D" w:rsidRDefault="000C0BC0" w:rsidP="00D9722D">
      <w:pPr>
        <w:pStyle w:val="L1-FlLSp12"/>
        <w:tabs>
          <w:tab w:val="left" w:pos="720"/>
        </w:tabs>
        <w:spacing w:after="240" w:line="480" w:lineRule="auto"/>
      </w:pPr>
      <w:r>
        <w:tab/>
      </w:r>
      <w:r w:rsidR="00C23DA3">
        <w:t xml:space="preserve">WIC program representatives in the WIC State and Local Agencies will provide important </w:t>
      </w:r>
      <w:r w:rsidR="001D56DD">
        <w:t>assistance</w:t>
      </w:r>
      <w:r w:rsidR="00C23DA3">
        <w:t xml:space="preserve"> to the study.</w:t>
      </w:r>
      <w:r w:rsidR="00550934">
        <w:t xml:space="preserve"> </w:t>
      </w:r>
      <w:r w:rsidR="001D56DD">
        <w:t xml:space="preserve">A total of </w:t>
      </w:r>
      <w:r w:rsidR="001D56DD" w:rsidRPr="00D9722D">
        <w:t>27 State Agencies and 80 of their WIC Sites were originally selected as the recruitment sites for the study</w:t>
      </w:r>
      <w:r w:rsidR="001D56DD">
        <w:t>.</w:t>
      </w:r>
      <w:r w:rsidR="001D56DD" w:rsidRPr="00D9722D">
        <w:t xml:space="preserve"> </w:t>
      </w:r>
      <w:r w:rsidR="001D56DD">
        <w:t xml:space="preserve">Staff at these WIC sites </w:t>
      </w:r>
      <w:r w:rsidR="001D56DD" w:rsidRPr="00D9722D">
        <w:t xml:space="preserve">will </w:t>
      </w:r>
      <w:r w:rsidR="001D56DD">
        <w:t xml:space="preserve">continue to </w:t>
      </w:r>
      <w:r w:rsidR="001D56DD" w:rsidRPr="00D9722D">
        <w:t>support the study by conducting height and weight measurements on the study children, all of whom are former WIC children.</w:t>
      </w:r>
      <w:r w:rsidR="001D56DD">
        <w:t xml:space="preserve">  Moreover, the</w:t>
      </w:r>
      <w:r w:rsidR="00C23DA3">
        <w:t xml:space="preserve"> </w:t>
      </w:r>
      <w:r w:rsidR="001D56DD">
        <w:t xml:space="preserve">27 </w:t>
      </w:r>
      <w:r w:rsidR="00C23DA3">
        <w:t xml:space="preserve">State WIC administrators and 80 local WIC site staff will continue to support data collection efforts for the Age </w:t>
      </w:r>
      <w:r w:rsidR="005851D3">
        <w:t>6</w:t>
      </w:r>
      <w:r w:rsidR="00C23DA3">
        <w:t xml:space="preserve"> Extension</w:t>
      </w:r>
      <w:r w:rsidR="001D56DD">
        <w:t xml:space="preserve"> through providing updated contact information for participants still enrolled in WIC for another child.</w:t>
      </w:r>
    </w:p>
    <w:p w14:paraId="38D64303" w14:textId="537496BA" w:rsidR="00C23DA3" w:rsidRDefault="00C23DA3" w:rsidP="00A620CD">
      <w:pPr>
        <w:pStyle w:val="L1-FlLSp12"/>
        <w:tabs>
          <w:tab w:val="left" w:pos="720"/>
        </w:tabs>
        <w:spacing w:after="240" w:line="480" w:lineRule="auto"/>
      </w:pPr>
    </w:p>
    <w:p w14:paraId="71306E48" w14:textId="77777777" w:rsidR="00C23DA3" w:rsidRDefault="00C23DA3" w:rsidP="00A620CD">
      <w:pPr>
        <w:pStyle w:val="Heading4"/>
        <w:tabs>
          <w:tab w:val="left" w:pos="720"/>
        </w:tabs>
        <w:spacing w:line="480" w:lineRule="auto"/>
      </w:pPr>
      <w:bookmarkStart w:id="22" w:name="_Toc400377721"/>
      <w:bookmarkStart w:id="23" w:name="_Toc287257054"/>
      <w:bookmarkStart w:id="24" w:name="_Toc287257091"/>
      <w:bookmarkStart w:id="25" w:name="_Toc290021786"/>
      <w:bookmarkStart w:id="26" w:name="_Toc329341128"/>
      <w:bookmarkEnd w:id="21"/>
      <w:r w:rsidRPr="00D93286">
        <w:t>Sampling Methods</w:t>
      </w:r>
      <w:bookmarkEnd w:id="22"/>
    </w:p>
    <w:p w14:paraId="76ADE7F0" w14:textId="4DBC1C04" w:rsidR="00C1539D" w:rsidRPr="00C1539D" w:rsidRDefault="000C0BC0" w:rsidP="00C1539D">
      <w:pPr>
        <w:pStyle w:val="L1-FlLSp12"/>
        <w:tabs>
          <w:tab w:val="left" w:pos="720"/>
        </w:tabs>
        <w:spacing w:after="240" w:line="480" w:lineRule="auto"/>
      </w:pPr>
      <w:bookmarkStart w:id="27" w:name="_Toc400377722"/>
      <w:r>
        <w:tab/>
      </w:r>
      <w:r w:rsidR="00C23DA3" w:rsidRPr="007508AA">
        <w:t xml:space="preserve">The </w:t>
      </w:r>
      <w:r w:rsidR="00C23DA3">
        <w:t xml:space="preserve">Age </w:t>
      </w:r>
      <w:r w:rsidR="00F57C88">
        <w:t>6</w:t>
      </w:r>
      <w:r w:rsidR="00C23DA3">
        <w:t xml:space="preserve"> Extension will continue to collect data from </w:t>
      </w:r>
      <w:r w:rsidR="003B2372">
        <w:t xml:space="preserve">both core and supplemental </w:t>
      </w:r>
      <w:r w:rsidR="00C23DA3">
        <w:t xml:space="preserve">participants </w:t>
      </w:r>
      <w:r w:rsidR="000053FF">
        <w:t>who</w:t>
      </w:r>
      <w:r w:rsidR="00C23DA3">
        <w:t xml:space="preserve"> were recruited in the base study</w:t>
      </w:r>
      <w:r w:rsidR="003B2372">
        <w:t>.</w:t>
      </w:r>
      <w:r w:rsidR="003B2372">
        <w:rPr>
          <w:rStyle w:val="FootnoteReference"/>
        </w:rPr>
        <w:footnoteReference w:id="2"/>
      </w:r>
      <w:r w:rsidR="003B2372">
        <w:t xml:space="preserve"> </w:t>
      </w:r>
      <w:r w:rsidR="00B67D67">
        <w:t xml:space="preserve">All </w:t>
      </w:r>
      <w:r w:rsidR="0006594F">
        <w:t>participant</w:t>
      </w:r>
      <w:r w:rsidR="00B67D67">
        <w:t xml:space="preserve">s </w:t>
      </w:r>
      <w:r w:rsidR="00C1539D">
        <w:t>still enrolled in the study at the beginning of the field period</w:t>
      </w:r>
      <w:r w:rsidR="00B67D67">
        <w:t xml:space="preserve"> for the 72-month interview will be </w:t>
      </w:r>
      <w:r w:rsidR="00C1539D">
        <w:t xml:space="preserve">eligible for subsampling for the replicate </w:t>
      </w:r>
      <w:r w:rsidR="008669EB">
        <w:t>dietary intake (AMPM)</w:t>
      </w:r>
      <w:r w:rsidR="003B2372">
        <w:t xml:space="preserve"> interview. </w:t>
      </w:r>
      <w:r w:rsidR="008669EB">
        <w:t>Before the first 72-month interview is fielded, 15</w:t>
      </w:r>
      <w:r w:rsidR="00053D91">
        <w:t xml:space="preserve"> percent of </w:t>
      </w:r>
      <w:r w:rsidR="0006594F">
        <w:t>participant</w:t>
      </w:r>
      <w:r w:rsidR="00053D91">
        <w:t xml:space="preserve">s </w:t>
      </w:r>
      <w:r w:rsidR="008669EB">
        <w:t>will be</w:t>
      </w:r>
      <w:r w:rsidR="00053D91">
        <w:t xml:space="preserve"> </w:t>
      </w:r>
      <w:r w:rsidR="00B67D67">
        <w:t xml:space="preserve">randomly </w:t>
      </w:r>
      <w:r w:rsidR="003B2372">
        <w:t xml:space="preserve">selected </w:t>
      </w:r>
      <w:r w:rsidR="00053D91">
        <w:t>for the replicate AMPM interview</w:t>
      </w:r>
      <w:r w:rsidR="00B67D67">
        <w:t xml:space="preserve"> with </w:t>
      </w:r>
      <w:r w:rsidR="00053D91">
        <w:t>the goal of obtaining a compl</w:t>
      </w:r>
      <w:r w:rsidR="008669EB">
        <w:t>eted</w:t>
      </w:r>
      <w:r w:rsidR="00053D91">
        <w:t xml:space="preserve"> replicate AMPM interview for 10 percent of the sample who complete the initial AMPM. Some </w:t>
      </w:r>
      <w:r w:rsidR="0006594F">
        <w:t>participants</w:t>
      </w:r>
      <w:r w:rsidR="00053D91">
        <w:t xml:space="preserve"> sampled for the replicate AMPM will not complete the initial AMPM at 72-months and thus will be ineligible for the replicate interview. We</w:t>
      </w:r>
      <w:r w:rsidR="00C1539D" w:rsidRPr="00C1539D">
        <w:t xml:space="preserve"> expect </w:t>
      </w:r>
      <w:r w:rsidR="00053D91">
        <w:t xml:space="preserve">that around </w:t>
      </w:r>
      <w:r w:rsidR="008669EB">
        <w:t>67 percent</w:t>
      </w:r>
      <w:r w:rsidR="00053D91">
        <w:t xml:space="preserve"> </w:t>
      </w:r>
      <w:r w:rsidR="0006594F">
        <w:t>participants</w:t>
      </w:r>
      <w:r w:rsidR="00053D91">
        <w:t xml:space="preserve"> </w:t>
      </w:r>
      <w:r w:rsidR="008669EB">
        <w:t xml:space="preserve">who complete the initial </w:t>
      </w:r>
      <w:r w:rsidR="00C1539D" w:rsidRPr="00C1539D">
        <w:t>AMPM</w:t>
      </w:r>
      <w:r w:rsidR="00053D91">
        <w:t xml:space="preserve"> will </w:t>
      </w:r>
      <w:r w:rsidR="008669EB">
        <w:t xml:space="preserve">also </w:t>
      </w:r>
      <w:r w:rsidR="00053D91">
        <w:t xml:space="preserve">complete </w:t>
      </w:r>
      <w:r w:rsidR="008669EB">
        <w:t>the replicate interview</w:t>
      </w:r>
      <w:r w:rsidR="00053D91">
        <w:t xml:space="preserve">. </w:t>
      </w:r>
    </w:p>
    <w:p w14:paraId="483609B8" w14:textId="7DB2E1BC" w:rsidR="00C23DA3" w:rsidRPr="00D93286" w:rsidRDefault="00C23DA3" w:rsidP="00A620CD">
      <w:pPr>
        <w:pStyle w:val="Heading4"/>
        <w:tabs>
          <w:tab w:val="left" w:pos="720"/>
        </w:tabs>
        <w:spacing w:line="480" w:lineRule="auto"/>
      </w:pPr>
      <w:bookmarkStart w:id="28" w:name="_Toc290021781"/>
      <w:bookmarkStart w:id="29" w:name="_Toc400377723"/>
      <w:bookmarkEnd w:id="27"/>
      <w:r w:rsidRPr="00D93286">
        <w:t>Response Rates</w:t>
      </w:r>
      <w:bookmarkEnd w:id="28"/>
      <w:bookmarkEnd w:id="29"/>
    </w:p>
    <w:p w14:paraId="4A2E7B9E" w14:textId="5E71FBDA" w:rsidR="002F1746" w:rsidRDefault="00FB2ABB" w:rsidP="00A620CD">
      <w:pPr>
        <w:pStyle w:val="L1-FlLSp12"/>
        <w:tabs>
          <w:tab w:val="left" w:pos="720"/>
        </w:tabs>
        <w:spacing w:line="480" w:lineRule="auto"/>
      </w:pPr>
      <w:r>
        <w:tab/>
        <w:t>We have undertaken many steps</w:t>
      </w:r>
      <w:r w:rsidR="00AD2067">
        <w:t>, both in already completed activities and for future activities,</w:t>
      </w:r>
      <w:r>
        <w:t xml:space="preserve"> to ensure high response rates and reduce the risk of nonresponse bias. Full time study </w:t>
      </w:r>
      <w:r w:rsidR="00AD2067">
        <w:t xml:space="preserve">liaisons (SLs) serve as personalized points-of-contact for our </w:t>
      </w:r>
      <w:r w:rsidR="0006594F">
        <w:t>participants</w:t>
      </w:r>
      <w:r w:rsidR="00AD2067">
        <w:t xml:space="preserve">. We provide incentives for study activities to communicate that we continue to value our </w:t>
      </w:r>
      <w:r w:rsidR="0006594F">
        <w:t>participants</w:t>
      </w:r>
      <w:r w:rsidR="00AD2067">
        <w:t>. We strive to ensure flexibility in the time at which interviews are completed, and to express our appreciation of participants through thank-you notes and recognizing birthdays. These efforts are described further in Section B.</w:t>
      </w:r>
      <w:r w:rsidR="00E56BC9">
        <w:t>3.</w:t>
      </w:r>
    </w:p>
    <w:p w14:paraId="5C1FC670" w14:textId="665BED30" w:rsidR="00C23DA3" w:rsidRDefault="000C0BC0" w:rsidP="00A620CD">
      <w:pPr>
        <w:pStyle w:val="L1-FlLSp12"/>
        <w:tabs>
          <w:tab w:val="left" w:pos="720"/>
        </w:tabs>
        <w:spacing w:line="480" w:lineRule="auto"/>
      </w:pPr>
      <w:r>
        <w:tab/>
      </w:r>
      <w:r w:rsidR="002F1746">
        <w:t xml:space="preserve">This </w:t>
      </w:r>
      <w:r w:rsidR="004245D5">
        <w:t xml:space="preserve">longitudinal </w:t>
      </w:r>
      <w:r w:rsidR="002F1746">
        <w:t>data collection is ongoing</w:t>
      </w:r>
      <w:r w:rsidR="003912E6">
        <w:t>; c</w:t>
      </w:r>
      <w:r w:rsidR="002F1746">
        <w:t>onsequently, we present response rates for interviews that have already been completed and for which weighted response rates are available</w:t>
      </w:r>
      <w:r w:rsidR="003E4158">
        <w:t xml:space="preserve">. We expect a </w:t>
      </w:r>
      <w:r w:rsidR="00523616">
        <w:t>47</w:t>
      </w:r>
      <w:r w:rsidR="003E4158">
        <w:t xml:space="preserve">% response rate for the 72 month interview. The total response rate for all components of the 72 month data collection is expected to be </w:t>
      </w:r>
      <w:r w:rsidR="00523616">
        <w:t>59</w:t>
      </w:r>
      <w:r w:rsidR="003E4158">
        <w:t xml:space="preserve">%. </w:t>
      </w:r>
      <w:r w:rsidR="00990B42">
        <w:t xml:space="preserve">In the study, the response rates of the base cohorts to the first </w:t>
      </w:r>
      <w:r w:rsidR="00523616">
        <w:t xml:space="preserve">twelve </w:t>
      </w:r>
      <w:r w:rsidR="00990B42">
        <w:t>postnatal interviews are as follows:</w:t>
      </w:r>
      <w:r w:rsidR="00C23DA3">
        <w:t xml:space="preserve"> </w:t>
      </w:r>
      <w:r w:rsidR="00990B42">
        <w:t>85</w:t>
      </w:r>
      <w:r w:rsidR="00550934">
        <w:t xml:space="preserve"> percent</w:t>
      </w:r>
      <w:r w:rsidR="00C23DA3">
        <w:t xml:space="preserve"> for the 1 month interview</w:t>
      </w:r>
      <w:r w:rsidR="002F1746">
        <w:t xml:space="preserve">; </w:t>
      </w:r>
      <w:r w:rsidR="00990B42">
        <w:t>88 percent for the 3-month interview</w:t>
      </w:r>
      <w:r w:rsidR="002F1746">
        <w:t xml:space="preserve">; </w:t>
      </w:r>
      <w:r w:rsidR="00990B42">
        <w:t>83 percent for the 5-month interview</w:t>
      </w:r>
      <w:r w:rsidR="002F1746">
        <w:t xml:space="preserve">; </w:t>
      </w:r>
      <w:r w:rsidR="00990B42">
        <w:t>80 percent for the 7-month interview</w:t>
      </w:r>
      <w:r w:rsidR="002F1746">
        <w:t>; 79 percent for the 9-month interview; 75 percent for the 11 month interview; 72 percent for the 13-month interview</w:t>
      </w:r>
      <w:r w:rsidR="003912E6">
        <w:t>; 66 percent for the 15-month interview; 64 percent for the 18-month interview; 65 percent for the 24-month interview; 68 percent for the 30-month interview; and 69 percent for the 36-month interview</w:t>
      </w:r>
      <w:r w:rsidR="00C23DA3">
        <w:t>.</w:t>
      </w:r>
      <w:r w:rsidR="00550934">
        <w:t xml:space="preserve"> </w:t>
      </w:r>
      <w:r w:rsidR="00C23DA3">
        <w:t xml:space="preserve">The expected response rate of the base cohort to the </w:t>
      </w:r>
      <w:r w:rsidR="00F04C74">
        <w:t>42</w:t>
      </w:r>
      <w:r w:rsidR="00C23DA3">
        <w:t>-month interview</w:t>
      </w:r>
      <w:r w:rsidR="004245D5">
        <w:t xml:space="preserve">, which </w:t>
      </w:r>
      <w:r w:rsidR="00F04C74">
        <w:t>has completed fielding but has not yet been weighted,</w:t>
      </w:r>
      <w:r w:rsidR="00C23DA3">
        <w:t xml:space="preserve"> is 6</w:t>
      </w:r>
      <w:r w:rsidR="00F04C74">
        <w:t>9</w:t>
      </w:r>
      <w:r w:rsidR="00C23DA3">
        <w:t xml:space="preserve"> percent</w:t>
      </w:r>
      <w:r w:rsidR="004245D5">
        <w:t xml:space="preserve">. </w:t>
      </w:r>
    </w:p>
    <w:p w14:paraId="77C85D19" w14:textId="77D1D2A7" w:rsidR="00C23DA3" w:rsidRPr="00D93286" w:rsidRDefault="00C23DA3" w:rsidP="00971256">
      <w:pPr>
        <w:pStyle w:val="Heading2"/>
        <w:tabs>
          <w:tab w:val="clear" w:pos="1152"/>
          <w:tab w:val="left" w:pos="720"/>
        </w:tabs>
        <w:spacing w:before="240"/>
        <w:ind w:left="720" w:hanging="720"/>
      </w:pPr>
      <w:bookmarkStart w:id="30" w:name="_Toc329341117"/>
      <w:bookmarkStart w:id="31" w:name="_Toc290021782"/>
      <w:bookmarkStart w:id="32" w:name="_Toc287257090"/>
      <w:bookmarkStart w:id="33" w:name="_Toc287257036"/>
      <w:bookmarkStart w:id="34" w:name="_Toc400377724"/>
      <w:r w:rsidRPr="00D93286">
        <w:t>B.2</w:t>
      </w:r>
      <w:r w:rsidRPr="00D93286">
        <w:tab/>
        <w:t>Procedures for the Collection of Information</w:t>
      </w:r>
      <w:bookmarkEnd w:id="30"/>
      <w:bookmarkEnd w:id="31"/>
      <w:bookmarkEnd w:id="32"/>
      <w:bookmarkEnd w:id="33"/>
      <w:bookmarkEnd w:id="34"/>
    </w:p>
    <w:p w14:paraId="5CA87D1E" w14:textId="77777777" w:rsidR="00C23DA3" w:rsidRPr="005071A8" w:rsidRDefault="00C23DA3" w:rsidP="00A620CD">
      <w:pPr>
        <w:pStyle w:val="L1-FlLSp12"/>
        <w:tabs>
          <w:tab w:val="left" w:pos="720"/>
        </w:tabs>
        <w:spacing w:after="240" w:line="276" w:lineRule="auto"/>
        <w:rPr>
          <w:b/>
        </w:rPr>
      </w:pPr>
      <w:bookmarkStart w:id="35" w:name="_Toc400377725"/>
      <w:bookmarkStart w:id="36" w:name="_Toc290021783"/>
      <w:bookmarkStart w:id="37" w:name="_Toc280185474"/>
      <w:r w:rsidRPr="005071A8">
        <w:rPr>
          <w:b/>
        </w:rPr>
        <w:t>Describe the procedures for the collection of information including:</w:t>
      </w:r>
      <w:bookmarkEnd w:id="35"/>
    </w:p>
    <w:p w14:paraId="6F469138" w14:textId="77777777" w:rsidR="00C23DA3" w:rsidRPr="005071A8" w:rsidRDefault="00C23DA3" w:rsidP="00A620CD">
      <w:pPr>
        <w:pStyle w:val="N1-1stBullet"/>
        <w:tabs>
          <w:tab w:val="left" w:pos="720"/>
        </w:tabs>
        <w:spacing w:line="276" w:lineRule="auto"/>
        <w:rPr>
          <w:b/>
        </w:rPr>
      </w:pPr>
      <w:bookmarkStart w:id="38" w:name="_Toc325550967"/>
      <w:bookmarkStart w:id="39" w:name="_Toc316652509"/>
      <w:bookmarkStart w:id="40" w:name="_Toc400377726"/>
      <w:r w:rsidRPr="005071A8">
        <w:rPr>
          <w:b/>
        </w:rPr>
        <w:t>Statistical methodology for stratification and sample selection,</w:t>
      </w:r>
      <w:bookmarkEnd w:id="38"/>
      <w:bookmarkEnd w:id="39"/>
      <w:bookmarkEnd w:id="40"/>
    </w:p>
    <w:p w14:paraId="013E1299" w14:textId="77777777" w:rsidR="00C23DA3" w:rsidRPr="005071A8" w:rsidRDefault="00C23DA3" w:rsidP="00971256">
      <w:pPr>
        <w:pStyle w:val="N1-1stBullet"/>
        <w:tabs>
          <w:tab w:val="clear" w:pos="1152"/>
          <w:tab w:val="left" w:pos="720"/>
        </w:tabs>
        <w:spacing w:line="276" w:lineRule="auto"/>
        <w:rPr>
          <w:b/>
        </w:rPr>
      </w:pPr>
      <w:bookmarkStart w:id="41" w:name="_Toc325550968"/>
      <w:bookmarkStart w:id="42" w:name="_Toc316652510"/>
      <w:bookmarkStart w:id="43" w:name="_Toc400377727"/>
      <w:r w:rsidRPr="005071A8">
        <w:rPr>
          <w:b/>
        </w:rPr>
        <w:t>Estimation procedure,</w:t>
      </w:r>
      <w:bookmarkEnd w:id="41"/>
      <w:bookmarkEnd w:id="42"/>
      <w:bookmarkEnd w:id="43"/>
    </w:p>
    <w:p w14:paraId="455C37CC" w14:textId="77777777" w:rsidR="00C23DA3" w:rsidRPr="005071A8" w:rsidRDefault="00C23DA3" w:rsidP="00A620CD">
      <w:pPr>
        <w:pStyle w:val="N1-1stBullet"/>
        <w:tabs>
          <w:tab w:val="left" w:pos="720"/>
        </w:tabs>
        <w:spacing w:line="276" w:lineRule="auto"/>
        <w:rPr>
          <w:b/>
        </w:rPr>
      </w:pPr>
      <w:bookmarkStart w:id="44" w:name="_Toc325550969"/>
      <w:bookmarkStart w:id="45" w:name="_Toc316652511"/>
      <w:bookmarkStart w:id="46" w:name="_Toc400377728"/>
      <w:r w:rsidRPr="005071A8">
        <w:rPr>
          <w:b/>
        </w:rPr>
        <w:t>Degree of accuracy needed for the purpose described in the justification,</w:t>
      </w:r>
      <w:bookmarkEnd w:id="44"/>
      <w:bookmarkEnd w:id="45"/>
      <w:bookmarkEnd w:id="46"/>
    </w:p>
    <w:p w14:paraId="7DD55A22" w14:textId="77777777" w:rsidR="00C23DA3" w:rsidRPr="005071A8" w:rsidRDefault="00C23DA3" w:rsidP="00A620CD">
      <w:pPr>
        <w:pStyle w:val="N1-1stBullet"/>
        <w:tabs>
          <w:tab w:val="left" w:pos="720"/>
        </w:tabs>
        <w:spacing w:line="276" w:lineRule="auto"/>
        <w:rPr>
          <w:b/>
        </w:rPr>
      </w:pPr>
      <w:bookmarkStart w:id="47" w:name="_Toc325550970"/>
      <w:bookmarkStart w:id="48" w:name="_Toc316652512"/>
      <w:bookmarkStart w:id="49" w:name="_Toc400377729"/>
      <w:r w:rsidRPr="005071A8">
        <w:rPr>
          <w:b/>
        </w:rPr>
        <w:t>Unusual problems requiring specialized sampling procedures, and</w:t>
      </w:r>
      <w:bookmarkEnd w:id="47"/>
      <w:bookmarkEnd w:id="48"/>
      <w:bookmarkEnd w:id="49"/>
    </w:p>
    <w:p w14:paraId="7CEFCB86" w14:textId="77777777" w:rsidR="00C23DA3" w:rsidRPr="005071A8" w:rsidRDefault="00C23DA3" w:rsidP="00A620CD">
      <w:pPr>
        <w:pStyle w:val="N1-1stBullet"/>
        <w:tabs>
          <w:tab w:val="clear" w:pos="1152"/>
          <w:tab w:val="left" w:pos="720"/>
        </w:tabs>
        <w:spacing w:line="276" w:lineRule="auto"/>
        <w:ind w:left="720" w:hanging="144"/>
        <w:rPr>
          <w:b/>
        </w:rPr>
      </w:pPr>
      <w:bookmarkStart w:id="50" w:name="_Toc325550971"/>
      <w:bookmarkStart w:id="51" w:name="_Toc316652513"/>
      <w:bookmarkStart w:id="52" w:name="_Toc400377730"/>
      <w:r w:rsidRPr="005071A8">
        <w:rPr>
          <w:b/>
        </w:rPr>
        <w:t>Any use of periodic (less frequent than annual) data collection cycles to reduce burden.</w:t>
      </w:r>
      <w:bookmarkEnd w:id="50"/>
      <w:bookmarkEnd w:id="51"/>
      <w:bookmarkEnd w:id="52"/>
    </w:p>
    <w:p w14:paraId="7E56599C" w14:textId="7BB0C5D8" w:rsidR="008669EB" w:rsidRDefault="008669EB" w:rsidP="008669EB">
      <w:pPr>
        <w:pStyle w:val="L1-FlLSp12"/>
        <w:tabs>
          <w:tab w:val="left" w:pos="720"/>
        </w:tabs>
        <w:spacing w:line="480" w:lineRule="auto"/>
      </w:pPr>
      <w:bookmarkStart w:id="53" w:name="_Toc400377731"/>
      <w:bookmarkStart w:id="54" w:name="_Toc290021785"/>
      <w:bookmarkEnd w:id="36"/>
      <w:bookmarkEnd w:id="37"/>
      <w:r>
        <w:rPr>
          <w:b/>
        </w:rPr>
        <w:tab/>
      </w:r>
      <w:r>
        <w:t>The Age 6 Extension will involve: (1) conducting one additiona</w:t>
      </w:r>
      <w:r w:rsidR="009F3593">
        <w:t>l follow-up telephone interview</w:t>
      </w:r>
      <w:r>
        <w:t xml:space="preserve"> with the mother/caregiver when the child is 72 months old; (2) conducting a second, replicate </w:t>
      </w:r>
      <w:r w:rsidRPr="003B7557">
        <w:t xml:space="preserve">dietary intake interview </w:t>
      </w:r>
      <w:r>
        <w:t>with</w:t>
      </w:r>
      <w:r w:rsidRPr="003B7557">
        <w:t xml:space="preserve"> a </w:t>
      </w:r>
      <w:r>
        <w:t xml:space="preserve">10 percent </w:t>
      </w:r>
      <w:r w:rsidRPr="003B7557">
        <w:t>subsample of caregivers who complete the first interview</w:t>
      </w:r>
      <w:r>
        <w:t>,</w:t>
      </w:r>
      <w:r w:rsidRPr="003B7557">
        <w:t xml:space="preserve"> </w:t>
      </w:r>
      <w:r>
        <w:t xml:space="preserve">and (3) obtaining height and weight measurements at 72 months on each child from </w:t>
      </w:r>
      <w:r w:rsidRPr="003B7557">
        <w:t>caregiver’s provision to the study of health care provider measurements, or from direct measurements taken at WIC sites</w:t>
      </w:r>
      <w:r>
        <w:t>.</w:t>
      </w:r>
    </w:p>
    <w:p w14:paraId="762ACD04" w14:textId="42675EF1" w:rsidR="00C23DA3" w:rsidRDefault="00C23DA3" w:rsidP="00A620CD">
      <w:pPr>
        <w:pStyle w:val="Heading4"/>
        <w:tabs>
          <w:tab w:val="left" w:pos="720"/>
        </w:tabs>
        <w:spacing w:line="480" w:lineRule="auto"/>
      </w:pPr>
      <w:r w:rsidRPr="004504E0">
        <w:t xml:space="preserve">Statistical </w:t>
      </w:r>
      <w:r w:rsidR="00550934">
        <w:t>M</w:t>
      </w:r>
      <w:r w:rsidRPr="004504E0">
        <w:t xml:space="preserve">ethodology for </w:t>
      </w:r>
      <w:r w:rsidR="00550934">
        <w:t>S</w:t>
      </w:r>
      <w:r w:rsidRPr="004504E0">
        <w:t xml:space="preserve">tratification and </w:t>
      </w:r>
      <w:r w:rsidR="00550934">
        <w:t>S</w:t>
      </w:r>
      <w:r w:rsidRPr="004504E0">
        <w:t xml:space="preserve">ample </w:t>
      </w:r>
      <w:r w:rsidR="00550934">
        <w:t>S</w:t>
      </w:r>
      <w:r w:rsidRPr="004504E0">
        <w:t>election</w:t>
      </w:r>
      <w:bookmarkEnd w:id="53"/>
    </w:p>
    <w:p w14:paraId="630812E1" w14:textId="1237816C" w:rsidR="00C23DA3" w:rsidRDefault="000C0BC0" w:rsidP="00A620CD">
      <w:pPr>
        <w:pStyle w:val="L1-FlLSp12"/>
        <w:tabs>
          <w:tab w:val="left" w:pos="720"/>
        </w:tabs>
        <w:spacing w:after="240" w:line="480" w:lineRule="auto"/>
      </w:pPr>
      <w:bookmarkStart w:id="55" w:name="_Toc400377732"/>
      <w:bookmarkEnd w:id="54"/>
      <w:r>
        <w:tab/>
      </w:r>
      <w:r w:rsidR="00C23DA3" w:rsidRPr="007508AA">
        <w:t xml:space="preserve">The </w:t>
      </w:r>
      <w:r w:rsidR="00C23DA3">
        <w:t xml:space="preserve">Age </w:t>
      </w:r>
      <w:r w:rsidR="00F04C74">
        <w:t>6</w:t>
      </w:r>
      <w:r w:rsidR="00C23DA3">
        <w:t xml:space="preserve"> Extension will continue to collect data from participants </w:t>
      </w:r>
      <w:r w:rsidR="00B83A8A">
        <w:t>who</w:t>
      </w:r>
      <w:r w:rsidR="00C23DA3">
        <w:t xml:space="preserve"> were recruited in the base study</w:t>
      </w:r>
      <w:r w:rsidR="009F3593">
        <w:t xml:space="preserve">. </w:t>
      </w:r>
      <w:r w:rsidR="00C51256">
        <w:t xml:space="preserve">(A description of the statistical methodology for stratification and sample selection for the base study sample is given in Appendix W.) </w:t>
      </w:r>
      <w:r w:rsidR="00B67D67">
        <w:t xml:space="preserve">A random sample of 15 percent of all </w:t>
      </w:r>
      <w:r w:rsidR="0006594F">
        <w:t>participant</w:t>
      </w:r>
      <w:r w:rsidR="00B67D67">
        <w:t xml:space="preserve">s </w:t>
      </w:r>
      <w:r w:rsidR="00B83A8A">
        <w:t>who complete the</w:t>
      </w:r>
      <w:r w:rsidR="00B67D67">
        <w:t xml:space="preserve"> first 72-month interview will be selected for the replicate AMPM interview.</w:t>
      </w:r>
      <w:bookmarkEnd w:id="55"/>
    </w:p>
    <w:p w14:paraId="3646CC4C" w14:textId="77777777" w:rsidR="00AF1DFC" w:rsidRPr="00D93286" w:rsidRDefault="00AF1DFC" w:rsidP="00AF1DFC">
      <w:pPr>
        <w:pStyle w:val="Heading4"/>
        <w:tabs>
          <w:tab w:val="left" w:pos="720"/>
        </w:tabs>
        <w:spacing w:line="480" w:lineRule="auto"/>
      </w:pPr>
      <w:r w:rsidRPr="00D93286">
        <w:t>Estimation Procedures</w:t>
      </w:r>
    </w:p>
    <w:p w14:paraId="551849DD" w14:textId="607BCF0C" w:rsidR="00AF1DFC" w:rsidRDefault="00AF1DFC" w:rsidP="00AF1DFC">
      <w:pPr>
        <w:pStyle w:val="L1-FlLSp12"/>
        <w:tabs>
          <w:tab w:val="left" w:pos="720"/>
        </w:tabs>
        <w:spacing w:line="480" w:lineRule="auto"/>
      </w:pPr>
      <w:r>
        <w:tab/>
        <w:t xml:space="preserve">The estimation procedures for the extension are the same as those for the base study. </w:t>
      </w:r>
      <w:r w:rsidRPr="00D93286">
        <w:t xml:space="preserve">We plan to use standard design-based methods for estimation and variance estimation that will lead to confidence intervals on means and percentages, and hypothesis tests on contrasts of means and percentages. We will prepare a separate set of </w:t>
      </w:r>
      <w:r>
        <w:t xml:space="preserve">cross-sectional </w:t>
      </w:r>
      <w:r w:rsidRPr="00D93286">
        <w:t xml:space="preserve">weights </w:t>
      </w:r>
      <w:r>
        <w:t>for the 72-Month interview</w:t>
      </w:r>
      <w:r w:rsidRPr="00D93286">
        <w:t xml:space="preserve">. </w:t>
      </w:r>
      <w:r>
        <w:t>As with other waves of interviews in the Base study and previous Extensions, t</w:t>
      </w:r>
      <w:r w:rsidRPr="00D93286">
        <w:t xml:space="preserve">he only </w:t>
      </w:r>
      <w:r w:rsidR="0006594F">
        <w:t>participant</w:t>
      </w:r>
      <w:r w:rsidRPr="00D93286">
        <w:t xml:space="preserve">s that will receive a positive weight for </w:t>
      </w:r>
      <w:r>
        <w:t>the 72-Month interview</w:t>
      </w:r>
      <w:r w:rsidRPr="00D93286">
        <w:t xml:space="preserve"> will be those who responded to the </w:t>
      </w:r>
      <w:r>
        <w:t>72-Month interview</w:t>
      </w:r>
      <w:r w:rsidRPr="00D93286">
        <w:t>. Weighting will be used to adjust for nonresponse to the initial interview and to adjust for attrition</w:t>
      </w:r>
      <w:r>
        <w:t xml:space="preserve"> and other nonresponse that results in failure to complete the particular interview (in this case, the 72-Month interview)</w:t>
      </w:r>
      <w:r w:rsidRPr="00D93286">
        <w:t xml:space="preserve">. </w:t>
      </w:r>
      <w:r>
        <w:t xml:space="preserve">Additionally, a few sets of longitudinal weights (which weight up </w:t>
      </w:r>
      <w:r w:rsidR="0006594F">
        <w:t>participants</w:t>
      </w:r>
      <w:r>
        <w:t xml:space="preserve"> to particular combinations of interviews) may be developed for specific analyses. </w:t>
      </w:r>
      <w:r w:rsidRPr="00D93286">
        <w:t>Imputation will be used to fill in scattered item nonresponse within completed interviews</w:t>
      </w:r>
      <w:r>
        <w:t>.</w:t>
      </w:r>
    </w:p>
    <w:p w14:paraId="1FD67D5A" w14:textId="4E74C062" w:rsidR="00AF1DFC" w:rsidRDefault="00AF1DFC" w:rsidP="00AF1DFC">
      <w:pPr>
        <w:pStyle w:val="L1-FlLSp12"/>
        <w:tabs>
          <w:tab w:val="left" w:pos="720"/>
        </w:tabs>
        <w:spacing w:after="240" w:line="480" w:lineRule="auto"/>
      </w:pPr>
      <w:r>
        <w:tab/>
      </w:r>
      <w:r w:rsidRPr="00D93286">
        <w:t>We will develop sampling weights aimed at yielding nearly unbiased estimates of population parameters.</w:t>
      </w:r>
      <w:r>
        <w:t xml:space="preserve"> Although the base study includes separate sets of weights for analyses of the </w:t>
      </w:r>
      <w:r w:rsidRPr="00D93286">
        <w:t>core sample by itself</w:t>
      </w:r>
      <w:r>
        <w:t xml:space="preserve">, the 72-Month interview will be administered to both the core and supplemental samples. Thus, the cross-sectional weights for this extension will be </w:t>
      </w:r>
      <w:r w:rsidRPr="00D93286">
        <w:t xml:space="preserve">developed for joint analyses of the core and supplemental sample samples. Details of the calculation of the </w:t>
      </w:r>
      <w:r>
        <w:t xml:space="preserve">weights and of nonresponse bias analysis are found in Appendix </w:t>
      </w:r>
      <w:r w:rsidR="00C31B3D">
        <w:t>X</w:t>
      </w:r>
      <w:r>
        <w:t>.</w:t>
      </w:r>
    </w:p>
    <w:p w14:paraId="0E3BDDB9" w14:textId="77777777" w:rsidR="00AF1DFC" w:rsidRPr="00D93286" w:rsidRDefault="00AF1DFC" w:rsidP="00AF1DFC">
      <w:pPr>
        <w:pStyle w:val="Heading4"/>
        <w:tabs>
          <w:tab w:val="left" w:pos="720"/>
        </w:tabs>
        <w:spacing w:line="480" w:lineRule="auto"/>
      </w:pPr>
      <w:r w:rsidRPr="004504E0">
        <w:t>Degree of Accuracy Needed for the Purpose Described in the Justification</w:t>
      </w:r>
    </w:p>
    <w:p w14:paraId="591B32F5" w14:textId="1590B303" w:rsidR="00AF1DFC" w:rsidRPr="009F3593" w:rsidRDefault="00AF1DFC" w:rsidP="009F3593">
      <w:pPr>
        <w:pStyle w:val="Heading4"/>
        <w:tabs>
          <w:tab w:val="left" w:pos="720"/>
        </w:tabs>
        <w:spacing w:after="240" w:line="480" w:lineRule="auto"/>
        <w:ind w:left="0" w:firstLine="0"/>
        <w:rPr>
          <w:rFonts w:ascii="Garamond" w:hAnsi="Garamond"/>
          <w:b w:val="0"/>
          <w:color w:val="auto"/>
        </w:rPr>
      </w:pPr>
      <w:r>
        <w:tab/>
      </w:r>
      <w:r w:rsidRPr="00393981">
        <w:rPr>
          <w:rFonts w:ascii="Garamond" w:hAnsi="Garamond"/>
          <w:b w:val="0"/>
          <w:color w:val="auto"/>
        </w:rPr>
        <w:t>The sample size requirements for the WIC ITFPS-2 base study were determined based on power projections and precision requirements for estimates at 12 and 24 months.</w:t>
      </w:r>
      <w:r w:rsidR="009F3593">
        <w:rPr>
          <w:rFonts w:ascii="Garamond" w:hAnsi="Garamond"/>
          <w:b w:val="0"/>
          <w:color w:val="auto"/>
        </w:rPr>
        <w:t xml:space="preserve"> As noted in Section B.1, f</w:t>
      </w:r>
      <w:r w:rsidR="009F3593" w:rsidRPr="009F3593">
        <w:rPr>
          <w:rFonts w:ascii="Garamond" w:hAnsi="Garamond"/>
          <w:b w:val="0"/>
          <w:color w:val="auto"/>
        </w:rPr>
        <w:t>or generic characteristics with 20 percent, 40 percent, and 50 percent prevalences, the projected sample sizes at 60 months are expected to yield confidence interval half-widths at 6 years ranging from 2.2 to 7.8 percentage points for 95 percent confidence intervals, and from 1.8 to 6.5 percentage points for 90 percent confidence intervals, and are expected to yield CVs ranging from 2.8 percent to 15.8 percent (for the range of estimates considered).</w:t>
      </w:r>
    </w:p>
    <w:p w14:paraId="362D29A9" w14:textId="77777777" w:rsidR="00AF1DFC" w:rsidRPr="00D93286" w:rsidRDefault="00AF1DFC" w:rsidP="00AF1DFC">
      <w:pPr>
        <w:pStyle w:val="Heading4"/>
        <w:tabs>
          <w:tab w:val="left" w:pos="720"/>
        </w:tabs>
        <w:spacing w:line="480" w:lineRule="auto"/>
      </w:pPr>
      <w:r w:rsidRPr="00D93286">
        <w:t>Unusual Problems Requiring Specialized Sampling Procedures</w:t>
      </w:r>
    </w:p>
    <w:p w14:paraId="7DA41501" w14:textId="4A09030A" w:rsidR="00AF1DFC" w:rsidRDefault="003B2372" w:rsidP="00AF1DFC">
      <w:pPr>
        <w:pStyle w:val="L1-FlLSp12"/>
        <w:tabs>
          <w:tab w:val="left" w:pos="720"/>
        </w:tabs>
        <w:spacing w:after="240" w:line="480" w:lineRule="auto"/>
      </w:pPr>
      <w:r>
        <w:tab/>
      </w:r>
      <w:r w:rsidR="00AF1DFC" w:rsidRPr="00D93286">
        <w:t>No specialized sampling procedures are involved.</w:t>
      </w:r>
    </w:p>
    <w:p w14:paraId="1AC6B4B0" w14:textId="77777777" w:rsidR="00AF1DFC" w:rsidRPr="00D93286" w:rsidRDefault="00AF1DFC" w:rsidP="00AF1DFC">
      <w:pPr>
        <w:pStyle w:val="Heading4"/>
        <w:tabs>
          <w:tab w:val="left" w:pos="720"/>
        </w:tabs>
        <w:spacing w:line="480" w:lineRule="auto"/>
      </w:pPr>
      <w:r w:rsidRPr="00D93286">
        <w:t>Any use of Periodic (less frequent than annual) Data Collection Cycles to Reduce Burden</w:t>
      </w:r>
    </w:p>
    <w:p w14:paraId="540E7803" w14:textId="3BEA2F6F" w:rsidR="00AF1DFC" w:rsidRDefault="00AF1DFC" w:rsidP="00AF1DFC">
      <w:pPr>
        <w:pStyle w:val="L1-FlLSp12"/>
        <w:tabs>
          <w:tab w:val="left" w:pos="720"/>
        </w:tabs>
        <w:spacing w:line="480" w:lineRule="auto"/>
      </w:pPr>
      <w:r>
        <w:tab/>
      </w:r>
      <w:r w:rsidRPr="00D93286">
        <w:t xml:space="preserve">All data collection activities </w:t>
      </w:r>
      <w:r>
        <w:t xml:space="preserve">described in this extension </w:t>
      </w:r>
      <w:r w:rsidRPr="00D93286">
        <w:t xml:space="preserve">will occur within a </w:t>
      </w:r>
      <w:r>
        <w:t>15</w:t>
      </w:r>
      <w:r w:rsidRPr="00D93286">
        <w:t xml:space="preserve"> month period. The study design requires that </w:t>
      </w:r>
      <w:r w:rsidR="0006594F">
        <w:t>participant</w:t>
      </w:r>
      <w:r w:rsidRPr="00D93286">
        <w:t xml:space="preserve">s be </w:t>
      </w:r>
      <w:r w:rsidR="00393981">
        <w:t>interviewed</w:t>
      </w:r>
      <w:r w:rsidRPr="00D93286">
        <w:t xml:space="preserve"> at multiple times, as described in Section B.1.</w:t>
      </w:r>
    </w:p>
    <w:p w14:paraId="3094DCAA" w14:textId="1FB50F13" w:rsidR="00C24573" w:rsidRDefault="00C24573" w:rsidP="00C24573">
      <w:pPr>
        <w:pStyle w:val="Heading4"/>
        <w:tabs>
          <w:tab w:val="left" w:pos="720"/>
        </w:tabs>
        <w:spacing w:line="480" w:lineRule="auto"/>
      </w:pPr>
      <w:r>
        <w:t xml:space="preserve">Procedures for </w:t>
      </w:r>
      <w:r w:rsidR="00F705BB">
        <w:t>Conducting Interviews</w:t>
      </w:r>
    </w:p>
    <w:p w14:paraId="0D890D59" w14:textId="1C2BF10E" w:rsidR="00C24573" w:rsidRPr="00C24573" w:rsidRDefault="00C24573" w:rsidP="00A620CD">
      <w:pPr>
        <w:pStyle w:val="L1-FlLSp12"/>
        <w:tabs>
          <w:tab w:val="left" w:pos="720"/>
        </w:tabs>
        <w:spacing w:after="240" w:line="480" w:lineRule="auto"/>
      </w:pPr>
      <w:r>
        <w:tab/>
      </w:r>
      <w:r w:rsidR="0006594F">
        <w:t>Participants</w:t>
      </w:r>
      <w:r>
        <w:t xml:space="preserve"> will be contacted and interviewed using the same procedures that have proven successful thus far for them in this longitudinal study. </w:t>
      </w:r>
      <w:r w:rsidR="0006594F">
        <w:t>Participants</w:t>
      </w:r>
      <w:r>
        <w:t xml:space="preserve"> will receive </w:t>
      </w:r>
      <w:r w:rsidR="005851D3">
        <w:t xml:space="preserve">an </w:t>
      </w:r>
      <w:r>
        <w:t xml:space="preserve">advance letter informing them of </w:t>
      </w:r>
      <w:r w:rsidR="005851D3">
        <w:t xml:space="preserve">their </w:t>
      </w:r>
      <w:r>
        <w:t xml:space="preserve">upcoming </w:t>
      </w:r>
      <w:r w:rsidR="005851D3">
        <w:t xml:space="preserve">72-month </w:t>
      </w:r>
      <w:r>
        <w:t>interview</w:t>
      </w:r>
      <w:r w:rsidR="005851D3">
        <w:t xml:space="preserve"> </w:t>
      </w:r>
      <w:r>
        <w:t>(Appendi</w:t>
      </w:r>
      <w:r w:rsidR="005851D3">
        <w:t>x C</w:t>
      </w:r>
      <w:r w:rsidR="00EE2634">
        <w:t>1, C2</w:t>
      </w:r>
      <w:r w:rsidR="005851D3">
        <w:t>)</w:t>
      </w:r>
      <w:r>
        <w:t xml:space="preserve">. The </w:t>
      </w:r>
      <w:r w:rsidR="00F705BB">
        <w:t xml:space="preserve">window for </w:t>
      </w:r>
      <w:r w:rsidR="005851D3">
        <w:t>the</w:t>
      </w:r>
      <w:r w:rsidR="00F705BB">
        <w:t xml:space="preserve"> </w:t>
      </w:r>
      <w:r>
        <w:t xml:space="preserve">interview is </w:t>
      </w:r>
      <w:r w:rsidR="00F705BB">
        <w:t>six</w:t>
      </w:r>
      <w:r>
        <w:t xml:space="preserve"> weeks long</w:t>
      </w:r>
      <w:r w:rsidR="00F705BB">
        <w:t>, and during that time highly trained interviewers</w:t>
      </w:r>
      <w:r w:rsidR="005851D3">
        <w:t>, m</w:t>
      </w:r>
      <w:r w:rsidR="00EE2634">
        <w:t>ost</w:t>
      </w:r>
      <w:r w:rsidR="005851D3">
        <w:t xml:space="preserve"> of </w:t>
      </w:r>
      <w:r w:rsidR="00F705BB">
        <w:t>who</w:t>
      </w:r>
      <w:r w:rsidR="005851D3">
        <w:t>m</w:t>
      </w:r>
      <w:r w:rsidR="00F705BB">
        <w:t xml:space="preserve"> have been with the study since its inception</w:t>
      </w:r>
      <w:r w:rsidR="005851D3">
        <w:t>,</w:t>
      </w:r>
      <w:r w:rsidR="00F705BB">
        <w:t xml:space="preserve"> will make outbound calls to </w:t>
      </w:r>
      <w:r w:rsidR="0006594F">
        <w:t>participant</w:t>
      </w:r>
      <w:r w:rsidR="00F705BB">
        <w:t xml:space="preserve">s during varying days and time periods. </w:t>
      </w:r>
      <w:r w:rsidR="0006594F">
        <w:t>Participants</w:t>
      </w:r>
      <w:r w:rsidR="00F705BB">
        <w:t xml:space="preserve"> are also offered the opportunity to make inbound toll-free calls to complete </w:t>
      </w:r>
      <w:r w:rsidR="005851D3">
        <w:t xml:space="preserve">the </w:t>
      </w:r>
      <w:r w:rsidR="00F705BB">
        <w:t>interview at their convenience, or they can request outbound appointment calls</w:t>
      </w:r>
      <w:r w:rsidR="009F3593">
        <w:t xml:space="preserve"> (see Section B.3 for further details)</w:t>
      </w:r>
      <w:r w:rsidR="00F705BB">
        <w:t xml:space="preserve">. As is sometimes necessary with parents of young children, interviewers are trained to allow breaks for interruptions in the </w:t>
      </w:r>
      <w:r w:rsidR="0006594F">
        <w:t>participants’</w:t>
      </w:r>
      <w:r w:rsidR="00F705BB">
        <w:t xml:space="preserve"> environments, or </w:t>
      </w:r>
      <w:r w:rsidR="00FC597A">
        <w:t xml:space="preserve">to schedule </w:t>
      </w:r>
      <w:r w:rsidR="00F705BB">
        <w:t>call-backs to complete interviews not finished due to interruptions.</w:t>
      </w:r>
    </w:p>
    <w:p w14:paraId="025CA0C0" w14:textId="64A22854" w:rsidR="00C23DA3" w:rsidRDefault="00C23DA3" w:rsidP="00A620CD">
      <w:pPr>
        <w:pStyle w:val="Heading4"/>
        <w:tabs>
          <w:tab w:val="left" w:pos="720"/>
        </w:tabs>
        <w:spacing w:line="480" w:lineRule="auto"/>
      </w:pPr>
      <w:r w:rsidRPr="00D93286">
        <w:t>Estimation and Calculation of Sampling Errors</w:t>
      </w:r>
    </w:p>
    <w:p w14:paraId="368FA1D8" w14:textId="5092D8B1" w:rsidR="00C23DA3" w:rsidRDefault="000C0BC0" w:rsidP="001B4E22">
      <w:pPr>
        <w:pStyle w:val="L1-FlLSp12"/>
        <w:tabs>
          <w:tab w:val="left" w:pos="720"/>
        </w:tabs>
        <w:spacing w:after="240" w:line="480" w:lineRule="auto"/>
      </w:pPr>
      <w:r>
        <w:tab/>
      </w:r>
      <w:r w:rsidR="00C04323">
        <w:t>All</w:t>
      </w:r>
      <w:r w:rsidR="00C04323" w:rsidRPr="00D93286">
        <w:t xml:space="preserve"> </w:t>
      </w:r>
      <w:r w:rsidR="00C23DA3" w:rsidRPr="00D93286">
        <w:t>WIC ITFPS-2 data files</w:t>
      </w:r>
      <w:r w:rsidR="00781740">
        <w:t>, including those associated with this extension,</w:t>
      </w:r>
      <w:r w:rsidR="00C23DA3" w:rsidRPr="00D93286">
        <w:t xml:space="preserve"> will contain the information necessary for analysts to use either </w:t>
      </w:r>
      <w:r w:rsidR="00781740">
        <w:t>replication or Taylor series linearization methods to compute</w:t>
      </w:r>
      <w:r w:rsidR="00EA55CD">
        <w:t xml:space="preserve"> standard errors of estimates. </w:t>
      </w:r>
      <w:r w:rsidR="00C23DA3" w:rsidRPr="00D93286">
        <w:t xml:space="preserve">For </w:t>
      </w:r>
      <w:r w:rsidR="00C04323">
        <w:t>this study</w:t>
      </w:r>
      <w:r w:rsidR="00C23DA3" w:rsidRPr="00D93286">
        <w:t xml:space="preserve">, 40 replicates </w:t>
      </w:r>
      <w:r w:rsidR="00781740">
        <w:t xml:space="preserve">were </w:t>
      </w:r>
      <w:r w:rsidR="00C23DA3" w:rsidRPr="00D93286">
        <w:t xml:space="preserve">created, and the replication approach used </w:t>
      </w:r>
      <w:r w:rsidR="008222AC">
        <w:t>was</w:t>
      </w:r>
      <w:r w:rsidR="008222AC" w:rsidRPr="00D93286">
        <w:t xml:space="preserve"> </w:t>
      </w:r>
      <w:r w:rsidR="00C23DA3" w:rsidRPr="00D93286">
        <w:t>a modified balanced repeated replication (BRR) method suggested by Fay,</w:t>
      </w:r>
      <w:r w:rsidR="00C23DA3" w:rsidRPr="00D93286">
        <w:rPr>
          <w:rFonts w:ascii="Times New Roman" w:hAnsi="Times New Roman"/>
          <w:color w:val="000000"/>
          <w:vertAlign w:val="superscript"/>
        </w:rPr>
        <w:footnoteReference w:id="3"/>
      </w:r>
      <w:r w:rsidR="00C23DA3" w:rsidRPr="00D93286">
        <w:t xml:space="preserve"> with K=0.</w:t>
      </w:r>
      <w:r w:rsidR="00606BBF">
        <w:t>3</w:t>
      </w:r>
      <w:r w:rsidR="00C23DA3" w:rsidRPr="00D93286">
        <w:t xml:space="preserve"> (K is the perturbation factor known as </w:t>
      </w:r>
      <w:r w:rsidR="00550934">
        <w:t>“</w:t>
      </w:r>
      <w:r w:rsidR="00C23DA3" w:rsidRPr="00D93286">
        <w:t>Fay</w:t>
      </w:r>
      <w:r w:rsidR="00550934">
        <w:t>’</w:t>
      </w:r>
      <w:r w:rsidR="00C23DA3" w:rsidRPr="00D93286">
        <w:t>s factor</w:t>
      </w:r>
      <w:r w:rsidR="00550934">
        <w:t>”</w:t>
      </w:r>
      <w:r w:rsidR="00C23DA3" w:rsidRPr="00D93286">
        <w:t>).</w:t>
      </w:r>
      <w:r w:rsidR="00550934">
        <w:t xml:space="preserve"> </w:t>
      </w:r>
      <w:r w:rsidR="00C23DA3" w:rsidRPr="00D93286">
        <w:t>To appropriately reflect the effects of the various stages of weighting on the variances of survey estimates,</w:t>
      </w:r>
      <w:r w:rsidR="00C23DA3" w:rsidRPr="00D93286">
        <w:rPr>
          <w:rFonts w:ascii="Times New Roman" w:hAnsi="Times New Roman"/>
          <w:color w:val="000000"/>
          <w:vertAlign w:val="superscript"/>
        </w:rPr>
        <w:footnoteReference w:id="4"/>
      </w:r>
      <w:r w:rsidR="00C23DA3" w:rsidRPr="00D93286">
        <w:t xml:space="preserve"> the procedures used to compute the full-sample weights will be repeated for each of the replicates.</w:t>
      </w:r>
    </w:p>
    <w:p w14:paraId="6F7A242B" w14:textId="77777777" w:rsidR="00C23DA3" w:rsidRPr="00C70E11" w:rsidRDefault="00C23DA3" w:rsidP="00971256">
      <w:pPr>
        <w:pStyle w:val="Heading2"/>
        <w:tabs>
          <w:tab w:val="clear" w:pos="1152"/>
          <w:tab w:val="left" w:pos="720"/>
        </w:tabs>
        <w:ind w:left="720" w:hanging="720"/>
      </w:pPr>
      <w:bookmarkStart w:id="56" w:name="_Toc400377751"/>
      <w:r w:rsidRPr="00C70E11">
        <w:t>B.3</w:t>
      </w:r>
      <w:r w:rsidRPr="00C70E11">
        <w:tab/>
      </w:r>
      <w:bookmarkEnd w:id="23"/>
      <w:bookmarkEnd w:id="24"/>
      <w:bookmarkEnd w:id="25"/>
      <w:r w:rsidRPr="00A75438">
        <w:t>Methods</w:t>
      </w:r>
      <w:r w:rsidRPr="00C70E11">
        <w:t xml:space="preserve"> to Maximize Response Rates and to Deal with Issues of Nonresponse</w:t>
      </w:r>
      <w:bookmarkEnd w:id="26"/>
      <w:bookmarkEnd w:id="56"/>
    </w:p>
    <w:p w14:paraId="3BCA76FD" w14:textId="77777777" w:rsidR="00C23DA3" w:rsidRPr="007965C4" w:rsidRDefault="00C23DA3" w:rsidP="00A620CD">
      <w:pPr>
        <w:pStyle w:val="L1-FlLSp12"/>
        <w:tabs>
          <w:tab w:val="left" w:pos="720"/>
        </w:tabs>
        <w:spacing w:after="240" w:line="276" w:lineRule="auto"/>
        <w:rPr>
          <w:b/>
        </w:rPr>
      </w:pPr>
      <w:bookmarkStart w:id="57" w:name="_Toc400377752"/>
      <w:r w:rsidRPr="007965C4">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00550934" w:rsidRPr="007965C4">
        <w:rPr>
          <w:b/>
        </w:rPr>
        <w:t>“</w:t>
      </w:r>
      <w:r w:rsidRPr="007965C4">
        <w:rPr>
          <w:b/>
        </w:rPr>
        <w:t>reliable</w:t>
      </w:r>
      <w:r w:rsidR="00550934" w:rsidRPr="007965C4">
        <w:rPr>
          <w:b/>
        </w:rPr>
        <w:t>”</w:t>
      </w:r>
      <w:r w:rsidRPr="007965C4">
        <w:rPr>
          <w:b/>
        </w:rPr>
        <w:t xml:space="preserve"> data that can be generalized to the universe studied.</w:t>
      </w:r>
      <w:bookmarkEnd w:id="57"/>
    </w:p>
    <w:p w14:paraId="4BD81277" w14:textId="77777777" w:rsidR="00C23DA3" w:rsidRPr="00E630DA" w:rsidRDefault="00C23DA3" w:rsidP="00A620CD">
      <w:pPr>
        <w:pStyle w:val="Heading4"/>
        <w:tabs>
          <w:tab w:val="left" w:pos="720"/>
        </w:tabs>
        <w:spacing w:line="480" w:lineRule="auto"/>
      </w:pPr>
      <w:bookmarkStart w:id="58" w:name="_Toc329341129"/>
      <w:bookmarkStart w:id="59" w:name="_Toc400377753"/>
      <w:r>
        <w:t xml:space="preserve">WIC State and Local Administrators and </w:t>
      </w:r>
      <w:r w:rsidR="007965C4">
        <w:t>T</w:t>
      </w:r>
      <w:r>
        <w:t>heir WIC Sites</w:t>
      </w:r>
      <w:bookmarkEnd w:id="58"/>
      <w:bookmarkEnd w:id="59"/>
    </w:p>
    <w:p w14:paraId="3B49322D" w14:textId="39C644D3" w:rsidR="00C23DA3" w:rsidRDefault="000C0BC0" w:rsidP="003324D9">
      <w:pPr>
        <w:pStyle w:val="L1-FlLSp12"/>
        <w:tabs>
          <w:tab w:val="left" w:pos="720"/>
        </w:tabs>
        <w:spacing w:after="240" w:line="480" w:lineRule="auto"/>
      </w:pPr>
      <w:r>
        <w:tab/>
      </w:r>
      <w:r w:rsidR="00C23DA3">
        <w:t>The 27 State Agencies and 80 WIC sites recruited for the base study</w:t>
      </w:r>
      <w:r w:rsidR="00AA2B1E">
        <w:t xml:space="preserve"> will be invited to </w:t>
      </w:r>
      <w:r w:rsidR="00C23DA3">
        <w:t>attend a</w:t>
      </w:r>
      <w:r w:rsidR="00AA2B1E">
        <w:t xml:space="preserve"> 1-hour</w:t>
      </w:r>
      <w:r w:rsidR="00C23DA3">
        <w:t xml:space="preserve"> </w:t>
      </w:r>
      <w:r w:rsidR="00EB0326">
        <w:t>webinar</w:t>
      </w:r>
      <w:r w:rsidR="00114B5D">
        <w:t xml:space="preserve"> that will </w:t>
      </w:r>
      <w:r w:rsidR="00AA2B1E">
        <w:t xml:space="preserve">share information on </w:t>
      </w:r>
      <w:r w:rsidR="00963BCC">
        <w:t xml:space="preserve">the </w:t>
      </w:r>
      <w:r w:rsidR="00AA2B1E">
        <w:t xml:space="preserve">study </w:t>
      </w:r>
      <w:r w:rsidR="00963BCC">
        <w:t>extension and highlight</w:t>
      </w:r>
      <w:r w:rsidR="00AA2B1E">
        <w:t xml:space="preserve"> FNS-clear</w:t>
      </w:r>
      <w:r w:rsidR="00BD496D">
        <w:t>ed key study findings to date (Appendi</w:t>
      </w:r>
      <w:r w:rsidR="00962AD4">
        <w:t>ces</w:t>
      </w:r>
      <w:r w:rsidR="00BD496D">
        <w:t xml:space="preserve"> </w:t>
      </w:r>
      <w:r w:rsidR="005851D3">
        <w:t>L</w:t>
      </w:r>
      <w:r w:rsidR="00962AD4">
        <w:t>1, L2, M</w:t>
      </w:r>
      <w:r w:rsidR="00BD496D">
        <w:t xml:space="preserve">). </w:t>
      </w:r>
      <w:r w:rsidR="00AA2B1E">
        <w:t xml:space="preserve">After the webinar, individual conference calls will be made with each State Point of Contact </w:t>
      </w:r>
      <w:r w:rsidR="00EB0A04">
        <w:t xml:space="preserve">and representatives from the original 80 sites to </w:t>
      </w:r>
      <w:r w:rsidR="00963BCC">
        <w:t xml:space="preserve">discuss </w:t>
      </w:r>
      <w:r w:rsidR="00C23DA3">
        <w:t xml:space="preserve">the </w:t>
      </w:r>
      <w:r w:rsidR="00963BCC">
        <w:t xml:space="preserve">study </w:t>
      </w:r>
      <w:r w:rsidR="00C23DA3">
        <w:t xml:space="preserve">extension </w:t>
      </w:r>
      <w:r w:rsidR="00963BCC">
        <w:t xml:space="preserve">in more detail, including the logistics of conducting measurements of height and weight </w:t>
      </w:r>
      <w:r w:rsidR="00B3005F">
        <w:t>a</w:t>
      </w:r>
      <w:r w:rsidR="00963BCC">
        <w:t>t individual WIC sites</w:t>
      </w:r>
      <w:r w:rsidR="00BD496D">
        <w:t xml:space="preserve"> (Appendix </w:t>
      </w:r>
      <w:r w:rsidR="00962AD4">
        <w:t>N</w:t>
      </w:r>
      <w:r w:rsidR="00BD496D">
        <w:t>)</w:t>
      </w:r>
      <w:r w:rsidR="00963BCC">
        <w:t xml:space="preserve">. </w:t>
      </w:r>
      <w:r w:rsidR="00EB0A04">
        <w:t>As was done with the age 5 extension, we will discuss the possibility of participants returning to any WIC site in the State to have their child’s height and weight measured at 6 years of age.</w:t>
      </w:r>
    </w:p>
    <w:p w14:paraId="659A964C" w14:textId="72770BBF" w:rsidR="00C23DA3" w:rsidRPr="00E630DA" w:rsidRDefault="00477A09" w:rsidP="00A620CD">
      <w:pPr>
        <w:pStyle w:val="Heading4"/>
        <w:tabs>
          <w:tab w:val="left" w:pos="720"/>
        </w:tabs>
        <w:spacing w:line="480" w:lineRule="auto"/>
      </w:pPr>
      <w:bookmarkStart w:id="60" w:name="_Toc287257055"/>
      <w:bookmarkStart w:id="61" w:name="_Toc287257092"/>
      <w:bookmarkStart w:id="62" w:name="_Toc290021787"/>
      <w:r>
        <w:t>Caregivers of Former WIC Children</w:t>
      </w:r>
    </w:p>
    <w:p w14:paraId="7684D572" w14:textId="061AEE21" w:rsidR="00C23DA3" w:rsidRDefault="000C0BC0" w:rsidP="00A620CD">
      <w:pPr>
        <w:pStyle w:val="L1-FlLSp12"/>
        <w:tabs>
          <w:tab w:val="left" w:pos="720"/>
        </w:tabs>
        <w:spacing w:line="480" w:lineRule="auto"/>
      </w:pPr>
      <w:r>
        <w:tab/>
      </w:r>
      <w:r w:rsidR="00C23DA3" w:rsidRPr="00901BCC">
        <w:t>Successful retention of our</w:t>
      </w:r>
      <w:r w:rsidR="00C23DA3">
        <w:t xml:space="preserve"> sample for the extended study hinges on our ability to make participants</w:t>
      </w:r>
      <w:r w:rsidR="00C23DA3" w:rsidRPr="00901BCC">
        <w:t xml:space="preserve"> </w:t>
      </w:r>
      <w:r w:rsidR="00C23DA3" w:rsidRPr="00C61F45">
        <w:t xml:space="preserve">want </w:t>
      </w:r>
      <w:r w:rsidR="00C23DA3" w:rsidRPr="00901BCC">
        <w:t>to continue in the stud</w:t>
      </w:r>
      <w:r w:rsidR="00C23DA3">
        <w:t>y and our ability to locate participants</w:t>
      </w:r>
      <w:r w:rsidR="00C23DA3" w:rsidRPr="00901BCC">
        <w:t xml:space="preserve"> over time.</w:t>
      </w:r>
      <w:r w:rsidR="00C23DA3">
        <w:t xml:space="preserve"> </w:t>
      </w:r>
      <w:r w:rsidR="00C23DA3" w:rsidRPr="00901BCC">
        <w:t>While many participants become more committed to the study with each interview they complete, others experience survey fatigue which may overwhelm their interest in continuing.</w:t>
      </w:r>
      <w:r w:rsidR="00C23DA3">
        <w:t xml:space="preserve"> </w:t>
      </w:r>
      <w:r w:rsidR="00C23DA3" w:rsidRPr="00901BCC">
        <w:t>We will employ these strategies to retain</w:t>
      </w:r>
      <w:r w:rsidR="00C23DA3">
        <w:t xml:space="preserve"> as many members of the </w:t>
      </w:r>
      <w:r w:rsidR="00C23DA3" w:rsidRPr="00901BCC">
        <w:t>sa</w:t>
      </w:r>
      <w:r w:rsidR="00C23DA3">
        <w:t xml:space="preserve">mple as possible through the </w:t>
      </w:r>
      <w:r w:rsidR="00EB0A04">
        <w:t>72</w:t>
      </w:r>
      <w:r w:rsidR="00C23DA3">
        <w:t>-</w:t>
      </w:r>
      <w:r w:rsidR="00C23DA3" w:rsidRPr="00901BCC">
        <w:t>month interview:</w:t>
      </w:r>
    </w:p>
    <w:p w14:paraId="50AE98B6" w14:textId="5706F3D2" w:rsidR="008C10A5" w:rsidRPr="008C10A5" w:rsidRDefault="008C10A5" w:rsidP="00A620CD">
      <w:pPr>
        <w:pStyle w:val="N1-1stBullet"/>
        <w:numPr>
          <w:ilvl w:val="0"/>
          <w:numId w:val="26"/>
        </w:numPr>
        <w:tabs>
          <w:tab w:val="clear" w:pos="576"/>
          <w:tab w:val="left" w:pos="720"/>
          <w:tab w:val="left" w:pos="810"/>
        </w:tabs>
        <w:spacing w:after="200" w:line="360" w:lineRule="auto"/>
        <w:ind w:left="810"/>
      </w:pPr>
      <w:r w:rsidRPr="00901BCC">
        <w:rPr>
          <w:b/>
        </w:rPr>
        <w:t xml:space="preserve">Keep </w:t>
      </w:r>
      <w:r w:rsidR="00477A09">
        <w:rPr>
          <w:b/>
        </w:rPr>
        <w:t>Participants</w:t>
      </w:r>
      <w:r w:rsidRPr="00901BCC">
        <w:rPr>
          <w:b/>
        </w:rPr>
        <w:t xml:space="preserve"> </w:t>
      </w:r>
      <w:r>
        <w:rPr>
          <w:b/>
        </w:rPr>
        <w:t>I</w:t>
      </w:r>
      <w:r w:rsidRPr="00901BCC">
        <w:rPr>
          <w:b/>
        </w:rPr>
        <w:t xml:space="preserve">nformed and </w:t>
      </w:r>
      <w:r>
        <w:rPr>
          <w:b/>
        </w:rPr>
        <w:t>E</w:t>
      </w:r>
      <w:r w:rsidRPr="00901BCC">
        <w:rPr>
          <w:b/>
        </w:rPr>
        <w:t xml:space="preserve">xcited </w:t>
      </w:r>
      <w:r>
        <w:rPr>
          <w:b/>
        </w:rPr>
        <w:t>A</w:t>
      </w:r>
      <w:r w:rsidRPr="00901BCC">
        <w:rPr>
          <w:b/>
        </w:rPr>
        <w:t xml:space="preserve">bout the </w:t>
      </w:r>
      <w:r>
        <w:rPr>
          <w:b/>
        </w:rPr>
        <w:t>S</w:t>
      </w:r>
      <w:r w:rsidRPr="00901BCC">
        <w:rPr>
          <w:b/>
        </w:rPr>
        <w:t>tudy.</w:t>
      </w:r>
      <w:r>
        <w:t xml:space="preserve"> </w:t>
      </w:r>
      <w:r w:rsidR="00EB0A04">
        <w:t xml:space="preserve">Once we have OMB approval, we will send </w:t>
      </w:r>
      <w:r w:rsidR="00477A09">
        <w:t>participants</w:t>
      </w:r>
      <w:r w:rsidR="00EB0A04">
        <w:t xml:space="preserve"> a letter about</w:t>
      </w:r>
      <w:r w:rsidR="00477A09">
        <w:t xml:space="preserve"> the study extension to age 6. </w:t>
      </w:r>
      <w:r w:rsidR="00962AD4">
        <w:t xml:space="preserve">Depending on the timing of OMB approval and the launch date of </w:t>
      </w:r>
      <w:r w:rsidR="0006594F">
        <w:t>participants’</w:t>
      </w:r>
      <w:r w:rsidR="00962AD4">
        <w:t xml:space="preserve"> 60-month interview, t</w:t>
      </w:r>
      <w:r w:rsidR="00EB0A04">
        <w:t xml:space="preserve">his announcement </w:t>
      </w:r>
      <w:r w:rsidR="00962AD4">
        <w:t xml:space="preserve">may </w:t>
      </w:r>
      <w:r w:rsidR="00EB0A04">
        <w:t>either be combined with the 60-month advance letter</w:t>
      </w:r>
      <w:r w:rsidR="00962AD4">
        <w:t xml:space="preserve"> (Appendix B1a, B1b)</w:t>
      </w:r>
      <w:r w:rsidR="00EB0A04">
        <w:t xml:space="preserve"> or </w:t>
      </w:r>
      <w:r w:rsidR="00661C6B">
        <w:t xml:space="preserve">be a standalone letter </w:t>
      </w:r>
      <w:r w:rsidR="00962AD4">
        <w:t>if the 60-month advance letter has already been sent (Appendix B2a, B2</w:t>
      </w:r>
      <w:r w:rsidR="00921C64">
        <w:t>b</w:t>
      </w:r>
      <w:r w:rsidR="00962AD4">
        <w:t>)</w:t>
      </w:r>
      <w:r w:rsidR="00EB0A04">
        <w:t>.</w:t>
      </w:r>
    </w:p>
    <w:p w14:paraId="35735314" w14:textId="735302C1" w:rsidR="00C23DA3" w:rsidRDefault="00C23DA3" w:rsidP="00A620CD">
      <w:pPr>
        <w:pStyle w:val="N1-1stBullet"/>
        <w:numPr>
          <w:ilvl w:val="0"/>
          <w:numId w:val="26"/>
        </w:numPr>
        <w:tabs>
          <w:tab w:val="clear" w:pos="576"/>
          <w:tab w:val="left" w:pos="720"/>
          <w:tab w:val="left" w:pos="810"/>
        </w:tabs>
        <w:spacing w:after="200" w:line="360" w:lineRule="auto"/>
        <w:ind w:left="810"/>
      </w:pPr>
      <w:r>
        <w:rPr>
          <w:b/>
        </w:rPr>
        <w:t>Utilize</w:t>
      </w:r>
      <w:r w:rsidRPr="001230A5">
        <w:rPr>
          <w:b/>
        </w:rPr>
        <w:t xml:space="preserve"> </w:t>
      </w:r>
      <w:r w:rsidR="007965C4">
        <w:rPr>
          <w:b/>
        </w:rPr>
        <w:t>S</w:t>
      </w:r>
      <w:r w:rsidRPr="001230A5">
        <w:rPr>
          <w:b/>
        </w:rPr>
        <w:t xml:space="preserve">tudy </w:t>
      </w:r>
      <w:r w:rsidR="007965C4">
        <w:rPr>
          <w:b/>
        </w:rPr>
        <w:t>L</w:t>
      </w:r>
      <w:r w:rsidRPr="001230A5">
        <w:rPr>
          <w:b/>
        </w:rPr>
        <w:t xml:space="preserve">iaisons </w:t>
      </w:r>
      <w:r w:rsidR="007965C4">
        <w:rPr>
          <w:b/>
        </w:rPr>
        <w:t>W</w:t>
      </w:r>
      <w:r w:rsidRPr="001230A5">
        <w:rPr>
          <w:b/>
        </w:rPr>
        <w:t xml:space="preserve">ho </w:t>
      </w:r>
      <w:r w:rsidR="007965C4">
        <w:rPr>
          <w:b/>
        </w:rPr>
        <w:t>S</w:t>
      </w:r>
      <w:r w:rsidRPr="001230A5">
        <w:rPr>
          <w:b/>
        </w:rPr>
        <w:t xml:space="preserve">erve as the </w:t>
      </w:r>
      <w:r w:rsidR="007965C4">
        <w:rPr>
          <w:b/>
        </w:rPr>
        <w:t>P</w:t>
      </w:r>
      <w:r w:rsidRPr="001230A5">
        <w:rPr>
          <w:b/>
        </w:rPr>
        <w:t>oint-of-</w:t>
      </w:r>
      <w:r w:rsidR="007965C4">
        <w:rPr>
          <w:b/>
        </w:rPr>
        <w:t>C</w:t>
      </w:r>
      <w:r w:rsidRPr="001230A5">
        <w:rPr>
          <w:b/>
        </w:rPr>
        <w:t xml:space="preserve">ontact for the </w:t>
      </w:r>
      <w:r w:rsidR="007965C4">
        <w:rPr>
          <w:b/>
        </w:rPr>
        <w:t>S</w:t>
      </w:r>
      <w:r w:rsidRPr="001230A5">
        <w:rPr>
          <w:b/>
        </w:rPr>
        <w:t>tudy.</w:t>
      </w:r>
      <w:r>
        <w:t xml:space="preserve"> </w:t>
      </w:r>
      <w:r w:rsidR="00CD0F83">
        <w:t>F</w:t>
      </w:r>
      <w:r>
        <w:t xml:space="preserve">ull-time study liaisons (SLs), </w:t>
      </w:r>
      <w:r w:rsidR="00F564F6">
        <w:t xml:space="preserve">who have been the points-of-contact for our </w:t>
      </w:r>
      <w:r w:rsidR="00477A09">
        <w:t>participants</w:t>
      </w:r>
      <w:r w:rsidR="00F564F6">
        <w:t xml:space="preserve"> since the start of the study, </w:t>
      </w:r>
      <w:r>
        <w:t xml:space="preserve">will continue to answer </w:t>
      </w:r>
      <w:r w:rsidR="00477A09">
        <w:t>participant</w:t>
      </w:r>
      <w:r>
        <w:t xml:space="preserve"> questions, offer encouragement for continued study participation, remind participants about expiring </w:t>
      </w:r>
      <w:r w:rsidRPr="00B24542">
        <w:t>interviews</w:t>
      </w:r>
      <w:r w:rsidR="00AF7957" w:rsidRPr="00B24542">
        <w:t xml:space="preserve"> (Appendi</w:t>
      </w:r>
      <w:r w:rsidR="00CF67F1">
        <w:t>x</w:t>
      </w:r>
      <w:r w:rsidR="00661C6B">
        <w:t xml:space="preserve"> </w:t>
      </w:r>
      <w:r w:rsidR="00EB0A04" w:rsidRPr="000F4B36">
        <w:t>E</w:t>
      </w:r>
      <w:r w:rsidR="003E1C25">
        <w:t>1</w:t>
      </w:r>
      <w:r w:rsidR="00AF7957" w:rsidRPr="00B24542">
        <w:t xml:space="preserve">a, </w:t>
      </w:r>
      <w:r w:rsidR="00EB0A04" w:rsidRPr="000F4B36">
        <w:t>E</w:t>
      </w:r>
      <w:r w:rsidR="003E1C25">
        <w:t>1</w:t>
      </w:r>
      <w:r w:rsidR="00AF7957" w:rsidRPr="00B24542">
        <w:t>b)</w:t>
      </w:r>
      <w:r w:rsidRPr="00B24542">
        <w:t xml:space="preserve">, </w:t>
      </w:r>
      <w:r w:rsidR="004D4735" w:rsidRPr="00CF67F1">
        <w:t xml:space="preserve">trace </w:t>
      </w:r>
      <w:r w:rsidR="00477A09">
        <w:t>participants</w:t>
      </w:r>
      <w:r w:rsidR="004D4735" w:rsidRPr="00CF67F1">
        <w:t xml:space="preserve"> whose phone numbers and/or addresses have changed</w:t>
      </w:r>
      <w:r w:rsidR="004D4735">
        <w:t xml:space="preserve"> (Appendix E2a, E2b), </w:t>
      </w:r>
      <w:r w:rsidRPr="00B24542">
        <w:t xml:space="preserve">help </w:t>
      </w:r>
      <w:r w:rsidR="00F564F6" w:rsidRPr="00B24542">
        <w:t>participants identify the nearest WIC office for height and weight measurements</w:t>
      </w:r>
      <w:r w:rsidR="00AF7957" w:rsidRPr="00CF67F1">
        <w:t xml:space="preserve"> (Appendi</w:t>
      </w:r>
      <w:r w:rsidR="00CF67F1">
        <w:t>x</w:t>
      </w:r>
      <w:r w:rsidR="00AF7957" w:rsidRPr="00CF67F1">
        <w:t xml:space="preserve"> </w:t>
      </w:r>
      <w:r w:rsidR="004D4735">
        <w:t xml:space="preserve">G1, G2 </w:t>
      </w:r>
      <w:r w:rsidR="00AF7957" w:rsidRPr="00CF67F1">
        <w:t>)</w:t>
      </w:r>
      <w:r w:rsidR="00C13D06">
        <w:t xml:space="preserve"> and encourage them to send copies of measurements from recent health care provider visits (Appendix H1, H2). </w:t>
      </w:r>
      <w:r w:rsidR="002564DB" w:rsidRPr="003E1C25">
        <w:t>SLs will also conduct refusal conversion</w:t>
      </w:r>
      <w:r w:rsidR="002564DB">
        <w:t xml:space="preserve">, </w:t>
      </w:r>
      <w:r w:rsidR="00AF7957">
        <w:t xml:space="preserve">following up on standard study refusal conversion letters (Appendices </w:t>
      </w:r>
      <w:r w:rsidR="00EB0A04">
        <w:t>E</w:t>
      </w:r>
      <w:r w:rsidR="00AF7957">
        <w:t xml:space="preserve">3a, </w:t>
      </w:r>
      <w:r w:rsidR="00EB0A04">
        <w:t>E</w:t>
      </w:r>
      <w:r w:rsidR="00AF7957">
        <w:t>3b</w:t>
      </w:r>
      <w:r w:rsidR="00CF67F1">
        <w:t xml:space="preserve"> E4a, E4b</w:t>
      </w:r>
      <w:r w:rsidR="00AF7957">
        <w:t xml:space="preserve">), </w:t>
      </w:r>
      <w:r w:rsidR="002564DB">
        <w:t xml:space="preserve">as their </w:t>
      </w:r>
      <w:r w:rsidR="003324D9">
        <w:t>longstanding relationships with participants help them in discussing and addressing personal circumstances that may interfere with participation.</w:t>
      </w:r>
    </w:p>
    <w:p w14:paraId="2446F385" w14:textId="7861BED7" w:rsidR="00C23DA3" w:rsidRDefault="00C23DA3" w:rsidP="009D2DA9">
      <w:pPr>
        <w:pStyle w:val="N1-1stBullet"/>
        <w:numPr>
          <w:ilvl w:val="0"/>
          <w:numId w:val="26"/>
        </w:numPr>
        <w:tabs>
          <w:tab w:val="clear" w:pos="576"/>
          <w:tab w:val="left" w:pos="720"/>
          <w:tab w:val="left" w:pos="810"/>
        </w:tabs>
        <w:spacing w:after="200" w:line="360" w:lineRule="auto"/>
        <w:ind w:left="810"/>
      </w:pPr>
      <w:r w:rsidRPr="001230A5">
        <w:rPr>
          <w:b/>
        </w:rPr>
        <w:t xml:space="preserve">Provide </w:t>
      </w:r>
      <w:r w:rsidR="00EB0A04">
        <w:rPr>
          <w:b/>
        </w:rPr>
        <w:t>the Same Incentive for the 72-Month</w:t>
      </w:r>
      <w:r w:rsidR="00A3059C" w:rsidRPr="001230A5">
        <w:rPr>
          <w:b/>
        </w:rPr>
        <w:t xml:space="preserve"> </w:t>
      </w:r>
      <w:r w:rsidR="007965C4">
        <w:rPr>
          <w:b/>
        </w:rPr>
        <w:t>I</w:t>
      </w:r>
      <w:r w:rsidRPr="001230A5">
        <w:rPr>
          <w:b/>
        </w:rPr>
        <w:t>nterview</w:t>
      </w:r>
      <w:r w:rsidR="0062578A">
        <w:rPr>
          <w:b/>
        </w:rPr>
        <w:t xml:space="preserve"> and Child Measurement</w:t>
      </w:r>
      <w:r w:rsidR="00EB0A04">
        <w:rPr>
          <w:b/>
        </w:rPr>
        <w:t xml:space="preserve"> </w:t>
      </w:r>
      <w:r w:rsidR="00BC4DA5">
        <w:rPr>
          <w:b/>
        </w:rPr>
        <w:t>as at 60-Months</w:t>
      </w:r>
      <w:r w:rsidRPr="007965C4">
        <w:rPr>
          <w:b/>
        </w:rPr>
        <w:t>.</w:t>
      </w:r>
      <w:r w:rsidRPr="0022322F">
        <w:t xml:space="preserve"> </w:t>
      </w:r>
      <w:r w:rsidR="0062578A">
        <w:t xml:space="preserve">We will </w:t>
      </w:r>
      <w:r w:rsidR="00BC4DA5">
        <w:t xml:space="preserve">keep </w:t>
      </w:r>
      <w:r>
        <w:t xml:space="preserve">the </w:t>
      </w:r>
      <w:r w:rsidRPr="0022322F">
        <w:t xml:space="preserve">incentive </w:t>
      </w:r>
      <w:r>
        <w:t xml:space="preserve">for </w:t>
      </w:r>
      <w:r w:rsidR="00B24542">
        <w:t xml:space="preserve">the </w:t>
      </w:r>
      <w:r w:rsidR="00BC4DA5">
        <w:t>72-month</w:t>
      </w:r>
      <w:r w:rsidR="00A3059C">
        <w:t xml:space="preserve"> interview </w:t>
      </w:r>
      <w:r w:rsidR="00BC4DA5">
        <w:t xml:space="preserve">at </w:t>
      </w:r>
      <w:r w:rsidR="00A42D5A">
        <w:t>$60</w:t>
      </w:r>
      <w:r w:rsidR="00A3059C">
        <w:t xml:space="preserve"> to help combat survey fatigue</w:t>
      </w:r>
      <w:r w:rsidR="0062578A">
        <w:t>, and continue to provide incentives to address personal cellphone costs for interviews</w:t>
      </w:r>
      <w:r w:rsidR="00BC4DA5">
        <w:t xml:space="preserve"> ($10)</w:t>
      </w:r>
      <w:r>
        <w:t>.</w:t>
      </w:r>
      <w:r w:rsidR="00550934">
        <w:t xml:space="preserve"> </w:t>
      </w:r>
      <w:r w:rsidR="0062578A">
        <w:t xml:space="preserve">We will also </w:t>
      </w:r>
      <w:r w:rsidR="00BC4DA5">
        <w:t xml:space="preserve">keep </w:t>
      </w:r>
      <w:r w:rsidR="0062578A">
        <w:t xml:space="preserve">the </w:t>
      </w:r>
      <w:r w:rsidR="00BC4DA5">
        <w:t xml:space="preserve">same </w:t>
      </w:r>
      <w:r w:rsidR="0062578A">
        <w:t>incentive for taking the child for measurements (</w:t>
      </w:r>
      <w:r w:rsidR="00BC4DA5">
        <w:t>$</w:t>
      </w:r>
      <w:r w:rsidR="0062578A">
        <w:t>60 plus $10 for transportation costs)</w:t>
      </w:r>
      <w:r w:rsidR="00BC4DA5">
        <w:t xml:space="preserve">, </w:t>
      </w:r>
      <w:r w:rsidR="0062578A">
        <w:t>recogniz</w:t>
      </w:r>
      <w:r w:rsidR="00BC4DA5">
        <w:t>ing</w:t>
      </w:r>
      <w:r w:rsidR="0062578A">
        <w:t xml:space="preserve"> the effort and commitment required to take a child to be measured. </w:t>
      </w:r>
    </w:p>
    <w:p w14:paraId="79971370" w14:textId="51896593" w:rsidR="00C23DA3" w:rsidRPr="00B449BA" w:rsidRDefault="00C23DA3" w:rsidP="00A620CD">
      <w:pPr>
        <w:pStyle w:val="N1-1stBullet"/>
        <w:numPr>
          <w:ilvl w:val="0"/>
          <w:numId w:val="26"/>
        </w:numPr>
        <w:tabs>
          <w:tab w:val="clear" w:pos="576"/>
          <w:tab w:val="left" w:pos="720"/>
          <w:tab w:val="left" w:pos="810"/>
        </w:tabs>
        <w:spacing w:after="200" w:line="360" w:lineRule="auto"/>
        <w:ind w:left="810"/>
      </w:pPr>
      <w:r>
        <w:rPr>
          <w:b/>
        </w:rPr>
        <w:t xml:space="preserve">Attempt </w:t>
      </w:r>
      <w:r w:rsidR="007965C4">
        <w:rPr>
          <w:b/>
        </w:rPr>
        <w:t>I</w:t>
      </w:r>
      <w:r>
        <w:rPr>
          <w:b/>
        </w:rPr>
        <w:t xml:space="preserve">nterviews </w:t>
      </w:r>
      <w:r w:rsidRPr="00C61F45">
        <w:rPr>
          <w:b/>
        </w:rPr>
        <w:t xml:space="preserve">at </w:t>
      </w:r>
      <w:r w:rsidR="007965C4">
        <w:rPr>
          <w:b/>
        </w:rPr>
        <w:t>D</w:t>
      </w:r>
      <w:r w:rsidRPr="00C61F45">
        <w:rPr>
          <w:b/>
        </w:rPr>
        <w:t xml:space="preserve">ifferent </w:t>
      </w:r>
      <w:r w:rsidR="007965C4">
        <w:rPr>
          <w:b/>
        </w:rPr>
        <w:t>T</w:t>
      </w:r>
      <w:r w:rsidRPr="00C61F45">
        <w:rPr>
          <w:b/>
        </w:rPr>
        <w:t xml:space="preserve">imes </w:t>
      </w:r>
      <w:r>
        <w:rPr>
          <w:b/>
        </w:rPr>
        <w:t xml:space="preserve">of the </w:t>
      </w:r>
      <w:r w:rsidR="007965C4">
        <w:rPr>
          <w:b/>
        </w:rPr>
        <w:t>D</w:t>
      </w:r>
      <w:r>
        <w:rPr>
          <w:b/>
        </w:rPr>
        <w:t xml:space="preserve">ay and </w:t>
      </w:r>
      <w:r w:rsidR="007965C4">
        <w:rPr>
          <w:b/>
        </w:rPr>
        <w:t>W</w:t>
      </w:r>
      <w:r>
        <w:rPr>
          <w:b/>
        </w:rPr>
        <w:t>eek</w:t>
      </w:r>
      <w:r w:rsidRPr="007965C4">
        <w:rPr>
          <w:b/>
        </w:rPr>
        <w:t>.</w:t>
      </w:r>
      <w:r>
        <w:t xml:space="preserve"> </w:t>
      </w:r>
      <w:r w:rsidR="00661C6B">
        <w:t>We will u</w:t>
      </w:r>
      <w:r>
        <w:t xml:space="preserve">se telephone </w:t>
      </w:r>
      <w:r w:rsidRPr="00172796">
        <w:t xml:space="preserve">call scheduling procedures to call numbers at different times of the day (between </w:t>
      </w:r>
      <w:r w:rsidR="00B3005F">
        <w:t>9</w:t>
      </w:r>
      <w:r w:rsidRPr="00172796">
        <w:t xml:space="preserve"> am and 9 pm</w:t>
      </w:r>
      <w:r>
        <w:t xml:space="preserve"> in the </w:t>
      </w:r>
      <w:r w:rsidR="0006594F">
        <w:t>participant</w:t>
      </w:r>
      <w:r w:rsidR="00550934">
        <w:t>’</w:t>
      </w:r>
      <w:r>
        <w:t>s time zone</w:t>
      </w:r>
      <w:r w:rsidRPr="00172796">
        <w:t>) and week (Sunday through Saturday)</w:t>
      </w:r>
      <w:r>
        <w:t xml:space="preserve"> during the </w:t>
      </w:r>
      <w:r w:rsidR="00A3059C">
        <w:t xml:space="preserve">42 </w:t>
      </w:r>
      <w:r>
        <w:t>day window</w:t>
      </w:r>
      <w:r w:rsidRPr="00172796">
        <w:t xml:space="preserve">, to improve the chances </w:t>
      </w:r>
      <w:r>
        <w:t>of interviewing participants.</w:t>
      </w:r>
      <w:r w:rsidR="00550934">
        <w:t xml:space="preserve"> </w:t>
      </w:r>
      <w:r>
        <w:t xml:space="preserve">When participants cannot be reached, </w:t>
      </w:r>
      <w:r w:rsidR="00661C6B">
        <w:t xml:space="preserve">we will </w:t>
      </w:r>
      <w:r w:rsidR="000F4B36">
        <w:t>leave voice</w:t>
      </w:r>
      <w:r>
        <w:t xml:space="preserve">mail messages periodically and provide a toll-free call-in number that participants can use to complete the </w:t>
      </w:r>
      <w:r w:rsidRPr="00C13D06">
        <w:t>interview</w:t>
      </w:r>
      <w:r w:rsidR="00C2551E" w:rsidRPr="00C13D06">
        <w:t xml:space="preserve"> (Appendices </w:t>
      </w:r>
      <w:r w:rsidR="00BC4DA5" w:rsidRPr="00B449BA">
        <w:t>E</w:t>
      </w:r>
      <w:r w:rsidR="00A8696E" w:rsidRPr="00B449BA">
        <w:t>5</w:t>
      </w:r>
      <w:r w:rsidR="00BD496D" w:rsidRPr="00B449BA">
        <w:t xml:space="preserve">a, </w:t>
      </w:r>
      <w:r w:rsidR="00BC4DA5" w:rsidRPr="00B449BA">
        <w:t>E</w:t>
      </w:r>
      <w:r w:rsidR="00BD496D" w:rsidRPr="00B449BA">
        <w:t>5b,</w:t>
      </w:r>
      <w:r w:rsidR="00A8696E" w:rsidRPr="00B449BA">
        <w:t xml:space="preserve"> </w:t>
      </w:r>
      <w:r w:rsidR="00BC4DA5" w:rsidRPr="00B449BA">
        <w:t>E</w:t>
      </w:r>
      <w:r w:rsidR="00A8696E" w:rsidRPr="00B449BA">
        <w:t>6</w:t>
      </w:r>
      <w:r w:rsidR="00BD496D" w:rsidRPr="00B449BA">
        <w:t xml:space="preserve">a, </w:t>
      </w:r>
      <w:r w:rsidR="00BC4DA5" w:rsidRPr="00B449BA">
        <w:t>E</w:t>
      </w:r>
      <w:r w:rsidR="00BD496D" w:rsidRPr="00B449BA">
        <w:t>6b</w:t>
      </w:r>
      <w:r w:rsidR="00C2551E" w:rsidRPr="00B449BA">
        <w:t>)</w:t>
      </w:r>
      <w:r w:rsidRPr="00B449BA">
        <w:t>.</w:t>
      </w:r>
    </w:p>
    <w:p w14:paraId="33D1B210" w14:textId="1156885A" w:rsidR="00C23DA3" w:rsidRPr="00B449BA" w:rsidRDefault="00C23DA3" w:rsidP="00A620CD">
      <w:pPr>
        <w:pStyle w:val="N1-1stBullet"/>
        <w:numPr>
          <w:ilvl w:val="0"/>
          <w:numId w:val="26"/>
        </w:numPr>
        <w:tabs>
          <w:tab w:val="clear" w:pos="576"/>
          <w:tab w:val="left" w:pos="720"/>
          <w:tab w:val="left" w:pos="810"/>
        </w:tabs>
        <w:spacing w:after="200" w:line="360" w:lineRule="auto"/>
        <w:ind w:left="810"/>
      </w:pPr>
      <w:r w:rsidRPr="00B449BA">
        <w:rPr>
          <w:b/>
        </w:rPr>
        <w:t xml:space="preserve">Encourage </w:t>
      </w:r>
      <w:r w:rsidR="007965C4" w:rsidRPr="00B449BA">
        <w:rPr>
          <w:b/>
        </w:rPr>
        <w:t>P</w:t>
      </w:r>
      <w:r w:rsidRPr="00B449BA">
        <w:rPr>
          <w:b/>
        </w:rPr>
        <w:t xml:space="preserve">articipants to </w:t>
      </w:r>
      <w:r w:rsidR="007965C4" w:rsidRPr="00B449BA">
        <w:rPr>
          <w:b/>
        </w:rPr>
        <w:t>C</w:t>
      </w:r>
      <w:r w:rsidRPr="00B449BA">
        <w:rPr>
          <w:b/>
        </w:rPr>
        <w:t xml:space="preserve">all </w:t>
      </w:r>
      <w:r w:rsidR="007965C4" w:rsidRPr="00B449BA">
        <w:rPr>
          <w:b/>
        </w:rPr>
        <w:t>I</w:t>
      </w:r>
      <w:r w:rsidRPr="00B449BA">
        <w:rPr>
          <w:b/>
        </w:rPr>
        <w:t xml:space="preserve">n. </w:t>
      </w:r>
      <w:r w:rsidR="00661C6B">
        <w:t>We will s</w:t>
      </w:r>
      <w:r w:rsidRPr="00B449BA">
        <w:t xml:space="preserve">end </w:t>
      </w:r>
      <w:r w:rsidR="00BC4DA5" w:rsidRPr="00B449BA">
        <w:t xml:space="preserve">an </w:t>
      </w:r>
      <w:r w:rsidR="000F4B36">
        <w:t>advance letter</w:t>
      </w:r>
      <w:r w:rsidRPr="00B449BA">
        <w:t xml:space="preserve"> a few </w:t>
      </w:r>
      <w:r w:rsidR="00BC4DA5" w:rsidRPr="00B449BA">
        <w:t>weeks</w:t>
      </w:r>
      <w:r w:rsidRPr="00B449BA">
        <w:t xml:space="preserve"> before the start of </w:t>
      </w:r>
      <w:r w:rsidR="00BC4DA5" w:rsidRPr="00B449BA">
        <w:t xml:space="preserve">the </w:t>
      </w:r>
      <w:r w:rsidRPr="00B449BA">
        <w:t>interview to remind participants about the upcoming interview</w:t>
      </w:r>
      <w:r w:rsidR="000F4B36">
        <w:t>,</w:t>
      </w:r>
      <w:r w:rsidRPr="00B449BA">
        <w:t xml:space="preserve"> and </w:t>
      </w:r>
      <w:r w:rsidR="000F4B36">
        <w:t xml:space="preserve">to </w:t>
      </w:r>
      <w:r w:rsidRPr="00B449BA">
        <w:t>provide the toll-free call-in number and hours the telephone center is open to encourage them to call in to complete the interview at their convenience</w:t>
      </w:r>
      <w:r w:rsidR="00C2551E" w:rsidRPr="00B449BA">
        <w:t xml:space="preserve"> (Appendi</w:t>
      </w:r>
      <w:r w:rsidR="00BC4DA5" w:rsidRPr="00B449BA">
        <w:t>x C</w:t>
      </w:r>
      <w:r w:rsidR="00B24542" w:rsidRPr="00B449BA">
        <w:t>1, C2</w:t>
      </w:r>
      <w:r w:rsidR="00C2551E" w:rsidRPr="00B449BA">
        <w:t>)</w:t>
      </w:r>
      <w:r w:rsidRPr="00B449BA">
        <w:t>.</w:t>
      </w:r>
    </w:p>
    <w:p w14:paraId="0EA8EBC1" w14:textId="053A64E3" w:rsidR="00C23DA3" w:rsidRPr="00B449BA" w:rsidRDefault="00C23DA3" w:rsidP="00A620CD">
      <w:pPr>
        <w:pStyle w:val="N1-1stBullet"/>
        <w:numPr>
          <w:ilvl w:val="0"/>
          <w:numId w:val="26"/>
        </w:numPr>
        <w:tabs>
          <w:tab w:val="clear" w:pos="576"/>
          <w:tab w:val="left" w:pos="720"/>
          <w:tab w:val="left" w:pos="810"/>
        </w:tabs>
        <w:spacing w:after="200" w:line="360" w:lineRule="auto"/>
        <w:ind w:left="810"/>
      </w:pPr>
      <w:r w:rsidRPr="00B449BA">
        <w:rPr>
          <w:b/>
        </w:rPr>
        <w:t xml:space="preserve">Send </w:t>
      </w:r>
      <w:r w:rsidR="007965C4" w:rsidRPr="00B449BA">
        <w:rPr>
          <w:b/>
        </w:rPr>
        <w:t>T</w:t>
      </w:r>
      <w:r w:rsidRPr="00B449BA">
        <w:rPr>
          <w:b/>
        </w:rPr>
        <w:t xml:space="preserve">exts and </w:t>
      </w:r>
      <w:r w:rsidR="007965C4" w:rsidRPr="00B449BA">
        <w:rPr>
          <w:b/>
        </w:rPr>
        <w:t>R</w:t>
      </w:r>
      <w:r w:rsidRPr="00B449BA">
        <w:rPr>
          <w:b/>
        </w:rPr>
        <w:t xml:space="preserve">eminder </w:t>
      </w:r>
      <w:r w:rsidR="00A3059C" w:rsidRPr="00B449BA">
        <w:rPr>
          <w:b/>
        </w:rPr>
        <w:t xml:space="preserve">Emails </w:t>
      </w:r>
      <w:r w:rsidRPr="00B449BA">
        <w:rPr>
          <w:b/>
        </w:rPr>
        <w:t xml:space="preserve">10 </w:t>
      </w:r>
      <w:r w:rsidR="007965C4" w:rsidRPr="00B449BA">
        <w:rPr>
          <w:b/>
        </w:rPr>
        <w:t>D</w:t>
      </w:r>
      <w:r w:rsidRPr="00B449BA">
        <w:rPr>
          <w:b/>
        </w:rPr>
        <w:t xml:space="preserve">ays </w:t>
      </w:r>
      <w:r w:rsidR="007965C4" w:rsidRPr="00B449BA">
        <w:rPr>
          <w:b/>
        </w:rPr>
        <w:t>A</w:t>
      </w:r>
      <w:r w:rsidRPr="00B449BA">
        <w:rPr>
          <w:b/>
        </w:rPr>
        <w:t xml:space="preserve">fter </w:t>
      </w:r>
      <w:r w:rsidR="007965C4" w:rsidRPr="00B449BA">
        <w:rPr>
          <w:b/>
        </w:rPr>
        <w:t>S</w:t>
      </w:r>
      <w:r w:rsidRPr="00B449BA">
        <w:rPr>
          <w:b/>
        </w:rPr>
        <w:t xml:space="preserve">tart of the </w:t>
      </w:r>
      <w:r w:rsidR="007965C4" w:rsidRPr="00B449BA">
        <w:rPr>
          <w:b/>
        </w:rPr>
        <w:t>W</w:t>
      </w:r>
      <w:r w:rsidRPr="00B449BA">
        <w:rPr>
          <w:b/>
        </w:rPr>
        <w:t xml:space="preserve">indow. </w:t>
      </w:r>
      <w:r w:rsidR="00661C6B">
        <w:t>We will s</w:t>
      </w:r>
      <w:r w:rsidRPr="00B449BA">
        <w:t xml:space="preserve">end out reminder texts </w:t>
      </w:r>
      <w:r w:rsidR="00A3059C" w:rsidRPr="00B449BA">
        <w:t>or emails</w:t>
      </w:r>
      <w:r w:rsidRPr="00B449BA">
        <w:t xml:space="preserve"> on the 10th day of the interviewing window to </w:t>
      </w:r>
      <w:r w:rsidR="00477A09">
        <w:t>participants</w:t>
      </w:r>
      <w:r w:rsidRPr="00B449BA">
        <w:t xml:space="preserve"> who have not </w:t>
      </w:r>
      <w:r w:rsidR="00A3059C" w:rsidRPr="00B449BA">
        <w:t xml:space="preserve">yet </w:t>
      </w:r>
      <w:r w:rsidRPr="00B449BA">
        <w:t>completed their interviews</w:t>
      </w:r>
      <w:r w:rsidR="00C2551E" w:rsidRPr="00B449BA">
        <w:t xml:space="preserve"> (Appendi</w:t>
      </w:r>
      <w:r w:rsidR="00CF67F1" w:rsidRPr="00B449BA">
        <w:t>x</w:t>
      </w:r>
      <w:r w:rsidR="00BD496D" w:rsidRPr="00B449BA">
        <w:t xml:space="preserve"> </w:t>
      </w:r>
      <w:r w:rsidR="00BC4DA5" w:rsidRPr="00B449BA">
        <w:t>E</w:t>
      </w:r>
      <w:r w:rsidR="00CF67F1" w:rsidRPr="000F4B36">
        <w:t>1</w:t>
      </w:r>
      <w:r w:rsidR="00921C64" w:rsidRPr="000F4B36">
        <w:t>a, E</w:t>
      </w:r>
      <w:r w:rsidR="00CF67F1" w:rsidRPr="000F4B36">
        <w:t>1</w:t>
      </w:r>
      <w:r w:rsidR="00921C64" w:rsidRPr="000F4B36">
        <w:t>b</w:t>
      </w:r>
      <w:r w:rsidR="00C2551E" w:rsidRPr="00B449BA">
        <w:t>)</w:t>
      </w:r>
      <w:r w:rsidRPr="00B449BA">
        <w:t>.</w:t>
      </w:r>
    </w:p>
    <w:p w14:paraId="0168F9B9" w14:textId="17867D4B" w:rsidR="00C23DA3" w:rsidRDefault="00C23DA3" w:rsidP="00A620CD">
      <w:pPr>
        <w:pStyle w:val="N1-1stBullet"/>
        <w:numPr>
          <w:ilvl w:val="0"/>
          <w:numId w:val="26"/>
        </w:numPr>
        <w:tabs>
          <w:tab w:val="clear" w:pos="576"/>
          <w:tab w:val="left" w:pos="720"/>
          <w:tab w:val="left" w:pos="810"/>
        </w:tabs>
        <w:spacing w:after="200" w:line="360" w:lineRule="auto"/>
        <w:ind w:left="810"/>
      </w:pPr>
      <w:r w:rsidRPr="00B449BA">
        <w:rPr>
          <w:b/>
        </w:rPr>
        <w:t xml:space="preserve">Contact </w:t>
      </w:r>
      <w:r w:rsidR="00A3059C" w:rsidRPr="00B449BA">
        <w:rPr>
          <w:b/>
        </w:rPr>
        <w:t xml:space="preserve">Participants </w:t>
      </w:r>
      <w:r w:rsidR="007965C4" w:rsidRPr="00B449BA">
        <w:rPr>
          <w:b/>
        </w:rPr>
        <w:t>W</w:t>
      </w:r>
      <w:r w:rsidRPr="00B449BA">
        <w:rPr>
          <w:b/>
        </w:rPr>
        <w:t xml:space="preserve">hose </w:t>
      </w:r>
      <w:r w:rsidR="007965C4" w:rsidRPr="00B449BA">
        <w:rPr>
          <w:b/>
        </w:rPr>
        <w:t>I</w:t>
      </w:r>
      <w:r w:rsidRPr="00B449BA">
        <w:rPr>
          <w:b/>
        </w:rPr>
        <w:t xml:space="preserve">nterview </w:t>
      </w:r>
      <w:r w:rsidR="007965C4" w:rsidRPr="00B449BA">
        <w:rPr>
          <w:b/>
        </w:rPr>
        <w:t>W</w:t>
      </w:r>
      <w:r w:rsidRPr="00B449BA">
        <w:rPr>
          <w:b/>
        </w:rPr>
        <w:t xml:space="preserve">indows </w:t>
      </w:r>
      <w:r w:rsidR="007965C4" w:rsidRPr="00B449BA">
        <w:rPr>
          <w:b/>
        </w:rPr>
        <w:t>a</w:t>
      </w:r>
      <w:r w:rsidRPr="00B449BA">
        <w:rPr>
          <w:b/>
        </w:rPr>
        <w:t xml:space="preserve">re </w:t>
      </w:r>
      <w:r w:rsidR="007965C4" w:rsidRPr="00B449BA">
        <w:rPr>
          <w:b/>
        </w:rPr>
        <w:t>E</w:t>
      </w:r>
      <w:r w:rsidRPr="00B449BA">
        <w:rPr>
          <w:b/>
        </w:rPr>
        <w:t xml:space="preserve">xpiring. </w:t>
      </w:r>
      <w:r w:rsidRPr="00B449BA">
        <w:t xml:space="preserve">The study liaisons will continue to make reminder calls and send reminder emails and texts </w:t>
      </w:r>
      <w:r w:rsidR="001D102C" w:rsidRPr="00B449BA">
        <w:t>(</w:t>
      </w:r>
      <w:r w:rsidR="00C2551E" w:rsidRPr="00B449BA">
        <w:t>Appendi</w:t>
      </w:r>
      <w:r w:rsidR="00921C64" w:rsidRPr="000F4B36">
        <w:t>x E</w:t>
      </w:r>
      <w:r w:rsidR="004D4735" w:rsidRPr="000F4B36">
        <w:t>1</w:t>
      </w:r>
      <w:r w:rsidR="00921C64" w:rsidRPr="000F4B36">
        <w:t>a, E</w:t>
      </w:r>
      <w:r w:rsidR="004D4735" w:rsidRPr="000F4B36">
        <w:t>1</w:t>
      </w:r>
      <w:r w:rsidR="00921C64" w:rsidRPr="000F4B36">
        <w:t>b</w:t>
      </w:r>
      <w:r w:rsidR="004D4735" w:rsidRPr="000F4B36">
        <w:t xml:space="preserve">, </w:t>
      </w:r>
      <w:r w:rsidR="00C13D06" w:rsidRPr="000F4B36">
        <w:t>E4a, E4b</w:t>
      </w:r>
      <w:r w:rsidR="00C2551E" w:rsidRPr="00B449BA">
        <w:t xml:space="preserve">) </w:t>
      </w:r>
      <w:r w:rsidRPr="00B449BA">
        <w:t xml:space="preserve">to </w:t>
      </w:r>
      <w:r w:rsidR="00A3059C" w:rsidRPr="00B449BA">
        <w:t xml:space="preserve">participants </w:t>
      </w:r>
      <w:r w:rsidRPr="00B449BA">
        <w:t xml:space="preserve">whose interview windows are within </w:t>
      </w:r>
      <w:r w:rsidR="00A3059C" w:rsidRPr="00B449BA">
        <w:t>2 and then</w:t>
      </w:r>
      <w:r w:rsidR="00A3059C" w:rsidRPr="00B449BA">
        <w:rPr>
          <w:b/>
        </w:rPr>
        <w:t xml:space="preserve"> </w:t>
      </w:r>
      <w:r w:rsidRPr="00B449BA">
        <w:t>1 week of expiring</w:t>
      </w:r>
      <w:r w:rsidRPr="00901BCC">
        <w:t>.</w:t>
      </w:r>
    </w:p>
    <w:p w14:paraId="3340E0EF" w14:textId="333BBA1D" w:rsidR="00C23DA3" w:rsidRDefault="00C23DA3" w:rsidP="00A620CD">
      <w:pPr>
        <w:pStyle w:val="N1-1stBullet"/>
        <w:numPr>
          <w:ilvl w:val="0"/>
          <w:numId w:val="26"/>
        </w:numPr>
        <w:tabs>
          <w:tab w:val="clear" w:pos="576"/>
          <w:tab w:val="left" w:pos="720"/>
          <w:tab w:val="left" w:pos="810"/>
        </w:tabs>
        <w:spacing w:after="200" w:line="360" w:lineRule="auto"/>
        <w:ind w:left="810"/>
      </w:pPr>
      <w:r w:rsidRPr="0022322F">
        <w:rPr>
          <w:b/>
        </w:rPr>
        <w:t xml:space="preserve">Send </w:t>
      </w:r>
      <w:r w:rsidR="007965C4">
        <w:rPr>
          <w:b/>
        </w:rPr>
        <w:t>B</w:t>
      </w:r>
      <w:r w:rsidRPr="0022322F">
        <w:rPr>
          <w:b/>
        </w:rPr>
        <w:t xml:space="preserve">irthday </w:t>
      </w:r>
      <w:r w:rsidR="007965C4">
        <w:rPr>
          <w:b/>
        </w:rPr>
        <w:t>C</w:t>
      </w:r>
      <w:r w:rsidRPr="0022322F">
        <w:rPr>
          <w:b/>
        </w:rPr>
        <w:t xml:space="preserve">ards to </w:t>
      </w:r>
      <w:r w:rsidR="00A3059C">
        <w:rPr>
          <w:b/>
        </w:rPr>
        <w:t>Participating Caregivers and Children</w:t>
      </w:r>
      <w:r w:rsidRPr="0022322F">
        <w:rPr>
          <w:b/>
        </w:rPr>
        <w:t xml:space="preserve">. </w:t>
      </w:r>
      <w:r w:rsidRPr="00901BCC">
        <w:t xml:space="preserve">As part of the </w:t>
      </w:r>
      <w:r w:rsidR="00A3059C">
        <w:t xml:space="preserve">ongoing </w:t>
      </w:r>
      <w:r w:rsidRPr="00901BCC">
        <w:t>relationship building, the study liaisons will send birthday cards</w:t>
      </w:r>
      <w:r w:rsidR="00A3059C">
        <w:t>, either printed or electronic,</w:t>
      </w:r>
      <w:r w:rsidRPr="00901BCC">
        <w:t xml:space="preserve"> to </w:t>
      </w:r>
      <w:r>
        <w:t>participants</w:t>
      </w:r>
      <w:r w:rsidR="00A8696E">
        <w:t xml:space="preserve"> (Appendi</w:t>
      </w:r>
      <w:r w:rsidR="00BC4DA5">
        <w:t xml:space="preserve">x </w:t>
      </w:r>
      <w:r w:rsidR="00661C6B">
        <w:t>J</w:t>
      </w:r>
      <w:r w:rsidR="00921C64">
        <w:t>1, J2</w:t>
      </w:r>
      <w:r w:rsidR="00A8696E">
        <w:t>)</w:t>
      </w:r>
      <w:r w:rsidR="00A3059C">
        <w:t xml:space="preserve">. When the children reach age </w:t>
      </w:r>
      <w:r w:rsidR="00BC4DA5">
        <w:t>6</w:t>
      </w:r>
      <w:r w:rsidR="00A3059C">
        <w:t xml:space="preserve"> we will also send birthday cards to the children</w:t>
      </w:r>
      <w:r w:rsidR="00A8696E">
        <w:t xml:space="preserve"> (Appendi</w:t>
      </w:r>
      <w:r w:rsidR="00BC4DA5">
        <w:t>x K</w:t>
      </w:r>
      <w:r w:rsidR="00921C64">
        <w:t>1, K2</w:t>
      </w:r>
      <w:r w:rsidR="00A8696E">
        <w:t>)</w:t>
      </w:r>
      <w:r w:rsidR="00A3059C">
        <w:t>.</w:t>
      </w:r>
    </w:p>
    <w:p w14:paraId="278BA91A" w14:textId="5364A6D2" w:rsidR="00A3059C" w:rsidRDefault="00A3059C" w:rsidP="00A620CD">
      <w:pPr>
        <w:pStyle w:val="N1-1stBullet"/>
        <w:numPr>
          <w:ilvl w:val="0"/>
          <w:numId w:val="26"/>
        </w:numPr>
        <w:tabs>
          <w:tab w:val="clear" w:pos="576"/>
          <w:tab w:val="left" w:pos="720"/>
          <w:tab w:val="left" w:pos="810"/>
        </w:tabs>
        <w:spacing w:after="200" w:line="360" w:lineRule="auto"/>
        <w:ind w:left="810"/>
      </w:pPr>
      <w:r>
        <w:rPr>
          <w:b/>
        </w:rPr>
        <w:t xml:space="preserve">Send Thank you notes. </w:t>
      </w:r>
      <w:r w:rsidR="00661C6B">
        <w:t>We will s</w:t>
      </w:r>
      <w:r>
        <w:t xml:space="preserve">end electronic thank you notes after </w:t>
      </w:r>
      <w:r w:rsidR="00BC4DA5">
        <w:t>the 72-month</w:t>
      </w:r>
      <w:r>
        <w:t xml:space="preserve"> interview, thanking participants for their continued engagement</w:t>
      </w:r>
      <w:r w:rsidR="00A8696E">
        <w:t xml:space="preserve"> (Appendi</w:t>
      </w:r>
      <w:r w:rsidR="00BC4DA5">
        <w:t xml:space="preserve">x </w:t>
      </w:r>
      <w:r w:rsidR="00921C64">
        <w:t>L1, L2</w:t>
      </w:r>
      <w:r w:rsidR="00A8696E">
        <w:t>)</w:t>
      </w:r>
      <w:r>
        <w:t xml:space="preserve">. </w:t>
      </w:r>
    </w:p>
    <w:p w14:paraId="4BB90AC1" w14:textId="434E8529" w:rsidR="005B7F56" w:rsidRDefault="003324D9" w:rsidP="003E4158">
      <w:pPr>
        <w:pStyle w:val="L1-FlLSp12"/>
        <w:tabs>
          <w:tab w:val="left" w:pos="720"/>
        </w:tabs>
        <w:spacing w:line="480" w:lineRule="auto"/>
      </w:pPr>
      <w:r>
        <w:t xml:space="preserve">Details of projected response rates are discussed in </w:t>
      </w:r>
      <w:r w:rsidR="00B449BA">
        <w:t>section</w:t>
      </w:r>
      <w:r>
        <w:t xml:space="preserve"> B.1.</w:t>
      </w:r>
      <w:r w:rsidR="00FF465E">
        <w:t xml:space="preserve">  </w:t>
      </w:r>
      <w:r w:rsidR="00D9722D">
        <w:t>We are experiencing high cooperation rates for interviews that are currently in the field, with a cooperation rate of 84 percent for 54-month interview and 86 percent for the 60-month interview.</w:t>
      </w:r>
      <w:r w:rsidR="00D9722D">
        <w:rPr>
          <w:rStyle w:val="FootnoteReference"/>
        </w:rPr>
        <w:footnoteReference w:id="5"/>
      </w:r>
      <w:r w:rsidR="00D9722D">
        <w:t xml:space="preserve"> Given these high cooperation rates and the steps listed above to secure continued participation, we have good reason to expect that we will achieve the response rates described with no need for back-up plans.</w:t>
      </w:r>
    </w:p>
    <w:p w14:paraId="336D9A75" w14:textId="676100B3" w:rsidR="005B7F56" w:rsidRPr="00E630DA" w:rsidRDefault="005B7F56" w:rsidP="005B7F56">
      <w:pPr>
        <w:pStyle w:val="Heading4"/>
        <w:tabs>
          <w:tab w:val="left" w:pos="720"/>
        </w:tabs>
        <w:spacing w:line="480" w:lineRule="auto"/>
      </w:pPr>
      <w:r>
        <w:t>Nonresponse Bias Analysis</w:t>
      </w:r>
    </w:p>
    <w:p w14:paraId="5D1C42A7" w14:textId="5F84A116" w:rsidR="005B7F56" w:rsidRDefault="005B7F56" w:rsidP="00971256">
      <w:pPr>
        <w:pStyle w:val="L1-FlLSp12"/>
        <w:tabs>
          <w:tab w:val="left" w:pos="720"/>
        </w:tabs>
        <w:spacing w:line="480" w:lineRule="auto"/>
      </w:pPr>
      <w:r>
        <w:tab/>
      </w:r>
      <w:r w:rsidRPr="004504E0">
        <w:t>To the</w:t>
      </w:r>
      <w:r w:rsidRPr="00D93286">
        <w:t xml:space="preserve"> extent that </w:t>
      </w:r>
      <w:r w:rsidR="00477A09">
        <w:t>participants</w:t>
      </w:r>
      <w:r w:rsidRPr="00D93286">
        <w:t xml:space="preserve"> </w:t>
      </w:r>
      <w:r>
        <w:t xml:space="preserve">in the Age 6 Extension </w:t>
      </w:r>
      <w:r w:rsidRPr="00D93286">
        <w:t>are systematically different from the population as a whole with respect to characteristics used in an analysis, the potential for nonresponse bias exists.</w:t>
      </w:r>
      <w:r>
        <w:t xml:space="preserve"> We will use the approach proposed in the base study, which is to </w:t>
      </w:r>
      <w:r w:rsidRPr="00D93286">
        <w:t xml:space="preserve">examine bivariate cross tabulations of data </w:t>
      </w:r>
      <w:r>
        <w:t xml:space="preserve">available for the eligible, enrolled cohort </w:t>
      </w:r>
      <w:r w:rsidRPr="00D93286">
        <w:t xml:space="preserve">by response status at </w:t>
      </w:r>
      <w:r>
        <w:t xml:space="preserve">the 72-month interview </w:t>
      </w:r>
      <w:r w:rsidRPr="00D93286">
        <w:t>to check for evidence of nonresponse bias</w:t>
      </w:r>
      <w:r>
        <w:t xml:space="preserve"> in</w:t>
      </w:r>
      <w:r w:rsidRPr="00D93286">
        <w:t xml:space="preserve"> </w:t>
      </w:r>
      <w:r>
        <w:t>the 72-month interview</w:t>
      </w:r>
      <w:r w:rsidRPr="00D93286">
        <w:t xml:space="preserve">. Details of the calculation of </w:t>
      </w:r>
      <w:r>
        <w:t xml:space="preserve">nonresponse are found in Appendix </w:t>
      </w:r>
      <w:r w:rsidR="00C31B3D">
        <w:t>X</w:t>
      </w:r>
      <w:r>
        <w:t xml:space="preserve"> of this submission, a reprint of an appendix originally submitted with the supporting statement for the Base study, ICR Reference No. 201208-0584-002; Expiration date: 05/31/2016.</w:t>
      </w:r>
    </w:p>
    <w:p w14:paraId="7834DADE" w14:textId="77777777" w:rsidR="00C23DA3" w:rsidRPr="00A75438" w:rsidRDefault="00C23DA3" w:rsidP="00971256">
      <w:pPr>
        <w:pStyle w:val="Heading2"/>
        <w:tabs>
          <w:tab w:val="clear" w:pos="1152"/>
          <w:tab w:val="left" w:pos="720"/>
        </w:tabs>
        <w:spacing w:before="240"/>
        <w:ind w:left="720" w:hanging="720"/>
      </w:pPr>
      <w:bookmarkStart w:id="63" w:name="_Toc329341130"/>
      <w:bookmarkStart w:id="64" w:name="_Toc400377755"/>
      <w:r w:rsidRPr="00C70E11">
        <w:t>B.4</w:t>
      </w:r>
      <w:r w:rsidRPr="00C70E11">
        <w:tab/>
        <w:t>Test of Procedures or Methods to be Undertaken</w:t>
      </w:r>
      <w:bookmarkStart w:id="65" w:name="_Toc287257056"/>
      <w:bookmarkStart w:id="66" w:name="_Toc287257093"/>
      <w:bookmarkStart w:id="67" w:name="_Toc290021788"/>
      <w:bookmarkEnd w:id="60"/>
      <w:bookmarkEnd w:id="61"/>
      <w:bookmarkEnd w:id="62"/>
      <w:bookmarkEnd w:id="63"/>
      <w:bookmarkEnd w:id="64"/>
      <w:r w:rsidRPr="00C732EE">
        <w:tab/>
      </w:r>
    </w:p>
    <w:p w14:paraId="1EBD762E" w14:textId="77777777" w:rsidR="00C23DA3" w:rsidRDefault="00C23DA3" w:rsidP="00A620CD">
      <w:pPr>
        <w:pStyle w:val="L1-FlLSp12"/>
        <w:tabs>
          <w:tab w:val="left" w:pos="720"/>
        </w:tabs>
        <w:spacing w:after="240" w:line="276" w:lineRule="auto"/>
        <w:rPr>
          <w:rStyle w:val="Strong"/>
          <w:rFonts w:ascii="Franklin Gothic Medium" w:hAnsi="Franklin Gothic Medium"/>
          <w:b w:val="0"/>
          <w:color w:val="324162"/>
          <w:sz w:val="32"/>
        </w:rPr>
      </w:pPr>
      <w:r w:rsidRPr="0042385C">
        <w:rPr>
          <w:rStyle w:val="Strong"/>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6787D6C3" w14:textId="6A694EC5" w:rsidR="00C23DA3" w:rsidRDefault="000C0BC0" w:rsidP="00A620CD">
      <w:pPr>
        <w:pStyle w:val="L1-FlLSp12"/>
        <w:tabs>
          <w:tab w:val="left" w:pos="720"/>
        </w:tabs>
        <w:spacing w:line="480" w:lineRule="auto"/>
      </w:pPr>
      <w:bookmarkStart w:id="68" w:name="_Toc329341131"/>
      <w:r>
        <w:tab/>
      </w:r>
      <w:r w:rsidR="00C23DA3">
        <w:t>T</w:t>
      </w:r>
      <w:r w:rsidR="00C23DA3" w:rsidRPr="00A96ABE">
        <w:t xml:space="preserve">he majority of items </w:t>
      </w:r>
      <w:r w:rsidR="00C23DA3">
        <w:t xml:space="preserve">that will be included in the </w:t>
      </w:r>
      <w:r w:rsidR="00C62037">
        <w:t xml:space="preserve">72-Month </w:t>
      </w:r>
      <w:r w:rsidR="00C23DA3">
        <w:t xml:space="preserve">interview </w:t>
      </w:r>
      <w:r w:rsidR="00C23DA3" w:rsidRPr="00A96ABE">
        <w:t xml:space="preserve">have </w:t>
      </w:r>
      <w:r w:rsidR="00C23DA3">
        <w:t xml:space="preserve">either </w:t>
      </w:r>
      <w:r w:rsidR="00C23DA3" w:rsidRPr="00A96ABE">
        <w:t>been cognitively tested for previous</w:t>
      </w:r>
      <w:r w:rsidR="00C23DA3">
        <w:t>ly approved</w:t>
      </w:r>
      <w:r w:rsidR="00C23DA3" w:rsidRPr="00A96ABE">
        <w:t xml:space="preserve"> interviews on this study</w:t>
      </w:r>
      <w:r w:rsidR="003C3AD5">
        <w:t>,</w:t>
      </w:r>
      <w:r w:rsidR="00C23DA3" w:rsidRPr="00A96ABE">
        <w:t xml:space="preserve"> or drawn from other established studies</w:t>
      </w:r>
      <w:r w:rsidR="003C3AD5">
        <w:t>, including a well-validated 24-hour dietary recall module that comprises more than half of the interview</w:t>
      </w:r>
      <w:r w:rsidR="00C23DA3">
        <w:t>.</w:t>
      </w:r>
      <w:r w:rsidR="00240498">
        <w:t xml:space="preserve"> </w:t>
      </w:r>
      <w:r w:rsidR="00915276">
        <w:t>The small number of new questions have not been</w:t>
      </w:r>
      <w:r w:rsidR="001842F1">
        <w:t xml:space="preserve"> pretested with respondents.  Instead, n</w:t>
      </w:r>
      <w:r w:rsidR="000F4B36">
        <w:t>ew or modified items have undergone review by an expert survey methodology team to ensure methodological soundness</w:t>
      </w:r>
      <w:r w:rsidR="003C3AD5">
        <w:t xml:space="preserve"> and minimized burden on </w:t>
      </w:r>
      <w:r w:rsidR="00477A09">
        <w:t>participant</w:t>
      </w:r>
      <w:r w:rsidR="003C3AD5">
        <w:t>s</w:t>
      </w:r>
      <w:r w:rsidR="000F4B36">
        <w:t>. T</w:t>
      </w:r>
      <w:r w:rsidR="00C23DA3" w:rsidRPr="00A96ABE">
        <w:t xml:space="preserve">esting </w:t>
      </w:r>
      <w:r w:rsidR="00807D9C">
        <w:t>was</w:t>
      </w:r>
      <w:r w:rsidR="00C23DA3">
        <w:t xml:space="preserve"> done </w:t>
      </w:r>
      <w:r w:rsidR="00807D9C">
        <w:t xml:space="preserve">through simulation by survey experts </w:t>
      </w:r>
      <w:r w:rsidR="00C23DA3">
        <w:t xml:space="preserve">to evaluate timing and flow of the </w:t>
      </w:r>
      <w:r w:rsidR="003C3AD5">
        <w:t>72</w:t>
      </w:r>
      <w:r w:rsidR="00C23DA3">
        <w:t>-month interview</w:t>
      </w:r>
      <w:r w:rsidR="00807D9C">
        <w:t>, confirming that the flow is logical and the estimated timing is accurate</w:t>
      </w:r>
      <w:r w:rsidR="00C23DA3">
        <w:t xml:space="preserve">. </w:t>
      </w:r>
    </w:p>
    <w:p w14:paraId="19E06968" w14:textId="77777777" w:rsidR="00C23DA3" w:rsidRDefault="00C23DA3" w:rsidP="00971256">
      <w:pPr>
        <w:pStyle w:val="Heading2"/>
        <w:tabs>
          <w:tab w:val="clear" w:pos="1152"/>
          <w:tab w:val="left" w:pos="720"/>
        </w:tabs>
        <w:spacing w:before="240"/>
        <w:ind w:left="720" w:hanging="720"/>
      </w:pPr>
      <w:bookmarkStart w:id="69" w:name="_Toc400377756"/>
      <w:r w:rsidRPr="00C70E11">
        <w:t>B.5</w:t>
      </w:r>
      <w:r w:rsidRPr="00C70E11">
        <w:tab/>
      </w:r>
      <w:bookmarkEnd w:id="65"/>
      <w:bookmarkEnd w:id="66"/>
      <w:bookmarkEnd w:id="67"/>
      <w:r w:rsidRPr="00C70E11">
        <w:t>Individuals Consulted on Statistical Aspects and Individuals Collecting and/or Analyzing Data</w:t>
      </w:r>
      <w:bookmarkEnd w:id="68"/>
      <w:bookmarkEnd w:id="69"/>
    </w:p>
    <w:p w14:paraId="51388808" w14:textId="77777777" w:rsidR="00C23DA3" w:rsidRDefault="00C23DA3" w:rsidP="00A620CD">
      <w:pPr>
        <w:pStyle w:val="L1-FlLSp12"/>
        <w:tabs>
          <w:tab w:val="left" w:pos="720"/>
        </w:tabs>
        <w:spacing w:line="276" w:lineRule="auto"/>
        <w:rPr>
          <w:rStyle w:val="Strong"/>
          <w:rFonts w:ascii="Franklin Gothic Medium" w:hAnsi="Franklin Gothic Medium"/>
          <w:b w:val="0"/>
          <w:color w:val="324162"/>
          <w:sz w:val="32"/>
        </w:rPr>
      </w:pPr>
      <w:r w:rsidRPr="0042385C">
        <w:rPr>
          <w:rStyle w:val="Strong"/>
        </w:rPr>
        <w:t>Provide the name and telephone number of individuals consulted on statistical aspects of the design and the name of the agency unit, contractor(s), grantee(s), or other person(s) who will actually collect and/or analyze the information for the agency.</w:t>
      </w:r>
    </w:p>
    <w:p w14:paraId="498B5B55" w14:textId="77777777" w:rsidR="00D33F24" w:rsidRPr="00D33F24" w:rsidRDefault="00D33F24" w:rsidP="00A620CD">
      <w:pPr>
        <w:pStyle w:val="L1-FlLSp12"/>
        <w:tabs>
          <w:tab w:val="left" w:pos="720"/>
        </w:tabs>
        <w:spacing w:line="480" w:lineRule="auto"/>
        <w:rPr>
          <w:rStyle w:val="Strong"/>
          <w:b w:val="0"/>
        </w:rPr>
      </w:pPr>
    </w:p>
    <w:p w14:paraId="00C77F2A" w14:textId="643D5FD7" w:rsidR="00C23DA3" w:rsidRDefault="00D33F24" w:rsidP="00A620CD">
      <w:pPr>
        <w:pStyle w:val="L1-FlLSp12"/>
        <w:tabs>
          <w:tab w:val="left" w:pos="720"/>
        </w:tabs>
        <w:spacing w:line="480" w:lineRule="auto"/>
        <w:rPr>
          <w:rStyle w:val="Strong"/>
          <w:b w:val="0"/>
        </w:rPr>
      </w:pPr>
      <w:r>
        <w:rPr>
          <w:rStyle w:val="Strong"/>
          <w:b w:val="0"/>
        </w:rPr>
        <w:t>I</w:t>
      </w:r>
      <w:r w:rsidRPr="00D33F24">
        <w:rPr>
          <w:rStyle w:val="Strong"/>
          <w:b w:val="0"/>
        </w:rPr>
        <w:t>ndividuals consulted on statistical aspects of the design</w:t>
      </w:r>
      <w:r>
        <w:rPr>
          <w:rStyle w:val="Strong"/>
          <w:b w:val="0"/>
        </w:rPr>
        <w:t xml:space="preserve"> are listed below</w:t>
      </w:r>
      <w:r w:rsidRPr="00D33F24">
        <w:rPr>
          <w:rStyle w:val="Strong"/>
          <w:b w:val="0"/>
        </w:rPr>
        <w:t>. Westat staff will be responsible for the collection and analysis of the study’s data, in coordination with FNS.</w:t>
      </w:r>
    </w:p>
    <w:p w14:paraId="2192A00A" w14:textId="77777777" w:rsidR="00F417B5" w:rsidRDefault="00F417B5" w:rsidP="00A620CD">
      <w:pPr>
        <w:pStyle w:val="L1-FlLSp12"/>
        <w:tabs>
          <w:tab w:val="left" w:pos="720"/>
        </w:tabs>
        <w:spacing w:line="480" w:lineRule="auto"/>
        <w:rPr>
          <w:rStyle w:val="Strong"/>
          <w:b w:val="0"/>
        </w:rPr>
      </w:pPr>
    </w:p>
    <w:p w14:paraId="7B3F0630" w14:textId="2F1D10AF" w:rsidR="00F741A0" w:rsidRDefault="00F741A0" w:rsidP="00F741A0">
      <w:pPr>
        <w:pStyle w:val="TT-TableTitle"/>
        <w:tabs>
          <w:tab w:val="left" w:pos="720"/>
        </w:tabs>
      </w:pPr>
      <w:r>
        <w:t>Table B5.1</w:t>
      </w:r>
      <w:r w:rsidRPr="0064319D">
        <w:t>.</w:t>
      </w:r>
      <w:r w:rsidRPr="0064319D">
        <w:tab/>
      </w:r>
      <w:r>
        <w:t>Individuals consulted on statistical aspects and individuals collecting and analyzing data</w:t>
      </w:r>
    </w:p>
    <w:tbl>
      <w:tblPr>
        <w:tblStyle w:val="TableWestatStandardFormat"/>
        <w:tblW w:w="5000" w:type="pct"/>
        <w:tblCellMar>
          <w:left w:w="115" w:type="dxa"/>
          <w:bottom w:w="29" w:type="dxa"/>
          <w:right w:w="115" w:type="dxa"/>
        </w:tblCellMar>
        <w:tblLook w:val="01E0" w:firstRow="1" w:lastRow="1" w:firstColumn="1" w:lastColumn="1" w:noHBand="0" w:noVBand="0"/>
      </w:tblPr>
      <w:tblGrid>
        <w:gridCol w:w="3849"/>
        <w:gridCol w:w="1177"/>
        <w:gridCol w:w="1588"/>
        <w:gridCol w:w="2976"/>
      </w:tblGrid>
      <w:tr w:rsidR="00446BCB" w:rsidRPr="004D5308" w14:paraId="544C52C4" w14:textId="77777777" w:rsidTr="00B06ADA">
        <w:trPr>
          <w:cnfStyle w:val="100000000000" w:firstRow="1" w:lastRow="0" w:firstColumn="0" w:lastColumn="0" w:oddVBand="0" w:evenVBand="0" w:oddHBand="0" w:evenHBand="0" w:firstRowFirstColumn="0" w:firstRowLastColumn="0" w:lastRowFirstColumn="0" w:lastRowLastColumn="0"/>
        </w:trPr>
        <w:tc>
          <w:tcPr>
            <w:tcW w:w="2011" w:type="pct"/>
            <w:vAlign w:val="bottom"/>
          </w:tcPr>
          <w:p w14:paraId="00A56057" w14:textId="77777777" w:rsidR="00C23DA3" w:rsidRDefault="00C23DA3" w:rsidP="000C0BC0">
            <w:pPr>
              <w:pStyle w:val="TH-TableHeading"/>
              <w:tabs>
                <w:tab w:val="left" w:pos="720"/>
              </w:tabs>
              <w:ind w:left="-90" w:hanging="630"/>
            </w:pPr>
            <w:bookmarkStart w:id="70" w:name="_Toc287257057"/>
            <w:bookmarkStart w:id="71" w:name="_Toc329341132"/>
            <w:bookmarkStart w:id="72" w:name="_Toc400377757"/>
            <w:r w:rsidRPr="004D5308">
              <w:t>Name</w:t>
            </w:r>
            <w:bookmarkEnd w:id="70"/>
            <w:bookmarkEnd w:id="71"/>
            <w:bookmarkEnd w:id="72"/>
            <w:r w:rsidR="00F417B5">
              <w:t>/</w:t>
            </w:r>
          </w:p>
          <w:p w14:paraId="00662316" w14:textId="1EB2C97E" w:rsidR="00F417B5" w:rsidRDefault="00F417B5" w:rsidP="000C0BC0">
            <w:pPr>
              <w:pStyle w:val="TH-TableHeading"/>
              <w:tabs>
                <w:tab w:val="left" w:pos="720"/>
              </w:tabs>
              <w:ind w:left="-90" w:hanging="630"/>
            </w:pPr>
            <w:r>
              <w:t>Title</w:t>
            </w:r>
          </w:p>
        </w:tc>
        <w:tc>
          <w:tcPr>
            <w:tcW w:w="618" w:type="pct"/>
            <w:vAlign w:val="bottom"/>
          </w:tcPr>
          <w:p w14:paraId="695CB8A4" w14:textId="77777777" w:rsidR="00C23DA3" w:rsidRDefault="00C23DA3" w:rsidP="000C0BC0">
            <w:pPr>
              <w:pStyle w:val="TH-TableHeading"/>
              <w:tabs>
                <w:tab w:val="left" w:pos="720"/>
              </w:tabs>
              <w:ind w:left="68"/>
            </w:pPr>
            <w:bookmarkStart w:id="73" w:name="_Toc287257058"/>
            <w:bookmarkStart w:id="74" w:name="_Toc329341133"/>
            <w:bookmarkStart w:id="75" w:name="_Toc400377758"/>
            <w:r w:rsidRPr="004D5308">
              <w:t>Affiliation</w:t>
            </w:r>
            <w:bookmarkEnd w:id="73"/>
            <w:bookmarkEnd w:id="74"/>
            <w:bookmarkEnd w:id="75"/>
          </w:p>
        </w:tc>
        <w:tc>
          <w:tcPr>
            <w:tcW w:w="832" w:type="pct"/>
            <w:vAlign w:val="bottom"/>
          </w:tcPr>
          <w:p w14:paraId="25245304" w14:textId="77777777" w:rsidR="00C23DA3" w:rsidRPr="004D5308" w:rsidRDefault="00C23DA3" w:rsidP="000C0BC0">
            <w:pPr>
              <w:pStyle w:val="TH-TableHeading"/>
              <w:tabs>
                <w:tab w:val="left" w:pos="720"/>
              </w:tabs>
            </w:pPr>
            <w:bookmarkStart w:id="76" w:name="_Toc287257059"/>
            <w:bookmarkStart w:id="77" w:name="_Toc329341134"/>
            <w:bookmarkStart w:id="78" w:name="_Toc400377759"/>
            <w:r w:rsidRPr="004D5308">
              <w:t xml:space="preserve">Telephone </w:t>
            </w:r>
            <w:r w:rsidR="007965C4">
              <w:t>n</w:t>
            </w:r>
            <w:r w:rsidRPr="004D5308">
              <w:t>umber</w:t>
            </w:r>
            <w:bookmarkEnd w:id="76"/>
            <w:bookmarkEnd w:id="77"/>
            <w:bookmarkEnd w:id="78"/>
          </w:p>
        </w:tc>
        <w:tc>
          <w:tcPr>
            <w:tcW w:w="1538" w:type="pct"/>
            <w:vAlign w:val="bottom"/>
          </w:tcPr>
          <w:p w14:paraId="7D918FF3" w14:textId="77777777" w:rsidR="00C23DA3" w:rsidRDefault="00C23DA3" w:rsidP="00446BCB">
            <w:pPr>
              <w:pStyle w:val="TH-TableHeading"/>
              <w:ind w:right="162"/>
            </w:pPr>
            <w:bookmarkStart w:id="79" w:name="_Toc287257060"/>
            <w:bookmarkStart w:id="80" w:name="_Toc329341135"/>
            <w:bookmarkStart w:id="81" w:name="_Toc400377760"/>
            <w:r w:rsidRPr="004D5308">
              <w:t>e-mail</w:t>
            </w:r>
            <w:bookmarkEnd w:id="79"/>
            <w:bookmarkEnd w:id="80"/>
            <w:bookmarkEnd w:id="81"/>
          </w:p>
        </w:tc>
      </w:tr>
      <w:tr w:rsidR="00446BCB" w:rsidRPr="00590D28" w14:paraId="50325420" w14:textId="77777777" w:rsidTr="00B06ADA">
        <w:tc>
          <w:tcPr>
            <w:tcW w:w="2011" w:type="pct"/>
          </w:tcPr>
          <w:p w14:paraId="59F00B52" w14:textId="77777777" w:rsidR="00C23DA3" w:rsidRDefault="00770AB4" w:rsidP="00B06ADA">
            <w:pPr>
              <w:pStyle w:val="TX-TableText"/>
              <w:tabs>
                <w:tab w:val="left" w:pos="720"/>
              </w:tabs>
              <w:spacing w:line="240" w:lineRule="auto"/>
            </w:pPr>
            <w:r>
              <w:t>Nancy Weinfield</w:t>
            </w:r>
          </w:p>
          <w:p w14:paraId="0F0FFBDA" w14:textId="3FC03137" w:rsidR="00446BCB" w:rsidRPr="00590D28" w:rsidRDefault="00446BCB" w:rsidP="00B06ADA">
            <w:pPr>
              <w:pStyle w:val="TX-TableText"/>
              <w:tabs>
                <w:tab w:val="left" w:pos="720"/>
              </w:tabs>
              <w:spacing w:line="240" w:lineRule="auto"/>
              <w:ind w:firstLine="90"/>
            </w:pPr>
            <w:r>
              <w:t>Senior Study Director, Project Director</w:t>
            </w:r>
          </w:p>
        </w:tc>
        <w:tc>
          <w:tcPr>
            <w:tcW w:w="618" w:type="pct"/>
          </w:tcPr>
          <w:p w14:paraId="733D9B15" w14:textId="77777777" w:rsidR="00C23DA3" w:rsidRPr="00590D28" w:rsidRDefault="00C23DA3" w:rsidP="00B06ADA">
            <w:pPr>
              <w:pStyle w:val="TX-TableText"/>
            </w:pPr>
            <w:r>
              <w:t>Westat</w:t>
            </w:r>
          </w:p>
        </w:tc>
        <w:tc>
          <w:tcPr>
            <w:tcW w:w="832" w:type="pct"/>
          </w:tcPr>
          <w:p w14:paraId="1D735A02" w14:textId="14D9544A" w:rsidR="00C23DA3" w:rsidRPr="00590D28" w:rsidRDefault="00770AB4" w:rsidP="00B06ADA">
            <w:pPr>
              <w:pStyle w:val="TX-TableText"/>
              <w:spacing w:line="240" w:lineRule="auto"/>
              <w:jc w:val="center"/>
            </w:pPr>
            <w:r>
              <w:t>240-314-2480</w:t>
            </w:r>
          </w:p>
        </w:tc>
        <w:tc>
          <w:tcPr>
            <w:tcW w:w="1538" w:type="pct"/>
          </w:tcPr>
          <w:p w14:paraId="6D50CF6C" w14:textId="0B528E82" w:rsidR="00C23DA3" w:rsidRPr="00590D28" w:rsidRDefault="00136315" w:rsidP="00B06ADA">
            <w:pPr>
              <w:pStyle w:val="TX-TableText"/>
              <w:spacing w:line="240" w:lineRule="auto"/>
              <w:ind w:left="45"/>
            </w:pPr>
            <w:hyperlink r:id="rId19" w:history="1">
              <w:r w:rsidR="00921C64" w:rsidRPr="00EB1352">
                <w:rPr>
                  <w:rStyle w:val="Hyperlink"/>
                </w:rPr>
                <w:t>nancyweinfield@westat.com</w:t>
              </w:r>
            </w:hyperlink>
          </w:p>
        </w:tc>
      </w:tr>
      <w:tr w:rsidR="00446BCB" w:rsidRPr="00590D28" w14:paraId="701F6B8F" w14:textId="77777777" w:rsidTr="00B06ADA">
        <w:tc>
          <w:tcPr>
            <w:tcW w:w="2011" w:type="pct"/>
          </w:tcPr>
          <w:p w14:paraId="79D8AB61" w14:textId="77777777" w:rsidR="00C23DA3" w:rsidRDefault="003C3AD5" w:rsidP="00B06ADA">
            <w:pPr>
              <w:pStyle w:val="TX-TableText"/>
              <w:tabs>
                <w:tab w:val="left" w:pos="720"/>
              </w:tabs>
              <w:spacing w:line="240" w:lineRule="auto"/>
            </w:pPr>
            <w:r>
              <w:t>Christine Borger</w:t>
            </w:r>
          </w:p>
          <w:p w14:paraId="35D22D10" w14:textId="3271932A" w:rsidR="00446BCB" w:rsidRPr="00590D28" w:rsidRDefault="00446BCB" w:rsidP="00B06ADA">
            <w:pPr>
              <w:pStyle w:val="TX-TableText"/>
              <w:tabs>
                <w:tab w:val="left" w:pos="720"/>
              </w:tabs>
              <w:spacing w:line="240" w:lineRule="auto"/>
              <w:ind w:firstLine="90"/>
            </w:pPr>
            <w:r>
              <w:t>Senior Study Director, Project Analyst</w:t>
            </w:r>
          </w:p>
        </w:tc>
        <w:tc>
          <w:tcPr>
            <w:tcW w:w="618" w:type="pct"/>
          </w:tcPr>
          <w:p w14:paraId="5B1785B1" w14:textId="77777777" w:rsidR="00C23DA3" w:rsidRPr="00590D28" w:rsidRDefault="00C23DA3" w:rsidP="00B06ADA">
            <w:pPr>
              <w:pStyle w:val="TX-TableText"/>
            </w:pPr>
            <w:r>
              <w:t>Westat</w:t>
            </w:r>
          </w:p>
        </w:tc>
        <w:tc>
          <w:tcPr>
            <w:tcW w:w="832" w:type="pct"/>
          </w:tcPr>
          <w:p w14:paraId="3070D10F" w14:textId="35997B0E" w:rsidR="00C23DA3" w:rsidRPr="00590D28" w:rsidRDefault="003C3AD5" w:rsidP="00B06ADA">
            <w:pPr>
              <w:pStyle w:val="TX-TableText"/>
              <w:tabs>
                <w:tab w:val="left" w:pos="720"/>
              </w:tabs>
              <w:spacing w:line="240" w:lineRule="auto"/>
              <w:jc w:val="center"/>
            </w:pPr>
            <w:r>
              <w:t>301-</w:t>
            </w:r>
            <w:r w:rsidRPr="003C3AD5">
              <w:t>294-2072</w:t>
            </w:r>
          </w:p>
        </w:tc>
        <w:tc>
          <w:tcPr>
            <w:tcW w:w="1538" w:type="pct"/>
          </w:tcPr>
          <w:p w14:paraId="73110CA8" w14:textId="1B954734" w:rsidR="00C23DA3" w:rsidRPr="00590D28" w:rsidRDefault="00136315" w:rsidP="00B06ADA">
            <w:pPr>
              <w:pStyle w:val="TX-TableText"/>
              <w:spacing w:line="240" w:lineRule="auto"/>
              <w:ind w:left="45"/>
            </w:pPr>
            <w:hyperlink r:id="rId20" w:history="1">
              <w:r w:rsidR="003C3AD5" w:rsidRPr="007C2F11">
                <w:rPr>
                  <w:rStyle w:val="Hyperlink"/>
                </w:rPr>
                <w:t>christineborger@westat.com</w:t>
              </w:r>
            </w:hyperlink>
          </w:p>
        </w:tc>
      </w:tr>
      <w:tr w:rsidR="00446BCB" w:rsidRPr="00590D28" w14:paraId="6394F65B" w14:textId="77777777" w:rsidTr="00B06ADA">
        <w:tc>
          <w:tcPr>
            <w:tcW w:w="2011" w:type="pct"/>
          </w:tcPr>
          <w:p w14:paraId="2FDB4A8E" w14:textId="77777777" w:rsidR="00C23DA3" w:rsidRDefault="00C23DA3" w:rsidP="00B06ADA">
            <w:pPr>
              <w:pStyle w:val="TX-TableText"/>
              <w:tabs>
                <w:tab w:val="left" w:pos="720"/>
              </w:tabs>
              <w:spacing w:line="240" w:lineRule="auto"/>
            </w:pPr>
            <w:r>
              <w:t xml:space="preserve">Jill </w:t>
            </w:r>
            <w:r w:rsidR="00C62037">
              <w:t>DeMatteis</w:t>
            </w:r>
          </w:p>
          <w:p w14:paraId="006E47C3" w14:textId="130422F0" w:rsidR="00446BCB" w:rsidRPr="00590D28" w:rsidRDefault="00446BCB" w:rsidP="00B06ADA">
            <w:pPr>
              <w:pStyle w:val="TX-TableText"/>
              <w:tabs>
                <w:tab w:val="left" w:pos="720"/>
              </w:tabs>
              <w:spacing w:line="240" w:lineRule="auto"/>
              <w:ind w:firstLine="90"/>
            </w:pPr>
            <w:r>
              <w:t>Associate Director, Senior Statistician</w:t>
            </w:r>
          </w:p>
        </w:tc>
        <w:tc>
          <w:tcPr>
            <w:tcW w:w="618" w:type="pct"/>
          </w:tcPr>
          <w:p w14:paraId="21C3AC3A" w14:textId="77777777" w:rsidR="00C23DA3" w:rsidRPr="00590D28" w:rsidRDefault="00C23DA3" w:rsidP="00B06ADA">
            <w:pPr>
              <w:pStyle w:val="TX-TableText"/>
            </w:pPr>
            <w:r>
              <w:t>Westat</w:t>
            </w:r>
          </w:p>
        </w:tc>
        <w:tc>
          <w:tcPr>
            <w:tcW w:w="832" w:type="pct"/>
          </w:tcPr>
          <w:p w14:paraId="6AB3033D" w14:textId="77777777" w:rsidR="00C23DA3" w:rsidRPr="00590D28" w:rsidRDefault="00C23DA3" w:rsidP="00B06ADA">
            <w:pPr>
              <w:pStyle w:val="TX-TableText"/>
              <w:tabs>
                <w:tab w:val="left" w:pos="720"/>
              </w:tabs>
              <w:spacing w:line="240" w:lineRule="auto"/>
              <w:jc w:val="center"/>
            </w:pPr>
            <w:r>
              <w:t>301-517-4046</w:t>
            </w:r>
          </w:p>
        </w:tc>
        <w:tc>
          <w:tcPr>
            <w:tcW w:w="1538" w:type="pct"/>
          </w:tcPr>
          <w:p w14:paraId="70901C27" w14:textId="1E7A1668" w:rsidR="00C23DA3" w:rsidRPr="00590D28" w:rsidRDefault="00136315" w:rsidP="00B06ADA">
            <w:pPr>
              <w:pStyle w:val="TX-TableText"/>
              <w:spacing w:line="240" w:lineRule="auto"/>
              <w:ind w:left="45"/>
            </w:pPr>
            <w:hyperlink r:id="rId21" w:history="1">
              <w:r w:rsidR="00C62037" w:rsidRPr="0041602A">
                <w:rPr>
                  <w:rStyle w:val="Hyperlink"/>
                </w:rPr>
                <w:t>jill</w:t>
              </w:r>
              <w:r w:rsidR="00C62037">
                <w:rPr>
                  <w:rStyle w:val="Hyperlink"/>
                </w:rPr>
                <w:t>dematteis</w:t>
              </w:r>
              <w:r w:rsidR="00C62037" w:rsidRPr="0041602A">
                <w:rPr>
                  <w:rStyle w:val="Hyperlink"/>
                </w:rPr>
                <w:t>@westat.com</w:t>
              </w:r>
            </w:hyperlink>
          </w:p>
        </w:tc>
      </w:tr>
      <w:tr w:rsidR="00446BCB" w:rsidRPr="002B785E" w14:paraId="4CE6D1CD" w14:textId="77777777" w:rsidTr="00B06ADA">
        <w:tc>
          <w:tcPr>
            <w:tcW w:w="2011" w:type="pct"/>
          </w:tcPr>
          <w:p w14:paraId="51AF741F" w14:textId="77777777" w:rsidR="001F64C1" w:rsidRDefault="001F64C1" w:rsidP="00B06ADA">
            <w:pPr>
              <w:pStyle w:val="TX-TableText"/>
              <w:tabs>
                <w:tab w:val="left" w:pos="720"/>
              </w:tabs>
              <w:spacing w:line="240" w:lineRule="auto"/>
            </w:pPr>
            <w:r>
              <w:t>Crystal MacAllum</w:t>
            </w:r>
          </w:p>
          <w:p w14:paraId="71D18F43" w14:textId="6B2DA73A" w:rsidR="00446BCB" w:rsidRDefault="00446BCB" w:rsidP="00B06ADA">
            <w:pPr>
              <w:pStyle w:val="TX-TableText"/>
              <w:tabs>
                <w:tab w:val="left" w:pos="720"/>
              </w:tabs>
              <w:spacing w:line="240" w:lineRule="auto"/>
              <w:ind w:left="90"/>
            </w:pPr>
            <w:r>
              <w:t>Senior Study Director, Deputy Project Director, Operations Director</w:t>
            </w:r>
          </w:p>
        </w:tc>
        <w:tc>
          <w:tcPr>
            <w:tcW w:w="618" w:type="pct"/>
          </w:tcPr>
          <w:p w14:paraId="0F71EFAF" w14:textId="2DA96900" w:rsidR="001F64C1" w:rsidRPr="0001600F" w:rsidRDefault="001F64C1" w:rsidP="00B06ADA">
            <w:pPr>
              <w:pStyle w:val="TX-TableText"/>
            </w:pPr>
            <w:r>
              <w:t>Westat</w:t>
            </w:r>
          </w:p>
        </w:tc>
        <w:tc>
          <w:tcPr>
            <w:tcW w:w="832" w:type="pct"/>
          </w:tcPr>
          <w:p w14:paraId="2104C718" w14:textId="495F325F" w:rsidR="001F64C1" w:rsidRDefault="001F64C1" w:rsidP="00B06ADA">
            <w:pPr>
              <w:pStyle w:val="TX-TableText"/>
              <w:tabs>
                <w:tab w:val="left" w:pos="720"/>
              </w:tabs>
              <w:spacing w:line="240" w:lineRule="auto"/>
              <w:jc w:val="center"/>
            </w:pPr>
            <w:r>
              <w:t>301-251-4232</w:t>
            </w:r>
          </w:p>
        </w:tc>
        <w:tc>
          <w:tcPr>
            <w:tcW w:w="1538" w:type="pct"/>
          </w:tcPr>
          <w:p w14:paraId="4F56B83D" w14:textId="4AD25A3F" w:rsidR="001F64C1" w:rsidRDefault="00136315" w:rsidP="00B06ADA">
            <w:pPr>
              <w:pStyle w:val="TX-TableText"/>
              <w:spacing w:line="240" w:lineRule="auto"/>
              <w:ind w:left="45"/>
            </w:pPr>
            <w:hyperlink r:id="rId22" w:history="1">
              <w:r w:rsidR="00921C64" w:rsidRPr="00EB1352">
                <w:rPr>
                  <w:rStyle w:val="Hyperlink"/>
                </w:rPr>
                <w:t>crystalmacallum@westat.com</w:t>
              </w:r>
            </w:hyperlink>
          </w:p>
        </w:tc>
      </w:tr>
      <w:tr w:rsidR="00446BCB" w:rsidRPr="002B785E" w14:paraId="39E80B36" w14:textId="77777777" w:rsidTr="00B06ADA">
        <w:tc>
          <w:tcPr>
            <w:tcW w:w="2011" w:type="pct"/>
          </w:tcPr>
          <w:p w14:paraId="57322D50" w14:textId="77777777" w:rsidR="003E4158" w:rsidRDefault="003E4158" w:rsidP="00B06ADA">
            <w:pPr>
              <w:pStyle w:val="TX-TableText"/>
              <w:tabs>
                <w:tab w:val="left" w:pos="720"/>
              </w:tabs>
              <w:spacing w:line="240" w:lineRule="auto"/>
            </w:pPr>
            <w:r>
              <w:t>Douglas Kilburg</w:t>
            </w:r>
          </w:p>
          <w:p w14:paraId="17463B1B" w14:textId="3FE7BA26" w:rsidR="00446BCB" w:rsidRDefault="00446BCB" w:rsidP="00B06ADA">
            <w:pPr>
              <w:pStyle w:val="TX-TableText"/>
              <w:tabs>
                <w:tab w:val="left" w:pos="720"/>
              </w:tabs>
              <w:spacing w:line="240" w:lineRule="auto"/>
              <w:ind w:firstLine="90"/>
            </w:pPr>
            <w:r>
              <w:t>Mathematical Statistican</w:t>
            </w:r>
          </w:p>
        </w:tc>
        <w:tc>
          <w:tcPr>
            <w:tcW w:w="618" w:type="pct"/>
          </w:tcPr>
          <w:p w14:paraId="7C563A45" w14:textId="08DE1EF0" w:rsidR="003E4158" w:rsidRDefault="003E4158" w:rsidP="00B06ADA">
            <w:pPr>
              <w:pStyle w:val="TX-TableText"/>
            </w:pPr>
            <w:r>
              <w:t>NASS</w:t>
            </w:r>
          </w:p>
        </w:tc>
        <w:tc>
          <w:tcPr>
            <w:tcW w:w="832" w:type="pct"/>
          </w:tcPr>
          <w:p w14:paraId="13066381" w14:textId="722D228E" w:rsidR="003E4158" w:rsidRDefault="003E4158" w:rsidP="00B06ADA">
            <w:pPr>
              <w:pStyle w:val="TX-TableText"/>
              <w:tabs>
                <w:tab w:val="left" w:pos="720"/>
              </w:tabs>
              <w:spacing w:line="240" w:lineRule="auto"/>
              <w:jc w:val="center"/>
            </w:pPr>
            <w:r>
              <w:t>202-720-3777</w:t>
            </w:r>
          </w:p>
        </w:tc>
        <w:tc>
          <w:tcPr>
            <w:tcW w:w="1538" w:type="pct"/>
          </w:tcPr>
          <w:p w14:paraId="7723F7D8" w14:textId="6BACE741" w:rsidR="003E4158" w:rsidRDefault="003E4158" w:rsidP="00B06ADA">
            <w:pPr>
              <w:pStyle w:val="TX-TableText"/>
              <w:spacing w:line="240" w:lineRule="auto"/>
              <w:ind w:left="45"/>
              <w:rPr>
                <w:rStyle w:val="Hyperlink"/>
              </w:rPr>
            </w:pPr>
            <w:r>
              <w:rPr>
                <w:rStyle w:val="Hyperlink"/>
              </w:rPr>
              <w:t>Douglas.Kilburg@nass.usda.gov</w:t>
            </w:r>
          </w:p>
        </w:tc>
      </w:tr>
      <w:tr w:rsidR="00446BCB" w:rsidRPr="002B785E" w14:paraId="06CE3EA8" w14:textId="77777777" w:rsidTr="00B06ADA">
        <w:tc>
          <w:tcPr>
            <w:tcW w:w="2011" w:type="pct"/>
          </w:tcPr>
          <w:p w14:paraId="1E7685F2" w14:textId="77777777" w:rsidR="00C23DA3" w:rsidRDefault="003C3AD5" w:rsidP="00B06ADA">
            <w:pPr>
              <w:pStyle w:val="TX-TableText"/>
              <w:tabs>
                <w:tab w:val="left" w:pos="720"/>
              </w:tabs>
              <w:spacing w:line="240" w:lineRule="auto"/>
            </w:pPr>
            <w:r>
              <w:t>Danielle Berman</w:t>
            </w:r>
          </w:p>
          <w:p w14:paraId="0A2048A5" w14:textId="74E376E3" w:rsidR="00446BCB" w:rsidRPr="004504E0" w:rsidRDefault="00F417B5" w:rsidP="00B06ADA">
            <w:pPr>
              <w:pStyle w:val="TX-TableText"/>
              <w:tabs>
                <w:tab w:val="left" w:pos="720"/>
              </w:tabs>
              <w:spacing w:line="240" w:lineRule="auto"/>
              <w:ind w:left="90"/>
            </w:pPr>
            <w:r>
              <w:t>Branch Chief, Special Nutrition Evaluation Branch, Office of Policy Support</w:t>
            </w:r>
          </w:p>
        </w:tc>
        <w:tc>
          <w:tcPr>
            <w:tcW w:w="618" w:type="pct"/>
          </w:tcPr>
          <w:p w14:paraId="138F8995" w14:textId="77777777" w:rsidR="00C23DA3" w:rsidRPr="004504E0" w:rsidRDefault="00C23DA3" w:rsidP="00B06ADA">
            <w:pPr>
              <w:pStyle w:val="TX-TableText"/>
              <w:spacing w:line="240" w:lineRule="auto"/>
            </w:pPr>
            <w:r w:rsidRPr="004504E0">
              <w:t>USDA/FNS</w:t>
            </w:r>
          </w:p>
        </w:tc>
        <w:tc>
          <w:tcPr>
            <w:tcW w:w="832" w:type="pct"/>
          </w:tcPr>
          <w:p w14:paraId="049DCFFB" w14:textId="4EC67410" w:rsidR="00C23DA3" w:rsidRPr="004504E0" w:rsidRDefault="003C3AD5" w:rsidP="00B06ADA">
            <w:pPr>
              <w:pStyle w:val="TX-TableText"/>
              <w:tabs>
                <w:tab w:val="left" w:pos="720"/>
              </w:tabs>
              <w:spacing w:line="240" w:lineRule="auto"/>
              <w:jc w:val="center"/>
            </w:pPr>
            <w:r>
              <w:rPr>
                <w:szCs w:val="24"/>
              </w:rPr>
              <w:t>703-305-</w:t>
            </w:r>
            <w:r w:rsidRPr="003B7557">
              <w:rPr>
                <w:szCs w:val="24"/>
              </w:rPr>
              <w:t>2698</w:t>
            </w:r>
          </w:p>
        </w:tc>
        <w:tc>
          <w:tcPr>
            <w:tcW w:w="1538" w:type="pct"/>
          </w:tcPr>
          <w:p w14:paraId="35408229" w14:textId="6AFF5ACB" w:rsidR="00C23DA3" w:rsidRPr="004504E0" w:rsidRDefault="00136315" w:rsidP="00B06ADA">
            <w:pPr>
              <w:pStyle w:val="TX-TableText"/>
              <w:spacing w:line="240" w:lineRule="auto"/>
              <w:ind w:left="45"/>
            </w:pPr>
            <w:hyperlink r:id="rId23" w:history="1">
              <w:r w:rsidR="004A7A00" w:rsidRPr="007C2F11">
                <w:rPr>
                  <w:rStyle w:val="Hyperlink"/>
                </w:rPr>
                <w:t>danielle.berman@fns.usda.gov</w:t>
              </w:r>
            </w:hyperlink>
          </w:p>
        </w:tc>
      </w:tr>
    </w:tbl>
    <w:p w14:paraId="75A091D8" w14:textId="77777777" w:rsidR="005D228D" w:rsidRPr="005D228D" w:rsidRDefault="005D228D" w:rsidP="00F417B5">
      <w:pPr>
        <w:tabs>
          <w:tab w:val="left" w:pos="720"/>
        </w:tabs>
      </w:pPr>
    </w:p>
    <w:sectPr w:rsidR="005D228D" w:rsidRPr="005D228D" w:rsidSect="00550934">
      <w:endnotePr>
        <w:numFmt w:val="decimal"/>
      </w:endnotePr>
      <w:pgSz w:w="12240" w:h="15840" w:code="1"/>
      <w:pgMar w:top="1440" w:right="1440" w:bottom="1440" w:left="1440" w:header="720" w:footer="576"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EF2040" w14:textId="77777777" w:rsidR="002B7C63" w:rsidRDefault="002B7C63">
      <w:pPr>
        <w:spacing w:line="240" w:lineRule="auto"/>
      </w:pPr>
      <w:r>
        <w:separator/>
      </w:r>
    </w:p>
  </w:endnote>
  <w:endnote w:type="continuationSeparator" w:id="0">
    <w:p w14:paraId="1C974577" w14:textId="77777777" w:rsidR="002B7C63" w:rsidRDefault="002B7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96E6C" w14:textId="77777777" w:rsidR="004A7A00" w:rsidRPr="00124854" w:rsidRDefault="004A7A00" w:rsidP="007349C0">
    <w:pPr>
      <w:jc w:val="center"/>
    </w:pPr>
    <w:r>
      <w:fldChar w:fldCharType="begin"/>
    </w:r>
    <w:r>
      <w:instrText xml:space="preserve"> PAGE   \* MERGEFORMAT </w:instrText>
    </w:r>
    <w:r>
      <w:fldChar w:fldCharType="separate"/>
    </w:r>
    <w:r>
      <w:rPr>
        <w:noProof/>
      </w:rPr>
      <w:t>xii</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256034"/>
      <w:docPartObj>
        <w:docPartGallery w:val="Page Numbers (Bottom of Page)"/>
        <w:docPartUnique/>
      </w:docPartObj>
    </w:sdtPr>
    <w:sdtEndPr>
      <w:rPr>
        <w:noProof/>
      </w:rPr>
    </w:sdtEndPr>
    <w:sdtContent>
      <w:p w14:paraId="3A22218D" w14:textId="12DC986E" w:rsidR="001B19B6" w:rsidRDefault="001B19B6">
        <w:pPr>
          <w:pStyle w:val="Footer"/>
          <w:jc w:val="center"/>
        </w:pPr>
        <w:r>
          <w:fldChar w:fldCharType="begin"/>
        </w:r>
        <w:r>
          <w:instrText xml:space="preserve"> PAGE   \* MERGEFORMAT </w:instrText>
        </w:r>
        <w:r>
          <w:fldChar w:fldCharType="separate"/>
        </w:r>
        <w:r>
          <w:rPr>
            <w:noProof/>
          </w:rPr>
          <w:t>ii</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C02CF" w14:textId="08D33741" w:rsidR="001B19B6" w:rsidRDefault="00136315">
    <w:pPr>
      <w:pStyle w:val="Footer"/>
      <w:jc w:val="center"/>
    </w:pPr>
    <w:sdt>
      <w:sdtPr>
        <w:id w:val="-28491509"/>
        <w:docPartObj>
          <w:docPartGallery w:val="Page Numbers (Bottom of Page)"/>
          <w:docPartUnique/>
        </w:docPartObj>
      </w:sdtPr>
      <w:sdtEndPr/>
      <w:sdtContent>
        <w:r w:rsidR="001B19B6">
          <w:fldChar w:fldCharType="begin"/>
        </w:r>
        <w:r w:rsidR="001B19B6">
          <w:instrText xml:space="preserve"> PAGE   \* MERGEFORMAT </w:instrText>
        </w:r>
        <w:r w:rsidR="001B19B6">
          <w:fldChar w:fldCharType="separate"/>
        </w:r>
        <w:r w:rsidR="003E789D">
          <w:rPr>
            <w:noProof/>
          </w:rPr>
          <w:t>i</w:t>
        </w:r>
        <w:r w:rsidR="001B19B6">
          <w:rPr>
            <w:noProof/>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391296"/>
      <w:docPartObj>
        <w:docPartGallery w:val="Page Numbers (Bottom of Page)"/>
        <w:docPartUnique/>
      </w:docPartObj>
    </w:sdtPr>
    <w:sdtEndPr>
      <w:rPr>
        <w:noProof/>
      </w:rPr>
    </w:sdtEndPr>
    <w:sdtContent>
      <w:p w14:paraId="57A2628A" w14:textId="77777777" w:rsidR="001B19B6" w:rsidRDefault="001B19B6">
        <w:pPr>
          <w:pStyle w:val="Footer"/>
          <w:jc w:val="center"/>
        </w:pPr>
        <w:r>
          <w:fldChar w:fldCharType="begin"/>
        </w:r>
        <w:r>
          <w:instrText xml:space="preserve"> PAGE   \* MERGEFORMAT </w:instrText>
        </w:r>
        <w:r>
          <w:fldChar w:fldCharType="separate"/>
        </w:r>
        <w:r>
          <w:rPr>
            <w:noProof/>
          </w:rPr>
          <w:t>iv</w:t>
        </w:r>
        <w:r>
          <w:rPr>
            <w:noProof/>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3808D" w14:textId="56D40F73" w:rsidR="001B19B6" w:rsidRDefault="00136315">
    <w:pPr>
      <w:pStyle w:val="Footer"/>
      <w:jc w:val="center"/>
    </w:pPr>
    <w:sdt>
      <w:sdtPr>
        <w:id w:val="-2084137478"/>
        <w:docPartObj>
          <w:docPartGallery w:val="Page Numbers (Bottom of Page)"/>
          <w:docPartUnique/>
        </w:docPartObj>
      </w:sdtPr>
      <w:sdtEndPr/>
      <w:sdtContent>
        <w:r w:rsidR="001B19B6">
          <w:fldChar w:fldCharType="begin"/>
        </w:r>
        <w:r w:rsidR="001B19B6">
          <w:instrText xml:space="preserve"> PAGE   \* MERGEFORMAT </w:instrText>
        </w:r>
        <w:r w:rsidR="001B19B6">
          <w:fldChar w:fldCharType="separate"/>
        </w:r>
        <w:r w:rsidR="003E789D">
          <w:rPr>
            <w:noProof/>
          </w:rPr>
          <w:t>ii</w:t>
        </w:r>
        <w:r w:rsidR="001B19B6">
          <w:rPr>
            <w:noProof/>
          </w:rPr>
          <w:fldChar w:fldCharType="end"/>
        </w:r>
      </w:sdtContent>
    </w:sdt>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62077"/>
      <w:docPartObj>
        <w:docPartGallery w:val="Page Numbers (Bottom of Page)"/>
        <w:docPartUnique/>
      </w:docPartObj>
    </w:sdtPr>
    <w:sdtEndPr>
      <w:rPr>
        <w:noProof/>
      </w:rPr>
    </w:sdtEndPr>
    <w:sdtContent>
      <w:p w14:paraId="405F267D" w14:textId="064B6A00" w:rsidR="004A7A00" w:rsidRDefault="004A7A00">
        <w:pPr>
          <w:pStyle w:val="Footer"/>
          <w:jc w:val="center"/>
        </w:pPr>
        <w:r>
          <w:fldChar w:fldCharType="begin"/>
        </w:r>
        <w:r>
          <w:instrText xml:space="preserve"> PAGE   \* MERGEFORMAT </w:instrText>
        </w:r>
        <w:r>
          <w:fldChar w:fldCharType="separate"/>
        </w:r>
        <w:r w:rsidR="003E789D">
          <w:rPr>
            <w:noProof/>
          </w:rPr>
          <w:t>12</w:t>
        </w:r>
        <w:r>
          <w:rPr>
            <w:noProof/>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902A02" w14:textId="733CEBD8" w:rsidR="004A7A00" w:rsidRDefault="00136315">
    <w:pPr>
      <w:pStyle w:val="Footer"/>
      <w:jc w:val="center"/>
    </w:pPr>
    <w:sdt>
      <w:sdtPr>
        <w:id w:val="-1712565333"/>
        <w:docPartObj>
          <w:docPartGallery w:val="Page Numbers (Bottom of Page)"/>
          <w:docPartUnique/>
        </w:docPartObj>
      </w:sdtPr>
      <w:sdtEndPr/>
      <w:sdtContent>
        <w:r w:rsidR="004A7A00">
          <w:fldChar w:fldCharType="begin"/>
        </w:r>
        <w:r w:rsidR="004A7A00">
          <w:instrText xml:space="preserve"> PAGE   \* MERGEFORMAT </w:instrText>
        </w:r>
        <w:r w:rsidR="004A7A00">
          <w:fldChar w:fldCharType="separate"/>
        </w:r>
        <w:r w:rsidR="003E789D">
          <w:rPr>
            <w:noProof/>
          </w:rPr>
          <w:t>1</w:t>
        </w:r>
        <w:r w:rsidR="004A7A0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2465C5" w14:textId="77777777" w:rsidR="002B7C63" w:rsidRDefault="002B7C63">
      <w:pPr>
        <w:spacing w:line="240" w:lineRule="auto"/>
      </w:pPr>
      <w:r>
        <w:separator/>
      </w:r>
    </w:p>
  </w:footnote>
  <w:footnote w:type="continuationSeparator" w:id="0">
    <w:p w14:paraId="0F017FFE" w14:textId="77777777" w:rsidR="002B7C63" w:rsidRDefault="002B7C63">
      <w:pPr>
        <w:spacing w:line="240" w:lineRule="auto"/>
      </w:pPr>
      <w:r>
        <w:continuationSeparator/>
      </w:r>
    </w:p>
  </w:footnote>
  <w:footnote w:id="1">
    <w:p w14:paraId="2869D6E0" w14:textId="39365D7B" w:rsidR="004A7A00" w:rsidRDefault="004A7A00" w:rsidP="00550934">
      <w:pPr>
        <w:pStyle w:val="FootnoteText"/>
      </w:pPr>
      <w:r>
        <w:rPr>
          <w:rStyle w:val="FootnoteReference"/>
        </w:rPr>
        <w:footnoteRef/>
      </w:r>
      <w:r>
        <w:tab/>
        <w:t>The ITFPS-2 annual attrition rate between birth and 1 year of age was 7.3%; between the first and second birthdays, the attrition rate was 9.3%.</w:t>
      </w:r>
    </w:p>
  </w:footnote>
  <w:footnote w:id="2">
    <w:p w14:paraId="032D75F7" w14:textId="2E4715CB" w:rsidR="003B2372" w:rsidRDefault="003B2372">
      <w:pPr>
        <w:pStyle w:val="FootnoteText"/>
      </w:pPr>
      <w:r>
        <w:rPr>
          <w:rStyle w:val="FootnoteReference"/>
        </w:rPr>
        <w:footnoteRef/>
      </w:r>
      <w:r>
        <w:t xml:space="preserve"> The base study included a core sample and a supplemental sample. Through the 24-month interview the core sample was interviewed more frequently (up to 11 times) than the supplemental sample (up to 4 times). Since then, both the core and supplemental samples have participated in every interview.</w:t>
      </w:r>
    </w:p>
  </w:footnote>
  <w:footnote w:id="3">
    <w:p w14:paraId="7F65052C" w14:textId="77777777" w:rsidR="004A7A00" w:rsidRDefault="004A7A00" w:rsidP="007965C4">
      <w:pPr>
        <w:pStyle w:val="FootnoteText"/>
      </w:pPr>
      <w:r>
        <w:rPr>
          <w:rStyle w:val="FootnoteReference"/>
        </w:rPr>
        <w:footnoteRef/>
      </w:r>
      <w:r>
        <w:tab/>
        <w:t xml:space="preserve">Judkins, D. (1990). Fay’s method for variance estimation. </w:t>
      </w:r>
      <w:r>
        <w:rPr>
          <w:i/>
        </w:rPr>
        <w:t>Journal of Official Statistics</w:t>
      </w:r>
      <w:r>
        <w:t>, 6, 223-239.</w:t>
      </w:r>
    </w:p>
  </w:footnote>
  <w:footnote w:id="4">
    <w:p w14:paraId="618452DB" w14:textId="4F592259" w:rsidR="004A7A00" w:rsidRDefault="004A7A00" w:rsidP="007965C4">
      <w:pPr>
        <w:pStyle w:val="FootnoteText"/>
      </w:pPr>
      <w:r>
        <w:rPr>
          <w:rStyle w:val="FootnoteReference"/>
        </w:rPr>
        <w:footnoteRef/>
      </w:r>
      <w:r>
        <w:tab/>
        <w:t>Ernst, L.R., and Williams, T.R. (1987).Some aspects of estimating variances by half-sample replication in CPS.</w:t>
      </w:r>
      <w:r w:rsidR="00514228">
        <w:t xml:space="preserve"> </w:t>
      </w:r>
      <w:r>
        <w:rPr>
          <w:rFonts w:cs="Times-Italic"/>
          <w:i/>
          <w:iCs/>
        </w:rPr>
        <w:t>Proceedings of the Section on Survey Research Methods of the American Statistical Association</w:t>
      </w:r>
      <w:r>
        <w:t xml:space="preserve">, pp. 480-485. </w:t>
      </w:r>
    </w:p>
  </w:footnote>
  <w:footnote w:id="5">
    <w:p w14:paraId="34E197CD" w14:textId="29A969A6" w:rsidR="00D9722D" w:rsidRDefault="00D9722D" w:rsidP="00D9722D">
      <w:pPr>
        <w:pStyle w:val="FootnoteText"/>
      </w:pPr>
      <w:r>
        <w:rPr>
          <w:rStyle w:val="FootnoteReference"/>
        </w:rPr>
        <w:footnoteRef/>
      </w:r>
      <w:r>
        <w:t xml:space="preserve"> Cooperation rates are calculated as the number of completed interviews divided by the </w:t>
      </w:r>
      <w:r w:rsidR="00514228">
        <w:t>number</w:t>
      </w:r>
      <w:r>
        <w:t xml:space="preserve"> of respondents who are still actively enrolled in the study at the time of that interview.  Cooperation rates are higher than response rate, </w:t>
      </w:r>
      <w:r w:rsidR="00A6734D">
        <w:t xml:space="preserve">as response rates in include in the denominator </w:t>
      </w:r>
      <w:r w:rsidRPr="00F21CA5">
        <w:rPr>
          <w:u w:val="single"/>
        </w:rPr>
        <w:t>all</w:t>
      </w:r>
      <w:r>
        <w:t xml:space="preserve"> respondents who experienced a live birth, including those who permanently left the study before a given interview was fielded.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F8F9F" w14:textId="77777777" w:rsidR="001B19B6" w:rsidRDefault="001B19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647DC" w14:textId="77777777" w:rsidR="001B19B6" w:rsidRDefault="001B19B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02E3C6" w14:textId="77777777" w:rsidR="004A7A00" w:rsidRDefault="004A7A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6716D"/>
    <w:multiLevelType w:val="hybridMultilevel"/>
    <w:tmpl w:val="39562334"/>
    <w:lvl w:ilvl="0" w:tplc="5786491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CE23E8"/>
    <w:multiLevelType w:val="hybridMultilevel"/>
    <w:tmpl w:val="48B0130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6">
    <w:nsid w:val="524204CF"/>
    <w:multiLevelType w:val="hybridMultilevel"/>
    <w:tmpl w:val="439072A8"/>
    <w:lvl w:ilvl="0" w:tplc="B17EADC6">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35F2F6D"/>
    <w:multiLevelType w:val="hybridMultilevel"/>
    <w:tmpl w:val="4AEEFB66"/>
    <w:lvl w:ilvl="0" w:tplc="5F2A5978">
      <w:start w:val="1"/>
      <w:numFmt w:val="decimal"/>
      <w:lvlText w:val="%1."/>
      <w:lvlJc w:val="left"/>
      <w:pPr>
        <w:tabs>
          <w:tab w:val="num" w:pos="576"/>
        </w:tabs>
        <w:ind w:left="576" w:hanging="576"/>
      </w:pPr>
      <w:rPr>
        <w:rFonts w:ascii="Garamond" w:hAnsi="Garamond" w:hint="default"/>
        <w:b w:val="0"/>
        <w:i w:val="0"/>
        <w:sz w:val="24"/>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8">
    <w:nsid w:val="6B3E7C8C"/>
    <w:multiLevelType w:val="hybridMultilevel"/>
    <w:tmpl w:val="A532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3"/>
  </w:num>
  <w:num w:numId="5">
    <w:abstractNumId w:val="4"/>
  </w:num>
  <w:num w:numId="6">
    <w:abstractNumId w:val="2"/>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9"/>
  </w:num>
  <w:num w:numId="18">
    <w:abstractNumId w:val="1"/>
  </w:num>
  <w:num w:numId="19">
    <w:abstractNumId w:val="3"/>
  </w:num>
  <w:num w:numId="20">
    <w:abstractNumId w:val="4"/>
  </w:num>
  <w:num w:numId="21">
    <w:abstractNumId w:val="2"/>
  </w:num>
  <w:num w:numId="22">
    <w:abstractNumId w:val="9"/>
  </w:num>
  <w:num w:numId="23">
    <w:abstractNumId w:val="6"/>
  </w:num>
  <w:num w:numId="24">
    <w:abstractNumId w:val="5"/>
  </w:num>
  <w:num w:numId="25">
    <w:abstractNumId w:val="0"/>
  </w:num>
  <w:num w:numId="26">
    <w:abstractNumId w:val="7"/>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DA3"/>
    <w:rsid w:val="000053FF"/>
    <w:rsid w:val="00005466"/>
    <w:rsid w:val="00007DC3"/>
    <w:rsid w:val="00013DCC"/>
    <w:rsid w:val="0001600F"/>
    <w:rsid w:val="000350E9"/>
    <w:rsid w:val="00036AF4"/>
    <w:rsid w:val="000373C7"/>
    <w:rsid w:val="00043871"/>
    <w:rsid w:val="000447C2"/>
    <w:rsid w:val="00044F20"/>
    <w:rsid w:val="000453B3"/>
    <w:rsid w:val="00047085"/>
    <w:rsid w:val="00051FAB"/>
    <w:rsid w:val="00053D91"/>
    <w:rsid w:val="00057925"/>
    <w:rsid w:val="0006498E"/>
    <w:rsid w:val="0006594F"/>
    <w:rsid w:val="00066207"/>
    <w:rsid w:val="000713CC"/>
    <w:rsid w:val="00071458"/>
    <w:rsid w:val="00073632"/>
    <w:rsid w:val="00073F2D"/>
    <w:rsid w:val="00076495"/>
    <w:rsid w:val="00090426"/>
    <w:rsid w:val="00091A23"/>
    <w:rsid w:val="000952BA"/>
    <w:rsid w:val="00095A6A"/>
    <w:rsid w:val="000B0290"/>
    <w:rsid w:val="000B4C10"/>
    <w:rsid w:val="000B624A"/>
    <w:rsid w:val="000B6C81"/>
    <w:rsid w:val="000C0BC0"/>
    <w:rsid w:val="000C33DB"/>
    <w:rsid w:val="000C3D20"/>
    <w:rsid w:val="000C6011"/>
    <w:rsid w:val="000D02CD"/>
    <w:rsid w:val="000D1C20"/>
    <w:rsid w:val="000D1E4B"/>
    <w:rsid w:val="000D4141"/>
    <w:rsid w:val="000D51B5"/>
    <w:rsid w:val="000D5FEE"/>
    <w:rsid w:val="000E07BE"/>
    <w:rsid w:val="000E2D79"/>
    <w:rsid w:val="000E33B6"/>
    <w:rsid w:val="000F4B36"/>
    <w:rsid w:val="000F4CFB"/>
    <w:rsid w:val="00101C84"/>
    <w:rsid w:val="00114B5D"/>
    <w:rsid w:val="00114C6E"/>
    <w:rsid w:val="00117BFC"/>
    <w:rsid w:val="00120A6B"/>
    <w:rsid w:val="00121A4A"/>
    <w:rsid w:val="0012668A"/>
    <w:rsid w:val="00134EFB"/>
    <w:rsid w:val="00136315"/>
    <w:rsid w:val="001436D0"/>
    <w:rsid w:val="0014424C"/>
    <w:rsid w:val="00147D20"/>
    <w:rsid w:val="00151399"/>
    <w:rsid w:val="00152B01"/>
    <w:rsid w:val="00156208"/>
    <w:rsid w:val="001608EA"/>
    <w:rsid w:val="001609F1"/>
    <w:rsid w:val="00160B5A"/>
    <w:rsid w:val="001659AC"/>
    <w:rsid w:val="001703D7"/>
    <w:rsid w:val="001768BA"/>
    <w:rsid w:val="00182F01"/>
    <w:rsid w:val="001842F1"/>
    <w:rsid w:val="00184A10"/>
    <w:rsid w:val="00197016"/>
    <w:rsid w:val="001A10A2"/>
    <w:rsid w:val="001A27BB"/>
    <w:rsid w:val="001A55D9"/>
    <w:rsid w:val="001B097C"/>
    <w:rsid w:val="001B19B6"/>
    <w:rsid w:val="001B3051"/>
    <w:rsid w:val="001B4E22"/>
    <w:rsid w:val="001B6AA1"/>
    <w:rsid w:val="001C50C0"/>
    <w:rsid w:val="001C69DD"/>
    <w:rsid w:val="001D0187"/>
    <w:rsid w:val="001D102C"/>
    <w:rsid w:val="001D1F70"/>
    <w:rsid w:val="001D56DD"/>
    <w:rsid w:val="001D5B38"/>
    <w:rsid w:val="001D7177"/>
    <w:rsid w:val="001E3800"/>
    <w:rsid w:val="001E5F24"/>
    <w:rsid w:val="001E6079"/>
    <w:rsid w:val="001F1820"/>
    <w:rsid w:val="001F64C1"/>
    <w:rsid w:val="00203CA4"/>
    <w:rsid w:val="00203EFB"/>
    <w:rsid w:val="0020415E"/>
    <w:rsid w:val="0020526D"/>
    <w:rsid w:val="00212FFB"/>
    <w:rsid w:val="002143C2"/>
    <w:rsid w:val="00214B46"/>
    <w:rsid w:val="00222468"/>
    <w:rsid w:val="00225B39"/>
    <w:rsid w:val="002377E1"/>
    <w:rsid w:val="00240498"/>
    <w:rsid w:val="00242E4E"/>
    <w:rsid w:val="002438C1"/>
    <w:rsid w:val="00245C36"/>
    <w:rsid w:val="00246B38"/>
    <w:rsid w:val="002564DB"/>
    <w:rsid w:val="00266495"/>
    <w:rsid w:val="00267642"/>
    <w:rsid w:val="002747D9"/>
    <w:rsid w:val="00282312"/>
    <w:rsid w:val="002851B1"/>
    <w:rsid w:val="002A6821"/>
    <w:rsid w:val="002B7C63"/>
    <w:rsid w:val="002D1420"/>
    <w:rsid w:val="002D3E8C"/>
    <w:rsid w:val="002D5AD9"/>
    <w:rsid w:val="002E78A2"/>
    <w:rsid w:val="002F0F19"/>
    <w:rsid w:val="002F1746"/>
    <w:rsid w:val="002F5259"/>
    <w:rsid w:val="002F5399"/>
    <w:rsid w:val="002F7B23"/>
    <w:rsid w:val="00302E5C"/>
    <w:rsid w:val="00304009"/>
    <w:rsid w:val="00315646"/>
    <w:rsid w:val="00323FC9"/>
    <w:rsid w:val="003254F9"/>
    <w:rsid w:val="003324D9"/>
    <w:rsid w:val="0034624C"/>
    <w:rsid w:val="00354324"/>
    <w:rsid w:val="003561B7"/>
    <w:rsid w:val="003625FE"/>
    <w:rsid w:val="0036428A"/>
    <w:rsid w:val="00382E6A"/>
    <w:rsid w:val="00383C29"/>
    <w:rsid w:val="003912E6"/>
    <w:rsid w:val="00393981"/>
    <w:rsid w:val="0039698E"/>
    <w:rsid w:val="00397B0B"/>
    <w:rsid w:val="003A33F2"/>
    <w:rsid w:val="003A4234"/>
    <w:rsid w:val="003A4615"/>
    <w:rsid w:val="003A522C"/>
    <w:rsid w:val="003A6AB6"/>
    <w:rsid w:val="003A7A85"/>
    <w:rsid w:val="003B2372"/>
    <w:rsid w:val="003B4886"/>
    <w:rsid w:val="003C3199"/>
    <w:rsid w:val="003C3AD5"/>
    <w:rsid w:val="003C6562"/>
    <w:rsid w:val="003C779C"/>
    <w:rsid w:val="003E1C25"/>
    <w:rsid w:val="003E4158"/>
    <w:rsid w:val="003E789D"/>
    <w:rsid w:val="003E7E0A"/>
    <w:rsid w:val="003F14B1"/>
    <w:rsid w:val="003F6918"/>
    <w:rsid w:val="004004E4"/>
    <w:rsid w:val="00405BB4"/>
    <w:rsid w:val="004144E2"/>
    <w:rsid w:val="00414B36"/>
    <w:rsid w:val="004153AF"/>
    <w:rsid w:val="00417779"/>
    <w:rsid w:val="00421E98"/>
    <w:rsid w:val="00423B04"/>
    <w:rsid w:val="004245D5"/>
    <w:rsid w:val="004273F4"/>
    <w:rsid w:val="00446BCB"/>
    <w:rsid w:val="00464C0A"/>
    <w:rsid w:val="0047041E"/>
    <w:rsid w:val="004762B0"/>
    <w:rsid w:val="00477A09"/>
    <w:rsid w:val="00481DB2"/>
    <w:rsid w:val="0048489B"/>
    <w:rsid w:val="00493E51"/>
    <w:rsid w:val="004A04C4"/>
    <w:rsid w:val="004A7A00"/>
    <w:rsid w:val="004B3AEF"/>
    <w:rsid w:val="004D0D4C"/>
    <w:rsid w:val="004D3719"/>
    <w:rsid w:val="004D3F5E"/>
    <w:rsid w:val="004D4735"/>
    <w:rsid w:val="004E119F"/>
    <w:rsid w:val="004E78FC"/>
    <w:rsid w:val="004E7AC1"/>
    <w:rsid w:val="004F3DED"/>
    <w:rsid w:val="005071A8"/>
    <w:rsid w:val="00514228"/>
    <w:rsid w:val="00517BD9"/>
    <w:rsid w:val="00523616"/>
    <w:rsid w:val="00527C61"/>
    <w:rsid w:val="005356AA"/>
    <w:rsid w:val="00543E34"/>
    <w:rsid w:val="00545485"/>
    <w:rsid w:val="00545BC6"/>
    <w:rsid w:val="00550934"/>
    <w:rsid w:val="005547B9"/>
    <w:rsid w:val="00561936"/>
    <w:rsid w:val="00566575"/>
    <w:rsid w:val="00575C11"/>
    <w:rsid w:val="00580B23"/>
    <w:rsid w:val="00581D37"/>
    <w:rsid w:val="005851D3"/>
    <w:rsid w:val="00593313"/>
    <w:rsid w:val="00596C37"/>
    <w:rsid w:val="005A2FA4"/>
    <w:rsid w:val="005A3892"/>
    <w:rsid w:val="005B1863"/>
    <w:rsid w:val="005B7031"/>
    <w:rsid w:val="005B7F56"/>
    <w:rsid w:val="005D1174"/>
    <w:rsid w:val="005D1863"/>
    <w:rsid w:val="005D228D"/>
    <w:rsid w:val="005D46D8"/>
    <w:rsid w:val="005D4D4E"/>
    <w:rsid w:val="005D5BBC"/>
    <w:rsid w:val="005D63B8"/>
    <w:rsid w:val="005E3AA1"/>
    <w:rsid w:val="005E3CB3"/>
    <w:rsid w:val="005E53FF"/>
    <w:rsid w:val="005F24C0"/>
    <w:rsid w:val="005F33C9"/>
    <w:rsid w:val="005F5509"/>
    <w:rsid w:val="00606BBF"/>
    <w:rsid w:val="00614494"/>
    <w:rsid w:val="00623CEF"/>
    <w:rsid w:val="0062578A"/>
    <w:rsid w:val="0062669A"/>
    <w:rsid w:val="006313A0"/>
    <w:rsid w:val="006349B3"/>
    <w:rsid w:val="0063589C"/>
    <w:rsid w:val="00644471"/>
    <w:rsid w:val="006449F5"/>
    <w:rsid w:val="00651022"/>
    <w:rsid w:val="00652FB0"/>
    <w:rsid w:val="00657A93"/>
    <w:rsid w:val="006615F9"/>
    <w:rsid w:val="00661B19"/>
    <w:rsid w:val="00661C6B"/>
    <w:rsid w:val="00670357"/>
    <w:rsid w:val="00672E8F"/>
    <w:rsid w:val="006756A3"/>
    <w:rsid w:val="00680277"/>
    <w:rsid w:val="00683296"/>
    <w:rsid w:val="0068381B"/>
    <w:rsid w:val="00683820"/>
    <w:rsid w:val="006849A8"/>
    <w:rsid w:val="006901D7"/>
    <w:rsid w:val="006A0637"/>
    <w:rsid w:val="006A238C"/>
    <w:rsid w:val="006A46F6"/>
    <w:rsid w:val="006A6DF4"/>
    <w:rsid w:val="006A7696"/>
    <w:rsid w:val="006B4AA0"/>
    <w:rsid w:val="006B73E2"/>
    <w:rsid w:val="006C0E72"/>
    <w:rsid w:val="006D6421"/>
    <w:rsid w:val="006D735C"/>
    <w:rsid w:val="006E28D7"/>
    <w:rsid w:val="006E775D"/>
    <w:rsid w:val="006F4794"/>
    <w:rsid w:val="0070039E"/>
    <w:rsid w:val="00701E95"/>
    <w:rsid w:val="007035CD"/>
    <w:rsid w:val="00705A09"/>
    <w:rsid w:val="00707A44"/>
    <w:rsid w:val="00721588"/>
    <w:rsid w:val="0072337A"/>
    <w:rsid w:val="007304BD"/>
    <w:rsid w:val="00731A44"/>
    <w:rsid w:val="00731C62"/>
    <w:rsid w:val="007349C0"/>
    <w:rsid w:val="00741FAB"/>
    <w:rsid w:val="0074230F"/>
    <w:rsid w:val="0074389B"/>
    <w:rsid w:val="00745C69"/>
    <w:rsid w:val="0074718F"/>
    <w:rsid w:val="00751F03"/>
    <w:rsid w:val="00754DFA"/>
    <w:rsid w:val="007601FD"/>
    <w:rsid w:val="00770AB4"/>
    <w:rsid w:val="00770E81"/>
    <w:rsid w:val="00774268"/>
    <w:rsid w:val="0077775D"/>
    <w:rsid w:val="00781740"/>
    <w:rsid w:val="0078457C"/>
    <w:rsid w:val="00784FD8"/>
    <w:rsid w:val="00790D0C"/>
    <w:rsid w:val="00795760"/>
    <w:rsid w:val="007965C4"/>
    <w:rsid w:val="007A4BF5"/>
    <w:rsid w:val="007A76FF"/>
    <w:rsid w:val="007A7CB3"/>
    <w:rsid w:val="007B1749"/>
    <w:rsid w:val="007B5385"/>
    <w:rsid w:val="007C0946"/>
    <w:rsid w:val="007C2D80"/>
    <w:rsid w:val="007D0F5B"/>
    <w:rsid w:val="007E24BD"/>
    <w:rsid w:val="007F216D"/>
    <w:rsid w:val="007F4015"/>
    <w:rsid w:val="007F73F6"/>
    <w:rsid w:val="00807D9C"/>
    <w:rsid w:val="00820C97"/>
    <w:rsid w:val="008222AC"/>
    <w:rsid w:val="00824B3F"/>
    <w:rsid w:val="00841103"/>
    <w:rsid w:val="008478CF"/>
    <w:rsid w:val="00850A8B"/>
    <w:rsid w:val="00853851"/>
    <w:rsid w:val="008562F2"/>
    <w:rsid w:val="0086324B"/>
    <w:rsid w:val="008669EB"/>
    <w:rsid w:val="008750B5"/>
    <w:rsid w:val="008756CC"/>
    <w:rsid w:val="00876A38"/>
    <w:rsid w:val="00876F50"/>
    <w:rsid w:val="00877A96"/>
    <w:rsid w:val="0088021E"/>
    <w:rsid w:val="008874B0"/>
    <w:rsid w:val="00894610"/>
    <w:rsid w:val="00895E95"/>
    <w:rsid w:val="008A1504"/>
    <w:rsid w:val="008C10A5"/>
    <w:rsid w:val="008C2202"/>
    <w:rsid w:val="008D01CE"/>
    <w:rsid w:val="008D0BA3"/>
    <w:rsid w:val="008D45A5"/>
    <w:rsid w:val="008E526F"/>
    <w:rsid w:val="008F2582"/>
    <w:rsid w:val="00915276"/>
    <w:rsid w:val="00921C64"/>
    <w:rsid w:val="00923737"/>
    <w:rsid w:val="00923C66"/>
    <w:rsid w:val="009355F7"/>
    <w:rsid w:val="00940319"/>
    <w:rsid w:val="00950A60"/>
    <w:rsid w:val="0095362B"/>
    <w:rsid w:val="00957DEE"/>
    <w:rsid w:val="00961755"/>
    <w:rsid w:val="00962AD4"/>
    <w:rsid w:val="00963BCC"/>
    <w:rsid w:val="009706B4"/>
    <w:rsid w:val="00971256"/>
    <w:rsid w:val="0097142D"/>
    <w:rsid w:val="00977B79"/>
    <w:rsid w:val="009871D3"/>
    <w:rsid w:val="00990B42"/>
    <w:rsid w:val="00992616"/>
    <w:rsid w:val="00992641"/>
    <w:rsid w:val="009943A4"/>
    <w:rsid w:val="009951F6"/>
    <w:rsid w:val="009A37E0"/>
    <w:rsid w:val="009B04EC"/>
    <w:rsid w:val="009C2916"/>
    <w:rsid w:val="009C44F7"/>
    <w:rsid w:val="009D254B"/>
    <w:rsid w:val="009D2DA9"/>
    <w:rsid w:val="009D63FD"/>
    <w:rsid w:val="009E24FA"/>
    <w:rsid w:val="009E27EF"/>
    <w:rsid w:val="009F2CC4"/>
    <w:rsid w:val="009F3593"/>
    <w:rsid w:val="00A03F6C"/>
    <w:rsid w:val="00A165F9"/>
    <w:rsid w:val="00A26E08"/>
    <w:rsid w:val="00A3059C"/>
    <w:rsid w:val="00A30977"/>
    <w:rsid w:val="00A42D5A"/>
    <w:rsid w:val="00A44935"/>
    <w:rsid w:val="00A5064E"/>
    <w:rsid w:val="00A5297A"/>
    <w:rsid w:val="00A55898"/>
    <w:rsid w:val="00A620CD"/>
    <w:rsid w:val="00A62A8F"/>
    <w:rsid w:val="00A6734D"/>
    <w:rsid w:val="00A71208"/>
    <w:rsid w:val="00A72F0D"/>
    <w:rsid w:val="00A755BD"/>
    <w:rsid w:val="00A75648"/>
    <w:rsid w:val="00A77D80"/>
    <w:rsid w:val="00A80085"/>
    <w:rsid w:val="00A80C12"/>
    <w:rsid w:val="00A8696E"/>
    <w:rsid w:val="00A86C8A"/>
    <w:rsid w:val="00A877F4"/>
    <w:rsid w:val="00A9104B"/>
    <w:rsid w:val="00A95881"/>
    <w:rsid w:val="00AA2B1E"/>
    <w:rsid w:val="00AA2FF4"/>
    <w:rsid w:val="00AC0180"/>
    <w:rsid w:val="00AC51FE"/>
    <w:rsid w:val="00AC64BC"/>
    <w:rsid w:val="00AD2067"/>
    <w:rsid w:val="00AD5980"/>
    <w:rsid w:val="00AE13C3"/>
    <w:rsid w:val="00AF1251"/>
    <w:rsid w:val="00AF1DFC"/>
    <w:rsid w:val="00AF3094"/>
    <w:rsid w:val="00AF7957"/>
    <w:rsid w:val="00B06ADA"/>
    <w:rsid w:val="00B06CAC"/>
    <w:rsid w:val="00B118D4"/>
    <w:rsid w:val="00B11E90"/>
    <w:rsid w:val="00B231D1"/>
    <w:rsid w:val="00B24542"/>
    <w:rsid w:val="00B3005F"/>
    <w:rsid w:val="00B349CF"/>
    <w:rsid w:val="00B36B24"/>
    <w:rsid w:val="00B42A32"/>
    <w:rsid w:val="00B449BA"/>
    <w:rsid w:val="00B51E54"/>
    <w:rsid w:val="00B54406"/>
    <w:rsid w:val="00B55900"/>
    <w:rsid w:val="00B6228E"/>
    <w:rsid w:val="00B67D67"/>
    <w:rsid w:val="00B70876"/>
    <w:rsid w:val="00B739D6"/>
    <w:rsid w:val="00B755EB"/>
    <w:rsid w:val="00B77DF0"/>
    <w:rsid w:val="00B83A8A"/>
    <w:rsid w:val="00B84D69"/>
    <w:rsid w:val="00B86F8D"/>
    <w:rsid w:val="00B9157C"/>
    <w:rsid w:val="00B9677F"/>
    <w:rsid w:val="00B9728A"/>
    <w:rsid w:val="00BA0E91"/>
    <w:rsid w:val="00BA2B28"/>
    <w:rsid w:val="00BA4999"/>
    <w:rsid w:val="00BA6906"/>
    <w:rsid w:val="00BA78F9"/>
    <w:rsid w:val="00BB06E9"/>
    <w:rsid w:val="00BB76D8"/>
    <w:rsid w:val="00BC4DA5"/>
    <w:rsid w:val="00BC6E81"/>
    <w:rsid w:val="00BD1970"/>
    <w:rsid w:val="00BD496D"/>
    <w:rsid w:val="00BD4AB9"/>
    <w:rsid w:val="00BF22AB"/>
    <w:rsid w:val="00BF2625"/>
    <w:rsid w:val="00BF3317"/>
    <w:rsid w:val="00C02332"/>
    <w:rsid w:val="00C04323"/>
    <w:rsid w:val="00C06140"/>
    <w:rsid w:val="00C07120"/>
    <w:rsid w:val="00C078BE"/>
    <w:rsid w:val="00C13D06"/>
    <w:rsid w:val="00C14B4C"/>
    <w:rsid w:val="00C1539D"/>
    <w:rsid w:val="00C16990"/>
    <w:rsid w:val="00C23317"/>
    <w:rsid w:val="00C23DA3"/>
    <w:rsid w:val="00C24573"/>
    <w:rsid w:val="00C24D06"/>
    <w:rsid w:val="00C2551E"/>
    <w:rsid w:val="00C274BD"/>
    <w:rsid w:val="00C31B3D"/>
    <w:rsid w:val="00C34ED8"/>
    <w:rsid w:val="00C365A5"/>
    <w:rsid w:val="00C41ADD"/>
    <w:rsid w:val="00C41E70"/>
    <w:rsid w:val="00C44186"/>
    <w:rsid w:val="00C47E24"/>
    <w:rsid w:val="00C50612"/>
    <w:rsid w:val="00C51256"/>
    <w:rsid w:val="00C61ED2"/>
    <w:rsid w:val="00C62037"/>
    <w:rsid w:val="00C80769"/>
    <w:rsid w:val="00C81152"/>
    <w:rsid w:val="00C83979"/>
    <w:rsid w:val="00C9296E"/>
    <w:rsid w:val="00C92FBD"/>
    <w:rsid w:val="00CB6421"/>
    <w:rsid w:val="00CC539A"/>
    <w:rsid w:val="00CD0459"/>
    <w:rsid w:val="00CD0F83"/>
    <w:rsid w:val="00CD46B2"/>
    <w:rsid w:val="00CD6A09"/>
    <w:rsid w:val="00CD70C0"/>
    <w:rsid w:val="00CE6820"/>
    <w:rsid w:val="00CF1046"/>
    <w:rsid w:val="00CF2F50"/>
    <w:rsid w:val="00CF67F1"/>
    <w:rsid w:val="00D026CE"/>
    <w:rsid w:val="00D03B93"/>
    <w:rsid w:val="00D0546C"/>
    <w:rsid w:val="00D070D3"/>
    <w:rsid w:val="00D256B0"/>
    <w:rsid w:val="00D302BC"/>
    <w:rsid w:val="00D33F24"/>
    <w:rsid w:val="00D428ED"/>
    <w:rsid w:val="00D50C01"/>
    <w:rsid w:val="00D564BE"/>
    <w:rsid w:val="00D61811"/>
    <w:rsid w:val="00D63563"/>
    <w:rsid w:val="00D65596"/>
    <w:rsid w:val="00D75699"/>
    <w:rsid w:val="00D7690C"/>
    <w:rsid w:val="00D85D12"/>
    <w:rsid w:val="00D87FD1"/>
    <w:rsid w:val="00D90B66"/>
    <w:rsid w:val="00D90F23"/>
    <w:rsid w:val="00D9722D"/>
    <w:rsid w:val="00D97B71"/>
    <w:rsid w:val="00DA1435"/>
    <w:rsid w:val="00DA59AC"/>
    <w:rsid w:val="00DB0BC5"/>
    <w:rsid w:val="00DB4B6E"/>
    <w:rsid w:val="00DB6D72"/>
    <w:rsid w:val="00DB7F12"/>
    <w:rsid w:val="00DC6A2C"/>
    <w:rsid w:val="00DC7F43"/>
    <w:rsid w:val="00DD4E06"/>
    <w:rsid w:val="00DD6A86"/>
    <w:rsid w:val="00DE658E"/>
    <w:rsid w:val="00DF435E"/>
    <w:rsid w:val="00E11D52"/>
    <w:rsid w:val="00E1521A"/>
    <w:rsid w:val="00E30E6D"/>
    <w:rsid w:val="00E314C7"/>
    <w:rsid w:val="00E33761"/>
    <w:rsid w:val="00E35FE0"/>
    <w:rsid w:val="00E50715"/>
    <w:rsid w:val="00E56BC9"/>
    <w:rsid w:val="00E6096F"/>
    <w:rsid w:val="00E622D3"/>
    <w:rsid w:val="00E62BCD"/>
    <w:rsid w:val="00E63F45"/>
    <w:rsid w:val="00E65595"/>
    <w:rsid w:val="00E70DFB"/>
    <w:rsid w:val="00E80DBF"/>
    <w:rsid w:val="00E8111E"/>
    <w:rsid w:val="00E9046E"/>
    <w:rsid w:val="00E90931"/>
    <w:rsid w:val="00E938CA"/>
    <w:rsid w:val="00E976F7"/>
    <w:rsid w:val="00EA55CD"/>
    <w:rsid w:val="00EA5E39"/>
    <w:rsid w:val="00EA6750"/>
    <w:rsid w:val="00EB0326"/>
    <w:rsid w:val="00EB0A04"/>
    <w:rsid w:val="00EC17B6"/>
    <w:rsid w:val="00EC5256"/>
    <w:rsid w:val="00EC5FEE"/>
    <w:rsid w:val="00EC7AE1"/>
    <w:rsid w:val="00ED2715"/>
    <w:rsid w:val="00ED3B35"/>
    <w:rsid w:val="00EE17F2"/>
    <w:rsid w:val="00EE2634"/>
    <w:rsid w:val="00EE593E"/>
    <w:rsid w:val="00EF027D"/>
    <w:rsid w:val="00F04C74"/>
    <w:rsid w:val="00F417B5"/>
    <w:rsid w:val="00F54A25"/>
    <w:rsid w:val="00F564F6"/>
    <w:rsid w:val="00F57C88"/>
    <w:rsid w:val="00F6413F"/>
    <w:rsid w:val="00F65579"/>
    <w:rsid w:val="00F705BB"/>
    <w:rsid w:val="00F72113"/>
    <w:rsid w:val="00F741A0"/>
    <w:rsid w:val="00F76303"/>
    <w:rsid w:val="00F77388"/>
    <w:rsid w:val="00F954E0"/>
    <w:rsid w:val="00FB2ABB"/>
    <w:rsid w:val="00FB2FBC"/>
    <w:rsid w:val="00FC12EF"/>
    <w:rsid w:val="00FC597A"/>
    <w:rsid w:val="00FD589E"/>
    <w:rsid w:val="00FD592B"/>
    <w:rsid w:val="00FD6678"/>
    <w:rsid w:val="00FD7889"/>
    <w:rsid w:val="00FD7AD3"/>
    <w:rsid w:val="00FE0FA8"/>
    <w:rsid w:val="00FF1233"/>
    <w:rsid w:val="00FF1595"/>
    <w:rsid w:val="00FF3003"/>
    <w:rsid w:val="00FF3802"/>
    <w:rsid w:val="00FF3CD7"/>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F1D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qFormat="1"/>
    <w:lsdException w:name="head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uiPriority w:val="99"/>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qFormat/>
    <w:rsid w:val="00B739D6"/>
    <w:pPr>
      <w:spacing w:after="360"/>
      <w:ind w:left="1152" w:hanging="1152"/>
      <w:jc w:val="left"/>
      <w:outlineLvl w:val="2"/>
    </w:pPr>
    <w:rPr>
      <w:sz w:val="28"/>
    </w:rPr>
  </w:style>
  <w:style w:type="paragraph" w:styleId="Heading4">
    <w:name w:val="heading 4"/>
    <w:aliases w:val="H4-Sec. Head"/>
    <w:basedOn w:val="Heading1"/>
    <w:next w:val="L1-FlLSp12"/>
    <w:qFormat/>
    <w:rsid w:val="003F14B1"/>
    <w:pPr>
      <w:ind w:left="1152" w:hanging="1152"/>
      <w:jc w:val="left"/>
      <w:outlineLvl w:val="3"/>
    </w:pPr>
    <w:rPr>
      <w:sz w:val="24"/>
    </w:rPr>
  </w:style>
  <w:style w:type="paragraph" w:styleId="Heading5">
    <w:name w:val="heading 5"/>
    <w:aliases w:val="H5-Sec. Head"/>
    <w:basedOn w:val="Heading1"/>
    <w:next w:val="L1-FlLSp12"/>
    <w:qFormat/>
    <w:rsid w:val="00B739D6"/>
    <w:pPr>
      <w:keepLines/>
      <w:spacing w:after="360"/>
      <w:ind w:left="1152" w:hanging="1152"/>
      <w:jc w:val="left"/>
      <w:outlineLvl w:val="4"/>
    </w:pPr>
    <w:rPr>
      <w:i/>
      <w:color w:val="auto"/>
      <w:sz w:val="24"/>
    </w:rPr>
  </w:style>
  <w:style w:type="paragraph" w:styleId="Heading6">
    <w:name w:val="heading 6"/>
    <w:basedOn w:val="Normal"/>
    <w:next w:val="Normal"/>
    <w:qFormat/>
    <w:rsid w:val="00B739D6"/>
    <w:pPr>
      <w:keepNext/>
      <w:spacing w:before="240"/>
      <w:jc w:val="center"/>
      <w:outlineLvl w:val="5"/>
    </w:pPr>
    <w:rPr>
      <w:b/>
      <w:caps/>
    </w:rPr>
  </w:style>
  <w:style w:type="paragraph" w:styleId="Heading7">
    <w:name w:val="heading 7"/>
    <w:basedOn w:val="Normal"/>
    <w:next w:val="Normal"/>
    <w:qFormat/>
    <w:rsid w:val="00B739D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qFormat/>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link w:val="P1-StandParaChar"/>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semiHidden/>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739D6"/>
    <w:pPr>
      <w:tabs>
        <w:tab w:val="left" w:pos="2232"/>
      </w:tabs>
      <w:spacing w:line="240" w:lineRule="exact"/>
    </w:pPr>
    <w:rPr>
      <w:vanish/>
    </w:r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semiHidden/>
    <w:rsid w:val="00B739D6"/>
    <w:pPr>
      <w:tabs>
        <w:tab w:val="right" w:leader="dot" w:pos="8208"/>
        <w:tab w:val="left" w:pos="8640"/>
      </w:tabs>
      <w:ind w:left="288"/>
    </w:pPr>
    <w:rPr>
      <w:rFonts w:ascii="Garamond" w:hAnsi="Garamond"/>
      <w:sz w:val="24"/>
      <w:szCs w:val="22"/>
    </w:rPr>
  </w:style>
  <w:style w:type="paragraph" w:styleId="TOC7">
    <w:name w:val="toc 7"/>
    <w:semiHidden/>
    <w:rsid w:val="00B739D6"/>
    <w:pPr>
      <w:tabs>
        <w:tab w:val="right" w:leader="dot" w:pos="8208"/>
        <w:tab w:val="left" w:pos="8640"/>
      </w:tabs>
      <w:ind w:left="1440"/>
    </w:pPr>
    <w:rPr>
      <w:rFonts w:ascii="Garamond" w:hAnsi="Garamond"/>
      <w:sz w:val="24"/>
      <w:szCs w:val="22"/>
    </w:rPr>
  </w:style>
  <w:style w:type="paragraph" w:styleId="TOC8">
    <w:name w:val="toc 8"/>
    <w:semiHidden/>
    <w:rsid w:val="00B739D6"/>
    <w:pPr>
      <w:tabs>
        <w:tab w:val="right" w:leader="dot" w:pos="8208"/>
        <w:tab w:val="left" w:pos="8640"/>
      </w:tabs>
      <w:ind w:left="2160"/>
    </w:pPr>
    <w:rPr>
      <w:rFonts w:ascii="Garamond" w:hAnsi="Garamond"/>
      <w:sz w:val="24"/>
      <w:szCs w:val="22"/>
    </w:rPr>
  </w:style>
  <w:style w:type="paragraph" w:styleId="TOC9">
    <w:name w:val="toc 9"/>
    <w:semiHidden/>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nhideWhenUsed/>
    <w:qFormat/>
    <w:rsid w:val="00B739D6"/>
    <w:rPr>
      <w:vertAlign w:val="superscript"/>
    </w:rPr>
  </w:style>
  <w:style w:type="paragraph" w:styleId="ListParagraph">
    <w:name w:val="List Paragraph"/>
    <w:basedOn w:val="Normal"/>
    <w:uiPriority w:val="34"/>
    <w:qFormat/>
    <w:rsid w:val="00C23DA3"/>
    <w:pPr>
      <w:numPr>
        <w:numId w:val="23"/>
      </w:numPr>
    </w:pPr>
  </w:style>
  <w:style w:type="character" w:customStyle="1" w:styleId="P1-StandParaChar">
    <w:name w:val="P1-Stand Para Char"/>
    <w:basedOn w:val="DefaultParagraphFont"/>
    <w:link w:val="P1-StandPara"/>
    <w:rsid w:val="00C23DA3"/>
    <w:rPr>
      <w:rFonts w:ascii="Garamond" w:hAnsi="Garamond"/>
      <w:sz w:val="24"/>
    </w:rPr>
  </w:style>
  <w:style w:type="character" w:customStyle="1" w:styleId="FootnoteTextChar">
    <w:name w:val="Footnote Text Char"/>
    <w:aliases w:val="F1 Char"/>
    <w:link w:val="FootnoteText"/>
    <w:rsid w:val="00C23DA3"/>
    <w:rPr>
      <w:rFonts w:ascii="Garamond" w:hAnsi="Garamond"/>
    </w:rPr>
  </w:style>
  <w:style w:type="character" w:customStyle="1" w:styleId="Heading1Char">
    <w:name w:val="Heading 1 Char"/>
    <w:aliases w:val="H1-Chap. Head Char,H1-Sec.Head Char"/>
    <w:link w:val="Heading1"/>
    <w:uiPriority w:val="99"/>
    <w:rsid w:val="00C23DA3"/>
    <w:rPr>
      <w:rFonts w:ascii="Franklin Gothic Medium" w:hAnsi="Franklin Gothic Medium"/>
      <w:b/>
      <w:color w:val="324162"/>
      <w:sz w:val="40"/>
    </w:rPr>
  </w:style>
  <w:style w:type="character" w:styleId="Hyperlink">
    <w:name w:val="Hyperlink"/>
    <w:basedOn w:val="DefaultParagraphFont"/>
    <w:uiPriority w:val="99"/>
    <w:rsid w:val="00C23DA3"/>
    <w:rPr>
      <w:rFonts w:cs="Times New Roman"/>
      <w:color w:val="000000"/>
    </w:rPr>
  </w:style>
  <w:style w:type="character" w:customStyle="1" w:styleId="HeaderChar">
    <w:name w:val="Header Char"/>
    <w:link w:val="Header"/>
    <w:rsid w:val="00C23DA3"/>
    <w:rPr>
      <w:rFonts w:ascii="Garamond" w:hAnsi="Garamond"/>
    </w:rPr>
  </w:style>
  <w:style w:type="character" w:customStyle="1" w:styleId="FooterChar">
    <w:name w:val="Footer Char"/>
    <w:link w:val="Footer"/>
    <w:uiPriority w:val="99"/>
    <w:rsid w:val="00C23DA3"/>
    <w:rPr>
      <w:rFonts w:ascii="Garamond" w:hAnsi="Garamond"/>
      <w:sz w:val="24"/>
    </w:rPr>
  </w:style>
  <w:style w:type="character" w:customStyle="1" w:styleId="Heading2Char">
    <w:name w:val="Heading 2 Char"/>
    <w:aliases w:val="H2-Sec. Head Char"/>
    <w:link w:val="Heading2"/>
    <w:uiPriority w:val="99"/>
    <w:rsid w:val="00C23DA3"/>
    <w:rPr>
      <w:rFonts w:ascii="Franklin Gothic Medium" w:hAnsi="Franklin Gothic Medium"/>
      <w:b/>
      <w:color w:val="324162"/>
      <w:sz w:val="32"/>
    </w:rPr>
  </w:style>
  <w:style w:type="character" w:styleId="Strong">
    <w:name w:val="Strong"/>
    <w:basedOn w:val="DefaultParagraphFont"/>
    <w:qFormat/>
    <w:rsid w:val="00C23DA3"/>
    <w:rPr>
      <w:rFonts w:cs="Times New Roman"/>
      <w:b/>
      <w:bCs/>
    </w:rPr>
  </w:style>
  <w:style w:type="paragraph" w:styleId="NoSpacing">
    <w:name w:val="No Spacing"/>
    <w:link w:val="NoSpacingChar"/>
    <w:qFormat/>
    <w:rsid w:val="00C23DA3"/>
    <w:pPr>
      <w:spacing w:line="360" w:lineRule="atLeast"/>
      <w:jc w:val="center"/>
    </w:pPr>
    <w:rPr>
      <w:rFonts w:ascii="Calibri" w:hAnsi="Calibri"/>
      <w:b/>
      <w:sz w:val="24"/>
    </w:rPr>
  </w:style>
  <w:style w:type="character" w:customStyle="1" w:styleId="NoSpacingChar">
    <w:name w:val="No Spacing Char"/>
    <w:basedOn w:val="DefaultParagraphFont"/>
    <w:link w:val="NoSpacing"/>
    <w:rsid w:val="00C23DA3"/>
    <w:rPr>
      <w:rFonts w:ascii="Calibri" w:hAnsi="Calibri"/>
      <w:b/>
      <w:sz w:val="24"/>
    </w:rPr>
  </w:style>
  <w:style w:type="character" w:customStyle="1" w:styleId="L1-FlLSp12Char">
    <w:name w:val="L1-FlL Sp&amp;1/2 Char"/>
    <w:basedOn w:val="DefaultParagraphFont"/>
    <w:link w:val="L1-FlLSp12"/>
    <w:locked/>
    <w:rsid w:val="00C23DA3"/>
    <w:rPr>
      <w:rFonts w:ascii="Garamond" w:hAnsi="Garamond"/>
      <w:sz w:val="24"/>
    </w:rPr>
  </w:style>
  <w:style w:type="paragraph" w:customStyle="1" w:styleId="Normal1">
    <w:name w:val="Normal1"/>
    <w:basedOn w:val="Normal"/>
    <w:link w:val="NormalChar"/>
    <w:uiPriority w:val="99"/>
    <w:rsid w:val="009B04EC"/>
  </w:style>
  <w:style w:type="character" w:customStyle="1" w:styleId="NormalChar">
    <w:name w:val="Normal Char"/>
    <w:link w:val="Normal1"/>
    <w:uiPriority w:val="99"/>
    <w:rsid w:val="009B04EC"/>
    <w:rPr>
      <w:rFonts w:ascii="Garamond" w:hAnsi="Garamond"/>
      <w:sz w:val="24"/>
    </w:rPr>
  </w:style>
  <w:style w:type="character" w:styleId="CommentReference">
    <w:name w:val="annotation reference"/>
    <w:basedOn w:val="DefaultParagraphFont"/>
    <w:uiPriority w:val="99"/>
    <w:semiHidden/>
    <w:unhideWhenUsed/>
    <w:rsid w:val="00090426"/>
    <w:rPr>
      <w:sz w:val="16"/>
      <w:szCs w:val="16"/>
    </w:rPr>
  </w:style>
  <w:style w:type="paragraph" w:styleId="CommentText">
    <w:name w:val="annotation text"/>
    <w:basedOn w:val="Normal"/>
    <w:link w:val="CommentTextChar"/>
    <w:uiPriority w:val="99"/>
    <w:unhideWhenUsed/>
    <w:rsid w:val="00090426"/>
    <w:pPr>
      <w:spacing w:line="240" w:lineRule="auto"/>
    </w:pPr>
    <w:rPr>
      <w:sz w:val="20"/>
    </w:rPr>
  </w:style>
  <w:style w:type="character" w:customStyle="1" w:styleId="CommentTextChar">
    <w:name w:val="Comment Text Char"/>
    <w:basedOn w:val="DefaultParagraphFont"/>
    <w:link w:val="CommentText"/>
    <w:uiPriority w:val="99"/>
    <w:rsid w:val="00090426"/>
    <w:rPr>
      <w:rFonts w:ascii="Garamond" w:hAnsi="Garamond"/>
    </w:rPr>
  </w:style>
  <w:style w:type="paragraph" w:styleId="CommentSubject">
    <w:name w:val="annotation subject"/>
    <w:basedOn w:val="CommentText"/>
    <w:next w:val="CommentText"/>
    <w:link w:val="CommentSubjectChar"/>
    <w:uiPriority w:val="99"/>
    <w:semiHidden/>
    <w:unhideWhenUsed/>
    <w:rsid w:val="00090426"/>
    <w:rPr>
      <w:b/>
      <w:bCs/>
    </w:rPr>
  </w:style>
  <w:style w:type="character" w:customStyle="1" w:styleId="CommentSubjectChar">
    <w:name w:val="Comment Subject Char"/>
    <w:basedOn w:val="CommentTextChar"/>
    <w:link w:val="CommentSubject"/>
    <w:uiPriority w:val="99"/>
    <w:semiHidden/>
    <w:rsid w:val="00090426"/>
    <w:rPr>
      <w:rFonts w:ascii="Garamond" w:hAnsi="Garamond"/>
      <w:b/>
      <w:bCs/>
    </w:rPr>
  </w:style>
  <w:style w:type="table" w:customStyle="1" w:styleId="TableWestatStandardFormat1">
    <w:name w:val="Table Westat Standard Format1"/>
    <w:basedOn w:val="TableNormal"/>
    <w:rsid w:val="00F04C74"/>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Revision">
    <w:name w:val="Revision"/>
    <w:hidden/>
    <w:uiPriority w:val="99"/>
    <w:semiHidden/>
    <w:rsid w:val="00B449BA"/>
    <w:rPr>
      <w:rFonts w:ascii="Garamond" w:hAnsi="Garamond"/>
      <w:sz w:val="24"/>
    </w:rPr>
  </w:style>
  <w:style w:type="paragraph" w:customStyle="1" w:styleId="NormalSS">
    <w:name w:val="NormalSS"/>
    <w:basedOn w:val="Normal"/>
    <w:qFormat/>
    <w:rsid w:val="002F5399"/>
    <w:pPr>
      <w:tabs>
        <w:tab w:val="left" w:pos="432"/>
      </w:tabs>
      <w:spacing w:after="240" w:line="240" w:lineRule="auto"/>
      <w:ind w:firstLine="432"/>
      <w:jc w:val="both"/>
    </w:pPr>
    <w:rPr>
      <w:szCs w:val="24"/>
    </w:rPr>
  </w:style>
  <w:style w:type="paragraph" w:customStyle="1" w:styleId="MarkforTableHeading">
    <w:name w:val="Mark for Table Heading"/>
    <w:basedOn w:val="Normal"/>
    <w:next w:val="Normal"/>
    <w:uiPriority w:val="99"/>
    <w:rsid w:val="002F5399"/>
    <w:pPr>
      <w:keepNext/>
      <w:tabs>
        <w:tab w:val="left" w:pos="432"/>
      </w:tabs>
      <w:spacing w:after="60" w:line="240" w:lineRule="auto"/>
      <w:jc w:val="both"/>
    </w:pPr>
    <w:rPr>
      <w:rFonts w:ascii="Lucida Sans" w:hAnsi="Lucida Sans"/>
      <w:b/>
      <w:sz w:val="18"/>
      <w:szCs w:val="24"/>
    </w:rPr>
  </w:style>
  <w:style w:type="paragraph" w:styleId="EndnoteText">
    <w:name w:val="endnote text"/>
    <w:basedOn w:val="Normal"/>
    <w:link w:val="EndnoteTextChar"/>
    <w:uiPriority w:val="99"/>
    <w:semiHidden/>
    <w:unhideWhenUsed/>
    <w:rsid w:val="00FD589E"/>
    <w:pPr>
      <w:spacing w:line="240" w:lineRule="auto"/>
    </w:pPr>
    <w:rPr>
      <w:sz w:val="20"/>
    </w:rPr>
  </w:style>
  <w:style w:type="character" w:customStyle="1" w:styleId="EndnoteTextChar">
    <w:name w:val="Endnote Text Char"/>
    <w:basedOn w:val="DefaultParagraphFont"/>
    <w:link w:val="EndnoteText"/>
    <w:uiPriority w:val="99"/>
    <w:semiHidden/>
    <w:rsid w:val="00FD589E"/>
    <w:rPr>
      <w:rFonts w:ascii="Garamond" w:hAnsi="Garamond"/>
    </w:rPr>
  </w:style>
  <w:style w:type="character" w:styleId="EndnoteReference">
    <w:name w:val="endnote reference"/>
    <w:basedOn w:val="DefaultParagraphFont"/>
    <w:uiPriority w:val="99"/>
    <w:semiHidden/>
    <w:unhideWhenUsed/>
    <w:rsid w:val="00FD58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39"/>
    <w:lsdException w:name="toc 6" w:uiPriority="0"/>
    <w:lsdException w:name="toc 7" w:uiPriority="0"/>
    <w:lsdException w:name="toc 8" w:uiPriority="0"/>
    <w:lsdException w:name="toc 9" w:uiPriority="0"/>
    <w:lsdException w:name="footnote text" w:uiPriority="0" w:qFormat="1"/>
    <w:lsdException w:name="header" w:uiPriority="0"/>
    <w:lsdException w:name="caption" w:uiPriority="35" w:qFormat="1"/>
    <w:lsdException w:name="footnote reference"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9D6"/>
    <w:pPr>
      <w:spacing w:line="240" w:lineRule="atLeast"/>
    </w:pPr>
    <w:rPr>
      <w:rFonts w:ascii="Garamond" w:hAnsi="Garamond"/>
      <w:sz w:val="24"/>
    </w:rPr>
  </w:style>
  <w:style w:type="paragraph" w:styleId="Heading1">
    <w:name w:val="heading 1"/>
    <w:aliases w:val="H1-Chap. Head,H1-Sec.Head"/>
    <w:basedOn w:val="Normal"/>
    <w:link w:val="Heading1Char"/>
    <w:uiPriority w:val="99"/>
    <w:qFormat/>
    <w:rsid w:val="00B739D6"/>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link w:val="Heading2Char"/>
    <w:uiPriority w:val="99"/>
    <w:qFormat/>
    <w:rsid w:val="00B739D6"/>
    <w:pPr>
      <w:spacing w:after="360"/>
      <w:ind w:left="1152" w:hanging="1152"/>
      <w:jc w:val="left"/>
      <w:outlineLvl w:val="1"/>
    </w:pPr>
    <w:rPr>
      <w:sz w:val="32"/>
    </w:rPr>
  </w:style>
  <w:style w:type="paragraph" w:styleId="Heading3">
    <w:name w:val="heading 3"/>
    <w:aliases w:val="H3-Sec. Head"/>
    <w:basedOn w:val="Heading1"/>
    <w:next w:val="L1-FlLSp12"/>
    <w:qFormat/>
    <w:rsid w:val="00B739D6"/>
    <w:pPr>
      <w:spacing w:after="360"/>
      <w:ind w:left="1152" w:hanging="1152"/>
      <w:jc w:val="left"/>
      <w:outlineLvl w:val="2"/>
    </w:pPr>
    <w:rPr>
      <w:sz w:val="28"/>
    </w:rPr>
  </w:style>
  <w:style w:type="paragraph" w:styleId="Heading4">
    <w:name w:val="heading 4"/>
    <w:aliases w:val="H4-Sec. Head"/>
    <w:basedOn w:val="Heading1"/>
    <w:next w:val="L1-FlLSp12"/>
    <w:qFormat/>
    <w:rsid w:val="003F14B1"/>
    <w:pPr>
      <w:ind w:left="1152" w:hanging="1152"/>
      <w:jc w:val="left"/>
      <w:outlineLvl w:val="3"/>
    </w:pPr>
    <w:rPr>
      <w:sz w:val="24"/>
    </w:rPr>
  </w:style>
  <w:style w:type="paragraph" w:styleId="Heading5">
    <w:name w:val="heading 5"/>
    <w:aliases w:val="H5-Sec. Head"/>
    <w:basedOn w:val="Heading1"/>
    <w:next w:val="L1-FlLSp12"/>
    <w:qFormat/>
    <w:rsid w:val="00B739D6"/>
    <w:pPr>
      <w:keepLines/>
      <w:spacing w:after="360"/>
      <w:ind w:left="1152" w:hanging="1152"/>
      <w:jc w:val="left"/>
      <w:outlineLvl w:val="4"/>
    </w:pPr>
    <w:rPr>
      <w:i/>
      <w:color w:val="auto"/>
      <w:sz w:val="24"/>
    </w:rPr>
  </w:style>
  <w:style w:type="paragraph" w:styleId="Heading6">
    <w:name w:val="heading 6"/>
    <w:basedOn w:val="Normal"/>
    <w:next w:val="Normal"/>
    <w:qFormat/>
    <w:rsid w:val="00B739D6"/>
    <w:pPr>
      <w:keepNext/>
      <w:spacing w:before="240"/>
      <w:jc w:val="center"/>
      <w:outlineLvl w:val="5"/>
    </w:pPr>
    <w:rPr>
      <w:b/>
      <w:caps/>
    </w:rPr>
  </w:style>
  <w:style w:type="paragraph" w:styleId="Heading7">
    <w:name w:val="heading 7"/>
    <w:basedOn w:val="Normal"/>
    <w:next w:val="Normal"/>
    <w:qFormat/>
    <w:rsid w:val="00B739D6"/>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739D6"/>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B739D6"/>
    <w:pPr>
      <w:keepLines/>
      <w:jc w:val="center"/>
    </w:pPr>
  </w:style>
  <w:style w:type="paragraph" w:customStyle="1" w:styleId="C3-CtrSp12">
    <w:name w:val="C3-Ctr Sp&amp;1/2"/>
    <w:basedOn w:val="Normal"/>
    <w:rsid w:val="00B739D6"/>
    <w:pPr>
      <w:keepLines/>
      <w:spacing w:line="360" w:lineRule="atLeast"/>
      <w:jc w:val="center"/>
    </w:pPr>
  </w:style>
  <w:style w:type="paragraph" w:customStyle="1" w:styleId="E1-Equation">
    <w:name w:val="E1-Equation"/>
    <w:basedOn w:val="Normal"/>
    <w:rsid w:val="00B739D6"/>
    <w:pPr>
      <w:tabs>
        <w:tab w:val="center" w:pos="4680"/>
        <w:tab w:val="right" w:pos="9360"/>
      </w:tabs>
    </w:pPr>
  </w:style>
  <w:style w:type="paragraph" w:customStyle="1" w:styleId="E2-Equation">
    <w:name w:val="E2-Equation"/>
    <w:basedOn w:val="Normal"/>
    <w:rsid w:val="00B739D6"/>
    <w:pPr>
      <w:tabs>
        <w:tab w:val="right" w:pos="1152"/>
        <w:tab w:val="center" w:pos="1440"/>
        <w:tab w:val="left" w:pos="1728"/>
      </w:tabs>
      <w:ind w:left="1728" w:hanging="1728"/>
    </w:pPr>
  </w:style>
  <w:style w:type="paragraph" w:styleId="Footer">
    <w:name w:val="footer"/>
    <w:basedOn w:val="Normal"/>
    <w:link w:val="FooterChar"/>
    <w:uiPriority w:val="99"/>
    <w:rsid w:val="00B739D6"/>
  </w:style>
  <w:style w:type="paragraph" w:styleId="FootnoteText">
    <w:name w:val="footnote text"/>
    <w:aliases w:val="F1"/>
    <w:link w:val="FootnoteTextChar"/>
    <w:qFormat/>
    <w:rsid w:val="00B739D6"/>
    <w:pPr>
      <w:tabs>
        <w:tab w:val="left" w:pos="120"/>
      </w:tabs>
      <w:spacing w:before="120" w:line="200" w:lineRule="atLeast"/>
      <w:ind w:left="115" w:hanging="115"/>
    </w:pPr>
    <w:rPr>
      <w:rFonts w:ascii="Garamond" w:hAnsi="Garamond"/>
    </w:rPr>
  </w:style>
  <w:style w:type="paragraph" w:styleId="Header">
    <w:name w:val="header"/>
    <w:basedOn w:val="Normal"/>
    <w:link w:val="HeaderChar"/>
    <w:rsid w:val="00B739D6"/>
    <w:rPr>
      <w:sz w:val="20"/>
    </w:rPr>
  </w:style>
  <w:style w:type="paragraph" w:customStyle="1" w:styleId="L1-FlLSp12">
    <w:name w:val="L1-FlL Sp&amp;1/2"/>
    <w:basedOn w:val="Normal"/>
    <w:link w:val="L1-FlLSp12Char"/>
    <w:rsid w:val="00B739D6"/>
    <w:pPr>
      <w:tabs>
        <w:tab w:val="left" w:pos="1152"/>
      </w:tabs>
      <w:spacing w:line="360" w:lineRule="atLeast"/>
    </w:pPr>
  </w:style>
  <w:style w:type="paragraph" w:customStyle="1" w:styleId="N0-FlLftBullet">
    <w:name w:val="N0-Fl Lft Bullet"/>
    <w:basedOn w:val="Normal"/>
    <w:rsid w:val="00B739D6"/>
    <w:pPr>
      <w:tabs>
        <w:tab w:val="left" w:pos="576"/>
      </w:tabs>
      <w:spacing w:after="240"/>
      <w:ind w:left="576" w:hanging="576"/>
    </w:pPr>
  </w:style>
  <w:style w:type="paragraph" w:customStyle="1" w:styleId="N1-1stBullet">
    <w:name w:val="N1-1st Bullet"/>
    <w:basedOn w:val="Normal"/>
    <w:rsid w:val="00B739D6"/>
    <w:pPr>
      <w:numPr>
        <w:numId w:val="18"/>
      </w:numPr>
      <w:spacing w:after="240"/>
    </w:pPr>
  </w:style>
  <w:style w:type="paragraph" w:customStyle="1" w:styleId="N2-2ndBullet">
    <w:name w:val="N2-2nd Bullet"/>
    <w:basedOn w:val="Normal"/>
    <w:rsid w:val="00B739D6"/>
    <w:pPr>
      <w:numPr>
        <w:numId w:val="19"/>
      </w:numPr>
      <w:spacing w:after="240"/>
    </w:pPr>
  </w:style>
  <w:style w:type="paragraph" w:customStyle="1" w:styleId="N3-3rdBullet">
    <w:name w:val="N3-3rd Bullet"/>
    <w:basedOn w:val="Normal"/>
    <w:rsid w:val="00B739D6"/>
    <w:pPr>
      <w:numPr>
        <w:numId w:val="20"/>
      </w:numPr>
      <w:spacing w:after="240"/>
    </w:pPr>
  </w:style>
  <w:style w:type="paragraph" w:customStyle="1" w:styleId="N4-4thBullet">
    <w:name w:val="N4-4th Bullet"/>
    <w:basedOn w:val="Normal"/>
    <w:rsid w:val="00B739D6"/>
    <w:pPr>
      <w:numPr>
        <w:numId w:val="21"/>
      </w:numPr>
      <w:spacing w:after="240"/>
    </w:pPr>
  </w:style>
  <w:style w:type="paragraph" w:customStyle="1" w:styleId="N5-5thBullet">
    <w:name w:val="N5-5th Bullet"/>
    <w:basedOn w:val="Normal"/>
    <w:rsid w:val="00B739D6"/>
    <w:pPr>
      <w:tabs>
        <w:tab w:val="left" w:pos="3456"/>
      </w:tabs>
      <w:spacing w:after="240"/>
      <w:ind w:left="3456" w:hanging="576"/>
    </w:pPr>
  </w:style>
  <w:style w:type="paragraph" w:customStyle="1" w:styleId="N6-DateInd">
    <w:name w:val="N6-Date Ind."/>
    <w:basedOn w:val="Normal"/>
    <w:rsid w:val="00B739D6"/>
    <w:pPr>
      <w:tabs>
        <w:tab w:val="left" w:pos="4910"/>
      </w:tabs>
      <w:ind w:left="4910"/>
    </w:pPr>
  </w:style>
  <w:style w:type="paragraph" w:customStyle="1" w:styleId="N7-3Block">
    <w:name w:val="N7-3&quot; Block"/>
    <w:basedOn w:val="Normal"/>
    <w:rsid w:val="00B739D6"/>
    <w:pPr>
      <w:tabs>
        <w:tab w:val="left" w:pos="1152"/>
      </w:tabs>
      <w:ind w:left="1152" w:right="1152"/>
    </w:pPr>
  </w:style>
  <w:style w:type="paragraph" w:customStyle="1" w:styleId="N8-QxQBlock">
    <w:name w:val="N8-QxQ Block"/>
    <w:basedOn w:val="Normal"/>
    <w:rsid w:val="00B739D6"/>
    <w:pPr>
      <w:tabs>
        <w:tab w:val="left" w:pos="1152"/>
      </w:tabs>
      <w:spacing w:after="360" w:line="360" w:lineRule="atLeast"/>
      <w:ind w:left="1152" w:hanging="1152"/>
    </w:pPr>
  </w:style>
  <w:style w:type="paragraph" w:customStyle="1" w:styleId="P1-StandPara">
    <w:name w:val="P1-Stand Para"/>
    <w:basedOn w:val="Normal"/>
    <w:link w:val="P1-StandParaChar"/>
    <w:rsid w:val="00B739D6"/>
    <w:pPr>
      <w:spacing w:line="360" w:lineRule="atLeast"/>
      <w:ind w:firstLine="1152"/>
    </w:pPr>
  </w:style>
  <w:style w:type="paragraph" w:customStyle="1" w:styleId="Q1-BestFinQ">
    <w:name w:val="Q1-Best/Fin Q"/>
    <w:rsid w:val="00B739D6"/>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739D6"/>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B739D6"/>
  </w:style>
  <w:style w:type="paragraph" w:customStyle="1" w:styleId="SP-SglSpPara">
    <w:name w:val="SP-Sgl Sp Para"/>
    <w:basedOn w:val="Normal"/>
    <w:rsid w:val="00B739D6"/>
    <w:pPr>
      <w:tabs>
        <w:tab w:val="left" w:pos="576"/>
      </w:tabs>
      <w:ind w:firstLine="576"/>
    </w:pPr>
  </w:style>
  <w:style w:type="paragraph" w:customStyle="1" w:styleId="T0-ChapPgHd">
    <w:name w:val="T0-Chap/Pg Hd"/>
    <w:basedOn w:val="Normal"/>
    <w:uiPriority w:val="99"/>
    <w:rsid w:val="00B739D6"/>
    <w:pPr>
      <w:tabs>
        <w:tab w:val="left" w:pos="8640"/>
      </w:tabs>
    </w:pPr>
    <w:rPr>
      <w:rFonts w:ascii="Franklin Gothic Medium" w:hAnsi="Franklin Gothic Medium"/>
      <w:u w:val="words"/>
    </w:rPr>
  </w:style>
  <w:style w:type="paragraph" w:styleId="TOC1">
    <w:name w:val="toc 1"/>
    <w:basedOn w:val="Normal"/>
    <w:uiPriority w:val="39"/>
    <w:rsid w:val="00B739D6"/>
    <w:pPr>
      <w:tabs>
        <w:tab w:val="left" w:pos="1440"/>
        <w:tab w:val="right" w:leader="dot" w:pos="8208"/>
        <w:tab w:val="left" w:pos="8640"/>
      </w:tabs>
      <w:ind w:left="1440" w:right="1800" w:hanging="1152"/>
    </w:pPr>
  </w:style>
  <w:style w:type="paragraph" w:styleId="TOC2">
    <w:name w:val="toc 2"/>
    <w:basedOn w:val="Normal"/>
    <w:uiPriority w:val="39"/>
    <w:rsid w:val="00B739D6"/>
    <w:pPr>
      <w:tabs>
        <w:tab w:val="left" w:pos="2160"/>
        <w:tab w:val="right" w:leader="dot" w:pos="8208"/>
        <w:tab w:val="left" w:pos="8640"/>
      </w:tabs>
      <w:ind w:left="2160" w:right="1800" w:hanging="720"/>
    </w:pPr>
    <w:rPr>
      <w:szCs w:val="22"/>
    </w:rPr>
  </w:style>
  <w:style w:type="paragraph" w:styleId="TOC3">
    <w:name w:val="toc 3"/>
    <w:basedOn w:val="Normal"/>
    <w:uiPriority w:val="39"/>
    <w:rsid w:val="00B739D6"/>
    <w:pPr>
      <w:tabs>
        <w:tab w:val="left" w:pos="3024"/>
        <w:tab w:val="right" w:leader="dot" w:pos="8208"/>
        <w:tab w:val="left" w:pos="8640"/>
      </w:tabs>
      <w:ind w:left="3024" w:right="1800" w:hanging="864"/>
    </w:pPr>
  </w:style>
  <w:style w:type="paragraph" w:styleId="TOC4">
    <w:name w:val="toc 4"/>
    <w:basedOn w:val="Normal"/>
    <w:semiHidden/>
    <w:rsid w:val="00B739D6"/>
    <w:pPr>
      <w:tabs>
        <w:tab w:val="left" w:pos="3888"/>
        <w:tab w:val="right" w:leader="dot" w:pos="8208"/>
        <w:tab w:val="left" w:pos="8640"/>
      </w:tabs>
      <w:ind w:left="3888" w:right="1800" w:hanging="864"/>
    </w:pPr>
  </w:style>
  <w:style w:type="paragraph" w:styleId="TOC5">
    <w:name w:val="toc 5"/>
    <w:basedOn w:val="Normal"/>
    <w:uiPriority w:val="39"/>
    <w:rsid w:val="00B739D6"/>
    <w:pPr>
      <w:tabs>
        <w:tab w:val="left" w:pos="1440"/>
        <w:tab w:val="right" w:leader="dot" w:pos="8208"/>
        <w:tab w:val="left" w:pos="8640"/>
      </w:tabs>
      <w:ind w:left="1440" w:right="1800" w:hanging="1152"/>
    </w:pPr>
  </w:style>
  <w:style w:type="paragraph" w:customStyle="1" w:styleId="TT-TableTitle">
    <w:name w:val="TT-Table Title"/>
    <w:rsid w:val="00B739D6"/>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B739D6"/>
    <w:pPr>
      <w:tabs>
        <w:tab w:val="left" w:pos="2232"/>
      </w:tabs>
      <w:spacing w:line="240" w:lineRule="exact"/>
    </w:pPr>
    <w:rPr>
      <w:vanish/>
    </w:rPr>
  </w:style>
  <w:style w:type="paragraph" w:customStyle="1" w:styleId="R1-ResPara">
    <w:name w:val="R1-Res. Para"/>
    <w:rsid w:val="00B739D6"/>
    <w:pPr>
      <w:spacing w:line="240" w:lineRule="atLeast"/>
      <w:ind w:left="288"/>
    </w:pPr>
    <w:rPr>
      <w:rFonts w:ascii="Garamond" w:hAnsi="Garamond"/>
      <w:sz w:val="24"/>
    </w:rPr>
  </w:style>
  <w:style w:type="paragraph" w:customStyle="1" w:styleId="R2-ResBullet">
    <w:name w:val="R2-Res Bullet"/>
    <w:basedOn w:val="Normal"/>
    <w:rsid w:val="00B739D6"/>
    <w:pPr>
      <w:tabs>
        <w:tab w:val="left" w:pos="720"/>
      </w:tabs>
      <w:ind w:left="720" w:hanging="432"/>
    </w:pPr>
  </w:style>
  <w:style w:type="paragraph" w:customStyle="1" w:styleId="RF-Reference">
    <w:name w:val="RF-Reference"/>
    <w:basedOn w:val="Normal"/>
    <w:rsid w:val="00B739D6"/>
    <w:pPr>
      <w:spacing w:line="240" w:lineRule="exact"/>
      <w:ind w:left="216" w:hanging="216"/>
    </w:pPr>
  </w:style>
  <w:style w:type="paragraph" w:customStyle="1" w:styleId="RH-SglSpHead">
    <w:name w:val="RH-Sgl Sp Head"/>
    <w:next w:val="RL-FlLftSgl"/>
    <w:rsid w:val="00B739D6"/>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739D6"/>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B739D6"/>
    <w:pPr>
      <w:keepNext/>
      <w:spacing w:line="240" w:lineRule="exact"/>
    </w:pPr>
    <w:rPr>
      <w:u w:val="single"/>
    </w:rPr>
  </w:style>
  <w:style w:type="paragraph" w:customStyle="1" w:styleId="Header-1">
    <w:name w:val="Header-1"/>
    <w:rsid w:val="00B739D6"/>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B739D6"/>
    <w:pPr>
      <w:numPr>
        <w:numId w:val="22"/>
      </w:numPr>
    </w:pPr>
  </w:style>
  <w:style w:type="character" w:styleId="PageNumber">
    <w:name w:val="page number"/>
    <w:basedOn w:val="DefaultParagraphFont"/>
    <w:rsid w:val="00B739D6"/>
  </w:style>
  <w:style w:type="paragraph" w:customStyle="1" w:styleId="R0-FLLftSglBoldItalic">
    <w:name w:val="R0-FL Lft Sgl Bold Italic"/>
    <w:rsid w:val="00B739D6"/>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739D6"/>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uiPriority w:val="99"/>
    <w:rsid w:val="00B739D6"/>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B739D6"/>
    <w:rPr>
      <w:rFonts w:ascii="Franklin Gothic Medium" w:hAnsi="Franklin Gothic Medium"/>
      <w:sz w:val="16"/>
    </w:rPr>
  </w:style>
  <w:style w:type="paragraph" w:customStyle="1" w:styleId="TH-TableHeading">
    <w:name w:val="TH-Table Heading"/>
    <w:rsid w:val="00B739D6"/>
    <w:pPr>
      <w:keepNext/>
      <w:spacing w:line="240" w:lineRule="atLeast"/>
      <w:jc w:val="center"/>
    </w:pPr>
    <w:rPr>
      <w:rFonts w:ascii="Franklin Gothic Medium" w:hAnsi="Franklin Gothic Medium"/>
      <w:b/>
    </w:rPr>
  </w:style>
  <w:style w:type="paragraph" w:styleId="TOC6">
    <w:name w:val="toc 6"/>
    <w:semiHidden/>
    <w:rsid w:val="00B739D6"/>
    <w:pPr>
      <w:tabs>
        <w:tab w:val="right" w:leader="dot" w:pos="8208"/>
        <w:tab w:val="left" w:pos="8640"/>
      </w:tabs>
      <w:ind w:left="288"/>
    </w:pPr>
    <w:rPr>
      <w:rFonts w:ascii="Garamond" w:hAnsi="Garamond"/>
      <w:sz w:val="24"/>
      <w:szCs w:val="22"/>
    </w:rPr>
  </w:style>
  <w:style w:type="paragraph" w:styleId="TOC7">
    <w:name w:val="toc 7"/>
    <w:semiHidden/>
    <w:rsid w:val="00B739D6"/>
    <w:pPr>
      <w:tabs>
        <w:tab w:val="right" w:leader="dot" w:pos="8208"/>
        <w:tab w:val="left" w:pos="8640"/>
      </w:tabs>
      <w:ind w:left="1440"/>
    </w:pPr>
    <w:rPr>
      <w:rFonts w:ascii="Garamond" w:hAnsi="Garamond"/>
      <w:sz w:val="24"/>
      <w:szCs w:val="22"/>
    </w:rPr>
  </w:style>
  <w:style w:type="paragraph" w:styleId="TOC8">
    <w:name w:val="toc 8"/>
    <w:semiHidden/>
    <w:rsid w:val="00B739D6"/>
    <w:pPr>
      <w:tabs>
        <w:tab w:val="right" w:leader="dot" w:pos="8208"/>
        <w:tab w:val="left" w:pos="8640"/>
      </w:tabs>
      <w:ind w:left="2160"/>
    </w:pPr>
    <w:rPr>
      <w:rFonts w:ascii="Garamond" w:hAnsi="Garamond"/>
      <w:sz w:val="24"/>
      <w:szCs w:val="22"/>
    </w:rPr>
  </w:style>
  <w:style w:type="paragraph" w:styleId="TOC9">
    <w:name w:val="toc 9"/>
    <w:semiHidden/>
    <w:rsid w:val="00B739D6"/>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B739D6"/>
    <w:rPr>
      <w:rFonts w:ascii="Franklin Gothic Medium" w:hAnsi="Franklin Gothic Medium"/>
      <w:sz w:val="20"/>
    </w:rPr>
  </w:style>
  <w:style w:type="paragraph" w:styleId="BalloonText">
    <w:name w:val="Balloon Text"/>
    <w:basedOn w:val="Normal"/>
    <w:link w:val="BalloonTextChar"/>
    <w:uiPriority w:val="99"/>
    <w:semiHidden/>
    <w:unhideWhenUsed/>
    <w:rsid w:val="00B739D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9D6"/>
    <w:rPr>
      <w:rFonts w:ascii="Tahoma" w:hAnsi="Tahoma" w:cs="Tahoma"/>
      <w:sz w:val="16"/>
      <w:szCs w:val="16"/>
    </w:rPr>
  </w:style>
  <w:style w:type="character" w:styleId="FootnoteReference">
    <w:name w:val="footnote reference"/>
    <w:basedOn w:val="DefaultParagraphFont"/>
    <w:unhideWhenUsed/>
    <w:qFormat/>
    <w:rsid w:val="00B739D6"/>
    <w:rPr>
      <w:vertAlign w:val="superscript"/>
    </w:rPr>
  </w:style>
  <w:style w:type="paragraph" w:styleId="ListParagraph">
    <w:name w:val="List Paragraph"/>
    <w:basedOn w:val="Normal"/>
    <w:uiPriority w:val="34"/>
    <w:qFormat/>
    <w:rsid w:val="00C23DA3"/>
    <w:pPr>
      <w:numPr>
        <w:numId w:val="23"/>
      </w:numPr>
    </w:pPr>
  </w:style>
  <w:style w:type="character" w:customStyle="1" w:styleId="P1-StandParaChar">
    <w:name w:val="P1-Stand Para Char"/>
    <w:basedOn w:val="DefaultParagraphFont"/>
    <w:link w:val="P1-StandPara"/>
    <w:rsid w:val="00C23DA3"/>
    <w:rPr>
      <w:rFonts w:ascii="Garamond" w:hAnsi="Garamond"/>
      <w:sz w:val="24"/>
    </w:rPr>
  </w:style>
  <w:style w:type="character" w:customStyle="1" w:styleId="FootnoteTextChar">
    <w:name w:val="Footnote Text Char"/>
    <w:aliases w:val="F1 Char"/>
    <w:link w:val="FootnoteText"/>
    <w:rsid w:val="00C23DA3"/>
    <w:rPr>
      <w:rFonts w:ascii="Garamond" w:hAnsi="Garamond"/>
    </w:rPr>
  </w:style>
  <w:style w:type="character" w:customStyle="1" w:styleId="Heading1Char">
    <w:name w:val="Heading 1 Char"/>
    <w:aliases w:val="H1-Chap. Head Char,H1-Sec.Head Char"/>
    <w:link w:val="Heading1"/>
    <w:uiPriority w:val="99"/>
    <w:rsid w:val="00C23DA3"/>
    <w:rPr>
      <w:rFonts w:ascii="Franklin Gothic Medium" w:hAnsi="Franklin Gothic Medium"/>
      <w:b/>
      <w:color w:val="324162"/>
      <w:sz w:val="40"/>
    </w:rPr>
  </w:style>
  <w:style w:type="character" w:styleId="Hyperlink">
    <w:name w:val="Hyperlink"/>
    <w:basedOn w:val="DefaultParagraphFont"/>
    <w:uiPriority w:val="99"/>
    <w:rsid w:val="00C23DA3"/>
    <w:rPr>
      <w:rFonts w:cs="Times New Roman"/>
      <w:color w:val="000000"/>
    </w:rPr>
  </w:style>
  <w:style w:type="character" w:customStyle="1" w:styleId="HeaderChar">
    <w:name w:val="Header Char"/>
    <w:link w:val="Header"/>
    <w:rsid w:val="00C23DA3"/>
    <w:rPr>
      <w:rFonts w:ascii="Garamond" w:hAnsi="Garamond"/>
    </w:rPr>
  </w:style>
  <w:style w:type="character" w:customStyle="1" w:styleId="FooterChar">
    <w:name w:val="Footer Char"/>
    <w:link w:val="Footer"/>
    <w:uiPriority w:val="99"/>
    <w:rsid w:val="00C23DA3"/>
    <w:rPr>
      <w:rFonts w:ascii="Garamond" w:hAnsi="Garamond"/>
      <w:sz w:val="24"/>
    </w:rPr>
  </w:style>
  <w:style w:type="character" w:customStyle="1" w:styleId="Heading2Char">
    <w:name w:val="Heading 2 Char"/>
    <w:aliases w:val="H2-Sec. Head Char"/>
    <w:link w:val="Heading2"/>
    <w:uiPriority w:val="99"/>
    <w:rsid w:val="00C23DA3"/>
    <w:rPr>
      <w:rFonts w:ascii="Franklin Gothic Medium" w:hAnsi="Franklin Gothic Medium"/>
      <w:b/>
      <w:color w:val="324162"/>
      <w:sz w:val="32"/>
    </w:rPr>
  </w:style>
  <w:style w:type="character" w:styleId="Strong">
    <w:name w:val="Strong"/>
    <w:basedOn w:val="DefaultParagraphFont"/>
    <w:qFormat/>
    <w:rsid w:val="00C23DA3"/>
    <w:rPr>
      <w:rFonts w:cs="Times New Roman"/>
      <w:b/>
      <w:bCs/>
    </w:rPr>
  </w:style>
  <w:style w:type="paragraph" w:styleId="NoSpacing">
    <w:name w:val="No Spacing"/>
    <w:link w:val="NoSpacingChar"/>
    <w:qFormat/>
    <w:rsid w:val="00C23DA3"/>
    <w:pPr>
      <w:spacing w:line="360" w:lineRule="atLeast"/>
      <w:jc w:val="center"/>
    </w:pPr>
    <w:rPr>
      <w:rFonts w:ascii="Calibri" w:hAnsi="Calibri"/>
      <w:b/>
      <w:sz w:val="24"/>
    </w:rPr>
  </w:style>
  <w:style w:type="character" w:customStyle="1" w:styleId="NoSpacingChar">
    <w:name w:val="No Spacing Char"/>
    <w:basedOn w:val="DefaultParagraphFont"/>
    <w:link w:val="NoSpacing"/>
    <w:rsid w:val="00C23DA3"/>
    <w:rPr>
      <w:rFonts w:ascii="Calibri" w:hAnsi="Calibri"/>
      <w:b/>
      <w:sz w:val="24"/>
    </w:rPr>
  </w:style>
  <w:style w:type="character" w:customStyle="1" w:styleId="L1-FlLSp12Char">
    <w:name w:val="L1-FlL Sp&amp;1/2 Char"/>
    <w:basedOn w:val="DefaultParagraphFont"/>
    <w:link w:val="L1-FlLSp12"/>
    <w:locked/>
    <w:rsid w:val="00C23DA3"/>
    <w:rPr>
      <w:rFonts w:ascii="Garamond" w:hAnsi="Garamond"/>
      <w:sz w:val="24"/>
    </w:rPr>
  </w:style>
  <w:style w:type="paragraph" w:customStyle="1" w:styleId="Normal1">
    <w:name w:val="Normal1"/>
    <w:basedOn w:val="Normal"/>
    <w:link w:val="NormalChar"/>
    <w:uiPriority w:val="99"/>
    <w:rsid w:val="009B04EC"/>
  </w:style>
  <w:style w:type="character" w:customStyle="1" w:styleId="NormalChar">
    <w:name w:val="Normal Char"/>
    <w:link w:val="Normal1"/>
    <w:uiPriority w:val="99"/>
    <w:rsid w:val="009B04EC"/>
    <w:rPr>
      <w:rFonts w:ascii="Garamond" w:hAnsi="Garamond"/>
      <w:sz w:val="24"/>
    </w:rPr>
  </w:style>
  <w:style w:type="character" w:styleId="CommentReference">
    <w:name w:val="annotation reference"/>
    <w:basedOn w:val="DefaultParagraphFont"/>
    <w:uiPriority w:val="99"/>
    <w:semiHidden/>
    <w:unhideWhenUsed/>
    <w:rsid w:val="00090426"/>
    <w:rPr>
      <w:sz w:val="16"/>
      <w:szCs w:val="16"/>
    </w:rPr>
  </w:style>
  <w:style w:type="paragraph" w:styleId="CommentText">
    <w:name w:val="annotation text"/>
    <w:basedOn w:val="Normal"/>
    <w:link w:val="CommentTextChar"/>
    <w:uiPriority w:val="99"/>
    <w:unhideWhenUsed/>
    <w:rsid w:val="00090426"/>
    <w:pPr>
      <w:spacing w:line="240" w:lineRule="auto"/>
    </w:pPr>
    <w:rPr>
      <w:sz w:val="20"/>
    </w:rPr>
  </w:style>
  <w:style w:type="character" w:customStyle="1" w:styleId="CommentTextChar">
    <w:name w:val="Comment Text Char"/>
    <w:basedOn w:val="DefaultParagraphFont"/>
    <w:link w:val="CommentText"/>
    <w:uiPriority w:val="99"/>
    <w:rsid w:val="00090426"/>
    <w:rPr>
      <w:rFonts w:ascii="Garamond" w:hAnsi="Garamond"/>
    </w:rPr>
  </w:style>
  <w:style w:type="paragraph" w:styleId="CommentSubject">
    <w:name w:val="annotation subject"/>
    <w:basedOn w:val="CommentText"/>
    <w:next w:val="CommentText"/>
    <w:link w:val="CommentSubjectChar"/>
    <w:uiPriority w:val="99"/>
    <w:semiHidden/>
    <w:unhideWhenUsed/>
    <w:rsid w:val="00090426"/>
    <w:rPr>
      <w:b/>
      <w:bCs/>
    </w:rPr>
  </w:style>
  <w:style w:type="character" w:customStyle="1" w:styleId="CommentSubjectChar">
    <w:name w:val="Comment Subject Char"/>
    <w:basedOn w:val="CommentTextChar"/>
    <w:link w:val="CommentSubject"/>
    <w:uiPriority w:val="99"/>
    <w:semiHidden/>
    <w:rsid w:val="00090426"/>
    <w:rPr>
      <w:rFonts w:ascii="Garamond" w:hAnsi="Garamond"/>
      <w:b/>
      <w:bCs/>
    </w:rPr>
  </w:style>
  <w:style w:type="table" w:customStyle="1" w:styleId="TableWestatStandardFormat1">
    <w:name w:val="Table Westat Standard Format1"/>
    <w:basedOn w:val="TableNormal"/>
    <w:rsid w:val="00F04C74"/>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styleId="Revision">
    <w:name w:val="Revision"/>
    <w:hidden/>
    <w:uiPriority w:val="99"/>
    <w:semiHidden/>
    <w:rsid w:val="00B449BA"/>
    <w:rPr>
      <w:rFonts w:ascii="Garamond" w:hAnsi="Garamond"/>
      <w:sz w:val="24"/>
    </w:rPr>
  </w:style>
  <w:style w:type="paragraph" w:customStyle="1" w:styleId="NormalSS">
    <w:name w:val="NormalSS"/>
    <w:basedOn w:val="Normal"/>
    <w:qFormat/>
    <w:rsid w:val="002F5399"/>
    <w:pPr>
      <w:tabs>
        <w:tab w:val="left" w:pos="432"/>
      </w:tabs>
      <w:spacing w:after="240" w:line="240" w:lineRule="auto"/>
      <w:ind w:firstLine="432"/>
      <w:jc w:val="both"/>
    </w:pPr>
    <w:rPr>
      <w:szCs w:val="24"/>
    </w:rPr>
  </w:style>
  <w:style w:type="paragraph" w:customStyle="1" w:styleId="MarkforTableHeading">
    <w:name w:val="Mark for Table Heading"/>
    <w:basedOn w:val="Normal"/>
    <w:next w:val="Normal"/>
    <w:uiPriority w:val="99"/>
    <w:rsid w:val="002F5399"/>
    <w:pPr>
      <w:keepNext/>
      <w:tabs>
        <w:tab w:val="left" w:pos="432"/>
      </w:tabs>
      <w:spacing w:after="60" w:line="240" w:lineRule="auto"/>
      <w:jc w:val="both"/>
    </w:pPr>
    <w:rPr>
      <w:rFonts w:ascii="Lucida Sans" w:hAnsi="Lucida Sans"/>
      <w:b/>
      <w:sz w:val="18"/>
      <w:szCs w:val="24"/>
    </w:rPr>
  </w:style>
  <w:style w:type="paragraph" w:styleId="EndnoteText">
    <w:name w:val="endnote text"/>
    <w:basedOn w:val="Normal"/>
    <w:link w:val="EndnoteTextChar"/>
    <w:uiPriority w:val="99"/>
    <w:semiHidden/>
    <w:unhideWhenUsed/>
    <w:rsid w:val="00FD589E"/>
    <w:pPr>
      <w:spacing w:line="240" w:lineRule="auto"/>
    </w:pPr>
    <w:rPr>
      <w:sz w:val="20"/>
    </w:rPr>
  </w:style>
  <w:style w:type="character" w:customStyle="1" w:styleId="EndnoteTextChar">
    <w:name w:val="Endnote Text Char"/>
    <w:basedOn w:val="DefaultParagraphFont"/>
    <w:link w:val="EndnoteText"/>
    <w:uiPriority w:val="99"/>
    <w:semiHidden/>
    <w:rsid w:val="00FD589E"/>
    <w:rPr>
      <w:rFonts w:ascii="Garamond" w:hAnsi="Garamond"/>
    </w:rPr>
  </w:style>
  <w:style w:type="character" w:styleId="EndnoteReference">
    <w:name w:val="endnote reference"/>
    <w:basedOn w:val="DefaultParagraphFont"/>
    <w:uiPriority w:val="99"/>
    <w:semiHidden/>
    <w:unhideWhenUsed/>
    <w:rsid w:val="00FD58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2138454">
      <w:bodyDiv w:val="1"/>
      <w:marLeft w:val="0"/>
      <w:marRight w:val="0"/>
      <w:marTop w:val="0"/>
      <w:marBottom w:val="0"/>
      <w:divBdr>
        <w:top w:val="none" w:sz="0" w:space="0" w:color="auto"/>
        <w:left w:val="none" w:sz="0" w:space="0" w:color="auto"/>
        <w:bottom w:val="none" w:sz="0" w:space="0" w:color="auto"/>
        <w:right w:val="none" w:sz="0" w:space="0" w:color="auto"/>
      </w:divBdr>
    </w:div>
    <w:div w:id="1276132986">
      <w:bodyDiv w:val="1"/>
      <w:marLeft w:val="0"/>
      <w:marRight w:val="0"/>
      <w:marTop w:val="0"/>
      <w:marBottom w:val="0"/>
      <w:divBdr>
        <w:top w:val="none" w:sz="0" w:space="0" w:color="auto"/>
        <w:left w:val="none" w:sz="0" w:space="0" w:color="auto"/>
        <w:bottom w:val="none" w:sz="0" w:space="0" w:color="auto"/>
        <w:right w:val="none" w:sz="0" w:space="0" w:color="auto"/>
      </w:divBdr>
    </w:div>
    <w:div w:id="1323460720">
      <w:bodyDiv w:val="1"/>
      <w:marLeft w:val="0"/>
      <w:marRight w:val="0"/>
      <w:marTop w:val="0"/>
      <w:marBottom w:val="0"/>
      <w:divBdr>
        <w:top w:val="none" w:sz="0" w:space="0" w:color="auto"/>
        <w:left w:val="none" w:sz="0" w:space="0" w:color="auto"/>
        <w:bottom w:val="none" w:sz="0" w:space="0" w:color="auto"/>
        <w:right w:val="none" w:sz="0" w:space="0" w:color="auto"/>
      </w:divBdr>
    </w:div>
    <w:div w:id="1487283356">
      <w:bodyDiv w:val="1"/>
      <w:marLeft w:val="0"/>
      <w:marRight w:val="0"/>
      <w:marTop w:val="0"/>
      <w:marBottom w:val="0"/>
      <w:divBdr>
        <w:top w:val="none" w:sz="0" w:space="0" w:color="auto"/>
        <w:left w:val="none" w:sz="0" w:space="0" w:color="auto"/>
        <w:bottom w:val="none" w:sz="0" w:space="0" w:color="auto"/>
        <w:right w:val="none" w:sz="0" w:space="0" w:color="auto"/>
      </w:divBdr>
      <w:divsChild>
        <w:div w:id="128520575">
          <w:marLeft w:val="0"/>
          <w:marRight w:val="0"/>
          <w:marTop w:val="0"/>
          <w:marBottom w:val="0"/>
          <w:divBdr>
            <w:top w:val="none" w:sz="0" w:space="0" w:color="auto"/>
            <w:left w:val="none" w:sz="0" w:space="0" w:color="auto"/>
            <w:bottom w:val="none" w:sz="0" w:space="0" w:color="auto"/>
            <w:right w:val="none" w:sz="0" w:space="0" w:color="auto"/>
          </w:divBdr>
        </w:div>
        <w:div w:id="1005323134">
          <w:marLeft w:val="0"/>
          <w:marRight w:val="0"/>
          <w:marTop w:val="0"/>
          <w:marBottom w:val="0"/>
          <w:divBdr>
            <w:top w:val="none" w:sz="0" w:space="0" w:color="auto"/>
            <w:left w:val="none" w:sz="0" w:space="0" w:color="auto"/>
            <w:bottom w:val="none" w:sz="0" w:space="0" w:color="auto"/>
            <w:right w:val="none" w:sz="0" w:space="0" w:color="auto"/>
          </w:divBdr>
        </w:div>
        <w:div w:id="1145243463">
          <w:marLeft w:val="0"/>
          <w:marRight w:val="0"/>
          <w:marTop w:val="0"/>
          <w:marBottom w:val="0"/>
          <w:divBdr>
            <w:top w:val="none" w:sz="0" w:space="0" w:color="auto"/>
            <w:left w:val="none" w:sz="0" w:space="0" w:color="auto"/>
            <w:bottom w:val="none" w:sz="0" w:space="0" w:color="auto"/>
            <w:right w:val="none" w:sz="0" w:space="0" w:color="auto"/>
          </w:divBdr>
        </w:div>
        <w:div w:id="1705862173">
          <w:marLeft w:val="0"/>
          <w:marRight w:val="0"/>
          <w:marTop w:val="0"/>
          <w:marBottom w:val="0"/>
          <w:divBdr>
            <w:top w:val="none" w:sz="0" w:space="0" w:color="auto"/>
            <w:left w:val="none" w:sz="0" w:space="0" w:color="auto"/>
            <w:bottom w:val="none" w:sz="0" w:space="0" w:color="auto"/>
            <w:right w:val="none" w:sz="0" w:space="0" w:color="auto"/>
          </w:divBdr>
        </w:div>
        <w:div w:id="1957902727">
          <w:marLeft w:val="0"/>
          <w:marRight w:val="0"/>
          <w:marTop w:val="0"/>
          <w:marBottom w:val="0"/>
          <w:divBdr>
            <w:top w:val="none" w:sz="0" w:space="0" w:color="auto"/>
            <w:left w:val="none" w:sz="0" w:space="0" w:color="auto"/>
            <w:bottom w:val="none" w:sz="0" w:space="0" w:color="auto"/>
            <w:right w:val="none" w:sz="0" w:space="0" w:color="auto"/>
          </w:divBdr>
        </w:div>
        <w:div w:id="2136409011">
          <w:marLeft w:val="0"/>
          <w:marRight w:val="0"/>
          <w:marTop w:val="0"/>
          <w:marBottom w:val="0"/>
          <w:divBdr>
            <w:top w:val="none" w:sz="0" w:space="0" w:color="auto"/>
            <w:left w:val="none" w:sz="0" w:space="0" w:color="auto"/>
            <w:bottom w:val="none" w:sz="0" w:space="0" w:color="auto"/>
            <w:right w:val="none" w:sz="0" w:space="0" w:color="auto"/>
          </w:divBdr>
        </w:div>
      </w:divsChild>
    </w:div>
    <w:div w:id="1606965442">
      <w:bodyDiv w:val="1"/>
      <w:marLeft w:val="0"/>
      <w:marRight w:val="0"/>
      <w:marTop w:val="0"/>
      <w:marBottom w:val="0"/>
      <w:divBdr>
        <w:top w:val="none" w:sz="0" w:space="0" w:color="auto"/>
        <w:left w:val="none" w:sz="0" w:space="0" w:color="auto"/>
        <w:bottom w:val="none" w:sz="0" w:space="0" w:color="auto"/>
        <w:right w:val="none" w:sz="0" w:space="0" w:color="auto"/>
      </w:divBdr>
    </w:div>
    <w:div w:id="1624264774">
      <w:bodyDiv w:val="1"/>
      <w:marLeft w:val="0"/>
      <w:marRight w:val="0"/>
      <w:marTop w:val="0"/>
      <w:marBottom w:val="0"/>
      <w:divBdr>
        <w:top w:val="none" w:sz="0" w:space="0" w:color="auto"/>
        <w:left w:val="none" w:sz="0" w:space="0" w:color="auto"/>
        <w:bottom w:val="none" w:sz="0" w:space="0" w:color="auto"/>
        <w:right w:val="none" w:sz="0" w:space="0" w:color="auto"/>
      </w:divBdr>
    </w:div>
    <w:div w:id="1657030524">
      <w:bodyDiv w:val="1"/>
      <w:marLeft w:val="0"/>
      <w:marRight w:val="0"/>
      <w:marTop w:val="0"/>
      <w:marBottom w:val="0"/>
      <w:divBdr>
        <w:top w:val="none" w:sz="0" w:space="0" w:color="auto"/>
        <w:left w:val="none" w:sz="0" w:space="0" w:color="auto"/>
        <w:bottom w:val="none" w:sz="0" w:space="0" w:color="auto"/>
        <w:right w:val="none" w:sz="0" w:space="0" w:color="auto"/>
      </w:divBdr>
    </w:div>
    <w:div w:id="1806658060">
      <w:bodyDiv w:val="1"/>
      <w:marLeft w:val="0"/>
      <w:marRight w:val="0"/>
      <w:marTop w:val="0"/>
      <w:marBottom w:val="0"/>
      <w:divBdr>
        <w:top w:val="none" w:sz="0" w:space="0" w:color="auto"/>
        <w:left w:val="none" w:sz="0" w:space="0" w:color="auto"/>
        <w:bottom w:val="none" w:sz="0" w:space="0" w:color="auto"/>
        <w:right w:val="none" w:sz="0" w:space="0" w:color="auto"/>
      </w:divBdr>
      <w:divsChild>
        <w:div w:id="987245470">
          <w:marLeft w:val="0"/>
          <w:marRight w:val="0"/>
          <w:marTop w:val="0"/>
          <w:marBottom w:val="0"/>
          <w:divBdr>
            <w:top w:val="none" w:sz="0" w:space="0" w:color="auto"/>
            <w:left w:val="none" w:sz="0" w:space="0" w:color="auto"/>
            <w:bottom w:val="none" w:sz="0" w:space="0" w:color="auto"/>
            <w:right w:val="none" w:sz="0" w:space="0" w:color="auto"/>
          </w:divBdr>
          <w:divsChild>
            <w:div w:id="669210285">
              <w:marLeft w:val="0"/>
              <w:marRight w:val="0"/>
              <w:marTop w:val="0"/>
              <w:marBottom w:val="0"/>
              <w:divBdr>
                <w:top w:val="none" w:sz="0" w:space="0" w:color="auto"/>
                <w:left w:val="none" w:sz="0" w:space="0" w:color="auto"/>
                <w:bottom w:val="none" w:sz="0" w:space="0" w:color="auto"/>
                <w:right w:val="none" w:sz="0" w:space="0" w:color="auto"/>
              </w:divBdr>
              <w:divsChild>
                <w:div w:id="44893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549407">
      <w:bodyDiv w:val="1"/>
      <w:marLeft w:val="0"/>
      <w:marRight w:val="0"/>
      <w:marTop w:val="0"/>
      <w:marBottom w:val="0"/>
      <w:divBdr>
        <w:top w:val="none" w:sz="0" w:space="0" w:color="auto"/>
        <w:left w:val="none" w:sz="0" w:space="0" w:color="auto"/>
        <w:bottom w:val="none" w:sz="0" w:space="0" w:color="auto"/>
        <w:right w:val="none" w:sz="0" w:space="0" w:color="auto"/>
      </w:divBdr>
      <w:divsChild>
        <w:div w:id="651177509">
          <w:marLeft w:val="0"/>
          <w:marRight w:val="0"/>
          <w:marTop w:val="0"/>
          <w:marBottom w:val="0"/>
          <w:divBdr>
            <w:top w:val="none" w:sz="0" w:space="0" w:color="auto"/>
            <w:left w:val="none" w:sz="0" w:space="0" w:color="auto"/>
            <w:bottom w:val="none" w:sz="0" w:space="0" w:color="auto"/>
            <w:right w:val="none" w:sz="0" w:space="0" w:color="auto"/>
          </w:divBdr>
        </w:div>
        <w:div w:id="821657375">
          <w:marLeft w:val="0"/>
          <w:marRight w:val="0"/>
          <w:marTop w:val="0"/>
          <w:marBottom w:val="0"/>
          <w:divBdr>
            <w:top w:val="none" w:sz="0" w:space="0" w:color="auto"/>
            <w:left w:val="none" w:sz="0" w:space="0" w:color="auto"/>
            <w:bottom w:val="none" w:sz="0" w:space="0" w:color="auto"/>
            <w:right w:val="none" w:sz="0" w:space="0" w:color="auto"/>
          </w:divBdr>
        </w:div>
        <w:div w:id="1230574915">
          <w:marLeft w:val="0"/>
          <w:marRight w:val="0"/>
          <w:marTop w:val="0"/>
          <w:marBottom w:val="0"/>
          <w:divBdr>
            <w:top w:val="none" w:sz="0" w:space="0" w:color="auto"/>
            <w:left w:val="none" w:sz="0" w:space="0" w:color="auto"/>
            <w:bottom w:val="none" w:sz="0" w:space="0" w:color="auto"/>
            <w:right w:val="none" w:sz="0" w:space="0" w:color="auto"/>
          </w:divBdr>
        </w:div>
        <w:div w:id="1654874078">
          <w:marLeft w:val="0"/>
          <w:marRight w:val="0"/>
          <w:marTop w:val="0"/>
          <w:marBottom w:val="0"/>
          <w:divBdr>
            <w:top w:val="none" w:sz="0" w:space="0" w:color="auto"/>
            <w:left w:val="none" w:sz="0" w:space="0" w:color="auto"/>
            <w:bottom w:val="none" w:sz="0" w:space="0" w:color="auto"/>
            <w:right w:val="none" w:sz="0" w:space="0" w:color="auto"/>
          </w:divBdr>
        </w:div>
        <w:div w:id="1805930334">
          <w:marLeft w:val="0"/>
          <w:marRight w:val="0"/>
          <w:marTop w:val="0"/>
          <w:marBottom w:val="0"/>
          <w:divBdr>
            <w:top w:val="none" w:sz="0" w:space="0" w:color="auto"/>
            <w:left w:val="none" w:sz="0" w:space="0" w:color="auto"/>
            <w:bottom w:val="none" w:sz="0" w:space="0" w:color="auto"/>
            <w:right w:val="none" w:sz="0" w:space="0" w:color="auto"/>
          </w:divBdr>
        </w:div>
        <w:div w:id="1895654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mailto:jillmontaquila@westat.com"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christineborger@westa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mailto:danielle.berman@fns.usda.gov" TargetMode="External"/><Relationship Id="rId10" Type="http://schemas.openxmlformats.org/officeDocument/2006/relationships/header" Target="header1.xml"/><Relationship Id="rId19" Type="http://schemas.openxmlformats.org/officeDocument/2006/relationships/hyperlink" Target="mailto:nancyweinfield@westat.co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mailto:crystalmacallum@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7F03F-0439-435F-9421-91728D910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4095</Words>
  <Characters>23347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27388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Allers</dc:creator>
  <cp:lastModifiedBy>SYSTEM</cp:lastModifiedBy>
  <cp:revision>2</cp:revision>
  <cp:lastPrinted>2018-10-15T15:15:00Z</cp:lastPrinted>
  <dcterms:created xsi:type="dcterms:W3CDTF">2018-10-15T15:38:00Z</dcterms:created>
  <dcterms:modified xsi:type="dcterms:W3CDTF">2018-10-15T15:38:00Z</dcterms:modified>
</cp:coreProperties>
</file>