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B26EF" w14:textId="77777777" w:rsidR="00943F74" w:rsidRPr="00AE0AB8" w:rsidRDefault="00943F74" w:rsidP="00F8119E">
      <w:pPr>
        <w:jc w:val="center"/>
        <w:rPr>
          <w:rFonts w:asciiTheme="minorHAnsi" w:hAnsiTheme="minorHAnsi"/>
          <w:b/>
          <w:bCs/>
          <w:sz w:val="28"/>
          <w:szCs w:val="28"/>
        </w:rPr>
      </w:pPr>
      <w:bookmarkStart w:id="0" w:name="_GoBack"/>
      <w:bookmarkEnd w:id="0"/>
    </w:p>
    <w:p w14:paraId="14E6249D" w14:textId="30716D0F" w:rsidR="0085681F" w:rsidRPr="00AE0AB8" w:rsidRDefault="00F8119E" w:rsidP="00AE0AB8">
      <w:pPr>
        <w:jc w:val="center"/>
        <w:rPr>
          <w:rFonts w:asciiTheme="minorHAnsi" w:hAnsiTheme="minorHAnsi"/>
          <w:b/>
          <w:bCs/>
          <w:sz w:val="28"/>
          <w:szCs w:val="28"/>
        </w:rPr>
      </w:pPr>
      <w:r w:rsidRPr="00AE0AB8">
        <w:rPr>
          <w:rFonts w:asciiTheme="minorHAnsi" w:hAnsiTheme="minorHAnsi"/>
          <w:b/>
          <w:bCs/>
          <w:sz w:val="28"/>
          <w:szCs w:val="28"/>
        </w:rPr>
        <w:t xml:space="preserve">Supporting Statement </w:t>
      </w:r>
      <w:r w:rsidR="0085681F" w:rsidRPr="00AE0AB8">
        <w:rPr>
          <w:rFonts w:asciiTheme="minorHAnsi" w:hAnsiTheme="minorHAnsi"/>
          <w:b/>
          <w:bCs/>
          <w:sz w:val="28"/>
          <w:szCs w:val="28"/>
        </w:rPr>
        <w:t>A</w:t>
      </w:r>
    </w:p>
    <w:p w14:paraId="05E980BB" w14:textId="1C1CAB69" w:rsidR="0085681F" w:rsidRDefault="00AE0AB8" w:rsidP="00AE0AB8">
      <w:pPr>
        <w:jc w:val="center"/>
        <w:rPr>
          <w:rFonts w:asciiTheme="minorHAnsi" w:hAnsiTheme="minorHAnsi"/>
          <w:b/>
          <w:bCs/>
          <w:sz w:val="28"/>
          <w:szCs w:val="28"/>
        </w:rPr>
      </w:pPr>
      <w:r>
        <w:rPr>
          <w:rFonts w:asciiTheme="minorHAnsi" w:hAnsiTheme="minorHAnsi"/>
          <w:b/>
          <w:bCs/>
          <w:sz w:val="28"/>
          <w:szCs w:val="28"/>
        </w:rPr>
        <w:t>“USPTO</w:t>
      </w:r>
      <w:r w:rsidR="00587711" w:rsidRPr="00AE0AB8">
        <w:rPr>
          <w:rFonts w:asciiTheme="minorHAnsi" w:hAnsiTheme="minorHAnsi"/>
          <w:b/>
          <w:bCs/>
          <w:sz w:val="28"/>
          <w:szCs w:val="28"/>
        </w:rPr>
        <w:t xml:space="preserve"> Web</w:t>
      </w:r>
      <w:r w:rsidR="002957D9" w:rsidRPr="00AE0AB8">
        <w:rPr>
          <w:rFonts w:asciiTheme="minorHAnsi" w:hAnsiTheme="minorHAnsi"/>
          <w:b/>
          <w:bCs/>
          <w:sz w:val="28"/>
          <w:szCs w:val="28"/>
        </w:rPr>
        <w:t>s</w:t>
      </w:r>
      <w:r w:rsidR="00587711" w:rsidRPr="00AE0AB8">
        <w:rPr>
          <w:rFonts w:asciiTheme="minorHAnsi" w:hAnsiTheme="minorHAnsi"/>
          <w:b/>
          <w:bCs/>
          <w:sz w:val="28"/>
          <w:szCs w:val="28"/>
        </w:rPr>
        <w:t>ite</w:t>
      </w:r>
      <w:r w:rsidR="00EF177F">
        <w:rPr>
          <w:rFonts w:asciiTheme="minorHAnsi" w:hAnsiTheme="minorHAnsi"/>
          <w:b/>
          <w:bCs/>
          <w:sz w:val="28"/>
          <w:szCs w:val="28"/>
        </w:rPr>
        <w:t>s</w:t>
      </w:r>
      <w:r w:rsidR="00587711" w:rsidRPr="00AE0AB8">
        <w:rPr>
          <w:rFonts w:asciiTheme="minorHAnsi" w:hAnsiTheme="minorHAnsi"/>
          <w:b/>
          <w:bCs/>
          <w:sz w:val="28"/>
          <w:szCs w:val="28"/>
        </w:rPr>
        <w:t xml:space="preserve"> Customer Satisfaction Survey</w:t>
      </w:r>
      <w:r>
        <w:rPr>
          <w:rFonts w:asciiTheme="minorHAnsi" w:hAnsiTheme="minorHAnsi"/>
          <w:b/>
          <w:bCs/>
          <w:sz w:val="28"/>
          <w:szCs w:val="28"/>
        </w:rPr>
        <w:t>s”</w:t>
      </w:r>
      <w:r w:rsidR="00587711" w:rsidRPr="00AE0AB8">
        <w:rPr>
          <w:rFonts w:asciiTheme="minorHAnsi" w:hAnsiTheme="minorHAnsi"/>
          <w:b/>
          <w:bCs/>
          <w:sz w:val="28"/>
          <w:szCs w:val="28"/>
        </w:rPr>
        <w:t xml:space="preserve"> </w:t>
      </w:r>
    </w:p>
    <w:p w14:paraId="7D33735C" w14:textId="77777777" w:rsidR="00AE0AB8" w:rsidRDefault="00AE0AB8" w:rsidP="00AE0AB8">
      <w:pPr>
        <w:jc w:val="center"/>
        <w:rPr>
          <w:rFonts w:asciiTheme="minorHAnsi" w:hAnsiTheme="minorHAnsi"/>
          <w:b/>
          <w:bCs/>
          <w:sz w:val="28"/>
          <w:szCs w:val="28"/>
        </w:rPr>
      </w:pPr>
      <w:r>
        <w:rPr>
          <w:rFonts w:asciiTheme="minorHAnsi" w:hAnsiTheme="minorHAnsi"/>
          <w:b/>
          <w:bCs/>
          <w:sz w:val="28"/>
          <w:szCs w:val="28"/>
        </w:rPr>
        <w:t>United States Patent and Trademark Office</w:t>
      </w:r>
    </w:p>
    <w:p w14:paraId="43D21516" w14:textId="043B994A" w:rsidR="00AE0AB8" w:rsidRPr="00AE0AB8" w:rsidRDefault="00AE0AB8" w:rsidP="00AE0AB8">
      <w:pPr>
        <w:jc w:val="center"/>
        <w:rPr>
          <w:rFonts w:asciiTheme="minorHAnsi" w:hAnsiTheme="minorHAnsi"/>
          <w:b/>
          <w:bCs/>
          <w:sz w:val="28"/>
          <w:szCs w:val="28"/>
        </w:rPr>
      </w:pPr>
      <w:r>
        <w:rPr>
          <w:rFonts w:asciiTheme="minorHAnsi" w:hAnsiTheme="minorHAnsi"/>
          <w:b/>
          <w:bCs/>
          <w:sz w:val="28"/>
          <w:szCs w:val="28"/>
        </w:rPr>
        <w:t xml:space="preserve">Office of the Chief Information Officer </w:t>
      </w:r>
    </w:p>
    <w:p w14:paraId="69FC3583" w14:textId="6AD842CB" w:rsidR="0085681F" w:rsidRPr="00AE0AB8" w:rsidRDefault="00AE0AB8" w:rsidP="0085681F">
      <w:pPr>
        <w:jc w:val="center"/>
        <w:rPr>
          <w:rFonts w:asciiTheme="minorHAnsi" w:hAnsiTheme="minorHAnsi"/>
          <w:b/>
          <w:bCs/>
          <w:sz w:val="28"/>
          <w:szCs w:val="28"/>
        </w:rPr>
      </w:pPr>
      <w:r>
        <w:rPr>
          <w:rFonts w:asciiTheme="minorHAnsi" w:hAnsiTheme="minorHAnsi"/>
          <w:b/>
          <w:bCs/>
          <w:sz w:val="28"/>
          <w:szCs w:val="28"/>
        </w:rPr>
        <w:t>OMB Control No.</w:t>
      </w:r>
      <w:r w:rsidR="0085681F" w:rsidRPr="00AE0AB8">
        <w:rPr>
          <w:rFonts w:asciiTheme="minorHAnsi" w:hAnsiTheme="minorHAnsi"/>
          <w:b/>
          <w:bCs/>
          <w:sz w:val="28"/>
          <w:szCs w:val="28"/>
        </w:rPr>
        <w:t xml:space="preserve"> </w:t>
      </w:r>
      <w:r w:rsidRPr="00AE0AB8">
        <w:rPr>
          <w:rFonts w:asciiTheme="minorHAnsi" w:hAnsiTheme="minorHAnsi"/>
          <w:b/>
          <w:bCs/>
          <w:sz w:val="28"/>
          <w:szCs w:val="28"/>
        </w:rPr>
        <w:t>0651-</w:t>
      </w:r>
      <w:r w:rsidR="00835E3B">
        <w:rPr>
          <w:rFonts w:asciiTheme="minorHAnsi" w:hAnsiTheme="minorHAnsi"/>
          <w:b/>
          <w:bCs/>
          <w:sz w:val="28"/>
          <w:szCs w:val="28"/>
        </w:rPr>
        <w:t>New</w:t>
      </w:r>
    </w:p>
    <w:p w14:paraId="0D6E0888" w14:textId="77777777" w:rsidR="00F8119E" w:rsidRPr="00AE0AB8"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514A05B9" w14:textId="77777777" w:rsidR="00F8119E" w:rsidRPr="00AE0AB8" w:rsidRDefault="00F8119E" w:rsidP="00C630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540"/>
        <w:rPr>
          <w:rFonts w:asciiTheme="minorHAnsi" w:hAnsiTheme="minorHAnsi"/>
          <w:sz w:val="24"/>
          <w:szCs w:val="24"/>
        </w:rPr>
      </w:pPr>
      <w:r w:rsidRPr="00AE0AB8">
        <w:rPr>
          <w:rFonts w:asciiTheme="minorHAnsi" w:hAnsiTheme="minorHAnsi"/>
          <w:b/>
          <w:bCs/>
          <w:sz w:val="24"/>
          <w:szCs w:val="24"/>
        </w:rPr>
        <w:t>Justification</w:t>
      </w:r>
    </w:p>
    <w:p w14:paraId="1FCA6C84" w14:textId="77777777" w:rsidR="00F8119E" w:rsidRPr="00AE0AB8" w:rsidRDefault="00F8119E" w:rsidP="00F8119E">
      <w:pPr>
        <w:rPr>
          <w:rFonts w:asciiTheme="minorHAnsi" w:hAnsiTheme="minorHAnsi"/>
          <w:sz w:val="24"/>
          <w:szCs w:val="24"/>
        </w:rPr>
      </w:pPr>
    </w:p>
    <w:p w14:paraId="0DDDF6C0" w14:textId="3289F8D3" w:rsidR="00ED6139" w:rsidRPr="00EE39C5" w:rsidRDefault="00C6308B" w:rsidP="00EE39C5">
      <w:pPr>
        <w:pStyle w:val="ListParagraph"/>
        <w:numPr>
          <w:ilvl w:val="0"/>
          <w:numId w:val="27"/>
        </w:numPr>
        <w:jc w:val="both"/>
        <w:rPr>
          <w:rFonts w:asciiTheme="minorHAnsi" w:hAnsiTheme="minorHAnsi"/>
          <w:sz w:val="24"/>
        </w:rPr>
      </w:pPr>
      <w:r w:rsidRPr="00EE39C5">
        <w:rPr>
          <w:rFonts w:asciiTheme="minorHAnsi" w:hAnsiTheme="minorHAnsi"/>
          <w:sz w:val="24"/>
          <w:szCs w:val="24"/>
        </w:rPr>
        <w:t xml:space="preserve"> </w:t>
      </w:r>
      <w:r w:rsidR="00EE39C5" w:rsidRPr="00EE39C5">
        <w:rPr>
          <w:rFonts w:asciiTheme="minorHAnsi" w:hAnsiTheme="minorHAnsi"/>
          <w:sz w:val="24"/>
          <w:szCs w:val="24"/>
        </w:rPr>
        <w:t xml:space="preserve"> </w:t>
      </w:r>
      <w:r w:rsidR="00AE0AB8" w:rsidRPr="00EE39C5">
        <w:rPr>
          <w:rFonts w:asciiTheme="minorHAnsi" w:hAnsiTheme="minorHAnsi"/>
          <w:b/>
          <w:sz w:val="24"/>
          <w:szCs w:val="24"/>
        </w:rPr>
        <w:t>Circumstances Making the Collection of Information Necessary</w:t>
      </w:r>
    </w:p>
    <w:p w14:paraId="2184E0CA" w14:textId="77777777" w:rsidR="00AE0AB8" w:rsidRDefault="00AE0AB8" w:rsidP="00C6308B">
      <w:pPr>
        <w:ind w:left="-180"/>
        <w:rPr>
          <w:rFonts w:asciiTheme="minorHAnsi" w:hAnsiTheme="minorHAnsi"/>
          <w:sz w:val="24"/>
        </w:rPr>
      </w:pPr>
    </w:p>
    <w:p w14:paraId="174FE132" w14:textId="17C12CD5" w:rsidR="000C4E4E" w:rsidRPr="00AE0AB8" w:rsidRDefault="00AE0AB8" w:rsidP="00C6308B">
      <w:pPr>
        <w:ind w:left="-180"/>
        <w:rPr>
          <w:rFonts w:asciiTheme="minorHAnsi" w:hAnsiTheme="minorHAnsi"/>
          <w:sz w:val="24"/>
        </w:rPr>
      </w:pPr>
      <w:r>
        <w:rPr>
          <w:rFonts w:asciiTheme="minorHAnsi" w:hAnsiTheme="minorHAnsi"/>
          <w:sz w:val="24"/>
        </w:rPr>
        <w:t>The United States Patent and Trademark Office (USPTO) is requesting to obtain a</w:t>
      </w:r>
      <w:r w:rsidR="00ED6139" w:rsidRPr="00AE0AB8">
        <w:rPr>
          <w:rFonts w:asciiTheme="minorHAnsi" w:hAnsiTheme="minorHAnsi"/>
          <w:sz w:val="24"/>
        </w:rPr>
        <w:t xml:space="preserve"> generic clearance to conduct customer satisfaction </w:t>
      </w:r>
      <w:r w:rsidR="001541EF" w:rsidRPr="00AE0AB8">
        <w:rPr>
          <w:rFonts w:asciiTheme="minorHAnsi" w:hAnsiTheme="minorHAnsi"/>
          <w:sz w:val="24"/>
        </w:rPr>
        <w:t>surveys</w:t>
      </w:r>
      <w:r w:rsidR="00A73D4E" w:rsidRPr="00AE0AB8">
        <w:rPr>
          <w:rFonts w:asciiTheme="minorHAnsi" w:hAnsiTheme="minorHAnsi"/>
          <w:sz w:val="24"/>
        </w:rPr>
        <w:t xml:space="preserve"> </w:t>
      </w:r>
      <w:r>
        <w:rPr>
          <w:rFonts w:asciiTheme="minorHAnsi" w:hAnsiTheme="minorHAnsi"/>
          <w:sz w:val="24"/>
        </w:rPr>
        <w:t>on its website</w:t>
      </w:r>
      <w:r w:rsidR="00EF177F">
        <w:rPr>
          <w:rFonts w:asciiTheme="minorHAnsi" w:hAnsiTheme="minorHAnsi"/>
          <w:sz w:val="24"/>
        </w:rPr>
        <w:t>s</w:t>
      </w:r>
      <w:r w:rsidR="002957D9" w:rsidRPr="00AE0AB8">
        <w:rPr>
          <w:rFonts w:asciiTheme="minorHAnsi" w:hAnsiTheme="minorHAnsi"/>
          <w:sz w:val="24"/>
        </w:rPr>
        <w:t>. The contractor</w:t>
      </w:r>
      <w:r>
        <w:rPr>
          <w:rFonts w:asciiTheme="minorHAnsi" w:hAnsiTheme="minorHAnsi"/>
          <w:sz w:val="24"/>
        </w:rPr>
        <w:t>,</w:t>
      </w:r>
      <w:r w:rsidR="002957D9" w:rsidRPr="00AE0AB8">
        <w:rPr>
          <w:rFonts w:asciiTheme="minorHAnsi" w:hAnsiTheme="minorHAnsi"/>
          <w:sz w:val="24"/>
        </w:rPr>
        <w:t xml:space="preserve"> </w:t>
      </w:r>
      <w:r w:rsidR="00615683" w:rsidRPr="00AE0AB8">
        <w:rPr>
          <w:rFonts w:asciiTheme="minorHAnsi" w:hAnsiTheme="minorHAnsi"/>
          <w:sz w:val="24"/>
        </w:rPr>
        <w:t>ForeSee</w:t>
      </w:r>
      <w:r w:rsidR="002957D9" w:rsidRPr="00AE0AB8">
        <w:rPr>
          <w:rFonts w:asciiTheme="minorHAnsi" w:hAnsiTheme="minorHAnsi"/>
          <w:sz w:val="24"/>
        </w:rPr>
        <w:t xml:space="preserve">, is using a derivative of the ACSI methodology called Customer Experience Analytics or CXA </w:t>
      </w:r>
      <w:r w:rsidR="008346A6" w:rsidRPr="00AE0AB8">
        <w:rPr>
          <w:rFonts w:asciiTheme="minorHAnsi" w:hAnsiTheme="minorHAnsi"/>
          <w:sz w:val="24"/>
        </w:rPr>
        <w:t xml:space="preserve">[see </w:t>
      </w:r>
      <w:r w:rsidR="006213CE" w:rsidRPr="00AE0AB8">
        <w:rPr>
          <w:rFonts w:asciiTheme="minorHAnsi" w:hAnsiTheme="minorHAnsi"/>
          <w:sz w:val="24"/>
        </w:rPr>
        <w:t>supplementary documents</w:t>
      </w:r>
      <w:r w:rsidR="002957D9" w:rsidRPr="00AE0AB8">
        <w:rPr>
          <w:rFonts w:asciiTheme="minorHAnsi" w:hAnsiTheme="minorHAnsi"/>
          <w:sz w:val="24"/>
        </w:rPr>
        <w:t xml:space="preserve"> The </w:t>
      </w:r>
      <w:r w:rsidR="00615683" w:rsidRPr="00AE0AB8">
        <w:rPr>
          <w:rFonts w:asciiTheme="minorHAnsi" w:hAnsiTheme="minorHAnsi"/>
          <w:sz w:val="24"/>
        </w:rPr>
        <w:t>ForeSee</w:t>
      </w:r>
      <w:r w:rsidR="002957D9" w:rsidRPr="00AE0AB8">
        <w:rPr>
          <w:rFonts w:asciiTheme="minorHAnsi" w:hAnsiTheme="minorHAnsi"/>
          <w:sz w:val="24"/>
        </w:rPr>
        <w:t xml:space="preserve"> CXA Methodology: White Paper</w:t>
      </w:r>
      <w:r w:rsidR="008346A6" w:rsidRPr="00AE0AB8">
        <w:rPr>
          <w:rFonts w:asciiTheme="minorHAnsi" w:hAnsiTheme="minorHAnsi"/>
          <w:sz w:val="24"/>
        </w:rPr>
        <w:t>]</w:t>
      </w:r>
      <w:r w:rsidR="00ED6139" w:rsidRPr="00AE0AB8">
        <w:rPr>
          <w:rFonts w:asciiTheme="minorHAnsi" w:hAnsiTheme="minorHAnsi"/>
          <w:sz w:val="24"/>
        </w:rPr>
        <w:t xml:space="preserve">. </w:t>
      </w:r>
      <w:r>
        <w:rPr>
          <w:rFonts w:asciiTheme="minorHAnsi" w:hAnsiTheme="minorHAnsi"/>
          <w:sz w:val="24"/>
        </w:rPr>
        <w:t>This collection will allow for</w:t>
      </w:r>
      <w:r w:rsidR="006213CE" w:rsidRPr="00AE0AB8">
        <w:rPr>
          <w:rFonts w:asciiTheme="minorHAnsi" w:hAnsiTheme="minorHAnsi"/>
          <w:sz w:val="24"/>
        </w:rPr>
        <w:t xml:space="preserve"> c</w:t>
      </w:r>
      <w:r w:rsidR="00ED6139" w:rsidRPr="00AE0AB8">
        <w:rPr>
          <w:rFonts w:asciiTheme="minorHAnsi" w:hAnsiTheme="minorHAnsi"/>
          <w:sz w:val="24"/>
        </w:rPr>
        <w:t>ontinue</w:t>
      </w:r>
      <w:r w:rsidR="006213CE" w:rsidRPr="00AE0AB8">
        <w:rPr>
          <w:rFonts w:asciiTheme="minorHAnsi" w:hAnsiTheme="minorHAnsi"/>
          <w:sz w:val="24"/>
        </w:rPr>
        <w:t>d</w:t>
      </w:r>
      <w:r w:rsidR="00ED6139" w:rsidRPr="00AE0AB8">
        <w:rPr>
          <w:rFonts w:asciiTheme="minorHAnsi" w:hAnsiTheme="minorHAnsi"/>
          <w:sz w:val="24"/>
        </w:rPr>
        <w:t xml:space="preserve"> use </w:t>
      </w:r>
      <w:r w:rsidR="006213CE" w:rsidRPr="00AE0AB8">
        <w:rPr>
          <w:rFonts w:asciiTheme="minorHAnsi" w:hAnsiTheme="minorHAnsi"/>
          <w:sz w:val="24"/>
        </w:rPr>
        <w:t xml:space="preserve">of </w:t>
      </w:r>
      <w:r w:rsidR="00ED6139" w:rsidRPr="00AE0AB8">
        <w:rPr>
          <w:rFonts w:asciiTheme="minorHAnsi" w:hAnsiTheme="minorHAnsi"/>
          <w:sz w:val="24"/>
        </w:rPr>
        <w:t>a data-driven</w:t>
      </w:r>
      <w:r w:rsidR="00C37357" w:rsidRPr="00AE0AB8">
        <w:rPr>
          <w:rFonts w:asciiTheme="minorHAnsi" w:hAnsiTheme="minorHAnsi"/>
          <w:sz w:val="24"/>
        </w:rPr>
        <w:t xml:space="preserve"> and </w:t>
      </w:r>
      <w:r w:rsidR="00EE39C5">
        <w:rPr>
          <w:rFonts w:asciiTheme="minorHAnsi" w:hAnsiTheme="minorHAnsi"/>
          <w:sz w:val="24"/>
        </w:rPr>
        <w:t xml:space="preserve">a </w:t>
      </w:r>
      <w:r w:rsidR="00C37357" w:rsidRPr="00AE0AB8">
        <w:rPr>
          <w:rFonts w:asciiTheme="minorHAnsi" w:hAnsiTheme="minorHAnsi"/>
          <w:sz w:val="24"/>
        </w:rPr>
        <w:t>statistically valid</w:t>
      </w:r>
      <w:r w:rsidR="00ED6139" w:rsidRPr="00AE0AB8">
        <w:rPr>
          <w:rFonts w:asciiTheme="minorHAnsi" w:hAnsiTheme="minorHAnsi"/>
          <w:sz w:val="24"/>
        </w:rPr>
        <w:t xml:space="preserve"> approach to understanding customer satisfaction with </w:t>
      </w:r>
      <w:r w:rsidR="00F13268">
        <w:rPr>
          <w:rFonts w:asciiTheme="minorHAnsi" w:hAnsiTheme="minorHAnsi"/>
          <w:sz w:val="24"/>
        </w:rPr>
        <w:t>A</w:t>
      </w:r>
      <w:r w:rsidR="00ED6139" w:rsidRPr="00AE0AB8">
        <w:rPr>
          <w:rFonts w:asciiTheme="minorHAnsi" w:hAnsiTheme="minorHAnsi"/>
          <w:sz w:val="24"/>
        </w:rPr>
        <w:t xml:space="preserve">gency </w:t>
      </w:r>
      <w:r w:rsidR="00C37357" w:rsidRPr="00AE0AB8">
        <w:rPr>
          <w:rFonts w:asciiTheme="minorHAnsi" w:hAnsiTheme="minorHAnsi"/>
          <w:sz w:val="24"/>
        </w:rPr>
        <w:t>website</w:t>
      </w:r>
      <w:r w:rsidR="00F13268">
        <w:rPr>
          <w:rFonts w:asciiTheme="minorHAnsi" w:hAnsiTheme="minorHAnsi"/>
          <w:sz w:val="24"/>
        </w:rPr>
        <w:t>s</w:t>
      </w:r>
      <w:r w:rsidR="00C37357" w:rsidRPr="00AE0AB8">
        <w:rPr>
          <w:rFonts w:asciiTheme="minorHAnsi" w:hAnsiTheme="minorHAnsi"/>
          <w:sz w:val="24"/>
        </w:rPr>
        <w:t>.</w:t>
      </w:r>
      <w:r w:rsidR="000C4E4E" w:rsidRPr="00AE0AB8">
        <w:rPr>
          <w:rFonts w:asciiTheme="minorHAnsi" w:hAnsiTheme="minorHAnsi"/>
          <w:sz w:val="24"/>
        </w:rPr>
        <w:t xml:space="preserve"> The objective is to help </w:t>
      </w:r>
      <w:r w:rsidR="00F13268">
        <w:rPr>
          <w:rFonts w:asciiTheme="minorHAnsi" w:hAnsiTheme="minorHAnsi"/>
          <w:sz w:val="24"/>
        </w:rPr>
        <w:t>the USPTO</w:t>
      </w:r>
      <w:r w:rsidR="000C4E4E" w:rsidRPr="00AE0AB8">
        <w:rPr>
          <w:rFonts w:asciiTheme="minorHAnsi" w:hAnsiTheme="minorHAnsi"/>
          <w:sz w:val="24"/>
        </w:rPr>
        <w:t xml:space="preserve"> become more citizen-centric and achieve higher levels of </w:t>
      </w:r>
      <w:r w:rsidR="00EE39C5">
        <w:rPr>
          <w:rFonts w:asciiTheme="minorHAnsi" w:hAnsiTheme="minorHAnsi"/>
          <w:sz w:val="24"/>
        </w:rPr>
        <w:t>public</w:t>
      </w:r>
      <w:r w:rsidR="000C4E4E" w:rsidRPr="00AE0AB8">
        <w:rPr>
          <w:rFonts w:asciiTheme="minorHAnsi" w:hAnsiTheme="minorHAnsi"/>
          <w:sz w:val="24"/>
        </w:rPr>
        <w:t xml:space="preserve"> trust and confidence.</w:t>
      </w:r>
    </w:p>
    <w:p w14:paraId="6E7EEC8A" w14:textId="77777777" w:rsidR="000C4E4E" w:rsidRPr="00AE0AB8" w:rsidRDefault="000C4E4E" w:rsidP="00C6308B">
      <w:pPr>
        <w:ind w:left="-180"/>
        <w:jc w:val="both"/>
        <w:rPr>
          <w:rFonts w:asciiTheme="minorHAnsi" w:hAnsiTheme="minorHAnsi"/>
          <w:sz w:val="24"/>
        </w:rPr>
      </w:pPr>
    </w:p>
    <w:p w14:paraId="16455EE0" w14:textId="08F41845" w:rsidR="000C4E4E" w:rsidRPr="00AE0AB8" w:rsidRDefault="0003096B" w:rsidP="00C6308B">
      <w:pPr>
        <w:ind w:left="-180"/>
        <w:rPr>
          <w:rFonts w:asciiTheme="minorHAnsi" w:hAnsiTheme="minorHAnsi"/>
          <w:sz w:val="24"/>
        </w:rPr>
      </w:pPr>
      <w:r w:rsidRPr="00AE0AB8">
        <w:rPr>
          <w:rFonts w:asciiTheme="minorHAnsi" w:hAnsiTheme="minorHAnsi"/>
          <w:sz w:val="24"/>
        </w:rPr>
        <w:t>The primary</w:t>
      </w:r>
      <w:r w:rsidR="000C4E4E" w:rsidRPr="00AE0AB8">
        <w:rPr>
          <w:rFonts w:asciiTheme="minorHAnsi" w:hAnsiTheme="minorHAnsi"/>
          <w:sz w:val="24"/>
        </w:rPr>
        <w:t xml:space="preserve"> law that supports these efforts is the Government Performance and Results Act of 1993, 31 U.S.C. 1116, which has as one of its purposes “improve Federal programs effectiveness and public accountability by promoting a new focus on results, service qualit</w:t>
      </w:r>
      <w:r w:rsidR="00EE39C5">
        <w:rPr>
          <w:rFonts w:asciiTheme="minorHAnsi" w:hAnsiTheme="minorHAnsi"/>
          <w:sz w:val="24"/>
        </w:rPr>
        <w:t xml:space="preserve">y, and customer satisfaction.” </w:t>
      </w:r>
      <w:r w:rsidR="000C4E4E" w:rsidRPr="00AE0AB8">
        <w:rPr>
          <w:rFonts w:asciiTheme="minorHAnsi" w:hAnsiTheme="minorHAnsi"/>
          <w:sz w:val="24"/>
        </w:rPr>
        <w:t>Such an initiative is also widely supported by longstanding administrative policy, as expressed in Executive Orders</w:t>
      </w:r>
      <w:r w:rsidRPr="00AE0AB8">
        <w:rPr>
          <w:rFonts w:asciiTheme="minorHAnsi" w:hAnsiTheme="minorHAnsi"/>
          <w:sz w:val="24"/>
        </w:rPr>
        <w:t xml:space="preserve"> and Laws</w:t>
      </w:r>
      <w:r w:rsidR="000C4E4E" w:rsidRPr="00AE0AB8">
        <w:rPr>
          <w:rFonts w:asciiTheme="minorHAnsi" w:hAnsiTheme="minorHAnsi"/>
          <w:sz w:val="24"/>
        </w:rPr>
        <w:t>, described below.</w:t>
      </w:r>
    </w:p>
    <w:p w14:paraId="7E556AD9" w14:textId="77777777" w:rsidR="001A0333" w:rsidRPr="00AE0AB8" w:rsidRDefault="001A0333" w:rsidP="00C6308B">
      <w:pPr>
        <w:ind w:left="-180"/>
        <w:rPr>
          <w:rFonts w:asciiTheme="minorHAnsi" w:hAnsiTheme="minorHAnsi"/>
          <w:sz w:val="24"/>
        </w:rPr>
      </w:pPr>
    </w:p>
    <w:p w14:paraId="36DB1475" w14:textId="030CB4E4" w:rsidR="001A46DF" w:rsidRPr="00AE0AB8" w:rsidRDefault="001A0333" w:rsidP="00EF177F">
      <w:pPr>
        <w:ind w:left="-180"/>
        <w:rPr>
          <w:rFonts w:asciiTheme="minorHAnsi" w:hAnsiTheme="minorHAnsi"/>
          <w:sz w:val="24"/>
        </w:rPr>
      </w:pPr>
      <w:r w:rsidRPr="00AE0AB8">
        <w:rPr>
          <w:rFonts w:asciiTheme="minorHAnsi" w:hAnsiTheme="minorHAnsi"/>
          <w:sz w:val="24"/>
        </w:rPr>
        <w:t xml:space="preserve">Official policy on customer service standards is contained in </w:t>
      </w:r>
      <w:hyperlink r:id="rId12" w:history="1">
        <w:r w:rsidRPr="00AE0AB8">
          <w:rPr>
            <w:rStyle w:val="Hyperlink"/>
            <w:rFonts w:asciiTheme="minorHAnsi" w:hAnsiTheme="minorHAnsi"/>
            <w:color w:val="auto"/>
            <w:sz w:val="24"/>
            <w:u w:val="none"/>
          </w:rPr>
          <w:t>Executive Order 12862, Setting Customer Service Standards</w:t>
        </w:r>
      </w:hyperlink>
      <w:r w:rsidRPr="00AE0AB8">
        <w:rPr>
          <w:rFonts w:asciiTheme="minorHAnsi" w:hAnsiTheme="minorHAnsi"/>
          <w:sz w:val="24"/>
        </w:rPr>
        <w:t>, which establishes that Federal Government agencies should survey customers to determine their level of satisfaction with existing services, measure customer service satisfaction results against service standards, benchmark customer service performance against the best in business, provide customers with choices in both the sources of service and the means of delivery, make complaint systems easily accessible, and provide means to address customer complaints. Agencies are to utilize information about their customer satisfaction results in judging the performance of agency management and in making resource allocations.</w:t>
      </w:r>
    </w:p>
    <w:p w14:paraId="75DE67D5" w14:textId="77777777" w:rsidR="007B2A5B" w:rsidRPr="00AE0AB8" w:rsidRDefault="007B2A5B" w:rsidP="00C6308B">
      <w:pPr>
        <w:ind w:left="-180"/>
        <w:jc w:val="both"/>
        <w:rPr>
          <w:rFonts w:asciiTheme="minorHAnsi" w:hAnsiTheme="minorHAnsi"/>
          <w:sz w:val="24"/>
        </w:rPr>
      </w:pPr>
    </w:p>
    <w:p w14:paraId="70424B0A" w14:textId="6B08D89A" w:rsidR="007B2A5B" w:rsidRPr="00AE0AB8" w:rsidRDefault="007B2A5B" w:rsidP="00C6308B">
      <w:pPr>
        <w:ind w:left="-180"/>
        <w:rPr>
          <w:rFonts w:asciiTheme="minorHAnsi" w:hAnsiTheme="minorHAnsi"/>
          <w:sz w:val="24"/>
        </w:rPr>
      </w:pPr>
      <w:r w:rsidRPr="00AE0AB8">
        <w:rPr>
          <w:rFonts w:asciiTheme="minorHAnsi" w:hAnsiTheme="minorHAnsi"/>
          <w:sz w:val="24"/>
        </w:rPr>
        <w:t>On April 27, 201</w:t>
      </w:r>
      <w:r w:rsidR="00EF177F">
        <w:rPr>
          <w:rFonts w:asciiTheme="minorHAnsi" w:hAnsiTheme="minorHAnsi"/>
          <w:sz w:val="24"/>
        </w:rPr>
        <w:t>1</w:t>
      </w:r>
      <w:r w:rsidRPr="00AE0AB8">
        <w:rPr>
          <w:rFonts w:asciiTheme="minorHAnsi" w:hAnsiTheme="minorHAnsi"/>
          <w:sz w:val="24"/>
        </w:rPr>
        <w:t xml:space="preserve">, </w:t>
      </w:r>
      <w:r w:rsidR="004C5BBA">
        <w:rPr>
          <w:rFonts w:asciiTheme="minorHAnsi" w:hAnsiTheme="minorHAnsi"/>
          <w:sz w:val="24"/>
        </w:rPr>
        <w:t xml:space="preserve">an </w:t>
      </w:r>
      <w:hyperlink r:id="rId13" w:history="1">
        <w:r w:rsidR="00C52ACD" w:rsidRPr="00AE0AB8">
          <w:rPr>
            <w:rStyle w:val="Hyperlink"/>
            <w:rFonts w:asciiTheme="minorHAnsi" w:hAnsiTheme="minorHAnsi"/>
            <w:color w:val="auto"/>
            <w:sz w:val="24"/>
            <w:u w:val="none"/>
          </w:rPr>
          <w:t>Executive Order</w:t>
        </w:r>
        <w:r w:rsidR="004C5BBA">
          <w:rPr>
            <w:rStyle w:val="Hyperlink"/>
            <w:rFonts w:asciiTheme="minorHAnsi" w:hAnsiTheme="minorHAnsi"/>
            <w:color w:val="auto"/>
            <w:sz w:val="24"/>
            <w:u w:val="none"/>
          </w:rPr>
          <w:t xml:space="preserve"> was published (</w:t>
        </w:r>
        <w:r w:rsidR="004C5BBA" w:rsidRPr="004C5BBA">
          <w:rPr>
            <w:rStyle w:val="Hyperlink"/>
            <w:rFonts w:asciiTheme="minorHAnsi" w:hAnsiTheme="minorHAnsi"/>
            <w:color w:val="auto"/>
            <w:sz w:val="24"/>
            <w:u w:val="none"/>
          </w:rPr>
          <w:t>E.O. 13571</w:t>
        </w:r>
        <w:r w:rsidR="004C5BBA">
          <w:rPr>
            <w:rStyle w:val="Hyperlink"/>
            <w:rFonts w:asciiTheme="minorHAnsi" w:hAnsiTheme="minorHAnsi"/>
            <w:color w:val="auto"/>
            <w:sz w:val="24"/>
            <w:u w:val="none"/>
          </w:rPr>
          <w:t>,</w:t>
        </w:r>
        <w:r w:rsidR="00C52ACD" w:rsidRPr="00AE0AB8">
          <w:rPr>
            <w:rStyle w:val="Hyperlink"/>
            <w:rFonts w:asciiTheme="minorHAnsi" w:hAnsiTheme="minorHAnsi"/>
            <w:color w:val="auto"/>
            <w:sz w:val="24"/>
            <w:u w:val="none"/>
          </w:rPr>
          <w:t xml:space="preserve"> Streamlining Customer Service Delivery and Improving Customer Service</w:t>
        </w:r>
      </w:hyperlink>
      <w:r w:rsidR="004C5BBA">
        <w:rPr>
          <w:rStyle w:val="Hyperlink"/>
          <w:rFonts w:asciiTheme="minorHAnsi" w:hAnsiTheme="minorHAnsi"/>
          <w:color w:val="auto"/>
          <w:sz w:val="24"/>
          <w:u w:val="none"/>
        </w:rPr>
        <w:t>)</w:t>
      </w:r>
      <w:r w:rsidR="00A80764" w:rsidRPr="00AE0AB8">
        <w:rPr>
          <w:rFonts w:asciiTheme="minorHAnsi" w:hAnsiTheme="minorHAnsi"/>
          <w:sz w:val="24"/>
        </w:rPr>
        <w:t xml:space="preserve">. </w:t>
      </w:r>
      <w:r w:rsidR="00D730FB" w:rsidRPr="00AE0AB8">
        <w:rPr>
          <w:rFonts w:asciiTheme="minorHAnsi" w:hAnsiTheme="minorHAnsi"/>
          <w:sz w:val="24"/>
        </w:rPr>
        <w:t xml:space="preserve">This E.O. </w:t>
      </w:r>
      <w:r w:rsidRPr="00AE0AB8">
        <w:rPr>
          <w:rFonts w:asciiTheme="minorHAnsi" w:hAnsiTheme="minorHAnsi"/>
          <w:sz w:val="24"/>
        </w:rPr>
        <w:t xml:space="preserve">requires each agency to develop a customer service plan in consultation with OMB that addresses how each agency will provide services in a manner that streamlines service delivery and improves the experience of its customers. The E.O. requires the establishment of mechanisms to solicit customer feedback on Government services and using feedback regularly to make improvements. Furthermore, the E.O. requires improving the customer experience by adopting proven customer service best practices across service channels (including websites) as well as </w:t>
      </w:r>
      <w:r w:rsidRPr="00AE0AB8">
        <w:rPr>
          <w:rFonts w:asciiTheme="minorHAnsi" w:hAnsiTheme="minorHAnsi"/>
          <w:sz w:val="24"/>
        </w:rPr>
        <w:lastRenderedPageBreak/>
        <w:t>identifying ways to use innovative technologies to accomplish customer service activities, thereby lowering costs, decreasing service delivery times and improving the customer experience (as can be accomplished through agency websites).</w:t>
      </w:r>
    </w:p>
    <w:p w14:paraId="3A45B7CB" w14:textId="77777777" w:rsidR="000C4E4E" w:rsidRPr="00AE0AB8" w:rsidRDefault="000C4E4E" w:rsidP="000C4E4E">
      <w:pPr>
        <w:ind w:left="700"/>
        <w:rPr>
          <w:rFonts w:asciiTheme="minorHAnsi" w:hAnsiTheme="minorHAnsi"/>
          <w:sz w:val="24"/>
        </w:rPr>
      </w:pPr>
    </w:p>
    <w:p w14:paraId="1FA8B5A6" w14:textId="7A6A9C27" w:rsidR="00A80764" w:rsidRPr="00AE0AB8" w:rsidRDefault="00EF177F" w:rsidP="000E77AC">
      <w:pPr>
        <w:ind w:left="-180"/>
        <w:rPr>
          <w:rFonts w:asciiTheme="minorHAnsi" w:hAnsiTheme="minorHAnsi"/>
          <w:sz w:val="24"/>
        </w:rPr>
      </w:pPr>
      <w:r>
        <w:rPr>
          <w:rFonts w:asciiTheme="minorHAnsi" w:hAnsiTheme="minorHAnsi"/>
          <w:sz w:val="24"/>
        </w:rPr>
        <w:t>The USPTO</w:t>
      </w:r>
      <w:r w:rsidR="00A80764" w:rsidRPr="00AE0AB8">
        <w:rPr>
          <w:rFonts w:asciiTheme="minorHAnsi" w:hAnsiTheme="minorHAnsi"/>
          <w:sz w:val="24"/>
        </w:rPr>
        <w:t xml:space="preserve"> </w:t>
      </w:r>
      <w:r w:rsidR="009C49A3">
        <w:rPr>
          <w:rFonts w:asciiTheme="minorHAnsi" w:hAnsiTheme="minorHAnsi"/>
          <w:sz w:val="24"/>
        </w:rPr>
        <w:t>will use</w:t>
      </w:r>
      <w:r w:rsidR="00A80764" w:rsidRPr="00AE0AB8">
        <w:rPr>
          <w:rFonts w:asciiTheme="minorHAnsi" w:hAnsiTheme="minorHAnsi"/>
          <w:sz w:val="24"/>
        </w:rPr>
        <w:t xml:space="preserve"> </w:t>
      </w:r>
      <w:r w:rsidR="001A46DF" w:rsidRPr="00AE0AB8">
        <w:rPr>
          <w:rFonts w:asciiTheme="minorHAnsi" w:hAnsiTheme="minorHAnsi"/>
          <w:sz w:val="24"/>
        </w:rPr>
        <w:t xml:space="preserve">the </w:t>
      </w:r>
      <w:r w:rsidR="00615683" w:rsidRPr="00AE0AB8">
        <w:rPr>
          <w:rFonts w:asciiTheme="minorHAnsi" w:hAnsiTheme="minorHAnsi"/>
          <w:sz w:val="24"/>
        </w:rPr>
        <w:t>ForeSee</w:t>
      </w:r>
      <w:r w:rsidR="001A46DF" w:rsidRPr="00AE0AB8">
        <w:rPr>
          <w:rFonts w:asciiTheme="minorHAnsi" w:hAnsiTheme="minorHAnsi"/>
          <w:sz w:val="24"/>
        </w:rPr>
        <w:t xml:space="preserve"> CXA</w:t>
      </w:r>
      <w:r w:rsidR="009C49A3">
        <w:rPr>
          <w:rFonts w:asciiTheme="minorHAnsi" w:hAnsiTheme="minorHAnsi"/>
          <w:sz w:val="24"/>
        </w:rPr>
        <w:t xml:space="preserve"> surveys </w:t>
      </w:r>
      <w:r w:rsidR="00A80764" w:rsidRPr="00AE0AB8">
        <w:rPr>
          <w:rFonts w:asciiTheme="minorHAnsi" w:hAnsiTheme="minorHAnsi"/>
          <w:sz w:val="24"/>
        </w:rPr>
        <w:t>in order to collaborate effectively with the public and</w:t>
      </w:r>
      <w:r w:rsidR="009C49A3">
        <w:rPr>
          <w:rFonts w:asciiTheme="minorHAnsi" w:hAnsiTheme="minorHAnsi"/>
          <w:sz w:val="24"/>
        </w:rPr>
        <w:t xml:space="preserve"> meet Administration mandates. These surveys</w:t>
      </w:r>
      <w:r w:rsidR="00A80764" w:rsidRPr="00AE0AB8">
        <w:rPr>
          <w:rFonts w:asciiTheme="minorHAnsi" w:hAnsiTheme="minorHAnsi"/>
          <w:sz w:val="24"/>
        </w:rPr>
        <w:t xml:space="preserve"> </w:t>
      </w:r>
      <w:r w:rsidR="009C49A3">
        <w:rPr>
          <w:rFonts w:asciiTheme="minorHAnsi" w:hAnsiTheme="minorHAnsi"/>
          <w:sz w:val="24"/>
        </w:rPr>
        <w:t xml:space="preserve">will </w:t>
      </w:r>
      <w:r w:rsidR="00F13268">
        <w:rPr>
          <w:rFonts w:asciiTheme="minorHAnsi" w:hAnsiTheme="minorHAnsi"/>
          <w:sz w:val="24"/>
        </w:rPr>
        <w:t>assist</w:t>
      </w:r>
      <w:r w:rsidR="009C49A3">
        <w:rPr>
          <w:rFonts w:asciiTheme="minorHAnsi" w:hAnsiTheme="minorHAnsi"/>
          <w:sz w:val="24"/>
        </w:rPr>
        <w:t xml:space="preserve"> the Agency in its efforts to be</w:t>
      </w:r>
      <w:r w:rsidR="00A80764" w:rsidRPr="00AE0AB8">
        <w:rPr>
          <w:rFonts w:asciiTheme="minorHAnsi" w:hAnsiTheme="minorHAnsi"/>
          <w:sz w:val="24"/>
        </w:rPr>
        <w:t xml:space="preserve"> open and collaborative, as </w:t>
      </w:r>
      <w:r w:rsidR="009C49A3">
        <w:rPr>
          <w:rFonts w:asciiTheme="minorHAnsi" w:hAnsiTheme="minorHAnsi"/>
          <w:sz w:val="24"/>
        </w:rPr>
        <w:t>it</w:t>
      </w:r>
      <w:r w:rsidR="00A80764" w:rsidRPr="00AE0AB8">
        <w:rPr>
          <w:rFonts w:asciiTheme="minorHAnsi" w:hAnsiTheme="minorHAnsi"/>
          <w:sz w:val="24"/>
        </w:rPr>
        <w:t xml:space="preserve"> solicit</w:t>
      </w:r>
      <w:r w:rsidR="009C49A3">
        <w:rPr>
          <w:rFonts w:asciiTheme="minorHAnsi" w:hAnsiTheme="minorHAnsi"/>
          <w:sz w:val="24"/>
        </w:rPr>
        <w:t>s</w:t>
      </w:r>
      <w:r w:rsidR="00A80764" w:rsidRPr="00AE0AB8">
        <w:rPr>
          <w:rFonts w:asciiTheme="minorHAnsi" w:hAnsiTheme="minorHAnsi"/>
          <w:sz w:val="24"/>
        </w:rPr>
        <w:t xml:space="preserve"> input and feedback </w:t>
      </w:r>
      <w:r w:rsidR="009C49A3">
        <w:rPr>
          <w:rFonts w:asciiTheme="minorHAnsi" w:hAnsiTheme="minorHAnsi"/>
          <w:sz w:val="24"/>
        </w:rPr>
        <w:t>on its websites</w:t>
      </w:r>
      <w:r w:rsidR="00A80764" w:rsidRPr="00AE0AB8">
        <w:rPr>
          <w:rFonts w:asciiTheme="minorHAnsi" w:hAnsiTheme="minorHAnsi"/>
          <w:sz w:val="24"/>
        </w:rPr>
        <w:t>.</w:t>
      </w:r>
    </w:p>
    <w:p w14:paraId="264D5F0C" w14:textId="77777777" w:rsidR="00A80764" w:rsidRPr="00AE0AB8" w:rsidRDefault="00A80764" w:rsidP="000E77AC">
      <w:pPr>
        <w:ind w:left="700" w:hanging="880"/>
        <w:rPr>
          <w:rFonts w:asciiTheme="minorHAnsi" w:hAnsiTheme="minorHAnsi"/>
          <w:sz w:val="24"/>
        </w:rPr>
      </w:pPr>
    </w:p>
    <w:p w14:paraId="01441C9D" w14:textId="4350369E" w:rsidR="00A80764" w:rsidRPr="00AE0AB8" w:rsidRDefault="00EE39C5" w:rsidP="000E77AC">
      <w:pPr>
        <w:ind w:left="-180"/>
        <w:rPr>
          <w:rFonts w:asciiTheme="minorHAnsi" w:hAnsiTheme="minorHAnsi"/>
          <w:sz w:val="24"/>
        </w:rPr>
      </w:pPr>
      <w:r>
        <w:rPr>
          <w:rFonts w:asciiTheme="minorHAnsi" w:hAnsiTheme="minorHAnsi"/>
          <w:sz w:val="24"/>
        </w:rPr>
        <w:t>The advantage</w:t>
      </w:r>
      <w:r w:rsidR="000C4E4E" w:rsidRPr="00AE0AB8">
        <w:rPr>
          <w:rFonts w:asciiTheme="minorHAnsi" w:hAnsiTheme="minorHAnsi"/>
          <w:sz w:val="24"/>
        </w:rPr>
        <w:t xml:space="preserve"> of </w:t>
      </w:r>
      <w:r w:rsidR="00615683" w:rsidRPr="00AE0AB8">
        <w:rPr>
          <w:rFonts w:asciiTheme="minorHAnsi" w:hAnsiTheme="minorHAnsi"/>
          <w:sz w:val="24"/>
        </w:rPr>
        <w:t>ForeSee</w:t>
      </w:r>
      <w:r w:rsidR="001A46DF" w:rsidRPr="00AE0AB8">
        <w:rPr>
          <w:rFonts w:asciiTheme="minorHAnsi" w:hAnsiTheme="minorHAnsi"/>
          <w:sz w:val="24"/>
        </w:rPr>
        <w:t xml:space="preserve"> CXA</w:t>
      </w:r>
      <w:r w:rsidR="000C4E4E" w:rsidRPr="00AE0AB8">
        <w:rPr>
          <w:rFonts w:asciiTheme="minorHAnsi" w:hAnsiTheme="minorHAnsi"/>
          <w:sz w:val="24"/>
        </w:rPr>
        <w:t xml:space="preserve"> surveys </w:t>
      </w:r>
      <w:r>
        <w:rPr>
          <w:rFonts w:asciiTheme="minorHAnsi" w:hAnsiTheme="minorHAnsi"/>
          <w:sz w:val="24"/>
        </w:rPr>
        <w:t>lies in their</w:t>
      </w:r>
      <w:r w:rsidR="000C4E4E" w:rsidRPr="00AE0AB8">
        <w:rPr>
          <w:rFonts w:asciiTheme="minorHAnsi" w:hAnsiTheme="minorHAnsi"/>
          <w:sz w:val="24"/>
        </w:rPr>
        <w:t xml:space="preserve"> statistical significance with minimum cost and burd</w:t>
      </w:r>
      <w:r w:rsidR="00A80764" w:rsidRPr="00AE0AB8">
        <w:rPr>
          <w:rFonts w:asciiTheme="minorHAnsi" w:hAnsiTheme="minorHAnsi"/>
          <w:sz w:val="24"/>
        </w:rPr>
        <w:t xml:space="preserve">en on the public. </w:t>
      </w:r>
      <w:r w:rsidR="00ED6139" w:rsidRPr="00AE0AB8">
        <w:rPr>
          <w:rFonts w:asciiTheme="minorHAnsi" w:hAnsiTheme="minorHAnsi"/>
          <w:sz w:val="24"/>
        </w:rPr>
        <w:t xml:space="preserve">Collecting, analyzing, and acting upon customer satisfaction data </w:t>
      </w:r>
      <w:r w:rsidR="001541EF" w:rsidRPr="00AE0AB8">
        <w:rPr>
          <w:rFonts w:asciiTheme="minorHAnsi" w:hAnsiTheme="minorHAnsi"/>
          <w:sz w:val="24"/>
        </w:rPr>
        <w:t>are</w:t>
      </w:r>
      <w:r w:rsidR="00ED6139" w:rsidRPr="00AE0AB8">
        <w:rPr>
          <w:rFonts w:asciiTheme="minorHAnsi" w:hAnsiTheme="minorHAnsi"/>
          <w:sz w:val="24"/>
        </w:rPr>
        <w:t xml:space="preserve"> vital to the </w:t>
      </w:r>
      <w:r>
        <w:rPr>
          <w:rFonts w:asciiTheme="minorHAnsi" w:hAnsiTheme="minorHAnsi"/>
          <w:sz w:val="24"/>
        </w:rPr>
        <w:t>Agency</w:t>
      </w:r>
      <w:r w:rsidR="00ED6139" w:rsidRPr="00AE0AB8">
        <w:rPr>
          <w:rFonts w:asciiTheme="minorHAnsi" w:hAnsiTheme="minorHAnsi"/>
          <w:sz w:val="24"/>
        </w:rPr>
        <w:t>’s ability to</w:t>
      </w:r>
      <w:r>
        <w:rPr>
          <w:rFonts w:asciiTheme="minorHAnsi" w:hAnsiTheme="minorHAnsi"/>
          <w:sz w:val="24"/>
        </w:rPr>
        <w:t xml:space="preserve"> provide the public with useful and effective websites</w:t>
      </w:r>
      <w:r w:rsidR="00A80764" w:rsidRPr="00AE0AB8">
        <w:rPr>
          <w:rFonts w:asciiTheme="minorHAnsi" w:hAnsiTheme="minorHAnsi"/>
          <w:sz w:val="24"/>
        </w:rPr>
        <w:t>.</w:t>
      </w:r>
    </w:p>
    <w:p w14:paraId="2D0A70ED" w14:textId="77777777" w:rsidR="00EC20FB" w:rsidRPr="00AE0AB8" w:rsidRDefault="00ED6139" w:rsidP="00A80764">
      <w:pPr>
        <w:ind w:left="700"/>
        <w:rPr>
          <w:rFonts w:asciiTheme="minorHAnsi" w:hAnsiTheme="minorHAnsi"/>
          <w:sz w:val="24"/>
        </w:rPr>
      </w:pPr>
      <w:r w:rsidRPr="00AE0AB8">
        <w:rPr>
          <w:rFonts w:asciiTheme="minorHAnsi" w:hAnsiTheme="minorHAnsi"/>
          <w:sz w:val="24"/>
        </w:rPr>
        <w:t xml:space="preserve"> </w:t>
      </w:r>
    </w:p>
    <w:p w14:paraId="277E2332" w14:textId="774C1BB8" w:rsidR="00F8495A" w:rsidRPr="00EE39C5" w:rsidRDefault="00EE39C5" w:rsidP="00B147AF">
      <w:pPr>
        <w:pStyle w:val="ListParagraph"/>
        <w:numPr>
          <w:ilvl w:val="0"/>
          <w:numId w:val="27"/>
        </w:numPr>
        <w:tabs>
          <w:tab w:val="left" w:pos="-1080"/>
          <w:tab w:val="left" w:pos="-720"/>
          <w:tab w:val="left" w:pos="-180"/>
          <w:tab w:val="left" w:pos="45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4"/>
          <w:szCs w:val="24"/>
        </w:rPr>
      </w:pPr>
      <w:r w:rsidRPr="00EE39C5">
        <w:rPr>
          <w:rFonts w:asciiTheme="minorHAnsi" w:hAnsiTheme="minorHAnsi"/>
          <w:b/>
          <w:sz w:val="24"/>
        </w:rPr>
        <w:tab/>
        <w:t>Purpose and Use of the Information Collection</w:t>
      </w:r>
    </w:p>
    <w:p w14:paraId="2D18EB57" w14:textId="77777777" w:rsidR="007B2A5B" w:rsidRPr="00AE0AB8" w:rsidRDefault="007B2A5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4"/>
          <w:szCs w:val="24"/>
        </w:rPr>
      </w:pPr>
    </w:p>
    <w:p w14:paraId="30092898" w14:textId="122FB3EA" w:rsidR="007B2A5B" w:rsidRPr="00AE0AB8" w:rsidRDefault="009C49A3" w:rsidP="00623DBE">
      <w:pPr>
        <w:ind w:left="-180"/>
        <w:jc w:val="both"/>
        <w:rPr>
          <w:rFonts w:asciiTheme="minorHAnsi" w:hAnsiTheme="minorHAnsi"/>
          <w:sz w:val="24"/>
        </w:rPr>
      </w:pPr>
      <w:r>
        <w:rPr>
          <w:rFonts w:asciiTheme="minorHAnsi" w:hAnsiTheme="minorHAnsi"/>
          <w:sz w:val="24"/>
        </w:rPr>
        <w:t>This</w:t>
      </w:r>
      <w:r w:rsidR="00923452">
        <w:rPr>
          <w:rFonts w:asciiTheme="minorHAnsi" w:hAnsiTheme="minorHAnsi"/>
          <w:sz w:val="24"/>
        </w:rPr>
        <w:t xml:space="preserve"> </w:t>
      </w:r>
      <w:r w:rsidR="007B2A5B" w:rsidRPr="00AE0AB8">
        <w:rPr>
          <w:rFonts w:asciiTheme="minorHAnsi" w:hAnsiTheme="minorHAnsi"/>
          <w:sz w:val="24"/>
        </w:rPr>
        <w:t xml:space="preserve">generic clearance </w:t>
      </w:r>
      <w:r w:rsidR="00923452">
        <w:rPr>
          <w:rFonts w:asciiTheme="minorHAnsi" w:hAnsiTheme="minorHAnsi"/>
          <w:sz w:val="24"/>
        </w:rPr>
        <w:t>will enhance</w:t>
      </w:r>
      <w:r w:rsidR="007B2A5B" w:rsidRPr="00AE0AB8">
        <w:rPr>
          <w:rFonts w:asciiTheme="minorHAnsi" w:hAnsiTheme="minorHAnsi"/>
          <w:sz w:val="24"/>
        </w:rPr>
        <w:t xml:space="preserve"> the ability of </w:t>
      </w:r>
      <w:r w:rsidR="00923452">
        <w:rPr>
          <w:rFonts w:asciiTheme="minorHAnsi" w:hAnsiTheme="minorHAnsi"/>
          <w:sz w:val="24"/>
        </w:rPr>
        <w:t>the USPTO</w:t>
      </w:r>
      <w:r w:rsidR="007B2A5B" w:rsidRPr="00AE0AB8">
        <w:rPr>
          <w:rFonts w:asciiTheme="minorHAnsi" w:hAnsiTheme="minorHAnsi"/>
          <w:sz w:val="24"/>
        </w:rPr>
        <w:t xml:space="preserve"> to:</w:t>
      </w:r>
    </w:p>
    <w:p w14:paraId="6A672DB3" w14:textId="77777777" w:rsidR="007B2A5B" w:rsidRPr="00AE0AB8" w:rsidRDefault="007B2A5B" w:rsidP="007B2A5B">
      <w:pPr>
        <w:ind w:left="720"/>
        <w:jc w:val="both"/>
        <w:rPr>
          <w:rFonts w:asciiTheme="minorHAnsi" w:hAnsiTheme="minorHAnsi"/>
          <w:sz w:val="24"/>
        </w:rPr>
      </w:pPr>
    </w:p>
    <w:p w14:paraId="13512E1B" w14:textId="6AB5DBAD" w:rsidR="007B2A5B" w:rsidRPr="00AE0AB8" w:rsidRDefault="007B2A5B" w:rsidP="00623DBE">
      <w:pPr>
        <w:numPr>
          <w:ilvl w:val="0"/>
          <w:numId w:val="8"/>
        </w:numPr>
        <w:tabs>
          <w:tab w:val="clear" w:pos="2160"/>
        </w:tabs>
        <w:ind w:left="720" w:hanging="450"/>
        <w:jc w:val="both"/>
        <w:rPr>
          <w:rFonts w:asciiTheme="minorHAnsi" w:hAnsiTheme="minorHAnsi"/>
          <w:sz w:val="24"/>
        </w:rPr>
      </w:pPr>
      <w:r w:rsidRPr="00AE0AB8">
        <w:rPr>
          <w:rFonts w:asciiTheme="minorHAnsi" w:hAnsiTheme="minorHAnsi"/>
          <w:sz w:val="24"/>
        </w:rPr>
        <w:t xml:space="preserve">Better identify who is visiting </w:t>
      </w:r>
      <w:r w:rsidR="00923452">
        <w:rPr>
          <w:rFonts w:asciiTheme="minorHAnsi" w:hAnsiTheme="minorHAnsi"/>
          <w:sz w:val="24"/>
        </w:rPr>
        <w:t>its</w:t>
      </w:r>
      <w:r w:rsidRPr="00AE0AB8">
        <w:rPr>
          <w:rFonts w:asciiTheme="minorHAnsi" w:hAnsiTheme="minorHAnsi"/>
          <w:sz w:val="24"/>
        </w:rPr>
        <w:t xml:space="preserve"> websites.</w:t>
      </w:r>
    </w:p>
    <w:p w14:paraId="2C6281E0" w14:textId="77777777" w:rsidR="007B2A5B" w:rsidRPr="00AE0AB8" w:rsidRDefault="007B2A5B" w:rsidP="00623DBE">
      <w:pPr>
        <w:numPr>
          <w:ilvl w:val="0"/>
          <w:numId w:val="8"/>
        </w:numPr>
        <w:tabs>
          <w:tab w:val="clear" w:pos="2160"/>
        </w:tabs>
        <w:ind w:left="720" w:hanging="450"/>
        <w:jc w:val="both"/>
        <w:rPr>
          <w:rFonts w:asciiTheme="minorHAnsi" w:hAnsiTheme="minorHAnsi"/>
          <w:sz w:val="24"/>
        </w:rPr>
      </w:pPr>
      <w:r w:rsidRPr="00AE0AB8">
        <w:rPr>
          <w:rFonts w:asciiTheme="minorHAnsi" w:hAnsiTheme="minorHAnsi"/>
          <w:sz w:val="24"/>
        </w:rPr>
        <w:t>Determine what drives visitor satisfaction.</w:t>
      </w:r>
    </w:p>
    <w:p w14:paraId="5A1D2D77" w14:textId="77777777" w:rsidR="007B2A5B" w:rsidRPr="00AE0AB8" w:rsidRDefault="007B2A5B" w:rsidP="00623DBE">
      <w:pPr>
        <w:numPr>
          <w:ilvl w:val="0"/>
          <w:numId w:val="8"/>
        </w:numPr>
        <w:tabs>
          <w:tab w:val="clear" w:pos="2160"/>
        </w:tabs>
        <w:ind w:left="720" w:hanging="450"/>
        <w:jc w:val="both"/>
        <w:rPr>
          <w:rFonts w:asciiTheme="minorHAnsi" w:hAnsiTheme="minorHAnsi"/>
          <w:sz w:val="24"/>
        </w:rPr>
      </w:pPr>
      <w:r w:rsidRPr="00AE0AB8">
        <w:rPr>
          <w:rFonts w:asciiTheme="minorHAnsi" w:hAnsiTheme="minorHAnsi"/>
          <w:sz w:val="24"/>
        </w:rPr>
        <w:t>Understand the relationship between visitors’ satisfaction with their experience and future behaviors.</w:t>
      </w:r>
    </w:p>
    <w:p w14:paraId="2C6605D3" w14:textId="151F4CBB" w:rsidR="007B2A5B" w:rsidRPr="00AE0AB8" w:rsidRDefault="007B2A5B" w:rsidP="00623DBE">
      <w:pPr>
        <w:numPr>
          <w:ilvl w:val="0"/>
          <w:numId w:val="8"/>
        </w:numPr>
        <w:tabs>
          <w:tab w:val="clear" w:pos="2160"/>
        </w:tabs>
        <w:ind w:left="720" w:hanging="450"/>
        <w:jc w:val="both"/>
        <w:rPr>
          <w:rFonts w:asciiTheme="minorHAnsi" w:hAnsiTheme="minorHAnsi"/>
          <w:sz w:val="24"/>
        </w:rPr>
      </w:pPr>
      <w:r w:rsidRPr="00AE0AB8">
        <w:rPr>
          <w:rFonts w:asciiTheme="minorHAnsi" w:hAnsiTheme="minorHAnsi"/>
          <w:sz w:val="24"/>
        </w:rPr>
        <w:t>Prioritize resource allocation b</w:t>
      </w:r>
      <w:r w:rsidR="00923452">
        <w:rPr>
          <w:rFonts w:asciiTheme="minorHAnsi" w:hAnsiTheme="minorHAnsi"/>
          <w:sz w:val="24"/>
        </w:rPr>
        <w:t>ased on their ability to drive return on i</w:t>
      </w:r>
      <w:r w:rsidRPr="00AE0AB8">
        <w:rPr>
          <w:rFonts w:asciiTheme="minorHAnsi" w:hAnsiTheme="minorHAnsi"/>
          <w:sz w:val="24"/>
        </w:rPr>
        <w:t>nvestment.</w:t>
      </w:r>
    </w:p>
    <w:p w14:paraId="60FA3017" w14:textId="6E8D679E" w:rsidR="007B2A5B" w:rsidRPr="00AE0AB8" w:rsidRDefault="007B2A5B" w:rsidP="00623DBE">
      <w:pPr>
        <w:numPr>
          <w:ilvl w:val="0"/>
          <w:numId w:val="8"/>
        </w:numPr>
        <w:tabs>
          <w:tab w:val="clear" w:pos="2160"/>
        </w:tabs>
        <w:ind w:left="720" w:hanging="450"/>
        <w:jc w:val="both"/>
        <w:rPr>
          <w:rFonts w:asciiTheme="minorHAnsi" w:hAnsiTheme="minorHAnsi"/>
          <w:sz w:val="24"/>
        </w:rPr>
      </w:pPr>
      <w:r w:rsidRPr="00AE0AB8">
        <w:rPr>
          <w:rFonts w:asciiTheme="minorHAnsi" w:hAnsiTheme="minorHAnsi"/>
          <w:sz w:val="24"/>
        </w:rPr>
        <w:t xml:space="preserve">Measure customer satisfaction </w:t>
      </w:r>
      <w:r w:rsidR="0085681F" w:rsidRPr="00AE0AB8">
        <w:rPr>
          <w:rFonts w:asciiTheme="minorHAnsi" w:hAnsiTheme="minorHAnsi"/>
          <w:sz w:val="24"/>
        </w:rPr>
        <w:t xml:space="preserve">of visitors </w:t>
      </w:r>
      <w:r w:rsidRPr="00AE0AB8">
        <w:rPr>
          <w:rFonts w:asciiTheme="minorHAnsi" w:hAnsiTheme="minorHAnsi"/>
          <w:sz w:val="24"/>
        </w:rPr>
        <w:t>continuously</w:t>
      </w:r>
      <w:r w:rsidR="009C49A3">
        <w:rPr>
          <w:rFonts w:asciiTheme="minorHAnsi" w:hAnsiTheme="minorHAnsi"/>
          <w:sz w:val="24"/>
        </w:rPr>
        <w:t xml:space="preserve">, 24 </w:t>
      </w:r>
      <w:r w:rsidR="0085681F" w:rsidRPr="00AE0AB8">
        <w:rPr>
          <w:rFonts w:asciiTheme="minorHAnsi" w:hAnsiTheme="minorHAnsi"/>
          <w:sz w:val="24"/>
        </w:rPr>
        <w:t xml:space="preserve">hours a day, </w:t>
      </w:r>
      <w:r w:rsidR="009C49A3">
        <w:rPr>
          <w:rFonts w:asciiTheme="minorHAnsi" w:hAnsiTheme="minorHAnsi"/>
          <w:sz w:val="24"/>
        </w:rPr>
        <w:t>7</w:t>
      </w:r>
      <w:r w:rsidR="0085681F" w:rsidRPr="00AE0AB8">
        <w:rPr>
          <w:rFonts w:asciiTheme="minorHAnsi" w:hAnsiTheme="minorHAnsi"/>
          <w:sz w:val="24"/>
        </w:rPr>
        <w:t xml:space="preserve"> days a week</w:t>
      </w:r>
      <w:r w:rsidRPr="00AE0AB8">
        <w:rPr>
          <w:rFonts w:asciiTheme="minorHAnsi" w:hAnsiTheme="minorHAnsi"/>
          <w:sz w:val="24"/>
        </w:rPr>
        <w:t>.</w:t>
      </w:r>
    </w:p>
    <w:p w14:paraId="7913C449" w14:textId="77777777" w:rsidR="007B2A5B" w:rsidRPr="00AE0AB8" w:rsidRDefault="007B2A5B" w:rsidP="00623DBE">
      <w:pPr>
        <w:numPr>
          <w:ilvl w:val="0"/>
          <w:numId w:val="8"/>
        </w:numPr>
        <w:tabs>
          <w:tab w:val="clear" w:pos="2160"/>
        </w:tabs>
        <w:ind w:left="720" w:hanging="450"/>
        <w:jc w:val="both"/>
        <w:rPr>
          <w:rFonts w:asciiTheme="minorHAnsi" w:hAnsiTheme="minorHAnsi"/>
          <w:sz w:val="24"/>
        </w:rPr>
      </w:pPr>
      <w:r w:rsidRPr="00AE0AB8">
        <w:rPr>
          <w:rFonts w:asciiTheme="minorHAnsi" w:hAnsiTheme="minorHAnsi"/>
          <w:sz w:val="24"/>
        </w:rPr>
        <w:t>Benchmark performance against public and private sector websites with a similar mission.</w:t>
      </w:r>
    </w:p>
    <w:p w14:paraId="065E0DDF" w14:textId="77777777" w:rsidR="007B2A5B" w:rsidRPr="00AE0AB8" w:rsidRDefault="007B2A5B" w:rsidP="00623DBE">
      <w:pPr>
        <w:numPr>
          <w:ilvl w:val="0"/>
          <w:numId w:val="8"/>
        </w:numPr>
        <w:tabs>
          <w:tab w:val="clear" w:pos="2160"/>
        </w:tabs>
        <w:ind w:left="720" w:hanging="450"/>
        <w:jc w:val="both"/>
        <w:rPr>
          <w:rFonts w:asciiTheme="minorHAnsi" w:hAnsiTheme="minorHAnsi"/>
          <w:sz w:val="24"/>
        </w:rPr>
      </w:pPr>
      <w:r w:rsidRPr="00AE0AB8">
        <w:rPr>
          <w:rFonts w:asciiTheme="minorHAnsi" w:hAnsiTheme="minorHAnsi"/>
          <w:sz w:val="24"/>
        </w:rPr>
        <w:t>Identify areas for improvement.</w:t>
      </w:r>
    </w:p>
    <w:p w14:paraId="6146E679" w14:textId="77777777" w:rsidR="007B2A5B" w:rsidRPr="00AE0AB8" w:rsidRDefault="007B2A5B" w:rsidP="00623DBE">
      <w:pPr>
        <w:numPr>
          <w:ilvl w:val="0"/>
          <w:numId w:val="8"/>
        </w:numPr>
        <w:tabs>
          <w:tab w:val="clear" w:pos="2160"/>
        </w:tabs>
        <w:ind w:left="720" w:hanging="450"/>
        <w:jc w:val="both"/>
        <w:rPr>
          <w:rFonts w:asciiTheme="minorHAnsi" w:hAnsiTheme="minorHAnsi"/>
          <w:sz w:val="24"/>
        </w:rPr>
      </w:pPr>
      <w:r w:rsidRPr="00AE0AB8">
        <w:rPr>
          <w:rFonts w:asciiTheme="minorHAnsi" w:hAnsiTheme="minorHAnsi"/>
          <w:sz w:val="24"/>
        </w:rPr>
        <w:t>Quantify the impact of improving visitor satisfaction on future behaviors.</w:t>
      </w:r>
    </w:p>
    <w:p w14:paraId="78048E37" w14:textId="2A9D4CA9" w:rsidR="007B2A5B" w:rsidRPr="00AE0AB8" w:rsidRDefault="007B2A5B" w:rsidP="00623DBE">
      <w:pPr>
        <w:numPr>
          <w:ilvl w:val="0"/>
          <w:numId w:val="8"/>
        </w:numPr>
        <w:tabs>
          <w:tab w:val="clear" w:pos="2160"/>
        </w:tabs>
        <w:ind w:left="720" w:hanging="450"/>
        <w:jc w:val="both"/>
        <w:rPr>
          <w:rFonts w:asciiTheme="minorHAnsi" w:hAnsiTheme="minorHAnsi"/>
          <w:sz w:val="24"/>
        </w:rPr>
      </w:pPr>
      <w:r w:rsidRPr="00AE0AB8">
        <w:rPr>
          <w:rFonts w:asciiTheme="minorHAnsi" w:hAnsiTheme="minorHAnsi"/>
          <w:sz w:val="24"/>
        </w:rPr>
        <w:t xml:space="preserve">Drill down to evaluate satisfaction of different user groups and various sections of </w:t>
      </w:r>
      <w:r w:rsidR="00923452">
        <w:rPr>
          <w:rFonts w:asciiTheme="minorHAnsi" w:hAnsiTheme="minorHAnsi"/>
          <w:sz w:val="24"/>
        </w:rPr>
        <w:t>its</w:t>
      </w:r>
      <w:r w:rsidRPr="00AE0AB8">
        <w:rPr>
          <w:rFonts w:asciiTheme="minorHAnsi" w:hAnsiTheme="minorHAnsi"/>
          <w:sz w:val="24"/>
        </w:rPr>
        <w:t xml:space="preserve"> websites. </w:t>
      </w:r>
    </w:p>
    <w:p w14:paraId="2451EEE8" w14:textId="77777777" w:rsidR="007B2A5B" w:rsidRPr="00AE0AB8" w:rsidRDefault="007B2A5B" w:rsidP="00923452">
      <w:pPr>
        <w:rPr>
          <w:rFonts w:asciiTheme="minorHAnsi" w:hAnsiTheme="minorHAnsi"/>
          <w:sz w:val="24"/>
        </w:rPr>
      </w:pPr>
    </w:p>
    <w:p w14:paraId="7647128B" w14:textId="43F7CF5C" w:rsidR="007B2A5B" w:rsidRPr="00AE0AB8" w:rsidRDefault="00923452" w:rsidP="00623DBE">
      <w:pPr>
        <w:ind w:left="-180"/>
        <w:rPr>
          <w:rFonts w:asciiTheme="minorHAnsi" w:hAnsiTheme="minorHAnsi"/>
          <w:sz w:val="24"/>
        </w:rPr>
      </w:pPr>
      <w:r>
        <w:rPr>
          <w:rFonts w:asciiTheme="minorHAnsi" w:hAnsiTheme="minorHAnsi"/>
          <w:sz w:val="24"/>
        </w:rPr>
        <w:t>The</w:t>
      </w:r>
      <w:r w:rsidR="007B2A5B" w:rsidRPr="00AE0AB8">
        <w:rPr>
          <w:rFonts w:asciiTheme="minorHAnsi" w:hAnsiTheme="minorHAnsi"/>
          <w:sz w:val="24"/>
        </w:rPr>
        <w:t xml:space="preserve"> website customer satisfaction measures </w:t>
      </w:r>
      <w:r w:rsidR="00D730FB" w:rsidRPr="00AE0AB8">
        <w:rPr>
          <w:rFonts w:asciiTheme="minorHAnsi" w:hAnsiTheme="minorHAnsi"/>
          <w:sz w:val="24"/>
        </w:rPr>
        <w:t xml:space="preserve">or surveys </w:t>
      </w:r>
      <w:r w:rsidR="007B2A5B" w:rsidRPr="00AE0AB8">
        <w:rPr>
          <w:rFonts w:asciiTheme="minorHAnsi" w:hAnsiTheme="minorHAnsi"/>
          <w:sz w:val="24"/>
        </w:rPr>
        <w:t xml:space="preserve">are based on the </w:t>
      </w:r>
      <w:r w:rsidR="00615683" w:rsidRPr="00AE0AB8">
        <w:rPr>
          <w:rFonts w:asciiTheme="minorHAnsi" w:hAnsiTheme="minorHAnsi"/>
          <w:sz w:val="24"/>
        </w:rPr>
        <w:t>ForeSee</w:t>
      </w:r>
      <w:r w:rsidR="00F23EEB" w:rsidRPr="00AE0AB8">
        <w:rPr>
          <w:rFonts w:asciiTheme="minorHAnsi" w:hAnsiTheme="minorHAnsi"/>
          <w:sz w:val="24"/>
        </w:rPr>
        <w:t xml:space="preserve"> CXA methodology</w:t>
      </w:r>
      <w:r>
        <w:rPr>
          <w:rFonts w:asciiTheme="minorHAnsi" w:hAnsiTheme="minorHAnsi"/>
          <w:sz w:val="24"/>
        </w:rPr>
        <w:t>.</w:t>
      </w:r>
      <w:r w:rsidR="007B2A5B" w:rsidRPr="00AE0AB8">
        <w:rPr>
          <w:rFonts w:asciiTheme="minorHAnsi" w:hAnsiTheme="minorHAnsi"/>
          <w:sz w:val="24"/>
        </w:rPr>
        <w:t xml:space="preserve"> </w:t>
      </w:r>
      <w:hyperlink r:id="rId14" w:history="1">
        <w:r w:rsidR="00615683" w:rsidRPr="00AE0AB8">
          <w:rPr>
            <w:rStyle w:val="Hyperlink"/>
            <w:rFonts w:asciiTheme="minorHAnsi" w:hAnsiTheme="minorHAnsi"/>
            <w:color w:val="auto"/>
            <w:sz w:val="24"/>
            <w:u w:val="none"/>
          </w:rPr>
          <w:t>ForeSee</w:t>
        </w:r>
      </w:hyperlink>
      <w:r w:rsidR="00D730FB" w:rsidRPr="00AE0AB8">
        <w:rPr>
          <w:rFonts w:asciiTheme="minorHAnsi" w:hAnsiTheme="minorHAnsi"/>
          <w:sz w:val="24"/>
        </w:rPr>
        <w:t xml:space="preserve">, </w:t>
      </w:r>
      <w:r w:rsidR="007B2A5B" w:rsidRPr="00AE0AB8">
        <w:rPr>
          <w:rFonts w:asciiTheme="minorHAnsi" w:hAnsiTheme="minorHAnsi"/>
          <w:sz w:val="24"/>
        </w:rPr>
        <w:t>Inc</w:t>
      </w:r>
      <w:r>
        <w:rPr>
          <w:rFonts w:asciiTheme="minorHAnsi" w:hAnsiTheme="minorHAnsi"/>
          <w:sz w:val="24"/>
        </w:rPr>
        <w:t>.</w:t>
      </w:r>
      <w:r w:rsidR="007B2A5B" w:rsidRPr="00AE0AB8">
        <w:rPr>
          <w:rFonts w:asciiTheme="minorHAnsi" w:hAnsiTheme="minorHAnsi"/>
          <w:sz w:val="24"/>
        </w:rPr>
        <w:t xml:space="preserve"> uses a unique website customer satisfaction measurement survey and model that </w:t>
      </w:r>
      <w:r w:rsidR="00F23EEB" w:rsidRPr="00AE0AB8">
        <w:rPr>
          <w:rFonts w:asciiTheme="minorHAnsi" w:hAnsiTheme="minorHAnsi"/>
          <w:sz w:val="24"/>
        </w:rPr>
        <w:t xml:space="preserve">determines both the impact of drivers on satisfaction and also the outcome of satisfaction on trust and confidence in the government. </w:t>
      </w:r>
      <w:r w:rsidR="007B2A5B" w:rsidRPr="00AE0AB8">
        <w:rPr>
          <w:rFonts w:asciiTheme="minorHAnsi" w:hAnsiTheme="minorHAnsi"/>
          <w:sz w:val="24"/>
        </w:rPr>
        <w:t>This survey and related analysis and reporting enable</w:t>
      </w:r>
      <w:r>
        <w:rPr>
          <w:rFonts w:asciiTheme="minorHAnsi" w:hAnsiTheme="minorHAnsi"/>
          <w:sz w:val="24"/>
        </w:rPr>
        <w:t>s</w:t>
      </w:r>
      <w:r w:rsidR="007B2A5B" w:rsidRPr="00AE0AB8">
        <w:rPr>
          <w:rFonts w:asciiTheme="minorHAnsi" w:hAnsiTheme="minorHAnsi"/>
          <w:sz w:val="24"/>
        </w:rPr>
        <w:t xml:space="preserve"> </w:t>
      </w:r>
      <w:r>
        <w:rPr>
          <w:rFonts w:asciiTheme="minorHAnsi" w:hAnsiTheme="minorHAnsi"/>
          <w:sz w:val="24"/>
        </w:rPr>
        <w:t>the Agency</w:t>
      </w:r>
      <w:r w:rsidR="007B2A5B" w:rsidRPr="00AE0AB8">
        <w:rPr>
          <w:rFonts w:asciiTheme="minorHAnsi" w:hAnsiTheme="minorHAnsi"/>
          <w:sz w:val="24"/>
        </w:rPr>
        <w:t xml:space="preserve"> to obtain insights that help make valuable resource allocation decisio</w:t>
      </w:r>
      <w:r w:rsidR="00D730FB" w:rsidRPr="00AE0AB8">
        <w:rPr>
          <w:rFonts w:asciiTheme="minorHAnsi" w:hAnsiTheme="minorHAnsi"/>
          <w:sz w:val="24"/>
        </w:rPr>
        <w:t xml:space="preserve">ns based on customer feedback. </w:t>
      </w:r>
      <w:r w:rsidR="00615683" w:rsidRPr="00AE0AB8">
        <w:rPr>
          <w:rFonts w:asciiTheme="minorHAnsi" w:hAnsiTheme="minorHAnsi"/>
          <w:sz w:val="24"/>
        </w:rPr>
        <w:t>ForeSee</w:t>
      </w:r>
      <w:r w:rsidR="007B2A5B" w:rsidRPr="00AE0AB8">
        <w:rPr>
          <w:rFonts w:asciiTheme="minorHAnsi" w:hAnsiTheme="minorHAnsi"/>
          <w:sz w:val="24"/>
        </w:rPr>
        <w:t xml:space="preserve"> utilizes </w:t>
      </w:r>
      <w:r w:rsidR="00F23EEB" w:rsidRPr="00AE0AB8">
        <w:rPr>
          <w:rFonts w:asciiTheme="minorHAnsi" w:hAnsiTheme="minorHAnsi"/>
          <w:sz w:val="24"/>
        </w:rPr>
        <w:t xml:space="preserve">a derivative of </w:t>
      </w:r>
      <w:r w:rsidR="007B2A5B" w:rsidRPr="00AE0AB8">
        <w:rPr>
          <w:rFonts w:asciiTheme="minorHAnsi" w:hAnsiTheme="minorHAnsi"/>
          <w:sz w:val="24"/>
        </w:rPr>
        <w:t xml:space="preserve">the proprietary methodology behind the ACSI econometric model to link the drivers and consequences of </w:t>
      </w:r>
      <w:r>
        <w:rPr>
          <w:rFonts w:asciiTheme="minorHAnsi" w:hAnsiTheme="minorHAnsi"/>
          <w:sz w:val="24"/>
        </w:rPr>
        <w:t xml:space="preserve">satisfaction. </w:t>
      </w:r>
      <w:r w:rsidR="007B2A5B" w:rsidRPr="00AE0AB8">
        <w:rPr>
          <w:rFonts w:asciiTheme="minorHAnsi" w:hAnsiTheme="minorHAnsi"/>
          <w:sz w:val="24"/>
        </w:rPr>
        <w:t>An important advantage, in contrast to methods that rely solely on survey questions, is that it produces results with statistical stabi</w:t>
      </w:r>
      <w:r>
        <w:rPr>
          <w:rFonts w:asciiTheme="minorHAnsi" w:hAnsiTheme="minorHAnsi"/>
          <w:sz w:val="24"/>
        </w:rPr>
        <w:t xml:space="preserve">lity and low chance variation. </w:t>
      </w:r>
      <w:r w:rsidR="007B2A5B" w:rsidRPr="00AE0AB8">
        <w:rPr>
          <w:rFonts w:asciiTheme="minorHAnsi" w:hAnsiTheme="minorHAnsi"/>
          <w:sz w:val="24"/>
        </w:rPr>
        <w:t>This helps ensure uniform and consistent results that allow cross-agency comparisons and benchmarking.</w:t>
      </w:r>
    </w:p>
    <w:p w14:paraId="1F9F5DA7" w14:textId="77777777" w:rsidR="009E06AE" w:rsidRPr="00AE0AB8" w:rsidRDefault="009E06AE" w:rsidP="00623DBE">
      <w:pPr>
        <w:ind w:left="-180"/>
        <w:rPr>
          <w:rFonts w:asciiTheme="minorHAnsi" w:hAnsiTheme="minorHAnsi"/>
          <w:sz w:val="24"/>
        </w:rPr>
      </w:pPr>
    </w:p>
    <w:p w14:paraId="3FD88C96" w14:textId="28387296" w:rsidR="007B2A5B" w:rsidRPr="00AE0AB8" w:rsidRDefault="007B2A5B" w:rsidP="00623DBE">
      <w:pPr>
        <w:ind w:left="-180"/>
        <w:rPr>
          <w:rFonts w:asciiTheme="minorHAnsi" w:hAnsiTheme="minorHAnsi"/>
          <w:sz w:val="24"/>
        </w:rPr>
      </w:pPr>
      <w:r w:rsidRPr="00AE0AB8">
        <w:rPr>
          <w:rFonts w:asciiTheme="minorHAnsi" w:hAnsiTheme="minorHAnsi"/>
          <w:sz w:val="24"/>
        </w:rPr>
        <w:t xml:space="preserve">The benefits to </w:t>
      </w:r>
      <w:r w:rsidR="00923452">
        <w:rPr>
          <w:rFonts w:asciiTheme="minorHAnsi" w:hAnsiTheme="minorHAnsi"/>
          <w:sz w:val="24"/>
        </w:rPr>
        <w:t>the USPTO</w:t>
      </w:r>
      <w:r w:rsidRPr="00AE0AB8">
        <w:rPr>
          <w:rFonts w:asciiTheme="minorHAnsi" w:hAnsiTheme="minorHAnsi"/>
          <w:sz w:val="24"/>
        </w:rPr>
        <w:t xml:space="preserve"> in using the </w:t>
      </w:r>
      <w:r w:rsidR="00615683" w:rsidRPr="00AE0AB8">
        <w:rPr>
          <w:rFonts w:asciiTheme="minorHAnsi" w:hAnsiTheme="minorHAnsi"/>
          <w:sz w:val="24"/>
        </w:rPr>
        <w:t>ForeSee</w:t>
      </w:r>
      <w:r w:rsidR="009E06AE" w:rsidRPr="00AE0AB8">
        <w:rPr>
          <w:rFonts w:asciiTheme="minorHAnsi" w:hAnsiTheme="minorHAnsi"/>
          <w:sz w:val="24"/>
        </w:rPr>
        <w:t xml:space="preserve"> CXA Methodology</w:t>
      </w:r>
      <w:r w:rsidRPr="00AE0AB8">
        <w:rPr>
          <w:rFonts w:asciiTheme="minorHAnsi" w:hAnsiTheme="minorHAnsi"/>
          <w:sz w:val="24"/>
        </w:rPr>
        <w:t xml:space="preserve"> for customer satisfaction measures are:</w:t>
      </w:r>
    </w:p>
    <w:p w14:paraId="719623D1" w14:textId="77777777" w:rsidR="007B2A5B" w:rsidRPr="00AE0AB8" w:rsidRDefault="007B2A5B" w:rsidP="007B2A5B">
      <w:pPr>
        <w:ind w:left="720"/>
        <w:rPr>
          <w:rFonts w:asciiTheme="minorHAnsi" w:hAnsiTheme="minorHAnsi"/>
          <w:sz w:val="24"/>
        </w:rPr>
      </w:pPr>
    </w:p>
    <w:p w14:paraId="27E8F426" w14:textId="6BB362D2" w:rsidR="007B2A5B" w:rsidRPr="00AE0AB8" w:rsidRDefault="007B2A5B" w:rsidP="00B147AF">
      <w:pPr>
        <w:numPr>
          <w:ilvl w:val="0"/>
          <w:numId w:val="7"/>
        </w:numPr>
        <w:tabs>
          <w:tab w:val="clear" w:pos="2160"/>
          <w:tab w:val="left" w:pos="720"/>
        </w:tabs>
        <w:ind w:left="720" w:hanging="540"/>
        <w:jc w:val="both"/>
        <w:rPr>
          <w:rFonts w:asciiTheme="minorHAnsi" w:hAnsiTheme="minorHAnsi"/>
          <w:sz w:val="24"/>
        </w:rPr>
      </w:pPr>
      <w:r w:rsidRPr="00AE0AB8">
        <w:rPr>
          <w:rFonts w:asciiTheme="minorHAnsi" w:hAnsiTheme="minorHAnsi"/>
          <w:sz w:val="24"/>
        </w:rPr>
        <w:t>Reliance on uniform and scientifically established measure</w:t>
      </w:r>
      <w:r w:rsidR="005547F9">
        <w:rPr>
          <w:rFonts w:asciiTheme="minorHAnsi" w:hAnsiTheme="minorHAnsi"/>
          <w:sz w:val="24"/>
        </w:rPr>
        <w:t>s</w:t>
      </w:r>
      <w:r w:rsidRPr="00AE0AB8">
        <w:rPr>
          <w:rFonts w:asciiTheme="minorHAnsi" w:hAnsiTheme="minorHAnsi"/>
          <w:sz w:val="24"/>
        </w:rPr>
        <w:t xml:space="preserve"> of </w:t>
      </w:r>
      <w:r w:rsidR="009E06AE" w:rsidRPr="00AE0AB8">
        <w:rPr>
          <w:rFonts w:asciiTheme="minorHAnsi" w:hAnsiTheme="minorHAnsi"/>
          <w:sz w:val="24"/>
        </w:rPr>
        <w:t xml:space="preserve">E-Government </w:t>
      </w:r>
      <w:r w:rsidRPr="00AE0AB8">
        <w:rPr>
          <w:rFonts w:asciiTheme="minorHAnsi" w:hAnsiTheme="minorHAnsi"/>
          <w:sz w:val="24"/>
        </w:rPr>
        <w:t>customer satisfaction</w:t>
      </w:r>
      <w:r w:rsidR="009E06AE" w:rsidRPr="00AE0AB8">
        <w:rPr>
          <w:rFonts w:asciiTheme="minorHAnsi" w:hAnsiTheme="minorHAnsi"/>
          <w:sz w:val="24"/>
        </w:rPr>
        <w:t xml:space="preserve">. </w:t>
      </w:r>
    </w:p>
    <w:p w14:paraId="2EEB2CF3" w14:textId="256FBFEF" w:rsidR="007B2A5B" w:rsidRPr="00AE0AB8" w:rsidRDefault="007B2A5B" w:rsidP="00B147AF">
      <w:pPr>
        <w:numPr>
          <w:ilvl w:val="0"/>
          <w:numId w:val="7"/>
        </w:numPr>
        <w:tabs>
          <w:tab w:val="clear" w:pos="2160"/>
        </w:tabs>
        <w:ind w:left="720" w:hanging="540"/>
        <w:jc w:val="both"/>
        <w:rPr>
          <w:rFonts w:asciiTheme="minorHAnsi" w:hAnsiTheme="minorHAnsi"/>
          <w:sz w:val="24"/>
        </w:rPr>
      </w:pPr>
      <w:r w:rsidRPr="00AE0AB8">
        <w:rPr>
          <w:rFonts w:asciiTheme="minorHAnsi" w:hAnsiTheme="minorHAnsi"/>
          <w:sz w:val="24"/>
        </w:rPr>
        <w:t>Confidence in having accurate and researched index</w:t>
      </w:r>
      <w:r w:rsidR="005547F9">
        <w:rPr>
          <w:rFonts w:asciiTheme="minorHAnsi" w:hAnsiTheme="minorHAnsi"/>
          <w:sz w:val="24"/>
        </w:rPr>
        <w:t>es</w:t>
      </w:r>
      <w:r w:rsidRPr="00AE0AB8">
        <w:rPr>
          <w:rFonts w:asciiTheme="minorHAnsi" w:hAnsiTheme="minorHAnsi"/>
          <w:sz w:val="24"/>
        </w:rPr>
        <w:t xml:space="preserve"> of customer satisfaction.</w:t>
      </w:r>
    </w:p>
    <w:p w14:paraId="11DDE25D" w14:textId="77777777" w:rsidR="007B2A5B" w:rsidRPr="00AE0AB8" w:rsidRDefault="007B2A5B" w:rsidP="00B147AF">
      <w:pPr>
        <w:numPr>
          <w:ilvl w:val="0"/>
          <w:numId w:val="7"/>
        </w:numPr>
        <w:tabs>
          <w:tab w:val="clear" w:pos="2160"/>
        </w:tabs>
        <w:ind w:left="720" w:hanging="540"/>
        <w:jc w:val="both"/>
        <w:rPr>
          <w:rFonts w:asciiTheme="minorHAnsi" w:hAnsiTheme="minorHAnsi"/>
          <w:sz w:val="24"/>
        </w:rPr>
      </w:pPr>
      <w:r w:rsidRPr="00AE0AB8">
        <w:rPr>
          <w:rFonts w:asciiTheme="minorHAnsi" w:hAnsiTheme="minorHAnsi"/>
          <w:sz w:val="24"/>
        </w:rPr>
        <w:t>Information on how to improve website satisfaction.</w:t>
      </w:r>
    </w:p>
    <w:p w14:paraId="0841CA87" w14:textId="7D183849" w:rsidR="007B2A5B" w:rsidRPr="00AE0AB8" w:rsidRDefault="00923452" w:rsidP="00B147AF">
      <w:pPr>
        <w:numPr>
          <w:ilvl w:val="0"/>
          <w:numId w:val="7"/>
        </w:numPr>
        <w:tabs>
          <w:tab w:val="clear" w:pos="2160"/>
        </w:tabs>
        <w:ind w:left="720" w:hanging="540"/>
        <w:jc w:val="both"/>
        <w:rPr>
          <w:rFonts w:asciiTheme="minorHAnsi" w:hAnsiTheme="minorHAnsi"/>
          <w:sz w:val="24"/>
        </w:rPr>
      </w:pPr>
      <w:r>
        <w:rPr>
          <w:rFonts w:asciiTheme="minorHAnsi" w:hAnsiTheme="minorHAnsi"/>
          <w:sz w:val="24"/>
        </w:rPr>
        <w:t>Impartiality and objectivity</w:t>
      </w:r>
      <w:r w:rsidR="007B2A5B" w:rsidRPr="00AE0AB8">
        <w:rPr>
          <w:rFonts w:asciiTheme="minorHAnsi" w:hAnsiTheme="minorHAnsi"/>
          <w:sz w:val="24"/>
        </w:rPr>
        <w:t xml:space="preserve"> </w:t>
      </w:r>
      <w:r w:rsidR="009E06AE" w:rsidRPr="00AE0AB8">
        <w:rPr>
          <w:rFonts w:asciiTheme="minorHAnsi" w:hAnsiTheme="minorHAnsi"/>
          <w:sz w:val="24"/>
        </w:rPr>
        <w:t xml:space="preserve">in website satisfaction. </w:t>
      </w:r>
    </w:p>
    <w:p w14:paraId="5F034E1F" w14:textId="77777777" w:rsidR="007B2A5B" w:rsidRPr="00AE0AB8" w:rsidRDefault="007B2A5B" w:rsidP="00B147AF">
      <w:pPr>
        <w:numPr>
          <w:ilvl w:val="0"/>
          <w:numId w:val="7"/>
        </w:numPr>
        <w:tabs>
          <w:tab w:val="clear" w:pos="2160"/>
        </w:tabs>
        <w:ind w:left="720" w:hanging="540"/>
        <w:jc w:val="both"/>
        <w:rPr>
          <w:rFonts w:asciiTheme="minorHAnsi" w:hAnsiTheme="minorHAnsi"/>
          <w:sz w:val="24"/>
        </w:rPr>
      </w:pPr>
      <w:r w:rsidRPr="00AE0AB8">
        <w:rPr>
          <w:rFonts w:asciiTheme="minorHAnsi" w:hAnsiTheme="minorHAnsi"/>
          <w:sz w:val="24"/>
        </w:rPr>
        <w:t>High quality of data.</w:t>
      </w:r>
    </w:p>
    <w:p w14:paraId="1CD8D421" w14:textId="77777777" w:rsidR="007B2A5B" w:rsidRPr="00AE0AB8" w:rsidRDefault="007B2A5B" w:rsidP="00B147AF">
      <w:pPr>
        <w:numPr>
          <w:ilvl w:val="0"/>
          <w:numId w:val="7"/>
        </w:numPr>
        <w:tabs>
          <w:tab w:val="clear" w:pos="2160"/>
        </w:tabs>
        <w:ind w:left="720" w:hanging="540"/>
        <w:jc w:val="both"/>
        <w:rPr>
          <w:rFonts w:asciiTheme="minorHAnsi" w:hAnsiTheme="minorHAnsi"/>
          <w:sz w:val="24"/>
        </w:rPr>
      </w:pPr>
      <w:r w:rsidRPr="00AE0AB8">
        <w:rPr>
          <w:rFonts w:asciiTheme="minorHAnsi" w:hAnsiTheme="minorHAnsi"/>
          <w:sz w:val="24"/>
        </w:rPr>
        <w:t>Ability to measure customer satisfaction continuously.</w:t>
      </w:r>
    </w:p>
    <w:p w14:paraId="7E73A278" w14:textId="77777777" w:rsidR="00E176C9" w:rsidRPr="00AE0AB8" w:rsidRDefault="00E176C9" w:rsidP="005547F9">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rPr>
      </w:pPr>
    </w:p>
    <w:p w14:paraId="352CCF34" w14:textId="5F9AB27F" w:rsidR="008A1B21" w:rsidRPr="00AE0AB8" w:rsidRDefault="00E50161" w:rsidP="00E176C9">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heme="minorHAnsi" w:hAnsiTheme="minorHAnsi"/>
          <w:sz w:val="24"/>
        </w:rPr>
      </w:pPr>
      <w:r w:rsidRPr="00AE0AB8">
        <w:rPr>
          <w:rFonts w:asciiTheme="minorHAnsi" w:hAnsiTheme="minorHAnsi"/>
          <w:sz w:val="24"/>
        </w:rPr>
        <w:t xml:space="preserve">A brief </w:t>
      </w:r>
      <w:r w:rsidR="008A1B21" w:rsidRPr="00AE0AB8">
        <w:rPr>
          <w:rFonts w:asciiTheme="minorHAnsi" w:hAnsiTheme="minorHAnsi"/>
          <w:sz w:val="24"/>
        </w:rPr>
        <w:t>survey</w:t>
      </w:r>
      <w:r w:rsidR="0061518F" w:rsidRPr="00AE0AB8">
        <w:rPr>
          <w:rFonts w:asciiTheme="minorHAnsi" w:hAnsiTheme="minorHAnsi"/>
          <w:sz w:val="24"/>
        </w:rPr>
        <w:t xml:space="preserve"> made up of a combination of standard and</w:t>
      </w:r>
      <w:r w:rsidR="005547F9">
        <w:rPr>
          <w:rFonts w:asciiTheme="minorHAnsi" w:hAnsiTheme="minorHAnsi"/>
          <w:sz w:val="24"/>
        </w:rPr>
        <w:t>/or</w:t>
      </w:r>
      <w:r w:rsidR="0061518F" w:rsidRPr="00AE0AB8">
        <w:rPr>
          <w:rFonts w:asciiTheme="minorHAnsi" w:hAnsiTheme="minorHAnsi"/>
          <w:sz w:val="24"/>
        </w:rPr>
        <w:t xml:space="preserve"> custom questions</w:t>
      </w:r>
      <w:r w:rsidR="008A1B21" w:rsidRPr="00AE0AB8">
        <w:rPr>
          <w:rFonts w:asciiTheme="minorHAnsi" w:hAnsiTheme="minorHAnsi"/>
          <w:sz w:val="24"/>
        </w:rPr>
        <w:t xml:space="preserve"> is triggered randomly for the smallest possible percentage of site visitors needed to achieve statis</w:t>
      </w:r>
      <w:r w:rsidRPr="00AE0AB8">
        <w:rPr>
          <w:rFonts w:asciiTheme="minorHAnsi" w:hAnsiTheme="minorHAnsi"/>
          <w:sz w:val="24"/>
        </w:rPr>
        <w:t>tically valid information</w:t>
      </w:r>
      <w:r w:rsidR="008A1B21" w:rsidRPr="00AE0AB8">
        <w:rPr>
          <w:rFonts w:asciiTheme="minorHAnsi" w:hAnsiTheme="minorHAnsi"/>
          <w:sz w:val="24"/>
        </w:rPr>
        <w:t>. The survey gath</w:t>
      </w:r>
      <w:r w:rsidR="00923452">
        <w:rPr>
          <w:rFonts w:asciiTheme="minorHAnsi" w:hAnsiTheme="minorHAnsi"/>
          <w:sz w:val="24"/>
        </w:rPr>
        <w:t xml:space="preserve">ers information from </w:t>
      </w:r>
      <w:r w:rsidR="008A1B21" w:rsidRPr="00AE0AB8">
        <w:rPr>
          <w:rFonts w:asciiTheme="minorHAnsi" w:hAnsiTheme="minorHAnsi"/>
          <w:sz w:val="24"/>
        </w:rPr>
        <w:t>visitors about their</w:t>
      </w:r>
      <w:r w:rsidR="00923452">
        <w:rPr>
          <w:rFonts w:asciiTheme="minorHAnsi" w:hAnsiTheme="minorHAnsi"/>
          <w:sz w:val="24"/>
        </w:rPr>
        <w:t xml:space="preserve"> overall satisfaction with the A</w:t>
      </w:r>
      <w:r w:rsidR="008A1B21" w:rsidRPr="00AE0AB8">
        <w:rPr>
          <w:rFonts w:asciiTheme="minorHAnsi" w:hAnsiTheme="minorHAnsi"/>
          <w:sz w:val="24"/>
        </w:rPr>
        <w:t>gency’s site</w:t>
      </w:r>
      <w:r w:rsidR="005547F9">
        <w:rPr>
          <w:rFonts w:asciiTheme="minorHAnsi" w:hAnsiTheme="minorHAnsi"/>
          <w:sz w:val="24"/>
        </w:rPr>
        <w:t>s</w:t>
      </w:r>
      <w:r w:rsidR="008A1B21" w:rsidRPr="00AE0AB8">
        <w:rPr>
          <w:rFonts w:asciiTheme="minorHAnsi" w:hAnsiTheme="minorHAnsi"/>
          <w:sz w:val="24"/>
        </w:rPr>
        <w:t>, satisfaction with specific site elements, and their likelihood to return to, r</w:t>
      </w:r>
      <w:r w:rsidR="00923452">
        <w:rPr>
          <w:rFonts w:asciiTheme="minorHAnsi" w:hAnsiTheme="minorHAnsi"/>
          <w:sz w:val="24"/>
        </w:rPr>
        <w:t>ecommend, or transact with A</w:t>
      </w:r>
      <w:r w:rsidR="008A1B21" w:rsidRPr="00AE0AB8">
        <w:rPr>
          <w:rFonts w:asciiTheme="minorHAnsi" w:hAnsiTheme="minorHAnsi"/>
          <w:sz w:val="24"/>
        </w:rPr>
        <w:t>gency site</w:t>
      </w:r>
      <w:r w:rsidR="005547F9">
        <w:rPr>
          <w:rFonts w:asciiTheme="minorHAnsi" w:hAnsiTheme="minorHAnsi"/>
          <w:sz w:val="24"/>
        </w:rPr>
        <w:t>s</w:t>
      </w:r>
      <w:r w:rsidR="008A1B21" w:rsidRPr="00AE0AB8">
        <w:rPr>
          <w:rFonts w:asciiTheme="minorHAnsi" w:hAnsiTheme="minorHAnsi"/>
          <w:sz w:val="24"/>
        </w:rPr>
        <w:t xml:space="preserve"> in the fut</w:t>
      </w:r>
      <w:r w:rsidR="00923452">
        <w:rPr>
          <w:rFonts w:asciiTheme="minorHAnsi" w:hAnsiTheme="minorHAnsi"/>
          <w:sz w:val="24"/>
        </w:rPr>
        <w:t>ure.</w:t>
      </w:r>
      <w:r w:rsidR="00105B62" w:rsidRPr="00AE0AB8">
        <w:rPr>
          <w:rFonts w:asciiTheme="minorHAnsi" w:hAnsiTheme="minorHAnsi"/>
          <w:sz w:val="24"/>
        </w:rPr>
        <w:t xml:space="preserve"> </w:t>
      </w:r>
      <w:r w:rsidR="008A1B21" w:rsidRPr="00AE0AB8">
        <w:rPr>
          <w:rFonts w:asciiTheme="minorHAnsi" w:hAnsiTheme="minorHAnsi"/>
          <w:sz w:val="24"/>
        </w:rPr>
        <w:t xml:space="preserve">All reporting and data storage </w:t>
      </w:r>
      <w:r w:rsidR="00A30E51" w:rsidRPr="00AE0AB8">
        <w:rPr>
          <w:rFonts w:asciiTheme="minorHAnsi" w:hAnsiTheme="minorHAnsi"/>
          <w:sz w:val="24"/>
        </w:rPr>
        <w:t>are</w:t>
      </w:r>
      <w:r w:rsidR="008A1B21" w:rsidRPr="00AE0AB8">
        <w:rPr>
          <w:rFonts w:asciiTheme="minorHAnsi" w:hAnsiTheme="minorHAnsi"/>
          <w:sz w:val="24"/>
        </w:rPr>
        <w:t xml:space="preserve"> done through </w:t>
      </w:r>
      <w:r w:rsidR="001E667F" w:rsidRPr="00AE0AB8">
        <w:rPr>
          <w:rFonts w:asciiTheme="minorHAnsi" w:hAnsiTheme="minorHAnsi"/>
          <w:sz w:val="24"/>
        </w:rPr>
        <w:t xml:space="preserve">secure </w:t>
      </w:r>
      <w:r w:rsidR="008A1B21" w:rsidRPr="00AE0AB8">
        <w:rPr>
          <w:rFonts w:asciiTheme="minorHAnsi" w:hAnsiTheme="minorHAnsi"/>
          <w:sz w:val="24"/>
        </w:rPr>
        <w:t xml:space="preserve">servers that reside at the </w:t>
      </w:r>
      <w:r w:rsidR="00615683" w:rsidRPr="00AE0AB8">
        <w:rPr>
          <w:rFonts w:asciiTheme="minorHAnsi" w:hAnsiTheme="minorHAnsi"/>
          <w:sz w:val="24"/>
        </w:rPr>
        <w:t>ForeSee</w:t>
      </w:r>
      <w:r w:rsidRPr="00AE0AB8">
        <w:rPr>
          <w:rFonts w:asciiTheme="minorHAnsi" w:hAnsiTheme="minorHAnsi"/>
          <w:sz w:val="24"/>
        </w:rPr>
        <w:t xml:space="preserve"> </w:t>
      </w:r>
      <w:r w:rsidR="008A1B21" w:rsidRPr="00AE0AB8">
        <w:rPr>
          <w:rFonts w:asciiTheme="minorHAnsi" w:hAnsiTheme="minorHAnsi"/>
          <w:sz w:val="24"/>
        </w:rPr>
        <w:t xml:space="preserve">site so that </w:t>
      </w:r>
      <w:r w:rsidR="00923452">
        <w:rPr>
          <w:rFonts w:asciiTheme="minorHAnsi" w:hAnsiTheme="minorHAnsi"/>
          <w:sz w:val="24"/>
        </w:rPr>
        <w:t>USPTO</w:t>
      </w:r>
      <w:r w:rsidR="008A1B21" w:rsidRPr="00AE0AB8">
        <w:rPr>
          <w:rFonts w:asciiTheme="minorHAnsi" w:hAnsiTheme="minorHAnsi"/>
          <w:sz w:val="24"/>
        </w:rPr>
        <w:t xml:space="preserve"> site performance is not affected. In addition, aggregate data on website satisfaction </w:t>
      </w:r>
      <w:r w:rsidR="00A30E51" w:rsidRPr="00AE0AB8">
        <w:rPr>
          <w:rFonts w:asciiTheme="minorHAnsi" w:hAnsiTheme="minorHAnsi"/>
          <w:sz w:val="24"/>
        </w:rPr>
        <w:t>is</w:t>
      </w:r>
      <w:r w:rsidR="008A1B21" w:rsidRPr="00AE0AB8">
        <w:rPr>
          <w:rFonts w:asciiTheme="minorHAnsi" w:hAnsiTheme="minorHAnsi"/>
          <w:sz w:val="24"/>
        </w:rPr>
        <w:t xml:space="preserve"> maintained and available for comparative purposes.</w:t>
      </w:r>
    </w:p>
    <w:p w14:paraId="1315D03D" w14:textId="77777777" w:rsidR="002727A3" w:rsidRPr="00AE0AB8" w:rsidRDefault="002727A3" w:rsidP="00623DBE">
      <w:pPr>
        <w:tabs>
          <w:tab w:val="left" w:pos="-180"/>
        </w:tabs>
        <w:ind w:left="-180"/>
        <w:rPr>
          <w:rFonts w:asciiTheme="minorHAnsi" w:hAnsiTheme="minorHAnsi"/>
          <w:sz w:val="24"/>
        </w:rPr>
      </w:pPr>
    </w:p>
    <w:p w14:paraId="72131825" w14:textId="607FB226" w:rsidR="00A862E4" w:rsidRDefault="005547F9" w:rsidP="005547F9">
      <w:pPr>
        <w:tabs>
          <w:tab w:val="left" w:pos="-180"/>
        </w:tabs>
        <w:ind w:left="-180"/>
        <w:rPr>
          <w:rFonts w:asciiTheme="minorHAnsi" w:hAnsiTheme="minorHAnsi"/>
        </w:rPr>
      </w:pPr>
      <w:r>
        <w:rPr>
          <w:rFonts w:asciiTheme="minorHAnsi" w:hAnsiTheme="minorHAnsi"/>
          <w:sz w:val="24"/>
        </w:rPr>
        <w:t>The surveys may present questions in a variety of formats, such as numeric sales, mult</w:t>
      </w:r>
      <w:r w:rsidR="00D73317">
        <w:rPr>
          <w:rFonts w:asciiTheme="minorHAnsi" w:hAnsiTheme="minorHAnsi"/>
          <w:sz w:val="24"/>
        </w:rPr>
        <w:t xml:space="preserve">iple choice, or comment boxes. </w:t>
      </w:r>
      <w:r>
        <w:rPr>
          <w:rFonts w:asciiTheme="minorHAnsi" w:hAnsiTheme="minorHAnsi"/>
          <w:sz w:val="24"/>
        </w:rPr>
        <w:t>The content of each question covers a range of user experience, such as general satisfaction, ease of use, look and feel, future behavior, and other similar topics.</w:t>
      </w:r>
      <w:r w:rsidRPr="00AE0AB8">
        <w:rPr>
          <w:rFonts w:asciiTheme="minorHAnsi" w:hAnsiTheme="minorHAnsi"/>
        </w:rPr>
        <w:t xml:space="preserve"> </w:t>
      </w:r>
    </w:p>
    <w:p w14:paraId="1DE257D0" w14:textId="7CE5BF28" w:rsidR="004C69B6" w:rsidRDefault="004C69B6" w:rsidP="005547F9">
      <w:pPr>
        <w:tabs>
          <w:tab w:val="left" w:pos="-180"/>
        </w:tabs>
        <w:ind w:left="-180"/>
        <w:rPr>
          <w:rFonts w:asciiTheme="minorHAnsi" w:hAnsiTheme="minorHAnsi"/>
        </w:rPr>
      </w:pPr>
    </w:p>
    <w:p w14:paraId="14E34E68" w14:textId="5A2F6515" w:rsidR="004C69B6" w:rsidRPr="004C69B6" w:rsidRDefault="004C69B6" w:rsidP="005547F9">
      <w:pPr>
        <w:tabs>
          <w:tab w:val="left" w:pos="-180"/>
        </w:tabs>
        <w:ind w:left="-180"/>
        <w:rPr>
          <w:rFonts w:asciiTheme="minorHAnsi" w:hAnsiTheme="minorHAnsi"/>
          <w:sz w:val="24"/>
        </w:rPr>
      </w:pPr>
      <w:r>
        <w:rPr>
          <w:rFonts w:asciiTheme="minorHAnsi" w:hAnsiTheme="minorHAnsi"/>
          <w:sz w:val="24"/>
        </w:rPr>
        <w:t xml:space="preserve">The </w:t>
      </w:r>
      <w:r w:rsidRPr="004C69B6">
        <w:rPr>
          <w:rFonts w:asciiTheme="minorHAnsi" w:hAnsiTheme="minorHAnsi"/>
          <w:sz w:val="24"/>
        </w:rPr>
        <w:t xml:space="preserve">USPTO will </w:t>
      </w:r>
      <w:r>
        <w:rPr>
          <w:rFonts w:asciiTheme="minorHAnsi" w:hAnsiTheme="minorHAnsi"/>
          <w:sz w:val="24"/>
        </w:rPr>
        <w:t xml:space="preserve">use the survey results for internal purposes only; the results will neither be published nor used to measure outcomes of Agency programs. The surveys will likewise be used only to assess customer service of Agency websites. </w:t>
      </w:r>
    </w:p>
    <w:p w14:paraId="0CA90476" w14:textId="77777777" w:rsidR="00D77BE2" w:rsidRDefault="00D77BE2" w:rsidP="00D77BE2">
      <w:pPr>
        <w:rPr>
          <w:rFonts w:asciiTheme="minorHAnsi" w:hAnsiTheme="minorHAnsi"/>
        </w:rPr>
      </w:pPr>
    </w:p>
    <w:p w14:paraId="31B63873" w14:textId="2F06C0BC" w:rsidR="00E50161" w:rsidRPr="00D77BE2" w:rsidRDefault="00D77BE2" w:rsidP="00B147AF">
      <w:pPr>
        <w:pStyle w:val="ListParagraph"/>
        <w:numPr>
          <w:ilvl w:val="0"/>
          <w:numId w:val="27"/>
        </w:numPr>
        <w:ind w:left="450" w:hanging="630"/>
        <w:rPr>
          <w:rFonts w:asciiTheme="minorHAnsi" w:hAnsiTheme="minorHAnsi"/>
          <w:sz w:val="24"/>
        </w:rPr>
      </w:pPr>
      <w:r w:rsidRPr="00D77BE2">
        <w:rPr>
          <w:rFonts w:asciiTheme="minorHAnsi" w:hAnsiTheme="minorHAnsi"/>
          <w:b/>
          <w:sz w:val="24"/>
          <w:szCs w:val="24"/>
        </w:rPr>
        <w:t>Consideration Given to Information Technology</w:t>
      </w:r>
    </w:p>
    <w:p w14:paraId="59A0C557" w14:textId="77777777" w:rsidR="00D77BE2" w:rsidRDefault="00D77BE2" w:rsidP="007A2757">
      <w:pPr>
        <w:ind w:left="-360"/>
        <w:rPr>
          <w:rFonts w:asciiTheme="minorHAnsi" w:hAnsiTheme="minorHAnsi"/>
          <w:sz w:val="24"/>
        </w:rPr>
      </w:pPr>
    </w:p>
    <w:p w14:paraId="36A05CAF" w14:textId="20D3F891" w:rsidR="008A1B21" w:rsidRPr="00AE0AB8" w:rsidRDefault="0085681F" w:rsidP="00B147AF">
      <w:pPr>
        <w:ind w:left="-180"/>
        <w:rPr>
          <w:rFonts w:asciiTheme="minorHAnsi" w:hAnsiTheme="minorHAnsi"/>
          <w:sz w:val="24"/>
        </w:rPr>
      </w:pPr>
      <w:r w:rsidRPr="00AE0AB8">
        <w:rPr>
          <w:rFonts w:asciiTheme="minorHAnsi" w:hAnsiTheme="minorHAnsi"/>
          <w:sz w:val="24"/>
        </w:rPr>
        <w:t xml:space="preserve">The ForeSee CXA methodology is an online survey tool that is fully automated for data collection and reporting. </w:t>
      </w:r>
      <w:r w:rsidR="00E176C9" w:rsidRPr="00AE0AB8">
        <w:rPr>
          <w:rFonts w:asciiTheme="minorHAnsi" w:hAnsiTheme="minorHAnsi"/>
          <w:sz w:val="24"/>
        </w:rPr>
        <w:t>M</w:t>
      </w:r>
      <w:r w:rsidR="00105B62" w:rsidRPr="00AE0AB8">
        <w:rPr>
          <w:rFonts w:asciiTheme="minorHAnsi" w:hAnsiTheme="minorHAnsi"/>
          <w:sz w:val="24"/>
        </w:rPr>
        <w:t>ost o</w:t>
      </w:r>
      <w:r w:rsidR="001E667F" w:rsidRPr="00AE0AB8">
        <w:rPr>
          <w:rFonts w:asciiTheme="minorHAnsi" w:hAnsiTheme="minorHAnsi"/>
          <w:sz w:val="24"/>
        </w:rPr>
        <w:t xml:space="preserve">ther </w:t>
      </w:r>
      <w:r w:rsidR="008A1B21" w:rsidRPr="00AE0AB8">
        <w:rPr>
          <w:rFonts w:asciiTheme="minorHAnsi" w:hAnsiTheme="minorHAnsi"/>
          <w:sz w:val="24"/>
        </w:rPr>
        <w:t xml:space="preserve">tools available to agencies measure activities such as numbers of page </w:t>
      </w:r>
      <w:r w:rsidR="001E667F" w:rsidRPr="00AE0AB8">
        <w:rPr>
          <w:rFonts w:asciiTheme="minorHAnsi" w:hAnsiTheme="minorHAnsi"/>
          <w:sz w:val="24"/>
        </w:rPr>
        <w:t>views</w:t>
      </w:r>
      <w:r w:rsidR="008A1B21" w:rsidRPr="00AE0AB8">
        <w:rPr>
          <w:rFonts w:asciiTheme="minorHAnsi" w:hAnsiTheme="minorHAnsi"/>
          <w:sz w:val="24"/>
        </w:rPr>
        <w:t>, amount of time per visit to a website, percentage of website reliability, etc., but do not capture data on customer satisfaction.</w:t>
      </w:r>
      <w:r w:rsidR="00D77BE2">
        <w:rPr>
          <w:rFonts w:asciiTheme="minorHAnsi" w:hAnsiTheme="minorHAnsi"/>
          <w:sz w:val="24"/>
        </w:rPr>
        <w:t xml:space="preserve"> </w:t>
      </w:r>
      <w:r w:rsidR="006F3A0F" w:rsidRPr="00AE0AB8">
        <w:rPr>
          <w:rFonts w:asciiTheme="minorHAnsi" w:hAnsiTheme="minorHAnsi"/>
          <w:sz w:val="24"/>
        </w:rPr>
        <w:t xml:space="preserve">Moreover, most </w:t>
      </w:r>
      <w:r w:rsidR="001E667F" w:rsidRPr="00AE0AB8">
        <w:rPr>
          <w:rFonts w:asciiTheme="minorHAnsi" w:hAnsiTheme="minorHAnsi"/>
          <w:sz w:val="24"/>
        </w:rPr>
        <w:t xml:space="preserve">other </w:t>
      </w:r>
      <w:r w:rsidR="006F3A0F" w:rsidRPr="00AE0AB8">
        <w:rPr>
          <w:rFonts w:asciiTheme="minorHAnsi" w:hAnsiTheme="minorHAnsi"/>
          <w:sz w:val="24"/>
        </w:rPr>
        <w:t>customer satisfaction survey tools are not able to capture data on the customer experience both randomly and after the customer</w:t>
      </w:r>
      <w:r w:rsidR="0019634E" w:rsidRPr="00AE0AB8">
        <w:rPr>
          <w:rFonts w:asciiTheme="minorHAnsi" w:hAnsiTheme="minorHAnsi"/>
          <w:sz w:val="24"/>
        </w:rPr>
        <w:t xml:space="preserve"> </w:t>
      </w:r>
      <w:r w:rsidR="006F3A0F" w:rsidRPr="00AE0AB8">
        <w:rPr>
          <w:rFonts w:asciiTheme="minorHAnsi" w:hAnsiTheme="minorHAnsi"/>
          <w:sz w:val="24"/>
        </w:rPr>
        <w:t>has visited sufficient web pages to render a reasonable evaluation of their experience.</w:t>
      </w:r>
      <w:r w:rsidR="00E176C9" w:rsidRPr="00AE0AB8">
        <w:rPr>
          <w:rFonts w:asciiTheme="minorHAnsi" w:hAnsiTheme="minorHAnsi"/>
          <w:sz w:val="24"/>
        </w:rPr>
        <w:t xml:space="preserve"> Data is collected with state-of-the art technology and requires only an average of </w:t>
      </w:r>
      <w:r w:rsidR="00D73317">
        <w:rPr>
          <w:rFonts w:asciiTheme="minorHAnsi" w:hAnsiTheme="minorHAnsi"/>
          <w:sz w:val="24"/>
        </w:rPr>
        <w:t>8</w:t>
      </w:r>
      <w:r w:rsidR="00E176C9" w:rsidRPr="00AE0AB8">
        <w:rPr>
          <w:rFonts w:asciiTheme="minorHAnsi" w:hAnsiTheme="minorHAnsi"/>
          <w:sz w:val="24"/>
        </w:rPr>
        <w:t xml:space="preserve"> minutes of the participant’s time.</w:t>
      </w:r>
    </w:p>
    <w:p w14:paraId="4110754C" w14:textId="77777777" w:rsidR="00EC20FB" w:rsidRPr="00AE0AB8" w:rsidRDefault="00EC20FB" w:rsidP="00EC20FB">
      <w:pPr>
        <w:jc w:val="both"/>
        <w:rPr>
          <w:rFonts w:asciiTheme="minorHAnsi" w:hAnsiTheme="minorHAnsi"/>
          <w:sz w:val="24"/>
        </w:rPr>
      </w:pPr>
    </w:p>
    <w:p w14:paraId="757E676B" w14:textId="45F7DF2E" w:rsidR="00EC20FB" w:rsidRPr="00D77BE2" w:rsidRDefault="00D77BE2" w:rsidP="00B147AF">
      <w:pPr>
        <w:pStyle w:val="ListParagraph"/>
        <w:numPr>
          <w:ilvl w:val="0"/>
          <w:numId w:val="27"/>
        </w:numPr>
        <w:ind w:left="450" w:hanging="630"/>
        <w:jc w:val="both"/>
        <w:rPr>
          <w:rFonts w:asciiTheme="minorHAnsi" w:hAnsiTheme="minorHAnsi"/>
          <w:b/>
          <w:sz w:val="24"/>
          <w:szCs w:val="24"/>
        </w:rPr>
      </w:pPr>
      <w:r w:rsidRPr="00D77BE2">
        <w:rPr>
          <w:rFonts w:asciiTheme="minorHAnsi" w:hAnsiTheme="minorHAnsi"/>
          <w:b/>
          <w:sz w:val="24"/>
          <w:szCs w:val="24"/>
        </w:rPr>
        <w:t>Duplication of Information</w:t>
      </w:r>
    </w:p>
    <w:p w14:paraId="37D7D17D" w14:textId="77777777" w:rsidR="00D77BE2" w:rsidRDefault="00D77BE2" w:rsidP="007A2757">
      <w:pPr>
        <w:ind w:left="-360"/>
        <w:rPr>
          <w:rFonts w:asciiTheme="minorHAnsi" w:hAnsiTheme="minorHAnsi"/>
          <w:sz w:val="24"/>
        </w:rPr>
      </w:pPr>
    </w:p>
    <w:p w14:paraId="0D5279C5" w14:textId="5B46EAFC" w:rsidR="00EA62E9" w:rsidRPr="00AE0AB8" w:rsidRDefault="00870F95" w:rsidP="00B147AF">
      <w:pPr>
        <w:ind w:left="-180"/>
        <w:rPr>
          <w:rFonts w:asciiTheme="minorHAnsi" w:hAnsiTheme="minorHAnsi"/>
          <w:sz w:val="24"/>
        </w:rPr>
      </w:pPr>
      <w:r w:rsidRPr="00AE0AB8">
        <w:rPr>
          <w:rFonts w:asciiTheme="minorHAnsi" w:hAnsiTheme="minorHAnsi"/>
          <w:sz w:val="24"/>
        </w:rPr>
        <w:t>Respondents for the web</w:t>
      </w:r>
      <w:r w:rsidR="00EA62E9" w:rsidRPr="00AE0AB8">
        <w:rPr>
          <w:rFonts w:asciiTheme="minorHAnsi" w:hAnsiTheme="minorHAnsi"/>
          <w:sz w:val="24"/>
        </w:rPr>
        <w:t>site</w:t>
      </w:r>
      <w:r w:rsidRPr="00AE0AB8">
        <w:rPr>
          <w:rFonts w:asciiTheme="minorHAnsi" w:hAnsiTheme="minorHAnsi"/>
          <w:sz w:val="24"/>
        </w:rPr>
        <w:t xml:space="preserve"> survey are selected at random and, typically, only after the website visitor has had a unique experience w</w:t>
      </w:r>
      <w:r w:rsidR="00D77BE2">
        <w:rPr>
          <w:rFonts w:asciiTheme="minorHAnsi" w:hAnsiTheme="minorHAnsi"/>
          <w:sz w:val="24"/>
        </w:rPr>
        <w:t>ith the Agency’s website. I</w:t>
      </w:r>
      <w:r w:rsidRPr="00AE0AB8">
        <w:rPr>
          <w:rFonts w:asciiTheme="minorHAnsi" w:hAnsiTheme="minorHAnsi"/>
          <w:sz w:val="24"/>
        </w:rPr>
        <w:t>ndividual respondents will</w:t>
      </w:r>
      <w:r w:rsidR="00D77BE2">
        <w:rPr>
          <w:rFonts w:asciiTheme="minorHAnsi" w:hAnsiTheme="minorHAnsi"/>
          <w:sz w:val="24"/>
        </w:rPr>
        <w:t xml:space="preserve"> not</w:t>
      </w:r>
      <w:r w:rsidRPr="00AE0AB8">
        <w:rPr>
          <w:rFonts w:asciiTheme="minorHAnsi" w:hAnsiTheme="minorHAnsi"/>
          <w:sz w:val="24"/>
        </w:rPr>
        <w:t xml:space="preserve"> be selected to complete more than one random survey</w:t>
      </w:r>
      <w:r w:rsidR="001E667F" w:rsidRPr="00AE0AB8">
        <w:rPr>
          <w:rFonts w:asciiTheme="minorHAnsi" w:hAnsiTheme="minorHAnsi"/>
          <w:sz w:val="24"/>
        </w:rPr>
        <w:t xml:space="preserve">. </w:t>
      </w:r>
    </w:p>
    <w:p w14:paraId="301644D2" w14:textId="77777777" w:rsidR="0085681F" w:rsidRPr="00AE0AB8" w:rsidRDefault="0085681F" w:rsidP="007A2757">
      <w:pPr>
        <w:ind w:left="-360"/>
        <w:rPr>
          <w:rFonts w:asciiTheme="minorHAnsi" w:hAnsiTheme="minorHAnsi"/>
          <w:sz w:val="24"/>
        </w:rPr>
      </w:pPr>
    </w:p>
    <w:p w14:paraId="7C0F9145" w14:textId="5959FE1D" w:rsidR="00EC20FB" w:rsidRPr="00D77BE2" w:rsidRDefault="00D77BE2" w:rsidP="00B147AF">
      <w:pPr>
        <w:pStyle w:val="ListParagraph"/>
        <w:numPr>
          <w:ilvl w:val="0"/>
          <w:numId w:val="27"/>
        </w:num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30"/>
        <w:rPr>
          <w:rFonts w:asciiTheme="minorHAnsi" w:hAnsiTheme="minorHAnsi"/>
          <w:b/>
          <w:sz w:val="24"/>
          <w:szCs w:val="24"/>
        </w:rPr>
      </w:pPr>
      <w:r w:rsidRPr="00D77BE2">
        <w:rPr>
          <w:rFonts w:asciiTheme="minorHAnsi" w:hAnsiTheme="minorHAnsi"/>
          <w:b/>
          <w:sz w:val="24"/>
          <w:szCs w:val="24"/>
        </w:rPr>
        <w:t>Reducing the Burden on Small Entities</w:t>
      </w:r>
    </w:p>
    <w:p w14:paraId="7C44F774" w14:textId="77777777" w:rsidR="00EC20FB" w:rsidRPr="00AE0AB8" w:rsidRDefault="00EC20FB" w:rsidP="00EC20FB">
      <w:pPr>
        <w:jc w:val="both"/>
        <w:rPr>
          <w:rFonts w:asciiTheme="minorHAnsi" w:hAnsiTheme="minorHAnsi"/>
          <w:sz w:val="24"/>
        </w:rPr>
      </w:pPr>
    </w:p>
    <w:p w14:paraId="7CD612D9" w14:textId="77777777" w:rsidR="00E50161" w:rsidRPr="00AE0AB8" w:rsidRDefault="00E50161" w:rsidP="00B147AF">
      <w:pPr>
        <w:ind w:left="-180"/>
        <w:rPr>
          <w:rFonts w:asciiTheme="minorHAnsi" w:hAnsiTheme="minorHAnsi"/>
          <w:sz w:val="24"/>
        </w:rPr>
      </w:pPr>
      <w:r w:rsidRPr="00AE0AB8">
        <w:rPr>
          <w:rFonts w:asciiTheme="minorHAnsi" w:hAnsiTheme="minorHAnsi"/>
          <w:sz w:val="24"/>
        </w:rPr>
        <w:t xml:space="preserve">The collection of information will </w:t>
      </w:r>
      <w:r w:rsidR="007A2757" w:rsidRPr="00AE0AB8">
        <w:rPr>
          <w:rFonts w:asciiTheme="minorHAnsi" w:hAnsiTheme="minorHAnsi"/>
          <w:sz w:val="24"/>
        </w:rPr>
        <w:t xml:space="preserve">have no significant </w:t>
      </w:r>
      <w:r w:rsidRPr="00AE0AB8">
        <w:rPr>
          <w:rFonts w:asciiTheme="minorHAnsi" w:hAnsiTheme="minorHAnsi"/>
          <w:sz w:val="24"/>
        </w:rPr>
        <w:t xml:space="preserve">impact </w:t>
      </w:r>
      <w:r w:rsidR="007A2757" w:rsidRPr="00AE0AB8">
        <w:rPr>
          <w:rFonts w:asciiTheme="minorHAnsi" w:hAnsiTheme="minorHAnsi"/>
          <w:sz w:val="24"/>
        </w:rPr>
        <w:t xml:space="preserve">on </w:t>
      </w:r>
      <w:r w:rsidRPr="00AE0AB8">
        <w:rPr>
          <w:rFonts w:asciiTheme="minorHAnsi" w:hAnsiTheme="minorHAnsi"/>
          <w:sz w:val="24"/>
        </w:rPr>
        <w:t>small businesses or other small entities</w:t>
      </w:r>
      <w:r w:rsidR="007A2757" w:rsidRPr="00AE0AB8">
        <w:rPr>
          <w:rFonts w:asciiTheme="minorHAnsi" w:hAnsiTheme="minorHAnsi"/>
          <w:sz w:val="24"/>
        </w:rPr>
        <w:t xml:space="preserve">.  </w:t>
      </w:r>
      <w:r w:rsidR="006A174C" w:rsidRPr="00AE0AB8">
        <w:rPr>
          <w:rFonts w:asciiTheme="minorHAnsi" w:hAnsiTheme="minorHAnsi"/>
          <w:sz w:val="24"/>
        </w:rPr>
        <w:t>If asked to participate in a survey, a small business could opt out very easily without penalty or pressure.</w:t>
      </w:r>
    </w:p>
    <w:p w14:paraId="3B9E1CD2" w14:textId="77777777" w:rsidR="00EC20FB" w:rsidRPr="00AE0AB8" w:rsidRDefault="00EC20FB" w:rsidP="00EC20FB">
      <w:pPr>
        <w:jc w:val="both"/>
        <w:rPr>
          <w:rFonts w:asciiTheme="minorHAnsi" w:hAnsiTheme="minorHAnsi"/>
          <w:sz w:val="24"/>
        </w:rPr>
      </w:pPr>
    </w:p>
    <w:p w14:paraId="198D9DFA" w14:textId="793AA2F1" w:rsidR="00EC20FB" w:rsidRPr="00D77BE2" w:rsidRDefault="00D77BE2" w:rsidP="00B147AF">
      <w:pPr>
        <w:pStyle w:val="ListParagraph"/>
        <w:numPr>
          <w:ilvl w:val="0"/>
          <w:numId w:val="27"/>
        </w:num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30"/>
        <w:rPr>
          <w:rFonts w:asciiTheme="minorHAnsi" w:hAnsiTheme="minorHAnsi"/>
          <w:b/>
          <w:sz w:val="24"/>
          <w:szCs w:val="24"/>
        </w:rPr>
      </w:pPr>
      <w:r w:rsidRPr="00D77BE2">
        <w:rPr>
          <w:rFonts w:asciiTheme="minorHAnsi" w:hAnsiTheme="minorHAnsi"/>
          <w:b/>
          <w:sz w:val="24"/>
          <w:szCs w:val="24"/>
        </w:rPr>
        <w:t xml:space="preserve">Consequences of Not Conducting Collection </w:t>
      </w:r>
    </w:p>
    <w:p w14:paraId="68F25037" w14:textId="77777777" w:rsidR="00EC20FB" w:rsidRPr="00AE0AB8" w:rsidRDefault="00EC20FB" w:rsidP="00EC20FB">
      <w:pPr>
        <w:jc w:val="both"/>
        <w:rPr>
          <w:rFonts w:asciiTheme="minorHAnsi" w:hAnsiTheme="minorHAnsi"/>
          <w:sz w:val="24"/>
        </w:rPr>
      </w:pPr>
    </w:p>
    <w:p w14:paraId="32FC4A5D" w14:textId="3648EF5C" w:rsidR="008A1B21" w:rsidRPr="00AE0AB8" w:rsidRDefault="00D77BE2" w:rsidP="00B147AF">
      <w:pPr>
        <w:ind w:left="-180"/>
        <w:rPr>
          <w:rFonts w:asciiTheme="minorHAnsi" w:hAnsiTheme="minorHAnsi"/>
          <w:sz w:val="24"/>
        </w:rPr>
      </w:pPr>
      <w:r>
        <w:rPr>
          <w:rFonts w:asciiTheme="minorHAnsi" w:hAnsiTheme="minorHAnsi"/>
          <w:sz w:val="24"/>
        </w:rPr>
        <w:t>Without the utilization of ForeSee surveys,</w:t>
      </w:r>
      <w:r w:rsidR="008A1B21" w:rsidRPr="00AE0AB8">
        <w:rPr>
          <w:rFonts w:asciiTheme="minorHAnsi" w:hAnsiTheme="minorHAnsi"/>
          <w:sz w:val="24"/>
        </w:rPr>
        <w:t xml:space="preserve"> </w:t>
      </w:r>
      <w:r>
        <w:rPr>
          <w:rFonts w:asciiTheme="minorHAnsi" w:hAnsiTheme="minorHAnsi"/>
          <w:sz w:val="24"/>
        </w:rPr>
        <w:t xml:space="preserve">USPTO websites are at </w:t>
      </w:r>
      <w:r w:rsidR="008A1B21" w:rsidRPr="00AE0AB8">
        <w:rPr>
          <w:rFonts w:asciiTheme="minorHAnsi" w:hAnsiTheme="minorHAnsi"/>
          <w:sz w:val="24"/>
        </w:rPr>
        <w:t>risk</w:t>
      </w:r>
      <w:r>
        <w:rPr>
          <w:rFonts w:asciiTheme="minorHAnsi" w:hAnsiTheme="minorHAnsi"/>
          <w:sz w:val="24"/>
        </w:rPr>
        <w:t xml:space="preserve"> because</w:t>
      </w:r>
      <w:r w:rsidR="007A2757" w:rsidRPr="00AE0AB8">
        <w:rPr>
          <w:rFonts w:asciiTheme="minorHAnsi" w:hAnsiTheme="minorHAnsi"/>
          <w:sz w:val="24"/>
        </w:rPr>
        <w:t>:</w:t>
      </w:r>
      <w:r w:rsidR="008A1B21" w:rsidRPr="00AE0AB8">
        <w:rPr>
          <w:rFonts w:asciiTheme="minorHAnsi" w:hAnsiTheme="minorHAnsi"/>
          <w:sz w:val="24"/>
        </w:rPr>
        <w:t xml:space="preserve"> </w:t>
      </w:r>
    </w:p>
    <w:p w14:paraId="13BD9958" w14:textId="77777777" w:rsidR="008A1B21" w:rsidRPr="00AE0AB8" w:rsidRDefault="008A1B21" w:rsidP="007C06B3">
      <w:pPr>
        <w:rPr>
          <w:rFonts w:asciiTheme="minorHAnsi" w:hAnsiTheme="minorHAnsi"/>
          <w:sz w:val="24"/>
        </w:rPr>
      </w:pPr>
    </w:p>
    <w:p w14:paraId="6BB08A5A" w14:textId="75B7E27C" w:rsidR="008A1B21" w:rsidRPr="00AE0AB8" w:rsidRDefault="008A1B21" w:rsidP="00B147AF">
      <w:pPr>
        <w:numPr>
          <w:ilvl w:val="0"/>
          <w:numId w:val="7"/>
        </w:numPr>
        <w:tabs>
          <w:tab w:val="clear" w:pos="2160"/>
        </w:tabs>
        <w:ind w:left="720" w:hanging="540"/>
        <w:rPr>
          <w:rFonts w:asciiTheme="minorHAnsi" w:hAnsiTheme="minorHAnsi"/>
          <w:sz w:val="24"/>
        </w:rPr>
      </w:pPr>
      <w:r w:rsidRPr="00AE0AB8">
        <w:rPr>
          <w:rFonts w:asciiTheme="minorHAnsi" w:hAnsiTheme="minorHAnsi"/>
          <w:sz w:val="24"/>
        </w:rPr>
        <w:t xml:space="preserve">They </w:t>
      </w:r>
      <w:r w:rsidR="00171DFA" w:rsidRPr="00AE0AB8">
        <w:rPr>
          <w:rFonts w:asciiTheme="minorHAnsi" w:hAnsiTheme="minorHAnsi"/>
          <w:sz w:val="24"/>
        </w:rPr>
        <w:t>might</w:t>
      </w:r>
      <w:r w:rsidRPr="00AE0AB8">
        <w:rPr>
          <w:rFonts w:asciiTheme="minorHAnsi" w:hAnsiTheme="minorHAnsi"/>
          <w:sz w:val="24"/>
        </w:rPr>
        <w:t xml:space="preserve"> focus on the wrong measure of success – how well the website</w:t>
      </w:r>
      <w:r w:rsidR="009C49A3">
        <w:rPr>
          <w:rFonts w:asciiTheme="minorHAnsi" w:hAnsiTheme="minorHAnsi"/>
          <w:sz w:val="24"/>
        </w:rPr>
        <w:t>s</w:t>
      </w:r>
      <w:r w:rsidRPr="00AE0AB8">
        <w:rPr>
          <w:rFonts w:asciiTheme="minorHAnsi" w:hAnsiTheme="minorHAnsi"/>
          <w:sz w:val="24"/>
        </w:rPr>
        <w:t xml:space="preserve"> serve the </w:t>
      </w:r>
      <w:r w:rsidR="009C49A3">
        <w:rPr>
          <w:rFonts w:asciiTheme="minorHAnsi" w:hAnsiTheme="minorHAnsi"/>
          <w:sz w:val="24"/>
        </w:rPr>
        <w:t>A</w:t>
      </w:r>
      <w:r w:rsidRPr="00AE0AB8">
        <w:rPr>
          <w:rFonts w:asciiTheme="minorHAnsi" w:hAnsiTheme="minorHAnsi"/>
          <w:sz w:val="24"/>
        </w:rPr>
        <w:t>gency’s needs instead of citizens</w:t>
      </w:r>
      <w:r w:rsidR="001E667F" w:rsidRPr="00AE0AB8">
        <w:rPr>
          <w:rFonts w:asciiTheme="minorHAnsi" w:hAnsiTheme="minorHAnsi"/>
          <w:sz w:val="24"/>
        </w:rPr>
        <w:t>’</w:t>
      </w:r>
      <w:r w:rsidRPr="00AE0AB8">
        <w:rPr>
          <w:rFonts w:asciiTheme="minorHAnsi" w:hAnsiTheme="minorHAnsi"/>
          <w:sz w:val="24"/>
        </w:rPr>
        <w:t xml:space="preserve"> needs.</w:t>
      </w:r>
    </w:p>
    <w:p w14:paraId="6EB8802D" w14:textId="7E2A1A94" w:rsidR="008A1B21" w:rsidRPr="00AE0AB8" w:rsidRDefault="008A1B21" w:rsidP="00B147AF">
      <w:pPr>
        <w:numPr>
          <w:ilvl w:val="0"/>
          <w:numId w:val="7"/>
        </w:numPr>
        <w:tabs>
          <w:tab w:val="clear" w:pos="2160"/>
        </w:tabs>
        <w:ind w:left="720" w:hanging="540"/>
        <w:rPr>
          <w:rFonts w:asciiTheme="minorHAnsi" w:hAnsiTheme="minorHAnsi"/>
          <w:sz w:val="24"/>
        </w:rPr>
      </w:pPr>
      <w:r w:rsidRPr="00AE0AB8">
        <w:rPr>
          <w:rFonts w:asciiTheme="minorHAnsi" w:hAnsiTheme="minorHAnsi"/>
          <w:sz w:val="24"/>
        </w:rPr>
        <w:t>The</w:t>
      </w:r>
      <w:r w:rsidR="00171DFA" w:rsidRPr="00AE0AB8">
        <w:rPr>
          <w:rFonts w:asciiTheme="minorHAnsi" w:hAnsiTheme="minorHAnsi"/>
          <w:sz w:val="24"/>
        </w:rPr>
        <w:t>y</w:t>
      </w:r>
      <w:r w:rsidR="009C49A3">
        <w:rPr>
          <w:rFonts w:asciiTheme="minorHAnsi" w:hAnsiTheme="minorHAnsi"/>
          <w:sz w:val="24"/>
        </w:rPr>
        <w:t xml:space="preserve"> will fail to be</w:t>
      </w:r>
      <w:r w:rsidR="00171DFA" w:rsidRPr="00AE0AB8">
        <w:rPr>
          <w:rFonts w:asciiTheme="minorHAnsi" w:hAnsiTheme="minorHAnsi"/>
          <w:sz w:val="24"/>
        </w:rPr>
        <w:t xml:space="preserve"> truly citizen-centric</w:t>
      </w:r>
      <w:r w:rsidR="009C49A3">
        <w:rPr>
          <w:rFonts w:asciiTheme="minorHAnsi" w:hAnsiTheme="minorHAnsi"/>
          <w:sz w:val="24"/>
        </w:rPr>
        <w:t xml:space="preserve"> or</w:t>
      </w:r>
      <w:r w:rsidRPr="00AE0AB8">
        <w:rPr>
          <w:rFonts w:asciiTheme="minorHAnsi" w:hAnsiTheme="minorHAnsi"/>
          <w:sz w:val="24"/>
        </w:rPr>
        <w:t xml:space="preserve"> </w:t>
      </w:r>
      <w:r w:rsidR="009C49A3">
        <w:rPr>
          <w:rFonts w:asciiTheme="minorHAnsi" w:hAnsiTheme="minorHAnsi"/>
          <w:sz w:val="24"/>
        </w:rPr>
        <w:t>provide</w:t>
      </w:r>
      <w:r w:rsidR="00DC7D04" w:rsidRPr="00AE0AB8">
        <w:rPr>
          <w:rFonts w:asciiTheme="minorHAnsi" w:hAnsiTheme="minorHAnsi"/>
          <w:sz w:val="24"/>
        </w:rPr>
        <w:t xml:space="preserve"> the best possible </w:t>
      </w:r>
      <w:r w:rsidR="001E667F" w:rsidRPr="00AE0AB8">
        <w:rPr>
          <w:rFonts w:asciiTheme="minorHAnsi" w:hAnsiTheme="minorHAnsi"/>
          <w:sz w:val="24"/>
        </w:rPr>
        <w:t>service and information</w:t>
      </w:r>
      <w:r w:rsidRPr="00AE0AB8">
        <w:rPr>
          <w:rFonts w:asciiTheme="minorHAnsi" w:hAnsiTheme="minorHAnsi"/>
          <w:sz w:val="24"/>
        </w:rPr>
        <w:t xml:space="preserve"> to citizen</w:t>
      </w:r>
      <w:r w:rsidR="00DC7D04" w:rsidRPr="00AE0AB8">
        <w:rPr>
          <w:rFonts w:asciiTheme="minorHAnsi" w:hAnsiTheme="minorHAnsi"/>
          <w:sz w:val="24"/>
        </w:rPr>
        <w:t>s</w:t>
      </w:r>
      <w:r w:rsidRPr="00AE0AB8">
        <w:rPr>
          <w:rFonts w:asciiTheme="minorHAnsi" w:hAnsiTheme="minorHAnsi"/>
          <w:sz w:val="24"/>
        </w:rPr>
        <w:t xml:space="preserve"> </w:t>
      </w:r>
      <w:r w:rsidR="00171DFA" w:rsidRPr="00AE0AB8">
        <w:rPr>
          <w:rFonts w:asciiTheme="minorHAnsi" w:hAnsiTheme="minorHAnsi"/>
          <w:sz w:val="24"/>
        </w:rPr>
        <w:t>as required by Executive Branch policy and directives</w:t>
      </w:r>
      <w:r w:rsidRPr="00AE0AB8">
        <w:rPr>
          <w:rFonts w:asciiTheme="minorHAnsi" w:hAnsiTheme="minorHAnsi"/>
          <w:sz w:val="24"/>
        </w:rPr>
        <w:t xml:space="preserve">. </w:t>
      </w:r>
    </w:p>
    <w:p w14:paraId="371A2453" w14:textId="375B3C20" w:rsidR="008A1B21" w:rsidRPr="00AE0AB8" w:rsidRDefault="008A1B21" w:rsidP="00B147AF">
      <w:pPr>
        <w:numPr>
          <w:ilvl w:val="0"/>
          <w:numId w:val="7"/>
        </w:numPr>
        <w:tabs>
          <w:tab w:val="clear" w:pos="2160"/>
        </w:tabs>
        <w:ind w:left="720" w:hanging="540"/>
        <w:rPr>
          <w:rFonts w:asciiTheme="minorHAnsi" w:hAnsiTheme="minorHAnsi"/>
          <w:sz w:val="24"/>
        </w:rPr>
      </w:pPr>
      <w:r w:rsidRPr="00AE0AB8">
        <w:rPr>
          <w:rFonts w:asciiTheme="minorHAnsi" w:hAnsiTheme="minorHAnsi"/>
          <w:sz w:val="24"/>
        </w:rPr>
        <w:t>C</w:t>
      </w:r>
      <w:r w:rsidR="00DC7D04" w:rsidRPr="00AE0AB8">
        <w:rPr>
          <w:rFonts w:asciiTheme="minorHAnsi" w:hAnsiTheme="minorHAnsi"/>
          <w:sz w:val="24"/>
        </w:rPr>
        <w:t>itizens</w:t>
      </w:r>
      <w:r w:rsidRPr="00AE0AB8">
        <w:rPr>
          <w:rFonts w:asciiTheme="minorHAnsi" w:hAnsiTheme="minorHAnsi"/>
          <w:sz w:val="24"/>
        </w:rPr>
        <w:t xml:space="preserve"> will benchmark </w:t>
      </w:r>
      <w:r w:rsidR="009C49A3">
        <w:rPr>
          <w:rFonts w:asciiTheme="minorHAnsi" w:hAnsiTheme="minorHAnsi"/>
          <w:sz w:val="24"/>
        </w:rPr>
        <w:t>A</w:t>
      </w:r>
      <w:r w:rsidRPr="00AE0AB8">
        <w:rPr>
          <w:rFonts w:asciiTheme="minorHAnsi" w:hAnsiTheme="minorHAnsi"/>
          <w:sz w:val="24"/>
        </w:rPr>
        <w:t>gency website performance against the “best in business” and will</w:t>
      </w:r>
      <w:r w:rsidR="00A30E51" w:rsidRPr="00AE0AB8">
        <w:rPr>
          <w:rFonts w:asciiTheme="minorHAnsi" w:hAnsiTheme="minorHAnsi"/>
          <w:sz w:val="24"/>
        </w:rPr>
        <w:t xml:space="preserve"> not return to or recommend </w:t>
      </w:r>
      <w:r w:rsidR="00DC7D04" w:rsidRPr="00AE0AB8">
        <w:rPr>
          <w:rFonts w:asciiTheme="minorHAnsi" w:hAnsiTheme="minorHAnsi"/>
          <w:sz w:val="24"/>
        </w:rPr>
        <w:t xml:space="preserve">government </w:t>
      </w:r>
      <w:r w:rsidR="00A30E51" w:rsidRPr="00AE0AB8">
        <w:rPr>
          <w:rFonts w:asciiTheme="minorHAnsi" w:hAnsiTheme="minorHAnsi"/>
          <w:sz w:val="24"/>
        </w:rPr>
        <w:t>web</w:t>
      </w:r>
      <w:r w:rsidRPr="00AE0AB8">
        <w:rPr>
          <w:rFonts w:asciiTheme="minorHAnsi" w:hAnsiTheme="minorHAnsi"/>
          <w:sz w:val="24"/>
        </w:rPr>
        <w:t>sites that do not meet their expectations.</w:t>
      </w:r>
    </w:p>
    <w:p w14:paraId="00F0663D" w14:textId="77777777" w:rsidR="008A1B21" w:rsidRPr="00AE0AB8" w:rsidRDefault="008A1B21" w:rsidP="00B147AF">
      <w:pPr>
        <w:numPr>
          <w:ilvl w:val="0"/>
          <w:numId w:val="7"/>
        </w:numPr>
        <w:tabs>
          <w:tab w:val="clear" w:pos="2160"/>
        </w:tabs>
        <w:ind w:left="720" w:hanging="540"/>
        <w:rPr>
          <w:rFonts w:asciiTheme="minorHAnsi" w:hAnsiTheme="minorHAnsi"/>
          <w:sz w:val="24"/>
        </w:rPr>
      </w:pPr>
      <w:r w:rsidRPr="00AE0AB8">
        <w:rPr>
          <w:rFonts w:asciiTheme="minorHAnsi" w:hAnsiTheme="minorHAnsi"/>
          <w:sz w:val="24"/>
        </w:rPr>
        <w:t>They will not see productivity gains</w:t>
      </w:r>
      <w:r w:rsidR="00DC7D04" w:rsidRPr="00AE0AB8">
        <w:rPr>
          <w:rFonts w:asciiTheme="minorHAnsi" w:hAnsiTheme="minorHAnsi"/>
          <w:sz w:val="24"/>
        </w:rPr>
        <w:t>, necessary improvements</w:t>
      </w:r>
      <w:r w:rsidRPr="00AE0AB8">
        <w:rPr>
          <w:rFonts w:asciiTheme="minorHAnsi" w:hAnsiTheme="minorHAnsi"/>
          <w:sz w:val="24"/>
        </w:rPr>
        <w:t xml:space="preserve"> and sufficient returns on their information technology budgets.</w:t>
      </w:r>
    </w:p>
    <w:p w14:paraId="218EDCB9" w14:textId="77777777" w:rsidR="00DC7D04" w:rsidRPr="00AE0AB8" w:rsidRDefault="00DC7D04" w:rsidP="00B147AF">
      <w:pPr>
        <w:numPr>
          <w:ilvl w:val="0"/>
          <w:numId w:val="7"/>
        </w:numPr>
        <w:tabs>
          <w:tab w:val="clear" w:pos="2160"/>
        </w:tabs>
        <w:ind w:left="720" w:hanging="540"/>
        <w:rPr>
          <w:rFonts w:asciiTheme="minorHAnsi" w:hAnsiTheme="minorHAnsi"/>
          <w:sz w:val="24"/>
        </w:rPr>
      </w:pPr>
      <w:r w:rsidRPr="00AE0AB8">
        <w:rPr>
          <w:rFonts w:asciiTheme="minorHAnsi" w:hAnsiTheme="minorHAnsi"/>
          <w:sz w:val="24"/>
        </w:rPr>
        <w:t>Potential savings of</w:t>
      </w:r>
      <w:r w:rsidR="008A1B21" w:rsidRPr="00AE0AB8">
        <w:rPr>
          <w:rFonts w:asciiTheme="minorHAnsi" w:hAnsiTheme="minorHAnsi"/>
          <w:sz w:val="24"/>
        </w:rPr>
        <w:t xml:space="preserve"> doing </w:t>
      </w:r>
      <w:r w:rsidRPr="00AE0AB8">
        <w:rPr>
          <w:rFonts w:asciiTheme="minorHAnsi" w:hAnsiTheme="minorHAnsi"/>
          <w:sz w:val="24"/>
        </w:rPr>
        <w:t xml:space="preserve">government </w:t>
      </w:r>
      <w:r w:rsidR="008A1B21" w:rsidRPr="00AE0AB8">
        <w:rPr>
          <w:rFonts w:asciiTheme="minorHAnsi" w:hAnsiTheme="minorHAnsi"/>
          <w:sz w:val="24"/>
        </w:rPr>
        <w:t xml:space="preserve">business </w:t>
      </w:r>
      <w:r w:rsidRPr="00AE0AB8">
        <w:rPr>
          <w:rFonts w:asciiTheme="minorHAnsi" w:hAnsiTheme="minorHAnsi"/>
          <w:sz w:val="24"/>
        </w:rPr>
        <w:t xml:space="preserve">via websites </w:t>
      </w:r>
      <w:r w:rsidR="008A1B21" w:rsidRPr="00AE0AB8">
        <w:rPr>
          <w:rFonts w:asciiTheme="minorHAnsi" w:hAnsiTheme="minorHAnsi"/>
          <w:sz w:val="24"/>
        </w:rPr>
        <w:t xml:space="preserve">will </w:t>
      </w:r>
      <w:r w:rsidRPr="00AE0AB8">
        <w:rPr>
          <w:rFonts w:asciiTheme="minorHAnsi" w:hAnsiTheme="minorHAnsi"/>
          <w:sz w:val="24"/>
        </w:rPr>
        <w:t xml:space="preserve">not be realized, thus missing an important opportunity to reduce costs. </w:t>
      </w:r>
    </w:p>
    <w:p w14:paraId="00B65F48" w14:textId="77777777" w:rsidR="008A1B21" w:rsidRPr="00AE0AB8" w:rsidRDefault="008A1B21" w:rsidP="00B147AF">
      <w:pPr>
        <w:numPr>
          <w:ilvl w:val="0"/>
          <w:numId w:val="7"/>
        </w:numPr>
        <w:tabs>
          <w:tab w:val="clear" w:pos="2160"/>
        </w:tabs>
        <w:ind w:left="720" w:hanging="540"/>
        <w:rPr>
          <w:rFonts w:asciiTheme="minorHAnsi" w:hAnsiTheme="minorHAnsi"/>
          <w:sz w:val="24"/>
        </w:rPr>
      </w:pPr>
      <w:r w:rsidRPr="00AE0AB8">
        <w:rPr>
          <w:rFonts w:asciiTheme="minorHAnsi" w:hAnsiTheme="minorHAnsi"/>
          <w:sz w:val="24"/>
        </w:rPr>
        <w:t xml:space="preserve">Citizen satisfaction will decline which will lead to an overall </w:t>
      </w:r>
      <w:r w:rsidR="00334B59" w:rsidRPr="00AE0AB8">
        <w:rPr>
          <w:rFonts w:asciiTheme="minorHAnsi" w:hAnsiTheme="minorHAnsi"/>
          <w:sz w:val="24"/>
        </w:rPr>
        <w:t>reduction</w:t>
      </w:r>
      <w:r w:rsidRPr="00AE0AB8">
        <w:rPr>
          <w:rFonts w:asciiTheme="minorHAnsi" w:hAnsiTheme="minorHAnsi"/>
          <w:sz w:val="24"/>
        </w:rPr>
        <w:t xml:space="preserve"> in citizen trust</w:t>
      </w:r>
      <w:r w:rsidR="00EA62E9" w:rsidRPr="00AE0AB8">
        <w:rPr>
          <w:rFonts w:asciiTheme="minorHAnsi" w:hAnsiTheme="minorHAnsi"/>
          <w:sz w:val="24"/>
        </w:rPr>
        <w:t xml:space="preserve"> and confidence</w:t>
      </w:r>
      <w:r w:rsidRPr="00AE0AB8">
        <w:rPr>
          <w:rFonts w:asciiTheme="minorHAnsi" w:hAnsiTheme="minorHAnsi"/>
          <w:sz w:val="24"/>
        </w:rPr>
        <w:t xml:space="preserve"> in government.</w:t>
      </w:r>
    </w:p>
    <w:p w14:paraId="6F72035D" w14:textId="77777777" w:rsidR="00EC20FB" w:rsidRPr="00AE0AB8" w:rsidRDefault="00EC20FB" w:rsidP="00EC20FB">
      <w:pPr>
        <w:jc w:val="both"/>
        <w:rPr>
          <w:rFonts w:asciiTheme="minorHAnsi" w:hAnsiTheme="minorHAnsi"/>
          <w:sz w:val="24"/>
        </w:rPr>
      </w:pPr>
    </w:p>
    <w:p w14:paraId="2EC9CFBD" w14:textId="51FB1851" w:rsidR="00D77BE2" w:rsidRPr="00D77BE2" w:rsidRDefault="00D77BE2" w:rsidP="00B147AF">
      <w:pPr>
        <w:pStyle w:val="ListParagraph"/>
        <w:numPr>
          <w:ilvl w:val="0"/>
          <w:numId w:val="27"/>
        </w:num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720"/>
        <w:rPr>
          <w:rFonts w:asciiTheme="minorHAnsi" w:hAnsiTheme="minorHAnsi"/>
          <w:b/>
          <w:sz w:val="24"/>
          <w:szCs w:val="24"/>
        </w:rPr>
      </w:pPr>
      <w:r w:rsidRPr="00D77BE2">
        <w:rPr>
          <w:rFonts w:asciiTheme="minorHAnsi" w:hAnsiTheme="minorHAnsi"/>
          <w:b/>
          <w:sz w:val="24"/>
          <w:szCs w:val="24"/>
        </w:rPr>
        <w:t>Special Circumstances</w:t>
      </w:r>
      <w:r w:rsidR="00EC20FB" w:rsidRPr="00D77BE2">
        <w:rPr>
          <w:rFonts w:asciiTheme="minorHAnsi" w:hAnsiTheme="minorHAnsi"/>
          <w:b/>
          <w:sz w:val="24"/>
          <w:szCs w:val="24"/>
        </w:rPr>
        <w:tab/>
      </w:r>
    </w:p>
    <w:p w14:paraId="59BFB9B3" w14:textId="77777777" w:rsidR="001A119C" w:rsidRDefault="001A119C" w:rsidP="00FC7347">
      <w:pPr>
        <w:rPr>
          <w:rFonts w:asciiTheme="minorHAnsi" w:hAnsiTheme="minorHAnsi"/>
          <w:sz w:val="24"/>
          <w:szCs w:val="24"/>
        </w:rPr>
      </w:pPr>
    </w:p>
    <w:p w14:paraId="1A6A6709" w14:textId="407876A0" w:rsidR="00870F95" w:rsidRDefault="001A119C" w:rsidP="001A119C">
      <w:pPr>
        <w:ind w:left="-180"/>
        <w:rPr>
          <w:rFonts w:asciiTheme="minorHAnsi" w:hAnsiTheme="minorHAnsi"/>
          <w:sz w:val="24"/>
        </w:rPr>
      </w:pPr>
      <w:r>
        <w:rPr>
          <w:rFonts w:asciiTheme="minorHAnsi" w:hAnsiTheme="minorHAnsi"/>
          <w:sz w:val="24"/>
        </w:rPr>
        <w:t xml:space="preserve">There are no special circumstances associated with this information collection.  </w:t>
      </w:r>
    </w:p>
    <w:p w14:paraId="1461A77F" w14:textId="77777777" w:rsidR="001A119C" w:rsidRDefault="001A119C" w:rsidP="00FC7347">
      <w:pPr>
        <w:rPr>
          <w:rFonts w:asciiTheme="minorHAnsi" w:hAnsiTheme="minorHAnsi"/>
          <w:sz w:val="24"/>
        </w:rPr>
      </w:pPr>
    </w:p>
    <w:p w14:paraId="01637C7F" w14:textId="77777777" w:rsidR="001A119C" w:rsidRPr="00AE0AB8" w:rsidRDefault="001A119C" w:rsidP="00FC7347">
      <w:pPr>
        <w:rPr>
          <w:rFonts w:asciiTheme="minorHAnsi" w:hAnsiTheme="minorHAnsi"/>
          <w:sz w:val="24"/>
        </w:rPr>
      </w:pPr>
    </w:p>
    <w:p w14:paraId="7EFF7FC2" w14:textId="735831B5" w:rsidR="00EC20FB" w:rsidRPr="00FC7347" w:rsidRDefault="00FC7347" w:rsidP="002E5CE3">
      <w:pPr>
        <w:pStyle w:val="ListParagraph"/>
        <w:numPr>
          <w:ilvl w:val="0"/>
          <w:numId w:val="27"/>
        </w:numPr>
        <w:overflowPunct/>
        <w:ind w:left="450" w:hanging="630"/>
        <w:textAlignment w:val="auto"/>
        <w:rPr>
          <w:rFonts w:asciiTheme="minorHAnsi" w:hAnsiTheme="minorHAnsi"/>
          <w:b/>
          <w:bCs/>
          <w:color w:val="000000"/>
          <w:sz w:val="24"/>
          <w:szCs w:val="24"/>
        </w:rPr>
      </w:pPr>
      <w:r w:rsidRPr="00FC7347">
        <w:rPr>
          <w:rFonts w:asciiTheme="minorHAnsi" w:hAnsiTheme="minorHAnsi"/>
          <w:b/>
          <w:bCs/>
          <w:color w:val="000000"/>
          <w:sz w:val="24"/>
          <w:szCs w:val="24"/>
        </w:rPr>
        <w:t>Consultations with Persons Outside the Agency</w:t>
      </w:r>
      <w:r w:rsidR="00EC20FB" w:rsidRPr="00FC7347">
        <w:rPr>
          <w:rFonts w:asciiTheme="minorHAnsi" w:hAnsiTheme="minorHAnsi"/>
          <w:b/>
          <w:bCs/>
          <w:color w:val="000000"/>
          <w:sz w:val="24"/>
          <w:szCs w:val="24"/>
        </w:rPr>
        <w:t xml:space="preserve"> </w:t>
      </w:r>
    </w:p>
    <w:p w14:paraId="2AD53E39" w14:textId="77777777" w:rsidR="00EC20FB" w:rsidRPr="00AE0AB8" w:rsidRDefault="00EC20FB" w:rsidP="00AC50FF">
      <w:pPr>
        <w:overflowPunct/>
        <w:ind w:left="360" w:hanging="720"/>
        <w:textAlignment w:val="auto"/>
        <w:rPr>
          <w:rFonts w:asciiTheme="minorHAnsi" w:hAnsiTheme="minorHAnsi"/>
          <w:bCs/>
          <w:color w:val="000000"/>
          <w:sz w:val="24"/>
          <w:szCs w:val="24"/>
        </w:rPr>
      </w:pPr>
    </w:p>
    <w:p w14:paraId="34AA5C19" w14:textId="490419FF" w:rsidR="00AB2092" w:rsidRPr="00FC7347" w:rsidRDefault="00FC7347" w:rsidP="002E5CE3">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heme="minorHAnsi" w:hAnsiTheme="minorHAnsi"/>
          <w:bCs/>
          <w:color w:val="000000"/>
          <w:sz w:val="22"/>
          <w:szCs w:val="22"/>
        </w:rPr>
      </w:pPr>
      <w:r>
        <w:rPr>
          <w:rFonts w:asciiTheme="minorHAnsi" w:hAnsiTheme="minorHAnsi"/>
          <w:bCs/>
          <w:color w:val="000000"/>
          <w:sz w:val="24"/>
          <w:szCs w:val="24"/>
        </w:rPr>
        <w:t>C</w:t>
      </w:r>
      <w:r w:rsidR="00EC20FB" w:rsidRPr="00AE0AB8">
        <w:rPr>
          <w:rFonts w:asciiTheme="minorHAnsi" w:hAnsiTheme="minorHAnsi"/>
          <w:bCs/>
          <w:color w:val="000000"/>
          <w:sz w:val="24"/>
          <w:szCs w:val="24"/>
        </w:rPr>
        <w:t>onsultation with representatives of those from whom information is to be obtained or those who must compile records should occur at least once every 3 years - even if the collection of information activity is the s</w:t>
      </w:r>
      <w:r w:rsidR="00457FB8">
        <w:rPr>
          <w:rFonts w:asciiTheme="minorHAnsi" w:hAnsiTheme="minorHAnsi"/>
          <w:bCs/>
          <w:color w:val="000000"/>
          <w:sz w:val="24"/>
          <w:szCs w:val="24"/>
        </w:rPr>
        <w:t xml:space="preserve">ame as in prior periods. </w:t>
      </w:r>
      <w:r w:rsidR="00EC20FB" w:rsidRPr="00AE0AB8">
        <w:rPr>
          <w:rFonts w:asciiTheme="minorHAnsi" w:hAnsiTheme="minorHAnsi"/>
          <w:bCs/>
          <w:color w:val="000000"/>
          <w:sz w:val="24"/>
          <w:szCs w:val="24"/>
        </w:rPr>
        <w:t>There may be circumstances that may preclude consul</w:t>
      </w:r>
      <w:r>
        <w:rPr>
          <w:rFonts w:asciiTheme="minorHAnsi" w:hAnsiTheme="minorHAnsi"/>
          <w:bCs/>
          <w:color w:val="000000"/>
          <w:sz w:val="24"/>
          <w:szCs w:val="24"/>
        </w:rPr>
        <w:t xml:space="preserve">tation in a specific situation. </w:t>
      </w:r>
      <w:r w:rsidR="00EC20FB" w:rsidRPr="00AE0AB8">
        <w:rPr>
          <w:rFonts w:asciiTheme="minorHAnsi" w:hAnsiTheme="minorHAnsi"/>
          <w:bCs/>
          <w:color w:val="000000"/>
          <w:sz w:val="24"/>
          <w:szCs w:val="24"/>
        </w:rPr>
        <w:t>These circumstances should be explained.</w:t>
      </w:r>
      <w:r w:rsidR="00EC20FB" w:rsidRPr="00AE0AB8">
        <w:rPr>
          <w:rFonts w:asciiTheme="minorHAnsi" w:hAnsiTheme="minorHAnsi"/>
          <w:bCs/>
          <w:color w:val="000000"/>
          <w:sz w:val="22"/>
          <w:szCs w:val="22"/>
        </w:rPr>
        <w:t xml:space="preserve"> </w:t>
      </w:r>
    </w:p>
    <w:p w14:paraId="30933650" w14:textId="77777777" w:rsidR="00FC7347" w:rsidRDefault="00FC7347" w:rsidP="00B87CDA">
      <w:pPr>
        <w:ind w:left="-360"/>
        <w:rPr>
          <w:rFonts w:asciiTheme="minorHAnsi" w:hAnsiTheme="minorHAnsi"/>
          <w:sz w:val="24"/>
        </w:rPr>
      </w:pPr>
    </w:p>
    <w:p w14:paraId="069BF1AB" w14:textId="38EA398E" w:rsidR="00AB2092" w:rsidRPr="00AE0AB8" w:rsidRDefault="00AB2092" w:rsidP="002E5CE3">
      <w:pPr>
        <w:ind w:left="-180"/>
        <w:rPr>
          <w:rFonts w:asciiTheme="minorHAnsi" w:hAnsiTheme="minorHAnsi"/>
          <w:sz w:val="24"/>
        </w:rPr>
      </w:pPr>
      <w:r w:rsidRPr="00AE0AB8">
        <w:rPr>
          <w:rFonts w:asciiTheme="minorHAnsi" w:hAnsiTheme="minorHAnsi"/>
          <w:sz w:val="24"/>
        </w:rPr>
        <w:t xml:space="preserve">This survey employs a methodology that was </w:t>
      </w:r>
      <w:r w:rsidR="00A30E51" w:rsidRPr="00AE0AB8">
        <w:rPr>
          <w:rFonts w:asciiTheme="minorHAnsi" w:hAnsiTheme="minorHAnsi"/>
          <w:sz w:val="24"/>
        </w:rPr>
        <w:t xml:space="preserve">previously </w:t>
      </w:r>
      <w:r w:rsidRPr="00AE0AB8">
        <w:rPr>
          <w:rFonts w:asciiTheme="minorHAnsi" w:hAnsiTheme="minorHAnsi"/>
          <w:sz w:val="24"/>
        </w:rPr>
        <w:t>reviewed and approved by</w:t>
      </w:r>
      <w:r w:rsidR="00095C4A" w:rsidRPr="00AE0AB8">
        <w:rPr>
          <w:rFonts w:asciiTheme="minorHAnsi" w:hAnsiTheme="minorHAnsi"/>
          <w:sz w:val="24"/>
        </w:rPr>
        <w:t xml:space="preserve"> the Office of Management and Budget</w:t>
      </w:r>
      <w:r w:rsidR="00FC7347">
        <w:rPr>
          <w:rFonts w:asciiTheme="minorHAnsi" w:hAnsiTheme="minorHAnsi"/>
          <w:sz w:val="24"/>
        </w:rPr>
        <w:t xml:space="preserve"> (1090-0008)</w:t>
      </w:r>
      <w:r w:rsidR="00095C4A" w:rsidRPr="00AE0AB8">
        <w:rPr>
          <w:rFonts w:asciiTheme="minorHAnsi" w:hAnsiTheme="minorHAnsi"/>
          <w:sz w:val="24"/>
        </w:rPr>
        <w:t>.</w:t>
      </w:r>
      <w:r w:rsidRPr="00AE0AB8">
        <w:rPr>
          <w:rFonts w:asciiTheme="minorHAnsi" w:hAnsiTheme="minorHAnsi"/>
          <w:sz w:val="24"/>
        </w:rPr>
        <w:t xml:space="preserve"> It does not require respondents to submit proprietary trade secrets, or other confidential information, and does not include a pledge of confidentiality.</w:t>
      </w:r>
    </w:p>
    <w:p w14:paraId="2792E4A5" w14:textId="77777777" w:rsidR="00AB2092" w:rsidRPr="00AE0AB8" w:rsidRDefault="00AB2092" w:rsidP="007C06B3">
      <w:pPr>
        <w:ind w:firstLine="720"/>
        <w:rPr>
          <w:rFonts w:asciiTheme="minorHAnsi" w:hAnsiTheme="minorHAnsi"/>
          <w:sz w:val="24"/>
        </w:rPr>
      </w:pPr>
    </w:p>
    <w:p w14:paraId="495A5845" w14:textId="06A79469" w:rsidR="00AB2092" w:rsidRPr="00AE0AB8" w:rsidRDefault="00FC7347" w:rsidP="002E5CE3">
      <w:pPr>
        <w:ind w:left="-180"/>
        <w:rPr>
          <w:rFonts w:asciiTheme="minorHAnsi" w:hAnsiTheme="minorHAnsi"/>
          <w:sz w:val="24"/>
        </w:rPr>
      </w:pPr>
      <w:r w:rsidRPr="00FC7347">
        <w:rPr>
          <w:rFonts w:asciiTheme="minorHAnsi" w:hAnsiTheme="minorHAnsi"/>
          <w:sz w:val="24"/>
        </w:rPr>
        <w:t>In accordance with 5 CFR 1320.8(d),</w:t>
      </w:r>
      <w:r>
        <w:rPr>
          <w:rFonts w:asciiTheme="minorHAnsi" w:hAnsiTheme="minorHAnsi"/>
          <w:sz w:val="24"/>
        </w:rPr>
        <w:t xml:space="preserve"> a</w:t>
      </w:r>
      <w:r w:rsidR="00B3578B" w:rsidRPr="00AE0AB8">
        <w:rPr>
          <w:rFonts w:asciiTheme="minorHAnsi" w:hAnsiTheme="minorHAnsi"/>
          <w:sz w:val="24"/>
        </w:rPr>
        <w:t xml:space="preserve"> notice</w:t>
      </w:r>
      <w:r>
        <w:rPr>
          <w:rFonts w:asciiTheme="minorHAnsi" w:hAnsiTheme="minorHAnsi"/>
          <w:sz w:val="24"/>
        </w:rPr>
        <w:t xml:space="preserve"> was published</w:t>
      </w:r>
      <w:r w:rsidR="00B3578B" w:rsidRPr="00AE0AB8">
        <w:rPr>
          <w:rFonts w:asciiTheme="minorHAnsi" w:hAnsiTheme="minorHAnsi"/>
          <w:sz w:val="24"/>
        </w:rPr>
        <w:t xml:space="preserve"> in the </w:t>
      </w:r>
      <w:r w:rsidR="00B3578B" w:rsidRPr="00FC7347">
        <w:rPr>
          <w:rFonts w:asciiTheme="minorHAnsi" w:hAnsiTheme="minorHAnsi"/>
          <w:i/>
          <w:sz w:val="24"/>
        </w:rPr>
        <w:t>Federal Register</w:t>
      </w:r>
      <w:r w:rsidR="00B3578B" w:rsidRPr="00AE0AB8">
        <w:rPr>
          <w:rFonts w:asciiTheme="minorHAnsi" w:hAnsiTheme="minorHAnsi"/>
          <w:sz w:val="24"/>
        </w:rPr>
        <w:t xml:space="preserve"> on </w:t>
      </w:r>
      <w:r w:rsidR="009C49A3">
        <w:rPr>
          <w:rFonts w:asciiTheme="minorHAnsi" w:hAnsiTheme="minorHAnsi"/>
          <w:sz w:val="24"/>
        </w:rPr>
        <w:t>July 5</w:t>
      </w:r>
      <w:r w:rsidR="00B3578B" w:rsidRPr="00AE0AB8">
        <w:rPr>
          <w:rFonts w:asciiTheme="minorHAnsi" w:hAnsiTheme="minorHAnsi"/>
          <w:sz w:val="24"/>
        </w:rPr>
        <w:t xml:space="preserve">, </w:t>
      </w:r>
      <w:r w:rsidR="00B87CDA" w:rsidRPr="00AE0AB8">
        <w:rPr>
          <w:rFonts w:asciiTheme="minorHAnsi" w:hAnsiTheme="minorHAnsi"/>
          <w:sz w:val="24"/>
        </w:rPr>
        <w:t>201</w:t>
      </w:r>
      <w:r>
        <w:rPr>
          <w:rFonts w:asciiTheme="minorHAnsi" w:hAnsiTheme="minorHAnsi"/>
          <w:sz w:val="24"/>
        </w:rPr>
        <w:t>8</w:t>
      </w:r>
      <w:r w:rsidR="00B87CDA" w:rsidRPr="00AE0AB8">
        <w:rPr>
          <w:rFonts w:asciiTheme="minorHAnsi" w:hAnsiTheme="minorHAnsi"/>
          <w:sz w:val="24"/>
        </w:rPr>
        <w:t xml:space="preserve"> </w:t>
      </w:r>
      <w:r>
        <w:rPr>
          <w:rFonts w:asciiTheme="minorHAnsi" w:hAnsiTheme="minorHAnsi"/>
          <w:sz w:val="24"/>
        </w:rPr>
        <w:t>(Fed. Reg.</w:t>
      </w:r>
      <w:r w:rsidR="00B3578B" w:rsidRPr="00AE0AB8">
        <w:rPr>
          <w:rFonts w:asciiTheme="minorHAnsi" w:hAnsiTheme="minorHAnsi"/>
          <w:sz w:val="24"/>
        </w:rPr>
        <w:t xml:space="preserve"> </w:t>
      </w:r>
      <w:r w:rsidR="009C49A3">
        <w:rPr>
          <w:rFonts w:asciiTheme="minorHAnsi" w:hAnsiTheme="minorHAnsi"/>
          <w:sz w:val="24"/>
        </w:rPr>
        <w:t>83, 31378</w:t>
      </w:r>
      <w:r>
        <w:rPr>
          <w:rFonts w:asciiTheme="minorHAnsi" w:hAnsiTheme="minorHAnsi"/>
          <w:sz w:val="24"/>
        </w:rPr>
        <w:t>).</w:t>
      </w:r>
      <w:r w:rsidR="00B3578B" w:rsidRPr="00AE0AB8">
        <w:rPr>
          <w:rFonts w:asciiTheme="minorHAnsi" w:hAnsiTheme="minorHAnsi"/>
          <w:sz w:val="24"/>
        </w:rPr>
        <w:t xml:space="preserve"> No public comments were received.</w:t>
      </w:r>
    </w:p>
    <w:p w14:paraId="360A8373" w14:textId="77777777" w:rsidR="004746BD" w:rsidRPr="00AE0AB8" w:rsidRDefault="004746BD" w:rsidP="00FC73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4C61A832" w14:textId="6426AD84" w:rsidR="00EC20FB" w:rsidRPr="00FC7347" w:rsidRDefault="00FC7347" w:rsidP="002E5CE3">
      <w:pPr>
        <w:pStyle w:val="ListParagraph"/>
        <w:numPr>
          <w:ilvl w:val="0"/>
          <w:numId w:val="27"/>
        </w:num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30"/>
        <w:rPr>
          <w:rFonts w:asciiTheme="minorHAnsi" w:hAnsiTheme="minorHAnsi"/>
          <w:b/>
          <w:sz w:val="24"/>
          <w:szCs w:val="24"/>
        </w:rPr>
      </w:pPr>
      <w:r w:rsidRPr="00FC7347">
        <w:rPr>
          <w:rFonts w:asciiTheme="minorHAnsi" w:hAnsiTheme="minorHAnsi"/>
          <w:b/>
          <w:sz w:val="24"/>
          <w:szCs w:val="24"/>
        </w:rPr>
        <w:t>Payment or Gift</w:t>
      </w:r>
    </w:p>
    <w:p w14:paraId="597E62B3" w14:textId="77777777" w:rsidR="00AB2092" w:rsidRPr="00AE0AB8" w:rsidRDefault="00AB2092" w:rsidP="005547F9">
      <w:pPr>
        <w:ind w:left="-180"/>
        <w:rPr>
          <w:rFonts w:asciiTheme="minorHAnsi" w:hAnsiTheme="minorHAnsi"/>
          <w:sz w:val="24"/>
        </w:rPr>
      </w:pPr>
    </w:p>
    <w:p w14:paraId="609D5361" w14:textId="77777777" w:rsidR="00AB2092" w:rsidRPr="00AE0AB8" w:rsidRDefault="00AB2092" w:rsidP="002E5CE3">
      <w:pPr>
        <w:ind w:left="720" w:hanging="900"/>
        <w:rPr>
          <w:rFonts w:asciiTheme="minorHAnsi" w:hAnsiTheme="minorHAnsi"/>
          <w:sz w:val="24"/>
        </w:rPr>
      </w:pPr>
      <w:r w:rsidRPr="00AE0AB8">
        <w:rPr>
          <w:rFonts w:asciiTheme="minorHAnsi" w:hAnsiTheme="minorHAnsi"/>
          <w:sz w:val="24"/>
        </w:rPr>
        <w:t>No payments or gifts will be made to respondents.</w:t>
      </w:r>
    </w:p>
    <w:p w14:paraId="0E948EBA" w14:textId="77777777" w:rsidR="00FD4D01" w:rsidRPr="00AE0AB8" w:rsidRDefault="00FD4D01" w:rsidP="00FD4D01">
      <w:pPr>
        <w:rPr>
          <w:rFonts w:asciiTheme="minorHAnsi" w:hAnsiTheme="minorHAnsi"/>
          <w:sz w:val="24"/>
        </w:rPr>
      </w:pPr>
    </w:p>
    <w:p w14:paraId="105F5FCD" w14:textId="21BBEB36" w:rsidR="00FD4D01" w:rsidRPr="00FC7347" w:rsidRDefault="00FC7347" w:rsidP="002E5CE3">
      <w:pPr>
        <w:pStyle w:val="ListParagraph"/>
        <w:numPr>
          <w:ilvl w:val="0"/>
          <w:numId w:val="27"/>
        </w:numPr>
        <w:tabs>
          <w:tab w:val="left" w:pos="-1080"/>
          <w:tab w:val="left" w:pos="-720"/>
          <w:tab w:val="left" w:pos="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30"/>
        <w:rPr>
          <w:rFonts w:asciiTheme="minorHAnsi" w:hAnsiTheme="minorHAnsi"/>
          <w:b/>
          <w:sz w:val="24"/>
          <w:szCs w:val="24"/>
        </w:rPr>
      </w:pPr>
      <w:r w:rsidRPr="00FC7347">
        <w:rPr>
          <w:rFonts w:asciiTheme="minorHAnsi" w:hAnsiTheme="minorHAnsi"/>
          <w:b/>
          <w:sz w:val="24"/>
          <w:szCs w:val="24"/>
        </w:rPr>
        <w:t>Confidentiality</w:t>
      </w:r>
    </w:p>
    <w:p w14:paraId="35EAFAA3" w14:textId="77777777" w:rsidR="00FD4D01" w:rsidRPr="00AE0AB8" w:rsidRDefault="00FD4D01" w:rsidP="00FD4D01">
      <w:pPr>
        <w:rPr>
          <w:rFonts w:asciiTheme="minorHAnsi" w:hAnsiTheme="minorHAnsi"/>
          <w:sz w:val="24"/>
        </w:rPr>
      </w:pPr>
    </w:p>
    <w:p w14:paraId="129E1DC7" w14:textId="77777777" w:rsidR="00D47C4A" w:rsidRPr="00AE0AB8" w:rsidRDefault="00FF2934" w:rsidP="002E5CE3">
      <w:pPr>
        <w:ind w:left="-180"/>
        <w:rPr>
          <w:rFonts w:asciiTheme="minorHAnsi" w:hAnsiTheme="minorHAnsi"/>
          <w:sz w:val="24"/>
        </w:rPr>
      </w:pPr>
      <w:r w:rsidRPr="00AE0AB8">
        <w:rPr>
          <w:rFonts w:asciiTheme="minorHAnsi" w:hAnsiTheme="minorHAnsi"/>
          <w:sz w:val="24"/>
        </w:rPr>
        <w:t>I</w:t>
      </w:r>
      <w:r w:rsidR="00AB2092" w:rsidRPr="00AE0AB8">
        <w:rPr>
          <w:rFonts w:asciiTheme="minorHAnsi" w:hAnsiTheme="minorHAnsi"/>
          <w:sz w:val="24"/>
        </w:rPr>
        <w:t xml:space="preserve">ndividuals and organizations </w:t>
      </w:r>
      <w:r w:rsidR="00DC7D04" w:rsidRPr="00AE0AB8">
        <w:rPr>
          <w:rFonts w:asciiTheme="minorHAnsi" w:hAnsiTheme="minorHAnsi"/>
          <w:sz w:val="24"/>
        </w:rPr>
        <w:t>given the opportunity to take a survey</w:t>
      </w:r>
      <w:r w:rsidR="00AB2092" w:rsidRPr="00AE0AB8">
        <w:rPr>
          <w:rFonts w:asciiTheme="minorHAnsi" w:hAnsiTheme="minorHAnsi"/>
          <w:sz w:val="24"/>
        </w:rPr>
        <w:t xml:space="preserve"> will be assured of the </w:t>
      </w:r>
      <w:r w:rsidR="00BC4953" w:rsidRPr="00AE0AB8">
        <w:rPr>
          <w:rFonts w:asciiTheme="minorHAnsi" w:hAnsiTheme="minorHAnsi"/>
          <w:sz w:val="24"/>
        </w:rPr>
        <w:t>anonymity</w:t>
      </w:r>
      <w:r w:rsidR="00AB2092" w:rsidRPr="00AE0AB8">
        <w:rPr>
          <w:rFonts w:asciiTheme="minorHAnsi" w:hAnsiTheme="minorHAnsi"/>
          <w:sz w:val="24"/>
        </w:rPr>
        <w:t xml:space="preserve"> of their replies under </w:t>
      </w:r>
      <w:r w:rsidR="00A8479D" w:rsidRPr="00AE0AB8">
        <w:rPr>
          <w:rFonts w:asciiTheme="minorHAnsi" w:hAnsiTheme="minorHAnsi"/>
          <w:sz w:val="24"/>
        </w:rPr>
        <w:t>5 U.S</w:t>
      </w:r>
      <w:r w:rsidR="00AB2092" w:rsidRPr="00AE0AB8">
        <w:rPr>
          <w:rFonts w:asciiTheme="minorHAnsi" w:hAnsiTheme="minorHAnsi"/>
          <w:sz w:val="24"/>
        </w:rPr>
        <w:t>.C. 5</w:t>
      </w:r>
      <w:r w:rsidR="00A8479D" w:rsidRPr="00AE0AB8">
        <w:rPr>
          <w:rFonts w:asciiTheme="minorHAnsi" w:hAnsiTheme="minorHAnsi"/>
          <w:sz w:val="24"/>
        </w:rPr>
        <w:t>5</w:t>
      </w:r>
      <w:r w:rsidR="00AB2092" w:rsidRPr="00AE0AB8">
        <w:rPr>
          <w:rFonts w:asciiTheme="minorHAnsi" w:hAnsiTheme="minorHAnsi"/>
          <w:sz w:val="24"/>
        </w:rPr>
        <w:t>2 (Freedom of Information Act), 5 U.S.C. 5</w:t>
      </w:r>
      <w:r w:rsidR="00A8479D" w:rsidRPr="00AE0AB8">
        <w:rPr>
          <w:rFonts w:asciiTheme="minorHAnsi" w:hAnsiTheme="minorHAnsi"/>
          <w:sz w:val="24"/>
        </w:rPr>
        <w:t>5</w:t>
      </w:r>
      <w:r w:rsidR="00AB2092" w:rsidRPr="00AE0AB8">
        <w:rPr>
          <w:rFonts w:asciiTheme="minorHAnsi" w:hAnsiTheme="minorHAnsi"/>
          <w:sz w:val="24"/>
        </w:rPr>
        <w:t>2a (Privacy Act of 197</w:t>
      </w:r>
      <w:r w:rsidR="000A2014" w:rsidRPr="00AE0AB8">
        <w:rPr>
          <w:rFonts w:asciiTheme="minorHAnsi" w:hAnsiTheme="minorHAnsi"/>
          <w:sz w:val="24"/>
        </w:rPr>
        <w:t>4) and OMB Circular No. A-130.</w:t>
      </w:r>
      <w:r w:rsidR="003157B8" w:rsidRPr="00AE0AB8">
        <w:rPr>
          <w:rFonts w:asciiTheme="minorHAnsi" w:hAnsiTheme="minorHAnsi"/>
          <w:sz w:val="24"/>
        </w:rPr>
        <w:t xml:space="preserve"> </w:t>
      </w:r>
      <w:r w:rsidR="00AB2092" w:rsidRPr="00AE0AB8">
        <w:rPr>
          <w:rFonts w:asciiTheme="minorHAnsi" w:hAnsiTheme="minorHAnsi"/>
          <w:sz w:val="24"/>
        </w:rPr>
        <w:t>Survey respondents will be advised on the survey form or in a privacy statement that participation is voluntary</w:t>
      </w:r>
      <w:r w:rsidR="00BC4953" w:rsidRPr="00AE0AB8">
        <w:rPr>
          <w:rFonts w:asciiTheme="minorHAnsi" w:hAnsiTheme="minorHAnsi"/>
          <w:sz w:val="24"/>
        </w:rPr>
        <w:t xml:space="preserve">. </w:t>
      </w:r>
    </w:p>
    <w:p w14:paraId="56E9179C" w14:textId="77777777" w:rsidR="00D47C4A" w:rsidRPr="00AE0AB8" w:rsidRDefault="00D47C4A" w:rsidP="00D47C4A">
      <w:pPr>
        <w:ind w:left="-360"/>
        <w:rPr>
          <w:rFonts w:asciiTheme="minorHAnsi" w:hAnsiTheme="minorHAnsi"/>
          <w:sz w:val="24"/>
        </w:rPr>
      </w:pPr>
    </w:p>
    <w:p w14:paraId="473B9DFA" w14:textId="595A94F2" w:rsidR="00AB2092" w:rsidRPr="00AE0AB8" w:rsidRDefault="00D47C4A" w:rsidP="002E5CE3">
      <w:pPr>
        <w:ind w:left="-180"/>
        <w:rPr>
          <w:rFonts w:asciiTheme="minorHAnsi" w:hAnsiTheme="minorHAnsi"/>
          <w:sz w:val="24"/>
        </w:rPr>
      </w:pPr>
      <w:r w:rsidRPr="00AE0AB8">
        <w:rPr>
          <w:rFonts w:asciiTheme="minorHAnsi" w:hAnsiTheme="minorHAnsi"/>
          <w:sz w:val="24"/>
        </w:rPr>
        <w:t>No personally identifi</w:t>
      </w:r>
      <w:r w:rsidR="00B22480">
        <w:rPr>
          <w:rFonts w:asciiTheme="minorHAnsi" w:hAnsiTheme="minorHAnsi"/>
          <w:sz w:val="24"/>
        </w:rPr>
        <w:t xml:space="preserve">able information is collected. </w:t>
      </w:r>
      <w:r w:rsidRPr="00AE0AB8">
        <w:rPr>
          <w:rFonts w:asciiTheme="minorHAnsi" w:hAnsiTheme="minorHAnsi"/>
          <w:sz w:val="24"/>
        </w:rPr>
        <w:t>No system of records is created.</w:t>
      </w:r>
      <w:r w:rsidR="00AB2092" w:rsidRPr="00AE0AB8">
        <w:rPr>
          <w:rFonts w:asciiTheme="minorHAnsi" w:hAnsiTheme="minorHAnsi"/>
          <w:sz w:val="24"/>
        </w:rPr>
        <w:t xml:space="preserve">  </w:t>
      </w:r>
    </w:p>
    <w:p w14:paraId="552865A6" w14:textId="77777777" w:rsidR="00FB4B6D" w:rsidRPr="00AE0AB8" w:rsidRDefault="00FB4B6D" w:rsidP="00FB4B6D">
      <w:pPr>
        <w:jc w:val="both"/>
        <w:rPr>
          <w:rFonts w:asciiTheme="minorHAnsi" w:hAnsiTheme="minorHAnsi"/>
          <w:sz w:val="24"/>
        </w:rPr>
      </w:pPr>
    </w:p>
    <w:p w14:paraId="73623276" w14:textId="46F1F405" w:rsidR="00FB4B6D" w:rsidRPr="00AE0AB8" w:rsidRDefault="00FB4B6D" w:rsidP="002E5CE3">
      <w:pPr>
        <w:tabs>
          <w:tab w:val="left" w:pos="-1080"/>
          <w:tab w:val="left" w:pos="-720"/>
          <w:tab w:val="left" w:pos="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630"/>
        <w:rPr>
          <w:rFonts w:asciiTheme="minorHAnsi" w:hAnsiTheme="minorHAnsi"/>
          <w:sz w:val="24"/>
          <w:szCs w:val="24"/>
        </w:rPr>
      </w:pPr>
      <w:r w:rsidRPr="00B22480">
        <w:rPr>
          <w:rFonts w:asciiTheme="minorHAnsi" w:hAnsiTheme="minorHAnsi"/>
          <w:b/>
          <w:sz w:val="24"/>
          <w:szCs w:val="24"/>
        </w:rPr>
        <w:t>11.</w:t>
      </w:r>
      <w:r w:rsidR="00B22480" w:rsidRPr="00B22480">
        <w:rPr>
          <w:rFonts w:asciiTheme="minorHAnsi" w:hAnsiTheme="minorHAnsi"/>
          <w:b/>
          <w:sz w:val="24"/>
          <w:szCs w:val="24"/>
        </w:rPr>
        <w:t>)</w:t>
      </w:r>
      <w:r w:rsidRPr="00AE0AB8">
        <w:rPr>
          <w:rFonts w:asciiTheme="minorHAnsi" w:hAnsiTheme="minorHAnsi"/>
          <w:sz w:val="24"/>
          <w:szCs w:val="24"/>
        </w:rPr>
        <w:tab/>
      </w:r>
      <w:r w:rsidR="00B22480" w:rsidRPr="00B22480">
        <w:rPr>
          <w:rFonts w:asciiTheme="minorHAnsi" w:hAnsiTheme="minorHAnsi"/>
          <w:b/>
          <w:sz w:val="24"/>
          <w:szCs w:val="24"/>
        </w:rPr>
        <w:t>Sensitive Nature</w:t>
      </w:r>
    </w:p>
    <w:p w14:paraId="1936C30B" w14:textId="77777777" w:rsidR="00AB2092" w:rsidRPr="00AE0AB8" w:rsidRDefault="00AB2092" w:rsidP="00AB2092">
      <w:pPr>
        <w:rPr>
          <w:rFonts w:asciiTheme="minorHAnsi" w:hAnsiTheme="minorHAnsi"/>
          <w:sz w:val="24"/>
        </w:rPr>
      </w:pPr>
    </w:p>
    <w:p w14:paraId="64E53F4E" w14:textId="451126DC" w:rsidR="008A1B21" w:rsidRPr="00AE0AB8" w:rsidRDefault="00AB2092" w:rsidP="002E5CE3">
      <w:pPr>
        <w:ind w:left="-180"/>
        <w:rPr>
          <w:rFonts w:asciiTheme="minorHAnsi" w:hAnsiTheme="minorHAnsi"/>
          <w:sz w:val="24"/>
          <w:szCs w:val="24"/>
        </w:rPr>
      </w:pPr>
      <w:r w:rsidRPr="00AE0AB8">
        <w:rPr>
          <w:rFonts w:asciiTheme="minorHAnsi" w:hAnsiTheme="minorHAnsi"/>
          <w:sz w:val="24"/>
          <w:szCs w:val="24"/>
        </w:rPr>
        <w:t>This website survey will not ask questions or collect data of a sensitive nature, such as sexual behavior and attitudes, religious beliefs, and other matters that a</w:t>
      </w:r>
      <w:r w:rsidR="005547F9">
        <w:rPr>
          <w:rFonts w:asciiTheme="minorHAnsi" w:hAnsiTheme="minorHAnsi"/>
          <w:sz w:val="24"/>
          <w:szCs w:val="24"/>
        </w:rPr>
        <w:t>re commonly considered private.</w:t>
      </w:r>
      <w:r w:rsidRPr="00AE0AB8">
        <w:rPr>
          <w:rFonts w:asciiTheme="minorHAnsi" w:hAnsiTheme="minorHAnsi"/>
          <w:sz w:val="24"/>
          <w:szCs w:val="24"/>
        </w:rPr>
        <w:t xml:space="preserve"> However, on occasion, some respondents may consider some of the standard demographic questions as sensitive in nature (e.g., questions that request the respondent’s age, gender, ed</w:t>
      </w:r>
      <w:r w:rsidR="00B22480">
        <w:rPr>
          <w:rFonts w:asciiTheme="minorHAnsi" w:hAnsiTheme="minorHAnsi"/>
          <w:sz w:val="24"/>
          <w:szCs w:val="24"/>
        </w:rPr>
        <w:t xml:space="preserve">ucation, or household income). </w:t>
      </w:r>
      <w:r w:rsidRPr="00AE0AB8">
        <w:rPr>
          <w:rFonts w:asciiTheme="minorHAnsi" w:hAnsiTheme="minorHAnsi"/>
          <w:sz w:val="24"/>
          <w:szCs w:val="24"/>
        </w:rPr>
        <w:t xml:space="preserve">Demographic questions are useful in </w:t>
      </w:r>
      <w:r w:rsidR="00A8479D" w:rsidRPr="00AE0AB8">
        <w:rPr>
          <w:rFonts w:asciiTheme="minorHAnsi" w:hAnsiTheme="minorHAnsi"/>
          <w:sz w:val="24"/>
          <w:szCs w:val="24"/>
        </w:rPr>
        <w:t>segmenting</w:t>
      </w:r>
      <w:r w:rsidRPr="00AE0AB8">
        <w:rPr>
          <w:rFonts w:asciiTheme="minorHAnsi" w:hAnsiTheme="minorHAnsi"/>
          <w:sz w:val="24"/>
          <w:szCs w:val="24"/>
        </w:rPr>
        <w:t xml:space="preserve"> the responses </w:t>
      </w:r>
      <w:r w:rsidR="00A8479D" w:rsidRPr="00AE0AB8">
        <w:rPr>
          <w:rFonts w:asciiTheme="minorHAnsi" w:hAnsiTheme="minorHAnsi"/>
          <w:sz w:val="24"/>
          <w:szCs w:val="24"/>
        </w:rPr>
        <w:t xml:space="preserve">of different user groups or visitor profiles </w:t>
      </w:r>
      <w:r w:rsidRPr="00AE0AB8">
        <w:rPr>
          <w:rFonts w:asciiTheme="minorHAnsi" w:hAnsiTheme="minorHAnsi"/>
          <w:sz w:val="24"/>
          <w:szCs w:val="24"/>
        </w:rPr>
        <w:t>and are helpful in evaluating the results; therefore, respondents will be encouraged to answer these questions but assured that their participation is completely voluntary</w:t>
      </w:r>
      <w:r w:rsidR="0019634E" w:rsidRPr="00AE0AB8">
        <w:rPr>
          <w:rFonts w:asciiTheme="minorHAnsi" w:hAnsiTheme="minorHAnsi"/>
          <w:sz w:val="24"/>
          <w:szCs w:val="24"/>
        </w:rPr>
        <w:t>.</w:t>
      </w:r>
    </w:p>
    <w:p w14:paraId="49BA8A06" w14:textId="77777777" w:rsidR="00361B6A" w:rsidRPr="00AE0AB8" w:rsidRDefault="00361B6A" w:rsidP="00361B6A">
      <w:pPr>
        <w:jc w:val="both"/>
        <w:rPr>
          <w:rFonts w:asciiTheme="minorHAnsi" w:hAnsiTheme="minorHAnsi"/>
          <w:sz w:val="24"/>
          <w:szCs w:val="24"/>
        </w:rPr>
      </w:pPr>
    </w:p>
    <w:p w14:paraId="6435DEAE" w14:textId="20425882" w:rsidR="00361B6A" w:rsidRPr="00B22480" w:rsidRDefault="00361B6A" w:rsidP="002E5CE3">
      <w:pPr>
        <w:tabs>
          <w:tab w:val="left" w:pos="-1080"/>
          <w:tab w:val="left" w:pos="-72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heme="minorHAnsi" w:hAnsiTheme="minorHAnsi"/>
          <w:b/>
          <w:sz w:val="24"/>
          <w:szCs w:val="24"/>
        </w:rPr>
      </w:pPr>
      <w:r w:rsidRPr="00B22480">
        <w:rPr>
          <w:rFonts w:asciiTheme="minorHAnsi" w:hAnsiTheme="minorHAnsi"/>
          <w:b/>
          <w:sz w:val="24"/>
          <w:szCs w:val="24"/>
        </w:rPr>
        <w:t>12.</w:t>
      </w:r>
      <w:r w:rsidR="00B22480">
        <w:rPr>
          <w:rFonts w:asciiTheme="minorHAnsi" w:hAnsiTheme="minorHAnsi"/>
          <w:b/>
          <w:sz w:val="24"/>
          <w:szCs w:val="24"/>
        </w:rPr>
        <w:t xml:space="preserve">)    </w:t>
      </w:r>
      <w:r w:rsidR="00B22480" w:rsidRPr="00B22480">
        <w:rPr>
          <w:rFonts w:asciiTheme="minorHAnsi" w:hAnsiTheme="minorHAnsi"/>
          <w:b/>
          <w:sz w:val="24"/>
          <w:szCs w:val="24"/>
        </w:rPr>
        <w:t>Burden of Information Collected</w:t>
      </w:r>
    </w:p>
    <w:p w14:paraId="01ACA4AA" w14:textId="77777777" w:rsidR="0019634E" w:rsidRPr="00AE0AB8" w:rsidRDefault="0019634E" w:rsidP="0019634E">
      <w:pPr>
        <w:rPr>
          <w:rFonts w:asciiTheme="minorHAnsi" w:hAnsiTheme="minorHAnsi"/>
          <w:sz w:val="24"/>
        </w:rPr>
      </w:pPr>
    </w:p>
    <w:tbl>
      <w:tblPr>
        <w:tblW w:w="5070"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863"/>
        <w:gridCol w:w="2179"/>
        <w:gridCol w:w="1338"/>
        <w:gridCol w:w="1088"/>
        <w:gridCol w:w="1254"/>
        <w:gridCol w:w="1254"/>
        <w:gridCol w:w="1383"/>
      </w:tblGrid>
      <w:tr w:rsidR="009C49A3" w:rsidRPr="009C49A3" w14:paraId="2072CFDD" w14:textId="77777777" w:rsidTr="009C49A3">
        <w:trPr>
          <w:cantSplit/>
          <w:tblHeader/>
        </w:trPr>
        <w:tc>
          <w:tcPr>
            <w:tcW w:w="461" w:type="pct"/>
            <w:shd w:val="clear" w:color="auto" w:fill="auto"/>
            <w:vAlign w:val="center"/>
          </w:tcPr>
          <w:p w14:paraId="5A257F71"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IC Number</w:t>
            </w:r>
          </w:p>
        </w:tc>
        <w:tc>
          <w:tcPr>
            <w:tcW w:w="1164" w:type="pct"/>
            <w:shd w:val="clear" w:color="auto" w:fill="auto"/>
            <w:vAlign w:val="center"/>
          </w:tcPr>
          <w:p w14:paraId="6B97064D"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Information Collection Item</w:t>
            </w:r>
          </w:p>
        </w:tc>
        <w:tc>
          <w:tcPr>
            <w:tcW w:w="715" w:type="pct"/>
            <w:shd w:val="clear" w:color="auto" w:fill="auto"/>
            <w:vAlign w:val="center"/>
          </w:tcPr>
          <w:p w14:paraId="1BD99DF4"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Estimated time for response (minutes)</w:t>
            </w:r>
          </w:p>
          <w:p w14:paraId="068D555D"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(a)</w:t>
            </w:r>
          </w:p>
        </w:tc>
        <w:tc>
          <w:tcPr>
            <w:tcW w:w="581" w:type="pct"/>
            <w:shd w:val="clear" w:color="auto" w:fill="auto"/>
            <w:vAlign w:val="center"/>
          </w:tcPr>
          <w:p w14:paraId="77107B57"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Estimated Annual Responses</w:t>
            </w:r>
          </w:p>
          <w:p w14:paraId="4E58BF67"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(b)</w:t>
            </w:r>
          </w:p>
        </w:tc>
        <w:tc>
          <w:tcPr>
            <w:tcW w:w="670" w:type="pct"/>
            <w:shd w:val="clear" w:color="auto" w:fill="auto"/>
            <w:vAlign w:val="center"/>
          </w:tcPr>
          <w:p w14:paraId="3DB3A391"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Estimated annual burden hours</w:t>
            </w:r>
          </w:p>
          <w:p w14:paraId="2F96C0A7"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(a) x (b) = (c)</w:t>
            </w:r>
          </w:p>
        </w:tc>
        <w:tc>
          <w:tcPr>
            <w:tcW w:w="670" w:type="pct"/>
            <w:shd w:val="clear" w:color="auto" w:fill="auto"/>
          </w:tcPr>
          <w:p w14:paraId="45698B61"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Rate</w:t>
            </w:r>
          </w:p>
          <w:p w14:paraId="7D14D15D"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(S/hr)</w:t>
            </w:r>
          </w:p>
          <w:p w14:paraId="22B0E7C7" w14:textId="77777777" w:rsidR="00B22480" w:rsidRPr="009C49A3" w:rsidRDefault="00B22480" w:rsidP="00833384">
            <w:pPr>
              <w:spacing w:after="120"/>
              <w:contextualSpacing/>
              <w:jc w:val="center"/>
              <w:rPr>
                <w:rFonts w:ascii="Arial" w:eastAsia="Calibri" w:hAnsi="Arial" w:cs="Arial"/>
                <w:b/>
                <w:bCs/>
                <w:sz w:val="16"/>
                <w:szCs w:val="16"/>
              </w:rPr>
            </w:pPr>
          </w:p>
          <w:p w14:paraId="77B89508"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(d)</w:t>
            </w:r>
          </w:p>
        </w:tc>
        <w:tc>
          <w:tcPr>
            <w:tcW w:w="739" w:type="pct"/>
            <w:shd w:val="clear" w:color="auto" w:fill="auto"/>
          </w:tcPr>
          <w:p w14:paraId="7F3A48A4"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Total Cost</w:t>
            </w:r>
          </w:p>
          <w:p w14:paraId="7A01BBA1"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w:t>
            </w:r>
          </w:p>
          <w:p w14:paraId="2F87F9AA" w14:textId="77777777" w:rsidR="00B22480" w:rsidRPr="009C49A3" w:rsidRDefault="00B22480" w:rsidP="00833384">
            <w:pPr>
              <w:spacing w:after="120"/>
              <w:contextualSpacing/>
              <w:jc w:val="center"/>
              <w:rPr>
                <w:rFonts w:ascii="Arial" w:eastAsia="Calibri" w:hAnsi="Arial" w:cs="Arial"/>
                <w:b/>
                <w:bCs/>
                <w:sz w:val="16"/>
                <w:szCs w:val="16"/>
              </w:rPr>
            </w:pPr>
          </w:p>
          <w:p w14:paraId="0E81B113"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(c) x (d) = (e)</w:t>
            </w:r>
          </w:p>
        </w:tc>
      </w:tr>
      <w:tr w:rsidR="009C49A3" w:rsidRPr="009C49A3" w14:paraId="7FF32978" w14:textId="77777777" w:rsidTr="009C49A3">
        <w:tc>
          <w:tcPr>
            <w:tcW w:w="461" w:type="pct"/>
            <w:shd w:val="clear" w:color="auto" w:fill="auto"/>
            <w:vAlign w:val="center"/>
          </w:tcPr>
          <w:p w14:paraId="6F9D2055" w14:textId="77777777" w:rsidR="00B22480" w:rsidRPr="009C49A3" w:rsidRDefault="00B22480" w:rsidP="00833384">
            <w:pPr>
              <w:spacing w:after="120"/>
              <w:contextualSpacing/>
              <w:jc w:val="center"/>
              <w:rPr>
                <w:rFonts w:ascii="Arial" w:eastAsia="Calibri" w:hAnsi="Arial" w:cs="Arial"/>
                <w:b/>
                <w:bCs/>
                <w:sz w:val="16"/>
                <w:szCs w:val="16"/>
              </w:rPr>
            </w:pPr>
            <w:r w:rsidRPr="009C49A3">
              <w:rPr>
                <w:rFonts w:ascii="Arial" w:eastAsia="Calibri" w:hAnsi="Arial" w:cs="Arial"/>
                <w:b/>
                <w:bCs/>
                <w:sz w:val="16"/>
                <w:szCs w:val="16"/>
              </w:rPr>
              <w:t>1</w:t>
            </w:r>
          </w:p>
        </w:tc>
        <w:tc>
          <w:tcPr>
            <w:tcW w:w="1164" w:type="pct"/>
            <w:shd w:val="clear" w:color="auto" w:fill="auto"/>
            <w:vAlign w:val="center"/>
          </w:tcPr>
          <w:p w14:paraId="79EE4EEB" w14:textId="0B656574" w:rsidR="00B22480" w:rsidRPr="009C49A3" w:rsidRDefault="00B22480" w:rsidP="009C49A3">
            <w:pPr>
              <w:spacing w:after="120"/>
              <w:ind w:left="2880" w:hanging="2880"/>
              <w:contextualSpacing/>
              <w:rPr>
                <w:rFonts w:ascii="Arial" w:eastAsia="Calibri" w:hAnsi="Arial" w:cs="Arial"/>
                <w:bCs/>
                <w:sz w:val="16"/>
                <w:szCs w:val="16"/>
              </w:rPr>
            </w:pPr>
            <w:r w:rsidRPr="009C49A3">
              <w:rPr>
                <w:rFonts w:ascii="Arial" w:eastAsia="Calibri" w:hAnsi="Arial" w:cs="Arial"/>
                <w:bCs/>
                <w:sz w:val="16"/>
                <w:szCs w:val="16"/>
              </w:rPr>
              <w:t>Survey</w:t>
            </w:r>
            <w:r w:rsidR="009C49A3" w:rsidRPr="009C49A3">
              <w:rPr>
                <w:rFonts w:ascii="Arial" w:eastAsia="Calibri" w:hAnsi="Arial" w:cs="Arial"/>
                <w:bCs/>
                <w:sz w:val="16"/>
                <w:szCs w:val="16"/>
              </w:rPr>
              <w:t>s</w:t>
            </w:r>
          </w:p>
        </w:tc>
        <w:tc>
          <w:tcPr>
            <w:tcW w:w="715" w:type="pct"/>
            <w:shd w:val="clear" w:color="auto" w:fill="auto"/>
            <w:vAlign w:val="center"/>
          </w:tcPr>
          <w:p w14:paraId="465678BE" w14:textId="167160A8" w:rsidR="00B22480" w:rsidRPr="009C49A3" w:rsidRDefault="009C49A3" w:rsidP="00833384">
            <w:pPr>
              <w:spacing w:after="120"/>
              <w:contextualSpacing/>
              <w:jc w:val="right"/>
              <w:rPr>
                <w:rFonts w:ascii="Arial" w:eastAsia="Calibri" w:hAnsi="Arial" w:cs="Arial"/>
                <w:bCs/>
                <w:sz w:val="16"/>
                <w:szCs w:val="16"/>
              </w:rPr>
            </w:pPr>
            <w:r w:rsidRPr="009C49A3">
              <w:rPr>
                <w:rFonts w:ascii="Arial" w:eastAsia="Calibri" w:hAnsi="Arial" w:cs="Arial"/>
                <w:bCs/>
                <w:sz w:val="16"/>
                <w:szCs w:val="16"/>
              </w:rPr>
              <w:t>8</w:t>
            </w:r>
          </w:p>
        </w:tc>
        <w:tc>
          <w:tcPr>
            <w:tcW w:w="581" w:type="pct"/>
            <w:shd w:val="clear" w:color="auto" w:fill="auto"/>
            <w:vAlign w:val="center"/>
          </w:tcPr>
          <w:p w14:paraId="7E62F619" w14:textId="77777777" w:rsidR="00B22480" w:rsidRPr="009C49A3" w:rsidRDefault="00B22480" w:rsidP="00833384">
            <w:pPr>
              <w:spacing w:after="120"/>
              <w:contextualSpacing/>
              <w:jc w:val="right"/>
              <w:rPr>
                <w:rFonts w:ascii="Arial" w:eastAsia="Calibri" w:hAnsi="Arial" w:cs="Arial"/>
                <w:bCs/>
                <w:sz w:val="16"/>
                <w:szCs w:val="16"/>
              </w:rPr>
            </w:pPr>
            <w:r w:rsidRPr="009C49A3">
              <w:rPr>
                <w:rFonts w:ascii="Arial" w:eastAsia="Calibri" w:hAnsi="Arial" w:cs="Arial"/>
                <w:bCs/>
                <w:sz w:val="16"/>
                <w:szCs w:val="16"/>
              </w:rPr>
              <w:t>100,000</w:t>
            </w:r>
          </w:p>
        </w:tc>
        <w:tc>
          <w:tcPr>
            <w:tcW w:w="670" w:type="pct"/>
            <w:shd w:val="clear" w:color="auto" w:fill="auto"/>
            <w:vAlign w:val="center"/>
          </w:tcPr>
          <w:p w14:paraId="35881E8F" w14:textId="0DE9A028" w:rsidR="00B22480" w:rsidRPr="009C49A3" w:rsidRDefault="009C49A3" w:rsidP="00833384">
            <w:pPr>
              <w:spacing w:after="120"/>
              <w:contextualSpacing/>
              <w:jc w:val="right"/>
              <w:rPr>
                <w:rFonts w:ascii="Arial" w:eastAsia="Calibri" w:hAnsi="Arial" w:cs="Arial"/>
                <w:bCs/>
                <w:sz w:val="16"/>
                <w:szCs w:val="16"/>
              </w:rPr>
            </w:pPr>
            <w:r w:rsidRPr="009C49A3">
              <w:rPr>
                <w:rFonts w:ascii="Arial" w:eastAsia="Calibri" w:hAnsi="Arial" w:cs="Arial"/>
                <w:bCs/>
                <w:sz w:val="16"/>
                <w:szCs w:val="16"/>
              </w:rPr>
              <w:t>13</w:t>
            </w:r>
            <w:r w:rsidR="00B22480" w:rsidRPr="009C49A3">
              <w:rPr>
                <w:rFonts w:ascii="Arial" w:eastAsia="Calibri" w:hAnsi="Arial" w:cs="Arial"/>
                <w:bCs/>
                <w:sz w:val="16"/>
                <w:szCs w:val="16"/>
              </w:rPr>
              <w:t>,333.33</w:t>
            </w:r>
          </w:p>
        </w:tc>
        <w:tc>
          <w:tcPr>
            <w:tcW w:w="670" w:type="pct"/>
            <w:shd w:val="clear" w:color="auto" w:fill="auto"/>
          </w:tcPr>
          <w:p w14:paraId="420928FE" w14:textId="7E3A3243" w:rsidR="00B22480" w:rsidRPr="009C49A3" w:rsidRDefault="00B22480" w:rsidP="009C49A3">
            <w:pPr>
              <w:spacing w:after="120"/>
              <w:contextualSpacing/>
              <w:jc w:val="right"/>
              <w:rPr>
                <w:rFonts w:ascii="Arial" w:eastAsia="Calibri" w:hAnsi="Arial" w:cs="Arial"/>
                <w:bCs/>
                <w:sz w:val="16"/>
                <w:szCs w:val="16"/>
              </w:rPr>
            </w:pPr>
            <w:r w:rsidRPr="009C49A3">
              <w:rPr>
                <w:rFonts w:ascii="Arial" w:eastAsia="Calibri" w:hAnsi="Arial" w:cs="Arial"/>
                <w:bCs/>
                <w:sz w:val="16"/>
                <w:szCs w:val="16"/>
              </w:rPr>
              <w:t>$</w:t>
            </w:r>
            <w:r w:rsidR="009C49A3" w:rsidRPr="009C49A3">
              <w:rPr>
                <w:rFonts w:ascii="Arial" w:eastAsia="Calibri" w:hAnsi="Arial" w:cs="Arial"/>
                <w:bCs/>
                <w:sz w:val="16"/>
                <w:szCs w:val="16"/>
              </w:rPr>
              <w:t>203.71</w:t>
            </w:r>
          </w:p>
        </w:tc>
        <w:tc>
          <w:tcPr>
            <w:tcW w:w="739" w:type="pct"/>
            <w:shd w:val="clear" w:color="auto" w:fill="auto"/>
          </w:tcPr>
          <w:p w14:paraId="74767854" w14:textId="492D1375" w:rsidR="00B22480" w:rsidRPr="009C49A3" w:rsidRDefault="009C49A3" w:rsidP="00833384">
            <w:pPr>
              <w:spacing w:after="120"/>
              <w:contextualSpacing/>
              <w:jc w:val="right"/>
              <w:rPr>
                <w:rFonts w:ascii="Arial" w:eastAsia="Calibri" w:hAnsi="Arial" w:cs="Arial"/>
                <w:bCs/>
                <w:sz w:val="16"/>
                <w:szCs w:val="16"/>
              </w:rPr>
            </w:pPr>
            <w:r w:rsidRPr="009C49A3">
              <w:rPr>
                <w:rFonts w:ascii="Arial" w:eastAsia="Calibri" w:hAnsi="Arial" w:cs="Arial"/>
                <w:bCs/>
                <w:sz w:val="16"/>
                <w:szCs w:val="16"/>
              </w:rPr>
              <w:t>$2,716,133.33</w:t>
            </w:r>
          </w:p>
        </w:tc>
      </w:tr>
      <w:tr w:rsidR="009C49A3" w:rsidRPr="009C49A3" w14:paraId="289707FD" w14:textId="77777777" w:rsidTr="00DE4180">
        <w:tc>
          <w:tcPr>
            <w:tcW w:w="461" w:type="pct"/>
            <w:shd w:val="clear" w:color="auto" w:fill="auto"/>
            <w:vAlign w:val="center"/>
          </w:tcPr>
          <w:p w14:paraId="7B57E9A8" w14:textId="77777777" w:rsidR="009C49A3" w:rsidRPr="009C49A3" w:rsidRDefault="009C49A3" w:rsidP="00833384">
            <w:pPr>
              <w:spacing w:after="120"/>
              <w:contextualSpacing/>
              <w:rPr>
                <w:rFonts w:ascii="Arial" w:eastAsia="Calibri" w:hAnsi="Arial" w:cs="Arial"/>
                <w:b/>
                <w:bCs/>
                <w:sz w:val="16"/>
                <w:szCs w:val="16"/>
              </w:rPr>
            </w:pPr>
            <w:r w:rsidRPr="009C49A3">
              <w:rPr>
                <w:rFonts w:ascii="Arial" w:eastAsia="Calibri" w:hAnsi="Arial" w:cs="Arial"/>
                <w:b/>
                <w:bCs/>
                <w:sz w:val="16"/>
                <w:szCs w:val="16"/>
              </w:rPr>
              <w:t>Total</w:t>
            </w:r>
          </w:p>
          <w:p w14:paraId="76ABCFFC" w14:textId="77777777" w:rsidR="009C49A3" w:rsidRPr="009C49A3" w:rsidRDefault="009C49A3" w:rsidP="00833384">
            <w:pPr>
              <w:spacing w:after="120"/>
              <w:contextualSpacing/>
              <w:rPr>
                <w:rFonts w:ascii="Arial" w:eastAsia="Calibri" w:hAnsi="Arial" w:cs="Arial"/>
                <w:bCs/>
                <w:sz w:val="16"/>
                <w:szCs w:val="16"/>
              </w:rPr>
            </w:pPr>
            <w:r w:rsidRPr="009C49A3">
              <w:rPr>
                <w:rFonts w:ascii="Arial" w:eastAsia="Calibri" w:hAnsi="Arial" w:cs="Arial"/>
                <w:b/>
                <w:bCs/>
                <w:sz w:val="16"/>
                <w:szCs w:val="16"/>
              </w:rPr>
              <w:t>(Three –Year Period)</w:t>
            </w:r>
          </w:p>
        </w:tc>
        <w:tc>
          <w:tcPr>
            <w:tcW w:w="1164" w:type="pct"/>
            <w:shd w:val="clear" w:color="auto" w:fill="auto"/>
            <w:vAlign w:val="center"/>
          </w:tcPr>
          <w:p w14:paraId="3856DD6D" w14:textId="77777777" w:rsidR="009C49A3" w:rsidRPr="009C49A3" w:rsidRDefault="009C49A3" w:rsidP="00833384">
            <w:pPr>
              <w:spacing w:after="120"/>
              <w:contextualSpacing/>
              <w:rPr>
                <w:rFonts w:ascii="Arial" w:eastAsia="Calibri" w:hAnsi="Arial" w:cs="Arial"/>
                <w:bCs/>
                <w:sz w:val="16"/>
                <w:szCs w:val="16"/>
              </w:rPr>
            </w:pPr>
          </w:p>
        </w:tc>
        <w:tc>
          <w:tcPr>
            <w:tcW w:w="715" w:type="pct"/>
            <w:shd w:val="clear" w:color="auto" w:fill="auto"/>
          </w:tcPr>
          <w:p w14:paraId="6C3C6FDB" w14:textId="77777777" w:rsidR="009C49A3" w:rsidRPr="009C49A3" w:rsidRDefault="009C49A3" w:rsidP="007D77FC">
            <w:pPr>
              <w:spacing w:after="120"/>
              <w:contextualSpacing/>
              <w:jc w:val="right"/>
              <w:rPr>
                <w:rFonts w:ascii="Arial" w:eastAsia="Calibri" w:hAnsi="Arial" w:cs="Arial"/>
                <w:b/>
                <w:bCs/>
                <w:sz w:val="16"/>
                <w:szCs w:val="16"/>
              </w:rPr>
            </w:pPr>
          </w:p>
          <w:p w14:paraId="77796135" w14:textId="659C16BF" w:rsidR="009C49A3" w:rsidRPr="009C49A3" w:rsidRDefault="009C49A3" w:rsidP="00833384">
            <w:pPr>
              <w:spacing w:after="120"/>
              <w:contextualSpacing/>
              <w:jc w:val="right"/>
              <w:rPr>
                <w:rFonts w:ascii="Arial" w:eastAsia="Calibri" w:hAnsi="Arial" w:cs="Arial"/>
                <w:bCs/>
                <w:sz w:val="16"/>
                <w:szCs w:val="16"/>
              </w:rPr>
            </w:pPr>
            <w:r w:rsidRPr="009C49A3">
              <w:rPr>
                <w:rFonts w:ascii="Arial" w:eastAsia="Calibri" w:hAnsi="Arial" w:cs="Arial"/>
                <w:b/>
                <w:bCs/>
                <w:sz w:val="16"/>
                <w:szCs w:val="16"/>
              </w:rPr>
              <w:t>- - -</w:t>
            </w:r>
          </w:p>
        </w:tc>
        <w:tc>
          <w:tcPr>
            <w:tcW w:w="581" w:type="pct"/>
            <w:shd w:val="clear" w:color="auto" w:fill="auto"/>
            <w:vAlign w:val="center"/>
          </w:tcPr>
          <w:p w14:paraId="06931A74" w14:textId="7DC9F44B" w:rsidR="009C49A3" w:rsidRPr="009C49A3" w:rsidRDefault="009C49A3" w:rsidP="00833384">
            <w:pPr>
              <w:spacing w:after="120"/>
              <w:contextualSpacing/>
              <w:jc w:val="right"/>
              <w:rPr>
                <w:rFonts w:ascii="Arial" w:eastAsia="Calibri" w:hAnsi="Arial" w:cs="Arial"/>
                <w:b/>
                <w:bCs/>
                <w:sz w:val="16"/>
                <w:szCs w:val="16"/>
              </w:rPr>
            </w:pPr>
            <w:r w:rsidRPr="009C49A3">
              <w:rPr>
                <w:rFonts w:ascii="Arial" w:eastAsia="Calibri" w:hAnsi="Arial" w:cs="Arial"/>
                <w:b/>
                <w:bCs/>
                <w:sz w:val="16"/>
                <w:szCs w:val="16"/>
              </w:rPr>
              <w:t>100,000</w:t>
            </w:r>
          </w:p>
          <w:p w14:paraId="546A92B4" w14:textId="73F1130F" w:rsidR="009C49A3" w:rsidRPr="009C49A3" w:rsidRDefault="009C49A3" w:rsidP="009C49A3">
            <w:pPr>
              <w:spacing w:after="120"/>
              <w:contextualSpacing/>
              <w:jc w:val="right"/>
              <w:rPr>
                <w:rFonts w:ascii="Arial" w:eastAsia="Calibri" w:hAnsi="Arial" w:cs="Arial"/>
                <w:bCs/>
                <w:sz w:val="16"/>
                <w:szCs w:val="16"/>
              </w:rPr>
            </w:pPr>
            <w:r w:rsidRPr="009C49A3">
              <w:rPr>
                <w:rFonts w:ascii="Arial" w:eastAsia="Calibri" w:hAnsi="Arial" w:cs="Arial"/>
                <w:b/>
                <w:bCs/>
                <w:sz w:val="16"/>
                <w:szCs w:val="16"/>
              </w:rPr>
              <w:t>(300,00)</w:t>
            </w:r>
          </w:p>
        </w:tc>
        <w:tc>
          <w:tcPr>
            <w:tcW w:w="670" w:type="pct"/>
            <w:shd w:val="clear" w:color="auto" w:fill="auto"/>
            <w:vAlign w:val="center"/>
          </w:tcPr>
          <w:p w14:paraId="178AF6EF" w14:textId="18B36C70" w:rsidR="009C49A3" w:rsidRPr="009C49A3" w:rsidRDefault="009C49A3" w:rsidP="00833384">
            <w:pPr>
              <w:spacing w:after="120"/>
              <w:contextualSpacing/>
              <w:jc w:val="right"/>
              <w:rPr>
                <w:rFonts w:ascii="Arial" w:eastAsia="Calibri" w:hAnsi="Arial" w:cs="Arial"/>
                <w:b/>
                <w:bCs/>
                <w:sz w:val="16"/>
                <w:szCs w:val="16"/>
              </w:rPr>
            </w:pPr>
            <w:r w:rsidRPr="009C49A3">
              <w:rPr>
                <w:rFonts w:ascii="Arial" w:eastAsia="Calibri" w:hAnsi="Arial" w:cs="Arial"/>
                <w:b/>
                <w:bCs/>
                <w:sz w:val="16"/>
                <w:szCs w:val="16"/>
              </w:rPr>
              <w:t>13,333.33</w:t>
            </w:r>
          </w:p>
          <w:p w14:paraId="492FE5BF" w14:textId="4839AD7C" w:rsidR="009C49A3" w:rsidRPr="009C49A3" w:rsidRDefault="009C49A3" w:rsidP="009C49A3">
            <w:pPr>
              <w:spacing w:after="120"/>
              <w:contextualSpacing/>
              <w:jc w:val="right"/>
              <w:rPr>
                <w:rFonts w:ascii="Arial" w:eastAsia="Calibri" w:hAnsi="Arial" w:cs="Arial"/>
                <w:b/>
                <w:bCs/>
                <w:sz w:val="16"/>
                <w:szCs w:val="16"/>
              </w:rPr>
            </w:pPr>
            <w:r w:rsidRPr="009C49A3">
              <w:rPr>
                <w:rFonts w:ascii="Arial" w:eastAsia="Calibri" w:hAnsi="Arial" w:cs="Arial"/>
                <w:b/>
                <w:bCs/>
                <w:sz w:val="16"/>
                <w:szCs w:val="16"/>
              </w:rPr>
              <w:t>(40,000)</w:t>
            </w:r>
          </w:p>
        </w:tc>
        <w:tc>
          <w:tcPr>
            <w:tcW w:w="670" w:type="pct"/>
            <w:shd w:val="clear" w:color="auto" w:fill="auto"/>
          </w:tcPr>
          <w:p w14:paraId="4D8DAFB2" w14:textId="77777777" w:rsidR="009C49A3" w:rsidRPr="009C49A3" w:rsidRDefault="009C49A3" w:rsidP="00833384">
            <w:pPr>
              <w:spacing w:after="120"/>
              <w:contextualSpacing/>
              <w:jc w:val="right"/>
              <w:rPr>
                <w:rFonts w:ascii="Arial" w:eastAsia="Calibri" w:hAnsi="Arial" w:cs="Arial"/>
                <w:b/>
                <w:bCs/>
                <w:sz w:val="16"/>
                <w:szCs w:val="16"/>
              </w:rPr>
            </w:pPr>
          </w:p>
          <w:p w14:paraId="4F9A1B4D" w14:textId="77777777" w:rsidR="009C49A3" w:rsidRPr="009C49A3" w:rsidRDefault="009C49A3" w:rsidP="00833384">
            <w:pPr>
              <w:spacing w:after="120"/>
              <w:contextualSpacing/>
              <w:jc w:val="right"/>
              <w:rPr>
                <w:rFonts w:ascii="Arial" w:eastAsia="Calibri" w:hAnsi="Arial" w:cs="Arial"/>
                <w:b/>
                <w:bCs/>
                <w:sz w:val="16"/>
                <w:szCs w:val="16"/>
              </w:rPr>
            </w:pPr>
            <w:r w:rsidRPr="009C49A3">
              <w:rPr>
                <w:rFonts w:ascii="Arial" w:eastAsia="Calibri" w:hAnsi="Arial" w:cs="Arial"/>
                <w:b/>
                <w:bCs/>
                <w:sz w:val="16"/>
                <w:szCs w:val="16"/>
              </w:rPr>
              <w:t>- - -</w:t>
            </w:r>
          </w:p>
        </w:tc>
        <w:tc>
          <w:tcPr>
            <w:tcW w:w="739" w:type="pct"/>
            <w:shd w:val="clear" w:color="auto" w:fill="auto"/>
          </w:tcPr>
          <w:p w14:paraId="6616386E" w14:textId="77777777" w:rsidR="009C49A3" w:rsidRPr="009C49A3" w:rsidRDefault="009C49A3" w:rsidP="00833384">
            <w:pPr>
              <w:spacing w:after="120"/>
              <w:contextualSpacing/>
              <w:jc w:val="right"/>
              <w:rPr>
                <w:rFonts w:ascii="Arial" w:eastAsia="Calibri" w:hAnsi="Arial" w:cs="Arial"/>
                <w:b/>
                <w:bCs/>
                <w:sz w:val="16"/>
                <w:szCs w:val="16"/>
              </w:rPr>
            </w:pPr>
          </w:p>
          <w:p w14:paraId="25A2D580" w14:textId="77777777" w:rsidR="009C49A3" w:rsidRPr="009C49A3" w:rsidRDefault="009C49A3" w:rsidP="00833384">
            <w:pPr>
              <w:spacing w:after="120"/>
              <w:contextualSpacing/>
              <w:jc w:val="right"/>
              <w:rPr>
                <w:rFonts w:ascii="Arial" w:eastAsia="Calibri" w:hAnsi="Arial" w:cs="Arial"/>
                <w:b/>
                <w:bCs/>
                <w:sz w:val="16"/>
                <w:szCs w:val="16"/>
              </w:rPr>
            </w:pPr>
            <w:r w:rsidRPr="009C49A3">
              <w:rPr>
                <w:rFonts w:ascii="Arial" w:eastAsia="Calibri" w:hAnsi="Arial" w:cs="Arial"/>
                <w:b/>
                <w:bCs/>
                <w:sz w:val="16"/>
                <w:szCs w:val="16"/>
              </w:rPr>
              <w:t>$2,716,133.33</w:t>
            </w:r>
          </w:p>
          <w:p w14:paraId="7D7FBD88" w14:textId="64213622" w:rsidR="009C49A3" w:rsidRPr="009C49A3" w:rsidRDefault="009C49A3" w:rsidP="00833384">
            <w:pPr>
              <w:spacing w:after="120"/>
              <w:contextualSpacing/>
              <w:jc w:val="right"/>
              <w:rPr>
                <w:rFonts w:ascii="Arial" w:eastAsia="Calibri" w:hAnsi="Arial" w:cs="Arial"/>
                <w:b/>
                <w:bCs/>
                <w:sz w:val="16"/>
                <w:szCs w:val="16"/>
              </w:rPr>
            </w:pPr>
            <w:r w:rsidRPr="009C49A3">
              <w:rPr>
                <w:rFonts w:ascii="Arial" w:eastAsia="Calibri" w:hAnsi="Arial" w:cs="Arial"/>
                <w:b/>
                <w:bCs/>
                <w:sz w:val="16"/>
                <w:szCs w:val="16"/>
              </w:rPr>
              <w:t>(8,148,400.00)</w:t>
            </w:r>
          </w:p>
        </w:tc>
      </w:tr>
    </w:tbl>
    <w:p w14:paraId="76A80600" w14:textId="77777777" w:rsidR="00DB30B3" w:rsidRPr="00AE0AB8" w:rsidRDefault="00DB30B3" w:rsidP="00D55792">
      <w:pPr>
        <w:ind w:left="-360"/>
        <w:rPr>
          <w:rFonts w:asciiTheme="minorHAnsi" w:hAnsiTheme="minorHAnsi"/>
          <w:sz w:val="24"/>
        </w:rPr>
      </w:pPr>
    </w:p>
    <w:p w14:paraId="602BE77B" w14:textId="7B5BAD2E" w:rsidR="00531266" w:rsidRDefault="00531266" w:rsidP="002E5CE3">
      <w:pPr>
        <w:tabs>
          <w:tab w:val="left" w:pos="-1080"/>
          <w:tab w:val="left" w:pos="-720"/>
          <w:tab w:val="left" w:pos="0"/>
          <w:tab w:val="left" w:pos="45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720"/>
        <w:rPr>
          <w:rFonts w:asciiTheme="minorHAnsi" w:hAnsiTheme="minorHAnsi"/>
          <w:b/>
          <w:sz w:val="24"/>
          <w:szCs w:val="24"/>
        </w:rPr>
      </w:pPr>
      <w:r w:rsidRPr="00B22480">
        <w:rPr>
          <w:rFonts w:asciiTheme="minorHAnsi" w:hAnsiTheme="minorHAnsi"/>
          <w:b/>
          <w:sz w:val="24"/>
          <w:szCs w:val="24"/>
        </w:rPr>
        <w:t>13.</w:t>
      </w:r>
      <w:r w:rsidR="00B22480" w:rsidRPr="00B22480">
        <w:rPr>
          <w:rFonts w:asciiTheme="minorHAnsi" w:hAnsiTheme="minorHAnsi"/>
          <w:b/>
          <w:sz w:val="24"/>
          <w:szCs w:val="24"/>
        </w:rPr>
        <w:t>)</w:t>
      </w:r>
      <w:r w:rsidRPr="00B22480">
        <w:rPr>
          <w:rFonts w:asciiTheme="minorHAnsi" w:hAnsiTheme="minorHAnsi"/>
          <w:b/>
          <w:sz w:val="24"/>
          <w:szCs w:val="24"/>
        </w:rPr>
        <w:tab/>
        <w:t xml:space="preserve"> </w:t>
      </w:r>
      <w:r w:rsidR="00B22480" w:rsidRPr="00B22480">
        <w:rPr>
          <w:rFonts w:asciiTheme="minorHAnsi" w:hAnsiTheme="minorHAnsi"/>
          <w:b/>
          <w:sz w:val="24"/>
          <w:szCs w:val="24"/>
        </w:rPr>
        <w:t>Costs to Respondents</w:t>
      </w:r>
    </w:p>
    <w:p w14:paraId="070FBC32" w14:textId="77777777" w:rsidR="00B22480" w:rsidRDefault="00B22480" w:rsidP="00B22480">
      <w:pPr>
        <w:tabs>
          <w:tab w:val="left" w:pos="-1080"/>
          <w:tab w:val="left" w:pos="-720"/>
          <w:tab w:val="left" w:pos="0"/>
          <w:tab w:val="left" w:pos="45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900"/>
        <w:rPr>
          <w:rFonts w:asciiTheme="minorHAnsi" w:hAnsiTheme="minorHAnsi"/>
          <w:b/>
          <w:sz w:val="24"/>
          <w:szCs w:val="24"/>
        </w:rPr>
      </w:pPr>
    </w:p>
    <w:p w14:paraId="01B36EA9" w14:textId="78D34CD9" w:rsidR="00B22480" w:rsidRPr="00B22480" w:rsidRDefault="00B22480" w:rsidP="002E5CE3">
      <w:pPr>
        <w:tabs>
          <w:tab w:val="left" w:pos="-1080"/>
          <w:tab w:val="left" w:pos="-720"/>
          <w:tab w:val="left" w:pos="0"/>
          <w:tab w:val="left" w:pos="45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720"/>
        <w:rPr>
          <w:rFonts w:asciiTheme="minorHAnsi" w:hAnsiTheme="minorHAnsi"/>
          <w:sz w:val="24"/>
          <w:szCs w:val="24"/>
        </w:rPr>
      </w:pPr>
      <w:r>
        <w:rPr>
          <w:rFonts w:asciiTheme="minorHAnsi" w:hAnsiTheme="minorHAnsi"/>
          <w:sz w:val="24"/>
          <w:szCs w:val="24"/>
        </w:rPr>
        <w:t>There are no anticipated non-hourly respondent costs associated with this collection.</w:t>
      </w:r>
    </w:p>
    <w:p w14:paraId="0F5C3DDE" w14:textId="77777777" w:rsidR="00531266" w:rsidRPr="00AE0AB8" w:rsidRDefault="00531266" w:rsidP="00531266">
      <w:pPr>
        <w:pStyle w:val="BodyTextIndent2"/>
        <w:rPr>
          <w:rFonts w:asciiTheme="minorHAnsi" w:hAnsiTheme="minorHAnsi"/>
        </w:rPr>
      </w:pPr>
    </w:p>
    <w:p w14:paraId="19C9622C" w14:textId="4CA59484" w:rsidR="00864CB4" w:rsidRPr="00B22480" w:rsidRDefault="00B22480" w:rsidP="002E5CE3">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540"/>
        <w:rPr>
          <w:rFonts w:asciiTheme="minorHAnsi" w:hAnsiTheme="minorHAnsi"/>
          <w:b/>
          <w:sz w:val="24"/>
          <w:szCs w:val="24"/>
        </w:rPr>
      </w:pPr>
      <w:r w:rsidRPr="00B22480">
        <w:rPr>
          <w:rFonts w:asciiTheme="minorHAnsi" w:hAnsiTheme="minorHAnsi"/>
          <w:b/>
          <w:sz w:val="24"/>
          <w:szCs w:val="24"/>
        </w:rPr>
        <w:t xml:space="preserve">14.) </w:t>
      </w:r>
      <w:r>
        <w:rPr>
          <w:rFonts w:asciiTheme="minorHAnsi" w:hAnsiTheme="minorHAnsi"/>
          <w:b/>
          <w:sz w:val="24"/>
          <w:szCs w:val="24"/>
        </w:rPr>
        <w:t xml:space="preserve">    </w:t>
      </w:r>
      <w:r w:rsidRPr="00B22480">
        <w:rPr>
          <w:rFonts w:asciiTheme="minorHAnsi" w:hAnsiTheme="minorHAnsi"/>
          <w:b/>
          <w:sz w:val="24"/>
          <w:szCs w:val="24"/>
        </w:rPr>
        <w:t>Costs to Federal Government</w:t>
      </w:r>
    </w:p>
    <w:p w14:paraId="5DC7E0E3" w14:textId="77777777" w:rsidR="00531266" w:rsidRPr="00AE0AB8" w:rsidRDefault="00531266" w:rsidP="00531266">
      <w:pPr>
        <w:jc w:val="both"/>
        <w:rPr>
          <w:rFonts w:asciiTheme="minorHAnsi" w:hAnsiTheme="minorHAnsi"/>
          <w:sz w:val="24"/>
        </w:rPr>
      </w:pPr>
    </w:p>
    <w:p w14:paraId="580B596D" w14:textId="3E2E36E0" w:rsidR="00A91004" w:rsidRPr="00615C7A" w:rsidRDefault="0019634E" w:rsidP="002E5CE3">
      <w:pPr>
        <w:ind w:left="-180"/>
        <w:rPr>
          <w:rFonts w:asciiTheme="minorHAnsi" w:hAnsiTheme="minorHAnsi"/>
          <w:sz w:val="24"/>
        </w:rPr>
      </w:pPr>
      <w:r w:rsidRPr="00615C7A">
        <w:rPr>
          <w:rFonts w:asciiTheme="minorHAnsi" w:hAnsiTheme="minorHAnsi"/>
          <w:sz w:val="24"/>
        </w:rPr>
        <w:t xml:space="preserve">The total annual </w:t>
      </w:r>
      <w:r w:rsidR="00E86E07" w:rsidRPr="00615C7A">
        <w:rPr>
          <w:rFonts w:asciiTheme="minorHAnsi" w:hAnsiTheme="minorHAnsi"/>
          <w:sz w:val="24"/>
        </w:rPr>
        <w:t xml:space="preserve">estimated </w:t>
      </w:r>
      <w:r w:rsidRPr="00615C7A">
        <w:rPr>
          <w:rFonts w:asciiTheme="minorHAnsi" w:hAnsiTheme="minorHAnsi"/>
          <w:sz w:val="24"/>
        </w:rPr>
        <w:t xml:space="preserve">cost to </w:t>
      </w:r>
      <w:r w:rsidR="000A2014" w:rsidRPr="00615C7A">
        <w:rPr>
          <w:rFonts w:asciiTheme="minorHAnsi" w:hAnsiTheme="minorHAnsi"/>
          <w:sz w:val="24"/>
        </w:rPr>
        <w:t>the government</w:t>
      </w:r>
      <w:r w:rsidRPr="00615C7A">
        <w:rPr>
          <w:rFonts w:asciiTheme="minorHAnsi" w:hAnsiTheme="minorHAnsi"/>
          <w:sz w:val="24"/>
        </w:rPr>
        <w:t xml:space="preserve"> resulting from the collection of information </w:t>
      </w:r>
      <w:r w:rsidR="00A91004" w:rsidRPr="00615C7A">
        <w:rPr>
          <w:rFonts w:asciiTheme="minorHAnsi" w:hAnsiTheme="minorHAnsi"/>
          <w:sz w:val="24"/>
        </w:rPr>
        <w:t xml:space="preserve">is estimated to </w:t>
      </w:r>
      <w:r w:rsidR="00C56078" w:rsidRPr="00615C7A">
        <w:rPr>
          <w:rFonts w:asciiTheme="minorHAnsi" w:hAnsiTheme="minorHAnsi"/>
          <w:sz w:val="24"/>
        </w:rPr>
        <w:t>be $</w:t>
      </w:r>
      <w:r w:rsidR="00DC527B">
        <w:rPr>
          <w:rFonts w:asciiTheme="minorHAnsi" w:hAnsiTheme="minorHAnsi"/>
          <w:bCs/>
          <w:sz w:val="24"/>
        </w:rPr>
        <w:t>92,433.49</w:t>
      </w:r>
      <w:r w:rsidR="006C1C32" w:rsidRPr="00615C7A">
        <w:rPr>
          <w:rFonts w:asciiTheme="minorHAnsi" w:hAnsiTheme="minorHAnsi"/>
          <w:sz w:val="24"/>
        </w:rPr>
        <w:t xml:space="preserve">, </w:t>
      </w:r>
      <w:r w:rsidR="00E37629">
        <w:rPr>
          <w:rFonts w:asciiTheme="minorHAnsi" w:hAnsiTheme="minorHAnsi"/>
          <w:sz w:val="24"/>
        </w:rPr>
        <w:t xml:space="preserve">which is the total </w:t>
      </w:r>
      <w:r w:rsidR="00DC527B">
        <w:rPr>
          <w:rFonts w:asciiTheme="minorHAnsi" w:hAnsiTheme="minorHAnsi"/>
          <w:sz w:val="24"/>
        </w:rPr>
        <w:t xml:space="preserve">of 5,000 hours of GS-13, step 1 labor (shown in the table below), </w:t>
      </w:r>
      <w:r w:rsidR="002848E6">
        <w:rPr>
          <w:rFonts w:asciiTheme="minorHAnsi" w:hAnsiTheme="minorHAnsi"/>
          <w:sz w:val="24"/>
        </w:rPr>
        <w:t xml:space="preserve">and roughly </w:t>
      </w:r>
      <w:r w:rsidR="00DC527B">
        <w:rPr>
          <w:rFonts w:asciiTheme="minorHAnsi" w:hAnsiTheme="minorHAnsi"/>
          <w:sz w:val="24"/>
        </w:rPr>
        <w:t>$15,000 for ForeSee</w:t>
      </w:r>
      <w:r w:rsidR="00E37629">
        <w:rPr>
          <w:rFonts w:asciiTheme="minorHAnsi" w:hAnsiTheme="minorHAnsi"/>
          <w:sz w:val="24"/>
        </w:rPr>
        <w:t xml:space="preserve"> </w:t>
      </w:r>
      <w:r w:rsidR="00DC527B">
        <w:rPr>
          <w:rFonts w:asciiTheme="minorHAnsi" w:hAnsiTheme="minorHAnsi"/>
          <w:sz w:val="24"/>
        </w:rPr>
        <w:t>to analyze the responses</w:t>
      </w:r>
      <w:r w:rsidR="00A91004" w:rsidRPr="00615C7A">
        <w:rPr>
          <w:rFonts w:asciiTheme="minorHAnsi" w:hAnsiTheme="minorHAnsi"/>
          <w:sz w:val="24"/>
        </w:rPr>
        <w:t xml:space="preserve">. </w:t>
      </w:r>
    </w:p>
    <w:p w14:paraId="46729931" w14:textId="77777777" w:rsidR="00A91004" w:rsidRPr="00AE0AB8" w:rsidRDefault="00A91004" w:rsidP="007C06B3">
      <w:pPr>
        <w:ind w:left="720"/>
        <w:rPr>
          <w:rFonts w:asciiTheme="minorHAnsi" w:hAnsiTheme="minorHAnsi"/>
          <w:sz w:val="24"/>
        </w:rPr>
      </w:pPr>
    </w:p>
    <w:tbl>
      <w:tblPr>
        <w:tblW w:w="5070"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863"/>
        <w:gridCol w:w="2179"/>
        <w:gridCol w:w="1338"/>
        <w:gridCol w:w="1088"/>
        <w:gridCol w:w="1254"/>
        <w:gridCol w:w="1254"/>
        <w:gridCol w:w="1383"/>
      </w:tblGrid>
      <w:tr w:rsidR="00A552AB" w:rsidRPr="00A552AB" w14:paraId="788AEDE7" w14:textId="77777777" w:rsidTr="00615C7A">
        <w:trPr>
          <w:cantSplit/>
          <w:tblHeader/>
        </w:trPr>
        <w:tc>
          <w:tcPr>
            <w:tcW w:w="461" w:type="pct"/>
            <w:shd w:val="clear" w:color="auto" w:fill="auto"/>
            <w:vAlign w:val="center"/>
          </w:tcPr>
          <w:p w14:paraId="14ABEED6"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IC Number</w:t>
            </w:r>
          </w:p>
        </w:tc>
        <w:tc>
          <w:tcPr>
            <w:tcW w:w="1164" w:type="pct"/>
            <w:shd w:val="clear" w:color="auto" w:fill="auto"/>
            <w:vAlign w:val="center"/>
          </w:tcPr>
          <w:p w14:paraId="22F65778"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Information Collection Item</w:t>
            </w:r>
          </w:p>
        </w:tc>
        <w:tc>
          <w:tcPr>
            <w:tcW w:w="715" w:type="pct"/>
            <w:shd w:val="clear" w:color="auto" w:fill="auto"/>
            <w:vAlign w:val="center"/>
          </w:tcPr>
          <w:p w14:paraId="5F865442"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Estimated time for response (minutes)</w:t>
            </w:r>
          </w:p>
          <w:p w14:paraId="3F5B549F"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(a)</w:t>
            </w:r>
          </w:p>
        </w:tc>
        <w:tc>
          <w:tcPr>
            <w:tcW w:w="581" w:type="pct"/>
            <w:shd w:val="clear" w:color="auto" w:fill="auto"/>
            <w:vAlign w:val="center"/>
          </w:tcPr>
          <w:p w14:paraId="2DCA4023"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Estimated Annual Responses</w:t>
            </w:r>
          </w:p>
          <w:p w14:paraId="430B5987"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(b)</w:t>
            </w:r>
          </w:p>
        </w:tc>
        <w:tc>
          <w:tcPr>
            <w:tcW w:w="670" w:type="pct"/>
            <w:shd w:val="clear" w:color="auto" w:fill="auto"/>
            <w:vAlign w:val="center"/>
          </w:tcPr>
          <w:p w14:paraId="25766F94"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Estimated annual burden hours</w:t>
            </w:r>
          </w:p>
          <w:p w14:paraId="4BA34AF2"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(a) x (b) = (c)</w:t>
            </w:r>
          </w:p>
        </w:tc>
        <w:tc>
          <w:tcPr>
            <w:tcW w:w="670" w:type="pct"/>
            <w:shd w:val="clear" w:color="auto" w:fill="auto"/>
          </w:tcPr>
          <w:p w14:paraId="527EF902"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Rate</w:t>
            </w:r>
          </w:p>
          <w:p w14:paraId="6C23AC6C"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(S/hr)</w:t>
            </w:r>
          </w:p>
          <w:p w14:paraId="2F9A9E40" w14:textId="77777777" w:rsidR="00B22480" w:rsidRPr="00615C7A" w:rsidRDefault="00B22480" w:rsidP="00833384">
            <w:pPr>
              <w:spacing w:after="120"/>
              <w:contextualSpacing/>
              <w:jc w:val="center"/>
              <w:rPr>
                <w:rFonts w:ascii="Arial" w:eastAsia="Calibri" w:hAnsi="Arial" w:cs="Arial"/>
                <w:b/>
                <w:bCs/>
                <w:sz w:val="16"/>
                <w:szCs w:val="16"/>
              </w:rPr>
            </w:pPr>
          </w:p>
          <w:p w14:paraId="59B5D032"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(d)</w:t>
            </w:r>
          </w:p>
        </w:tc>
        <w:tc>
          <w:tcPr>
            <w:tcW w:w="739" w:type="pct"/>
            <w:shd w:val="clear" w:color="auto" w:fill="auto"/>
          </w:tcPr>
          <w:p w14:paraId="2F00EAED"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Total Cost</w:t>
            </w:r>
          </w:p>
          <w:p w14:paraId="51415AFE"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w:t>
            </w:r>
          </w:p>
          <w:p w14:paraId="534C9465" w14:textId="77777777" w:rsidR="00B22480" w:rsidRPr="00615C7A" w:rsidRDefault="00B22480" w:rsidP="00833384">
            <w:pPr>
              <w:spacing w:after="120"/>
              <w:contextualSpacing/>
              <w:jc w:val="center"/>
              <w:rPr>
                <w:rFonts w:ascii="Arial" w:eastAsia="Calibri" w:hAnsi="Arial" w:cs="Arial"/>
                <w:b/>
                <w:bCs/>
                <w:sz w:val="16"/>
                <w:szCs w:val="16"/>
              </w:rPr>
            </w:pPr>
          </w:p>
          <w:p w14:paraId="3BE5C387" w14:textId="77777777" w:rsidR="00B22480" w:rsidRPr="00615C7A" w:rsidRDefault="00B22480" w:rsidP="00833384">
            <w:pPr>
              <w:spacing w:after="120"/>
              <w:contextualSpacing/>
              <w:jc w:val="center"/>
              <w:rPr>
                <w:rFonts w:ascii="Arial" w:eastAsia="Calibri" w:hAnsi="Arial" w:cs="Arial"/>
                <w:b/>
                <w:bCs/>
                <w:sz w:val="16"/>
                <w:szCs w:val="16"/>
              </w:rPr>
            </w:pPr>
            <w:r w:rsidRPr="00615C7A">
              <w:rPr>
                <w:rFonts w:ascii="Arial" w:eastAsia="Calibri" w:hAnsi="Arial" w:cs="Arial"/>
                <w:b/>
                <w:bCs/>
                <w:sz w:val="16"/>
                <w:szCs w:val="16"/>
              </w:rPr>
              <w:t>(c) x (d) = (e)</w:t>
            </w:r>
          </w:p>
        </w:tc>
      </w:tr>
      <w:tr w:rsidR="00A552AB" w:rsidRPr="00A552AB" w14:paraId="60E2CA40" w14:textId="77777777" w:rsidTr="00615C7A">
        <w:tc>
          <w:tcPr>
            <w:tcW w:w="461" w:type="pct"/>
            <w:shd w:val="clear" w:color="auto" w:fill="auto"/>
            <w:vAlign w:val="center"/>
          </w:tcPr>
          <w:p w14:paraId="04D5AB49" w14:textId="77777777" w:rsidR="00B22480" w:rsidRPr="00DF37EE" w:rsidRDefault="00B22480" w:rsidP="00833384">
            <w:pPr>
              <w:spacing w:after="120"/>
              <w:contextualSpacing/>
              <w:jc w:val="center"/>
              <w:rPr>
                <w:rFonts w:ascii="Arial" w:eastAsia="Calibri" w:hAnsi="Arial" w:cs="Arial"/>
                <w:b/>
                <w:bCs/>
                <w:sz w:val="16"/>
                <w:szCs w:val="16"/>
              </w:rPr>
            </w:pPr>
            <w:r w:rsidRPr="00DF37EE">
              <w:rPr>
                <w:rFonts w:ascii="Arial" w:eastAsia="Calibri" w:hAnsi="Arial" w:cs="Arial"/>
                <w:b/>
                <w:bCs/>
                <w:sz w:val="16"/>
                <w:szCs w:val="16"/>
              </w:rPr>
              <w:t>1</w:t>
            </w:r>
          </w:p>
        </w:tc>
        <w:tc>
          <w:tcPr>
            <w:tcW w:w="1164" w:type="pct"/>
            <w:shd w:val="clear" w:color="auto" w:fill="auto"/>
            <w:vAlign w:val="center"/>
          </w:tcPr>
          <w:p w14:paraId="1418C672" w14:textId="1113A80A" w:rsidR="00B22480" w:rsidRPr="00DF37EE" w:rsidRDefault="00B22480" w:rsidP="00615C7A">
            <w:pPr>
              <w:spacing w:after="120"/>
              <w:ind w:left="2880" w:hanging="2880"/>
              <w:contextualSpacing/>
              <w:rPr>
                <w:rFonts w:ascii="Arial" w:eastAsia="Calibri" w:hAnsi="Arial" w:cs="Arial"/>
                <w:bCs/>
                <w:sz w:val="16"/>
                <w:szCs w:val="16"/>
              </w:rPr>
            </w:pPr>
            <w:r w:rsidRPr="00DF37EE">
              <w:rPr>
                <w:rFonts w:ascii="Arial" w:eastAsia="Calibri" w:hAnsi="Arial" w:cs="Arial"/>
                <w:bCs/>
                <w:sz w:val="16"/>
                <w:szCs w:val="16"/>
              </w:rPr>
              <w:t>Survey</w:t>
            </w:r>
            <w:r w:rsidR="00615C7A" w:rsidRPr="00DF37EE">
              <w:rPr>
                <w:rFonts w:ascii="Arial" w:eastAsia="Calibri" w:hAnsi="Arial" w:cs="Arial"/>
                <w:bCs/>
                <w:sz w:val="16"/>
                <w:szCs w:val="16"/>
              </w:rPr>
              <w:t>s</w:t>
            </w:r>
          </w:p>
        </w:tc>
        <w:tc>
          <w:tcPr>
            <w:tcW w:w="715" w:type="pct"/>
            <w:shd w:val="clear" w:color="auto" w:fill="auto"/>
            <w:vAlign w:val="center"/>
          </w:tcPr>
          <w:p w14:paraId="1581BC5D" w14:textId="38DC25C5" w:rsidR="00B22480" w:rsidRPr="00CD2CAF" w:rsidRDefault="00CD2CAF" w:rsidP="00833384">
            <w:pPr>
              <w:spacing w:after="120"/>
              <w:contextualSpacing/>
              <w:jc w:val="right"/>
              <w:rPr>
                <w:rFonts w:ascii="Arial" w:eastAsia="Calibri" w:hAnsi="Arial" w:cs="Arial"/>
                <w:bCs/>
                <w:sz w:val="16"/>
                <w:szCs w:val="16"/>
              </w:rPr>
            </w:pPr>
            <w:r w:rsidRPr="00CD2CAF">
              <w:rPr>
                <w:rFonts w:ascii="Arial" w:eastAsia="Calibri" w:hAnsi="Arial" w:cs="Arial"/>
                <w:bCs/>
                <w:sz w:val="16"/>
                <w:szCs w:val="16"/>
              </w:rPr>
              <w:t>1</w:t>
            </w:r>
            <w:r w:rsidR="00DF37EE" w:rsidRPr="00CD2CAF">
              <w:rPr>
                <w:rFonts w:ascii="Arial" w:eastAsia="Calibri" w:hAnsi="Arial" w:cs="Arial"/>
                <w:bCs/>
                <w:sz w:val="16"/>
                <w:szCs w:val="16"/>
              </w:rPr>
              <w:t xml:space="preserve"> </w:t>
            </w:r>
          </w:p>
        </w:tc>
        <w:tc>
          <w:tcPr>
            <w:tcW w:w="581" w:type="pct"/>
            <w:shd w:val="clear" w:color="auto" w:fill="auto"/>
            <w:vAlign w:val="center"/>
          </w:tcPr>
          <w:p w14:paraId="2D23F110" w14:textId="77777777" w:rsidR="00B22480" w:rsidRPr="00CD2CAF" w:rsidRDefault="00B22480" w:rsidP="00833384">
            <w:pPr>
              <w:spacing w:after="120"/>
              <w:contextualSpacing/>
              <w:jc w:val="right"/>
              <w:rPr>
                <w:rFonts w:ascii="Arial" w:eastAsia="Calibri" w:hAnsi="Arial" w:cs="Arial"/>
                <w:bCs/>
                <w:sz w:val="16"/>
                <w:szCs w:val="16"/>
              </w:rPr>
            </w:pPr>
            <w:r w:rsidRPr="00CD2CAF">
              <w:rPr>
                <w:rFonts w:ascii="Arial" w:eastAsia="Calibri" w:hAnsi="Arial" w:cs="Arial"/>
                <w:bCs/>
                <w:sz w:val="16"/>
                <w:szCs w:val="16"/>
              </w:rPr>
              <w:t>100,000</w:t>
            </w:r>
          </w:p>
        </w:tc>
        <w:tc>
          <w:tcPr>
            <w:tcW w:w="670" w:type="pct"/>
            <w:shd w:val="clear" w:color="auto" w:fill="auto"/>
            <w:vAlign w:val="center"/>
          </w:tcPr>
          <w:p w14:paraId="56E3ABE8" w14:textId="073E6011" w:rsidR="00B22480" w:rsidRPr="00CD2CAF" w:rsidRDefault="00CD2CAF" w:rsidP="00833384">
            <w:pPr>
              <w:spacing w:after="120"/>
              <w:contextualSpacing/>
              <w:jc w:val="right"/>
              <w:rPr>
                <w:rFonts w:ascii="Arial" w:eastAsia="Calibri" w:hAnsi="Arial" w:cs="Arial"/>
                <w:bCs/>
                <w:sz w:val="16"/>
                <w:szCs w:val="16"/>
              </w:rPr>
            </w:pPr>
            <w:r w:rsidRPr="00CD2CAF">
              <w:rPr>
                <w:rFonts w:ascii="Arial" w:eastAsia="Calibri" w:hAnsi="Arial" w:cs="Arial"/>
                <w:bCs/>
                <w:sz w:val="16"/>
                <w:szCs w:val="16"/>
              </w:rPr>
              <w:t>1,666.67</w:t>
            </w:r>
          </w:p>
        </w:tc>
        <w:tc>
          <w:tcPr>
            <w:tcW w:w="670" w:type="pct"/>
            <w:shd w:val="clear" w:color="auto" w:fill="auto"/>
          </w:tcPr>
          <w:p w14:paraId="7746CCDA" w14:textId="20134BC1" w:rsidR="00B22480" w:rsidRPr="00A552AB" w:rsidRDefault="00B22480" w:rsidP="00B6032C">
            <w:pPr>
              <w:spacing w:after="120"/>
              <w:contextualSpacing/>
              <w:jc w:val="right"/>
              <w:rPr>
                <w:rFonts w:ascii="Arial" w:eastAsia="Calibri" w:hAnsi="Arial" w:cs="Arial"/>
                <w:bCs/>
                <w:color w:val="FF0000"/>
                <w:sz w:val="16"/>
                <w:szCs w:val="16"/>
              </w:rPr>
            </w:pPr>
            <w:r w:rsidRPr="00B6032C">
              <w:rPr>
                <w:rFonts w:ascii="Arial" w:eastAsia="Calibri" w:hAnsi="Arial" w:cs="Arial"/>
                <w:bCs/>
                <w:sz w:val="16"/>
                <w:szCs w:val="16"/>
              </w:rPr>
              <w:t>$</w:t>
            </w:r>
            <w:r w:rsidR="00B6032C" w:rsidRPr="00B6032C">
              <w:rPr>
                <w:rFonts w:ascii="Arial" w:eastAsia="Calibri" w:hAnsi="Arial" w:cs="Arial"/>
                <w:bCs/>
                <w:sz w:val="16"/>
                <w:szCs w:val="16"/>
              </w:rPr>
              <w:t>46.46</w:t>
            </w:r>
          </w:p>
        </w:tc>
        <w:tc>
          <w:tcPr>
            <w:tcW w:w="739" w:type="pct"/>
            <w:shd w:val="clear" w:color="auto" w:fill="auto"/>
          </w:tcPr>
          <w:p w14:paraId="722DC4C6" w14:textId="0CA592E6" w:rsidR="00B22480" w:rsidRPr="00B6032C" w:rsidRDefault="00B6032C" w:rsidP="00833384">
            <w:pPr>
              <w:spacing w:after="120"/>
              <w:contextualSpacing/>
              <w:jc w:val="right"/>
              <w:rPr>
                <w:rFonts w:ascii="Arial" w:eastAsia="Calibri" w:hAnsi="Arial" w:cs="Arial"/>
                <w:bCs/>
                <w:sz w:val="16"/>
                <w:szCs w:val="16"/>
              </w:rPr>
            </w:pPr>
            <w:r w:rsidRPr="00B6032C">
              <w:rPr>
                <w:rFonts w:ascii="Arial" w:eastAsia="Calibri" w:hAnsi="Arial" w:cs="Arial"/>
                <w:bCs/>
                <w:sz w:val="16"/>
                <w:szCs w:val="16"/>
              </w:rPr>
              <w:t>$77,433.49</w:t>
            </w:r>
          </w:p>
        </w:tc>
      </w:tr>
      <w:tr w:rsidR="00615C7A" w:rsidRPr="00A552AB" w14:paraId="3DB94F81" w14:textId="77777777" w:rsidTr="00615C7A">
        <w:tc>
          <w:tcPr>
            <w:tcW w:w="461" w:type="pct"/>
            <w:shd w:val="clear" w:color="auto" w:fill="auto"/>
            <w:vAlign w:val="center"/>
          </w:tcPr>
          <w:p w14:paraId="47DCA6A9" w14:textId="77777777" w:rsidR="00615C7A" w:rsidRPr="00DF37EE" w:rsidRDefault="00615C7A" w:rsidP="00833384">
            <w:pPr>
              <w:spacing w:after="120"/>
              <w:contextualSpacing/>
              <w:rPr>
                <w:rFonts w:ascii="Arial" w:eastAsia="Calibri" w:hAnsi="Arial" w:cs="Arial"/>
                <w:b/>
                <w:bCs/>
                <w:sz w:val="16"/>
                <w:szCs w:val="16"/>
              </w:rPr>
            </w:pPr>
            <w:r w:rsidRPr="00DF37EE">
              <w:rPr>
                <w:rFonts w:ascii="Arial" w:eastAsia="Calibri" w:hAnsi="Arial" w:cs="Arial"/>
                <w:b/>
                <w:bCs/>
                <w:sz w:val="16"/>
                <w:szCs w:val="16"/>
              </w:rPr>
              <w:t>Total</w:t>
            </w:r>
          </w:p>
          <w:p w14:paraId="76F278FC" w14:textId="77777777" w:rsidR="00615C7A" w:rsidRPr="00DF37EE" w:rsidRDefault="00615C7A" w:rsidP="00833384">
            <w:pPr>
              <w:spacing w:after="120"/>
              <w:contextualSpacing/>
              <w:rPr>
                <w:rFonts w:ascii="Arial" w:eastAsia="Calibri" w:hAnsi="Arial" w:cs="Arial"/>
                <w:bCs/>
                <w:sz w:val="16"/>
                <w:szCs w:val="16"/>
              </w:rPr>
            </w:pPr>
            <w:r w:rsidRPr="00DF37EE">
              <w:rPr>
                <w:rFonts w:ascii="Arial" w:eastAsia="Calibri" w:hAnsi="Arial" w:cs="Arial"/>
                <w:b/>
                <w:bCs/>
                <w:sz w:val="16"/>
                <w:szCs w:val="16"/>
              </w:rPr>
              <w:t>(Three –Year Period)</w:t>
            </w:r>
          </w:p>
        </w:tc>
        <w:tc>
          <w:tcPr>
            <w:tcW w:w="1164" w:type="pct"/>
            <w:shd w:val="clear" w:color="auto" w:fill="auto"/>
            <w:vAlign w:val="center"/>
          </w:tcPr>
          <w:p w14:paraId="4F184259" w14:textId="77777777" w:rsidR="00615C7A" w:rsidRPr="00DF37EE" w:rsidRDefault="00615C7A" w:rsidP="00833384">
            <w:pPr>
              <w:spacing w:after="120"/>
              <w:contextualSpacing/>
              <w:rPr>
                <w:rFonts w:ascii="Arial" w:eastAsia="Calibri" w:hAnsi="Arial" w:cs="Arial"/>
                <w:bCs/>
                <w:sz w:val="16"/>
                <w:szCs w:val="16"/>
              </w:rPr>
            </w:pPr>
          </w:p>
        </w:tc>
        <w:tc>
          <w:tcPr>
            <w:tcW w:w="715" w:type="pct"/>
            <w:shd w:val="clear" w:color="auto" w:fill="auto"/>
          </w:tcPr>
          <w:p w14:paraId="47C75A25" w14:textId="77777777" w:rsidR="00615C7A" w:rsidRPr="00DF37EE" w:rsidRDefault="00615C7A" w:rsidP="007D77FC">
            <w:pPr>
              <w:spacing w:after="120"/>
              <w:contextualSpacing/>
              <w:jc w:val="right"/>
              <w:rPr>
                <w:rFonts w:ascii="Arial" w:eastAsia="Calibri" w:hAnsi="Arial" w:cs="Arial"/>
                <w:b/>
                <w:bCs/>
                <w:sz w:val="16"/>
                <w:szCs w:val="16"/>
              </w:rPr>
            </w:pPr>
          </w:p>
          <w:p w14:paraId="70B63243" w14:textId="45DA1183" w:rsidR="00615C7A" w:rsidRPr="00DF37EE" w:rsidRDefault="00615C7A" w:rsidP="00833384">
            <w:pPr>
              <w:spacing w:after="120"/>
              <w:contextualSpacing/>
              <w:jc w:val="right"/>
              <w:rPr>
                <w:rFonts w:ascii="Arial" w:eastAsia="Calibri" w:hAnsi="Arial" w:cs="Arial"/>
                <w:bCs/>
                <w:sz w:val="16"/>
                <w:szCs w:val="16"/>
              </w:rPr>
            </w:pPr>
            <w:r w:rsidRPr="00DF37EE">
              <w:rPr>
                <w:rFonts w:ascii="Arial" w:eastAsia="Calibri" w:hAnsi="Arial" w:cs="Arial"/>
                <w:b/>
                <w:bCs/>
                <w:sz w:val="16"/>
                <w:szCs w:val="16"/>
              </w:rPr>
              <w:t>- - -</w:t>
            </w:r>
          </w:p>
        </w:tc>
        <w:tc>
          <w:tcPr>
            <w:tcW w:w="581" w:type="pct"/>
            <w:shd w:val="clear" w:color="auto" w:fill="auto"/>
            <w:vAlign w:val="center"/>
          </w:tcPr>
          <w:p w14:paraId="18B31DB1" w14:textId="28E35FD3" w:rsidR="00615C7A" w:rsidRPr="00DF37EE" w:rsidRDefault="00DF37EE" w:rsidP="00833384">
            <w:pPr>
              <w:spacing w:after="120"/>
              <w:contextualSpacing/>
              <w:jc w:val="right"/>
              <w:rPr>
                <w:rFonts w:ascii="Arial" w:eastAsia="Calibri" w:hAnsi="Arial" w:cs="Arial"/>
                <w:b/>
                <w:bCs/>
                <w:sz w:val="16"/>
                <w:szCs w:val="16"/>
              </w:rPr>
            </w:pPr>
            <w:r w:rsidRPr="00DF37EE">
              <w:rPr>
                <w:rFonts w:ascii="Arial" w:eastAsia="Calibri" w:hAnsi="Arial" w:cs="Arial"/>
                <w:b/>
                <w:bCs/>
                <w:sz w:val="16"/>
                <w:szCs w:val="16"/>
              </w:rPr>
              <w:t>100,000</w:t>
            </w:r>
          </w:p>
          <w:p w14:paraId="2A86D19D" w14:textId="6AD4588F" w:rsidR="00615C7A" w:rsidRPr="00DF37EE" w:rsidRDefault="00615C7A" w:rsidP="00DF37EE">
            <w:pPr>
              <w:spacing w:after="120"/>
              <w:contextualSpacing/>
              <w:jc w:val="right"/>
              <w:rPr>
                <w:rFonts w:ascii="Arial" w:eastAsia="Calibri" w:hAnsi="Arial" w:cs="Arial"/>
                <w:bCs/>
                <w:sz w:val="16"/>
                <w:szCs w:val="16"/>
              </w:rPr>
            </w:pPr>
            <w:r w:rsidRPr="00DF37EE">
              <w:rPr>
                <w:rFonts w:ascii="Arial" w:eastAsia="Calibri" w:hAnsi="Arial" w:cs="Arial"/>
                <w:b/>
                <w:bCs/>
                <w:sz w:val="16"/>
                <w:szCs w:val="16"/>
              </w:rPr>
              <w:t>(</w:t>
            </w:r>
            <w:r w:rsidR="00DF37EE" w:rsidRPr="00DF37EE">
              <w:rPr>
                <w:rFonts w:ascii="Arial" w:eastAsia="Calibri" w:hAnsi="Arial" w:cs="Arial"/>
                <w:b/>
                <w:bCs/>
                <w:sz w:val="16"/>
                <w:szCs w:val="16"/>
              </w:rPr>
              <w:t>300,00</w:t>
            </w:r>
            <w:r w:rsidRPr="00DF37EE">
              <w:rPr>
                <w:rFonts w:ascii="Arial" w:eastAsia="Calibri" w:hAnsi="Arial" w:cs="Arial"/>
                <w:b/>
                <w:bCs/>
                <w:sz w:val="16"/>
                <w:szCs w:val="16"/>
              </w:rPr>
              <w:t>)</w:t>
            </w:r>
          </w:p>
        </w:tc>
        <w:tc>
          <w:tcPr>
            <w:tcW w:w="670" w:type="pct"/>
            <w:shd w:val="clear" w:color="auto" w:fill="auto"/>
            <w:vAlign w:val="center"/>
          </w:tcPr>
          <w:p w14:paraId="1124445D" w14:textId="0E452DF7" w:rsidR="00615C7A" w:rsidRPr="00CD2CAF" w:rsidRDefault="00CD2CAF" w:rsidP="00833384">
            <w:pPr>
              <w:spacing w:after="120"/>
              <w:contextualSpacing/>
              <w:jc w:val="right"/>
              <w:rPr>
                <w:rFonts w:ascii="Arial" w:eastAsia="Calibri" w:hAnsi="Arial" w:cs="Arial"/>
                <w:b/>
                <w:bCs/>
                <w:sz w:val="16"/>
                <w:szCs w:val="16"/>
              </w:rPr>
            </w:pPr>
            <w:r w:rsidRPr="00CD2CAF">
              <w:rPr>
                <w:rFonts w:ascii="Arial" w:eastAsia="Calibri" w:hAnsi="Arial" w:cs="Arial"/>
                <w:b/>
                <w:bCs/>
                <w:sz w:val="16"/>
                <w:szCs w:val="16"/>
              </w:rPr>
              <w:t>1,666.67</w:t>
            </w:r>
          </w:p>
          <w:p w14:paraId="375F4C79" w14:textId="397834AA" w:rsidR="00615C7A" w:rsidRPr="00CD2CAF" w:rsidRDefault="00615C7A" w:rsidP="00CD2CAF">
            <w:pPr>
              <w:spacing w:after="120"/>
              <w:contextualSpacing/>
              <w:jc w:val="right"/>
              <w:rPr>
                <w:rFonts w:ascii="Arial" w:eastAsia="Calibri" w:hAnsi="Arial" w:cs="Arial"/>
                <w:b/>
                <w:bCs/>
                <w:sz w:val="16"/>
                <w:szCs w:val="16"/>
              </w:rPr>
            </w:pPr>
            <w:r w:rsidRPr="00CD2CAF">
              <w:rPr>
                <w:rFonts w:ascii="Arial" w:eastAsia="Calibri" w:hAnsi="Arial" w:cs="Arial"/>
                <w:b/>
                <w:bCs/>
                <w:sz w:val="16"/>
                <w:szCs w:val="16"/>
              </w:rPr>
              <w:t>(</w:t>
            </w:r>
            <w:r w:rsidR="00CD2CAF" w:rsidRPr="00CD2CAF">
              <w:rPr>
                <w:rFonts w:ascii="Arial" w:eastAsia="Calibri" w:hAnsi="Arial" w:cs="Arial"/>
                <w:b/>
                <w:bCs/>
                <w:sz w:val="16"/>
                <w:szCs w:val="16"/>
              </w:rPr>
              <w:t>5,000</w:t>
            </w:r>
            <w:r w:rsidRPr="00CD2CAF">
              <w:rPr>
                <w:rFonts w:ascii="Arial" w:eastAsia="Calibri" w:hAnsi="Arial" w:cs="Arial"/>
                <w:b/>
                <w:bCs/>
                <w:sz w:val="16"/>
                <w:szCs w:val="16"/>
              </w:rPr>
              <w:t>)</w:t>
            </w:r>
          </w:p>
        </w:tc>
        <w:tc>
          <w:tcPr>
            <w:tcW w:w="670" w:type="pct"/>
            <w:shd w:val="clear" w:color="auto" w:fill="auto"/>
          </w:tcPr>
          <w:p w14:paraId="5E0589A2" w14:textId="77777777" w:rsidR="00615C7A" w:rsidRPr="00A552AB" w:rsidRDefault="00615C7A" w:rsidP="00833384">
            <w:pPr>
              <w:spacing w:after="120"/>
              <w:contextualSpacing/>
              <w:jc w:val="right"/>
              <w:rPr>
                <w:rFonts w:ascii="Arial" w:eastAsia="Calibri" w:hAnsi="Arial" w:cs="Arial"/>
                <w:b/>
                <w:bCs/>
                <w:color w:val="FF0000"/>
                <w:sz w:val="16"/>
                <w:szCs w:val="16"/>
              </w:rPr>
            </w:pPr>
          </w:p>
          <w:p w14:paraId="157DF73A" w14:textId="77777777" w:rsidR="00615C7A" w:rsidRPr="00A552AB" w:rsidRDefault="00615C7A" w:rsidP="00833384">
            <w:pPr>
              <w:spacing w:after="120"/>
              <w:contextualSpacing/>
              <w:jc w:val="right"/>
              <w:rPr>
                <w:rFonts w:ascii="Arial" w:eastAsia="Calibri" w:hAnsi="Arial" w:cs="Arial"/>
                <w:b/>
                <w:bCs/>
                <w:color w:val="FF0000"/>
                <w:sz w:val="16"/>
                <w:szCs w:val="16"/>
              </w:rPr>
            </w:pPr>
            <w:r w:rsidRPr="00DF37EE">
              <w:rPr>
                <w:rFonts w:ascii="Arial" w:eastAsia="Calibri" w:hAnsi="Arial" w:cs="Arial"/>
                <w:b/>
                <w:bCs/>
                <w:sz w:val="16"/>
                <w:szCs w:val="16"/>
              </w:rPr>
              <w:t>- - -</w:t>
            </w:r>
          </w:p>
        </w:tc>
        <w:tc>
          <w:tcPr>
            <w:tcW w:w="739" w:type="pct"/>
            <w:shd w:val="clear" w:color="auto" w:fill="auto"/>
          </w:tcPr>
          <w:p w14:paraId="1C822AB6" w14:textId="77777777" w:rsidR="00615C7A" w:rsidRPr="00B6032C" w:rsidRDefault="00615C7A" w:rsidP="00833384">
            <w:pPr>
              <w:spacing w:after="120"/>
              <w:contextualSpacing/>
              <w:jc w:val="right"/>
              <w:rPr>
                <w:rFonts w:ascii="Arial" w:eastAsia="Calibri" w:hAnsi="Arial" w:cs="Arial"/>
                <w:b/>
                <w:bCs/>
                <w:sz w:val="16"/>
                <w:szCs w:val="16"/>
              </w:rPr>
            </w:pPr>
          </w:p>
          <w:p w14:paraId="52AA995A" w14:textId="4055996A" w:rsidR="00B6032C" w:rsidRPr="00B6032C" w:rsidRDefault="00B6032C" w:rsidP="00B6032C">
            <w:pPr>
              <w:spacing w:after="120"/>
              <w:contextualSpacing/>
              <w:jc w:val="right"/>
              <w:rPr>
                <w:rFonts w:ascii="Arial" w:eastAsia="Calibri" w:hAnsi="Arial" w:cs="Arial"/>
                <w:b/>
                <w:bCs/>
                <w:sz w:val="16"/>
                <w:szCs w:val="16"/>
              </w:rPr>
            </w:pPr>
            <w:r w:rsidRPr="00B6032C">
              <w:rPr>
                <w:rFonts w:ascii="Arial" w:eastAsia="Calibri" w:hAnsi="Arial" w:cs="Arial"/>
                <w:b/>
                <w:bCs/>
                <w:sz w:val="16"/>
                <w:szCs w:val="16"/>
              </w:rPr>
              <w:t>$77,433.49</w:t>
            </w:r>
          </w:p>
          <w:p w14:paraId="48AD5C43" w14:textId="6051E1F0" w:rsidR="00615C7A" w:rsidRPr="00B6032C" w:rsidRDefault="00B6032C" w:rsidP="00B6032C">
            <w:pPr>
              <w:spacing w:after="120"/>
              <w:contextualSpacing/>
              <w:jc w:val="right"/>
              <w:rPr>
                <w:rFonts w:ascii="Arial" w:eastAsia="Calibri" w:hAnsi="Arial" w:cs="Arial"/>
                <w:b/>
                <w:bCs/>
                <w:sz w:val="16"/>
                <w:szCs w:val="16"/>
              </w:rPr>
            </w:pPr>
            <w:r w:rsidRPr="00B6032C">
              <w:rPr>
                <w:rFonts w:ascii="Arial" w:eastAsia="Calibri" w:hAnsi="Arial" w:cs="Arial"/>
                <w:b/>
                <w:bCs/>
                <w:sz w:val="16"/>
                <w:szCs w:val="16"/>
              </w:rPr>
              <w:t>(</w:t>
            </w:r>
            <w:r w:rsidR="00615C7A" w:rsidRPr="00B6032C">
              <w:rPr>
                <w:rFonts w:ascii="Arial" w:eastAsia="Calibri" w:hAnsi="Arial" w:cs="Arial"/>
                <w:b/>
                <w:bCs/>
                <w:sz w:val="16"/>
                <w:szCs w:val="16"/>
              </w:rPr>
              <w:t>$</w:t>
            </w:r>
            <w:r w:rsidRPr="00B6032C">
              <w:rPr>
                <w:rFonts w:ascii="Arial" w:eastAsia="Calibri" w:hAnsi="Arial" w:cs="Arial"/>
                <w:b/>
                <w:bCs/>
                <w:sz w:val="16"/>
                <w:szCs w:val="16"/>
              </w:rPr>
              <w:t>232,300.47)</w:t>
            </w:r>
          </w:p>
        </w:tc>
      </w:tr>
    </w:tbl>
    <w:p w14:paraId="5B0A4F11" w14:textId="77777777" w:rsidR="006432B9" w:rsidRPr="00AE0AB8" w:rsidRDefault="006432B9" w:rsidP="002E5CE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p>
    <w:p w14:paraId="35881D23" w14:textId="1C0C8335" w:rsidR="00537135" w:rsidRPr="00B147AF" w:rsidRDefault="00537135" w:rsidP="002E5CE3">
      <w:pPr>
        <w:tabs>
          <w:tab w:val="left" w:pos="-1080"/>
          <w:tab w:val="left" w:pos="-72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810"/>
        <w:rPr>
          <w:rFonts w:asciiTheme="minorHAnsi" w:hAnsiTheme="minorHAnsi"/>
          <w:b/>
          <w:sz w:val="24"/>
          <w:szCs w:val="24"/>
        </w:rPr>
      </w:pPr>
      <w:r w:rsidRPr="00B147AF">
        <w:rPr>
          <w:rFonts w:asciiTheme="minorHAnsi" w:hAnsiTheme="minorHAnsi"/>
          <w:b/>
          <w:sz w:val="24"/>
          <w:szCs w:val="24"/>
        </w:rPr>
        <w:t>15.</w:t>
      </w:r>
      <w:r w:rsidR="00B147AF" w:rsidRPr="00B147AF">
        <w:rPr>
          <w:rFonts w:asciiTheme="minorHAnsi" w:hAnsiTheme="minorHAnsi"/>
          <w:b/>
          <w:sz w:val="24"/>
          <w:szCs w:val="24"/>
        </w:rPr>
        <w:t>)</w:t>
      </w:r>
      <w:r w:rsidR="00B147AF">
        <w:rPr>
          <w:rFonts w:asciiTheme="minorHAnsi" w:hAnsiTheme="minorHAnsi"/>
          <w:b/>
          <w:sz w:val="24"/>
          <w:szCs w:val="24"/>
        </w:rPr>
        <w:tab/>
      </w:r>
      <w:r w:rsidR="00B147AF" w:rsidRPr="00B147AF">
        <w:rPr>
          <w:rFonts w:asciiTheme="minorHAnsi" w:hAnsiTheme="minorHAnsi"/>
          <w:b/>
          <w:sz w:val="24"/>
          <w:szCs w:val="24"/>
        </w:rPr>
        <w:t>Reasons for Change</w:t>
      </w:r>
    </w:p>
    <w:p w14:paraId="41D29903" w14:textId="77777777" w:rsidR="00537135" w:rsidRPr="00AE0AB8" w:rsidRDefault="00537135" w:rsidP="00537135">
      <w:pPr>
        <w:rPr>
          <w:rFonts w:asciiTheme="minorHAnsi" w:hAnsiTheme="minorHAnsi"/>
          <w:b/>
          <w:sz w:val="24"/>
        </w:rPr>
      </w:pPr>
    </w:p>
    <w:p w14:paraId="391213D5" w14:textId="698B370E" w:rsidR="00537135" w:rsidRPr="00AE0AB8" w:rsidRDefault="00B147AF" w:rsidP="002E5CE3">
      <w:pPr>
        <w:tabs>
          <w:tab w:val="left" w:pos="-180"/>
        </w:tabs>
        <w:ind w:left="-180"/>
        <w:jc w:val="both"/>
        <w:rPr>
          <w:rFonts w:asciiTheme="minorHAnsi" w:hAnsiTheme="minorHAnsi"/>
          <w:sz w:val="24"/>
        </w:rPr>
      </w:pPr>
      <w:r w:rsidRPr="00B147AF">
        <w:rPr>
          <w:rFonts w:asciiTheme="minorHAnsi" w:hAnsiTheme="minorHAnsi"/>
          <w:sz w:val="24"/>
        </w:rPr>
        <w:t>As this is a new collection there are no changes from previous renewals.</w:t>
      </w:r>
      <w:r w:rsidR="00EF67DC" w:rsidRPr="00AE0AB8">
        <w:rPr>
          <w:rFonts w:asciiTheme="minorHAnsi" w:hAnsiTheme="minorHAnsi"/>
          <w:sz w:val="24"/>
        </w:rPr>
        <w:t xml:space="preserve"> </w:t>
      </w:r>
    </w:p>
    <w:p w14:paraId="4B28F5F9" w14:textId="77777777" w:rsidR="002E5CE3" w:rsidRDefault="002E5CE3" w:rsidP="00B147AF">
      <w:pPr>
        <w:tabs>
          <w:tab w:val="left" w:pos="-1080"/>
          <w:tab w:val="left" w:pos="-720"/>
          <w:tab w:val="left" w:pos="-360"/>
          <w:tab w:val="left" w:pos="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b/>
          <w:sz w:val="24"/>
          <w:szCs w:val="24"/>
        </w:rPr>
      </w:pPr>
    </w:p>
    <w:p w14:paraId="58173ED2" w14:textId="5256C54E" w:rsidR="00537135" w:rsidRPr="00B147AF" w:rsidRDefault="00537135" w:rsidP="002E5CE3">
      <w:pPr>
        <w:tabs>
          <w:tab w:val="left" w:pos="-1080"/>
          <w:tab w:val="left" w:pos="-720"/>
          <w:tab w:val="left" w:pos="-180"/>
          <w:tab w:val="left" w:pos="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rFonts w:asciiTheme="minorHAnsi" w:hAnsiTheme="minorHAnsi"/>
          <w:b/>
          <w:sz w:val="24"/>
        </w:rPr>
      </w:pPr>
      <w:r w:rsidRPr="00B147AF">
        <w:rPr>
          <w:rFonts w:asciiTheme="minorHAnsi" w:hAnsiTheme="minorHAnsi"/>
          <w:b/>
          <w:sz w:val="24"/>
          <w:szCs w:val="24"/>
        </w:rPr>
        <w:t>16.</w:t>
      </w:r>
      <w:r w:rsidR="00B147AF" w:rsidRPr="00B147AF">
        <w:rPr>
          <w:rFonts w:asciiTheme="minorHAnsi" w:hAnsiTheme="minorHAnsi"/>
          <w:b/>
          <w:sz w:val="24"/>
          <w:szCs w:val="24"/>
        </w:rPr>
        <w:t>)</w:t>
      </w:r>
      <w:r w:rsidR="00B147AF">
        <w:rPr>
          <w:rFonts w:asciiTheme="minorHAnsi" w:hAnsiTheme="minorHAnsi"/>
          <w:b/>
          <w:sz w:val="24"/>
          <w:szCs w:val="24"/>
        </w:rPr>
        <w:tab/>
      </w:r>
      <w:r w:rsidR="00B147AF" w:rsidRPr="00B147AF">
        <w:rPr>
          <w:rFonts w:asciiTheme="minorHAnsi" w:hAnsiTheme="minorHAnsi"/>
          <w:b/>
          <w:sz w:val="24"/>
          <w:szCs w:val="24"/>
        </w:rPr>
        <w:t xml:space="preserve">Tabulation of Results, Schedule, </w:t>
      </w:r>
      <w:r w:rsidR="00D52F29" w:rsidRPr="00B147AF">
        <w:rPr>
          <w:rFonts w:asciiTheme="minorHAnsi" w:hAnsiTheme="minorHAnsi"/>
          <w:b/>
          <w:sz w:val="24"/>
          <w:szCs w:val="24"/>
        </w:rPr>
        <w:t>and Analysis</w:t>
      </w:r>
      <w:r w:rsidR="00B147AF" w:rsidRPr="00B147AF">
        <w:rPr>
          <w:rFonts w:asciiTheme="minorHAnsi" w:hAnsiTheme="minorHAnsi"/>
          <w:b/>
          <w:sz w:val="24"/>
          <w:szCs w:val="24"/>
        </w:rPr>
        <w:t xml:space="preserve"> Plans</w:t>
      </w:r>
    </w:p>
    <w:p w14:paraId="1E8F0795" w14:textId="77777777" w:rsidR="00B147AF" w:rsidRDefault="00B147AF" w:rsidP="00642320">
      <w:pPr>
        <w:tabs>
          <w:tab w:val="left" w:pos="0"/>
        </w:tabs>
        <w:ind w:left="-360"/>
        <w:rPr>
          <w:rFonts w:asciiTheme="minorHAnsi" w:hAnsiTheme="minorHAnsi"/>
          <w:sz w:val="24"/>
        </w:rPr>
      </w:pPr>
    </w:p>
    <w:p w14:paraId="0ED1D9C8" w14:textId="330248B6" w:rsidR="0019634E" w:rsidRPr="00AE0AB8" w:rsidRDefault="00B147AF" w:rsidP="002E5CE3">
      <w:pPr>
        <w:tabs>
          <w:tab w:val="left" w:pos="0"/>
        </w:tabs>
        <w:ind w:left="-180"/>
        <w:rPr>
          <w:rFonts w:asciiTheme="minorHAnsi" w:hAnsiTheme="minorHAnsi"/>
          <w:sz w:val="24"/>
        </w:rPr>
      </w:pPr>
      <w:r>
        <w:rPr>
          <w:rFonts w:asciiTheme="minorHAnsi" w:hAnsiTheme="minorHAnsi"/>
          <w:sz w:val="24"/>
        </w:rPr>
        <w:t>The USPTO</w:t>
      </w:r>
      <w:r w:rsidR="0019634E" w:rsidRPr="00AE0AB8">
        <w:rPr>
          <w:rFonts w:asciiTheme="minorHAnsi" w:hAnsiTheme="minorHAnsi"/>
          <w:sz w:val="24"/>
        </w:rPr>
        <w:t xml:space="preserve"> has access to its scores and detailed statistical and analytical data through an on-line reporting </w:t>
      </w:r>
      <w:r w:rsidR="001926B6" w:rsidRPr="00AE0AB8">
        <w:rPr>
          <w:rFonts w:asciiTheme="minorHAnsi" w:hAnsiTheme="minorHAnsi"/>
          <w:sz w:val="24"/>
        </w:rPr>
        <w:t>portal</w:t>
      </w:r>
      <w:r w:rsidR="0019634E" w:rsidRPr="00AE0AB8">
        <w:rPr>
          <w:rFonts w:asciiTheme="minorHAnsi" w:hAnsiTheme="minorHAnsi"/>
          <w:sz w:val="24"/>
        </w:rPr>
        <w:t xml:space="preserve"> maintained by </w:t>
      </w:r>
      <w:r w:rsidR="00615683" w:rsidRPr="00AE0AB8">
        <w:rPr>
          <w:rFonts w:asciiTheme="minorHAnsi" w:hAnsiTheme="minorHAnsi"/>
          <w:sz w:val="24"/>
        </w:rPr>
        <w:t>ForeSee</w:t>
      </w:r>
      <w:r w:rsidR="0019634E" w:rsidRPr="00AE0AB8">
        <w:rPr>
          <w:rFonts w:asciiTheme="minorHAnsi" w:hAnsiTheme="minorHAnsi"/>
          <w:sz w:val="24"/>
        </w:rPr>
        <w:t>.</w:t>
      </w:r>
      <w:r w:rsidR="004D533D" w:rsidRPr="00AE0AB8">
        <w:rPr>
          <w:rFonts w:asciiTheme="minorHAnsi" w:hAnsiTheme="minorHAnsi"/>
          <w:sz w:val="24"/>
        </w:rPr>
        <w:t xml:space="preserve"> </w:t>
      </w:r>
      <w:r>
        <w:rPr>
          <w:rFonts w:asciiTheme="minorHAnsi" w:hAnsiTheme="minorHAnsi"/>
          <w:sz w:val="24"/>
        </w:rPr>
        <w:t xml:space="preserve">The </w:t>
      </w:r>
      <w:r w:rsidR="002E5CE3">
        <w:rPr>
          <w:rFonts w:asciiTheme="minorHAnsi" w:hAnsiTheme="minorHAnsi"/>
          <w:sz w:val="24"/>
        </w:rPr>
        <w:t>Agency</w:t>
      </w:r>
      <w:r>
        <w:rPr>
          <w:rFonts w:asciiTheme="minorHAnsi" w:hAnsiTheme="minorHAnsi"/>
          <w:sz w:val="24"/>
        </w:rPr>
        <w:t xml:space="preserve"> will also</w:t>
      </w:r>
      <w:r w:rsidR="001541EF" w:rsidRPr="00AE0AB8">
        <w:rPr>
          <w:rFonts w:asciiTheme="minorHAnsi" w:hAnsiTheme="minorHAnsi"/>
          <w:sz w:val="24"/>
        </w:rPr>
        <w:t xml:space="preserve"> receive</w:t>
      </w:r>
      <w:r w:rsidR="003C5C90" w:rsidRPr="00AE0AB8">
        <w:rPr>
          <w:rFonts w:asciiTheme="minorHAnsi" w:hAnsiTheme="minorHAnsi"/>
          <w:sz w:val="24"/>
        </w:rPr>
        <w:t xml:space="preserve"> monthly </w:t>
      </w:r>
      <w:r w:rsidR="001541EF" w:rsidRPr="00AE0AB8">
        <w:rPr>
          <w:rFonts w:asciiTheme="minorHAnsi" w:hAnsiTheme="minorHAnsi"/>
          <w:sz w:val="24"/>
        </w:rPr>
        <w:t xml:space="preserve">on-line </w:t>
      </w:r>
      <w:r w:rsidR="001926B6" w:rsidRPr="00AE0AB8">
        <w:rPr>
          <w:rFonts w:asciiTheme="minorHAnsi" w:hAnsiTheme="minorHAnsi"/>
          <w:sz w:val="24"/>
        </w:rPr>
        <w:t>reports</w:t>
      </w:r>
      <w:r>
        <w:rPr>
          <w:rFonts w:asciiTheme="minorHAnsi" w:hAnsiTheme="minorHAnsi"/>
          <w:sz w:val="24"/>
        </w:rPr>
        <w:t>.</w:t>
      </w:r>
      <w:r w:rsidR="003C5C90" w:rsidRPr="00AE0AB8">
        <w:rPr>
          <w:rFonts w:asciiTheme="minorHAnsi" w:hAnsiTheme="minorHAnsi"/>
          <w:sz w:val="24"/>
        </w:rPr>
        <w:t xml:space="preserve"> </w:t>
      </w:r>
    </w:p>
    <w:p w14:paraId="239C78D1" w14:textId="77777777" w:rsidR="0019634E" w:rsidRPr="00AE0AB8" w:rsidRDefault="0019634E" w:rsidP="007C06B3">
      <w:pPr>
        <w:ind w:left="720"/>
        <w:rPr>
          <w:rFonts w:asciiTheme="minorHAnsi" w:hAnsiTheme="minorHAnsi"/>
          <w:sz w:val="24"/>
        </w:rPr>
      </w:pPr>
    </w:p>
    <w:p w14:paraId="08E220B6" w14:textId="61652E93" w:rsidR="00D80FD4" w:rsidRPr="002E5CE3" w:rsidRDefault="00D80FD4" w:rsidP="00B04B41">
      <w:pPr>
        <w:tabs>
          <w:tab w:val="left" w:pos="-1080"/>
          <w:tab w:val="left" w:pos="-720"/>
          <w:tab w:val="left" w:pos="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810"/>
        <w:rPr>
          <w:rFonts w:asciiTheme="minorHAnsi" w:hAnsiTheme="minorHAnsi"/>
          <w:b/>
          <w:sz w:val="24"/>
          <w:szCs w:val="24"/>
        </w:rPr>
      </w:pPr>
      <w:r w:rsidRPr="002E5CE3">
        <w:rPr>
          <w:rFonts w:asciiTheme="minorHAnsi" w:hAnsiTheme="minorHAnsi"/>
          <w:b/>
          <w:sz w:val="24"/>
          <w:szCs w:val="24"/>
        </w:rPr>
        <w:t>17.</w:t>
      </w:r>
      <w:r w:rsidR="002E5CE3" w:rsidRPr="002E5CE3">
        <w:rPr>
          <w:rFonts w:asciiTheme="minorHAnsi" w:hAnsiTheme="minorHAnsi"/>
          <w:b/>
          <w:sz w:val="24"/>
          <w:szCs w:val="24"/>
        </w:rPr>
        <w:t xml:space="preserve">)  </w:t>
      </w:r>
      <w:r w:rsidR="00B04B41">
        <w:rPr>
          <w:rFonts w:asciiTheme="minorHAnsi" w:hAnsiTheme="minorHAnsi"/>
          <w:b/>
          <w:sz w:val="24"/>
          <w:szCs w:val="24"/>
        </w:rPr>
        <w:t xml:space="preserve">  </w:t>
      </w:r>
      <w:r w:rsidR="002E5CE3" w:rsidRPr="002E5CE3">
        <w:rPr>
          <w:rFonts w:asciiTheme="minorHAnsi" w:hAnsiTheme="minorHAnsi"/>
          <w:b/>
          <w:sz w:val="24"/>
          <w:szCs w:val="24"/>
        </w:rPr>
        <w:t xml:space="preserve">Display of OMB </w:t>
      </w:r>
      <w:r w:rsidR="001A119C">
        <w:rPr>
          <w:rFonts w:asciiTheme="minorHAnsi" w:hAnsiTheme="minorHAnsi"/>
          <w:b/>
          <w:sz w:val="24"/>
          <w:szCs w:val="24"/>
        </w:rPr>
        <w:t>Expiration</w:t>
      </w:r>
      <w:r w:rsidR="002E5CE3" w:rsidRPr="002E5CE3">
        <w:rPr>
          <w:rFonts w:asciiTheme="minorHAnsi" w:hAnsiTheme="minorHAnsi"/>
          <w:b/>
          <w:sz w:val="24"/>
          <w:szCs w:val="24"/>
        </w:rPr>
        <w:t xml:space="preserve"> Date</w:t>
      </w:r>
    </w:p>
    <w:p w14:paraId="660D8AC1" w14:textId="77777777" w:rsidR="0019634E" w:rsidRPr="00AE0AB8" w:rsidRDefault="0019634E" w:rsidP="0019634E">
      <w:pPr>
        <w:ind w:left="720"/>
        <w:rPr>
          <w:rFonts w:asciiTheme="minorHAnsi" w:hAnsiTheme="minorHAnsi"/>
          <w:sz w:val="24"/>
        </w:rPr>
      </w:pPr>
    </w:p>
    <w:p w14:paraId="30910780" w14:textId="7C8419C6" w:rsidR="005D0E2E" w:rsidRPr="00AE0AB8" w:rsidRDefault="005D0E2E" w:rsidP="002E5CE3">
      <w:pPr>
        <w:ind w:left="-180"/>
        <w:rPr>
          <w:rFonts w:asciiTheme="minorHAnsi" w:hAnsiTheme="minorHAnsi"/>
          <w:sz w:val="24"/>
        </w:rPr>
      </w:pPr>
      <w:r w:rsidRPr="00AE0AB8">
        <w:rPr>
          <w:rFonts w:asciiTheme="minorHAnsi" w:hAnsiTheme="minorHAnsi"/>
          <w:sz w:val="24"/>
        </w:rPr>
        <w:t xml:space="preserve">To </w:t>
      </w:r>
      <w:r w:rsidR="00750886" w:rsidRPr="00AE0AB8">
        <w:rPr>
          <w:rFonts w:asciiTheme="minorHAnsi" w:hAnsiTheme="minorHAnsi"/>
          <w:sz w:val="24"/>
        </w:rPr>
        <w:t xml:space="preserve">potentially </w:t>
      </w:r>
      <w:r w:rsidRPr="00AE0AB8">
        <w:rPr>
          <w:rFonts w:asciiTheme="minorHAnsi" w:hAnsiTheme="minorHAnsi"/>
          <w:sz w:val="24"/>
        </w:rPr>
        <w:t>increase the response rate by reducing the amount of introductory information</w:t>
      </w:r>
      <w:r w:rsidR="005C439B" w:rsidRPr="00AE0AB8">
        <w:rPr>
          <w:rFonts w:asciiTheme="minorHAnsi" w:hAnsiTheme="minorHAnsi"/>
          <w:sz w:val="24"/>
        </w:rPr>
        <w:t>,</w:t>
      </w:r>
      <w:r w:rsidRPr="00AE0AB8">
        <w:rPr>
          <w:rFonts w:asciiTheme="minorHAnsi" w:hAnsiTheme="minorHAnsi"/>
          <w:sz w:val="24"/>
        </w:rPr>
        <w:t xml:space="preserve"> </w:t>
      </w:r>
      <w:r w:rsidR="002E5CE3">
        <w:rPr>
          <w:rFonts w:asciiTheme="minorHAnsi" w:hAnsiTheme="minorHAnsi"/>
          <w:sz w:val="24"/>
        </w:rPr>
        <w:t>the USPTO</w:t>
      </w:r>
      <w:r w:rsidRPr="00AE0AB8">
        <w:rPr>
          <w:rFonts w:asciiTheme="minorHAnsi" w:hAnsiTheme="minorHAnsi"/>
          <w:sz w:val="24"/>
        </w:rPr>
        <w:t xml:space="preserve"> request</w:t>
      </w:r>
      <w:r w:rsidR="002E5CE3">
        <w:rPr>
          <w:rFonts w:asciiTheme="minorHAnsi" w:hAnsiTheme="minorHAnsi"/>
          <w:sz w:val="24"/>
        </w:rPr>
        <w:t>s that it</w:t>
      </w:r>
      <w:r w:rsidRPr="00AE0AB8">
        <w:rPr>
          <w:rFonts w:asciiTheme="minorHAnsi" w:hAnsiTheme="minorHAnsi"/>
          <w:sz w:val="24"/>
        </w:rPr>
        <w:t xml:space="preserve"> not be required to state the expiration date for OMB approval of the information collection </w:t>
      </w:r>
      <w:r w:rsidR="00750886" w:rsidRPr="00AE0AB8">
        <w:rPr>
          <w:rFonts w:asciiTheme="minorHAnsi" w:hAnsiTheme="minorHAnsi"/>
          <w:sz w:val="24"/>
        </w:rPr>
        <w:t>in these survey instruments.</w:t>
      </w:r>
      <w:r w:rsidRPr="00AE0AB8">
        <w:rPr>
          <w:rFonts w:asciiTheme="minorHAnsi" w:hAnsiTheme="minorHAnsi"/>
          <w:sz w:val="24"/>
        </w:rPr>
        <w:t xml:space="preserve"> </w:t>
      </w:r>
    </w:p>
    <w:p w14:paraId="46D976DE" w14:textId="77777777" w:rsidR="00AA4B93" w:rsidRPr="00AE0AB8" w:rsidRDefault="00AA4B93" w:rsidP="00D80FD4">
      <w:pPr>
        <w:jc w:val="both"/>
        <w:rPr>
          <w:rFonts w:asciiTheme="minorHAnsi" w:hAnsiTheme="minorHAnsi"/>
          <w:sz w:val="24"/>
        </w:rPr>
      </w:pPr>
    </w:p>
    <w:p w14:paraId="52F7073F" w14:textId="61A75482" w:rsidR="00972F6C" w:rsidRPr="002E5CE3" w:rsidRDefault="00D80FD4" w:rsidP="002E5CE3">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810"/>
        <w:rPr>
          <w:rFonts w:asciiTheme="minorHAnsi" w:hAnsiTheme="minorHAnsi"/>
          <w:b/>
          <w:sz w:val="24"/>
        </w:rPr>
      </w:pPr>
      <w:r w:rsidRPr="002E5CE3">
        <w:rPr>
          <w:rFonts w:asciiTheme="minorHAnsi" w:hAnsiTheme="minorHAnsi"/>
          <w:b/>
          <w:sz w:val="24"/>
          <w:szCs w:val="24"/>
        </w:rPr>
        <w:t>18.</w:t>
      </w:r>
      <w:r w:rsidR="002E5CE3" w:rsidRPr="002E5CE3">
        <w:rPr>
          <w:rFonts w:asciiTheme="minorHAnsi" w:hAnsiTheme="minorHAnsi"/>
          <w:b/>
          <w:sz w:val="24"/>
          <w:szCs w:val="24"/>
        </w:rPr>
        <w:t xml:space="preserve">) </w:t>
      </w:r>
      <w:r w:rsidRPr="002E5CE3">
        <w:rPr>
          <w:rFonts w:asciiTheme="minorHAnsi" w:hAnsiTheme="minorHAnsi"/>
          <w:b/>
          <w:sz w:val="24"/>
          <w:szCs w:val="24"/>
        </w:rPr>
        <w:t xml:space="preserve"> </w:t>
      </w:r>
      <w:r w:rsidR="00AA4B93" w:rsidRPr="002E5CE3">
        <w:rPr>
          <w:rFonts w:asciiTheme="minorHAnsi" w:hAnsiTheme="minorHAnsi"/>
          <w:b/>
          <w:sz w:val="24"/>
          <w:szCs w:val="24"/>
        </w:rPr>
        <w:t xml:space="preserve"> </w:t>
      </w:r>
      <w:r w:rsidR="00B04B41">
        <w:rPr>
          <w:rFonts w:asciiTheme="minorHAnsi" w:hAnsiTheme="minorHAnsi"/>
          <w:b/>
          <w:sz w:val="24"/>
          <w:szCs w:val="24"/>
        </w:rPr>
        <w:t xml:space="preserve"> </w:t>
      </w:r>
      <w:r w:rsidR="002E5CE3" w:rsidRPr="002E5CE3">
        <w:rPr>
          <w:rFonts w:asciiTheme="minorHAnsi" w:hAnsiTheme="minorHAnsi"/>
          <w:b/>
          <w:sz w:val="24"/>
          <w:szCs w:val="24"/>
        </w:rPr>
        <w:t>Exceptions to Certification for Paperwork Reduction Act Submissions</w:t>
      </w:r>
    </w:p>
    <w:p w14:paraId="34B90F48" w14:textId="77777777" w:rsidR="002E5CE3" w:rsidRDefault="002E5CE3" w:rsidP="00AA4B93">
      <w:pPr>
        <w:ind w:left="720" w:hanging="1080"/>
        <w:rPr>
          <w:rFonts w:asciiTheme="minorHAnsi" w:hAnsiTheme="minorHAnsi"/>
          <w:sz w:val="24"/>
        </w:rPr>
      </w:pPr>
    </w:p>
    <w:p w14:paraId="69DDE981" w14:textId="77777777" w:rsidR="0019634E" w:rsidRPr="00AE0AB8" w:rsidRDefault="0019634E" w:rsidP="002E5CE3">
      <w:pPr>
        <w:ind w:left="720" w:hanging="900"/>
        <w:rPr>
          <w:rFonts w:asciiTheme="minorHAnsi" w:hAnsiTheme="minorHAnsi"/>
          <w:sz w:val="24"/>
        </w:rPr>
      </w:pPr>
      <w:r w:rsidRPr="00AE0AB8">
        <w:rPr>
          <w:rFonts w:asciiTheme="minorHAnsi" w:hAnsiTheme="minorHAnsi"/>
          <w:sz w:val="24"/>
        </w:rPr>
        <w:t xml:space="preserve">No exception to the certification statement is being requested. </w:t>
      </w:r>
    </w:p>
    <w:p w14:paraId="0153F01B" w14:textId="77777777" w:rsidR="008A1B21" w:rsidRPr="00AE0AB8" w:rsidRDefault="008A1B21" w:rsidP="008A1B21">
      <w:pPr>
        <w:jc w:val="both"/>
        <w:rPr>
          <w:rFonts w:asciiTheme="minorHAnsi" w:hAnsiTheme="minorHAnsi"/>
          <w:sz w:val="24"/>
          <w:szCs w:val="24"/>
        </w:rPr>
      </w:pPr>
    </w:p>
    <w:sectPr w:rsidR="008A1B21" w:rsidRPr="00AE0AB8" w:rsidSect="00C6308B">
      <w:footerReference w:type="even" r:id="rId15"/>
      <w:footerReference w:type="default" r:id="rId16"/>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F7A77" w14:textId="77777777" w:rsidR="00134F2E" w:rsidRDefault="00134F2E">
      <w:r>
        <w:separator/>
      </w:r>
    </w:p>
  </w:endnote>
  <w:endnote w:type="continuationSeparator" w:id="0">
    <w:p w14:paraId="230AAC47" w14:textId="77777777" w:rsidR="00134F2E" w:rsidRDefault="0013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4DB5" w14:textId="77777777" w:rsidR="00AE3254" w:rsidRDefault="00BF61F4">
    <w:pPr>
      <w:pStyle w:val="Footer"/>
      <w:framePr w:wrap="around" w:vAnchor="text" w:hAnchor="margin" w:xAlign="center" w:y="1"/>
      <w:rPr>
        <w:rStyle w:val="PageNumber"/>
      </w:rPr>
    </w:pPr>
    <w:r>
      <w:rPr>
        <w:rStyle w:val="PageNumber"/>
      </w:rPr>
      <w:fldChar w:fldCharType="begin"/>
    </w:r>
    <w:r w:rsidR="00AE3254">
      <w:rPr>
        <w:rStyle w:val="PageNumber"/>
      </w:rPr>
      <w:instrText xml:space="preserve">PAGE  </w:instrText>
    </w:r>
    <w:r>
      <w:rPr>
        <w:rStyle w:val="PageNumber"/>
      </w:rPr>
      <w:fldChar w:fldCharType="separate"/>
    </w:r>
    <w:r w:rsidR="00AE3254">
      <w:rPr>
        <w:rStyle w:val="PageNumber"/>
        <w:noProof/>
      </w:rPr>
      <w:t>13</w:t>
    </w:r>
    <w:r>
      <w:rPr>
        <w:rStyle w:val="PageNumber"/>
      </w:rPr>
      <w:fldChar w:fldCharType="end"/>
    </w:r>
  </w:p>
  <w:p w14:paraId="23FCF272" w14:textId="77777777" w:rsidR="00AE3254" w:rsidRDefault="00AE3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981270"/>
      <w:docPartObj>
        <w:docPartGallery w:val="Page Numbers (Bottom of Page)"/>
        <w:docPartUnique/>
      </w:docPartObj>
    </w:sdtPr>
    <w:sdtEndPr>
      <w:rPr>
        <w:noProof/>
      </w:rPr>
    </w:sdtEndPr>
    <w:sdtContent>
      <w:p w14:paraId="71646A6F" w14:textId="3FB4A5D2" w:rsidR="00F23EEB" w:rsidRDefault="00F23EEB">
        <w:pPr>
          <w:pStyle w:val="Footer"/>
          <w:jc w:val="right"/>
        </w:pPr>
        <w:r>
          <w:fldChar w:fldCharType="begin"/>
        </w:r>
        <w:r>
          <w:instrText xml:space="preserve"> PAGE   \* MERGEFORMAT </w:instrText>
        </w:r>
        <w:r>
          <w:fldChar w:fldCharType="separate"/>
        </w:r>
        <w:r w:rsidR="0013403B">
          <w:rPr>
            <w:noProof/>
          </w:rPr>
          <w:t>1</w:t>
        </w:r>
        <w:r>
          <w:rPr>
            <w:noProof/>
          </w:rPr>
          <w:fldChar w:fldCharType="end"/>
        </w:r>
      </w:p>
    </w:sdtContent>
  </w:sdt>
  <w:p w14:paraId="3454182A" w14:textId="77777777" w:rsidR="00AE3254" w:rsidRDefault="00AE3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D6F0B" w14:textId="77777777" w:rsidR="00134F2E" w:rsidRDefault="00134F2E">
      <w:r>
        <w:separator/>
      </w:r>
    </w:p>
  </w:footnote>
  <w:footnote w:type="continuationSeparator" w:id="0">
    <w:p w14:paraId="2C5F2429" w14:textId="77777777" w:rsidR="00134F2E" w:rsidRDefault="00134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858"/>
    <w:multiLevelType w:val="hybridMultilevel"/>
    <w:tmpl w:val="032E4430"/>
    <w:lvl w:ilvl="0" w:tplc="C4C2DC40">
      <w:start w:val="1"/>
      <w:numFmt w:val="upperLetter"/>
      <w:lvlText w:val="%1."/>
      <w:lvlJc w:val="left"/>
      <w:pPr>
        <w:tabs>
          <w:tab w:val="num" w:pos="1080"/>
        </w:tabs>
        <w:ind w:left="1080" w:hanging="720"/>
      </w:pPr>
      <w:rPr>
        <w:rFonts w:hint="default"/>
      </w:rPr>
    </w:lvl>
    <w:lvl w:ilvl="1" w:tplc="36560B46">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B163A6"/>
    <w:multiLevelType w:val="hybridMultilevel"/>
    <w:tmpl w:val="C67AACB0"/>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E24BA"/>
    <w:multiLevelType w:val="hybridMultilevel"/>
    <w:tmpl w:val="CE6A604A"/>
    <w:lvl w:ilvl="0" w:tplc="7C5EC1A0">
      <w:start w:val="5"/>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0714C4"/>
    <w:multiLevelType w:val="hybridMultilevel"/>
    <w:tmpl w:val="087CDE6C"/>
    <w:lvl w:ilvl="0" w:tplc="C6C05D0C">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8990510"/>
    <w:multiLevelType w:val="hybridMultilevel"/>
    <w:tmpl w:val="36AE159E"/>
    <w:lvl w:ilvl="0" w:tplc="31D086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E309D"/>
    <w:multiLevelType w:val="hybridMultilevel"/>
    <w:tmpl w:val="47DC2878"/>
    <w:lvl w:ilvl="0" w:tplc="F93E85F4">
      <w:start w:val="5"/>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281135F"/>
    <w:multiLevelType w:val="hybridMultilevel"/>
    <w:tmpl w:val="E79AC640"/>
    <w:lvl w:ilvl="0" w:tplc="E8E437CC">
      <w:start w:val="5"/>
      <w:numFmt w:val="decimal"/>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33D3870"/>
    <w:multiLevelType w:val="hybridMultilevel"/>
    <w:tmpl w:val="00900D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6A7BA8"/>
    <w:multiLevelType w:val="hybridMultilevel"/>
    <w:tmpl w:val="7FF2C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A17E94"/>
    <w:multiLevelType w:val="hybridMultilevel"/>
    <w:tmpl w:val="B1E2D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1038C2"/>
    <w:multiLevelType w:val="hybridMultilevel"/>
    <w:tmpl w:val="09100B6C"/>
    <w:lvl w:ilvl="0" w:tplc="0409000F">
      <w:start w:val="1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8E05190"/>
    <w:multiLevelType w:val="hybridMultilevel"/>
    <w:tmpl w:val="6C741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6413A9"/>
    <w:multiLevelType w:val="hybridMultilevel"/>
    <w:tmpl w:val="E4A6515E"/>
    <w:lvl w:ilvl="0" w:tplc="8C6A36F0">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300545C"/>
    <w:multiLevelType w:val="hybridMultilevel"/>
    <w:tmpl w:val="7D1AECD6"/>
    <w:lvl w:ilvl="0" w:tplc="83C815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70129"/>
    <w:multiLevelType w:val="hybridMultilevel"/>
    <w:tmpl w:val="6C36DE36"/>
    <w:lvl w:ilvl="0" w:tplc="0D248BB0">
      <w:start w:val="16"/>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737E0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99B280C"/>
    <w:multiLevelType w:val="hybridMultilevel"/>
    <w:tmpl w:val="8044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D4416B"/>
    <w:multiLevelType w:val="hybridMultilevel"/>
    <w:tmpl w:val="B0F66248"/>
    <w:lvl w:ilvl="0" w:tplc="57FA9D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BC15BA"/>
    <w:multiLevelType w:val="hybridMultilevel"/>
    <w:tmpl w:val="309068E2"/>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88061C"/>
    <w:multiLevelType w:val="hybridMultilevel"/>
    <w:tmpl w:val="39643CBE"/>
    <w:lvl w:ilvl="0" w:tplc="3BEACCEC">
      <w:start w:val="5"/>
      <w:numFmt w:val="decimal"/>
      <w:lvlText w:val="%1."/>
      <w:lvlJc w:val="left"/>
      <w:pPr>
        <w:tabs>
          <w:tab w:val="num" w:pos="2160"/>
        </w:tabs>
        <w:ind w:left="2160" w:hanging="360"/>
      </w:pPr>
      <w:rPr>
        <w:rFonts w:hint="default"/>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A600AC8"/>
    <w:multiLevelType w:val="hybridMultilevel"/>
    <w:tmpl w:val="B0BED79E"/>
    <w:lvl w:ilvl="0" w:tplc="7F36D876">
      <w:numFmt w:val="bullet"/>
      <w:lvlText w:val=""/>
      <w:lvlJc w:val="left"/>
      <w:pPr>
        <w:tabs>
          <w:tab w:val="num" w:pos="2160"/>
        </w:tabs>
        <w:ind w:left="2160" w:hanging="360"/>
      </w:pPr>
      <w:rPr>
        <w:rFonts w:ascii="Symbol" w:eastAsia="Times New Roman" w:hAnsi="Symbol" w:cs="Aria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64C51D26"/>
    <w:multiLevelType w:val="hybridMultilevel"/>
    <w:tmpl w:val="28165EEE"/>
    <w:lvl w:ilvl="0" w:tplc="FEB8636E">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2B26D04A">
      <w:start w:val="14"/>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52A3B59"/>
    <w:multiLevelType w:val="hybridMultilevel"/>
    <w:tmpl w:val="5E462764"/>
    <w:lvl w:ilvl="0" w:tplc="6CFA4CBC">
      <w:numFmt w:val="bullet"/>
      <w:lvlText w:val=""/>
      <w:lvlJc w:val="left"/>
      <w:pPr>
        <w:tabs>
          <w:tab w:val="num" w:pos="2160"/>
        </w:tabs>
        <w:ind w:left="2160" w:hanging="72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65C15A71"/>
    <w:multiLevelType w:val="hybridMultilevel"/>
    <w:tmpl w:val="4B64984E"/>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94647"/>
    <w:multiLevelType w:val="hybridMultilevel"/>
    <w:tmpl w:val="5D2CC3F6"/>
    <w:lvl w:ilvl="0" w:tplc="2974A896">
      <w:start w:val="1"/>
      <w:numFmt w:val="upperLetter"/>
      <w:lvlText w:val="%1."/>
      <w:lvlJc w:val="left"/>
      <w:pPr>
        <w:tabs>
          <w:tab w:val="num" w:pos="2160"/>
        </w:tabs>
        <w:ind w:left="2160" w:hanging="720"/>
      </w:pPr>
      <w:rPr>
        <w:rFonts w:hint="default"/>
      </w:rPr>
    </w:lvl>
    <w:lvl w:ilvl="1" w:tplc="631C8812">
      <w:start w:val="1"/>
      <w:numFmt w:val="upperLetter"/>
      <w:lvlText w:val="%2."/>
      <w:lvlJc w:val="left"/>
      <w:pPr>
        <w:tabs>
          <w:tab w:val="num" w:pos="2892"/>
        </w:tabs>
        <w:ind w:left="2892" w:hanging="732"/>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69B334EF"/>
    <w:multiLevelType w:val="hybridMultilevel"/>
    <w:tmpl w:val="21BECF5C"/>
    <w:lvl w:ilvl="0" w:tplc="0409000F">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721A245D"/>
    <w:multiLevelType w:val="hybridMultilevel"/>
    <w:tmpl w:val="C30AD8FA"/>
    <w:lvl w:ilvl="0" w:tplc="F5F8E340">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nsid w:val="7982302C"/>
    <w:multiLevelType w:val="hybridMultilevel"/>
    <w:tmpl w:val="684CA06A"/>
    <w:lvl w:ilvl="0" w:tplc="57FA9D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082401"/>
    <w:multiLevelType w:val="hybridMultilevel"/>
    <w:tmpl w:val="8E420550"/>
    <w:lvl w:ilvl="0" w:tplc="57FA9DC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23"/>
  </w:num>
  <w:num w:numId="4">
    <w:abstractNumId w:val="20"/>
  </w:num>
  <w:num w:numId="5">
    <w:abstractNumId w:val="10"/>
  </w:num>
  <w:num w:numId="6">
    <w:abstractNumId w:val="14"/>
  </w:num>
  <w:num w:numId="7">
    <w:abstractNumId w:val="19"/>
  </w:num>
  <w:num w:numId="8">
    <w:abstractNumId w:val="21"/>
  </w:num>
  <w:num w:numId="9">
    <w:abstractNumId w:val="2"/>
  </w:num>
  <w:num w:numId="10">
    <w:abstractNumId w:val="18"/>
  </w:num>
  <w:num w:numId="11">
    <w:abstractNumId w:val="3"/>
  </w:num>
  <w:num w:numId="12">
    <w:abstractNumId w:val="12"/>
  </w:num>
  <w:num w:numId="13">
    <w:abstractNumId w:val="24"/>
  </w:num>
  <w:num w:numId="14">
    <w:abstractNumId w:val="6"/>
  </w:num>
  <w:num w:numId="15">
    <w:abstractNumId w:val="5"/>
  </w:num>
  <w:num w:numId="16">
    <w:abstractNumId w:val="9"/>
  </w:num>
  <w:num w:numId="17">
    <w:abstractNumId w:val="22"/>
  </w:num>
  <w:num w:numId="18">
    <w:abstractNumId w:val="17"/>
  </w:num>
  <w:num w:numId="19">
    <w:abstractNumId w:val="1"/>
  </w:num>
  <w:num w:numId="20">
    <w:abstractNumId w:val="13"/>
  </w:num>
  <w:num w:numId="21">
    <w:abstractNumId w:val="4"/>
  </w:num>
  <w:num w:numId="22">
    <w:abstractNumId w:val="16"/>
  </w:num>
  <w:num w:numId="23">
    <w:abstractNumId w:val="27"/>
  </w:num>
  <w:num w:numId="24">
    <w:abstractNumId w:val="8"/>
  </w:num>
  <w:num w:numId="25">
    <w:abstractNumId w:val="15"/>
  </w:num>
  <w:num w:numId="26">
    <w:abstractNumId w:val="26"/>
  </w:num>
  <w:num w:numId="27">
    <w:abstractNumId w:val="25"/>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ll, Drew (AMBIT)">
    <w15:presenceInfo w15:providerId="AD" w15:userId="S-1-5-21-185489447-88882503-980507067-312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CFB"/>
    <w:rsid w:val="00001E3B"/>
    <w:rsid w:val="0000374C"/>
    <w:rsid w:val="00017909"/>
    <w:rsid w:val="00021D75"/>
    <w:rsid w:val="0003096B"/>
    <w:rsid w:val="00032475"/>
    <w:rsid w:val="00040E6F"/>
    <w:rsid w:val="00045594"/>
    <w:rsid w:val="0004592F"/>
    <w:rsid w:val="00051556"/>
    <w:rsid w:val="00057DC9"/>
    <w:rsid w:val="00073FCD"/>
    <w:rsid w:val="00076AF2"/>
    <w:rsid w:val="00084C59"/>
    <w:rsid w:val="00090FE2"/>
    <w:rsid w:val="00093BD0"/>
    <w:rsid w:val="00093D05"/>
    <w:rsid w:val="00095C4A"/>
    <w:rsid w:val="000A07AE"/>
    <w:rsid w:val="000A2014"/>
    <w:rsid w:val="000B546B"/>
    <w:rsid w:val="000C172C"/>
    <w:rsid w:val="000C2B18"/>
    <w:rsid w:val="000C4E4E"/>
    <w:rsid w:val="000D2DC6"/>
    <w:rsid w:val="000E77AC"/>
    <w:rsid w:val="000F02BB"/>
    <w:rsid w:val="00102BE5"/>
    <w:rsid w:val="00105B62"/>
    <w:rsid w:val="0010747A"/>
    <w:rsid w:val="001076AE"/>
    <w:rsid w:val="0011386F"/>
    <w:rsid w:val="0012112D"/>
    <w:rsid w:val="001234F1"/>
    <w:rsid w:val="0013403B"/>
    <w:rsid w:val="0013436E"/>
    <w:rsid w:val="00134F2E"/>
    <w:rsid w:val="001448ED"/>
    <w:rsid w:val="001466AE"/>
    <w:rsid w:val="00147C0C"/>
    <w:rsid w:val="001541EF"/>
    <w:rsid w:val="0015602E"/>
    <w:rsid w:val="00171DFA"/>
    <w:rsid w:val="00175549"/>
    <w:rsid w:val="00177F8D"/>
    <w:rsid w:val="00181D37"/>
    <w:rsid w:val="00183CFB"/>
    <w:rsid w:val="00187E88"/>
    <w:rsid w:val="001926B6"/>
    <w:rsid w:val="00195098"/>
    <w:rsid w:val="0019634E"/>
    <w:rsid w:val="00196FE2"/>
    <w:rsid w:val="00197D4F"/>
    <w:rsid w:val="001A0333"/>
    <w:rsid w:val="001A119C"/>
    <w:rsid w:val="001A46DF"/>
    <w:rsid w:val="001A72E6"/>
    <w:rsid w:val="001A7D61"/>
    <w:rsid w:val="001B0953"/>
    <w:rsid w:val="001B6426"/>
    <w:rsid w:val="001C27EA"/>
    <w:rsid w:val="001D004D"/>
    <w:rsid w:val="001D2B5B"/>
    <w:rsid w:val="001D3B2B"/>
    <w:rsid w:val="001D481F"/>
    <w:rsid w:val="001E3D3C"/>
    <w:rsid w:val="001E4124"/>
    <w:rsid w:val="001E667F"/>
    <w:rsid w:val="001E6AB9"/>
    <w:rsid w:val="001F0BE5"/>
    <w:rsid w:val="001F4EFE"/>
    <w:rsid w:val="0021723E"/>
    <w:rsid w:val="00261676"/>
    <w:rsid w:val="002727A3"/>
    <w:rsid w:val="002848E6"/>
    <w:rsid w:val="00291E97"/>
    <w:rsid w:val="00293621"/>
    <w:rsid w:val="002957D9"/>
    <w:rsid w:val="00295E76"/>
    <w:rsid w:val="002A0B30"/>
    <w:rsid w:val="002D3C51"/>
    <w:rsid w:val="002E4772"/>
    <w:rsid w:val="002E5CE3"/>
    <w:rsid w:val="002F217B"/>
    <w:rsid w:val="002F63F8"/>
    <w:rsid w:val="002F6795"/>
    <w:rsid w:val="003157B8"/>
    <w:rsid w:val="00334457"/>
    <w:rsid w:val="00334B59"/>
    <w:rsid w:val="0033794A"/>
    <w:rsid w:val="00337A29"/>
    <w:rsid w:val="003410DF"/>
    <w:rsid w:val="0034262B"/>
    <w:rsid w:val="003441CB"/>
    <w:rsid w:val="00356790"/>
    <w:rsid w:val="00361B6A"/>
    <w:rsid w:val="003620E5"/>
    <w:rsid w:val="00375407"/>
    <w:rsid w:val="0037618E"/>
    <w:rsid w:val="003838B8"/>
    <w:rsid w:val="003C5A45"/>
    <w:rsid w:val="003C5C90"/>
    <w:rsid w:val="003D0587"/>
    <w:rsid w:val="003D2B6F"/>
    <w:rsid w:val="003D350C"/>
    <w:rsid w:val="003D648E"/>
    <w:rsid w:val="003E0F51"/>
    <w:rsid w:val="003F4549"/>
    <w:rsid w:val="003F730E"/>
    <w:rsid w:val="00402B45"/>
    <w:rsid w:val="004115C7"/>
    <w:rsid w:val="00431A64"/>
    <w:rsid w:val="004360F9"/>
    <w:rsid w:val="00437A00"/>
    <w:rsid w:val="0045042F"/>
    <w:rsid w:val="00457FB8"/>
    <w:rsid w:val="0046211B"/>
    <w:rsid w:val="00472F02"/>
    <w:rsid w:val="004746BD"/>
    <w:rsid w:val="0048367C"/>
    <w:rsid w:val="0049383A"/>
    <w:rsid w:val="00496D0B"/>
    <w:rsid w:val="004A46EF"/>
    <w:rsid w:val="004B4ACF"/>
    <w:rsid w:val="004B7B96"/>
    <w:rsid w:val="004C2876"/>
    <w:rsid w:val="004C3AE0"/>
    <w:rsid w:val="004C5BBA"/>
    <w:rsid w:val="004C5DD7"/>
    <w:rsid w:val="004C69B6"/>
    <w:rsid w:val="004D5147"/>
    <w:rsid w:val="004D533D"/>
    <w:rsid w:val="004E421F"/>
    <w:rsid w:val="004F7BA6"/>
    <w:rsid w:val="005142B5"/>
    <w:rsid w:val="00521B5A"/>
    <w:rsid w:val="00524695"/>
    <w:rsid w:val="00531266"/>
    <w:rsid w:val="00537135"/>
    <w:rsid w:val="0054665D"/>
    <w:rsid w:val="005501B3"/>
    <w:rsid w:val="005503F6"/>
    <w:rsid w:val="0055073D"/>
    <w:rsid w:val="005547F9"/>
    <w:rsid w:val="00564902"/>
    <w:rsid w:val="00571E14"/>
    <w:rsid w:val="00571FD5"/>
    <w:rsid w:val="00583E4A"/>
    <w:rsid w:val="00587711"/>
    <w:rsid w:val="005A187A"/>
    <w:rsid w:val="005C1733"/>
    <w:rsid w:val="005C439B"/>
    <w:rsid w:val="005C49F6"/>
    <w:rsid w:val="005D0E2E"/>
    <w:rsid w:val="005D17AB"/>
    <w:rsid w:val="005D6D63"/>
    <w:rsid w:val="005E640C"/>
    <w:rsid w:val="005F6A9F"/>
    <w:rsid w:val="005F6EC6"/>
    <w:rsid w:val="005F6F12"/>
    <w:rsid w:val="006009B6"/>
    <w:rsid w:val="00601232"/>
    <w:rsid w:val="006103EC"/>
    <w:rsid w:val="0061518F"/>
    <w:rsid w:val="00615683"/>
    <w:rsid w:val="00615C7A"/>
    <w:rsid w:val="006213CE"/>
    <w:rsid w:val="00623DBE"/>
    <w:rsid w:val="006264C7"/>
    <w:rsid w:val="00631219"/>
    <w:rsid w:val="00637E87"/>
    <w:rsid w:val="00642320"/>
    <w:rsid w:val="006432B9"/>
    <w:rsid w:val="00643E53"/>
    <w:rsid w:val="00644E49"/>
    <w:rsid w:val="006510C1"/>
    <w:rsid w:val="0066108E"/>
    <w:rsid w:val="006610BC"/>
    <w:rsid w:val="0067005A"/>
    <w:rsid w:val="006707BB"/>
    <w:rsid w:val="006A174C"/>
    <w:rsid w:val="006A3FAB"/>
    <w:rsid w:val="006A519C"/>
    <w:rsid w:val="006B65FC"/>
    <w:rsid w:val="006B6983"/>
    <w:rsid w:val="006C1C32"/>
    <w:rsid w:val="006C4466"/>
    <w:rsid w:val="006C48BC"/>
    <w:rsid w:val="006E61B4"/>
    <w:rsid w:val="006E7CD1"/>
    <w:rsid w:val="006F3A0F"/>
    <w:rsid w:val="006F7FB6"/>
    <w:rsid w:val="0070165D"/>
    <w:rsid w:val="00715694"/>
    <w:rsid w:val="0074281B"/>
    <w:rsid w:val="00750886"/>
    <w:rsid w:val="00756CBB"/>
    <w:rsid w:val="007573D8"/>
    <w:rsid w:val="007751BA"/>
    <w:rsid w:val="00776BF2"/>
    <w:rsid w:val="00781932"/>
    <w:rsid w:val="00793F53"/>
    <w:rsid w:val="007A2757"/>
    <w:rsid w:val="007A537E"/>
    <w:rsid w:val="007A543C"/>
    <w:rsid w:val="007A650D"/>
    <w:rsid w:val="007B0F66"/>
    <w:rsid w:val="007B2A5B"/>
    <w:rsid w:val="007C06B3"/>
    <w:rsid w:val="007C7674"/>
    <w:rsid w:val="007D2A14"/>
    <w:rsid w:val="00800203"/>
    <w:rsid w:val="008134C1"/>
    <w:rsid w:val="0081460B"/>
    <w:rsid w:val="008249C8"/>
    <w:rsid w:val="00826B60"/>
    <w:rsid w:val="008346A6"/>
    <w:rsid w:val="00835E3B"/>
    <w:rsid w:val="00844202"/>
    <w:rsid w:val="00850D15"/>
    <w:rsid w:val="0085681F"/>
    <w:rsid w:val="00862E32"/>
    <w:rsid w:val="00864CB4"/>
    <w:rsid w:val="00870F95"/>
    <w:rsid w:val="00873158"/>
    <w:rsid w:val="00875747"/>
    <w:rsid w:val="00876AF8"/>
    <w:rsid w:val="00882125"/>
    <w:rsid w:val="008821D5"/>
    <w:rsid w:val="008951E9"/>
    <w:rsid w:val="00895261"/>
    <w:rsid w:val="008A1B21"/>
    <w:rsid w:val="008B40C9"/>
    <w:rsid w:val="008C1BF6"/>
    <w:rsid w:val="008C6A2A"/>
    <w:rsid w:val="008E2A4A"/>
    <w:rsid w:val="008E300A"/>
    <w:rsid w:val="008F0BBF"/>
    <w:rsid w:val="008F65A4"/>
    <w:rsid w:val="00907CDF"/>
    <w:rsid w:val="00907FA6"/>
    <w:rsid w:val="00920474"/>
    <w:rsid w:val="00923452"/>
    <w:rsid w:val="00943F74"/>
    <w:rsid w:val="00962FF3"/>
    <w:rsid w:val="00967037"/>
    <w:rsid w:val="0097172E"/>
    <w:rsid w:val="00972233"/>
    <w:rsid w:val="00972F6C"/>
    <w:rsid w:val="009879B3"/>
    <w:rsid w:val="00990FFA"/>
    <w:rsid w:val="00991300"/>
    <w:rsid w:val="009A120A"/>
    <w:rsid w:val="009A3487"/>
    <w:rsid w:val="009C2EE1"/>
    <w:rsid w:val="009C49A3"/>
    <w:rsid w:val="009D6B64"/>
    <w:rsid w:val="009E06AE"/>
    <w:rsid w:val="00A23A67"/>
    <w:rsid w:val="00A308DD"/>
    <w:rsid w:val="00A30E51"/>
    <w:rsid w:val="00A33379"/>
    <w:rsid w:val="00A46817"/>
    <w:rsid w:val="00A536B3"/>
    <w:rsid w:val="00A552AB"/>
    <w:rsid w:val="00A73D4E"/>
    <w:rsid w:val="00A74872"/>
    <w:rsid w:val="00A80764"/>
    <w:rsid w:val="00A8479D"/>
    <w:rsid w:val="00A862E4"/>
    <w:rsid w:val="00A91004"/>
    <w:rsid w:val="00A91640"/>
    <w:rsid w:val="00A9427F"/>
    <w:rsid w:val="00AA0748"/>
    <w:rsid w:val="00AA24B9"/>
    <w:rsid w:val="00AA2BEC"/>
    <w:rsid w:val="00AA2EAA"/>
    <w:rsid w:val="00AA4B93"/>
    <w:rsid w:val="00AB2092"/>
    <w:rsid w:val="00AC0219"/>
    <w:rsid w:val="00AC50FF"/>
    <w:rsid w:val="00AC6B2A"/>
    <w:rsid w:val="00AC7572"/>
    <w:rsid w:val="00AD3E31"/>
    <w:rsid w:val="00AD6A43"/>
    <w:rsid w:val="00AE0AB8"/>
    <w:rsid w:val="00AE12A8"/>
    <w:rsid w:val="00AE3254"/>
    <w:rsid w:val="00AE7DB0"/>
    <w:rsid w:val="00AF1979"/>
    <w:rsid w:val="00AF525A"/>
    <w:rsid w:val="00B03D0F"/>
    <w:rsid w:val="00B04B41"/>
    <w:rsid w:val="00B100B5"/>
    <w:rsid w:val="00B147AF"/>
    <w:rsid w:val="00B22480"/>
    <w:rsid w:val="00B238E8"/>
    <w:rsid w:val="00B249B5"/>
    <w:rsid w:val="00B3216E"/>
    <w:rsid w:val="00B3578B"/>
    <w:rsid w:val="00B36B0C"/>
    <w:rsid w:val="00B442D1"/>
    <w:rsid w:val="00B46772"/>
    <w:rsid w:val="00B467C2"/>
    <w:rsid w:val="00B566D6"/>
    <w:rsid w:val="00B6032C"/>
    <w:rsid w:val="00B62221"/>
    <w:rsid w:val="00B70B94"/>
    <w:rsid w:val="00B77237"/>
    <w:rsid w:val="00B869F4"/>
    <w:rsid w:val="00B87CDA"/>
    <w:rsid w:val="00B9562F"/>
    <w:rsid w:val="00BA11D7"/>
    <w:rsid w:val="00BA524D"/>
    <w:rsid w:val="00BB03DC"/>
    <w:rsid w:val="00BB4E29"/>
    <w:rsid w:val="00BB7897"/>
    <w:rsid w:val="00BC4953"/>
    <w:rsid w:val="00BC6295"/>
    <w:rsid w:val="00BE0679"/>
    <w:rsid w:val="00BE0ED2"/>
    <w:rsid w:val="00BF61F4"/>
    <w:rsid w:val="00C37357"/>
    <w:rsid w:val="00C42686"/>
    <w:rsid w:val="00C465CC"/>
    <w:rsid w:val="00C50D0B"/>
    <w:rsid w:val="00C52ACD"/>
    <w:rsid w:val="00C53DDD"/>
    <w:rsid w:val="00C56078"/>
    <w:rsid w:val="00C61DD1"/>
    <w:rsid w:val="00C6308B"/>
    <w:rsid w:val="00C72BFA"/>
    <w:rsid w:val="00C8437F"/>
    <w:rsid w:val="00C96783"/>
    <w:rsid w:val="00CB4C58"/>
    <w:rsid w:val="00CB6925"/>
    <w:rsid w:val="00CC79D2"/>
    <w:rsid w:val="00CD2CAF"/>
    <w:rsid w:val="00CE2466"/>
    <w:rsid w:val="00CF20FC"/>
    <w:rsid w:val="00D00A2D"/>
    <w:rsid w:val="00D07211"/>
    <w:rsid w:val="00D078C5"/>
    <w:rsid w:val="00D153B8"/>
    <w:rsid w:val="00D158DB"/>
    <w:rsid w:val="00D47A74"/>
    <w:rsid w:val="00D47C4A"/>
    <w:rsid w:val="00D501F5"/>
    <w:rsid w:val="00D52279"/>
    <w:rsid w:val="00D52864"/>
    <w:rsid w:val="00D52F29"/>
    <w:rsid w:val="00D53C4C"/>
    <w:rsid w:val="00D55792"/>
    <w:rsid w:val="00D65BAD"/>
    <w:rsid w:val="00D730FB"/>
    <w:rsid w:val="00D73317"/>
    <w:rsid w:val="00D77BE2"/>
    <w:rsid w:val="00D80FD4"/>
    <w:rsid w:val="00D928E8"/>
    <w:rsid w:val="00DA085F"/>
    <w:rsid w:val="00DA2E5C"/>
    <w:rsid w:val="00DB30B3"/>
    <w:rsid w:val="00DC527B"/>
    <w:rsid w:val="00DC7D04"/>
    <w:rsid w:val="00DD7C51"/>
    <w:rsid w:val="00DE2B92"/>
    <w:rsid w:val="00DF11AE"/>
    <w:rsid w:val="00DF37EE"/>
    <w:rsid w:val="00DF7A4E"/>
    <w:rsid w:val="00E170BC"/>
    <w:rsid w:val="00E176C9"/>
    <w:rsid w:val="00E253D6"/>
    <w:rsid w:val="00E31C39"/>
    <w:rsid w:val="00E32C2C"/>
    <w:rsid w:val="00E37629"/>
    <w:rsid w:val="00E405F0"/>
    <w:rsid w:val="00E4361E"/>
    <w:rsid w:val="00E50161"/>
    <w:rsid w:val="00E55CBE"/>
    <w:rsid w:val="00E638B4"/>
    <w:rsid w:val="00E71056"/>
    <w:rsid w:val="00E7309C"/>
    <w:rsid w:val="00E857EF"/>
    <w:rsid w:val="00E86E07"/>
    <w:rsid w:val="00E87496"/>
    <w:rsid w:val="00E9571C"/>
    <w:rsid w:val="00E971AA"/>
    <w:rsid w:val="00EA3754"/>
    <w:rsid w:val="00EA62E9"/>
    <w:rsid w:val="00EC20FB"/>
    <w:rsid w:val="00EC2545"/>
    <w:rsid w:val="00ED096B"/>
    <w:rsid w:val="00ED444E"/>
    <w:rsid w:val="00ED5368"/>
    <w:rsid w:val="00ED5FD0"/>
    <w:rsid w:val="00ED6139"/>
    <w:rsid w:val="00EE1EBC"/>
    <w:rsid w:val="00EE20BD"/>
    <w:rsid w:val="00EE39C5"/>
    <w:rsid w:val="00EF177F"/>
    <w:rsid w:val="00EF1F57"/>
    <w:rsid w:val="00EF4EAC"/>
    <w:rsid w:val="00EF67DC"/>
    <w:rsid w:val="00EF7F61"/>
    <w:rsid w:val="00F000BD"/>
    <w:rsid w:val="00F074F1"/>
    <w:rsid w:val="00F13268"/>
    <w:rsid w:val="00F23EEB"/>
    <w:rsid w:val="00F243C5"/>
    <w:rsid w:val="00F26AB6"/>
    <w:rsid w:val="00F312CE"/>
    <w:rsid w:val="00F34895"/>
    <w:rsid w:val="00F366EA"/>
    <w:rsid w:val="00F3681B"/>
    <w:rsid w:val="00F50A58"/>
    <w:rsid w:val="00F51A6B"/>
    <w:rsid w:val="00F52819"/>
    <w:rsid w:val="00F57BD5"/>
    <w:rsid w:val="00F75799"/>
    <w:rsid w:val="00F77A28"/>
    <w:rsid w:val="00F8119E"/>
    <w:rsid w:val="00F8495A"/>
    <w:rsid w:val="00F9406F"/>
    <w:rsid w:val="00FA559E"/>
    <w:rsid w:val="00FB4B6D"/>
    <w:rsid w:val="00FB58B6"/>
    <w:rsid w:val="00FC2114"/>
    <w:rsid w:val="00FC25AE"/>
    <w:rsid w:val="00FC7347"/>
    <w:rsid w:val="00FD4D01"/>
    <w:rsid w:val="00FE288B"/>
    <w:rsid w:val="00FE501C"/>
    <w:rsid w:val="00FF145A"/>
    <w:rsid w:val="00FF17C0"/>
    <w:rsid w:val="00FF2934"/>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7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795"/>
    <w:pPr>
      <w:overflowPunct w:val="0"/>
      <w:autoSpaceDE w:val="0"/>
      <w:autoSpaceDN w:val="0"/>
      <w:adjustRightInd w:val="0"/>
      <w:textAlignment w:val="baseline"/>
    </w:pPr>
  </w:style>
  <w:style w:type="paragraph" w:styleId="Heading1">
    <w:name w:val="heading 1"/>
    <w:basedOn w:val="Normal"/>
    <w:next w:val="Normal"/>
    <w:qFormat/>
    <w:rsid w:val="002F6795"/>
    <w:pPr>
      <w:keepNext/>
      <w:outlineLvl w:val="0"/>
    </w:pPr>
    <w:rPr>
      <w:rFonts w:ascii="Arial" w:hAnsi="Arial" w:cs="Arial"/>
      <w:sz w:val="24"/>
    </w:rPr>
  </w:style>
  <w:style w:type="paragraph" w:styleId="Heading2">
    <w:name w:val="heading 2"/>
    <w:basedOn w:val="Normal"/>
    <w:next w:val="Normal"/>
    <w:qFormat/>
    <w:rsid w:val="002F6795"/>
    <w:pPr>
      <w:keepNext/>
      <w:ind w:left="1440" w:firstLine="360"/>
      <w:outlineLvl w:val="1"/>
    </w:pPr>
    <w:rPr>
      <w:rFonts w:ascii="Arial" w:hAnsi="Arial" w:cs="Arial"/>
      <w:sz w:val="24"/>
    </w:rPr>
  </w:style>
  <w:style w:type="paragraph" w:styleId="Heading3">
    <w:name w:val="heading 3"/>
    <w:basedOn w:val="Normal"/>
    <w:next w:val="Normal"/>
    <w:qFormat/>
    <w:rsid w:val="002F6795"/>
    <w:pPr>
      <w:keepNext/>
      <w:ind w:left="1800"/>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795"/>
    <w:pPr>
      <w:tabs>
        <w:tab w:val="center" w:pos="4320"/>
        <w:tab w:val="right" w:pos="8640"/>
      </w:tabs>
    </w:pPr>
  </w:style>
  <w:style w:type="character" w:styleId="PageNumber">
    <w:name w:val="page number"/>
    <w:basedOn w:val="DefaultParagraphFont"/>
    <w:rsid w:val="002F6795"/>
  </w:style>
  <w:style w:type="character" w:styleId="Hyperlink">
    <w:name w:val="Hyperlink"/>
    <w:basedOn w:val="DefaultParagraphFont"/>
    <w:rsid w:val="0019634E"/>
    <w:rPr>
      <w:color w:val="0000FF"/>
      <w:u w:val="single"/>
    </w:rPr>
  </w:style>
  <w:style w:type="character" w:styleId="FollowedHyperlink">
    <w:name w:val="FollowedHyperlink"/>
    <w:basedOn w:val="DefaultParagraphFont"/>
    <w:rsid w:val="001A72E6"/>
    <w:rPr>
      <w:color w:val="800080"/>
      <w:u w:val="single"/>
    </w:rPr>
  </w:style>
  <w:style w:type="character" w:styleId="CommentReference">
    <w:name w:val="annotation reference"/>
    <w:basedOn w:val="DefaultParagraphFont"/>
    <w:uiPriority w:val="99"/>
    <w:semiHidden/>
    <w:unhideWhenUsed/>
    <w:rsid w:val="00D52279"/>
    <w:rPr>
      <w:sz w:val="16"/>
      <w:szCs w:val="16"/>
    </w:rPr>
  </w:style>
  <w:style w:type="paragraph" w:styleId="CommentText">
    <w:name w:val="annotation text"/>
    <w:basedOn w:val="Normal"/>
    <w:link w:val="CommentTextChar"/>
    <w:uiPriority w:val="99"/>
    <w:unhideWhenUsed/>
    <w:rsid w:val="00D52279"/>
  </w:style>
  <w:style w:type="character" w:customStyle="1" w:styleId="CommentTextChar">
    <w:name w:val="Comment Text Char"/>
    <w:basedOn w:val="DefaultParagraphFont"/>
    <w:link w:val="CommentText"/>
    <w:uiPriority w:val="99"/>
    <w:rsid w:val="00D52279"/>
    <w:rPr>
      <w:lang w:eastAsia="en-US"/>
    </w:rPr>
  </w:style>
  <w:style w:type="paragraph" w:styleId="CommentSubject">
    <w:name w:val="annotation subject"/>
    <w:basedOn w:val="CommentText"/>
    <w:next w:val="CommentText"/>
    <w:link w:val="CommentSubjectChar"/>
    <w:uiPriority w:val="99"/>
    <w:semiHidden/>
    <w:unhideWhenUsed/>
    <w:rsid w:val="00D52279"/>
    <w:rPr>
      <w:b/>
      <w:bCs/>
    </w:rPr>
  </w:style>
  <w:style w:type="character" w:customStyle="1" w:styleId="CommentSubjectChar">
    <w:name w:val="Comment Subject Char"/>
    <w:basedOn w:val="CommentTextChar"/>
    <w:link w:val="CommentSubject"/>
    <w:uiPriority w:val="99"/>
    <w:semiHidden/>
    <w:rsid w:val="00D52279"/>
    <w:rPr>
      <w:b/>
      <w:bCs/>
      <w:lang w:eastAsia="en-US"/>
    </w:rPr>
  </w:style>
  <w:style w:type="paragraph" w:styleId="BalloonText">
    <w:name w:val="Balloon Text"/>
    <w:basedOn w:val="Normal"/>
    <w:link w:val="BalloonTextChar"/>
    <w:uiPriority w:val="99"/>
    <w:semiHidden/>
    <w:unhideWhenUsed/>
    <w:rsid w:val="00D52279"/>
    <w:rPr>
      <w:rFonts w:ascii="Tahoma" w:hAnsi="Tahoma" w:cs="Tahoma"/>
      <w:sz w:val="16"/>
      <w:szCs w:val="16"/>
    </w:rPr>
  </w:style>
  <w:style w:type="character" w:customStyle="1" w:styleId="BalloonTextChar">
    <w:name w:val="Balloon Text Char"/>
    <w:basedOn w:val="DefaultParagraphFont"/>
    <w:link w:val="BalloonText"/>
    <w:uiPriority w:val="99"/>
    <w:semiHidden/>
    <w:rsid w:val="00D52279"/>
    <w:rPr>
      <w:rFonts w:ascii="Tahoma" w:hAnsi="Tahoma" w:cs="Tahoma"/>
      <w:sz w:val="16"/>
      <w:szCs w:val="16"/>
      <w:lang w:eastAsia="en-US"/>
    </w:rPr>
  </w:style>
  <w:style w:type="paragraph" w:styleId="ListParagraph">
    <w:name w:val="List Paragraph"/>
    <w:basedOn w:val="Normal"/>
    <w:uiPriority w:val="34"/>
    <w:qFormat/>
    <w:rsid w:val="00DC7D04"/>
    <w:pPr>
      <w:ind w:left="720"/>
    </w:pPr>
  </w:style>
  <w:style w:type="paragraph" w:styleId="BodyTextIndent2">
    <w:name w:val="Body Text Indent 2"/>
    <w:basedOn w:val="Normal"/>
    <w:link w:val="BodyTextIndent2Char"/>
    <w:rsid w:val="00531266"/>
    <w:pPr>
      <w:overflowPunct/>
      <w:autoSpaceDE/>
      <w:autoSpaceDN/>
      <w:adjustRightInd/>
      <w:ind w:left="1080"/>
      <w:textAlignment w:val="auto"/>
    </w:pPr>
    <w:rPr>
      <w:rFonts w:eastAsia="Times New Roman"/>
      <w:sz w:val="24"/>
      <w:szCs w:val="24"/>
    </w:rPr>
  </w:style>
  <w:style w:type="character" w:customStyle="1" w:styleId="BodyTextIndent2Char">
    <w:name w:val="Body Text Indent 2 Char"/>
    <w:basedOn w:val="DefaultParagraphFont"/>
    <w:link w:val="BodyTextIndent2"/>
    <w:rsid w:val="00531266"/>
    <w:rPr>
      <w:rFonts w:eastAsia="Times New Roman"/>
      <w:sz w:val="24"/>
      <w:szCs w:val="24"/>
    </w:rPr>
  </w:style>
  <w:style w:type="paragraph" w:styleId="Header">
    <w:name w:val="header"/>
    <w:basedOn w:val="Normal"/>
    <w:link w:val="HeaderChar"/>
    <w:uiPriority w:val="99"/>
    <w:unhideWhenUsed/>
    <w:rsid w:val="00F23EEB"/>
    <w:pPr>
      <w:tabs>
        <w:tab w:val="center" w:pos="4680"/>
        <w:tab w:val="right" w:pos="9360"/>
      </w:tabs>
    </w:pPr>
  </w:style>
  <w:style w:type="character" w:customStyle="1" w:styleId="HeaderChar">
    <w:name w:val="Header Char"/>
    <w:basedOn w:val="DefaultParagraphFont"/>
    <w:link w:val="Header"/>
    <w:uiPriority w:val="99"/>
    <w:rsid w:val="00F23EEB"/>
  </w:style>
  <w:style w:type="character" w:customStyle="1" w:styleId="FooterChar">
    <w:name w:val="Footer Char"/>
    <w:basedOn w:val="DefaultParagraphFont"/>
    <w:link w:val="Footer"/>
    <w:uiPriority w:val="99"/>
    <w:rsid w:val="00F23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795"/>
    <w:pPr>
      <w:overflowPunct w:val="0"/>
      <w:autoSpaceDE w:val="0"/>
      <w:autoSpaceDN w:val="0"/>
      <w:adjustRightInd w:val="0"/>
      <w:textAlignment w:val="baseline"/>
    </w:pPr>
  </w:style>
  <w:style w:type="paragraph" w:styleId="Heading1">
    <w:name w:val="heading 1"/>
    <w:basedOn w:val="Normal"/>
    <w:next w:val="Normal"/>
    <w:qFormat/>
    <w:rsid w:val="002F6795"/>
    <w:pPr>
      <w:keepNext/>
      <w:outlineLvl w:val="0"/>
    </w:pPr>
    <w:rPr>
      <w:rFonts w:ascii="Arial" w:hAnsi="Arial" w:cs="Arial"/>
      <w:sz w:val="24"/>
    </w:rPr>
  </w:style>
  <w:style w:type="paragraph" w:styleId="Heading2">
    <w:name w:val="heading 2"/>
    <w:basedOn w:val="Normal"/>
    <w:next w:val="Normal"/>
    <w:qFormat/>
    <w:rsid w:val="002F6795"/>
    <w:pPr>
      <w:keepNext/>
      <w:ind w:left="1440" w:firstLine="360"/>
      <w:outlineLvl w:val="1"/>
    </w:pPr>
    <w:rPr>
      <w:rFonts w:ascii="Arial" w:hAnsi="Arial" w:cs="Arial"/>
      <w:sz w:val="24"/>
    </w:rPr>
  </w:style>
  <w:style w:type="paragraph" w:styleId="Heading3">
    <w:name w:val="heading 3"/>
    <w:basedOn w:val="Normal"/>
    <w:next w:val="Normal"/>
    <w:qFormat/>
    <w:rsid w:val="002F6795"/>
    <w:pPr>
      <w:keepNext/>
      <w:ind w:left="1800"/>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795"/>
    <w:pPr>
      <w:tabs>
        <w:tab w:val="center" w:pos="4320"/>
        <w:tab w:val="right" w:pos="8640"/>
      </w:tabs>
    </w:pPr>
  </w:style>
  <w:style w:type="character" w:styleId="PageNumber">
    <w:name w:val="page number"/>
    <w:basedOn w:val="DefaultParagraphFont"/>
    <w:rsid w:val="002F6795"/>
  </w:style>
  <w:style w:type="character" w:styleId="Hyperlink">
    <w:name w:val="Hyperlink"/>
    <w:basedOn w:val="DefaultParagraphFont"/>
    <w:rsid w:val="0019634E"/>
    <w:rPr>
      <w:color w:val="0000FF"/>
      <w:u w:val="single"/>
    </w:rPr>
  </w:style>
  <w:style w:type="character" w:styleId="FollowedHyperlink">
    <w:name w:val="FollowedHyperlink"/>
    <w:basedOn w:val="DefaultParagraphFont"/>
    <w:rsid w:val="001A72E6"/>
    <w:rPr>
      <w:color w:val="800080"/>
      <w:u w:val="single"/>
    </w:rPr>
  </w:style>
  <w:style w:type="character" w:styleId="CommentReference">
    <w:name w:val="annotation reference"/>
    <w:basedOn w:val="DefaultParagraphFont"/>
    <w:uiPriority w:val="99"/>
    <w:semiHidden/>
    <w:unhideWhenUsed/>
    <w:rsid w:val="00D52279"/>
    <w:rPr>
      <w:sz w:val="16"/>
      <w:szCs w:val="16"/>
    </w:rPr>
  </w:style>
  <w:style w:type="paragraph" w:styleId="CommentText">
    <w:name w:val="annotation text"/>
    <w:basedOn w:val="Normal"/>
    <w:link w:val="CommentTextChar"/>
    <w:uiPriority w:val="99"/>
    <w:unhideWhenUsed/>
    <w:rsid w:val="00D52279"/>
  </w:style>
  <w:style w:type="character" w:customStyle="1" w:styleId="CommentTextChar">
    <w:name w:val="Comment Text Char"/>
    <w:basedOn w:val="DefaultParagraphFont"/>
    <w:link w:val="CommentText"/>
    <w:uiPriority w:val="99"/>
    <w:rsid w:val="00D52279"/>
    <w:rPr>
      <w:lang w:eastAsia="en-US"/>
    </w:rPr>
  </w:style>
  <w:style w:type="paragraph" w:styleId="CommentSubject">
    <w:name w:val="annotation subject"/>
    <w:basedOn w:val="CommentText"/>
    <w:next w:val="CommentText"/>
    <w:link w:val="CommentSubjectChar"/>
    <w:uiPriority w:val="99"/>
    <w:semiHidden/>
    <w:unhideWhenUsed/>
    <w:rsid w:val="00D52279"/>
    <w:rPr>
      <w:b/>
      <w:bCs/>
    </w:rPr>
  </w:style>
  <w:style w:type="character" w:customStyle="1" w:styleId="CommentSubjectChar">
    <w:name w:val="Comment Subject Char"/>
    <w:basedOn w:val="CommentTextChar"/>
    <w:link w:val="CommentSubject"/>
    <w:uiPriority w:val="99"/>
    <w:semiHidden/>
    <w:rsid w:val="00D52279"/>
    <w:rPr>
      <w:b/>
      <w:bCs/>
      <w:lang w:eastAsia="en-US"/>
    </w:rPr>
  </w:style>
  <w:style w:type="paragraph" w:styleId="BalloonText">
    <w:name w:val="Balloon Text"/>
    <w:basedOn w:val="Normal"/>
    <w:link w:val="BalloonTextChar"/>
    <w:uiPriority w:val="99"/>
    <w:semiHidden/>
    <w:unhideWhenUsed/>
    <w:rsid w:val="00D52279"/>
    <w:rPr>
      <w:rFonts w:ascii="Tahoma" w:hAnsi="Tahoma" w:cs="Tahoma"/>
      <w:sz w:val="16"/>
      <w:szCs w:val="16"/>
    </w:rPr>
  </w:style>
  <w:style w:type="character" w:customStyle="1" w:styleId="BalloonTextChar">
    <w:name w:val="Balloon Text Char"/>
    <w:basedOn w:val="DefaultParagraphFont"/>
    <w:link w:val="BalloonText"/>
    <w:uiPriority w:val="99"/>
    <w:semiHidden/>
    <w:rsid w:val="00D52279"/>
    <w:rPr>
      <w:rFonts w:ascii="Tahoma" w:hAnsi="Tahoma" w:cs="Tahoma"/>
      <w:sz w:val="16"/>
      <w:szCs w:val="16"/>
      <w:lang w:eastAsia="en-US"/>
    </w:rPr>
  </w:style>
  <w:style w:type="paragraph" w:styleId="ListParagraph">
    <w:name w:val="List Paragraph"/>
    <w:basedOn w:val="Normal"/>
    <w:uiPriority w:val="34"/>
    <w:qFormat/>
    <w:rsid w:val="00DC7D04"/>
    <w:pPr>
      <w:ind w:left="720"/>
    </w:pPr>
  </w:style>
  <w:style w:type="paragraph" w:styleId="BodyTextIndent2">
    <w:name w:val="Body Text Indent 2"/>
    <w:basedOn w:val="Normal"/>
    <w:link w:val="BodyTextIndent2Char"/>
    <w:rsid w:val="00531266"/>
    <w:pPr>
      <w:overflowPunct/>
      <w:autoSpaceDE/>
      <w:autoSpaceDN/>
      <w:adjustRightInd/>
      <w:ind w:left="1080"/>
      <w:textAlignment w:val="auto"/>
    </w:pPr>
    <w:rPr>
      <w:rFonts w:eastAsia="Times New Roman"/>
      <w:sz w:val="24"/>
      <w:szCs w:val="24"/>
    </w:rPr>
  </w:style>
  <w:style w:type="character" w:customStyle="1" w:styleId="BodyTextIndent2Char">
    <w:name w:val="Body Text Indent 2 Char"/>
    <w:basedOn w:val="DefaultParagraphFont"/>
    <w:link w:val="BodyTextIndent2"/>
    <w:rsid w:val="00531266"/>
    <w:rPr>
      <w:rFonts w:eastAsia="Times New Roman"/>
      <w:sz w:val="24"/>
      <w:szCs w:val="24"/>
    </w:rPr>
  </w:style>
  <w:style w:type="paragraph" w:styleId="Header">
    <w:name w:val="header"/>
    <w:basedOn w:val="Normal"/>
    <w:link w:val="HeaderChar"/>
    <w:uiPriority w:val="99"/>
    <w:unhideWhenUsed/>
    <w:rsid w:val="00F23EEB"/>
    <w:pPr>
      <w:tabs>
        <w:tab w:val="center" w:pos="4680"/>
        <w:tab w:val="right" w:pos="9360"/>
      </w:tabs>
    </w:pPr>
  </w:style>
  <w:style w:type="character" w:customStyle="1" w:styleId="HeaderChar">
    <w:name w:val="Header Char"/>
    <w:basedOn w:val="DefaultParagraphFont"/>
    <w:link w:val="Header"/>
    <w:uiPriority w:val="99"/>
    <w:rsid w:val="00F23EEB"/>
  </w:style>
  <w:style w:type="character" w:customStyle="1" w:styleId="FooterChar">
    <w:name w:val="Footer Char"/>
    <w:basedOn w:val="DefaultParagraphFont"/>
    <w:link w:val="Footer"/>
    <w:uiPriority w:val="99"/>
    <w:rsid w:val="00F23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itehouse.gov/the-press-office/2011/04/27/executive-order-streamlining-service-delivery-and-improving-customer-s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govinfo.library.unt.edu/npr/library/direct/orders/2222.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reseeresul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Leyden, Jill A.</DisplayName>
        <AccountId>252</AccountId>
        <AccountType/>
      </UserInfo>
    </Owner>
    <Initiation_x0020__x0028_Start_x0029_ xmlns="e85de8a9-5cd3-41fe-a1a0-70bc17107555" xsi:nil="true"/>
    <IC_x0020_Category xmlns="E85DE8A9-5CD3-41FE-A1A0-70BC17107555">Regular</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14a980aa1120812fabbba158757590f2">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832fd87baededb91c16f8dd52ec8e5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4E77C-31B0-46B9-AA2F-5B3DD91A29C0}">
  <ds:schemaRefs>
    <ds:schemaRef ds:uri="http://schemas.microsoft.com/office/2006/metadata/properties"/>
    <ds:schemaRef ds:uri="http://schemas.microsoft.com/office/2006/documentManagement/types"/>
    <ds:schemaRef ds:uri="E85DE8A9-5CD3-41FE-A1A0-70BC17107555"/>
    <ds:schemaRef ds:uri="5DFC53CF-7C17-4489-98AB-5F87C96333B9"/>
    <ds:schemaRef ds:uri="http://purl.org/dc/terms/"/>
    <ds:schemaRef ds:uri="http://schemas.openxmlformats.org/package/2006/metadata/core-properties"/>
    <ds:schemaRef ds:uri="http://purl.org/dc/dcmitype/"/>
    <ds:schemaRef ds:uri="http://schemas.microsoft.com/office/infopath/2007/PartnerControls"/>
    <ds:schemaRef ds:uri="e85de8a9-5cd3-41fe-a1a0-70bc17107555"/>
    <ds:schemaRef ds:uri="http://purl.org/dc/elements/1.1/"/>
    <ds:schemaRef ds:uri="5dfc53cf-7c17-4489-98ab-5f87c96333b9"/>
    <ds:schemaRef ds:uri="http://www.w3.org/XML/1998/namespace"/>
  </ds:schemaRefs>
</ds:datastoreItem>
</file>

<file path=customXml/itemProps2.xml><?xml version="1.0" encoding="utf-8"?>
<ds:datastoreItem xmlns:ds="http://schemas.openxmlformats.org/officeDocument/2006/customXml" ds:itemID="{FBE7CA70-6C71-41C1-96A1-106B4ECB7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16424-E39B-4641-88E0-78B755A0FC70}">
  <ds:schemaRefs>
    <ds:schemaRef ds:uri="http://schemas.microsoft.com/sharepoint/v3/contenttype/forms"/>
  </ds:schemaRefs>
</ds:datastoreItem>
</file>

<file path=customXml/itemProps4.xml><?xml version="1.0" encoding="utf-8"?>
<ds:datastoreItem xmlns:ds="http://schemas.openxmlformats.org/officeDocument/2006/customXml" ds:itemID="{D94C7182-97D8-4BDB-B02E-D4F5014B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to Accompany OMB Form 83-1</vt:lpstr>
    </vt:vector>
  </TitlesOfParts>
  <Company>OTS</Company>
  <LinksUpToDate>false</LinksUpToDate>
  <CharactersWithSpaces>13573</CharactersWithSpaces>
  <SharedDoc>false</SharedDoc>
  <HLinks>
    <vt:vector size="66" baseType="variant">
      <vt:variant>
        <vt:i4>1900546</vt:i4>
      </vt:variant>
      <vt:variant>
        <vt:i4>30</vt:i4>
      </vt:variant>
      <vt:variant>
        <vt:i4>0</vt:i4>
      </vt:variant>
      <vt:variant>
        <vt:i4>5</vt:i4>
      </vt:variant>
      <vt:variant>
        <vt:lpwstr>http://www.bls.gov/news.release/pdf/ecec.pdf</vt:lpwstr>
      </vt:variant>
      <vt:variant>
        <vt:lpwstr/>
      </vt:variant>
      <vt:variant>
        <vt:i4>3735597</vt:i4>
      </vt:variant>
      <vt:variant>
        <vt:i4>27</vt:i4>
      </vt:variant>
      <vt:variant>
        <vt:i4>0</vt:i4>
      </vt:variant>
      <vt:variant>
        <vt:i4>5</vt:i4>
      </vt:variant>
      <vt:variant>
        <vt:lpwstr>http://www.opm.gov/oca/11tables/pdf/DCB.pdf</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7405604</vt:i4>
      </vt:variant>
      <vt:variant>
        <vt:i4>21</vt:i4>
      </vt:variant>
      <vt:variant>
        <vt:i4>0</vt:i4>
      </vt:variant>
      <vt:variant>
        <vt:i4>5</vt:i4>
      </vt:variant>
      <vt:variant>
        <vt:lpwstr>http://www.bls.gov/news.release/empsit.nr0.htm</vt:lpwstr>
      </vt:variant>
      <vt:variant>
        <vt:lpwstr/>
      </vt:variant>
      <vt:variant>
        <vt:i4>4849737</vt:i4>
      </vt:variant>
      <vt:variant>
        <vt:i4>18</vt:i4>
      </vt:variant>
      <vt:variant>
        <vt:i4>0</vt:i4>
      </vt:variant>
      <vt:variant>
        <vt:i4>5</vt:i4>
      </vt:variant>
      <vt:variant>
        <vt:lpwstr>http://www.foresee.com/research-white-papers/research-by-industry.shtml</vt:lpwstr>
      </vt:variant>
      <vt:variant>
        <vt:lpwstr>government</vt:lpwstr>
      </vt:variant>
      <vt:variant>
        <vt:i4>1703986</vt:i4>
      </vt:variant>
      <vt:variant>
        <vt:i4>15</vt:i4>
      </vt:variant>
      <vt:variant>
        <vt:i4>0</vt:i4>
      </vt:variant>
      <vt:variant>
        <vt:i4>5</vt:i4>
      </vt:variant>
      <vt:variant>
        <vt:lpwstr>http://www.theacsi.org/index.php?option=com_content&amp;view=article&amp;id=238:acsi-scores-for-us-federal-government-2010&amp;catid=14&amp;Itemid=298</vt:lpwstr>
      </vt:variant>
      <vt:variant>
        <vt:lpwstr/>
      </vt:variant>
      <vt:variant>
        <vt:i4>2293807</vt:i4>
      </vt:variant>
      <vt:variant>
        <vt:i4>12</vt:i4>
      </vt:variant>
      <vt:variant>
        <vt:i4>0</vt:i4>
      </vt:variant>
      <vt:variant>
        <vt:i4>5</vt:i4>
      </vt:variant>
      <vt:variant>
        <vt:lpwstr>http://www.foreseeresults.com/</vt:lpwstr>
      </vt:variant>
      <vt:variant>
        <vt:lpwstr/>
      </vt:variant>
      <vt:variant>
        <vt:i4>3539047</vt:i4>
      </vt:variant>
      <vt:variant>
        <vt:i4>9</vt:i4>
      </vt:variant>
      <vt:variant>
        <vt:i4>0</vt:i4>
      </vt:variant>
      <vt:variant>
        <vt:i4>5</vt:i4>
      </vt:variant>
      <vt:variant>
        <vt:lpwstr>http://fcg.nbc.gov/</vt:lpwstr>
      </vt:variant>
      <vt:variant>
        <vt:lpwstr/>
      </vt:variant>
      <vt:variant>
        <vt:i4>7012477</vt:i4>
      </vt:variant>
      <vt:variant>
        <vt:i4>6</vt:i4>
      </vt:variant>
      <vt:variant>
        <vt:i4>0</vt:i4>
      </vt:variant>
      <vt:variant>
        <vt:i4>5</vt:i4>
      </vt:variant>
      <vt:variant>
        <vt:lpwstr>http://www.whitehouse.gov/the-press-office/2011/04/27/executive-order-streamlining-service-delivery-and-improving-customer-ser</vt:lpwstr>
      </vt:variant>
      <vt:variant>
        <vt:lpwstr/>
      </vt:variant>
      <vt:variant>
        <vt:i4>6946920</vt:i4>
      </vt:variant>
      <vt:variant>
        <vt:i4>3</vt:i4>
      </vt:variant>
      <vt:variant>
        <vt:i4>0</vt:i4>
      </vt:variant>
      <vt:variant>
        <vt:i4>5</vt:i4>
      </vt:variant>
      <vt:variant>
        <vt:lpwstr>http://www.whitehouse.gov/omb/mgmt-gpra/gplaw2m</vt:lpwstr>
      </vt:variant>
      <vt:variant>
        <vt:lpwstr/>
      </vt:variant>
      <vt:variant>
        <vt:i4>4063289</vt:i4>
      </vt:variant>
      <vt:variant>
        <vt:i4>0</vt:i4>
      </vt:variant>
      <vt:variant>
        <vt:i4>0</vt:i4>
      </vt:variant>
      <vt:variant>
        <vt:i4>5</vt:i4>
      </vt:variant>
      <vt:variant>
        <vt:lpwstr>http://govinfo.library.unt.edu/npr/library/direct/orders/2222.html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to Accompany OMB Form 83-1</dc:title>
  <dc:creator>BERNIE LUBRAN</dc:creator>
  <cp:lastModifiedBy>SYSTEM</cp:lastModifiedBy>
  <cp:revision>2</cp:revision>
  <cp:lastPrinted>2015-01-16T14:57:00Z</cp:lastPrinted>
  <dcterms:created xsi:type="dcterms:W3CDTF">2019-01-30T20:47:00Z</dcterms:created>
  <dcterms:modified xsi:type="dcterms:W3CDTF">2019-01-30T20:47:00Z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