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4C3" w:rsidRDefault="005C14C3" w:rsidP="005C14C3">
      <w:pPr>
        <w:jc w:val="center"/>
        <w:rPr>
          <w:sz w:val="28"/>
          <w:szCs w:val="28"/>
        </w:rPr>
      </w:pPr>
      <w:bookmarkStart w:id="0" w:name="_GoBack"/>
      <w:bookmarkEnd w:id="0"/>
      <w:r>
        <w:rPr>
          <w:sz w:val="28"/>
          <w:szCs w:val="28"/>
        </w:rPr>
        <w:t>Information Collection Request</w:t>
      </w:r>
    </w:p>
    <w:p w:rsidR="005C14C3" w:rsidRDefault="005C14C3" w:rsidP="005C14C3">
      <w:pPr>
        <w:jc w:val="center"/>
        <w:rPr>
          <w:sz w:val="28"/>
          <w:szCs w:val="28"/>
        </w:rPr>
      </w:pPr>
    </w:p>
    <w:p w:rsidR="005C14C3" w:rsidRDefault="005C14C3" w:rsidP="005C14C3">
      <w:pPr>
        <w:jc w:val="center"/>
        <w:rPr>
          <w:sz w:val="28"/>
          <w:szCs w:val="28"/>
        </w:rPr>
      </w:pPr>
    </w:p>
    <w:p w:rsidR="005C14C3" w:rsidRDefault="005C14C3" w:rsidP="005C14C3">
      <w:pPr>
        <w:jc w:val="center"/>
        <w:rPr>
          <w:sz w:val="28"/>
          <w:szCs w:val="28"/>
        </w:rPr>
      </w:pPr>
      <w:r w:rsidRPr="0083652D">
        <w:rPr>
          <w:sz w:val="28"/>
          <w:szCs w:val="28"/>
        </w:rPr>
        <w:t>Reinstatement</w:t>
      </w:r>
    </w:p>
    <w:p w:rsidR="005C14C3" w:rsidRDefault="005C14C3" w:rsidP="005C14C3">
      <w:pPr>
        <w:jc w:val="center"/>
        <w:rPr>
          <w:sz w:val="28"/>
          <w:szCs w:val="28"/>
        </w:rPr>
      </w:pPr>
    </w:p>
    <w:p w:rsidR="005C14C3" w:rsidRDefault="005C14C3" w:rsidP="005C14C3">
      <w:pPr>
        <w:jc w:val="center"/>
        <w:rPr>
          <w:b/>
          <w:sz w:val="28"/>
          <w:szCs w:val="28"/>
        </w:rPr>
      </w:pPr>
      <w:r>
        <w:rPr>
          <w:b/>
          <w:sz w:val="28"/>
          <w:szCs w:val="28"/>
        </w:rPr>
        <w:t>Monitoring Changes in Attitudes and Practices among Family Planning Providers and Clinics</w:t>
      </w:r>
    </w:p>
    <w:p w:rsidR="005C14C3" w:rsidRDefault="005C14C3" w:rsidP="005C14C3">
      <w:pPr>
        <w:jc w:val="center"/>
        <w:rPr>
          <w:b/>
          <w:sz w:val="28"/>
          <w:szCs w:val="28"/>
        </w:rPr>
      </w:pPr>
    </w:p>
    <w:p w:rsidR="005C14C3" w:rsidRDefault="005C14C3" w:rsidP="005C14C3">
      <w:pPr>
        <w:jc w:val="center"/>
      </w:pPr>
      <w:r>
        <w:t>OMB Number 0920-0969</w:t>
      </w:r>
    </w:p>
    <w:p w:rsidR="005C14C3" w:rsidRDefault="005C14C3" w:rsidP="005C14C3">
      <w:pPr>
        <w:jc w:val="center"/>
        <w:rPr>
          <w:sz w:val="28"/>
          <w:szCs w:val="28"/>
        </w:rPr>
      </w:pPr>
    </w:p>
    <w:p w:rsidR="005C14C3" w:rsidRDefault="005C14C3" w:rsidP="005C14C3">
      <w:pPr>
        <w:jc w:val="center"/>
        <w:rPr>
          <w:b/>
          <w:sz w:val="28"/>
          <w:szCs w:val="28"/>
        </w:rPr>
      </w:pPr>
      <w:r>
        <w:rPr>
          <w:b/>
          <w:sz w:val="28"/>
          <w:szCs w:val="28"/>
        </w:rPr>
        <w:t>Supporting Statement B</w:t>
      </w:r>
    </w:p>
    <w:p w:rsidR="005C14C3" w:rsidRDefault="005C14C3" w:rsidP="005C14C3">
      <w:pPr>
        <w:jc w:val="center"/>
        <w:rPr>
          <w:sz w:val="28"/>
          <w:szCs w:val="28"/>
        </w:rPr>
      </w:pPr>
    </w:p>
    <w:p w:rsidR="005C14C3" w:rsidRDefault="005C14C3" w:rsidP="005C14C3">
      <w:pPr>
        <w:jc w:val="center"/>
        <w:rPr>
          <w:sz w:val="28"/>
          <w:szCs w:val="28"/>
        </w:rPr>
      </w:pP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r>
        <w:rPr>
          <w:b/>
        </w:rPr>
        <w:t>Contact Person:</w:t>
      </w:r>
    </w:p>
    <w:p w:rsidR="005C14C3" w:rsidRDefault="005C14C3" w:rsidP="005C14C3">
      <w:pPr>
        <w:jc w:val="center"/>
        <w:rPr>
          <w:b/>
        </w:rPr>
      </w:pPr>
    </w:p>
    <w:p w:rsidR="005C14C3" w:rsidRDefault="005C14C3" w:rsidP="005C14C3">
      <w:pPr>
        <w:jc w:val="center"/>
      </w:pPr>
      <w:r>
        <w:t>Lauren B. Zapata, PhD, MSPH</w:t>
      </w:r>
    </w:p>
    <w:p w:rsidR="005C14C3" w:rsidRDefault="005C14C3" w:rsidP="005C14C3">
      <w:pPr>
        <w:jc w:val="center"/>
      </w:pPr>
      <w:r>
        <w:t>Division of Reproductive Health</w:t>
      </w:r>
    </w:p>
    <w:p w:rsidR="005C14C3" w:rsidRDefault="005C14C3" w:rsidP="005C14C3">
      <w:pPr>
        <w:jc w:val="center"/>
      </w:pPr>
      <w:r>
        <w:t>Centers for Disease Control and Prevention</w:t>
      </w:r>
    </w:p>
    <w:p w:rsidR="005C14C3" w:rsidRDefault="005C14C3" w:rsidP="005C14C3">
      <w:pPr>
        <w:jc w:val="center"/>
      </w:pPr>
      <w:r>
        <w:t>4770 Buford Highway NE, MS F-74</w:t>
      </w:r>
    </w:p>
    <w:p w:rsidR="005C14C3" w:rsidRDefault="005C14C3" w:rsidP="005C14C3">
      <w:pPr>
        <w:jc w:val="center"/>
      </w:pPr>
      <w:r>
        <w:t>Chamblee, GA 30341-3717</w:t>
      </w:r>
    </w:p>
    <w:p w:rsidR="005C14C3" w:rsidRDefault="005C14C3" w:rsidP="005C14C3">
      <w:pPr>
        <w:jc w:val="center"/>
      </w:pPr>
      <w:r>
        <w:t>Phone: 770-488-6358</w:t>
      </w:r>
    </w:p>
    <w:p w:rsidR="005C14C3" w:rsidRDefault="005C14C3" w:rsidP="005C14C3">
      <w:pPr>
        <w:jc w:val="center"/>
      </w:pPr>
      <w:r>
        <w:t>Fax: 770-488-6391</w:t>
      </w:r>
    </w:p>
    <w:p w:rsidR="005C14C3" w:rsidRDefault="005C14C3" w:rsidP="005C14C3">
      <w:pPr>
        <w:jc w:val="center"/>
      </w:pPr>
      <w:r>
        <w:t>Email: lzapata@cdc.gov</w:t>
      </w:r>
    </w:p>
    <w:p w:rsidR="005C14C3" w:rsidRDefault="005C14C3" w:rsidP="005C14C3">
      <w:pPr>
        <w:jc w:val="center"/>
      </w:pPr>
    </w:p>
    <w:p w:rsidR="005C14C3" w:rsidRDefault="005C14C3" w:rsidP="005C14C3">
      <w:pPr>
        <w:ind w:left="2160" w:hanging="2160"/>
        <w:jc w:val="center"/>
        <w:rPr>
          <w:b/>
        </w:rPr>
      </w:pPr>
    </w:p>
    <w:p w:rsidR="005C14C3" w:rsidRDefault="005C14C3" w:rsidP="005C14C3">
      <w:pPr>
        <w:ind w:left="2160" w:hanging="2160"/>
        <w:jc w:val="center"/>
      </w:pP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r>
        <w:rPr>
          <w:b/>
        </w:rPr>
        <w:t>September 26, 2018</w:t>
      </w: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p>
    <w:p w:rsidR="005C14C3" w:rsidRDefault="005C14C3" w:rsidP="005C14C3">
      <w:pPr>
        <w:jc w:val="center"/>
        <w:rPr>
          <w:b/>
        </w:rPr>
      </w:pPr>
    </w:p>
    <w:p w:rsidR="005C14C3" w:rsidRDefault="005C14C3" w:rsidP="005C14C3"/>
    <w:p w:rsidR="005C14C3" w:rsidRDefault="005C14C3" w:rsidP="005C14C3"/>
    <w:p w:rsidR="005C14C3" w:rsidRPr="00640B36" w:rsidRDefault="005C14C3" w:rsidP="005C14C3">
      <w:pPr>
        <w:jc w:val="center"/>
        <w:rPr>
          <w:b/>
          <w:bCs/>
          <w:sz w:val="28"/>
          <w:szCs w:val="28"/>
          <w:lang w:val="fr-FR"/>
        </w:rPr>
      </w:pPr>
      <w:r>
        <w:rPr>
          <w:noProof/>
        </w:rPr>
        <mc:AlternateContent>
          <mc:Choice Requires="wps">
            <w:drawing>
              <wp:anchor distT="0" distB="0" distL="114300" distR="114300" simplePos="0" relativeHeight="251659264" behindDoc="0" locked="0" layoutInCell="1" allowOverlap="1" wp14:anchorId="0BF1CB08" wp14:editId="5606A54E">
                <wp:simplePos x="0" y="0"/>
                <wp:positionH relativeFrom="column">
                  <wp:posOffset>-4343400</wp:posOffset>
                </wp:positionH>
                <wp:positionV relativeFrom="paragraph">
                  <wp:posOffset>-457200</wp:posOffset>
                </wp:positionV>
                <wp:extent cx="12573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14C3" w:rsidRPr="005E43F5" w:rsidRDefault="005C14C3" w:rsidP="005C14C3">
                            <w:pPr>
                              <w:rPr>
                                <w:b/>
                                <w:bCs/>
                              </w:rPr>
                            </w:pPr>
                            <w:r>
                              <w:rPr>
                                <w:b/>
                                <w:bCs/>
                              </w:rPr>
                              <w:t xml:space="preserve">   Form </w:t>
                            </w:r>
                            <w:r w:rsidRPr="005E43F5">
                              <w:rPr>
                                <w:b/>
                                <w:bCs/>
                              </w:rPr>
                              <w:t>83</w:t>
                            </w:r>
                            <w:r>
                              <w:rPr>
                                <w:b/>
                                <w:bC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2pt;margin-top:-36pt;width:9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" stroked="f">
                <v:textbox>
                  <w:txbxContent>
                    <w:p w:rsidR="005C14C3" w:rsidRPr="005E43F5" w:rsidRDefault="005C14C3" w:rsidP="005C14C3">
                      <w:pPr>
                        <w:rPr>
                          <w:b/>
                          <w:bCs/>
                        </w:rPr>
                      </w:pPr>
                      <w:r>
                        <w:rPr>
                          <w:b/>
                          <w:bCs/>
                        </w:rPr>
                        <w:t xml:space="preserve">   Form </w:t>
                      </w:r>
                      <w:r w:rsidRPr="005E43F5">
                        <w:rPr>
                          <w:b/>
                          <w:bCs/>
                        </w:rPr>
                        <w:t>83</w:t>
                      </w:r>
                      <w:r>
                        <w:rPr>
                          <w:b/>
                          <w:bCs/>
                        </w:rPr>
                        <w:t>-I</w:t>
                      </w:r>
                    </w:p>
                  </w:txbxContent>
                </v:textbox>
              </v:shape>
            </w:pict>
          </mc:Fallback>
        </mc:AlternateContent>
      </w:r>
      <w:r>
        <w:rPr>
          <w:b/>
          <w:bCs/>
          <w:sz w:val="28"/>
          <w:szCs w:val="28"/>
          <w:lang w:val="fr-FR"/>
        </w:rPr>
        <w:t xml:space="preserve">TABLE OF </w:t>
      </w:r>
      <w:r w:rsidRPr="00930A54">
        <w:rPr>
          <w:b/>
          <w:bCs/>
          <w:sz w:val="28"/>
          <w:szCs w:val="28"/>
          <w:lang w:val="fr-FR"/>
        </w:rPr>
        <w:t>CONTENTS</w:t>
      </w:r>
    </w:p>
    <w:p w:rsidR="005C14C3" w:rsidRPr="00640B36" w:rsidRDefault="005C14C3" w:rsidP="005C14C3">
      <w:pPr>
        <w:pStyle w:val="TOCHeader"/>
        <w:rPr>
          <w:b/>
          <w:bCs/>
          <w:lang w:val="fr-FR"/>
        </w:rPr>
      </w:pPr>
    </w:p>
    <w:p w:rsidR="005C14C3" w:rsidRPr="003F7B8F" w:rsidRDefault="005C14C3" w:rsidP="005C14C3">
      <w:pPr>
        <w:pStyle w:val="BodyTextaft-12"/>
        <w:tabs>
          <w:tab w:val="left" w:pos="810"/>
        </w:tabs>
        <w:spacing w:before="0" w:after="0"/>
        <w:rPr>
          <w:b/>
          <w:sz w:val="24"/>
          <w:szCs w:val="24"/>
        </w:rPr>
      </w:pPr>
      <w:r w:rsidRPr="00FC69E3">
        <w:rPr>
          <w:b/>
          <w:caps/>
          <w:noProof/>
        </w:rPr>
        <w:t>B.</w:t>
      </w:r>
      <w:r>
        <w:rPr>
          <w:caps/>
          <w:noProof/>
        </w:rPr>
        <w:fldChar w:fldCharType="begin"/>
      </w:r>
      <w:r>
        <w:rPr>
          <w:caps/>
          <w:noProof/>
        </w:rPr>
        <w:instrText xml:space="preserve"> TOC \o "2-2" \t "Heading 1,1,attachment divider page,1" </w:instrText>
      </w:r>
      <w:r>
        <w:rPr>
          <w:caps/>
          <w:noProof/>
        </w:rPr>
        <w:fldChar w:fldCharType="separate"/>
      </w:r>
      <w:r w:rsidRPr="00FC69E3">
        <w:rPr>
          <w:b/>
          <w:szCs w:val="24"/>
        </w:rPr>
        <w:t xml:space="preserve"> </w:t>
      </w:r>
      <w:r>
        <w:rPr>
          <w:b/>
          <w:szCs w:val="24"/>
        </w:rPr>
        <w:t xml:space="preserve">    </w:t>
      </w:r>
      <w:r>
        <w:rPr>
          <w:b/>
          <w:sz w:val="24"/>
          <w:szCs w:val="24"/>
        </w:rPr>
        <w:t>COLLECTION OF INFORMATION EMPLOYING STATISTICAL METHODS</w:t>
      </w:r>
    </w:p>
    <w:p w:rsidR="005C14C3" w:rsidRPr="003F7B8F" w:rsidRDefault="005C14C3" w:rsidP="005C14C3">
      <w:pPr>
        <w:pStyle w:val="BodyTextaft-12"/>
        <w:spacing w:before="0" w:after="0"/>
        <w:rPr>
          <w:sz w:val="24"/>
          <w:szCs w:val="24"/>
        </w:rPr>
      </w:pPr>
      <w:r>
        <w:rPr>
          <w:sz w:val="24"/>
          <w:szCs w:val="24"/>
        </w:rPr>
        <w:t>B</w:t>
      </w:r>
      <w:r w:rsidRPr="003F7B8F">
        <w:rPr>
          <w:sz w:val="24"/>
          <w:szCs w:val="24"/>
        </w:rPr>
        <w:t>1.</w:t>
      </w:r>
      <w:r>
        <w:rPr>
          <w:sz w:val="24"/>
          <w:szCs w:val="24"/>
        </w:rPr>
        <w:t xml:space="preserve">   Respondent Universe and Sampling Methods</w:t>
      </w:r>
    </w:p>
    <w:p w:rsidR="005C14C3" w:rsidRPr="003F7B8F" w:rsidRDefault="005C14C3" w:rsidP="005C14C3">
      <w:pPr>
        <w:pStyle w:val="BodyTextaft-12"/>
        <w:spacing w:before="0" w:after="0"/>
        <w:rPr>
          <w:sz w:val="24"/>
          <w:szCs w:val="24"/>
        </w:rPr>
      </w:pPr>
      <w:r>
        <w:rPr>
          <w:sz w:val="24"/>
          <w:szCs w:val="24"/>
        </w:rPr>
        <w:t>B2.   Procedures for the Collection of Information</w:t>
      </w:r>
    </w:p>
    <w:p w:rsidR="005C14C3" w:rsidRPr="003F7B8F" w:rsidRDefault="005C14C3" w:rsidP="005C14C3">
      <w:pPr>
        <w:pStyle w:val="BodyTextaft-12"/>
        <w:spacing w:before="0" w:after="0"/>
        <w:rPr>
          <w:sz w:val="24"/>
          <w:szCs w:val="24"/>
        </w:rPr>
      </w:pPr>
      <w:r>
        <w:rPr>
          <w:sz w:val="24"/>
          <w:szCs w:val="24"/>
        </w:rPr>
        <w:t>B</w:t>
      </w:r>
      <w:r w:rsidRPr="003F7B8F">
        <w:rPr>
          <w:sz w:val="24"/>
          <w:szCs w:val="24"/>
        </w:rPr>
        <w:t>3.</w:t>
      </w:r>
      <w:r>
        <w:rPr>
          <w:sz w:val="24"/>
          <w:szCs w:val="24"/>
        </w:rPr>
        <w:t xml:space="preserve">   Methods to Maximize Response Rates and Deal with Non response</w:t>
      </w:r>
    </w:p>
    <w:p w:rsidR="005C14C3" w:rsidRPr="00532002" w:rsidRDefault="005C14C3" w:rsidP="005C14C3">
      <w:pPr>
        <w:widowControl w:val="0"/>
        <w:tabs>
          <w:tab w:val="left" w:pos="720"/>
        </w:tabs>
        <w:ind w:left="720" w:hanging="720"/>
      </w:pPr>
      <w:r>
        <w:t>B4.   Test of Procedures or Methods to be Undertaken</w:t>
      </w:r>
    </w:p>
    <w:p w:rsidR="005C14C3" w:rsidRPr="00532002" w:rsidRDefault="005C14C3" w:rsidP="005C14C3">
      <w:pPr>
        <w:widowControl w:val="0"/>
        <w:tabs>
          <w:tab w:val="left" w:pos="0"/>
        </w:tabs>
        <w:ind w:right="-1260" w:hanging="720"/>
      </w:pPr>
      <w:r>
        <w:t xml:space="preserve">            B5.   Individuals Consulted on Statistical Aspects and Individuals Collecting and/or Analyzing Data</w:t>
      </w:r>
    </w:p>
    <w:p w:rsidR="005C14C3" w:rsidRDefault="005C14C3" w:rsidP="005C14C3">
      <w:pPr>
        <w:pStyle w:val="TOC1"/>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w:t>
      </w:r>
    </w:p>
    <w:p w:rsidR="005C14C3" w:rsidRDefault="005C14C3" w:rsidP="005C14C3">
      <w:r>
        <w:rPr>
          <w:caps/>
          <w:noProof/>
        </w:rPr>
        <w:fldChar w:fldCharType="end"/>
      </w:r>
    </w:p>
    <w:p w:rsidR="005C14C3" w:rsidRDefault="005C14C3" w:rsidP="005C14C3"/>
    <w:p w:rsidR="005C14C3" w:rsidRDefault="005C14C3" w:rsidP="005C14C3">
      <w:pPr>
        <w:pStyle w:val="Default"/>
        <w:spacing w:after="67"/>
        <w:rPr>
          <w:rFonts w:ascii="Times New Roman" w:hAnsi="Times New Roman" w:cs="Times New Roman"/>
          <w:b/>
          <w:szCs w:val="22"/>
        </w:rPr>
      </w:pPr>
      <w:r w:rsidRPr="00920D6E">
        <w:rPr>
          <w:rFonts w:ascii="Times New Roman" w:hAnsi="Times New Roman" w:cs="Times New Roman"/>
          <w:b/>
          <w:szCs w:val="22"/>
        </w:rPr>
        <w:t>REFERENCES</w:t>
      </w:r>
    </w:p>
    <w:p w:rsidR="005C14C3" w:rsidRDefault="005C14C3" w:rsidP="005C14C3">
      <w:pPr>
        <w:pStyle w:val="Default"/>
        <w:spacing w:after="67"/>
        <w:rPr>
          <w:rFonts w:ascii="Times New Roman" w:hAnsi="Times New Roman" w:cs="Times New Roman"/>
          <w:b/>
          <w:szCs w:val="22"/>
        </w:rPr>
      </w:pPr>
    </w:p>
    <w:p w:rsidR="005C14C3" w:rsidRDefault="005C14C3" w:rsidP="005C14C3">
      <w:pPr>
        <w:pStyle w:val="Default"/>
        <w:spacing w:after="67"/>
        <w:rPr>
          <w:rFonts w:ascii="Times New Roman" w:hAnsi="Times New Roman" w:cs="Times New Roman"/>
          <w:b/>
          <w:szCs w:val="22"/>
        </w:rPr>
      </w:pPr>
    </w:p>
    <w:p w:rsidR="005C14C3" w:rsidRPr="00255073" w:rsidRDefault="005C14C3" w:rsidP="005C14C3">
      <w:pPr>
        <w:pStyle w:val="Heading1"/>
        <w:spacing w:before="0"/>
        <w:rPr>
          <w:rFonts w:ascii="Times New Roman" w:hAnsi="Times New Roman" w:cs="Times New Roman"/>
          <w:color w:val="000000" w:themeColor="text1"/>
          <w:sz w:val="24"/>
          <w:szCs w:val="24"/>
        </w:rPr>
      </w:pPr>
      <w:bookmarkStart w:id="1" w:name="_Toc511934846"/>
      <w:bookmarkStart w:id="2" w:name="_Toc525737452"/>
      <w:r w:rsidRPr="00255073">
        <w:rPr>
          <w:rFonts w:ascii="Times New Roman" w:hAnsi="Times New Roman" w:cs="Times New Roman"/>
          <w:color w:val="000000" w:themeColor="text1"/>
          <w:sz w:val="24"/>
          <w:szCs w:val="24"/>
        </w:rPr>
        <w:t>A</w:t>
      </w:r>
      <w:bookmarkEnd w:id="1"/>
      <w:bookmarkEnd w:id="2"/>
      <w:r>
        <w:rPr>
          <w:rFonts w:ascii="Times New Roman" w:hAnsi="Times New Roman" w:cs="Times New Roman"/>
          <w:color w:val="000000" w:themeColor="text1"/>
          <w:sz w:val="24"/>
          <w:szCs w:val="24"/>
        </w:rPr>
        <w:t>TTACHMENTS</w:t>
      </w:r>
    </w:p>
    <w:p w:rsidR="005C14C3" w:rsidRPr="00A47B9C" w:rsidRDefault="005C14C3" w:rsidP="005C14C3">
      <w:r w:rsidRPr="00255073">
        <w:br/>
      </w:r>
      <w:r w:rsidRPr="00A47B9C">
        <w:t>Attachment A-1</w:t>
      </w:r>
      <w:r w:rsidRPr="00A47B9C">
        <w:tab/>
        <w:t>Section 301 of the Public Health Service Act (42 U.S.C. 241)</w:t>
      </w:r>
    </w:p>
    <w:p w:rsidR="005C14C3" w:rsidRPr="00A47B9C" w:rsidRDefault="005C14C3" w:rsidP="005C14C3">
      <w:r w:rsidRPr="00A47B9C">
        <w:t>Attachment B-1</w:t>
      </w:r>
      <w:r w:rsidRPr="00A47B9C">
        <w:tab/>
        <w:t>Summary of Survey Constructs</w:t>
      </w:r>
    </w:p>
    <w:p w:rsidR="005C14C3" w:rsidRDefault="005C14C3" w:rsidP="005C14C3">
      <w:r w:rsidRPr="00A47B9C">
        <w:t>Attachment C-1</w:t>
      </w:r>
      <w:r w:rsidRPr="00A47B9C">
        <w:tab/>
        <w:t>60-day FRN</w:t>
      </w:r>
    </w:p>
    <w:p w:rsidR="005C14C3" w:rsidRDefault="005C14C3" w:rsidP="005C14C3">
      <w:r>
        <w:t>Attachment C-2</w:t>
      </w:r>
      <w:r>
        <w:tab/>
        <w:t>Summary of Comments</w:t>
      </w:r>
    </w:p>
    <w:p w:rsidR="005C14C3" w:rsidRPr="00A47B9C" w:rsidRDefault="005C14C3" w:rsidP="005C14C3">
      <w:pPr>
        <w:ind w:left="2160" w:hanging="2160"/>
      </w:pPr>
      <w:r w:rsidRPr="00A47B9C">
        <w:t>Attachment D-1</w:t>
      </w:r>
      <w:r w:rsidRPr="00A47B9C">
        <w:tab/>
        <w:t>Private-sector Initial Cover Letter</w:t>
      </w:r>
    </w:p>
    <w:p w:rsidR="005C14C3" w:rsidRPr="00A47B9C" w:rsidRDefault="005C14C3" w:rsidP="005C14C3">
      <w:pPr>
        <w:ind w:left="2160" w:hanging="2160"/>
      </w:pPr>
      <w:r w:rsidRPr="00A47B9C">
        <w:t>Attachment D-2</w:t>
      </w:r>
      <w:r w:rsidRPr="00A47B9C">
        <w:tab/>
        <w:t>Public-sector Initial Cover Letter</w:t>
      </w:r>
    </w:p>
    <w:p w:rsidR="005C14C3" w:rsidRPr="00A47B9C" w:rsidRDefault="005C14C3" w:rsidP="005C14C3">
      <w:pPr>
        <w:ind w:left="2160" w:hanging="2160"/>
      </w:pPr>
      <w:r w:rsidRPr="00A47B9C">
        <w:t>Attachment E-1</w:t>
      </w:r>
      <w:r w:rsidRPr="00A47B9C">
        <w:tab/>
        <w:t xml:space="preserve">2018-2019 Survey of Health Care Providers about Family Planning Attitudes and Practices (i.e., </w:t>
      </w:r>
      <w:r w:rsidRPr="00A47B9C">
        <w:rPr>
          <w:i/>
        </w:rPr>
        <w:t>provider survey</w:t>
      </w:r>
      <w:r w:rsidRPr="00A47B9C">
        <w:t>)</w:t>
      </w:r>
    </w:p>
    <w:p w:rsidR="005C14C3" w:rsidRPr="00A47B9C" w:rsidRDefault="005C14C3" w:rsidP="005C14C3">
      <w:pPr>
        <w:ind w:left="2160" w:hanging="2160"/>
      </w:pPr>
      <w:r w:rsidRPr="00A47B9C">
        <w:t>Attachment E-2</w:t>
      </w:r>
      <w:r w:rsidRPr="00A47B9C">
        <w:tab/>
        <w:t>Screen Shots of Provider Survey</w:t>
      </w:r>
    </w:p>
    <w:p w:rsidR="005C14C3" w:rsidRPr="00A47B9C" w:rsidRDefault="005C14C3" w:rsidP="005C14C3">
      <w:pPr>
        <w:ind w:left="2160" w:hanging="2160"/>
        <w:rPr>
          <w:i/>
        </w:rPr>
      </w:pPr>
      <w:r w:rsidRPr="00A47B9C">
        <w:t>Attachment F-1</w:t>
      </w:r>
      <w:r w:rsidRPr="00A47B9C">
        <w:tab/>
        <w:t xml:space="preserve">2018-2019 Survey for Administrators of Health Centers that Provide Family Planning (i.e., </w:t>
      </w:r>
      <w:r w:rsidRPr="00A47B9C">
        <w:rPr>
          <w:i/>
        </w:rPr>
        <w:t>administrator survey)</w:t>
      </w:r>
    </w:p>
    <w:p w:rsidR="005C14C3" w:rsidRPr="00A47B9C" w:rsidRDefault="005C14C3" w:rsidP="005C14C3">
      <w:pPr>
        <w:ind w:left="2160" w:hanging="2160"/>
      </w:pPr>
      <w:r w:rsidRPr="00A47B9C">
        <w:t>Attachment F-2</w:t>
      </w:r>
      <w:r w:rsidRPr="00A47B9C">
        <w:tab/>
        <w:t>Screen Shots of Administrator Survey</w:t>
      </w:r>
    </w:p>
    <w:p w:rsidR="005C14C3" w:rsidRPr="00A47B9C" w:rsidRDefault="005C14C3" w:rsidP="005C14C3">
      <w:pPr>
        <w:ind w:left="2160" w:hanging="2160"/>
      </w:pPr>
      <w:r w:rsidRPr="00A47B9C">
        <w:t>Attachment G-1</w:t>
      </w:r>
      <w:r w:rsidRPr="00A47B9C">
        <w:tab/>
        <w:t>Private-sector Reminder Postcard for Provider Survey</w:t>
      </w:r>
    </w:p>
    <w:p w:rsidR="005C14C3" w:rsidRPr="00A47B9C" w:rsidRDefault="005C14C3" w:rsidP="005C14C3">
      <w:pPr>
        <w:ind w:left="2160" w:hanging="2160"/>
      </w:pPr>
      <w:r w:rsidRPr="00A47B9C">
        <w:t>Attachment G-2</w:t>
      </w:r>
      <w:r w:rsidRPr="00A47B9C">
        <w:tab/>
        <w:t>Public-sector Reminder Postcard for Provider Survey</w:t>
      </w:r>
    </w:p>
    <w:p w:rsidR="005C14C3" w:rsidRPr="00A47B9C" w:rsidRDefault="005C14C3" w:rsidP="005C14C3">
      <w:pPr>
        <w:ind w:left="2160" w:hanging="2160"/>
      </w:pPr>
      <w:r w:rsidRPr="00A47B9C">
        <w:t>Attachment G-3</w:t>
      </w:r>
      <w:r w:rsidRPr="00A47B9C">
        <w:tab/>
        <w:t>Public-sector Reminder Postcard for Administrator Survey</w:t>
      </w:r>
    </w:p>
    <w:p w:rsidR="005C14C3" w:rsidRPr="00A47B9C" w:rsidRDefault="005C14C3" w:rsidP="005C14C3">
      <w:pPr>
        <w:ind w:left="2160" w:hanging="2160"/>
      </w:pPr>
      <w:r w:rsidRPr="00A47B9C">
        <w:t>Attachment H-1</w:t>
      </w:r>
      <w:r w:rsidRPr="00A47B9C">
        <w:tab/>
        <w:t>Email to Private-sector Physician Non-Respondents</w:t>
      </w:r>
    </w:p>
    <w:p w:rsidR="005C14C3" w:rsidRPr="00A47B9C" w:rsidRDefault="005C14C3" w:rsidP="005C14C3">
      <w:r w:rsidRPr="00A47B9C">
        <w:t>Attachment I-1</w:t>
      </w:r>
      <w:r w:rsidRPr="00A47B9C">
        <w:tab/>
        <w:t>Private-sector Follow-up Cover Letter</w:t>
      </w:r>
    </w:p>
    <w:p w:rsidR="005C14C3" w:rsidRPr="00A47B9C" w:rsidRDefault="005C14C3" w:rsidP="005C14C3">
      <w:r w:rsidRPr="00A47B9C">
        <w:t>Attachment I-2</w:t>
      </w:r>
      <w:r w:rsidRPr="00A47B9C">
        <w:tab/>
        <w:t>Public-sector Follow-up Cover Letter for Provider Survey</w:t>
      </w:r>
    </w:p>
    <w:p w:rsidR="005C14C3" w:rsidRPr="00A47B9C" w:rsidRDefault="005C14C3" w:rsidP="005C14C3">
      <w:pPr>
        <w:ind w:left="2160" w:hanging="2160"/>
      </w:pPr>
      <w:r w:rsidRPr="00A47B9C">
        <w:t>Attachment I-3</w:t>
      </w:r>
      <w:r w:rsidRPr="00A47B9C">
        <w:tab/>
        <w:t>Public-sector Follow-up Cover Letter for Administrator Survey</w:t>
      </w:r>
    </w:p>
    <w:p w:rsidR="005C14C3" w:rsidRPr="00A47B9C" w:rsidRDefault="005C14C3" w:rsidP="005C14C3">
      <w:pPr>
        <w:ind w:left="2160" w:hanging="2160"/>
      </w:pPr>
      <w:r w:rsidRPr="00A47B9C">
        <w:t>Attachment J-1</w:t>
      </w:r>
      <w:r w:rsidRPr="00A47B9C">
        <w:tab/>
        <w:t xml:space="preserve">Privacy Impact Assessment </w:t>
      </w:r>
    </w:p>
    <w:p w:rsidR="005C14C3" w:rsidRPr="00A47B9C" w:rsidRDefault="005C14C3" w:rsidP="005C14C3">
      <w:pPr>
        <w:ind w:left="2160" w:hanging="2160"/>
      </w:pPr>
      <w:r w:rsidRPr="00A47B9C">
        <w:t>Attachment J-2</w:t>
      </w:r>
      <w:r w:rsidRPr="00A47B9C">
        <w:tab/>
        <w:t>IRB Non-research Determination</w:t>
      </w:r>
    </w:p>
    <w:p w:rsidR="005C14C3" w:rsidRPr="00A47B9C" w:rsidRDefault="005C14C3" w:rsidP="005C14C3">
      <w:pPr>
        <w:ind w:left="2160" w:hanging="2160"/>
      </w:pPr>
      <w:r w:rsidRPr="00A47B9C">
        <w:t>Attachment K-1</w:t>
      </w:r>
      <w:r w:rsidRPr="00A47B9C">
        <w:tab/>
        <w:t>References</w:t>
      </w:r>
    </w:p>
    <w:p w:rsidR="005C14C3" w:rsidRPr="00920D6E" w:rsidRDefault="005C14C3" w:rsidP="005C14C3">
      <w:pPr>
        <w:pStyle w:val="Default"/>
        <w:spacing w:after="67"/>
        <w:rPr>
          <w:rFonts w:ascii="Times New Roman" w:hAnsi="Times New Roman" w:cs="Times New Roman"/>
          <w:b/>
          <w:szCs w:val="22"/>
        </w:rPr>
      </w:pPr>
    </w:p>
    <w:p w:rsidR="005C14C3" w:rsidRDefault="005C14C3" w:rsidP="005C14C3">
      <w:pPr>
        <w:jc w:val="center"/>
        <w:rPr>
          <w:b/>
        </w:rPr>
      </w:pPr>
    </w:p>
    <w:p w:rsidR="00FC70C6" w:rsidRDefault="00FC70C6"/>
    <w:p w:rsidR="005C14C3" w:rsidRDefault="005C14C3"/>
    <w:p w:rsidR="005C14C3" w:rsidRDefault="005C14C3"/>
    <w:p w:rsidR="005C14C3" w:rsidRDefault="005C14C3"/>
    <w:p w:rsidR="005C14C3" w:rsidRDefault="005C14C3" w:rsidP="005C14C3">
      <w:pPr>
        <w:outlineLvl w:val="0"/>
        <w:rPr>
          <w:b/>
        </w:rPr>
      </w:pPr>
      <w:bookmarkStart w:id="3" w:name="_Toc329519280"/>
      <w:r>
        <w:rPr>
          <w:b/>
        </w:rPr>
        <w:lastRenderedPageBreak/>
        <w:t>B. COLLECTIONS OF INFORMATION EMPLOYING STATISTICAL METHODS</w:t>
      </w:r>
      <w:bookmarkEnd w:id="3"/>
    </w:p>
    <w:p w:rsidR="005C14C3" w:rsidRDefault="005C14C3" w:rsidP="005C14C3">
      <w:pPr>
        <w:pStyle w:val="Heading2"/>
        <w:rPr>
          <w:rFonts w:ascii="Times New Roman" w:hAnsi="Times New Roman" w:cs="Times New Roman"/>
          <w:i/>
        </w:rPr>
      </w:pPr>
      <w:bookmarkStart w:id="4" w:name="_Toc329519281"/>
      <w:r>
        <w:rPr>
          <w:rFonts w:ascii="Times New Roman" w:hAnsi="Times New Roman" w:cs="Times New Roman"/>
          <w:i/>
          <w:color w:val="auto"/>
          <w:sz w:val="24"/>
          <w:szCs w:val="24"/>
        </w:rPr>
        <w:t>B1. Respondent Universe and Sampling Methods</w:t>
      </w:r>
      <w:bookmarkEnd w:id="4"/>
    </w:p>
    <w:p w:rsidR="005C14C3" w:rsidRDefault="005C14C3" w:rsidP="005C14C3"/>
    <w:p w:rsidR="005C14C3" w:rsidRDefault="005C14C3" w:rsidP="005C14C3">
      <w:r>
        <w:t xml:space="preserve">The proposed samples are intended to be nationally representative, as the sample frames will represent a complete census of the target populations.  </w:t>
      </w:r>
    </w:p>
    <w:p w:rsidR="005C14C3" w:rsidRDefault="005C14C3" w:rsidP="005C14C3">
      <w:pPr>
        <w:pStyle w:val="ListParagraph"/>
        <w:numPr>
          <w:ilvl w:val="0"/>
          <w:numId w:val="3"/>
        </w:numPr>
      </w:pPr>
      <w:r>
        <w:t xml:space="preserve">To sample private-sector physicians specializing in obstetrics and gynecology, family medicine, and adolescent medicine (specialties that provide the bulk of family planning services in the United States), we will use the </w:t>
      </w:r>
      <w:r>
        <w:rPr>
          <w:i/>
        </w:rPr>
        <w:t>AMA Physician Masterfile</w:t>
      </w:r>
      <w:r>
        <w:t xml:space="preserve">, which includes information on AMA member and nonmember board-certified physicians residing in the United States and United States territories. </w:t>
      </w:r>
    </w:p>
    <w:p w:rsidR="005C14C3" w:rsidRDefault="005C14C3" w:rsidP="005C14C3">
      <w:pPr>
        <w:pStyle w:val="ListParagraph"/>
        <w:numPr>
          <w:ilvl w:val="0"/>
          <w:numId w:val="3"/>
        </w:numPr>
        <w:rPr>
          <w:b/>
        </w:rPr>
      </w:pPr>
      <w:r>
        <w:t xml:space="preserve">To sample public-sector family planning providers and health center administrators, we will use a database of publicly-funded family planning health centers, one that is regularly updated and maintained (i.e., </w:t>
      </w:r>
      <w:r>
        <w:rPr>
          <w:i/>
        </w:rPr>
        <w:t>Guttmacher Institute Database</w:t>
      </w:r>
      <w:r>
        <w:t xml:space="preserve">). </w:t>
      </w:r>
      <w:r>
        <w:rPr>
          <w:rFonts w:eastAsia="MS Mincho"/>
          <w:u w:val="single"/>
        </w:rPr>
        <w:t xml:space="preserve">As there is no database of health center administrators or health center providers, we will sample health centers; at each sampled health center, one provider and one administrator will be asked to complete surveys. </w:t>
      </w:r>
      <w:r>
        <w:rPr>
          <w:u w:val="single"/>
        </w:rPr>
        <w:t xml:space="preserve">  </w:t>
      </w:r>
    </w:p>
    <w:p w:rsidR="005C14C3" w:rsidRDefault="005C14C3" w:rsidP="005C14C3"/>
    <w:p w:rsidR="005C14C3" w:rsidRDefault="005C14C3" w:rsidP="005C14C3">
      <w:r>
        <w:t>CDC and OPA will not build the list of sampled providers and health centers, but will instead purchase a list of sampled entities from an AMA database licensee (e.g., Medical Marketing Service, Inc) and the Guttmacher Institute, as was done in Phase 2 (</w:t>
      </w:r>
      <w:r>
        <w:rPr>
          <w:i/>
        </w:rPr>
        <w:t>OMB #0920-0969</w:t>
      </w:r>
      <w:r>
        <w:t>).</w:t>
      </w:r>
    </w:p>
    <w:p w:rsidR="005C14C3" w:rsidRDefault="005C14C3" w:rsidP="005C14C3"/>
    <w:p w:rsidR="005C14C3" w:rsidRDefault="005C14C3" w:rsidP="005C14C3">
      <w:r>
        <w:t xml:space="preserve">For each respondent type, the table below summarizes the sampling frame that will be used, the number of entities in the respondent universe, the desired number in the final sample (based on power calculations), the expected response rate, the number to be sampled (taking into account the desired number in the final sample and the expected response rate), and the sampling fraction to be used (taking into account the number to be sampled and the number of entities in the respondent universe).   </w:t>
      </w:r>
    </w:p>
    <w:p w:rsidR="005C14C3" w:rsidRDefault="005C14C3" w:rsidP="005C14C3"/>
    <w:tbl>
      <w:tblPr>
        <w:tblStyle w:val="TableGrid"/>
        <w:tblW w:w="10178" w:type="dxa"/>
        <w:tblInd w:w="-95" w:type="dxa"/>
        <w:tblLayout w:type="fixed"/>
        <w:tblLook w:val="04A0" w:firstRow="1" w:lastRow="0" w:firstColumn="1" w:lastColumn="0" w:noHBand="0" w:noVBand="1"/>
      </w:tblPr>
      <w:tblGrid>
        <w:gridCol w:w="360"/>
        <w:gridCol w:w="1890"/>
        <w:gridCol w:w="1890"/>
        <w:gridCol w:w="1260"/>
        <w:gridCol w:w="1350"/>
        <w:gridCol w:w="1080"/>
        <w:gridCol w:w="1260"/>
        <w:gridCol w:w="1080"/>
        <w:gridCol w:w="8"/>
      </w:tblGrid>
      <w:tr w:rsidR="005C14C3" w:rsidTr="00BD0511">
        <w:trPr>
          <w:gridAfter w:val="1"/>
          <w:wAfter w:w="8" w:type="dxa"/>
          <w:tblHeader/>
        </w:trPr>
        <w:tc>
          <w:tcPr>
            <w:tcW w:w="2250" w:type="dxa"/>
            <w:gridSpan w:val="2"/>
            <w:vAlign w:val="center"/>
          </w:tcPr>
          <w:p w:rsidR="005C14C3" w:rsidRDefault="005C14C3" w:rsidP="00BD0511">
            <w:pPr>
              <w:jc w:val="center"/>
              <w:rPr>
                <w:b/>
                <w:sz w:val="20"/>
                <w:szCs w:val="20"/>
              </w:rPr>
            </w:pPr>
            <w:r>
              <w:rPr>
                <w:b/>
                <w:sz w:val="20"/>
                <w:szCs w:val="20"/>
              </w:rPr>
              <w:t>Respondent Type</w:t>
            </w:r>
          </w:p>
        </w:tc>
        <w:tc>
          <w:tcPr>
            <w:tcW w:w="1890" w:type="dxa"/>
            <w:vAlign w:val="center"/>
          </w:tcPr>
          <w:p w:rsidR="005C14C3" w:rsidRDefault="005C14C3" w:rsidP="00BD0511">
            <w:pPr>
              <w:jc w:val="center"/>
              <w:rPr>
                <w:b/>
                <w:sz w:val="20"/>
                <w:szCs w:val="20"/>
              </w:rPr>
            </w:pPr>
            <w:r>
              <w:rPr>
                <w:b/>
                <w:sz w:val="20"/>
                <w:szCs w:val="20"/>
              </w:rPr>
              <w:t>Sampling Frame</w:t>
            </w:r>
          </w:p>
        </w:tc>
        <w:tc>
          <w:tcPr>
            <w:tcW w:w="1260" w:type="dxa"/>
            <w:vAlign w:val="center"/>
          </w:tcPr>
          <w:p w:rsidR="005C14C3" w:rsidRDefault="005C14C3" w:rsidP="00BD0511">
            <w:pPr>
              <w:jc w:val="center"/>
              <w:rPr>
                <w:b/>
                <w:sz w:val="20"/>
                <w:szCs w:val="20"/>
              </w:rPr>
            </w:pPr>
            <w:r>
              <w:rPr>
                <w:b/>
                <w:sz w:val="20"/>
                <w:szCs w:val="20"/>
              </w:rPr>
              <w:t>Number in Respondent Universe</w:t>
            </w:r>
          </w:p>
        </w:tc>
        <w:tc>
          <w:tcPr>
            <w:tcW w:w="1350" w:type="dxa"/>
            <w:vAlign w:val="center"/>
          </w:tcPr>
          <w:p w:rsidR="005C14C3" w:rsidRDefault="005C14C3" w:rsidP="00BD0511">
            <w:pPr>
              <w:jc w:val="center"/>
              <w:rPr>
                <w:b/>
                <w:sz w:val="20"/>
                <w:szCs w:val="20"/>
              </w:rPr>
            </w:pPr>
            <w:r>
              <w:rPr>
                <w:b/>
                <w:sz w:val="20"/>
                <w:szCs w:val="20"/>
              </w:rPr>
              <w:t>Desired Number in Final Sample</w:t>
            </w:r>
          </w:p>
        </w:tc>
        <w:tc>
          <w:tcPr>
            <w:tcW w:w="1080" w:type="dxa"/>
            <w:vAlign w:val="center"/>
          </w:tcPr>
          <w:p w:rsidR="005C14C3" w:rsidRDefault="005C14C3" w:rsidP="00BD0511">
            <w:pPr>
              <w:jc w:val="center"/>
              <w:rPr>
                <w:b/>
                <w:sz w:val="20"/>
                <w:szCs w:val="20"/>
              </w:rPr>
            </w:pPr>
            <w:r>
              <w:rPr>
                <w:b/>
                <w:sz w:val="20"/>
                <w:szCs w:val="20"/>
              </w:rPr>
              <w:t xml:space="preserve">Expected Response Rate </w:t>
            </w:r>
            <w:r>
              <w:rPr>
                <w:sz w:val="20"/>
                <w:szCs w:val="20"/>
                <w:vertAlign w:val="superscript"/>
              </w:rPr>
              <w:t>a</w:t>
            </w:r>
          </w:p>
        </w:tc>
        <w:tc>
          <w:tcPr>
            <w:tcW w:w="1260" w:type="dxa"/>
            <w:vAlign w:val="center"/>
          </w:tcPr>
          <w:p w:rsidR="005C14C3" w:rsidRDefault="005C14C3" w:rsidP="00BD0511">
            <w:pPr>
              <w:jc w:val="center"/>
              <w:rPr>
                <w:b/>
                <w:sz w:val="20"/>
                <w:szCs w:val="20"/>
              </w:rPr>
            </w:pPr>
            <w:r>
              <w:rPr>
                <w:b/>
                <w:sz w:val="20"/>
                <w:szCs w:val="20"/>
              </w:rPr>
              <w:t>Number to be  Sampled</w:t>
            </w:r>
          </w:p>
        </w:tc>
        <w:tc>
          <w:tcPr>
            <w:tcW w:w="1080" w:type="dxa"/>
            <w:vAlign w:val="center"/>
          </w:tcPr>
          <w:p w:rsidR="005C14C3" w:rsidRDefault="005C14C3" w:rsidP="00BD0511">
            <w:pPr>
              <w:jc w:val="center"/>
              <w:rPr>
                <w:b/>
                <w:sz w:val="20"/>
                <w:szCs w:val="20"/>
              </w:rPr>
            </w:pPr>
            <w:r>
              <w:rPr>
                <w:b/>
                <w:sz w:val="20"/>
                <w:szCs w:val="20"/>
              </w:rPr>
              <w:t>Sampling Fraction</w:t>
            </w:r>
          </w:p>
        </w:tc>
      </w:tr>
      <w:tr w:rsidR="005C14C3" w:rsidTr="00BD0511">
        <w:tc>
          <w:tcPr>
            <w:tcW w:w="10178" w:type="dxa"/>
            <w:gridSpan w:val="9"/>
            <w:vAlign w:val="center"/>
          </w:tcPr>
          <w:p w:rsidR="005C14C3" w:rsidRDefault="005C14C3" w:rsidP="00BD0511">
            <w:pPr>
              <w:rPr>
                <w:b/>
                <w:sz w:val="20"/>
                <w:szCs w:val="20"/>
              </w:rPr>
            </w:pPr>
            <w:r>
              <w:rPr>
                <w:b/>
                <w:sz w:val="20"/>
                <w:szCs w:val="20"/>
              </w:rPr>
              <w:t>(1) Private-sector office-based physicians</w:t>
            </w:r>
          </w:p>
        </w:tc>
      </w:tr>
      <w:tr w:rsidR="005C14C3" w:rsidTr="00BD0511">
        <w:trPr>
          <w:gridAfter w:val="1"/>
          <w:wAfter w:w="8" w:type="dxa"/>
        </w:trPr>
        <w:tc>
          <w:tcPr>
            <w:tcW w:w="360" w:type="dxa"/>
            <w:tcBorders>
              <w:right w:val="nil"/>
            </w:tcBorders>
            <w:vAlign w:val="center"/>
          </w:tcPr>
          <w:p w:rsidR="005C14C3" w:rsidRDefault="005C14C3" w:rsidP="00BD0511">
            <w:pPr>
              <w:rPr>
                <w:sz w:val="20"/>
                <w:szCs w:val="20"/>
              </w:rPr>
            </w:pPr>
          </w:p>
        </w:tc>
        <w:tc>
          <w:tcPr>
            <w:tcW w:w="1890" w:type="dxa"/>
            <w:tcBorders>
              <w:left w:val="nil"/>
            </w:tcBorders>
            <w:vAlign w:val="center"/>
          </w:tcPr>
          <w:p w:rsidR="005C14C3" w:rsidRDefault="005C14C3" w:rsidP="00BD0511">
            <w:pPr>
              <w:rPr>
                <w:sz w:val="20"/>
                <w:szCs w:val="20"/>
              </w:rPr>
            </w:pPr>
            <w:r>
              <w:rPr>
                <w:sz w:val="20"/>
                <w:szCs w:val="20"/>
              </w:rPr>
              <w:t>OB/GYN physicians</w:t>
            </w:r>
          </w:p>
        </w:tc>
        <w:tc>
          <w:tcPr>
            <w:tcW w:w="1890" w:type="dxa"/>
            <w:vAlign w:val="center"/>
          </w:tcPr>
          <w:p w:rsidR="005C14C3" w:rsidRDefault="005C14C3" w:rsidP="00BD0511">
            <w:pPr>
              <w:rPr>
                <w:sz w:val="20"/>
                <w:szCs w:val="20"/>
              </w:rPr>
            </w:pPr>
            <w:r>
              <w:rPr>
                <w:sz w:val="20"/>
                <w:szCs w:val="20"/>
              </w:rPr>
              <w:t>AMA Physician Masterfile</w:t>
            </w:r>
          </w:p>
        </w:tc>
        <w:tc>
          <w:tcPr>
            <w:tcW w:w="1260" w:type="dxa"/>
            <w:vAlign w:val="center"/>
          </w:tcPr>
          <w:p w:rsidR="005C14C3" w:rsidRDefault="005C14C3" w:rsidP="00BD0511">
            <w:pPr>
              <w:jc w:val="center"/>
              <w:rPr>
                <w:sz w:val="20"/>
                <w:szCs w:val="20"/>
              </w:rPr>
            </w:pPr>
            <w:r>
              <w:rPr>
                <w:sz w:val="20"/>
                <w:szCs w:val="20"/>
              </w:rPr>
              <w:t>34,426</w:t>
            </w:r>
          </w:p>
        </w:tc>
        <w:tc>
          <w:tcPr>
            <w:tcW w:w="1350" w:type="dxa"/>
            <w:vAlign w:val="center"/>
          </w:tcPr>
          <w:p w:rsidR="005C14C3" w:rsidRDefault="005C14C3" w:rsidP="00BD0511">
            <w:pPr>
              <w:jc w:val="center"/>
              <w:rPr>
                <w:sz w:val="20"/>
                <w:szCs w:val="20"/>
              </w:rPr>
            </w:pPr>
            <w:r>
              <w:rPr>
                <w:sz w:val="20"/>
                <w:szCs w:val="20"/>
              </w:rPr>
              <w:t>500</w:t>
            </w:r>
          </w:p>
        </w:tc>
        <w:tc>
          <w:tcPr>
            <w:tcW w:w="1080" w:type="dxa"/>
            <w:vAlign w:val="center"/>
          </w:tcPr>
          <w:p w:rsidR="005C14C3" w:rsidRDefault="005C14C3" w:rsidP="00BD0511">
            <w:pPr>
              <w:jc w:val="center"/>
              <w:rPr>
                <w:sz w:val="20"/>
                <w:szCs w:val="20"/>
              </w:rPr>
            </w:pPr>
            <w:r>
              <w:rPr>
                <w:sz w:val="20"/>
                <w:szCs w:val="20"/>
              </w:rPr>
              <w:t>50%</w:t>
            </w:r>
          </w:p>
        </w:tc>
        <w:tc>
          <w:tcPr>
            <w:tcW w:w="1260" w:type="dxa"/>
            <w:vAlign w:val="center"/>
          </w:tcPr>
          <w:p w:rsidR="005C14C3" w:rsidRDefault="005C14C3" w:rsidP="00BD0511">
            <w:pPr>
              <w:jc w:val="center"/>
              <w:rPr>
                <w:sz w:val="20"/>
                <w:szCs w:val="20"/>
              </w:rPr>
            </w:pPr>
            <w:r>
              <w:rPr>
                <w:sz w:val="20"/>
                <w:szCs w:val="20"/>
              </w:rPr>
              <w:t>1,000</w:t>
            </w:r>
          </w:p>
        </w:tc>
        <w:tc>
          <w:tcPr>
            <w:tcW w:w="1080" w:type="dxa"/>
            <w:vAlign w:val="center"/>
          </w:tcPr>
          <w:p w:rsidR="005C14C3" w:rsidRDefault="005C14C3" w:rsidP="00BD0511">
            <w:pPr>
              <w:jc w:val="center"/>
              <w:rPr>
                <w:sz w:val="20"/>
                <w:szCs w:val="20"/>
              </w:rPr>
            </w:pPr>
            <w:r>
              <w:rPr>
                <w:sz w:val="20"/>
                <w:szCs w:val="20"/>
              </w:rPr>
              <w:t>1/34</w:t>
            </w:r>
          </w:p>
        </w:tc>
      </w:tr>
      <w:tr w:rsidR="005C14C3" w:rsidTr="00BD0511">
        <w:trPr>
          <w:gridAfter w:val="1"/>
          <w:wAfter w:w="8" w:type="dxa"/>
        </w:trPr>
        <w:tc>
          <w:tcPr>
            <w:tcW w:w="360" w:type="dxa"/>
            <w:tcBorders>
              <w:right w:val="nil"/>
            </w:tcBorders>
            <w:vAlign w:val="center"/>
          </w:tcPr>
          <w:p w:rsidR="005C14C3" w:rsidRDefault="005C14C3" w:rsidP="00BD0511">
            <w:pPr>
              <w:rPr>
                <w:sz w:val="20"/>
                <w:szCs w:val="20"/>
              </w:rPr>
            </w:pPr>
          </w:p>
        </w:tc>
        <w:tc>
          <w:tcPr>
            <w:tcW w:w="1890" w:type="dxa"/>
            <w:tcBorders>
              <w:left w:val="nil"/>
            </w:tcBorders>
            <w:vAlign w:val="center"/>
          </w:tcPr>
          <w:p w:rsidR="005C14C3" w:rsidRDefault="005C14C3" w:rsidP="00BD0511">
            <w:pPr>
              <w:rPr>
                <w:sz w:val="20"/>
                <w:szCs w:val="20"/>
              </w:rPr>
            </w:pPr>
            <w:r>
              <w:rPr>
                <w:sz w:val="20"/>
                <w:szCs w:val="20"/>
              </w:rPr>
              <w:t>Family medicine physicians</w:t>
            </w:r>
          </w:p>
        </w:tc>
        <w:tc>
          <w:tcPr>
            <w:tcW w:w="1890" w:type="dxa"/>
            <w:vAlign w:val="center"/>
          </w:tcPr>
          <w:p w:rsidR="005C14C3" w:rsidRDefault="005C14C3" w:rsidP="00BD0511">
            <w:pPr>
              <w:rPr>
                <w:sz w:val="20"/>
                <w:szCs w:val="20"/>
              </w:rPr>
            </w:pPr>
            <w:r>
              <w:rPr>
                <w:sz w:val="20"/>
                <w:szCs w:val="20"/>
              </w:rPr>
              <w:t>AMA Physician Masterfile</w:t>
            </w:r>
          </w:p>
        </w:tc>
        <w:tc>
          <w:tcPr>
            <w:tcW w:w="1260" w:type="dxa"/>
            <w:vAlign w:val="center"/>
          </w:tcPr>
          <w:p w:rsidR="005C14C3" w:rsidRDefault="005C14C3" w:rsidP="00BD0511">
            <w:pPr>
              <w:jc w:val="center"/>
              <w:rPr>
                <w:sz w:val="20"/>
                <w:szCs w:val="20"/>
              </w:rPr>
            </w:pPr>
            <w:r>
              <w:rPr>
                <w:sz w:val="20"/>
                <w:szCs w:val="20"/>
              </w:rPr>
              <w:t>77,927</w:t>
            </w:r>
          </w:p>
        </w:tc>
        <w:tc>
          <w:tcPr>
            <w:tcW w:w="1350" w:type="dxa"/>
            <w:vAlign w:val="center"/>
          </w:tcPr>
          <w:p w:rsidR="005C14C3" w:rsidRDefault="005C14C3" w:rsidP="00BD0511">
            <w:pPr>
              <w:jc w:val="center"/>
              <w:rPr>
                <w:sz w:val="20"/>
                <w:szCs w:val="20"/>
              </w:rPr>
            </w:pPr>
            <w:r>
              <w:rPr>
                <w:sz w:val="20"/>
                <w:szCs w:val="20"/>
              </w:rPr>
              <w:t>362</w:t>
            </w:r>
          </w:p>
        </w:tc>
        <w:tc>
          <w:tcPr>
            <w:tcW w:w="1080" w:type="dxa"/>
            <w:vAlign w:val="center"/>
          </w:tcPr>
          <w:p w:rsidR="005C14C3" w:rsidRDefault="005C14C3" w:rsidP="00BD0511">
            <w:pPr>
              <w:jc w:val="center"/>
              <w:rPr>
                <w:sz w:val="20"/>
                <w:szCs w:val="20"/>
              </w:rPr>
            </w:pPr>
            <w:r>
              <w:rPr>
                <w:sz w:val="20"/>
                <w:szCs w:val="20"/>
              </w:rPr>
              <w:t>50%</w:t>
            </w:r>
          </w:p>
        </w:tc>
        <w:tc>
          <w:tcPr>
            <w:tcW w:w="1260" w:type="dxa"/>
            <w:vAlign w:val="center"/>
          </w:tcPr>
          <w:p w:rsidR="005C14C3" w:rsidRDefault="005C14C3" w:rsidP="00BD0511">
            <w:pPr>
              <w:jc w:val="center"/>
              <w:rPr>
                <w:sz w:val="20"/>
                <w:szCs w:val="20"/>
              </w:rPr>
            </w:pPr>
            <w:r>
              <w:rPr>
                <w:sz w:val="20"/>
                <w:szCs w:val="20"/>
              </w:rPr>
              <w:t>725</w:t>
            </w:r>
          </w:p>
        </w:tc>
        <w:tc>
          <w:tcPr>
            <w:tcW w:w="1080" w:type="dxa"/>
            <w:vAlign w:val="center"/>
          </w:tcPr>
          <w:p w:rsidR="005C14C3" w:rsidRDefault="005C14C3" w:rsidP="00BD0511">
            <w:pPr>
              <w:jc w:val="center"/>
              <w:rPr>
                <w:sz w:val="20"/>
                <w:szCs w:val="20"/>
              </w:rPr>
            </w:pPr>
            <w:r>
              <w:rPr>
                <w:sz w:val="20"/>
                <w:szCs w:val="20"/>
              </w:rPr>
              <w:t>1/107</w:t>
            </w:r>
          </w:p>
        </w:tc>
      </w:tr>
      <w:tr w:rsidR="005C14C3" w:rsidTr="00BD0511">
        <w:trPr>
          <w:gridAfter w:val="1"/>
          <w:wAfter w:w="8" w:type="dxa"/>
        </w:trPr>
        <w:tc>
          <w:tcPr>
            <w:tcW w:w="360" w:type="dxa"/>
            <w:tcBorders>
              <w:right w:val="nil"/>
            </w:tcBorders>
            <w:vAlign w:val="center"/>
          </w:tcPr>
          <w:p w:rsidR="005C14C3" w:rsidRDefault="005C14C3" w:rsidP="00BD0511">
            <w:pPr>
              <w:rPr>
                <w:sz w:val="20"/>
                <w:szCs w:val="20"/>
              </w:rPr>
            </w:pPr>
          </w:p>
        </w:tc>
        <w:tc>
          <w:tcPr>
            <w:tcW w:w="1890" w:type="dxa"/>
            <w:tcBorders>
              <w:left w:val="nil"/>
            </w:tcBorders>
            <w:vAlign w:val="center"/>
          </w:tcPr>
          <w:p w:rsidR="005C14C3" w:rsidRDefault="005C14C3" w:rsidP="00BD0511">
            <w:pPr>
              <w:rPr>
                <w:sz w:val="20"/>
                <w:szCs w:val="20"/>
              </w:rPr>
            </w:pPr>
            <w:r>
              <w:rPr>
                <w:sz w:val="20"/>
                <w:szCs w:val="20"/>
              </w:rPr>
              <w:t>Adolescent medicine physicians</w:t>
            </w:r>
          </w:p>
        </w:tc>
        <w:tc>
          <w:tcPr>
            <w:tcW w:w="1890" w:type="dxa"/>
            <w:vAlign w:val="center"/>
          </w:tcPr>
          <w:p w:rsidR="005C14C3" w:rsidRDefault="005C14C3" w:rsidP="00BD0511">
            <w:pPr>
              <w:rPr>
                <w:sz w:val="20"/>
                <w:szCs w:val="20"/>
              </w:rPr>
            </w:pPr>
            <w:r>
              <w:rPr>
                <w:sz w:val="20"/>
                <w:szCs w:val="20"/>
              </w:rPr>
              <w:t>AMA Physician Masterfile</w:t>
            </w:r>
          </w:p>
        </w:tc>
        <w:tc>
          <w:tcPr>
            <w:tcW w:w="1260" w:type="dxa"/>
            <w:vAlign w:val="center"/>
          </w:tcPr>
          <w:p w:rsidR="005C14C3" w:rsidRDefault="005C14C3" w:rsidP="00BD0511">
            <w:pPr>
              <w:jc w:val="center"/>
              <w:rPr>
                <w:sz w:val="20"/>
                <w:szCs w:val="20"/>
              </w:rPr>
            </w:pPr>
            <w:r>
              <w:rPr>
                <w:sz w:val="20"/>
                <w:szCs w:val="20"/>
              </w:rPr>
              <w:t>275</w:t>
            </w:r>
          </w:p>
        </w:tc>
        <w:tc>
          <w:tcPr>
            <w:tcW w:w="1350" w:type="dxa"/>
            <w:vAlign w:val="center"/>
          </w:tcPr>
          <w:p w:rsidR="005C14C3" w:rsidRDefault="005C14C3" w:rsidP="00BD0511">
            <w:pPr>
              <w:jc w:val="center"/>
              <w:rPr>
                <w:sz w:val="20"/>
                <w:szCs w:val="20"/>
              </w:rPr>
            </w:pPr>
            <w:r>
              <w:rPr>
                <w:sz w:val="20"/>
                <w:szCs w:val="20"/>
              </w:rPr>
              <w:t>138</w:t>
            </w:r>
          </w:p>
        </w:tc>
        <w:tc>
          <w:tcPr>
            <w:tcW w:w="1080" w:type="dxa"/>
            <w:vAlign w:val="center"/>
          </w:tcPr>
          <w:p w:rsidR="005C14C3" w:rsidRDefault="005C14C3" w:rsidP="00BD0511">
            <w:pPr>
              <w:jc w:val="center"/>
              <w:rPr>
                <w:sz w:val="20"/>
                <w:szCs w:val="20"/>
              </w:rPr>
            </w:pPr>
            <w:r>
              <w:rPr>
                <w:sz w:val="20"/>
                <w:szCs w:val="20"/>
              </w:rPr>
              <w:t>50%</w:t>
            </w:r>
          </w:p>
        </w:tc>
        <w:tc>
          <w:tcPr>
            <w:tcW w:w="1260" w:type="dxa"/>
            <w:vAlign w:val="center"/>
          </w:tcPr>
          <w:p w:rsidR="005C14C3" w:rsidRDefault="005C14C3" w:rsidP="00BD0511">
            <w:pPr>
              <w:jc w:val="center"/>
              <w:rPr>
                <w:sz w:val="20"/>
                <w:szCs w:val="20"/>
              </w:rPr>
            </w:pPr>
            <w:r>
              <w:rPr>
                <w:sz w:val="20"/>
                <w:szCs w:val="20"/>
              </w:rPr>
              <w:t>275</w:t>
            </w:r>
          </w:p>
        </w:tc>
        <w:tc>
          <w:tcPr>
            <w:tcW w:w="1080" w:type="dxa"/>
            <w:vAlign w:val="center"/>
          </w:tcPr>
          <w:p w:rsidR="005C14C3" w:rsidRDefault="005C14C3" w:rsidP="00BD0511">
            <w:pPr>
              <w:jc w:val="center"/>
              <w:rPr>
                <w:sz w:val="20"/>
                <w:szCs w:val="20"/>
              </w:rPr>
            </w:pPr>
            <w:r>
              <w:rPr>
                <w:sz w:val="20"/>
                <w:szCs w:val="20"/>
              </w:rPr>
              <w:t xml:space="preserve">1/1 </w:t>
            </w:r>
            <w:r>
              <w:rPr>
                <w:sz w:val="20"/>
                <w:szCs w:val="20"/>
                <w:vertAlign w:val="superscript"/>
              </w:rPr>
              <w:t>b</w:t>
            </w:r>
          </w:p>
        </w:tc>
      </w:tr>
      <w:tr w:rsidR="005C14C3" w:rsidTr="00BD0511">
        <w:trPr>
          <w:gridAfter w:val="1"/>
          <w:wAfter w:w="8" w:type="dxa"/>
        </w:trPr>
        <w:tc>
          <w:tcPr>
            <w:tcW w:w="5400" w:type="dxa"/>
            <w:gridSpan w:val="4"/>
            <w:shd w:val="clear" w:color="auto" w:fill="D9D9D9" w:themeFill="background1" w:themeFillShade="D9"/>
            <w:vAlign w:val="center"/>
          </w:tcPr>
          <w:p w:rsidR="005C14C3" w:rsidRDefault="005C14C3" w:rsidP="00BD0511">
            <w:pPr>
              <w:rPr>
                <w:b/>
                <w:sz w:val="20"/>
                <w:szCs w:val="20"/>
              </w:rPr>
            </w:pPr>
            <w:r>
              <w:rPr>
                <w:b/>
                <w:sz w:val="20"/>
                <w:szCs w:val="20"/>
              </w:rPr>
              <w:t>TOTAL private-sector office-based physicians</w:t>
            </w:r>
          </w:p>
        </w:tc>
        <w:tc>
          <w:tcPr>
            <w:tcW w:w="1350" w:type="dxa"/>
            <w:shd w:val="clear" w:color="auto" w:fill="D9D9D9" w:themeFill="background1" w:themeFillShade="D9"/>
            <w:vAlign w:val="center"/>
          </w:tcPr>
          <w:p w:rsidR="005C14C3" w:rsidRDefault="005C14C3" w:rsidP="00BD0511">
            <w:pPr>
              <w:jc w:val="center"/>
              <w:rPr>
                <w:b/>
                <w:sz w:val="20"/>
                <w:szCs w:val="20"/>
              </w:rPr>
            </w:pPr>
            <w:r>
              <w:rPr>
                <w:b/>
                <w:sz w:val="20"/>
                <w:szCs w:val="20"/>
              </w:rPr>
              <w:t>1,000</w:t>
            </w:r>
          </w:p>
        </w:tc>
        <w:tc>
          <w:tcPr>
            <w:tcW w:w="1080" w:type="dxa"/>
            <w:shd w:val="clear" w:color="auto" w:fill="D9D9D9" w:themeFill="background1" w:themeFillShade="D9"/>
            <w:vAlign w:val="center"/>
          </w:tcPr>
          <w:p w:rsidR="005C14C3" w:rsidRDefault="005C14C3" w:rsidP="00BD0511">
            <w:pPr>
              <w:jc w:val="center"/>
              <w:rPr>
                <w:b/>
                <w:sz w:val="20"/>
                <w:szCs w:val="20"/>
              </w:rPr>
            </w:pPr>
          </w:p>
        </w:tc>
        <w:tc>
          <w:tcPr>
            <w:tcW w:w="1260" w:type="dxa"/>
            <w:shd w:val="clear" w:color="auto" w:fill="D9D9D9" w:themeFill="background1" w:themeFillShade="D9"/>
            <w:vAlign w:val="center"/>
          </w:tcPr>
          <w:p w:rsidR="005C14C3" w:rsidRDefault="005C14C3" w:rsidP="00BD0511">
            <w:pPr>
              <w:jc w:val="center"/>
              <w:rPr>
                <w:b/>
                <w:sz w:val="20"/>
                <w:szCs w:val="20"/>
              </w:rPr>
            </w:pPr>
            <w:r>
              <w:rPr>
                <w:b/>
                <w:sz w:val="20"/>
                <w:szCs w:val="20"/>
              </w:rPr>
              <w:t>2,000</w:t>
            </w:r>
          </w:p>
        </w:tc>
        <w:tc>
          <w:tcPr>
            <w:tcW w:w="1080" w:type="dxa"/>
            <w:shd w:val="clear" w:color="auto" w:fill="D9D9D9" w:themeFill="background1" w:themeFillShade="D9"/>
            <w:vAlign w:val="center"/>
          </w:tcPr>
          <w:p w:rsidR="005C14C3" w:rsidRDefault="005C14C3" w:rsidP="00BD0511">
            <w:pPr>
              <w:jc w:val="center"/>
              <w:rPr>
                <w:b/>
                <w:sz w:val="20"/>
                <w:szCs w:val="20"/>
              </w:rPr>
            </w:pPr>
          </w:p>
        </w:tc>
      </w:tr>
      <w:tr w:rsidR="005C14C3" w:rsidTr="00BD0511">
        <w:tc>
          <w:tcPr>
            <w:tcW w:w="10178" w:type="dxa"/>
            <w:gridSpan w:val="9"/>
            <w:vAlign w:val="center"/>
          </w:tcPr>
          <w:p w:rsidR="005C14C3" w:rsidRDefault="005C14C3" w:rsidP="00BD0511">
            <w:pPr>
              <w:rPr>
                <w:sz w:val="20"/>
                <w:szCs w:val="20"/>
              </w:rPr>
            </w:pPr>
            <w:r>
              <w:rPr>
                <w:b/>
                <w:sz w:val="20"/>
                <w:szCs w:val="20"/>
              </w:rPr>
              <w:t>(2) Public-sector health centers that provide family planning services</w:t>
            </w:r>
          </w:p>
        </w:tc>
      </w:tr>
      <w:tr w:rsidR="005C14C3" w:rsidTr="00BD0511">
        <w:trPr>
          <w:gridAfter w:val="1"/>
          <w:wAfter w:w="8" w:type="dxa"/>
        </w:trPr>
        <w:tc>
          <w:tcPr>
            <w:tcW w:w="2250" w:type="dxa"/>
            <w:gridSpan w:val="2"/>
            <w:vAlign w:val="center"/>
          </w:tcPr>
          <w:p w:rsidR="005C14C3" w:rsidRDefault="005C14C3" w:rsidP="00BD0511">
            <w:pPr>
              <w:rPr>
                <w:sz w:val="20"/>
                <w:szCs w:val="20"/>
              </w:rPr>
            </w:pPr>
            <w:r>
              <w:rPr>
                <w:sz w:val="20"/>
                <w:szCs w:val="20"/>
              </w:rPr>
              <w:t xml:space="preserve">Title X clinics </w:t>
            </w:r>
            <w:r>
              <w:rPr>
                <w:sz w:val="20"/>
                <w:szCs w:val="20"/>
                <w:vertAlign w:val="superscript"/>
              </w:rPr>
              <w:t>c</w:t>
            </w:r>
          </w:p>
        </w:tc>
        <w:tc>
          <w:tcPr>
            <w:tcW w:w="1890" w:type="dxa"/>
            <w:vAlign w:val="center"/>
          </w:tcPr>
          <w:p w:rsidR="005C14C3" w:rsidRDefault="005C14C3" w:rsidP="00BD0511">
            <w:pPr>
              <w:rPr>
                <w:sz w:val="20"/>
                <w:szCs w:val="20"/>
              </w:rPr>
            </w:pPr>
            <w:r>
              <w:rPr>
                <w:sz w:val="20"/>
                <w:szCs w:val="20"/>
              </w:rPr>
              <w:t>Guttmacher Institute database</w:t>
            </w:r>
          </w:p>
        </w:tc>
        <w:tc>
          <w:tcPr>
            <w:tcW w:w="1260" w:type="dxa"/>
            <w:vAlign w:val="center"/>
          </w:tcPr>
          <w:p w:rsidR="005C14C3" w:rsidRDefault="005C14C3" w:rsidP="00BD0511">
            <w:pPr>
              <w:jc w:val="center"/>
              <w:rPr>
                <w:sz w:val="20"/>
                <w:szCs w:val="20"/>
              </w:rPr>
            </w:pPr>
            <w:r>
              <w:rPr>
                <w:sz w:val="20"/>
                <w:szCs w:val="20"/>
              </w:rPr>
              <w:t>4,095</w:t>
            </w:r>
          </w:p>
        </w:tc>
        <w:tc>
          <w:tcPr>
            <w:tcW w:w="1350" w:type="dxa"/>
            <w:vAlign w:val="center"/>
          </w:tcPr>
          <w:p w:rsidR="005C14C3" w:rsidRDefault="005C14C3" w:rsidP="00BD0511">
            <w:pPr>
              <w:jc w:val="center"/>
              <w:rPr>
                <w:sz w:val="20"/>
                <w:szCs w:val="20"/>
              </w:rPr>
            </w:pPr>
            <w:r>
              <w:rPr>
                <w:sz w:val="20"/>
                <w:szCs w:val="20"/>
              </w:rPr>
              <w:t>1,000</w:t>
            </w:r>
          </w:p>
        </w:tc>
        <w:tc>
          <w:tcPr>
            <w:tcW w:w="1080" w:type="dxa"/>
            <w:vAlign w:val="center"/>
          </w:tcPr>
          <w:p w:rsidR="005C14C3" w:rsidRDefault="005C14C3" w:rsidP="00BD0511">
            <w:pPr>
              <w:jc w:val="center"/>
              <w:rPr>
                <w:sz w:val="20"/>
                <w:szCs w:val="20"/>
              </w:rPr>
            </w:pPr>
            <w:r>
              <w:rPr>
                <w:sz w:val="20"/>
                <w:szCs w:val="20"/>
              </w:rPr>
              <w:t>50%</w:t>
            </w:r>
          </w:p>
        </w:tc>
        <w:tc>
          <w:tcPr>
            <w:tcW w:w="1260" w:type="dxa"/>
            <w:vAlign w:val="center"/>
          </w:tcPr>
          <w:p w:rsidR="005C14C3" w:rsidRDefault="005C14C3" w:rsidP="00BD0511">
            <w:pPr>
              <w:jc w:val="center"/>
              <w:rPr>
                <w:sz w:val="20"/>
                <w:szCs w:val="20"/>
              </w:rPr>
            </w:pPr>
            <w:r>
              <w:rPr>
                <w:sz w:val="20"/>
                <w:szCs w:val="20"/>
              </w:rPr>
              <w:t>2,000</w:t>
            </w:r>
          </w:p>
        </w:tc>
        <w:tc>
          <w:tcPr>
            <w:tcW w:w="1080" w:type="dxa"/>
            <w:vAlign w:val="center"/>
          </w:tcPr>
          <w:p w:rsidR="005C14C3" w:rsidRDefault="005C14C3" w:rsidP="00BD0511">
            <w:pPr>
              <w:jc w:val="center"/>
              <w:rPr>
                <w:sz w:val="20"/>
                <w:szCs w:val="20"/>
              </w:rPr>
            </w:pPr>
            <w:r>
              <w:rPr>
                <w:sz w:val="20"/>
                <w:szCs w:val="20"/>
              </w:rPr>
              <w:t>1/2</w:t>
            </w:r>
          </w:p>
        </w:tc>
      </w:tr>
      <w:tr w:rsidR="005C14C3" w:rsidTr="00BD0511">
        <w:trPr>
          <w:gridAfter w:val="1"/>
          <w:wAfter w:w="8" w:type="dxa"/>
        </w:trPr>
        <w:tc>
          <w:tcPr>
            <w:tcW w:w="2250" w:type="dxa"/>
            <w:gridSpan w:val="2"/>
            <w:vAlign w:val="center"/>
          </w:tcPr>
          <w:p w:rsidR="005C14C3" w:rsidRDefault="005C14C3" w:rsidP="00BD0511">
            <w:pPr>
              <w:rPr>
                <w:sz w:val="20"/>
                <w:szCs w:val="20"/>
              </w:rPr>
            </w:pPr>
            <w:r>
              <w:rPr>
                <w:sz w:val="20"/>
                <w:szCs w:val="20"/>
              </w:rPr>
              <w:t xml:space="preserve">Non –Title X clinics </w:t>
            </w:r>
            <w:r>
              <w:rPr>
                <w:sz w:val="20"/>
                <w:szCs w:val="20"/>
                <w:vertAlign w:val="superscript"/>
              </w:rPr>
              <w:t>c</w:t>
            </w:r>
          </w:p>
        </w:tc>
        <w:tc>
          <w:tcPr>
            <w:tcW w:w="1890" w:type="dxa"/>
            <w:vAlign w:val="center"/>
          </w:tcPr>
          <w:p w:rsidR="005C14C3" w:rsidRDefault="005C14C3" w:rsidP="00BD0511">
            <w:pPr>
              <w:rPr>
                <w:sz w:val="20"/>
                <w:szCs w:val="20"/>
              </w:rPr>
            </w:pPr>
            <w:r>
              <w:rPr>
                <w:sz w:val="20"/>
                <w:szCs w:val="20"/>
              </w:rPr>
              <w:t>Guttmacher Institute database</w:t>
            </w:r>
          </w:p>
        </w:tc>
        <w:tc>
          <w:tcPr>
            <w:tcW w:w="1260" w:type="dxa"/>
            <w:vAlign w:val="center"/>
          </w:tcPr>
          <w:p w:rsidR="005C14C3" w:rsidRDefault="005C14C3" w:rsidP="00BD0511">
            <w:pPr>
              <w:jc w:val="center"/>
              <w:rPr>
                <w:sz w:val="20"/>
                <w:szCs w:val="20"/>
              </w:rPr>
            </w:pPr>
            <w:r>
              <w:rPr>
                <w:sz w:val="20"/>
                <w:szCs w:val="20"/>
              </w:rPr>
              <w:t>3,903</w:t>
            </w:r>
          </w:p>
        </w:tc>
        <w:tc>
          <w:tcPr>
            <w:tcW w:w="1350" w:type="dxa"/>
            <w:vAlign w:val="center"/>
          </w:tcPr>
          <w:p w:rsidR="005C14C3" w:rsidRDefault="005C14C3" w:rsidP="00BD0511">
            <w:pPr>
              <w:jc w:val="center"/>
              <w:rPr>
                <w:sz w:val="20"/>
                <w:szCs w:val="20"/>
              </w:rPr>
            </w:pPr>
            <w:r>
              <w:rPr>
                <w:sz w:val="20"/>
                <w:szCs w:val="20"/>
              </w:rPr>
              <w:t>1,000</w:t>
            </w:r>
          </w:p>
        </w:tc>
        <w:tc>
          <w:tcPr>
            <w:tcW w:w="1080" w:type="dxa"/>
            <w:vAlign w:val="center"/>
          </w:tcPr>
          <w:p w:rsidR="005C14C3" w:rsidRDefault="005C14C3" w:rsidP="00BD0511">
            <w:pPr>
              <w:jc w:val="center"/>
              <w:rPr>
                <w:sz w:val="20"/>
                <w:szCs w:val="20"/>
              </w:rPr>
            </w:pPr>
            <w:r>
              <w:rPr>
                <w:sz w:val="20"/>
                <w:szCs w:val="20"/>
              </w:rPr>
              <w:t>50%</w:t>
            </w:r>
          </w:p>
        </w:tc>
        <w:tc>
          <w:tcPr>
            <w:tcW w:w="1260" w:type="dxa"/>
            <w:vAlign w:val="center"/>
          </w:tcPr>
          <w:p w:rsidR="005C14C3" w:rsidRDefault="005C14C3" w:rsidP="00BD0511">
            <w:pPr>
              <w:jc w:val="center"/>
              <w:rPr>
                <w:sz w:val="20"/>
                <w:szCs w:val="20"/>
              </w:rPr>
            </w:pPr>
            <w:r>
              <w:rPr>
                <w:sz w:val="20"/>
                <w:szCs w:val="20"/>
              </w:rPr>
              <w:t>2,000</w:t>
            </w:r>
          </w:p>
        </w:tc>
        <w:tc>
          <w:tcPr>
            <w:tcW w:w="1080" w:type="dxa"/>
            <w:vAlign w:val="center"/>
          </w:tcPr>
          <w:p w:rsidR="005C14C3" w:rsidRDefault="005C14C3" w:rsidP="00BD0511">
            <w:pPr>
              <w:jc w:val="center"/>
              <w:rPr>
                <w:sz w:val="20"/>
                <w:szCs w:val="20"/>
              </w:rPr>
            </w:pPr>
            <w:r>
              <w:rPr>
                <w:sz w:val="20"/>
                <w:szCs w:val="20"/>
              </w:rPr>
              <w:t>1/2</w:t>
            </w:r>
          </w:p>
        </w:tc>
      </w:tr>
      <w:tr w:rsidR="005C14C3" w:rsidTr="00BD0511">
        <w:trPr>
          <w:gridAfter w:val="1"/>
          <w:wAfter w:w="8" w:type="dxa"/>
        </w:trPr>
        <w:tc>
          <w:tcPr>
            <w:tcW w:w="5400" w:type="dxa"/>
            <w:gridSpan w:val="4"/>
            <w:shd w:val="clear" w:color="auto" w:fill="D9D9D9" w:themeFill="background1" w:themeFillShade="D9"/>
            <w:vAlign w:val="center"/>
          </w:tcPr>
          <w:p w:rsidR="005C14C3" w:rsidRDefault="005C14C3" w:rsidP="00BD0511">
            <w:pPr>
              <w:rPr>
                <w:b/>
                <w:sz w:val="20"/>
                <w:szCs w:val="20"/>
              </w:rPr>
            </w:pPr>
            <w:r>
              <w:rPr>
                <w:b/>
                <w:sz w:val="20"/>
                <w:szCs w:val="20"/>
              </w:rPr>
              <w:t>TOTAL public-sector health centers that provide family planning services</w:t>
            </w:r>
          </w:p>
        </w:tc>
        <w:tc>
          <w:tcPr>
            <w:tcW w:w="1350" w:type="dxa"/>
            <w:shd w:val="clear" w:color="auto" w:fill="D9D9D9" w:themeFill="background1" w:themeFillShade="D9"/>
            <w:vAlign w:val="center"/>
          </w:tcPr>
          <w:p w:rsidR="005C14C3" w:rsidRDefault="005C14C3" w:rsidP="00BD0511">
            <w:pPr>
              <w:jc w:val="center"/>
              <w:rPr>
                <w:b/>
                <w:sz w:val="20"/>
                <w:szCs w:val="20"/>
              </w:rPr>
            </w:pPr>
            <w:r>
              <w:rPr>
                <w:b/>
                <w:sz w:val="20"/>
                <w:szCs w:val="20"/>
              </w:rPr>
              <w:t>2,000</w:t>
            </w:r>
          </w:p>
          <w:p w:rsidR="005C14C3" w:rsidRDefault="005C14C3" w:rsidP="00BD0511">
            <w:pPr>
              <w:jc w:val="center"/>
              <w:rPr>
                <w:sz w:val="16"/>
                <w:szCs w:val="16"/>
              </w:rPr>
            </w:pPr>
            <w:r>
              <w:rPr>
                <w:sz w:val="16"/>
                <w:szCs w:val="16"/>
              </w:rPr>
              <w:t>(total of 4,000 responses:  2,000 providers and 2,000 administrators)</w:t>
            </w:r>
          </w:p>
        </w:tc>
        <w:tc>
          <w:tcPr>
            <w:tcW w:w="1080" w:type="dxa"/>
            <w:shd w:val="clear" w:color="auto" w:fill="D9D9D9" w:themeFill="background1" w:themeFillShade="D9"/>
            <w:vAlign w:val="center"/>
          </w:tcPr>
          <w:p w:rsidR="005C14C3" w:rsidRDefault="005C14C3" w:rsidP="00BD0511">
            <w:pPr>
              <w:jc w:val="center"/>
              <w:rPr>
                <w:b/>
                <w:sz w:val="20"/>
                <w:szCs w:val="20"/>
              </w:rPr>
            </w:pPr>
          </w:p>
        </w:tc>
        <w:tc>
          <w:tcPr>
            <w:tcW w:w="1260" w:type="dxa"/>
            <w:shd w:val="clear" w:color="auto" w:fill="D9D9D9" w:themeFill="background1" w:themeFillShade="D9"/>
            <w:vAlign w:val="center"/>
          </w:tcPr>
          <w:p w:rsidR="005C14C3" w:rsidRDefault="005C14C3" w:rsidP="00BD0511">
            <w:pPr>
              <w:jc w:val="center"/>
              <w:rPr>
                <w:b/>
                <w:sz w:val="20"/>
                <w:szCs w:val="20"/>
              </w:rPr>
            </w:pPr>
            <w:r>
              <w:rPr>
                <w:b/>
                <w:sz w:val="20"/>
                <w:szCs w:val="20"/>
              </w:rPr>
              <w:t>4,000**</w:t>
            </w:r>
          </w:p>
          <w:p w:rsidR="005C14C3" w:rsidRDefault="005C14C3" w:rsidP="00BD0511">
            <w:pPr>
              <w:rPr>
                <w:sz w:val="16"/>
                <w:szCs w:val="16"/>
              </w:rPr>
            </w:pPr>
            <w:r>
              <w:rPr>
                <w:sz w:val="16"/>
                <w:szCs w:val="16"/>
              </w:rPr>
              <w:t>(total of 8,000:  4,000 providers and 4,000 administrators)</w:t>
            </w:r>
          </w:p>
        </w:tc>
        <w:tc>
          <w:tcPr>
            <w:tcW w:w="1080" w:type="dxa"/>
            <w:shd w:val="clear" w:color="auto" w:fill="D9D9D9" w:themeFill="background1" w:themeFillShade="D9"/>
            <w:vAlign w:val="center"/>
          </w:tcPr>
          <w:p w:rsidR="005C14C3" w:rsidRDefault="005C14C3" w:rsidP="00BD0511">
            <w:pPr>
              <w:jc w:val="center"/>
              <w:rPr>
                <w:b/>
                <w:sz w:val="20"/>
                <w:szCs w:val="20"/>
              </w:rPr>
            </w:pPr>
          </w:p>
        </w:tc>
      </w:tr>
    </w:tbl>
    <w:p w:rsidR="005C14C3" w:rsidRDefault="005C14C3" w:rsidP="005C14C3">
      <w:pPr>
        <w:rPr>
          <w:sz w:val="18"/>
          <w:szCs w:val="18"/>
        </w:rPr>
      </w:pPr>
      <w:r>
        <w:rPr>
          <w:sz w:val="18"/>
          <w:szCs w:val="18"/>
          <w:vertAlign w:val="superscript"/>
        </w:rPr>
        <w:t>a</w:t>
      </w:r>
      <w:r>
        <w:rPr>
          <w:sz w:val="18"/>
          <w:szCs w:val="18"/>
        </w:rPr>
        <w:t xml:space="preserve"> Response rates from our Phase 1 data collection (EPI AID No. 2010-024; OMB No. 0920-0008) were: OB/GYN physicians=52%, family medicine physicians=45%, adolescent medicine physicians=68%, and Title X clinic providers=77%.  Response rates from our Phase 2 data collection (OMB Control Number 0920-0969) were: private-section physicians=40%, Title X clinic providers=66%, and non-Title X clinic providers=48%. Given that response rates fluctuate over time and slight changes in methodology between phases, we assume 50% response rate for all respondent types here. </w:t>
      </w:r>
    </w:p>
    <w:p w:rsidR="005C14C3" w:rsidRDefault="005C14C3" w:rsidP="005C14C3">
      <w:pPr>
        <w:rPr>
          <w:sz w:val="18"/>
          <w:szCs w:val="18"/>
        </w:rPr>
      </w:pPr>
      <w:r>
        <w:rPr>
          <w:sz w:val="18"/>
          <w:szCs w:val="18"/>
          <w:vertAlign w:val="superscript"/>
        </w:rPr>
        <w:t>b</w:t>
      </w:r>
      <w:r>
        <w:rPr>
          <w:sz w:val="18"/>
          <w:szCs w:val="18"/>
        </w:rPr>
        <w:t xml:space="preserve"> For office-based adolescent medicine physicians, the entire universe will be sampled to ensure an adequate number of providers from this specialty being represented in the sample.</w:t>
      </w:r>
    </w:p>
    <w:p w:rsidR="005C14C3" w:rsidRDefault="005C14C3" w:rsidP="005C14C3">
      <w:pPr>
        <w:rPr>
          <w:sz w:val="18"/>
          <w:szCs w:val="18"/>
        </w:rPr>
      </w:pPr>
      <w:r>
        <w:rPr>
          <w:sz w:val="18"/>
          <w:szCs w:val="18"/>
          <w:vertAlign w:val="superscript"/>
        </w:rPr>
        <w:t>c</w:t>
      </w:r>
      <w:r>
        <w:rPr>
          <w:sz w:val="18"/>
          <w:szCs w:val="18"/>
        </w:rPr>
        <w:t xml:space="preserve"> These consist of hospitals, health departments, Planned Parenthood clinics, community health centers, and ‘other’ clinic types; these strata of clinic types will be sampled proportionate to their representation in the universe.</w:t>
      </w:r>
    </w:p>
    <w:p w:rsidR="005C14C3" w:rsidRDefault="005C14C3" w:rsidP="005C14C3">
      <w:pPr>
        <w:rPr>
          <w:sz w:val="18"/>
          <w:szCs w:val="18"/>
        </w:rPr>
      </w:pPr>
      <w:r>
        <w:rPr>
          <w:sz w:val="18"/>
          <w:szCs w:val="18"/>
        </w:rPr>
        <w:t>**A</w:t>
      </w:r>
      <w:r>
        <w:rPr>
          <w:rFonts w:eastAsia="MS Mincho"/>
          <w:sz w:val="18"/>
          <w:szCs w:val="18"/>
        </w:rPr>
        <w:t>t each sampled public-sector health center, one provider and one administrator will be asked to complete surveys (i.e., 2,000 Title X clinic providers will be asked to complete the provider survey; 2,000 Title X clinic administrators will be asked to complete the administrator survey; 2,000 non-Title X clinic providers will be asked to complete the provider survey; and 2,000 non-Title X clinic administrators will be asked to complete the administrator survey).</w:t>
      </w:r>
    </w:p>
    <w:p w:rsidR="005C14C3" w:rsidRDefault="005C14C3" w:rsidP="005C14C3"/>
    <w:p w:rsidR="005C14C3" w:rsidRDefault="005C14C3" w:rsidP="005C14C3">
      <w:r>
        <w:t xml:space="preserve">For the two major respondent type categories (i.e., private-sector office-based physicians and public-sector health centers that provide family planning services [which will survey both providers and administrators on behalf of their health center), the estimates in the “desired number in final sample” column for the row “total” for that respondent type category (highlighted in table in bold), are derived from power calculations conducted when collecting our baseline data in Phase 1 (EPI AID No. 2010-024; OMB No. 0920-0008).  We sought to power the sample to detect a 5% change from baseline levels based on a 2-tailed test at 5% significance with 80% power, assuming 50% non-response. </w:t>
      </w:r>
    </w:p>
    <w:p w:rsidR="005C14C3" w:rsidRDefault="005C14C3" w:rsidP="005C14C3"/>
    <w:p w:rsidR="005C14C3" w:rsidRDefault="005C14C3" w:rsidP="005C14C3">
      <w:r>
        <w:t xml:space="preserve">For private-sector office-based physicians, when drawing the sample for each specialty (i.e., OB/GYN, family medicine, adolescent medicine), the respondent universe will be sorted first by zip code and the sample fraction employed. </w:t>
      </w:r>
    </w:p>
    <w:p w:rsidR="005C14C3" w:rsidRDefault="005C14C3" w:rsidP="005C14C3"/>
    <w:p w:rsidR="005C14C3" w:rsidRDefault="005C14C3" w:rsidP="005C14C3">
      <w:r>
        <w:t>For public-sector health centers that provide family planning services, after sorting clinics by receipt of Title X funding status (i.e., Title X clinic versus non-Title X clinic), the universes will be sorted by clinic type (i.e., hospital, health department, Planned Parenthood clinic, community health center, and ‘other’), and then sorted by zip code (</w:t>
      </w:r>
      <w:r>
        <w:rPr>
          <w:i/>
        </w:rPr>
        <w:t>see below Figure</w:t>
      </w:r>
      <w:r>
        <w:t>).  Clinic types will be sampled proportionate to their representation in the universe. For example, if 50% of Title X clinics are health departments, then health departments will represent 50% of the Title X sample.  Again, at each sampled health center, one provider and one administrator will be asked to complete survey.</w:t>
      </w:r>
    </w:p>
    <w:p w:rsidR="005C14C3" w:rsidRDefault="005C14C3" w:rsidP="005C14C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1264"/>
        <w:gridCol w:w="141"/>
        <w:gridCol w:w="219"/>
        <w:gridCol w:w="1987"/>
        <w:gridCol w:w="440"/>
        <w:gridCol w:w="784"/>
        <w:gridCol w:w="1289"/>
        <w:gridCol w:w="176"/>
        <w:gridCol w:w="184"/>
        <w:gridCol w:w="2065"/>
      </w:tblGrid>
      <w:tr w:rsidR="005C14C3" w:rsidTr="00BD0511">
        <w:trPr>
          <w:trHeight w:val="404"/>
        </w:trPr>
        <w:tc>
          <w:tcPr>
            <w:tcW w:w="9350" w:type="dxa"/>
            <w:gridSpan w:val="11"/>
            <w:tcBorders>
              <w:top w:val="single" w:sz="4" w:space="0" w:color="auto"/>
              <w:left w:val="single" w:sz="4" w:space="0" w:color="auto"/>
              <w:bottom w:val="single" w:sz="4" w:space="0" w:color="auto"/>
              <w:right w:val="single" w:sz="4" w:space="0" w:color="auto"/>
            </w:tcBorders>
            <w:vAlign w:val="center"/>
          </w:tcPr>
          <w:p w:rsidR="005C14C3" w:rsidRDefault="005C14C3" w:rsidP="00BD0511">
            <w:pPr>
              <w:jc w:val="center"/>
              <w:rPr>
                <w:b/>
                <w:sz w:val="20"/>
                <w:szCs w:val="20"/>
              </w:rPr>
            </w:pPr>
            <w:r>
              <w:rPr>
                <w:b/>
                <w:sz w:val="20"/>
                <w:szCs w:val="20"/>
              </w:rPr>
              <w:t>Database of Publicly-funded Family Planning Health Centers</w:t>
            </w:r>
          </w:p>
        </w:tc>
      </w:tr>
      <w:tr w:rsidR="005C14C3" w:rsidTr="00BD0511">
        <w:trPr>
          <w:trHeight w:val="350"/>
        </w:trPr>
        <w:tc>
          <w:tcPr>
            <w:tcW w:w="2206" w:type="dxa"/>
            <w:gridSpan w:val="3"/>
            <w:tcBorders>
              <w:top w:val="single" w:sz="4" w:space="0" w:color="auto"/>
              <w:bottom w:val="single" w:sz="4" w:space="0" w:color="auto"/>
              <w:right w:val="single" w:sz="8" w:space="0" w:color="auto"/>
            </w:tcBorders>
          </w:tcPr>
          <w:p w:rsidR="005C14C3" w:rsidRDefault="005C14C3" w:rsidP="00BD0511">
            <w:pPr>
              <w:jc w:val="center"/>
              <w:rPr>
                <w:b/>
                <w:sz w:val="20"/>
                <w:szCs w:val="20"/>
              </w:rPr>
            </w:pPr>
          </w:p>
        </w:tc>
        <w:tc>
          <w:tcPr>
            <w:tcW w:w="2206" w:type="dxa"/>
            <w:gridSpan w:val="2"/>
            <w:tcBorders>
              <w:top w:val="single" w:sz="4" w:space="0" w:color="auto"/>
              <w:left w:val="single" w:sz="8" w:space="0" w:color="auto"/>
              <w:bottom w:val="single" w:sz="4" w:space="0" w:color="auto"/>
            </w:tcBorders>
          </w:tcPr>
          <w:p w:rsidR="005C14C3" w:rsidRDefault="005C14C3" w:rsidP="00BD0511">
            <w:pPr>
              <w:jc w:val="center"/>
              <w:rPr>
                <w:b/>
                <w:sz w:val="20"/>
                <w:szCs w:val="20"/>
              </w:rPr>
            </w:pPr>
          </w:p>
        </w:tc>
        <w:tc>
          <w:tcPr>
            <w:tcW w:w="440" w:type="dxa"/>
            <w:tcBorders>
              <w:top w:val="single" w:sz="4" w:space="0" w:color="auto"/>
            </w:tcBorders>
          </w:tcPr>
          <w:p w:rsidR="005C14C3" w:rsidRDefault="005C14C3" w:rsidP="00BD0511">
            <w:pPr>
              <w:jc w:val="center"/>
              <w:rPr>
                <w:b/>
                <w:sz w:val="20"/>
                <w:szCs w:val="20"/>
              </w:rPr>
            </w:pPr>
          </w:p>
        </w:tc>
        <w:tc>
          <w:tcPr>
            <w:tcW w:w="2249" w:type="dxa"/>
            <w:gridSpan w:val="3"/>
            <w:tcBorders>
              <w:top w:val="single" w:sz="4" w:space="0" w:color="auto"/>
              <w:bottom w:val="single" w:sz="4" w:space="0" w:color="auto"/>
              <w:right w:val="single" w:sz="8" w:space="0" w:color="auto"/>
            </w:tcBorders>
          </w:tcPr>
          <w:p w:rsidR="005C14C3" w:rsidRDefault="005C14C3" w:rsidP="00BD0511">
            <w:pPr>
              <w:jc w:val="center"/>
              <w:rPr>
                <w:b/>
                <w:sz w:val="20"/>
                <w:szCs w:val="20"/>
              </w:rPr>
            </w:pPr>
          </w:p>
        </w:tc>
        <w:tc>
          <w:tcPr>
            <w:tcW w:w="2249" w:type="dxa"/>
            <w:gridSpan w:val="2"/>
            <w:tcBorders>
              <w:top w:val="single" w:sz="4" w:space="0" w:color="auto"/>
              <w:left w:val="single" w:sz="8" w:space="0" w:color="auto"/>
              <w:bottom w:val="single" w:sz="4" w:space="0" w:color="auto"/>
            </w:tcBorders>
          </w:tcPr>
          <w:p w:rsidR="005C14C3" w:rsidRDefault="005C14C3" w:rsidP="00BD0511">
            <w:pPr>
              <w:jc w:val="center"/>
              <w:rPr>
                <w:b/>
                <w:sz w:val="20"/>
                <w:szCs w:val="20"/>
              </w:rPr>
            </w:pPr>
          </w:p>
        </w:tc>
      </w:tr>
      <w:tr w:rsidR="005C14C3" w:rsidTr="00BD0511">
        <w:trPr>
          <w:trHeight w:val="521"/>
        </w:trPr>
        <w:tc>
          <w:tcPr>
            <w:tcW w:w="4412" w:type="dxa"/>
            <w:gridSpan w:val="5"/>
            <w:tcBorders>
              <w:top w:val="single" w:sz="4" w:space="0" w:color="auto"/>
              <w:left w:val="single" w:sz="4" w:space="0" w:color="auto"/>
              <w:bottom w:val="single" w:sz="4" w:space="0" w:color="auto"/>
              <w:right w:val="single" w:sz="4" w:space="0" w:color="auto"/>
            </w:tcBorders>
            <w:vAlign w:val="center"/>
          </w:tcPr>
          <w:p w:rsidR="005C14C3" w:rsidRDefault="005C14C3" w:rsidP="005C14C3">
            <w:pPr>
              <w:pStyle w:val="ListParagraph"/>
              <w:numPr>
                <w:ilvl w:val="0"/>
                <w:numId w:val="2"/>
              </w:numPr>
              <w:jc w:val="center"/>
              <w:rPr>
                <w:b/>
                <w:sz w:val="20"/>
                <w:szCs w:val="20"/>
              </w:rPr>
            </w:pPr>
            <w:r>
              <w:rPr>
                <w:b/>
                <w:sz w:val="20"/>
                <w:szCs w:val="20"/>
              </w:rPr>
              <w:t>Title X Clinics</w:t>
            </w:r>
          </w:p>
        </w:tc>
        <w:tc>
          <w:tcPr>
            <w:tcW w:w="440" w:type="dxa"/>
            <w:tcBorders>
              <w:left w:val="single" w:sz="4" w:space="0" w:color="auto"/>
              <w:right w:val="single" w:sz="4" w:space="0" w:color="auto"/>
            </w:tcBorders>
          </w:tcPr>
          <w:p w:rsidR="005C14C3" w:rsidRDefault="005C14C3" w:rsidP="00BD0511">
            <w:pPr>
              <w:jc w:val="center"/>
              <w:rPr>
                <w:b/>
                <w:sz w:val="20"/>
                <w:szCs w:val="20"/>
              </w:rPr>
            </w:pPr>
          </w:p>
        </w:tc>
        <w:tc>
          <w:tcPr>
            <w:tcW w:w="4498" w:type="dxa"/>
            <w:gridSpan w:val="5"/>
            <w:tcBorders>
              <w:top w:val="single" w:sz="4" w:space="0" w:color="auto"/>
              <w:left w:val="single" w:sz="4" w:space="0" w:color="auto"/>
              <w:bottom w:val="single" w:sz="4" w:space="0" w:color="auto"/>
              <w:right w:val="single" w:sz="4" w:space="0" w:color="auto"/>
            </w:tcBorders>
            <w:vAlign w:val="center"/>
          </w:tcPr>
          <w:p w:rsidR="005C14C3" w:rsidRDefault="005C14C3" w:rsidP="005C14C3">
            <w:pPr>
              <w:pStyle w:val="ListParagraph"/>
              <w:numPr>
                <w:ilvl w:val="0"/>
                <w:numId w:val="2"/>
              </w:numPr>
              <w:jc w:val="center"/>
              <w:rPr>
                <w:b/>
                <w:sz w:val="20"/>
                <w:szCs w:val="20"/>
              </w:rPr>
            </w:pPr>
            <w:r>
              <w:rPr>
                <w:b/>
                <w:sz w:val="20"/>
                <w:szCs w:val="20"/>
              </w:rPr>
              <w:t>Non-Title X Clinics</w:t>
            </w:r>
          </w:p>
        </w:tc>
      </w:tr>
      <w:tr w:rsidR="005C14C3" w:rsidTr="00BD0511">
        <w:tc>
          <w:tcPr>
            <w:tcW w:w="801" w:type="dxa"/>
            <w:tcBorders>
              <w:top w:val="single" w:sz="4" w:space="0" w:color="auto"/>
              <w:left w:val="single" w:sz="4" w:space="0" w:color="auto"/>
              <w:bottom w:val="single" w:sz="4" w:space="0" w:color="auto"/>
            </w:tcBorders>
          </w:tcPr>
          <w:p w:rsidR="005C14C3" w:rsidRDefault="005C14C3" w:rsidP="00BD0511">
            <w:pPr>
              <w:jc w:val="center"/>
              <w:rPr>
                <w:sz w:val="20"/>
                <w:szCs w:val="20"/>
              </w:rPr>
            </w:pPr>
          </w:p>
        </w:tc>
        <w:tc>
          <w:tcPr>
            <w:tcW w:w="3611" w:type="dxa"/>
            <w:gridSpan w:val="4"/>
            <w:tcBorders>
              <w:top w:val="single" w:sz="4" w:space="0" w:color="auto"/>
              <w:bottom w:val="single" w:sz="4" w:space="0" w:color="auto"/>
              <w:right w:val="single" w:sz="4" w:space="0" w:color="auto"/>
            </w:tcBorders>
          </w:tcPr>
          <w:p w:rsidR="005C14C3" w:rsidRDefault="005C14C3" w:rsidP="005C14C3">
            <w:pPr>
              <w:pStyle w:val="ListParagraph"/>
              <w:numPr>
                <w:ilvl w:val="0"/>
                <w:numId w:val="1"/>
              </w:numPr>
              <w:rPr>
                <w:sz w:val="20"/>
                <w:szCs w:val="20"/>
              </w:rPr>
            </w:pPr>
            <w:r>
              <w:rPr>
                <w:sz w:val="20"/>
                <w:szCs w:val="20"/>
              </w:rPr>
              <w:t>Hospitals</w:t>
            </w:r>
          </w:p>
          <w:p w:rsidR="005C14C3" w:rsidRDefault="005C14C3" w:rsidP="005C14C3">
            <w:pPr>
              <w:pStyle w:val="ListParagraph"/>
              <w:numPr>
                <w:ilvl w:val="0"/>
                <w:numId w:val="1"/>
              </w:numPr>
              <w:rPr>
                <w:sz w:val="20"/>
                <w:szCs w:val="20"/>
              </w:rPr>
            </w:pPr>
            <w:r>
              <w:rPr>
                <w:sz w:val="20"/>
                <w:szCs w:val="20"/>
              </w:rPr>
              <w:t>Health departments</w:t>
            </w:r>
          </w:p>
          <w:p w:rsidR="005C14C3" w:rsidRDefault="005C14C3" w:rsidP="005C14C3">
            <w:pPr>
              <w:pStyle w:val="ListParagraph"/>
              <w:numPr>
                <w:ilvl w:val="0"/>
                <w:numId w:val="1"/>
              </w:numPr>
              <w:rPr>
                <w:sz w:val="20"/>
                <w:szCs w:val="20"/>
              </w:rPr>
            </w:pPr>
            <w:r>
              <w:rPr>
                <w:sz w:val="20"/>
                <w:szCs w:val="20"/>
              </w:rPr>
              <w:t>Planned Parenthood clinics</w:t>
            </w:r>
          </w:p>
          <w:p w:rsidR="005C14C3" w:rsidRDefault="005C14C3" w:rsidP="005C14C3">
            <w:pPr>
              <w:pStyle w:val="ListParagraph"/>
              <w:numPr>
                <w:ilvl w:val="0"/>
                <w:numId w:val="1"/>
              </w:numPr>
              <w:rPr>
                <w:sz w:val="20"/>
                <w:szCs w:val="20"/>
              </w:rPr>
            </w:pPr>
            <w:r>
              <w:rPr>
                <w:sz w:val="20"/>
                <w:szCs w:val="20"/>
              </w:rPr>
              <w:t>Community health centers</w:t>
            </w:r>
          </w:p>
          <w:p w:rsidR="005C14C3" w:rsidRDefault="005C14C3" w:rsidP="005C14C3">
            <w:pPr>
              <w:pStyle w:val="ListParagraph"/>
              <w:numPr>
                <w:ilvl w:val="0"/>
                <w:numId w:val="1"/>
              </w:numPr>
              <w:rPr>
                <w:sz w:val="20"/>
                <w:szCs w:val="20"/>
              </w:rPr>
            </w:pPr>
            <w:r>
              <w:rPr>
                <w:sz w:val="20"/>
                <w:szCs w:val="20"/>
              </w:rPr>
              <w:t>‘Other’ clinic types</w:t>
            </w:r>
          </w:p>
        </w:tc>
        <w:tc>
          <w:tcPr>
            <w:tcW w:w="440" w:type="dxa"/>
            <w:tcBorders>
              <w:left w:val="single" w:sz="4" w:space="0" w:color="auto"/>
              <w:right w:val="single" w:sz="4" w:space="0" w:color="auto"/>
            </w:tcBorders>
          </w:tcPr>
          <w:p w:rsidR="005C14C3" w:rsidRDefault="005C14C3" w:rsidP="00BD0511">
            <w:pPr>
              <w:jc w:val="center"/>
              <w:rPr>
                <w:sz w:val="20"/>
                <w:szCs w:val="20"/>
              </w:rPr>
            </w:pPr>
          </w:p>
        </w:tc>
        <w:tc>
          <w:tcPr>
            <w:tcW w:w="784" w:type="dxa"/>
            <w:tcBorders>
              <w:top w:val="single" w:sz="4" w:space="0" w:color="auto"/>
              <w:left w:val="single" w:sz="4" w:space="0" w:color="auto"/>
              <w:bottom w:val="single" w:sz="4" w:space="0" w:color="auto"/>
            </w:tcBorders>
          </w:tcPr>
          <w:p w:rsidR="005C14C3" w:rsidRDefault="005C14C3" w:rsidP="00BD0511">
            <w:pPr>
              <w:jc w:val="center"/>
              <w:rPr>
                <w:sz w:val="20"/>
                <w:szCs w:val="20"/>
              </w:rPr>
            </w:pPr>
          </w:p>
        </w:tc>
        <w:tc>
          <w:tcPr>
            <w:tcW w:w="3714" w:type="dxa"/>
            <w:gridSpan w:val="4"/>
            <w:tcBorders>
              <w:top w:val="single" w:sz="4" w:space="0" w:color="auto"/>
              <w:bottom w:val="single" w:sz="4" w:space="0" w:color="auto"/>
              <w:right w:val="single" w:sz="4" w:space="0" w:color="auto"/>
            </w:tcBorders>
          </w:tcPr>
          <w:p w:rsidR="005C14C3" w:rsidRDefault="005C14C3" w:rsidP="005C14C3">
            <w:pPr>
              <w:pStyle w:val="ListParagraph"/>
              <w:numPr>
                <w:ilvl w:val="0"/>
                <w:numId w:val="1"/>
              </w:numPr>
              <w:rPr>
                <w:sz w:val="20"/>
                <w:szCs w:val="20"/>
              </w:rPr>
            </w:pPr>
            <w:r>
              <w:rPr>
                <w:sz w:val="20"/>
                <w:szCs w:val="20"/>
              </w:rPr>
              <w:t>Hospitals</w:t>
            </w:r>
          </w:p>
          <w:p w:rsidR="005C14C3" w:rsidRDefault="005C14C3" w:rsidP="005C14C3">
            <w:pPr>
              <w:pStyle w:val="ListParagraph"/>
              <w:numPr>
                <w:ilvl w:val="0"/>
                <w:numId w:val="1"/>
              </w:numPr>
              <w:rPr>
                <w:sz w:val="20"/>
                <w:szCs w:val="20"/>
              </w:rPr>
            </w:pPr>
            <w:r>
              <w:rPr>
                <w:sz w:val="20"/>
                <w:szCs w:val="20"/>
              </w:rPr>
              <w:t>Health departments</w:t>
            </w:r>
          </w:p>
          <w:p w:rsidR="005C14C3" w:rsidRDefault="005C14C3" w:rsidP="005C14C3">
            <w:pPr>
              <w:pStyle w:val="ListParagraph"/>
              <w:numPr>
                <w:ilvl w:val="0"/>
                <w:numId w:val="1"/>
              </w:numPr>
              <w:rPr>
                <w:sz w:val="20"/>
                <w:szCs w:val="20"/>
              </w:rPr>
            </w:pPr>
            <w:r>
              <w:rPr>
                <w:sz w:val="20"/>
                <w:szCs w:val="20"/>
              </w:rPr>
              <w:t>Planned Parenthood clinics</w:t>
            </w:r>
          </w:p>
          <w:p w:rsidR="005C14C3" w:rsidRDefault="005C14C3" w:rsidP="005C14C3">
            <w:pPr>
              <w:pStyle w:val="ListParagraph"/>
              <w:numPr>
                <w:ilvl w:val="0"/>
                <w:numId w:val="1"/>
              </w:numPr>
              <w:rPr>
                <w:sz w:val="20"/>
                <w:szCs w:val="20"/>
              </w:rPr>
            </w:pPr>
            <w:r>
              <w:rPr>
                <w:sz w:val="20"/>
                <w:szCs w:val="20"/>
              </w:rPr>
              <w:t>Community health centers</w:t>
            </w:r>
          </w:p>
          <w:p w:rsidR="005C14C3" w:rsidRDefault="005C14C3" w:rsidP="005C14C3">
            <w:pPr>
              <w:pStyle w:val="ListParagraph"/>
              <w:numPr>
                <w:ilvl w:val="0"/>
                <w:numId w:val="1"/>
              </w:numPr>
              <w:rPr>
                <w:sz w:val="20"/>
                <w:szCs w:val="20"/>
              </w:rPr>
            </w:pPr>
            <w:r>
              <w:rPr>
                <w:sz w:val="20"/>
                <w:szCs w:val="20"/>
              </w:rPr>
              <w:t>‘Other’ clinic types</w:t>
            </w:r>
          </w:p>
        </w:tc>
      </w:tr>
      <w:tr w:rsidR="005C14C3" w:rsidTr="00BD0511">
        <w:trPr>
          <w:trHeight w:val="350"/>
        </w:trPr>
        <w:tc>
          <w:tcPr>
            <w:tcW w:w="2206" w:type="dxa"/>
            <w:gridSpan w:val="3"/>
            <w:tcBorders>
              <w:top w:val="single" w:sz="4" w:space="0" w:color="auto"/>
              <w:bottom w:val="single" w:sz="4" w:space="0" w:color="auto"/>
              <w:right w:val="single" w:sz="8" w:space="0" w:color="auto"/>
            </w:tcBorders>
          </w:tcPr>
          <w:p w:rsidR="005C14C3" w:rsidRDefault="005C14C3" w:rsidP="00BD0511">
            <w:pPr>
              <w:jc w:val="center"/>
              <w:rPr>
                <w:b/>
                <w:sz w:val="20"/>
                <w:szCs w:val="20"/>
              </w:rPr>
            </w:pPr>
          </w:p>
        </w:tc>
        <w:tc>
          <w:tcPr>
            <w:tcW w:w="2206" w:type="dxa"/>
            <w:gridSpan w:val="2"/>
            <w:tcBorders>
              <w:top w:val="single" w:sz="4" w:space="0" w:color="auto"/>
              <w:left w:val="single" w:sz="8" w:space="0" w:color="auto"/>
              <w:bottom w:val="single" w:sz="4" w:space="0" w:color="auto"/>
            </w:tcBorders>
          </w:tcPr>
          <w:p w:rsidR="005C14C3" w:rsidRDefault="005C14C3" w:rsidP="00BD0511">
            <w:pPr>
              <w:jc w:val="center"/>
              <w:rPr>
                <w:b/>
                <w:sz w:val="20"/>
                <w:szCs w:val="20"/>
              </w:rPr>
            </w:pPr>
          </w:p>
        </w:tc>
        <w:tc>
          <w:tcPr>
            <w:tcW w:w="440" w:type="dxa"/>
            <w:tcBorders>
              <w:top w:val="single" w:sz="4" w:space="0" w:color="auto"/>
            </w:tcBorders>
          </w:tcPr>
          <w:p w:rsidR="005C14C3" w:rsidRDefault="005C14C3" w:rsidP="00BD0511">
            <w:pPr>
              <w:jc w:val="center"/>
              <w:rPr>
                <w:b/>
                <w:sz w:val="20"/>
                <w:szCs w:val="20"/>
              </w:rPr>
            </w:pPr>
          </w:p>
        </w:tc>
        <w:tc>
          <w:tcPr>
            <w:tcW w:w="2249" w:type="dxa"/>
            <w:gridSpan w:val="3"/>
            <w:tcBorders>
              <w:top w:val="single" w:sz="4" w:space="0" w:color="auto"/>
              <w:bottom w:val="single" w:sz="4" w:space="0" w:color="auto"/>
              <w:right w:val="single" w:sz="8" w:space="0" w:color="auto"/>
            </w:tcBorders>
          </w:tcPr>
          <w:p w:rsidR="005C14C3" w:rsidRDefault="005C14C3" w:rsidP="00BD0511">
            <w:pPr>
              <w:jc w:val="center"/>
              <w:rPr>
                <w:b/>
                <w:sz w:val="20"/>
                <w:szCs w:val="20"/>
              </w:rPr>
            </w:pPr>
          </w:p>
        </w:tc>
        <w:tc>
          <w:tcPr>
            <w:tcW w:w="2249" w:type="dxa"/>
            <w:gridSpan w:val="2"/>
            <w:tcBorders>
              <w:top w:val="single" w:sz="4" w:space="0" w:color="auto"/>
              <w:left w:val="single" w:sz="8" w:space="0" w:color="auto"/>
              <w:bottom w:val="single" w:sz="4" w:space="0" w:color="auto"/>
            </w:tcBorders>
          </w:tcPr>
          <w:p w:rsidR="005C14C3" w:rsidRDefault="005C14C3" w:rsidP="00BD0511">
            <w:pPr>
              <w:jc w:val="center"/>
              <w:rPr>
                <w:b/>
                <w:sz w:val="20"/>
                <w:szCs w:val="20"/>
              </w:rPr>
            </w:pPr>
          </w:p>
        </w:tc>
      </w:tr>
      <w:tr w:rsidR="005C14C3" w:rsidTr="00BD0511">
        <w:tc>
          <w:tcPr>
            <w:tcW w:w="2065" w:type="dxa"/>
            <w:gridSpan w:val="2"/>
            <w:vMerge w:val="restart"/>
            <w:tcBorders>
              <w:top w:val="single" w:sz="4" w:space="0" w:color="auto"/>
              <w:left w:val="single" w:sz="4" w:space="0" w:color="auto"/>
              <w:bottom w:val="single" w:sz="4" w:space="0" w:color="auto"/>
              <w:right w:val="single" w:sz="4" w:space="0" w:color="auto"/>
            </w:tcBorders>
            <w:vAlign w:val="center"/>
          </w:tcPr>
          <w:p w:rsidR="005C14C3" w:rsidRDefault="005C14C3" w:rsidP="00BD0511">
            <w:pPr>
              <w:jc w:val="center"/>
              <w:rPr>
                <w:sz w:val="20"/>
                <w:szCs w:val="20"/>
              </w:rPr>
            </w:pPr>
            <w:r>
              <w:rPr>
                <w:sz w:val="20"/>
                <w:szCs w:val="20"/>
              </w:rPr>
              <w:t>(1) Provider Survey</w:t>
            </w:r>
          </w:p>
        </w:tc>
        <w:tc>
          <w:tcPr>
            <w:tcW w:w="360" w:type="dxa"/>
            <w:gridSpan w:val="2"/>
            <w:tcBorders>
              <w:left w:val="single" w:sz="4" w:space="0" w:color="auto"/>
              <w:right w:val="single" w:sz="4" w:space="0" w:color="auto"/>
            </w:tcBorders>
            <w:vAlign w:val="center"/>
          </w:tcPr>
          <w:p w:rsidR="005C14C3" w:rsidRDefault="005C14C3" w:rsidP="00BD0511">
            <w:pPr>
              <w:pStyle w:val="ListParagraph"/>
              <w:jc w:val="center"/>
              <w:rPr>
                <w:sz w:val="20"/>
                <w:szCs w:val="20"/>
              </w:rPr>
            </w:pPr>
          </w:p>
        </w:tc>
        <w:tc>
          <w:tcPr>
            <w:tcW w:w="1987" w:type="dxa"/>
            <w:vMerge w:val="restart"/>
            <w:tcBorders>
              <w:top w:val="single" w:sz="4" w:space="0" w:color="auto"/>
              <w:left w:val="single" w:sz="4" w:space="0" w:color="auto"/>
              <w:bottom w:val="single" w:sz="4" w:space="0" w:color="auto"/>
              <w:right w:val="single" w:sz="4" w:space="0" w:color="auto"/>
            </w:tcBorders>
            <w:vAlign w:val="center"/>
          </w:tcPr>
          <w:p w:rsidR="005C14C3" w:rsidRDefault="005C14C3" w:rsidP="00BD0511">
            <w:pPr>
              <w:jc w:val="center"/>
              <w:rPr>
                <w:sz w:val="20"/>
                <w:szCs w:val="20"/>
              </w:rPr>
            </w:pPr>
            <w:r>
              <w:rPr>
                <w:sz w:val="20"/>
                <w:szCs w:val="20"/>
              </w:rPr>
              <w:t>(2) Administrator Survey</w:t>
            </w:r>
          </w:p>
        </w:tc>
        <w:tc>
          <w:tcPr>
            <w:tcW w:w="440" w:type="dxa"/>
            <w:tcBorders>
              <w:left w:val="single" w:sz="4" w:space="0" w:color="auto"/>
              <w:right w:val="single" w:sz="4" w:space="0" w:color="auto"/>
            </w:tcBorders>
            <w:vAlign w:val="center"/>
          </w:tcPr>
          <w:p w:rsidR="005C14C3" w:rsidRDefault="005C14C3" w:rsidP="00BD0511">
            <w:pPr>
              <w:jc w:val="center"/>
              <w:rPr>
                <w:sz w:val="20"/>
                <w:szCs w:val="20"/>
              </w:rPr>
            </w:pPr>
          </w:p>
        </w:tc>
        <w:tc>
          <w:tcPr>
            <w:tcW w:w="2073" w:type="dxa"/>
            <w:gridSpan w:val="2"/>
            <w:vMerge w:val="restart"/>
            <w:tcBorders>
              <w:top w:val="single" w:sz="4" w:space="0" w:color="auto"/>
              <w:left w:val="single" w:sz="4" w:space="0" w:color="auto"/>
              <w:bottom w:val="single" w:sz="4" w:space="0" w:color="auto"/>
              <w:right w:val="single" w:sz="4" w:space="0" w:color="auto"/>
            </w:tcBorders>
            <w:vAlign w:val="center"/>
          </w:tcPr>
          <w:p w:rsidR="005C14C3" w:rsidRDefault="005C14C3" w:rsidP="00BD0511">
            <w:pPr>
              <w:jc w:val="center"/>
              <w:rPr>
                <w:sz w:val="20"/>
                <w:szCs w:val="20"/>
              </w:rPr>
            </w:pPr>
            <w:r>
              <w:rPr>
                <w:sz w:val="20"/>
                <w:szCs w:val="20"/>
              </w:rPr>
              <w:t>(1) Provider Survey</w:t>
            </w:r>
          </w:p>
        </w:tc>
        <w:tc>
          <w:tcPr>
            <w:tcW w:w="360" w:type="dxa"/>
            <w:gridSpan w:val="2"/>
            <w:tcBorders>
              <w:left w:val="single" w:sz="4" w:space="0" w:color="auto"/>
              <w:right w:val="single" w:sz="4" w:space="0" w:color="auto"/>
            </w:tcBorders>
            <w:vAlign w:val="center"/>
          </w:tcPr>
          <w:p w:rsidR="005C14C3" w:rsidRDefault="005C14C3" w:rsidP="00BD0511">
            <w:pPr>
              <w:pStyle w:val="ListParagraph"/>
              <w:jc w:val="center"/>
              <w:rPr>
                <w:sz w:val="20"/>
                <w:szCs w:val="20"/>
              </w:rPr>
            </w:pPr>
          </w:p>
        </w:tc>
        <w:tc>
          <w:tcPr>
            <w:tcW w:w="2065" w:type="dxa"/>
            <w:vMerge w:val="restart"/>
            <w:tcBorders>
              <w:top w:val="single" w:sz="4" w:space="0" w:color="auto"/>
              <w:left w:val="single" w:sz="4" w:space="0" w:color="auto"/>
              <w:bottom w:val="single" w:sz="4" w:space="0" w:color="auto"/>
              <w:right w:val="single" w:sz="4" w:space="0" w:color="auto"/>
            </w:tcBorders>
            <w:vAlign w:val="center"/>
          </w:tcPr>
          <w:p w:rsidR="005C14C3" w:rsidRDefault="005C14C3" w:rsidP="00BD0511">
            <w:pPr>
              <w:jc w:val="center"/>
              <w:rPr>
                <w:sz w:val="20"/>
                <w:szCs w:val="20"/>
              </w:rPr>
            </w:pPr>
            <w:r>
              <w:rPr>
                <w:sz w:val="20"/>
                <w:szCs w:val="20"/>
              </w:rPr>
              <w:t>(2) Administrator Survey</w:t>
            </w:r>
          </w:p>
        </w:tc>
      </w:tr>
      <w:tr w:rsidR="005C14C3" w:rsidTr="00BD0511">
        <w:tc>
          <w:tcPr>
            <w:tcW w:w="2065" w:type="dxa"/>
            <w:gridSpan w:val="2"/>
            <w:vMerge/>
            <w:tcBorders>
              <w:top w:val="single" w:sz="4" w:space="0" w:color="auto"/>
              <w:left w:val="single" w:sz="4" w:space="0" w:color="auto"/>
              <w:bottom w:val="single" w:sz="4" w:space="0" w:color="auto"/>
              <w:right w:val="single" w:sz="4" w:space="0" w:color="auto"/>
            </w:tcBorders>
            <w:vAlign w:val="center"/>
          </w:tcPr>
          <w:p w:rsidR="005C14C3" w:rsidRDefault="005C14C3" w:rsidP="00BD0511">
            <w:pPr>
              <w:jc w:val="center"/>
              <w:rPr>
                <w:sz w:val="20"/>
                <w:szCs w:val="20"/>
              </w:rPr>
            </w:pPr>
          </w:p>
        </w:tc>
        <w:tc>
          <w:tcPr>
            <w:tcW w:w="360" w:type="dxa"/>
            <w:gridSpan w:val="2"/>
            <w:tcBorders>
              <w:left w:val="single" w:sz="4" w:space="0" w:color="auto"/>
              <w:right w:val="single" w:sz="4" w:space="0" w:color="auto"/>
            </w:tcBorders>
            <w:vAlign w:val="center"/>
          </w:tcPr>
          <w:p w:rsidR="005C14C3" w:rsidRDefault="005C14C3" w:rsidP="00BD0511">
            <w:pPr>
              <w:jc w:val="center"/>
              <w:rPr>
                <w:sz w:val="20"/>
                <w:szCs w:val="20"/>
              </w:rPr>
            </w:pPr>
          </w:p>
        </w:tc>
        <w:tc>
          <w:tcPr>
            <w:tcW w:w="1987" w:type="dxa"/>
            <w:vMerge/>
            <w:tcBorders>
              <w:left w:val="single" w:sz="4" w:space="0" w:color="auto"/>
              <w:bottom w:val="single" w:sz="4" w:space="0" w:color="auto"/>
              <w:right w:val="single" w:sz="4" w:space="0" w:color="auto"/>
            </w:tcBorders>
            <w:vAlign w:val="center"/>
          </w:tcPr>
          <w:p w:rsidR="005C14C3" w:rsidRDefault="005C14C3" w:rsidP="00BD0511">
            <w:pPr>
              <w:jc w:val="center"/>
              <w:rPr>
                <w:sz w:val="20"/>
                <w:szCs w:val="20"/>
              </w:rPr>
            </w:pPr>
          </w:p>
        </w:tc>
        <w:tc>
          <w:tcPr>
            <w:tcW w:w="440" w:type="dxa"/>
            <w:tcBorders>
              <w:left w:val="single" w:sz="4" w:space="0" w:color="auto"/>
              <w:right w:val="single" w:sz="4" w:space="0" w:color="auto"/>
            </w:tcBorders>
            <w:vAlign w:val="center"/>
          </w:tcPr>
          <w:p w:rsidR="005C14C3" w:rsidRDefault="005C14C3" w:rsidP="00BD0511">
            <w:pPr>
              <w:jc w:val="center"/>
              <w:rPr>
                <w:sz w:val="20"/>
                <w:szCs w:val="20"/>
              </w:rPr>
            </w:pPr>
          </w:p>
        </w:tc>
        <w:tc>
          <w:tcPr>
            <w:tcW w:w="2073" w:type="dxa"/>
            <w:gridSpan w:val="2"/>
            <w:vMerge/>
            <w:tcBorders>
              <w:left w:val="single" w:sz="4" w:space="0" w:color="auto"/>
              <w:bottom w:val="single" w:sz="4" w:space="0" w:color="auto"/>
              <w:right w:val="single" w:sz="4" w:space="0" w:color="auto"/>
            </w:tcBorders>
            <w:vAlign w:val="center"/>
          </w:tcPr>
          <w:p w:rsidR="005C14C3" w:rsidRDefault="005C14C3" w:rsidP="00BD0511">
            <w:pPr>
              <w:jc w:val="center"/>
              <w:rPr>
                <w:sz w:val="20"/>
                <w:szCs w:val="20"/>
              </w:rPr>
            </w:pPr>
          </w:p>
        </w:tc>
        <w:tc>
          <w:tcPr>
            <w:tcW w:w="360" w:type="dxa"/>
            <w:gridSpan w:val="2"/>
            <w:tcBorders>
              <w:left w:val="single" w:sz="4" w:space="0" w:color="auto"/>
              <w:right w:val="single" w:sz="4" w:space="0" w:color="auto"/>
            </w:tcBorders>
            <w:vAlign w:val="center"/>
          </w:tcPr>
          <w:p w:rsidR="005C14C3" w:rsidRDefault="005C14C3" w:rsidP="00BD0511">
            <w:pPr>
              <w:jc w:val="center"/>
              <w:rPr>
                <w:sz w:val="20"/>
                <w:szCs w:val="20"/>
              </w:rPr>
            </w:pPr>
          </w:p>
        </w:tc>
        <w:tc>
          <w:tcPr>
            <w:tcW w:w="2065" w:type="dxa"/>
            <w:vMerge/>
            <w:tcBorders>
              <w:left w:val="single" w:sz="4" w:space="0" w:color="auto"/>
              <w:bottom w:val="single" w:sz="4" w:space="0" w:color="auto"/>
              <w:right w:val="single" w:sz="4" w:space="0" w:color="auto"/>
            </w:tcBorders>
            <w:vAlign w:val="center"/>
          </w:tcPr>
          <w:p w:rsidR="005C14C3" w:rsidRDefault="005C14C3" w:rsidP="00BD0511">
            <w:pPr>
              <w:jc w:val="center"/>
              <w:rPr>
                <w:sz w:val="20"/>
                <w:szCs w:val="20"/>
              </w:rPr>
            </w:pPr>
          </w:p>
        </w:tc>
      </w:tr>
      <w:tr w:rsidR="005C14C3" w:rsidTr="00BD0511">
        <w:tc>
          <w:tcPr>
            <w:tcW w:w="2065" w:type="dxa"/>
            <w:gridSpan w:val="2"/>
            <w:vMerge/>
            <w:tcBorders>
              <w:top w:val="single" w:sz="4" w:space="0" w:color="auto"/>
              <w:left w:val="single" w:sz="4" w:space="0" w:color="auto"/>
              <w:bottom w:val="single" w:sz="4" w:space="0" w:color="auto"/>
              <w:right w:val="single" w:sz="4" w:space="0" w:color="auto"/>
            </w:tcBorders>
            <w:vAlign w:val="center"/>
          </w:tcPr>
          <w:p w:rsidR="005C14C3" w:rsidRDefault="005C14C3" w:rsidP="00BD0511">
            <w:pPr>
              <w:pStyle w:val="ListParagraph"/>
              <w:jc w:val="center"/>
              <w:rPr>
                <w:sz w:val="20"/>
                <w:szCs w:val="20"/>
              </w:rPr>
            </w:pPr>
          </w:p>
        </w:tc>
        <w:tc>
          <w:tcPr>
            <w:tcW w:w="360" w:type="dxa"/>
            <w:gridSpan w:val="2"/>
            <w:tcBorders>
              <w:left w:val="single" w:sz="4" w:space="0" w:color="auto"/>
              <w:bottom w:val="single" w:sz="4" w:space="0" w:color="auto"/>
              <w:right w:val="single" w:sz="4" w:space="0" w:color="auto"/>
            </w:tcBorders>
            <w:vAlign w:val="center"/>
          </w:tcPr>
          <w:p w:rsidR="005C14C3" w:rsidRDefault="005C14C3" w:rsidP="00BD0511">
            <w:pPr>
              <w:pStyle w:val="ListParagraph"/>
              <w:jc w:val="center"/>
              <w:rPr>
                <w:sz w:val="20"/>
                <w:szCs w:val="20"/>
              </w:rPr>
            </w:pPr>
          </w:p>
        </w:tc>
        <w:tc>
          <w:tcPr>
            <w:tcW w:w="1987" w:type="dxa"/>
            <w:vMerge/>
            <w:tcBorders>
              <w:left w:val="single" w:sz="4" w:space="0" w:color="auto"/>
              <w:bottom w:val="single" w:sz="4" w:space="0" w:color="auto"/>
              <w:right w:val="single" w:sz="4" w:space="0" w:color="auto"/>
            </w:tcBorders>
            <w:vAlign w:val="center"/>
          </w:tcPr>
          <w:p w:rsidR="005C14C3" w:rsidRDefault="005C14C3" w:rsidP="00BD0511">
            <w:pPr>
              <w:pStyle w:val="ListParagraph"/>
              <w:jc w:val="center"/>
              <w:rPr>
                <w:sz w:val="20"/>
                <w:szCs w:val="20"/>
              </w:rPr>
            </w:pPr>
          </w:p>
        </w:tc>
        <w:tc>
          <w:tcPr>
            <w:tcW w:w="440" w:type="dxa"/>
            <w:tcBorders>
              <w:left w:val="single" w:sz="4" w:space="0" w:color="auto"/>
              <w:right w:val="single" w:sz="4" w:space="0" w:color="auto"/>
            </w:tcBorders>
            <w:vAlign w:val="center"/>
          </w:tcPr>
          <w:p w:rsidR="005C14C3" w:rsidRDefault="005C14C3" w:rsidP="00BD0511">
            <w:pPr>
              <w:jc w:val="center"/>
              <w:rPr>
                <w:sz w:val="20"/>
                <w:szCs w:val="20"/>
              </w:rPr>
            </w:pPr>
          </w:p>
        </w:tc>
        <w:tc>
          <w:tcPr>
            <w:tcW w:w="2073" w:type="dxa"/>
            <w:gridSpan w:val="2"/>
            <w:vMerge/>
            <w:tcBorders>
              <w:left w:val="single" w:sz="4" w:space="0" w:color="auto"/>
              <w:bottom w:val="single" w:sz="4" w:space="0" w:color="auto"/>
              <w:right w:val="single" w:sz="4" w:space="0" w:color="auto"/>
            </w:tcBorders>
            <w:vAlign w:val="center"/>
          </w:tcPr>
          <w:p w:rsidR="005C14C3" w:rsidRDefault="005C14C3" w:rsidP="00BD0511">
            <w:pPr>
              <w:pStyle w:val="ListParagraph"/>
              <w:jc w:val="center"/>
              <w:rPr>
                <w:sz w:val="20"/>
                <w:szCs w:val="20"/>
              </w:rPr>
            </w:pPr>
          </w:p>
        </w:tc>
        <w:tc>
          <w:tcPr>
            <w:tcW w:w="360" w:type="dxa"/>
            <w:gridSpan w:val="2"/>
            <w:tcBorders>
              <w:left w:val="single" w:sz="4" w:space="0" w:color="auto"/>
              <w:bottom w:val="single" w:sz="4" w:space="0" w:color="auto"/>
              <w:right w:val="single" w:sz="4" w:space="0" w:color="auto"/>
            </w:tcBorders>
            <w:vAlign w:val="center"/>
          </w:tcPr>
          <w:p w:rsidR="005C14C3" w:rsidRDefault="005C14C3" w:rsidP="00BD0511">
            <w:pPr>
              <w:pStyle w:val="ListParagraph"/>
              <w:jc w:val="center"/>
              <w:rPr>
                <w:sz w:val="20"/>
                <w:szCs w:val="20"/>
              </w:rPr>
            </w:pPr>
          </w:p>
        </w:tc>
        <w:tc>
          <w:tcPr>
            <w:tcW w:w="2065" w:type="dxa"/>
            <w:vMerge/>
            <w:tcBorders>
              <w:left w:val="single" w:sz="4" w:space="0" w:color="auto"/>
              <w:bottom w:val="single" w:sz="4" w:space="0" w:color="auto"/>
              <w:right w:val="single" w:sz="4" w:space="0" w:color="auto"/>
            </w:tcBorders>
            <w:vAlign w:val="center"/>
          </w:tcPr>
          <w:p w:rsidR="005C14C3" w:rsidRDefault="005C14C3" w:rsidP="00BD0511">
            <w:pPr>
              <w:pStyle w:val="ListParagraph"/>
              <w:jc w:val="center"/>
              <w:rPr>
                <w:sz w:val="20"/>
                <w:szCs w:val="20"/>
              </w:rPr>
            </w:pPr>
          </w:p>
        </w:tc>
      </w:tr>
    </w:tbl>
    <w:p w:rsidR="005C14C3" w:rsidRDefault="005C14C3" w:rsidP="005C14C3">
      <w:bookmarkStart w:id="5" w:name="_Toc329519282"/>
    </w:p>
    <w:p w:rsidR="005C14C3" w:rsidRDefault="005C14C3" w:rsidP="005C14C3">
      <w:pPr>
        <w:pStyle w:val="Heading2"/>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B2. Procedures for the Collection of Information</w:t>
      </w:r>
      <w:bookmarkEnd w:id="5"/>
    </w:p>
    <w:p w:rsidR="005C14C3" w:rsidRDefault="005C14C3" w:rsidP="005C14C3"/>
    <w:p w:rsidR="005C14C3" w:rsidRDefault="005C14C3" w:rsidP="005C14C3">
      <w:r>
        <w:t>Project staff at the CDC and OPA will obtain and provide to the data collection contractor the list of sampled private-sector office-based physicians and public-sector health centers that provide family planning services.</w:t>
      </w:r>
    </w:p>
    <w:p w:rsidR="005C14C3" w:rsidRDefault="005C14C3" w:rsidP="005C14C3">
      <w:pPr>
        <w:widowControl w:val="0"/>
        <w:tabs>
          <w:tab w:val="left" w:pos="360"/>
          <w:tab w:val="left" w:pos="2160"/>
          <w:tab w:val="left" w:pos="2880"/>
          <w:tab w:val="left" w:pos="3600"/>
          <w:tab w:val="left" w:pos="4320"/>
          <w:tab w:val="left" w:pos="5040"/>
          <w:tab w:val="left" w:pos="5760"/>
          <w:tab w:val="left" w:pos="6480"/>
          <w:tab w:val="left" w:pos="7200"/>
          <w:tab w:val="left" w:pos="7920"/>
        </w:tabs>
      </w:pPr>
    </w:p>
    <w:p w:rsidR="005C14C3" w:rsidRDefault="005C14C3" w:rsidP="005C14C3">
      <w:pPr>
        <w:widowControl w:val="0"/>
        <w:tabs>
          <w:tab w:val="left" w:pos="360"/>
          <w:tab w:val="left" w:pos="2160"/>
          <w:tab w:val="left" w:pos="2880"/>
          <w:tab w:val="left" w:pos="3600"/>
          <w:tab w:val="left" w:pos="4320"/>
          <w:tab w:val="left" w:pos="5040"/>
          <w:tab w:val="left" w:pos="5760"/>
          <w:tab w:val="left" w:pos="6480"/>
          <w:tab w:val="left" w:pos="7200"/>
          <w:tab w:val="left" w:pos="7920"/>
        </w:tabs>
      </w:pPr>
      <w:r>
        <w:t xml:space="preserve">The data collection contractor will prepare the mailed survey packages and send to the 6,000 sampled private-sector physicians and public-sector health centers nationwide (recall that 1 survey will be sent to 2,000 private-sector physicians and 2 surveys [1 survey for clinic providers and 1 for clinic administrators] will be sent to 4,000 public-sector health centers). </w:t>
      </w:r>
    </w:p>
    <w:p w:rsidR="005C14C3" w:rsidRDefault="005C14C3" w:rsidP="005C14C3">
      <w:pPr>
        <w:widowControl w:val="0"/>
        <w:tabs>
          <w:tab w:val="left" w:pos="360"/>
          <w:tab w:val="left" w:pos="2160"/>
          <w:tab w:val="left" w:pos="2880"/>
          <w:tab w:val="left" w:pos="3600"/>
          <w:tab w:val="left" w:pos="4320"/>
          <w:tab w:val="left" w:pos="5040"/>
          <w:tab w:val="left" w:pos="5760"/>
          <w:tab w:val="left" w:pos="6480"/>
          <w:tab w:val="left" w:pos="7200"/>
          <w:tab w:val="left" w:pos="7920"/>
        </w:tabs>
      </w:pPr>
    </w:p>
    <w:p w:rsidR="005C14C3" w:rsidRDefault="005C14C3" w:rsidP="005C14C3">
      <w:r>
        <w:t>The mailed survey packages will include a cover letter (</w:t>
      </w:r>
      <w:r>
        <w:rPr>
          <w:b/>
        </w:rPr>
        <w:t>Attachments D-1 and D-2</w:t>
      </w:r>
      <w:r>
        <w:t xml:space="preserve">) addressed personally to the physician or health center and will include a description of the assessment, address the importance of participation, and include a point of contact to direct inquiries.  </w:t>
      </w:r>
    </w:p>
    <w:p w:rsidR="005C14C3" w:rsidRDefault="005C14C3" w:rsidP="005C14C3">
      <w:pPr>
        <w:widowControl w:val="0"/>
        <w:tabs>
          <w:tab w:val="left" w:pos="360"/>
          <w:tab w:val="left" w:pos="2160"/>
          <w:tab w:val="left" w:pos="2880"/>
          <w:tab w:val="left" w:pos="3600"/>
          <w:tab w:val="left" w:pos="4320"/>
          <w:tab w:val="left" w:pos="5040"/>
          <w:tab w:val="left" w:pos="5760"/>
          <w:tab w:val="left" w:pos="6480"/>
          <w:tab w:val="left" w:pos="7200"/>
          <w:tab w:val="left" w:pos="7920"/>
        </w:tabs>
      </w:pPr>
    </w:p>
    <w:p w:rsidR="005C14C3" w:rsidRDefault="005C14C3" w:rsidP="005C14C3">
      <w:r>
        <w:t>For private-sector physicians, each mailed survey package will include a single survey (</w:t>
      </w:r>
      <w:r>
        <w:rPr>
          <w:b/>
        </w:rPr>
        <w:t>Attachment E-1</w:t>
      </w:r>
      <w:r>
        <w:t xml:space="preserve">) to be completed by the physician. </w:t>
      </w:r>
    </w:p>
    <w:p w:rsidR="005C14C3" w:rsidRDefault="005C14C3" w:rsidP="005C14C3"/>
    <w:p w:rsidR="005C14C3" w:rsidRDefault="005C14C3" w:rsidP="005C14C3">
      <w:r>
        <w:t>For public-sector health centers, each mailed survey package will include two surveys) – one to be completed by a clinician who provides family planning services to at least two women of reproductive age per week, on average (</w:t>
      </w:r>
      <w:r>
        <w:rPr>
          <w:b/>
        </w:rPr>
        <w:t>Attachment E-1)</w:t>
      </w:r>
      <w:r>
        <w:t>, and the second to be completed by a health center administrator (</w:t>
      </w:r>
      <w:r>
        <w:rPr>
          <w:b/>
        </w:rPr>
        <w:t>Attachment F-1)</w:t>
      </w:r>
      <w:r>
        <w:t xml:space="preserve">.  </w:t>
      </w:r>
    </w:p>
    <w:p w:rsidR="005C14C3" w:rsidRDefault="005C14C3" w:rsidP="005C14C3"/>
    <w:p w:rsidR="005C14C3" w:rsidRDefault="005C14C3" w:rsidP="005C14C3">
      <w:r>
        <w:t xml:space="preserve">Each survey will contain a unique identification number (UID) printed on the first page of the survey; the UID will be assigned by the data collection contractor.  CDC will not have access to any file linking names and addresses of physicians and health centers in our sample with their assigned UIDs.   Each mailed survey will be accompanied by a postage-paid return envelope addressed to the contractor via a rented postal office box.  Potential respondents will also be given the option to complete the surveys online (see </w:t>
      </w:r>
      <w:r>
        <w:rPr>
          <w:b/>
        </w:rPr>
        <w:t>Attachments E-2 and F-2</w:t>
      </w:r>
      <w:r>
        <w:t xml:space="preserve"> for screen shots).</w:t>
      </w:r>
    </w:p>
    <w:p w:rsidR="005C14C3" w:rsidRDefault="005C14C3" w:rsidP="005C14C3"/>
    <w:p w:rsidR="005C14C3" w:rsidRDefault="005C14C3" w:rsidP="005C14C3">
      <w:r>
        <w:t>Anticipating non-response, a reminder postcard will be sent to those who have not responded to the first mailing after approximately 2-4 weeks (</w:t>
      </w:r>
      <w:r>
        <w:rPr>
          <w:b/>
        </w:rPr>
        <w:t>Attachments G-1, G-2, and G-3</w:t>
      </w:r>
      <w:r>
        <w:t xml:space="preserve">). About one week later, </w:t>
      </w:r>
      <w:r>
        <w:rPr>
          <w:color w:val="000000" w:themeColor="text1"/>
        </w:rPr>
        <w:t>the company overseeing management of the AMA Physician Masterfile will send an email reminder (</w:t>
      </w:r>
      <w:r>
        <w:rPr>
          <w:b/>
          <w:color w:val="000000" w:themeColor="text1"/>
        </w:rPr>
        <w:t>Attachment H-1</w:t>
      </w:r>
      <w:r>
        <w:rPr>
          <w:color w:val="000000" w:themeColor="text1"/>
        </w:rPr>
        <w:t xml:space="preserve">) to </w:t>
      </w:r>
      <w:r>
        <w:t>private-sector physician non-respondents. Similar outreach to non-respondents in public-sector health centers is not possible since email addresses are not included in the Guttmacher Institute database. A second copy of the survey, along with a follow-up cover letter (</w:t>
      </w:r>
      <w:r>
        <w:rPr>
          <w:b/>
        </w:rPr>
        <w:t>Attachments I-1, I-2, and I-3</w:t>
      </w:r>
      <w:r>
        <w:t xml:space="preserve">) will be sent to those who have not responded approximately 2-4 weeks after the reminder postcard. Phone calls will be made and emails sent (if email addresses are provided during phone call outreach) to those that have not responded to any of the contact attempts to encourage participation. </w:t>
      </w:r>
    </w:p>
    <w:p w:rsidR="005C14C3" w:rsidRDefault="005C14C3" w:rsidP="005C14C3"/>
    <w:p w:rsidR="005C14C3" w:rsidRDefault="005C14C3" w:rsidP="005C14C3">
      <w:pPr>
        <w:spacing w:after="200" w:line="276" w:lineRule="auto"/>
      </w:pPr>
      <w:r>
        <w:t>Data collected online will be downloaded into electronic databases (one for the provider survey and one for the health center administrator survey) on a regular basis. Paper-copy survey data will be entered into electronic databases (one for the provider survey and one for the health center administrator survey). The databases, stripped of any identifiers other than the UID, will be permanent federal records and will be maintained in accordance with CDC’s records control schedule (</w:t>
      </w:r>
      <w:hyperlink r:id="rId8" w:history="1">
        <w:r>
          <w:rPr>
            <w:rStyle w:val="Hyperlink"/>
          </w:rPr>
          <w:t>http://isp-v-maso-apps/RecSched/ViewSchedule.aspx?RID=29</w:t>
        </w:r>
      </w:hyperlink>
      <w:r>
        <w:rPr>
          <w:rStyle w:val="Hyperlink"/>
        </w:rPr>
        <w:t>)</w:t>
      </w:r>
      <w:r>
        <w:t>.  Paper-copy surveys will be shredded within eight months after completion of data entry.  Respondents will not be re-contacted after survey completion to validate any potentially unclear data elements.</w:t>
      </w:r>
    </w:p>
    <w:p w:rsidR="005C14C3" w:rsidRDefault="005C14C3" w:rsidP="005C14C3">
      <w:pPr>
        <w:pStyle w:val="ListParagraph"/>
        <w:ind w:left="0"/>
      </w:pPr>
      <w:r>
        <w:t>The data collection contractor will develop data entry databases and analytic codebooks to facilitate valid and efficient data entry and analysis.  For quality control purposes, 10-25% of paper-copy completed surveys will be double-entered.</w:t>
      </w:r>
    </w:p>
    <w:p w:rsidR="005C14C3" w:rsidRDefault="005C14C3" w:rsidP="005C14C3"/>
    <w:p w:rsidR="005C14C3" w:rsidRDefault="005C14C3" w:rsidP="005C14C3">
      <w:r>
        <w:t>The study design for this ICR is not experimental, but is instead a cross-sectional assessment.</w:t>
      </w:r>
    </w:p>
    <w:p w:rsidR="005C14C3" w:rsidRDefault="005C14C3" w:rsidP="005C14C3">
      <w:pPr>
        <w:pStyle w:val="Heading2"/>
        <w:rPr>
          <w:rFonts w:ascii="Times New Roman" w:hAnsi="Times New Roman" w:cs="Times New Roman"/>
          <w:i/>
          <w:color w:val="auto"/>
          <w:sz w:val="24"/>
          <w:szCs w:val="24"/>
        </w:rPr>
      </w:pPr>
      <w:bookmarkStart w:id="6" w:name="_Toc329519283"/>
      <w:r>
        <w:rPr>
          <w:rFonts w:ascii="Times New Roman" w:hAnsi="Times New Roman" w:cs="Times New Roman"/>
          <w:i/>
          <w:color w:val="auto"/>
          <w:sz w:val="24"/>
          <w:szCs w:val="24"/>
        </w:rPr>
        <w:t>B3. Methods to Maximize Response Rates and Deal with No Response</w:t>
      </w:r>
      <w:bookmarkEnd w:id="6"/>
    </w:p>
    <w:p w:rsidR="005C14C3" w:rsidRDefault="005C14C3" w:rsidP="005C14C3"/>
    <w:p w:rsidR="005C14C3" w:rsidRDefault="005C14C3" w:rsidP="005C14C3">
      <w:r>
        <w:t xml:space="preserve">To maximize response rates, aspects of Dillman’s “Tailored Design Method” will be followed.  </w:t>
      </w:r>
    </w:p>
    <w:p w:rsidR="005C14C3" w:rsidRDefault="005C14C3" w:rsidP="005C14C3"/>
    <w:p w:rsidR="005C14C3" w:rsidRDefault="005C14C3" w:rsidP="005C14C3">
      <w:r>
        <w:t xml:space="preserve">For example, each mailed survey package will include a cover letter that is addressed personally to the sampled physician or health center, and will include pieces of information that have been shown to be critical for enhancing response (e.g., the request, how the individual or health center was selected, and the usefulness of the information).  </w:t>
      </w:r>
    </w:p>
    <w:p w:rsidR="005C14C3" w:rsidRDefault="005C14C3" w:rsidP="005C14C3"/>
    <w:p w:rsidR="005C14C3" w:rsidRDefault="005C14C3" w:rsidP="005C14C3">
      <w:pPr>
        <w:widowControl w:val="0"/>
        <w:tabs>
          <w:tab w:val="left" w:pos="360"/>
          <w:tab w:val="left" w:pos="2160"/>
          <w:tab w:val="left" w:pos="2880"/>
          <w:tab w:val="left" w:pos="3600"/>
          <w:tab w:val="left" w:pos="4320"/>
          <w:tab w:val="left" w:pos="5040"/>
          <w:tab w:val="left" w:pos="5760"/>
          <w:tab w:val="left" w:pos="6480"/>
          <w:tab w:val="left" w:pos="7200"/>
          <w:tab w:val="left" w:pos="7920"/>
        </w:tabs>
      </w:pPr>
      <w:r>
        <w:t xml:space="preserve">We will also request that select partner organizations (e.g., American College of Obstetricians and Gynecologists), if they choose, send a pre-survey email to their constituents.  The content of the email will be left up to the discretion of the partner organization, but may include a positive and timely notice that the constituent may be receiving a request from the CDC and OPA to help with an important survey and encourage their participation.  </w:t>
      </w:r>
    </w:p>
    <w:p w:rsidR="005C14C3" w:rsidRDefault="005C14C3" w:rsidP="005C14C3"/>
    <w:p w:rsidR="005C14C3" w:rsidRDefault="005C14C3" w:rsidP="005C14C3">
      <w:r>
        <w:t xml:space="preserve">Once initial survey packages are mailed to respondents, multiple contacts will be made to non-respondents by the data collection contractor to encourage participation. These include sending a reminder postcard approximately 2-4 weeks after the initial mailing, an email reminder to private-sector physicians approximately one week later, a second copy of the survey sent approximately 2-4 weeks after the reminder postcard, followed by phone calls and email contacts (if email addresses are provided during phone call outreach) to those that have not responded to any of the previous contact attempts. </w:t>
      </w:r>
    </w:p>
    <w:p w:rsidR="005C14C3" w:rsidRDefault="005C14C3" w:rsidP="005C14C3"/>
    <w:p w:rsidR="005C14C3" w:rsidRDefault="005C14C3" w:rsidP="005C14C3">
      <w:r>
        <w:t xml:space="preserve">Last, to maximize the response rate, as well as to provide important family planning information, a family planning provider tool will be sent to all sampled providers and clinics as part of the initial mailing and invitation to participate. The provider tool will not summarize information to be queried about in the surveys, so as to not bias the survey results.  The provider tool may include one the following: recommended actions after late or missed combined hormonal contraception; a chart summarizing birth control method options; or infographic on making clinics teen-friendly.  </w:t>
      </w:r>
    </w:p>
    <w:p w:rsidR="005C14C3" w:rsidRDefault="005C14C3" w:rsidP="005C14C3"/>
    <w:p w:rsidR="005C14C3" w:rsidRDefault="005C14C3" w:rsidP="005C14C3"/>
    <w:p w:rsidR="005C14C3" w:rsidRDefault="005C14C3" w:rsidP="005C14C3">
      <w:r>
        <w:t xml:space="preserve">As the proposed samples are intended to be nationally representative (see section B1), data will be weighted after data collection.  The created weight variable will adjust for the probability of selection into the sample (given the varying sampling fractions to be employed), as well as nonresponse bias (given an anticipated response rate &lt;80%).  In addition, we will know basic information about each of the sampled physicians and health centers, which will be analyzed to understand general differences between respondents and non-respondents.  For example, for the publicly-funded family planning health centers, we will know the type of health center (e.g., Planned Parenthood, hospital, community health center).  For physicians, we will know background information such as specialty, gender, and graduation year from medical school. </w:t>
      </w:r>
    </w:p>
    <w:p w:rsidR="005C14C3" w:rsidRDefault="005C14C3" w:rsidP="005C14C3">
      <w:pPr>
        <w:pStyle w:val="Heading2"/>
        <w:rPr>
          <w:rFonts w:ascii="Times New Roman" w:hAnsi="Times New Roman" w:cs="Times New Roman"/>
          <w:i/>
          <w:color w:val="auto"/>
          <w:sz w:val="24"/>
          <w:szCs w:val="24"/>
        </w:rPr>
      </w:pPr>
      <w:bookmarkStart w:id="7" w:name="_Toc329519284"/>
      <w:r>
        <w:rPr>
          <w:rFonts w:ascii="Times New Roman" w:hAnsi="Times New Roman" w:cs="Times New Roman"/>
          <w:i/>
          <w:color w:val="auto"/>
          <w:sz w:val="24"/>
          <w:szCs w:val="24"/>
        </w:rPr>
        <w:t>B4. Tests of Procedures or Methods to be Undertaken</w:t>
      </w:r>
      <w:bookmarkEnd w:id="7"/>
    </w:p>
    <w:p w:rsidR="005C14C3" w:rsidRDefault="005C14C3" w:rsidP="005C14C3"/>
    <w:p w:rsidR="005C14C3" w:rsidRDefault="005C14C3" w:rsidP="005C14C3">
      <w:r>
        <w:t xml:space="preserve">The data collection procedures and instruments are mostly the same as those employed during our US MEC baseline data collection in Phase 1 (EPI AID No. 2010-024; OMB No. 0920-0008) and during our Phase 2 assessment (OMB Control No. 0920-0969).  </w:t>
      </w:r>
    </w:p>
    <w:p w:rsidR="005C14C3" w:rsidRDefault="005C14C3" w:rsidP="005C14C3"/>
    <w:p w:rsidR="005C14C3" w:rsidRDefault="005C14C3" w:rsidP="005C14C3">
      <w:r>
        <w:t xml:space="preserve">The data collection instruments were developed using input from internal and external consultants to improve clarity and validity.  The instruments were then pilot tested with a sample of no more than nine individuals. </w:t>
      </w:r>
    </w:p>
    <w:p w:rsidR="005C14C3" w:rsidRDefault="005C14C3" w:rsidP="005C14C3">
      <w:pPr>
        <w:pStyle w:val="Heading2"/>
        <w:rPr>
          <w:rFonts w:ascii="Times New Roman" w:hAnsi="Times New Roman" w:cs="Times New Roman"/>
          <w:i/>
          <w:color w:val="auto"/>
          <w:sz w:val="24"/>
          <w:szCs w:val="24"/>
        </w:rPr>
      </w:pPr>
      <w:bookmarkStart w:id="8" w:name="_Toc329519285"/>
      <w:r>
        <w:rPr>
          <w:rFonts w:ascii="Times New Roman" w:hAnsi="Times New Roman" w:cs="Times New Roman"/>
          <w:i/>
          <w:color w:val="auto"/>
          <w:sz w:val="24"/>
          <w:szCs w:val="24"/>
        </w:rPr>
        <w:t>B5. Individuals Consulted on Statistical Aspects and Individuals Collecting and/or Analyzing Data</w:t>
      </w:r>
      <w:bookmarkEnd w:id="8"/>
    </w:p>
    <w:p w:rsidR="005C14C3" w:rsidRDefault="005C14C3" w:rsidP="005C14C3"/>
    <w:tbl>
      <w:tblPr>
        <w:tblStyle w:val="TableGrid"/>
        <w:tblW w:w="0" w:type="auto"/>
        <w:tblLook w:val="04A0" w:firstRow="1" w:lastRow="0" w:firstColumn="1" w:lastColumn="0" w:noHBand="0" w:noVBand="1"/>
      </w:tblPr>
      <w:tblGrid>
        <w:gridCol w:w="4855"/>
        <w:gridCol w:w="2340"/>
        <w:gridCol w:w="2155"/>
      </w:tblGrid>
      <w:tr w:rsidR="005C14C3" w:rsidTr="00BD0511">
        <w:tc>
          <w:tcPr>
            <w:tcW w:w="4855" w:type="dxa"/>
          </w:tcPr>
          <w:p w:rsidR="005C14C3" w:rsidRDefault="005C14C3" w:rsidP="00BD0511">
            <w:pPr>
              <w:rPr>
                <w:b/>
                <w:sz w:val="22"/>
                <w:szCs w:val="22"/>
              </w:rPr>
            </w:pPr>
            <w:r>
              <w:rPr>
                <w:b/>
                <w:sz w:val="22"/>
                <w:szCs w:val="22"/>
              </w:rPr>
              <w:t>Name</w:t>
            </w:r>
          </w:p>
        </w:tc>
        <w:tc>
          <w:tcPr>
            <w:tcW w:w="2340" w:type="dxa"/>
          </w:tcPr>
          <w:p w:rsidR="005C14C3" w:rsidRDefault="005C14C3" w:rsidP="00BD0511">
            <w:pPr>
              <w:jc w:val="center"/>
              <w:rPr>
                <w:b/>
                <w:sz w:val="22"/>
                <w:szCs w:val="22"/>
              </w:rPr>
            </w:pPr>
            <w:r>
              <w:rPr>
                <w:b/>
                <w:sz w:val="22"/>
                <w:szCs w:val="22"/>
              </w:rPr>
              <w:t>Organization</w:t>
            </w:r>
          </w:p>
        </w:tc>
        <w:tc>
          <w:tcPr>
            <w:tcW w:w="2155" w:type="dxa"/>
          </w:tcPr>
          <w:p w:rsidR="005C14C3" w:rsidRDefault="005C14C3" w:rsidP="00BD0511">
            <w:pPr>
              <w:jc w:val="center"/>
              <w:rPr>
                <w:b/>
                <w:sz w:val="22"/>
                <w:szCs w:val="22"/>
              </w:rPr>
            </w:pPr>
            <w:r>
              <w:rPr>
                <w:b/>
                <w:sz w:val="22"/>
                <w:szCs w:val="22"/>
              </w:rPr>
              <w:t>Role</w:t>
            </w:r>
          </w:p>
        </w:tc>
      </w:tr>
      <w:tr w:rsidR="005C14C3" w:rsidTr="00BD0511">
        <w:tc>
          <w:tcPr>
            <w:tcW w:w="4855" w:type="dxa"/>
          </w:tcPr>
          <w:p w:rsidR="005C14C3" w:rsidRDefault="005C14C3" w:rsidP="00BD0511">
            <w:pPr>
              <w:rPr>
                <w:sz w:val="22"/>
                <w:szCs w:val="22"/>
              </w:rPr>
            </w:pPr>
            <w:r>
              <w:rPr>
                <w:sz w:val="22"/>
                <w:szCs w:val="22"/>
              </w:rPr>
              <w:t xml:space="preserve">Brian Morrow*,  (770) 488-6349,  </w:t>
            </w:r>
            <w:hyperlink r:id="rId9" w:history="1">
              <w:r>
                <w:rPr>
                  <w:rStyle w:val="Hyperlink"/>
                  <w:sz w:val="22"/>
                  <w:szCs w:val="22"/>
                </w:rPr>
                <w:t>bxm0@cdc.gov</w:t>
              </w:r>
            </w:hyperlink>
            <w:r>
              <w:rPr>
                <w:sz w:val="22"/>
                <w:szCs w:val="22"/>
              </w:rPr>
              <w:t xml:space="preserve"> </w:t>
            </w:r>
          </w:p>
        </w:tc>
        <w:tc>
          <w:tcPr>
            <w:tcW w:w="2340" w:type="dxa"/>
          </w:tcPr>
          <w:p w:rsidR="005C14C3" w:rsidRDefault="005C14C3" w:rsidP="00BD0511">
            <w:pPr>
              <w:jc w:val="center"/>
              <w:rPr>
                <w:sz w:val="22"/>
                <w:szCs w:val="22"/>
              </w:rPr>
            </w:pPr>
            <w:r>
              <w:rPr>
                <w:sz w:val="22"/>
                <w:szCs w:val="22"/>
              </w:rPr>
              <w:t>CDC/DRH</w:t>
            </w:r>
          </w:p>
        </w:tc>
        <w:tc>
          <w:tcPr>
            <w:tcW w:w="2155" w:type="dxa"/>
          </w:tcPr>
          <w:p w:rsidR="005C14C3" w:rsidRDefault="005C14C3" w:rsidP="00BD0511">
            <w:pPr>
              <w:jc w:val="center"/>
              <w:rPr>
                <w:sz w:val="22"/>
                <w:szCs w:val="22"/>
              </w:rPr>
            </w:pPr>
            <w:r>
              <w:rPr>
                <w:sz w:val="22"/>
                <w:szCs w:val="22"/>
              </w:rPr>
              <w:t>Statistician</w:t>
            </w:r>
          </w:p>
        </w:tc>
      </w:tr>
      <w:tr w:rsidR="005C14C3" w:rsidTr="00BD0511">
        <w:tc>
          <w:tcPr>
            <w:tcW w:w="4855" w:type="dxa"/>
          </w:tcPr>
          <w:p w:rsidR="005C14C3" w:rsidRDefault="005C14C3" w:rsidP="00BD0511">
            <w:pPr>
              <w:rPr>
                <w:sz w:val="22"/>
                <w:szCs w:val="22"/>
              </w:rPr>
            </w:pPr>
            <w:r>
              <w:rPr>
                <w:sz w:val="22"/>
                <w:szCs w:val="22"/>
              </w:rPr>
              <w:t xml:space="preserve">Gary Jeng*, (770) 488-6216, </w:t>
            </w:r>
            <w:hyperlink r:id="rId10" w:history="1">
              <w:r>
                <w:rPr>
                  <w:rStyle w:val="Hyperlink"/>
                  <w:sz w:val="22"/>
                  <w:szCs w:val="22"/>
                </w:rPr>
                <w:t>gaj9@cdc.gov</w:t>
              </w:r>
            </w:hyperlink>
            <w:r>
              <w:rPr>
                <w:sz w:val="22"/>
                <w:szCs w:val="22"/>
              </w:rPr>
              <w:t xml:space="preserve"> </w:t>
            </w:r>
          </w:p>
        </w:tc>
        <w:tc>
          <w:tcPr>
            <w:tcW w:w="2340" w:type="dxa"/>
          </w:tcPr>
          <w:p w:rsidR="005C14C3" w:rsidRDefault="005C14C3" w:rsidP="00BD0511">
            <w:pPr>
              <w:jc w:val="center"/>
              <w:rPr>
                <w:sz w:val="22"/>
                <w:szCs w:val="22"/>
              </w:rPr>
            </w:pPr>
            <w:r>
              <w:rPr>
                <w:sz w:val="22"/>
                <w:szCs w:val="22"/>
              </w:rPr>
              <w:t>CDC/DRH</w:t>
            </w:r>
          </w:p>
        </w:tc>
        <w:tc>
          <w:tcPr>
            <w:tcW w:w="2155" w:type="dxa"/>
          </w:tcPr>
          <w:p w:rsidR="005C14C3" w:rsidRDefault="005C14C3" w:rsidP="00BD0511">
            <w:pPr>
              <w:jc w:val="center"/>
              <w:rPr>
                <w:sz w:val="22"/>
                <w:szCs w:val="22"/>
              </w:rPr>
            </w:pPr>
            <w:r>
              <w:rPr>
                <w:sz w:val="22"/>
                <w:szCs w:val="22"/>
              </w:rPr>
              <w:t>Statistician</w:t>
            </w:r>
          </w:p>
        </w:tc>
      </w:tr>
      <w:tr w:rsidR="005C14C3" w:rsidTr="00BD0511">
        <w:tc>
          <w:tcPr>
            <w:tcW w:w="4855" w:type="dxa"/>
          </w:tcPr>
          <w:p w:rsidR="005C14C3" w:rsidRDefault="005C14C3" w:rsidP="00BD0511">
            <w:pPr>
              <w:rPr>
                <w:sz w:val="22"/>
                <w:szCs w:val="22"/>
              </w:rPr>
            </w:pPr>
            <w:r>
              <w:rPr>
                <w:sz w:val="22"/>
                <w:szCs w:val="22"/>
              </w:rPr>
              <w:t xml:space="preserve">Michele Mandel*, (770) 488-6361, </w:t>
            </w:r>
            <w:hyperlink r:id="rId11" w:history="1">
              <w:r>
                <w:rPr>
                  <w:rStyle w:val="Hyperlink"/>
                  <w:sz w:val="22"/>
                  <w:szCs w:val="22"/>
                </w:rPr>
                <w:t>mgm2@cdc.gov</w:t>
              </w:r>
            </w:hyperlink>
            <w:r>
              <w:rPr>
                <w:sz w:val="22"/>
                <w:szCs w:val="22"/>
              </w:rPr>
              <w:t xml:space="preserve"> </w:t>
            </w:r>
          </w:p>
        </w:tc>
        <w:tc>
          <w:tcPr>
            <w:tcW w:w="2340" w:type="dxa"/>
          </w:tcPr>
          <w:p w:rsidR="005C14C3" w:rsidRDefault="005C14C3" w:rsidP="00BD0511">
            <w:pPr>
              <w:jc w:val="center"/>
              <w:rPr>
                <w:sz w:val="22"/>
                <w:szCs w:val="22"/>
              </w:rPr>
            </w:pPr>
            <w:r>
              <w:rPr>
                <w:sz w:val="22"/>
                <w:szCs w:val="22"/>
              </w:rPr>
              <w:t>CDC/DRH</w:t>
            </w:r>
          </w:p>
        </w:tc>
        <w:tc>
          <w:tcPr>
            <w:tcW w:w="2155" w:type="dxa"/>
          </w:tcPr>
          <w:p w:rsidR="005C14C3" w:rsidRDefault="005C14C3" w:rsidP="00BD0511">
            <w:pPr>
              <w:jc w:val="center"/>
              <w:rPr>
                <w:sz w:val="22"/>
                <w:szCs w:val="22"/>
              </w:rPr>
            </w:pPr>
            <w:r>
              <w:rPr>
                <w:sz w:val="22"/>
                <w:szCs w:val="22"/>
              </w:rPr>
              <w:t>Data analyst</w:t>
            </w:r>
          </w:p>
        </w:tc>
      </w:tr>
      <w:tr w:rsidR="005C14C3" w:rsidTr="00BD0511">
        <w:tc>
          <w:tcPr>
            <w:tcW w:w="4855" w:type="dxa"/>
          </w:tcPr>
          <w:p w:rsidR="005C14C3" w:rsidRDefault="005C14C3" w:rsidP="00BD0511">
            <w:pPr>
              <w:rPr>
                <w:sz w:val="22"/>
                <w:szCs w:val="22"/>
              </w:rPr>
            </w:pPr>
            <w:r>
              <w:rPr>
                <w:sz w:val="22"/>
                <w:szCs w:val="22"/>
              </w:rPr>
              <w:t>Cindy Reilly, Project Manager</w:t>
            </w:r>
          </w:p>
        </w:tc>
        <w:tc>
          <w:tcPr>
            <w:tcW w:w="2340" w:type="dxa"/>
          </w:tcPr>
          <w:p w:rsidR="005C14C3" w:rsidRDefault="005C14C3" w:rsidP="00BD0511">
            <w:pPr>
              <w:jc w:val="center"/>
              <w:rPr>
                <w:sz w:val="22"/>
                <w:szCs w:val="22"/>
              </w:rPr>
            </w:pPr>
            <w:r>
              <w:rPr>
                <w:sz w:val="22"/>
                <w:szCs w:val="22"/>
              </w:rPr>
              <w:t>Insignia Federal Group</w:t>
            </w:r>
          </w:p>
        </w:tc>
        <w:tc>
          <w:tcPr>
            <w:tcW w:w="2155" w:type="dxa"/>
          </w:tcPr>
          <w:p w:rsidR="005C14C3" w:rsidRDefault="005C14C3" w:rsidP="00BD0511">
            <w:pPr>
              <w:jc w:val="center"/>
              <w:rPr>
                <w:sz w:val="22"/>
                <w:szCs w:val="22"/>
              </w:rPr>
            </w:pPr>
            <w:r>
              <w:rPr>
                <w:sz w:val="22"/>
                <w:szCs w:val="22"/>
              </w:rPr>
              <w:t>Data collection</w:t>
            </w:r>
          </w:p>
        </w:tc>
      </w:tr>
      <w:tr w:rsidR="005C14C3" w:rsidTr="00BD0511">
        <w:tc>
          <w:tcPr>
            <w:tcW w:w="4855" w:type="dxa"/>
          </w:tcPr>
          <w:p w:rsidR="005C14C3" w:rsidRDefault="005C14C3" w:rsidP="00BD0511">
            <w:pPr>
              <w:rPr>
                <w:sz w:val="22"/>
                <w:szCs w:val="22"/>
              </w:rPr>
            </w:pPr>
            <w:r>
              <w:rPr>
                <w:sz w:val="22"/>
                <w:szCs w:val="22"/>
              </w:rPr>
              <w:t>Bea Snidow, Data Analyst/Manger</w:t>
            </w:r>
          </w:p>
        </w:tc>
        <w:tc>
          <w:tcPr>
            <w:tcW w:w="2340" w:type="dxa"/>
          </w:tcPr>
          <w:p w:rsidR="005C14C3" w:rsidRDefault="005C14C3" w:rsidP="00BD0511">
            <w:pPr>
              <w:jc w:val="center"/>
              <w:rPr>
                <w:sz w:val="22"/>
                <w:szCs w:val="22"/>
              </w:rPr>
            </w:pPr>
            <w:r>
              <w:rPr>
                <w:sz w:val="22"/>
                <w:szCs w:val="22"/>
              </w:rPr>
              <w:t>Insignia Federal Group</w:t>
            </w:r>
          </w:p>
        </w:tc>
        <w:tc>
          <w:tcPr>
            <w:tcW w:w="2155" w:type="dxa"/>
          </w:tcPr>
          <w:p w:rsidR="005C14C3" w:rsidRDefault="005C14C3" w:rsidP="00BD0511">
            <w:pPr>
              <w:jc w:val="center"/>
              <w:rPr>
                <w:sz w:val="22"/>
                <w:szCs w:val="22"/>
              </w:rPr>
            </w:pPr>
            <w:r>
              <w:rPr>
                <w:sz w:val="22"/>
                <w:szCs w:val="22"/>
              </w:rPr>
              <w:t>Data collection</w:t>
            </w:r>
          </w:p>
        </w:tc>
      </w:tr>
      <w:tr w:rsidR="005C14C3" w:rsidTr="00BD0511">
        <w:tc>
          <w:tcPr>
            <w:tcW w:w="4855" w:type="dxa"/>
          </w:tcPr>
          <w:p w:rsidR="005C14C3" w:rsidRDefault="005C14C3" w:rsidP="00BD0511">
            <w:pPr>
              <w:rPr>
                <w:sz w:val="22"/>
                <w:szCs w:val="22"/>
              </w:rPr>
            </w:pPr>
            <w:r>
              <w:rPr>
                <w:sz w:val="22"/>
                <w:szCs w:val="22"/>
              </w:rPr>
              <w:t>David Burns, Data Analyst/Manager</w:t>
            </w:r>
          </w:p>
        </w:tc>
        <w:tc>
          <w:tcPr>
            <w:tcW w:w="2340" w:type="dxa"/>
          </w:tcPr>
          <w:p w:rsidR="005C14C3" w:rsidRDefault="005C14C3" w:rsidP="00BD0511">
            <w:pPr>
              <w:jc w:val="center"/>
              <w:rPr>
                <w:sz w:val="22"/>
                <w:szCs w:val="22"/>
              </w:rPr>
            </w:pPr>
            <w:r>
              <w:rPr>
                <w:sz w:val="22"/>
                <w:szCs w:val="22"/>
              </w:rPr>
              <w:t>Insignia Federal Group</w:t>
            </w:r>
          </w:p>
        </w:tc>
        <w:tc>
          <w:tcPr>
            <w:tcW w:w="2155" w:type="dxa"/>
          </w:tcPr>
          <w:p w:rsidR="005C14C3" w:rsidRDefault="005C14C3" w:rsidP="00BD0511">
            <w:pPr>
              <w:jc w:val="center"/>
              <w:rPr>
                <w:sz w:val="22"/>
                <w:szCs w:val="22"/>
              </w:rPr>
            </w:pPr>
            <w:r>
              <w:rPr>
                <w:sz w:val="22"/>
                <w:szCs w:val="22"/>
              </w:rPr>
              <w:t>Data collection</w:t>
            </w:r>
          </w:p>
        </w:tc>
      </w:tr>
      <w:tr w:rsidR="005C14C3" w:rsidTr="00BD0511">
        <w:tc>
          <w:tcPr>
            <w:tcW w:w="4855" w:type="dxa"/>
          </w:tcPr>
          <w:p w:rsidR="005C14C3" w:rsidRDefault="005C14C3" w:rsidP="00BD0511">
            <w:pPr>
              <w:rPr>
                <w:sz w:val="22"/>
                <w:szCs w:val="22"/>
              </w:rPr>
            </w:pPr>
            <w:r>
              <w:rPr>
                <w:sz w:val="22"/>
                <w:szCs w:val="22"/>
              </w:rPr>
              <w:t xml:space="preserve">Lauren Zapata*,  (770) 488-6358,  </w:t>
            </w:r>
            <w:hyperlink r:id="rId12" w:history="1">
              <w:r>
                <w:rPr>
                  <w:rStyle w:val="Hyperlink"/>
                  <w:sz w:val="22"/>
                  <w:szCs w:val="22"/>
                </w:rPr>
                <w:t>dvq8@cdc.gov</w:t>
              </w:r>
            </w:hyperlink>
            <w:r>
              <w:rPr>
                <w:sz w:val="22"/>
                <w:szCs w:val="22"/>
              </w:rPr>
              <w:t xml:space="preserve"> </w:t>
            </w:r>
          </w:p>
        </w:tc>
        <w:tc>
          <w:tcPr>
            <w:tcW w:w="2340" w:type="dxa"/>
          </w:tcPr>
          <w:p w:rsidR="005C14C3" w:rsidRDefault="005C14C3" w:rsidP="00BD0511">
            <w:pPr>
              <w:jc w:val="center"/>
              <w:rPr>
                <w:sz w:val="22"/>
                <w:szCs w:val="22"/>
              </w:rPr>
            </w:pPr>
            <w:r>
              <w:rPr>
                <w:sz w:val="22"/>
                <w:szCs w:val="22"/>
              </w:rPr>
              <w:t>CDC/DRH</w:t>
            </w:r>
          </w:p>
        </w:tc>
        <w:tc>
          <w:tcPr>
            <w:tcW w:w="2155" w:type="dxa"/>
          </w:tcPr>
          <w:p w:rsidR="005C14C3" w:rsidRDefault="005C14C3" w:rsidP="00BD0511">
            <w:pPr>
              <w:jc w:val="center"/>
              <w:rPr>
                <w:sz w:val="22"/>
                <w:szCs w:val="22"/>
              </w:rPr>
            </w:pPr>
            <w:r>
              <w:rPr>
                <w:sz w:val="22"/>
                <w:szCs w:val="22"/>
              </w:rPr>
              <w:t>Data analyst</w:t>
            </w:r>
          </w:p>
        </w:tc>
      </w:tr>
      <w:tr w:rsidR="005C14C3" w:rsidTr="00BD0511">
        <w:tc>
          <w:tcPr>
            <w:tcW w:w="4855" w:type="dxa"/>
          </w:tcPr>
          <w:p w:rsidR="005C14C3" w:rsidRDefault="005C14C3" w:rsidP="00BD0511">
            <w:pPr>
              <w:rPr>
                <w:sz w:val="22"/>
                <w:szCs w:val="22"/>
              </w:rPr>
            </w:pPr>
            <w:r>
              <w:rPr>
                <w:sz w:val="22"/>
                <w:szCs w:val="22"/>
              </w:rPr>
              <w:t xml:space="preserve">Maura Whiteman*, (770) 488-6293,  </w:t>
            </w:r>
            <w:hyperlink r:id="rId13" w:history="1">
              <w:r>
                <w:rPr>
                  <w:rStyle w:val="Hyperlink"/>
                  <w:sz w:val="22"/>
                  <w:szCs w:val="22"/>
                </w:rPr>
                <w:t>acq5@cdc.gov</w:t>
              </w:r>
            </w:hyperlink>
            <w:r>
              <w:rPr>
                <w:sz w:val="22"/>
                <w:szCs w:val="22"/>
              </w:rPr>
              <w:t xml:space="preserve"> </w:t>
            </w:r>
          </w:p>
        </w:tc>
        <w:tc>
          <w:tcPr>
            <w:tcW w:w="2340" w:type="dxa"/>
          </w:tcPr>
          <w:p w:rsidR="005C14C3" w:rsidRDefault="005C14C3" w:rsidP="00BD0511">
            <w:pPr>
              <w:jc w:val="center"/>
              <w:rPr>
                <w:sz w:val="22"/>
                <w:szCs w:val="22"/>
              </w:rPr>
            </w:pPr>
            <w:r>
              <w:rPr>
                <w:sz w:val="22"/>
                <w:szCs w:val="22"/>
              </w:rPr>
              <w:t>CDC/DRH</w:t>
            </w:r>
          </w:p>
        </w:tc>
        <w:tc>
          <w:tcPr>
            <w:tcW w:w="2155" w:type="dxa"/>
          </w:tcPr>
          <w:p w:rsidR="005C14C3" w:rsidRDefault="005C14C3" w:rsidP="00BD0511">
            <w:pPr>
              <w:jc w:val="center"/>
              <w:rPr>
                <w:sz w:val="22"/>
                <w:szCs w:val="22"/>
              </w:rPr>
            </w:pPr>
            <w:r>
              <w:rPr>
                <w:sz w:val="22"/>
                <w:szCs w:val="22"/>
              </w:rPr>
              <w:t>Data analyst</w:t>
            </w:r>
          </w:p>
        </w:tc>
      </w:tr>
      <w:tr w:rsidR="005C14C3" w:rsidTr="00BD0511">
        <w:tc>
          <w:tcPr>
            <w:tcW w:w="4855" w:type="dxa"/>
          </w:tcPr>
          <w:p w:rsidR="005C14C3" w:rsidRDefault="005C14C3" w:rsidP="00BD0511">
            <w:pPr>
              <w:rPr>
                <w:sz w:val="22"/>
                <w:szCs w:val="22"/>
              </w:rPr>
            </w:pPr>
            <w:r>
              <w:rPr>
                <w:sz w:val="22"/>
                <w:szCs w:val="22"/>
              </w:rPr>
              <w:t xml:space="preserve">Kate Curtis*, (770) 488-6387, </w:t>
            </w:r>
            <w:hyperlink r:id="rId14" w:history="1">
              <w:r>
                <w:rPr>
                  <w:rStyle w:val="Hyperlink"/>
                  <w:sz w:val="22"/>
                  <w:szCs w:val="22"/>
                </w:rPr>
                <w:t>kmc6@cdc.gov</w:t>
              </w:r>
            </w:hyperlink>
            <w:r>
              <w:rPr>
                <w:sz w:val="22"/>
                <w:szCs w:val="22"/>
              </w:rPr>
              <w:t xml:space="preserve">  </w:t>
            </w:r>
          </w:p>
        </w:tc>
        <w:tc>
          <w:tcPr>
            <w:tcW w:w="2340" w:type="dxa"/>
          </w:tcPr>
          <w:p w:rsidR="005C14C3" w:rsidRDefault="005C14C3" w:rsidP="00BD0511">
            <w:pPr>
              <w:jc w:val="center"/>
              <w:rPr>
                <w:sz w:val="22"/>
                <w:szCs w:val="22"/>
              </w:rPr>
            </w:pPr>
            <w:r>
              <w:rPr>
                <w:sz w:val="22"/>
                <w:szCs w:val="22"/>
              </w:rPr>
              <w:t>CDC/DRH</w:t>
            </w:r>
          </w:p>
        </w:tc>
        <w:tc>
          <w:tcPr>
            <w:tcW w:w="2155" w:type="dxa"/>
          </w:tcPr>
          <w:p w:rsidR="005C14C3" w:rsidRDefault="005C14C3" w:rsidP="00BD0511">
            <w:pPr>
              <w:jc w:val="center"/>
              <w:rPr>
                <w:sz w:val="22"/>
                <w:szCs w:val="22"/>
              </w:rPr>
            </w:pPr>
            <w:r>
              <w:rPr>
                <w:sz w:val="22"/>
                <w:szCs w:val="22"/>
              </w:rPr>
              <w:t>Data analyst</w:t>
            </w:r>
          </w:p>
        </w:tc>
      </w:tr>
      <w:tr w:rsidR="005C14C3" w:rsidTr="00BD0511">
        <w:tc>
          <w:tcPr>
            <w:tcW w:w="4855" w:type="dxa"/>
          </w:tcPr>
          <w:p w:rsidR="005C14C3" w:rsidRDefault="005C14C3" w:rsidP="00BD0511">
            <w:pPr>
              <w:rPr>
                <w:sz w:val="22"/>
                <w:szCs w:val="22"/>
              </w:rPr>
            </w:pPr>
            <w:r>
              <w:rPr>
                <w:sz w:val="22"/>
                <w:szCs w:val="22"/>
              </w:rPr>
              <w:t xml:space="preserve">Naomi Tepper*, (770) 488-6506, </w:t>
            </w:r>
            <w:hyperlink r:id="rId15" w:history="1">
              <w:r>
                <w:rPr>
                  <w:rStyle w:val="Hyperlink"/>
                  <w:sz w:val="22"/>
                  <w:szCs w:val="22"/>
                </w:rPr>
                <w:t>gdq2@cdc.gov</w:t>
              </w:r>
            </w:hyperlink>
            <w:r>
              <w:rPr>
                <w:sz w:val="22"/>
                <w:szCs w:val="22"/>
              </w:rPr>
              <w:t xml:space="preserve"> </w:t>
            </w:r>
          </w:p>
        </w:tc>
        <w:tc>
          <w:tcPr>
            <w:tcW w:w="2340" w:type="dxa"/>
          </w:tcPr>
          <w:p w:rsidR="005C14C3" w:rsidRDefault="005C14C3" w:rsidP="00BD0511">
            <w:pPr>
              <w:jc w:val="center"/>
              <w:rPr>
                <w:sz w:val="22"/>
                <w:szCs w:val="22"/>
              </w:rPr>
            </w:pPr>
            <w:r>
              <w:rPr>
                <w:sz w:val="22"/>
                <w:szCs w:val="22"/>
              </w:rPr>
              <w:t>CDC/DRH</w:t>
            </w:r>
          </w:p>
        </w:tc>
        <w:tc>
          <w:tcPr>
            <w:tcW w:w="2155" w:type="dxa"/>
          </w:tcPr>
          <w:p w:rsidR="005C14C3" w:rsidRDefault="005C14C3" w:rsidP="00BD0511">
            <w:pPr>
              <w:jc w:val="center"/>
              <w:rPr>
                <w:sz w:val="22"/>
                <w:szCs w:val="22"/>
              </w:rPr>
            </w:pPr>
            <w:r>
              <w:rPr>
                <w:sz w:val="22"/>
                <w:szCs w:val="22"/>
              </w:rPr>
              <w:t>Data analyst</w:t>
            </w:r>
          </w:p>
        </w:tc>
      </w:tr>
      <w:tr w:rsidR="005C14C3" w:rsidTr="00BD0511">
        <w:tc>
          <w:tcPr>
            <w:tcW w:w="4855" w:type="dxa"/>
          </w:tcPr>
          <w:p w:rsidR="005C14C3" w:rsidRDefault="005C14C3" w:rsidP="00BD0511">
            <w:pPr>
              <w:rPr>
                <w:sz w:val="22"/>
                <w:szCs w:val="22"/>
              </w:rPr>
            </w:pPr>
            <w:r>
              <w:rPr>
                <w:sz w:val="22"/>
                <w:szCs w:val="22"/>
              </w:rPr>
              <w:t xml:space="preserve">Tara Jatlaoui*, (770) 488-6537, </w:t>
            </w:r>
            <w:hyperlink r:id="rId16" w:history="1">
              <w:r>
                <w:rPr>
                  <w:rStyle w:val="Hyperlink"/>
                  <w:sz w:val="22"/>
                  <w:szCs w:val="22"/>
                </w:rPr>
                <w:t>kgz4@cdc.gov</w:t>
              </w:r>
            </w:hyperlink>
            <w:r>
              <w:rPr>
                <w:sz w:val="22"/>
                <w:szCs w:val="22"/>
              </w:rPr>
              <w:t xml:space="preserve"> </w:t>
            </w:r>
          </w:p>
        </w:tc>
        <w:tc>
          <w:tcPr>
            <w:tcW w:w="2340" w:type="dxa"/>
          </w:tcPr>
          <w:p w:rsidR="005C14C3" w:rsidRDefault="005C14C3" w:rsidP="00BD0511">
            <w:pPr>
              <w:jc w:val="center"/>
              <w:rPr>
                <w:sz w:val="22"/>
                <w:szCs w:val="22"/>
              </w:rPr>
            </w:pPr>
            <w:r>
              <w:rPr>
                <w:sz w:val="22"/>
                <w:szCs w:val="22"/>
              </w:rPr>
              <w:t>CDC/DRH</w:t>
            </w:r>
          </w:p>
        </w:tc>
        <w:tc>
          <w:tcPr>
            <w:tcW w:w="2155" w:type="dxa"/>
          </w:tcPr>
          <w:p w:rsidR="005C14C3" w:rsidRDefault="005C14C3" w:rsidP="00BD0511">
            <w:pPr>
              <w:jc w:val="center"/>
              <w:rPr>
                <w:sz w:val="22"/>
                <w:szCs w:val="22"/>
              </w:rPr>
            </w:pPr>
            <w:r>
              <w:rPr>
                <w:sz w:val="22"/>
                <w:szCs w:val="22"/>
              </w:rPr>
              <w:t>Data analyst</w:t>
            </w:r>
          </w:p>
        </w:tc>
      </w:tr>
      <w:tr w:rsidR="005C14C3" w:rsidTr="00BD0511">
        <w:tc>
          <w:tcPr>
            <w:tcW w:w="4855" w:type="dxa"/>
          </w:tcPr>
          <w:p w:rsidR="005C14C3" w:rsidRDefault="005C14C3" w:rsidP="00BD0511">
            <w:pPr>
              <w:rPr>
                <w:sz w:val="22"/>
                <w:szCs w:val="22"/>
              </w:rPr>
            </w:pPr>
            <w:r>
              <w:rPr>
                <w:sz w:val="22"/>
                <w:szCs w:val="22"/>
              </w:rPr>
              <w:t>Isabel Morgan*, (404) 498-1266, mqx4@cdc.gov</w:t>
            </w:r>
          </w:p>
        </w:tc>
        <w:tc>
          <w:tcPr>
            <w:tcW w:w="2340" w:type="dxa"/>
          </w:tcPr>
          <w:p w:rsidR="005C14C3" w:rsidRDefault="005C14C3" w:rsidP="00BD0511">
            <w:pPr>
              <w:jc w:val="center"/>
              <w:rPr>
                <w:sz w:val="22"/>
                <w:szCs w:val="22"/>
              </w:rPr>
            </w:pPr>
            <w:r>
              <w:rPr>
                <w:sz w:val="22"/>
                <w:szCs w:val="22"/>
              </w:rPr>
              <w:t>CDC/DRH</w:t>
            </w:r>
          </w:p>
        </w:tc>
        <w:tc>
          <w:tcPr>
            <w:tcW w:w="2155" w:type="dxa"/>
          </w:tcPr>
          <w:p w:rsidR="005C14C3" w:rsidRDefault="005C14C3" w:rsidP="00BD0511">
            <w:pPr>
              <w:jc w:val="center"/>
              <w:rPr>
                <w:sz w:val="22"/>
                <w:szCs w:val="22"/>
              </w:rPr>
            </w:pPr>
            <w:r>
              <w:rPr>
                <w:sz w:val="22"/>
                <w:szCs w:val="22"/>
              </w:rPr>
              <w:t>Data analyst</w:t>
            </w:r>
          </w:p>
        </w:tc>
      </w:tr>
    </w:tbl>
    <w:p w:rsidR="005C14C3" w:rsidRDefault="005C14C3" w:rsidP="005C14C3">
      <w:pPr>
        <w:rPr>
          <w:sz w:val="20"/>
          <w:szCs w:val="20"/>
        </w:rPr>
      </w:pPr>
      <w:r>
        <w:rPr>
          <w:sz w:val="20"/>
          <w:szCs w:val="20"/>
        </w:rPr>
        <w:t>*Contributed to design of the data collection and analysis.</w:t>
      </w:r>
    </w:p>
    <w:p w:rsidR="005C14C3" w:rsidRDefault="005C14C3" w:rsidP="005C14C3"/>
    <w:p w:rsidR="005C14C3" w:rsidRDefault="005C14C3" w:rsidP="005C14C3"/>
    <w:p w:rsidR="005C14C3" w:rsidRDefault="005C14C3" w:rsidP="005C14C3">
      <w:pPr>
        <w:pStyle w:val="Heading1"/>
        <w:spacing w:before="0"/>
        <w:jc w:val="center"/>
        <w:rPr>
          <w:rFonts w:ascii="Times New Roman" w:hAnsi="Times New Roman" w:cs="Times New Roman"/>
        </w:rPr>
      </w:pPr>
    </w:p>
    <w:p w:rsidR="005C14C3" w:rsidRDefault="005C14C3"/>
    <w:sectPr w:rsidR="005C14C3" w:rsidSect="00D26908">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4C3" w:rsidRDefault="005C14C3" w:rsidP="005C14C3">
      <w:r>
        <w:separator/>
      </w:r>
    </w:p>
  </w:endnote>
  <w:endnote w:type="continuationSeparator" w:id="0">
    <w:p w:rsidR="005C14C3" w:rsidRDefault="005C14C3" w:rsidP="005C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00779"/>
      <w:docPartObj>
        <w:docPartGallery w:val="Page Numbers (Bottom of Page)"/>
        <w:docPartUnique/>
      </w:docPartObj>
    </w:sdtPr>
    <w:sdtEndPr>
      <w:rPr>
        <w:noProof/>
      </w:rPr>
    </w:sdtEndPr>
    <w:sdtContent>
      <w:p w:rsidR="005C14C3" w:rsidRDefault="005C14C3">
        <w:pPr>
          <w:pStyle w:val="Footer"/>
          <w:jc w:val="right"/>
        </w:pPr>
        <w:r>
          <w:fldChar w:fldCharType="begin"/>
        </w:r>
        <w:r>
          <w:instrText xml:space="preserve"> PAGE   \* MERGEFORMAT </w:instrText>
        </w:r>
        <w:r>
          <w:fldChar w:fldCharType="separate"/>
        </w:r>
        <w:r w:rsidR="00F63164">
          <w:rPr>
            <w:noProof/>
          </w:rPr>
          <w:t>1</w:t>
        </w:r>
        <w:r>
          <w:rPr>
            <w:noProof/>
          </w:rPr>
          <w:fldChar w:fldCharType="end"/>
        </w:r>
      </w:p>
    </w:sdtContent>
  </w:sdt>
  <w:p w:rsidR="005C14C3" w:rsidRDefault="005C1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4C3" w:rsidRDefault="005C14C3" w:rsidP="005C14C3">
      <w:r>
        <w:separator/>
      </w:r>
    </w:p>
  </w:footnote>
  <w:footnote w:type="continuationSeparator" w:id="0">
    <w:p w:rsidR="005C14C3" w:rsidRDefault="005C14C3" w:rsidP="005C1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7B1"/>
    <w:multiLevelType w:val="hybridMultilevel"/>
    <w:tmpl w:val="A200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137AF"/>
    <w:multiLevelType w:val="hybridMultilevel"/>
    <w:tmpl w:val="DB5A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F24FE3"/>
    <w:multiLevelType w:val="hybridMultilevel"/>
    <w:tmpl w:val="D0167D88"/>
    <w:lvl w:ilvl="0" w:tplc="25AA6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4C3"/>
    <w:rsid w:val="00592165"/>
    <w:rsid w:val="005C14C3"/>
    <w:rsid w:val="00D26908"/>
    <w:rsid w:val="00F6316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4C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C14C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C14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C3"/>
    <w:pPr>
      <w:tabs>
        <w:tab w:val="center" w:pos="4680"/>
        <w:tab w:val="right" w:pos="9360"/>
      </w:tabs>
    </w:pPr>
  </w:style>
  <w:style w:type="character" w:customStyle="1" w:styleId="HeaderChar">
    <w:name w:val="Header Char"/>
    <w:basedOn w:val="DefaultParagraphFont"/>
    <w:link w:val="Header"/>
    <w:uiPriority w:val="99"/>
    <w:rsid w:val="005C14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14C3"/>
    <w:pPr>
      <w:tabs>
        <w:tab w:val="center" w:pos="4680"/>
        <w:tab w:val="right" w:pos="9360"/>
      </w:tabs>
    </w:pPr>
  </w:style>
  <w:style w:type="character" w:customStyle="1" w:styleId="FooterChar">
    <w:name w:val="Footer Char"/>
    <w:basedOn w:val="DefaultParagraphFont"/>
    <w:link w:val="Footer"/>
    <w:uiPriority w:val="99"/>
    <w:rsid w:val="005C14C3"/>
    <w:rPr>
      <w:rFonts w:ascii="Times New Roman" w:eastAsia="Times New Roman" w:hAnsi="Times New Roman" w:cs="Times New Roman"/>
      <w:sz w:val="24"/>
      <w:szCs w:val="24"/>
    </w:rPr>
  </w:style>
  <w:style w:type="paragraph" w:styleId="TOC1">
    <w:name w:val="toc 1"/>
    <w:basedOn w:val="Normal"/>
    <w:next w:val="Normal"/>
    <w:uiPriority w:val="39"/>
    <w:rsid w:val="005C14C3"/>
    <w:pPr>
      <w:tabs>
        <w:tab w:val="right" w:leader="dot" w:pos="9360"/>
      </w:tabs>
      <w:spacing w:before="240"/>
      <w:ind w:left="540" w:right="720" w:hanging="540"/>
    </w:pPr>
    <w:rPr>
      <w:noProof/>
      <w:szCs w:val="20"/>
    </w:rPr>
  </w:style>
  <w:style w:type="paragraph" w:customStyle="1" w:styleId="TOCHeader">
    <w:name w:val="TOC Header"/>
    <w:basedOn w:val="Normal"/>
    <w:rsid w:val="005C14C3"/>
    <w:pPr>
      <w:tabs>
        <w:tab w:val="right" w:pos="9360"/>
      </w:tabs>
      <w:spacing w:after="240"/>
    </w:pPr>
    <w:rPr>
      <w:szCs w:val="20"/>
      <w:u w:val="words"/>
    </w:rPr>
  </w:style>
  <w:style w:type="paragraph" w:customStyle="1" w:styleId="Default">
    <w:name w:val="Default"/>
    <w:rsid w:val="005C14C3"/>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customStyle="1" w:styleId="BodyTextaft-12">
    <w:name w:val="Body Text_aft-12"/>
    <w:basedOn w:val="Normal"/>
    <w:qFormat/>
    <w:rsid w:val="005C14C3"/>
    <w:pPr>
      <w:spacing w:before="120" w:after="120"/>
    </w:pPr>
    <w:rPr>
      <w:sz w:val="22"/>
      <w:szCs w:val="20"/>
    </w:rPr>
  </w:style>
  <w:style w:type="character" w:customStyle="1" w:styleId="Heading1Char">
    <w:name w:val="Heading 1 Char"/>
    <w:basedOn w:val="DefaultParagraphFont"/>
    <w:link w:val="Heading1"/>
    <w:rsid w:val="005C14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C14C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C14C3"/>
    <w:pPr>
      <w:ind w:left="720"/>
      <w:contextualSpacing/>
    </w:pPr>
  </w:style>
  <w:style w:type="character" w:styleId="Hyperlink">
    <w:name w:val="Hyperlink"/>
    <w:basedOn w:val="DefaultParagraphFont"/>
    <w:uiPriority w:val="99"/>
    <w:rsid w:val="005C14C3"/>
    <w:rPr>
      <w:color w:val="0563C1" w:themeColor="hyperlink"/>
      <w:u w:val="single"/>
    </w:rPr>
  </w:style>
  <w:style w:type="table" w:styleId="TableGrid">
    <w:name w:val="Table Grid"/>
    <w:basedOn w:val="TableNormal"/>
    <w:rsid w:val="005C14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4C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C14C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C14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C3"/>
    <w:pPr>
      <w:tabs>
        <w:tab w:val="center" w:pos="4680"/>
        <w:tab w:val="right" w:pos="9360"/>
      </w:tabs>
    </w:pPr>
  </w:style>
  <w:style w:type="character" w:customStyle="1" w:styleId="HeaderChar">
    <w:name w:val="Header Char"/>
    <w:basedOn w:val="DefaultParagraphFont"/>
    <w:link w:val="Header"/>
    <w:uiPriority w:val="99"/>
    <w:rsid w:val="005C14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14C3"/>
    <w:pPr>
      <w:tabs>
        <w:tab w:val="center" w:pos="4680"/>
        <w:tab w:val="right" w:pos="9360"/>
      </w:tabs>
    </w:pPr>
  </w:style>
  <w:style w:type="character" w:customStyle="1" w:styleId="FooterChar">
    <w:name w:val="Footer Char"/>
    <w:basedOn w:val="DefaultParagraphFont"/>
    <w:link w:val="Footer"/>
    <w:uiPriority w:val="99"/>
    <w:rsid w:val="005C14C3"/>
    <w:rPr>
      <w:rFonts w:ascii="Times New Roman" w:eastAsia="Times New Roman" w:hAnsi="Times New Roman" w:cs="Times New Roman"/>
      <w:sz w:val="24"/>
      <w:szCs w:val="24"/>
    </w:rPr>
  </w:style>
  <w:style w:type="paragraph" w:styleId="TOC1">
    <w:name w:val="toc 1"/>
    <w:basedOn w:val="Normal"/>
    <w:next w:val="Normal"/>
    <w:uiPriority w:val="39"/>
    <w:rsid w:val="005C14C3"/>
    <w:pPr>
      <w:tabs>
        <w:tab w:val="right" w:leader="dot" w:pos="9360"/>
      </w:tabs>
      <w:spacing w:before="240"/>
      <w:ind w:left="540" w:right="720" w:hanging="540"/>
    </w:pPr>
    <w:rPr>
      <w:noProof/>
      <w:szCs w:val="20"/>
    </w:rPr>
  </w:style>
  <w:style w:type="paragraph" w:customStyle="1" w:styleId="TOCHeader">
    <w:name w:val="TOC Header"/>
    <w:basedOn w:val="Normal"/>
    <w:rsid w:val="005C14C3"/>
    <w:pPr>
      <w:tabs>
        <w:tab w:val="right" w:pos="9360"/>
      </w:tabs>
      <w:spacing w:after="240"/>
    </w:pPr>
    <w:rPr>
      <w:szCs w:val="20"/>
      <w:u w:val="words"/>
    </w:rPr>
  </w:style>
  <w:style w:type="paragraph" w:customStyle="1" w:styleId="Default">
    <w:name w:val="Default"/>
    <w:rsid w:val="005C14C3"/>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customStyle="1" w:styleId="BodyTextaft-12">
    <w:name w:val="Body Text_aft-12"/>
    <w:basedOn w:val="Normal"/>
    <w:qFormat/>
    <w:rsid w:val="005C14C3"/>
    <w:pPr>
      <w:spacing w:before="120" w:after="120"/>
    </w:pPr>
    <w:rPr>
      <w:sz w:val="22"/>
      <w:szCs w:val="20"/>
    </w:rPr>
  </w:style>
  <w:style w:type="character" w:customStyle="1" w:styleId="Heading1Char">
    <w:name w:val="Heading 1 Char"/>
    <w:basedOn w:val="DefaultParagraphFont"/>
    <w:link w:val="Heading1"/>
    <w:rsid w:val="005C14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C14C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C14C3"/>
    <w:pPr>
      <w:ind w:left="720"/>
      <w:contextualSpacing/>
    </w:pPr>
  </w:style>
  <w:style w:type="character" w:styleId="Hyperlink">
    <w:name w:val="Hyperlink"/>
    <w:basedOn w:val="DefaultParagraphFont"/>
    <w:uiPriority w:val="99"/>
    <w:rsid w:val="005C14C3"/>
    <w:rPr>
      <w:color w:val="0563C1" w:themeColor="hyperlink"/>
      <w:u w:val="single"/>
    </w:rPr>
  </w:style>
  <w:style w:type="table" w:styleId="TableGrid">
    <w:name w:val="Table Grid"/>
    <w:basedOn w:val="TableNormal"/>
    <w:rsid w:val="005C14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p-v-maso-apps/RecSched/ViewSchedule.aspx?RID=29" TargetMode="External"/><Relationship Id="rId13" Type="http://schemas.openxmlformats.org/officeDocument/2006/relationships/hyperlink" Target="mailto:acq5@cdc.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vq8@cdc.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kgz4@cdc.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gm2@cdc.gov" TargetMode="External"/><Relationship Id="rId5" Type="http://schemas.openxmlformats.org/officeDocument/2006/relationships/webSettings" Target="webSettings.xml"/><Relationship Id="rId15" Type="http://schemas.openxmlformats.org/officeDocument/2006/relationships/hyperlink" Target="mailto:gdq2@cdc.gov" TargetMode="External"/><Relationship Id="rId10" Type="http://schemas.openxmlformats.org/officeDocument/2006/relationships/hyperlink" Target="mailto:gaj9@cdc.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xm0@cdc.gov" TargetMode="External"/><Relationship Id="rId14" Type="http://schemas.openxmlformats.org/officeDocument/2006/relationships/hyperlink" Target="mailto:kmc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Tindal, Lisa Danielle (CDC/ONDIEH/NCCDPHP) (CTR)</dc:creator>
  <cp:keywords/>
  <dc:description/>
  <cp:lastModifiedBy>SYSTEM</cp:lastModifiedBy>
  <cp:revision>2</cp:revision>
  <dcterms:created xsi:type="dcterms:W3CDTF">2018-10-04T15:07:00Z</dcterms:created>
  <dcterms:modified xsi:type="dcterms:W3CDTF">2018-10-04T15:07:00Z</dcterms:modified>
</cp:coreProperties>
</file>