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36535"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bookmarkStart w:id="0" w:name="_GoBack"/>
      <w:bookmarkEnd w:id="0"/>
    </w:p>
    <w:p w14:paraId="219E6F0F" w14:textId="7A79F3E9" w:rsidR="00396A70" w:rsidRDefault="00974AC5" w:rsidP="00396A70">
      <w:pPr>
        <w:pStyle w:val="P1-StandPara"/>
        <w:tabs>
          <w:tab w:val="left" w:pos="720"/>
          <w:tab w:val="right" w:leader="dot" w:pos="9504"/>
        </w:tabs>
        <w:spacing w:before="120" w:after="120"/>
        <w:ind w:firstLine="0"/>
        <w:jc w:val="center"/>
        <w:rPr>
          <w:rFonts w:ascii="Calibri" w:hAnsi="Calibri"/>
          <w:sz w:val="28"/>
          <w:szCs w:val="28"/>
        </w:rPr>
      </w:pPr>
      <w:r w:rsidRPr="00974AC5">
        <w:rPr>
          <w:rFonts w:ascii="Calibri" w:hAnsi="Calibri"/>
          <w:sz w:val="28"/>
          <w:szCs w:val="28"/>
        </w:rPr>
        <w:t>Supporting Statement A</w:t>
      </w:r>
    </w:p>
    <w:p w14:paraId="5A23E27A" w14:textId="77777777" w:rsidR="0095737A" w:rsidRDefault="00396A70" w:rsidP="00396A70">
      <w:pPr>
        <w:pStyle w:val="P1-StandPara"/>
        <w:tabs>
          <w:tab w:val="left" w:pos="720"/>
          <w:tab w:val="right" w:leader="dot" w:pos="9504"/>
        </w:tabs>
        <w:spacing w:before="120" w:after="120"/>
        <w:ind w:firstLine="0"/>
        <w:jc w:val="center"/>
        <w:rPr>
          <w:rFonts w:ascii="Calibri" w:hAnsi="Calibri"/>
          <w:sz w:val="32"/>
          <w:szCs w:val="32"/>
        </w:rPr>
      </w:pPr>
      <w:r w:rsidRPr="00974AC5">
        <w:rPr>
          <w:rFonts w:ascii="Calibri" w:hAnsi="Calibri"/>
          <w:sz w:val="32"/>
          <w:szCs w:val="32"/>
        </w:rPr>
        <w:t xml:space="preserve">Intramural Continuing Umbrella of </w:t>
      </w:r>
    </w:p>
    <w:p w14:paraId="7754F87A" w14:textId="61C260B1" w:rsidR="0095737A" w:rsidRDefault="0095737A" w:rsidP="00396A70">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Research Experience</w:t>
      </w:r>
      <w:r w:rsidR="00A15A36">
        <w:rPr>
          <w:rFonts w:ascii="Calibri" w:hAnsi="Calibri"/>
          <w:sz w:val="32"/>
          <w:szCs w:val="32"/>
        </w:rPr>
        <w:t>s</w:t>
      </w:r>
      <w:r w:rsidR="00396A70" w:rsidRPr="00974AC5">
        <w:rPr>
          <w:rFonts w:ascii="Calibri" w:hAnsi="Calibri"/>
          <w:sz w:val="32"/>
          <w:szCs w:val="32"/>
        </w:rPr>
        <w:t xml:space="preserve"> (iCURE) Application</w:t>
      </w:r>
      <w:r w:rsidR="00A15A36">
        <w:rPr>
          <w:rFonts w:ascii="Calibri" w:hAnsi="Calibri"/>
          <w:sz w:val="32"/>
          <w:szCs w:val="32"/>
        </w:rPr>
        <w:t>s</w:t>
      </w:r>
      <w:r w:rsidR="00396A70" w:rsidRPr="00974AC5">
        <w:rPr>
          <w:rFonts w:ascii="Calibri" w:hAnsi="Calibri"/>
          <w:sz w:val="32"/>
          <w:szCs w:val="32"/>
        </w:rPr>
        <w:t xml:space="preserve"> </w:t>
      </w:r>
    </w:p>
    <w:p w14:paraId="56174CE4" w14:textId="2DB44201" w:rsidR="00024899" w:rsidRPr="00974AC5" w:rsidRDefault="00974AC5" w:rsidP="00396A70">
      <w:pPr>
        <w:pStyle w:val="P1-StandPara"/>
        <w:tabs>
          <w:tab w:val="left" w:pos="720"/>
          <w:tab w:val="right" w:leader="dot" w:pos="9504"/>
        </w:tabs>
        <w:spacing w:before="120" w:after="120"/>
        <w:ind w:firstLine="0"/>
        <w:jc w:val="center"/>
        <w:rPr>
          <w:rFonts w:ascii="Calibri" w:hAnsi="Calibri"/>
          <w:sz w:val="32"/>
          <w:szCs w:val="32"/>
        </w:rPr>
      </w:pPr>
      <w:r>
        <w:rPr>
          <w:rFonts w:ascii="Calibri" w:hAnsi="Calibri"/>
          <w:sz w:val="32"/>
          <w:szCs w:val="32"/>
        </w:rPr>
        <w:t>(</w:t>
      </w:r>
      <w:r w:rsidR="00396A70" w:rsidRPr="00974AC5">
        <w:rPr>
          <w:rFonts w:ascii="Calibri" w:hAnsi="Calibri"/>
          <w:sz w:val="32"/>
          <w:szCs w:val="32"/>
        </w:rPr>
        <w:t>N</w:t>
      </w:r>
      <w:r w:rsidR="0095737A">
        <w:rPr>
          <w:rFonts w:ascii="Calibri" w:hAnsi="Calibri"/>
          <w:sz w:val="32"/>
          <w:szCs w:val="32"/>
        </w:rPr>
        <w:t>ational Cancer Institute</w:t>
      </w:r>
      <w:r>
        <w:rPr>
          <w:rFonts w:ascii="Calibri" w:hAnsi="Calibri"/>
          <w:sz w:val="32"/>
          <w:szCs w:val="32"/>
        </w:rPr>
        <w:t>)</w:t>
      </w:r>
    </w:p>
    <w:p w14:paraId="50D785A7" w14:textId="77777777" w:rsidR="00974AC5" w:rsidRDefault="00974AC5" w:rsidP="00E35DD1">
      <w:pPr>
        <w:pStyle w:val="P1-StandPara"/>
        <w:tabs>
          <w:tab w:val="left" w:pos="720"/>
          <w:tab w:val="right" w:leader="dot" w:pos="9504"/>
        </w:tabs>
        <w:spacing w:before="120" w:after="120"/>
        <w:ind w:firstLine="0"/>
        <w:rPr>
          <w:rFonts w:ascii="Calibri" w:hAnsi="Calibri"/>
          <w:szCs w:val="22"/>
        </w:rPr>
      </w:pPr>
    </w:p>
    <w:p w14:paraId="56EDBABE" w14:textId="398D65A9" w:rsidR="00E35DD1" w:rsidRPr="00236E27" w:rsidRDefault="00E35DD1" w:rsidP="00E35DD1">
      <w:pPr>
        <w:pStyle w:val="P1-StandPara"/>
        <w:tabs>
          <w:tab w:val="left" w:pos="720"/>
          <w:tab w:val="right" w:leader="dot" w:pos="9504"/>
        </w:tabs>
        <w:spacing w:before="120" w:after="120"/>
        <w:ind w:firstLine="0"/>
        <w:rPr>
          <w:rFonts w:ascii="Calibri" w:hAnsi="Calibri"/>
          <w:sz w:val="24"/>
          <w:szCs w:val="24"/>
        </w:rPr>
      </w:pPr>
      <w:r w:rsidRPr="00236E27">
        <w:rPr>
          <w:rFonts w:ascii="Calibri" w:hAnsi="Calibri"/>
          <w:sz w:val="24"/>
          <w:szCs w:val="24"/>
        </w:rPr>
        <w:t>Date</w:t>
      </w:r>
      <w:r w:rsidR="00BE76A7" w:rsidRPr="00236E27">
        <w:rPr>
          <w:rFonts w:ascii="Calibri" w:hAnsi="Calibri"/>
          <w:sz w:val="24"/>
          <w:szCs w:val="24"/>
        </w:rPr>
        <w:t xml:space="preserve">: </w:t>
      </w:r>
      <w:r w:rsidR="00A15A36">
        <w:rPr>
          <w:rFonts w:ascii="Calibri" w:hAnsi="Calibri"/>
          <w:sz w:val="24"/>
          <w:szCs w:val="24"/>
        </w:rPr>
        <w:t xml:space="preserve">October </w:t>
      </w:r>
      <w:r w:rsidR="00B0197E">
        <w:rPr>
          <w:rFonts w:ascii="Calibri" w:hAnsi="Calibri"/>
          <w:sz w:val="24"/>
          <w:szCs w:val="24"/>
        </w:rPr>
        <w:t>4</w:t>
      </w:r>
      <w:r w:rsidR="00396A70" w:rsidRPr="00236E27">
        <w:rPr>
          <w:rFonts w:ascii="Calibri" w:hAnsi="Calibri"/>
          <w:sz w:val="24"/>
          <w:szCs w:val="24"/>
        </w:rPr>
        <w:t>, 2018</w:t>
      </w:r>
      <w:r w:rsidRPr="00236E27">
        <w:rPr>
          <w:rFonts w:ascii="Calibri" w:hAnsi="Calibri"/>
          <w:sz w:val="24"/>
          <w:szCs w:val="24"/>
        </w:rPr>
        <w:t xml:space="preserve"> </w:t>
      </w:r>
    </w:p>
    <w:p w14:paraId="0394D2F0" w14:textId="77777777" w:rsidR="00974AC5" w:rsidRPr="00236E27" w:rsidRDefault="00974AC5" w:rsidP="00BE76A7">
      <w:pPr>
        <w:pStyle w:val="P1-StandPara"/>
        <w:tabs>
          <w:tab w:val="left" w:pos="720"/>
          <w:tab w:val="right" w:leader="dot" w:pos="9504"/>
        </w:tabs>
        <w:spacing w:before="120" w:after="120" w:line="240" w:lineRule="auto"/>
        <w:ind w:firstLine="0"/>
        <w:rPr>
          <w:rFonts w:ascii="Calibri" w:hAnsi="Calibri"/>
          <w:sz w:val="24"/>
          <w:szCs w:val="24"/>
        </w:rPr>
      </w:pPr>
    </w:p>
    <w:p w14:paraId="7921E4C9" w14:textId="2D49CEF2" w:rsidR="00E35DD1" w:rsidRPr="00236E27" w:rsidRDefault="00BE76A7" w:rsidP="00BE76A7">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Federal Government Employee Address:</w:t>
      </w:r>
    </w:p>
    <w:p w14:paraId="2452E417" w14:textId="77777777" w:rsidR="00E35DD1" w:rsidRPr="00236E27" w:rsidRDefault="00E35DD1" w:rsidP="00396A70">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Name:</w:t>
      </w:r>
      <w:r w:rsidR="00396A70" w:rsidRPr="00236E27">
        <w:rPr>
          <w:rFonts w:ascii="Calibri" w:hAnsi="Calibri"/>
          <w:sz w:val="24"/>
          <w:szCs w:val="24"/>
        </w:rPr>
        <w:t xml:space="preserve"> Alison Lin</w:t>
      </w:r>
    </w:p>
    <w:p w14:paraId="1B04FD95" w14:textId="77777777" w:rsidR="00E35DD1" w:rsidRPr="00236E27" w:rsidRDefault="00E35DD1" w:rsidP="00396A70">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Address:</w:t>
      </w:r>
      <w:r w:rsidR="00396A70" w:rsidRPr="00236E27">
        <w:rPr>
          <w:rFonts w:ascii="Calibri" w:hAnsi="Calibri"/>
          <w:sz w:val="24"/>
          <w:szCs w:val="24"/>
        </w:rPr>
        <w:t xml:space="preserve"> 9609 Medical Center Drive, MSC 9746 Rm 6W236, Rockville, MD 20892</w:t>
      </w:r>
    </w:p>
    <w:p w14:paraId="2980EB96" w14:textId="77777777" w:rsidR="00E35DD1" w:rsidRPr="00236E27" w:rsidRDefault="00E35DD1" w:rsidP="00396A70">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Telephone:</w:t>
      </w:r>
      <w:r w:rsidR="00396A70" w:rsidRPr="00236E27">
        <w:rPr>
          <w:rFonts w:ascii="Calibri" w:hAnsi="Calibri"/>
          <w:sz w:val="24"/>
          <w:szCs w:val="24"/>
        </w:rPr>
        <w:t xml:space="preserve"> 240-276-6177</w:t>
      </w:r>
    </w:p>
    <w:p w14:paraId="51DAA4A5" w14:textId="77777777" w:rsidR="00E35DD1" w:rsidRPr="00236E27" w:rsidRDefault="00E35DD1" w:rsidP="00396A70">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Fax:</w:t>
      </w:r>
      <w:r w:rsidR="00396A70" w:rsidRPr="00236E27">
        <w:rPr>
          <w:rFonts w:ascii="Calibri" w:hAnsi="Calibri"/>
          <w:sz w:val="24"/>
          <w:szCs w:val="24"/>
        </w:rPr>
        <w:t xml:space="preserve"> 240-276-7862</w:t>
      </w:r>
    </w:p>
    <w:p w14:paraId="4BEB2EE6" w14:textId="77777777" w:rsidR="00E35DD1" w:rsidRPr="00236E27" w:rsidRDefault="00E35DD1" w:rsidP="00396A70">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Email:</w:t>
      </w:r>
      <w:r w:rsidR="00396A70" w:rsidRPr="00236E27">
        <w:rPr>
          <w:rFonts w:ascii="Calibri" w:hAnsi="Calibri"/>
          <w:sz w:val="24"/>
          <w:szCs w:val="24"/>
        </w:rPr>
        <w:t xml:space="preserve"> </w:t>
      </w:r>
      <w:hyperlink r:id="rId9" w:history="1">
        <w:r w:rsidR="00396A70" w:rsidRPr="00236E27">
          <w:rPr>
            <w:rFonts w:ascii="Calibri" w:hAnsi="Calibri"/>
            <w:sz w:val="24"/>
            <w:szCs w:val="24"/>
          </w:rPr>
          <w:t>linaj@mail.nih.gov</w:t>
        </w:r>
      </w:hyperlink>
    </w:p>
    <w:p w14:paraId="1873090B" w14:textId="77777777" w:rsidR="006A45F9" w:rsidRPr="00236E27" w:rsidRDefault="006A45F9" w:rsidP="00BE76A7">
      <w:pPr>
        <w:pStyle w:val="P1-StandPara"/>
        <w:tabs>
          <w:tab w:val="left" w:pos="720"/>
          <w:tab w:val="right" w:leader="dot" w:pos="9504"/>
        </w:tabs>
        <w:spacing w:before="120" w:line="240" w:lineRule="auto"/>
        <w:ind w:firstLine="0"/>
        <w:rPr>
          <w:rFonts w:ascii="Calibri" w:hAnsi="Calibri"/>
          <w:sz w:val="24"/>
          <w:szCs w:val="24"/>
        </w:rPr>
      </w:pPr>
    </w:p>
    <w:p w14:paraId="1343404D" w14:textId="77777777" w:rsidR="00974AC5" w:rsidRPr="00236E27" w:rsidRDefault="00974AC5" w:rsidP="00BE76A7">
      <w:pPr>
        <w:pStyle w:val="P1-StandPara"/>
        <w:tabs>
          <w:tab w:val="left" w:pos="720"/>
          <w:tab w:val="right" w:leader="dot" w:pos="9504"/>
        </w:tabs>
        <w:spacing w:before="120" w:line="240" w:lineRule="auto"/>
        <w:ind w:firstLine="0"/>
        <w:rPr>
          <w:rFonts w:ascii="Calibri" w:hAnsi="Calibri"/>
          <w:sz w:val="24"/>
          <w:szCs w:val="24"/>
        </w:rPr>
      </w:pPr>
    </w:p>
    <w:p w14:paraId="14745A85" w14:textId="77777777" w:rsidR="00974AC5" w:rsidRPr="00236E27" w:rsidRDefault="00974AC5" w:rsidP="00BE76A7">
      <w:pPr>
        <w:pStyle w:val="P1-StandPara"/>
        <w:tabs>
          <w:tab w:val="left" w:pos="720"/>
          <w:tab w:val="right" w:leader="dot" w:pos="9504"/>
        </w:tabs>
        <w:spacing w:before="120" w:line="240" w:lineRule="auto"/>
        <w:ind w:firstLine="0"/>
        <w:rPr>
          <w:rFonts w:ascii="Calibri" w:hAnsi="Calibri"/>
          <w:sz w:val="24"/>
          <w:szCs w:val="24"/>
        </w:rPr>
      </w:pPr>
    </w:p>
    <w:p w14:paraId="102EBC85" w14:textId="16068DA3" w:rsidR="00BE76A7" w:rsidRPr="00236E27" w:rsidRDefault="00BE76A7" w:rsidP="00BE76A7">
      <w:pPr>
        <w:pStyle w:val="P1-StandPara"/>
        <w:tabs>
          <w:tab w:val="left" w:pos="720"/>
          <w:tab w:val="right" w:leader="dot" w:pos="9504"/>
        </w:tabs>
        <w:spacing w:before="120" w:line="240" w:lineRule="auto"/>
        <w:ind w:firstLine="0"/>
        <w:rPr>
          <w:rFonts w:ascii="Calibri" w:hAnsi="Calibri"/>
          <w:sz w:val="24"/>
          <w:szCs w:val="24"/>
        </w:rPr>
      </w:pPr>
      <w:r w:rsidRPr="00236E27">
        <w:rPr>
          <w:rFonts w:ascii="Calibri" w:hAnsi="Calibri"/>
          <w:sz w:val="24"/>
          <w:szCs w:val="24"/>
        </w:rPr>
        <w:t>Check off which applies:</w:t>
      </w:r>
    </w:p>
    <w:p w14:paraId="6C0305C4" w14:textId="77777777" w:rsidR="0030270C" w:rsidRPr="00236E27" w:rsidRDefault="00BE76A7" w:rsidP="006A45F9">
      <w:pPr>
        <w:numPr>
          <w:ilvl w:val="0"/>
          <w:numId w:val="11"/>
        </w:numPr>
        <w:spacing w:after="0" w:line="240" w:lineRule="auto"/>
        <w:rPr>
          <w:sz w:val="24"/>
          <w:szCs w:val="24"/>
        </w:rPr>
      </w:pPr>
      <w:r w:rsidRPr="00236E27">
        <w:rPr>
          <w:sz w:val="24"/>
          <w:szCs w:val="24"/>
        </w:rPr>
        <w:t xml:space="preserve">New </w:t>
      </w:r>
    </w:p>
    <w:p w14:paraId="4B012D09" w14:textId="77777777" w:rsidR="006A45F9" w:rsidRPr="00236E27" w:rsidRDefault="00BE76A7" w:rsidP="006A45F9">
      <w:pPr>
        <w:numPr>
          <w:ilvl w:val="0"/>
          <w:numId w:val="11"/>
        </w:numPr>
        <w:spacing w:after="0" w:line="240" w:lineRule="auto"/>
        <w:rPr>
          <w:sz w:val="24"/>
          <w:szCs w:val="24"/>
        </w:rPr>
      </w:pPr>
      <w:r w:rsidRPr="00236E27">
        <w:rPr>
          <w:sz w:val="24"/>
          <w:szCs w:val="24"/>
        </w:rPr>
        <w:t>Revision</w:t>
      </w:r>
      <w:r w:rsidR="006A45F9" w:rsidRPr="00236E27">
        <w:rPr>
          <w:sz w:val="24"/>
          <w:szCs w:val="24"/>
        </w:rPr>
        <w:tab/>
      </w:r>
      <w:r w:rsidR="006A45F9" w:rsidRPr="00236E27">
        <w:rPr>
          <w:sz w:val="24"/>
          <w:szCs w:val="24"/>
        </w:rPr>
        <w:tab/>
      </w:r>
      <w:r w:rsidR="006A45F9" w:rsidRPr="00236E27">
        <w:rPr>
          <w:sz w:val="24"/>
          <w:szCs w:val="24"/>
        </w:rPr>
        <w:tab/>
      </w:r>
    </w:p>
    <w:p w14:paraId="07297D6D" w14:textId="77777777" w:rsidR="006A45F9" w:rsidRPr="00236E27" w:rsidRDefault="006A45F9" w:rsidP="006A45F9">
      <w:pPr>
        <w:numPr>
          <w:ilvl w:val="0"/>
          <w:numId w:val="11"/>
        </w:numPr>
        <w:spacing w:after="0" w:line="240" w:lineRule="auto"/>
        <w:rPr>
          <w:sz w:val="24"/>
          <w:szCs w:val="24"/>
        </w:rPr>
      </w:pPr>
      <w:r w:rsidRPr="00236E27">
        <w:rPr>
          <w:sz w:val="24"/>
          <w:szCs w:val="24"/>
        </w:rPr>
        <w:t>Reinstatement with Change</w:t>
      </w:r>
    </w:p>
    <w:p w14:paraId="5DBD7931" w14:textId="77777777" w:rsidR="00BE76A7" w:rsidRPr="00236E27" w:rsidRDefault="00BE76A7" w:rsidP="00BE76A7">
      <w:pPr>
        <w:numPr>
          <w:ilvl w:val="0"/>
          <w:numId w:val="11"/>
        </w:numPr>
        <w:spacing w:after="0" w:line="240" w:lineRule="auto"/>
        <w:rPr>
          <w:sz w:val="24"/>
          <w:szCs w:val="24"/>
        </w:rPr>
      </w:pPr>
      <w:r w:rsidRPr="00236E27">
        <w:rPr>
          <w:sz w:val="24"/>
          <w:szCs w:val="24"/>
        </w:rPr>
        <w:t>Reinstatement with</w:t>
      </w:r>
      <w:r w:rsidR="006A45F9" w:rsidRPr="00236E27">
        <w:rPr>
          <w:sz w:val="24"/>
          <w:szCs w:val="24"/>
        </w:rPr>
        <w:t>out</w:t>
      </w:r>
      <w:r w:rsidRPr="00236E27">
        <w:rPr>
          <w:sz w:val="24"/>
          <w:szCs w:val="24"/>
        </w:rPr>
        <w:t xml:space="preserve"> Change</w:t>
      </w:r>
    </w:p>
    <w:p w14:paraId="48DF284A" w14:textId="77777777" w:rsidR="006A45F9" w:rsidRPr="00236E27" w:rsidRDefault="006A45F9" w:rsidP="006A45F9">
      <w:pPr>
        <w:numPr>
          <w:ilvl w:val="0"/>
          <w:numId w:val="11"/>
        </w:numPr>
        <w:spacing w:after="0" w:line="240" w:lineRule="auto"/>
        <w:rPr>
          <w:sz w:val="24"/>
          <w:szCs w:val="24"/>
        </w:rPr>
      </w:pPr>
      <w:r w:rsidRPr="00236E27">
        <w:rPr>
          <w:sz w:val="24"/>
          <w:szCs w:val="24"/>
        </w:rPr>
        <w:t>Extension</w:t>
      </w:r>
    </w:p>
    <w:p w14:paraId="4F3775C8" w14:textId="6960DF87" w:rsidR="006A3B1A" w:rsidRPr="00236E27" w:rsidRDefault="006A45F9" w:rsidP="000F78FC">
      <w:pPr>
        <w:numPr>
          <w:ilvl w:val="0"/>
          <w:numId w:val="11"/>
        </w:numPr>
        <w:spacing w:after="0" w:line="240" w:lineRule="auto"/>
        <w:ind w:left="360" w:firstLine="0"/>
        <w:rPr>
          <w:sz w:val="24"/>
          <w:szCs w:val="24"/>
        </w:rPr>
      </w:pPr>
      <w:r w:rsidRPr="00236E27">
        <w:rPr>
          <w:sz w:val="24"/>
          <w:szCs w:val="24"/>
        </w:rPr>
        <w:t>Emergenc</w:t>
      </w:r>
      <w:r w:rsidR="006A3B1A" w:rsidRPr="00236E27">
        <w:rPr>
          <w:sz w:val="24"/>
          <w:szCs w:val="24"/>
        </w:rPr>
        <w:t>e</w:t>
      </w:r>
    </w:p>
    <w:p w14:paraId="4EFA113C" w14:textId="67ED20EE" w:rsidR="006A45F9" w:rsidRPr="00236E27" w:rsidRDefault="00FC27A7" w:rsidP="000F78FC">
      <w:pPr>
        <w:numPr>
          <w:ilvl w:val="0"/>
          <w:numId w:val="11"/>
        </w:numPr>
        <w:tabs>
          <w:tab w:val="clear" w:pos="720"/>
          <w:tab w:val="num" w:pos="450"/>
        </w:tabs>
        <w:spacing w:after="0" w:line="240" w:lineRule="auto"/>
        <w:ind w:left="360" w:firstLine="0"/>
        <w:rPr>
          <w:b/>
          <w:sz w:val="24"/>
          <w:szCs w:val="24"/>
        </w:rPr>
      </w:pPr>
      <w:r w:rsidRPr="00236E27">
        <w:rPr>
          <w:b/>
          <w:sz w:val="24"/>
          <w:szCs w:val="24"/>
        </w:rPr>
        <w:t>X Existing</w:t>
      </w:r>
      <w:r w:rsidR="006A3B1A" w:rsidRPr="00236E27">
        <w:rPr>
          <w:b/>
          <w:sz w:val="24"/>
          <w:szCs w:val="24"/>
        </w:rPr>
        <w:t xml:space="preserve"> Collection in Use</w:t>
      </w:r>
    </w:p>
    <w:p w14:paraId="492B667B" w14:textId="77777777" w:rsidR="00236E27" w:rsidRDefault="00236E27">
      <w:pPr>
        <w:spacing w:after="0" w:line="240" w:lineRule="auto"/>
        <w:rPr>
          <w:rFonts w:asciiTheme="minorHAnsi" w:eastAsia="Times New Roman" w:hAnsiTheme="minorHAnsi" w:cstheme="minorHAnsi"/>
          <w:b/>
          <w:sz w:val="24"/>
          <w:szCs w:val="24"/>
          <w:u w:val="single"/>
        </w:rPr>
      </w:pPr>
      <w:r>
        <w:rPr>
          <w:rFonts w:asciiTheme="minorHAnsi" w:hAnsiTheme="minorHAnsi" w:cstheme="minorHAnsi"/>
          <w:b/>
          <w:sz w:val="24"/>
          <w:szCs w:val="24"/>
          <w:u w:val="single"/>
        </w:rPr>
        <w:br w:type="page"/>
      </w:r>
    </w:p>
    <w:p w14:paraId="3D88A5AB" w14:textId="42621E26" w:rsidR="00F069DB" w:rsidRPr="00236E27" w:rsidRDefault="00F069DB" w:rsidP="00F069DB">
      <w:pPr>
        <w:pStyle w:val="P1-StandPara"/>
        <w:spacing w:before="120" w:after="120"/>
        <w:ind w:left="360" w:firstLine="0"/>
        <w:jc w:val="center"/>
        <w:rPr>
          <w:rFonts w:asciiTheme="minorHAnsi" w:hAnsiTheme="minorHAnsi" w:cstheme="minorHAnsi"/>
          <w:b/>
          <w:sz w:val="24"/>
          <w:szCs w:val="24"/>
          <w:u w:val="single"/>
        </w:rPr>
      </w:pPr>
      <w:r w:rsidRPr="00236E27">
        <w:rPr>
          <w:rFonts w:asciiTheme="minorHAnsi" w:hAnsiTheme="minorHAnsi" w:cstheme="minorHAnsi"/>
          <w:b/>
          <w:sz w:val="24"/>
          <w:szCs w:val="24"/>
          <w:u w:val="single"/>
        </w:rPr>
        <w:lastRenderedPageBreak/>
        <w:t>Table of Contents</w:t>
      </w:r>
      <w:r w:rsidRPr="00236E27">
        <w:rPr>
          <w:rFonts w:asciiTheme="minorHAnsi" w:hAnsiTheme="minorHAnsi" w:cstheme="minorHAnsi"/>
          <w:b/>
          <w:sz w:val="24"/>
          <w:szCs w:val="24"/>
        </w:rPr>
        <w:t xml:space="preserve">             </w:t>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rPr>
        <w:tab/>
      </w:r>
      <w:r w:rsidRPr="00236E27">
        <w:rPr>
          <w:rFonts w:asciiTheme="minorHAnsi" w:hAnsiTheme="minorHAnsi" w:cstheme="minorHAnsi"/>
          <w:b/>
          <w:sz w:val="24"/>
          <w:szCs w:val="24"/>
          <w:u w:val="single"/>
        </w:rPr>
        <w:t>Page</w:t>
      </w:r>
    </w:p>
    <w:p w14:paraId="3E4876F3" w14:textId="5F9EE79A"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fldChar w:fldCharType="begin"/>
      </w:r>
      <w:r w:rsidRPr="00236E27">
        <w:rPr>
          <w:rFonts w:asciiTheme="minorHAnsi" w:hAnsiTheme="minorHAnsi" w:cstheme="minorHAnsi"/>
          <w:sz w:val="24"/>
          <w:szCs w:val="24"/>
        </w:rPr>
        <w:instrText xml:space="preserve"> TOC \o "1-2" \u </w:instrText>
      </w:r>
      <w:r w:rsidRPr="00236E27">
        <w:rPr>
          <w:rFonts w:asciiTheme="minorHAnsi" w:hAnsiTheme="minorHAnsi" w:cstheme="minorHAnsi"/>
          <w:sz w:val="24"/>
          <w:szCs w:val="24"/>
        </w:rPr>
        <w:fldChar w:fldCharType="separate"/>
      </w:r>
      <w:r w:rsidRPr="00236E27">
        <w:rPr>
          <w:rFonts w:asciiTheme="minorHAnsi" w:hAnsiTheme="minorHAnsi" w:cstheme="minorHAnsi"/>
          <w:sz w:val="24"/>
          <w:szCs w:val="24"/>
        </w:rPr>
        <w:t>A.</w:t>
      </w:r>
      <w:r w:rsidRPr="00236E27">
        <w:rPr>
          <w:rFonts w:asciiTheme="minorHAnsi" w:hAnsiTheme="minorHAnsi" w:cstheme="minorHAnsi"/>
          <w:sz w:val="24"/>
          <w:szCs w:val="24"/>
        </w:rPr>
        <w:tab/>
        <w:t xml:space="preserve">   JUSTIFICATION</w:t>
      </w:r>
      <w:r w:rsidRPr="00236E27">
        <w:rPr>
          <w:rFonts w:asciiTheme="minorHAnsi" w:hAnsiTheme="minorHAnsi" w:cstheme="minorHAnsi"/>
          <w:sz w:val="24"/>
          <w:szCs w:val="24"/>
        </w:rPr>
        <w:tab/>
        <w:t>1</w:t>
      </w:r>
    </w:p>
    <w:p w14:paraId="7D081C58" w14:textId="62DC76D6"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w:t>
      </w:r>
      <w:r w:rsidRPr="00236E27">
        <w:rPr>
          <w:rFonts w:asciiTheme="minorHAnsi" w:hAnsiTheme="minorHAnsi" w:cstheme="minorHAnsi"/>
          <w:sz w:val="24"/>
          <w:szCs w:val="24"/>
        </w:rPr>
        <w:tab/>
        <w:t xml:space="preserve">   Circumstances Making the Collection of Information Necessary</w:t>
      </w:r>
      <w:r w:rsidRPr="00236E27">
        <w:rPr>
          <w:rFonts w:asciiTheme="minorHAnsi" w:hAnsiTheme="minorHAnsi" w:cstheme="minorHAnsi"/>
          <w:sz w:val="24"/>
          <w:szCs w:val="24"/>
        </w:rPr>
        <w:tab/>
        <w:t>1</w:t>
      </w:r>
    </w:p>
    <w:p w14:paraId="3B345487" w14:textId="014E0FA3"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A.2   Purpose and Use of the Information COLLECTION</w:t>
      </w:r>
      <w:r w:rsidRPr="00236E27">
        <w:rPr>
          <w:rFonts w:asciiTheme="minorHAnsi" w:hAnsiTheme="minorHAnsi" w:cstheme="minorHAnsi"/>
          <w:sz w:val="24"/>
          <w:szCs w:val="24"/>
        </w:rPr>
        <w:tab/>
        <w:t>2</w:t>
      </w:r>
    </w:p>
    <w:p w14:paraId="619BA2EC" w14:textId="3063AD9D"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A.3</w:t>
      </w:r>
      <w:r w:rsidRPr="00236E27">
        <w:rPr>
          <w:rFonts w:asciiTheme="minorHAnsi" w:hAnsiTheme="minorHAnsi" w:cstheme="minorHAnsi"/>
          <w:sz w:val="24"/>
          <w:szCs w:val="24"/>
        </w:rPr>
        <w:tab/>
        <w:t xml:space="preserve">   Use of Information Technology and Burden Reduction</w:t>
      </w:r>
      <w:r w:rsidRPr="00236E27">
        <w:rPr>
          <w:rFonts w:asciiTheme="minorHAnsi" w:hAnsiTheme="minorHAnsi" w:cstheme="minorHAnsi"/>
          <w:sz w:val="24"/>
          <w:szCs w:val="24"/>
        </w:rPr>
        <w:tab/>
      </w:r>
      <w:r w:rsidR="00236E27">
        <w:rPr>
          <w:rFonts w:asciiTheme="minorHAnsi" w:hAnsiTheme="minorHAnsi" w:cstheme="minorHAnsi"/>
          <w:sz w:val="24"/>
          <w:szCs w:val="24"/>
        </w:rPr>
        <w:t>3</w:t>
      </w:r>
    </w:p>
    <w:p w14:paraId="2AC61672" w14:textId="010C5A6D"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A.4</w:t>
      </w:r>
      <w:r w:rsidRPr="00236E27">
        <w:rPr>
          <w:rFonts w:asciiTheme="minorHAnsi" w:hAnsiTheme="minorHAnsi" w:cstheme="minorHAnsi"/>
          <w:sz w:val="24"/>
          <w:szCs w:val="24"/>
        </w:rPr>
        <w:tab/>
        <w:t xml:space="preserve">   Efforts to Identify Duplication and Use of Similar Information</w:t>
      </w:r>
      <w:r w:rsidRPr="00236E27">
        <w:rPr>
          <w:rFonts w:asciiTheme="minorHAnsi" w:hAnsiTheme="minorHAnsi" w:cstheme="minorHAnsi"/>
          <w:sz w:val="24"/>
          <w:szCs w:val="24"/>
        </w:rPr>
        <w:tab/>
      </w:r>
      <w:r w:rsidR="00236E27">
        <w:rPr>
          <w:rFonts w:asciiTheme="minorHAnsi" w:hAnsiTheme="minorHAnsi" w:cstheme="minorHAnsi"/>
          <w:sz w:val="24"/>
          <w:szCs w:val="24"/>
        </w:rPr>
        <w:t>4</w:t>
      </w:r>
    </w:p>
    <w:p w14:paraId="0C57DDAC" w14:textId="270A7488"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A.5</w:t>
      </w:r>
      <w:r w:rsidRPr="00236E27">
        <w:rPr>
          <w:rFonts w:asciiTheme="minorHAnsi" w:hAnsiTheme="minorHAnsi" w:cstheme="minorHAnsi"/>
          <w:sz w:val="24"/>
          <w:szCs w:val="24"/>
        </w:rPr>
        <w:tab/>
        <w:t xml:space="preserve">   Impact on Small Businesses or Other Small Entities</w:t>
      </w:r>
      <w:r w:rsidRPr="00236E27">
        <w:rPr>
          <w:rFonts w:asciiTheme="minorHAnsi" w:hAnsiTheme="minorHAnsi" w:cstheme="minorHAnsi"/>
          <w:sz w:val="24"/>
          <w:szCs w:val="24"/>
        </w:rPr>
        <w:tab/>
      </w:r>
      <w:r w:rsidR="00FC39C3">
        <w:rPr>
          <w:rFonts w:asciiTheme="minorHAnsi" w:hAnsiTheme="minorHAnsi" w:cstheme="minorHAnsi"/>
          <w:sz w:val="24"/>
          <w:szCs w:val="24"/>
        </w:rPr>
        <w:t>4</w:t>
      </w:r>
    </w:p>
    <w:p w14:paraId="21DFC330" w14:textId="5725586D"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A.6</w:t>
      </w:r>
      <w:r w:rsidRPr="00236E27">
        <w:rPr>
          <w:rFonts w:asciiTheme="minorHAnsi" w:hAnsiTheme="minorHAnsi" w:cstheme="minorHAnsi"/>
          <w:sz w:val="24"/>
          <w:szCs w:val="24"/>
        </w:rPr>
        <w:tab/>
        <w:t xml:space="preserve">   Consequences of Collecting the Information Less Frequently</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204FC8A7" w14:textId="4EBE3154"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A.7</w:t>
      </w:r>
      <w:r w:rsidRPr="00236E27">
        <w:rPr>
          <w:rFonts w:asciiTheme="minorHAnsi" w:hAnsiTheme="minorHAnsi" w:cstheme="minorHAnsi"/>
          <w:sz w:val="24"/>
          <w:szCs w:val="24"/>
        </w:rPr>
        <w:tab/>
        <w:t xml:space="preserve">   Special Circumstances Relating to the Guidelines of 5 CFR 1320.5</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2FD17BB2" w14:textId="71773449" w:rsidR="00F069DB" w:rsidRPr="00236E27" w:rsidRDefault="00F069DB" w:rsidP="00C05041">
      <w:pPr>
        <w:pStyle w:val="P1-StandPara"/>
        <w:tabs>
          <w:tab w:val="left" w:pos="720"/>
          <w:tab w:val="left" w:leader="dot" w:pos="9360"/>
        </w:tabs>
        <w:ind w:left="900" w:hanging="540"/>
        <w:rPr>
          <w:rFonts w:asciiTheme="minorHAnsi" w:hAnsiTheme="minorHAnsi" w:cstheme="minorHAnsi"/>
          <w:sz w:val="24"/>
          <w:szCs w:val="24"/>
        </w:rPr>
      </w:pPr>
      <w:r w:rsidRPr="00236E27">
        <w:rPr>
          <w:rFonts w:asciiTheme="minorHAnsi" w:hAnsiTheme="minorHAnsi" w:cstheme="minorHAnsi"/>
          <w:sz w:val="24"/>
          <w:szCs w:val="24"/>
        </w:rPr>
        <w:t>A.8</w:t>
      </w:r>
      <w:r w:rsidRPr="00236E27">
        <w:rPr>
          <w:rFonts w:asciiTheme="minorHAnsi" w:hAnsiTheme="minorHAnsi" w:cstheme="minorHAnsi"/>
          <w:sz w:val="24"/>
          <w:szCs w:val="24"/>
        </w:rPr>
        <w:tab/>
        <w:t xml:space="preserve">   Comments in Response to the Federal Register Notice and Efforts to Consult Outside Agency</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12832B04" w14:textId="7C627DB6"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A.9</w:t>
      </w:r>
      <w:r w:rsidRPr="00236E27">
        <w:rPr>
          <w:rFonts w:asciiTheme="minorHAnsi" w:hAnsiTheme="minorHAnsi" w:cstheme="minorHAnsi"/>
          <w:sz w:val="24"/>
          <w:szCs w:val="24"/>
        </w:rPr>
        <w:tab/>
        <w:t xml:space="preserve">   Explanation of Any Payment of Gift to Respondents</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4D15F9A4" w14:textId="606DDAAE"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A.10   Assurance of Confidentiality Provided to Respondents</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5F16E377" w14:textId="2ABB30E1"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A.11   Justification for Sensitive Questions</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0C2132BC" w14:textId="1A5C21EE"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A.12   Estimates of Hour Burden Including Annualized Hourly Costs</w:t>
      </w:r>
      <w:r w:rsidRPr="00236E27">
        <w:rPr>
          <w:rFonts w:asciiTheme="minorHAnsi" w:hAnsiTheme="minorHAnsi" w:cstheme="minorHAnsi"/>
          <w:sz w:val="24"/>
          <w:szCs w:val="24"/>
        </w:rPr>
        <w:tab/>
      </w:r>
      <w:r w:rsidR="00FC39C3">
        <w:rPr>
          <w:rFonts w:asciiTheme="minorHAnsi" w:hAnsiTheme="minorHAnsi" w:cstheme="minorHAnsi"/>
          <w:sz w:val="24"/>
          <w:szCs w:val="24"/>
        </w:rPr>
        <w:t>5</w:t>
      </w:r>
    </w:p>
    <w:p w14:paraId="70A41C5A" w14:textId="3939CF86"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A.13   Estimate of Other Total Annual Cost Burden to Respondents or Recordkeepers</w:t>
      </w:r>
      <w:r w:rsidRPr="00236E27">
        <w:rPr>
          <w:rFonts w:asciiTheme="minorHAnsi" w:hAnsiTheme="minorHAnsi" w:cstheme="minorHAnsi"/>
          <w:sz w:val="24"/>
          <w:szCs w:val="24"/>
        </w:rPr>
        <w:tab/>
      </w:r>
      <w:r w:rsidR="00BD2A3F">
        <w:rPr>
          <w:rFonts w:asciiTheme="minorHAnsi" w:hAnsiTheme="minorHAnsi" w:cstheme="minorHAnsi"/>
          <w:sz w:val="24"/>
          <w:szCs w:val="24"/>
        </w:rPr>
        <w:t>7</w:t>
      </w:r>
    </w:p>
    <w:p w14:paraId="62E0A287" w14:textId="645282A1"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A.14   Annualized Cost to the Federal Government</w:t>
      </w:r>
      <w:r w:rsidRPr="00236E27">
        <w:rPr>
          <w:rFonts w:asciiTheme="minorHAnsi" w:hAnsiTheme="minorHAnsi" w:cstheme="minorHAnsi"/>
          <w:sz w:val="24"/>
          <w:szCs w:val="24"/>
        </w:rPr>
        <w:tab/>
      </w:r>
      <w:r w:rsidR="00BD2A3F">
        <w:rPr>
          <w:rFonts w:asciiTheme="minorHAnsi" w:hAnsiTheme="minorHAnsi" w:cstheme="minorHAnsi"/>
          <w:sz w:val="24"/>
          <w:szCs w:val="24"/>
        </w:rPr>
        <w:t>7</w:t>
      </w:r>
    </w:p>
    <w:p w14:paraId="5EC7FC5E" w14:textId="564399F3"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A.15   Explanation for Program Changes or Adjustments</w:t>
      </w:r>
      <w:r w:rsidRPr="00236E27">
        <w:rPr>
          <w:rFonts w:asciiTheme="minorHAnsi" w:hAnsiTheme="minorHAnsi" w:cstheme="minorHAnsi"/>
          <w:sz w:val="24"/>
          <w:szCs w:val="24"/>
        </w:rPr>
        <w:tab/>
      </w:r>
      <w:r w:rsidR="00BD2A3F">
        <w:rPr>
          <w:rFonts w:asciiTheme="minorHAnsi" w:hAnsiTheme="minorHAnsi" w:cstheme="minorHAnsi"/>
          <w:sz w:val="24"/>
          <w:szCs w:val="24"/>
        </w:rPr>
        <w:t>7</w:t>
      </w:r>
    </w:p>
    <w:p w14:paraId="39298E7F" w14:textId="2A81131E"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A.16   Plans for Tabulation and Publication and Project Time Schedule</w:t>
      </w:r>
      <w:r w:rsidRPr="00236E27">
        <w:rPr>
          <w:rFonts w:asciiTheme="minorHAnsi" w:hAnsiTheme="minorHAnsi" w:cstheme="minorHAnsi"/>
          <w:sz w:val="24"/>
          <w:szCs w:val="24"/>
        </w:rPr>
        <w:tab/>
      </w:r>
      <w:r w:rsidR="00FC39C3">
        <w:rPr>
          <w:rFonts w:asciiTheme="minorHAnsi" w:hAnsiTheme="minorHAnsi" w:cstheme="minorHAnsi"/>
          <w:sz w:val="24"/>
          <w:szCs w:val="24"/>
        </w:rPr>
        <w:t>7</w:t>
      </w:r>
    </w:p>
    <w:p w14:paraId="0A4C6AA4" w14:textId="36A17613"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A.17   Reason(s) Display of OMB Expiration Date is Inappropriate</w:t>
      </w:r>
      <w:r w:rsidRPr="00236E27">
        <w:rPr>
          <w:rFonts w:asciiTheme="minorHAnsi" w:hAnsiTheme="minorHAnsi" w:cstheme="minorHAnsi"/>
          <w:sz w:val="24"/>
          <w:szCs w:val="24"/>
        </w:rPr>
        <w:tab/>
      </w:r>
      <w:r w:rsidR="00BD2A3F">
        <w:rPr>
          <w:rFonts w:asciiTheme="minorHAnsi" w:hAnsiTheme="minorHAnsi" w:cstheme="minorHAnsi"/>
          <w:sz w:val="24"/>
          <w:szCs w:val="24"/>
        </w:rPr>
        <w:t>8</w:t>
      </w:r>
    </w:p>
    <w:p w14:paraId="30A3DA83" w14:textId="3D0A1AFD" w:rsidR="00F069DB" w:rsidRPr="00236E27" w:rsidRDefault="00F069DB" w:rsidP="00F069DB">
      <w:pPr>
        <w:pStyle w:val="P1-StandPara"/>
        <w:tabs>
          <w:tab w:val="left" w:pos="720"/>
          <w:tab w:val="left" w:leader="dot" w:pos="9360"/>
        </w:tabs>
        <w:ind w:left="360" w:firstLine="0"/>
        <w:rPr>
          <w:rFonts w:asciiTheme="minorHAnsi" w:hAnsiTheme="minorHAnsi" w:cstheme="minorHAnsi"/>
          <w:sz w:val="24"/>
          <w:szCs w:val="24"/>
        </w:rPr>
      </w:pPr>
      <w:r w:rsidRPr="00236E27">
        <w:rPr>
          <w:rFonts w:asciiTheme="minorHAnsi" w:hAnsiTheme="minorHAnsi" w:cstheme="minorHAnsi"/>
          <w:sz w:val="24"/>
          <w:szCs w:val="24"/>
        </w:rPr>
        <w:t>A.18   Exceptions to Certification for Paperwork Reduction Act Submissions</w:t>
      </w:r>
      <w:r w:rsidRPr="00236E27">
        <w:rPr>
          <w:rFonts w:asciiTheme="minorHAnsi" w:hAnsiTheme="minorHAnsi" w:cstheme="minorHAnsi"/>
          <w:sz w:val="24"/>
          <w:szCs w:val="24"/>
        </w:rPr>
        <w:tab/>
      </w:r>
      <w:r w:rsidR="00FC39C3">
        <w:rPr>
          <w:rFonts w:asciiTheme="minorHAnsi" w:hAnsiTheme="minorHAnsi" w:cstheme="minorHAnsi"/>
          <w:sz w:val="24"/>
          <w:szCs w:val="24"/>
        </w:rPr>
        <w:t>8</w:t>
      </w:r>
    </w:p>
    <w:p w14:paraId="1902B1A1" w14:textId="77777777" w:rsidR="00F069DB" w:rsidRPr="00236E27" w:rsidRDefault="00F069DB" w:rsidP="00F069DB">
      <w:pPr>
        <w:pStyle w:val="P1-StandPara"/>
        <w:ind w:left="360" w:firstLine="0"/>
        <w:rPr>
          <w:rFonts w:asciiTheme="minorHAnsi" w:hAnsiTheme="minorHAnsi" w:cstheme="minorHAnsi"/>
          <w:sz w:val="24"/>
          <w:szCs w:val="24"/>
        </w:rPr>
      </w:pPr>
    </w:p>
    <w:p w14:paraId="17651F65" w14:textId="77777777" w:rsidR="00F069DB" w:rsidRPr="00236E27" w:rsidRDefault="00F069DB" w:rsidP="00F069DB">
      <w:pPr>
        <w:pStyle w:val="P1-StandPara"/>
        <w:ind w:left="360" w:firstLine="0"/>
        <w:jc w:val="center"/>
        <w:rPr>
          <w:rFonts w:asciiTheme="minorHAnsi" w:hAnsiTheme="minorHAnsi" w:cstheme="minorHAnsi"/>
          <w:sz w:val="24"/>
          <w:szCs w:val="24"/>
        </w:rPr>
        <w:sectPr w:rsidR="00F069DB" w:rsidRPr="00236E27" w:rsidSect="00443743">
          <w:footerReference w:type="even" r:id="rId10"/>
          <w:footerReference w:type="default" r:id="rId11"/>
          <w:pgSz w:w="12240" w:h="15840"/>
          <w:pgMar w:top="1296" w:right="1296" w:bottom="1296" w:left="1296" w:header="720" w:footer="720" w:gutter="0"/>
          <w:pgNumType w:fmt="lowerRoman" w:start="1"/>
          <w:cols w:space="720"/>
          <w:titlePg/>
          <w:docGrid w:linePitch="360"/>
        </w:sectPr>
      </w:pPr>
    </w:p>
    <w:p w14:paraId="189C32AE" w14:textId="478DDAC0" w:rsidR="00396A70" w:rsidRPr="00236E27" w:rsidRDefault="00F069DB" w:rsidP="00236E27">
      <w:pPr>
        <w:pStyle w:val="P1-StandPara"/>
        <w:tabs>
          <w:tab w:val="left" w:pos="720"/>
          <w:tab w:val="right" w:leader="dot" w:pos="9504"/>
        </w:tabs>
        <w:spacing w:before="120" w:after="120"/>
        <w:ind w:left="360" w:firstLine="0"/>
        <w:rPr>
          <w:b/>
          <w:sz w:val="24"/>
          <w:szCs w:val="24"/>
          <w:u w:val="single"/>
        </w:rPr>
      </w:pPr>
      <w:r w:rsidRPr="00236E27">
        <w:rPr>
          <w:rFonts w:asciiTheme="minorHAnsi" w:hAnsiTheme="minorHAnsi" w:cstheme="minorHAnsi"/>
          <w:sz w:val="24"/>
          <w:szCs w:val="24"/>
        </w:rPr>
        <w:lastRenderedPageBreak/>
        <w:fldChar w:fldCharType="end"/>
      </w:r>
      <w:r w:rsidR="00396A70" w:rsidRPr="00236E27">
        <w:rPr>
          <w:rFonts w:ascii="Calibri" w:hAnsi="Calibri"/>
          <w:b/>
          <w:sz w:val="24"/>
          <w:szCs w:val="24"/>
          <w:u w:val="single"/>
        </w:rPr>
        <w:t>List of Attachments</w:t>
      </w:r>
    </w:p>
    <w:p w14:paraId="61EFF5CC" w14:textId="13C096B6" w:rsidR="00241B6D" w:rsidRPr="00236E27" w:rsidRDefault="00F60B93" w:rsidP="000F78FC">
      <w:pPr>
        <w:spacing w:after="0" w:line="480" w:lineRule="auto"/>
        <w:rPr>
          <w:sz w:val="24"/>
          <w:szCs w:val="24"/>
        </w:rPr>
      </w:pPr>
      <w:r w:rsidRPr="00236E27">
        <w:rPr>
          <w:sz w:val="24"/>
          <w:szCs w:val="24"/>
        </w:rPr>
        <w:t xml:space="preserve">Attachment 1: </w:t>
      </w:r>
      <w:r w:rsidR="006A3B1A" w:rsidRPr="00236E27">
        <w:rPr>
          <w:sz w:val="24"/>
          <w:szCs w:val="24"/>
        </w:rPr>
        <w:t xml:space="preserve">iCURE </w:t>
      </w:r>
      <w:r w:rsidR="00322320" w:rsidRPr="00236E27">
        <w:rPr>
          <w:sz w:val="24"/>
          <w:szCs w:val="24"/>
        </w:rPr>
        <w:t>Post baccalaureate</w:t>
      </w:r>
      <w:r w:rsidR="00241B6D" w:rsidRPr="00236E27">
        <w:rPr>
          <w:sz w:val="24"/>
          <w:szCs w:val="24"/>
        </w:rPr>
        <w:t xml:space="preserve"> </w:t>
      </w:r>
      <w:r w:rsidR="00DF45C7" w:rsidRPr="00236E27">
        <w:rPr>
          <w:sz w:val="24"/>
          <w:szCs w:val="24"/>
        </w:rPr>
        <w:t>Supplement</w:t>
      </w:r>
      <w:r w:rsidR="00C448E8" w:rsidRPr="00236E27">
        <w:rPr>
          <w:sz w:val="24"/>
          <w:szCs w:val="24"/>
        </w:rPr>
        <w:t>al Application</w:t>
      </w:r>
    </w:p>
    <w:p w14:paraId="2C362261" w14:textId="78BF6F33" w:rsidR="00F60B93" w:rsidRPr="00236E27" w:rsidRDefault="00F60B93" w:rsidP="000F78FC">
      <w:pPr>
        <w:spacing w:after="0" w:line="480" w:lineRule="auto"/>
        <w:rPr>
          <w:sz w:val="24"/>
          <w:szCs w:val="24"/>
        </w:rPr>
      </w:pPr>
      <w:r w:rsidRPr="00236E27">
        <w:rPr>
          <w:sz w:val="24"/>
          <w:szCs w:val="24"/>
        </w:rPr>
        <w:t>Attachment 2</w:t>
      </w:r>
      <w:r w:rsidR="00241B6D" w:rsidRPr="00236E27">
        <w:rPr>
          <w:sz w:val="24"/>
          <w:szCs w:val="24"/>
        </w:rPr>
        <w:t>:</w:t>
      </w:r>
      <w:r w:rsidRPr="00236E27">
        <w:rPr>
          <w:sz w:val="24"/>
          <w:szCs w:val="24"/>
        </w:rPr>
        <w:t xml:space="preserve"> </w:t>
      </w:r>
      <w:r w:rsidR="006A3B1A" w:rsidRPr="00236E27">
        <w:rPr>
          <w:sz w:val="24"/>
          <w:szCs w:val="24"/>
        </w:rPr>
        <w:t xml:space="preserve">iCURE </w:t>
      </w:r>
      <w:r w:rsidRPr="00236E27">
        <w:rPr>
          <w:sz w:val="24"/>
          <w:szCs w:val="24"/>
        </w:rPr>
        <w:t xml:space="preserve">Graduate Student </w:t>
      </w:r>
      <w:r w:rsidR="00C448E8" w:rsidRPr="00236E27">
        <w:rPr>
          <w:sz w:val="24"/>
          <w:szCs w:val="24"/>
        </w:rPr>
        <w:t>Application</w:t>
      </w:r>
    </w:p>
    <w:p w14:paraId="72EF0577" w14:textId="336366B5" w:rsidR="00241B6D" w:rsidRPr="00236E27" w:rsidRDefault="00F60B93" w:rsidP="000F78FC">
      <w:pPr>
        <w:spacing w:after="0" w:line="480" w:lineRule="auto"/>
        <w:rPr>
          <w:sz w:val="24"/>
          <w:szCs w:val="24"/>
        </w:rPr>
      </w:pPr>
      <w:r w:rsidRPr="00236E27">
        <w:rPr>
          <w:sz w:val="24"/>
          <w:szCs w:val="24"/>
        </w:rPr>
        <w:t xml:space="preserve">Attachment 3: </w:t>
      </w:r>
      <w:r w:rsidR="006A3B1A" w:rsidRPr="00236E27">
        <w:rPr>
          <w:sz w:val="24"/>
          <w:szCs w:val="24"/>
        </w:rPr>
        <w:t xml:space="preserve">iCURE </w:t>
      </w:r>
      <w:r w:rsidR="00241B6D" w:rsidRPr="00236E27">
        <w:rPr>
          <w:sz w:val="24"/>
          <w:szCs w:val="24"/>
        </w:rPr>
        <w:t>Postdoc</w:t>
      </w:r>
      <w:r w:rsidR="00C448E8" w:rsidRPr="00236E27">
        <w:rPr>
          <w:sz w:val="24"/>
          <w:szCs w:val="24"/>
        </w:rPr>
        <w:t>toral Application</w:t>
      </w:r>
    </w:p>
    <w:p w14:paraId="6E1C15A2" w14:textId="738BE662" w:rsidR="00241B6D" w:rsidRPr="00236E27" w:rsidRDefault="00F60B93" w:rsidP="000F78FC">
      <w:pPr>
        <w:spacing w:after="0" w:line="480" w:lineRule="auto"/>
        <w:rPr>
          <w:sz w:val="24"/>
          <w:szCs w:val="24"/>
        </w:rPr>
      </w:pPr>
      <w:r w:rsidRPr="00236E27">
        <w:rPr>
          <w:sz w:val="24"/>
          <w:szCs w:val="24"/>
        </w:rPr>
        <w:t>Attachment 4</w:t>
      </w:r>
      <w:r w:rsidR="00C448E8" w:rsidRPr="00236E27">
        <w:rPr>
          <w:sz w:val="24"/>
          <w:szCs w:val="24"/>
        </w:rPr>
        <w:t xml:space="preserve">: </w:t>
      </w:r>
      <w:r w:rsidR="006A3B1A" w:rsidRPr="00236E27">
        <w:rPr>
          <w:sz w:val="24"/>
          <w:szCs w:val="24"/>
        </w:rPr>
        <w:t xml:space="preserve">Request for </w:t>
      </w:r>
      <w:r w:rsidR="00C448E8" w:rsidRPr="00236E27">
        <w:rPr>
          <w:sz w:val="24"/>
          <w:szCs w:val="24"/>
        </w:rPr>
        <w:t>Reference Letter</w:t>
      </w:r>
    </w:p>
    <w:p w14:paraId="7C047CDC" w14:textId="63757E1D" w:rsidR="009F6E99" w:rsidRDefault="009F6E99" w:rsidP="000F78FC">
      <w:pPr>
        <w:spacing w:after="0" w:line="480" w:lineRule="auto"/>
        <w:rPr>
          <w:sz w:val="24"/>
          <w:szCs w:val="24"/>
        </w:rPr>
      </w:pPr>
      <w:r w:rsidRPr="00236E27">
        <w:rPr>
          <w:sz w:val="24"/>
          <w:szCs w:val="24"/>
        </w:rPr>
        <w:t xml:space="preserve">Attachment </w:t>
      </w:r>
      <w:r w:rsidR="00F60B93" w:rsidRPr="00236E27">
        <w:rPr>
          <w:sz w:val="24"/>
          <w:szCs w:val="24"/>
        </w:rPr>
        <w:t>5</w:t>
      </w:r>
      <w:r w:rsidRPr="00236E27">
        <w:rPr>
          <w:sz w:val="24"/>
          <w:szCs w:val="24"/>
        </w:rPr>
        <w:t>: Privacy Act Memo</w:t>
      </w:r>
    </w:p>
    <w:p w14:paraId="64E057B7" w14:textId="1A28C3B5" w:rsidR="00E43E39" w:rsidRDefault="00E43E39" w:rsidP="000F78FC">
      <w:pPr>
        <w:spacing w:after="0" w:line="480" w:lineRule="auto"/>
        <w:rPr>
          <w:sz w:val="24"/>
          <w:szCs w:val="24"/>
        </w:rPr>
      </w:pPr>
      <w:r>
        <w:rPr>
          <w:sz w:val="24"/>
          <w:szCs w:val="24"/>
        </w:rPr>
        <w:t>Attachment 6: OMB Burden Statement</w:t>
      </w:r>
    </w:p>
    <w:p w14:paraId="739FF40C" w14:textId="00253321" w:rsidR="00E43E39" w:rsidRPr="00236E27" w:rsidRDefault="00E43E39" w:rsidP="000F78FC">
      <w:pPr>
        <w:spacing w:after="0" w:line="480" w:lineRule="auto"/>
        <w:rPr>
          <w:sz w:val="24"/>
          <w:szCs w:val="24"/>
        </w:rPr>
      </w:pPr>
      <w:r>
        <w:rPr>
          <w:sz w:val="24"/>
          <w:szCs w:val="24"/>
        </w:rPr>
        <w:t>Attachment 7: Privacy Impact Assessment</w:t>
      </w:r>
    </w:p>
    <w:p w14:paraId="5336EE3F" w14:textId="77777777" w:rsidR="00396A70" w:rsidRDefault="00396A70" w:rsidP="000F78FC">
      <w:pPr>
        <w:spacing w:after="0" w:line="480" w:lineRule="auto"/>
        <w:rPr>
          <w:rFonts w:eastAsia="Times New Roman"/>
        </w:rPr>
      </w:pPr>
      <w:r>
        <w:br w:type="page"/>
      </w:r>
    </w:p>
    <w:p w14:paraId="7D5EB722" w14:textId="77777777" w:rsidR="00767C53" w:rsidRPr="008942E9" w:rsidRDefault="00767C53" w:rsidP="00E35DD1">
      <w:pPr>
        <w:pStyle w:val="P1-StandPara"/>
        <w:tabs>
          <w:tab w:val="left" w:pos="720"/>
          <w:tab w:val="right" w:leader="dot" w:pos="9504"/>
        </w:tabs>
        <w:spacing w:before="120" w:after="120"/>
        <w:rPr>
          <w:rFonts w:ascii="Calibri" w:hAnsi="Calibri"/>
          <w:szCs w:val="22"/>
        </w:rPr>
      </w:pPr>
    </w:p>
    <w:p w14:paraId="35A481CC" w14:textId="50AE3521" w:rsidR="006A45F9" w:rsidRPr="008942E9" w:rsidRDefault="006A45F9" w:rsidP="000F78FC">
      <w:pPr>
        <w:pStyle w:val="P1-StandPara"/>
        <w:tabs>
          <w:tab w:val="left" w:pos="720"/>
          <w:tab w:val="right" w:leader="dot" w:pos="9504"/>
        </w:tabs>
        <w:spacing w:line="240" w:lineRule="auto"/>
        <w:ind w:firstLine="0"/>
        <w:rPr>
          <w:rFonts w:ascii="Calibri" w:hAnsi="Calibri"/>
          <w:szCs w:val="22"/>
        </w:rPr>
      </w:pPr>
      <w:r w:rsidRPr="008942E9">
        <w:rPr>
          <w:rFonts w:ascii="Calibri" w:hAnsi="Calibri"/>
          <w:b/>
          <w:szCs w:val="22"/>
        </w:rPr>
        <w:t xml:space="preserve">A. </w:t>
      </w:r>
      <w:r w:rsidR="001F5A51">
        <w:rPr>
          <w:rFonts w:ascii="Calibri" w:hAnsi="Calibri"/>
          <w:b/>
          <w:szCs w:val="22"/>
        </w:rPr>
        <w:tab/>
      </w:r>
      <w:r w:rsidR="00BE76A7" w:rsidRPr="008942E9">
        <w:rPr>
          <w:rFonts w:ascii="Calibri" w:hAnsi="Calibri"/>
          <w:b/>
          <w:szCs w:val="22"/>
        </w:rPr>
        <w:t>Justification</w:t>
      </w:r>
    </w:p>
    <w:p w14:paraId="3AC3F505" w14:textId="0FB11B34" w:rsidR="008D2770" w:rsidRDefault="00C95863">
      <w:pPr>
        <w:pStyle w:val="P1-StandPara"/>
        <w:tabs>
          <w:tab w:val="left" w:pos="720"/>
          <w:tab w:val="right" w:leader="dot" w:pos="9504"/>
        </w:tabs>
        <w:spacing w:line="240" w:lineRule="auto"/>
        <w:ind w:firstLine="0"/>
        <w:rPr>
          <w:rFonts w:asciiTheme="minorHAnsi" w:hAnsiTheme="minorHAnsi"/>
        </w:rPr>
      </w:pPr>
      <w:r>
        <w:rPr>
          <w:rFonts w:asciiTheme="minorHAnsi" w:hAnsiTheme="minorHAnsi"/>
        </w:rPr>
        <w:t xml:space="preserve">This is a request </w:t>
      </w:r>
      <w:r w:rsidR="006A3B1A">
        <w:rPr>
          <w:rFonts w:asciiTheme="minorHAnsi" w:hAnsiTheme="minorHAnsi"/>
        </w:rPr>
        <w:t xml:space="preserve">to approve </w:t>
      </w:r>
      <w:r>
        <w:rPr>
          <w:rFonts w:asciiTheme="minorHAnsi" w:hAnsiTheme="minorHAnsi"/>
        </w:rPr>
        <w:t xml:space="preserve">an </w:t>
      </w:r>
      <w:r w:rsidR="006A3B1A">
        <w:rPr>
          <w:rFonts w:asciiTheme="minorHAnsi" w:hAnsiTheme="minorHAnsi"/>
        </w:rPr>
        <w:t>E</w:t>
      </w:r>
      <w:r>
        <w:rPr>
          <w:rFonts w:asciiTheme="minorHAnsi" w:hAnsiTheme="minorHAnsi"/>
        </w:rPr>
        <w:t xml:space="preserve">xisting </w:t>
      </w:r>
      <w:r w:rsidR="006A3B1A">
        <w:rPr>
          <w:rFonts w:asciiTheme="minorHAnsi" w:hAnsiTheme="minorHAnsi"/>
        </w:rPr>
        <w:t>C</w:t>
      </w:r>
      <w:r>
        <w:rPr>
          <w:rFonts w:asciiTheme="minorHAnsi" w:hAnsiTheme="minorHAnsi"/>
        </w:rPr>
        <w:t xml:space="preserve">ollection </w:t>
      </w:r>
      <w:r w:rsidR="006A3B1A">
        <w:rPr>
          <w:rFonts w:asciiTheme="minorHAnsi" w:hAnsiTheme="minorHAnsi"/>
        </w:rPr>
        <w:t>i</w:t>
      </w:r>
      <w:r>
        <w:rPr>
          <w:rFonts w:asciiTheme="minorHAnsi" w:hAnsiTheme="minorHAnsi"/>
        </w:rPr>
        <w:t xml:space="preserve">n </w:t>
      </w:r>
      <w:r w:rsidR="006A3B1A">
        <w:rPr>
          <w:rFonts w:asciiTheme="minorHAnsi" w:hAnsiTheme="minorHAnsi"/>
        </w:rPr>
        <w:t>U</w:t>
      </w:r>
      <w:r>
        <w:rPr>
          <w:rFonts w:asciiTheme="minorHAnsi" w:hAnsiTheme="minorHAnsi"/>
        </w:rPr>
        <w:t>se</w:t>
      </w:r>
      <w:r w:rsidR="004528F9">
        <w:rPr>
          <w:rFonts w:asciiTheme="minorHAnsi" w:hAnsiTheme="minorHAnsi"/>
        </w:rPr>
        <w:t xml:space="preserve"> without OMB’s approval</w:t>
      </w:r>
      <w:r>
        <w:rPr>
          <w:rFonts w:asciiTheme="minorHAnsi" w:hAnsiTheme="minorHAnsi"/>
        </w:rPr>
        <w:t xml:space="preserve"> for 3 years. </w:t>
      </w:r>
      <w:r w:rsidR="008D2770" w:rsidRPr="008D2770">
        <w:rPr>
          <w:rFonts w:asciiTheme="minorHAnsi" w:hAnsiTheme="minorHAnsi"/>
        </w:rPr>
        <w:t xml:space="preserve">The new Intramural Continuing Umbrella of Research Experiences (iCURE) program supports mentored research experiences for qualified </w:t>
      </w:r>
      <w:r w:rsidR="00C448E8">
        <w:rPr>
          <w:rFonts w:asciiTheme="minorHAnsi" w:hAnsiTheme="minorHAnsi"/>
        </w:rPr>
        <w:t>post</w:t>
      </w:r>
      <w:r w:rsidR="00E65DCC">
        <w:rPr>
          <w:rFonts w:asciiTheme="minorHAnsi" w:hAnsiTheme="minorHAnsi"/>
        </w:rPr>
        <w:t>-</w:t>
      </w:r>
      <w:r w:rsidR="00C448E8">
        <w:rPr>
          <w:rFonts w:asciiTheme="minorHAnsi" w:hAnsiTheme="minorHAnsi"/>
        </w:rPr>
        <w:t>baccalaureate</w:t>
      </w:r>
      <w:r>
        <w:rPr>
          <w:rFonts w:asciiTheme="minorHAnsi" w:hAnsiTheme="minorHAnsi"/>
        </w:rPr>
        <w:t xml:space="preserve"> (including post masters)</w:t>
      </w:r>
      <w:r w:rsidR="008245F4">
        <w:rPr>
          <w:rFonts w:asciiTheme="minorHAnsi" w:hAnsiTheme="minorHAnsi"/>
        </w:rPr>
        <w:t xml:space="preserve"> individuals</w:t>
      </w:r>
      <w:r>
        <w:rPr>
          <w:rFonts w:asciiTheme="minorHAnsi" w:hAnsiTheme="minorHAnsi"/>
        </w:rPr>
        <w:t>, graduate students, and postdoctoral fellows</w:t>
      </w:r>
      <w:r w:rsidR="008D2770" w:rsidRPr="008D2770">
        <w:rPr>
          <w:rFonts w:asciiTheme="minorHAnsi" w:hAnsiTheme="minorHAnsi"/>
        </w:rPr>
        <w:t xml:space="preserve"> in the multidisciplinary </w:t>
      </w:r>
      <w:r w:rsidR="008245F4">
        <w:rPr>
          <w:rFonts w:asciiTheme="minorHAnsi" w:hAnsiTheme="minorHAnsi"/>
        </w:rPr>
        <w:t xml:space="preserve">National Cancer Institute (NCI) intramural </w:t>
      </w:r>
      <w:r w:rsidR="008D2770" w:rsidRPr="008D2770">
        <w:rPr>
          <w:rFonts w:asciiTheme="minorHAnsi" w:hAnsiTheme="minorHAnsi"/>
        </w:rPr>
        <w:t>research environment</w:t>
      </w:r>
      <w:r>
        <w:rPr>
          <w:rFonts w:asciiTheme="minorHAnsi" w:hAnsiTheme="minorHAnsi"/>
        </w:rPr>
        <w:t>.</w:t>
      </w:r>
      <w:r w:rsidR="008D2770" w:rsidRPr="008D2770">
        <w:rPr>
          <w:rFonts w:asciiTheme="minorHAnsi" w:hAnsiTheme="minorHAnsi"/>
        </w:rPr>
        <w:t xml:space="preserve"> </w:t>
      </w:r>
      <w:r w:rsidR="008245F4">
        <w:rPr>
          <w:rFonts w:asciiTheme="minorHAnsi" w:hAnsiTheme="minorHAnsi"/>
        </w:rPr>
        <w:t xml:space="preserve">This information collection request </w:t>
      </w:r>
      <w:r w:rsidR="001A1982">
        <w:rPr>
          <w:rFonts w:asciiTheme="minorHAnsi" w:hAnsiTheme="minorHAnsi"/>
        </w:rPr>
        <w:t xml:space="preserve">is </w:t>
      </w:r>
      <w:r w:rsidR="000F78FC">
        <w:rPr>
          <w:rFonts w:asciiTheme="minorHAnsi" w:hAnsiTheme="minorHAnsi"/>
        </w:rPr>
        <w:t xml:space="preserve">for </w:t>
      </w:r>
      <w:r w:rsidR="006A3B1A">
        <w:rPr>
          <w:rFonts w:asciiTheme="minorHAnsi" w:hAnsiTheme="minorHAnsi"/>
        </w:rPr>
        <w:t>applications and</w:t>
      </w:r>
      <w:r w:rsidR="00F40CE3">
        <w:rPr>
          <w:rFonts w:asciiTheme="minorHAnsi" w:hAnsiTheme="minorHAnsi"/>
        </w:rPr>
        <w:t xml:space="preserve"> a</w:t>
      </w:r>
      <w:r w:rsidR="006A3B1A">
        <w:rPr>
          <w:rFonts w:asciiTheme="minorHAnsi" w:hAnsiTheme="minorHAnsi"/>
        </w:rPr>
        <w:t xml:space="preserve"> reference letter </w:t>
      </w:r>
      <w:r w:rsidR="008245F4">
        <w:rPr>
          <w:rFonts w:asciiTheme="minorHAnsi" w:hAnsiTheme="minorHAnsi"/>
        </w:rPr>
        <w:t xml:space="preserve">to help evaluate the merits of the candidates and their potential match for the iCURE program. </w:t>
      </w:r>
    </w:p>
    <w:p w14:paraId="639CCAE8" w14:textId="77777777" w:rsidR="008245F4" w:rsidRPr="008D2770" w:rsidRDefault="008245F4" w:rsidP="00C448E8">
      <w:pPr>
        <w:pStyle w:val="P1-StandPara"/>
        <w:tabs>
          <w:tab w:val="left" w:pos="720"/>
          <w:tab w:val="right" w:leader="dot" w:pos="9504"/>
        </w:tabs>
        <w:spacing w:line="240" w:lineRule="auto"/>
        <w:ind w:firstLine="0"/>
        <w:rPr>
          <w:rFonts w:asciiTheme="minorHAnsi" w:hAnsiTheme="minorHAnsi"/>
        </w:rPr>
      </w:pPr>
    </w:p>
    <w:p w14:paraId="0F803C96" w14:textId="688486CB" w:rsidR="008D2770" w:rsidRDefault="008D2770" w:rsidP="00C448E8">
      <w:pPr>
        <w:pStyle w:val="P1-StandPara"/>
        <w:tabs>
          <w:tab w:val="left" w:pos="720"/>
          <w:tab w:val="right" w:leader="dot" w:pos="9504"/>
        </w:tabs>
        <w:spacing w:line="240" w:lineRule="auto"/>
        <w:ind w:firstLine="0"/>
        <w:rPr>
          <w:rFonts w:asciiTheme="minorHAnsi" w:hAnsiTheme="minorHAnsi"/>
        </w:rPr>
      </w:pPr>
      <w:r w:rsidRPr="008D2770">
        <w:rPr>
          <w:rFonts w:asciiTheme="minorHAnsi" w:hAnsiTheme="minorHAnsi"/>
        </w:rPr>
        <w:t xml:space="preserve">iCURE is an extension of the highly successful NCI </w:t>
      </w:r>
      <w:r w:rsidR="00526930">
        <w:rPr>
          <w:rFonts w:asciiTheme="minorHAnsi" w:hAnsiTheme="minorHAnsi"/>
        </w:rPr>
        <w:t>Center to Reduce Cancer Health Disparities</w:t>
      </w:r>
      <w:r w:rsidR="006A3B1A">
        <w:rPr>
          <w:rFonts w:asciiTheme="minorHAnsi" w:hAnsiTheme="minorHAnsi"/>
        </w:rPr>
        <w:t>’</w:t>
      </w:r>
      <w:r w:rsidR="00526930">
        <w:rPr>
          <w:rFonts w:asciiTheme="minorHAnsi" w:hAnsiTheme="minorHAnsi"/>
        </w:rPr>
        <w:t xml:space="preserve"> (CRCHD</w:t>
      </w:r>
      <w:r w:rsidR="006A3B1A">
        <w:rPr>
          <w:rFonts w:asciiTheme="minorHAnsi" w:hAnsiTheme="minorHAnsi"/>
        </w:rPr>
        <w:t>)</w:t>
      </w:r>
      <w:r w:rsidRPr="008D2770">
        <w:rPr>
          <w:rFonts w:asciiTheme="minorHAnsi" w:hAnsiTheme="minorHAnsi"/>
        </w:rPr>
        <w:t xml:space="preserve"> Continuing Umbrella of Research Experiences (CURE) program which helps support the career progress of its scholars toward research independence, as well as fosters and sustains diversity in the biomedical research pipeline.</w:t>
      </w:r>
      <w:r w:rsidR="008245F4">
        <w:rPr>
          <w:rFonts w:asciiTheme="minorHAnsi" w:hAnsiTheme="minorHAnsi"/>
        </w:rPr>
        <w:t xml:space="preserve"> Like the CURE program, </w:t>
      </w:r>
      <w:r w:rsidRPr="008D2770">
        <w:rPr>
          <w:rFonts w:asciiTheme="minorHAnsi" w:hAnsiTheme="minorHAnsi"/>
        </w:rPr>
        <w:t>iCURE strongly encourages the participation of individuals from underrepresented populations and is aligned with NCI’s interest in diversity.</w:t>
      </w:r>
    </w:p>
    <w:p w14:paraId="51534B3B" w14:textId="77777777" w:rsidR="008245F4" w:rsidRDefault="008245F4" w:rsidP="00C448E8">
      <w:pPr>
        <w:pStyle w:val="P1-StandPara"/>
        <w:tabs>
          <w:tab w:val="left" w:pos="720"/>
          <w:tab w:val="right" w:leader="dot" w:pos="9504"/>
        </w:tabs>
        <w:spacing w:line="240" w:lineRule="auto"/>
        <w:ind w:firstLine="0"/>
        <w:rPr>
          <w:rFonts w:asciiTheme="minorHAnsi" w:hAnsiTheme="minorHAnsi"/>
        </w:rPr>
      </w:pPr>
    </w:p>
    <w:p w14:paraId="4E966EC1" w14:textId="1AF937FA" w:rsidR="009F6E99" w:rsidRDefault="00C95863" w:rsidP="00C448E8">
      <w:pPr>
        <w:pStyle w:val="P1-StandPara"/>
        <w:tabs>
          <w:tab w:val="left" w:pos="720"/>
          <w:tab w:val="right" w:leader="dot" w:pos="9504"/>
        </w:tabs>
        <w:spacing w:line="240" w:lineRule="auto"/>
        <w:ind w:firstLine="0"/>
        <w:rPr>
          <w:rFonts w:asciiTheme="minorHAnsi" w:hAnsiTheme="minorHAnsi"/>
        </w:rPr>
      </w:pPr>
      <w:r>
        <w:rPr>
          <w:rFonts w:asciiTheme="minorHAnsi" w:hAnsiTheme="minorHAnsi"/>
        </w:rPr>
        <w:t xml:space="preserve">The benefit of collecting this information is to </w:t>
      </w:r>
      <w:r w:rsidR="00E5795A">
        <w:rPr>
          <w:rFonts w:asciiTheme="minorHAnsi" w:hAnsiTheme="minorHAnsi"/>
        </w:rPr>
        <w:t xml:space="preserve">enable the selection of </w:t>
      </w:r>
      <w:r w:rsidR="00E23A77">
        <w:rPr>
          <w:rFonts w:asciiTheme="minorHAnsi" w:hAnsiTheme="minorHAnsi"/>
        </w:rPr>
        <w:t xml:space="preserve">the </w:t>
      </w:r>
      <w:r w:rsidR="00E5795A">
        <w:rPr>
          <w:rFonts w:asciiTheme="minorHAnsi" w:hAnsiTheme="minorHAnsi"/>
        </w:rPr>
        <w:t>best matching candidates for the iCURE program</w:t>
      </w:r>
      <w:r w:rsidR="006A3B1A">
        <w:rPr>
          <w:rFonts w:asciiTheme="minorHAnsi" w:hAnsiTheme="minorHAnsi"/>
        </w:rPr>
        <w:t xml:space="preserve">.  The iCURE program </w:t>
      </w:r>
      <w:r w:rsidR="00E5795A">
        <w:rPr>
          <w:rFonts w:asciiTheme="minorHAnsi" w:hAnsiTheme="minorHAnsi"/>
        </w:rPr>
        <w:t xml:space="preserve">aims </w:t>
      </w:r>
      <w:r w:rsidR="006A3B1A">
        <w:rPr>
          <w:rFonts w:asciiTheme="minorHAnsi" w:hAnsiTheme="minorHAnsi"/>
        </w:rPr>
        <w:t>to,</w:t>
      </w:r>
      <w:r w:rsidR="00E5795A">
        <w:rPr>
          <w:rFonts w:asciiTheme="minorHAnsi" w:hAnsiTheme="minorHAnsi"/>
        </w:rPr>
        <w:t xml:space="preserve"> 1. </w:t>
      </w:r>
      <w:r w:rsidR="00E23A77">
        <w:rPr>
          <w:rFonts w:asciiTheme="minorHAnsi" w:hAnsiTheme="minorHAnsi"/>
        </w:rPr>
        <w:t>E</w:t>
      </w:r>
      <w:r w:rsidR="00E5795A">
        <w:rPr>
          <w:rFonts w:asciiTheme="minorHAnsi" w:hAnsiTheme="minorHAnsi"/>
        </w:rPr>
        <w:t>nhanc</w:t>
      </w:r>
      <w:r w:rsidR="006A3B1A">
        <w:rPr>
          <w:rFonts w:asciiTheme="minorHAnsi" w:hAnsiTheme="minorHAnsi"/>
        </w:rPr>
        <w:t>e</w:t>
      </w:r>
      <w:r>
        <w:rPr>
          <w:rFonts w:asciiTheme="minorHAnsi" w:hAnsiTheme="minorHAnsi"/>
        </w:rPr>
        <w:t xml:space="preserve"> the diversity of the N</w:t>
      </w:r>
      <w:r w:rsidR="00E5795A">
        <w:rPr>
          <w:rFonts w:asciiTheme="minorHAnsi" w:hAnsiTheme="minorHAnsi"/>
        </w:rPr>
        <w:t>CI Intramural Research Program</w:t>
      </w:r>
      <w:r w:rsidR="00B0159F">
        <w:rPr>
          <w:rFonts w:asciiTheme="minorHAnsi" w:hAnsiTheme="minorHAnsi"/>
        </w:rPr>
        <w:t xml:space="preserve"> (IRP)</w:t>
      </w:r>
      <w:r w:rsidR="00E5795A">
        <w:rPr>
          <w:rFonts w:asciiTheme="minorHAnsi" w:hAnsiTheme="minorHAnsi"/>
        </w:rPr>
        <w:t xml:space="preserve">, and 2. </w:t>
      </w:r>
      <w:r w:rsidR="00E23A77">
        <w:rPr>
          <w:rFonts w:asciiTheme="minorHAnsi" w:hAnsiTheme="minorHAnsi"/>
        </w:rPr>
        <w:t>Promot</w:t>
      </w:r>
      <w:r w:rsidR="006A3B1A">
        <w:rPr>
          <w:rFonts w:asciiTheme="minorHAnsi" w:hAnsiTheme="minorHAnsi"/>
        </w:rPr>
        <w:t>e</w:t>
      </w:r>
      <w:r w:rsidR="00E23A77">
        <w:rPr>
          <w:rFonts w:asciiTheme="minorHAnsi" w:hAnsiTheme="minorHAnsi"/>
        </w:rPr>
        <w:t xml:space="preserve"> the career progress of </w:t>
      </w:r>
      <w:r>
        <w:rPr>
          <w:rFonts w:asciiTheme="minorHAnsi" w:hAnsiTheme="minorHAnsi"/>
        </w:rPr>
        <w:t xml:space="preserve">the iCURE scholars </w:t>
      </w:r>
      <w:r w:rsidR="00E23A77">
        <w:rPr>
          <w:rFonts w:asciiTheme="minorHAnsi" w:hAnsiTheme="minorHAnsi"/>
        </w:rPr>
        <w:t xml:space="preserve">in cancer research. </w:t>
      </w:r>
    </w:p>
    <w:p w14:paraId="7C23B1D5" w14:textId="77777777" w:rsidR="00C95863" w:rsidRPr="008942E9" w:rsidRDefault="00C95863" w:rsidP="00BE76A7">
      <w:pPr>
        <w:pStyle w:val="P1-StandPara"/>
        <w:tabs>
          <w:tab w:val="left" w:pos="720"/>
          <w:tab w:val="right" w:leader="dot" w:pos="9504"/>
        </w:tabs>
        <w:spacing w:before="120" w:after="120" w:line="240" w:lineRule="auto"/>
        <w:ind w:firstLine="0"/>
        <w:rPr>
          <w:rFonts w:ascii="Calibri" w:hAnsi="Calibri"/>
          <w:b/>
          <w:szCs w:val="22"/>
          <w:u w:val="single"/>
        </w:rPr>
      </w:pPr>
    </w:p>
    <w:p w14:paraId="006A42C7" w14:textId="77777777" w:rsidR="000F3043" w:rsidRPr="008942E9" w:rsidRDefault="000F3043" w:rsidP="000F78FC">
      <w:pPr>
        <w:pStyle w:val="P1-StandPara"/>
        <w:tabs>
          <w:tab w:val="left" w:pos="720"/>
          <w:tab w:val="right" w:leader="dot" w:pos="9504"/>
        </w:tabs>
        <w:spacing w:line="240" w:lineRule="auto"/>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2214CF7B" w14:textId="66799334" w:rsidR="00E7722F" w:rsidRPr="00BB0B26" w:rsidRDefault="00E7722F">
      <w:pPr>
        <w:spacing w:after="0" w:line="240" w:lineRule="auto"/>
        <w:rPr>
          <w:rFonts w:asciiTheme="minorHAnsi" w:hAnsiTheme="minorHAnsi"/>
        </w:rPr>
      </w:pPr>
      <w:r w:rsidRPr="00BB0B26">
        <w:rPr>
          <w:rFonts w:asciiTheme="minorHAnsi" w:hAnsiTheme="minorHAnsi"/>
        </w:rPr>
        <w:t>The iCURE program fulfill</w:t>
      </w:r>
      <w:r w:rsidR="007D30D8" w:rsidRPr="00BB0B26">
        <w:rPr>
          <w:rFonts w:asciiTheme="minorHAnsi" w:hAnsiTheme="minorHAnsi"/>
        </w:rPr>
        <w:t>s</w:t>
      </w:r>
      <w:r w:rsidRPr="00BB0B26">
        <w:rPr>
          <w:rFonts w:asciiTheme="minorHAnsi" w:hAnsiTheme="minorHAnsi"/>
        </w:rPr>
        <w:t xml:space="preserve"> the requirements of the National Cancer Institute (NCI) training authority as established under: Section 413 (b) (3) of the Public Health Service Act, 42 USC 285a-2 (b) (3), as amended pertaining to the NCI, which states that the </w:t>
      </w:r>
      <w:r w:rsidR="00111C33">
        <w:rPr>
          <w:rFonts w:asciiTheme="minorHAnsi" w:hAnsiTheme="minorHAnsi"/>
        </w:rPr>
        <w:t xml:space="preserve">NCI </w:t>
      </w:r>
      <w:r w:rsidRPr="00BB0B26">
        <w:rPr>
          <w:rFonts w:asciiTheme="minorHAnsi" w:hAnsiTheme="minorHAnsi"/>
        </w:rPr>
        <w:t xml:space="preserve">Director, in carrying out the National Cancer Program . . . shall . . . "support appropriate programs of education and training (including continuing education and laboratory and clinical research training)”. </w:t>
      </w:r>
      <w:r w:rsidR="007D30D8" w:rsidRPr="00BB0B26">
        <w:rPr>
          <w:rFonts w:asciiTheme="minorHAnsi" w:hAnsiTheme="minorHAnsi"/>
        </w:rPr>
        <w:t>In addition, e</w:t>
      </w:r>
      <w:r w:rsidRPr="00BB0B26">
        <w:rPr>
          <w:rFonts w:asciiTheme="minorHAnsi" w:hAnsiTheme="minorHAnsi"/>
        </w:rPr>
        <w:t xml:space="preserve">nhancing the diversity of the </w:t>
      </w:r>
      <w:r w:rsidR="007D30D8" w:rsidRPr="00BB0B26">
        <w:rPr>
          <w:rFonts w:asciiTheme="minorHAnsi" w:hAnsiTheme="minorHAnsi"/>
        </w:rPr>
        <w:t xml:space="preserve">cancer research workforce in the nation, including </w:t>
      </w:r>
      <w:r w:rsidRPr="00BB0B26">
        <w:rPr>
          <w:rFonts w:asciiTheme="minorHAnsi" w:hAnsiTheme="minorHAnsi"/>
        </w:rPr>
        <w:t xml:space="preserve">in the NCI </w:t>
      </w:r>
      <w:r w:rsidR="00B0159F" w:rsidRPr="00BB0B26">
        <w:rPr>
          <w:rFonts w:asciiTheme="minorHAnsi" w:hAnsiTheme="minorHAnsi"/>
        </w:rPr>
        <w:t>IRP</w:t>
      </w:r>
      <w:r w:rsidR="007D30D8" w:rsidRPr="00BB0B26">
        <w:rPr>
          <w:rFonts w:asciiTheme="minorHAnsi" w:hAnsiTheme="minorHAnsi"/>
        </w:rPr>
        <w:t>,</w:t>
      </w:r>
      <w:r w:rsidRPr="00BB0B26">
        <w:rPr>
          <w:rFonts w:asciiTheme="minorHAnsi" w:hAnsiTheme="minorHAnsi"/>
        </w:rPr>
        <w:t xml:space="preserve"> is an NCI priority. </w:t>
      </w:r>
    </w:p>
    <w:p w14:paraId="1854ED4D" w14:textId="21D94495" w:rsidR="007D30D8" w:rsidRPr="00BB0B26" w:rsidRDefault="007D30D8" w:rsidP="007D30D8">
      <w:pPr>
        <w:spacing w:after="0" w:line="240" w:lineRule="auto"/>
        <w:rPr>
          <w:rFonts w:asciiTheme="minorHAnsi" w:hAnsiTheme="minorHAnsi"/>
        </w:rPr>
      </w:pPr>
    </w:p>
    <w:p w14:paraId="1BC83460" w14:textId="6DEE54CD" w:rsidR="00B0159F" w:rsidRPr="00BB0B26" w:rsidRDefault="00B0159F" w:rsidP="00B0159F">
      <w:pPr>
        <w:spacing w:after="0" w:line="240" w:lineRule="auto"/>
        <w:rPr>
          <w:rFonts w:asciiTheme="minorHAnsi" w:hAnsiTheme="minorHAnsi"/>
        </w:rPr>
      </w:pPr>
      <w:r w:rsidRPr="00BB0B26">
        <w:rPr>
          <w:rFonts w:asciiTheme="minorHAnsi" w:hAnsiTheme="minorHAnsi"/>
        </w:rPr>
        <w:t>The NCI IRP includes NCI’s Center for Cancer Research (CCR) and the Division of Cancer Epidemiology and Genetics (DCEG). Together, they support scientists, physicians and clinicians who conduct basic, clinical and genomic and population-based research. The IRP provides a uniquely rich, interdisciplinary and dynamic environment in which to train the next generation of cancer researchers.</w:t>
      </w:r>
    </w:p>
    <w:p w14:paraId="6A8E08F6" w14:textId="77777777" w:rsidR="00B0159F" w:rsidRPr="00BB0B26" w:rsidRDefault="00B0159F" w:rsidP="00B0159F">
      <w:pPr>
        <w:spacing w:after="0" w:line="240" w:lineRule="auto"/>
        <w:rPr>
          <w:rFonts w:asciiTheme="minorHAnsi" w:hAnsiTheme="minorHAnsi"/>
        </w:rPr>
      </w:pPr>
    </w:p>
    <w:p w14:paraId="7D91348A" w14:textId="77777777" w:rsidR="00931C28" w:rsidRDefault="00B0159F" w:rsidP="00B0159F">
      <w:pPr>
        <w:spacing w:after="0" w:line="240" w:lineRule="auto"/>
        <w:rPr>
          <w:rFonts w:asciiTheme="minorHAnsi" w:hAnsiTheme="minorHAnsi"/>
        </w:rPr>
      </w:pPr>
      <w:r w:rsidRPr="00BB0B26">
        <w:rPr>
          <w:rFonts w:asciiTheme="minorHAnsi" w:hAnsiTheme="minorHAnsi"/>
        </w:rPr>
        <w:t xml:space="preserve">NCI is particularly interested in fostering an inclusive research environment in which all motivated and interested students and scientists can thrive. Many of the existing intramural training programs encourage applications by individuals from populations who are found to be underrepresented in biomedical research. </w:t>
      </w:r>
    </w:p>
    <w:p w14:paraId="0C957EBC" w14:textId="77777777" w:rsidR="00931C28" w:rsidRDefault="00931C28" w:rsidP="00B0159F">
      <w:pPr>
        <w:spacing w:after="0" w:line="240" w:lineRule="auto"/>
        <w:rPr>
          <w:rFonts w:asciiTheme="minorHAnsi" w:hAnsiTheme="minorHAnsi"/>
        </w:rPr>
      </w:pPr>
    </w:p>
    <w:p w14:paraId="65FAA726" w14:textId="4699927C" w:rsidR="00B0159F" w:rsidRPr="00BB0B26" w:rsidRDefault="00B0159F" w:rsidP="00B0159F">
      <w:pPr>
        <w:spacing w:after="0" w:line="240" w:lineRule="auto"/>
        <w:rPr>
          <w:rFonts w:asciiTheme="minorHAnsi" w:hAnsiTheme="minorHAnsi"/>
        </w:rPr>
      </w:pPr>
      <w:r w:rsidRPr="00BB0B26">
        <w:rPr>
          <w:rFonts w:asciiTheme="minorHAnsi" w:hAnsiTheme="minorHAnsi"/>
        </w:rPr>
        <w:t>Despite these efforts, the actual participation by underrepresented individuals has been limited. By the end of Fiscal Year 2016, among 835 NIH IRP Senior Investigators, only 13 (1.6%) are Black, 29 (3.5%) are Hispanic and 1 (0.1%) is American Indian/Alaska Native; among 218 NIH IRP Investigators, only 6 (1.4%) are Black, 10 (4.6%) are Hispanic and 1 (0.5%) is American Indian/Alaska Native (</w:t>
      </w:r>
      <w:hyperlink r:id="rId12" w:history="1">
        <w:r w:rsidRPr="00BB0B26">
          <w:rPr>
            <w:rStyle w:val="Hyperlink"/>
            <w:rFonts w:asciiTheme="minorHAnsi" w:hAnsiTheme="minorHAnsi"/>
          </w:rPr>
          <w:t>https://oir.nih.gov/sourcebook/personnel/irp-demographics/intramural-research-program-personnel-demographics-end-fy16</w:t>
        </w:r>
      </w:hyperlink>
      <w:r w:rsidRPr="00BB0B26">
        <w:rPr>
          <w:rFonts w:asciiTheme="minorHAnsi" w:hAnsiTheme="minorHAnsi"/>
        </w:rPr>
        <w:t xml:space="preserve">). NCI recognizes the need for transformative approaches to encourage the participation of all populations in the cancer research enterprise. </w:t>
      </w:r>
    </w:p>
    <w:p w14:paraId="5BEB3837" w14:textId="77777777" w:rsidR="00B0159F" w:rsidRPr="00BB0B26" w:rsidRDefault="00B0159F" w:rsidP="00B0159F">
      <w:pPr>
        <w:spacing w:after="0" w:line="240" w:lineRule="auto"/>
        <w:rPr>
          <w:rFonts w:asciiTheme="minorHAnsi" w:hAnsiTheme="minorHAnsi"/>
        </w:rPr>
      </w:pPr>
    </w:p>
    <w:p w14:paraId="500171E4" w14:textId="77777777" w:rsidR="000E1C4C" w:rsidRDefault="000E1C4C" w:rsidP="00B0159F">
      <w:pPr>
        <w:spacing w:after="0" w:line="240" w:lineRule="auto"/>
        <w:rPr>
          <w:rFonts w:asciiTheme="minorHAnsi" w:hAnsiTheme="minorHAnsi"/>
        </w:rPr>
      </w:pPr>
    </w:p>
    <w:p w14:paraId="2921DF1C" w14:textId="77777777" w:rsidR="000E1C4C" w:rsidRDefault="000E1C4C" w:rsidP="00B0159F">
      <w:pPr>
        <w:spacing w:after="0" w:line="240" w:lineRule="auto"/>
        <w:rPr>
          <w:rFonts w:asciiTheme="minorHAnsi" w:hAnsiTheme="minorHAnsi"/>
        </w:rPr>
      </w:pPr>
    </w:p>
    <w:p w14:paraId="24F5F5DD" w14:textId="627B2406" w:rsidR="00931C28" w:rsidRDefault="00B0159F" w:rsidP="00B0159F">
      <w:pPr>
        <w:spacing w:after="0" w:line="240" w:lineRule="auto"/>
        <w:rPr>
          <w:rFonts w:asciiTheme="minorHAnsi" w:hAnsiTheme="minorHAnsi"/>
        </w:rPr>
      </w:pPr>
      <w:r w:rsidRPr="00BB0B26">
        <w:rPr>
          <w:rFonts w:asciiTheme="minorHAnsi" w:hAnsiTheme="minorHAnsi"/>
        </w:rPr>
        <w:t xml:space="preserve">In collaboration with IRP, CRCHD </w:t>
      </w:r>
      <w:r w:rsidR="00F625AC" w:rsidRPr="00BB0B26">
        <w:rPr>
          <w:rFonts w:asciiTheme="minorHAnsi" w:hAnsiTheme="minorHAnsi"/>
        </w:rPr>
        <w:t>launched</w:t>
      </w:r>
      <w:r w:rsidRPr="00BB0B26">
        <w:rPr>
          <w:rFonts w:asciiTheme="minorHAnsi" w:hAnsiTheme="minorHAnsi"/>
        </w:rPr>
        <w:t xml:space="preserve"> the iCURE program, which </w:t>
      </w:r>
      <w:r w:rsidR="00086A0D">
        <w:rPr>
          <w:rFonts w:asciiTheme="minorHAnsi" w:hAnsiTheme="minorHAnsi"/>
        </w:rPr>
        <w:t>seeks</w:t>
      </w:r>
      <w:r w:rsidR="00086A0D" w:rsidRPr="00BB0B26">
        <w:rPr>
          <w:rFonts w:asciiTheme="minorHAnsi" w:hAnsiTheme="minorHAnsi"/>
        </w:rPr>
        <w:t xml:space="preserve"> </w:t>
      </w:r>
      <w:r w:rsidR="00F625AC" w:rsidRPr="00BB0B26">
        <w:rPr>
          <w:rFonts w:asciiTheme="minorHAnsi" w:hAnsiTheme="minorHAnsi"/>
        </w:rPr>
        <w:t>to</w:t>
      </w:r>
      <w:r w:rsidR="00931C28">
        <w:rPr>
          <w:rFonts w:asciiTheme="minorHAnsi" w:hAnsiTheme="minorHAnsi"/>
        </w:rPr>
        <w:t>:</w:t>
      </w:r>
    </w:p>
    <w:p w14:paraId="6644576A" w14:textId="66E9F11D" w:rsidR="00931C28" w:rsidRDefault="00B0159F" w:rsidP="000F78FC">
      <w:pPr>
        <w:spacing w:after="0" w:line="240" w:lineRule="auto"/>
        <w:ind w:left="990" w:hanging="270"/>
        <w:rPr>
          <w:rFonts w:asciiTheme="minorHAnsi" w:hAnsiTheme="minorHAnsi"/>
        </w:rPr>
      </w:pPr>
      <w:r w:rsidRPr="00BB0B26">
        <w:rPr>
          <w:rFonts w:asciiTheme="minorHAnsi" w:hAnsiTheme="minorHAnsi"/>
        </w:rPr>
        <w:t xml:space="preserve">1. </w:t>
      </w:r>
      <w:r w:rsidR="00931C28">
        <w:rPr>
          <w:rFonts w:asciiTheme="minorHAnsi" w:hAnsiTheme="minorHAnsi"/>
        </w:rPr>
        <w:tab/>
        <w:t>P</w:t>
      </w:r>
      <w:r w:rsidRPr="00BB0B26">
        <w:rPr>
          <w:rFonts w:asciiTheme="minorHAnsi" w:hAnsiTheme="minorHAnsi"/>
        </w:rPr>
        <w:t xml:space="preserve">rovide up to three years of funding support for all qualified students and scientists to conduct mentored research in the NCI IRP, and importantly </w:t>
      </w:r>
    </w:p>
    <w:p w14:paraId="651E776B" w14:textId="37D3D15C" w:rsidR="00931C28" w:rsidRDefault="00B0159F" w:rsidP="000F78FC">
      <w:pPr>
        <w:spacing w:after="0" w:line="240" w:lineRule="auto"/>
        <w:ind w:left="990" w:hanging="270"/>
        <w:rPr>
          <w:rFonts w:asciiTheme="minorHAnsi" w:hAnsiTheme="minorHAnsi"/>
        </w:rPr>
      </w:pPr>
      <w:r w:rsidRPr="00BB0B26">
        <w:rPr>
          <w:rFonts w:asciiTheme="minorHAnsi" w:hAnsiTheme="minorHAnsi"/>
        </w:rPr>
        <w:t xml:space="preserve">2. </w:t>
      </w:r>
      <w:r w:rsidR="00931C28">
        <w:rPr>
          <w:rFonts w:asciiTheme="minorHAnsi" w:hAnsiTheme="minorHAnsi"/>
        </w:rPr>
        <w:tab/>
        <w:t>B</w:t>
      </w:r>
      <w:r w:rsidRPr="00BB0B26">
        <w:rPr>
          <w:rFonts w:asciiTheme="minorHAnsi" w:hAnsiTheme="minorHAnsi"/>
        </w:rPr>
        <w:t xml:space="preserve">uild a consistent and systematic multi-level support infrastructure that encourages inclusiveness and fosters sustained interest in research within the environment of the NCI IRP. </w:t>
      </w:r>
    </w:p>
    <w:p w14:paraId="69D886E5" w14:textId="66DA7098" w:rsidR="00B0159F" w:rsidRPr="00BB0B26" w:rsidRDefault="00B0159F" w:rsidP="00B0159F">
      <w:pPr>
        <w:spacing w:after="0" w:line="240" w:lineRule="auto"/>
        <w:rPr>
          <w:rFonts w:asciiTheme="minorHAnsi" w:hAnsiTheme="minorHAnsi"/>
        </w:rPr>
      </w:pPr>
      <w:r w:rsidRPr="00BB0B26">
        <w:rPr>
          <w:rFonts w:asciiTheme="minorHAnsi" w:hAnsiTheme="minorHAnsi"/>
        </w:rPr>
        <w:t xml:space="preserve">iCURE particularly encourages the participation of students and scientists from underrepresented populations, to help achieve a demographics distribution within the NCI IRP that is reflective of our </w:t>
      </w:r>
      <w:r w:rsidR="00567FD6">
        <w:rPr>
          <w:rFonts w:asciiTheme="minorHAnsi" w:hAnsiTheme="minorHAnsi"/>
        </w:rPr>
        <w:t>n</w:t>
      </w:r>
      <w:r w:rsidRPr="00BB0B26">
        <w:rPr>
          <w:rFonts w:asciiTheme="minorHAnsi" w:hAnsiTheme="minorHAnsi"/>
        </w:rPr>
        <w:t>ation’s demographics. This longitudinal program parallel</w:t>
      </w:r>
      <w:r w:rsidR="00F625AC" w:rsidRPr="00BB0B26">
        <w:rPr>
          <w:rFonts w:asciiTheme="minorHAnsi" w:hAnsiTheme="minorHAnsi"/>
        </w:rPr>
        <w:t>s</w:t>
      </w:r>
      <w:r w:rsidRPr="00BB0B26">
        <w:rPr>
          <w:rFonts w:asciiTheme="minorHAnsi" w:hAnsiTheme="minorHAnsi"/>
        </w:rPr>
        <w:t xml:space="preserve"> the philosophy and design of CRCHD’s extramural </w:t>
      </w:r>
      <w:r w:rsidR="00F625AC" w:rsidRPr="00BB0B26">
        <w:rPr>
          <w:rFonts w:asciiTheme="minorHAnsi" w:hAnsiTheme="minorHAnsi"/>
        </w:rPr>
        <w:t>CURE program</w:t>
      </w:r>
      <w:r w:rsidRPr="00BB0B26">
        <w:rPr>
          <w:rFonts w:asciiTheme="minorHAnsi" w:hAnsiTheme="minorHAnsi"/>
        </w:rPr>
        <w:t>.</w:t>
      </w:r>
    </w:p>
    <w:p w14:paraId="32BBF521" w14:textId="77777777" w:rsidR="00B0159F" w:rsidRPr="00BB0B26" w:rsidRDefault="00B0159F" w:rsidP="00B0159F">
      <w:pPr>
        <w:spacing w:after="0" w:line="240" w:lineRule="auto"/>
        <w:rPr>
          <w:rFonts w:asciiTheme="minorHAnsi" w:hAnsiTheme="minorHAnsi"/>
        </w:rPr>
      </w:pPr>
    </w:p>
    <w:p w14:paraId="58F2E4A0" w14:textId="2E7E2924" w:rsidR="00643B2D" w:rsidRDefault="00B0159F" w:rsidP="00B0159F">
      <w:pPr>
        <w:spacing w:after="0" w:line="240" w:lineRule="auto"/>
        <w:rPr>
          <w:rFonts w:asciiTheme="minorHAnsi" w:hAnsiTheme="minorHAnsi"/>
        </w:rPr>
      </w:pPr>
      <w:r w:rsidRPr="00BB0B26">
        <w:rPr>
          <w:rFonts w:asciiTheme="minorHAnsi" w:hAnsiTheme="minorHAnsi"/>
        </w:rPr>
        <w:t xml:space="preserve">CRCHD established the CURE program </w:t>
      </w:r>
      <w:r w:rsidR="007E6F9C">
        <w:rPr>
          <w:rFonts w:asciiTheme="minorHAnsi" w:hAnsiTheme="minorHAnsi"/>
        </w:rPr>
        <w:t xml:space="preserve">in 1997 </w:t>
      </w:r>
      <w:r w:rsidRPr="00BB0B26">
        <w:rPr>
          <w:rFonts w:asciiTheme="minorHAnsi" w:hAnsiTheme="minorHAnsi"/>
        </w:rPr>
        <w:t xml:space="preserve">to encourage the engagement of trainees from diverse populations and foster their sustained interest in biomedical research. CURE supports funding opportunities to increase the talent pool, address strategic and scientific areas of interest, and expand and extend the period of training so that qualified candidates may be better prepared to reach research independence. </w:t>
      </w:r>
      <w:r w:rsidR="000F78FC">
        <w:rPr>
          <w:rFonts w:asciiTheme="minorHAnsi" w:hAnsiTheme="minorHAnsi"/>
        </w:rPr>
        <w:t>Over the past 22 years,</w:t>
      </w:r>
      <w:r w:rsidR="00F625AC" w:rsidRPr="00BB0B26">
        <w:rPr>
          <w:rFonts w:asciiTheme="minorHAnsi" w:hAnsiTheme="minorHAnsi"/>
        </w:rPr>
        <w:t xml:space="preserve"> CURE has trained more than 4</w:t>
      </w:r>
      <w:r w:rsidRPr="00BB0B26">
        <w:rPr>
          <w:rFonts w:asciiTheme="minorHAnsi" w:hAnsiTheme="minorHAnsi"/>
        </w:rPr>
        <w:t xml:space="preserve">,000 students and scientists. Analysis of program outcomes has shown that CURE trainees from underrepresented populations have been equally successful as their majority counterparts in acquiring subsequent NIH funding. </w:t>
      </w:r>
    </w:p>
    <w:p w14:paraId="338EA4AC" w14:textId="77777777" w:rsidR="00643B2D" w:rsidRDefault="00643B2D" w:rsidP="00B0159F">
      <w:pPr>
        <w:spacing w:after="0" w:line="240" w:lineRule="auto"/>
        <w:rPr>
          <w:rFonts w:asciiTheme="minorHAnsi" w:hAnsiTheme="minorHAnsi"/>
        </w:rPr>
      </w:pPr>
    </w:p>
    <w:p w14:paraId="61E4A332" w14:textId="7B52DDB0" w:rsidR="00B0159F" w:rsidRPr="00BB0B26" w:rsidRDefault="00B0159F" w:rsidP="00B0159F">
      <w:pPr>
        <w:spacing w:after="0" w:line="240" w:lineRule="auto"/>
        <w:rPr>
          <w:rFonts w:asciiTheme="minorHAnsi" w:hAnsiTheme="minorHAnsi"/>
        </w:rPr>
      </w:pPr>
      <w:r w:rsidRPr="00BB0B26">
        <w:rPr>
          <w:rFonts w:asciiTheme="minorHAnsi" w:hAnsiTheme="minorHAnsi"/>
        </w:rPr>
        <w:t xml:space="preserve">Similar to the CURE program, the iCURE </w:t>
      </w:r>
      <w:r w:rsidR="00F625AC" w:rsidRPr="00BB0B26">
        <w:rPr>
          <w:rFonts w:asciiTheme="minorHAnsi" w:hAnsiTheme="minorHAnsi"/>
        </w:rPr>
        <w:t xml:space="preserve">aims to </w:t>
      </w:r>
      <w:r w:rsidRPr="00BB0B26">
        <w:rPr>
          <w:rFonts w:asciiTheme="minorHAnsi" w:hAnsiTheme="minorHAnsi"/>
        </w:rPr>
        <w:t>not only enhance the engagement of students and scienti</w:t>
      </w:r>
      <w:r w:rsidR="00322320">
        <w:rPr>
          <w:rFonts w:asciiTheme="minorHAnsi" w:hAnsiTheme="minorHAnsi"/>
        </w:rPr>
        <w:t>s</w:t>
      </w:r>
      <w:r w:rsidRPr="00BB0B26">
        <w:rPr>
          <w:rFonts w:asciiTheme="minorHAnsi" w:hAnsiTheme="minorHAnsi"/>
        </w:rPr>
        <w:t>ts from various populations in the NCI IRP, but also develop their scientific competitiveness and promote their career progress in cancer research. The iCURE support</w:t>
      </w:r>
      <w:r w:rsidR="00F625AC" w:rsidRPr="00BB0B26">
        <w:rPr>
          <w:rFonts w:asciiTheme="minorHAnsi" w:hAnsiTheme="minorHAnsi"/>
        </w:rPr>
        <w:t>s</w:t>
      </w:r>
      <w:r w:rsidRPr="00BB0B26">
        <w:rPr>
          <w:rFonts w:asciiTheme="minorHAnsi" w:hAnsiTheme="minorHAnsi"/>
        </w:rPr>
        <w:t xml:space="preserve"> research training in the NCI IRP for eligible and qualified post-baccalaureate and post-master</w:t>
      </w:r>
      <w:r w:rsidR="00567FD6">
        <w:rPr>
          <w:rFonts w:asciiTheme="minorHAnsi" w:hAnsiTheme="minorHAnsi"/>
        </w:rPr>
        <w:t>’</w:t>
      </w:r>
      <w:r w:rsidRPr="00BB0B26">
        <w:rPr>
          <w:rFonts w:asciiTheme="minorHAnsi" w:hAnsiTheme="minorHAnsi"/>
        </w:rPr>
        <w:t xml:space="preserve">s individuals, graduate students, and postdoctoral fellows. An iCURE candidate will be required to commit up to three years of effort (depending on academic and career level) for each iCURE award. Candidates will have individual, mentored research experiences in an IRP laboratory. It is expected that there will be a sufficient cohort of iCURE candidates recruited each year to ensure an active and supportive iCURE peer group within the bigger context of the IRP peer network. </w:t>
      </w:r>
    </w:p>
    <w:p w14:paraId="1B559DD7" w14:textId="77777777" w:rsidR="00B0159F" w:rsidRPr="00BB0B26" w:rsidRDefault="00B0159F" w:rsidP="00B0159F">
      <w:pPr>
        <w:spacing w:after="0" w:line="240" w:lineRule="auto"/>
        <w:rPr>
          <w:rFonts w:asciiTheme="minorHAnsi" w:hAnsiTheme="minorHAnsi"/>
        </w:rPr>
      </w:pPr>
    </w:p>
    <w:p w14:paraId="2728CBB7" w14:textId="408FB09A" w:rsidR="00B0159F" w:rsidRPr="00BB0B26" w:rsidRDefault="00B0159F" w:rsidP="00B0159F">
      <w:pPr>
        <w:spacing w:after="0" w:line="240" w:lineRule="auto"/>
        <w:rPr>
          <w:rFonts w:asciiTheme="minorHAnsi" w:hAnsiTheme="minorHAnsi"/>
        </w:rPr>
      </w:pPr>
      <w:r w:rsidRPr="00BB0B26">
        <w:rPr>
          <w:rFonts w:asciiTheme="minorHAnsi" w:hAnsiTheme="minorHAnsi"/>
        </w:rPr>
        <w:t>An iCURE award will support three years of research experiences in an IRP laboratory for postdoctoral fellow candidates, two years for graduate student candidates, and one year for post-baccalaureate candidates. During the years supported by iCURE, the candidate is expected to become familiar with the intramural environment, actively seek networking and collaboration opportunities within the IRP, identify a “best-fit” laboratory for continued research if applicable, and/or apply for one of the existing intramural training programs. At the same time, IRP investigators are expected to learn about the iCURE candidates and actively identify potential longer-term matches. After the iCURE award completes, matched candidates may continue research in their matched IRP laboratory, supported by intramural funds, either directly by an IRP investigator, or via an intramural training program</w:t>
      </w:r>
      <w:r w:rsidR="00F625AC" w:rsidRPr="00BB0B26">
        <w:rPr>
          <w:rFonts w:asciiTheme="minorHAnsi" w:hAnsiTheme="minorHAnsi"/>
        </w:rPr>
        <w:t xml:space="preserve">. iCURE scholars will also be connected with the CURE program, which will offer extramural opportunities for their continued research career progress. </w:t>
      </w:r>
    </w:p>
    <w:p w14:paraId="5A4B1AED" w14:textId="16CDA2E8" w:rsidR="00F625AC" w:rsidRPr="00BB0B26" w:rsidRDefault="00F625AC" w:rsidP="00B0159F">
      <w:pPr>
        <w:spacing w:after="0" w:line="240" w:lineRule="auto"/>
        <w:rPr>
          <w:rFonts w:asciiTheme="minorHAnsi" w:hAnsiTheme="minorHAnsi"/>
        </w:rPr>
      </w:pPr>
    </w:p>
    <w:p w14:paraId="27B413BF" w14:textId="379F19E5" w:rsidR="00E7722F" w:rsidRDefault="00F625AC" w:rsidP="00BB0B26">
      <w:pPr>
        <w:spacing w:after="0" w:line="240" w:lineRule="auto"/>
        <w:rPr>
          <w:rFonts w:asciiTheme="minorHAnsi" w:hAnsiTheme="minorHAnsi"/>
        </w:rPr>
      </w:pPr>
      <w:r w:rsidRPr="00BB0B26">
        <w:rPr>
          <w:rFonts w:asciiTheme="minorHAnsi" w:hAnsiTheme="minorHAnsi"/>
        </w:rPr>
        <w:t>A successful iCURE scholar is motivat</w:t>
      </w:r>
      <w:r w:rsidR="00BB0B26" w:rsidRPr="00BB0B26">
        <w:rPr>
          <w:rFonts w:asciiTheme="minorHAnsi" w:hAnsiTheme="minorHAnsi"/>
        </w:rPr>
        <w:t xml:space="preserve">ed in pursuing cancer </w:t>
      </w:r>
      <w:r w:rsidR="004528F9" w:rsidRPr="00BB0B26">
        <w:rPr>
          <w:rFonts w:asciiTheme="minorHAnsi" w:hAnsiTheme="minorHAnsi"/>
        </w:rPr>
        <w:t>research and</w:t>
      </w:r>
      <w:r w:rsidR="00BB0B26" w:rsidRPr="00BB0B26">
        <w:rPr>
          <w:rFonts w:asciiTheme="minorHAnsi" w:hAnsiTheme="minorHAnsi"/>
        </w:rPr>
        <w:t xml:space="preserve"> has demonstrated evidence of academic and career excellence as well as a potential ability to thrive in the NCI intramural environment. This collection of information is critical in assessing the qualifications of applicants and helping in the recruitment and selection process of iCURE. </w:t>
      </w:r>
    </w:p>
    <w:p w14:paraId="63BB8402" w14:textId="77777777" w:rsidR="00BB0B26" w:rsidRPr="00BB0B26" w:rsidRDefault="00BB0B26" w:rsidP="00BB0B26">
      <w:pPr>
        <w:spacing w:after="0" w:line="240" w:lineRule="auto"/>
        <w:rPr>
          <w:rFonts w:asciiTheme="minorHAnsi" w:hAnsiTheme="minorHAnsi"/>
        </w:rPr>
      </w:pPr>
    </w:p>
    <w:p w14:paraId="2C144620" w14:textId="4B36A530" w:rsidR="00BB0B26" w:rsidRPr="00BB0B26" w:rsidRDefault="000F3043" w:rsidP="000F78FC">
      <w:pPr>
        <w:pStyle w:val="Heading2"/>
        <w:spacing w:after="0" w:line="240" w:lineRule="auto"/>
        <w:ind w:left="0" w:firstLine="0"/>
      </w:pPr>
      <w:bookmarkStart w:id="1" w:name="_Toc443881743"/>
      <w:bookmarkStart w:id="2" w:name="_Toc451592232"/>
      <w:bookmarkStart w:id="3" w:name="_Toc5610273"/>
      <w:bookmarkStart w:id="4" w:name="_Toc99178779"/>
      <w:r w:rsidRPr="008942E9">
        <w:rPr>
          <w:rFonts w:ascii="Calibri" w:hAnsi="Calibri"/>
          <w:szCs w:val="22"/>
        </w:rPr>
        <w:t>A.2    Purpose and Use of the Information</w:t>
      </w:r>
      <w:bookmarkEnd w:id="1"/>
      <w:bookmarkEnd w:id="2"/>
      <w:bookmarkEnd w:id="3"/>
      <w:bookmarkEnd w:id="4"/>
      <w:r w:rsidRPr="008942E9">
        <w:rPr>
          <w:rFonts w:ascii="Calibri" w:hAnsi="Calibri"/>
          <w:szCs w:val="22"/>
        </w:rPr>
        <w:t xml:space="preserve"> Collection</w:t>
      </w:r>
    </w:p>
    <w:p w14:paraId="041D07B9" w14:textId="77777777" w:rsidR="007A447F" w:rsidRDefault="008C4FD5">
      <w:pPr>
        <w:autoSpaceDE w:val="0"/>
        <w:autoSpaceDN w:val="0"/>
        <w:adjustRightInd w:val="0"/>
        <w:spacing w:after="0" w:line="240" w:lineRule="auto"/>
        <w:rPr>
          <w:rFonts w:asciiTheme="minorHAnsi" w:hAnsiTheme="minorHAnsi" w:cs="Arial"/>
        </w:rPr>
      </w:pPr>
      <w:r w:rsidRPr="00BB0B26">
        <w:rPr>
          <w:rFonts w:asciiTheme="minorHAnsi" w:hAnsiTheme="minorHAnsi" w:cs="Arial"/>
        </w:rPr>
        <w:t>The purpose of the proposed information collection activity is to</w:t>
      </w:r>
      <w:r w:rsidR="007A447F">
        <w:rPr>
          <w:rFonts w:asciiTheme="minorHAnsi" w:hAnsiTheme="minorHAnsi" w:cs="Arial"/>
        </w:rPr>
        <w:t>:</w:t>
      </w:r>
    </w:p>
    <w:p w14:paraId="3DD28079" w14:textId="0A6BF34A" w:rsidR="007A447F" w:rsidRDefault="007A447F" w:rsidP="000F78FC">
      <w:pPr>
        <w:pStyle w:val="ListParagraph"/>
        <w:numPr>
          <w:ilvl w:val="0"/>
          <w:numId w:val="12"/>
        </w:numPr>
        <w:autoSpaceDE w:val="0"/>
        <w:autoSpaceDN w:val="0"/>
        <w:adjustRightInd w:val="0"/>
        <w:spacing w:after="0" w:line="240" w:lineRule="auto"/>
        <w:rPr>
          <w:rFonts w:asciiTheme="minorHAnsi" w:hAnsiTheme="minorHAnsi" w:cs="Arial"/>
        </w:rPr>
      </w:pPr>
      <w:r>
        <w:rPr>
          <w:rFonts w:asciiTheme="minorHAnsi" w:hAnsiTheme="minorHAnsi" w:cs="Arial"/>
        </w:rPr>
        <w:t>A</w:t>
      </w:r>
      <w:r w:rsidR="008C4FD5" w:rsidRPr="000F78FC">
        <w:rPr>
          <w:rFonts w:asciiTheme="minorHAnsi" w:hAnsiTheme="minorHAnsi" w:cs="Arial"/>
        </w:rPr>
        <w:t xml:space="preserve">ssure that prospective trainees to the </w:t>
      </w:r>
      <w:r w:rsidR="00BB0B26" w:rsidRPr="000F78FC">
        <w:rPr>
          <w:rFonts w:asciiTheme="minorHAnsi" w:hAnsiTheme="minorHAnsi" w:cs="Arial"/>
        </w:rPr>
        <w:t>iCURE program</w:t>
      </w:r>
      <w:r w:rsidR="008C4FD5" w:rsidRPr="000F78FC">
        <w:rPr>
          <w:rFonts w:asciiTheme="minorHAnsi" w:hAnsiTheme="minorHAnsi" w:cs="Arial"/>
        </w:rPr>
        <w:t xml:space="preserve"> meet basic eligibility requirements; </w:t>
      </w:r>
    </w:p>
    <w:p w14:paraId="5CE4E5F6" w14:textId="28D568BE" w:rsidR="007A447F" w:rsidRDefault="007A447F" w:rsidP="000F78FC">
      <w:pPr>
        <w:pStyle w:val="ListParagraph"/>
        <w:numPr>
          <w:ilvl w:val="0"/>
          <w:numId w:val="12"/>
        </w:numPr>
        <w:autoSpaceDE w:val="0"/>
        <w:autoSpaceDN w:val="0"/>
        <w:adjustRightInd w:val="0"/>
        <w:spacing w:after="0" w:line="240" w:lineRule="auto"/>
        <w:rPr>
          <w:rFonts w:asciiTheme="minorHAnsi" w:hAnsiTheme="minorHAnsi" w:cs="Arial"/>
        </w:rPr>
      </w:pPr>
      <w:r>
        <w:rPr>
          <w:rFonts w:asciiTheme="minorHAnsi" w:hAnsiTheme="minorHAnsi" w:cs="Arial"/>
        </w:rPr>
        <w:t>A</w:t>
      </w:r>
      <w:r w:rsidR="008C4FD5" w:rsidRPr="000F78FC">
        <w:rPr>
          <w:rFonts w:asciiTheme="minorHAnsi" w:hAnsiTheme="minorHAnsi" w:cs="Arial"/>
        </w:rPr>
        <w:t xml:space="preserve">ssess their potential as future scientists; </w:t>
      </w:r>
    </w:p>
    <w:p w14:paraId="4057F4BA" w14:textId="77777777" w:rsidR="007A447F" w:rsidRDefault="007A447F" w:rsidP="000F78FC">
      <w:pPr>
        <w:pStyle w:val="ListParagraph"/>
        <w:numPr>
          <w:ilvl w:val="0"/>
          <w:numId w:val="12"/>
        </w:numPr>
        <w:autoSpaceDE w:val="0"/>
        <w:autoSpaceDN w:val="0"/>
        <w:adjustRightInd w:val="0"/>
        <w:spacing w:after="0" w:line="240" w:lineRule="auto"/>
        <w:rPr>
          <w:rFonts w:asciiTheme="minorHAnsi" w:hAnsiTheme="minorHAnsi" w:cs="Arial"/>
        </w:rPr>
      </w:pPr>
      <w:r>
        <w:rPr>
          <w:rFonts w:asciiTheme="minorHAnsi" w:hAnsiTheme="minorHAnsi" w:cs="Arial"/>
        </w:rPr>
        <w:t>D</w:t>
      </w:r>
      <w:r w:rsidR="008C4FD5" w:rsidRPr="000F78FC">
        <w:rPr>
          <w:rFonts w:asciiTheme="minorHAnsi" w:hAnsiTheme="minorHAnsi" w:cs="Arial"/>
        </w:rPr>
        <w:t xml:space="preserve">etermine where mutual research interests exist; and </w:t>
      </w:r>
    </w:p>
    <w:p w14:paraId="3ED63CC1" w14:textId="1E2008A8" w:rsidR="007A447F" w:rsidRDefault="007A447F" w:rsidP="000F78FC">
      <w:pPr>
        <w:pStyle w:val="ListParagraph"/>
        <w:numPr>
          <w:ilvl w:val="0"/>
          <w:numId w:val="12"/>
        </w:numPr>
        <w:autoSpaceDE w:val="0"/>
        <w:autoSpaceDN w:val="0"/>
        <w:adjustRightInd w:val="0"/>
        <w:spacing w:after="0" w:line="240" w:lineRule="auto"/>
        <w:rPr>
          <w:rFonts w:asciiTheme="minorHAnsi" w:hAnsiTheme="minorHAnsi" w:cs="Arial"/>
        </w:rPr>
      </w:pPr>
      <w:r>
        <w:rPr>
          <w:rFonts w:asciiTheme="minorHAnsi" w:hAnsiTheme="minorHAnsi" w:cs="Arial"/>
        </w:rPr>
        <w:t>M</w:t>
      </w:r>
      <w:r w:rsidR="008C4FD5" w:rsidRPr="000F78FC">
        <w:rPr>
          <w:rFonts w:asciiTheme="minorHAnsi" w:hAnsiTheme="minorHAnsi" w:cs="Arial"/>
        </w:rPr>
        <w:t xml:space="preserve">ake decisions regarding which applicants will be </w:t>
      </w:r>
      <w:r w:rsidR="00BB0B26" w:rsidRPr="000F78FC">
        <w:rPr>
          <w:rFonts w:asciiTheme="minorHAnsi" w:hAnsiTheme="minorHAnsi" w:cs="Arial"/>
        </w:rPr>
        <w:t>recommended</w:t>
      </w:r>
      <w:r w:rsidR="008C4FD5" w:rsidRPr="000F78FC">
        <w:rPr>
          <w:rFonts w:asciiTheme="minorHAnsi" w:hAnsiTheme="minorHAnsi" w:cs="Arial"/>
        </w:rPr>
        <w:t xml:space="preserve"> and approved for </w:t>
      </w:r>
      <w:r w:rsidR="00BB0B26" w:rsidRPr="000F78FC">
        <w:rPr>
          <w:rFonts w:asciiTheme="minorHAnsi" w:hAnsiTheme="minorHAnsi" w:cs="Arial"/>
        </w:rPr>
        <w:t>the iCURE</w:t>
      </w:r>
      <w:r w:rsidR="008C4FD5" w:rsidRPr="000F78FC">
        <w:rPr>
          <w:rFonts w:asciiTheme="minorHAnsi" w:hAnsiTheme="minorHAnsi" w:cs="Arial"/>
        </w:rPr>
        <w:t xml:space="preserve"> awards.  </w:t>
      </w:r>
    </w:p>
    <w:p w14:paraId="3C1A9615" w14:textId="245A7F66" w:rsidR="00AD59B9" w:rsidRPr="000F78FC" w:rsidRDefault="008C4FD5">
      <w:pPr>
        <w:autoSpaceDE w:val="0"/>
        <w:autoSpaceDN w:val="0"/>
        <w:adjustRightInd w:val="0"/>
        <w:spacing w:after="0" w:line="240" w:lineRule="auto"/>
        <w:rPr>
          <w:rFonts w:asciiTheme="minorHAnsi" w:hAnsiTheme="minorHAnsi" w:cs="Arial"/>
        </w:rPr>
      </w:pPr>
      <w:r w:rsidRPr="000F78FC">
        <w:rPr>
          <w:rFonts w:asciiTheme="minorHAnsi" w:hAnsiTheme="minorHAnsi" w:cs="Arial"/>
        </w:rPr>
        <w:t xml:space="preserve">In each case, completing the application is voluntary, but in order to receive due consideration, the prospective trainee is encouraged to complete all relevant fields.  The information is for internal use to make decisions about prospective fellows and students </w:t>
      </w:r>
      <w:r w:rsidR="00AD59B9" w:rsidRPr="000F78FC">
        <w:rPr>
          <w:rFonts w:asciiTheme="minorHAnsi" w:hAnsiTheme="minorHAnsi" w:cs="Arial"/>
        </w:rPr>
        <w:t>who</w:t>
      </w:r>
      <w:r w:rsidRPr="000F78FC">
        <w:rPr>
          <w:rFonts w:asciiTheme="minorHAnsi" w:hAnsiTheme="minorHAnsi" w:cs="Arial"/>
        </w:rPr>
        <w:t xml:space="preserve"> could benefit from the </w:t>
      </w:r>
      <w:r w:rsidR="00AD59B9" w:rsidRPr="000F78FC">
        <w:rPr>
          <w:rFonts w:asciiTheme="minorHAnsi" w:hAnsiTheme="minorHAnsi" w:cs="Arial"/>
        </w:rPr>
        <w:t>iCURE</w:t>
      </w:r>
      <w:r w:rsidRPr="000F78FC">
        <w:rPr>
          <w:rFonts w:asciiTheme="minorHAnsi" w:hAnsiTheme="minorHAnsi" w:cs="Arial"/>
        </w:rPr>
        <w:t xml:space="preserve"> program.</w:t>
      </w:r>
      <w:r w:rsidR="00AA7506" w:rsidRPr="000F78FC">
        <w:rPr>
          <w:rFonts w:asciiTheme="minorHAnsi" w:hAnsiTheme="minorHAnsi" w:cs="Arial"/>
        </w:rPr>
        <w:t xml:space="preserve"> The iCURE program has been approved for funding by the NCI Office of the Director. </w:t>
      </w:r>
    </w:p>
    <w:p w14:paraId="7446F3DC" w14:textId="1F4BDAEE" w:rsidR="008C4FD5" w:rsidRPr="00BB0B26" w:rsidRDefault="008C4FD5" w:rsidP="00BB0B26">
      <w:pPr>
        <w:autoSpaceDE w:val="0"/>
        <w:autoSpaceDN w:val="0"/>
        <w:adjustRightInd w:val="0"/>
        <w:spacing w:after="0" w:line="240" w:lineRule="auto"/>
        <w:rPr>
          <w:rFonts w:asciiTheme="minorHAnsi" w:hAnsiTheme="minorHAnsi" w:cs="Arial"/>
        </w:rPr>
      </w:pPr>
      <w:r w:rsidRPr="00BB0B26">
        <w:rPr>
          <w:rFonts w:asciiTheme="minorHAnsi" w:hAnsiTheme="minorHAnsi" w:cs="Arial"/>
        </w:rPr>
        <w:t xml:space="preserve"> </w:t>
      </w:r>
    </w:p>
    <w:p w14:paraId="2AD59C21" w14:textId="61E82789" w:rsidR="00AD59B9" w:rsidRPr="004B71E8" w:rsidRDefault="008C4FD5" w:rsidP="00AD59B9">
      <w:pPr>
        <w:autoSpaceDE w:val="0"/>
        <w:autoSpaceDN w:val="0"/>
        <w:adjustRightInd w:val="0"/>
        <w:spacing w:after="0" w:line="240" w:lineRule="auto"/>
        <w:rPr>
          <w:rFonts w:asciiTheme="minorHAnsi" w:hAnsiTheme="minorHAnsi" w:cs="Arial"/>
        </w:rPr>
      </w:pPr>
      <w:r w:rsidRPr="004B71E8">
        <w:rPr>
          <w:rFonts w:asciiTheme="minorHAnsi" w:hAnsiTheme="minorHAnsi" w:cs="Arial"/>
        </w:rPr>
        <w:t xml:space="preserve">Participation in the </w:t>
      </w:r>
      <w:r w:rsidR="00AD59B9" w:rsidRPr="004B71E8">
        <w:rPr>
          <w:rFonts w:asciiTheme="minorHAnsi" w:hAnsiTheme="minorHAnsi" w:cs="Arial"/>
        </w:rPr>
        <w:t>iCURE</w:t>
      </w:r>
      <w:r w:rsidRPr="004B71E8">
        <w:rPr>
          <w:rFonts w:asciiTheme="minorHAnsi" w:hAnsiTheme="minorHAnsi" w:cs="Arial"/>
        </w:rPr>
        <w:t xml:space="preserve"> Program includes U.S. citizens, non-citizen nationals</w:t>
      </w:r>
      <w:r w:rsidR="00AD59B9" w:rsidRPr="004B71E8">
        <w:rPr>
          <w:rFonts w:asciiTheme="minorHAnsi" w:hAnsiTheme="minorHAnsi" w:cs="Arial"/>
        </w:rPr>
        <w:t xml:space="preserve"> or legal permanent residents of the U.S</w:t>
      </w:r>
      <w:r w:rsidRPr="004B71E8">
        <w:rPr>
          <w:rFonts w:asciiTheme="minorHAnsi" w:hAnsiTheme="minorHAnsi" w:cs="Arial"/>
        </w:rPr>
        <w:t xml:space="preserve">.  The full-time </w:t>
      </w:r>
      <w:r w:rsidR="00AD59B9" w:rsidRPr="004B71E8">
        <w:rPr>
          <w:rFonts w:asciiTheme="minorHAnsi" w:hAnsiTheme="minorHAnsi" w:cs="Arial"/>
        </w:rPr>
        <w:t>iCURE</w:t>
      </w:r>
      <w:r w:rsidRPr="004B71E8">
        <w:rPr>
          <w:rFonts w:asciiTheme="minorHAnsi" w:hAnsiTheme="minorHAnsi" w:cs="Arial"/>
        </w:rPr>
        <w:t xml:space="preserve"> program may include: post-baccalaureates who have completed either college or master</w:t>
      </w:r>
      <w:r w:rsidR="00BF49F1">
        <w:rPr>
          <w:rFonts w:asciiTheme="minorHAnsi" w:hAnsiTheme="minorHAnsi" w:cs="Arial"/>
        </w:rPr>
        <w:t>’s</w:t>
      </w:r>
      <w:r w:rsidRPr="004B71E8">
        <w:rPr>
          <w:rFonts w:asciiTheme="minorHAnsi" w:hAnsiTheme="minorHAnsi" w:cs="Arial"/>
        </w:rPr>
        <w:t xml:space="preserve"> level degrees</w:t>
      </w:r>
      <w:r w:rsidR="00BF49F1">
        <w:rPr>
          <w:rFonts w:asciiTheme="minorHAnsi" w:hAnsiTheme="minorHAnsi" w:cs="Arial"/>
        </w:rPr>
        <w:t>,</w:t>
      </w:r>
      <w:r w:rsidRPr="004B71E8">
        <w:rPr>
          <w:rFonts w:asciiTheme="minorHAnsi" w:hAnsiTheme="minorHAnsi" w:cs="Arial"/>
        </w:rPr>
        <w:t xml:space="preserve"> doctoral students</w:t>
      </w:r>
      <w:r w:rsidR="00BF49F1">
        <w:rPr>
          <w:rFonts w:asciiTheme="minorHAnsi" w:hAnsiTheme="minorHAnsi" w:cs="Arial"/>
        </w:rPr>
        <w:t>,</w:t>
      </w:r>
      <w:r w:rsidRPr="004B71E8">
        <w:rPr>
          <w:rFonts w:asciiTheme="minorHAnsi" w:hAnsiTheme="minorHAnsi" w:cs="Arial"/>
        </w:rPr>
        <w:t xml:space="preserve"> and postdoctoral</w:t>
      </w:r>
      <w:r w:rsidR="0041425F">
        <w:rPr>
          <w:rFonts w:asciiTheme="minorHAnsi" w:hAnsiTheme="minorHAnsi" w:cs="Arial"/>
        </w:rPr>
        <w:t>-</w:t>
      </w:r>
      <w:r w:rsidRPr="004B71E8">
        <w:rPr>
          <w:rFonts w:asciiTheme="minorHAnsi" w:hAnsiTheme="minorHAnsi" w:cs="Arial"/>
        </w:rPr>
        <w:t xml:space="preserve">level fellows who have completed a doctoral degree, including a medical or dental or other doctoral-level degree.  The </w:t>
      </w:r>
      <w:r w:rsidR="00AD59B9" w:rsidRPr="004B71E8">
        <w:rPr>
          <w:rFonts w:asciiTheme="minorHAnsi" w:hAnsiTheme="minorHAnsi"/>
        </w:rPr>
        <w:t>iCURE particularly encourages the participation of individuals from underrepresented populations and is aligned with NCI’s interest in diversity</w:t>
      </w:r>
      <w:r w:rsidR="00AD59B9" w:rsidRPr="004B71E8">
        <w:rPr>
          <w:rFonts w:asciiTheme="minorHAnsi" w:hAnsiTheme="minorHAnsi" w:cs="Arial"/>
        </w:rPr>
        <w:t>.</w:t>
      </w:r>
    </w:p>
    <w:p w14:paraId="2832487B" w14:textId="62A42683" w:rsidR="00AD59B9" w:rsidRPr="004B71E8" w:rsidRDefault="00AD59B9" w:rsidP="00AD59B9">
      <w:pPr>
        <w:autoSpaceDE w:val="0"/>
        <w:autoSpaceDN w:val="0"/>
        <w:adjustRightInd w:val="0"/>
        <w:spacing w:after="0" w:line="240" w:lineRule="auto"/>
        <w:rPr>
          <w:rFonts w:asciiTheme="minorHAnsi" w:hAnsiTheme="minorHAnsi" w:cs="Arial"/>
        </w:rPr>
      </w:pPr>
    </w:p>
    <w:p w14:paraId="4E6651F8" w14:textId="7AF39D55" w:rsidR="004B71E8" w:rsidRDefault="004B71E8" w:rsidP="00AD59B9">
      <w:pPr>
        <w:autoSpaceDE w:val="0"/>
        <w:autoSpaceDN w:val="0"/>
        <w:adjustRightInd w:val="0"/>
        <w:spacing w:after="0" w:line="240" w:lineRule="auto"/>
        <w:rPr>
          <w:rFonts w:asciiTheme="minorHAnsi" w:hAnsiTheme="minorHAnsi" w:cs="Arial"/>
        </w:rPr>
      </w:pPr>
      <w:r w:rsidRPr="004B71E8">
        <w:rPr>
          <w:rFonts w:asciiTheme="minorHAnsi" w:hAnsiTheme="minorHAnsi" w:cs="Arial"/>
        </w:rPr>
        <w:t>Post</w:t>
      </w:r>
      <w:r>
        <w:rPr>
          <w:rFonts w:asciiTheme="minorHAnsi" w:hAnsiTheme="minorHAnsi" w:cs="Arial"/>
        </w:rPr>
        <w:t xml:space="preserve">-baccalaureate applications include the </w:t>
      </w:r>
      <w:r w:rsidR="00322320">
        <w:rPr>
          <w:rFonts w:asciiTheme="minorHAnsi" w:hAnsiTheme="minorHAnsi" w:cs="Arial"/>
        </w:rPr>
        <w:t>Post baccalaureate</w:t>
      </w:r>
      <w:r>
        <w:rPr>
          <w:rFonts w:asciiTheme="minorHAnsi" w:hAnsiTheme="minorHAnsi" w:cs="Arial"/>
        </w:rPr>
        <w:t xml:space="preserve"> IRTA Program online application through NIH </w:t>
      </w:r>
      <w:r w:rsidR="00322320" w:rsidRPr="00122B86">
        <w:rPr>
          <w:rFonts w:asciiTheme="minorHAnsi" w:hAnsiTheme="minorHAnsi" w:cs="Arial"/>
        </w:rPr>
        <w:t>O</w:t>
      </w:r>
      <w:r w:rsidR="00322320">
        <w:rPr>
          <w:rFonts w:asciiTheme="minorHAnsi" w:hAnsiTheme="minorHAnsi" w:cs="Arial"/>
        </w:rPr>
        <w:t>ffice of Intramural Training and Education (O</w:t>
      </w:r>
      <w:r w:rsidR="00322320" w:rsidRPr="00122B86">
        <w:rPr>
          <w:rFonts w:asciiTheme="minorHAnsi" w:hAnsiTheme="minorHAnsi" w:cs="Arial"/>
        </w:rPr>
        <w:t>ITE</w:t>
      </w:r>
      <w:r w:rsidR="00322320">
        <w:rPr>
          <w:rFonts w:asciiTheme="minorHAnsi" w:hAnsiTheme="minorHAnsi" w:cs="Arial"/>
        </w:rPr>
        <w:t>)</w:t>
      </w:r>
      <w:r w:rsidR="00322320" w:rsidRPr="00122B86">
        <w:rPr>
          <w:rFonts w:asciiTheme="minorHAnsi" w:hAnsiTheme="minorHAnsi" w:cs="Arial"/>
        </w:rPr>
        <w:t xml:space="preserve"> </w:t>
      </w:r>
      <w:r w:rsidR="00322320">
        <w:rPr>
          <w:rFonts w:asciiTheme="minorHAnsi" w:hAnsiTheme="minorHAnsi" w:cs="Arial"/>
        </w:rPr>
        <w:t xml:space="preserve">(OMB No. 0925-0299, Expiration Date 6/30/2019), </w:t>
      </w:r>
      <w:r>
        <w:rPr>
          <w:rFonts w:asciiTheme="minorHAnsi" w:hAnsiTheme="minorHAnsi" w:cs="Arial"/>
        </w:rPr>
        <w:t xml:space="preserve">and a </w:t>
      </w:r>
      <w:r w:rsidR="00BF49F1" w:rsidRPr="004B71E8">
        <w:rPr>
          <w:rFonts w:asciiTheme="minorHAnsi" w:hAnsiTheme="minorHAnsi" w:cs="Arial"/>
        </w:rPr>
        <w:t>Post</w:t>
      </w:r>
      <w:r w:rsidR="00BF49F1">
        <w:rPr>
          <w:rFonts w:asciiTheme="minorHAnsi" w:hAnsiTheme="minorHAnsi" w:cs="Arial"/>
        </w:rPr>
        <w:t xml:space="preserve">-baccalaureate </w:t>
      </w:r>
      <w:r>
        <w:rPr>
          <w:rFonts w:asciiTheme="minorHAnsi" w:hAnsiTheme="minorHAnsi" w:cs="Arial"/>
        </w:rPr>
        <w:t xml:space="preserve">Supplemental Application with iCURE-specific information </w:t>
      </w:r>
      <w:r w:rsidRPr="000F78FC">
        <w:rPr>
          <w:rFonts w:asciiTheme="minorHAnsi" w:hAnsiTheme="minorHAnsi" w:cs="Arial"/>
          <w:b/>
        </w:rPr>
        <w:t>(Attachment 1)</w:t>
      </w:r>
      <w:r>
        <w:rPr>
          <w:rFonts w:asciiTheme="minorHAnsi" w:hAnsiTheme="minorHAnsi" w:cs="Arial"/>
        </w:rPr>
        <w:t xml:space="preserve">. Graduate student applications include cover letter, CV, transcript, and contact information of three references </w:t>
      </w:r>
      <w:r w:rsidRPr="000F78FC">
        <w:rPr>
          <w:rFonts w:asciiTheme="minorHAnsi" w:hAnsiTheme="minorHAnsi" w:cs="Arial"/>
          <w:b/>
        </w:rPr>
        <w:t>(Attachment 2)</w:t>
      </w:r>
      <w:r>
        <w:rPr>
          <w:rFonts w:asciiTheme="minorHAnsi" w:hAnsiTheme="minorHAnsi" w:cs="Arial"/>
        </w:rPr>
        <w:t xml:space="preserve">. Postdoctoral </w:t>
      </w:r>
      <w:r w:rsidR="0041425F">
        <w:rPr>
          <w:rFonts w:asciiTheme="minorHAnsi" w:hAnsiTheme="minorHAnsi" w:cs="Arial"/>
        </w:rPr>
        <w:t xml:space="preserve">candidate </w:t>
      </w:r>
      <w:r>
        <w:rPr>
          <w:rFonts w:asciiTheme="minorHAnsi" w:hAnsiTheme="minorHAnsi" w:cs="Arial"/>
        </w:rPr>
        <w:t xml:space="preserve">applications also include cover letter, CV, transcript and contact information of three references </w:t>
      </w:r>
      <w:r w:rsidRPr="000F78FC">
        <w:rPr>
          <w:rFonts w:asciiTheme="minorHAnsi" w:hAnsiTheme="minorHAnsi" w:cs="Arial"/>
          <w:b/>
        </w:rPr>
        <w:t>(Attachment 3)</w:t>
      </w:r>
      <w:r>
        <w:rPr>
          <w:rFonts w:asciiTheme="minorHAnsi" w:hAnsiTheme="minorHAnsi" w:cs="Arial"/>
        </w:rPr>
        <w:t xml:space="preserve">, but with </w:t>
      </w:r>
      <w:r w:rsidR="00A60C1E">
        <w:rPr>
          <w:rFonts w:asciiTheme="minorHAnsi" w:hAnsiTheme="minorHAnsi" w:cs="Arial"/>
        </w:rPr>
        <w:t xml:space="preserve">additional details for the CV, such as service on scientific boards. </w:t>
      </w:r>
      <w:r w:rsidR="00322320">
        <w:rPr>
          <w:rFonts w:asciiTheme="minorHAnsi" w:hAnsiTheme="minorHAnsi" w:cs="Arial"/>
        </w:rPr>
        <w:t>R</w:t>
      </w:r>
      <w:r w:rsidR="00A60C1E">
        <w:rPr>
          <w:rFonts w:asciiTheme="minorHAnsi" w:hAnsiTheme="minorHAnsi" w:cs="Arial"/>
        </w:rPr>
        <w:t>eference letters</w:t>
      </w:r>
      <w:r w:rsidR="00322320">
        <w:rPr>
          <w:rFonts w:asciiTheme="minorHAnsi" w:hAnsiTheme="minorHAnsi" w:cs="Arial"/>
        </w:rPr>
        <w:t xml:space="preserve"> are requested from</w:t>
      </w:r>
      <w:r w:rsidR="00A60C1E">
        <w:rPr>
          <w:rFonts w:asciiTheme="minorHAnsi" w:hAnsiTheme="minorHAnsi" w:cs="Arial"/>
        </w:rPr>
        <w:t xml:space="preserve"> </w:t>
      </w:r>
      <w:r w:rsidR="00322320" w:rsidRPr="004D6F39">
        <w:t xml:space="preserve">PIs, professors, </w:t>
      </w:r>
      <w:r w:rsidR="00322320">
        <w:t xml:space="preserve">and </w:t>
      </w:r>
      <w:r w:rsidR="00322320" w:rsidRPr="004D6F39">
        <w:t>supervisors</w:t>
      </w:r>
      <w:r w:rsidR="00322320">
        <w:rPr>
          <w:rFonts w:asciiTheme="minorHAnsi" w:hAnsiTheme="minorHAnsi" w:cs="Arial"/>
        </w:rPr>
        <w:t xml:space="preserve"> which </w:t>
      </w:r>
      <w:r w:rsidR="00A60C1E">
        <w:rPr>
          <w:rFonts w:asciiTheme="minorHAnsi" w:hAnsiTheme="minorHAnsi" w:cs="Arial"/>
        </w:rPr>
        <w:t xml:space="preserve">ask for confirmation of </w:t>
      </w:r>
      <w:r w:rsidR="00322320">
        <w:rPr>
          <w:rFonts w:asciiTheme="minorHAnsi" w:hAnsiTheme="minorHAnsi" w:cs="Arial"/>
        </w:rPr>
        <w:t xml:space="preserve">an </w:t>
      </w:r>
      <w:r w:rsidR="00A60C1E">
        <w:rPr>
          <w:rFonts w:asciiTheme="minorHAnsi" w:hAnsiTheme="minorHAnsi" w:cs="Arial"/>
        </w:rPr>
        <w:t>applicant</w:t>
      </w:r>
      <w:r w:rsidR="00322320">
        <w:rPr>
          <w:rFonts w:asciiTheme="minorHAnsi" w:hAnsiTheme="minorHAnsi" w:cs="Arial"/>
        </w:rPr>
        <w:t>’s</w:t>
      </w:r>
      <w:r w:rsidR="00A60C1E">
        <w:rPr>
          <w:rFonts w:asciiTheme="minorHAnsi" w:hAnsiTheme="minorHAnsi" w:cs="Arial"/>
        </w:rPr>
        <w:t xml:space="preserve"> degree and expected graduation date, as well as motivation in pursuing research </w:t>
      </w:r>
      <w:r w:rsidR="00A60C1E" w:rsidRPr="000F78FC">
        <w:rPr>
          <w:rFonts w:asciiTheme="minorHAnsi" w:hAnsiTheme="minorHAnsi" w:cs="Arial"/>
          <w:b/>
        </w:rPr>
        <w:t>(Attachment 4)</w:t>
      </w:r>
      <w:r w:rsidR="00A60C1E">
        <w:rPr>
          <w:rFonts w:asciiTheme="minorHAnsi" w:hAnsiTheme="minorHAnsi" w:cs="Arial"/>
        </w:rPr>
        <w:t xml:space="preserve">. </w:t>
      </w:r>
    </w:p>
    <w:p w14:paraId="3D9A1768" w14:textId="77777777" w:rsidR="00A60C1E" w:rsidRPr="004B71E8" w:rsidRDefault="00A60C1E" w:rsidP="00AD59B9">
      <w:pPr>
        <w:autoSpaceDE w:val="0"/>
        <w:autoSpaceDN w:val="0"/>
        <w:adjustRightInd w:val="0"/>
        <w:spacing w:after="0" w:line="240" w:lineRule="auto"/>
        <w:rPr>
          <w:rFonts w:asciiTheme="minorHAnsi" w:hAnsiTheme="minorHAnsi" w:cs="Arial"/>
        </w:rPr>
      </w:pPr>
    </w:p>
    <w:p w14:paraId="6025DB7E" w14:textId="018E8496" w:rsidR="008C4FD5" w:rsidRDefault="008C4FD5" w:rsidP="00A60C1E">
      <w:pPr>
        <w:autoSpaceDE w:val="0"/>
        <w:autoSpaceDN w:val="0"/>
        <w:adjustRightInd w:val="0"/>
        <w:spacing w:after="0" w:line="240" w:lineRule="auto"/>
        <w:rPr>
          <w:rFonts w:asciiTheme="minorHAnsi" w:hAnsiTheme="minorHAnsi" w:cs="Arial"/>
        </w:rPr>
      </w:pPr>
      <w:r w:rsidRPr="004B71E8">
        <w:rPr>
          <w:rFonts w:asciiTheme="minorHAnsi" w:hAnsiTheme="minorHAnsi" w:cs="Arial"/>
        </w:rPr>
        <w:t>In the first year</w:t>
      </w:r>
      <w:r w:rsidR="00AD59B9" w:rsidRPr="004B71E8">
        <w:rPr>
          <w:rFonts w:asciiTheme="minorHAnsi" w:hAnsiTheme="minorHAnsi" w:cs="Arial"/>
        </w:rPr>
        <w:t xml:space="preserve"> (</w:t>
      </w:r>
      <w:r w:rsidR="0098418D">
        <w:rPr>
          <w:rFonts w:asciiTheme="minorHAnsi" w:hAnsiTheme="minorHAnsi" w:cs="Arial"/>
        </w:rPr>
        <w:t xml:space="preserve">FY </w:t>
      </w:r>
      <w:r w:rsidR="00AD59B9" w:rsidRPr="004B71E8">
        <w:rPr>
          <w:rFonts w:asciiTheme="minorHAnsi" w:hAnsiTheme="minorHAnsi" w:cs="Arial"/>
        </w:rPr>
        <w:t>2018)</w:t>
      </w:r>
      <w:r w:rsidRPr="004B71E8">
        <w:rPr>
          <w:rFonts w:asciiTheme="minorHAnsi" w:hAnsiTheme="minorHAnsi" w:cs="Arial"/>
        </w:rPr>
        <w:t xml:space="preserve"> we received a total </w:t>
      </w:r>
      <w:r w:rsidR="00AA013F" w:rsidRPr="004B71E8">
        <w:rPr>
          <w:rFonts w:asciiTheme="minorHAnsi" w:hAnsiTheme="minorHAnsi" w:cs="Arial"/>
        </w:rPr>
        <w:t>of 7</w:t>
      </w:r>
      <w:r w:rsidR="00AD59B9" w:rsidRPr="004B71E8">
        <w:rPr>
          <w:rFonts w:asciiTheme="minorHAnsi" w:hAnsiTheme="minorHAnsi" w:cs="Arial"/>
        </w:rPr>
        <w:t>2 iCURE</w:t>
      </w:r>
      <w:r w:rsidRPr="004B71E8">
        <w:rPr>
          <w:rFonts w:asciiTheme="minorHAnsi" w:hAnsiTheme="minorHAnsi" w:cs="Arial"/>
        </w:rPr>
        <w:t xml:space="preserve"> applications</w:t>
      </w:r>
      <w:r w:rsidR="00AD59B9" w:rsidRPr="004B71E8">
        <w:rPr>
          <w:rFonts w:asciiTheme="minorHAnsi" w:hAnsiTheme="minorHAnsi" w:cs="Arial"/>
        </w:rPr>
        <w:t xml:space="preserve">, including </w:t>
      </w:r>
      <w:r w:rsidR="00AA013F" w:rsidRPr="004B71E8">
        <w:rPr>
          <w:rFonts w:asciiTheme="minorHAnsi" w:hAnsiTheme="minorHAnsi" w:cs="Arial"/>
        </w:rPr>
        <w:t>29 post-baccalaureates, 11 graduate students and 32 postdoctoral fellows</w:t>
      </w:r>
      <w:r w:rsidRPr="004B71E8">
        <w:rPr>
          <w:rFonts w:asciiTheme="minorHAnsi" w:hAnsiTheme="minorHAnsi" w:cs="Arial"/>
        </w:rPr>
        <w:t>.  The</w:t>
      </w:r>
      <w:r w:rsidR="00AA013F" w:rsidRPr="004B71E8">
        <w:rPr>
          <w:rFonts w:asciiTheme="minorHAnsi" w:hAnsiTheme="minorHAnsi" w:cs="Arial"/>
        </w:rPr>
        <w:t xml:space="preserve"> post-baccalaureate applications came to CRCHD through the NIH </w:t>
      </w:r>
      <w:r w:rsidR="0098418D">
        <w:rPr>
          <w:rFonts w:asciiTheme="minorHAnsi" w:hAnsiTheme="minorHAnsi" w:cs="Arial"/>
        </w:rPr>
        <w:t>OITE</w:t>
      </w:r>
      <w:r w:rsidR="00AA013F" w:rsidRPr="004B71E8">
        <w:rPr>
          <w:rFonts w:asciiTheme="minorHAnsi" w:hAnsiTheme="minorHAnsi" w:cs="Arial"/>
        </w:rPr>
        <w:t>, as per NIH policy. The graduate student and postdoctoral fellow applications came directly to CRCHD. Having the application system within CRCHD allowed us the ability to circulate</w:t>
      </w:r>
      <w:r w:rsidR="00923F1B" w:rsidRPr="004B71E8">
        <w:rPr>
          <w:rFonts w:asciiTheme="minorHAnsi" w:hAnsiTheme="minorHAnsi" w:cs="Arial"/>
        </w:rPr>
        <w:t xml:space="preserve"> the applications</w:t>
      </w:r>
      <w:r w:rsidR="00AA013F" w:rsidRPr="004B71E8">
        <w:rPr>
          <w:rFonts w:asciiTheme="minorHAnsi" w:hAnsiTheme="minorHAnsi" w:cs="Arial"/>
        </w:rPr>
        <w:t xml:space="preserve"> in encrypted format internally at NCI among extramural staff and intramural scientists who serve as evaluators</w:t>
      </w:r>
      <w:r w:rsidR="00923F1B" w:rsidRPr="004B71E8">
        <w:rPr>
          <w:rFonts w:asciiTheme="minorHAnsi" w:hAnsiTheme="minorHAnsi" w:cs="Arial"/>
        </w:rPr>
        <w:t xml:space="preserve"> and potential mentors.</w:t>
      </w:r>
      <w:r w:rsidR="00AA013F" w:rsidRPr="004B71E8">
        <w:rPr>
          <w:rFonts w:asciiTheme="minorHAnsi" w:hAnsiTheme="minorHAnsi" w:cs="Arial"/>
        </w:rPr>
        <w:t xml:space="preserve"> </w:t>
      </w:r>
      <w:r w:rsidR="00923F1B" w:rsidRPr="004B71E8">
        <w:rPr>
          <w:rFonts w:asciiTheme="minorHAnsi" w:hAnsiTheme="minorHAnsi" w:cs="Arial"/>
        </w:rPr>
        <w:t xml:space="preserve">iCURE uses the information provided in the applications to facilitate matches between qualified applicants and IRP investigators. The application system also allows us to </w:t>
      </w:r>
      <w:r w:rsidRPr="004B71E8">
        <w:rPr>
          <w:rFonts w:asciiTheme="minorHAnsi" w:hAnsiTheme="minorHAnsi" w:cs="Arial"/>
        </w:rPr>
        <w:t xml:space="preserve">contact each interested applicant with information about the </w:t>
      </w:r>
      <w:r w:rsidR="00AA013F" w:rsidRPr="004B71E8">
        <w:rPr>
          <w:rFonts w:asciiTheme="minorHAnsi" w:hAnsiTheme="minorHAnsi" w:cs="Arial"/>
        </w:rPr>
        <w:t xml:space="preserve">CURE and iCURE </w:t>
      </w:r>
      <w:r w:rsidR="004528F9" w:rsidRPr="004B71E8">
        <w:rPr>
          <w:rFonts w:asciiTheme="minorHAnsi" w:hAnsiTheme="minorHAnsi" w:cs="Arial"/>
        </w:rPr>
        <w:t>programs and</w:t>
      </w:r>
      <w:r w:rsidR="00923F1B" w:rsidRPr="004B71E8">
        <w:rPr>
          <w:rFonts w:asciiTheme="minorHAnsi" w:hAnsiTheme="minorHAnsi" w:cs="Arial"/>
        </w:rPr>
        <w:t xml:space="preserve"> provide g</w:t>
      </w:r>
      <w:r w:rsidRPr="004B71E8">
        <w:rPr>
          <w:rFonts w:asciiTheme="minorHAnsi" w:hAnsiTheme="minorHAnsi" w:cs="Arial"/>
        </w:rPr>
        <w:t xml:space="preserve">uidance about </w:t>
      </w:r>
      <w:r w:rsidR="00923F1B" w:rsidRPr="004B71E8">
        <w:rPr>
          <w:rFonts w:asciiTheme="minorHAnsi" w:hAnsiTheme="minorHAnsi" w:cs="Arial"/>
        </w:rPr>
        <w:t xml:space="preserve">career opportunities </w:t>
      </w:r>
      <w:r w:rsidRPr="004B71E8">
        <w:rPr>
          <w:rFonts w:asciiTheme="minorHAnsi" w:hAnsiTheme="minorHAnsi" w:cs="Arial"/>
        </w:rPr>
        <w:t xml:space="preserve">of interest to them.  This is especially important for applicants </w:t>
      </w:r>
      <w:r w:rsidR="00923F1B" w:rsidRPr="004B71E8">
        <w:rPr>
          <w:rFonts w:asciiTheme="minorHAnsi" w:hAnsiTheme="minorHAnsi" w:cs="Arial"/>
        </w:rPr>
        <w:t>to the iCURE</w:t>
      </w:r>
      <w:r w:rsidRPr="004B71E8">
        <w:rPr>
          <w:rFonts w:asciiTheme="minorHAnsi" w:hAnsiTheme="minorHAnsi" w:cs="Arial"/>
        </w:rPr>
        <w:t xml:space="preserve">, </w:t>
      </w:r>
      <w:r w:rsidR="00923F1B" w:rsidRPr="004B71E8">
        <w:rPr>
          <w:rFonts w:asciiTheme="minorHAnsi" w:hAnsiTheme="minorHAnsi" w:cs="Arial"/>
        </w:rPr>
        <w:t>who are likely to be from underrepresented populations and would especially benefit from such guidance</w:t>
      </w:r>
      <w:r w:rsidRPr="004B71E8">
        <w:rPr>
          <w:rFonts w:asciiTheme="minorHAnsi" w:hAnsiTheme="minorHAnsi" w:cs="Arial"/>
        </w:rPr>
        <w:t>.</w:t>
      </w:r>
      <w:r w:rsidR="00923F1B" w:rsidRPr="004B71E8">
        <w:rPr>
          <w:rFonts w:asciiTheme="minorHAnsi" w:hAnsiTheme="minorHAnsi" w:cs="Arial"/>
        </w:rPr>
        <w:t xml:space="preserve"> One of CRCHD’s primary mission goals is to enhance diversity in the cancer research workforce, and as such, CRCHD is uniquely positioned in the NCI to </w:t>
      </w:r>
      <w:r w:rsidR="004B71E8" w:rsidRPr="004B71E8">
        <w:rPr>
          <w:rFonts w:asciiTheme="minorHAnsi" w:hAnsiTheme="minorHAnsi" w:cs="Arial"/>
        </w:rPr>
        <w:t>provide guidance to the iCURE applicants.</w:t>
      </w:r>
      <w:r w:rsidR="004B71E8">
        <w:rPr>
          <w:rFonts w:asciiTheme="minorHAnsi" w:hAnsiTheme="minorHAnsi" w:cs="Arial"/>
        </w:rPr>
        <w:t xml:space="preserve"> </w:t>
      </w:r>
      <w:r w:rsidRPr="00BB0B26">
        <w:rPr>
          <w:rFonts w:asciiTheme="minorHAnsi" w:hAnsiTheme="minorHAnsi" w:cs="Arial"/>
        </w:rPr>
        <w:t xml:space="preserve">  </w:t>
      </w:r>
    </w:p>
    <w:p w14:paraId="728BAC16" w14:textId="77777777" w:rsidR="00A60C1E" w:rsidRPr="00A60C1E" w:rsidRDefault="00A60C1E" w:rsidP="00A60C1E">
      <w:pPr>
        <w:autoSpaceDE w:val="0"/>
        <w:autoSpaceDN w:val="0"/>
        <w:adjustRightInd w:val="0"/>
        <w:spacing w:after="0" w:line="240" w:lineRule="auto"/>
        <w:rPr>
          <w:rFonts w:asciiTheme="minorHAnsi" w:hAnsiTheme="minorHAnsi" w:cs="Arial"/>
        </w:rPr>
      </w:pPr>
    </w:p>
    <w:p w14:paraId="6DF59408" w14:textId="77777777" w:rsidR="00A00CF8" w:rsidRPr="008942E9" w:rsidRDefault="00A00CF8" w:rsidP="000F78FC">
      <w:pPr>
        <w:spacing w:after="0" w:line="240" w:lineRule="auto"/>
        <w:rPr>
          <w:b/>
          <w:color w:val="000000"/>
        </w:rPr>
      </w:pPr>
      <w:r w:rsidRPr="008942E9">
        <w:rPr>
          <w:b/>
          <w:color w:val="000000"/>
        </w:rPr>
        <w:t>A.3     Use of Information Technology and Burden Reduction</w:t>
      </w:r>
    </w:p>
    <w:p w14:paraId="2694B7DE" w14:textId="487FFA70" w:rsidR="00AB2D89" w:rsidRDefault="000C5E58" w:rsidP="00A27F45">
      <w:pPr>
        <w:spacing w:after="0" w:line="240" w:lineRule="auto"/>
        <w:rPr>
          <w:color w:val="000000"/>
        </w:rPr>
      </w:pPr>
      <w:r w:rsidRPr="000C5E58">
        <w:rPr>
          <w:color w:val="000000"/>
        </w:rPr>
        <w:t xml:space="preserve">Prospective </w:t>
      </w:r>
      <w:r w:rsidR="00FA16ED">
        <w:rPr>
          <w:color w:val="000000"/>
        </w:rPr>
        <w:t>post baccalaureate</w:t>
      </w:r>
      <w:r w:rsidR="003B035E">
        <w:rPr>
          <w:color w:val="000000"/>
        </w:rPr>
        <w:t xml:space="preserve"> </w:t>
      </w:r>
      <w:r w:rsidR="00AA7506">
        <w:rPr>
          <w:color w:val="000000"/>
        </w:rPr>
        <w:t>applicants</w:t>
      </w:r>
      <w:r w:rsidRPr="000C5E58">
        <w:rPr>
          <w:color w:val="000000"/>
        </w:rPr>
        <w:t xml:space="preserve"> for </w:t>
      </w:r>
      <w:r w:rsidR="003B035E">
        <w:rPr>
          <w:color w:val="000000"/>
        </w:rPr>
        <w:t>iCURE</w:t>
      </w:r>
      <w:r w:rsidRPr="000C5E58">
        <w:rPr>
          <w:color w:val="000000"/>
        </w:rPr>
        <w:t xml:space="preserve"> must apply </w:t>
      </w:r>
      <w:r w:rsidR="00AA7506">
        <w:rPr>
          <w:color w:val="000000"/>
        </w:rPr>
        <w:t>through NIH OITE (</w:t>
      </w:r>
      <w:r w:rsidR="00FA16ED">
        <w:rPr>
          <w:color w:val="000000"/>
        </w:rPr>
        <w:t>post baccalaureates</w:t>
      </w:r>
      <w:r w:rsidR="003B035E">
        <w:rPr>
          <w:color w:val="000000"/>
        </w:rPr>
        <w:t xml:space="preserve"> IRTA application)</w:t>
      </w:r>
      <w:r w:rsidR="00AB4E84">
        <w:rPr>
          <w:color w:val="000000"/>
        </w:rPr>
        <w:t xml:space="preserve"> </w:t>
      </w:r>
      <w:r w:rsidR="00AB4E84">
        <w:rPr>
          <w:rFonts w:asciiTheme="minorHAnsi" w:hAnsiTheme="minorHAnsi" w:cs="Arial"/>
        </w:rPr>
        <w:t>(OMB No. 0925-0299, Expiration Date 6/30/2019)</w:t>
      </w:r>
      <w:r w:rsidR="003B035E">
        <w:rPr>
          <w:color w:val="000000"/>
        </w:rPr>
        <w:t xml:space="preserve">. In addition, </w:t>
      </w:r>
      <w:r w:rsidR="00FA16ED">
        <w:rPr>
          <w:color w:val="000000"/>
        </w:rPr>
        <w:t>post baccalaureate</w:t>
      </w:r>
      <w:r w:rsidR="003B035E">
        <w:rPr>
          <w:color w:val="000000"/>
        </w:rPr>
        <w:t xml:space="preserve"> applicants</w:t>
      </w:r>
      <w:r w:rsidR="003B035E" w:rsidRPr="000C5E58">
        <w:rPr>
          <w:color w:val="000000"/>
        </w:rPr>
        <w:t xml:space="preserve"> </w:t>
      </w:r>
      <w:r w:rsidR="003B035E">
        <w:rPr>
          <w:color w:val="000000"/>
        </w:rPr>
        <w:t xml:space="preserve">must submit a supplemental application </w:t>
      </w:r>
      <w:r w:rsidRPr="000C5E58">
        <w:rPr>
          <w:color w:val="000000"/>
        </w:rPr>
        <w:t xml:space="preserve">directly to </w:t>
      </w:r>
      <w:r w:rsidR="00AA7506">
        <w:rPr>
          <w:color w:val="000000"/>
        </w:rPr>
        <w:t>CRCHD</w:t>
      </w:r>
      <w:r w:rsidR="00AB4E84">
        <w:rPr>
          <w:color w:val="000000"/>
        </w:rPr>
        <w:t xml:space="preserve"> </w:t>
      </w:r>
      <w:r w:rsidR="00AB4E84" w:rsidRPr="000F78FC">
        <w:rPr>
          <w:b/>
          <w:color w:val="000000"/>
        </w:rPr>
        <w:t>(Attachment 1)</w:t>
      </w:r>
      <w:r w:rsidRPr="000C5E58">
        <w:rPr>
          <w:color w:val="000000"/>
        </w:rPr>
        <w:t xml:space="preserve">.  </w:t>
      </w:r>
      <w:r w:rsidR="003B035E">
        <w:rPr>
          <w:color w:val="000000"/>
        </w:rPr>
        <w:t>Prospective graduate student and postdoctoral applicants for iCURE must apply directly to CRCHD</w:t>
      </w:r>
      <w:r w:rsidR="00AB4E84">
        <w:rPr>
          <w:color w:val="000000"/>
        </w:rPr>
        <w:t xml:space="preserve"> </w:t>
      </w:r>
      <w:r w:rsidR="00AB4E84" w:rsidRPr="000F78FC">
        <w:rPr>
          <w:b/>
          <w:color w:val="000000"/>
        </w:rPr>
        <w:t>(Attachments 2 and 3)</w:t>
      </w:r>
      <w:r w:rsidR="003B035E">
        <w:rPr>
          <w:color w:val="000000"/>
        </w:rPr>
        <w:t xml:space="preserve">. </w:t>
      </w:r>
    </w:p>
    <w:p w14:paraId="6F2B04FF" w14:textId="77777777" w:rsidR="00AB2D89" w:rsidRDefault="00AB2D89" w:rsidP="00A27F45">
      <w:pPr>
        <w:spacing w:after="0" w:line="240" w:lineRule="auto"/>
        <w:rPr>
          <w:color w:val="000000"/>
        </w:rPr>
      </w:pPr>
    </w:p>
    <w:p w14:paraId="294B2E60" w14:textId="68F101DB" w:rsidR="000C5E58" w:rsidRDefault="003B035E" w:rsidP="00A27F45">
      <w:pPr>
        <w:spacing w:after="0" w:line="240" w:lineRule="auto"/>
        <w:rPr>
          <w:color w:val="000000"/>
        </w:rPr>
      </w:pPr>
      <w:r>
        <w:rPr>
          <w:color w:val="000000"/>
        </w:rPr>
        <w:t>Currently information that comes directly to CRCHD (</w:t>
      </w:r>
      <w:r w:rsidR="00FA16ED">
        <w:rPr>
          <w:color w:val="000000"/>
        </w:rPr>
        <w:t>post baccalaureate</w:t>
      </w:r>
      <w:r>
        <w:rPr>
          <w:color w:val="000000"/>
        </w:rPr>
        <w:t xml:space="preserve"> supplement application, graduate student and postdoctoral applications) will be collected by email </w:t>
      </w:r>
      <w:r w:rsidRPr="003328E2">
        <w:rPr>
          <w:color w:val="000000"/>
        </w:rPr>
        <w:t xml:space="preserve">submission. We are developing an electronic application system and expect to launch in two years. </w:t>
      </w:r>
    </w:p>
    <w:p w14:paraId="0E46B685" w14:textId="77777777" w:rsidR="003B035E" w:rsidRPr="000C5E58" w:rsidRDefault="003B035E" w:rsidP="00A27F45">
      <w:pPr>
        <w:spacing w:after="0" w:line="240" w:lineRule="auto"/>
        <w:rPr>
          <w:color w:val="000000"/>
        </w:rPr>
      </w:pPr>
    </w:p>
    <w:p w14:paraId="443EE6CD" w14:textId="5EDC9EC8" w:rsidR="000C5E58" w:rsidRDefault="000C5E58" w:rsidP="00A27F45">
      <w:pPr>
        <w:spacing w:after="0" w:line="240" w:lineRule="auto"/>
        <w:rPr>
          <w:color w:val="000000"/>
        </w:rPr>
      </w:pPr>
      <w:r w:rsidRPr="000C5E58">
        <w:rPr>
          <w:color w:val="000000"/>
        </w:rPr>
        <w:t xml:space="preserve">The NCI Privacy Act Coordinator was </w:t>
      </w:r>
      <w:r w:rsidR="00996AD2" w:rsidRPr="000C5E58">
        <w:rPr>
          <w:color w:val="000000"/>
        </w:rPr>
        <w:t>consulted,</w:t>
      </w:r>
      <w:r w:rsidRPr="000C5E58">
        <w:rPr>
          <w:color w:val="000000"/>
        </w:rPr>
        <w:t xml:space="preserve"> and it was determined that a Privacy Impact Assessment (PIA) is needed</w:t>
      </w:r>
      <w:r w:rsidR="0068431C">
        <w:rPr>
          <w:color w:val="000000"/>
        </w:rPr>
        <w:t xml:space="preserve"> and has been completed</w:t>
      </w:r>
      <w:r w:rsidR="00E43E39">
        <w:rPr>
          <w:color w:val="000000"/>
        </w:rPr>
        <w:t xml:space="preserve"> </w:t>
      </w:r>
      <w:r w:rsidR="00A70A03">
        <w:rPr>
          <w:color w:val="000000"/>
        </w:rPr>
        <w:t xml:space="preserve">(see </w:t>
      </w:r>
      <w:r w:rsidR="00A70A03" w:rsidRPr="00A70A03">
        <w:rPr>
          <w:b/>
          <w:color w:val="000000"/>
        </w:rPr>
        <w:t>Attachment 7</w:t>
      </w:r>
      <w:r w:rsidR="00A70A03">
        <w:rPr>
          <w:color w:val="000000"/>
        </w:rPr>
        <w:t>)</w:t>
      </w:r>
      <w:r w:rsidR="0068431C">
        <w:rPr>
          <w:color w:val="000000"/>
        </w:rPr>
        <w:t>.</w:t>
      </w:r>
    </w:p>
    <w:p w14:paraId="0C98C09D" w14:textId="2EA2F12A" w:rsidR="00E92336" w:rsidRDefault="00E92336" w:rsidP="00A27F45">
      <w:pPr>
        <w:spacing w:after="0" w:line="240" w:lineRule="auto"/>
        <w:rPr>
          <w:color w:val="000000"/>
        </w:rPr>
      </w:pPr>
    </w:p>
    <w:p w14:paraId="7F9ECEED" w14:textId="66B2D574" w:rsidR="00E92336" w:rsidRDefault="00E92336" w:rsidP="00E92336">
      <w:pPr>
        <w:autoSpaceDE w:val="0"/>
        <w:autoSpaceDN w:val="0"/>
        <w:adjustRightInd w:val="0"/>
        <w:spacing w:after="0" w:line="240" w:lineRule="auto"/>
        <w:rPr>
          <w:rFonts w:asciiTheme="minorHAnsi" w:hAnsiTheme="minorHAnsi" w:cs="Arial"/>
        </w:rPr>
      </w:pPr>
      <w:r w:rsidRPr="00AA604C">
        <w:rPr>
          <w:rFonts w:asciiTheme="minorHAnsi" w:hAnsiTheme="minorHAnsi"/>
        </w:rPr>
        <w:t>Applicants</w:t>
      </w:r>
      <w:r>
        <w:rPr>
          <w:rFonts w:asciiTheme="minorHAnsi" w:hAnsiTheme="minorHAnsi"/>
        </w:rPr>
        <w:t xml:space="preserve"> voluntarily</w:t>
      </w:r>
      <w:r w:rsidRPr="00AA604C">
        <w:rPr>
          <w:rFonts w:asciiTheme="minorHAnsi" w:hAnsiTheme="minorHAnsi"/>
        </w:rPr>
        <w:t xml:space="preserve"> submit their information to </w:t>
      </w:r>
      <w:r>
        <w:rPr>
          <w:rFonts w:asciiTheme="minorHAnsi" w:hAnsiTheme="minorHAnsi"/>
        </w:rPr>
        <w:t>CRCHD by email</w:t>
      </w:r>
      <w:r w:rsidRPr="00AA604C">
        <w:rPr>
          <w:rFonts w:asciiTheme="minorHAnsi" w:hAnsiTheme="minorHAnsi"/>
        </w:rPr>
        <w:t xml:space="preserve">.  Information collected is </w:t>
      </w:r>
      <w:r>
        <w:rPr>
          <w:rFonts w:asciiTheme="minorHAnsi" w:hAnsiTheme="minorHAnsi"/>
        </w:rPr>
        <w:t xml:space="preserve">only </w:t>
      </w:r>
      <w:r w:rsidRPr="00AA604C">
        <w:rPr>
          <w:rFonts w:asciiTheme="minorHAnsi" w:hAnsiTheme="minorHAnsi"/>
        </w:rPr>
        <w:t xml:space="preserve">made available </w:t>
      </w:r>
      <w:r>
        <w:rPr>
          <w:rFonts w:asciiTheme="minorHAnsi" w:hAnsiTheme="minorHAnsi"/>
        </w:rPr>
        <w:t xml:space="preserve">through encrypted emails </w:t>
      </w:r>
      <w:r w:rsidR="005A3792">
        <w:rPr>
          <w:rFonts w:asciiTheme="minorHAnsi" w:hAnsiTheme="minorHAnsi"/>
        </w:rPr>
        <w:t xml:space="preserve">or folders with restricted access </w:t>
      </w:r>
      <w:r>
        <w:rPr>
          <w:rFonts w:asciiTheme="minorHAnsi" w:hAnsiTheme="minorHAnsi"/>
        </w:rPr>
        <w:t>to NIH account holders who are NCI or NIH</w:t>
      </w:r>
      <w:r w:rsidRPr="00AA604C">
        <w:rPr>
          <w:rFonts w:asciiTheme="minorHAnsi" w:hAnsiTheme="minorHAnsi"/>
        </w:rPr>
        <w:t xml:space="preserve"> scientific and program officials who recommend or approve fellowship awards and to administrative, human resources, and financial officials who prepare the necessary documentation to arrange for s</w:t>
      </w:r>
      <w:r>
        <w:rPr>
          <w:rFonts w:asciiTheme="minorHAnsi" w:hAnsiTheme="minorHAnsi"/>
        </w:rPr>
        <w:t>tipend payments and to activate the</w:t>
      </w:r>
      <w:r w:rsidRPr="00AA604C">
        <w:rPr>
          <w:rFonts w:asciiTheme="minorHAnsi" w:hAnsiTheme="minorHAnsi"/>
        </w:rPr>
        <w:t xml:space="preserve"> approved awards.  These authorized individuals </w:t>
      </w:r>
      <w:r>
        <w:rPr>
          <w:rFonts w:asciiTheme="minorHAnsi" w:hAnsiTheme="minorHAnsi"/>
        </w:rPr>
        <w:t xml:space="preserve">will access their emails </w:t>
      </w:r>
      <w:r w:rsidR="005A3792">
        <w:rPr>
          <w:rFonts w:asciiTheme="minorHAnsi" w:hAnsiTheme="minorHAnsi"/>
        </w:rPr>
        <w:t xml:space="preserve">or the folders with restricted access </w:t>
      </w:r>
      <w:r>
        <w:rPr>
          <w:rFonts w:asciiTheme="minorHAnsi" w:hAnsiTheme="minorHAnsi"/>
        </w:rPr>
        <w:t>through NIH credentials</w:t>
      </w:r>
      <w:r w:rsidRPr="00AA604C">
        <w:rPr>
          <w:rFonts w:asciiTheme="minorHAnsi" w:hAnsiTheme="minorHAnsi"/>
        </w:rPr>
        <w:t xml:space="preserve">.  </w:t>
      </w:r>
      <w:r>
        <w:rPr>
          <w:rFonts w:asciiTheme="minorHAnsi" w:hAnsiTheme="minorHAnsi" w:cs="Arial"/>
        </w:rPr>
        <w:t xml:space="preserve">Applications not selected for iCURE support will be kept for three years; applications selected for iCURE support will be kept for up to 15 years. </w:t>
      </w:r>
    </w:p>
    <w:p w14:paraId="0A755090" w14:textId="77777777" w:rsidR="00E92336" w:rsidRPr="004B71E8" w:rsidRDefault="00E92336" w:rsidP="00E92336">
      <w:pPr>
        <w:autoSpaceDE w:val="0"/>
        <w:autoSpaceDN w:val="0"/>
        <w:adjustRightInd w:val="0"/>
        <w:spacing w:after="0" w:line="240" w:lineRule="auto"/>
        <w:rPr>
          <w:rFonts w:asciiTheme="minorHAnsi" w:hAnsiTheme="minorHAnsi" w:cs="Arial"/>
        </w:rPr>
      </w:pPr>
    </w:p>
    <w:p w14:paraId="3C0AA669" w14:textId="38DA976A" w:rsidR="00E92336" w:rsidRPr="000F78FC" w:rsidRDefault="00E92336" w:rsidP="000F78FC">
      <w:pPr>
        <w:pStyle w:val="P1-StandPara"/>
        <w:spacing w:line="240" w:lineRule="auto"/>
        <w:ind w:firstLine="0"/>
        <w:rPr>
          <w:rFonts w:asciiTheme="minorHAnsi" w:hAnsiTheme="minorHAnsi"/>
        </w:rPr>
      </w:pPr>
      <w:r w:rsidRPr="00AA604C">
        <w:rPr>
          <w:rFonts w:asciiTheme="minorHAnsi" w:hAnsiTheme="minorHAnsi"/>
        </w:rPr>
        <w:t xml:space="preserve">The </w:t>
      </w:r>
      <w:r>
        <w:rPr>
          <w:rFonts w:asciiTheme="minorHAnsi" w:hAnsiTheme="minorHAnsi"/>
        </w:rPr>
        <w:t xml:space="preserve">applications, including </w:t>
      </w:r>
      <w:r w:rsidRPr="00AA604C">
        <w:rPr>
          <w:rFonts w:asciiTheme="minorHAnsi" w:hAnsiTheme="minorHAnsi"/>
        </w:rPr>
        <w:t xml:space="preserve">the applicant data, are stored </w:t>
      </w:r>
      <w:r>
        <w:rPr>
          <w:rFonts w:asciiTheme="minorHAnsi" w:hAnsiTheme="minorHAnsi"/>
        </w:rPr>
        <w:t>on government-issued desktop computers and information systems that</w:t>
      </w:r>
      <w:r w:rsidRPr="00AA604C">
        <w:rPr>
          <w:rFonts w:asciiTheme="minorHAnsi" w:hAnsiTheme="minorHAnsi"/>
        </w:rPr>
        <w:t xml:space="preserve"> are protected at all entry points by firewalls and intrusion detection devices.</w:t>
      </w:r>
    </w:p>
    <w:p w14:paraId="4CA7DA1D" w14:textId="77777777" w:rsidR="00AA7506" w:rsidRDefault="00AA7506" w:rsidP="00A27F45">
      <w:pPr>
        <w:spacing w:after="0" w:line="240" w:lineRule="auto"/>
        <w:rPr>
          <w:color w:val="000000"/>
        </w:rPr>
      </w:pPr>
    </w:p>
    <w:p w14:paraId="0FFA6142" w14:textId="77777777" w:rsidR="00685B30" w:rsidRPr="008942E9" w:rsidRDefault="00685B30" w:rsidP="000F78FC">
      <w:pPr>
        <w:pStyle w:val="Heading2"/>
        <w:tabs>
          <w:tab w:val="clear" w:pos="1152"/>
          <w:tab w:val="left" w:pos="720"/>
        </w:tabs>
        <w:spacing w:after="0" w:line="240" w:lineRule="auto"/>
        <w:ind w:left="0" w:firstLine="0"/>
        <w:rPr>
          <w:rFonts w:ascii="Calibri" w:hAnsi="Calibri"/>
          <w:szCs w:val="22"/>
        </w:rPr>
      </w:pPr>
      <w:bookmarkStart w:id="5" w:name="_Toc443881745"/>
      <w:bookmarkStart w:id="6" w:name="_Toc451592234"/>
      <w:bookmarkStart w:id="7" w:name="_Toc5610275"/>
      <w:bookmarkStart w:id="8" w:name="_Toc99178781"/>
      <w:r w:rsidRPr="008942E9">
        <w:rPr>
          <w:rFonts w:ascii="Calibri" w:hAnsi="Calibri"/>
          <w:szCs w:val="22"/>
        </w:rPr>
        <w:t>A.4</w:t>
      </w:r>
      <w:r w:rsidRPr="008942E9">
        <w:rPr>
          <w:rFonts w:ascii="Calibri" w:hAnsi="Calibri"/>
          <w:szCs w:val="22"/>
        </w:rPr>
        <w:tab/>
        <w:t>Efforts to Identify Duplication and Use of Similar Information</w:t>
      </w:r>
      <w:bookmarkEnd w:id="5"/>
      <w:bookmarkEnd w:id="6"/>
      <w:bookmarkEnd w:id="7"/>
      <w:bookmarkEnd w:id="8"/>
    </w:p>
    <w:p w14:paraId="4E44704C" w14:textId="77777777" w:rsidR="00AB2D89" w:rsidRDefault="003B035E" w:rsidP="003B035E">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One primary purpose of the iCURE is to e</w:t>
      </w:r>
      <w:r w:rsidR="00134D83">
        <w:rPr>
          <w:rFonts w:asciiTheme="minorHAnsi" w:hAnsiTheme="minorHAnsi" w:cs="Arial"/>
          <w:sz w:val="22"/>
          <w:szCs w:val="22"/>
        </w:rPr>
        <w:t>nhance diversity in the NCI IRP through fostering long-term research training efforts. Enhancing diversity requires targeted recruitment of students and scientists from underrepresented populations with a strong interest in cancer research.</w:t>
      </w:r>
      <w:r w:rsidR="00FB6795" w:rsidRPr="003B035E">
        <w:rPr>
          <w:rFonts w:asciiTheme="minorHAnsi" w:hAnsiTheme="minorHAnsi" w:cs="Arial"/>
          <w:sz w:val="22"/>
          <w:szCs w:val="22"/>
        </w:rPr>
        <w:t xml:space="preserve"> </w:t>
      </w:r>
    </w:p>
    <w:p w14:paraId="1720FE0C" w14:textId="77777777" w:rsidR="00AB2D89" w:rsidRDefault="00AB2D89" w:rsidP="003B035E">
      <w:pPr>
        <w:pStyle w:val="NormalWeb"/>
        <w:spacing w:before="0" w:beforeAutospacing="0" w:after="0" w:afterAutospacing="0"/>
        <w:rPr>
          <w:rFonts w:asciiTheme="minorHAnsi" w:hAnsiTheme="minorHAnsi" w:cs="Arial"/>
          <w:sz w:val="22"/>
          <w:szCs w:val="22"/>
        </w:rPr>
      </w:pPr>
    </w:p>
    <w:p w14:paraId="063C1988" w14:textId="1520956B" w:rsidR="00FB6795" w:rsidRDefault="00FB6795" w:rsidP="003B035E">
      <w:pPr>
        <w:pStyle w:val="NormalWeb"/>
        <w:spacing w:before="0" w:beforeAutospacing="0" w:after="0" w:afterAutospacing="0"/>
        <w:rPr>
          <w:rFonts w:asciiTheme="minorHAnsi" w:hAnsiTheme="minorHAnsi" w:cs="Arial"/>
          <w:sz w:val="22"/>
          <w:szCs w:val="22"/>
        </w:rPr>
      </w:pPr>
      <w:r w:rsidRPr="003B035E">
        <w:rPr>
          <w:rFonts w:asciiTheme="minorHAnsi" w:hAnsiTheme="minorHAnsi" w:cs="Arial"/>
          <w:sz w:val="22"/>
          <w:szCs w:val="22"/>
        </w:rPr>
        <w:t xml:space="preserve">Though the NIH </w:t>
      </w:r>
      <w:r w:rsidR="0098418D">
        <w:rPr>
          <w:rFonts w:asciiTheme="minorHAnsi" w:hAnsiTheme="minorHAnsi" w:cs="Arial"/>
          <w:sz w:val="22"/>
          <w:szCs w:val="22"/>
        </w:rPr>
        <w:t>OITE</w:t>
      </w:r>
      <w:r w:rsidRPr="003B035E">
        <w:rPr>
          <w:rFonts w:asciiTheme="minorHAnsi" w:hAnsiTheme="minorHAnsi" w:cs="Arial"/>
          <w:sz w:val="22"/>
          <w:szCs w:val="22"/>
        </w:rPr>
        <w:t>, which is part of the NIH Office of the Director, Office of Intramural Research, (NIH/OD/OIR/OITE) (OMB No. 0925-0299</w:t>
      </w:r>
      <w:r w:rsidR="00AB2D89">
        <w:rPr>
          <w:rFonts w:asciiTheme="minorHAnsi" w:hAnsiTheme="minorHAnsi" w:cs="Arial"/>
          <w:sz w:val="22"/>
          <w:szCs w:val="22"/>
        </w:rPr>
        <w:t>,</w:t>
      </w:r>
      <w:r w:rsidRPr="003B035E">
        <w:rPr>
          <w:rFonts w:asciiTheme="minorHAnsi" w:hAnsiTheme="minorHAnsi" w:cs="Arial"/>
          <w:sz w:val="22"/>
          <w:szCs w:val="22"/>
        </w:rPr>
        <w:t xml:space="preserve"> Expiration Date </w:t>
      </w:r>
      <w:r w:rsidRPr="000F78FC">
        <w:rPr>
          <w:rFonts w:asciiTheme="minorHAnsi" w:hAnsiTheme="minorHAnsi" w:cs="Arial"/>
          <w:sz w:val="22"/>
          <w:szCs w:val="22"/>
        </w:rPr>
        <w:t>06/30/2019</w:t>
      </w:r>
      <w:r w:rsidRPr="003B035E">
        <w:rPr>
          <w:rFonts w:asciiTheme="minorHAnsi" w:hAnsiTheme="minorHAnsi" w:cs="Arial"/>
          <w:sz w:val="22"/>
          <w:szCs w:val="22"/>
        </w:rPr>
        <w:t xml:space="preserve">) has a fellowship application and review process, it is difficult for OITE to target </w:t>
      </w:r>
      <w:r w:rsidR="00134D83">
        <w:rPr>
          <w:rFonts w:asciiTheme="minorHAnsi" w:hAnsiTheme="minorHAnsi" w:cs="Arial"/>
          <w:sz w:val="22"/>
          <w:szCs w:val="22"/>
        </w:rPr>
        <w:t>underrepresented</w:t>
      </w:r>
      <w:r w:rsidRPr="003B035E">
        <w:rPr>
          <w:rFonts w:asciiTheme="minorHAnsi" w:hAnsiTheme="minorHAnsi" w:cs="Arial"/>
          <w:sz w:val="22"/>
          <w:szCs w:val="22"/>
        </w:rPr>
        <w:t xml:space="preserve"> trainees</w:t>
      </w:r>
      <w:r w:rsidR="00134D83">
        <w:rPr>
          <w:rFonts w:asciiTheme="minorHAnsi" w:hAnsiTheme="minorHAnsi" w:cs="Arial"/>
          <w:sz w:val="22"/>
          <w:szCs w:val="22"/>
        </w:rPr>
        <w:t xml:space="preserve"> with a strong cancer research interest</w:t>
      </w:r>
      <w:r w:rsidRPr="003B035E">
        <w:rPr>
          <w:rFonts w:asciiTheme="minorHAnsi" w:hAnsiTheme="minorHAnsi" w:cs="Arial"/>
          <w:sz w:val="22"/>
          <w:szCs w:val="22"/>
        </w:rPr>
        <w:t xml:space="preserve">. The OITE application is used by all NIH fellowship </w:t>
      </w:r>
      <w:r w:rsidR="00996AD2" w:rsidRPr="003B035E">
        <w:rPr>
          <w:rFonts w:asciiTheme="minorHAnsi" w:hAnsiTheme="minorHAnsi" w:cs="Arial"/>
          <w:sz w:val="22"/>
          <w:szCs w:val="22"/>
        </w:rPr>
        <w:t>programs but</w:t>
      </w:r>
      <w:r w:rsidRPr="003B035E">
        <w:rPr>
          <w:rFonts w:asciiTheme="minorHAnsi" w:hAnsiTheme="minorHAnsi" w:cs="Arial"/>
          <w:sz w:val="22"/>
          <w:szCs w:val="22"/>
        </w:rPr>
        <w:t xml:space="preserve"> does not include questions designed to describe the applicant’s interests in the areas of cancer </w:t>
      </w:r>
      <w:r w:rsidR="00134D83">
        <w:rPr>
          <w:rFonts w:asciiTheme="minorHAnsi" w:hAnsiTheme="minorHAnsi" w:cs="Arial"/>
          <w:sz w:val="22"/>
          <w:szCs w:val="22"/>
        </w:rPr>
        <w:t>research</w:t>
      </w:r>
      <w:r w:rsidRPr="003B035E">
        <w:rPr>
          <w:rFonts w:asciiTheme="minorHAnsi" w:hAnsiTheme="minorHAnsi" w:cs="Arial"/>
          <w:sz w:val="22"/>
          <w:szCs w:val="22"/>
        </w:rPr>
        <w:t xml:space="preserve"> that would help to determine their </w:t>
      </w:r>
      <w:r w:rsidR="00134D83">
        <w:rPr>
          <w:rFonts w:asciiTheme="minorHAnsi" w:hAnsiTheme="minorHAnsi" w:cs="Arial"/>
          <w:sz w:val="22"/>
          <w:szCs w:val="22"/>
        </w:rPr>
        <w:t>alignment with NCI interests</w:t>
      </w:r>
      <w:r w:rsidRPr="003B035E">
        <w:rPr>
          <w:rFonts w:asciiTheme="minorHAnsi" w:hAnsiTheme="minorHAnsi" w:cs="Arial"/>
          <w:sz w:val="22"/>
          <w:szCs w:val="22"/>
        </w:rPr>
        <w:t xml:space="preserve">. Also, OITE applications are directed at primarily lab-based trainees, which </w:t>
      </w:r>
      <w:r w:rsidR="00134D83">
        <w:rPr>
          <w:rFonts w:asciiTheme="minorHAnsi" w:hAnsiTheme="minorHAnsi" w:cs="Arial"/>
          <w:sz w:val="22"/>
          <w:szCs w:val="22"/>
        </w:rPr>
        <w:t>does not reflect the interests of the NCI DCEG</w:t>
      </w:r>
      <w:r w:rsidRPr="003B035E">
        <w:rPr>
          <w:rFonts w:asciiTheme="minorHAnsi" w:hAnsiTheme="minorHAnsi" w:cs="Arial"/>
          <w:sz w:val="22"/>
          <w:szCs w:val="22"/>
        </w:rPr>
        <w:t xml:space="preserve">.  The OITE application system does not have a straight-forward way to </w:t>
      </w:r>
      <w:r w:rsidR="00134D83">
        <w:rPr>
          <w:rFonts w:asciiTheme="minorHAnsi" w:hAnsiTheme="minorHAnsi" w:cs="Arial"/>
          <w:sz w:val="22"/>
          <w:szCs w:val="22"/>
        </w:rPr>
        <w:t>strongly encourage applicants from diverse backgrounds</w:t>
      </w:r>
      <w:r w:rsidRPr="003B035E">
        <w:rPr>
          <w:rFonts w:asciiTheme="minorHAnsi" w:hAnsiTheme="minorHAnsi" w:cs="Arial"/>
          <w:sz w:val="22"/>
          <w:szCs w:val="22"/>
        </w:rPr>
        <w:t xml:space="preserve">.  In addition, OITE does not have a system for postdoctoral level applications, where as </w:t>
      </w:r>
      <w:r w:rsidR="00134D83">
        <w:rPr>
          <w:rFonts w:asciiTheme="minorHAnsi" w:hAnsiTheme="minorHAnsi" w:cs="Arial"/>
          <w:sz w:val="22"/>
          <w:szCs w:val="22"/>
        </w:rPr>
        <w:t>3</w:t>
      </w:r>
      <w:r w:rsidR="00CF32D6">
        <w:rPr>
          <w:rFonts w:asciiTheme="minorHAnsi" w:hAnsiTheme="minorHAnsi" w:cs="Arial"/>
          <w:sz w:val="22"/>
          <w:szCs w:val="22"/>
        </w:rPr>
        <w:t>8</w:t>
      </w:r>
      <w:r w:rsidRPr="003B035E">
        <w:rPr>
          <w:rFonts w:asciiTheme="minorHAnsi" w:hAnsiTheme="minorHAnsi" w:cs="Arial"/>
          <w:sz w:val="22"/>
          <w:szCs w:val="22"/>
        </w:rPr>
        <w:t xml:space="preserve">% of </w:t>
      </w:r>
      <w:r w:rsidR="00134D83">
        <w:rPr>
          <w:rFonts w:asciiTheme="minorHAnsi" w:hAnsiTheme="minorHAnsi" w:cs="Arial"/>
          <w:sz w:val="22"/>
          <w:szCs w:val="22"/>
        </w:rPr>
        <w:t>iCURE scholars</w:t>
      </w:r>
      <w:r w:rsidRPr="003B035E">
        <w:rPr>
          <w:rFonts w:asciiTheme="minorHAnsi" w:hAnsiTheme="minorHAnsi" w:cs="Arial"/>
          <w:sz w:val="22"/>
          <w:szCs w:val="22"/>
        </w:rPr>
        <w:t xml:space="preserve"> </w:t>
      </w:r>
      <w:r w:rsidR="00134D83">
        <w:rPr>
          <w:rFonts w:asciiTheme="minorHAnsi" w:hAnsiTheme="minorHAnsi" w:cs="Arial"/>
          <w:sz w:val="22"/>
          <w:szCs w:val="22"/>
        </w:rPr>
        <w:t>will be</w:t>
      </w:r>
      <w:r w:rsidRPr="003B035E">
        <w:rPr>
          <w:rFonts w:asciiTheme="minorHAnsi" w:hAnsiTheme="minorHAnsi" w:cs="Arial"/>
          <w:sz w:val="22"/>
          <w:szCs w:val="22"/>
        </w:rPr>
        <w:t xml:space="preserve"> at the postdoctoral level.</w:t>
      </w:r>
    </w:p>
    <w:p w14:paraId="77A4E80E" w14:textId="4BBDBA66" w:rsidR="00134D83" w:rsidRDefault="00134D83" w:rsidP="003B035E">
      <w:pPr>
        <w:pStyle w:val="NormalWeb"/>
        <w:spacing w:before="0" w:beforeAutospacing="0" w:after="0" w:afterAutospacing="0"/>
        <w:rPr>
          <w:rFonts w:asciiTheme="minorHAnsi" w:hAnsiTheme="minorHAnsi" w:cs="Arial"/>
          <w:sz w:val="22"/>
          <w:szCs w:val="22"/>
        </w:rPr>
      </w:pPr>
    </w:p>
    <w:p w14:paraId="1BA434D2" w14:textId="2043BBC3" w:rsidR="005C7439" w:rsidRDefault="00134D83" w:rsidP="003B035E">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NCI also has several application systems for various programs</w:t>
      </w:r>
      <w:r w:rsidR="00C65C39">
        <w:rPr>
          <w:rFonts w:asciiTheme="minorHAnsi" w:hAnsiTheme="minorHAnsi" w:cs="Arial"/>
          <w:sz w:val="22"/>
          <w:szCs w:val="22"/>
        </w:rPr>
        <w:t xml:space="preserve">. </w:t>
      </w:r>
    </w:p>
    <w:p w14:paraId="0D64E2C7" w14:textId="77777777" w:rsidR="005C7439" w:rsidRDefault="00C65C39" w:rsidP="000F78FC">
      <w:pPr>
        <w:pStyle w:val="NormalWeb"/>
        <w:numPr>
          <w:ilvl w:val="0"/>
          <w:numId w:val="13"/>
        </w:numPr>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The Graduate Student Recruitment Program application </w:t>
      </w:r>
      <w:r w:rsidR="00AB2D89">
        <w:rPr>
          <w:rFonts w:asciiTheme="minorHAnsi" w:hAnsiTheme="minorHAnsi" w:cs="Arial"/>
          <w:sz w:val="22"/>
          <w:szCs w:val="22"/>
        </w:rPr>
        <w:t xml:space="preserve">(OMB No. 0925-0750, Expiration Date 12/31/2019) </w:t>
      </w:r>
      <w:r>
        <w:rPr>
          <w:rFonts w:asciiTheme="minorHAnsi" w:hAnsiTheme="minorHAnsi" w:cs="Arial"/>
          <w:sz w:val="22"/>
          <w:szCs w:val="22"/>
        </w:rPr>
        <w:t xml:space="preserve">is geared toward selection of candidates only in the senior graduate student level for a brief visit to the NCI; </w:t>
      </w:r>
    </w:p>
    <w:p w14:paraId="5C7187CF" w14:textId="430AB4C4" w:rsidR="005C7439" w:rsidRDefault="00C65C39" w:rsidP="000F78FC">
      <w:pPr>
        <w:pStyle w:val="NormalWeb"/>
        <w:numPr>
          <w:ilvl w:val="0"/>
          <w:numId w:val="13"/>
        </w:numPr>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the Introduction to Cancer Research Careers Program and the Cancer Research Intern Programs </w:t>
      </w:r>
      <w:r w:rsidR="005C7439" w:rsidRPr="003B035E">
        <w:rPr>
          <w:rFonts w:asciiTheme="minorHAnsi" w:hAnsiTheme="minorHAnsi" w:cs="Arial"/>
          <w:sz w:val="22"/>
          <w:szCs w:val="22"/>
        </w:rPr>
        <w:t>(OMB No. 0925-0299</w:t>
      </w:r>
      <w:r w:rsidR="005C7439">
        <w:rPr>
          <w:rFonts w:asciiTheme="minorHAnsi" w:hAnsiTheme="minorHAnsi" w:cs="Arial"/>
          <w:sz w:val="22"/>
          <w:szCs w:val="22"/>
        </w:rPr>
        <w:t>,</w:t>
      </w:r>
      <w:r w:rsidR="005C7439" w:rsidRPr="003B035E">
        <w:rPr>
          <w:rFonts w:asciiTheme="minorHAnsi" w:hAnsiTheme="minorHAnsi" w:cs="Arial"/>
          <w:sz w:val="22"/>
          <w:szCs w:val="22"/>
        </w:rPr>
        <w:t xml:space="preserve"> Expiration Date </w:t>
      </w:r>
      <w:r w:rsidR="005C7439" w:rsidRPr="004C0DDA">
        <w:rPr>
          <w:rFonts w:asciiTheme="minorHAnsi" w:hAnsiTheme="minorHAnsi" w:cs="Arial"/>
          <w:sz w:val="22"/>
          <w:szCs w:val="22"/>
        </w:rPr>
        <w:t>06/30/2019</w:t>
      </w:r>
      <w:r w:rsidR="00996AD2" w:rsidRPr="003B035E">
        <w:rPr>
          <w:rFonts w:asciiTheme="minorHAnsi" w:hAnsiTheme="minorHAnsi" w:cs="Arial"/>
          <w:sz w:val="22"/>
          <w:szCs w:val="22"/>
        </w:rPr>
        <w:t>)</w:t>
      </w:r>
      <w:r w:rsidR="00996AD2">
        <w:rPr>
          <w:rFonts w:asciiTheme="minorHAnsi" w:hAnsiTheme="minorHAnsi" w:cs="Arial"/>
          <w:sz w:val="22"/>
          <w:szCs w:val="22"/>
        </w:rPr>
        <w:t xml:space="preserve"> geared</w:t>
      </w:r>
      <w:r>
        <w:rPr>
          <w:rFonts w:asciiTheme="minorHAnsi" w:hAnsiTheme="minorHAnsi" w:cs="Arial"/>
          <w:sz w:val="22"/>
          <w:szCs w:val="22"/>
        </w:rPr>
        <w:t xml:space="preserve"> toward selection of candidates for a summer experience; and the </w:t>
      </w:r>
    </w:p>
    <w:p w14:paraId="03B3DE0F" w14:textId="0FDD29FA" w:rsidR="00C65C39" w:rsidRPr="00190919" w:rsidRDefault="00C65C39" w:rsidP="000F78FC">
      <w:pPr>
        <w:pStyle w:val="NormalWeb"/>
        <w:numPr>
          <w:ilvl w:val="0"/>
          <w:numId w:val="13"/>
        </w:numPr>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Cancer Prevention Fellowship Program </w:t>
      </w:r>
      <w:r w:rsidR="00AB2D89">
        <w:rPr>
          <w:rFonts w:asciiTheme="minorHAnsi" w:hAnsiTheme="minorHAnsi" w:cs="Arial"/>
          <w:sz w:val="22"/>
          <w:szCs w:val="22"/>
        </w:rPr>
        <w:t xml:space="preserve">(OMB No. 0925-0749, Expiration Date 12/31/2019) </w:t>
      </w:r>
      <w:r>
        <w:rPr>
          <w:rFonts w:asciiTheme="minorHAnsi" w:hAnsiTheme="minorHAnsi" w:cs="Arial"/>
          <w:sz w:val="22"/>
          <w:szCs w:val="22"/>
        </w:rPr>
        <w:t xml:space="preserve">is geared toward those who have a very specific cancer prevention focus. </w:t>
      </w:r>
    </w:p>
    <w:p w14:paraId="4AAC2C94" w14:textId="66F1AD62" w:rsidR="00FB6795" w:rsidRPr="003B035E" w:rsidRDefault="00C65C39">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None of the existing systems are ideally situated to help identify candidates from diverse backgrounds with a strong interest in cancer research and an intent to conduct long-term research at the NCI. </w:t>
      </w:r>
      <w:r w:rsidR="00FB6795" w:rsidRPr="003B035E">
        <w:rPr>
          <w:rFonts w:asciiTheme="minorHAnsi" w:hAnsiTheme="minorHAnsi" w:cs="Arial"/>
          <w:sz w:val="22"/>
          <w:szCs w:val="22"/>
        </w:rPr>
        <w:t xml:space="preserve">The </w:t>
      </w:r>
      <w:r>
        <w:rPr>
          <w:rFonts w:asciiTheme="minorHAnsi" w:hAnsiTheme="minorHAnsi" w:cs="Arial"/>
        </w:rPr>
        <w:t>iCURE</w:t>
      </w:r>
      <w:r w:rsidR="00FB6795" w:rsidRPr="003B035E">
        <w:rPr>
          <w:rFonts w:asciiTheme="minorHAnsi" w:hAnsiTheme="minorHAnsi" w:cs="Arial"/>
          <w:sz w:val="22"/>
          <w:szCs w:val="22"/>
        </w:rPr>
        <w:t xml:space="preserve"> specific applications described in this submission will allow us to </w:t>
      </w:r>
      <w:r w:rsidR="002A0D8E">
        <w:rPr>
          <w:rFonts w:asciiTheme="minorHAnsi" w:hAnsiTheme="minorHAnsi" w:cs="Arial"/>
          <w:sz w:val="22"/>
          <w:szCs w:val="22"/>
        </w:rPr>
        <w:t xml:space="preserve">identify and communicate with potential iCURE scholars </w:t>
      </w:r>
      <w:r w:rsidR="00996AD2" w:rsidRPr="003B035E">
        <w:rPr>
          <w:rFonts w:asciiTheme="minorHAnsi" w:hAnsiTheme="minorHAnsi" w:cs="Arial"/>
          <w:sz w:val="22"/>
          <w:szCs w:val="22"/>
        </w:rPr>
        <w:t>expeditiously</w:t>
      </w:r>
      <w:r w:rsidR="00996AD2">
        <w:rPr>
          <w:rFonts w:asciiTheme="minorHAnsi" w:hAnsiTheme="minorHAnsi" w:cs="Arial"/>
          <w:sz w:val="22"/>
          <w:szCs w:val="22"/>
        </w:rPr>
        <w:t xml:space="preserve"> and</w:t>
      </w:r>
      <w:r w:rsidR="00FB6795" w:rsidRPr="003B035E">
        <w:rPr>
          <w:rFonts w:asciiTheme="minorHAnsi" w:hAnsiTheme="minorHAnsi" w:cs="Arial"/>
          <w:sz w:val="22"/>
          <w:szCs w:val="22"/>
        </w:rPr>
        <w:t xml:space="preserve"> provide information specific to their interests.  </w:t>
      </w:r>
    </w:p>
    <w:p w14:paraId="52A45ACC" w14:textId="77777777" w:rsidR="00FB6795" w:rsidRPr="003B035E" w:rsidRDefault="00FB6795" w:rsidP="003B035E">
      <w:pPr>
        <w:spacing w:after="0" w:line="240" w:lineRule="auto"/>
        <w:rPr>
          <w:rFonts w:asciiTheme="minorHAnsi" w:hAnsiTheme="minorHAnsi"/>
        </w:rPr>
      </w:pPr>
    </w:p>
    <w:p w14:paraId="757E1BDC" w14:textId="641BD1D1" w:rsidR="00FB6795" w:rsidRPr="00FB6795" w:rsidRDefault="00685B30" w:rsidP="000F78FC">
      <w:pPr>
        <w:pStyle w:val="Heading2"/>
        <w:spacing w:after="0" w:line="240" w:lineRule="auto"/>
        <w:ind w:left="720" w:hanging="720"/>
        <w:rPr>
          <w:rFonts w:ascii="Calibri" w:hAnsi="Calibri"/>
          <w:szCs w:val="22"/>
        </w:rPr>
      </w:pPr>
      <w:bookmarkStart w:id="9" w:name="_Toc443881746"/>
      <w:bookmarkStart w:id="10" w:name="_Toc451592235"/>
      <w:bookmarkStart w:id="11" w:name="_Toc5610276"/>
      <w:bookmarkStart w:id="12" w:name="_Toc99178782"/>
      <w:r w:rsidRPr="008942E9">
        <w:rPr>
          <w:rFonts w:ascii="Calibri" w:hAnsi="Calibri"/>
          <w:szCs w:val="22"/>
        </w:rPr>
        <w:t>A.5</w:t>
      </w:r>
      <w:r w:rsidRPr="008942E9">
        <w:rPr>
          <w:rFonts w:ascii="Calibri" w:hAnsi="Calibri"/>
          <w:szCs w:val="22"/>
        </w:rPr>
        <w:tab/>
        <w:t>Impact on Small Businesses or Other Small Entities</w:t>
      </w:r>
      <w:bookmarkEnd w:id="9"/>
      <w:bookmarkEnd w:id="10"/>
      <w:bookmarkEnd w:id="11"/>
      <w:bookmarkEnd w:id="12"/>
    </w:p>
    <w:p w14:paraId="01FFC4E1" w14:textId="43211524" w:rsidR="00FB6795" w:rsidRPr="00FB6795" w:rsidRDefault="00FB6795">
      <w:pPr>
        <w:pStyle w:val="P1-StandPara"/>
        <w:spacing w:line="240" w:lineRule="auto"/>
        <w:ind w:firstLine="0"/>
        <w:rPr>
          <w:rFonts w:asciiTheme="minorHAnsi" w:hAnsiTheme="minorHAnsi"/>
        </w:rPr>
      </w:pPr>
      <w:r w:rsidRPr="00FB6795">
        <w:rPr>
          <w:rFonts w:asciiTheme="minorHAnsi" w:hAnsiTheme="minorHAnsi"/>
        </w:rPr>
        <w:t xml:space="preserve">No small businesses or other small entities will be </w:t>
      </w:r>
      <w:r w:rsidR="00CE16B5">
        <w:rPr>
          <w:rFonts w:asciiTheme="minorHAnsi" w:hAnsiTheme="minorHAnsi"/>
        </w:rPr>
        <w:t>impacted</w:t>
      </w:r>
      <w:r w:rsidRPr="00FB6795">
        <w:rPr>
          <w:rFonts w:asciiTheme="minorHAnsi" w:hAnsiTheme="minorHAnsi"/>
        </w:rPr>
        <w:t>.</w:t>
      </w:r>
    </w:p>
    <w:p w14:paraId="024CFC28" w14:textId="77777777" w:rsidR="00FB6795" w:rsidRPr="004716CF" w:rsidRDefault="00FB6795" w:rsidP="004716CF">
      <w:pPr>
        <w:pStyle w:val="P1-StandPara"/>
        <w:spacing w:line="240" w:lineRule="auto"/>
        <w:ind w:firstLine="0"/>
      </w:pPr>
    </w:p>
    <w:p w14:paraId="20060EE2" w14:textId="77777777" w:rsidR="00685B30" w:rsidRPr="008942E9" w:rsidRDefault="00685B30" w:rsidP="000F78FC">
      <w:pPr>
        <w:pStyle w:val="Heading2"/>
        <w:spacing w:after="0" w:line="240" w:lineRule="auto"/>
        <w:ind w:left="720" w:hanging="720"/>
        <w:rPr>
          <w:rFonts w:ascii="Calibri" w:hAnsi="Calibri"/>
          <w:szCs w:val="22"/>
        </w:rPr>
      </w:pPr>
      <w:bookmarkStart w:id="13" w:name="_Toc443881747"/>
      <w:bookmarkStart w:id="14" w:name="_Toc451592236"/>
      <w:bookmarkStart w:id="15" w:name="_Toc5610277"/>
      <w:bookmarkStart w:id="16" w:name="_Toc99178783"/>
      <w:r w:rsidRPr="008942E9">
        <w:rPr>
          <w:rFonts w:ascii="Calibri" w:hAnsi="Calibri"/>
          <w:szCs w:val="22"/>
        </w:rPr>
        <w:t>A.6</w:t>
      </w:r>
      <w:r w:rsidRPr="008942E9">
        <w:rPr>
          <w:rFonts w:ascii="Calibri" w:hAnsi="Calibri"/>
          <w:szCs w:val="22"/>
        </w:rPr>
        <w:tab/>
        <w:t>Consequences of Collecting the Information Less Frequently</w:t>
      </w:r>
      <w:bookmarkEnd w:id="13"/>
      <w:bookmarkEnd w:id="14"/>
      <w:bookmarkEnd w:id="15"/>
      <w:bookmarkEnd w:id="16"/>
    </w:p>
    <w:p w14:paraId="66A8FDCA" w14:textId="552DC107" w:rsidR="00FB6795" w:rsidRDefault="00FB6795">
      <w:pPr>
        <w:pStyle w:val="P1-StandPara"/>
        <w:spacing w:line="240" w:lineRule="auto"/>
        <w:ind w:firstLine="0"/>
        <w:rPr>
          <w:rFonts w:asciiTheme="minorHAnsi" w:hAnsiTheme="minorHAnsi"/>
        </w:rPr>
      </w:pPr>
      <w:bookmarkStart w:id="17" w:name="_Toc443881748"/>
      <w:bookmarkStart w:id="18" w:name="_Toc451592237"/>
      <w:bookmarkStart w:id="19" w:name="_Toc5610278"/>
      <w:bookmarkStart w:id="20" w:name="_Toc99178784"/>
      <w:r w:rsidRPr="00FB6795">
        <w:rPr>
          <w:rFonts w:asciiTheme="minorHAnsi" w:hAnsiTheme="minorHAnsi"/>
        </w:rPr>
        <w:t xml:space="preserve">Without approval to collect applications specific to the program’s needs, the </w:t>
      </w:r>
      <w:r>
        <w:rPr>
          <w:rFonts w:asciiTheme="minorHAnsi" w:hAnsiTheme="minorHAnsi"/>
        </w:rPr>
        <w:t>iCURE</w:t>
      </w:r>
      <w:r w:rsidRPr="00FB6795">
        <w:rPr>
          <w:rFonts w:asciiTheme="minorHAnsi" w:hAnsiTheme="minorHAnsi"/>
        </w:rPr>
        <w:t xml:space="preserve"> </w:t>
      </w:r>
      <w:r>
        <w:rPr>
          <w:rFonts w:asciiTheme="minorHAnsi" w:hAnsiTheme="minorHAnsi"/>
        </w:rPr>
        <w:t xml:space="preserve">program </w:t>
      </w:r>
      <w:r w:rsidRPr="00FB6795">
        <w:rPr>
          <w:rFonts w:asciiTheme="minorHAnsi" w:hAnsiTheme="minorHAnsi"/>
        </w:rPr>
        <w:t>would be compromised</w:t>
      </w:r>
      <w:r w:rsidR="00A27F45">
        <w:rPr>
          <w:rFonts w:asciiTheme="minorHAnsi" w:hAnsiTheme="minorHAnsi"/>
        </w:rPr>
        <w:t xml:space="preserve"> in </w:t>
      </w:r>
      <w:r w:rsidR="00122B86">
        <w:rPr>
          <w:rFonts w:asciiTheme="minorHAnsi" w:hAnsiTheme="minorHAnsi"/>
        </w:rPr>
        <w:t>its</w:t>
      </w:r>
      <w:r w:rsidR="00A27F45">
        <w:rPr>
          <w:rFonts w:asciiTheme="minorHAnsi" w:hAnsiTheme="minorHAnsi"/>
        </w:rPr>
        <w:t xml:space="preserve"> ability to identify</w:t>
      </w:r>
      <w:r w:rsidRPr="00FB6795">
        <w:rPr>
          <w:rFonts w:asciiTheme="minorHAnsi" w:hAnsiTheme="minorHAnsi"/>
        </w:rPr>
        <w:t xml:space="preserve"> highly qualified trainees of various educational levels for the NCI intramural research programs.</w:t>
      </w:r>
      <w:r w:rsidR="00A27F45">
        <w:rPr>
          <w:rFonts w:asciiTheme="minorHAnsi" w:hAnsiTheme="minorHAnsi"/>
        </w:rPr>
        <w:t xml:space="preserve">  </w:t>
      </w:r>
    </w:p>
    <w:p w14:paraId="47F6967D" w14:textId="77777777" w:rsidR="00A27F45" w:rsidRPr="00A27F45" w:rsidRDefault="00A27F45" w:rsidP="00A27F45">
      <w:pPr>
        <w:pStyle w:val="P1-StandPara"/>
        <w:spacing w:line="240" w:lineRule="auto"/>
        <w:ind w:firstLine="0"/>
        <w:rPr>
          <w:rFonts w:asciiTheme="minorHAnsi" w:hAnsiTheme="minorHAnsi"/>
        </w:rPr>
      </w:pPr>
    </w:p>
    <w:p w14:paraId="750F1A66" w14:textId="77777777" w:rsidR="00685B30" w:rsidRPr="008942E9" w:rsidRDefault="00E67B10" w:rsidP="000F78FC">
      <w:pPr>
        <w:pStyle w:val="Heading2"/>
        <w:tabs>
          <w:tab w:val="clear" w:pos="1152"/>
          <w:tab w:val="left" w:pos="720"/>
        </w:tabs>
        <w:spacing w:after="0" w:line="240" w:lineRule="auto"/>
        <w:ind w:left="0" w:firstLine="0"/>
        <w:rPr>
          <w:rFonts w:ascii="Calibri" w:hAnsi="Calibri"/>
          <w:szCs w:val="22"/>
        </w:rPr>
      </w:pPr>
      <w:r w:rsidRPr="008942E9">
        <w:rPr>
          <w:rFonts w:ascii="Calibri" w:hAnsi="Calibri"/>
          <w:szCs w:val="22"/>
        </w:rPr>
        <w:t>A.7</w:t>
      </w:r>
      <w:r w:rsidRPr="008942E9">
        <w:rPr>
          <w:rFonts w:ascii="Calibri" w:hAnsi="Calibri"/>
          <w:szCs w:val="22"/>
        </w:rPr>
        <w:tab/>
      </w:r>
      <w:r w:rsidR="00685B30" w:rsidRPr="008942E9">
        <w:rPr>
          <w:rFonts w:ascii="Calibri" w:hAnsi="Calibri"/>
          <w:szCs w:val="22"/>
        </w:rPr>
        <w:t>Special Circumstances Relating to the Guidelines of 5 CFR 1320.5</w:t>
      </w:r>
      <w:bookmarkEnd w:id="17"/>
      <w:bookmarkEnd w:id="18"/>
      <w:bookmarkEnd w:id="19"/>
      <w:bookmarkEnd w:id="20"/>
    </w:p>
    <w:p w14:paraId="269F3F85" w14:textId="6B7C748B" w:rsidR="00FE41F9" w:rsidRPr="00122B86" w:rsidRDefault="00FE41F9" w:rsidP="00122B86">
      <w:pPr>
        <w:autoSpaceDE w:val="0"/>
        <w:autoSpaceDN w:val="0"/>
        <w:adjustRightInd w:val="0"/>
        <w:spacing w:after="0" w:line="240" w:lineRule="auto"/>
        <w:rPr>
          <w:rFonts w:asciiTheme="minorHAnsi" w:hAnsiTheme="minorHAnsi" w:cs="Arial"/>
        </w:rPr>
      </w:pPr>
      <w:r w:rsidRPr="00122B86">
        <w:rPr>
          <w:rFonts w:asciiTheme="minorHAnsi" w:hAnsiTheme="minorHAnsi" w:cs="Arial"/>
        </w:rPr>
        <w:t>There are no special circumstances</w:t>
      </w:r>
      <w:r w:rsidR="00CE16B5">
        <w:rPr>
          <w:rFonts w:asciiTheme="minorHAnsi" w:hAnsiTheme="minorHAnsi" w:cs="Arial"/>
        </w:rPr>
        <w:t xml:space="preserve"> for this information collection request relating to the guidelines of 5 CFR 1320.5</w:t>
      </w:r>
      <w:r w:rsidRPr="00122B86">
        <w:rPr>
          <w:rFonts w:asciiTheme="minorHAnsi" w:hAnsiTheme="minorHAnsi" w:cs="Arial"/>
        </w:rPr>
        <w:t>.</w:t>
      </w:r>
    </w:p>
    <w:p w14:paraId="110A10E2" w14:textId="37371FE0" w:rsidR="00685B30" w:rsidRDefault="00685B30" w:rsidP="00E35DD1">
      <w:pPr>
        <w:pStyle w:val="P1-StandPara"/>
        <w:spacing w:line="240" w:lineRule="auto"/>
        <w:ind w:firstLine="0"/>
        <w:rPr>
          <w:rFonts w:ascii="Calibri" w:hAnsi="Calibri"/>
          <w:szCs w:val="22"/>
        </w:rPr>
      </w:pPr>
    </w:p>
    <w:p w14:paraId="4A367056" w14:textId="0B5CC1FB" w:rsidR="0036208F" w:rsidRPr="008942E9" w:rsidRDefault="00C8332E" w:rsidP="00C8332E">
      <w:pPr>
        <w:pStyle w:val="P1-StandPara"/>
        <w:spacing w:line="240" w:lineRule="auto"/>
        <w:ind w:firstLine="0"/>
        <w:rPr>
          <w:rFonts w:ascii="Calibri" w:hAnsi="Calibri"/>
          <w:szCs w:val="22"/>
        </w:rPr>
      </w:pPr>
      <w:r w:rsidRPr="00C8332E">
        <w:rPr>
          <w:rFonts w:ascii="Calibri" w:hAnsi="Calibri"/>
          <w:b/>
          <w:szCs w:val="22"/>
        </w:rPr>
        <w:t>A.8.1</w:t>
      </w:r>
      <w:r>
        <w:rPr>
          <w:rFonts w:ascii="Calibri" w:hAnsi="Calibri"/>
          <w:szCs w:val="22"/>
        </w:rPr>
        <w:t xml:space="preserve">     </w:t>
      </w:r>
      <w:r w:rsidR="00F40CE3" w:rsidRPr="00F40CE3">
        <w:rPr>
          <w:rFonts w:ascii="Calibri" w:hAnsi="Calibri"/>
          <w:b/>
          <w:szCs w:val="22"/>
        </w:rPr>
        <w:t>Comments in Response to the Federal Register Notice and Efforts to Consult Outside Agency</w:t>
      </w:r>
      <w:bookmarkStart w:id="21" w:name="_Toc443881749"/>
      <w:bookmarkStart w:id="22" w:name="_Toc451592238"/>
      <w:bookmarkStart w:id="23" w:name="_Toc5610279"/>
      <w:bookmarkStart w:id="24" w:name="_Toc99178785"/>
      <w:r w:rsidR="00685B30" w:rsidRPr="008942E9">
        <w:rPr>
          <w:rFonts w:ascii="Calibri" w:hAnsi="Calibri"/>
          <w:szCs w:val="22"/>
        </w:rPr>
        <w:tab/>
      </w:r>
    </w:p>
    <w:bookmarkEnd w:id="21"/>
    <w:bookmarkEnd w:id="22"/>
    <w:bookmarkEnd w:id="23"/>
    <w:bookmarkEnd w:id="24"/>
    <w:p w14:paraId="1CAB247C" w14:textId="248FB0FF" w:rsidR="000551A9" w:rsidRPr="00122B86" w:rsidRDefault="005B6B06" w:rsidP="00122B86">
      <w:pPr>
        <w:autoSpaceDE w:val="0"/>
        <w:autoSpaceDN w:val="0"/>
        <w:adjustRightInd w:val="0"/>
        <w:spacing w:after="0" w:line="240" w:lineRule="auto"/>
        <w:outlineLvl w:val="0"/>
        <w:rPr>
          <w:rFonts w:asciiTheme="minorHAnsi" w:hAnsiTheme="minorHAnsi" w:cs="Arial"/>
        </w:rPr>
      </w:pPr>
      <w:r w:rsidRPr="00122B86">
        <w:rPr>
          <w:rFonts w:asciiTheme="minorHAnsi" w:hAnsiTheme="minorHAnsi" w:cs="Arial"/>
        </w:rPr>
        <w:t xml:space="preserve">The 60-day Federal Register Notice was published on </w:t>
      </w:r>
      <w:r w:rsidR="00A47AD8">
        <w:rPr>
          <w:rFonts w:asciiTheme="minorHAnsi" w:hAnsiTheme="minorHAnsi" w:cs="Arial"/>
        </w:rPr>
        <w:t>July 27, 2018 (83</w:t>
      </w:r>
      <w:r w:rsidR="00F661B1">
        <w:rPr>
          <w:rFonts w:asciiTheme="minorHAnsi" w:hAnsiTheme="minorHAnsi" w:cs="Arial"/>
        </w:rPr>
        <w:t xml:space="preserve"> FR</w:t>
      </w:r>
      <w:r w:rsidR="00A47AD8">
        <w:rPr>
          <w:rFonts w:asciiTheme="minorHAnsi" w:hAnsiTheme="minorHAnsi" w:cs="Arial"/>
        </w:rPr>
        <w:t xml:space="preserve"> 35665)</w:t>
      </w:r>
      <w:r w:rsidRPr="00122B86">
        <w:rPr>
          <w:rFonts w:asciiTheme="minorHAnsi" w:hAnsiTheme="minorHAnsi" w:cs="Arial"/>
        </w:rPr>
        <w:t xml:space="preserve"> and allowed 60 days for public comment</w:t>
      </w:r>
      <w:r w:rsidRPr="005A3792">
        <w:rPr>
          <w:rFonts w:asciiTheme="minorHAnsi" w:hAnsiTheme="minorHAnsi" w:cs="Arial"/>
        </w:rPr>
        <w:t>.  No public</w:t>
      </w:r>
      <w:r w:rsidRPr="00122B86">
        <w:rPr>
          <w:rFonts w:asciiTheme="minorHAnsi" w:hAnsiTheme="minorHAnsi" w:cs="Arial"/>
        </w:rPr>
        <w:t xml:space="preserve"> comments were received.</w:t>
      </w:r>
    </w:p>
    <w:p w14:paraId="0660773D" w14:textId="77777777" w:rsidR="005B6B06" w:rsidRPr="0036208F" w:rsidRDefault="005B6B06" w:rsidP="000F78FC">
      <w:pPr>
        <w:autoSpaceDE w:val="0"/>
        <w:autoSpaceDN w:val="0"/>
        <w:adjustRightInd w:val="0"/>
        <w:spacing w:after="0" w:line="240" w:lineRule="auto"/>
        <w:outlineLvl w:val="0"/>
      </w:pPr>
    </w:p>
    <w:p w14:paraId="2C2E7B70" w14:textId="77777777" w:rsidR="0036208F" w:rsidRPr="008942E9" w:rsidRDefault="0036208F">
      <w:pPr>
        <w:pStyle w:val="Heading2"/>
        <w:spacing w:after="0" w:line="240" w:lineRule="auto"/>
        <w:ind w:left="720" w:hanging="720"/>
        <w:rPr>
          <w:rFonts w:ascii="Calibri" w:hAnsi="Calibri"/>
          <w:szCs w:val="22"/>
        </w:rPr>
      </w:pPr>
      <w:r w:rsidRPr="008942E9">
        <w:rPr>
          <w:rFonts w:ascii="Calibri" w:hAnsi="Calibri"/>
          <w:szCs w:val="22"/>
        </w:rPr>
        <w:t>A.8.2</w:t>
      </w:r>
      <w:r w:rsidRPr="008942E9">
        <w:rPr>
          <w:rFonts w:ascii="Calibri" w:hAnsi="Calibri"/>
          <w:szCs w:val="22"/>
        </w:rPr>
        <w:tab/>
        <w:t>Efforts to Consult Outside Agency</w:t>
      </w:r>
    </w:p>
    <w:p w14:paraId="147B51F8" w14:textId="76D7F9B3" w:rsidR="00B30B0B" w:rsidRPr="00C05041" w:rsidRDefault="00B30B0B" w:rsidP="00DB7E78">
      <w:r w:rsidRPr="00C05041">
        <w:t xml:space="preserve">CRCHD consulted with NIH Office of Intramural Training and Education (OITE) on many occasions between March and June 2018.  These consultations occurred in person, phone, </w:t>
      </w:r>
      <w:r w:rsidR="00DB7E78" w:rsidRPr="00C05041">
        <w:t xml:space="preserve">and </w:t>
      </w:r>
      <w:r w:rsidRPr="00C05041">
        <w:t>email with Dr. Sharon Milgram</w:t>
      </w:r>
      <w:r w:rsidR="00DB7E78" w:rsidRPr="00C05041">
        <w:t xml:space="preserve"> (Director, OITE, NIH; 301-693-1281; </w:t>
      </w:r>
      <w:hyperlink r:id="rId13" w:history="1">
        <w:r w:rsidR="00DB7E78" w:rsidRPr="00C05041">
          <w:t>milgrams@od.nih.gov</w:t>
        </w:r>
      </w:hyperlink>
      <w:r w:rsidR="00DB7E78" w:rsidRPr="00C05041">
        <w:t>)</w:t>
      </w:r>
      <w:r w:rsidRPr="00C05041">
        <w:t>, Dr. Patricia Wagner</w:t>
      </w:r>
      <w:r w:rsidR="00DB7E78" w:rsidRPr="00C05041">
        <w:t xml:space="preserve"> (Program Analyst, OITE, NIH; 240-476-3619; </w:t>
      </w:r>
      <w:hyperlink r:id="rId14" w:history="1">
        <w:r w:rsidR="00DB7E78" w:rsidRPr="00C05041">
          <w:t>wagnerpa@od.nih.gov</w:t>
        </w:r>
      </w:hyperlink>
      <w:r w:rsidR="00DB7E78" w:rsidRPr="00C05041">
        <w:t xml:space="preserve">), </w:t>
      </w:r>
      <w:r w:rsidRPr="00C05041">
        <w:t xml:space="preserve">and </w:t>
      </w:r>
      <w:r>
        <w:t>Dr. Patricia Sokolove</w:t>
      </w:r>
      <w:r w:rsidR="00DB7E78">
        <w:t xml:space="preserve"> (Deputy Director, Office of Intramural Research, NIH; </w:t>
      </w:r>
      <w:r w:rsidR="00DB7E78" w:rsidRPr="00C05041">
        <w:t xml:space="preserve">301-402-3889; </w:t>
      </w:r>
      <w:hyperlink r:id="rId15" w:history="1">
        <w:r w:rsidR="00DB7E78" w:rsidRPr="00C05041">
          <w:t>sokolovp@od.nih.gov</w:t>
        </w:r>
      </w:hyperlink>
      <w:r w:rsidR="00DB7E78" w:rsidRPr="00C05041">
        <w:t>)</w:t>
      </w:r>
      <w:r>
        <w:t xml:space="preserve">. </w:t>
      </w:r>
    </w:p>
    <w:p w14:paraId="7346AE20" w14:textId="5A044EB0" w:rsidR="00717158" w:rsidRPr="00122B86" w:rsidRDefault="00B30B0B" w:rsidP="00122B86">
      <w:pPr>
        <w:autoSpaceDE w:val="0"/>
        <w:autoSpaceDN w:val="0"/>
        <w:adjustRightInd w:val="0"/>
        <w:spacing w:after="0" w:line="240" w:lineRule="auto"/>
        <w:rPr>
          <w:rFonts w:asciiTheme="minorHAnsi" w:hAnsiTheme="minorHAnsi" w:cs="Arial"/>
        </w:rPr>
      </w:pPr>
      <w:r>
        <w:t>I</w:t>
      </w:r>
      <w:r>
        <w:rPr>
          <w:rFonts w:asciiTheme="minorHAnsi" w:hAnsiTheme="minorHAnsi" w:cs="Arial"/>
        </w:rPr>
        <w:t xml:space="preserve">t was determined that the existing NIH OITE training program application forms (OMB No. 0925-0299, Expiration Date 6/30/2019) would need to undergo significant revisions to meet the needs of the iCURE program. </w:t>
      </w:r>
      <w:r w:rsidR="005B6B06" w:rsidRPr="00122B86">
        <w:rPr>
          <w:rFonts w:asciiTheme="minorHAnsi" w:hAnsiTheme="minorHAnsi" w:cs="Arial"/>
        </w:rPr>
        <w:t xml:space="preserve"> It was decided that </w:t>
      </w:r>
      <w:r w:rsidR="00122B86">
        <w:rPr>
          <w:rFonts w:asciiTheme="minorHAnsi" w:hAnsiTheme="minorHAnsi" w:cs="Arial"/>
        </w:rPr>
        <w:t>CRCHD</w:t>
      </w:r>
      <w:r w:rsidR="005B6B06" w:rsidRPr="00122B86">
        <w:rPr>
          <w:rFonts w:asciiTheme="minorHAnsi" w:hAnsiTheme="minorHAnsi" w:cs="Arial"/>
        </w:rPr>
        <w:t xml:space="preserve"> would request OMB approval for their own application</w:t>
      </w:r>
      <w:r w:rsidR="000551A9">
        <w:rPr>
          <w:rFonts w:asciiTheme="minorHAnsi" w:hAnsiTheme="minorHAnsi" w:cs="Arial"/>
        </w:rPr>
        <w:t xml:space="preserve">.  </w:t>
      </w:r>
      <w:r w:rsidR="00F40CE3">
        <w:rPr>
          <w:rFonts w:asciiTheme="minorHAnsi" w:hAnsiTheme="minorHAnsi" w:cs="Arial"/>
        </w:rPr>
        <w:t>H</w:t>
      </w:r>
      <w:r w:rsidR="00F40CE3" w:rsidRPr="00122B86">
        <w:rPr>
          <w:rFonts w:asciiTheme="minorHAnsi" w:hAnsiTheme="minorHAnsi" w:cs="Arial"/>
        </w:rPr>
        <w:t>owever,</w:t>
      </w:r>
      <w:r w:rsidR="005B6B06" w:rsidRPr="00122B86">
        <w:rPr>
          <w:rFonts w:asciiTheme="minorHAnsi" w:hAnsiTheme="minorHAnsi" w:cs="Arial"/>
        </w:rPr>
        <w:t xml:space="preserve"> it was agreed that for future applications</w:t>
      </w:r>
      <w:r w:rsidR="000551A9">
        <w:rPr>
          <w:rFonts w:asciiTheme="minorHAnsi" w:hAnsiTheme="minorHAnsi" w:cs="Arial"/>
        </w:rPr>
        <w:t>,</w:t>
      </w:r>
      <w:r w:rsidR="005B6B06" w:rsidRPr="00122B86">
        <w:rPr>
          <w:rFonts w:asciiTheme="minorHAnsi" w:hAnsiTheme="minorHAnsi" w:cs="Arial"/>
        </w:rPr>
        <w:t xml:space="preserve"> collaboration between NIH OITE and NCI </w:t>
      </w:r>
      <w:r w:rsidR="00122B86">
        <w:rPr>
          <w:rFonts w:asciiTheme="minorHAnsi" w:hAnsiTheme="minorHAnsi" w:cs="Arial"/>
        </w:rPr>
        <w:t>CRCHD</w:t>
      </w:r>
      <w:r w:rsidR="005B6B06" w:rsidRPr="00122B86">
        <w:rPr>
          <w:rFonts w:asciiTheme="minorHAnsi" w:hAnsiTheme="minorHAnsi" w:cs="Arial"/>
        </w:rPr>
        <w:t xml:space="preserve"> would be beneficial to both offices. </w:t>
      </w:r>
      <w:r w:rsidR="00AA604C">
        <w:rPr>
          <w:rFonts w:asciiTheme="minorHAnsi" w:hAnsiTheme="minorHAnsi" w:cs="Arial"/>
        </w:rPr>
        <w:t xml:space="preserve">As per NIH policy, the </w:t>
      </w:r>
      <w:r w:rsidR="000551A9">
        <w:rPr>
          <w:rFonts w:asciiTheme="minorHAnsi" w:hAnsiTheme="minorHAnsi" w:cs="Arial"/>
        </w:rPr>
        <w:t>post baccalaureate</w:t>
      </w:r>
      <w:r w:rsidR="00AA604C">
        <w:rPr>
          <w:rFonts w:asciiTheme="minorHAnsi" w:hAnsiTheme="minorHAnsi" w:cs="Arial"/>
        </w:rPr>
        <w:t xml:space="preserve"> IRTA program applications will continue to be collected through OITE. </w:t>
      </w:r>
    </w:p>
    <w:p w14:paraId="7992EC65" w14:textId="77777777" w:rsidR="00717158" w:rsidRPr="00122B86" w:rsidRDefault="00717158" w:rsidP="00122B86">
      <w:pPr>
        <w:pStyle w:val="P1-StandPara"/>
        <w:spacing w:line="240" w:lineRule="auto"/>
        <w:ind w:firstLine="0"/>
        <w:rPr>
          <w:rFonts w:asciiTheme="minorHAnsi" w:hAnsiTheme="minorHAnsi"/>
          <w:b/>
          <w:szCs w:val="22"/>
        </w:rPr>
      </w:pPr>
    </w:p>
    <w:p w14:paraId="1483D8C1" w14:textId="77777777" w:rsidR="00685B30" w:rsidRPr="008942E9" w:rsidRDefault="00685B30" w:rsidP="000F78FC">
      <w:pPr>
        <w:pStyle w:val="P1-StandPara"/>
        <w:spacing w:line="240" w:lineRule="auto"/>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14:paraId="272F7C21" w14:textId="53EFBADA" w:rsidR="000551A9" w:rsidRPr="005577DE" w:rsidRDefault="005577DE">
      <w:pPr>
        <w:pStyle w:val="P1-StandPara"/>
        <w:spacing w:line="240" w:lineRule="auto"/>
        <w:ind w:firstLine="0"/>
        <w:rPr>
          <w:rFonts w:ascii="Calibri" w:hAnsi="Calibri"/>
          <w:szCs w:val="22"/>
        </w:rPr>
      </w:pPr>
      <w:r w:rsidRPr="005577DE">
        <w:rPr>
          <w:rFonts w:ascii="Calibri" w:hAnsi="Calibri"/>
          <w:szCs w:val="22"/>
        </w:rPr>
        <w:t>Neither payments nor gifts will be provided to respondents who complete the applications.</w:t>
      </w:r>
    </w:p>
    <w:p w14:paraId="1C44F89C" w14:textId="77777777" w:rsidR="005577DE" w:rsidRDefault="005577DE" w:rsidP="000F78FC">
      <w:pPr>
        <w:pStyle w:val="P1-StandPara"/>
        <w:spacing w:line="240" w:lineRule="auto"/>
        <w:ind w:firstLine="0"/>
        <w:rPr>
          <w:rFonts w:ascii="Calibri" w:hAnsi="Calibri"/>
          <w:b/>
          <w:szCs w:val="22"/>
        </w:rPr>
      </w:pPr>
    </w:p>
    <w:p w14:paraId="15773757" w14:textId="661E6332" w:rsidR="0036208F" w:rsidRPr="00AA604C" w:rsidRDefault="00685B30" w:rsidP="000F78FC">
      <w:pPr>
        <w:pStyle w:val="P1-StandPara"/>
        <w:spacing w:line="240" w:lineRule="auto"/>
        <w:ind w:firstLine="0"/>
        <w:rPr>
          <w:rFonts w:ascii="Calibri" w:hAnsi="Calibri"/>
          <w:b/>
          <w:szCs w:val="22"/>
        </w:rPr>
      </w:pPr>
      <w:r w:rsidRPr="004E0A4E">
        <w:rPr>
          <w:rFonts w:ascii="Calibri" w:hAnsi="Calibri"/>
          <w:b/>
          <w:szCs w:val="22"/>
        </w:rPr>
        <w:t>A.10</w:t>
      </w:r>
      <w:r w:rsidRPr="004E0A4E">
        <w:rPr>
          <w:rFonts w:ascii="Calibri" w:hAnsi="Calibri"/>
          <w:b/>
          <w:szCs w:val="22"/>
        </w:rPr>
        <w:tab/>
        <w:t>Assurance of Confiden</w:t>
      </w:r>
      <w:r w:rsidR="00AA604C" w:rsidRPr="004E0A4E">
        <w:rPr>
          <w:rFonts w:ascii="Calibri" w:hAnsi="Calibri"/>
          <w:b/>
          <w:szCs w:val="22"/>
        </w:rPr>
        <w:t>tiality Provided to Respondents</w:t>
      </w:r>
      <w:r w:rsidR="00C54848" w:rsidRPr="004E0A4E">
        <w:rPr>
          <w:rFonts w:ascii="Calibri" w:hAnsi="Calibri"/>
          <w:b/>
          <w:szCs w:val="22"/>
        </w:rPr>
        <w:t xml:space="preserve"> </w:t>
      </w:r>
    </w:p>
    <w:p w14:paraId="31111C4B" w14:textId="64E5AAD0" w:rsidR="004B5A1D" w:rsidRPr="00AA604C" w:rsidRDefault="000319F9" w:rsidP="004B5A1D">
      <w:pPr>
        <w:pStyle w:val="P1-StandPara"/>
        <w:spacing w:line="240" w:lineRule="auto"/>
        <w:ind w:firstLine="0"/>
        <w:rPr>
          <w:rFonts w:asciiTheme="minorHAnsi" w:hAnsiTheme="minorHAnsi"/>
        </w:rPr>
      </w:pPr>
      <w:r>
        <w:rPr>
          <w:rFonts w:asciiTheme="minorHAnsi" w:hAnsiTheme="minorHAnsi"/>
        </w:rPr>
        <w:t>There is no assurance of confidentiality provided to the applicants, however their information will be kept private, to the extent provided by law.</w:t>
      </w:r>
    </w:p>
    <w:p w14:paraId="11F3B910" w14:textId="77777777" w:rsidR="004B5A1D" w:rsidRDefault="004B5A1D" w:rsidP="00AA604C">
      <w:pPr>
        <w:pStyle w:val="P1-StandPara"/>
        <w:spacing w:line="240" w:lineRule="auto"/>
        <w:ind w:firstLine="0"/>
        <w:rPr>
          <w:rFonts w:asciiTheme="minorHAnsi" w:hAnsiTheme="minorHAnsi"/>
        </w:rPr>
      </w:pPr>
    </w:p>
    <w:p w14:paraId="063DE401" w14:textId="7E4DAEB7" w:rsidR="00CC0716" w:rsidRPr="00AA604C" w:rsidRDefault="00996AD2">
      <w:pPr>
        <w:pStyle w:val="P1-StandPara"/>
        <w:spacing w:line="240" w:lineRule="auto"/>
        <w:ind w:firstLine="0"/>
        <w:rPr>
          <w:rFonts w:asciiTheme="minorHAnsi" w:hAnsiTheme="minorHAnsi"/>
          <w:szCs w:val="22"/>
        </w:rPr>
      </w:pPr>
      <w:r>
        <w:rPr>
          <w:rFonts w:asciiTheme="minorHAnsi" w:hAnsiTheme="minorHAnsi"/>
        </w:rPr>
        <w:t xml:space="preserve">The NIH Privacy Act Officer was </w:t>
      </w:r>
      <w:r w:rsidR="005A7D42">
        <w:rPr>
          <w:rFonts w:asciiTheme="minorHAnsi" w:hAnsiTheme="minorHAnsi"/>
        </w:rPr>
        <w:t>consulted,</w:t>
      </w:r>
      <w:r>
        <w:rPr>
          <w:rFonts w:asciiTheme="minorHAnsi" w:hAnsiTheme="minorHAnsi"/>
        </w:rPr>
        <w:t xml:space="preserve"> and it was determined t</w:t>
      </w:r>
      <w:r w:rsidR="000319F9">
        <w:rPr>
          <w:rFonts w:asciiTheme="minorHAnsi" w:hAnsiTheme="minorHAnsi"/>
        </w:rPr>
        <w:t xml:space="preserve">he information collected is covered by the NIH Privacy Act Systems of </w:t>
      </w:r>
      <w:r w:rsidR="00CC0716" w:rsidRPr="00AA604C">
        <w:rPr>
          <w:rFonts w:asciiTheme="minorHAnsi" w:hAnsiTheme="minorHAnsi"/>
        </w:rPr>
        <w:t>Records Notice (SORN) is #</w:t>
      </w:r>
      <w:r w:rsidR="00CC0716" w:rsidRPr="00AA604C">
        <w:rPr>
          <w:rFonts w:asciiTheme="minorHAnsi" w:hAnsiTheme="minorHAnsi"/>
          <w:bCs/>
        </w:rPr>
        <w:t>09–25–0014,</w:t>
      </w:r>
      <w:r w:rsidR="00CC0716" w:rsidRPr="00AA604C">
        <w:rPr>
          <w:rFonts w:asciiTheme="minorHAnsi" w:hAnsiTheme="minorHAnsi"/>
        </w:rPr>
        <w:t xml:space="preserve"> “Clinical Research; Student Records, HHS/PHS/NIH/OD/OIR/OE” </w:t>
      </w:r>
      <w:r w:rsidR="000319F9" w:rsidRPr="000F78FC">
        <w:rPr>
          <w:rFonts w:asciiTheme="minorHAnsi" w:hAnsiTheme="minorHAnsi"/>
          <w:b/>
        </w:rPr>
        <w:t>(</w:t>
      </w:r>
      <w:r w:rsidR="000319F9" w:rsidRPr="00AA604C">
        <w:rPr>
          <w:rFonts w:asciiTheme="minorHAnsi" w:hAnsiTheme="minorHAnsi"/>
          <w:b/>
        </w:rPr>
        <w:t>Attachment 5</w:t>
      </w:r>
      <w:r w:rsidR="000319F9">
        <w:rPr>
          <w:rFonts w:asciiTheme="minorHAnsi" w:hAnsiTheme="minorHAnsi"/>
        </w:rPr>
        <w:t>)</w:t>
      </w:r>
      <w:r>
        <w:rPr>
          <w:rFonts w:asciiTheme="minorHAnsi" w:hAnsiTheme="minorHAnsi"/>
        </w:rPr>
        <w:t>.</w:t>
      </w:r>
      <w:r w:rsidR="000319F9" w:rsidRPr="00AA604C">
        <w:rPr>
          <w:rFonts w:asciiTheme="minorHAnsi" w:hAnsiTheme="minorHAnsi"/>
        </w:rPr>
        <w:t xml:space="preserve">  </w:t>
      </w:r>
    </w:p>
    <w:p w14:paraId="5769692D" w14:textId="77777777" w:rsidR="00E35DD1" w:rsidRPr="00AA604C" w:rsidRDefault="00E35DD1" w:rsidP="00AA604C">
      <w:pPr>
        <w:pStyle w:val="P1-StandPara"/>
        <w:spacing w:line="240" w:lineRule="auto"/>
        <w:ind w:firstLine="0"/>
        <w:rPr>
          <w:rFonts w:asciiTheme="minorHAnsi" w:hAnsiTheme="minorHAnsi"/>
          <w:szCs w:val="22"/>
        </w:rPr>
      </w:pPr>
    </w:p>
    <w:p w14:paraId="01F4C9A1" w14:textId="77777777" w:rsidR="00685B30" w:rsidRPr="008942E9" w:rsidRDefault="00685B30" w:rsidP="000F78FC">
      <w:pPr>
        <w:pStyle w:val="P1-StandPara"/>
        <w:spacing w:line="240" w:lineRule="auto"/>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14:paraId="75706F1A" w14:textId="075C61BF" w:rsidR="00CC0716" w:rsidRDefault="00C54848" w:rsidP="00685B30">
      <w:pPr>
        <w:pStyle w:val="P1-StandPara"/>
        <w:spacing w:line="240" w:lineRule="auto"/>
        <w:ind w:firstLine="0"/>
        <w:rPr>
          <w:rFonts w:ascii="Calibri" w:hAnsi="Calibri"/>
          <w:szCs w:val="22"/>
        </w:rPr>
      </w:pPr>
      <w:r>
        <w:rPr>
          <w:rFonts w:asciiTheme="minorHAnsi" w:hAnsiTheme="minorHAnsi"/>
          <w:szCs w:val="22"/>
        </w:rPr>
        <w:t xml:space="preserve">The iCURE applications </w:t>
      </w:r>
      <w:r w:rsidR="00CC0716" w:rsidRPr="00AA7506">
        <w:rPr>
          <w:rFonts w:asciiTheme="minorHAnsi" w:hAnsiTheme="minorHAnsi"/>
          <w:szCs w:val="22"/>
        </w:rPr>
        <w:t xml:space="preserve">will collect </w:t>
      </w:r>
      <w:r w:rsidR="00A27F45" w:rsidRPr="00AA7506">
        <w:rPr>
          <w:rFonts w:asciiTheme="minorHAnsi" w:hAnsiTheme="minorHAnsi"/>
          <w:szCs w:val="22"/>
        </w:rPr>
        <w:t xml:space="preserve">information on </w:t>
      </w:r>
      <w:r w:rsidR="00CC0716" w:rsidRPr="00AA7506">
        <w:rPr>
          <w:rFonts w:asciiTheme="minorHAnsi" w:hAnsiTheme="minorHAnsi"/>
          <w:szCs w:val="22"/>
        </w:rPr>
        <w:t>race, ethnicity, gender, disability, and socioeconomic status.  This will help us assess the effectiveness of</w:t>
      </w:r>
      <w:r>
        <w:rPr>
          <w:rFonts w:asciiTheme="minorHAnsi" w:hAnsiTheme="minorHAnsi"/>
          <w:szCs w:val="22"/>
        </w:rPr>
        <w:t xml:space="preserve"> the iCURE program in reaching its </w:t>
      </w:r>
      <w:r w:rsidR="00DB7F4C" w:rsidRPr="00AA7506">
        <w:rPr>
          <w:rFonts w:asciiTheme="minorHAnsi" w:hAnsiTheme="minorHAnsi"/>
          <w:szCs w:val="22"/>
        </w:rPr>
        <w:t xml:space="preserve">primary </w:t>
      </w:r>
      <w:r w:rsidR="00CC0716" w:rsidRPr="00AA7506">
        <w:rPr>
          <w:rFonts w:asciiTheme="minorHAnsi" w:hAnsiTheme="minorHAnsi"/>
          <w:szCs w:val="22"/>
        </w:rPr>
        <w:t xml:space="preserve">goal of enhancing diversity of the NCI intramural research community.  </w:t>
      </w:r>
      <w:r w:rsidR="00CC0716" w:rsidRPr="00AA7506">
        <w:rPr>
          <w:rFonts w:asciiTheme="minorHAnsi" w:hAnsiTheme="minorHAnsi" w:cs="Arial"/>
          <w:bCs/>
        </w:rPr>
        <w:t xml:space="preserve">This information will be used solely to </w:t>
      </w:r>
      <w:r w:rsidR="00A27F45" w:rsidRPr="00AA7506">
        <w:rPr>
          <w:rFonts w:asciiTheme="minorHAnsi" w:hAnsiTheme="minorHAnsi" w:cs="Arial"/>
          <w:bCs/>
        </w:rPr>
        <w:t>help evaluate the outcomes of the iCURE program</w:t>
      </w:r>
      <w:r w:rsidR="00AA7506" w:rsidRPr="00AA7506">
        <w:rPr>
          <w:rFonts w:asciiTheme="minorHAnsi" w:hAnsiTheme="minorHAnsi" w:cs="Arial"/>
          <w:bCs/>
        </w:rPr>
        <w:t xml:space="preserve"> and identify gaps to be addressed</w:t>
      </w:r>
      <w:r w:rsidR="00A27F45" w:rsidRPr="00AA7506">
        <w:rPr>
          <w:rFonts w:asciiTheme="minorHAnsi" w:hAnsiTheme="minorHAnsi" w:cs="Arial"/>
          <w:bCs/>
        </w:rPr>
        <w:t xml:space="preserve">. </w:t>
      </w:r>
    </w:p>
    <w:p w14:paraId="0AB80BDF" w14:textId="77777777" w:rsidR="00CC0716" w:rsidRPr="008942E9" w:rsidRDefault="00CC0716" w:rsidP="00685B30">
      <w:pPr>
        <w:pStyle w:val="P1-StandPara"/>
        <w:spacing w:line="240" w:lineRule="auto"/>
        <w:ind w:firstLine="0"/>
        <w:rPr>
          <w:rFonts w:ascii="Calibri" w:hAnsi="Calibri"/>
          <w:szCs w:val="22"/>
        </w:rPr>
      </w:pPr>
    </w:p>
    <w:p w14:paraId="1365364E" w14:textId="2CE10902" w:rsidR="00F40CE3" w:rsidRPr="00F40CE3" w:rsidRDefault="00F40CE3" w:rsidP="000F78FC">
      <w:pPr>
        <w:spacing w:after="0" w:line="240" w:lineRule="auto"/>
        <w:rPr>
          <w:rFonts w:eastAsia="Times New Roman"/>
          <w:b/>
        </w:rPr>
      </w:pPr>
      <w:r w:rsidRPr="00F40CE3">
        <w:rPr>
          <w:rFonts w:eastAsia="Times New Roman"/>
          <w:b/>
        </w:rPr>
        <w:t>A.12</w:t>
      </w:r>
      <w:r w:rsidRPr="00F40CE3">
        <w:rPr>
          <w:rFonts w:eastAsia="Times New Roman"/>
          <w:b/>
        </w:rPr>
        <w:tab/>
        <w:t>Estimates of Hour Burden Including Annualized Hourly Costs</w:t>
      </w:r>
    </w:p>
    <w:p w14:paraId="752C51C3" w14:textId="27CC4EC1" w:rsidR="00266ED2" w:rsidRDefault="0016469E" w:rsidP="00C05041">
      <w:pPr>
        <w:pStyle w:val="P1-StandPara"/>
        <w:tabs>
          <w:tab w:val="left" w:pos="720"/>
          <w:tab w:val="right" w:leader="dot" w:pos="9504"/>
        </w:tabs>
        <w:spacing w:line="240" w:lineRule="auto"/>
        <w:ind w:firstLine="0"/>
        <w:rPr>
          <w:rFonts w:asciiTheme="minorHAnsi" w:hAnsiTheme="minorHAnsi"/>
          <w:szCs w:val="22"/>
        </w:rPr>
      </w:pPr>
      <w:r w:rsidRPr="00F826B7">
        <w:rPr>
          <w:rFonts w:asciiTheme="minorHAnsi" w:hAnsiTheme="minorHAnsi"/>
          <w:szCs w:val="22"/>
        </w:rPr>
        <w:t xml:space="preserve">The iCURE program plans to collect applications and a reference letter to help evaluate the merits of the candidates and their potential match for the iCURE program.  The iCURE program anticipates </w:t>
      </w:r>
      <w:r w:rsidR="00F826B7" w:rsidRPr="00F826B7">
        <w:rPr>
          <w:rFonts w:asciiTheme="minorHAnsi" w:hAnsiTheme="minorHAnsi"/>
          <w:szCs w:val="22"/>
        </w:rPr>
        <w:t>receiving</w:t>
      </w:r>
      <w:r w:rsidRPr="00F826B7">
        <w:rPr>
          <w:rFonts w:asciiTheme="minorHAnsi" w:hAnsiTheme="minorHAnsi"/>
          <w:szCs w:val="22"/>
        </w:rPr>
        <w:t xml:space="preserve"> 130 applications per year from post-baccalaureate, graduate, and postdoctoral candidates.  The program expects to receive an additional 240 reference letters to support the candidates.  </w:t>
      </w:r>
      <w:r w:rsidR="007E6B4C" w:rsidRPr="00F826B7">
        <w:rPr>
          <w:rFonts w:asciiTheme="minorHAnsi" w:hAnsiTheme="minorHAnsi"/>
          <w:szCs w:val="22"/>
        </w:rPr>
        <w:t xml:space="preserve">The annual estimate of burden is expected to be </w:t>
      </w:r>
      <w:r w:rsidRPr="00F826B7">
        <w:rPr>
          <w:rFonts w:asciiTheme="minorHAnsi" w:hAnsiTheme="minorHAnsi"/>
          <w:szCs w:val="22"/>
        </w:rPr>
        <w:t>305</w:t>
      </w:r>
      <w:r w:rsidR="007E6B4C" w:rsidRPr="00F826B7">
        <w:rPr>
          <w:rFonts w:asciiTheme="minorHAnsi" w:hAnsiTheme="minorHAnsi"/>
          <w:szCs w:val="22"/>
        </w:rPr>
        <w:t xml:space="preserve"> hours for </w:t>
      </w:r>
      <w:r w:rsidRPr="00F826B7">
        <w:rPr>
          <w:rFonts w:asciiTheme="minorHAnsi" w:hAnsiTheme="minorHAnsi"/>
          <w:szCs w:val="22"/>
        </w:rPr>
        <w:t>370 individuals</w:t>
      </w:r>
      <w:r w:rsidR="007E6B4C" w:rsidRPr="00F826B7">
        <w:rPr>
          <w:rFonts w:asciiTheme="minorHAnsi" w:hAnsiTheme="minorHAnsi"/>
          <w:szCs w:val="22"/>
        </w:rPr>
        <w:t xml:space="preserve"> (Table A.12-1).  This averages to </w:t>
      </w:r>
      <w:r w:rsidRPr="00F826B7">
        <w:rPr>
          <w:rFonts w:asciiTheme="minorHAnsi" w:hAnsiTheme="minorHAnsi"/>
          <w:szCs w:val="22"/>
        </w:rPr>
        <w:t xml:space="preserve">915 </w:t>
      </w:r>
      <w:r w:rsidR="007E6B4C" w:rsidRPr="00F826B7">
        <w:rPr>
          <w:rFonts w:asciiTheme="minorHAnsi" w:hAnsiTheme="minorHAnsi"/>
          <w:szCs w:val="22"/>
        </w:rPr>
        <w:t xml:space="preserve">hours over a three-year information collection period.   </w:t>
      </w:r>
    </w:p>
    <w:p w14:paraId="63F6065F" w14:textId="77777777" w:rsidR="00C05041" w:rsidRPr="00C05041" w:rsidRDefault="00C05041" w:rsidP="00C05041">
      <w:pPr>
        <w:pStyle w:val="P1-StandPara"/>
        <w:tabs>
          <w:tab w:val="left" w:pos="720"/>
          <w:tab w:val="right" w:leader="dot" w:pos="9504"/>
        </w:tabs>
        <w:spacing w:line="240" w:lineRule="auto"/>
        <w:ind w:firstLine="0"/>
        <w:rPr>
          <w:rFonts w:asciiTheme="minorHAnsi" w:hAnsiTheme="minorHAnsi"/>
          <w:szCs w:val="22"/>
        </w:rPr>
      </w:pPr>
    </w:p>
    <w:p w14:paraId="431513CC" w14:textId="067F89DE" w:rsidR="009810A0" w:rsidRPr="0016469E" w:rsidRDefault="009810A0" w:rsidP="000F78FC">
      <w:pPr>
        <w:spacing w:after="20"/>
        <w:jc w:val="center"/>
      </w:pPr>
      <w:r w:rsidRPr="0016469E">
        <w:t>A.12-1 Estimate</w:t>
      </w:r>
      <w:r w:rsidR="004D6F39" w:rsidRPr="0016469E">
        <w:t>d Annualized Burden Hours</w:t>
      </w:r>
    </w:p>
    <w:tbl>
      <w:tblPr>
        <w:tblW w:w="9900" w:type="dxa"/>
        <w:jc w:val="center"/>
        <w:tblLayout w:type="fixed"/>
        <w:tblCellMar>
          <w:left w:w="100" w:type="dxa"/>
          <w:right w:w="100" w:type="dxa"/>
        </w:tblCellMar>
        <w:tblLook w:val="0000" w:firstRow="0" w:lastRow="0" w:firstColumn="0" w:lastColumn="0" w:noHBand="0" w:noVBand="0"/>
      </w:tblPr>
      <w:tblGrid>
        <w:gridCol w:w="1702"/>
        <w:gridCol w:w="1980"/>
        <w:gridCol w:w="1440"/>
        <w:gridCol w:w="1530"/>
        <w:gridCol w:w="1710"/>
        <w:gridCol w:w="1538"/>
      </w:tblGrid>
      <w:tr w:rsidR="001F5A51" w:rsidRPr="004D6F39" w14:paraId="7298F856" w14:textId="77777777" w:rsidTr="00E62B8C">
        <w:trPr>
          <w:cantSplit/>
          <w:trHeight w:val="372"/>
          <w:jc w:val="center"/>
        </w:trPr>
        <w:tc>
          <w:tcPr>
            <w:tcW w:w="1702" w:type="dxa"/>
            <w:tcBorders>
              <w:top w:val="single" w:sz="6" w:space="0" w:color="auto"/>
              <w:left w:val="single" w:sz="6" w:space="0" w:color="auto"/>
            </w:tcBorders>
            <w:vAlign w:val="center"/>
          </w:tcPr>
          <w:p w14:paraId="1AA552F3" w14:textId="4213823A" w:rsidR="009810A0" w:rsidRPr="004D6F39" w:rsidRDefault="009810A0" w:rsidP="00F14A4A">
            <w:pPr>
              <w:spacing w:after="0" w:line="240" w:lineRule="auto"/>
              <w:ind w:left="-6"/>
              <w:jc w:val="center"/>
            </w:pPr>
            <w:r w:rsidRPr="004D6F39">
              <w:t>Form Name</w:t>
            </w:r>
          </w:p>
        </w:tc>
        <w:tc>
          <w:tcPr>
            <w:tcW w:w="1980" w:type="dxa"/>
            <w:tcBorders>
              <w:top w:val="single" w:sz="6" w:space="0" w:color="auto"/>
              <w:left w:val="single" w:sz="6" w:space="0" w:color="auto"/>
            </w:tcBorders>
            <w:vAlign w:val="center"/>
          </w:tcPr>
          <w:p w14:paraId="536C05F3" w14:textId="77777777" w:rsidR="009810A0" w:rsidRPr="004D6F39" w:rsidRDefault="009810A0" w:rsidP="00F14A4A">
            <w:pPr>
              <w:spacing w:after="0" w:line="240" w:lineRule="auto"/>
              <w:jc w:val="center"/>
            </w:pPr>
            <w:r w:rsidRPr="004D6F39">
              <w:t>Type of Respondent</w:t>
            </w:r>
          </w:p>
        </w:tc>
        <w:tc>
          <w:tcPr>
            <w:tcW w:w="1440" w:type="dxa"/>
            <w:tcBorders>
              <w:top w:val="single" w:sz="6" w:space="0" w:color="auto"/>
              <w:left w:val="single" w:sz="6" w:space="0" w:color="auto"/>
            </w:tcBorders>
            <w:vAlign w:val="center"/>
          </w:tcPr>
          <w:p w14:paraId="722D14AA" w14:textId="77777777" w:rsidR="009810A0" w:rsidRPr="004D6F39" w:rsidRDefault="009810A0" w:rsidP="00F14A4A">
            <w:pPr>
              <w:spacing w:after="0" w:line="240" w:lineRule="auto"/>
              <w:jc w:val="center"/>
            </w:pPr>
            <w:r w:rsidRPr="004D6F39">
              <w:t>Number of Respondents</w:t>
            </w:r>
          </w:p>
        </w:tc>
        <w:tc>
          <w:tcPr>
            <w:tcW w:w="1530" w:type="dxa"/>
            <w:tcBorders>
              <w:top w:val="single" w:sz="6" w:space="0" w:color="auto"/>
              <w:left w:val="single" w:sz="6" w:space="0" w:color="auto"/>
            </w:tcBorders>
            <w:vAlign w:val="center"/>
          </w:tcPr>
          <w:p w14:paraId="467EB259" w14:textId="77777777" w:rsidR="009810A0" w:rsidRPr="004D6F39" w:rsidRDefault="009810A0" w:rsidP="00F14A4A">
            <w:pPr>
              <w:spacing w:after="0" w:line="240" w:lineRule="auto"/>
              <w:jc w:val="center"/>
            </w:pPr>
            <w:r w:rsidRPr="004D6F39">
              <w:t>Number of Responses per Respondent</w:t>
            </w:r>
          </w:p>
        </w:tc>
        <w:tc>
          <w:tcPr>
            <w:tcW w:w="1710" w:type="dxa"/>
            <w:tcBorders>
              <w:top w:val="single" w:sz="6" w:space="0" w:color="auto"/>
              <w:left w:val="single" w:sz="6" w:space="0" w:color="auto"/>
            </w:tcBorders>
            <w:vAlign w:val="center"/>
          </w:tcPr>
          <w:p w14:paraId="058CCC17" w14:textId="3A913944" w:rsidR="009810A0" w:rsidRPr="004D6F39" w:rsidRDefault="009810A0" w:rsidP="00F14A4A">
            <w:pPr>
              <w:spacing w:after="0" w:line="240" w:lineRule="auto"/>
              <w:jc w:val="center"/>
            </w:pPr>
            <w:r w:rsidRPr="004D6F39">
              <w:t xml:space="preserve">Average </w:t>
            </w:r>
            <w:r w:rsidR="001F5A51">
              <w:t>Time</w:t>
            </w:r>
            <w:r w:rsidRPr="004D6F39">
              <w:t xml:space="preserve"> Per Response</w:t>
            </w:r>
          </w:p>
          <w:p w14:paraId="057E33F9" w14:textId="68CA4756" w:rsidR="009810A0" w:rsidRPr="004D6F39" w:rsidRDefault="009810A0" w:rsidP="00F14A4A">
            <w:pPr>
              <w:spacing w:after="0" w:line="240" w:lineRule="auto"/>
              <w:jc w:val="center"/>
            </w:pPr>
            <w:r w:rsidRPr="004D6F39">
              <w:t>(in hours)</w:t>
            </w:r>
          </w:p>
        </w:tc>
        <w:tc>
          <w:tcPr>
            <w:tcW w:w="1538" w:type="dxa"/>
            <w:tcBorders>
              <w:top w:val="single" w:sz="6" w:space="0" w:color="auto"/>
              <w:left w:val="single" w:sz="6" w:space="0" w:color="auto"/>
              <w:right w:val="single" w:sz="6" w:space="0" w:color="auto"/>
            </w:tcBorders>
            <w:vAlign w:val="center"/>
          </w:tcPr>
          <w:p w14:paraId="559C91FA" w14:textId="704EBC9E" w:rsidR="009810A0" w:rsidRPr="004D6F39" w:rsidRDefault="009810A0" w:rsidP="00F14A4A">
            <w:pPr>
              <w:spacing w:after="0" w:line="240" w:lineRule="auto"/>
              <w:jc w:val="center"/>
            </w:pPr>
            <w:r w:rsidRPr="004D6F39">
              <w:t>Total Annual Burden Hour</w:t>
            </w:r>
          </w:p>
        </w:tc>
      </w:tr>
      <w:tr w:rsidR="001F5A51" w:rsidRPr="004D6F39" w14:paraId="59F24801" w14:textId="77777777" w:rsidTr="00E62B8C">
        <w:trPr>
          <w:cantSplit/>
          <w:trHeight w:val="372"/>
          <w:jc w:val="center"/>
        </w:trPr>
        <w:tc>
          <w:tcPr>
            <w:tcW w:w="1702" w:type="dxa"/>
            <w:tcBorders>
              <w:top w:val="single" w:sz="6" w:space="0" w:color="auto"/>
              <w:left w:val="single" w:sz="6" w:space="0" w:color="auto"/>
            </w:tcBorders>
            <w:vAlign w:val="center"/>
          </w:tcPr>
          <w:p w14:paraId="717BF73F" w14:textId="24BAA031" w:rsidR="009810A0" w:rsidRPr="004D6F39" w:rsidRDefault="001002A4" w:rsidP="00F14A4A">
            <w:pPr>
              <w:spacing w:after="0" w:line="240" w:lineRule="auto"/>
            </w:pPr>
            <w:r w:rsidRPr="004D6F39">
              <w:t>Postbac Supplemental Application</w:t>
            </w:r>
          </w:p>
        </w:tc>
        <w:tc>
          <w:tcPr>
            <w:tcW w:w="1980" w:type="dxa"/>
            <w:tcBorders>
              <w:top w:val="single" w:sz="6" w:space="0" w:color="auto"/>
              <w:left w:val="single" w:sz="6" w:space="0" w:color="auto"/>
            </w:tcBorders>
            <w:vAlign w:val="center"/>
          </w:tcPr>
          <w:p w14:paraId="3BC91D67" w14:textId="6372CDBE" w:rsidR="009810A0" w:rsidRPr="004D6F39" w:rsidRDefault="004B5617" w:rsidP="00F14A4A">
            <w:pPr>
              <w:spacing w:after="0" w:line="240" w:lineRule="auto"/>
            </w:pPr>
            <w:r w:rsidRPr="004E0A4E">
              <w:rPr>
                <w:bCs/>
              </w:rPr>
              <w:t xml:space="preserve">Post-Baccalaureate </w:t>
            </w:r>
            <w:r w:rsidRPr="00F14A4A">
              <w:rPr>
                <w:bCs/>
                <w:sz w:val="20"/>
                <w:szCs w:val="20"/>
              </w:rPr>
              <w:t>(Including Post-Master’s)</w:t>
            </w:r>
            <w:r w:rsidRPr="004E0A4E">
              <w:rPr>
                <w:bCs/>
              </w:rPr>
              <w:t xml:space="preserve"> </w:t>
            </w:r>
          </w:p>
        </w:tc>
        <w:tc>
          <w:tcPr>
            <w:tcW w:w="1440" w:type="dxa"/>
            <w:tcBorders>
              <w:top w:val="single" w:sz="6" w:space="0" w:color="auto"/>
              <w:left w:val="single" w:sz="6" w:space="0" w:color="auto"/>
            </w:tcBorders>
            <w:vAlign w:val="center"/>
          </w:tcPr>
          <w:p w14:paraId="2D79D974" w14:textId="53044150" w:rsidR="009810A0" w:rsidRPr="004D6F39" w:rsidRDefault="001002A4" w:rsidP="00F14A4A">
            <w:pPr>
              <w:spacing w:after="0" w:line="240" w:lineRule="auto"/>
              <w:jc w:val="center"/>
            </w:pPr>
            <w:r w:rsidRPr="004D6F39">
              <w:t>50</w:t>
            </w:r>
          </w:p>
        </w:tc>
        <w:tc>
          <w:tcPr>
            <w:tcW w:w="1530" w:type="dxa"/>
            <w:tcBorders>
              <w:top w:val="single" w:sz="6" w:space="0" w:color="auto"/>
              <w:left w:val="single" w:sz="6" w:space="0" w:color="auto"/>
            </w:tcBorders>
            <w:vAlign w:val="center"/>
          </w:tcPr>
          <w:p w14:paraId="3697F33C" w14:textId="77777777" w:rsidR="009810A0" w:rsidRPr="004D6F39" w:rsidRDefault="009810A0" w:rsidP="00F14A4A">
            <w:pPr>
              <w:spacing w:after="0" w:line="240" w:lineRule="auto"/>
              <w:jc w:val="center"/>
            </w:pPr>
            <w:r w:rsidRPr="004D6F39">
              <w:t>1</w:t>
            </w:r>
          </w:p>
        </w:tc>
        <w:tc>
          <w:tcPr>
            <w:tcW w:w="1710" w:type="dxa"/>
            <w:tcBorders>
              <w:top w:val="single" w:sz="6" w:space="0" w:color="auto"/>
              <w:left w:val="single" w:sz="6" w:space="0" w:color="auto"/>
            </w:tcBorders>
            <w:vAlign w:val="center"/>
          </w:tcPr>
          <w:p w14:paraId="7E5B1232" w14:textId="53729E2F" w:rsidR="009810A0" w:rsidRPr="004D6F39" w:rsidRDefault="0042003F" w:rsidP="00F14A4A">
            <w:pPr>
              <w:spacing w:after="0" w:line="240" w:lineRule="auto"/>
              <w:jc w:val="center"/>
            </w:pPr>
            <w:r w:rsidRPr="004D6F39">
              <w:t>30</w:t>
            </w:r>
            <w:r w:rsidR="009810A0" w:rsidRPr="004D6F39">
              <w:t>/60</w:t>
            </w:r>
          </w:p>
        </w:tc>
        <w:tc>
          <w:tcPr>
            <w:tcW w:w="1538" w:type="dxa"/>
            <w:tcBorders>
              <w:top w:val="single" w:sz="6" w:space="0" w:color="auto"/>
              <w:left w:val="single" w:sz="6" w:space="0" w:color="auto"/>
              <w:right w:val="single" w:sz="6" w:space="0" w:color="auto"/>
            </w:tcBorders>
            <w:vAlign w:val="center"/>
          </w:tcPr>
          <w:p w14:paraId="06D5FA5C" w14:textId="0658D74C" w:rsidR="009810A0" w:rsidRPr="004D6F39" w:rsidRDefault="0042003F" w:rsidP="00F14A4A">
            <w:pPr>
              <w:spacing w:after="0" w:line="240" w:lineRule="auto"/>
              <w:jc w:val="center"/>
            </w:pPr>
            <w:r w:rsidRPr="004D6F39">
              <w:t>25</w:t>
            </w:r>
          </w:p>
        </w:tc>
      </w:tr>
      <w:tr w:rsidR="001F5A51" w:rsidRPr="004D6F39" w14:paraId="50877B59" w14:textId="77777777" w:rsidTr="00E62B8C">
        <w:trPr>
          <w:cantSplit/>
          <w:trHeight w:val="894"/>
          <w:jc w:val="center"/>
        </w:trPr>
        <w:tc>
          <w:tcPr>
            <w:tcW w:w="1702" w:type="dxa"/>
            <w:tcBorders>
              <w:top w:val="single" w:sz="6" w:space="0" w:color="auto"/>
              <w:left w:val="single" w:sz="6" w:space="0" w:color="auto"/>
            </w:tcBorders>
            <w:vAlign w:val="center"/>
          </w:tcPr>
          <w:p w14:paraId="3EC12B20" w14:textId="6D1E86D5" w:rsidR="009810A0" w:rsidRPr="004D6F39" w:rsidRDefault="001002A4" w:rsidP="00F14A4A">
            <w:pPr>
              <w:spacing w:after="0" w:line="240" w:lineRule="auto"/>
            </w:pPr>
            <w:r w:rsidRPr="004D6F39">
              <w:t>Graduate Student Application</w:t>
            </w:r>
          </w:p>
        </w:tc>
        <w:tc>
          <w:tcPr>
            <w:tcW w:w="1980" w:type="dxa"/>
            <w:tcBorders>
              <w:top w:val="single" w:sz="6" w:space="0" w:color="auto"/>
              <w:left w:val="single" w:sz="6" w:space="0" w:color="auto"/>
            </w:tcBorders>
            <w:vAlign w:val="center"/>
          </w:tcPr>
          <w:p w14:paraId="13A03F86" w14:textId="46116122" w:rsidR="009810A0" w:rsidRPr="004D6F39" w:rsidRDefault="001002A4" w:rsidP="00F14A4A">
            <w:pPr>
              <w:spacing w:after="0" w:line="240" w:lineRule="auto"/>
            </w:pPr>
            <w:r w:rsidRPr="004D6F39">
              <w:t>Graduate</w:t>
            </w:r>
          </w:p>
        </w:tc>
        <w:tc>
          <w:tcPr>
            <w:tcW w:w="1440" w:type="dxa"/>
            <w:tcBorders>
              <w:top w:val="single" w:sz="6" w:space="0" w:color="auto"/>
              <w:left w:val="single" w:sz="6" w:space="0" w:color="auto"/>
            </w:tcBorders>
            <w:vAlign w:val="center"/>
          </w:tcPr>
          <w:p w14:paraId="05B1A371" w14:textId="16F25A1A" w:rsidR="009810A0" w:rsidRPr="004D6F39" w:rsidRDefault="001002A4" w:rsidP="00F14A4A">
            <w:pPr>
              <w:spacing w:after="0" w:line="240" w:lineRule="auto"/>
              <w:jc w:val="center"/>
            </w:pPr>
            <w:r w:rsidRPr="004D6F39">
              <w:t>30</w:t>
            </w:r>
          </w:p>
        </w:tc>
        <w:tc>
          <w:tcPr>
            <w:tcW w:w="1530" w:type="dxa"/>
            <w:tcBorders>
              <w:top w:val="single" w:sz="6" w:space="0" w:color="auto"/>
              <w:left w:val="single" w:sz="6" w:space="0" w:color="auto"/>
            </w:tcBorders>
            <w:vAlign w:val="center"/>
          </w:tcPr>
          <w:p w14:paraId="0AD7DC87" w14:textId="77777777" w:rsidR="009810A0" w:rsidRPr="004D6F39" w:rsidRDefault="009810A0" w:rsidP="00F14A4A">
            <w:pPr>
              <w:spacing w:after="0" w:line="240" w:lineRule="auto"/>
              <w:jc w:val="center"/>
            </w:pPr>
            <w:r w:rsidRPr="004D6F39">
              <w:t>1</w:t>
            </w:r>
          </w:p>
        </w:tc>
        <w:tc>
          <w:tcPr>
            <w:tcW w:w="1710" w:type="dxa"/>
            <w:tcBorders>
              <w:top w:val="single" w:sz="6" w:space="0" w:color="auto"/>
              <w:left w:val="single" w:sz="6" w:space="0" w:color="auto"/>
            </w:tcBorders>
            <w:vAlign w:val="center"/>
          </w:tcPr>
          <w:p w14:paraId="1633DC8B" w14:textId="4769FE36" w:rsidR="009810A0" w:rsidRPr="004D6F39" w:rsidRDefault="003201F7" w:rsidP="00F14A4A">
            <w:pPr>
              <w:spacing w:after="0" w:line="240" w:lineRule="auto"/>
              <w:jc w:val="center"/>
            </w:pPr>
            <w:r w:rsidRPr="004D6F39">
              <w:t>2</w:t>
            </w:r>
          </w:p>
        </w:tc>
        <w:tc>
          <w:tcPr>
            <w:tcW w:w="1538" w:type="dxa"/>
            <w:tcBorders>
              <w:top w:val="single" w:sz="6" w:space="0" w:color="auto"/>
              <w:left w:val="single" w:sz="6" w:space="0" w:color="auto"/>
              <w:right w:val="single" w:sz="6" w:space="0" w:color="auto"/>
            </w:tcBorders>
            <w:vAlign w:val="center"/>
          </w:tcPr>
          <w:p w14:paraId="5EA08E7F" w14:textId="484A4180" w:rsidR="009810A0" w:rsidRPr="004D6F39" w:rsidRDefault="003201F7" w:rsidP="00F14A4A">
            <w:pPr>
              <w:spacing w:after="0" w:line="240" w:lineRule="auto"/>
              <w:jc w:val="center"/>
            </w:pPr>
            <w:r w:rsidRPr="004D6F39">
              <w:t>60</w:t>
            </w:r>
          </w:p>
        </w:tc>
      </w:tr>
      <w:tr w:rsidR="001F5A51" w:rsidRPr="004D6F39" w14:paraId="65A5F2D8" w14:textId="77777777" w:rsidTr="00E62B8C">
        <w:trPr>
          <w:cantSplit/>
          <w:trHeight w:val="831"/>
          <w:jc w:val="center"/>
        </w:trPr>
        <w:tc>
          <w:tcPr>
            <w:tcW w:w="1702" w:type="dxa"/>
            <w:tcBorders>
              <w:top w:val="single" w:sz="6" w:space="0" w:color="auto"/>
              <w:left w:val="single" w:sz="6" w:space="0" w:color="auto"/>
              <w:bottom w:val="single" w:sz="6" w:space="0" w:color="auto"/>
            </w:tcBorders>
            <w:vAlign w:val="center"/>
          </w:tcPr>
          <w:p w14:paraId="7893DDAB" w14:textId="257AFC7B" w:rsidR="009810A0" w:rsidRPr="004D6F39" w:rsidRDefault="001002A4" w:rsidP="00F14A4A">
            <w:pPr>
              <w:spacing w:after="0" w:line="240" w:lineRule="auto"/>
            </w:pPr>
            <w:r w:rsidRPr="004D6F39">
              <w:t>Postdoctoral Fellowship Application</w:t>
            </w:r>
          </w:p>
        </w:tc>
        <w:tc>
          <w:tcPr>
            <w:tcW w:w="1980" w:type="dxa"/>
            <w:tcBorders>
              <w:top w:val="single" w:sz="6" w:space="0" w:color="auto"/>
              <w:left w:val="single" w:sz="6" w:space="0" w:color="auto"/>
              <w:bottom w:val="single" w:sz="6" w:space="0" w:color="auto"/>
            </w:tcBorders>
            <w:vAlign w:val="center"/>
          </w:tcPr>
          <w:p w14:paraId="5BABEF3E" w14:textId="23C823CE" w:rsidR="009810A0" w:rsidRPr="004D6F39" w:rsidRDefault="001002A4" w:rsidP="00F14A4A">
            <w:pPr>
              <w:spacing w:after="0" w:line="240" w:lineRule="auto"/>
            </w:pPr>
            <w:r w:rsidRPr="004D6F39">
              <w:t xml:space="preserve">Postdoctoral </w:t>
            </w:r>
          </w:p>
        </w:tc>
        <w:tc>
          <w:tcPr>
            <w:tcW w:w="1440" w:type="dxa"/>
            <w:tcBorders>
              <w:top w:val="single" w:sz="6" w:space="0" w:color="auto"/>
              <w:left w:val="single" w:sz="6" w:space="0" w:color="auto"/>
              <w:bottom w:val="single" w:sz="6" w:space="0" w:color="auto"/>
            </w:tcBorders>
            <w:vAlign w:val="center"/>
          </w:tcPr>
          <w:p w14:paraId="6E05FCC1" w14:textId="2EE35CFB" w:rsidR="009810A0" w:rsidRPr="004D6F39" w:rsidRDefault="001002A4" w:rsidP="00F14A4A">
            <w:pPr>
              <w:spacing w:after="0" w:line="240" w:lineRule="auto"/>
              <w:jc w:val="center"/>
            </w:pPr>
            <w:r w:rsidRPr="004D6F39">
              <w:t>50</w:t>
            </w:r>
          </w:p>
        </w:tc>
        <w:tc>
          <w:tcPr>
            <w:tcW w:w="1530" w:type="dxa"/>
            <w:tcBorders>
              <w:top w:val="single" w:sz="6" w:space="0" w:color="auto"/>
              <w:left w:val="single" w:sz="6" w:space="0" w:color="auto"/>
              <w:bottom w:val="single" w:sz="6" w:space="0" w:color="auto"/>
            </w:tcBorders>
            <w:vAlign w:val="center"/>
          </w:tcPr>
          <w:p w14:paraId="76BE7324" w14:textId="77777777" w:rsidR="009810A0" w:rsidRPr="004D6F39" w:rsidRDefault="009810A0" w:rsidP="00F14A4A">
            <w:pPr>
              <w:spacing w:after="0" w:line="240" w:lineRule="auto"/>
              <w:jc w:val="center"/>
            </w:pPr>
            <w:r w:rsidRPr="004D6F39">
              <w:t>1</w:t>
            </w:r>
          </w:p>
        </w:tc>
        <w:tc>
          <w:tcPr>
            <w:tcW w:w="1710" w:type="dxa"/>
            <w:tcBorders>
              <w:top w:val="single" w:sz="6" w:space="0" w:color="auto"/>
              <w:left w:val="single" w:sz="6" w:space="0" w:color="auto"/>
              <w:bottom w:val="single" w:sz="6" w:space="0" w:color="auto"/>
            </w:tcBorders>
            <w:vAlign w:val="center"/>
          </w:tcPr>
          <w:p w14:paraId="0354362D" w14:textId="63BF9AD9" w:rsidR="009810A0" w:rsidRPr="004D6F39" w:rsidRDefault="009810A0" w:rsidP="00F14A4A">
            <w:pPr>
              <w:spacing w:after="0" w:line="240" w:lineRule="auto"/>
              <w:jc w:val="center"/>
            </w:pPr>
            <w:r w:rsidRPr="004D6F39">
              <w:t>2</w:t>
            </w:r>
          </w:p>
        </w:tc>
        <w:tc>
          <w:tcPr>
            <w:tcW w:w="1538" w:type="dxa"/>
            <w:tcBorders>
              <w:top w:val="single" w:sz="6" w:space="0" w:color="auto"/>
              <w:left w:val="single" w:sz="6" w:space="0" w:color="auto"/>
              <w:bottom w:val="single" w:sz="6" w:space="0" w:color="auto"/>
              <w:right w:val="single" w:sz="6" w:space="0" w:color="auto"/>
            </w:tcBorders>
            <w:vAlign w:val="center"/>
          </w:tcPr>
          <w:p w14:paraId="50AF06D5" w14:textId="48A45E62" w:rsidR="009810A0" w:rsidRPr="004D6F39" w:rsidRDefault="003201F7" w:rsidP="00F14A4A">
            <w:pPr>
              <w:spacing w:after="0" w:line="240" w:lineRule="auto"/>
              <w:jc w:val="center"/>
            </w:pPr>
            <w:r w:rsidRPr="004D6F39">
              <w:t>100</w:t>
            </w:r>
          </w:p>
        </w:tc>
      </w:tr>
      <w:tr w:rsidR="001F5A51" w:rsidRPr="004D6F39" w14:paraId="05ABB725" w14:textId="77777777" w:rsidTr="00E62B8C">
        <w:trPr>
          <w:cantSplit/>
          <w:trHeight w:val="615"/>
          <w:jc w:val="center"/>
        </w:trPr>
        <w:tc>
          <w:tcPr>
            <w:tcW w:w="1702" w:type="dxa"/>
            <w:tcBorders>
              <w:top w:val="single" w:sz="6" w:space="0" w:color="auto"/>
              <w:left w:val="single" w:sz="6" w:space="0" w:color="auto"/>
              <w:bottom w:val="single" w:sz="6" w:space="0" w:color="auto"/>
            </w:tcBorders>
            <w:vAlign w:val="center"/>
          </w:tcPr>
          <w:p w14:paraId="7353E57F" w14:textId="27E7CD1C" w:rsidR="003201F7" w:rsidRPr="004D6F39" w:rsidRDefault="00AA7506" w:rsidP="00F14A4A">
            <w:pPr>
              <w:spacing w:after="0" w:line="240" w:lineRule="auto"/>
            </w:pPr>
            <w:r w:rsidRPr="004D6F39">
              <w:t>Reference Letter</w:t>
            </w:r>
          </w:p>
        </w:tc>
        <w:tc>
          <w:tcPr>
            <w:tcW w:w="1980" w:type="dxa"/>
            <w:tcBorders>
              <w:top w:val="single" w:sz="6" w:space="0" w:color="auto"/>
              <w:left w:val="single" w:sz="6" w:space="0" w:color="auto"/>
              <w:bottom w:val="single" w:sz="6" w:space="0" w:color="auto"/>
            </w:tcBorders>
            <w:vAlign w:val="center"/>
          </w:tcPr>
          <w:p w14:paraId="74981F30" w14:textId="6B87CEC1" w:rsidR="003201F7" w:rsidRPr="004D6F39" w:rsidRDefault="0016469E" w:rsidP="00F14A4A">
            <w:pPr>
              <w:spacing w:after="0" w:line="240" w:lineRule="auto"/>
            </w:pPr>
            <w:r>
              <w:rPr>
                <w:rFonts w:asciiTheme="minorHAnsi" w:hAnsiTheme="minorHAnsi" w:cs="Arial"/>
              </w:rPr>
              <w:t>PIs, P</w:t>
            </w:r>
            <w:r w:rsidRPr="000F78FC">
              <w:rPr>
                <w:rFonts w:asciiTheme="minorHAnsi" w:hAnsiTheme="minorHAnsi" w:cs="Arial"/>
              </w:rPr>
              <w:t xml:space="preserve">rofessors, </w:t>
            </w:r>
            <w:r>
              <w:rPr>
                <w:rFonts w:asciiTheme="minorHAnsi" w:hAnsiTheme="minorHAnsi" w:cs="Arial"/>
              </w:rPr>
              <w:t>and S</w:t>
            </w:r>
            <w:r w:rsidRPr="000F78FC">
              <w:rPr>
                <w:rFonts w:asciiTheme="minorHAnsi" w:hAnsiTheme="minorHAnsi" w:cs="Arial"/>
              </w:rPr>
              <w:t>upervisors</w:t>
            </w:r>
          </w:p>
        </w:tc>
        <w:tc>
          <w:tcPr>
            <w:tcW w:w="1440" w:type="dxa"/>
            <w:tcBorders>
              <w:top w:val="single" w:sz="6" w:space="0" w:color="auto"/>
              <w:left w:val="single" w:sz="6" w:space="0" w:color="auto"/>
              <w:bottom w:val="single" w:sz="6" w:space="0" w:color="auto"/>
            </w:tcBorders>
            <w:vAlign w:val="center"/>
          </w:tcPr>
          <w:p w14:paraId="0AF15D91" w14:textId="0ABAC81F" w:rsidR="003201F7" w:rsidRPr="004D6F39" w:rsidRDefault="003201F7" w:rsidP="00F14A4A">
            <w:pPr>
              <w:spacing w:after="0" w:line="240" w:lineRule="auto"/>
              <w:jc w:val="center"/>
            </w:pPr>
            <w:r w:rsidRPr="004D6F39">
              <w:t>240</w:t>
            </w:r>
          </w:p>
        </w:tc>
        <w:tc>
          <w:tcPr>
            <w:tcW w:w="1530" w:type="dxa"/>
            <w:tcBorders>
              <w:top w:val="single" w:sz="6" w:space="0" w:color="auto"/>
              <w:left w:val="single" w:sz="6" w:space="0" w:color="auto"/>
              <w:bottom w:val="single" w:sz="6" w:space="0" w:color="auto"/>
            </w:tcBorders>
            <w:vAlign w:val="center"/>
          </w:tcPr>
          <w:p w14:paraId="689F3128" w14:textId="0BA6E59A" w:rsidR="003201F7" w:rsidRPr="004D6F39" w:rsidRDefault="003201F7" w:rsidP="00F14A4A">
            <w:pPr>
              <w:spacing w:after="0" w:line="240" w:lineRule="auto"/>
              <w:jc w:val="center"/>
            </w:pPr>
            <w:r w:rsidRPr="004D6F39">
              <w:t>1</w:t>
            </w:r>
          </w:p>
        </w:tc>
        <w:tc>
          <w:tcPr>
            <w:tcW w:w="1710" w:type="dxa"/>
            <w:tcBorders>
              <w:top w:val="single" w:sz="6" w:space="0" w:color="auto"/>
              <w:left w:val="single" w:sz="6" w:space="0" w:color="auto"/>
              <w:bottom w:val="single" w:sz="6" w:space="0" w:color="auto"/>
            </w:tcBorders>
            <w:vAlign w:val="center"/>
          </w:tcPr>
          <w:p w14:paraId="3E2DAF30" w14:textId="1CC303AA" w:rsidR="003201F7" w:rsidRPr="004D6F39" w:rsidRDefault="003201F7" w:rsidP="00F14A4A">
            <w:pPr>
              <w:spacing w:after="0" w:line="240" w:lineRule="auto"/>
              <w:jc w:val="center"/>
            </w:pPr>
            <w:r w:rsidRPr="004D6F39">
              <w:t>30/60</w:t>
            </w:r>
          </w:p>
        </w:tc>
        <w:tc>
          <w:tcPr>
            <w:tcW w:w="1538" w:type="dxa"/>
            <w:tcBorders>
              <w:top w:val="single" w:sz="6" w:space="0" w:color="auto"/>
              <w:left w:val="single" w:sz="6" w:space="0" w:color="auto"/>
              <w:bottom w:val="single" w:sz="6" w:space="0" w:color="auto"/>
              <w:right w:val="single" w:sz="6" w:space="0" w:color="auto"/>
            </w:tcBorders>
            <w:vAlign w:val="center"/>
          </w:tcPr>
          <w:p w14:paraId="79A68E3D" w14:textId="00704583" w:rsidR="003201F7" w:rsidRPr="004D6F39" w:rsidRDefault="003201F7" w:rsidP="00F14A4A">
            <w:pPr>
              <w:spacing w:after="0" w:line="240" w:lineRule="auto"/>
              <w:jc w:val="center"/>
            </w:pPr>
            <w:r w:rsidRPr="004D6F39">
              <w:t>120</w:t>
            </w:r>
          </w:p>
        </w:tc>
      </w:tr>
      <w:tr w:rsidR="003B022C" w:rsidRPr="004D6F39" w14:paraId="50877332" w14:textId="77777777" w:rsidTr="00E62B8C">
        <w:trPr>
          <w:cantSplit/>
          <w:trHeight w:val="525"/>
          <w:jc w:val="center"/>
        </w:trPr>
        <w:tc>
          <w:tcPr>
            <w:tcW w:w="1702" w:type="dxa"/>
            <w:tcBorders>
              <w:top w:val="single" w:sz="6" w:space="0" w:color="auto"/>
              <w:left w:val="single" w:sz="6" w:space="0" w:color="auto"/>
              <w:bottom w:val="single" w:sz="4" w:space="0" w:color="auto"/>
            </w:tcBorders>
            <w:vAlign w:val="center"/>
          </w:tcPr>
          <w:p w14:paraId="3108C1FB" w14:textId="521F1E64" w:rsidR="003B022C" w:rsidRPr="004D6F39" w:rsidRDefault="003B022C" w:rsidP="00F14A4A">
            <w:pPr>
              <w:spacing w:after="0" w:line="240" w:lineRule="auto"/>
              <w:jc w:val="center"/>
            </w:pPr>
            <w:r>
              <w:t>Total</w:t>
            </w:r>
          </w:p>
        </w:tc>
        <w:tc>
          <w:tcPr>
            <w:tcW w:w="1980" w:type="dxa"/>
            <w:tcBorders>
              <w:top w:val="single" w:sz="6" w:space="0" w:color="auto"/>
              <w:left w:val="single" w:sz="6" w:space="0" w:color="auto"/>
              <w:bottom w:val="single" w:sz="4" w:space="0" w:color="auto"/>
            </w:tcBorders>
            <w:vAlign w:val="center"/>
          </w:tcPr>
          <w:p w14:paraId="38069107" w14:textId="77777777" w:rsidR="003B022C" w:rsidRPr="004D6F39" w:rsidRDefault="003B022C" w:rsidP="00F14A4A">
            <w:pPr>
              <w:spacing w:after="0" w:line="240" w:lineRule="auto"/>
              <w:jc w:val="center"/>
            </w:pPr>
          </w:p>
        </w:tc>
        <w:tc>
          <w:tcPr>
            <w:tcW w:w="1440" w:type="dxa"/>
            <w:tcBorders>
              <w:top w:val="single" w:sz="6" w:space="0" w:color="auto"/>
              <w:left w:val="single" w:sz="6" w:space="0" w:color="auto"/>
              <w:bottom w:val="single" w:sz="4" w:space="0" w:color="auto"/>
            </w:tcBorders>
            <w:vAlign w:val="center"/>
          </w:tcPr>
          <w:p w14:paraId="6EF68106" w14:textId="573B8BF3" w:rsidR="003B022C" w:rsidRPr="004D6F39" w:rsidRDefault="003B022C" w:rsidP="00F14A4A">
            <w:pPr>
              <w:spacing w:after="0" w:line="240" w:lineRule="auto"/>
              <w:jc w:val="center"/>
            </w:pPr>
            <w:r>
              <w:t>370</w:t>
            </w:r>
          </w:p>
        </w:tc>
        <w:tc>
          <w:tcPr>
            <w:tcW w:w="1530" w:type="dxa"/>
            <w:tcBorders>
              <w:top w:val="single" w:sz="6" w:space="0" w:color="auto"/>
              <w:left w:val="single" w:sz="6" w:space="0" w:color="auto"/>
              <w:bottom w:val="single" w:sz="4" w:space="0" w:color="auto"/>
            </w:tcBorders>
            <w:vAlign w:val="center"/>
          </w:tcPr>
          <w:p w14:paraId="01C0A7F6" w14:textId="5C463157" w:rsidR="003B022C" w:rsidRPr="004D6F39" w:rsidRDefault="00664E96" w:rsidP="00F14A4A">
            <w:pPr>
              <w:spacing w:after="0" w:line="240" w:lineRule="auto"/>
              <w:jc w:val="center"/>
            </w:pPr>
            <w:r>
              <w:t>370</w:t>
            </w:r>
          </w:p>
        </w:tc>
        <w:tc>
          <w:tcPr>
            <w:tcW w:w="1710" w:type="dxa"/>
            <w:tcBorders>
              <w:top w:val="single" w:sz="6" w:space="0" w:color="auto"/>
              <w:left w:val="single" w:sz="6" w:space="0" w:color="auto"/>
              <w:bottom w:val="single" w:sz="4" w:space="0" w:color="auto"/>
            </w:tcBorders>
            <w:vAlign w:val="center"/>
          </w:tcPr>
          <w:p w14:paraId="56F847AE" w14:textId="77777777" w:rsidR="003B022C" w:rsidRPr="004D6F39" w:rsidRDefault="003B022C" w:rsidP="00F14A4A">
            <w:pPr>
              <w:spacing w:after="0" w:line="240" w:lineRule="auto"/>
              <w:jc w:val="center"/>
            </w:pPr>
          </w:p>
        </w:tc>
        <w:tc>
          <w:tcPr>
            <w:tcW w:w="1538" w:type="dxa"/>
            <w:tcBorders>
              <w:top w:val="single" w:sz="6" w:space="0" w:color="auto"/>
              <w:left w:val="single" w:sz="6" w:space="0" w:color="auto"/>
              <w:bottom w:val="single" w:sz="4" w:space="0" w:color="auto"/>
              <w:right w:val="single" w:sz="6" w:space="0" w:color="auto"/>
            </w:tcBorders>
            <w:vAlign w:val="center"/>
          </w:tcPr>
          <w:p w14:paraId="0DE2CAB6" w14:textId="6A18BDD6" w:rsidR="003B022C" w:rsidRPr="004D6F39" w:rsidRDefault="003B022C" w:rsidP="00F14A4A">
            <w:pPr>
              <w:spacing w:after="0" w:line="240" w:lineRule="auto"/>
              <w:jc w:val="center"/>
            </w:pPr>
            <w:r>
              <w:t>305</w:t>
            </w:r>
          </w:p>
        </w:tc>
      </w:tr>
    </w:tbl>
    <w:p w14:paraId="148882F2" w14:textId="77777777" w:rsidR="00C05041" w:rsidRDefault="00C05041" w:rsidP="00940C8C">
      <w:pPr>
        <w:autoSpaceDE w:val="0"/>
        <w:autoSpaceDN w:val="0"/>
        <w:adjustRightInd w:val="0"/>
        <w:spacing w:after="0" w:line="240" w:lineRule="auto"/>
      </w:pPr>
    </w:p>
    <w:p w14:paraId="0BB4D210" w14:textId="705F568E" w:rsidR="0016469E" w:rsidRPr="00B51624" w:rsidRDefault="0016469E" w:rsidP="00940C8C">
      <w:pPr>
        <w:autoSpaceDE w:val="0"/>
        <w:autoSpaceDN w:val="0"/>
        <w:adjustRightInd w:val="0"/>
        <w:spacing w:after="0" w:line="240" w:lineRule="auto"/>
      </w:pPr>
      <w:r w:rsidRPr="00B51624">
        <w:t>The annual respondent costs are estimated to be $</w:t>
      </w:r>
      <w:r w:rsidR="00BC4DB2">
        <w:t>10,209.10</w:t>
      </w:r>
      <w:r w:rsidRPr="00B51624">
        <w:t xml:space="preserve"> (Table A.12-2), or approximately $</w:t>
      </w:r>
      <w:r w:rsidR="00BC4DB2">
        <w:t>30,627.30</w:t>
      </w:r>
      <w:r w:rsidRPr="00B51624">
        <w:t xml:space="preserve"> over a three-year information collection period.  </w:t>
      </w:r>
    </w:p>
    <w:p w14:paraId="1D2F77CE" w14:textId="77777777" w:rsidR="009810A0" w:rsidRDefault="009810A0" w:rsidP="004D6F39">
      <w:pPr>
        <w:spacing w:after="0" w:line="240" w:lineRule="auto"/>
      </w:pPr>
    </w:p>
    <w:p w14:paraId="4113DD0C" w14:textId="3B128A29" w:rsidR="009A69D6" w:rsidRPr="0016469E" w:rsidRDefault="009A69D6" w:rsidP="00C36E14">
      <w:pPr>
        <w:spacing w:after="0" w:line="240" w:lineRule="auto"/>
        <w:jc w:val="center"/>
      </w:pPr>
      <w:r w:rsidRPr="0016469E">
        <w:t>A.12-2 Annualized Cost to the Respondents</w:t>
      </w:r>
    </w:p>
    <w:tbl>
      <w:tblPr>
        <w:tblW w:w="9810" w:type="dxa"/>
        <w:tblInd w:w="-8" w:type="dxa"/>
        <w:tblLayout w:type="fixed"/>
        <w:tblCellMar>
          <w:left w:w="100" w:type="dxa"/>
          <w:right w:w="100" w:type="dxa"/>
        </w:tblCellMar>
        <w:tblLook w:val="0000" w:firstRow="0" w:lastRow="0" w:firstColumn="0" w:lastColumn="0" w:noHBand="0" w:noVBand="0"/>
      </w:tblPr>
      <w:tblGrid>
        <w:gridCol w:w="2070"/>
        <w:gridCol w:w="2700"/>
        <w:gridCol w:w="3060"/>
        <w:gridCol w:w="1980"/>
      </w:tblGrid>
      <w:tr w:rsidR="00976305" w:rsidRPr="004D6F39" w14:paraId="3F749051" w14:textId="77777777" w:rsidTr="00976305">
        <w:trPr>
          <w:cantSplit/>
          <w:trHeight w:val="372"/>
        </w:trPr>
        <w:tc>
          <w:tcPr>
            <w:tcW w:w="2070" w:type="dxa"/>
            <w:tcBorders>
              <w:top w:val="single" w:sz="6" w:space="0" w:color="auto"/>
              <w:left w:val="single" w:sz="6" w:space="0" w:color="auto"/>
            </w:tcBorders>
          </w:tcPr>
          <w:p w14:paraId="4167ADBA" w14:textId="4C5DBEAA" w:rsidR="00976305" w:rsidRPr="000F78FC" w:rsidRDefault="00976305" w:rsidP="00976305">
            <w:pPr>
              <w:spacing w:after="0" w:line="240" w:lineRule="auto"/>
              <w:jc w:val="center"/>
              <w:rPr>
                <w:rFonts w:asciiTheme="minorHAnsi" w:hAnsiTheme="minorHAnsi" w:cs="Arial"/>
              </w:rPr>
            </w:pPr>
            <w:r w:rsidRPr="000F78FC">
              <w:rPr>
                <w:rFonts w:asciiTheme="minorHAnsi" w:hAnsiTheme="minorHAnsi" w:cs="Arial"/>
              </w:rPr>
              <w:t>Type of Respondent</w:t>
            </w:r>
          </w:p>
        </w:tc>
        <w:tc>
          <w:tcPr>
            <w:tcW w:w="2700" w:type="dxa"/>
            <w:tcBorders>
              <w:top w:val="single" w:sz="6" w:space="0" w:color="auto"/>
              <w:left w:val="single" w:sz="6" w:space="0" w:color="auto"/>
            </w:tcBorders>
          </w:tcPr>
          <w:p w14:paraId="7B0AC87F" w14:textId="435A941E" w:rsidR="00976305" w:rsidRPr="004D6F39" w:rsidRDefault="00976305" w:rsidP="00976305">
            <w:pPr>
              <w:spacing w:after="0" w:line="240" w:lineRule="auto"/>
              <w:jc w:val="center"/>
            </w:pPr>
            <w:r>
              <w:t>Total Annual Burden Hours</w:t>
            </w:r>
          </w:p>
        </w:tc>
        <w:tc>
          <w:tcPr>
            <w:tcW w:w="3060" w:type="dxa"/>
            <w:tcBorders>
              <w:top w:val="single" w:sz="6" w:space="0" w:color="auto"/>
              <w:left w:val="single" w:sz="6" w:space="0" w:color="auto"/>
              <w:right w:val="single" w:sz="4" w:space="0" w:color="auto"/>
            </w:tcBorders>
          </w:tcPr>
          <w:p w14:paraId="3C0B111C" w14:textId="77777777" w:rsidR="00976305" w:rsidRDefault="00976305" w:rsidP="00976305">
            <w:pPr>
              <w:spacing w:after="0" w:line="240" w:lineRule="auto"/>
              <w:jc w:val="center"/>
            </w:pPr>
            <w:r w:rsidRPr="004D6F39">
              <w:t xml:space="preserve">Hourly </w:t>
            </w:r>
            <w:r>
              <w:t xml:space="preserve">Respondent </w:t>
            </w:r>
          </w:p>
          <w:p w14:paraId="0A1FB771" w14:textId="0F9C23A9" w:rsidR="00976305" w:rsidRPr="004D6F39" w:rsidRDefault="00976305" w:rsidP="00976305">
            <w:pPr>
              <w:spacing w:after="0" w:line="240" w:lineRule="auto"/>
              <w:jc w:val="center"/>
            </w:pPr>
            <w:r w:rsidRPr="004D6F39">
              <w:t>Wage Rate*</w:t>
            </w:r>
          </w:p>
        </w:tc>
        <w:tc>
          <w:tcPr>
            <w:tcW w:w="1980" w:type="dxa"/>
            <w:tcBorders>
              <w:top w:val="single" w:sz="4" w:space="0" w:color="auto"/>
              <w:left w:val="single" w:sz="4" w:space="0" w:color="auto"/>
              <w:bottom w:val="single" w:sz="4" w:space="0" w:color="auto"/>
              <w:right w:val="single" w:sz="4" w:space="0" w:color="auto"/>
            </w:tcBorders>
          </w:tcPr>
          <w:p w14:paraId="7DCD1E1F" w14:textId="7410BE9E" w:rsidR="00976305" w:rsidRPr="004D6F39" w:rsidRDefault="00976305" w:rsidP="00976305">
            <w:pPr>
              <w:spacing w:after="0" w:line="240" w:lineRule="auto"/>
              <w:jc w:val="center"/>
            </w:pPr>
            <w:r w:rsidRPr="004D6F39">
              <w:t>Respondent Cost</w:t>
            </w:r>
          </w:p>
        </w:tc>
      </w:tr>
      <w:tr w:rsidR="00976305" w:rsidRPr="004D6F39" w14:paraId="6DD05FA4" w14:textId="77777777" w:rsidTr="00976305">
        <w:trPr>
          <w:cantSplit/>
          <w:trHeight w:val="372"/>
        </w:trPr>
        <w:tc>
          <w:tcPr>
            <w:tcW w:w="2070" w:type="dxa"/>
            <w:tcBorders>
              <w:top w:val="single" w:sz="6" w:space="0" w:color="auto"/>
              <w:left w:val="single" w:sz="6" w:space="0" w:color="auto"/>
            </w:tcBorders>
          </w:tcPr>
          <w:p w14:paraId="75D147B8" w14:textId="544C8136" w:rsidR="00976305" w:rsidRPr="000F78FC" w:rsidRDefault="00976305" w:rsidP="00976305">
            <w:pPr>
              <w:spacing w:after="0" w:line="240" w:lineRule="auto"/>
              <w:rPr>
                <w:rFonts w:asciiTheme="minorHAnsi" w:hAnsiTheme="minorHAnsi" w:cs="Arial"/>
              </w:rPr>
            </w:pPr>
            <w:r w:rsidRPr="000F78FC">
              <w:rPr>
                <w:rFonts w:asciiTheme="minorHAnsi" w:hAnsiTheme="minorHAnsi" w:cs="Arial"/>
              </w:rPr>
              <w:t xml:space="preserve">Post-Baccalaureate </w:t>
            </w:r>
            <w:r>
              <w:rPr>
                <w:rFonts w:asciiTheme="minorHAnsi" w:hAnsiTheme="minorHAnsi" w:cs="Arial"/>
              </w:rPr>
              <w:t>Candidates</w:t>
            </w:r>
          </w:p>
        </w:tc>
        <w:tc>
          <w:tcPr>
            <w:tcW w:w="2700" w:type="dxa"/>
            <w:tcBorders>
              <w:top w:val="single" w:sz="6" w:space="0" w:color="auto"/>
              <w:left w:val="single" w:sz="6" w:space="0" w:color="auto"/>
            </w:tcBorders>
            <w:vAlign w:val="center"/>
          </w:tcPr>
          <w:p w14:paraId="78B944F1" w14:textId="72F94389" w:rsidR="00976305" w:rsidRPr="004D6F39" w:rsidRDefault="000B3961" w:rsidP="00976305">
            <w:pPr>
              <w:spacing w:after="0" w:line="240" w:lineRule="auto"/>
              <w:jc w:val="center"/>
            </w:pPr>
            <w:r>
              <w:t>25</w:t>
            </w:r>
          </w:p>
        </w:tc>
        <w:tc>
          <w:tcPr>
            <w:tcW w:w="3060" w:type="dxa"/>
            <w:tcBorders>
              <w:top w:val="single" w:sz="6" w:space="0" w:color="auto"/>
              <w:left w:val="single" w:sz="6" w:space="0" w:color="auto"/>
              <w:right w:val="single" w:sz="4" w:space="0" w:color="auto"/>
            </w:tcBorders>
            <w:vAlign w:val="center"/>
          </w:tcPr>
          <w:p w14:paraId="2799B626" w14:textId="416DA464" w:rsidR="00976305" w:rsidRPr="004D6F39" w:rsidRDefault="00976305" w:rsidP="00976305">
            <w:pPr>
              <w:spacing w:after="0" w:line="240" w:lineRule="auto"/>
              <w:jc w:val="center"/>
            </w:pPr>
            <w:r>
              <w:t>$19.18</w:t>
            </w:r>
          </w:p>
        </w:tc>
        <w:tc>
          <w:tcPr>
            <w:tcW w:w="1980" w:type="dxa"/>
            <w:tcBorders>
              <w:top w:val="single" w:sz="4" w:space="0" w:color="auto"/>
              <w:left w:val="single" w:sz="4" w:space="0" w:color="auto"/>
              <w:bottom w:val="single" w:sz="4" w:space="0" w:color="auto"/>
              <w:right w:val="single" w:sz="4" w:space="0" w:color="auto"/>
            </w:tcBorders>
            <w:vAlign w:val="center"/>
          </w:tcPr>
          <w:p w14:paraId="4EED889A" w14:textId="264866DF" w:rsidR="00976305" w:rsidRPr="004D6F39" w:rsidRDefault="00976305" w:rsidP="00976305">
            <w:pPr>
              <w:spacing w:after="0" w:line="240" w:lineRule="auto"/>
              <w:jc w:val="center"/>
            </w:pPr>
            <w:r>
              <w:t>$479.50</w:t>
            </w:r>
          </w:p>
        </w:tc>
      </w:tr>
      <w:tr w:rsidR="00976305" w:rsidRPr="004D6F39" w14:paraId="4F81CCC1" w14:textId="77777777" w:rsidTr="00976305">
        <w:trPr>
          <w:cantSplit/>
          <w:trHeight w:val="372"/>
        </w:trPr>
        <w:tc>
          <w:tcPr>
            <w:tcW w:w="2070" w:type="dxa"/>
            <w:tcBorders>
              <w:top w:val="single" w:sz="6" w:space="0" w:color="auto"/>
              <w:left w:val="single" w:sz="6" w:space="0" w:color="auto"/>
            </w:tcBorders>
          </w:tcPr>
          <w:p w14:paraId="6DF2028C" w14:textId="63F93B9E" w:rsidR="00976305" w:rsidRPr="000F78FC" w:rsidRDefault="00976305" w:rsidP="00976305">
            <w:pPr>
              <w:spacing w:after="0" w:line="240" w:lineRule="auto"/>
              <w:rPr>
                <w:rFonts w:asciiTheme="minorHAnsi" w:hAnsiTheme="minorHAnsi" w:cs="Arial"/>
              </w:rPr>
            </w:pPr>
            <w:r w:rsidRPr="000F78FC">
              <w:rPr>
                <w:rFonts w:asciiTheme="minorHAnsi" w:hAnsiTheme="minorHAnsi" w:cs="Arial"/>
              </w:rPr>
              <w:t>Graduate Students</w:t>
            </w:r>
          </w:p>
        </w:tc>
        <w:tc>
          <w:tcPr>
            <w:tcW w:w="2700" w:type="dxa"/>
            <w:tcBorders>
              <w:top w:val="single" w:sz="6" w:space="0" w:color="auto"/>
              <w:left w:val="single" w:sz="6" w:space="0" w:color="auto"/>
            </w:tcBorders>
            <w:vAlign w:val="center"/>
          </w:tcPr>
          <w:p w14:paraId="7858AB51" w14:textId="60CDC603" w:rsidR="00976305" w:rsidRPr="004D6F39" w:rsidRDefault="000B3961" w:rsidP="00976305">
            <w:pPr>
              <w:spacing w:after="0" w:line="240" w:lineRule="auto"/>
              <w:jc w:val="center"/>
            </w:pPr>
            <w:r>
              <w:t>6</w:t>
            </w:r>
            <w:r w:rsidR="00976305" w:rsidRPr="004D6F39">
              <w:t>0</w:t>
            </w:r>
          </w:p>
        </w:tc>
        <w:tc>
          <w:tcPr>
            <w:tcW w:w="3060" w:type="dxa"/>
            <w:tcBorders>
              <w:top w:val="single" w:sz="6" w:space="0" w:color="auto"/>
              <w:left w:val="single" w:sz="6" w:space="0" w:color="auto"/>
              <w:right w:val="single" w:sz="4" w:space="0" w:color="auto"/>
            </w:tcBorders>
            <w:vAlign w:val="center"/>
          </w:tcPr>
          <w:p w14:paraId="187C26A5" w14:textId="429F4AFC" w:rsidR="00976305" w:rsidRPr="004D6F39" w:rsidRDefault="00976305" w:rsidP="00976305">
            <w:pPr>
              <w:spacing w:after="0" w:line="240" w:lineRule="auto"/>
              <w:jc w:val="center"/>
            </w:pPr>
            <w:r>
              <w:t>$18.13</w:t>
            </w:r>
          </w:p>
        </w:tc>
        <w:tc>
          <w:tcPr>
            <w:tcW w:w="1980" w:type="dxa"/>
            <w:tcBorders>
              <w:top w:val="single" w:sz="4" w:space="0" w:color="auto"/>
              <w:left w:val="single" w:sz="4" w:space="0" w:color="auto"/>
              <w:bottom w:val="single" w:sz="4" w:space="0" w:color="auto"/>
              <w:right w:val="single" w:sz="4" w:space="0" w:color="auto"/>
            </w:tcBorders>
            <w:vAlign w:val="center"/>
          </w:tcPr>
          <w:p w14:paraId="6DE34A66" w14:textId="740C7472" w:rsidR="00976305" w:rsidRPr="004D6F39" w:rsidRDefault="00976305" w:rsidP="00976305">
            <w:pPr>
              <w:spacing w:after="0" w:line="240" w:lineRule="auto"/>
              <w:jc w:val="center"/>
            </w:pPr>
            <w:r>
              <w:t>$1,087.80</w:t>
            </w:r>
          </w:p>
        </w:tc>
      </w:tr>
      <w:tr w:rsidR="00976305" w:rsidRPr="004D6F39" w14:paraId="7D98EACB" w14:textId="77777777" w:rsidTr="00976305">
        <w:trPr>
          <w:cantSplit/>
          <w:trHeight w:val="372"/>
        </w:trPr>
        <w:tc>
          <w:tcPr>
            <w:tcW w:w="2070" w:type="dxa"/>
            <w:tcBorders>
              <w:top w:val="single" w:sz="6" w:space="0" w:color="auto"/>
              <w:left w:val="single" w:sz="6" w:space="0" w:color="auto"/>
              <w:bottom w:val="single" w:sz="6" w:space="0" w:color="auto"/>
            </w:tcBorders>
          </w:tcPr>
          <w:p w14:paraId="4198EC71" w14:textId="3E6EDCD4" w:rsidR="00976305" w:rsidRPr="000F78FC" w:rsidRDefault="00976305" w:rsidP="00976305">
            <w:pPr>
              <w:spacing w:after="0" w:line="240" w:lineRule="auto"/>
              <w:rPr>
                <w:rFonts w:asciiTheme="minorHAnsi" w:hAnsiTheme="minorHAnsi" w:cs="Arial"/>
              </w:rPr>
            </w:pPr>
            <w:r w:rsidRPr="000F78FC">
              <w:rPr>
                <w:rFonts w:asciiTheme="minorHAnsi" w:hAnsiTheme="minorHAnsi" w:cs="Arial"/>
              </w:rPr>
              <w:t>Postdoctoral Candidates</w:t>
            </w:r>
          </w:p>
        </w:tc>
        <w:tc>
          <w:tcPr>
            <w:tcW w:w="2700" w:type="dxa"/>
            <w:tcBorders>
              <w:top w:val="single" w:sz="6" w:space="0" w:color="auto"/>
              <w:left w:val="single" w:sz="6" w:space="0" w:color="auto"/>
              <w:bottom w:val="single" w:sz="6" w:space="0" w:color="auto"/>
            </w:tcBorders>
            <w:vAlign w:val="center"/>
          </w:tcPr>
          <w:p w14:paraId="22B38D35" w14:textId="7544ECCF" w:rsidR="00976305" w:rsidRPr="004D6F39" w:rsidRDefault="000B3961" w:rsidP="00976305">
            <w:pPr>
              <w:spacing w:after="0" w:line="240" w:lineRule="auto"/>
              <w:jc w:val="center"/>
            </w:pPr>
            <w:r>
              <w:t>10</w:t>
            </w:r>
            <w:r w:rsidR="00976305" w:rsidRPr="004D6F39">
              <w:t>0</w:t>
            </w:r>
          </w:p>
        </w:tc>
        <w:tc>
          <w:tcPr>
            <w:tcW w:w="3060" w:type="dxa"/>
            <w:tcBorders>
              <w:top w:val="single" w:sz="6" w:space="0" w:color="auto"/>
              <w:left w:val="single" w:sz="6" w:space="0" w:color="auto"/>
              <w:bottom w:val="single" w:sz="6" w:space="0" w:color="auto"/>
              <w:right w:val="single" w:sz="4" w:space="0" w:color="auto"/>
            </w:tcBorders>
            <w:vAlign w:val="center"/>
          </w:tcPr>
          <w:p w14:paraId="72F3ED2A" w14:textId="1CDC1D85" w:rsidR="00976305" w:rsidRPr="004D6F39" w:rsidRDefault="00976305" w:rsidP="00976305">
            <w:pPr>
              <w:spacing w:after="0" w:line="240" w:lineRule="auto"/>
              <w:jc w:val="center"/>
            </w:pPr>
            <w:r>
              <w:t>$30.99</w:t>
            </w:r>
          </w:p>
        </w:tc>
        <w:tc>
          <w:tcPr>
            <w:tcW w:w="1980" w:type="dxa"/>
            <w:tcBorders>
              <w:top w:val="single" w:sz="4" w:space="0" w:color="auto"/>
              <w:left w:val="single" w:sz="4" w:space="0" w:color="auto"/>
              <w:bottom w:val="single" w:sz="4" w:space="0" w:color="auto"/>
              <w:right w:val="single" w:sz="4" w:space="0" w:color="auto"/>
            </w:tcBorders>
            <w:vAlign w:val="center"/>
          </w:tcPr>
          <w:p w14:paraId="12DE64FD" w14:textId="43654491" w:rsidR="00976305" w:rsidRPr="004D6F39" w:rsidRDefault="00976305" w:rsidP="00976305">
            <w:pPr>
              <w:spacing w:after="0" w:line="240" w:lineRule="auto"/>
              <w:jc w:val="center"/>
            </w:pPr>
            <w:r>
              <w:t>$3,099.00</w:t>
            </w:r>
          </w:p>
        </w:tc>
      </w:tr>
      <w:tr w:rsidR="00976305" w:rsidRPr="004D6F39" w14:paraId="0AE40059" w14:textId="77777777" w:rsidTr="00976305">
        <w:trPr>
          <w:cantSplit/>
          <w:trHeight w:val="372"/>
        </w:trPr>
        <w:tc>
          <w:tcPr>
            <w:tcW w:w="2070" w:type="dxa"/>
            <w:tcBorders>
              <w:top w:val="single" w:sz="6" w:space="0" w:color="auto"/>
              <w:left w:val="single" w:sz="6" w:space="0" w:color="auto"/>
              <w:bottom w:val="single" w:sz="6" w:space="0" w:color="auto"/>
            </w:tcBorders>
          </w:tcPr>
          <w:p w14:paraId="5859A223" w14:textId="5B0BB871" w:rsidR="00976305" w:rsidRPr="000F78FC" w:rsidRDefault="00976305" w:rsidP="00976305">
            <w:pPr>
              <w:spacing w:after="0" w:line="240" w:lineRule="auto"/>
              <w:rPr>
                <w:rFonts w:asciiTheme="minorHAnsi" w:hAnsiTheme="minorHAnsi" w:cs="Arial"/>
              </w:rPr>
            </w:pPr>
            <w:r>
              <w:rPr>
                <w:rFonts w:asciiTheme="minorHAnsi" w:hAnsiTheme="minorHAnsi" w:cs="Arial"/>
              </w:rPr>
              <w:t>PIs, P</w:t>
            </w:r>
            <w:r w:rsidRPr="000F78FC">
              <w:rPr>
                <w:rFonts w:asciiTheme="minorHAnsi" w:hAnsiTheme="minorHAnsi" w:cs="Arial"/>
              </w:rPr>
              <w:t xml:space="preserve">rofessors, </w:t>
            </w:r>
            <w:r>
              <w:rPr>
                <w:rFonts w:asciiTheme="minorHAnsi" w:hAnsiTheme="minorHAnsi" w:cs="Arial"/>
              </w:rPr>
              <w:t>and S</w:t>
            </w:r>
            <w:r w:rsidRPr="000F78FC">
              <w:rPr>
                <w:rFonts w:asciiTheme="minorHAnsi" w:hAnsiTheme="minorHAnsi" w:cs="Arial"/>
              </w:rPr>
              <w:t>upervisors</w:t>
            </w:r>
            <w:r>
              <w:rPr>
                <w:rFonts w:asciiTheme="minorHAnsi" w:hAnsiTheme="minorHAnsi" w:cs="Arial"/>
              </w:rPr>
              <w:t>**</w:t>
            </w:r>
          </w:p>
        </w:tc>
        <w:tc>
          <w:tcPr>
            <w:tcW w:w="2700" w:type="dxa"/>
            <w:tcBorders>
              <w:top w:val="single" w:sz="6" w:space="0" w:color="auto"/>
              <w:left w:val="single" w:sz="6" w:space="0" w:color="auto"/>
              <w:bottom w:val="single" w:sz="6" w:space="0" w:color="auto"/>
            </w:tcBorders>
            <w:vAlign w:val="center"/>
          </w:tcPr>
          <w:p w14:paraId="01ADED2A" w14:textId="33EB4B14" w:rsidR="00976305" w:rsidRPr="004D6F39" w:rsidRDefault="000B3961" w:rsidP="00976305">
            <w:pPr>
              <w:spacing w:after="0" w:line="240" w:lineRule="auto"/>
              <w:jc w:val="center"/>
            </w:pPr>
            <w:r>
              <w:t>12</w:t>
            </w:r>
            <w:r w:rsidR="00976305" w:rsidRPr="004D6F39">
              <w:t>0</w:t>
            </w:r>
          </w:p>
        </w:tc>
        <w:tc>
          <w:tcPr>
            <w:tcW w:w="3060" w:type="dxa"/>
            <w:tcBorders>
              <w:top w:val="single" w:sz="6" w:space="0" w:color="auto"/>
              <w:left w:val="single" w:sz="6" w:space="0" w:color="auto"/>
              <w:bottom w:val="single" w:sz="6" w:space="0" w:color="auto"/>
              <w:right w:val="single" w:sz="4" w:space="0" w:color="auto"/>
            </w:tcBorders>
            <w:vAlign w:val="center"/>
          </w:tcPr>
          <w:p w14:paraId="1C993080" w14:textId="1F0452EF" w:rsidR="00976305" w:rsidRPr="004D6F39" w:rsidRDefault="00976305" w:rsidP="00976305">
            <w:pPr>
              <w:spacing w:after="0" w:line="240" w:lineRule="auto"/>
              <w:jc w:val="center"/>
            </w:pPr>
            <w:r>
              <w:t>$46.19</w:t>
            </w:r>
          </w:p>
        </w:tc>
        <w:tc>
          <w:tcPr>
            <w:tcW w:w="1980" w:type="dxa"/>
            <w:tcBorders>
              <w:top w:val="single" w:sz="4" w:space="0" w:color="auto"/>
              <w:left w:val="single" w:sz="4" w:space="0" w:color="auto"/>
              <w:bottom w:val="single" w:sz="4" w:space="0" w:color="auto"/>
              <w:right w:val="single" w:sz="4" w:space="0" w:color="auto"/>
            </w:tcBorders>
            <w:vAlign w:val="center"/>
          </w:tcPr>
          <w:p w14:paraId="3BE66742" w14:textId="03EE4FA7" w:rsidR="00976305" w:rsidRPr="004D6F39" w:rsidRDefault="00976305" w:rsidP="00976305">
            <w:pPr>
              <w:spacing w:after="0" w:line="240" w:lineRule="auto"/>
              <w:jc w:val="center"/>
            </w:pPr>
            <w:r>
              <w:t>$5,542.80</w:t>
            </w:r>
          </w:p>
        </w:tc>
      </w:tr>
      <w:tr w:rsidR="00976305" w:rsidRPr="004D6F39" w14:paraId="0ABFB6F8" w14:textId="77777777" w:rsidTr="00976305">
        <w:trPr>
          <w:cantSplit/>
          <w:trHeight w:val="372"/>
        </w:trPr>
        <w:tc>
          <w:tcPr>
            <w:tcW w:w="2070" w:type="dxa"/>
            <w:tcBorders>
              <w:top w:val="single" w:sz="6" w:space="0" w:color="auto"/>
              <w:left w:val="single" w:sz="6" w:space="0" w:color="auto"/>
              <w:bottom w:val="single" w:sz="4" w:space="0" w:color="auto"/>
            </w:tcBorders>
            <w:vAlign w:val="center"/>
          </w:tcPr>
          <w:p w14:paraId="5B4B1654" w14:textId="18080021" w:rsidR="00976305" w:rsidRDefault="00976305" w:rsidP="00976305">
            <w:pPr>
              <w:spacing w:after="0" w:line="240" w:lineRule="auto"/>
              <w:jc w:val="center"/>
              <w:rPr>
                <w:rFonts w:asciiTheme="minorHAnsi" w:hAnsiTheme="minorHAnsi" w:cs="Arial"/>
              </w:rPr>
            </w:pPr>
            <w:r>
              <w:t>Total</w:t>
            </w:r>
          </w:p>
        </w:tc>
        <w:tc>
          <w:tcPr>
            <w:tcW w:w="2700" w:type="dxa"/>
            <w:tcBorders>
              <w:top w:val="single" w:sz="6" w:space="0" w:color="auto"/>
              <w:left w:val="single" w:sz="6" w:space="0" w:color="auto"/>
              <w:bottom w:val="single" w:sz="4" w:space="0" w:color="auto"/>
            </w:tcBorders>
            <w:vAlign w:val="center"/>
          </w:tcPr>
          <w:p w14:paraId="6AA471CD" w14:textId="5D167D40" w:rsidR="00976305" w:rsidRPr="004D6F39" w:rsidRDefault="00976305" w:rsidP="00976305">
            <w:pPr>
              <w:spacing w:after="0" w:line="240" w:lineRule="auto"/>
              <w:jc w:val="center"/>
            </w:pPr>
            <w:r>
              <w:t>305</w:t>
            </w:r>
          </w:p>
        </w:tc>
        <w:tc>
          <w:tcPr>
            <w:tcW w:w="3060" w:type="dxa"/>
            <w:tcBorders>
              <w:top w:val="single" w:sz="6" w:space="0" w:color="auto"/>
              <w:left w:val="single" w:sz="6" w:space="0" w:color="auto"/>
              <w:bottom w:val="single" w:sz="4" w:space="0" w:color="auto"/>
              <w:right w:val="single" w:sz="4" w:space="0" w:color="auto"/>
            </w:tcBorders>
            <w:vAlign w:val="center"/>
          </w:tcPr>
          <w:p w14:paraId="49D3F51C" w14:textId="77777777" w:rsidR="00976305" w:rsidRPr="004D6F39" w:rsidRDefault="00976305" w:rsidP="00976305">
            <w:pPr>
              <w:spacing w:after="0" w:line="240" w:lineRule="auto"/>
              <w:jc w:val="center"/>
            </w:pPr>
          </w:p>
        </w:tc>
        <w:tc>
          <w:tcPr>
            <w:tcW w:w="1980" w:type="dxa"/>
            <w:tcBorders>
              <w:top w:val="single" w:sz="4" w:space="0" w:color="auto"/>
              <w:left w:val="single" w:sz="4" w:space="0" w:color="auto"/>
              <w:bottom w:val="single" w:sz="4" w:space="0" w:color="auto"/>
              <w:right w:val="single" w:sz="4" w:space="0" w:color="auto"/>
            </w:tcBorders>
            <w:vAlign w:val="center"/>
          </w:tcPr>
          <w:p w14:paraId="636F1F11" w14:textId="68726F51" w:rsidR="00976305" w:rsidRPr="004D6F39" w:rsidRDefault="00976305" w:rsidP="00976305">
            <w:pPr>
              <w:spacing w:after="0" w:line="240" w:lineRule="auto"/>
              <w:jc w:val="center"/>
            </w:pPr>
            <w:r>
              <w:t>$10,209.10</w:t>
            </w:r>
          </w:p>
        </w:tc>
      </w:tr>
    </w:tbl>
    <w:p w14:paraId="6110E6DF" w14:textId="50650988" w:rsidR="00F826B7" w:rsidRDefault="00F826B7" w:rsidP="00F826B7">
      <w:pPr>
        <w:autoSpaceDE w:val="0"/>
        <w:autoSpaceDN w:val="0"/>
        <w:adjustRightInd w:val="0"/>
        <w:spacing w:after="0" w:line="240" w:lineRule="auto"/>
      </w:pPr>
      <w:r>
        <w:t>*</w:t>
      </w:r>
      <w:r w:rsidRPr="00B51624">
        <w:t xml:space="preserve">Hourly wage rates for </w:t>
      </w:r>
      <w:r w:rsidRPr="00F826B7">
        <w:rPr>
          <w:rFonts w:asciiTheme="minorHAnsi" w:hAnsiTheme="minorHAnsi" w:cs="Arial"/>
        </w:rPr>
        <w:t xml:space="preserve">post-baccalaureate, graduate, and </w:t>
      </w:r>
      <w:r>
        <w:t xml:space="preserve">postdoctoral candidates </w:t>
      </w:r>
      <w:r w:rsidRPr="00B51624">
        <w:t xml:space="preserve">are based on the NCI Cancer Research Training (CRTA) stipend charts </w:t>
      </w:r>
      <w:r>
        <w:t xml:space="preserve">in Appendix 1 </w:t>
      </w:r>
      <w:r w:rsidRPr="00B51624">
        <w:t>(</w:t>
      </w:r>
      <w:hyperlink r:id="rId16" w:history="1">
        <w:r w:rsidRPr="00987A37">
          <w:rPr>
            <w:rStyle w:val="Hyperlink"/>
          </w:rPr>
          <w:t>https://www.cancer.gov/grants-training/training/at-nci/crta.pdf</w:t>
        </w:r>
      </w:hyperlink>
      <w:r>
        <w:t xml:space="preserve">).  The average of the lowest and highest stipend levels was calculated and then </w:t>
      </w:r>
      <w:hyperlink r:id="rId17" w:history="1">
        <w:r w:rsidRPr="00F826B7">
          <w:rPr>
            <w:rStyle w:val="Hyperlink"/>
          </w:rPr>
          <w:t>calculators.org</w:t>
        </w:r>
      </w:hyperlink>
      <w:r>
        <w:t xml:space="preserve"> was used to calculate an annual salary into an hourly rate.  </w:t>
      </w:r>
    </w:p>
    <w:p w14:paraId="6075D0AD" w14:textId="77777777" w:rsidR="00F826B7" w:rsidRPr="00F826B7" w:rsidRDefault="00F826B7" w:rsidP="00C05041">
      <w:pPr>
        <w:pStyle w:val="ListParagraph"/>
        <w:numPr>
          <w:ilvl w:val="0"/>
          <w:numId w:val="15"/>
        </w:numPr>
        <w:autoSpaceDE w:val="0"/>
        <w:autoSpaceDN w:val="0"/>
        <w:adjustRightInd w:val="0"/>
        <w:spacing w:after="0" w:line="240" w:lineRule="auto"/>
        <w:ind w:left="900"/>
      </w:pPr>
      <w:r w:rsidRPr="00F826B7">
        <w:t>Post</w:t>
      </w:r>
      <w:r w:rsidRPr="00F826B7">
        <w:rPr>
          <w:rFonts w:asciiTheme="minorHAnsi" w:hAnsiTheme="minorHAnsi" w:cs="Arial"/>
        </w:rPr>
        <w:t>-baccalaureate and Masters (Category 2 and 3) - $30,400+$47,600/2=$39,000/year or $19.18/hour.</w:t>
      </w:r>
    </w:p>
    <w:p w14:paraId="22D36A9F" w14:textId="77777777" w:rsidR="00F826B7" w:rsidRPr="00F826B7" w:rsidRDefault="00F826B7" w:rsidP="00C05041">
      <w:pPr>
        <w:pStyle w:val="ListParagraph"/>
        <w:numPr>
          <w:ilvl w:val="0"/>
          <w:numId w:val="15"/>
        </w:numPr>
        <w:autoSpaceDE w:val="0"/>
        <w:autoSpaceDN w:val="0"/>
        <w:adjustRightInd w:val="0"/>
        <w:spacing w:after="0" w:line="240" w:lineRule="auto"/>
        <w:ind w:left="900"/>
      </w:pPr>
      <w:r w:rsidRPr="00F826B7">
        <w:rPr>
          <w:rFonts w:asciiTheme="minorHAnsi" w:hAnsiTheme="minorHAnsi" w:cs="Arial"/>
        </w:rPr>
        <w:t>Graduate (Category 4) - $36,200+$39,200/2=$37,700/year or $18.13/hour.</w:t>
      </w:r>
    </w:p>
    <w:p w14:paraId="23AE0D36" w14:textId="4439ABF6" w:rsidR="00F826B7" w:rsidRDefault="00F826B7" w:rsidP="00C05041">
      <w:pPr>
        <w:pStyle w:val="ListParagraph"/>
        <w:numPr>
          <w:ilvl w:val="0"/>
          <w:numId w:val="15"/>
        </w:numPr>
        <w:autoSpaceDE w:val="0"/>
        <w:autoSpaceDN w:val="0"/>
        <w:adjustRightInd w:val="0"/>
        <w:spacing w:after="0" w:line="240" w:lineRule="auto"/>
        <w:ind w:left="900"/>
      </w:pPr>
      <w:r w:rsidRPr="00F826B7">
        <w:t>Postdoctoral candidates (Category 5 for all Divisions) - $48,900+$90,000/2=$64,450/</w:t>
      </w:r>
      <w:r w:rsidRPr="00F826B7">
        <w:rPr>
          <w:rFonts w:asciiTheme="minorHAnsi" w:hAnsiTheme="minorHAnsi" w:cs="Arial"/>
        </w:rPr>
        <w:t xml:space="preserve"> year or $30.99/</w:t>
      </w:r>
      <w:r w:rsidRPr="00F826B7">
        <w:t xml:space="preserve">hour.  </w:t>
      </w:r>
    </w:p>
    <w:p w14:paraId="7386D06F" w14:textId="7B61078F" w:rsidR="00DA38C6" w:rsidRPr="00F826B7" w:rsidRDefault="00DA38C6" w:rsidP="00DA38C6">
      <w:pPr>
        <w:autoSpaceDE w:val="0"/>
        <w:autoSpaceDN w:val="0"/>
        <w:adjustRightInd w:val="0"/>
        <w:spacing w:after="0" w:line="240" w:lineRule="auto"/>
      </w:pPr>
      <w:r>
        <w:t xml:space="preserve">**The hourly wage rate for the PIs, professors, and supervisors were calculated using the BLS wage rate for Medical Scientists (19-1042), </w:t>
      </w:r>
      <w:r w:rsidRPr="00DA38C6">
        <w:t>https://www.bls.gov/oes/current/oes_nat.htm</w:t>
      </w:r>
      <w:r>
        <w:t>.</w:t>
      </w:r>
    </w:p>
    <w:p w14:paraId="7C564DE0" w14:textId="0B84E744" w:rsidR="004D6F39" w:rsidRPr="004D6F39" w:rsidRDefault="004D6F39" w:rsidP="00F826B7">
      <w:pPr>
        <w:spacing w:after="20"/>
      </w:pPr>
    </w:p>
    <w:p w14:paraId="5959FADE" w14:textId="77777777" w:rsidR="00FF72FC" w:rsidRPr="00E35DD1" w:rsidRDefault="00FF72FC" w:rsidP="000F78FC">
      <w:pPr>
        <w:spacing w:after="0" w:line="240" w:lineRule="auto"/>
        <w:rPr>
          <w:b/>
        </w:rPr>
      </w:pPr>
      <w:r w:rsidRPr="00E35DD1">
        <w:rPr>
          <w:b/>
        </w:rPr>
        <w:t>A.13</w:t>
      </w:r>
      <w:r w:rsidRPr="00E35DD1">
        <w:rPr>
          <w:b/>
        </w:rPr>
        <w:tab/>
        <w:t>Estimate of Other Total Annual Cost Burden to Respondents or Record Keepers</w:t>
      </w:r>
    </w:p>
    <w:p w14:paraId="381A56F8" w14:textId="3FC77AEC" w:rsidR="00206918" w:rsidRPr="004D6F39" w:rsidRDefault="00206918" w:rsidP="004D6F39">
      <w:pPr>
        <w:spacing w:after="0" w:line="240" w:lineRule="auto"/>
        <w:rPr>
          <w:rFonts w:asciiTheme="minorHAnsi" w:hAnsiTheme="minorHAnsi" w:cs="Arial"/>
        </w:rPr>
      </w:pPr>
      <w:r w:rsidRPr="004D6F39">
        <w:rPr>
          <w:rFonts w:asciiTheme="minorHAnsi" w:hAnsiTheme="minorHAnsi" w:cs="Arial"/>
        </w:rPr>
        <w:t>There are no capital costs, operating costs, or maintenance costs to report.</w:t>
      </w:r>
    </w:p>
    <w:p w14:paraId="1C19513F" w14:textId="77777777" w:rsidR="00A73F06" w:rsidRPr="004D6F39" w:rsidRDefault="00A73F06" w:rsidP="004D6F39">
      <w:pPr>
        <w:spacing w:after="0" w:line="240" w:lineRule="auto"/>
        <w:rPr>
          <w:rFonts w:asciiTheme="minorHAnsi" w:hAnsiTheme="minorHAnsi"/>
        </w:rPr>
      </w:pPr>
    </w:p>
    <w:p w14:paraId="6E02F3B4" w14:textId="77777777" w:rsidR="00FF72FC" w:rsidRPr="007E6F9C" w:rsidRDefault="00FF72FC" w:rsidP="000F78FC">
      <w:pPr>
        <w:spacing w:after="0" w:line="240" w:lineRule="auto"/>
      </w:pPr>
      <w:r w:rsidRPr="000F78FC">
        <w:rPr>
          <w:b/>
        </w:rPr>
        <w:t>A.14</w:t>
      </w:r>
      <w:r w:rsidRPr="000F78FC">
        <w:rPr>
          <w:b/>
        </w:rPr>
        <w:tab/>
        <w:t xml:space="preserve">Annualized Cost to the Federal Government  </w:t>
      </w:r>
    </w:p>
    <w:p w14:paraId="1678EB14" w14:textId="4D9B3024" w:rsidR="00A85FAC" w:rsidRDefault="00A85FAC" w:rsidP="006610B1">
      <w:pPr>
        <w:spacing w:after="0" w:line="240" w:lineRule="auto"/>
      </w:pPr>
      <w:r w:rsidRPr="00A85FAC">
        <w:t xml:space="preserve">The </w:t>
      </w:r>
      <w:r w:rsidRPr="00987A37">
        <w:t xml:space="preserve">annualized cost to the Federal Government for the proposed data collection effort is estimated to be approximately </w:t>
      </w:r>
      <w:r w:rsidR="00987A37" w:rsidRPr="00987A37">
        <w:t>$</w:t>
      </w:r>
      <w:r w:rsidR="009B033F">
        <w:t>188,673</w:t>
      </w:r>
      <w:r w:rsidR="002F2543">
        <w:t>.40</w:t>
      </w:r>
      <w:r w:rsidR="00F40CE3">
        <w:t xml:space="preserve"> (Table A.14-1)</w:t>
      </w:r>
      <w:r w:rsidRPr="00987A37">
        <w:t>.</w:t>
      </w:r>
      <w:r w:rsidRPr="00A85FAC">
        <w:t xml:space="preserve"> </w:t>
      </w:r>
      <w:r w:rsidR="002F2543">
        <w:t>The Federal oversight amounts to $3</w:t>
      </w:r>
      <w:r w:rsidR="009B033F">
        <w:t>8</w:t>
      </w:r>
      <w:r w:rsidR="002F2543">
        <w:t>,</w:t>
      </w:r>
      <w:r w:rsidR="009B033F">
        <w:t>673</w:t>
      </w:r>
      <w:r w:rsidR="002F2543">
        <w:t>.40 and the contractor costs are $150,000.</w:t>
      </w:r>
    </w:p>
    <w:p w14:paraId="0C01F769" w14:textId="77777777" w:rsidR="0016469E" w:rsidRDefault="0016469E" w:rsidP="006610B1">
      <w:pPr>
        <w:spacing w:after="0" w:line="240" w:lineRule="auto"/>
      </w:pPr>
    </w:p>
    <w:p w14:paraId="1DEE70A6" w14:textId="08A7AEE3" w:rsidR="009C35FE" w:rsidRPr="0016469E" w:rsidRDefault="009C35FE" w:rsidP="000F78FC">
      <w:pPr>
        <w:spacing w:after="0" w:line="240" w:lineRule="auto"/>
        <w:jc w:val="center"/>
      </w:pPr>
      <w:r w:rsidRPr="0016469E">
        <w:t>A.14-1 Annualized Cost to the Federal Government</w:t>
      </w:r>
    </w:p>
    <w:p w14:paraId="57599BCC" w14:textId="77777777" w:rsidR="009C35FE" w:rsidRPr="003E5C04" w:rsidRDefault="009C35FE" w:rsidP="006610B1">
      <w:pPr>
        <w:spacing w:after="0" w:line="240" w:lineRule="auto"/>
      </w:pPr>
    </w:p>
    <w:tbl>
      <w:tblPr>
        <w:tblW w:w="9540" w:type="dxa"/>
        <w:tblInd w:w="-10" w:type="dxa"/>
        <w:tblCellMar>
          <w:left w:w="0" w:type="dxa"/>
          <w:right w:w="0" w:type="dxa"/>
        </w:tblCellMar>
        <w:tblLook w:val="04A0" w:firstRow="1" w:lastRow="0" w:firstColumn="1" w:lastColumn="0" w:noHBand="0" w:noVBand="1"/>
      </w:tblPr>
      <w:tblGrid>
        <w:gridCol w:w="2278"/>
        <w:gridCol w:w="1213"/>
        <w:gridCol w:w="1260"/>
        <w:gridCol w:w="1363"/>
        <w:gridCol w:w="1356"/>
        <w:gridCol w:w="2070"/>
      </w:tblGrid>
      <w:tr w:rsidR="003E5C04" w:rsidRPr="006610B1" w14:paraId="60C5E53B" w14:textId="77777777" w:rsidTr="000F78FC">
        <w:trPr>
          <w:trHeight w:val="619"/>
        </w:trPr>
        <w:tc>
          <w:tcPr>
            <w:tcW w:w="227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13D25A4" w14:textId="48944630" w:rsidR="003E5C04" w:rsidRPr="006610B1" w:rsidRDefault="003E5C04" w:rsidP="000F78FC">
            <w:pPr>
              <w:spacing w:after="0" w:line="240" w:lineRule="auto"/>
              <w:jc w:val="center"/>
              <w:rPr>
                <w:rFonts w:asciiTheme="minorHAnsi" w:hAnsiTheme="minorHAnsi"/>
                <w:b/>
                <w:bCs/>
                <w:color w:val="000000"/>
              </w:rPr>
            </w:pPr>
            <w:r w:rsidRPr="006610B1">
              <w:rPr>
                <w:rFonts w:asciiTheme="minorHAnsi" w:hAnsiTheme="minorHAnsi"/>
                <w:b/>
                <w:bCs/>
                <w:color w:val="000000"/>
              </w:rPr>
              <w:t>Staff</w:t>
            </w:r>
          </w:p>
        </w:tc>
        <w:tc>
          <w:tcPr>
            <w:tcW w:w="1213" w:type="dxa"/>
            <w:tcBorders>
              <w:top w:val="single" w:sz="8" w:space="0" w:color="auto"/>
              <w:left w:val="nil"/>
              <w:bottom w:val="single" w:sz="8" w:space="0" w:color="auto"/>
              <w:right w:val="single" w:sz="8" w:space="0" w:color="auto"/>
            </w:tcBorders>
            <w:shd w:val="clear" w:color="auto" w:fill="auto"/>
            <w:vAlign w:val="center"/>
          </w:tcPr>
          <w:p w14:paraId="7C790B97" w14:textId="77777777" w:rsidR="003E5C04" w:rsidRPr="006610B1" w:rsidRDefault="003E5C04" w:rsidP="000F78FC">
            <w:pPr>
              <w:spacing w:after="0" w:line="240" w:lineRule="auto"/>
              <w:jc w:val="center"/>
              <w:rPr>
                <w:rFonts w:asciiTheme="minorHAnsi" w:hAnsiTheme="minorHAnsi"/>
                <w:b/>
                <w:bCs/>
                <w:color w:val="000000"/>
              </w:rPr>
            </w:pPr>
            <w:r w:rsidRPr="006610B1">
              <w:rPr>
                <w:rFonts w:asciiTheme="minorHAnsi" w:hAnsiTheme="minorHAns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BE8921" w14:textId="0A9130E7" w:rsidR="003E5C04" w:rsidRPr="006610B1" w:rsidRDefault="003E5C04" w:rsidP="000F78FC">
            <w:pPr>
              <w:spacing w:after="0" w:line="240" w:lineRule="auto"/>
              <w:jc w:val="center"/>
              <w:rPr>
                <w:rFonts w:asciiTheme="minorHAnsi" w:hAnsiTheme="minorHAnsi"/>
                <w:b/>
                <w:bCs/>
              </w:rPr>
            </w:pPr>
            <w:r w:rsidRPr="006610B1">
              <w:rPr>
                <w:rFonts w:asciiTheme="minorHAnsi" w:hAnsiTheme="minorHAnsi"/>
                <w:b/>
                <w:bCs/>
              </w:rPr>
              <w:t>Salary</w:t>
            </w:r>
            <w:r w:rsidR="00B341C3">
              <w:rPr>
                <w:rFonts w:asciiTheme="minorHAnsi" w:hAnsiTheme="minorHAnsi"/>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9F98C6" w14:textId="77777777" w:rsidR="003E5C04" w:rsidRPr="006610B1" w:rsidRDefault="003E5C04" w:rsidP="000F78FC">
            <w:pPr>
              <w:spacing w:after="0" w:line="240" w:lineRule="auto"/>
              <w:jc w:val="center"/>
              <w:rPr>
                <w:rFonts w:asciiTheme="minorHAnsi" w:hAnsiTheme="minorHAnsi"/>
                <w:b/>
                <w:bCs/>
              </w:rPr>
            </w:pPr>
            <w:r w:rsidRPr="006610B1">
              <w:rPr>
                <w:rFonts w:asciiTheme="minorHAnsi" w:hAnsiTheme="minorHAnsi"/>
                <w:b/>
                <w:bCs/>
              </w:rPr>
              <w:t>% of Effort</w:t>
            </w:r>
          </w:p>
        </w:tc>
        <w:tc>
          <w:tcPr>
            <w:tcW w:w="1356" w:type="dxa"/>
            <w:tcBorders>
              <w:top w:val="single" w:sz="8" w:space="0" w:color="auto"/>
              <w:left w:val="nil"/>
              <w:bottom w:val="single" w:sz="8" w:space="0" w:color="auto"/>
              <w:right w:val="single" w:sz="8" w:space="0" w:color="auto"/>
            </w:tcBorders>
            <w:shd w:val="clear" w:color="auto" w:fill="auto"/>
            <w:vAlign w:val="center"/>
          </w:tcPr>
          <w:p w14:paraId="37E7148A" w14:textId="77777777" w:rsidR="00E62B8C" w:rsidRDefault="003E5C04" w:rsidP="000F78FC">
            <w:pPr>
              <w:spacing w:after="0" w:line="240" w:lineRule="auto"/>
              <w:jc w:val="center"/>
              <w:rPr>
                <w:rFonts w:asciiTheme="minorHAnsi" w:hAnsiTheme="minorHAnsi"/>
                <w:b/>
                <w:bCs/>
              </w:rPr>
            </w:pPr>
            <w:r w:rsidRPr="006610B1">
              <w:rPr>
                <w:rFonts w:asciiTheme="minorHAnsi" w:hAnsiTheme="minorHAnsi"/>
                <w:b/>
                <w:bCs/>
              </w:rPr>
              <w:t xml:space="preserve">Fringe </w:t>
            </w:r>
          </w:p>
          <w:p w14:paraId="27B498FB" w14:textId="20AD6ACE" w:rsidR="003E5C04" w:rsidRPr="006610B1" w:rsidRDefault="003E5C04" w:rsidP="000F78FC">
            <w:pPr>
              <w:spacing w:after="0" w:line="240" w:lineRule="auto"/>
              <w:jc w:val="center"/>
              <w:rPr>
                <w:rFonts w:asciiTheme="minorHAnsi" w:hAnsiTheme="minorHAnsi"/>
                <w:b/>
                <w:bCs/>
              </w:rPr>
            </w:pPr>
            <w:r w:rsidRPr="006610B1">
              <w:rPr>
                <w:rFonts w:asciiTheme="minorHAnsi" w:hAnsiTheme="minorHAnsi"/>
                <w:b/>
                <w:bCs/>
              </w:rPr>
              <w:t>(if applicable)</w:t>
            </w:r>
          </w:p>
        </w:tc>
        <w:tc>
          <w:tcPr>
            <w:tcW w:w="2070" w:type="dxa"/>
            <w:tcBorders>
              <w:top w:val="single" w:sz="8" w:space="0" w:color="auto"/>
              <w:left w:val="nil"/>
              <w:bottom w:val="single" w:sz="8" w:space="0" w:color="auto"/>
              <w:right w:val="single" w:sz="8" w:space="0" w:color="auto"/>
            </w:tcBorders>
            <w:shd w:val="clear" w:color="auto" w:fill="auto"/>
            <w:vAlign w:val="center"/>
          </w:tcPr>
          <w:p w14:paraId="565D9FBC" w14:textId="77777777" w:rsidR="003E5C04" w:rsidRPr="006610B1" w:rsidRDefault="003E5C04" w:rsidP="000F78FC">
            <w:pPr>
              <w:spacing w:after="0" w:line="240" w:lineRule="auto"/>
              <w:jc w:val="center"/>
              <w:rPr>
                <w:rFonts w:asciiTheme="minorHAnsi" w:hAnsiTheme="minorHAnsi"/>
                <w:b/>
                <w:bCs/>
              </w:rPr>
            </w:pPr>
            <w:r w:rsidRPr="006610B1">
              <w:rPr>
                <w:rFonts w:asciiTheme="minorHAnsi" w:hAnsiTheme="minorHAnsi"/>
                <w:b/>
                <w:bCs/>
              </w:rPr>
              <w:t>Total Cost to Gov’t</w:t>
            </w:r>
          </w:p>
        </w:tc>
      </w:tr>
      <w:tr w:rsidR="003E5C04" w:rsidRPr="006610B1" w14:paraId="503E9C39"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F804E4" w14:textId="77777777" w:rsidR="003E5C04" w:rsidRPr="006610B1" w:rsidRDefault="003E5C04" w:rsidP="000F78FC">
            <w:pPr>
              <w:spacing w:after="0" w:line="240" w:lineRule="auto"/>
              <w:rPr>
                <w:rFonts w:asciiTheme="minorHAnsi" w:hAnsiTheme="minorHAnsi"/>
                <w:b/>
                <w:color w:val="000000"/>
                <w:highlight w:val="yellow"/>
              </w:rPr>
            </w:pPr>
            <w:r w:rsidRPr="006610B1">
              <w:rPr>
                <w:rFonts w:asciiTheme="minorHAnsi" w:hAnsiTheme="minorHAnsi"/>
                <w:b/>
                <w:color w:val="000000"/>
              </w:rPr>
              <w:t>Federal Oversight</w:t>
            </w:r>
          </w:p>
        </w:tc>
        <w:tc>
          <w:tcPr>
            <w:tcW w:w="1213" w:type="dxa"/>
            <w:tcBorders>
              <w:top w:val="nil"/>
              <w:left w:val="nil"/>
              <w:bottom w:val="single" w:sz="8" w:space="0" w:color="auto"/>
              <w:right w:val="single" w:sz="8" w:space="0" w:color="auto"/>
            </w:tcBorders>
          </w:tcPr>
          <w:p w14:paraId="1FE06D5B" w14:textId="77777777" w:rsidR="003E5C04" w:rsidRPr="006610B1" w:rsidRDefault="003E5C04" w:rsidP="000F78FC">
            <w:pPr>
              <w:spacing w:after="0" w:line="240" w:lineRule="auto"/>
              <w:jc w:val="right"/>
              <w:rPr>
                <w:rFonts w:asciiTheme="minorHAnsi" w:hAnsiTheme="minorHAns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CFFD51"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3614A5"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shd w:val="clear" w:color="auto" w:fill="BFBFBF"/>
          </w:tcPr>
          <w:p w14:paraId="5AC2E079"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012A5655" w14:textId="77777777" w:rsidR="003E5C04" w:rsidRPr="006610B1" w:rsidRDefault="003E5C04" w:rsidP="000F78FC">
            <w:pPr>
              <w:spacing w:after="0" w:line="240" w:lineRule="auto"/>
              <w:rPr>
                <w:rFonts w:asciiTheme="minorHAnsi" w:hAnsiTheme="minorHAnsi"/>
              </w:rPr>
            </w:pPr>
          </w:p>
        </w:tc>
      </w:tr>
      <w:tr w:rsidR="003E5C04" w:rsidRPr="006610B1" w14:paraId="57AF20A1"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FC0A08" w14:textId="683AF4FA" w:rsidR="003E5C04" w:rsidRPr="006610B1" w:rsidRDefault="00D81EE6" w:rsidP="000F78FC">
            <w:pPr>
              <w:spacing w:after="0" w:line="240" w:lineRule="auto"/>
              <w:rPr>
                <w:rFonts w:asciiTheme="minorHAnsi" w:hAnsiTheme="minorHAnsi"/>
              </w:rPr>
            </w:pPr>
            <w:r w:rsidRPr="006610B1">
              <w:rPr>
                <w:rFonts w:asciiTheme="minorHAnsi" w:hAnsiTheme="minorHAnsi"/>
              </w:rPr>
              <w:t>HSA</w:t>
            </w:r>
          </w:p>
        </w:tc>
        <w:tc>
          <w:tcPr>
            <w:tcW w:w="1213" w:type="dxa"/>
            <w:tcBorders>
              <w:top w:val="nil"/>
              <w:left w:val="nil"/>
              <w:bottom w:val="single" w:sz="8" w:space="0" w:color="auto"/>
              <w:right w:val="single" w:sz="8" w:space="0" w:color="auto"/>
            </w:tcBorders>
          </w:tcPr>
          <w:p w14:paraId="3C19933F" w14:textId="49817876" w:rsidR="003E5C04" w:rsidRPr="006610B1" w:rsidRDefault="00987A37" w:rsidP="000F78FC">
            <w:pPr>
              <w:spacing w:after="0" w:line="240" w:lineRule="auto"/>
              <w:jc w:val="center"/>
              <w:rPr>
                <w:rFonts w:asciiTheme="minorHAnsi" w:hAnsiTheme="minorHAnsi"/>
              </w:rPr>
            </w:pPr>
            <w:r>
              <w:rPr>
                <w:rFonts w:asciiTheme="minorHAnsi" w:hAnsiTheme="minorHAnsi"/>
              </w:rPr>
              <w:t>14-1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32B686" w14:textId="6BF8939A" w:rsidR="003E5C04" w:rsidRPr="006610B1" w:rsidRDefault="002F2543" w:rsidP="000F78FC">
            <w:pPr>
              <w:spacing w:after="0" w:line="240" w:lineRule="auto"/>
              <w:jc w:val="center"/>
              <w:rPr>
                <w:rFonts w:asciiTheme="minorHAnsi" w:hAnsiTheme="minorHAnsi"/>
              </w:rPr>
            </w:pPr>
            <w:r>
              <w:rPr>
                <w:rFonts w:asciiTheme="minorHAnsi" w:hAnsiTheme="minorHAnsi"/>
              </w:rPr>
              <w:t>$</w:t>
            </w:r>
            <w:r w:rsidR="00987A37">
              <w:rPr>
                <w:rFonts w:asciiTheme="minorHAnsi" w:hAnsiTheme="minorHAnsi"/>
              </w:rPr>
              <w:t>114</w:t>
            </w:r>
            <w:r>
              <w:rPr>
                <w:rFonts w:asciiTheme="minorHAnsi" w:hAnsiTheme="minorHAnsi"/>
              </w:rPr>
              <w:t>,</w:t>
            </w:r>
            <w:r w:rsidR="00987A37">
              <w:rPr>
                <w:rFonts w:asciiTheme="minorHAnsi" w:hAnsiTheme="minorHAnsi"/>
              </w:rPr>
              <w:t>590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90F5F8" w14:textId="7FF9B994" w:rsidR="003E5C04" w:rsidRPr="006610B1" w:rsidRDefault="00D81EE6" w:rsidP="000F78FC">
            <w:pPr>
              <w:spacing w:after="0" w:line="240" w:lineRule="auto"/>
              <w:jc w:val="center"/>
              <w:rPr>
                <w:rFonts w:asciiTheme="minorHAnsi" w:hAnsiTheme="minorHAnsi"/>
              </w:rPr>
            </w:pPr>
            <w:r w:rsidRPr="006610B1">
              <w:rPr>
                <w:rFonts w:asciiTheme="minorHAnsi" w:hAnsiTheme="minorHAnsi"/>
              </w:rPr>
              <w:t>10%</w:t>
            </w:r>
          </w:p>
        </w:tc>
        <w:tc>
          <w:tcPr>
            <w:tcW w:w="1356" w:type="dxa"/>
            <w:tcBorders>
              <w:top w:val="nil"/>
              <w:left w:val="nil"/>
              <w:bottom w:val="single" w:sz="8" w:space="0" w:color="auto"/>
              <w:right w:val="single" w:sz="8" w:space="0" w:color="auto"/>
            </w:tcBorders>
            <w:shd w:val="clear" w:color="auto" w:fill="BFBFBF"/>
          </w:tcPr>
          <w:p w14:paraId="5438E2EA" w14:textId="29A906D2" w:rsidR="003E5C04" w:rsidRPr="002F2543" w:rsidRDefault="003E5C04" w:rsidP="000F78FC">
            <w:pPr>
              <w:spacing w:after="0" w:line="240" w:lineRule="auto"/>
              <w:jc w:val="center"/>
              <w:rPr>
                <w:rFonts w:asciiTheme="minorHAnsi" w:hAnsiTheme="minorHAnsi"/>
              </w:rPr>
            </w:pPr>
          </w:p>
        </w:tc>
        <w:tc>
          <w:tcPr>
            <w:tcW w:w="2070" w:type="dxa"/>
            <w:tcBorders>
              <w:top w:val="nil"/>
              <w:left w:val="nil"/>
              <w:bottom w:val="single" w:sz="8" w:space="0" w:color="auto"/>
              <w:right w:val="single" w:sz="8" w:space="0" w:color="auto"/>
            </w:tcBorders>
          </w:tcPr>
          <w:p w14:paraId="25661137" w14:textId="21444C20" w:rsidR="003E5C04" w:rsidRPr="006610B1" w:rsidRDefault="002F2543" w:rsidP="000F78FC">
            <w:pPr>
              <w:spacing w:after="0" w:line="240" w:lineRule="auto"/>
              <w:jc w:val="center"/>
              <w:rPr>
                <w:rFonts w:asciiTheme="minorHAnsi" w:hAnsiTheme="minorHAnsi"/>
              </w:rPr>
            </w:pPr>
            <w:r>
              <w:rPr>
                <w:rFonts w:asciiTheme="minorHAnsi" w:hAnsiTheme="minorHAnsi"/>
              </w:rPr>
              <w:t>$</w:t>
            </w:r>
            <w:r w:rsidR="009B033F">
              <w:rPr>
                <w:rFonts w:asciiTheme="minorHAnsi" w:hAnsiTheme="minorHAnsi"/>
              </w:rPr>
              <w:t>11,459</w:t>
            </w:r>
            <w:r>
              <w:rPr>
                <w:rFonts w:asciiTheme="minorHAnsi" w:hAnsiTheme="minorHAnsi"/>
              </w:rPr>
              <w:t>.00</w:t>
            </w:r>
          </w:p>
        </w:tc>
      </w:tr>
      <w:tr w:rsidR="003E5C04" w:rsidRPr="006610B1" w14:paraId="1E8E1D75"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839C6C" w14:textId="38D5163A" w:rsidR="003E5C04" w:rsidRPr="006610B1" w:rsidRDefault="00D81EE6" w:rsidP="000F78FC">
            <w:pPr>
              <w:spacing w:after="0" w:line="240" w:lineRule="auto"/>
              <w:rPr>
                <w:rFonts w:asciiTheme="minorHAnsi" w:hAnsiTheme="minorHAnsi"/>
              </w:rPr>
            </w:pPr>
            <w:r w:rsidRPr="006610B1">
              <w:rPr>
                <w:rFonts w:asciiTheme="minorHAnsi" w:hAnsiTheme="minorHAnsi"/>
              </w:rPr>
              <w:t>Program Assistant</w:t>
            </w:r>
          </w:p>
        </w:tc>
        <w:tc>
          <w:tcPr>
            <w:tcW w:w="1213" w:type="dxa"/>
            <w:tcBorders>
              <w:top w:val="nil"/>
              <w:left w:val="nil"/>
              <w:bottom w:val="single" w:sz="8" w:space="0" w:color="auto"/>
              <w:right w:val="single" w:sz="8" w:space="0" w:color="auto"/>
            </w:tcBorders>
          </w:tcPr>
          <w:p w14:paraId="7814D690" w14:textId="3439BDA1" w:rsidR="003E5C04" w:rsidRPr="006610B1" w:rsidRDefault="00987A37" w:rsidP="000F78FC">
            <w:pPr>
              <w:spacing w:after="0" w:line="240" w:lineRule="auto"/>
              <w:jc w:val="center"/>
              <w:rPr>
                <w:rFonts w:asciiTheme="minorHAnsi" w:hAnsiTheme="minorHAnsi"/>
              </w:rPr>
            </w:pPr>
            <w:r>
              <w:rPr>
                <w:rFonts w:asciiTheme="minorHAnsi" w:hAnsiTheme="minorHAnsi"/>
              </w:rPr>
              <w:t>11-1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7851EA" w14:textId="7E9D19ED" w:rsidR="003E5C04" w:rsidRPr="006610B1" w:rsidRDefault="002F2543" w:rsidP="000F78FC">
            <w:pPr>
              <w:spacing w:after="0" w:line="240" w:lineRule="auto"/>
              <w:jc w:val="center"/>
              <w:rPr>
                <w:rFonts w:asciiTheme="minorHAnsi" w:hAnsiTheme="minorHAnsi"/>
              </w:rPr>
            </w:pPr>
            <w:r>
              <w:rPr>
                <w:rFonts w:asciiTheme="minorHAnsi" w:hAnsiTheme="minorHAnsi"/>
              </w:rPr>
              <w:t>$</w:t>
            </w:r>
            <w:r w:rsidR="00987A37">
              <w:rPr>
                <w:rFonts w:asciiTheme="minorHAnsi" w:hAnsiTheme="minorHAnsi"/>
              </w:rPr>
              <w:t>68</w:t>
            </w:r>
            <w:r>
              <w:rPr>
                <w:rFonts w:asciiTheme="minorHAnsi" w:hAnsiTheme="minorHAnsi"/>
              </w:rPr>
              <w:t>,</w:t>
            </w:r>
            <w:r w:rsidR="00987A37">
              <w:rPr>
                <w:rFonts w:asciiTheme="minorHAnsi" w:hAnsiTheme="minorHAnsi"/>
              </w:rPr>
              <w:t>036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EB64BB" w14:textId="61C28F20" w:rsidR="003E5C04" w:rsidRPr="006610B1" w:rsidRDefault="00D81EE6" w:rsidP="000F78FC">
            <w:pPr>
              <w:spacing w:after="0" w:line="240" w:lineRule="auto"/>
              <w:jc w:val="center"/>
              <w:rPr>
                <w:rFonts w:asciiTheme="minorHAnsi" w:hAnsiTheme="minorHAnsi"/>
              </w:rPr>
            </w:pPr>
            <w:r w:rsidRPr="006610B1">
              <w:rPr>
                <w:rFonts w:asciiTheme="minorHAnsi" w:hAnsiTheme="minorHAnsi"/>
              </w:rPr>
              <w:t>40%</w:t>
            </w:r>
          </w:p>
        </w:tc>
        <w:tc>
          <w:tcPr>
            <w:tcW w:w="1356" w:type="dxa"/>
            <w:tcBorders>
              <w:top w:val="nil"/>
              <w:left w:val="nil"/>
              <w:bottom w:val="single" w:sz="8" w:space="0" w:color="auto"/>
              <w:right w:val="single" w:sz="8" w:space="0" w:color="auto"/>
            </w:tcBorders>
            <w:shd w:val="clear" w:color="auto" w:fill="BFBFBF"/>
          </w:tcPr>
          <w:p w14:paraId="1D845B43" w14:textId="0C5E81FC" w:rsidR="003E5C04" w:rsidRPr="002F2543" w:rsidRDefault="003E5C04" w:rsidP="000F78FC">
            <w:pPr>
              <w:spacing w:after="0" w:line="240" w:lineRule="auto"/>
              <w:jc w:val="center"/>
              <w:rPr>
                <w:rFonts w:asciiTheme="minorHAnsi" w:hAnsiTheme="minorHAnsi"/>
              </w:rPr>
            </w:pPr>
          </w:p>
        </w:tc>
        <w:tc>
          <w:tcPr>
            <w:tcW w:w="2070" w:type="dxa"/>
            <w:tcBorders>
              <w:top w:val="nil"/>
              <w:left w:val="nil"/>
              <w:bottom w:val="single" w:sz="8" w:space="0" w:color="auto"/>
              <w:right w:val="single" w:sz="8" w:space="0" w:color="auto"/>
            </w:tcBorders>
          </w:tcPr>
          <w:p w14:paraId="79ADE098" w14:textId="12742B0A" w:rsidR="003E5C04" w:rsidRPr="006610B1" w:rsidRDefault="009B033F" w:rsidP="000F78FC">
            <w:pPr>
              <w:spacing w:after="0" w:line="240" w:lineRule="auto"/>
              <w:jc w:val="center"/>
              <w:rPr>
                <w:rFonts w:asciiTheme="minorHAnsi" w:hAnsiTheme="minorHAnsi"/>
              </w:rPr>
            </w:pPr>
            <w:r>
              <w:rPr>
                <w:rFonts w:asciiTheme="minorHAnsi" w:hAnsiTheme="minorHAnsi"/>
              </w:rPr>
              <w:t>$27,214.40</w:t>
            </w:r>
          </w:p>
        </w:tc>
      </w:tr>
      <w:tr w:rsidR="003E5C04" w:rsidRPr="006610B1" w14:paraId="5200E504"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0CDD42" w14:textId="77777777" w:rsidR="003E5C04" w:rsidRPr="006610B1" w:rsidRDefault="003E5C04" w:rsidP="000F78FC">
            <w:pPr>
              <w:spacing w:after="0" w:line="240" w:lineRule="auto"/>
              <w:rPr>
                <w:rFonts w:asciiTheme="minorHAnsi" w:hAnsiTheme="minorHAnsi"/>
              </w:rPr>
            </w:pPr>
          </w:p>
        </w:tc>
        <w:tc>
          <w:tcPr>
            <w:tcW w:w="1213" w:type="dxa"/>
            <w:tcBorders>
              <w:top w:val="nil"/>
              <w:left w:val="nil"/>
              <w:bottom w:val="single" w:sz="8" w:space="0" w:color="auto"/>
              <w:right w:val="single" w:sz="8" w:space="0" w:color="auto"/>
            </w:tcBorders>
          </w:tcPr>
          <w:p w14:paraId="0190F8F5"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B8986"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C7AE34"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shd w:val="clear" w:color="auto" w:fill="BFBFBF"/>
          </w:tcPr>
          <w:p w14:paraId="3372BBAC"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53968F36" w14:textId="77777777" w:rsidR="003E5C04" w:rsidRPr="006610B1" w:rsidRDefault="003E5C04" w:rsidP="000F78FC">
            <w:pPr>
              <w:spacing w:after="0" w:line="240" w:lineRule="auto"/>
              <w:rPr>
                <w:rFonts w:asciiTheme="minorHAnsi" w:hAnsiTheme="minorHAnsi"/>
              </w:rPr>
            </w:pPr>
          </w:p>
        </w:tc>
      </w:tr>
      <w:tr w:rsidR="003E5C04" w:rsidRPr="006610B1" w14:paraId="70C960E4"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5EBD3F" w14:textId="77777777" w:rsidR="003E5C04" w:rsidRPr="006610B1" w:rsidRDefault="003E5C04" w:rsidP="000F78FC">
            <w:pPr>
              <w:spacing w:after="0" w:line="240" w:lineRule="auto"/>
              <w:rPr>
                <w:rFonts w:asciiTheme="minorHAnsi" w:hAnsiTheme="minorHAnsi"/>
                <w:b/>
              </w:rPr>
            </w:pPr>
            <w:r w:rsidRPr="006610B1">
              <w:rPr>
                <w:rFonts w:asciiTheme="minorHAnsi" w:hAnsiTheme="minorHAnsi"/>
                <w:b/>
              </w:rPr>
              <w:t>Contractor Cost</w:t>
            </w:r>
          </w:p>
        </w:tc>
        <w:tc>
          <w:tcPr>
            <w:tcW w:w="1213" w:type="dxa"/>
            <w:tcBorders>
              <w:top w:val="nil"/>
              <w:left w:val="nil"/>
              <w:bottom w:val="single" w:sz="8" w:space="0" w:color="auto"/>
              <w:right w:val="single" w:sz="8" w:space="0" w:color="auto"/>
            </w:tcBorders>
            <w:shd w:val="clear" w:color="auto" w:fill="BFBFBF"/>
          </w:tcPr>
          <w:p w14:paraId="588ED7DA"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FBA859"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765C97"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tcPr>
          <w:p w14:paraId="0ECAC2E2"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13A30A28" w14:textId="0F8FC12C" w:rsidR="003E5C04" w:rsidRPr="006610B1" w:rsidRDefault="002F2543" w:rsidP="000F78FC">
            <w:pPr>
              <w:spacing w:after="0" w:line="240" w:lineRule="auto"/>
              <w:jc w:val="center"/>
              <w:rPr>
                <w:rFonts w:asciiTheme="minorHAnsi" w:hAnsiTheme="minorHAnsi"/>
              </w:rPr>
            </w:pPr>
            <w:r>
              <w:rPr>
                <w:rFonts w:asciiTheme="minorHAnsi" w:hAnsiTheme="minorHAnsi"/>
              </w:rPr>
              <w:t>$</w:t>
            </w:r>
            <w:r w:rsidR="00D81EE6" w:rsidRPr="006610B1">
              <w:rPr>
                <w:rFonts w:asciiTheme="minorHAnsi" w:hAnsiTheme="minorHAnsi"/>
              </w:rPr>
              <w:t>150,000</w:t>
            </w:r>
            <w:r w:rsidR="009B033F">
              <w:rPr>
                <w:rFonts w:asciiTheme="minorHAnsi" w:hAnsiTheme="minorHAnsi"/>
              </w:rPr>
              <w:t>.00</w:t>
            </w:r>
          </w:p>
        </w:tc>
      </w:tr>
      <w:tr w:rsidR="003E5C04" w:rsidRPr="006610B1" w14:paraId="14563B87"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970C27" w14:textId="77777777" w:rsidR="003E5C04" w:rsidRPr="006610B1" w:rsidRDefault="003E5C04" w:rsidP="000F78FC">
            <w:pPr>
              <w:spacing w:after="0" w:line="240" w:lineRule="auto"/>
              <w:rPr>
                <w:rFonts w:asciiTheme="minorHAnsi" w:hAnsiTheme="minorHAnsi"/>
              </w:rPr>
            </w:pPr>
          </w:p>
        </w:tc>
        <w:tc>
          <w:tcPr>
            <w:tcW w:w="1213" w:type="dxa"/>
            <w:tcBorders>
              <w:top w:val="nil"/>
              <w:left w:val="nil"/>
              <w:bottom w:val="single" w:sz="8" w:space="0" w:color="auto"/>
              <w:right w:val="single" w:sz="8" w:space="0" w:color="auto"/>
            </w:tcBorders>
          </w:tcPr>
          <w:p w14:paraId="55BA21C9"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AF1254"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5F1973"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tcPr>
          <w:p w14:paraId="5660310F"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4346F5F3" w14:textId="77777777" w:rsidR="003E5C04" w:rsidRPr="006610B1" w:rsidRDefault="003E5C04" w:rsidP="000F78FC">
            <w:pPr>
              <w:spacing w:after="0" w:line="240" w:lineRule="auto"/>
              <w:rPr>
                <w:rFonts w:asciiTheme="minorHAnsi" w:hAnsiTheme="minorHAnsi"/>
              </w:rPr>
            </w:pPr>
          </w:p>
        </w:tc>
      </w:tr>
      <w:tr w:rsidR="003E5C04" w:rsidRPr="006610B1" w14:paraId="37F2A125"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B367220" w14:textId="77777777" w:rsidR="003E5C04" w:rsidRPr="006610B1" w:rsidRDefault="003E5C04" w:rsidP="000F78FC">
            <w:pPr>
              <w:spacing w:after="0" w:line="240" w:lineRule="auto"/>
              <w:rPr>
                <w:rFonts w:asciiTheme="minorHAnsi" w:hAnsiTheme="minorHAnsi"/>
              </w:rPr>
            </w:pPr>
            <w:r w:rsidRPr="006610B1">
              <w:rPr>
                <w:rFonts w:asciiTheme="minorHAnsi" w:hAnsiTheme="minorHAnsi"/>
              </w:rPr>
              <w:t>Travel</w:t>
            </w:r>
          </w:p>
        </w:tc>
        <w:tc>
          <w:tcPr>
            <w:tcW w:w="1213" w:type="dxa"/>
            <w:tcBorders>
              <w:top w:val="nil"/>
              <w:left w:val="nil"/>
              <w:bottom w:val="single" w:sz="8" w:space="0" w:color="auto"/>
              <w:right w:val="single" w:sz="8" w:space="0" w:color="auto"/>
            </w:tcBorders>
            <w:shd w:val="clear" w:color="auto" w:fill="BFBFBF"/>
          </w:tcPr>
          <w:p w14:paraId="02C5056D"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B6DEB3B"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2E61EF7"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shd w:val="clear" w:color="auto" w:fill="BFBFBF"/>
          </w:tcPr>
          <w:p w14:paraId="713E9CC1"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0A108CB5" w14:textId="0D190F0A" w:rsidR="003E5C04" w:rsidRPr="006610B1" w:rsidRDefault="002F2543" w:rsidP="000F78FC">
            <w:pPr>
              <w:spacing w:after="0" w:line="240" w:lineRule="auto"/>
              <w:jc w:val="center"/>
              <w:rPr>
                <w:rFonts w:asciiTheme="minorHAnsi" w:hAnsiTheme="minorHAnsi"/>
              </w:rPr>
            </w:pPr>
            <w:r>
              <w:rPr>
                <w:rFonts w:asciiTheme="minorHAnsi" w:hAnsiTheme="minorHAnsi"/>
              </w:rPr>
              <w:t>$0</w:t>
            </w:r>
          </w:p>
        </w:tc>
      </w:tr>
      <w:tr w:rsidR="003E5C04" w:rsidRPr="006610B1" w14:paraId="4C899C12"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1CD46A" w14:textId="77777777" w:rsidR="003E5C04" w:rsidRPr="006610B1" w:rsidRDefault="003E5C04" w:rsidP="000F78FC">
            <w:pPr>
              <w:spacing w:after="0" w:line="240" w:lineRule="auto"/>
              <w:rPr>
                <w:rFonts w:asciiTheme="minorHAnsi" w:hAnsiTheme="minorHAnsi"/>
                <w:color w:val="1F497D"/>
                <w:highlight w:val="yellow"/>
              </w:rPr>
            </w:pPr>
            <w:r w:rsidRPr="006610B1">
              <w:rPr>
                <w:rFonts w:asciiTheme="minorHAnsi" w:hAnsiTheme="minorHAnsi"/>
              </w:rPr>
              <w:t>Other Cost</w:t>
            </w:r>
          </w:p>
        </w:tc>
        <w:tc>
          <w:tcPr>
            <w:tcW w:w="1213" w:type="dxa"/>
            <w:tcBorders>
              <w:top w:val="nil"/>
              <w:left w:val="nil"/>
              <w:bottom w:val="single" w:sz="8" w:space="0" w:color="auto"/>
              <w:right w:val="single" w:sz="8" w:space="0" w:color="auto"/>
            </w:tcBorders>
            <w:shd w:val="clear" w:color="auto" w:fill="BFBFBF"/>
          </w:tcPr>
          <w:p w14:paraId="570DEDC1" w14:textId="77777777" w:rsidR="003E5C04" w:rsidRPr="006610B1" w:rsidRDefault="003E5C04" w:rsidP="000F78FC">
            <w:pPr>
              <w:spacing w:after="0" w:line="240" w:lineRule="auto"/>
              <w:rPr>
                <w:rFonts w:asciiTheme="minorHAnsi" w:hAnsiTheme="minorHAnsi"/>
                <w:color w:val="000000"/>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C66D9B5"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0BAD15E"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shd w:val="clear" w:color="auto" w:fill="BFBFBF"/>
          </w:tcPr>
          <w:p w14:paraId="39FECA1B"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7E9C482B" w14:textId="04EA2D94" w:rsidR="003E5C04" w:rsidRPr="006610B1" w:rsidRDefault="002F2543" w:rsidP="000F78FC">
            <w:pPr>
              <w:spacing w:after="0" w:line="240" w:lineRule="auto"/>
              <w:jc w:val="center"/>
              <w:rPr>
                <w:rFonts w:asciiTheme="minorHAnsi" w:hAnsiTheme="minorHAnsi"/>
              </w:rPr>
            </w:pPr>
            <w:r>
              <w:rPr>
                <w:rFonts w:asciiTheme="minorHAnsi" w:hAnsiTheme="minorHAnsi"/>
              </w:rPr>
              <w:t>$0</w:t>
            </w:r>
          </w:p>
        </w:tc>
      </w:tr>
      <w:tr w:rsidR="003E5C04" w:rsidRPr="006610B1" w14:paraId="131CEC91"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354185" w14:textId="77777777" w:rsidR="003E5C04" w:rsidRPr="006610B1" w:rsidRDefault="003E5C04" w:rsidP="000F78FC">
            <w:pPr>
              <w:spacing w:after="0" w:line="240" w:lineRule="auto"/>
              <w:rPr>
                <w:rFonts w:asciiTheme="minorHAnsi" w:hAnsiTheme="minorHAnsi"/>
                <w:bCs/>
                <w:color w:val="000000"/>
              </w:rPr>
            </w:pPr>
          </w:p>
        </w:tc>
        <w:tc>
          <w:tcPr>
            <w:tcW w:w="1213" w:type="dxa"/>
            <w:tcBorders>
              <w:top w:val="nil"/>
              <w:left w:val="nil"/>
              <w:bottom w:val="single" w:sz="8" w:space="0" w:color="auto"/>
              <w:right w:val="single" w:sz="8" w:space="0" w:color="auto"/>
            </w:tcBorders>
            <w:shd w:val="clear" w:color="auto" w:fill="BFBFBF"/>
          </w:tcPr>
          <w:p w14:paraId="541F6322"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32AE4B2"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F94563C" w14:textId="77777777" w:rsidR="003E5C04" w:rsidRPr="006610B1" w:rsidRDefault="003E5C04" w:rsidP="000F78FC">
            <w:pPr>
              <w:spacing w:after="0" w:line="240" w:lineRule="auto"/>
              <w:rPr>
                <w:rFonts w:asciiTheme="minorHAnsi" w:hAnsiTheme="minorHAnsi"/>
                <w:b/>
              </w:rPr>
            </w:pPr>
          </w:p>
        </w:tc>
        <w:tc>
          <w:tcPr>
            <w:tcW w:w="1356" w:type="dxa"/>
            <w:tcBorders>
              <w:top w:val="nil"/>
              <w:left w:val="nil"/>
              <w:bottom w:val="single" w:sz="8" w:space="0" w:color="auto"/>
              <w:right w:val="single" w:sz="8" w:space="0" w:color="auto"/>
            </w:tcBorders>
            <w:shd w:val="clear" w:color="auto" w:fill="BFBFBF"/>
          </w:tcPr>
          <w:p w14:paraId="68BCFFE8" w14:textId="77777777" w:rsidR="003E5C04" w:rsidRPr="006610B1" w:rsidRDefault="003E5C04" w:rsidP="000F78FC">
            <w:pPr>
              <w:spacing w:after="0" w:line="240" w:lineRule="auto"/>
              <w:rPr>
                <w:rFonts w:asciiTheme="minorHAnsi" w:hAnsiTheme="minorHAnsi"/>
                <w:b/>
              </w:rPr>
            </w:pPr>
          </w:p>
        </w:tc>
        <w:tc>
          <w:tcPr>
            <w:tcW w:w="2070" w:type="dxa"/>
            <w:tcBorders>
              <w:top w:val="nil"/>
              <w:left w:val="nil"/>
              <w:bottom w:val="single" w:sz="8" w:space="0" w:color="auto"/>
              <w:right w:val="single" w:sz="8" w:space="0" w:color="auto"/>
            </w:tcBorders>
          </w:tcPr>
          <w:p w14:paraId="35B24564" w14:textId="77777777" w:rsidR="003E5C04" w:rsidRPr="006610B1" w:rsidRDefault="003E5C04" w:rsidP="000F78FC">
            <w:pPr>
              <w:spacing w:after="0" w:line="240" w:lineRule="auto"/>
              <w:rPr>
                <w:rFonts w:asciiTheme="minorHAnsi" w:hAnsiTheme="minorHAnsi"/>
                <w:b/>
              </w:rPr>
            </w:pPr>
          </w:p>
        </w:tc>
      </w:tr>
      <w:tr w:rsidR="003E5C04" w:rsidRPr="006610B1" w14:paraId="29FF07D5" w14:textId="77777777" w:rsidTr="000F78FC">
        <w:trPr>
          <w:trHeight w:val="300"/>
        </w:trPr>
        <w:tc>
          <w:tcPr>
            <w:tcW w:w="2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AC24FB" w14:textId="77777777" w:rsidR="003E5C04" w:rsidRPr="006610B1" w:rsidRDefault="00E23CFA" w:rsidP="000F78FC">
            <w:pPr>
              <w:spacing w:after="0" w:line="240" w:lineRule="auto"/>
              <w:rPr>
                <w:rFonts w:asciiTheme="minorHAnsi" w:hAnsiTheme="minorHAnsi"/>
              </w:rPr>
            </w:pPr>
            <w:r w:rsidRPr="006610B1">
              <w:rPr>
                <w:rFonts w:asciiTheme="minorHAnsi" w:hAnsiTheme="minorHAnsi"/>
              </w:rPr>
              <w:t>Total</w:t>
            </w:r>
          </w:p>
        </w:tc>
        <w:tc>
          <w:tcPr>
            <w:tcW w:w="1213" w:type="dxa"/>
            <w:tcBorders>
              <w:top w:val="nil"/>
              <w:left w:val="nil"/>
              <w:bottom w:val="single" w:sz="8" w:space="0" w:color="auto"/>
              <w:right w:val="single" w:sz="8" w:space="0" w:color="auto"/>
            </w:tcBorders>
          </w:tcPr>
          <w:p w14:paraId="021394C4" w14:textId="77777777" w:rsidR="003E5C04" w:rsidRPr="006610B1" w:rsidRDefault="003E5C04" w:rsidP="000F78FC">
            <w:pPr>
              <w:spacing w:after="0" w:line="240" w:lineRule="auto"/>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EE60A" w14:textId="77777777" w:rsidR="003E5C04" w:rsidRPr="006610B1" w:rsidRDefault="003E5C04" w:rsidP="000F78FC">
            <w:pPr>
              <w:spacing w:after="0" w:line="240" w:lineRule="auto"/>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BE860" w14:textId="77777777" w:rsidR="003E5C04" w:rsidRPr="006610B1" w:rsidRDefault="003E5C04" w:rsidP="000F78FC">
            <w:pPr>
              <w:spacing w:after="0" w:line="240" w:lineRule="auto"/>
              <w:rPr>
                <w:rFonts w:asciiTheme="minorHAnsi" w:hAnsiTheme="minorHAnsi"/>
              </w:rPr>
            </w:pPr>
          </w:p>
        </w:tc>
        <w:tc>
          <w:tcPr>
            <w:tcW w:w="1356" w:type="dxa"/>
            <w:tcBorders>
              <w:top w:val="nil"/>
              <w:left w:val="nil"/>
              <w:bottom w:val="single" w:sz="8" w:space="0" w:color="auto"/>
              <w:right w:val="single" w:sz="8" w:space="0" w:color="auto"/>
            </w:tcBorders>
          </w:tcPr>
          <w:p w14:paraId="2FDE7415" w14:textId="77777777" w:rsidR="003E5C04" w:rsidRPr="006610B1" w:rsidRDefault="003E5C04" w:rsidP="000F78FC">
            <w:pPr>
              <w:spacing w:after="0" w:line="240" w:lineRule="auto"/>
              <w:rPr>
                <w:rFonts w:asciiTheme="minorHAnsi" w:hAnsiTheme="minorHAnsi"/>
              </w:rPr>
            </w:pPr>
          </w:p>
        </w:tc>
        <w:tc>
          <w:tcPr>
            <w:tcW w:w="2070" w:type="dxa"/>
            <w:tcBorders>
              <w:top w:val="nil"/>
              <w:left w:val="nil"/>
              <w:bottom w:val="single" w:sz="8" w:space="0" w:color="auto"/>
              <w:right w:val="single" w:sz="8" w:space="0" w:color="auto"/>
            </w:tcBorders>
          </w:tcPr>
          <w:p w14:paraId="04180EDE" w14:textId="4D22EED9" w:rsidR="003E5C04" w:rsidRPr="006610B1" w:rsidRDefault="002F2543" w:rsidP="000F78FC">
            <w:pPr>
              <w:spacing w:after="0" w:line="240" w:lineRule="auto"/>
              <w:jc w:val="center"/>
              <w:rPr>
                <w:rFonts w:asciiTheme="minorHAnsi" w:hAnsiTheme="minorHAnsi"/>
              </w:rPr>
            </w:pPr>
            <w:r>
              <w:rPr>
                <w:rFonts w:asciiTheme="minorHAnsi" w:hAnsiTheme="minorHAnsi"/>
              </w:rPr>
              <w:t>$</w:t>
            </w:r>
            <w:r w:rsidR="009B033F">
              <w:rPr>
                <w:rFonts w:asciiTheme="minorHAnsi" w:hAnsiTheme="minorHAnsi"/>
              </w:rPr>
              <w:t>1</w:t>
            </w:r>
            <w:r>
              <w:rPr>
                <w:rFonts w:asciiTheme="minorHAnsi" w:hAnsiTheme="minorHAnsi"/>
              </w:rPr>
              <w:t>8</w:t>
            </w:r>
            <w:r w:rsidR="009B033F">
              <w:rPr>
                <w:rFonts w:asciiTheme="minorHAnsi" w:hAnsiTheme="minorHAnsi"/>
              </w:rPr>
              <w:t>8</w:t>
            </w:r>
            <w:r>
              <w:rPr>
                <w:rFonts w:asciiTheme="minorHAnsi" w:hAnsiTheme="minorHAnsi"/>
              </w:rPr>
              <w:t>,</w:t>
            </w:r>
            <w:r w:rsidR="009B033F">
              <w:rPr>
                <w:rFonts w:asciiTheme="minorHAnsi" w:hAnsiTheme="minorHAnsi"/>
              </w:rPr>
              <w:t>673</w:t>
            </w:r>
            <w:r>
              <w:rPr>
                <w:rFonts w:asciiTheme="minorHAnsi" w:hAnsiTheme="minorHAnsi"/>
              </w:rPr>
              <w:t>.40</w:t>
            </w:r>
          </w:p>
        </w:tc>
      </w:tr>
    </w:tbl>
    <w:p w14:paraId="1E8A097F" w14:textId="77777777" w:rsidR="00A15E7C" w:rsidRPr="00A15E7C" w:rsidRDefault="00A15E7C" w:rsidP="00A15E7C">
      <w:pPr>
        <w:rPr>
          <w:color w:val="000000"/>
        </w:rPr>
      </w:pPr>
      <w:r w:rsidRPr="00A15E7C">
        <w:rPr>
          <w:color w:val="000000"/>
        </w:rPr>
        <w:t>***https://www.opm.gov/policy-data-oversight/pay-leave/salaries-wages/salary-tables/pdf/2018/DCB.pdf</w:t>
      </w:r>
    </w:p>
    <w:p w14:paraId="073FAE72" w14:textId="481D5245" w:rsidR="00FF72FC" w:rsidRPr="000F78FC" w:rsidRDefault="009C35FE" w:rsidP="000F78FC">
      <w:pPr>
        <w:spacing w:after="0" w:line="240" w:lineRule="auto"/>
        <w:rPr>
          <w:b/>
          <w:color w:val="000000"/>
        </w:rPr>
      </w:pPr>
      <w:r>
        <w:rPr>
          <w:b/>
          <w:color w:val="000000"/>
        </w:rPr>
        <w:br/>
      </w:r>
      <w:r w:rsidR="00FF72FC" w:rsidRPr="000F78FC">
        <w:rPr>
          <w:b/>
          <w:color w:val="000000"/>
        </w:rPr>
        <w:t>A.15</w:t>
      </w:r>
      <w:r w:rsidR="00FF72FC" w:rsidRPr="000F78FC">
        <w:rPr>
          <w:b/>
          <w:color w:val="000000"/>
        </w:rPr>
        <w:tab/>
        <w:t>Explanation for Program Changes or Adjustments</w:t>
      </w:r>
    </w:p>
    <w:p w14:paraId="56A2D9C1" w14:textId="25D537B7" w:rsidR="00A85FAC" w:rsidRPr="008942E9" w:rsidRDefault="00A85FAC" w:rsidP="006610B1">
      <w:pPr>
        <w:spacing w:after="0" w:line="240" w:lineRule="auto"/>
        <w:rPr>
          <w:color w:val="000000"/>
        </w:rPr>
      </w:pPr>
      <w:r>
        <w:rPr>
          <w:color w:val="000000"/>
        </w:rPr>
        <w:t xml:space="preserve">This is an existing collection in use without an OMB </w:t>
      </w:r>
      <w:r w:rsidR="00A70A03">
        <w:rPr>
          <w:color w:val="000000"/>
        </w:rPr>
        <w:t>approval</w:t>
      </w:r>
      <w:r>
        <w:rPr>
          <w:color w:val="000000"/>
        </w:rPr>
        <w:t xml:space="preserve">.  While the </w:t>
      </w:r>
      <w:r w:rsidR="00D30E2F">
        <w:rPr>
          <w:color w:val="000000"/>
        </w:rPr>
        <w:t>post baccalaureate</w:t>
      </w:r>
      <w:r w:rsidR="006610B1">
        <w:rPr>
          <w:color w:val="000000"/>
        </w:rPr>
        <w:t xml:space="preserve"> IRTA program</w:t>
      </w:r>
      <w:r>
        <w:rPr>
          <w:color w:val="000000"/>
        </w:rPr>
        <w:t xml:space="preserve"> application</w:t>
      </w:r>
      <w:r w:rsidR="006610B1">
        <w:rPr>
          <w:color w:val="000000"/>
        </w:rPr>
        <w:t>s uses an OMB number, i</w:t>
      </w:r>
      <w:r>
        <w:rPr>
          <w:color w:val="000000"/>
        </w:rPr>
        <w:t xml:space="preserve">t came to our awareness that OMB clearance </w:t>
      </w:r>
      <w:r w:rsidR="00D30E2F">
        <w:rPr>
          <w:color w:val="000000"/>
        </w:rPr>
        <w:t>was</w:t>
      </w:r>
      <w:r>
        <w:rPr>
          <w:color w:val="000000"/>
        </w:rPr>
        <w:t xml:space="preserve"> needed for </w:t>
      </w:r>
      <w:r w:rsidR="006610B1">
        <w:rPr>
          <w:color w:val="000000"/>
        </w:rPr>
        <w:t xml:space="preserve">the other parts of the applications. </w:t>
      </w:r>
      <w:r w:rsidR="00C05041">
        <w:rPr>
          <w:color w:val="000000"/>
        </w:rPr>
        <w:t>This</w:t>
      </w:r>
      <w:r w:rsidR="006610B1">
        <w:rPr>
          <w:color w:val="000000"/>
        </w:rPr>
        <w:t xml:space="preserve"> was</w:t>
      </w:r>
      <w:r>
        <w:rPr>
          <w:color w:val="000000"/>
        </w:rPr>
        <w:t xml:space="preserve"> </w:t>
      </w:r>
      <w:r w:rsidR="00C05041">
        <w:rPr>
          <w:color w:val="000000"/>
        </w:rPr>
        <w:t>confirmed,</w:t>
      </w:r>
      <w:r w:rsidR="00D30E2F">
        <w:rPr>
          <w:color w:val="000000"/>
        </w:rPr>
        <w:t xml:space="preserve"> and this request was written expeditiously</w:t>
      </w:r>
      <w:r>
        <w:rPr>
          <w:color w:val="000000"/>
        </w:rPr>
        <w:t xml:space="preserve">. </w:t>
      </w:r>
    </w:p>
    <w:p w14:paraId="10889443" w14:textId="77777777" w:rsidR="00F52557" w:rsidRPr="008942E9" w:rsidRDefault="00F52557" w:rsidP="006610B1">
      <w:pPr>
        <w:pStyle w:val="Heading2"/>
        <w:tabs>
          <w:tab w:val="clear" w:pos="1152"/>
          <w:tab w:val="left" w:pos="720"/>
        </w:tabs>
        <w:spacing w:after="0" w:line="240" w:lineRule="auto"/>
        <w:ind w:left="0" w:firstLine="0"/>
        <w:rPr>
          <w:rFonts w:ascii="Calibri" w:hAnsi="Calibri"/>
          <w:szCs w:val="22"/>
        </w:rPr>
      </w:pPr>
      <w:bookmarkStart w:id="25" w:name="_Toc443881759"/>
      <w:bookmarkStart w:id="26" w:name="_Toc451592246"/>
      <w:bookmarkStart w:id="27" w:name="_Toc5610287"/>
      <w:bookmarkStart w:id="28" w:name="_Toc99178793"/>
    </w:p>
    <w:p w14:paraId="62AC9598" w14:textId="77777777" w:rsidR="00FF72FC" w:rsidRPr="000F78FC" w:rsidRDefault="00FF72FC" w:rsidP="000F78FC">
      <w:pPr>
        <w:spacing w:after="0" w:line="240" w:lineRule="auto"/>
        <w:rPr>
          <w:color w:val="000000"/>
        </w:rPr>
      </w:pPr>
      <w:r w:rsidRPr="000F78FC">
        <w:rPr>
          <w:b/>
          <w:color w:val="000000"/>
        </w:rPr>
        <w:t>A.16</w:t>
      </w:r>
      <w:r w:rsidRPr="000F78FC">
        <w:rPr>
          <w:b/>
          <w:color w:val="000000"/>
        </w:rPr>
        <w:tab/>
        <w:t>Plans for Tabulation and Publication and Project Time Schedule</w:t>
      </w:r>
      <w:bookmarkEnd w:id="25"/>
      <w:bookmarkEnd w:id="26"/>
      <w:bookmarkEnd w:id="27"/>
      <w:bookmarkEnd w:id="28"/>
    </w:p>
    <w:p w14:paraId="12DF448F" w14:textId="7ADFF138" w:rsidR="00A85FAC" w:rsidRDefault="00A85FAC" w:rsidP="006610B1">
      <w:pPr>
        <w:spacing w:after="0" w:line="240" w:lineRule="auto"/>
      </w:pPr>
      <w:r w:rsidRPr="00A85FAC">
        <w:t xml:space="preserve">There are no plans for </w:t>
      </w:r>
      <w:r w:rsidR="009C35FE" w:rsidRPr="00A85FAC">
        <w:t>tabulation</w:t>
      </w:r>
      <w:r w:rsidR="009C35FE">
        <w:t xml:space="preserve"> or publication </w:t>
      </w:r>
      <w:r w:rsidRPr="00A85FAC">
        <w:t>since this is a</w:t>
      </w:r>
      <w:r w:rsidR="009C35FE">
        <w:t xml:space="preserve"> request for </w:t>
      </w:r>
      <w:r w:rsidRPr="00A85FAC">
        <w:t>application</w:t>
      </w:r>
      <w:r w:rsidR="009C35FE">
        <w:t>s</w:t>
      </w:r>
      <w:r w:rsidRPr="00A85FAC">
        <w:t xml:space="preserve">.  The applications will be used for annual program assessments and reviews, as well as to assess the appropriateness of an applicant for the </w:t>
      </w:r>
      <w:r w:rsidR="006610B1">
        <w:t>iCURE</w:t>
      </w:r>
      <w:r w:rsidRPr="00A85FAC">
        <w:t xml:space="preserve"> program.</w:t>
      </w:r>
    </w:p>
    <w:p w14:paraId="60537B31" w14:textId="529C90C1" w:rsidR="006610B1" w:rsidRDefault="006610B1" w:rsidP="006610B1">
      <w:pPr>
        <w:spacing w:after="0" w:line="240" w:lineRule="auto"/>
      </w:pPr>
    </w:p>
    <w:p w14:paraId="2510E281" w14:textId="77777777" w:rsidR="00C05041" w:rsidRDefault="00C05041">
      <w:pPr>
        <w:spacing w:after="0" w:line="240" w:lineRule="auto"/>
      </w:pPr>
      <w:r>
        <w:br w:type="page"/>
      </w:r>
    </w:p>
    <w:p w14:paraId="1D0D9777" w14:textId="54142D0B" w:rsidR="006610B1" w:rsidRDefault="006610B1" w:rsidP="006610B1">
      <w:pPr>
        <w:spacing w:after="0" w:line="240" w:lineRule="auto"/>
      </w:pPr>
      <w:r>
        <w:t xml:space="preserve">The application period will open upon receiving OMB clearance and remain open for 2 months. Future year application period will be October </w:t>
      </w:r>
      <w:r w:rsidR="009C35FE">
        <w:t>through</w:t>
      </w:r>
      <w:r>
        <w:t xml:space="preserve"> December</w:t>
      </w:r>
      <w:r w:rsidR="00F40CE3">
        <w:t xml:space="preserve"> (Table A.16-1)</w:t>
      </w:r>
      <w:r>
        <w:t xml:space="preserve">. </w:t>
      </w:r>
    </w:p>
    <w:p w14:paraId="30281AC5" w14:textId="76333924" w:rsidR="009442AB" w:rsidRDefault="009442AB">
      <w:pPr>
        <w:spacing w:after="0" w:line="240" w:lineRule="auto"/>
        <w:rPr>
          <w:b/>
        </w:rPr>
      </w:pPr>
    </w:p>
    <w:p w14:paraId="6AF1FC5F" w14:textId="523E03E4" w:rsidR="00A85FAC" w:rsidRPr="000F78D3" w:rsidRDefault="00A85FAC" w:rsidP="000F78FC">
      <w:pPr>
        <w:jc w:val="center"/>
      </w:pPr>
      <w:r w:rsidRPr="000F78D3">
        <w:t>Table A</w:t>
      </w:r>
      <w:r w:rsidR="00F40CE3" w:rsidRPr="000F78D3">
        <w:t>.</w:t>
      </w:r>
      <w:r w:rsidRPr="000F78D3">
        <w:t>16-1. Project Time Schedule: Application Opening and Closing Dates</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37"/>
        <w:gridCol w:w="2860"/>
        <w:gridCol w:w="2676"/>
      </w:tblGrid>
      <w:tr w:rsidR="00A85FAC" w:rsidRPr="00A85FAC" w14:paraId="77AB0C32" w14:textId="77777777" w:rsidTr="000F78FC">
        <w:trPr>
          <w:cantSplit/>
          <w:trHeight w:val="629"/>
        </w:trPr>
        <w:tc>
          <w:tcPr>
            <w:tcW w:w="2168" w:type="pct"/>
            <w:shd w:val="clear" w:color="auto" w:fill="auto"/>
            <w:vAlign w:val="bottom"/>
          </w:tcPr>
          <w:p w14:paraId="606BA665" w14:textId="77777777" w:rsidR="00A85FAC" w:rsidRPr="00A85FAC" w:rsidRDefault="00A85FAC" w:rsidP="000F78FC">
            <w:pPr>
              <w:spacing w:after="0" w:line="240" w:lineRule="auto"/>
              <w:rPr>
                <w:b/>
              </w:rPr>
            </w:pPr>
            <w:r w:rsidRPr="00A85FAC">
              <w:rPr>
                <w:b/>
              </w:rPr>
              <w:t>Training Program</w:t>
            </w:r>
          </w:p>
        </w:tc>
        <w:tc>
          <w:tcPr>
            <w:tcW w:w="1463" w:type="pct"/>
            <w:vAlign w:val="center"/>
          </w:tcPr>
          <w:p w14:paraId="1CDB6176" w14:textId="77777777" w:rsidR="00A85FAC" w:rsidRPr="00A85FAC" w:rsidRDefault="00A85FAC" w:rsidP="000F78FC">
            <w:pPr>
              <w:spacing w:after="0" w:line="240" w:lineRule="auto"/>
              <w:rPr>
                <w:b/>
              </w:rPr>
            </w:pPr>
            <w:r w:rsidRPr="00A85FAC">
              <w:rPr>
                <w:b/>
              </w:rPr>
              <w:t>Application Opening Date</w:t>
            </w:r>
          </w:p>
        </w:tc>
        <w:tc>
          <w:tcPr>
            <w:tcW w:w="1369" w:type="pct"/>
            <w:vAlign w:val="center"/>
          </w:tcPr>
          <w:p w14:paraId="2736AD82" w14:textId="77777777" w:rsidR="00A85FAC" w:rsidRPr="00A85FAC" w:rsidRDefault="00A85FAC" w:rsidP="000F78FC">
            <w:pPr>
              <w:spacing w:after="0" w:line="240" w:lineRule="auto"/>
              <w:rPr>
                <w:b/>
              </w:rPr>
            </w:pPr>
            <w:r w:rsidRPr="00A85FAC">
              <w:rPr>
                <w:b/>
              </w:rPr>
              <w:t>Application Closing Date</w:t>
            </w:r>
          </w:p>
        </w:tc>
      </w:tr>
      <w:tr w:rsidR="00A85FAC" w:rsidRPr="00A85FAC" w14:paraId="3DD13271" w14:textId="77777777" w:rsidTr="000F78FC">
        <w:trPr>
          <w:cantSplit/>
          <w:trHeight w:val="300"/>
        </w:trPr>
        <w:tc>
          <w:tcPr>
            <w:tcW w:w="2168" w:type="pct"/>
            <w:shd w:val="clear" w:color="auto" w:fill="auto"/>
            <w:vAlign w:val="bottom"/>
          </w:tcPr>
          <w:p w14:paraId="77FFCE4D" w14:textId="3B20750B" w:rsidR="00A85FAC" w:rsidRPr="00A85FAC" w:rsidRDefault="006610B1" w:rsidP="000F78FC">
            <w:pPr>
              <w:spacing w:after="0" w:line="240" w:lineRule="auto"/>
            </w:pPr>
            <w:r>
              <w:t>iCURE 2019</w:t>
            </w:r>
            <w:r w:rsidR="00A85FAC" w:rsidRPr="00A85FAC">
              <w:t xml:space="preserve"> Program</w:t>
            </w:r>
          </w:p>
        </w:tc>
        <w:tc>
          <w:tcPr>
            <w:tcW w:w="1463" w:type="pct"/>
            <w:vAlign w:val="center"/>
          </w:tcPr>
          <w:p w14:paraId="2B9A4ECB" w14:textId="1A080DCB" w:rsidR="00A85FAC" w:rsidRPr="00A85FAC" w:rsidRDefault="006610B1" w:rsidP="000F78FC">
            <w:pPr>
              <w:spacing w:after="0" w:line="240" w:lineRule="auto"/>
            </w:pPr>
            <w:r>
              <w:t>Upon receiving clearance</w:t>
            </w:r>
          </w:p>
        </w:tc>
        <w:tc>
          <w:tcPr>
            <w:tcW w:w="1369" w:type="pct"/>
            <w:vAlign w:val="center"/>
          </w:tcPr>
          <w:p w14:paraId="59CD8E19" w14:textId="254E28F5" w:rsidR="00A85FAC" w:rsidRPr="00A85FAC" w:rsidRDefault="006610B1" w:rsidP="000F78FC">
            <w:pPr>
              <w:spacing w:after="0" w:line="240" w:lineRule="auto"/>
            </w:pPr>
            <w:r>
              <w:t>2 months after opening</w:t>
            </w:r>
          </w:p>
        </w:tc>
      </w:tr>
      <w:tr w:rsidR="00A85FAC" w:rsidRPr="00A85FAC" w14:paraId="6D041BB6" w14:textId="77777777" w:rsidTr="000F78FC">
        <w:trPr>
          <w:cantSplit/>
          <w:trHeight w:val="300"/>
        </w:trPr>
        <w:tc>
          <w:tcPr>
            <w:tcW w:w="2168" w:type="pct"/>
            <w:shd w:val="clear" w:color="auto" w:fill="auto"/>
            <w:vAlign w:val="bottom"/>
          </w:tcPr>
          <w:p w14:paraId="1D88FF55" w14:textId="5707BF15" w:rsidR="00A85FAC" w:rsidRPr="00A85FAC" w:rsidRDefault="006610B1" w:rsidP="000F78FC">
            <w:pPr>
              <w:spacing w:after="0" w:line="240" w:lineRule="auto"/>
            </w:pPr>
            <w:r>
              <w:t>iCURE 2020 Program</w:t>
            </w:r>
            <w:r w:rsidR="001C61B4">
              <w:t xml:space="preserve"> and following years</w:t>
            </w:r>
          </w:p>
        </w:tc>
        <w:tc>
          <w:tcPr>
            <w:tcW w:w="1463" w:type="pct"/>
            <w:vAlign w:val="center"/>
          </w:tcPr>
          <w:p w14:paraId="2BB81109" w14:textId="634C566A" w:rsidR="00A85FAC" w:rsidRPr="00A85FAC" w:rsidRDefault="001C61B4" w:rsidP="000F78FC">
            <w:pPr>
              <w:spacing w:after="0" w:line="240" w:lineRule="auto"/>
            </w:pPr>
            <w:r>
              <w:t>October</w:t>
            </w:r>
          </w:p>
        </w:tc>
        <w:tc>
          <w:tcPr>
            <w:tcW w:w="1369" w:type="pct"/>
            <w:vAlign w:val="center"/>
          </w:tcPr>
          <w:p w14:paraId="4F723FBD" w14:textId="6222388E" w:rsidR="00A85FAC" w:rsidRPr="00A85FAC" w:rsidRDefault="001C61B4" w:rsidP="000F78FC">
            <w:pPr>
              <w:spacing w:after="0" w:line="240" w:lineRule="auto"/>
            </w:pPr>
            <w:r>
              <w:t>December</w:t>
            </w:r>
          </w:p>
        </w:tc>
      </w:tr>
    </w:tbl>
    <w:p w14:paraId="719137EC" w14:textId="68B41850" w:rsidR="00A85FAC" w:rsidRPr="00E35DD1" w:rsidRDefault="00A85FAC" w:rsidP="00FF72FC"/>
    <w:p w14:paraId="2C59DB67" w14:textId="77777777" w:rsidR="00FF72FC" w:rsidRPr="001C61B4" w:rsidRDefault="00FF72FC" w:rsidP="000F78FC">
      <w:pPr>
        <w:spacing w:after="0" w:line="240" w:lineRule="auto"/>
        <w:rPr>
          <w:b/>
        </w:rPr>
      </w:pPr>
      <w:r w:rsidRPr="001C61B4">
        <w:rPr>
          <w:b/>
        </w:rPr>
        <w:t>A.17</w:t>
      </w:r>
      <w:r w:rsidRPr="001C61B4">
        <w:rPr>
          <w:b/>
        </w:rPr>
        <w:tab/>
        <w:t>Reason(s) Display of OMB Expiration Date is Inappropriate</w:t>
      </w:r>
    </w:p>
    <w:p w14:paraId="56E8F2CF" w14:textId="77777777" w:rsidR="00A85FAC" w:rsidRPr="00A85FAC" w:rsidRDefault="00A85FAC" w:rsidP="000F78FC">
      <w:pPr>
        <w:spacing w:after="0" w:line="240" w:lineRule="auto"/>
      </w:pPr>
      <w:r w:rsidRPr="00A85FAC">
        <w:t xml:space="preserve">There is no request for exemption from displaying the expiration date for OMB approval.  </w:t>
      </w:r>
    </w:p>
    <w:p w14:paraId="3AE7FCA7" w14:textId="77777777" w:rsidR="004A2CD6" w:rsidRDefault="004A2CD6" w:rsidP="000F78FC">
      <w:pPr>
        <w:spacing w:after="0" w:line="240" w:lineRule="auto"/>
        <w:rPr>
          <w:b/>
        </w:rPr>
      </w:pPr>
    </w:p>
    <w:p w14:paraId="33EB1F1C" w14:textId="4239B52B" w:rsidR="00FF72FC" w:rsidRPr="001C61B4" w:rsidRDefault="00FF72FC" w:rsidP="000F78FC">
      <w:pPr>
        <w:spacing w:after="0" w:line="240" w:lineRule="auto"/>
        <w:rPr>
          <w:b/>
        </w:rPr>
      </w:pPr>
      <w:r w:rsidRPr="001C61B4">
        <w:rPr>
          <w:b/>
        </w:rPr>
        <w:t>A.18</w:t>
      </w:r>
      <w:r w:rsidRPr="001C61B4">
        <w:rPr>
          <w:b/>
        </w:rPr>
        <w:tab/>
        <w:t>Exceptions to Certification for Paperwork Reduction Act Submissions</w:t>
      </w:r>
    </w:p>
    <w:p w14:paraId="6FF1EDEB" w14:textId="77777777" w:rsidR="00A85FAC" w:rsidRPr="00A85FAC" w:rsidRDefault="00A85FAC" w:rsidP="000F78FC">
      <w:pPr>
        <w:spacing w:after="0" w:line="240" w:lineRule="auto"/>
        <w:rPr>
          <w:color w:val="000000"/>
        </w:rPr>
      </w:pPr>
      <w:r w:rsidRPr="00A85FAC">
        <w:rPr>
          <w:color w:val="000000"/>
        </w:rPr>
        <w:t>There are no exceptions to the Certification for Paperwork Reduction Act Submissions.</w:t>
      </w:r>
    </w:p>
    <w:sectPr w:rsidR="00A85FAC" w:rsidRPr="00A85FAC" w:rsidSect="00FE6EA5">
      <w:footerReference w:type="even" r:id="rId18"/>
      <w:footerReference w:type="default" r:id="rId19"/>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CD76D" w14:textId="77777777" w:rsidR="00E946E0" w:rsidRDefault="00E946E0">
      <w:pPr>
        <w:spacing w:after="0" w:line="240" w:lineRule="auto"/>
      </w:pPr>
      <w:r>
        <w:separator/>
      </w:r>
    </w:p>
  </w:endnote>
  <w:endnote w:type="continuationSeparator" w:id="0">
    <w:p w14:paraId="61C2C1BC" w14:textId="77777777" w:rsidR="00E946E0" w:rsidRDefault="00E9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1A1B" w14:textId="77777777" w:rsidR="00F069DB" w:rsidRDefault="00F069DB" w:rsidP="004437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A442B" w14:textId="77777777" w:rsidR="00F069DB" w:rsidRDefault="00F06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9531655"/>
      <w:docPartObj>
        <w:docPartGallery w:val="Page Numbers (Bottom of Page)"/>
        <w:docPartUnique/>
      </w:docPartObj>
    </w:sdtPr>
    <w:sdtEndPr>
      <w:rPr>
        <w:rStyle w:val="PageNumber"/>
      </w:rPr>
    </w:sdtEndPr>
    <w:sdtContent>
      <w:p w14:paraId="78AF60A2" w14:textId="77777777" w:rsidR="00F069DB" w:rsidRDefault="00F069DB" w:rsidP="001546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9453C">
          <w:rPr>
            <w:rStyle w:val="PageNumber"/>
            <w:noProof/>
          </w:rPr>
          <w:t>ii</w:t>
        </w:r>
        <w:r>
          <w:rPr>
            <w:rStyle w:val="PageNumber"/>
          </w:rPr>
          <w:fldChar w:fldCharType="end"/>
        </w:r>
      </w:p>
    </w:sdtContent>
  </w:sdt>
  <w:p w14:paraId="7B1B2D1F" w14:textId="77777777" w:rsidR="00F069DB" w:rsidRDefault="00F06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FA39" w14:textId="77777777" w:rsidR="007E3883" w:rsidRDefault="007E3883"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020BE" w14:textId="77777777" w:rsidR="007E3883" w:rsidRDefault="007E38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5E9D" w14:textId="366F25CA" w:rsidR="007E3883" w:rsidRDefault="007E3883"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982">
      <w:rPr>
        <w:rStyle w:val="PageNumber"/>
        <w:noProof/>
      </w:rPr>
      <w:t>9</w:t>
    </w:r>
    <w:r>
      <w:rPr>
        <w:rStyle w:val="PageNumber"/>
      </w:rPr>
      <w:fldChar w:fldCharType="end"/>
    </w:r>
  </w:p>
  <w:p w14:paraId="79008154" w14:textId="77777777" w:rsidR="007E3883" w:rsidRDefault="007E3883"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591C" w14:textId="77777777" w:rsidR="00E946E0" w:rsidRDefault="00E946E0">
      <w:pPr>
        <w:spacing w:after="0" w:line="240" w:lineRule="auto"/>
      </w:pPr>
      <w:r>
        <w:separator/>
      </w:r>
    </w:p>
  </w:footnote>
  <w:footnote w:type="continuationSeparator" w:id="0">
    <w:p w14:paraId="780B2CC0" w14:textId="77777777" w:rsidR="00E946E0" w:rsidRDefault="00E94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507"/>
    <w:multiLevelType w:val="hybridMultilevel"/>
    <w:tmpl w:val="B7B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876E3"/>
    <w:multiLevelType w:val="hybridMultilevel"/>
    <w:tmpl w:val="01A8090A"/>
    <w:lvl w:ilvl="0" w:tplc="971A4D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D590CD5"/>
    <w:multiLevelType w:val="hybridMultilevel"/>
    <w:tmpl w:val="F47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D5AF8"/>
    <w:multiLevelType w:val="hybridMultilevel"/>
    <w:tmpl w:val="45F89F0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13"/>
  </w:num>
  <w:num w:numId="2">
    <w:abstractNumId w:val="5"/>
  </w:num>
  <w:num w:numId="3">
    <w:abstractNumId w:val="11"/>
  </w:num>
  <w:num w:numId="4">
    <w:abstractNumId w:val="2"/>
  </w:num>
  <w:num w:numId="5">
    <w:abstractNumId w:val="7"/>
  </w:num>
  <w:num w:numId="6">
    <w:abstractNumId w:val="6"/>
  </w:num>
  <w:num w:numId="7">
    <w:abstractNumId w:val="8"/>
  </w:num>
  <w:num w:numId="8">
    <w:abstractNumId w:val="10"/>
  </w:num>
  <w:num w:numId="9">
    <w:abstractNumId w:val="9"/>
  </w:num>
  <w:num w:numId="10">
    <w:abstractNumId w:val="12"/>
  </w:num>
  <w:num w:numId="11">
    <w:abstractNumId w:val="4"/>
  </w:num>
  <w:num w:numId="12">
    <w:abstractNumId w:val="14"/>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kwqgUATAndWSwAAAA="/>
  </w:docVars>
  <w:rsids>
    <w:rsidRoot w:val="000F3043"/>
    <w:rsid w:val="00012A23"/>
    <w:rsid w:val="00024899"/>
    <w:rsid w:val="000319F9"/>
    <w:rsid w:val="00051406"/>
    <w:rsid w:val="000551A9"/>
    <w:rsid w:val="00086A0D"/>
    <w:rsid w:val="000B3929"/>
    <w:rsid w:val="000B3961"/>
    <w:rsid w:val="000C4A4A"/>
    <w:rsid w:val="000C5E58"/>
    <w:rsid w:val="000E1C4C"/>
    <w:rsid w:val="000F3043"/>
    <w:rsid w:val="000F78D3"/>
    <w:rsid w:val="000F78FC"/>
    <w:rsid w:val="001002A4"/>
    <w:rsid w:val="001110E2"/>
    <w:rsid w:val="00111C33"/>
    <w:rsid w:val="001134FD"/>
    <w:rsid w:val="00122B86"/>
    <w:rsid w:val="00134D83"/>
    <w:rsid w:val="0016469E"/>
    <w:rsid w:val="00170EC9"/>
    <w:rsid w:val="00190919"/>
    <w:rsid w:val="001A1982"/>
    <w:rsid w:val="001C61B4"/>
    <w:rsid w:val="001C66C9"/>
    <w:rsid w:val="001F5A51"/>
    <w:rsid w:val="00206918"/>
    <w:rsid w:val="00236E27"/>
    <w:rsid w:val="00241B6D"/>
    <w:rsid w:val="00245089"/>
    <w:rsid w:val="00254868"/>
    <w:rsid w:val="00255F7C"/>
    <w:rsid w:val="00257327"/>
    <w:rsid w:val="00266ED2"/>
    <w:rsid w:val="002670CD"/>
    <w:rsid w:val="0029453C"/>
    <w:rsid w:val="002A044E"/>
    <w:rsid w:val="002A0D8E"/>
    <w:rsid w:val="002B410A"/>
    <w:rsid w:val="002D2F48"/>
    <w:rsid w:val="002F2543"/>
    <w:rsid w:val="002F4317"/>
    <w:rsid w:val="0030270C"/>
    <w:rsid w:val="00312856"/>
    <w:rsid w:val="003201F7"/>
    <w:rsid w:val="00322320"/>
    <w:rsid w:val="003328E2"/>
    <w:rsid w:val="00350B9E"/>
    <w:rsid w:val="0036208F"/>
    <w:rsid w:val="00396A70"/>
    <w:rsid w:val="003B022C"/>
    <w:rsid w:val="003B035E"/>
    <w:rsid w:val="003E33A2"/>
    <w:rsid w:val="003E5C04"/>
    <w:rsid w:val="0041425F"/>
    <w:rsid w:val="0042003F"/>
    <w:rsid w:val="00421D25"/>
    <w:rsid w:val="0045044D"/>
    <w:rsid w:val="004508D9"/>
    <w:rsid w:val="004528F9"/>
    <w:rsid w:val="004716CF"/>
    <w:rsid w:val="00482AFA"/>
    <w:rsid w:val="00497B81"/>
    <w:rsid w:val="004A2CD6"/>
    <w:rsid w:val="004A69C0"/>
    <w:rsid w:val="004B5617"/>
    <w:rsid w:val="004B5A1D"/>
    <w:rsid w:val="004B71E8"/>
    <w:rsid w:val="004D6F39"/>
    <w:rsid w:val="004E0A4E"/>
    <w:rsid w:val="004F33A8"/>
    <w:rsid w:val="005150E7"/>
    <w:rsid w:val="005178F4"/>
    <w:rsid w:val="00526930"/>
    <w:rsid w:val="005410EA"/>
    <w:rsid w:val="005577DE"/>
    <w:rsid w:val="00564D1F"/>
    <w:rsid w:val="00567FD6"/>
    <w:rsid w:val="0058578D"/>
    <w:rsid w:val="005A3792"/>
    <w:rsid w:val="005A7D42"/>
    <w:rsid w:val="005B6B06"/>
    <w:rsid w:val="005C7439"/>
    <w:rsid w:val="005F153C"/>
    <w:rsid w:val="005F4A54"/>
    <w:rsid w:val="00607319"/>
    <w:rsid w:val="006246A2"/>
    <w:rsid w:val="00643B2D"/>
    <w:rsid w:val="00643D2B"/>
    <w:rsid w:val="006610B1"/>
    <w:rsid w:val="00664E96"/>
    <w:rsid w:val="006760FD"/>
    <w:rsid w:val="00682593"/>
    <w:rsid w:val="006825BB"/>
    <w:rsid w:val="0068431C"/>
    <w:rsid w:val="00685B30"/>
    <w:rsid w:val="006A3B1A"/>
    <w:rsid w:val="006A45F9"/>
    <w:rsid w:val="007063F8"/>
    <w:rsid w:val="00717158"/>
    <w:rsid w:val="00743786"/>
    <w:rsid w:val="00767C53"/>
    <w:rsid w:val="00771447"/>
    <w:rsid w:val="00793C08"/>
    <w:rsid w:val="007A3949"/>
    <w:rsid w:val="007A447F"/>
    <w:rsid w:val="007D11BF"/>
    <w:rsid w:val="007D30D8"/>
    <w:rsid w:val="007E0F97"/>
    <w:rsid w:val="007E3883"/>
    <w:rsid w:val="007E6B4C"/>
    <w:rsid w:val="007E6F9C"/>
    <w:rsid w:val="00805CD8"/>
    <w:rsid w:val="00812580"/>
    <w:rsid w:val="008245F4"/>
    <w:rsid w:val="00824D7E"/>
    <w:rsid w:val="008359FA"/>
    <w:rsid w:val="0086248B"/>
    <w:rsid w:val="008942E9"/>
    <w:rsid w:val="00894FF4"/>
    <w:rsid w:val="008A23F9"/>
    <w:rsid w:val="008A2FFB"/>
    <w:rsid w:val="008B28CE"/>
    <w:rsid w:val="008C4FD5"/>
    <w:rsid w:val="008D2770"/>
    <w:rsid w:val="00923F1B"/>
    <w:rsid w:val="00926AF5"/>
    <w:rsid w:val="00931C28"/>
    <w:rsid w:val="00940C8C"/>
    <w:rsid w:val="00941822"/>
    <w:rsid w:val="009442AB"/>
    <w:rsid w:val="0095737A"/>
    <w:rsid w:val="009667B2"/>
    <w:rsid w:val="00974AC5"/>
    <w:rsid w:val="00976305"/>
    <w:rsid w:val="009810A0"/>
    <w:rsid w:val="0098418D"/>
    <w:rsid w:val="00987A37"/>
    <w:rsid w:val="00996AD2"/>
    <w:rsid w:val="009A69D6"/>
    <w:rsid w:val="009B033F"/>
    <w:rsid w:val="009C35FE"/>
    <w:rsid w:val="009C3E9D"/>
    <w:rsid w:val="009F6E99"/>
    <w:rsid w:val="00A00CF8"/>
    <w:rsid w:val="00A15A36"/>
    <w:rsid w:val="00A15E7C"/>
    <w:rsid w:val="00A27F45"/>
    <w:rsid w:val="00A47AD8"/>
    <w:rsid w:val="00A60C1E"/>
    <w:rsid w:val="00A70A03"/>
    <w:rsid w:val="00A73F06"/>
    <w:rsid w:val="00A85FAC"/>
    <w:rsid w:val="00A86220"/>
    <w:rsid w:val="00AA013F"/>
    <w:rsid w:val="00AA604C"/>
    <w:rsid w:val="00AA7506"/>
    <w:rsid w:val="00AB2D89"/>
    <w:rsid w:val="00AB4E84"/>
    <w:rsid w:val="00AB5D88"/>
    <w:rsid w:val="00AC5E11"/>
    <w:rsid w:val="00AD59B9"/>
    <w:rsid w:val="00AF34B3"/>
    <w:rsid w:val="00B00EB3"/>
    <w:rsid w:val="00B0159F"/>
    <w:rsid w:val="00B0197E"/>
    <w:rsid w:val="00B03736"/>
    <w:rsid w:val="00B30B0B"/>
    <w:rsid w:val="00B341C3"/>
    <w:rsid w:val="00B61623"/>
    <w:rsid w:val="00B70CFD"/>
    <w:rsid w:val="00B77BE4"/>
    <w:rsid w:val="00BB0B26"/>
    <w:rsid w:val="00BB1CA1"/>
    <w:rsid w:val="00BB5BCC"/>
    <w:rsid w:val="00BC3D56"/>
    <w:rsid w:val="00BC4DB2"/>
    <w:rsid w:val="00BD2A3F"/>
    <w:rsid w:val="00BE5EFA"/>
    <w:rsid w:val="00BE76A7"/>
    <w:rsid w:val="00BF0C39"/>
    <w:rsid w:val="00BF491C"/>
    <w:rsid w:val="00BF49F1"/>
    <w:rsid w:val="00C05041"/>
    <w:rsid w:val="00C13971"/>
    <w:rsid w:val="00C36E14"/>
    <w:rsid w:val="00C37E21"/>
    <w:rsid w:val="00C448E8"/>
    <w:rsid w:val="00C536BE"/>
    <w:rsid w:val="00C54848"/>
    <w:rsid w:val="00C65C39"/>
    <w:rsid w:val="00C67B05"/>
    <w:rsid w:val="00C8332E"/>
    <w:rsid w:val="00C92BF8"/>
    <w:rsid w:val="00C95863"/>
    <w:rsid w:val="00CA440F"/>
    <w:rsid w:val="00CB0B1D"/>
    <w:rsid w:val="00CB398B"/>
    <w:rsid w:val="00CC0716"/>
    <w:rsid w:val="00CC5566"/>
    <w:rsid w:val="00CE16B5"/>
    <w:rsid w:val="00CF32D6"/>
    <w:rsid w:val="00D233BF"/>
    <w:rsid w:val="00D30E2F"/>
    <w:rsid w:val="00D34BE5"/>
    <w:rsid w:val="00D7280E"/>
    <w:rsid w:val="00D77212"/>
    <w:rsid w:val="00D81EE6"/>
    <w:rsid w:val="00DA38C6"/>
    <w:rsid w:val="00DB1217"/>
    <w:rsid w:val="00DB1B1F"/>
    <w:rsid w:val="00DB7E78"/>
    <w:rsid w:val="00DB7F4C"/>
    <w:rsid w:val="00DE5570"/>
    <w:rsid w:val="00DF45C7"/>
    <w:rsid w:val="00E03967"/>
    <w:rsid w:val="00E07BB3"/>
    <w:rsid w:val="00E150BC"/>
    <w:rsid w:val="00E22C2E"/>
    <w:rsid w:val="00E23A77"/>
    <w:rsid w:val="00E23CFA"/>
    <w:rsid w:val="00E26338"/>
    <w:rsid w:val="00E3243A"/>
    <w:rsid w:val="00E35DD1"/>
    <w:rsid w:val="00E43E39"/>
    <w:rsid w:val="00E56374"/>
    <w:rsid w:val="00E5795A"/>
    <w:rsid w:val="00E62B8C"/>
    <w:rsid w:val="00E65DCC"/>
    <w:rsid w:val="00E67B10"/>
    <w:rsid w:val="00E72390"/>
    <w:rsid w:val="00E7722F"/>
    <w:rsid w:val="00E92336"/>
    <w:rsid w:val="00E946E0"/>
    <w:rsid w:val="00EE245F"/>
    <w:rsid w:val="00EF7F62"/>
    <w:rsid w:val="00F04013"/>
    <w:rsid w:val="00F069DB"/>
    <w:rsid w:val="00F14A4A"/>
    <w:rsid w:val="00F33485"/>
    <w:rsid w:val="00F37247"/>
    <w:rsid w:val="00F40CE3"/>
    <w:rsid w:val="00F52557"/>
    <w:rsid w:val="00F60B93"/>
    <w:rsid w:val="00F625AC"/>
    <w:rsid w:val="00F63ECC"/>
    <w:rsid w:val="00F64546"/>
    <w:rsid w:val="00F661B1"/>
    <w:rsid w:val="00F72474"/>
    <w:rsid w:val="00F72F57"/>
    <w:rsid w:val="00F806D8"/>
    <w:rsid w:val="00F826B7"/>
    <w:rsid w:val="00F916A4"/>
    <w:rsid w:val="00FA16ED"/>
    <w:rsid w:val="00FB346E"/>
    <w:rsid w:val="00FB6795"/>
    <w:rsid w:val="00FC27A7"/>
    <w:rsid w:val="00FC39C3"/>
    <w:rsid w:val="00FC631C"/>
    <w:rsid w:val="00FD76A2"/>
    <w:rsid w:val="00FE41F9"/>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semiHidden/>
    <w:unhideWhenUsed/>
    <w:qFormat/>
    <w:rsid w:val="004B56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6795"/>
    <w:pPr>
      <w:spacing w:before="100" w:beforeAutospacing="1" w:after="100" w:afterAutospacing="1" w:line="240" w:lineRule="auto"/>
    </w:pPr>
    <w:rPr>
      <w:rFonts w:ascii="Times New Roman" w:eastAsia="MS Mincho" w:hAnsi="Times New Roman"/>
      <w:sz w:val="24"/>
      <w:szCs w:val="24"/>
      <w:lang w:eastAsia="ja-JP"/>
    </w:rPr>
  </w:style>
  <w:style w:type="character" w:styleId="CommentReference">
    <w:name w:val="annotation reference"/>
    <w:basedOn w:val="DefaultParagraphFont"/>
    <w:uiPriority w:val="99"/>
    <w:semiHidden/>
    <w:unhideWhenUsed/>
    <w:rsid w:val="00F37247"/>
    <w:rPr>
      <w:sz w:val="18"/>
      <w:szCs w:val="18"/>
    </w:rPr>
  </w:style>
  <w:style w:type="paragraph" w:styleId="CommentText">
    <w:name w:val="annotation text"/>
    <w:basedOn w:val="Normal"/>
    <w:link w:val="CommentTextChar"/>
    <w:uiPriority w:val="99"/>
    <w:semiHidden/>
    <w:unhideWhenUsed/>
    <w:rsid w:val="00F37247"/>
    <w:pPr>
      <w:spacing w:line="240" w:lineRule="auto"/>
    </w:pPr>
    <w:rPr>
      <w:sz w:val="24"/>
      <w:szCs w:val="24"/>
    </w:rPr>
  </w:style>
  <w:style w:type="character" w:customStyle="1" w:styleId="CommentTextChar">
    <w:name w:val="Comment Text Char"/>
    <w:basedOn w:val="DefaultParagraphFont"/>
    <w:link w:val="CommentText"/>
    <w:uiPriority w:val="99"/>
    <w:semiHidden/>
    <w:rsid w:val="00F37247"/>
    <w:rPr>
      <w:sz w:val="24"/>
      <w:szCs w:val="24"/>
    </w:rPr>
  </w:style>
  <w:style w:type="paragraph" w:styleId="CommentSubject">
    <w:name w:val="annotation subject"/>
    <w:basedOn w:val="CommentText"/>
    <w:next w:val="CommentText"/>
    <w:link w:val="CommentSubjectChar"/>
    <w:uiPriority w:val="99"/>
    <w:semiHidden/>
    <w:unhideWhenUsed/>
    <w:rsid w:val="00F37247"/>
    <w:rPr>
      <w:b/>
      <w:bCs/>
      <w:sz w:val="20"/>
      <w:szCs w:val="20"/>
    </w:rPr>
  </w:style>
  <w:style w:type="character" w:customStyle="1" w:styleId="CommentSubjectChar">
    <w:name w:val="Comment Subject Char"/>
    <w:basedOn w:val="CommentTextChar"/>
    <w:link w:val="CommentSubject"/>
    <w:uiPriority w:val="99"/>
    <w:semiHidden/>
    <w:rsid w:val="00F37247"/>
    <w:rPr>
      <w:b/>
      <w:bCs/>
      <w:sz w:val="24"/>
      <w:szCs w:val="24"/>
    </w:rPr>
  </w:style>
  <w:style w:type="character" w:customStyle="1" w:styleId="Heading3Char">
    <w:name w:val="Heading 3 Char"/>
    <w:basedOn w:val="DefaultParagraphFont"/>
    <w:link w:val="Heading3"/>
    <w:uiPriority w:val="9"/>
    <w:semiHidden/>
    <w:rsid w:val="004B561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31C28"/>
    <w:rPr>
      <w:color w:val="800080" w:themeColor="followedHyperlink"/>
      <w:u w:val="single"/>
    </w:rPr>
  </w:style>
  <w:style w:type="character" w:customStyle="1" w:styleId="UnresolvedMention">
    <w:name w:val="Unresolved Mention"/>
    <w:basedOn w:val="DefaultParagraphFont"/>
    <w:uiPriority w:val="99"/>
    <w:rsid w:val="00F826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semiHidden/>
    <w:unhideWhenUsed/>
    <w:qFormat/>
    <w:rsid w:val="004B56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6795"/>
    <w:pPr>
      <w:spacing w:before="100" w:beforeAutospacing="1" w:after="100" w:afterAutospacing="1" w:line="240" w:lineRule="auto"/>
    </w:pPr>
    <w:rPr>
      <w:rFonts w:ascii="Times New Roman" w:eastAsia="MS Mincho" w:hAnsi="Times New Roman"/>
      <w:sz w:val="24"/>
      <w:szCs w:val="24"/>
      <w:lang w:eastAsia="ja-JP"/>
    </w:rPr>
  </w:style>
  <w:style w:type="character" w:styleId="CommentReference">
    <w:name w:val="annotation reference"/>
    <w:basedOn w:val="DefaultParagraphFont"/>
    <w:uiPriority w:val="99"/>
    <w:semiHidden/>
    <w:unhideWhenUsed/>
    <w:rsid w:val="00F37247"/>
    <w:rPr>
      <w:sz w:val="18"/>
      <w:szCs w:val="18"/>
    </w:rPr>
  </w:style>
  <w:style w:type="paragraph" w:styleId="CommentText">
    <w:name w:val="annotation text"/>
    <w:basedOn w:val="Normal"/>
    <w:link w:val="CommentTextChar"/>
    <w:uiPriority w:val="99"/>
    <w:semiHidden/>
    <w:unhideWhenUsed/>
    <w:rsid w:val="00F37247"/>
    <w:pPr>
      <w:spacing w:line="240" w:lineRule="auto"/>
    </w:pPr>
    <w:rPr>
      <w:sz w:val="24"/>
      <w:szCs w:val="24"/>
    </w:rPr>
  </w:style>
  <w:style w:type="character" w:customStyle="1" w:styleId="CommentTextChar">
    <w:name w:val="Comment Text Char"/>
    <w:basedOn w:val="DefaultParagraphFont"/>
    <w:link w:val="CommentText"/>
    <w:uiPriority w:val="99"/>
    <w:semiHidden/>
    <w:rsid w:val="00F37247"/>
    <w:rPr>
      <w:sz w:val="24"/>
      <w:szCs w:val="24"/>
    </w:rPr>
  </w:style>
  <w:style w:type="paragraph" w:styleId="CommentSubject">
    <w:name w:val="annotation subject"/>
    <w:basedOn w:val="CommentText"/>
    <w:next w:val="CommentText"/>
    <w:link w:val="CommentSubjectChar"/>
    <w:uiPriority w:val="99"/>
    <w:semiHidden/>
    <w:unhideWhenUsed/>
    <w:rsid w:val="00F37247"/>
    <w:rPr>
      <w:b/>
      <w:bCs/>
      <w:sz w:val="20"/>
      <w:szCs w:val="20"/>
    </w:rPr>
  </w:style>
  <w:style w:type="character" w:customStyle="1" w:styleId="CommentSubjectChar">
    <w:name w:val="Comment Subject Char"/>
    <w:basedOn w:val="CommentTextChar"/>
    <w:link w:val="CommentSubject"/>
    <w:uiPriority w:val="99"/>
    <w:semiHidden/>
    <w:rsid w:val="00F37247"/>
    <w:rPr>
      <w:b/>
      <w:bCs/>
      <w:sz w:val="24"/>
      <w:szCs w:val="24"/>
    </w:rPr>
  </w:style>
  <w:style w:type="character" w:customStyle="1" w:styleId="Heading3Char">
    <w:name w:val="Heading 3 Char"/>
    <w:basedOn w:val="DefaultParagraphFont"/>
    <w:link w:val="Heading3"/>
    <w:uiPriority w:val="9"/>
    <w:semiHidden/>
    <w:rsid w:val="004B561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31C28"/>
    <w:rPr>
      <w:color w:val="800080" w:themeColor="followedHyperlink"/>
      <w:u w:val="single"/>
    </w:rPr>
  </w:style>
  <w:style w:type="character" w:customStyle="1" w:styleId="UnresolvedMention">
    <w:name w:val="Unresolved Mention"/>
    <w:basedOn w:val="DefaultParagraphFont"/>
    <w:uiPriority w:val="99"/>
    <w:rsid w:val="00F82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86">
      <w:bodyDiv w:val="1"/>
      <w:marLeft w:val="0"/>
      <w:marRight w:val="0"/>
      <w:marTop w:val="0"/>
      <w:marBottom w:val="0"/>
      <w:divBdr>
        <w:top w:val="none" w:sz="0" w:space="0" w:color="auto"/>
        <w:left w:val="none" w:sz="0" w:space="0" w:color="auto"/>
        <w:bottom w:val="none" w:sz="0" w:space="0" w:color="auto"/>
        <w:right w:val="none" w:sz="0" w:space="0" w:color="auto"/>
      </w:divBdr>
    </w:div>
    <w:div w:id="206722487">
      <w:bodyDiv w:val="1"/>
      <w:marLeft w:val="0"/>
      <w:marRight w:val="0"/>
      <w:marTop w:val="0"/>
      <w:marBottom w:val="0"/>
      <w:divBdr>
        <w:top w:val="none" w:sz="0" w:space="0" w:color="auto"/>
        <w:left w:val="none" w:sz="0" w:space="0" w:color="auto"/>
        <w:bottom w:val="none" w:sz="0" w:space="0" w:color="auto"/>
        <w:right w:val="none" w:sz="0" w:space="0" w:color="auto"/>
      </w:divBdr>
    </w:div>
    <w:div w:id="713386511">
      <w:bodyDiv w:val="1"/>
      <w:marLeft w:val="0"/>
      <w:marRight w:val="0"/>
      <w:marTop w:val="0"/>
      <w:marBottom w:val="0"/>
      <w:divBdr>
        <w:top w:val="none" w:sz="0" w:space="0" w:color="auto"/>
        <w:left w:val="none" w:sz="0" w:space="0" w:color="auto"/>
        <w:bottom w:val="none" w:sz="0" w:space="0" w:color="auto"/>
        <w:right w:val="none" w:sz="0" w:space="0" w:color="auto"/>
      </w:divBdr>
    </w:div>
    <w:div w:id="751777456">
      <w:bodyDiv w:val="1"/>
      <w:marLeft w:val="0"/>
      <w:marRight w:val="0"/>
      <w:marTop w:val="0"/>
      <w:marBottom w:val="0"/>
      <w:divBdr>
        <w:top w:val="none" w:sz="0" w:space="0" w:color="auto"/>
        <w:left w:val="none" w:sz="0" w:space="0" w:color="auto"/>
        <w:bottom w:val="none" w:sz="0" w:space="0" w:color="auto"/>
        <w:right w:val="none" w:sz="0" w:space="0" w:color="auto"/>
      </w:divBdr>
    </w:div>
    <w:div w:id="893390751">
      <w:bodyDiv w:val="1"/>
      <w:marLeft w:val="0"/>
      <w:marRight w:val="0"/>
      <w:marTop w:val="0"/>
      <w:marBottom w:val="0"/>
      <w:divBdr>
        <w:top w:val="none" w:sz="0" w:space="0" w:color="auto"/>
        <w:left w:val="none" w:sz="0" w:space="0" w:color="auto"/>
        <w:bottom w:val="none" w:sz="0" w:space="0" w:color="auto"/>
        <w:right w:val="none" w:sz="0" w:space="0" w:color="auto"/>
      </w:divBdr>
    </w:div>
    <w:div w:id="1041587977">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24300878">
      <w:bodyDiv w:val="1"/>
      <w:marLeft w:val="0"/>
      <w:marRight w:val="0"/>
      <w:marTop w:val="0"/>
      <w:marBottom w:val="0"/>
      <w:divBdr>
        <w:top w:val="none" w:sz="0" w:space="0" w:color="auto"/>
        <w:left w:val="none" w:sz="0" w:space="0" w:color="auto"/>
        <w:bottom w:val="none" w:sz="0" w:space="0" w:color="auto"/>
        <w:right w:val="none" w:sz="0" w:space="0" w:color="auto"/>
      </w:divBdr>
    </w:div>
    <w:div w:id="1433084972">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493257615">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816530534">
      <w:bodyDiv w:val="1"/>
      <w:marLeft w:val="0"/>
      <w:marRight w:val="0"/>
      <w:marTop w:val="0"/>
      <w:marBottom w:val="0"/>
      <w:divBdr>
        <w:top w:val="none" w:sz="0" w:space="0" w:color="auto"/>
        <w:left w:val="none" w:sz="0" w:space="0" w:color="auto"/>
        <w:bottom w:val="none" w:sz="0" w:space="0" w:color="auto"/>
        <w:right w:val="none" w:sz="0" w:space="0" w:color="auto"/>
      </w:divBdr>
    </w:div>
    <w:div w:id="2089182486">
      <w:bodyDiv w:val="1"/>
      <w:marLeft w:val="0"/>
      <w:marRight w:val="0"/>
      <w:marTop w:val="0"/>
      <w:marBottom w:val="0"/>
      <w:divBdr>
        <w:top w:val="none" w:sz="0" w:space="0" w:color="auto"/>
        <w:left w:val="none" w:sz="0" w:space="0" w:color="auto"/>
        <w:bottom w:val="none" w:sz="0" w:space="0" w:color="auto"/>
        <w:right w:val="none" w:sz="0" w:space="0" w:color="auto"/>
      </w:divBdr>
    </w:div>
    <w:div w:id="21184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grams@od.nih.go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ir.nih.gov/sourcebook/personnel/irp-demographics/intramural-research-program-personnel-demographics-end-fy16" TargetMode="External"/><Relationship Id="rId17" Type="http://schemas.openxmlformats.org/officeDocument/2006/relationships/hyperlink" Target="https://www.calculators.org/savings/wage-conversion.php" TargetMode="External"/><Relationship Id="rId2" Type="http://schemas.openxmlformats.org/officeDocument/2006/relationships/numbering" Target="numbering.xml"/><Relationship Id="rId16" Type="http://schemas.openxmlformats.org/officeDocument/2006/relationships/hyperlink" Target="https://www.cancer.gov/grants-training/training/at-nci/crt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okolovp@od.nih.gov"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linaj@mail.nih.gov" TargetMode="External"/><Relationship Id="rId14" Type="http://schemas.openxmlformats.org/officeDocument/2006/relationships/hyperlink" Target="mailto:wagnerpa@o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25038</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2018-06-20T17:51:00Z</cp:lastPrinted>
  <dcterms:created xsi:type="dcterms:W3CDTF">2018-10-16T15:58:00Z</dcterms:created>
  <dcterms:modified xsi:type="dcterms:W3CDTF">2018-10-16T15:58:00Z</dcterms:modified>
</cp:coreProperties>
</file>