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FE62" w14:textId="77777777" w:rsidR="00A00952" w:rsidRDefault="00A00952" w:rsidP="00F8635A">
      <w:pPr>
        <w:jc w:val="center"/>
        <w:rPr>
          <w:b/>
          <w:sz w:val="28"/>
          <w:szCs w:val="28"/>
        </w:rPr>
      </w:pPr>
      <w:bookmarkStart w:id="0" w:name="_GoBack"/>
      <w:bookmarkEnd w:id="0"/>
    </w:p>
    <w:p w14:paraId="5FDF14FD" w14:textId="4E5E84D7" w:rsidR="002D1363" w:rsidRDefault="00F8635A" w:rsidP="00F8635A">
      <w:pPr>
        <w:jc w:val="center"/>
        <w:rPr>
          <w:b/>
          <w:sz w:val="28"/>
          <w:szCs w:val="28"/>
        </w:rPr>
      </w:pPr>
      <w:r w:rsidRPr="004674C3">
        <w:rPr>
          <w:b/>
          <w:sz w:val="28"/>
          <w:szCs w:val="28"/>
        </w:rPr>
        <w:t>Supporting Statement</w:t>
      </w:r>
      <w:r w:rsidR="002D1363">
        <w:rPr>
          <w:b/>
          <w:sz w:val="28"/>
          <w:szCs w:val="28"/>
        </w:rPr>
        <w:t xml:space="preserve"> A</w:t>
      </w:r>
    </w:p>
    <w:p w14:paraId="0C3523C7" w14:textId="77777777" w:rsidR="00F8635A" w:rsidRPr="004674C3" w:rsidRDefault="00F8635A" w:rsidP="00F8635A">
      <w:pPr>
        <w:jc w:val="center"/>
        <w:rPr>
          <w:b/>
          <w:sz w:val="28"/>
          <w:szCs w:val="28"/>
        </w:rPr>
      </w:pPr>
      <w:r w:rsidRPr="004674C3">
        <w:rPr>
          <w:b/>
          <w:sz w:val="28"/>
          <w:szCs w:val="28"/>
        </w:rPr>
        <w:t xml:space="preserve">30 </w:t>
      </w:r>
      <w:smartTag w:uri="urn:schemas-microsoft-com:office:smarttags" w:element="stockticker">
        <w:r w:rsidRPr="004674C3">
          <w:rPr>
            <w:b/>
            <w:sz w:val="28"/>
            <w:szCs w:val="28"/>
          </w:rPr>
          <w:t>CFR</w:t>
        </w:r>
      </w:smartTag>
      <w:r w:rsidRPr="004674C3">
        <w:rPr>
          <w:b/>
          <w:sz w:val="28"/>
          <w:szCs w:val="28"/>
        </w:rPr>
        <w:t xml:space="preserve"> 773</w:t>
      </w:r>
      <w:r w:rsidR="00533834" w:rsidRPr="004674C3">
        <w:rPr>
          <w:b/>
          <w:sz w:val="28"/>
          <w:szCs w:val="28"/>
        </w:rPr>
        <w:t xml:space="preserve"> – Requirements for Permits and Permit Processing</w:t>
      </w:r>
    </w:p>
    <w:p w14:paraId="6DAA3D84" w14:textId="77777777" w:rsidR="00533834" w:rsidRPr="004674C3" w:rsidRDefault="00533834" w:rsidP="00F8635A">
      <w:pPr>
        <w:jc w:val="center"/>
        <w:rPr>
          <w:b/>
          <w:sz w:val="28"/>
          <w:szCs w:val="28"/>
        </w:rPr>
      </w:pPr>
    </w:p>
    <w:p w14:paraId="3706E1F2" w14:textId="77777777" w:rsidR="00533834" w:rsidRPr="004674C3" w:rsidRDefault="001675A0" w:rsidP="00F8635A">
      <w:pPr>
        <w:jc w:val="center"/>
        <w:rPr>
          <w:b/>
          <w:sz w:val="28"/>
          <w:szCs w:val="28"/>
        </w:rPr>
      </w:pPr>
      <w:r w:rsidRPr="004674C3">
        <w:rPr>
          <w:b/>
          <w:sz w:val="28"/>
          <w:szCs w:val="28"/>
        </w:rPr>
        <w:t xml:space="preserve">OMB Control Number:  </w:t>
      </w:r>
      <w:r w:rsidR="00533834" w:rsidRPr="004674C3">
        <w:rPr>
          <w:b/>
          <w:sz w:val="28"/>
          <w:szCs w:val="28"/>
        </w:rPr>
        <w:t>1029-0115</w:t>
      </w:r>
    </w:p>
    <w:p w14:paraId="1E16D775" w14:textId="77777777" w:rsidR="00533834" w:rsidRDefault="00533834" w:rsidP="00F8635A">
      <w:pPr>
        <w:jc w:val="center"/>
        <w:rPr>
          <w:b/>
        </w:rPr>
      </w:pPr>
    </w:p>
    <w:p w14:paraId="6D547579" w14:textId="77777777" w:rsidR="00533834" w:rsidRPr="00542969" w:rsidRDefault="00533834" w:rsidP="00533834">
      <w:r w:rsidRPr="00542969">
        <w:t>Terms of clearance</w:t>
      </w:r>
      <w:smartTag w:uri="urn:schemas-microsoft-com:office:smarttags" w:element="PersonName">
        <w:r w:rsidRPr="00542969">
          <w:t>:</w:t>
        </w:r>
      </w:smartTag>
      <w:r w:rsidRPr="00542969">
        <w:t xml:space="preserve">  None</w:t>
      </w:r>
    </w:p>
    <w:p w14:paraId="5C2B9838" w14:textId="77777777" w:rsidR="00F8635A" w:rsidRPr="00542969" w:rsidRDefault="00F8635A" w:rsidP="00F8635A"/>
    <w:p w14:paraId="0F7B808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14:paraId="0FFE68E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E0B1FB0" w14:textId="77777777" w:rsidR="00E66A86" w:rsidRPr="00072AA0" w:rsidRDefault="00E66A86" w:rsidP="00E66A8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7BCB7E7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8C0CCFD"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14:paraId="2784F3A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285380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14:paraId="3BC3018A"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31EF049"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14:paraId="14F5029B"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6719ED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FE88B1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72C75B4"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FAC426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E7C0BE2"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14:paraId="07E0CC39"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607687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14:paraId="7540960B"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9C90FE4"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6.</w:t>
      </w:r>
      <w:r w:rsidRPr="00072AA0">
        <w:rPr>
          <w:i/>
        </w:rPr>
        <w:tab/>
        <w:t>Describe the consequence to Federal program or policy activities if the collection is not conducted or is conducted less frequently, as well as any technical or legal obstacles to reducing burden.</w:t>
      </w:r>
    </w:p>
    <w:p w14:paraId="41738D3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8FE878D"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14:paraId="27A2E1A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14:paraId="2EB7645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14:paraId="4C911893"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14:paraId="7568975D"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14:paraId="4883D46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14:paraId="04794D5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14:paraId="3C99B49D"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B2BDFA"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14:paraId="372F22F2"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65C72F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3B30110"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53C9768"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894D6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E6AE2A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585D4AC"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A3C805C"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9.</w:t>
      </w:r>
      <w:r w:rsidRPr="00072AA0">
        <w:rPr>
          <w:i/>
        </w:rPr>
        <w:tab/>
        <w:t>Explain any decision to provide any payment or gift to respondents, other than remuneration of contractors or grantees.</w:t>
      </w:r>
    </w:p>
    <w:p w14:paraId="0E1513E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9A94D8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14:paraId="4F0FE7E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0400A58"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D996C1"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D793A36"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14:paraId="5EBB0A20"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88045AA"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14:paraId="7BFD7501"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57E96E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4711423" w14:textId="71A8BDEE"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 xml:space="preserve">Provide an estimate of the total annual non-hour cost burden to respondents or </w:t>
      </w:r>
      <w:r w:rsidR="003A3A78" w:rsidRPr="00072AA0">
        <w:rPr>
          <w:i/>
        </w:rPr>
        <w:t>record-keepers</w:t>
      </w:r>
      <w:r w:rsidRPr="00072AA0">
        <w:rPr>
          <w:i/>
        </w:rPr>
        <w:t xml:space="preserve"> resulting from the collection of information.  (Do not include the cost of any hour burden already reflected in item 12.)</w:t>
      </w:r>
    </w:p>
    <w:p w14:paraId="211E36DE"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F2BA650"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97FF5C"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A2C6462"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413D607"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8067688"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AFDE46B"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14:paraId="7930D2BB"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111457F"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A3F2D3"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2A772C1"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14:paraId="0CEA1163"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AA9AA15" w14:textId="77777777" w:rsidR="00E66A86" w:rsidRPr="00072AA0" w:rsidRDefault="00E66A86" w:rsidP="00E66A8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14:paraId="29EE9410" w14:textId="77777777" w:rsidR="00F8635A" w:rsidRPr="00542969" w:rsidRDefault="004674C3" w:rsidP="0001583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42969">
        <w:rPr>
          <w:b/>
        </w:rPr>
        <w:br w:type="page"/>
      </w:r>
      <w:r w:rsidR="00F8635A" w:rsidRPr="00542969">
        <w:rPr>
          <w:b/>
        </w:rPr>
        <w:t>Introduction</w:t>
      </w:r>
    </w:p>
    <w:p w14:paraId="40B2F8A3" w14:textId="77777777" w:rsidR="00F8635A" w:rsidRPr="00542969" w:rsidRDefault="00F8635A" w:rsidP="00F8635A"/>
    <w:p w14:paraId="2CF9625A" w14:textId="200EF8E2" w:rsidR="00F8635A" w:rsidRDefault="00F8635A" w:rsidP="00F8635A">
      <w:r w:rsidRPr="00542969">
        <w:t>The Office of Surface Mining Reclamation and Enforcement (OSM</w:t>
      </w:r>
      <w:r w:rsidR="00EA5F8B">
        <w:t>RE</w:t>
      </w:r>
      <w:r w:rsidRPr="00542969">
        <w:t xml:space="preserve">) </w:t>
      </w:r>
      <w:r w:rsidR="004674C3" w:rsidRPr="00542969">
        <w:t xml:space="preserve">is </w:t>
      </w:r>
      <w:r w:rsidRPr="00542969">
        <w:t>submit</w:t>
      </w:r>
      <w:r w:rsidR="004674C3" w:rsidRPr="00542969">
        <w:t>ting</w:t>
      </w:r>
      <w:r w:rsidRPr="00542969">
        <w:t xml:space="preserve"> this request </w:t>
      </w:r>
      <w:r w:rsidR="00071D7A" w:rsidRPr="00542969">
        <w:t xml:space="preserve">to </w:t>
      </w:r>
      <w:r w:rsidR="004674C3" w:rsidRPr="00542969">
        <w:t xml:space="preserve">continue </w:t>
      </w:r>
      <w:r w:rsidR="00B70AD8" w:rsidRPr="00542969">
        <w:t xml:space="preserve">the </w:t>
      </w:r>
      <w:r w:rsidR="004674C3" w:rsidRPr="00542969">
        <w:t xml:space="preserve">collection </w:t>
      </w:r>
      <w:r w:rsidR="00B70AD8" w:rsidRPr="00542969">
        <w:t xml:space="preserve">of </w:t>
      </w:r>
      <w:r w:rsidRPr="00542969">
        <w:t xml:space="preserve">information </w:t>
      </w:r>
      <w:r w:rsidR="00B70AD8" w:rsidRPr="00542969">
        <w:t xml:space="preserve">for </w:t>
      </w:r>
      <w:r w:rsidRPr="00542969">
        <w:t xml:space="preserve">30 </w:t>
      </w:r>
      <w:smartTag w:uri="urn:schemas-microsoft-com:office:smarttags" w:element="stockticker">
        <w:r w:rsidRPr="00542969">
          <w:t>CFR</w:t>
        </w:r>
      </w:smartTag>
      <w:r w:rsidRPr="00542969">
        <w:t xml:space="preserve"> </w:t>
      </w:r>
      <w:r w:rsidR="008A381D">
        <w:t>Part</w:t>
      </w:r>
      <w:r w:rsidRPr="00542969">
        <w:t xml:space="preserve"> 773</w:t>
      </w:r>
      <w:r w:rsidR="004674C3" w:rsidRPr="00542969">
        <w:t xml:space="preserve"> - </w:t>
      </w:r>
      <w:r w:rsidRPr="00542969">
        <w:t xml:space="preserve">Requirements for Permits and Permit Processing.  The regulations </w:t>
      </w:r>
      <w:r w:rsidR="004674C3" w:rsidRPr="00542969">
        <w:t>for</w:t>
      </w:r>
      <w:r w:rsidR="009F76D8" w:rsidRPr="00542969">
        <w:t xml:space="preserve"> </w:t>
      </w:r>
      <w:r w:rsidR="008A381D">
        <w:t>Part</w:t>
      </w:r>
      <w:r w:rsidRPr="00542969">
        <w:t xml:space="preserve"> 773 address general and specific requirements </w:t>
      </w:r>
      <w:r w:rsidR="008653CF" w:rsidRPr="00542969">
        <w:t xml:space="preserve">for applicants to provide information in the permitting process and for regulatory authorities </w:t>
      </w:r>
      <w:r w:rsidRPr="00542969">
        <w:t xml:space="preserve">to review permit applications, </w:t>
      </w:r>
      <w:r w:rsidR="008653CF" w:rsidRPr="00542969">
        <w:t xml:space="preserve">determine permit </w:t>
      </w:r>
      <w:r w:rsidRPr="00542969">
        <w:t xml:space="preserve">eligibility, </w:t>
      </w:r>
      <w:r w:rsidR="008653CF" w:rsidRPr="00542969">
        <w:t xml:space="preserve">and ascribe </w:t>
      </w:r>
      <w:r w:rsidRPr="00542969">
        <w:t>permit conditions</w:t>
      </w:r>
      <w:r w:rsidR="008653CF" w:rsidRPr="00542969">
        <w:t xml:space="preserve">.  </w:t>
      </w:r>
      <w:r w:rsidR="008A381D">
        <w:t>Part</w:t>
      </w:r>
      <w:r w:rsidR="008653CF" w:rsidRPr="00542969">
        <w:t xml:space="preserve"> 773 also contains provisions governing </w:t>
      </w:r>
      <w:r w:rsidRPr="00542969">
        <w:t>provisionally issued permits, improvidently issued permits, and challenges of ownership or control listings and findings.</w:t>
      </w:r>
      <w:r w:rsidR="0037031C">
        <w:t xml:space="preserve">  Also included in this information collection is the continued collection of information for </w:t>
      </w:r>
      <w:r w:rsidR="00AD73D0" w:rsidRPr="00AD73D0">
        <w:t>§§</w:t>
      </w:r>
      <w:r w:rsidR="0037031C">
        <w:t xml:space="preserve"> 736.25 and 750.25, where an applicant for a new mine permit in Federal </w:t>
      </w:r>
      <w:r w:rsidR="00375C96">
        <w:t>P</w:t>
      </w:r>
      <w:r w:rsidR="0037031C">
        <w:t xml:space="preserve">rogram States and on Indian lands must submit fees to OSMRE to recover </w:t>
      </w:r>
      <w:r w:rsidR="00375C96">
        <w:t xml:space="preserve">certain </w:t>
      </w:r>
      <w:r w:rsidR="0037031C">
        <w:t>cost</w:t>
      </w:r>
      <w:r w:rsidR="00375C96">
        <w:t>s</w:t>
      </w:r>
      <w:r w:rsidR="0037031C">
        <w:t xml:space="preserve"> for processing the permit application.</w:t>
      </w:r>
      <w:r w:rsidRPr="00542969">
        <w:t xml:space="preserve">  The regulatory provisions under 30 </w:t>
      </w:r>
      <w:smartTag w:uri="urn:schemas-microsoft-com:office:smarttags" w:element="stockticker">
        <w:r w:rsidRPr="00542969">
          <w:t>CFR</w:t>
        </w:r>
      </w:smartTag>
      <w:r w:rsidR="009F76D8" w:rsidRPr="00542969">
        <w:t xml:space="preserve"> </w:t>
      </w:r>
      <w:r w:rsidR="008A381D">
        <w:t>Part</w:t>
      </w:r>
      <w:r w:rsidRPr="00542969">
        <w:t xml:space="preserve"> 773 </w:t>
      </w:r>
      <w:r w:rsidR="0037031C">
        <w:t xml:space="preserve">and §§736.25/750.25 </w:t>
      </w:r>
      <w:r w:rsidRPr="00542969">
        <w:t>are authorized in various sections of the Surface Mining Control and Reclamation Act of 1977, as amended (SMCRA or the Act), Public Law (P.L.) 95-87.</w:t>
      </w:r>
    </w:p>
    <w:p w14:paraId="763EE811" w14:textId="77777777" w:rsidR="00A515E9" w:rsidRDefault="00A515E9" w:rsidP="00F8635A"/>
    <w:p w14:paraId="6659B80E" w14:textId="2E6971BA" w:rsidR="00C27F87" w:rsidRPr="00542969" w:rsidRDefault="00F8635A" w:rsidP="00F8635A">
      <w:r w:rsidRPr="00542969">
        <w:t xml:space="preserve">OMB </w:t>
      </w:r>
      <w:r w:rsidR="00BC2775" w:rsidRPr="00542969">
        <w:t>ha</w:t>
      </w:r>
      <w:r w:rsidR="00A515E9">
        <w:t>s</w:t>
      </w:r>
      <w:r w:rsidRPr="00542969">
        <w:t xml:space="preserve"> previously approved </w:t>
      </w:r>
      <w:r w:rsidR="004674C3" w:rsidRPr="00542969">
        <w:t xml:space="preserve">the </w:t>
      </w:r>
      <w:r w:rsidRPr="00542969">
        <w:t xml:space="preserve">information collection for 30 </w:t>
      </w:r>
      <w:smartTag w:uri="urn:schemas-microsoft-com:office:smarttags" w:element="stockticker">
        <w:r w:rsidRPr="00542969">
          <w:t>CFR</w:t>
        </w:r>
      </w:smartTag>
      <w:r w:rsidR="009F76D8" w:rsidRPr="00542969">
        <w:t xml:space="preserve"> </w:t>
      </w:r>
      <w:r w:rsidR="008A381D">
        <w:t>Part</w:t>
      </w:r>
      <w:r w:rsidRPr="00542969">
        <w:t xml:space="preserve"> 773 </w:t>
      </w:r>
      <w:r w:rsidR="00157935" w:rsidRPr="00542969">
        <w:t xml:space="preserve">and </w:t>
      </w:r>
      <w:r w:rsidR="0037031C">
        <w:t>§§736.25/750.25</w:t>
      </w:r>
      <w:r w:rsidR="002152DD">
        <w:t>,</w:t>
      </w:r>
      <w:r w:rsidR="0037031C">
        <w:t xml:space="preserve"> and </w:t>
      </w:r>
      <w:r w:rsidRPr="00542969">
        <w:t>assigned c</w:t>
      </w:r>
      <w:r w:rsidR="00157935" w:rsidRPr="00542969">
        <w:t xml:space="preserve">ontrol </w:t>
      </w:r>
      <w:r w:rsidRPr="00542969">
        <w:t xml:space="preserve">number </w:t>
      </w:r>
      <w:r w:rsidR="00157935" w:rsidRPr="00542969">
        <w:t>1029-0115</w:t>
      </w:r>
      <w:r w:rsidRPr="00542969">
        <w:t>.</w:t>
      </w:r>
      <w:r w:rsidR="00C27F87" w:rsidRPr="00542969">
        <w:t xml:space="preserve">  </w:t>
      </w:r>
    </w:p>
    <w:p w14:paraId="1AF6CFDF" w14:textId="77777777" w:rsidR="00C27F87" w:rsidRPr="00542969" w:rsidRDefault="00C27F87" w:rsidP="00F8635A"/>
    <w:p w14:paraId="09916F3D" w14:textId="522F6CFD" w:rsidR="00F8635A" w:rsidRPr="00542969" w:rsidRDefault="00F8635A" w:rsidP="00F8635A">
      <w:r w:rsidRPr="00542969">
        <w:t xml:space="preserve">Following are the provisions </w:t>
      </w:r>
      <w:r w:rsidR="00C27F87" w:rsidRPr="00542969">
        <w:t>in</w:t>
      </w:r>
      <w:r w:rsidRPr="00542969">
        <w:t xml:space="preserve"> 30 </w:t>
      </w:r>
      <w:smartTag w:uri="urn:schemas-microsoft-com:office:smarttags" w:element="stockticker">
        <w:r w:rsidRPr="00542969">
          <w:t>CFR</w:t>
        </w:r>
      </w:smartTag>
      <w:r w:rsidR="009F76D8" w:rsidRPr="00542969">
        <w:t xml:space="preserve"> </w:t>
      </w:r>
      <w:r w:rsidR="008A381D">
        <w:t>Part</w:t>
      </w:r>
      <w:r w:rsidRPr="00542969">
        <w:t xml:space="preserve"> 773 </w:t>
      </w:r>
      <w:r w:rsidR="00662639">
        <w:t>and §§736.25</w:t>
      </w:r>
      <w:r w:rsidR="002152DD">
        <w:t>/</w:t>
      </w:r>
      <w:r w:rsidR="00662639">
        <w:t xml:space="preserve">750.25 </w:t>
      </w:r>
      <w:r w:rsidRPr="00542969">
        <w:t xml:space="preserve">relevant to this </w:t>
      </w:r>
      <w:r w:rsidR="00C27F87" w:rsidRPr="00542969">
        <w:t xml:space="preserve">request for continued </w:t>
      </w:r>
      <w:r w:rsidRPr="00542969">
        <w:t xml:space="preserve">information collection approval.  </w:t>
      </w:r>
    </w:p>
    <w:p w14:paraId="2B6526BE" w14:textId="77777777" w:rsidR="00F8635A" w:rsidRPr="00542969" w:rsidRDefault="00F8635A" w:rsidP="00F8635A"/>
    <w:p w14:paraId="628C079C" w14:textId="77777777" w:rsidR="00F8635A" w:rsidRPr="00542969" w:rsidRDefault="00F8635A" w:rsidP="00F8635A">
      <w:pPr>
        <w:numPr>
          <w:ilvl w:val="0"/>
          <w:numId w:val="1"/>
        </w:numPr>
      </w:pPr>
      <w:r w:rsidRPr="00542969">
        <w:t xml:space="preserve">Section 773.6(a)(1) requires an applicant </w:t>
      </w:r>
      <w:r w:rsidR="00065F59">
        <w:t xml:space="preserve">for a new permit, a permit renewal, and a significant revision </w:t>
      </w:r>
      <w:r w:rsidRPr="00542969">
        <w:t xml:space="preserve">to provide a copy of the newspaper advertisement announcing its intent to mine in an application for a permit. </w:t>
      </w:r>
    </w:p>
    <w:p w14:paraId="310CDB8B" w14:textId="77777777" w:rsidR="00F8635A" w:rsidRPr="00542969" w:rsidRDefault="00F8635A" w:rsidP="00F8635A">
      <w:pPr>
        <w:numPr>
          <w:ilvl w:val="0"/>
          <w:numId w:val="1"/>
        </w:numPr>
      </w:pPr>
      <w:r w:rsidRPr="00542969">
        <w:t>Section 773.6(a)(2) requires an applicant to file a copy of its application at the courthouse or other approved public location in the county where the mining operation is proposed to be located.</w:t>
      </w:r>
    </w:p>
    <w:p w14:paraId="554F1E3D" w14:textId="77777777" w:rsidR="00F8635A" w:rsidRPr="00542969" w:rsidRDefault="00F8635A" w:rsidP="00F8635A">
      <w:pPr>
        <w:numPr>
          <w:ilvl w:val="0"/>
          <w:numId w:val="1"/>
        </w:numPr>
      </w:pPr>
      <w:r w:rsidRPr="00542969">
        <w:t xml:space="preserve">Section 773.6(a)(3) requires regulatory authorities to issue written notification of an applicant’s intent to mine to local, State, and Federal government agencies having a regulatory interest in the proposed mining operation. </w:t>
      </w:r>
    </w:p>
    <w:p w14:paraId="5747F395" w14:textId="77777777" w:rsidR="00F8635A" w:rsidRDefault="00F8635A" w:rsidP="00F8635A">
      <w:pPr>
        <w:numPr>
          <w:ilvl w:val="0"/>
          <w:numId w:val="1"/>
        </w:numPr>
      </w:pPr>
      <w:r w:rsidRPr="00542969">
        <w:t xml:space="preserve">Section 773.6(b)(3)(ii) requires a regulatory authority to file </w:t>
      </w:r>
      <w:r w:rsidR="00905476">
        <w:t xml:space="preserve">for public inspection the </w:t>
      </w:r>
      <w:r w:rsidRPr="00542969">
        <w:t>written comments or objections received from the public and government agencies at the same public office where the permit application is filed.</w:t>
      </w:r>
    </w:p>
    <w:p w14:paraId="7E588AC5" w14:textId="77777777" w:rsidR="006D2799" w:rsidRDefault="000F7314" w:rsidP="00F8635A">
      <w:pPr>
        <w:numPr>
          <w:ilvl w:val="0"/>
          <w:numId w:val="1"/>
        </w:numPr>
      </w:pPr>
      <w:r>
        <w:t>Section 773.6</w:t>
      </w:r>
      <w:r w:rsidR="00AA29C7">
        <w:t xml:space="preserve"> (c) </w:t>
      </w:r>
      <w:r w:rsidR="00905476">
        <w:t xml:space="preserve">requires </w:t>
      </w:r>
      <w:r w:rsidR="006D2799">
        <w:t>the</w:t>
      </w:r>
      <w:r w:rsidR="00905476">
        <w:t xml:space="preserve"> regulatory authority to hold an informal conference with any person having an interest which is or may be adversely affected by the decision on the application.  </w:t>
      </w:r>
    </w:p>
    <w:p w14:paraId="25D09A22" w14:textId="77777777" w:rsidR="000F7314" w:rsidRPr="00542969" w:rsidRDefault="00905476" w:rsidP="00F8635A">
      <w:pPr>
        <w:numPr>
          <w:ilvl w:val="0"/>
          <w:numId w:val="1"/>
        </w:numPr>
      </w:pPr>
      <w:r>
        <w:t xml:space="preserve">Section 773.6 (d) requires the regulatory authority to make available for public inspection and copying all applications for permits, revisions, renewals, and transfers at reasonable times </w:t>
      </w:r>
      <w:r w:rsidR="004D20D9">
        <w:t>u</w:t>
      </w:r>
      <w:r>
        <w:t xml:space="preserve">nless provided for limited availability or confidentiality). </w:t>
      </w:r>
    </w:p>
    <w:p w14:paraId="4EB5D9DA" w14:textId="77777777" w:rsidR="00FD3599" w:rsidRPr="00542969" w:rsidRDefault="00FD3599" w:rsidP="00F8635A">
      <w:pPr>
        <w:numPr>
          <w:ilvl w:val="0"/>
          <w:numId w:val="1"/>
        </w:numPr>
      </w:pPr>
      <w:r w:rsidRPr="00542969">
        <w:t>Section 773.7(a) requires regulatory authorities to review applications for permits, revisions, renewals, written comments</w:t>
      </w:r>
      <w:r w:rsidR="002E3729" w:rsidRPr="00542969">
        <w:t xml:space="preserve"> and objections, and written records of any informal conference </w:t>
      </w:r>
      <w:r w:rsidR="00DE165B" w:rsidRPr="00542969">
        <w:t xml:space="preserve">or hearing.  The purpose of the review is </w:t>
      </w:r>
      <w:r w:rsidR="002E3729" w:rsidRPr="00542969">
        <w:t xml:space="preserve">to </w:t>
      </w:r>
      <w:r w:rsidR="00DE165B" w:rsidRPr="00542969">
        <w:t>issue a written decision as to whether</w:t>
      </w:r>
      <w:r w:rsidR="002E3729" w:rsidRPr="00542969">
        <w:t xml:space="preserve"> an application </w:t>
      </w:r>
      <w:r w:rsidR="00DE165B" w:rsidRPr="00542969">
        <w:t xml:space="preserve">for a permit, revision or renewal </w:t>
      </w:r>
      <w:r w:rsidR="002E3729" w:rsidRPr="00542969">
        <w:t>is administratively complete.</w:t>
      </w:r>
    </w:p>
    <w:p w14:paraId="31734F52" w14:textId="77777777" w:rsidR="00F8635A" w:rsidRPr="00542969" w:rsidRDefault="00F8635A" w:rsidP="00F8635A">
      <w:pPr>
        <w:numPr>
          <w:ilvl w:val="0"/>
          <w:numId w:val="1"/>
        </w:numPr>
      </w:pPr>
      <w:r w:rsidRPr="00542969">
        <w:t xml:space="preserve">Section 773.10(c) requires regulatory authorities to determine if an applicant, its controllers, its operator, or its operator’s controllers have previous mining experience.  </w:t>
      </w:r>
    </w:p>
    <w:p w14:paraId="2FB6CF70" w14:textId="77777777" w:rsidR="00F8635A" w:rsidRPr="00542969" w:rsidRDefault="00F8635A" w:rsidP="00F8635A">
      <w:pPr>
        <w:numPr>
          <w:ilvl w:val="0"/>
          <w:numId w:val="1"/>
        </w:numPr>
      </w:pPr>
      <w:r w:rsidRPr="00542969">
        <w:t xml:space="preserve">Section 773.12 contains the procedural requirements for regulatory authorities in making permit eligibility determinations, following completion of the reviews at </w:t>
      </w:r>
      <w:r w:rsidR="009D25F8">
        <w:t>§§</w:t>
      </w:r>
      <w:r w:rsidRPr="00542969">
        <w:t>773.9, 773.10, and 773.11.  It requires regulatory authorities to review applicant, operator, ownership, control, previous permit</w:t>
      </w:r>
      <w:r w:rsidR="00237F30" w:rsidRPr="00542969">
        <w:t>(s)</w:t>
      </w:r>
      <w:r w:rsidRPr="00542969">
        <w:t>, compliance, and other available information to make a permit eligibility determination.</w:t>
      </w:r>
    </w:p>
    <w:p w14:paraId="1340BC94" w14:textId="77777777" w:rsidR="00F8635A" w:rsidRPr="00542969" w:rsidRDefault="00F8635A" w:rsidP="00F8635A">
      <w:pPr>
        <w:numPr>
          <w:ilvl w:val="0"/>
          <w:numId w:val="1"/>
        </w:numPr>
      </w:pPr>
      <w:r w:rsidRPr="00542969">
        <w:t xml:space="preserve">Section 773.14(b) provides for </w:t>
      </w:r>
      <w:r w:rsidR="00237F30" w:rsidRPr="00542969">
        <w:t xml:space="preserve">regulatory authorities to determine </w:t>
      </w:r>
      <w:r w:rsidRPr="00542969">
        <w:t xml:space="preserve">provisional permit eligibility for applicants who are not eligible for </w:t>
      </w:r>
      <w:r w:rsidR="00665D37" w:rsidRPr="00542969">
        <w:t xml:space="preserve">a permit under </w:t>
      </w:r>
      <w:r w:rsidR="009D25F8">
        <w:t>§</w:t>
      </w:r>
      <w:r w:rsidR="00665D37" w:rsidRPr="00542969">
        <w:t xml:space="preserve">773.12. </w:t>
      </w:r>
    </w:p>
    <w:p w14:paraId="358F38C8" w14:textId="77777777" w:rsidR="00F8635A" w:rsidRPr="00542969" w:rsidRDefault="00F8635A" w:rsidP="00F8635A">
      <w:pPr>
        <w:numPr>
          <w:ilvl w:val="0"/>
          <w:numId w:val="1"/>
        </w:numPr>
      </w:pPr>
      <w:r w:rsidRPr="00542969">
        <w:t xml:space="preserve">Section 773.19(b) requires regulatory authorities to notify local, State, and Federal agencies, with a regulatory interest in surface coal mining, when and to whom a permit is issued. </w:t>
      </w:r>
    </w:p>
    <w:p w14:paraId="52822147" w14:textId="77777777" w:rsidR="00A515E9" w:rsidRDefault="00F8635A" w:rsidP="00E17D15">
      <w:pPr>
        <w:numPr>
          <w:ilvl w:val="0"/>
          <w:numId w:val="1"/>
        </w:numPr>
      </w:pPr>
      <w:r w:rsidRPr="00542969">
        <w:t>Section 773.19(e)(2) requires an applicant to submit a written request for an extension to commence mining operations if such an extension becomes necessary.</w:t>
      </w:r>
    </w:p>
    <w:p w14:paraId="65438BB7" w14:textId="7A196FF7" w:rsidR="008A6CBA" w:rsidRDefault="00A515E9">
      <w:pPr>
        <w:numPr>
          <w:ilvl w:val="0"/>
          <w:numId w:val="36"/>
        </w:numPr>
        <w:ind w:left="360"/>
      </w:pPr>
      <w:r>
        <w:t>Section</w:t>
      </w:r>
      <w:r w:rsidR="00AC5232">
        <w:t>s</w:t>
      </w:r>
      <w:r>
        <w:t xml:space="preserve"> 736.25 </w:t>
      </w:r>
      <w:r w:rsidR="00AC5232">
        <w:t xml:space="preserve">and 750.25 </w:t>
      </w:r>
      <w:r>
        <w:t xml:space="preserve">require an applicant for a new permit in Federal </w:t>
      </w:r>
      <w:r w:rsidR="00F70289">
        <w:t>P</w:t>
      </w:r>
      <w:r>
        <w:t xml:space="preserve">rogram States </w:t>
      </w:r>
      <w:r w:rsidR="00AC5232">
        <w:t xml:space="preserve">and on Indian lands </w:t>
      </w:r>
      <w:r>
        <w:t>to submit fees to OSM</w:t>
      </w:r>
      <w:r w:rsidR="00E17D15">
        <w:t>RE</w:t>
      </w:r>
      <w:r>
        <w:t xml:space="preserve"> to recover costs for processing.</w:t>
      </w:r>
      <w:r w:rsidR="00841A79">
        <w:t xml:space="preserve">  </w:t>
      </w:r>
    </w:p>
    <w:p w14:paraId="6B53CD09" w14:textId="77777777" w:rsidR="00E24104" w:rsidRDefault="00E24104" w:rsidP="00E24104">
      <w:pPr>
        <w:ind w:left="360"/>
      </w:pPr>
    </w:p>
    <w:p w14:paraId="23CA9F12" w14:textId="3FCA33C2" w:rsidR="00AB2849" w:rsidRDefault="00F70289" w:rsidP="00F8635A">
      <w:r w:rsidRPr="00F70289">
        <w:t xml:space="preserve">This information collection clearance package submission is estimated to result in an increase of </w:t>
      </w:r>
      <w:r w:rsidR="0046323A">
        <w:t>16,854</w:t>
      </w:r>
      <w:r w:rsidRPr="00F70289">
        <w:t xml:space="preserve"> hours to the information collection burden for 30 CFR Part 773 due to adjustments</w:t>
      </w:r>
      <w:r w:rsidR="0046323A">
        <w:t>, primarily doubling the SRA burden hours for section 773.7(a)</w:t>
      </w:r>
      <w:r w:rsidRPr="00F70289">
        <w:t>.  This request will also result in a decrease of $</w:t>
      </w:r>
      <w:r w:rsidR="0046323A">
        <w:t>1,500</w:t>
      </w:r>
      <w:r w:rsidRPr="00F70289">
        <w:t xml:space="preserve"> in non-wage burden costs.  The reestimate in non-wage costs is a result of a </w:t>
      </w:r>
      <w:r w:rsidR="00EE050A">
        <w:t>decrease</w:t>
      </w:r>
      <w:r w:rsidRPr="00F70289">
        <w:t xml:space="preserve"> in the number of </w:t>
      </w:r>
      <w:r w:rsidR="00EE050A">
        <w:t xml:space="preserve">new </w:t>
      </w:r>
      <w:r w:rsidRPr="00F70289">
        <w:t>permit applications processed in in section</w:t>
      </w:r>
      <w:r w:rsidR="0046323A">
        <w:t xml:space="preserve"> 773.6 and the </w:t>
      </w:r>
      <w:r w:rsidR="00EE050A">
        <w:t>corresponding</w:t>
      </w:r>
      <w:r w:rsidR="0046323A">
        <w:t xml:space="preserve"> decrease in the </w:t>
      </w:r>
      <w:r w:rsidR="00EE050A">
        <w:t xml:space="preserve">total </w:t>
      </w:r>
      <w:r w:rsidR="0046323A">
        <w:t xml:space="preserve">cost </w:t>
      </w:r>
      <w:r w:rsidR="00EE050A">
        <w:t xml:space="preserve">to </w:t>
      </w:r>
      <w:r w:rsidR="0046323A">
        <w:t>advertis</w:t>
      </w:r>
      <w:r w:rsidR="00EE050A">
        <w:t>e</w:t>
      </w:r>
      <w:r w:rsidR="0046323A">
        <w:t xml:space="preserve"> in newspapers</w:t>
      </w:r>
      <w:r w:rsidRPr="00F70289">
        <w:t>.</w:t>
      </w:r>
    </w:p>
    <w:p w14:paraId="77F7A47A" w14:textId="77777777" w:rsidR="0046323A" w:rsidRPr="00542969" w:rsidRDefault="0046323A" w:rsidP="00F8635A"/>
    <w:p w14:paraId="2F454AF5" w14:textId="77777777" w:rsidR="00F8635A" w:rsidRPr="00542969" w:rsidRDefault="00F8635A" w:rsidP="00F8635A">
      <w:r w:rsidRPr="00542969">
        <w:t>Unique portions of each section will be separately discussed in the following justification statements.  However, responses to certain questions in each section are identical.  Numbered Identical Responses to Statements have been separately prepared and are referenced in the individual sections.</w:t>
      </w:r>
    </w:p>
    <w:p w14:paraId="1059758B" w14:textId="77777777" w:rsidR="004A2C19" w:rsidRPr="00542969" w:rsidRDefault="004A2C19" w:rsidP="00F8635A"/>
    <w:p w14:paraId="52FF157C" w14:textId="77777777" w:rsidR="00F8635A" w:rsidRPr="00542969" w:rsidRDefault="00760D9D" w:rsidP="00F8635A">
      <w:r w:rsidRPr="00542969">
        <w:t xml:space="preserve">A </w:t>
      </w:r>
      <w:r w:rsidR="00F8635A" w:rsidRPr="00542969">
        <w:t xml:space="preserve">Summary table of the Information Collection Requirements for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 </w:t>
      </w:r>
      <w:r w:rsidRPr="00542969">
        <w:t xml:space="preserve">is </w:t>
      </w:r>
      <w:r w:rsidR="00F8635A" w:rsidRPr="00542969">
        <w:t>shown below.</w:t>
      </w:r>
    </w:p>
    <w:p w14:paraId="1EE81489" w14:textId="77777777" w:rsidR="00FF6DB4" w:rsidRPr="00542969" w:rsidRDefault="00FF6DB4" w:rsidP="00F8635A"/>
    <w:p w14:paraId="4868811E" w14:textId="77777777" w:rsidR="00F5551C" w:rsidRDefault="00F5551C">
      <w:r>
        <w:br w:type="page"/>
      </w:r>
    </w:p>
    <w:p w14:paraId="6C2E4253" w14:textId="77777777" w:rsidR="00FF6DB4" w:rsidRPr="00542969" w:rsidRDefault="00FF6DB4" w:rsidP="00F8635A"/>
    <w:p w14:paraId="45B34F9B" w14:textId="77777777" w:rsidR="00F8635A" w:rsidRPr="00542969" w:rsidRDefault="00F8635A" w:rsidP="00F8635A">
      <w:pPr>
        <w:jc w:val="center"/>
      </w:pPr>
      <w:r w:rsidRPr="00542969">
        <w:t>SUMMARY</w:t>
      </w:r>
    </w:p>
    <w:p w14:paraId="0B01C50E" w14:textId="77777777" w:rsidR="00F8635A" w:rsidRPr="00542969" w:rsidRDefault="00F8635A" w:rsidP="00F8635A">
      <w:pPr>
        <w:jc w:val="center"/>
      </w:pPr>
      <w:r w:rsidRPr="00542969">
        <w:t>Information Collection</w:t>
      </w:r>
    </w:p>
    <w:p w14:paraId="5DF15219" w14:textId="77777777" w:rsidR="00F8635A" w:rsidRPr="00542969" w:rsidRDefault="00F8635A" w:rsidP="00F8635A">
      <w:pPr>
        <w:jc w:val="center"/>
      </w:pPr>
      <w:r w:rsidRPr="00542969">
        <w:t xml:space="preserve">30 </w:t>
      </w:r>
      <w:smartTag w:uri="urn:schemas-microsoft-com:office:smarttags" w:element="stockticker">
        <w:r w:rsidRPr="00542969">
          <w:t>CFR</w:t>
        </w:r>
      </w:smartTag>
      <w:r w:rsidRPr="00542969">
        <w:t xml:space="preserve"> </w:t>
      </w:r>
      <w:r w:rsidR="008A381D">
        <w:t>Part</w:t>
      </w:r>
      <w:r w:rsidRPr="00542969">
        <w:t xml:space="preserve"> 773</w:t>
      </w:r>
      <w:r w:rsidR="000A699E">
        <w:t xml:space="preserve"> and Section</w:t>
      </w:r>
      <w:r w:rsidR="00445F2F">
        <w:t>s</w:t>
      </w:r>
      <w:r w:rsidR="000A699E">
        <w:t xml:space="preserve"> 736.25</w:t>
      </w:r>
      <w:r w:rsidR="00445F2F">
        <w:t xml:space="preserve"> and 750.25</w:t>
      </w:r>
    </w:p>
    <w:tbl>
      <w:tblPr>
        <w:tblpPr w:leftFromText="180" w:rightFromText="180" w:vertAnchor="text" w:horzAnchor="margin" w:tblpXSpec="center" w:tblpY="11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7"/>
        <w:gridCol w:w="1307"/>
        <w:gridCol w:w="1307"/>
        <w:gridCol w:w="1308"/>
        <w:gridCol w:w="1307"/>
        <w:gridCol w:w="1307"/>
        <w:gridCol w:w="1307"/>
        <w:gridCol w:w="1308"/>
      </w:tblGrid>
      <w:tr w:rsidR="00E961F5" w:rsidRPr="00542969" w14:paraId="06D0DA6F" w14:textId="77777777" w:rsidTr="00E961F5">
        <w:trPr>
          <w:trHeight w:val="1008"/>
        </w:trPr>
        <w:tc>
          <w:tcPr>
            <w:tcW w:w="1307" w:type="dxa"/>
            <w:tcBorders>
              <w:top w:val="double" w:sz="4" w:space="0" w:color="auto"/>
              <w:left w:val="double" w:sz="4" w:space="0" w:color="auto"/>
              <w:bottom w:val="double" w:sz="4" w:space="0" w:color="auto"/>
            </w:tcBorders>
            <w:vAlign w:val="center"/>
          </w:tcPr>
          <w:p w14:paraId="0DE762C6" w14:textId="77777777" w:rsidR="00F8635A" w:rsidRPr="00085DB8" w:rsidRDefault="00F8635A" w:rsidP="00085DB8">
            <w:pPr>
              <w:jc w:val="center"/>
            </w:pPr>
            <w:r w:rsidRPr="00085DB8">
              <w:t>S</w:t>
            </w:r>
            <w:r w:rsidR="00085DB8" w:rsidRPr="00085DB8">
              <w:t>ection</w:t>
            </w:r>
          </w:p>
        </w:tc>
        <w:tc>
          <w:tcPr>
            <w:tcW w:w="1307" w:type="dxa"/>
            <w:tcBorders>
              <w:top w:val="double" w:sz="4" w:space="0" w:color="auto"/>
              <w:bottom w:val="double" w:sz="4" w:space="0" w:color="auto"/>
            </w:tcBorders>
            <w:vAlign w:val="center"/>
          </w:tcPr>
          <w:p w14:paraId="00C509AB" w14:textId="77777777" w:rsidR="00A646E4" w:rsidRPr="00085DB8" w:rsidRDefault="00F8635A" w:rsidP="00085DB8">
            <w:pPr>
              <w:jc w:val="center"/>
            </w:pPr>
            <w:r w:rsidRPr="00085DB8">
              <w:t>A</w:t>
            </w:r>
            <w:r w:rsidR="00085DB8" w:rsidRPr="00085DB8">
              <w:t>pplicant</w:t>
            </w:r>
            <w:r w:rsidR="00A646E4" w:rsidRPr="00085DB8">
              <w:t>/</w:t>
            </w:r>
          </w:p>
          <w:p w14:paraId="2210A064" w14:textId="77777777" w:rsidR="00F8635A" w:rsidRPr="00085DB8" w:rsidRDefault="00A646E4" w:rsidP="00085DB8">
            <w:pPr>
              <w:jc w:val="center"/>
            </w:pPr>
            <w:r w:rsidRPr="00085DB8">
              <w:t>P</w:t>
            </w:r>
            <w:r w:rsidR="00085DB8" w:rsidRPr="00085DB8">
              <w:t>ermittee</w:t>
            </w:r>
            <w:r w:rsidR="00F8635A" w:rsidRPr="00085DB8">
              <w:t xml:space="preserve"> R</w:t>
            </w:r>
            <w:r w:rsidR="00085DB8" w:rsidRPr="00085DB8">
              <w:t>esponses</w:t>
            </w:r>
          </w:p>
        </w:tc>
        <w:tc>
          <w:tcPr>
            <w:tcW w:w="1307" w:type="dxa"/>
            <w:tcBorders>
              <w:top w:val="double" w:sz="4" w:space="0" w:color="auto"/>
              <w:bottom w:val="double" w:sz="4" w:space="0" w:color="auto"/>
            </w:tcBorders>
            <w:vAlign w:val="center"/>
          </w:tcPr>
          <w:p w14:paraId="72E5E9CD" w14:textId="77777777" w:rsidR="00F8635A" w:rsidRPr="00085DB8" w:rsidRDefault="00FD7250" w:rsidP="00085DB8">
            <w:pPr>
              <w:jc w:val="center"/>
            </w:pPr>
            <w:r w:rsidRPr="00085DB8">
              <w:t>S</w:t>
            </w:r>
            <w:r w:rsidR="00085DB8" w:rsidRPr="00085DB8">
              <w:t>tate</w:t>
            </w:r>
            <w:r w:rsidR="00F8635A" w:rsidRPr="00085DB8">
              <w:t xml:space="preserve"> R</w:t>
            </w:r>
            <w:r w:rsidR="00085DB8" w:rsidRPr="00085DB8">
              <w:t>esponses</w:t>
            </w:r>
          </w:p>
        </w:tc>
        <w:tc>
          <w:tcPr>
            <w:tcW w:w="1308" w:type="dxa"/>
            <w:tcBorders>
              <w:top w:val="double" w:sz="4" w:space="0" w:color="auto"/>
              <w:bottom w:val="double" w:sz="4" w:space="0" w:color="auto"/>
            </w:tcBorders>
            <w:vAlign w:val="center"/>
          </w:tcPr>
          <w:p w14:paraId="79476221" w14:textId="77777777" w:rsidR="00F8635A" w:rsidRPr="00085DB8" w:rsidRDefault="00F8635A" w:rsidP="00085DB8">
            <w:pPr>
              <w:jc w:val="center"/>
            </w:pPr>
            <w:r w:rsidRPr="00085DB8">
              <w:t>A</w:t>
            </w:r>
            <w:r w:rsidR="00085DB8" w:rsidRPr="00085DB8">
              <w:t>pplicant</w:t>
            </w:r>
            <w:r w:rsidRPr="00085DB8">
              <w:t xml:space="preserve"> B</w:t>
            </w:r>
            <w:r w:rsidR="00085DB8" w:rsidRPr="00085DB8">
              <w:t>urden</w:t>
            </w:r>
          </w:p>
        </w:tc>
        <w:tc>
          <w:tcPr>
            <w:tcW w:w="1307" w:type="dxa"/>
            <w:tcBorders>
              <w:top w:val="double" w:sz="4" w:space="0" w:color="auto"/>
              <w:bottom w:val="double" w:sz="4" w:space="0" w:color="auto"/>
            </w:tcBorders>
            <w:vAlign w:val="center"/>
          </w:tcPr>
          <w:p w14:paraId="428C8FF0" w14:textId="77777777" w:rsidR="00F8635A" w:rsidRPr="00085DB8" w:rsidRDefault="00FD7250" w:rsidP="00085DB8">
            <w:pPr>
              <w:jc w:val="center"/>
            </w:pPr>
            <w:r w:rsidRPr="00085DB8">
              <w:t>S</w:t>
            </w:r>
            <w:r w:rsidR="00085DB8" w:rsidRPr="00085DB8">
              <w:t>tate Burden</w:t>
            </w:r>
          </w:p>
        </w:tc>
        <w:tc>
          <w:tcPr>
            <w:tcW w:w="1307" w:type="dxa"/>
            <w:tcBorders>
              <w:top w:val="double" w:sz="4" w:space="0" w:color="auto"/>
              <w:bottom w:val="double" w:sz="4" w:space="0" w:color="auto"/>
            </w:tcBorders>
            <w:vAlign w:val="center"/>
          </w:tcPr>
          <w:p w14:paraId="257ABF15" w14:textId="77777777" w:rsidR="00F8635A" w:rsidRPr="00085DB8" w:rsidRDefault="00F8635A" w:rsidP="00085DB8">
            <w:pPr>
              <w:jc w:val="center"/>
            </w:pPr>
            <w:r w:rsidRPr="00085DB8">
              <w:t>T</w:t>
            </w:r>
            <w:r w:rsidR="00085DB8" w:rsidRPr="00085DB8">
              <w:t>otal Hours Requested</w:t>
            </w:r>
          </w:p>
        </w:tc>
        <w:tc>
          <w:tcPr>
            <w:tcW w:w="1307" w:type="dxa"/>
            <w:tcBorders>
              <w:top w:val="double" w:sz="4" w:space="0" w:color="auto"/>
              <w:bottom w:val="double" w:sz="4" w:space="0" w:color="auto"/>
            </w:tcBorders>
            <w:vAlign w:val="center"/>
          </w:tcPr>
          <w:p w14:paraId="71015ABF" w14:textId="77777777" w:rsidR="00F8635A" w:rsidRPr="00085DB8" w:rsidRDefault="00F8635A" w:rsidP="00085DB8">
            <w:pPr>
              <w:jc w:val="center"/>
            </w:pPr>
            <w:r w:rsidRPr="00085DB8">
              <w:t>C</w:t>
            </w:r>
            <w:r w:rsidR="00085DB8" w:rsidRPr="00085DB8">
              <w:t>urrently Approved Hours</w:t>
            </w:r>
          </w:p>
        </w:tc>
        <w:tc>
          <w:tcPr>
            <w:tcW w:w="1308" w:type="dxa"/>
            <w:tcBorders>
              <w:top w:val="double" w:sz="4" w:space="0" w:color="auto"/>
              <w:bottom w:val="double" w:sz="4" w:space="0" w:color="auto"/>
              <w:right w:val="double" w:sz="4" w:space="0" w:color="auto"/>
            </w:tcBorders>
            <w:vAlign w:val="center"/>
          </w:tcPr>
          <w:p w14:paraId="5C035496" w14:textId="77777777" w:rsidR="00F8635A" w:rsidRPr="00085DB8" w:rsidRDefault="00F8635A" w:rsidP="00085DB8">
            <w:pPr>
              <w:jc w:val="center"/>
            </w:pPr>
            <w:r w:rsidRPr="00085DB8">
              <w:t>C</w:t>
            </w:r>
            <w:r w:rsidR="00085DB8" w:rsidRPr="00085DB8">
              <w:t>hange to Burden</w:t>
            </w:r>
          </w:p>
        </w:tc>
      </w:tr>
      <w:tr w:rsidR="00E961F5" w:rsidRPr="00542969" w14:paraId="64BA70DF" w14:textId="77777777" w:rsidTr="00E961F5">
        <w:trPr>
          <w:trHeight w:val="720"/>
        </w:trPr>
        <w:tc>
          <w:tcPr>
            <w:tcW w:w="1307" w:type="dxa"/>
            <w:tcBorders>
              <w:top w:val="double" w:sz="4" w:space="0" w:color="auto"/>
              <w:left w:val="double" w:sz="4" w:space="0" w:color="auto"/>
            </w:tcBorders>
            <w:vAlign w:val="center"/>
          </w:tcPr>
          <w:p w14:paraId="155882EF" w14:textId="77777777" w:rsidR="00F8635A" w:rsidRPr="00542969" w:rsidRDefault="00F8635A" w:rsidP="00085DB8">
            <w:pPr>
              <w:jc w:val="center"/>
            </w:pPr>
            <w:r w:rsidRPr="00542969">
              <w:t>773.6</w:t>
            </w:r>
          </w:p>
          <w:p w14:paraId="7FA3BD8C" w14:textId="77777777" w:rsidR="00F8635A" w:rsidRPr="00542969" w:rsidRDefault="00EB678E" w:rsidP="009B504D">
            <w:pPr>
              <w:jc w:val="center"/>
            </w:pPr>
            <w:r w:rsidRPr="00542969">
              <w:t>(a)</w:t>
            </w:r>
            <w:r w:rsidR="009B504D">
              <w:t>,</w:t>
            </w:r>
            <w:r w:rsidRPr="00542969">
              <w:t xml:space="preserve"> </w:t>
            </w:r>
            <w:r w:rsidR="00F8635A" w:rsidRPr="00542969">
              <w:t>(b)</w:t>
            </w:r>
            <w:r w:rsidR="009B504D">
              <w:t>, &amp; (d)</w:t>
            </w:r>
          </w:p>
        </w:tc>
        <w:tc>
          <w:tcPr>
            <w:tcW w:w="1307" w:type="dxa"/>
            <w:tcBorders>
              <w:top w:val="double" w:sz="4" w:space="0" w:color="auto"/>
            </w:tcBorders>
            <w:vAlign w:val="center"/>
          </w:tcPr>
          <w:p w14:paraId="47ABA2F0" w14:textId="3E26A7EB" w:rsidR="007E1DE9" w:rsidRPr="00542969" w:rsidRDefault="00AC7E24" w:rsidP="00AC7E24">
            <w:pPr>
              <w:jc w:val="center"/>
            </w:pPr>
            <w:r>
              <w:t>927</w:t>
            </w:r>
          </w:p>
        </w:tc>
        <w:tc>
          <w:tcPr>
            <w:tcW w:w="1307" w:type="dxa"/>
            <w:tcBorders>
              <w:top w:val="double" w:sz="4" w:space="0" w:color="auto"/>
            </w:tcBorders>
            <w:vAlign w:val="center"/>
          </w:tcPr>
          <w:p w14:paraId="1E96AD6D" w14:textId="6C04AA4D" w:rsidR="00F8635A" w:rsidRPr="00542969" w:rsidRDefault="00AC7E24" w:rsidP="00AC7E24">
            <w:pPr>
              <w:jc w:val="center"/>
            </w:pPr>
            <w:r>
              <w:t>920</w:t>
            </w:r>
          </w:p>
        </w:tc>
        <w:tc>
          <w:tcPr>
            <w:tcW w:w="1308" w:type="dxa"/>
            <w:tcBorders>
              <w:top w:val="double" w:sz="4" w:space="0" w:color="auto"/>
            </w:tcBorders>
            <w:vAlign w:val="center"/>
          </w:tcPr>
          <w:p w14:paraId="1587F914" w14:textId="0A063434" w:rsidR="00F8635A" w:rsidRPr="00542969" w:rsidRDefault="00AC7E24" w:rsidP="00AC7E24">
            <w:pPr>
              <w:jc w:val="center"/>
            </w:pPr>
            <w:r>
              <w:t>3</w:t>
            </w:r>
          </w:p>
        </w:tc>
        <w:tc>
          <w:tcPr>
            <w:tcW w:w="1307" w:type="dxa"/>
            <w:tcBorders>
              <w:top w:val="double" w:sz="4" w:space="0" w:color="auto"/>
            </w:tcBorders>
            <w:vAlign w:val="center"/>
          </w:tcPr>
          <w:p w14:paraId="1C6B3CE0" w14:textId="77777777" w:rsidR="00F8635A" w:rsidRPr="00542969" w:rsidRDefault="009B504D" w:rsidP="009B504D">
            <w:pPr>
              <w:jc w:val="center"/>
            </w:pPr>
            <w:r>
              <w:t>2.75</w:t>
            </w:r>
          </w:p>
        </w:tc>
        <w:tc>
          <w:tcPr>
            <w:tcW w:w="1307" w:type="dxa"/>
            <w:tcBorders>
              <w:top w:val="double" w:sz="4" w:space="0" w:color="auto"/>
            </w:tcBorders>
            <w:vAlign w:val="center"/>
          </w:tcPr>
          <w:p w14:paraId="590B1139" w14:textId="2B0D557B" w:rsidR="000B2D69" w:rsidRPr="00542969" w:rsidRDefault="00AC7E24" w:rsidP="00A32A54">
            <w:pPr>
              <w:jc w:val="center"/>
            </w:pPr>
            <w:r>
              <w:t>5,311</w:t>
            </w:r>
          </w:p>
        </w:tc>
        <w:tc>
          <w:tcPr>
            <w:tcW w:w="1307" w:type="dxa"/>
            <w:tcBorders>
              <w:top w:val="double" w:sz="4" w:space="0" w:color="auto"/>
            </w:tcBorders>
            <w:vAlign w:val="center"/>
          </w:tcPr>
          <w:p w14:paraId="18A0AC39" w14:textId="39951811" w:rsidR="00F8635A" w:rsidRPr="00542969" w:rsidRDefault="00AC7E24" w:rsidP="00A32A54">
            <w:pPr>
              <w:jc w:val="center"/>
            </w:pPr>
            <w:r>
              <w:t>4,899</w:t>
            </w:r>
          </w:p>
        </w:tc>
        <w:tc>
          <w:tcPr>
            <w:tcW w:w="1308" w:type="dxa"/>
            <w:tcBorders>
              <w:top w:val="double" w:sz="4" w:space="0" w:color="auto"/>
              <w:right w:val="double" w:sz="4" w:space="0" w:color="auto"/>
            </w:tcBorders>
            <w:vAlign w:val="center"/>
          </w:tcPr>
          <w:p w14:paraId="66FBCB7D" w14:textId="27C9097C" w:rsidR="00E32AB3" w:rsidRPr="00542969" w:rsidRDefault="00AC7E24" w:rsidP="00D328F1">
            <w:pPr>
              <w:jc w:val="center"/>
            </w:pPr>
            <w:r>
              <w:t>412</w:t>
            </w:r>
          </w:p>
        </w:tc>
      </w:tr>
      <w:tr w:rsidR="006D2799" w:rsidRPr="00542969" w14:paraId="7E20FF92" w14:textId="77777777" w:rsidTr="00E961F5">
        <w:trPr>
          <w:trHeight w:val="720"/>
        </w:trPr>
        <w:tc>
          <w:tcPr>
            <w:tcW w:w="1307" w:type="dxa"/>
            <w:tcBorders>
              <w:left w:val="double" w:sz="4" w:space="0" w:color="auto"/>
            </w:tcBorders>
            <w:vAlign w:val="center"/>
          </w:tcPr>
          <w:p w14:paraId="5F88FB85" w14:textId="77777777" w:rsidR="006D2799" w:rsidRPr="00542969" w:rsidRDefault="006D2799" w:rsidP="009B504D">
            <w:pPr>
              <w:jc w:val="center"/>
            </w:pPr>
            <w:r>
              <w:t>773.6     (c)</w:t>
            </w:r>
          </w:p>
        </w:tc>
        <w:tc>
          <w:tcPr>
            <w:tcW w:w="1307" w:type="dxa"/>
            <w:vAlign w:val="center"/>
          </w:tcPr>
          <w:p w14:paraId="2525F55C" w14:textId="77777777" w:rsidR="006D2799" w:rsidRPr="00542969" w:rsidRDefault="009B504D" w:rsidP="00085DB8">
            <w:pPr>
              <w:jc w:val="center"/>
            </w:pPr>
            <w:r>
              <w:t>0</w:t>
            </w:r>
          </w:p>
        </w:tc>
        <w:tc>
          <w:tcPr>
            <w:tcW w:w="1307" w:type="dxa"/>
            <w:vAlign w:val="center"/>
          </w:tcPr>
          <w:p w14:paraId="3C428E4F" w14:textId="667DB48F" w:rsidR="006D2799" w:rsidRDefault="00AC7E24" w:rsidP="00AC7E24">
            <w:pPr>
              <w:jc w:val="center"/>
            </w:pPr>
            <w:r>
              <w:t>92</w:t>
            </w:r>
          </w:p>
        </w:tc>
        <w:tc>
          <w:tcPr>
            <w:tcW w:w="1308" w:type="dxa"/>
            <w:vAlign w:val="center"/>
          </w:tcPr>
          <w:p w14:paraId="605A35E7" w14:textId="77777777" w:rsidR="006D2799" w:rsidRPr="00542969" w:rsidRDefault="006D2799" w:rsidP="00085DB8">
            <w:pPr>
              <w:jc w:val="center"/>
            </w:pPr>
            <w:r>
              <w:t>0</w:t>
            </w:r>
          </w:p>
        </w:tc>
        <w:tc>
          <w:tcPr>
            <w:tcW w:w="1307" w:type="dxa"/>
            <w:vAlign w:val="center"/>
          </w:tcPr>
          <w:p w14:paraId="7FD2CA83" w14:textId="77777777" w:rsidR="006D2799" w:rsidRPr="00542969" w:rsidRDefault="006D2799" w:rsidP="009B504D">
            <w:pPr>
              <w:jc w:val="center"/>
            </w:pPr>
            <w:r>
              <w:t>2</w:t>
            </w:r>
            <w:r w:rsidR="009B504D">
              <w:t>0</w:t>
            </w:r>
          </w:p>
        </w:tc>
        <w:tc>
          <w:tcPr>
            <w:tcW w:w="1307" w:type="dxa"/>
            <w:vAlign w:val="center"/>
          </w:tcPr>
          <w:p w14:paraId="54AFFD7F" w14:textId="7F84BBF8" w:rsidR="006D2799" w:rsidRDefault="00AC7E24" w:rsidP="00085DB8">
            <w:pPr>
              <w:jc w:val="center"/>
            </w:pPr>
            <w:r>
              <w:t>1,840</w:t>
            </w:r>
          </w:p>
        </w:tc>
        <w:tc>
          <w:tcPr>
            <w:tcW w:w="1307" w:type="dxa"/>
            <w:vAlign w:val="center"/>
          </w:tcPr>
          <w:p w14:paraId="7E9CDF5A" w14:textId="222C1A1F" w:rsidR="006D2799" w:rsidRDefault="00AC7E24" w:rsidP="00085DB8">
            <w:pPr>
              <w:jc w:val="center"/>
            </w:pPr>
            <w:r>
              <w:t>1,300</w:t>
            </w:r>
          </w:p>
        </w:tc>
        <w:tc>
          <w:tcPr>
            <w:tcW w:w="1308" w:type="dxa"/>
            <w:tcBorders>
              <w:right w:val="double" w:sz="4" w:space="0" w:color="auto"/>
            </w:tcBorders>
            <w:vAlign w:val="center"/>
          </w:tcPr>
          <w:p w14:paraId="63318750" w14:textId="10F2E903" w:rsidR="006D2799" w:rsidRDefault="00AC7E24" w:rsidP="00085DB8">
            <w:pPr>
              <w:jc w:val="center"/>
            </w:pPr>
            <w:r>
              <w:t>540</w:t>
            </w:r>
          </w:p>
        </w:tc>
      </w:tr>
      <w:tr w:rsidR="00E961F5" w:rsidRPr="00542969" w14:paraId="57E0DA9E" w14:textId="77777777" w:rsidTr="00E961F5">
        <w:trPr>
          <w:trHeight w:val="720"/>
        </w:trPr>
        <w:tc>
          <w:tcPr>
            <w:tcW w:w="1307" w:type="dxa"/>
            <w:tcBorders>
              <w:left w:val="double" w:sz="4" w:space="0" w:color="auto"/>
            </w:tcBorders>
            <w:vAlign w:val="center"/>
          </w:tcPr>
          <w:p w14:paraId="52F97960" w14:textId="77777777" w:rsidR="00327A32" w:rsidRPr="00542969" w:rsidRDefault="00755AFC" w:rsidP="00085DB8">
            <w:pPr>
              <w:jc w:val="center"/>
            </w:pPr>
            <w:r w:rsidRPr="00542969">
              <w:t>773.</w:t>
            </w:r>
            <w:r w:rsidR="00327A32" w:rsidRPr="00542969">
              <w:t>7(a)</w:t>
            </w:r>
          </w:p>
        </w:tc>
        <w:tc>
          <w:tcPr>
            <w:tcW w:w="1307" w:type="dxa"/>
            <w:vAlign w:val="center"/>
          </w:tcPr>
          <w:p w14:paraId="47B24319" w14:textId="77777777" w:rsidR="00327A32" w:rsidRPr="00542969" w:rsidRDefault="00327A32" w:rsidP="00085DB8">
            <w:pPr>
              <w:jc w:val="center"/>
            </w:pPr>
            <w:r w:rsidRPr="00542969">
              <w:t>0</w:t>
            </w:r>
          </w:p>
        </w:tc>
        <w:tc>
          <w:tcPr>
            <w:tcW w:w="1307" w:type="dxa"/>
            <w:vAlign w:val="center"/>
          </w:tcPr>
          <w:p w14:paraId="1CC4ED27" w14:textId="5F456018" w:rsidR="00327A32" w:rsidRPr="00542969" w:rsidRDefault="0046323A" w:rsidP="0046323A">
            <w:pPr>
              <w:jc w:val="center"/>
            </w:pPr>
            <w:r>
              <w:t>2,924</w:t>
            </w:r>
          </w:p>
        </w:tc>
        <w:tc>
          <w:tcPr>
            <w:tcW w:w="1308" w:type="dxa"/>
            <w:vAlign w:val="center"/>
          </w:tcPr>
          <w:p w14:paraId="49CAA731" w14:textId="77777777" w:rsidR="00327A32" w:rsidRPr="00542969" w:rsidRDefault="00327A32" w:rsidP="00085DB8">
            <w:pPr>
              <w:jc w:val="center"/>
            </w:pPr>
            <w:r w:rsidRPr="00542969">
              <w:t>0</w:t>
            </w:r>
          </w:p>
        </w:tc>
        <w:tc>
          <w:tcPr>
            <w:tcW w:w="1307" w:type="dxa"/>
            <w:vAlign w:val="center"/>
          </w:tcPr>
          <w:p w14:paraId="7E7CDB36" w14:textId="03846B37" w:rsidR="00327A32" w:rsidRPr="00542969" w:rsidRDefault="0046323A" w:rsidP="0046323A">
            <w:pPr>
              <w:jc w:val="center"/>
            </w:pPr>
            <w:r>
              <w:t>16</w:t>
            </w:r>
          </w:p>
        </w:tc>
        <w:tc>
          <w:tcPr>
            <w:tcW w:w="1307" w:type="dxa"/>
            <w:vAlign w:val="center"/>
          </w:tcPr>
          <w:p w14:paraId="16F2B3B6" w14:textId="0A11BF14" w:rsidR="000B2D69" w:rsidRPr="00542969" w:rsidRDefault="0046323A" w:rsidP="007649E5">
            <w:pPr>
              <w:jc w:val="center"/>
            </w:pPr>
            <w:r>
              <w:t>46,784</w:t>
            </w:r>
          </w:p>
        </w:tc>
        <w:tc>
          <w:tcPr>
            <w:tcW w:w="1307" w:type="dxa"/>
            <w:vAlign w:val="center"/>
          </w:tcPr>
          <w:p w14:paraId="77E501CA" w14:textId="65DC082D" w:rsidR="00327A32" w:rsidRPr="00542969" w:rsidRDefault="00AC7E24" w:rsidP="00A32A54">
            <w:pPr>
              <w:jc w:val="center"/>
            </w:pPr>
            <w:r>
              <w:t>29,840</w:t>
            </w:r>
          </w:p>
        </w:tc>
        <w:tc>
          <w:tcPr>
            <w:tcW w:w="1308" w:type="dxa"/>
            <w:tcBorders>
              <w:right w:val="double" w:sz="4" w:space="0" w:color="auto"/>
            </w:tcBorders>
            <w:vAlign w:val="center"/>
          </w:tcPr>
          <w:p w14:paraId="278296D3" w14:textId="4532A31A" w:rsidR="00327A32" w:rsidRPr="00542969" w:rsidRDefault="0046323A" w:rsidP="00D328F1">
            <w:pPr>
              <w:jc w:val="center"/>
            </w:pPr>
            <w:r>
              <w:t>16,944</w:t>
            </w:r>
          </w:p>
        </w:tc>
      </w:tr>
      <w:tr w:rsidR="00E961F5" w:rsidRPr="00542969" w14:paraId="11D65F5A" w14:textId="77777777" w:rsidTr="00E961F5">
        <w:trPr>
          <w:trHeight w:val="720"/>
        </w:trPr>
        <w:tc>
          <w:tcPr>
            <w:tcW w:w="1307" w:type="dxa"/>
            <w:tcBorders>
              <w:left w:val="double" w:sz="4" w:space="0" w:color="auto"/>
            </w:tcBorders>
            <w:vAlign w:val="center"/>
          </w:tcPr>
          <w:p w14:paraId="682FC18D" w14:textId="77777777" w:rsidR="00F8635A" w:rsidRPr="00542969" w:rsidRDefault="00F8635A" w:rsidP="00085DB8">
            <w:pPr>
              <w:jc w:val="center"/>
            </w:pPr>
            <w:r w:rsidRPr="00542969">
              <w:t>773.10(c)</w:t>
            </w:r>
          </w:p>
        </w:tc>
        <w:tc>
          <w:tcPr>
            <w:tcW w:w="1307" w:type="dxa"/>
            <w:vAlign w:val="center"/>
          </w:tcPr>
          <w:p w14:paraId="0B213C7B" w14:textId="77777777" w:rsidR="00F8635A" w:rsidRPr="00542969" w:rsidRDefault="00F8635A" w:rsidP="00085DB8">
            <w:pPr>
              <w:jc w:val="center"/>
            </w:pPr>
            <w:r w:rsidRPr="00542969">
              <w:t>0</w:t>
            </w:r>
          </w:p>
        </w:tc>
        <w:tc>
          <w:tcPr>
            <w:tcW w:w="1307" w:type="dxa"/>
            <w:vAlign w:val="center"/>
          </w:tcPr>
          <w:p w14:paraId="1519F0A3" w14:textId="431B639C" w:rsidR="00F8635A" w:rsidRPr="00542969" w:rsidRDefault="0046323A" w:rsidP="0046323A">
            <w:pPr>
              <w:jc w:val="center"/>
            </w:pPr>
            <w:r>
              <w:t>7</w:t>
            </w:r>
          </w:p>
        </w:tc>
        <w:tc>
          <w:tcPr>
            <w:tcW w:w="1308" w:type="dxa"/>
            <w:vAlign w:val="center"/>
          </w:tcPr>
          <w:p w14:paraId="1F31484D" w14:textId="77777777" w:rsidR="00F8635A" w:rsidRPr="00542969" w:rsidRDefault="00F8635A" w:rsidP="00085DB8">
            <w:pPr>
              <w:jc w:val="center"/>
            </w:pPr>
            <w:r w:rsidRPr="00542969">
              <w:t>0</w:t>
            </w:r>
          </w:p>
        </w:tc>
        <w:tc>
          <w:tcPr>
            <w:tcW w:w="1307" w:type="dxa"/>
            <w:vAlign w:val="center"/>
          </w:tcPr>
          <w:p w14:paraId="40AF7675" w14:textId="77777777" w:rsidR="00F8635A" w:rsidRPr="00542969" w:rsidRDefault="00F8635A" w:rsidP="00085DB8">
            <w:pPr>
              <w:jc w:val="center"/>
            </w:pPr>
            <w:r w:rsidRPr="00542969">
              <w:t>5</w:t>
            </w:r>
          </w:p>
        </w:tc>
        <w:tc>
          <w:tcPr>
            <w:tcW w:w="1307" w:type="dxa"/>
            <w:vAlign w:val="center"/>
          </w:tcPr>
          <w:p w14:paraId="26604118" w14:textId="0CC93B08" w:rsidR="000B2D69" w:rsidRPr="00542969" w:rsidRDefault="0046323A" w:rsidP="007649E5">
            <w:pPr>
              <w:jc w:val="center"/>
            </w:pPr>
            <w:r>
              <w:t>35</w:t>
            </w:r>
          </w:p>
        </w:tc>
        <w:tc>
          <w:tcPr>
            <w:tcW w:w="1307" w:type="dxa"/>
            <w:vAlign w:val="center"/>
          </w:tcPr>
          <w:p w14:paraId="55AE0059" w14:textId="1EEA4FD7" w:rsidR="00F8635A" w:rsidRPr="00542969" w:rsidRDefault="00AC7E24" w:rsidP="00A32A54">
            <w:pPr>
              <w:jc w:val="center"/>
            </w:pPr>
            <w:r>
              <w:t>55</w:t>
            </w:r>
          </w:p>
        </w:tc>
        <w:tc>
          <w:tcPr>
            <w:tcW w:w="1308" w:type="dxa"/>
            <w:tcBorders>
              <w:right w:val="double" w:sz="4" w:space="0" w:color="auto"/>
            </w:tcBorders>
            <w:vAlign w:val="center"/>
          </w:tcPr>
          <w:p w14:paraId="0F502CE1" w14:textId="072C4783" w:rsidR="00F8635A" w:rsidRPr="00542969" w:rsidRDefault="0046323A" w:rsidP="00D328F1">
            <w:pPr>
              <w:jc w:val="center"/>
            </w:pPr>
            <w:r>
              <w:t>-20</w:t>
            </w:r>
          </w:p>
        </w:tc>
      </w:tr>
      <w:tr w:rsidR="00E961F5" w:rsidRPr="00542969" w14:paraId="62949EE3" w14:textId="77777777" w:rsidTr="00E961F5">
        <w:trPr>
          <w:trHeight w:val="720"/>
        </w:trPr>
        <w:tc>
          <w:tcPr>
            <w:tcW w:w="1307" w:type="dxa"/>
            <w:tcBorders>
              <w:left w:val="double" w:sz="4" w:space="0" w:color="auto"/>
            </w:tcBorders>
            <w:vAlign w:val="center"/>
          </w:tcPr>
          <w:p w14:paraId="6814A83B" w14:textId="77777777" w:rsidR="00F8635A" w:rsidRPr="00542969" w:rsidRDefault="00F8635A" w:rsidP="00085DB8">
            <w:pPr>
              <w:jc w:val="center"/>
            </w:pPr>
            <w:r w:rsidRPr="00542969">
              <w:t>773.12</w:t>
            </w:r>
          </w:p>
        </w:tc>
        <w:tc>
          <w:tcPr>
            <w:tcW w:w="1307" w:type="dxa"/>
            <w:vAlign w:val="center"/>
          </w:tcPr>
          <w:p w14:paraId="7B86C389" w14:textId="77777777" w:rsidR="00F8635A" w:rsidRPr="00542969" w:rsidRDefault="00F8635A" w:rsidP="00085DB8">
            <w:pPr>
              <w:jc w:val="center"/>
            </w:pPr>
            <w:r w:rsidRPr="00542969">
              <w:t>0</w:t>
            </w:r>
          </w:p>
        </w:tc>
        <w:tc>
          <w:tcPr>
            <w:tcW w:w="1307" w:type="dxa"/>
            <w:vAlign w:val="center"/>
          </w:tcPr>
          <w:p w14:paraId="7C085261" w14:textId="48C03066" w:rsidR="00F8635A" w:rsidRPr="00542969" w:rsidRDefault="0046323A" w:rsidP="0046323A">
            <w:pPr>
              <w:jc w:val="center"/>
            </w:pPr>
            <w:r>
              <w:t>62</w:t>
            </w:r>
          </w:p>
        </w:tc>
        <w:tc>
          <w:tcPr>
            <w:tcW w:w="1308" w:type="dxa"/>
            <w:vAlign w:val="center"/>
          </w:tcPr>
          <w:p w14:paraId="664D5DEE" w14:textId="77777777" w:rsidR="00F8635A" w:rsidRPr="00542969" w:rsidRDefault="00F8635A" w:rsidP="00085DB8">
            <w:pPr>
              <w:jc w:val="center"/>
            </w:pPr>
            <w:r w:rsidRPr="00542969">
              <w:t>0</w:t>
            </w:r>
          </w:p>
        </w:tc>
        <w:tc>
          <w:tcPr>
            <w:tcW w:w="1307" w:type="dxa"/>
            <w:vAlign w:val="center"/>
          </w:tcPr>
          <w:p w14:paraId="411955B1" w14:textId="77777777" w:rsidR="00F8635A" w:rsidRPr="00542969" w:rsidRDefault="00F8635A" w:rsidP="00085DB8">
            <w:pPr>
              <w:jc w:val="center"/>
            </w:pPr>
            <w:r w:rsidRPr="00542969">
              <w:t>32</w:t>
            </w:r>
          </w:p>
        </w:tc>
        <w:tc>
          <w:tcPr>
            <w:tcW w:w="1307" w:type="dxa"/>
            <w:vAlign w:val="center"/>
          </w:tcPr>
          <w:p w14:paraId="03F9462A" w14:textId="100DA1A8" w:rsidR="003D5BE0" w:rsidRPr="00542969" w:rsidRDefault="0046323A" w:rsidP="007649E5">
            <w:pPr>
              <w:jc w:val="center"/>
            </w:pPr>
            <w:r>
              <w:t>1,984</w:t>
            </w:r>
          </w:p>
        </w:tc>
        <w:tc>
          <w:tcPr>
            <w:tcW w:w="1307" w:type="dxa"/>
            <w:vAlign w:val="center"/>
          </w:tcPr>
          <w:p w14:paraId="0D056B17" w14:textId="75FF7362" w:rsidR="00F8635A" w:rsidRPr="00542969" w:rsidRDefault="00AC7E24" w:rsidP="00A32A54">
            <w:pPr>
              <w:jc w:val="center"/>
            </w:pPr>
            <w:r>
              <w:t>2,944</w:t>
            </w:r>
          </w:p>
        </w:tc>
        <w:tc>
          <w:tcPr>
            <w:tcW w:w="1308" w:type="dxa"/>
            <w:tcBorders>
              <w:right w:val="double" w:sz="4" w:space="0" w:color="auto"/>
            </w:tcBorders>
            <w:vAlign w:val="center"/>
          </w:tcPr>
          <w:p w14:paraId="23E9FCD1" w14:textId="126EDA17" w:rsidR="00F8635A" w:rsidRPr="00542969" w:rsidRDefault="0046323A" w:rsidP="00D328F1">
            <w:pPr>
              <w:jc w:val="center"/>
            </w:pPr>
            <w:r>
              <w:t>-960</w:t>
            </w:r>
          </w:p>
        </w:tc>
      </w:tr>
      <w:tr w:rsidR="00E961F5" w:rsidRPr="00542969" w14:paraId="3CB2449B" w14:textId="77777777" w:rsidTr="00E961F5">
        <w:trPr>
          <w:trHeight w:val="720"/>
        </w:trPr>
        <w:tc>
          <w:tcPr>
            <w:tcW w:w="1307" w:type="dxa"/>
            <w:tcBorders>
              <w:left w:val="double" w:sz="4" w:space="0" w:color="auto"/>
              <w:bottom w:val="single" w:sz="4" w:space="0" w:color="auto"/>
            </w:tcBorders>
            <w:vAlign w:val="center"/>
          </w:tcPr>
          <w:p w14:paraId="7AA056CF" w14:textId="77777777" w:rsidR="00F8635A" w:rsidRPr="00542969" w:rsidRDefault="00F8635A" w:rsidP="00085DB8">
            <w:pPr>
              <w:jc w:val="center"/>
            </w:pPr>
            <w:r w:rsidRPr="00542969">
              <w:t>773.14(b)</w:t>
            </w:r>
          </w:p>
        </w:tc>
        <w:tc>
          <w:tcPr>
            <w:tcW w:w="1307" w:type="dxa"/>
            <w:tcBorders>
              <w:bottom w:val="single" w:sz="4" w:space="0" w:color="auto"/>
            </w:tcBorders>
            <w:vAlign w:val="center"/>
          </w:tcPr>
          <w:p w14:paraId="742F3610" w14:textId="41B16F5C" w:rsidR="00F8635A" w:rsidRPr="00542969" w:rsidRDefault="0046323A" w:rsidP="0046323A">
            <w:pPr>
              <w:jc w:val="center"/>
            </w:pPr>
            <w:r>
              <w:t>7</w:t>
            </w:r>
          </w:p>
        </w:tc>
        <w:tc>
          <w:tcPr>
            <w:tcW w:w="1307" w:type="dxa"/>
            <w:tcBorders>
              <w:bottom w:val="single" w:sz="4" w:space="0" w:color="auto"/>
            </w:tcBorders>
            <w:vAlign w:val="center"/>
          </w:tcPr>
          <w:p w14:paraId="5239EF2F" w14:textId="4B33A5C8" w:rsidR="00F8635A" w:rsidRPr="00542969" w:rsidRDefault="0046323A" w:rsidP="0046323A">
            <w:pPr>
              <w:jc w:val="center"/>
            </w:pPr>
            <w:r>
              <w:t>7</w:t>
            </w:r>
          </w:p>
        </w:tc>
        <w:tc>
          <w:tcPr>
            <w:tcW w:w="1308" w:type="dxa"/>
            <w:tcBorders>
              <w:bottom w:val="single" w:sz="4" w:space="0" w:color="auto"/>
            </w:tcBorders>
            <w:vAlign w:val="center"/>
          </w:tcPr>
          <w:p w14:paraId="1399C328" w14:textId="77777777" w:rsidR="00F8635A" w:rsidRPr="00542969" w:rsidRDefault="00F8635A" w:rsidP="00085DB8">
            <w:pPr>
              <w:jc w:val="center"/>
            </w:pPr>
            <w:r w:rsidRPr="00542969">
              <w:t>1</w:t>
            </w:r>
          </w:p>
        </w:tc>
        <w:tc>
          <w:tcPr>
            <w:tcW w:w="1307" w:type="dxa"/>
            <w:tcBorders>
              <w:bottom w:val="single" w:sz="4" w:space="0" w:color="auto"/>
            </w:tcBorders>
            <w:vAlign w:val="center"/>
          </w:tcPr>
          <w:p w14:paraId="0CE08A49" w14:textId="77777777" w:rsidR="00F8635A" w:rsidRPr="00542969" w:rsidRDefault="00F8635A" w:rsidP="00085DB8">
            <w:pPr>
              <w:jc w:val="center"/>
            </w:pPr>
            <w:r w:rsidRPr="00542969">
              <w:t>1</w:t>
            </w:r>
          </w:p>
        </w:tc>
        <w:tc>
          <w:tcPr>
            <w:tcW w:w="1307" w:type="dxa"/>
            <w:tcBorders>
              <w:bottom w:val="single" w:sz="4" w:space="0" w:color="auto"/>
            </w:tcBorders>
            <w:vAlign w:val="center"/>
          </w:tcPr>
          <w:p w14:paraId="1D25C134" w14:textId="176BBA6F" w:rsidR="00C46C21" w:rsidRPr="00542969" w:rsidRDefault="0046323A" w:rsidP="007649E5">
            <w:pPr>
              <w:jc w:val="center"/>
            </w:pPr>
            <w:r>
              <w:t>14</w:t>
            </w:r>
          </w:p>
        </w:tc>
        <w:tc>
          <w:tcPr>
            <w:tcW w:w="1307" w:type="dxa"/>
            <w:tcBorders>
              <w:bottom w:val="single" w:sz="4" w:space="0" w:color="auto"/>
            </w:tcBorders>
            <w:vAlign w:val="center"/>
          </w:tcPr>
          <w:p w14:paraId="4C71A196" w14:textId="1ADBE076" w:rsidR="00F8635A" w:rsidRPr="00542969" w:rsidRDefault="00AC7E24" w:rsidP="00A32A54">
            <w:pPr>
              <w:jc w:val="center"/>
            </w:pPr>
            <w:r>
              <w:t>22</w:t>
            </w:r>
          </w:p>
        </w:tc>
        <w:tc>
          <w:tcPr>
            <w:tcW w:w="1308" w:type="dxa"/>
            <w:tcBorders>
              <w:bottom w:val="single" w:sz="4" w:space="0" w:color="auto"/>
              <w:right w:val="double" w:sz="4" w:space="0" w:color="auto"/>
            </w:tcBorders>
            <w:vAlign w:val="center"/>
          </w:tcPr>
          <w:p w14:paraId="3E50CC16" w14:textId="105136BD" w:rsidR="00F8635A" w:rsidRPr="00542969" w:rsidRDefault="0046323A" w:rsidP="00D328F1">
            <w:pPr>
              <w:jc w:val="center"/>
            </w:pPr>
            <w:r>
              <w:t>-8</w:t>
            </w:r>
          </w:p>
        </w:tc>
      </w:tr>
      <w:tr w:rsidR="00841A79" w:rsidRPr="00542969" w14:paraId="6C6EAD84" w14:textId="77777777" w:rsidTr="00E961F5">
        <w:trPr>
          <w:trHeight w:val="720"/>
        </w:trPr>
        <w:tc>
          <w:tcPr>
            <w:tcW w:w="1307" w:type="dxa"/>
            <w:tcBorders>
              <w:left w:val="double" w:sz="4" w:space="0" w:color="auto"/>
              <w:bottom w:val="single" w:sz="4" w:space="0" w:color="auto"/>
            </w:tcBorders>
            <w:vAlign w:val="center"/>
          </w:tcPr>
          <w:p w14:paraId="1DFEB545" w14:textId="157EF462" w:rsidR="00841A79" w:rsidRPr="00542969" w:rsidRDefault="00841A79" w:rsidP="00D278EF">
            <w:pPr>
              <w:jc w:val="center"/>
            </w:pPr>
            <w:r w:rsidRPr="00542969">
              <w:t>773.19</w:t>
            </w:r>
            <w:r w:rsidR="00A32A54">
              <w:t>(b)</w:t>
            </w:r>
          </w:p>
        </w:tc>
        <w:tc>
          <w:tcPr>
            <w:tcW w:w="1307" w:type="dxa"/>
            <w:tcBorders>
              <w:bottom w:val="single" w:sz="4" w:space="0" w:color="auto"/>
            </w:tcBorders>
            <w:vAlign w:val="center"/>
          </w:tcPr>
          <w:p w14:paraId="4F7CCC11" w14:textId="2C2A3491" w:rsidR="00841A79" w:rsidRDefault="00D278EF" w:rsidP="0046323A">
            <w:pPr>
              <w:jc w:val="center"/>
            </w:pPr>
            <w:r>
              <w:t>0</w:t>
            </w:r>
          </w:p>
        </w:tc>
        <w:tc>
          <w:tcPr>
            <w:tcW w:w="1307" w:type="dxa"/>
            <w:tcBorders>
              <w:bottom w:val="single" w:sz="4" w:space="0" w:color="auto"/>
            </w:tcBorders>
            <w:vAlign w:val="center"/>
          </w:tcPr>
          <w:p w14:paraId="01AD8444" w14:textId="1E83F127" w:rsidR="00841A79" w:rsidRDefault="0046323A" w:rsidP="0046323A">
            <w:pPr>
              <w:jc w:val="center"/>
            </w:pPr>
            <w:r>
              <w:t>62</w:t>
            </w:r>
          </w:p>
        </w:tc>
        <w:tc>
          <w:tcPr>
            <w:tcW w:w="1308" w:type="dxa"/>
            <w:tcBorders>
              <w:bottom w:val="single" w:sz="4" w:space="0" w:color="auto"/>
            </w:tcBorders>
            <w:vAlign w:val="center"/>
          </w:tcPr>
          <w:p w14:paraId="78B7E13E" w14:textId="3968DA8D" w:rsidR="00841A79" w:rsidRPr="00542969" w:rsidRDefault="00D278EF" w:rsidP="00841A79">
            <w:pPr>
              <w:jc w:val="center"/>
            </w:pPr>
            <w:r>
              <w:t>0</w:t>
            </w:r>
          </w:p>
        </w:tc>
        <w:tc>
          <w:tcPr>
            <w:tcW w:w="1307" w:type="dxa"/>
            <w:tcBorders>
              <w:bottom w:val="single" w:sz="4" w:space="0" w:color="auto"/>
            </w:tcBorders>
            <w:vAlign w:val="center"/>
          </w:tcPr>
          <w:p w14:paraId="4148FEBD" w14:textId="77777777" w:rsidR="00841A79" w:rsidRPr="00542969" w:rsidRDefault="00A32A54" w:rsidP="00A32A54">
            <w:pPr>
              <w:jc w:val="center"/>
            </w:pPr>
            <w:r>
              <w:t>1</w:t>
            </w:r>
          </w:p>
        </w:tc>
        <w:tc>
          <w:tcPr>
            <w:tcW w:w="1307" w:type="dxa"/>
            <w:tcBorders>
              <w:bottom w:val="single" w:sz="4" w:space="0" w:color="auto"/>
            </w:tcBorders>
            <w:vAlign w:val="center"/>
          </w:tcPr>
          <w:p w14:paraId="286162C4" w14:textId="53B8C200" w:rsidR="00841A79" w:rsidRDefault="00D278EF" w:rsidP="007649E5">
            <w:pPr>
              <w:jc w:val="center"/>
            </w:pPr>
            <w:r>
              <w:t>62</w:t>
            </w:r>
          </w:p>
        </w:tc>
        <w:tc>
          <w:tcPr>
            <w:tcW w:w="1307" w:type="dxa"/>
            <w:tcBorders>
              <w:bottom w:val="single" w:sz="4" w:space="0" w:color="auto"/>
            </w:tcBorders>
            <w:vAlign w:val="center"/>
          </w:tcPr>
          <w:p w14:paraId="3B16C555" w14:textId="49117355" w:rsidR="00841A79" w:rsidRDefault="00D278EF" w:rsidP="007649E5">
            <w:pPr>
              <w:jc w:val="center"/>
            </w:pPr>
            <w:r>
              <w:t>92</w:t>
            </w:r>
          </w:p>
        </w:tc>
        <w:tc>
          <w:tcPr>
            <w:tcW w:w="1308" w:type="dxa"/>
            <w:tcBorders>
              <w:bottom w:val="single" w:sz="4" w:space="0" w:color="auto"/>
              <w:right w:val="double" w:sz="4" w:space="0" w:color="auto"/>
            </w:tcBorders>
            <w:vAlign w:val="center"/>
          </w:tcPr>
          <w:p w14:paraId="739D1655" w14:textId="7868919F" w:rsidR="00841A79" w:rsidRDefault="0046323A" w:rsidP="00D278EF">
            <w:pPr>
              <w:jc w:val="center"/>
            </w:pPr>
            <w:r>
              <w:t>-</w:t>
            </w:r>
            <w:r w:rsidR="00D278EF">
              <w:t>30</w:t>
            </w:r>
          </w:p>
        </w:tc>
      </w:tr>
      <w:tr w:rsidR="00A32A54" w:rsidRPr="00542969" w14:paraId="0261CC8F" w14:textId="77777777" w:rsidTr="00E961F5">
        <w:trPr>
          <w:trHeight w:val="720"/>
        </w:trPr>
        <w:tc>
          <w:tcPr>
            <w:tcW w:w="1307" w:type="dxa"/>
            <w:tcBorders>
              <w:left w:val="double" w:sz="4" w:space="0" w:color="auto"/>
              <w:bottom w:val="single" w:sz="4" w:space="0" w:color="auto"/>
            </w:tcBorders>
            <w:vAlign w:val="center"/>
          </w:tcPr>
          <w:p w14:paraId="6D039DDB" w14:textId="579E9CFF" w:rsidR="00A32A54" w:rsidRPr="00542969" w:rsidRDefault="00A32A54" w:rsidP="00D278EF">
            <w:pPr>
              <w:jc w:val="center"/>
            </w:pPr>
            <w:r>
              <w:t>773.19(e)</w:t>
            </w:r>
          </w:p>
        </w:tc>
        <w:tc>
          <w:tcPr>
            <w:tcW w:w="1307" w:type="dxa"/>
            <w:tcBorders>
              <w:bottom w:val="single" w:sz="4" w:space="0" w:color="auto"/>
            </w:tcBorders>
            <w:vAlign w:val="center"/>
          </w:tcPr>
          <w:p w14:paraId="3ECBD2F8" w14:textId="5A69FE5C" w:rsidR="00A32A54" w:rsidRDefault="00D278EF" w:rsidP="00841A79">
            <w:pPr>
              <w:jc w:val="center"/>
            </w:pPr>
            <w:r>
              <w:t>6</w:t>
            </w:r>
          </w:p>
        </w:tc>
        <w:tc>
          <w:tcPr>
            <w:tcW w:w="1307" w:type="dxa"/>
            <w:tcBorders>
              <w:bottom w:val="single" w:sz="4" w:space="0" w:color="auto"/>
            </w:tcBorders>
            <w:vAlign w:val="center"/>
          </w:tcPr>
          <w:p w14:paraId="2C694A0A" w14:textId="00DADFD9" w:rsidR="00A32A54" w:rsidRDefault="0046323A" w:rsidP="0046323A">
            <w:pPr>
              <w:jc w:val="center"/>
            </w:pPr>
            <w:r>
              <w:t>6</w:t>
            </w:r>
          </w:p>
        </w:tc>
        <w:tc>
          <w:tcPr>
            <w:tcW w:w="1308" w:type="dxa"/>
            <w:tcBorders>
              <w:bottom w:val="single" w:sz="4" w:space="0" w:color="auto"/>
            </w:tcBorders>
            <w:vAlign w:val="center"/>
          </w:tcPr>
          <w:p w14:paraId="5E4A2238" w14:textId="2B7495D2" w:rsidR="00A32A54" w:rsidRPr="00542969" w:rsidRDefault="00D278EF" w:rsidP="00841A79">
            <w:pPr>
              <w:jc w:val="center"/>
            </w:pPr>
            <w:r>
              <w:t>6</w:t>
            </w:r>
          </w:p>
        </w:tc>
        <w:tc>
          <w:tcPr>
            <w:tcW w:w="1307" w:type="dxa"/>
            <w:tcBorders>
              <w:bottom w:val="single" w:sz="4" w:space="0" w:color="auto"/>
            </w:tcBorders>
            <w:vAlign w:val="center"/>
          </w:tcPr>
          <w:p w14:paraId="5D0FAE36" w14:textId="77777777" w:rsidR="00A32A54" w:rsidRPr="00542969" w:rsidRDefault="00A32A54" w:rsidP="00841A79">
            <w:pPr>
              <w:jc w:val="center"/>
            </w:pPr>
            <w:r>
              <w:t>2</w:t>
            </w:r>
          </w:p>
        </w:tc>
        <w:tc>
          <w:tcPr>
            <w:tcW w:w="1307" w:type="dxa"/>
            <w:tcBorders>
              <w:bottom w:val="single" w:sz="4" w:space="0" w:color="auto"/>
            </w:tcBorders>
            <w:vAlign w:val="center"/>
          </w:tcPr>
          <w:p w14:paraId="3D9B2EBA" w14:textId="1F24B0A5" w:rsidR="00A32A54" w:rsidRDefault="00D278EF" w:rsidP="00841A79">
            <w:pPr>
              <w:jc w:val="center"/>
            </w:pPr>
            <w:r>
              <w:t>48</w:t>
            </w:r>
          </w:p>
        </w:tc>
        <w:tc>
          <w:tcPr>
            <w:tcW w:w="1307" w:type="dxa"/>
            <w:tcBorders>
              <w:bottom w:val="single" w:sz="4" w:space="0" w:color="auto"/>
            </w:tcBorders>
            <w:vAlign w:val="center"/>
          </w:tcPr>
          <w:p w14:paraId="055C58A3" w14:textId="2F6D9938" w:rsidR="00A32A54" w:rsidRDefault="00D278EF" w:rsidP="007649E5">
            <w:pPr>
              <w:jc w:val="center"/>
            </w:pPr>
            <w:r>
              <w:t>72</w:t>
            </w:r>
          </w:p>
        </w:tc>
        <w:tc>
          <w:tcPr>
            <w:tcW w:w="1308" w:type="dxa"/>
            <w:tcBorders>
              <w:bottom w:val="single" w:sz="4" w:space="0" w:color="auto"/>
              <w:right w:val="double" w:sz="4" w:space="0" w:color="auto"/>
            </w:tcBorders>
            <w:vAlign w:val="center"/>
          </w:tcPr>
          <w:p w14:paraId="42C10822" w14:textId="289AB05F" w:rsidR="00A32A54" w:rsidRDefault="0046323A" w:rsidP="00D278EF">
            <w:pPr>
              <w:jc w:val="center"/>
            </w:pPr>
            <w:r>
              <w:t>-</w:t>
            </w:r>
            <w:r w:rsidR="00D278EF">
              <w:t>24</w:t>
            </w:r>
          </w:p>
        </w:tc>
      </w:tr>
      <w:tr w:rsidR="00841A79" w:rsidRPr="00542969" w14:paraId="5779DB47" w14:textId="77777777" w:rsidTr="00E961F5">
        <w:trPr>
          <w:trHeight w:val="720"/>
        </w:trPr>
        <w:tc>
          <w:tcPr>
            <w:tcW w:w="1307" w:type="dxa"/>
            <w:tcBorders>
              <w:left w:val="double" w:sz="4" w:space="0" w:color="auto"/>
              <w:bottom w:val="double" w:sz="4" w:space="0" w:color="auto"/>
            </w:tcBorders>
            <w:vAlign w:val="center"/>
          </w:tcPr>
          <w:p w14:paraId="7CF13302" w14:textId="77777777" w:rsidR="00841A79" w:rsidRPr="00542969" w:rsidRDefault="00841A79" w:rsidP="00841A79">
            <w:pPr>
              <w:jc w:val="center"/>
            </w:pPr>
            <w:r>
              <w:t>736</w:t>
            </w:r>
            <w:r w:rsidR="00AC5232">
              <w:t>/750</w:t>
            </w:r>
            <w:r>
              <w:t>.25</w:t>
            </w:r>
          </w:p>
        </w:tc>
        <w:tc>
          <w:tcPr>
            <w:tcW w:w="1307" w:type="dxa"/>
            <w:tcBorders>
              <w:bottom w:val="double" w:sz="4" w:space="0" w:color="auto"/>
            </w:tcBorders>
            <w:vAlign w:val="center"/>
          </w:tcPr>
          <w:p w14:paraId="4C3EC23F" w14:textId="77777777" w:rsidR="00841A79" w:rsidRPr="00542969" w:rsidRDefault="00A32A54" w:rsidP="00A32A54">
            <w:pPr>
              <w:jc w:val="center"/>
            </w:pPr>
            <w:r>
              <w:t>1</w:t>
            </w:r>
          </w:p>
        </w:tc>
        <w:tc>
          <w:tcPr>
            <w:tcW w:w="1307" w:type="dxa"/>
            <w:tcBorders>
              <w:bottom w:val="double" w:sz="4" w:space="0" w:color="auto"/>
            </w:tcBorders>
            <w:vAlign w:val="center"/>
          </w:tcPr>
          <w:p w14:paraId="1EAED8A9" w14:textId="77777777" w:rsidR="00841A79" w:rsidRPr="00542969" w:rsidRDefault="00841A79" w:rsidP="00841A79">
            <w:pPr>
              <w:jc w:val="center"/>
            </w:pPr>
            <w:r>
              <w:t>0</w:t>
            </w:r>
          </w:p>
        </w:tc>
        <w:tc>
          <w:tcPr>
            <w:tcW w:w="1308" w:type="dxa"/>
            <w:tcBorders>
              <w:bottom w:val="double" w:sz="4" w:space="0" w:color="auto"/>
            </w:tcBorders>
            <w:vAlign w:val="center"/>
          </w:tcPr>
          <w:p w14:paraId="34BA82D8" w14:textId="77777777" w:rsidR="00841A79" w:rsidRPr="00542969" w:rsidRDefault="00841A79" w:rsidP="00841A79">
            <w:pPr>
              <w:jc w:val="center"/>
            </w:pPr>
            <w:r>
              <w:t>0</w:t>
            </w:r>
          </w:p>
        </w:tc>
        <w:tc>
          <w:tcPr>
            <w:tcW w:w="1307" w:type="dxa"/>
            <w:tcBorders>
              <w:bottom w:val="double" w:sz="4" w:space="0" w:color="auto"/>
            </w:tcBorders>
            <w:vAlign w:val="center"/>
          </w:tcPr>
          <w:p w14:paraId="723A5BD4" w14:textId="77777777" w:rsidR="00841A79" w:rsidRPr="00542969" w:rsidRDefault="00841A79" w:rsidP="00841A79">
            <w:pPr>
              <w:jc w:val="center"/>
            </w:pPr>
            <w:r>
              <w:t>0</w:t>
            </w:r>
          </w:p>
        </w:tc>
        <w:tc>
          <w:tcPr>
            <w:tcW w:w="1307" w:type="dxa"/>
            <w:tcBorders>
              <w:bottom w:val="double" w:sz="4" w:space="0" w:color="auto"/>
            </w:tcBorders>
            <w:vAlign w:val="center"/>
          </w:tcPr>
          <w:p w14:paraId="43E1B92B" w14:textId="37C20C0B" w:rsidR="00841A79" w:rsidRPr="00542969" w:rsidRDefault="00EE050A" w:rsidP="00841A79">
            <w:pPr>
              <w:jc w:val="center"/>
            </w:pPr>
            <w:r>
              <w:t>0</w:t>
            </w:r>
          </w:p>
        </w:tc>
        <w:tc>
          <w:tcPr>
            <w:tcW w:w="1307" w:type="dxa"/>
            <w:tcBorders>
              <w:bottom w:val="double" w:sz="4" w:space="0" w:color="auto"/>
            </w:tcBorders>
            <w:vAlign w:val="center"/>
          </w:tcPr>
          <w:p w14:paraId="458988DA" w14:textId="2A54DD69" w:rsidR="00841A79" w:rsidRPr="00542969" w:rsidRDefault="00EE050A" w:rsidP="00841A79">
            <w:pPr>
              <w:jc w:val="center"/>
            </w:pPr>
            <w:r>
              <w:t>0</w:t>
            </w:r>
          </w:p>
        </w:tc>
        <w:tc>
          <w:tcPr>
            <w:tcW w:w="1308" w:type="dxa"/>
            <w:tcBorders>
              <w:bottom w:val="double" w:sz="4" w:space="0" w:color="auto"/>
              <w:right w:val="double" w:sz="4" w:space="0" w:color="auto"/>
            </w:tcBorders>
            <w:vAlign w:val="center"/>
          </w:tcPr>
          <w:p w14:paraId="4853F20E" w14:textId="14BECFB3" w:rsidR="00841A79" w:rsidRPr="00542969" w:rsidRDefault="00EE050A" w:rsidP="00841A79">
            <w:pPr>
              <w:jc w:val="center"/>
            </w:pPr>
            <w:r>
              <w:t>0</w:t>
            </w:r>
          </w:p>
        </w:tc>
      </w:tr>
      <w:tr w:rsidR="00841A79" w:rsidRPr="00542969" w14:paraId="63525D00" w14:textId="77777777" w:rsidTr="00E961F5">
        <w:trPr>
          <w:trHeight w:val="720"/>
        </w:trPr>
        <w:tc>
          <w:tcPr>
            <w:tcW w:w="1307" w:type="dxa"/>
            <w:tcBorders>
              <w:top w:val="double" w:sz="4" w:space="0" w:color="auto"/>
              <w:left w:val="double" w:sz="4" w:space="0" w:color="auto"/>
              <w:bottom w:val="double" w:sz="4" w:space="0" w:color="auto"/>
            </w:tcBorders>
            <w:vAlign w:val="center"/>
          </w:tcPr>
          <w:p w14:paraId="78DE049D" w14:textId="77777777" w:rsidR="00841A79" w:rsidRPr="00542969" w:rsidRDefault="00841A79" w:rsidP="00841A79">
            <w:pPr>
              <w:jc w:val="center"/>
              <w:rPr>
                <w:b/>
              </w:rPr>
            </w:pPr>
            <w:r w:rsidRPr="00542969">
              <w:rPr>
                <w:b/>
              </w:rPr>
              <w:t>TOTALS</w:t>
            </w:r>
          </w:p>
        </w:tc>
        <w:tc>
          <w:tcPr>
            <w:tcW w:w="1307" w:type="dxa"/>
            <w:tcBorders>
              <w:top w:val="double" w:sz="4" w:space="0" w:color="auto"/>
              <w:bottom w:val="double" w:sz="4" w:space="0" w:color="auto"/>
            </w:tcBorders>
            <w:vAlign w:val="center"/>
          </w:tcPr>
          <w:p w14:paraId="7863E25C" w14:textId="77777777" w:rsidR="00841A79" w:rsidRPr="00542969" w:rsidRDefault="00841A79" w:rsidP="00A32A54">
            <w:pPr>
              <w:jc w:val="center"/>
              <w:rPr>
                <w:b/>
              </w:rPr>
            </w:pPr>
          </w:p>
        </w:tc>
        <w:tc>
          <w:tcPr>
            <w:tcW w:w="1307" w:type="dxa"/>
            <w:tcBorders>
              <w:top w:val="double" w:sz="4" w:space="0" w:color="auto"/>
              <w:bottom w:val="double" w:sz="4" w:space="0" w:color="auto"/>
            </w:tcBorders>
            <w:vAlign w:val="center"/>
          </w:tcPr>
          <w:p w14:paraId="2AEFCFD8" w14:textId="77777777" w:rsidR="00841A79" w:rsidRPr="00542969" w:rsidRDefault="00841A79" w:rsidP="00A32A54">
            <w:pPr>
              <w:jc w:val="center"/>
              <w:rPr>
                <w:b/>
              </w:rPr>
            </w:pPr>
          </w:p>
        </w:tc>
        <w:tc>
          <w:tcPr>
            <w:tcW w:w="1308" w:type="dxa"/>
            <w:tcBorders>
              <w:top w:val="double" w:sz="4" w:space="0" w:color="auto"/>
              <w:bottom w:val="double" w:sz="4" w:space="0" w:color="auto"/>
            </w:tcBorders>
            <w:vAlign w:val="center"/>
          </w:tcPr>
          <w:p w14:paraId="4D056503" w14:textId="77777777" w:rsidR="00841A79" w:rsidRPr="00542969" w:rsidRDefault="00841A79" w:rsidP="00841A79">
            <w:pPr>
              <w:jc w:val="center"/>
              <w:rPr>
                <w:b/>
              </w:rPr>
            </w:pPr>
          </w:p>
        </w:tc>
        <w:tc>
          <w:tcPr>
            <w:tcW w:w="1307" w:type="dxa"/>
            <w:tcBorders>
              <w:top w:val="double" w:sz="4" w:space="0" w:color="auto"/>
              <w:bottom w:val="double" w:sz="4" w:space="0" w:color="auto"/>
            </w:tcBorders>
            <w:vAlign w:val="center"/>
          </w:tcPr>
          <w:p w14:paraId="6301123C" w14:textId="77777777" w:rsidR="00841A79" w:rsidRPr="00542969" w:rsidRDefault="00841A79" w:rsidP="00841A79">
            <w:pPr>
              <w:jc w:val="center"/>
              <w:rPr>
                <w:b/>
              </w:rPr>
            </w:pPr>
          </w:p>
        </w:tc>
        <w:tc>
          <w:tcPr>
            <w:tcW w:w="1307" w:type="dxa"/>
            <w:tcBorders>
              <w:top w:val="double" w:sz="4" w:space="0" w:color="auto"/>
              <w:bottom w:val="double" w:sz="4" w:space="0" w:color="auto"/>
            </w:tcBorders>
            <w:vAlign w:val="center"/>
          </w:tcPr>
          <w:p w14:paraId="3B256216" w14:textId="7732D599" w:rsidR="00841A79" w:rsidRPr="00542969" w:rsidRDefault="0046323A" w:rsidP="00A32A54">
            <w:pPr>
              <w:jc w:val="center"/>
              <w:rPr>
                <w:b/>
              </w:rPr>
            </w:pPr>
            <w:r>
              <w:rPr>
                <w:b/>
              </w:rPr>
              <w:t>56,078</w:t>
            </w:r>
          </w:p>
        </w:tc>
        <w:tc>
          <w:tcPr>
            <w:tcW w:w="1307" w:type="dxa"/>
            <w:tcBorders>
              <w:top w:val="double" w:sz="4" w:space="0" w:color="auto"/>
              <w:bottom w:val="double" w:sz="4" w:space="0" w:color="auto"/>
            </w:tcBorders>
            <w:vAlign w:val="center"/>
          </w:tcPr>
          <w:p w14:paraId="2430BB1D" w14:textId="74394B09" w:rsidR="00841A79" w:rsidRPr="00542969" w:rsidRDefault="00AC7E24" w:rsidP="00A32A54">
            <w:pPr>
              <w:jc w:val="center"/>
              <w:rPr>
                <w:b/>
              </w:rPr>
            </w:pPr>
            <w:r>
              <w:rPr>
                <w:b/>
              </w:rPr>
              <w:t>39,224</w:t>
            </w:r>
          </w:p>
        </w:tc>
        <w:tc>
          <w:tcPr>
            <w:tcW w:w="1308" w:type="dxa"/>
            <w:tcBorders>
              <w:top w:val="double" w:sz="4" w:space="0" w:color="auto"/>
              <w:bottom w:val="double" w:sz="4" w:space="0" w:color="auto"/>
              <w:right w:val="double" w:sz="4" w:space="0" w:color="auto"/>
            </w:tcBorders>
            <w:vAlign w:val="center"/>
          </w:tcPr>
          <w:p w14:paraId="7C870832" w14:textId="7751F5FB" w:rsidR="00841A79" w:rsidRPr="00542969" w:rsidRDefault="00D278EF" w:rsidP="00D278EF">
            <w:pPr>
              <w:jc w:val="center"/>
              <w:rPr>
                <w:b/>
                <w:noProof/>
              </w:rPr>
            </w:pPr>
            <w:r>
              <w:rPr>
                <w:b/>
                <w:noProof/>
              </w:rPr>
              <w:fldChar w:fldCharType="begin"/>
            </w:r>
            <w:r>
              <w:rPr>
                <w:b/>
                <w:noProof/>
              </w:rPr>
              <w:instrText xml:space="preserve"> =SUM(ABOVE) </w:instrText>
            </w:r>
            <w:r>
              <w:rPr>
                <w:b/>
                <w:noProof/>
              </w:rPr>
              <w:fldChar w:fldCharType="separate"/>
            </w:r>
            <w:r>
              <w:rPr>
                <w:b/>
                <w:noProof/>
              </w:rPr>
              <w:t>16,854</w:t>
            </w:r>
            <w:r>
              <w:rPr>
                <w:b/>
                <w:noProof/>
              </w:rPr>
              <w:fldChar w:fldCharType="end"/>
            </w:r>
          </w:p>
        </w:tc>
      </w:tr>
    </w:tbl>
    <w:p w14:paraId="69C6A622" w14:textId="77777777" w:rsidR="00F8635A" w:rsidRPr="00542969" w:rsidRDefault="00F8635A" w:rsidP="00F8635A">
      <w:pPr>
        <w:jc w:val="center"/>
      </w:pPr>
    </w:p>
    <w:p w14:paraId="04E05E17" w14:textId="689536CF" w:rsidR="00186CCB" w:rsidRDefault="00186CCB">
      <w:r>
        <w:br w:type="page"/>
      </w:r>
    </w:p>
    <w:p w14:paraId="0C794667" w14:textId="1136FF1B" w:rsidR="00F70289" w:rsidRPr="00F70289" w:rsidRDefault="00F70289" w:rsidP="00F70289">
      <w:pPr>
        <w:jc w:val="center"/>
      </w:pPr>
      <w:r>
        <w:t xml:space="preserve">Summary of </w:t>
      </w:r>
      <w:r w:rsidR="002410D3">
        <w:t xml:space="preserve">Applicant </w:t>
      </w:r>
      <w:r w:rsidR="00186CCB">
        <w:t>Non-Wage Costs</w:t>
      </w:r>
      <w:r w:rsidR="00EE050A">
        <w:t xml:space="preserve"> </w:t>
      </w:r>
      <w:r w:rsidR="00EE050A" w:rsidRPr="00542969">
        <w:t xml:space="preserve">30 </w:t>
      </w:r>
      <w:smartTag w:uri="urn:schemas-microsoft-com:office:smarttags" w:element="stockticker">
        <w:r w:rsidR="00EE050A" w:rsidRPr="00542969">
          <w:t>CFR</w:t>
        </w:r>
      </w:smartTag>
      <w:r w:rsidR="00EE050A" w:rsidRPr="00542969">
        <w:t xml:space="preserve"> </w:t>
      </w:r>
      <w:r w:rsidR="00EE050A">
        <w:t>Part</w:t>
      </w:r>
      <w:r w:rsidR="00EE050A" w:rsidRPr="00542969">
        <w:t xml:space="preserve"> 773</w:t>
      </w:r>
      <w:r w:rsidR="00EE050A">
        <w:t xml:space="preserve"> </w:t>
      </w:r>
      <w:r w:rsidR="006609D2">
        <w:t>&amp;</w:t>
      </w:r>
      <w:r w:rsidR="00EE050A">
        <w:t xml:space="preserve"> Sections 736.25</w:t>
      </w:r>
      <w:r w:rsidR="006609D2">
        <w:t>/</w:t>
      </w:r>
      <w:r w:rsidR="00EE050A">
        <w:t>750.25</w:t>
      </w:r>
    </w:p>
    <w:tbl>
      <w:tblPr>
        <w:tblpPr w:leftFromText="180" w:rightFromText="180" w:vertAnchor="text" w:horzAnchor="margin" w:tblpXSpec="center" w:tblpY="11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3153"/>
        <w:gridCol w:w="2609"/>
        <w:gridCol w:w="2935"/>
      </w:tblGrid>
      <w:tr w:rsidR="00223701" w:rsidRPr="00F70289" w14:paraId="3E0F2142" w14:textId="77777777" w:rsidTr="00EE050A">
        <w:trPr>
          <w:trHeight w:val="1008"/>
        </w:trPr>
        <w:tc>
          <w:tcPr>
            <w:tcW w:w="1458" w:type="dxa"/>
            <w:tcBorders>
              <w:top w:val="double" w:sz="4" w:space="0" w:color="auto"/>
              <w:left w:val="double" w:sz="4" w:space="0" w:color="auto"/>
              <w:bottom w:val="double" w:sz="4" w:space="0" w:color="auto"/>
            </w:tcBorders>
            <w:vAlign w:val="center"/>
          </w:tcPr>
          <w:p w14:paraId="238E97F0" w14:textId="77777777" w:rsidR="00223701" w:rsidRPr="00F70289" w:rsidRDefault="00223701" w:rsidP="00F70289">
            <w:pPr>
              <w:jc w:val="center"/>
            </w:pPr>
            <w:r w:rsidRPr="00F70289">
              <w:t>Section</w:t>
            </w:r>
          </w:p>
        </w:tc>
        <w:tc>
          <w:tcPr>
            <w:tcW w:w="2610" w:type="dxa"/>
            <w:tcBorders>
              <w:top w:val="double" w:sz="4" w:space="0" w:color="auto"/>
              <w:bottom w:val="double" w:sz="4" w:space="0" w:color="auto"/>
            </w:tcBorders>
            <w:vAlign w:val="center"/>
          </w:tcPr>
          <w:p w14:paraId="71DC8639" w14:textId="1AF0545C" w:rsidR="00223701" w:rsidRDefault="00223701" w:rsidP="00643CE3">
            <w:pPr>
              <w:jc w:val="center"/>
            </w:pPr>
            <w:r w:rsidRPr="00F70289">
              <w:t xml:space="preserve">Applicant/Permittee </w:t>
            </w:r>
          </w:p>
          <w:p w14:paraId="13734366" w14:textId="6FE99226" w:rsidR="00223701" w:rsidRPr="00F70289" w:rsidRDefault="00223701" w:rsidP="00643CE3">
            <w:pPr>
              <w:jc w:val="center"/>
            </w:pPr>
            <w:r>
              <w:t>Non-Wage Cost Burden Requested</w:t>
            </w:r>
          </w:p>
        </w:tc>
        <w:tc>
          <w:tcPr>
            <w:tcW w:w="2160" w:type="dxa"/>
            <w:tcBorders>
              <w:top w:val="double" w:sz="4" w:space="0" w:color="auto"/>
              <w:bottom w:val="double" w:sz="4" w:space="0" w:color="auto"/>
            </w:tcBorders>
          </w:tcPr>
          <w:p w14:paraId="73CAA254" w14:textId="7F0BB533" w:rsidR="00223701" w:rsidRDefault="00223701" w:rsidP="00223701">
            <w:pPr>
              <w:jc w:val="center"/>
            </w:pPr>
            <w:r>
              <w:t xml:space="preserve">Currently Approved </w:t>
            </w:r>
            <w:r w:rsidRPr="00F70289">
              <w:t>Applicant/Permittee</w:t>
            </w:r>
          </w:p>
          <w:p w14:paraId="1FDEDE77" w14:textId="3FC27178" w:rsidR="00223701" w:rsidRPr="00186CCB" w:rsidRDefault="00223701" w:rsidP="00223701">
            <w:pPr>
              <w:jc w:val="center"/>
            </w:pPr>
            <w:r>
              <w:t>Non-Wage Cost Burden</w:t>
            </w:r>
          </w:p>
        </w:tc>
        <w:tc>
          <w:tcPr>
            <w:tcW w:w="2430" w:type="dxa"/>
            <w:tcBorders>
              <w:top w:val="double" w:sz="4" w:space="0" w:color="auto"/>
              <w:bottom w:val="double" w:sz="4" w:space="0" w:color="auto"/>
              <w:right w:val="double" w:sz="4" w:space="0" w:color="auto"/>
            </w:tcBorders>
            <w:vAlign w:val="center"/>
          </w:tcPr>
          <w:p w14:paraId="21AE7D71" w14:textId="05E56D27" w:rsidR="00223701" w:rsidRPr="00F70289" w:rsidRDefault="00223701" w:rsidP="00223701">
            <w:pPr>
              <w:jc w:val="center"/>
            </w:pPr>
            <w:r>
              <w:t xml:space="preserve">Change to </w:t>
            </w:r>
            <w:r w:rsidRPr="00186CCB">
              <w:t>Burden</w:t>
            </w:r>
          </w:p>
        </w:tc>
      </w:tr>
      <w:tr w:rsidR="00223701" w:rsidRPr="00F70289" w14:paraId="4BA897F4" w14:textId="77777777" w:rsidTr="00186AEF">
        <w:trPr>
          <w:trHeight w:val="552"/>
        </w:trPr>
        <w:tc>
          <w:tcPr>
            <w:tcW w:w="1458" w:type="dxa"/>
            <w:tcBorders>
              <w:top w:val="double" w:sz="4" w:space="0" w:color="auto"/>
              <w:left w:val="double" w:sz="4" w:space="0" w:color="auto"/>
            </w:tcBorders>
            <w:vAlign w:val="center"/>
          </w:tcPr>
          <w:p w14:paraId="53A43929" w14:textId="58484BEA" w:rsidR="00223701" w:rsidRPr="00F70289" w:rsidRDefault="00223701" w:rsidP="00223701">
            <w:pPr>
              <w:jc w:val="center"/>
            </w:pPr>
            <w:r w:rsidRPr="00F70289">
              <w:t>773.6</w:t>
            </w:r>
          </w:p>
        </w:tc>
        <w:tc>
          <w:tcPr>
            <w:tcW w:w="2610" w:type="dxa"/>
            <w:tcBorders>
              <w:top w:val="double" w:sz="4" w:space="0" w:color="auto"/>
            </w:tcBorders>
            <w:vAlign w:val="center"/>
          </w:tcPr>
          <w:p w14:paraId="5E31C80A" w14:textId="1F6F7406" w:rsidR="00223701" w:rsidRPr="00F70289" w:rsidRDefault="00223701" w:rsidP="00223701">
            <w:pPr>
              <w:jc w:val="center"/>
            </w:pPr>
            <w:r>
              <w:t>$92,700</w:t>
            </w:r>
          </w:p>
        </w:tc>
        <w:tc>
          <w:tcPr>
            <w:tcW w:w="2160" w:type="dxa"/>
            <w:tcBorders>
              <w:top w:val="double" w:sz="4" w:space="0" w:color="auto"/>
            </w:tcBorders>
            <w:vAlign w:val="center"/>
          </w:tcPr>
          <w:p w14:paraId="34848B8D" w14:textId="1B06DEF1" w:rsidR="00223701" w:rsidRDefault="00223701" w:rsidP="00223701">
            <w:pPr>
              <w:jc w:val="center"/>
            </w:pPr>
            <w:r>
              <w:t>$</w:t>
            </w:r>
            <w:r w:rsidRPr="00F70289">
              <w:t>94</w:t>
            </w:r>
            <w:r>
              <w:t>,</w:t>
            </w:r>
            <w:r w:rsidRPr="00F70289">
              <w:t>2</w:t>
            </w:r>
            <w:r>
              <w:t>00</w:t>
            </w:r>
          </w:p>
        </w:tc>
        <w:tc>
          <w:tcPr>
            <w:tcW w:w="2430" w:type="dxa"/>
            <w:tcBorders>
              <w:top w:val="double" w:sz="4" w:space="0" w:color="auto"/>
              <w:right w:val="double" w:sz="4" w:space="0" w:color="auto"/>
            </w:tcBorders>
            <w:vAlign w:val="center"/>
          </w:tcPr>
          <w:p w14:paraId="2AA3094D" w14:textId="11C2C7C6" w:rsidR="00223701" w:rsidRPr="00F70289" w:rsidRDefault="0097302F" w:rsidP="00223701">
            <w:pPr>
              <w:jc w:val="center"/>
            </w:pPr>
            <w:r>
              <w:t>-$1,500</w:t>
            </w:r>
          </w:p>
        </w:tc>
      </w:tr>
      <w:tr w:rsidR="00223701" w:rsidRPr="00F70289" w14:paraId="0D6515DE" w14:textId="77777777" w:rsidTr="00186AEF">
        <w:trPr>
          <w:trHeight w:val="527"/>
        </w:trPr>
        <w:tc>
          <w:tcPr>
            <w:tcW w:w="1458" w:type="dxa"/>
            <w:tcBorders>
              <w:left w:val="double" w:sz="4" w:space="0" w:color="auto"/>
            </w:tcBorders>
            <w:vAlign w:val="center"/>
          </w:tcPr>
          <w:p w14:paraId="7B0D9522" w14:textId="77777777" w:rsidR="00223701" w:rsidRPr="00F70289" w:rsidRDefault="00223701" w:rsidP="00223701">
            <w:pPr>
              <w:jc w:val="center"/>
            </w:pPr>
            <w:r w:rsidRPr="00F70289">
              <w:t>773.7(a)</w:t>
            </w:r>
          </w:p>
        </w:tc>
        <w:tc>
          <w:tcPr>
            <w:tcW w:w="2610" w:type="dxa"/>
            <w:vAlign w:val="center"/>
          </w:tcPr>
          <w:p w14:paraId="531F3402" w14:textId="634E1FC5" w:rsidR="00223701" w:rsidRPr="00F70289" w:rsidRDefault="00223701" w:rsidP="00223701">
            <w:pPr>
              <w:jc w:val="center"/>
            </w:pPr>
            <w:r>
              <w:t>$</w:t>
            </w:r>
            <w:r w:rsidRPr="00F70289">
              <w:t>0</w:t>
            </w:r>
          </w:p>
        </w:tc>
        <w:tc>
          <w:tcPr>
            <w:tcW w:w="2160" w:type="dxa"/>
            <w:vAlign w:val="center"/>
          </w:tcPr>
          <w:p w14:paraId="490C9B04" w14:textId="71A38735" w:rsidR="00223701" w:rsidRDefault="00223701" w:rsidP="00223701">
            <w:pPr>
              <w:jc w:val="center"/>
            </w:pPr>
            <w:r>
              <w:t>$</w:t>
            </w:r>
            <w:r w:rsidRPr="00F70289">
              <w:t>0</w:t>
            </w:r>
          </w:p>
        </w:tc>
        <w:tc>
          <w:tcPr>
            <w:tcW w:w="2430" w:type="dxa"/>
            <w:tcBorders>
              <w:right w:val="double" w:sz="4" w:space="0" w:color="auto"/>
            </w:tcBorders>
            <w:vAlign w:val="center"/>
          </w:tcPr>
          <w:p w14:paraId="5A19086D" w14:textId="7876B63E" w:rsidR="00223701" w:rsidRPr="00F70289" w:rsidRDefault="00473D17" w:rsidP="00223701">
            <w:pPr>
              <w:jc w:val="center"/>
            </w:pPr>
            <w:r>
              <w:t>$0</w:t>
            </w:r>
          </w:p>
        </w:tc>
      </w:tr>
      <w:tr w:rsidR="00223701" w:rsidRPr="00F70289" w14:paraId="53306040" w14:textId="77777777" w:rsidTr="00186AEF">
        <w:trPr>
          <w:trHeight w:val="527"/>
        </w:trPr>
        <w:tc>
          <w:tcPr>
            <w:tcW w:w="1458" w:type="dxa"/>
            <w:tcBorders>
              <w:left w:val="double" w:sz="4" w:space="0" w:color="auto"/>
            </w:tcBorders>
            <w:vAlign w:val="center"/>
          </w:tcPr>
          <w:p w14:paraId="7A049812" w14:textId="77777777" w:rsidR="00223701" w:rsidRPr="00F70289" w:rsidRDefault="00223701" w:rsidP="00223701">
            <w:pPr>
              <w:jc w:val="center"/>
            </w:pPr>
            <w:r w:rsidRPr="00F70289">
              <w:t>773.10(c)</w:t>
            </w:r>
          </w:p>
        </w:tc>
        <w:tc>
          <w:tcPr>
            <w:tcW w:w="2610" w:type="dxa"/>
            <w:vAlign w:val="center"/>
          </w:tcPr>
          <w:p w14:paraId="1D4AF41C" w14:textId="7F90710E" w:rsidR="00223701" w:rsidRPr="00F70289" w:rsidRDefault="00223701" w:rsidP="00223701">
            <w:pPr>
              <w:jc w:val="center"/>
            </w:pPr>
            <w:r>
              <w:t>$</w:t>
            </w:r>
            <w:r w:rsidRPr="00F70289">
              <w:t>0</w:t>
            </w:r>
          </w:p>
        </w:tc>
        <w:tc>
          <w:tcPr>
            <w:tcW w:w="2160" w:type="dxa"/>
            <w:vAlign w:val="center"/>
          </w:tcPr>
          <w:p w14:paraId="3D222041" w14:textId="2986FD48" w:rsidR="00223701" w:rsidRDefault="00223701" w:rsidP="00223701">
            <w:pPr>
              <w:jc w:val="center"/>
            </w:pPr>
            <w:r>
              <w:t>$</w:t>
            </w:r>
            <w:r w:rsidRPr="00F70289">
              <w:t>0</w:t>
            </w:r>
          </w:p>
        </w:tc>
        <w:tc>
          <w:tcPr>
            <w:tcW w:w="2430" w:type="dxa"/>
            <w:tcBorders>
              <w:right w:val="double" w:sz="4" w:space="0" w:color="auto"/>
            </w:tcBorders>
            <w:vAlign w:val="center"/>
          </w:tcPr>
          <w:p w14:paraId="5CB6282E" w14:textId="7D3A5504" w:rsidR="00223701" w:rsidRPr="00F70289" w:rsidRDefault="00473D17" w:rsidP="00223701">
            <w:pPr>
              <w:jc w:val="center"/>
            </w:pPr>
            <w:r>
              <w:t>$0</w:t>
            </w:r>
          </w:p>
        </w:tc>
      </w:tr>
      <w:tr w:rsidR="00223701" w:rsidRPr="00F70289" w14:paraId="2B84B2F1" w14:textId="77777777" w:rsidTr="00186AEF">
        <w:trPr>
          <w:trHeight w:val="527"/>
        </w:trPr>
        <w:tc>
          <w:tcPr>
            <w:tcW w:w="1458" w:type="dxa"/>
            <w:tcBorders>
              <w:left w:val="double" w:sz="4" w:space="0" w:color="auto"/>
            </w:tcBorders>
            <w:vAlign w:val="center"/>
          </w:tcPr>
          <w:p w14:paraId="01E9548A" w14:textId="77777777" w:rsidR="00223701" w:rsidRPr="00F70289" w:rsidRDefault="00223701" w:rsidP="00223701">
            <w:pPr>
              <w:jc w:val="center"/>
            </w:pPr>
            <w:r w:rsidRPr="00F70289">
              <w:t>773.12</w:t>
            </w:r>
          </w:p>
        </w:tc>
        <w:tc>
          <w:tcPr>
            <w:tcW w:w="2610" w:type="dxa"/>
            <w:vAlign w:val="center"/>
          </w:tcPr>
          <w:p w14:paraId="6F5CEB13" w14:textId="614DC521" w:rsidR="00223701" w:rsidRPr="00F70289" w:rsidRDefault="00223701" w:rsidP="00223701">
            <w:pPr>
              <w:jc w:val="center"/>
            </w:pPr>
            <w:r>
              <w:t>$</w:t>
            </w:r>
            <w:r w:rsidRPr="00F70289">
              <w:t>0</w:t>
            </w:r>
          </w:p>
        </w:tc>
        <w:tc>
          <w:tcPr>
            <w:tcW w:w="2160" w:type="dxa"/>
            <w:vAlign w:val="center"/>
          </w:tcPr>
          <w:p w14:paraId="5CF49CA6" w14:textId="3AAF84E7" w:rsidR="00223701" w:rsidRDefault="00223701" w:rsidP="00223701">
            <w:pPr>
              <w:jc w:val="center"/>
            </w:pPr>
            <w:r>
              <w:t>$</w:t>
            </w:r>
            <w:r w:rsidRPr="00F70289">
              <w:t>0</w:t>
            </w:r>
          </w:p>
        </w:tc>
        <w:tc>
          <w:tcPr>
            <w:tcW w:w="2430" w:type="dxa"/>
            <w:tcBorders>
              <w:right w:val="double" w:sz="4" w:space="0" w:color="auto"/>
            </w:tcBorders>
            <w:vAlign w:val="center"/>
          </w:tcPr>
          <w:p w14:paraId="2C4D460A" w14:textId="41DC7B41" w:rsidR="00223701" w:rsidRPr="00F70289" w:rsidRDefault="00473D17" w:rsidP="00223701">
            <w:pPr>
              <w:jc w:val="center"/>
            </w:pPr>
            <w:r>
              <w:t>$0</w:t>
            </w:r>
          </w:p>
        </w:tc>
      </w:tr>
      <w:tr w:rsidR="00223701" w:rsidRPr="00F70289" w14:paraId="794949F4" w14:textId="77777777" w:rsidTr="00186AEF">
        <w:trPr>
          <w:trHeight w:val="545"/>
        </w:trPr>
        <w:tc>
          <w:tcPr>
            <w:tcW w:w="1458" w:type="dxa"/>
            <w:tcBorders>
              <w:left w:val="double" w:sz="4" w:space="0" w:color="auto"/>
              <w:bottom w:val="single" w:sz="4" w:space="0" w:color="auto"/>
            </w:tcBorders>
            <w:vAlign w:val="center"/>
          </w:tcPr>
          <w:p w14:paraId="1CD1A211" w14:textId="77777777" w:rsidR="00223701" w:rsidRPr="00F70289" w:rsidRDefault="00223701" w:rsidP="00223701">
            <w:pPr>
              <w:jc w:val="center"/>
            </w:pPr>
            <w:r w:rsidRPr="00F70289">
              <w:t>773.14(b)</w:t>
            </w:r>
          </w:p>
        </w:tc>
        <w:tc>
          <w:tcPr>
            <w:tcW w:w="2610" w:type="dxa"/>
            <w:tcBorders>
              <w:bottom w:val="single" w:sz="4" w:space="0" w:color="auto"/>
            </w:tcBorders>
            <w:vAlign w:val="center"/>
          </w:tcPr>
          <w:p w14:paraId="314329D6" w14:textId="5060D771" w:rsidR="00223701" w:rsidRPr="00F70289" w:rsidRDefault="00223701" w:rsidP="00223701">
            <w:pPr>
              <w:jc w:val="center"/>
            </w:pPr>
            <w:r>
              <w:t>$0</w:t>
            </w:r>
          </w:p>
        </w:tc>
        <w:tc>
          <w:tcPr>
            <w:tcW w:w="2160" w:type="dxa"/>
            <w:tcBorders>
              <w:bottom w:val="single" w:sz="4" w:space="0" w:color="auto"/>
            </w:tcBorders>
            <w:vAlign w:val="center"/>
          </w:tcPr>
          <w:p w14:paraId="0B636B2C" w14:textId="7A8A7246" w:rsidR="00223701" w:rsidRDefault="00223701" w:rsidP="00223701">
            <w:pPr>
              <w:jc w:val="center"/>
            </w:pPr>
            <w:r>
              <w:t>$0</w:t>
            </w:r>
          </w:p>
        </w:tc>
        <w:tc>
          <w:tcPr>
            <w:tcW w:w="2430" w:type="dxa"/>
            <w:tcBorders>
              <w:bottom w:val="single" w:sz="4" w:space="0" w:color="auto"/>
              <w:right w:val="double" w:sz="4" w:space="0" w:color="auto"/>
            </w:tcBorders>
            <w:vAlign w:val="center"/>
          </w:tcPr>
          <w:p w14:paraId="3312F4E2" w14:textId="42714FBE" w:rsidR="00223701" w:rsidRPr="00F70289" w:rsidRDefault="00473D17" w:rsidP="00223701">
            <w:pPr>
              <w:jc w:val="center"/>
            </w:pPr>
            <w:r>
              <w:t>$0</w:t>
            </w:r>
          </w:p>
        </w:tc>
      </w:tr>
      <w:tr w:rsidR="00223701" w:rsidRPr="00F70289" w14:paraId="1B86EEE4" w14:textId="77777777" w:rsidTr="00186AEF">
        <w:trPr>
          <w:trHeight w:val="437"/>
        </w:trPr>
        <w:tc>
          <w:tcPr>
            <w:tcW w:w="1458" w:type="dxa"/>
            <w:tcBorders>
              <w:left w:val="double" w:sz="4" w:space="0" w:color="auto"/>
              <w:bottom w:val="single" w:sz="4" w:space="0" w:color="auto"/>
            </w:tcBorders>
            <w:vAlign w:val="center"/>
          </w:tcPr>
          <w:p w14:paraId="0BA71D44" w14:textId="01E3774D" w:rsidR="00223701" w:rsidRPr="00F70289" w:rsidRDefault="00223701" w:rsidP="00223701">
            <w:pPr>
              <w:jc w:val="center"/>
            </w:pPr>
            <w:r w:rsidRPr="00F70289">
              <w:t>773.19</w:t>
            </w:r>
          </w:p>
        </w:tc>
        <w:tc>
          <w:tcPr>
            <w:tcW w:w="2610" w:type="dxa"/>
            <w:tcBorders>
              <w:bottom w:val="single" w:sz="4" w:space="0" w:color="auto"/>
            </w:tcBorders>
            <w:vAlign w:val="center"/>
          </w:tcPr>
          <w:p w14:paraId="251A6457" w14:textId="4123C4A0" w:rsidR="00223701" w:rsidRPr="00F70289" w:rsidRDefault="00223701" w:rsidP="00223701">
            <w:pPr>
              <w:jc w:val="center"/>
            </w:pPr>
            <w:r>
              <w:t>$0</w:t>
            </w:r>
          </w:p>
        </w:tc>
        <w:tc>
          <w:tcPr>
            <w:tcW w:w="2160" w:type="dxa"/>
            <w:tcBorders>
              <w:bottom w:val="single" w:sz="4" w:space="0" w:color="auto"/>
            </w:tcBorders>
            <w:vAlign w:val="center"/>
          </w:tcPr>
          <w:p w14:paraId="7CEE8467" w14:textId="2C4ED7E6" w:rsidR="00223701" w:rsidRDefault="00223701" w:rsidP="00223701">
            <w:pPr>
              <w:jc w:val="center"/>
            </w:pPr>
            <w:r>
              <w:t>$0</w:t>
            </w:r>
          </w:p>
        </w:tc>
        <w:tc>
          <w:tcPr>
            <w:tcW w:w="2430" w:type="dxa"/>
            <w:tcBorders>
              <w:bottom w:val="single" w:sz="4" w:space="0" w:color="auto"/>
              <w:right w:val="double" w:sz="4" w:space="0" w:color="auto"/>
            </w:tcBorders>
            <w:vAlign w:val="center"/>
          </w:tcPr>
          <w:p w14:paraId="0539F55F" w14:textId="100D11C8" w:rsidR="00223701" w:rsidRPr="00F70289" w:rsidRDefault="00473D17" w:rsidP="00223701">
            <w:pPr>
              <w:jc w:val="center"/>
            </w:pPr>
            <w:r>
              <w:t>$0</w:t>
            </w:r>
          </w:p>
        </w:tc>
      </w:tr>
      <w:tr w:rsidR="00223701" w:rsidRPr="00F70289" w14:paraId="5475ED8A" w14:textId="77777777" w:rsidTr="00186AEF">
        <w:trPr>
          <w:trHeight w:val="527"/>
        </w:trPr>
        <w:tc>
          <w:tcPr>
            <w:tcW w:w="1458" w:type="dxa"/>
            <w:tcBorders>
              <w:left w:val="double" w:sz="4" w:space="0" w:color="auto"/>
              <w:bottom w:val="double" w:sz="4" w:space="0" w:color="auto"/>
            </w:tcBorders>
            <w:vAlign w:val="center"/>
          </w:tcPr>
          <w:p w14:paraId="1F221C6A" w14:textId="77777777" w:rsidR="00223701" w:rsidRPr="00F70289" w:rsidRDefault="00223701" w:rsidP="00223701">
            <w:pPr>
              <w:jc w:val="center"/>
            </w:pPr>
            <w:r w:rsidRPr="00F70289">
              <w:t>736/750.25</w:t>
            </w:r>
          </w:p>
        </w:tc>
        <w:tc>
          <w:tcPr>
            <w:tcW w:w="2610" w:type="dxa"/>
            <w:tcBorders>
              <w:bottom w:val="double" w:sz="4" w:space="0" w:color="auto"/>
            </w:tcBorders>
            <w:vAlign w:val="center"/>
          </w:tcPr>
          <w:p w14:paraId="7AA8C56D" w14:textId="606FCC64" w:rsidR="00223701" w:rsidRPr="00F70289" w:rsidRDefault="00EE050A" w:rsidP="00223701">
            <w:pPr>
              <w:jc w:val="center"/>
            </w:pPr>
            <w:r>
              <w:t>$6,300</w:t>
            </w:r>
          </w:p>
        </w:tc>
        <w:tc>
          <w:tcPr>
            <w:tcW w:w="2160" w:type="dxa"/>
            <w:tcBorders>
              <w:bottom w:val="double" w:sz="4" w:space="0" w:color="auto"/>
            </w:tcBorders>
            <w:vAlign w:val="center"/>
          </w:tcPr>
          <w:p w14:paraId="57704CEF" w14:textId="67BD5EC1" w:rsidR="00223701" w:rsidRPr="00F70289" w:rsidRDefault="00223701" w:rsidP="00223701">
            <w:pPr>
              <w:jc w:val="center"/>
            </w:pPr>
            <w:r>
              <w:t>$6,300</w:t>
            </w:r>
          </w:p>
        </w:tc>
        <w:tc>
          <w:tcPr>
            <w:tcW w:w="2430" w:type="dxa"/>
            <w:tcBorders>
              <w:bottom w:val="double" w:sz="4" w:space="0" w:color="auto"/>
              <w:right w:val="double" w:sz="4" w:space="0" w:color="auto"/>
            </w:tcBorders>
            <w:vAlign w:val="center"/>
          </w:tcPr>
          <w:p w14:paraId="799140F5" w14:textId="3C011502" w:rsidR="00223701" w:rsidRPr="00F70289" w:rsidRDefault="00473D17" w:rsidP="00223701">
            <w:pPr>
              <w:jc w:val="center"/>
            </w:pPr>
            <w:r>
              <w:t>$0</w:t>
            </w:r>
            <w:r w:rsidR="00EE050A">
              <w:t>$</w:t>
            </w:r>
          </w:p>
        </w:tc>
      </w:tr>
      <w:tr w:rsidR="00223701" w:rsidRPr="00F70289" w14:paraId="38C4783A" w14:textId="77777777" w:rsidTr="00186AEF">
        <w:trPr>
          <w:trHeight w:val="597"/>
        </w:trPr>
        <w:tc>
          <w:tcPr>
            <w:tcW w:w="1458" w:type="dxa"/>
            <w:tcBorders>
              <w:top w:val="double" w:sz="4" w:space="0" w:color="auto"/>
              <w:left w:val="double" w:sz="4" w:space="0" w:color="auto"/>
              <w:bottom w:val="double" w:sz="4" w:space="0" w:color="auto"/>
            </w:tcBorders>
            <w:vAlign w:val="center"/>
          </w:tcPr>
          <w:p w14:paraId="4B26AE9C" w14:textId="77777777" w:rsidR="00223701" w:rsidRPr="00F70289" w:rsidRDefault="00223701" w:rsidP="00223701">
            <w:pPr>
              <w:jc w:val="center"/>
              <w:rPr>
                <w:b/>
              </w:rPr>
            </w:pPr>
            <w:r w:rsidRPr="00F70289">
              <w:rPr>
                <w:b/>
              </w:rPr>
              <w:t>TOTALS</w:t>
            </w:r>
          </w:p>
        </w:tc>
        <w:tc>
          <w:tcPr>
            <w:tcW w:w="2610" w:type="dxa"/>
            <w:tcBorders>
              <w:top w:val="double" w:sz="4" w:space="0" w:color="auto"/>
              <w:bottom w:val="double" w:sz="4" w:space="0" w:color="auto"/>
            </w:tcBorders>
            <w:vAlign w:val="center"/>
          </w:tcPr>
          <w:p w14:paraId="26056A98" w14:textId="7857C6CA" w:rsidR="00223701" w:rsidRPr="00F70289" w:rsidRDefault="00EE050A" w:rsidP="00223701">
            <w:pPr>
              <w:jc w:val="center"/>
              <w:rPr>
                <w:b/>
              </w:rPr>
            </w:pPr>
            <w:r>
              <w:rPr>
                <w:b/>
              </w:rPr>
              <w:t>$99,000</w:t>
            </w:r>
          </w:p>
        </w:tc>
        <w:tc>
          <w:tcPr>
            <w:tcW w:w="2160" w:type="dxa"/>
            <w:tcBorders>
              <w:top w:val="double" w:sz="4" w:space="0" w:color="auto"/>
              <w:bottom w:val="double" w:sz="4" w:space="0" w:color="auto"/>
            </w:tcBorders>
            <w:vAlign w:val="center"/>
          </w:tcPr>
          <w:p w14:paraId="7C2BED54" w14:textId="66E907E6" w:rsidR="00223701" w:rsidRDefault="00223701" w:rsidP="00223701">
            <w:pPr>
              <w:jc w:val="center"/>
              <w:rPr>
                <w:b/>
              </w:rPr>
            </w:pPr>
            <w:r>
              <w:rPr>
                <w:b/>
              </w:rPr>
              <w:t>$</w:t>
            </w:r>
            <w:r>
              <w:rPr>
                <w:b/>
              </w:rPr>
              <w:fldChar w:fldCharType="begin"/>
            </w:r>
            <w:r>
              <w:rPr>
                <w:b/>
              </w:rPr>
              <w:instrText xml:space="preserve"> =SUM(ABOVE) \# "#,##0" </w:instrText>
            </w:r>
            <w:r>
              <w:rPr>
                <w:b/>
              </w:rPr>
              <w:fldChar w:fldCharType="separate"/>
            </w:r>
            <w:r>
              <w:rPr>
                <w:b/>
                <w:noProof/>
              </w:rPr>
              <w:t>100,500</w:t>
            </w:r>
            <w:r>
              <w:rPr>
                <w:b/>
              </w:rPr>
              <w:fldChar w:fldCharType="end"/>
            </w:r>
          </w:p>
        </w:tc>
        <w:tc>
          <w:tcPr>
            <w:tcW w:w="2430" w:type="dxa"/>
            <w:tcBorders>
              <w:top w:val="double" w:sz="4" w:space="0" w:color="auto"/>
              <w:bottom w:val="double" w:sz="4" w:space="0" w:color="auto"/>
              <w:right w:val="double" w:sz="4" w:space="0" w:color="auto"/>
            </w:tcBorders>
            <w:vAlign w:val="center"/>
          </w:tcPr>
          <w:p w14:paraId="2A6D28D7" w14:textId="6B908375" w:rsidR="00223701" w:rsidRPr="00F70289" w:rsidRDefault="00EE050A" w:rsidP="00223701">
            <w:pPr>
              <w:jc w:val="center"/>
              <w:rPr>
                <w:b/>
              </w:rPr>
            </w:pPr>
            <w:r>
              <w:rPr>
                <w:b/>
              </w:rPr>
              <w:t>-$1,500</w:t>
            </w:r>
          </w:p>
        </w:tc>
      </w:tr>
    </w:tbl>
    <w:p w14:paraId="644524C8" w14:textId="77777777" w:rsidR="00F70289" w:rsidRPr="00F70289" w:rsidRDefault="00F70289" w:rsidP="00F70289">
      <w:pPr>
        <w:jc w:val="center"/>
      </w:pPr>
    </w:p>
    <w:p w14:paraId="4626758B" w14:textId="18D0D0D6" w:rsidR="0061720B" w:rsidRPr="00F70289" w:rsidRDefault="00F058E7" w:rsidP="0061720B">
      <w:pPr>
        <w:jc w:val="center"/>
      </w:pPr>
      <w:r>
        <w:br/>
      </w:r>
      <w:r w:rsidR="0061720B">
        <w:t>Federal Cost Burden Summary</w:t>
      </w:r>
      <w:r w:rsidR="00EE050A">
        <w:t xml:space="preserve"> </w:t>
      </w:r>
      <w:r w:rsidR="00EE050A" w:rsidRPr="00542969">
        <w:t xml:space="preserve">30 </w:t>
      </w:r>
      <w:smartTag w:uri="urn:schemas-microsoft-com:office:smarttags" w:element="stockticker">
        <w:r w:rsidR="00EE050A" w:rsidRPr="00542969">
          <w:t>CFR</w:t>
        </w:r>
      </w:smartTag>
      <w:r w:rsidR="00EE050A" w:rsidRPr="00542969">
        <w:t xml:space="preserve"> </w:t>
      </w:r>
      <w:r w:rsidR="00EE050A">
        <w:t>Part</w:t>
      </w:r>
      <w:r w:rsidR="00EE050A" w:rsidRPr="00542969">
        <w:t xml:space="preserve"> 773</w:t>
      </w:r>
      <w:r w:rsidR="00EE050A">
        <w:t xml:space="preserve"> </w:t>
      </w:r>
      <w:r w:rsidR="006609D2">
        <w:t>&amp;</w:t>
      </w:r>
      <w:r w:rsidR="00EE050A">
        <w:t xml:space="preserve"> Sections 736.25</w:t>
      </w:r>
      <w:r w:rsidR="006609D2">
        <w:t>/</w:t>
      </w:r>
      <w:r w:rsidR="00EE050A">
        <w:t>750.25</w:t>
      </w:r>
    </w:p>
    <w:tbl>
      <w:tblPr>
        <w:tblpPr w:leftFromText="180" w:rightFromText="180" w:vertAnchor="text" w:horzAnchor="margin" w:tblpXSpec="center" w:tblpY="113"/>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800"/>
        <w:gridCol w:w="1800"/>
        <w:gridCol w:w="1890"/>
      </w:tblGrid>
      <w:tr w:rsidR="00827127" w:rsidRPr="00F70289" w14:paraId="5FF88BF8" w14:textId="77777777" w:rsidTr="00186AEF">
        <w:trPr>
          <w:trHeight w:val="963"/>
        </w:trPr>
        <w:tc>
          <w:tcPr>
            <w:tcW w:w="1458" w:type="dxa"/>
            <w:tcBorders>
              <w:top w:val="double" w:sz="4" w:space="0" w:color="auto"/>
              <w:left w:val="double" w:sz="4" w:space="0" w:color="auto"/>
              <w:bottom w:val="double" w:sz="4" w:space="0" w:color="auto"/>
            </w:tcBorders>
            <w:vAlign w:val="center"/>
          </w:tcPr>
          <w:p w14:paraId="4C78316F" w14:textId="5807E958" w:rsidR="00827127" w:rsidRPr="00F70289" w:rsidRDefault="00827127" w:rsidP="0061720B">
            <w:pPr>
              <w:jc w:val="center"/>
            </w:pPr>
            <w:r w:rsidRPr="00F70289">
              <w:t>SECTION</w:t>
            </w:r>
          </w:p>
        </w:tc>
        <w:tc>
          <w:tcPr>
            <w:tcW w:w="1800" w:type="dxa"/>
            <w:tcBorders>
              <w:top w:val="double" w:sz="4" w:space="0" w:color="auto"/>
              <w:bottom w:val="double" w:sz="4" w:space="0" w:color="auto"/>
            </w:tcBorders>
            <w:vAlign w:val="center"/>
          </w:tcPr>
          <w:p w14:paraId="2A01CA56" w14:textId="1C1B396B" w:rsidR="00827127" w:rsidRPr="00F70289" w:rsidRDefault="00827127" w:rsidP="0061720B">
            <w:pPr>
              <w:jc w:val="center"/>
            </w:pPr>
            <w:r>
              <w:t>OVERSIGHT</w:t>
            </w:r>
          </w:p>
        </w:tc>
        <w:tc>
          <w:tcPr>
            <w:tcW w:w="1800" w:type="dxa"/>
            <w:tcBorders>
              <w:top w:val="double" w:sz="4" w:space="0" w:color="auto"/>
              <w:bottom w:val="double" w:sz="4" w:space="0" w:color="auto"/>
            </w:tcBorders>
          </w:tcPr>
          <w:p w14:paraId="48D61C3E" w14:textId="2CA45E76" w:rsidR="00827127" w:rsidRPr="00186CCB" w:rsidRDefault="00827127" w:rsidP="0061720B">
            <w:pPr>
              <w:jc w:val="center"/>
            </w:pPr>
            <w:r>
              <w:t>FEDERAL PROGRAMS</w:t>
            </w:r>
          </w:p>
        </w:tc>
        <w:tc>
          <w:tcPr>
            <w:tcW w:w="1890" w:type="dxa"/>
            <w:tcBorders>
              <w:top w:val="double" w:sz="4" w:space="0" w:color="auto"/>
              <w:bottom w:val="double" w:sz="4" w:space="0" w:color="auto"/>
              <w:right w:val="double" w:sz="4" w:space="0" w:color="auto"/>
            </w:tcBorders>
            <w:vAlign w:val="center"/>
          </w:tcPr>
          <w:p w14:paraId="59064100" w14:textId="244898D4" w:rsidR="00827127" w:rsidRPr="00F70289" w:rsidRDefault="00827127" w:rsidP="0061720B">
            <w:pPr>
              <w:jc w:val="center"/>
            </w:pPr>
            <w:r>
              <w:t>TOTAL COST</w:t>
            </w:r>
          </w:p>
        </w:tc>
      </w:tr>
      <w:tr w:rsidR="00827127" w:rsidRPr="00F70289" w14:paraId="4B75517B" w14:textId="77777777" w:rsidTr="00186AEF">
        <w:trPr>
          <w:trHeight w:val="540"/>
        </w:trPr>
        <w:tc>
          <w:tcPr>
            <w:tcW w:w="1458" w:type="dxa"/>
            <w:tcBorders>
              <w:top w:val="double" w:sz="4" w:space="0" w:color="auto"/>
              <w:left w:val="double" w:sz="4" w:space="0" w:color="auto"/>
            </w:tcBorders>
            <w:vAlign w:val="center"/>
          </w:tcPr>
          <w:p w14:paraId="5D1E834E" w14:textId="77777777" w:rsidR="00827127" w:rsidRPr="00F70289" w:rsidRDefault="00827127" w:rsidP="0061720B">
            <w:pPr>
              <w:jc w:val="center"/>
            </w:pPr>
            <w:r w:rsidRPr="00F70289">
              <w:t>773.6</w:t>
            </w:r>
          </w:p>
        </w:tc>
        <w:tc>
          <w:tcPr>
            <w:tcW w:w="1800" w:type="dxa"/>
            <w:tcBorders>
              <w:top w:val="double" w:sz="4" w:space="0" w:color="auto"/>
            </w:tcBorders>
            <w:vAlign w:val="center"/>
          </w:tcPr>
          <w:p w14:paraId="76A03BD9" w14:textId="6268D573" w:rsidR="00827127" w:rsidRPr="00F70289" w:rsidRDefault="00827127" w:rsidP="0061720B">
            <w:pPr>
              <w:jc w:val="center"/>
            </w:pPr>
            <w:r>
              <w:t>$1,516</w:t>
            </w:r>
          </w:p>
        </w:tc>
        <w:tc>
          <w:tcPr>
            <w:tcW w:w="1800" w:type="dxa"/>
            <w:tcBorders>
              <w:top w:val="double" w:sz="4" w:space="0" w:color="auto"/>
            </w:tcBorders>
            <w:vAlign w:val="center"/>
          </w:tcPr>
          <w:p w14:paraId="7C24DEFA" w14:textId="3085F89B" w:rsidR="00827127" w:rsidRDefault="00827127" w:rsidP="0061720B">
            <w:pPr>
              <w:jc w:val="center"/>
            </w:pPr>
            <w:r>
              <w:t>$531</w:t>
            </w:r>
          </w:p>
        </w:tc>
        <w:tc>
          <w:tcPr>
            <w:tcW w:w="1890" w:type="dxa"/>
            <w:tcBorders>
              <w:top w:val="double" w:sz="4" w:space="0" w:color="auto"/>
              <w:right w:val="double" w:sz="4" w:space="0" w:color="auto"/>
            </w:tcBorders>
            <w:vAlign w:val="center"/>
          </w:tcPr>
          <w:p w14:paraId="2D8B136F" w14:textId="14DECAED" w:rsidR="00827127" w:rsidRPr="00F70289" w:rsidRDefault="00827127" w:rsidP="0061720B">
            <w:pPr>
              <w:jc w:val="center"/>
            </w:pPr>
            <w:r>
              <w:t>$2,047</w:t>
            </w:r>
          </w:p>
        </w:tc>
      </w:tr>
      <w:tr w:rsidR="00827127" w:rsidRPr="00F70289" w14:paraId="2E6856DC" w14:textId="77777777" w:rsidTr="00186AEF">
        <w:trPr>
          <w:trHeight w:val="533"/>
        </w:trPr>
        <w:tc>
          <w:tcPr>
            <w:tcW w:w="1458" w:type="dxa"/>
            <w:tcBorders>
              <w:left w:val="double" w:sz="4" w:space="0" w:color="auto"/>
            </w:tcBorders>
            <w:vAlign w:val="center"/>
          </w:tcPr>
          <w:p w14:paraId="6EC3B273" w14:textId="77777777" w:rsidR="00827127" w:rsidRPr="00F70289" w:rsidRDefault="00827127" w:rsidP="0023025F">
            <w:pPr>
              <w:jc w:val="center"/>
            </w:pPr>
            <w:r w:rsidRPr="00F70289">
              <w:t>773.7(a)</w:t>
            </w:r>
          </w:p>
        </w:tc>
        <w:tc>
          <w:tcPr>
            <w:tcW w:w="1800" w:type="dxa"/>
            <w:vAlign w:val="center"/>
          </w:tcPr>
          <w:p w14:paraId="64A1CCA7" w14:textId="2994790F" w:rsidR="00827127" w:rsidRPr="00F70289" w:rsidRDefault="00827127" w:rsidP="0023025F">
            <w:pPr>
              <w:jc w:val="center"/>
            </w:pPr>
            <w:r>
              <w:t>$606</w:t>
            </w:r>
          </w:p>
        </w:tc>
        <w:tc>
          <w:tcPr>
            <w:tcW w:w="1800" w:type="dxa"/>
            <w:vAlign w:val="center"/>
          </w:tcPr>
          <w:p w14:paraId="2E350BA5" w14:textId="3B677B54" w:rsidR="00827127" w:rsidRDefault="00827127" w:rsidP="0023025F">
            <w:pPr>
              <w:jc w:val="center"/>
            </w:pPr>
            <w:r>
              <w:t>$27,876</w:t>
            </w:r>
          </w:p>
        </w:tc>
        <w:tc>
          <w:tcPr>
            <w:tcW w:w="1890" w:type="dxa"/>
            <w:tcBorders>
              <w:right w:val="double" w:sz="4" w:space="0" w:color="auto"/>
            </w:tcBorders>
            <w:vAlign w:val="center"/>
          </w:tcPr>
          <w:p w14:paraId="440C7EC6" w14:textId="3D423646" w:rsidR="00827127" w:rsidRPr="00F70289" w:rsidRDefault="00827127" w:rsidP="0023025F">
            <w:pPr>
              <w:jc w:val="center"/>
            </w:pPr>
            <w:r>
              <w:t>$28,482</w:t>
            </w:r>
          </w:p>
        </w:tc>
      </w:tr>
      <w:tr w:rsidR="00827127" w:rsidRPr="00F70289" w14:paraId="39D9DE6E" w14:textId="77777777" w:rsidTr="00186AEF">
        <w:trPr>
          <w:trHeight w:val="533"/>
        </w:trPr>
        <w:tc>
          <w:tcPr>
            <w:tcW w:w="1458" w:type="dxa"/>
            <w:tcBorders>
              <w:left w:val="double" w:sz="4" w:space="0" w:color="auto"/>
            </w:tcBorders>
            <w:vAlign w:val="center"/>
          </w:tcPr>
          <w:p w14:paraId="73D90318" w14:textId="77777777" w:rsidR="00827127" w:rsidRPr="00F70289" w:rsidRDefault="00827127" w:rsidP="0023025F">
            <w:pPr>
              <w:jc w:val="center"/>
            </w:pPr>
            <w:r w:rsidRPr="00F70289">
              <w:t>773.10(c)</w:t>
            </w:r>
          </w:p>
        </w:tc>
        <w:tc>
          <w:tcPr>
            <w:tcW w:w="1800" w:type="dxa"/>
            <w:vAlign w:val="center"/>
          </w:tcPr>
          <w:p w14:paraId="6758B35E" w14:textId="47B189F0" w:rsidR="00827127" w:rsidRPr="00F70289" w:rsidRDefault="00827127" w:rsidP="0023025F">
            <w:pPr>
              <w:jc w:val="center"/>
            </w:pPr>
            <w:r>
              <w:t>$379</w:t>
            </w:r>
          </w:p>
        </w:tc>
        <w:tc>
          <w:tcPr>
            <w:tcW w:w="1800" w:type="dxa"/>
            <w:vAlign w:val="center"/>
          </w:tcPr>
          <w:p w14:paraId="50E5FC88" w14:textId="3F21E810" w:rsidR="00827127" w:rsidRDefault="00827127" w:rsidP="0023025F">
            <w:pPr>
              <w:jc w:val="center"/>
            </w:pPr>
            <w:r>
              <w:t>$379</w:t>
            </w:r>
          </w:p>
        </w:tc>
        <w:tc>
          <w:tcPr>
            <w:tcW w:w="1890" w:type="dxa"/>
            <w:tcBorders>
              <w:right w:val="double" w:sz="4" w:space="0" w:color="auto"/>
            </w:tcBorders>
            <w:vAlign w:val="center"/>
          </w:tcPr>
          <w:p w14:paraId="2215D004" w14:textId="1C3F8D1D" w:rsidR="00827127" w:rsidRPr="00F70289" w:rsidRDefault="00827127" w:rsidP="0023025F">
            <w:pPr>
              <w:jc w:val="center"/>
            </w:pPr>
            <w:r>
              <w:t>$758</w:t>
            </w:r>
          </w:p>
        </w:tc>
      </w:tr>
      <w:tr w:rsidR="00827127" w:rsidRPr="00F70289" w14:paraId="1853E95D" w14:textId="77777777" w:rsidTr="00186AEF">
        <w:trPr>
          <w:trHeight w:val="533"/>
        </w:trPr>
        <w:tc>
          <w:tcPr>
            <w:tcW w:w="1458" w:type="dxa"/>
            <w:tcBorders>
              <w:left w:val="double" w:sz="4" w:space="0" w:color="auto"/>
            </w:tcBorders>
            <w:vAlign w:val="center"/>
          </w:tcPr>
          <w:p w14:paraId="7636E58B" w14:textId="77777777" w:rsidR="00827127" w:rsidRPr="00F70289" w:rsidRDefault="00827127" w:rsidP="0023025F">
            <w:pPr>
              <w:jc w:val="center"/>
            </w:pPr>
            <w:r w:rsidRPr="00F70289">
              <w:t>773.12</w:t>
            </w:r>
          </w:p>
        </w:tc>
        <w:tc>
          <w:tcPr>
            <w:tcW w:w="1800" w:type="dxa"/>
            <w:vAlign w:val="center"/>
          </w:tcPr>
          <w:p w14:paraId="3310FF8E" w14:textId="6B8319DF" w:rsidR="00827127" w:rsidRPr="00F70289" w:rsidRDefault="00827127" w:rsidP="0023025F">
            <w:pPr>
              <w:jc w:val="center"/>
            </w:pPr>
            <w:r>
              <w:t>$1,213</w:t>
            </w:r>
          </w:p>
        </w:tc>
        <w:tc>
          <w:tcPr>
            <w:tcW w:w="1800" w:type="dxa"/>
            <w:vAlign w:val="center"/>
          </w:tcPr>
          <w:p w14:paraId="2E28C061" w14:textId="09E7796D" w:rsidR="00827127" w:rsidRDefault="00827127" w:rsidP="0023025F">
            <w:pPr>
              <w:jc w:val="center"/>
            </w:pPr>
            <w:r>
              <w:t>$2,426</w:t>
            </w:r>
          </w:p>
        </w:tc>
        <w:tc>
          <w:tcPr>
            <w:tcW w:w="1890" w:type="dxa"/>
            <w:tcBorders>
              <w:right w:val="double" w:sz="4" w:space="0" w:color="auto"/>
            </w:tcBorders>
            <w:vAlign w:val="center"/>
          </w:tcPr>
          <w:p w14:paraId="6C692240" w14:textId="2F212981" w:rsidR="00827127" w:rsidRPr="00F70289" w:rsidRDefault="00827127" w:rsidP="0023025F">
            <w:pPr>
              <w:jc w:val="center"/>
            </w:pPr>
            <w:r>
              <w:t>$3,639</w:t>
            </w:r>
          </w:p>
        </w:tc>
      </w:tr>
      <w:tr w:rsidR="00827127" w:rsidRPr="00F70289" w14:paraId="14B84ADF" w14:textId="77777777" w:rsidTr="00186AEF">
        <w:trPr>
          <w:trHeight w:val="533"/>
        </w:trPr>
        <w:tc>
          <w:tcPr>
            <w:tcW w:w="1458" w:type="dxa"/>
            <w:tcBorders>
              <w:left w:val="double" w:sz="4" w:space="0" w:color="auto"/>
              <w:bottom w:val="single" w:sz="4" w:space="0" w:color="auto"/>
            </w:tcBorders>
            <w:vAlign w:val="center"/>
          </w:tcPr>
          <w:p w14:paraId="662C4EDA" w14:textId="77777777" w:rsidR="00827127" w:rsidRPr="00F70289" w:rsidRDefault="00827127" w:rsidP="0023025F">
            <w:pPr>
              <w:jc w:val="center"/>
            </w:pPr>
            <w:r w:rsidRPr="00F70289">
              <w:t>773.14(b)</w:t>
            </w:r>
          </w:p>
        </w:tc>
        <w:tc>
          <w:tcPr>
            <w:tcW w:w="1800" w:type="dxa"/>
            <w:tcBorders>
              <w:bottom w:val="single" w:sz="4" w:space="0" w:color="auto"/>
            </w:tcBorders>
            <w:vAlign w:val="center"/>
          </w:tcPr>
          <w:p w14:paraId="4CD9F8A1" w14:textId="36EB339E" w:rsidR="00827127" w:rsidRPr="00F70289" w:rsidRDefault="00827127" w:rsidP="0023025F">
            <w:pPr>
              <w:jc w:val="center"/>
            </w:pPr>
            <w:r>
              <w:t>$76</w:t>
            </w:r>
          </w:p>
        </w:tc>
        <w:tc>
          <w:tcPr>
            <w:tcW w:w="1800" w:type="dxa"/>
            <w:tcBorders>
              <w:bottom w:val="single" w:sz="4" w:space="0" w:color="auto"/>
            </w:tcBorders>
            <w:vAlign w:val="center"/>
          </w:tcPr>
          <w:p w14:paraId="612426DB" w14:textId="2EDDAE45" w:rsidR="00827127" w:rsidRDefault="00827127" w:rsidP="0023025F">
            <w:pPr>
              <w:jc w:val="center"/>
            </w:pPr>
            <w:r>
              <w:t>$76</w:t>
            </w:r>
          </w:p>
        </w:tc>
        <w:tc>
          <w:tcPr>
            <w:tcW w:w="1890" w:type="dxa"/>
            <w:tcBorders>
              <w:bottom w:val="single" w:sz="4" w:space="0" w:color="auto"/>
              <w:right w:val="double" w:sz="4" w:space="0" w:color="auto"/>
            </w:tcBorders>
            <w:vAlign w:val="center"/>
          </w:tcPr>
          <w:p w14:paraId="42F38EC1" w14:textId="2AE1789C" w:rsidR="00827127" w:rsidRPr="00F70289" w:rsidRDefault="00827127" w:rsidP="0023025F">
            <w:pPr>
              <w:jc w:val="center"/>
            </w:pPr>
            <w:r>
              <w:t>$152</w:t>
            </w:r>
          </w:p>
        </w:tc>
      </w:tr>
      <w:tr w:rsidR="00827127" w:rsidRPr="00F70289" w14:paraId="569B191E" w14:textId="77777777" w:rsidTr="00186AEF">
        <w:trPr>
          <w:trHeight w:val="533"/>
        </w:trPr>
        <w:tc>
          <w:tcPr>
            <w:tcW w:w="1458" w:type="dxa"/>
            <w:tcBorders>
              <w:left w:val="double" w:sz="4" w:space="0" w:color="auto"/>
              <w:bottom w:val="single" w:sz="4" w:space="0" w:color="auto"/>
            </w:tcBorders>
            <w:vAlign w:val="center"/>
          </w:tcPr>
          <w:p w14:paraId="7D1D0ECC" w14:textId="77777777" w:rsidR="00827127" w:rsidRPr="00F70289" w:rsidRDefault="00827127" w:rsidP="0023025F">
            <w:pPr>
              <w:jc w:val="center"/>
            </w:pPr>
            <w:r w:rsidRPr="00F70289">
              <w:t>773.19</w:t>
            </w:r>
          </w:p>
        </w:tc>
        <w:tc>
          <w:tcPr>
            <w:tcW w:w="1800" w:type="dxa"/>
            <w:tcBorders>
              <w:bottom w:val="single" w:sz="4" w:space="0" w:color="auto"/>
            </w:tcBorders>
            <w:vAlign w:val="center"/>
          </w:tcPr>
          <w:p w14:paraId="5ECD9461" w14:textId="411481FA" w:rsidR="00827127" w:rsidRPr="00F70289" w:rsidRDefault="00827127" w:rsidP="00827127">
            <w:pPr>
              <w:jc w:val="center"/>
            </w:pPr>
            <w:r>
              <w:t>$152</w:t>
            </w:r>
          </w:p>
        </w:tc>
        <w:tc>
          <w:tcPr>
            <w:tcW w:w="1800" w:type="dxa"/>
            <w:tcBorders>
              <w:bottom w:val="single" w:sz="4" w:space="0" w:color="auto"/>
            </w:tcBorders>
            <w:vAlign w:val="center"/>
          </w:tcPr>
          <w:p w14:paraId="0FC23937" w14:textId="023E2ABC" w:rsidR="00827127" w:rsidRDefault="00827127" w:rsidP="0023025F">
            <w:pPr>
              <w:jc w:val="center"/>
            </w:pPr>
            <w:r>
              <w:t>$227</w:t>
            </w:r>
          </w:p>
        </w:tc>
        <w:tc>
          <w:tcPr>
            <w:tcW w:w="1890" w:type="dxa"/>
            <w:tcBorders>
              <w:bottom w:val="single" w:sz="4" w:space="0" w:color="auto"/>
              <w:right w:val="double" w:sz="4" w:space="0" w:color="auto"/>
            </w:tcBorders>
            <w:vAlign w:val="center"/>
          </w:tcPr>
          <w:p w14:paraId="29199CA4" w14:textId="0277FD69" w:rsidR="00827127" w:rsidRPr="00F70289" w:rsidRDefault="00827127" w:rsidP="0023025F">
            <w:pPr>
              <w:jc w:val="center"/>
            </w:pPr>
            <w:r>
              <w:t>$379</w:t>
            </w:r>
          </w:p>
        </w:tc>
      </w:tr>
      <w:tr w:rsidR="00827127" w:rsidRPr="00F70289" w14:paraId="41BE0570" w14:textId="77777777" w:rsidTr="00186AEF">
        <w:trPr>
          <w:trHeight w:val="720"/>
        </w:trPr>
        <w:tc>
          <w:tcPr>
            <w:tcW w:w="1458" w:type="dxa"/>
            <w:tcBorders>
              <w:left w:val="double" w:sz="4" w:space="0" w:color="auto"/>
              <w:bottom w:val="double" w:sz="4" w:space="0" w:color="auto"/>
            </w:tcBorders>
            <w:vAlign w:val="center"/>
          </w:tcPr>
          <w:p w14:paraId="171F7010" w14:textId="77777777" w:rsidR="00827127" w:rsidRPr="00F70289" w:rsidRDefault="00827127" w:rsidP="0023025F">
            <w:pPr>
              <w:jc w:val="center"/>
            </w:pPr>
            <w:r w:rsidRPr="00F70289">
              <w:t>736/750.25</w:t>
            </w:r>
          </w:p>
        </w:tc>
        <w:tc>
          <w:tcPr>
            <w:tcW w:w="1800" w:type="dxa"/>
            <w:tcBorders>
              <w:bottom w:val="double" w:sz="4" w:space="0" w:color="auto"/>
            </w:tcBorders>
            <w:vAlign w:val="center"/>
          </w:tcPr>
          <w:p w14:paraId="2C1AD953" w14:textId="3B562D46" w:rsidR="00827127" w:rsidRPr="00F70289" w:rsidRDefault="00827127" w:rsidP="00827127">
            <w:pPr>
              <w:jc w:val="center"/>
            </w:pPr>
            <w:r>
              <w:t>$0</w:t>
            </w:r>
          </w:p>
        </w:tc>
        <w:tc>
          <w:tcPr>
            <w:tcW w:w="1800" w:type="dxa"/>
            <w:tcBorders>
              <w:bottom w:val="double" w:sz="4" w:space="0" w:color="auto"/>
            </w:tcBorders>
            <w:vAlign w:val="center"/>
          </w:tcPr>
          <w:p w14:paraId="1D1011E2" w14:textId="359A493A" w:rsidR="00827127" w:rsidRPr="00F70289" w:rsidRDefault="00827127" w:rsidP="00827127">
            <w:pPr>
              <w:jc w:val="center"/>
            </w:pPr>
            <w:r>
              <w:t>$0</w:t>
            </w:r>
          </w:p>
        </w:tc>
        <w:tc>
          <w:tcPr>
            <w:tcW w:w="1890" w:type="dxa"/>
            <w:tcBorders>
              <w:bottom w:val="double" w:sz="4" w:space="0" w:color="auto"/>
              <w:right w:val="double" w:sz="4" w:space="0" w:color="auto"/>
            </w:tcBorders>
            <w:vAlign w:val="center"/>
          </w:tcPr>
          <w:p w14:paraId="0C8ABE95" w14:textId="2934E35B" w:rsidR="00827127" w:rsidRPr="00F70289" w:rsidRDefault="00827127" w:rsidP="00827127">
            <w:pPr>
              <w:jc w:val="center"/>
            </w:pPr>
            <w:r>
              <w:t>$0</w:t>
            </w:r>
          </w:p>
        </w:tc>
      </w:tr>
      <w:tr w:rsidR="00827127" w:rsidRPr="00F70289" w14:paraId="131EC493" w14:textId="77777777" w:rsidTr="00186AEF">
        <w:trPr>
          <w:trHeight w:val="510"/>
        </w:trPr>
        <w:tc>
          <w:tcPr>
            <w:tcW w:w="1458" w:type="dxa"/>
            <w:tcBorders>
              <w:top w:val="double" w:sz="4" w:space="0" w:color="auto"/>
              <w:left w:val="double" w:sz="4" w:space="0" w:color="auto"/>
              <w:bottom w:val="double" w:sz="4" w:space="0" w:color="auto"/>
            </w:tcBorders>
            <w:vAlign w:val="center"/>
          </w:tcPr>
          <w:p w14:paraId="31E37314" w14:textId="77777777" w:rsidR="00827127" w:rsidRPr="00F70289" w:rsidRDefault="00827127" w:rsidP="0023025F">
            <w:pPr>
              <w:jc w:val="center"/>
              <w:rPr>
                <w:b/>
              </w:rPr>
            </w:pPr>
            <w:r w:rsidRPr="00F70289">
              <w:rPr>
                <w:b/>
              </w:rPr>
              <w:t>TOTALS</w:t>
            </w:r>
          </w:p>
        </w:tc>
        <w:tc>
          <w:tcPr>
            <w:tcW w:w="1800" w:type="dxa"/>
            <w:tcBorders>
              <w:top w:val="double" w:sz="4" w:space="0" w:color="auto"/>
              <w:bottom w:val="double" w:sz="4" w:space="0" w:color="auto"/>
            </w:tcBorders>
            <w:vAlign w:val="center"/>
          </w:tcPr>
          <w:p w14:paraId="7DC2947D" w14:textId="5883BD79" w:rsidR="00827127" w:rsidRPr="00F70289" w:rsidRDefault="006609D2" w:rsidP="0023025F">
            <w:pPr>
              <w:jc w:val="center"/>
              <w:rPr>
                <w:b/>
              </w:rPr>
            </w:pPr>
            <w:r>
              <w:rPr>
                <w:b/>
              </w:rPr>
              <w:t>$3,942</w:t>
            </w:r>
          </w:p>
        </w:tc>
        <w:tc>
          <w:tcPr>
            <w:tcW w:w="1800" w:type="dxa"/>
            <w:tcBorders>
              <w:top w:val="double" w:sz="4" w:space="0" w:color="auto"/>
              <w:bottom w:val="double" w:sz="4" w:space="0" w:color="auto"/>
            </w:tcBorders>
            <w:vAlign w:val="center"/>
          </w:tcPr>
          <w:p w14:paraId="2CC77187" w14:textId="4AF571ED" w:rsidR="00827127" w:rsidRDefault="006609D2" w:rsidP="0023025F">
            <w:pPr>
              <w:jc w:val="center"/>
              <w:rPr>
                <w:b/>
              </w:rPr>
            </w:pPr>
            <w:r>
              <w:rPr>
                <w:b/>
              </w:rPr>
              <w:t>$31,515</w:t>
            </w:r>
          </w:p>
        </w:tc>
        <w:tc>
          <w:tcPr>
            <w:tcW w:w="1890" w:type="dxa"/>
            <w:tcBorders>
              <w:top w:val="double" w:sz="4" w:space="0" w:color="auto"/>
              <w:bottom w:val="double" w:sz="4" w:space="0" w:color="auto"/>
              <w:right w:val="double" w:sz="4" w:space="0" w:color="auto"/>
            </w:tcBorders>
            <w:vAlign w:val="center"/>
          </w:tcPr>
          <w:p w14:paraId="7A5B1418" w14:textId="0E336868" w:rsidR="006609D2" w:rsidRPr="00F70289" w:rsidRDefault="006609D2" w:rsidP="0023025F">
            <w:pPr>
              <w:jc w:val="center"/>
              <w:rPr>
                <w:b/>
              </w:rPr>
            </w:pPr>
            <w:r>
              <w:rPr>
                <w:b/>
              </w:rPr>
              <w:t>$35,457</w:t>
            </w:r>
          </w:p>
        </w:tc>
      </w:tr>
    </w:tbl>
    <w:p w14:paraId="72992AB8" w14:textId="4D927BB3" w:rsidR="00F8635A" w:rsidRPr="00542969" w:rsidRDefault="00F058E7" w:rsidP="00CE3F81">
      <w:pPr>
        <w:jc w:val="center"/>
      </w:pPr>
      <w:r>
        <w:br w:type="page"/>
      </w:r>
      <w:r w:rsidR="00F8635A" w:rsidRPr="00542969">
        <w:t>IDENTICAL RESPONSES TO STATEMENTS</w:t>
      </w:r>
    </w:p>
    <w:p w14:paraId="7908C575" w14:textId="77777777" w:rsidR="00F8635A" w:rsidRPr="00542969" w:rsidRDefault="00F8635A" w:rsidP="00F8635A"/>
    <w:p w14:paraId="608C1A01" w14:textId="77777777" w:rsidR="00F8635A" w:rsidRPr="00542969" w:rsidRDefault="00F8635A" w:rsidP="00F8635A">
      <w:pPr>
        <w:rPr>
          <w:b/>
          <w:bCs/>
        </w:rPr>
      </w:pPr>
      <w:r w:rsidRPr="00542969">
        <w:rPr>
          <w:b/>
          <w:bCs/>
        </w:rPr>
        <w:t xml:space="preserve">A. </w:t>
      </w:r>
      <w:r w:rsidR="00AF4F64" w:rsidRPr="00542969">
        <w:rPr>
          <w:b/>
          <w:bCs/>
        </w:rPr>
        <w:tab/>
      </w:r>
      <w:r w:rsidRPr="00542969">
        <w:rPr>
          <w:b/>
          <w:bCs/>
          <w:u w:val="single"/>
        </w:rPr>
        <w:t>Justification</w:t>
      </w:r>
    </w:p>
    <w:p w14:paraId="79CE85FB" w14:textId="77777777" w:rsidR="00F8635A" w:rsidRPr="00542969" w:rsidRDefault="00F8635A" w:rsidP="00F8635A"/>
    <w:p w14:paraId="02F6E46D" w14:textId="2A365487" w:rsidR="00F8635A" w:rsidRPr="00542969" w:rsidRDefault="00F8635A" w:rsidP="003907FF">
      <w:pPr>
        <w:numPr>
          <w:ilvl w:val="0"/>
          <w:numId w:val="2"/>
        </w:numPr>
        <w:tabs>
          <w:tab w:val="clear" w:pos="360"/>
        </w:tabs>
        <w:ind w:left="720" w:hanging="720"/>
      </w:pPr>
      <w:r w:rsidRPr="00542969">
        <w:t xml:space="preserve">Applicants are required to provide specific information in applications for surface coal mining and reclamation permits.  State regulatory authorities </w:t>
      </w:r>
      <w:r w:rsidR="002653EC">
        <w:t>(SRAs)</w:t>
      </w:r>
      <w:r w:rsidR="00430720">
        <w:t xml:space="preserve"> </w:t>
      </w:r>
      <w:r w:rsidRPr="00542969">
        <w:t xml:space="preserve">are required to provide certain information to </w:t>
      </w:r>
      <w:r w:rsidR="00F3663D">
        <w:t>OSMRE</w:t>
      </w:r>
      <w:r w:rsidRPr="00542969">
        <w:t xml:space="preserve"> as part of the permitting process.  The information collected from applicants and States is authorized under SMCRA.  Most of the information used in 30 </w:t>
      </w:r>
      <w:smartTag w:uri="urn:schemas-microsoft-com:office:smarttags" w:element="stockticker">
        <w:r w:rsidRPr="00542969">
          <w:t>CFR</w:t>
        </w:r>
      </w:smartTag>
      <w:r w:rsidR="009F76D8" w:rsidRPr="00542969">
        <w:t xml:space="preserve"> </w:t>
      </w:r>
      <w:r w:rsidR="008A381D">
        <w:t>P</w:t>
      </w:r>
      <w:r w:rsidRPr="00542969">
        <w:t xml:space="preserve">art 773 is required for disclosure under 30 </w:t>
      </w:r>
      <w:smartTag w:uri="urn:schemas-microsoft-com:office:smarttags" w:element="stockticker">
        <w:r w:rsidRPr="00542969">
          <w:t>CFR</w:t>
        </w:r>
      </w:smartTag>
      <w:r w:rsidRPr="00542969">
        <w:t xml:space="preserve"> </w:t>
      </w:r>
      <w:r w:rsidR="008A381D">
        <w:t>P</w:t>
      </w:r>
      <w:r w:rsidRPr="00542969">
        <w:t xml:space="preserve">art 778.  </w:t>
      </w:r>
    </w:p>
    <w:p w14:paraId="54A5CEFC" w14:textId="77777777" w:rsidR="00F8635A" w:rsidRPr="00542969" w:rsidRDefault="00F8635A" w:rsidP="00F8635A"/>
    <w:p w14:paraId="78028BE3" w14:textId="015594C4" w:rsidR="00F8635A" w:rsidRPr="00542969" w:rsidRDefault="003907FF" w:rsidP="003907FF">
      <w:pPr>
        <w:pStyle w:val="BodyTextIndent"/>
        <w:ind w:left="720" w:hanging="720"/>
        <w:rPr>
          <w:strike/>
        </w:rPr>
      </w:pPr>
      <w:r w:rsidRPr="00542969">
        <w:tab/>
      </w:r>
      <w:r w:rsidR="00F8635A" w:rsidRPr="00542969">
        <w:t xml:space="preserve">Most of the information collected </w:t>
      </w:r>
      <w:r w:rsidR="00FB59E1">
        <w:t>for</w:t>
      </w:r>
      <w:r w:rsidR="00F8635A" w:rsidRPr="00542969">
        <w:t xml:space="preserve"> 30 </w:t>
      </w:r>
      <w:smartTag w:uri="urn:schemas-microsoft-com:office:smarttags" w:element="stockticker">
        <w:r w:rsidR="00F8635A" w:rsidRPr="00542969">
          <w:t>CFR</w:t>
        </w:r>
      </w:smartTag>
      <w:r w:rsidR="009F76D8" w:rsidRPr="00542969">
        <w:t xml:space="preserve"> </w:t>
      </w:r>
      <w:r w:rsidR="008A381D">
        <w:t>P</w:t>
      </w:r>
      <w:r w:rsidR="00F8635A" w:rsidRPr="00542969">
        <w:t>art 773</w:t>
      </w:r>
      <w:r w:rsidR="00F058E7">
        <w:t xml:space="preserve"> and the fees in §</w:t>
      </w:r>
      <w:r w:rsidR="00AC5232">
        <w:t>§</w:t>
      </w:r>
      <w:r w:rsidR="00F058E7">
        <w:t>736.25</w:t>
      </w:r>
      <w:r w:rsidR="00F8635A" w:rsidRPr="00542969">
        <w:t xml:space="preserve"> </w:t>
      </w:r>
      <w:r w:rsidR="00AC5232">
        <w:t>and 750.25 are</w:t>
      </w:r>
      <w:r w:rsidR="00F8635A" w:rsidRPr="00542969">
        <w:t xml:space="preserve"> conducive to electronic media or transmission.  Since 1987, entity, legal, permit history, and compliance information has been maintained for permit history, active permitting, and enforcement purposes in </w:t>
      </w:r>
      <w:r w:rsidR="00F3663D">
        <w:t>OSMRE</w:t>
      </w:r>
      <w:r w:rsidR="00F8635A" w:rsidRPr="00542969">
        <w:t xml:space="preserve">’s Applicant/Violator System (AVS).  </w:t>
      </w:r>
      <w:r w:rsidR="00F3663D">
        <w:t>OSMRE</w:t>
      </w:r>
      <w:r w:rsidR="00F8635A" w:rsidRPr="00542969">
        <w:t xml:space="preserve"> and 24 approved </w:t>
      </w:r>
      <w:r w:rsidR="002653EC">
        <w:t xml:space="preserve">SRAs </w:t>
      </w:r>
      <w:r w:rsidR="00F8635A" w:rsidRPr="00542969">
        <w:t xml:space="preserve">maintain and use AVS for a variety of purposes, including permitting and enforcement.  The industry and general public may also obtain access to AVS to view applicant, permittee, permit history, and violation information.  On request, </w:t>
      </w:r>
      <w:r w:rsidR="00F3663D">
        <w:t>OSMRE</w:t>
      </w:r>
      <w:r w:rsidR="00F8635A" w:rsidRPr="00542969">
        <w:t xml:space="preserve"> also provides business organization information from AVS in electronic form to applicants, operators, and Abandoned Mine Land (</w:t>
      </w:r>
      <w:smartTag w:uri="urn:schemas-microsoft-com:office:smarttags" w:element="stockticker">
        <w:r w:rsidR="00F8635A" w:rsidRPr="00542969">
          <w:t>AML</w:t>
        </w:r>
      </w:smartTag>
      <w:r w:rsidR="00F8635A" w:rsidRPr="00542969">
        <w:t xml:space="preserve">) program contractors. </w:t>
      </w:r>
    </w:p>
    <w:p w14:paraId="14BD7B5A" w14:textId="77777777" w:rsidR="00F8635A" w:rsidRPr="00542969" w:rsidRDefault="00F8635A" w:rsidP="00F8635A">
      <w:pPr>
        <w:pStyle w:val="BodyTextIndent"/>
      </w:pPr>
    </w:p>
    <w:p w14:paraId="4431F726" w14:textId="5B13E6B6" w:rsidR="00241B89" w:rsidRPr="00241B89" w:rsidRDefault="003907FF" w:rsidP="00241B89">
      <w:pPr>
        <w:pStyle w:val="BodyTextIndent"/>
        <w:ind w:left="720" w:hanging="720"/>
      </w:pPr>
      <w:r w:rsidRPr="00542969">
        <w:tab/>
      </w:r>
      <w:r w:rsidR="000F5FFB">
        <w:t>Most</w:t>
      </w:r>
      <w:r w:rsidR="00241B89" w:rsidRPr="00241B89">
        <w:t xml:space="preserve"> S</w:t>
      </w:r>
      <w:r w:rsidR="002653EC">
        <w:t>RAs</w:t>
      </w:r>
      <w:r w:rsidR="00241B89" w:rsidRPr="00241B89">
        <w:t xml:space="preserve"> have the capability of receiving permit applications electronically.  Some permit applicants use computer technology to create, store, and submit information electronically, but the percentage varies based on the size of the company and their technical abilities.  Larger coal companies have in-house staff or hire engineering firms to prepare their applications.  These companies use automated technology to prepare and submit the applications to S</w:t>
      </w:r>
      <w:r w:rsidR="002653EC">
        <w:t>RAs</w:t>
      </w:r>
      <w:r w:rsidR="00241B89" w:rsidRPr="00241B89">
        <w:t xml:space="preserve">.  Small coal companies, which may not have the technical capability may still submit paper forms.  Once the </w:t>
      </w:r>
      <w:r w:rsidR="002653EC">
        <w:t>SRAs</w:t>
      </w:r>
      <w:r w:rsidR="00241B89" w:rsidRPr="00241B89">
        <w:t xml:space="preserve"> receive paper applications, some will convert the applications to an electronic format for review and processing.  Nationally, OSMRE estimates that the </w:t>
      </w:r>
      <w:r w:rsidR="002653EC">
        <w:t>SRAs</w:t>
      </w:r>
      <w:r w:rsidR="00241B89" w:rsidRPr="00241B89">
        <w:t xml:space="preserve"> receive approximately </w:t>
      </w:r>
      <w:r w:rsidR="00241B89">
        <w:t>75</w:t>
      </w:r>
      <w:r w:rsidR="00241B89" w:rsidRPr="00241B89">
        <w:t>% of permit applications electronically.</w:t>
      </w:r>
    </w:p>
    <w:p w14:paraId="4BE34346" w14:textId="77777777" w:rsidR="00241B89" w:rsidRPr="00241B89" w:rsidRDefault="00241B89" w:rsidP="00241B89">
      <w:pPr>
        <w:pStyle w:val="BodyTextIndent"/>
      </w:pPr>
    </w:p>
    <w:p w14:paraId="68989F6E" w14:textId="77777777" w:rsidR="00F8635A" w:rsidRPr="00542969" w:rsidRDefault="00F8635A" w:rsidP="00241B89">
      <w:pPr>
        <w:pStyle w:val="BodyTextIndent"/>
        <w:ind w:left="720"/>
      </w:pPr>
      <w:r w:rsidRPr="00542969">
        <w:t xml:space="preserve">It must be noted that the vast majority of permit applications are received by States where </w:t>
      </w:r>
      <w:r w:rsidR="00F3663D">
        <w:t>OSMRE</w:t>
      </w:r>
      <w:r w:rsidRPr="00542969">
        <w:t xml:space="preserve"> does not have the authority to require </w:t>
      </w:r>
      <w:r w:rsidR="00665D37" w:rsidRPr="00542969">
        <w:t xml:space="preserve">electronic </w:t>
      </w:r>
      <w:r w:rsidRPr="00542969">
        <w:t xml:space="preserve">submissions of permit applications.  </w:t>
      </w:r>
      <w:r w:rsidR="00F3663D">
        <w:t>OSMRE</w:t>
      </w:r>
      <w:r w:rsidRPr="00542969">
        <w:t xml:space="preserve"> can only recommend </w:t>
      </w:r>
      <w:r w:rsidR="00EC11AE" w:rsidRPr="00542969">
        <w:t>using</w:t>
      </w:r>
      <w:r w:rsidRPr="00542969">
        <w:t xml:space="preserve"> electronic methods to improve efficiency.</w:t>
      </w:r>
    </w:p>
    <w:p w14:paraId="42293858" w14:textId="77777777" w:rsidR="00F8635A" w:rsidRPr="00542969" w:rsidRDefault="00F8635A" w:rsidP="00F8635A"/>
    <w:p w14:paraId="42636BB3" w14:textId="3DF71995" w:rsidR="00F8635A" w:rsidRPr="00542969" w:rsidRDefault="00F8635A" w:rsidP="003907FF">
      <w:pPr>
        <w:numPr>
          <w:ilvl w:val="0"/>
          <w:numId w:val="2"/>
        </w:numPr>
        <w:tabs>
          <w:tab w:val="clear" w:pos="360"/>
        </w:tabs>
        <w:ind w:left="720" w:hanging="720"/>
      </w:pPr>
      <w:r w:rsidRPr="00542969">
        <w:t xml:space="preserve">The required information under 30 </w:t>
      </w:r>
      <w:smartTag w:uri="urn:schemas-microsoft-com:office:smarttags" w:element="stockticker">
        <w:r w:rsidRPr="00542969">
          <w:t>CFR</w:t>
        </w:r>
      </w:smartTag>
      <w:r w:rsidRPr="00542969">
        <w:t xml:space="preserve"> </w:t>
      </w:r>
      <w:r w:rsidR="008A381D">
        <w:t>Part</w:t>
      </w:r>
      <w:r w:rsidRPr="00542969">
        <w:t xml:space="preserve"> 773 </w:t>
      </w:r>
      <w:r w:rsidR="00F058E7">
        <w:t xml:space="preserve">and the processing fees in </w:t>
      </w:r>
      <w:r w:rsidR="00AC5232">
        <w:t>§</w:t>
      </w:r>
      <w:r w:rsidR="00F058E7">
        <w:t>§736.25</w:t>
      </w:r>
      <w:r w:rsidRPr="00542969">
        <w:t xml:space="preserve"> </w:t>
      </w:r>
      <w:r w:rsidR="00AC5232">
        <w:t xml:space="preserve">and 750.25 </w:t>
      </w:r>
      <w:r w:rsidR="00362643">
        <w:t>are</w:t>
      </w:r>
      <w:r w:rsidR="00F058E7">
        <w:t xml:space="preserve"> </w:t>
      </w:r>
      <w:r w:rsidRPr="00542969">
        <w:t>unique to each applicant for a surface coal mining permit.  No other source of the information is available.  Respondents are companies in the coal mining business who apply for permits to mine coal using surface coal mining methods</w:t>
      </w:r>
      <w:r w:rsidR="00362643">
        <w:t>,</w:t>
      </w:r>
      <w:r w:rsidR="00665D37" w:rsidRPr="00542969">
        <w:t xml:space="preserve"> and </w:t>
      </w:r>
      <w:r w:rsidR="002653EC">
        <w:t>SRAs</w:t>
      </w:r>
      <w:r w:rsidR="00665D37" w:rsidRPr="00542969">
        <w:t xml:space="preserve"> with review and decision-making requirements in permitting processes</w:t>
      </w:r>
      <w:r w:rsidRPr="00542969">
        <w:t xml:space="preserve">.  </w:t>
      </w:r>
    </w:p>
    <w:p w14:paraId="7B2782CC" w14:textId="77777777" w:rsidR="003907FF" w:rsidRPr="00542969" w:rsidRDefault="003907FF" w:rsidP="003907FF"/>
    <w:p w14:paraId="35D1C4F8" w14:textId="77777777" w:rsidR="00F8635A" w:rsidRPr="00542969" w:rsidRDefault="003907FF" w:rsidP="003907FF">
      <w:pPr>
        <w:ind w:left="720" w:hanging="720"/>
      </w:pPr>
      <w:r w:rsidRPr="00542969">
        <w:t>5.</w:t>
      </w:r>
      <w:r w:rsidRPr="00542969">
        <w:tab/>
      </w:r>
      <w:r w:rsidR="00F8635A" w:rsidRPr="00542969">
        <w:t xml:space="preserve">There are no special provisions for small businesses or other small entities under these regulations.  Data available to </w:t>
      </w:r>
      <w:r w:rsidR="00F3663D">
        <w:t>OSMRE</w:t>
      </w:r>
      <w:r w:rsidR="00F8635A" w:rsidRPr="00542969">
        <w:t xml:space="preserve"> from another Federal agency indicates that </w:t>
      </w:r>
      <w:r w:rsidR="00840801">
        <w:t xml:space="preserve">96% of the </w:t>
      </w:r>
      <w:r w:rsidR="00F8635A" w:rsidRPr="00542969">
        <w:t xml:space="preserve">approximate </w:t>
      </w:r>
      <w:r w:rsidR="006F1584">
        <w:t>1,000</w:t>
      </w:r>
      <w:r w:rsidR="00F8635A" w:rsidRPr="00542969">
        <w:t xml:space="preserve"> coal mining operat</w:t>
      </w:r>
      <w:r w:rsidR="00840801">
        <w:t>ors in the United States</w:t>
      </w:r>
      <w:r w:rsidR="00F8635A" w:rsidRPr="00542969">
        <w:t xml:space="preserve"> qualify as a small business under Small Business Administration regulations.  However, </w:t>
      </w:r>
      <w:r w:rsidR="00F3663D">
        <w:t>OSMRE</w:t>
      </w:r>
      <w:r w:rsidR="00F8635A" w:rsidRPr="00542969">
        <w:t xml:space="preserve"> does have a small operator assistance program, regulated under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795, which has a separately approved information collection clearance number.</w:t>
      </w:r>
    </w:p>
    <w:p w14:paraId="4B7E377C" w14:textId="77777777" w:rsidR="00F8635A" w:rsidRPr="00542969" w:rsidRDefault="00F8635A" w:rsidP="00F8635A"/>
    <w:p w14:paraId="44235E46" w14:textId="77777777" w:rsidR="00F8635A" w:rsidRPr="00542969" w:rsidRDefault="003907FF" w:rsidP="003907FF">
      <w:pPr>
        <w:ind w:left="720" w:hanging="720"/>
      </w:pPr>
      <w:r w:rsidRPr="00542969">
        <w:t>6.</w:t>
      </w:r>
      <w:r w:rsidRPr="00542969">
        <w:tab/>
      </w:r>
      <w:r w:rsidR="00F8635A" w:rsidRPr="00542969">
        <w:t xml:space="preserve">Respondents provide information required </w:t>
      </w:r>
      <w:r w:rsidR="00AF4F64" w:rsidRPr="00542969">
        <w:t>by</w:t>
      </w:r>
      <w:r w:rsidR="00F8635A" w:rsidRPr="00542969">
        <w:t xml:space="preserve">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w:t>
      </w:r>
      <w:r w:rsidR="00F058E7">
        <w:t xml:space="preserve"> and submit the fees in </w:t>
      </w:r>
      <w:r w:rsidR="00AC5232">
        <w:t>§§736.25</w:t>
      </w:r>
      <w:r w:rsidR="00AC5232" w:rsidRPr="00542969">
        <w:t xml:space="preserve"> </w:t>
      </w:r>
      <w:r w:rsidR="00AC5232">
        <w:t xml:space="preserve">and 750.25 </w:t>
      </w:r>
      <w:r w:rsidR="00F8635A" w:rsidRPr="00542969">
        <w:t>only at the time of application for a new permit or other permitting action.  Less frequent collection of the information would compromise the accuracy and completeness of information required for nationwide permitting and enforcement purposes and would not be in compliance with the Act.</w:t>
      </w:r>
    </w:p>
    <w:p w14:paraId="1BE46F2F" w14:textId="77777777" w:rsidR="00F8635A" w:rsidRPr="00542969" w:rsidRDefault="00F8635A" w:rsidP="00F8635A"/>
    <w:p w14:paraId="258A2A0E" w14:textId="42F6D26F" w:rsidR="00362643" w:rsidRPr="00542969" w:rsidRDefault="003907FF" w:rsidP="00362643">
      <w:pPr>
        <w:pStyle w:val="BodyTextIndent"/>
        <w:ind w:left="720" w:hanging="720"/>
      </w:pPr>
      <w:r w:rsidRPr="00542969">
        <w:t>7.</w:t>
      </w:r>
      <w:r w:rsidRPr="00542969">
        <w:tab/>
      </w:r>
      <w:r w:rsidR="00AF4F64" w:rsidRPr="00542969">
        <w:t>Information collection for</w:t>
      </w:r>
      <w:r w:rsidR="00F8635A" w:rsidRPr="00542969">
        <w:t xml:space="preserve">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 </w:t>
      </w:r>
      <w:r w:rsidR="00F058E7">
        <w:t xml:space="preserve">and the fees authorized in </w:t>
      </w:r>
      <w:r w:rsidR="00AC5232">
        <w:t>§§736.25</w:t>
      </w:r>
      <w:r w:rsidR="00AC5232" w:rsidRPr="00542969">
        <w:t xml:space="preserve"> </w:t>
      </w:r>
      <w:r w:rsidR="00AC5232">
        <w:t xml:space="preserve">and 750.25 </w:t>
      </w:r>
      <w:r w:rsidR="001B6859">
        <w:t>are</w:t>
      </w:r>
      <w:r w:rsidR="001B6859" w:rsidRPr="00542969">
        <w:t xml:space="preserve"> </w:t>
      </w:r>
      <w:r w:rsidR="00F8635A" w:rsidRPr="00542969">
        <w:t xml:space="preserve">consistent with 5 </w:t>
      </w:r>
      <w:smartTag w:uri="urn:schemas-microsoft-com:office:smarttags" w:element="stockticker">
        <w:r w:rsidR="00F8635A" w:rsidRPr="00542969">
          <w:t>CFR</w:t>
        </w:r>
      </w:smartTag>
      <w:r w:rsidR="00F8635A" w:rsidRPr="00542969">
        <w:t xml:space="preserve"> 1320.5(d)(2), except for the number of copies of an application required to be submitted to a </w:t>
      </w:r>
      <w:r w:rsidR="000A4459">
        <w:t>SRA</w:t>
      </w:r>
      <w:r w:rsidR="00F8635A" w:rsidRPr="00542969">
        <w:t>.  S</w:t>
      </w:r>
      <w:r w:rsidR="002410D3">
        <w:t>RA</w:t>
      </w:r>
      <w:r w:rsidR="00F8635A" w:rsidRPr="00542969">
        <w:t xml:space="preserve">s require from one to five copies of an application, depending on the State, regardless of whether the application is in electronic or paper form. </w:t>
      </w:r>
      <w:r w:rsidR="00362643">
        <w:t xml:space="preserve"> OSMRE</w:t>
      </w:r>
      <w:r w:rsidR="00362643" w:rsidRPr="00542969">
        <w:t xml:space="preserve"> does not have the authority to </w:t>
      </w:r>
      <w:r w:rsidR="002410D3">
        <w:t xml:space="preserve">limit the number of copies </w:t>
      </w:r>
      <w:r w:rsidR="00362643" w:rsidRPr="00542969">
        <w:t>of permit applications</w:t>
      </w:r>
      <w:r w:rsidR="00362643">
        <w:t xml:space="preserve"> in primacy states</w:t>
      </w:r>
      <w:r w:rsidR="00362643" w:rsidRPr="00542969">
        <w:t xml:space="preserve">.  </w:t>
      </w:r>
      <w:r w:rsidR="00362643">
        <w:t>OSMRE</w:t>
      </w:r>
      <w:r w:rsidR="00362643" w:rsidRPr="00542969">
        <w:t xml:space="preserve"> can only recommend using electronic methods to improve efficiency</w:t>
      </w:r>
      <w:r w:rsidR="002410D3">
        <w:t xml:space="preserve"> and reduce copies received</w:t>
      </w:r>
      <w:r w:rsidR="00362643" w:rsidRPr="00542969">
        <w:t>.</w:t>
      </w:r>
    </w:p>
    <w:p w14:paraId="407C159B" w14:textId="77777777" w:rsidR="00F8635A" w:rsidRPr="00542969" w:rsidRDefault="00F8635A" w:rsidP="003907FF">
      <w:pPr>
        <w:ind w:left="720" w:hanging="720"/>
      </w:pPr>
    </w:p>
    <w:p w14:paraId="7355AFD3" w14:textId="14C6DB7D" w:rsidR="00F8635A" w:rsidRPr="00542969" w:rsidRDefault="003907FF" w:rsidP="003907FF">
      <w:pPr>
        <w:ind w:left="720" w:hanging="720"/>
      </w:pPr>
      <w:r w:rsidRPr="00542969">
        <w:t>8.</w:t>
      </w:r>
      <w:r w:rsidRPr="00542969">
        <w:tab/>
      </w:r>
      <w:r w:rsidR="00065164">
        <w:t xml:space="preserve">To determine the burden that is placed on respondents </w:t>
      </w:r>
      <w:r w:rsidR="00F8635A" w:rsidRPr="00542969">
        <w:t xml:space="preserve">for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w:t>
      </w:r>
      <w:r w:rsidR="00065164">
        <w:t xml:space="preserve"> OSMRE contacted the following individuals in </w:t>
      </w:r>
      <w:r w:rsidR="00375C96">
        <w:t xml:space="preserve">September and </w:t>
      </w:r>
      <w:r w:rsidR="00065164">
        <w:t xml:space="preserve">October </w:t>
      </w:r>
      <w:r w:rsidR="00375C96">
        <w:t xml:space="preserve">of </w:t>
      </w:r>
      <w:r w:rsidR="00065164">
        <w:t>201</w:t>
      </w:r>
      <w:r w:rsidR="00375C96">
        <w:t>8</w:t>
      </w:r>
      <w:r w:rsidR="00065164">
        <w:t>:</w:t>
      </w:r>
    </w:p>
    <w:p w14:paraId="39472DA9" w14:textId="77777777" w:rsidR="00AF4F64" w:rsidRPr="00542969" w:rsidRDefault="00AF4F64" w:rsidP="003907FF">
      <w:pPr>
        <w:ind w:left="720" w:hanging="720"/>
      </w:pPr>
    </w:p>
    <w:p w14:paraId="7AAF778B" w14:textId="77777777" w:rsidR="00F8635A" w:rsidRPr="000F5FFB" w:rsidRDefault="003907FF" w:rsidP="00195542">
      <w:pPr>
        <w:ind w:left="720" w:hanging="720"/>
        <w:rPr>
          <w:u w:val="single"/>
        </w:rPr>
      </w:pPr>
      <w:r w:rsidRPr="00542969">
        <w:tab/>
      </w:r>
      <w:r w:rsidR="00F8635A" w:rsidRPr="000F5FFB">
        <w:rPr>
          <w:u w:val="single"/>
        </w:rPr>
        <w:t>Federal Regulatory Authority Official Contacted:</w:t>
      </w:r>
    </w:p>
    <w:p w14:paraId="388A16D1" w14:textId="77777777" w:rsidR="00F8635A" w:rsidRPr="00542969" w:rsidRDefault="00F8635A" w:rsidP="00195542">
      <w:pPr>
        <w:ind w:left="720" w:hanging="720"/>
      </w:pPr>
    </w:p>
    <w:p w14:paraId="249A2B91" w14:textId="2390ECB8" w:rsidR="00F8635A" w:rsidRPr="00542969" w:rsidRDefault="003907FF" w:rsidP="00195542">
      <w:pPr>
        <w:ind w:left="720" w:hanging="720"/>
      </w:pPr>
      <w:r w:rsidRPr="00542969">
        <w:tab/>
      </w:r>
      <w:r w:rsidR="007A461C">
        <w:t>Chief, Program Support Branch</w:t>
      </w:r>
    </w:p>
    <w:p w14:paraId="498612C5" w14:textId="77777777" w:rsidR="00F8635A" w:rsidRPr="00542969" w:rsidRDefault="003907FF" w:rsidP="00195542">
      <w:pPr>
        <w:ind w:left="720" w:hanging="720"/>
      </w:pPr>
      <w:r w:rsidRPr="00542969">
        <w:tab/>
      </w:r>
      <w:r w:rsidR="00F8635A" w:rsidRPr="00542969">
        <w:t>Office of Surface Mining Reclamation and Enforcement</w:t>
      </w:r>
    </w:p>
    <w:p w14:paraId="378AF924" w14:textId="09D60C97" w:rsidR="00F8635A" w:rsidRDefault="003907FF" w:rsidP="00195542">
      <w:pPr>
        <w:ind w:left="720" w:hanging="720"/>
      </w:pPr>
      <w:r w:rsidRPr="00542969">
        <w:tab/>
      </w:r>
      <w:r w:rsidR="00F8635A" w:rsidRPr="00542969">
        <w:t>Knoxville Field Office</w:t>
      </w:r>
    </w:p>
    <w:p w14:paraId="3095F9D9" w14:textId="4CF8BF68" w:rsidR="00375C96" w:rsidRPr="00542969" w:rsidRDefault="00375C96" w:rsidP="000F5FFB">
      <w:pPr>
        <w:ind w:left="720"/>
      </w:pPr>
      <w:r>
        <w:t>Knoxville, TN  37902</w:t>
      </w:r>
    </w:p>
    <w:p w14:paraId="22927492" w14:textId="74E957E4" w:rsidR="00FB59E1" w:rsidRPr="00542969" w:rsidRDefault="003907FF" w:rsidP="003907FF">
      <w:pPr>
        <w:ind w:left="720" w:hanging="720"/>
      </w:pPr>
      <w:r w:rsidRPr="00542969">
        <w:tab/>
      </w:r>
    </w:p>
    <w:p w14:paraId="678ED536" w14:textId="77777777" w:rsidR="00F8635A" w:rsidRPr="000F5FFB" w:rsidRDefault="003907FF" w:rsidP="004370A4">
      <w:pPr>
        <w:ind w:left="720" w:hanging="720"/>
        <w:rPr>
          <w:u w:val="single"/>
        </w:rPr>
      </w:pPr>
      <w:r w:rsidRPr="00542969">
        <w:tab/>
      </w:r>
      <w:r w:rsidR="004370A4" w:rsidRPr="000F5FFB">
        <w:rPr>
          <w:u w:val="single"/>
        </w:rPr>
        <w:t>State Regulatory Authority Officials Contacted:</w:t>
      </w:r>
    </w:p>
    <w:p w14:paraId="6D966017" w14:textId="77777777" w:rsidR="00FF4ABB" w:rsidRPr="00542969" w:rsidRDefault="00FF4ABB" w:rsidP="003907FF">
      <w:pPr>
        <w:ind w:left="720" w:hanging="720"/>
      </w:pPr>
    </w:p>
    <w:p w14:paraId="431B4DBE" w14:textId="77777777" w:rsidR="007A461C" w:rsidRDefault="004370A4" w:rsidP="006F1584">
      <w:pPr>
        <w:ind w:left="720" w:hanging="720"/>
      </w:pPr>
      <w:r>
        <w:tab/>
      </w:r>
      <w:r w:rsidR="007A461C">
        <w:t>Supervisor, Coal Section</w:t>
      </w:r>
    </w:p>
    <w:p w14:paraId="73DBADDD" w14:textId="424C6FD8" w:rsidR="007A461C" w:rsidRDefault="007A461C" w:rsidP="000F5FFB">
      <w:pPr>
        <w:ind w:left="720"/>
      </w:pPr>
      <w:r>
        <w:t>Coal and Opencut Mining Bureau</w:t>
      </w:r>
    </w:p>
    <w:p w14:paraId="1015F3D7" w14:textId="501A645B" w:rsidR="006F1584" w:rsidRDefault="007A461C" w:rsidP="000F5FFB">
      <w:pPr>
        <w:ind w:left="720"/>
      </w:pPr>
      <w:r>
        <w:t>Montana Department of Environmental Quality</w:t>
      </w:r>
    </w:p>
    <w:p w14:paraId="6F4DC84A" w14:textId="69D324A5" w:rsidR="006F1584" w:rsidRDefault="006F1584" w:rsidP="006F1584">
      <w:pPr>
        <w:ind w:left="720" w:hanging="720"/>
      </w:pPr>
      <w:r>
        <w:tab/>
      </w:r>
      <w:r w:rsidR="0069724B">
        <w:t>Helena, MT  59620-0901</w:t>
      </w:r>
    </w:p>
    <w:p w14:paraId="345FA48D" w14:textId="1B9F179D" w:rsidR="004566B6" w:rsidRDefault="006F1584" w:rsidP="003907FF">
      <w:pPr>
        <w:ind w:left="720" w:hanging="720"/>
      </w:pPr>
      <w:r>
        <w:tab/>
      </w:r>
    </w:p>
    <w:p w14:paraId="671E97ED" w14:textId="79A9F324" w:rsidR="0069724B" w:rsidRDefault="0069724B" w:rsidP="0069724B">
      <w:pPr>
        <w:tabs>
          <w:tab w:val="left" w:pos="-1440"/>
        </w:tabs>
        <w:ind w:left="720" w:hanging="720"/>
      </w:pPr>
      <w:r>
        <w:tab/>
      </w:r>
      <w:r w:rsidR="00B016B3">
        <w:t>Assistant Director</w:t>
      </w:r>
    </w:p>
    <w:p w14:paraId="07E1A41E" w14:textId="2589AA2D" w:rsidR="00B016B3" w:rsidRPr="00A60EDA" w:rsidRDefault="00B016B3" w:rsidP="0069724B">
      <w:pPr>
        <w:tabs>
          <w:tab w:val="left" w:pos="-1440"/>
        </w:tabs>
        <w:ind w:left="720" w:hanging="720"/>
      </w:pPr>
      <w:r>
        <w:tab/>
        <w:t>Technical Services / Inspection and Enforcement</w:t>
      </w:r>
    </w:p>
    <w:p w14:paraId="1BB75D34" w14:textId="77777777" w:rsidR="0069724B" w:rsidRPr="00A60EDA" w:rsidRDefault="0069724B" w:rsidP="0069724B">
      <w:pPr>
        <w:tabs>
          <w:tab w:val="left" w:pos="-1440"/>
        </w:tabs>
        <w:ind w:left="720" w:hanging="720"/>
      </w:pPr>
      <w:r w:rsidRPr="00A60EDA">
        <w:tab/>
        <w:t>Indiana Department of Natural Resources</w:t>
      </w:r>
    </w:p>
    <w:p w14:paraId="4D59A988" w14:textId="1E9F3FE4" w:rsidR="006F1584" w:rsidRDefault="00B016B3" w:rsidP="00662639">
      <w:pPr>
        <w:ind w:left="720"/>
      </w:pPr>
      <w:r>
        <w:t>Jasonville</w:t>
      </w:r>
      <w:r w:rsidR="0069724B" w:rsidRPr="00A60EDA">
        <w:t>, IN  4</w:t>
      </w:r>
      <w:r>
        <w:t>7438</w:t>
      </w:r>
      <w:r w:rsidR="0069724B" w:rsidRPr="00A60EDA">
        <w:tab/>
      </w:r>
    </w:p>
    <w:p w14:paraId="03C9B4EE" w14:textId="77777777" w:rsidR="006F1584" w:rsidRDefault="006F1584" w:rsidP="00662639">
      <w:pPr>
        <w:ind w:left="720"/>
      </w:pPr>
    </w:p>
    <w:p w14:paraId="7F037784" w14:textId="4C26F8B0" w:rsidR="00B016B3" w:rsidRDefault="00B016B3" w:rsidP="00662639">
      <w:pPr>
        <w:ind w:left="720"/>
      </w:pPr>
      <w:r>
        <w:t>Permitting Manager</w:t>
      </w:r>
    </w:p>
    <w:p w14:paraId="1FD2A88A" w14:textId="544055B0" w:rsidR="00B016B3" w:rsidRDefault="00B016B3" w:rsidP="00662639">
      <w:pPr>
        <w:ind w:left="720"/>
      </w:pPr>
      <w:r>
        <w:t>Division of Mineral Resources Management</w:t>
      </w:r>
    </w:p>
    <w:p w14:paraId="6CD5DC26" w14:textId="1DA84340" w:rsidR="00B016B3" w:rsidRDefault="00B016B3" w:rsidP="00662639">
      <w:pPr>
        <w:ind w:left="720"/>
      </w:pPr>
      <w:r>
        <w:t>Ohio Department of Natural Resources</w:t>
      </w:r>
    </w:p>
    <w:p w14:paraId="5B28C2EB" w14:textId="66FE7082" w:rsidR="00B016B3" w:rsidRDefault="00B016B3" w:rsidP="00662639">
      <w:pPr>
        <w:ind w:left="720"/>
      </w:pPr>
      <w:r>
        <w:t>Cambridge, OH  43725</w:t>
      </w:r>
    </w:p>
    <w:p w14:paraId="5282B727" w14:textId="77777777" w:rsidR="001D508B" w:rsidRDefault="001D508B" w:rsidP="003907FF">
      <w:pPr>
        <w:ind w:left="720" w:hanging="720"/>
      </w:pPr>
    </w:p>
    <w:p w14:paraId="7BB92ECD" w14:textId="77777777" w:rsidR="00F8635A" w:rsidRPr="000F5FFB" w:rsidRDefault="001D7D71" w:rsidP="003907FF">
      <w:pPr>
        <w:ind w:left="720" w:hanging="720"/>
        <w:rPr>
          <w:u w:val="single"/>
        </w:rPr>
      </w:pPr>
      <w:r>
        <w:tab/>
      </w:r>
      <w:r w:rsidR="00F8635A" w:rsidRPr="000F5FFB">
        <w:rPr>
          <w:u w:val="single"/>
        </w:rPr>
        <w:t>Coal Mining Industry Official</w:t>
      </w:r>
      <w:r w:rsidR="001B7ADB" w:rsidRPr="000F5FFB">
        <w:rPr>
          <w:u w:val="single"/>
        </w:rPr>
        <w:t>s</w:t>
      </w:r>
      <w:r w:rsidR="00F8635A" w:rsidRPr="000F5FFB">
        <w:rPr>
          <w:u w:val="single"/>
        </w:rPr>
        <w:t xml:space="preserve"> Contacted:</w:t>
      </w:r>
    </w:p>
    <w:p w14:paraId="019AD828" w14:textId="3D53C85D" w:rsidR="00313375" w:rsidRDefault="003907FF">
      <w:pPr>
        <w:ind w:left="720" w:hanging="720"/>
      </w:pPr>
      <w:r w:rsidRPr="00542969">
        <w:tab/>
      </w:r>
      <w:r w:rsidR="00313375">
        <w:tab/>
      </w:r>
      <w:r w:rsidR="00313375">
        <w:tab/>
      </w:r>
    </w:p>
    <w:p w14:paraId="3DFFD031" w14:textId="79E65146" w:rsidR="00B016B3" w:rsidRDefault="00B016B3">
      <w:pPr>
        <w:ind w:left="720" w:hanging="720"/>
      </w:pPr>
      <w:r>
        <w:tab/>
      </w:r>
      <w:r w:rsidR="000F5FFB" w:rsidRPr="000F5FFB">
        <w:t xml:space="preserve">Environmental </w:t>
      </w:r>
      <w:r>
        <w:t>Manager</w:t>
      </w:r>
    </w:p>
    <w:p w14:paraId="69E8E9F7" w14:textId="5E374157" w:rsidR="00B016B3" w:rsidRDefault="00B016B3" w:rsidP="000F5FFB">
      <w:pPr>
        <w:ind w:left="720"/>
      </w:pPr>
      <w:r>
        <w:t>Spring Creek Mine</w:t>
      </w:r>
    </w:p>
    <w:p w14:paraId="40923F22" w14:textId="2B1F46B9" w:rsidR="00B016B3" w:rsidRDefault="00B016B3" w:rsidP="000F5FFB">
      <w:pPr>
        <w:ind w:left="720"/>
      </w:pPr>
      <w:r>
        <w:t>Spring Creek Coal LLC</w:t>
      </w:r>
    </w:p>
    <w:p w14:paraId="2928DFC9" w14:textId="7D7836F7" w:rsidR="0034254D" w:rsidRDefault="0034254D" w:rsidP="000F5FFB">
      <w:pPr>
        <w:ind w:left="720"/>
      </w:pPr>
      <w:r>
        <w:t>Cloud Peak Energy</w:t>
      </w:r>
    </w:p>
    <w:p w14:paraId="3BF491BF" w14:textId="1BC67FFD" w:rsidR="00B016B3" w:rsidRDefault="00B016B3" w:rsidP="000F5FFB">
      <w:pPr>
        <w:ind w:left="720"/>
      </w:pPr>
      <w:r>
        <w:t>Decker, MT  59025</w:t>
      </w:r>
    </w:p>
    <w:p w14:paraId="7CB8BEF0" w14:textId="2A291791" w:rsidR="00B016B3" w:rsidRDefault="00B016B3" w:rsidP="000F5FFB">
      <w:pPr>
        <w:ind w:left="720"/>
      </w:pPr>
    </w:p>
    <w:p w14:paraId="0579EDCC" w14:textId="24CB8531" w:rsidR="00B016B3" w:rsidRDefault="00B016B3" w:rsidP="000F5FFB">
      <w:pPr>
        <w:ind w:left="720"/>
      </w:pPr>
      <w:r>
        <w:t>Environmental Affairs Manager</w:t>
      </w:r>
    </w:p>
    <w:p w14:paraId="2EC167D2" w14:textId="13D0BD97" w:rsidR="00B016B3" w:rsidRDefault="00B016B3" w:rsidP="000F5FFB">
      <w:pPr>
        <w:ind w:left="720"/>
      </w:pPr>
      <w:r>
        <w:t>White Stallion Energy</w:t>
      </w:r>
    </w:p>
    <w:p w14:paraId="4A05F756" w14:textId="1A14FB1C" w:rsidR="00B016B3" w:rsidRDefault="00B016B3" w:rsidP="000F5FFB">
      <w:pPr>
        <w:ind w:left="720"/>
      </w:pPr>
      <w:r>
        <w:t>Evansville, IN  47715</w:t>
      </w:r>
    </w:p>
    <w:p w14:paraId="2C6318C6" w14:textId="77777777" w:rsidR="00A027BA" w:rsidRPr="00542969" w:rsidRDefault="00A027BA" w:rsidP="003907FF">
      <w:pPr>
        <w:ind w:left="720" w:hanging="720"/>
      </w:pPr>
    </w:p>
    <w:p w14:paraId="70BA3E24" w14:textId="77777777" w:rsidR="00F8635A" w:rsidRDefault="003907FF" w:rsidP="003907FF">
      <w:pPr>
        <w:ind w:left="720" w:hanging="720"/>
      </w:pPr>
      <w:r w:rsidRPr="00542969">
        <w:tab/>
      </w:r>
      <w:r w:rsidR="00FB59E1">
        <w:t xml:space="preserve">The Federal </w:t>
      </w:r>
      <w:r w:rsidR="00BC2775">
        <w:t>official</w:t>
      </w:r>
      <w:r w:rsidR="00BC2775" w:rsidRPr="00542969">
        <w:t xml:space="preserve"> agrees</w:t>
      </w:r>
      <w:r w:rsidR="00F8635A" w:rsidRPr="00542969">
        <w:t xml:space="preserve"> that the current information collection </w:t>
      </w:r>
      <w:r w:rsidR="00094980" w:rsidRPr="00542969">
        <w:t xml:space="preserve">requirements in 30 CFR </w:t>
      </w:r>
      <w:r w:rsidR="008A381D">
        <w:t>Part</w:t>
      </w:r>
      <w:r w:rsidR="00094980" w:rsidRPr="00542969">
        <w:t xml:space="preserve"> 773 for industry respondents </w:t>
      </w:r>
      <w:r w:rsidR="00BC2775" w:rsidRPr="00542969">
        <w:t>is</w:t>
      </w:r>
      <w:r w:rsidR="00F8635A" w:rsidRPr="00542969">
        <w:t xml:space="preserve"> not burdensome and neither are the reviews require</w:t>
      </w:r>
      <w:r w:rsidR="009F76D8" w:rsidRPr="00542969">
        <w:t xml:space="preserve">d by State respondents in this </w:t>
      </w:r>
      <w:r w:rsidR="008A381D">
        <w:t>Part</w:t>
      </w:r>
      <w:r w:rsidR="00F8635A" w:rsidRPr="00542969">
        <w:t>.  The industry official</w:t>
      </w:r>
      <w:r w:rsidR="005D6957">
        <w:t>s</w:t>
      </w:r>
      <w:r w:rsidR="00F8635A" w:rsidRPr="00542969">
        <w:t xml:space="preserve"> stated the </w:t>
      </w:r>
      <w:r w:rsidR="00237F30" w:rsidRPr="00542969">
        <w:t>information collection</w:t>
      </w:r>
      <w:r w:rsidR="00F8635A" w:rsidRPr="00542969">
        <w:t xml:space="preserve"> in 30 </w:t>
      </w:r>
      <w:smartTag w:uri="urn:schemas-microsoft-com:office:smarttags" w:element="stockticker">
        <w:r w:rsidR="00F8635A" w:rsidRPr="00542969">
          <w:t>CFR</w:t>
        </w:r>
      </w:smartTag>
      <w:r w:rsidR="00F8635A" w:rsidRPr="00542969">
        <w:t xml:space="preserve"> </w:t>
      </w:r>
      <w:r w:rsidR="008A381D">
        <w:t>Part</w:t>
      </w:r>
      <w:r w:rsidR="009F76D8" w:rsidRPr="00542969">
        <w:t xml:space="preserve"> </w:t>
      </w:r>
      <w:r w:rsidR="00F8635A" w:rsidRPr="00542969">
        <w:t xml:space="preserve">773 </w:t>
      </w:r>
      <w:r w:rsidR="00665D37" w:rsidRPr="00542969">
        <w:t>is</w:t>
      </w:r>
      <w:r w:rsidR="00F8635A" w:rsidRPr="00542969">
        <w:t xml:space="preserve"> not especially burdensome.</w:t>
      </w:r>
    </w:p>
    <w:p w14:paraId="33EEEB18" w14:textId="77777777" w:rsidR="00065164" w:rsidRDefault="00065164" w:rsidP="003907FF">
      <w:pPr>
        <w:ind w:left="720" w:hanging="720"/>
      </w:pPr>
    </w:p>
    <w:p w14:paraId="6FBDCB43" w14:textId="77777777" w:rsidR="00065164" w:rsidRDefault="00065164" w:rsidP="003907FF">
      <w:pPr>
        <w:ind w:left="720" w:hanging="720"/>
      </w:pPr>
      <w:r>
        <w:tab/>
        <w:t>These respondents provided burden estimates which were used in items 12 and 13 below.</w:t>
      </w:r>
    </w:p>
    <w:p w14:paraId="5F2BB77C" w14:textId="77777777" w:rsidR="00B161B7" w:rsidRDefault="00B161B7" w:rsidP="003907FF">
      <w:pPr>
        <w:ind w:left="720" w:hanging="720"/>
      </w:pPr>
    </w:p>
    <w:p w14:paraId="2B2AEA7D" w14:textId="17C5DF30" w:rsidR="00F669CB" w:rsidRPr="00D338BC" w:rsidRDefault="0011312F" w:rsidP="00F669CB">
      <w:pPr>
        <w:ind w:left="720"/>
      </w:pPr>
      <w:r w:rsidRPr="00E17D15">
        <w:t xml:space="preserve">On </w:t>
      </w:r>
      <w:r w:rsidR="000F5FFB">
        <w:t>September 5</w:t>
      </w:r>
      <w:r w:rsidR="00065164">
        <w:t>, 201</w:t>
      </w:r>
      <w:r w:rsidR="000F5FFB">
        <w:t>8</w:t>
      </w:r>
      <w:r w:rsidRPr="00E17D15">
        <w:t xml:space="preserve">, </w:t>
      </w:r>
      <w:r w:rsidR="00F3663D" w:rsidRPr="00E17D15">
        <w:t>OSMRE</w:t>
      </w:r>
      <w:r w:rsidRPr="00E17D15">
        <w:t xml:space="preserve"> published in the </w:t>
      </w:r>
      <w:r w:rsidRPr="00E17D15">
        <w:rPr>
          <w:u w:val="single"/>
        </w:rPr>
        <w:t>Federal</w:t>
      </w:r>
      <w:r w:rsidRPr="00E17D15">
        <w:t xml:space="preserve"> </w:t>
      </w:r>
      <w:r w:rsidRPr="00E17D15">
        <w:rPr>
          <w:u w:val="single"/>
        </w:rPr>
        <w:t>Register</w:t>
      </w:r>
      <w:r w:rsidRPr="00E17D15">
        <w:t xml:space="preserve"> (</w:t>
      </w:r>
      <w:r w:rsidR="00065164">
        <w:t>8</w:t>
      </w:r>
      <w:r w:rsidR="000F5FFB">
        <w:t>3</w:t>
      </w:r>
      <w:r w:rsidRPr="00E17D15">
        <w:t xml:space="preserve"> FR </w:t>
      </w:r>
      <w:r w:rsidR="000F5FFB">
        <w:t>45140</w:t>
      </w:r>
      <w:r w:rsidRPr="00E17D15">
        <w:t>)</w:t>
      </w:r>
      <w:r w:rsidR="00F669CB" w:rsidRPr="001B5367">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28727A1B" w14:textId="77777777" w:rsidR="00F669CB" w:rsidRPr="00D338BC" w:rsidRDefault="00F669CB" w:rsidP="00F669CB">
      <w:pPr>
        <w:ind w:left="720"/>
      </w:pPr>
    </w:p>
    <w:p w14:paraId="4AC3163B" w14:textId="266AB61C" w:rsidR="00F8635A" w:rsidRPr="00542969" w:rsidRDefault="003907FF" w:rsidP="003907FF">
      <w:r w:rsidRPr="00542969">
        <w:t>9.</w:t>
      </w:r>
      <w:r w:rsidRPr="00542969">
        <w:tab/>
      </w:r>
      <w:r w:rsidR="00F3663D">
        <w:t>OSMRE</w:t>
      </w:r>
      <w:r w:rsidR="00F8635A" w:rsidRPr="00542969">
        <w:t xml:space="preserve"> does not provide payments or gifts to respondents.</w:t>
      </w:r>
    </w:p>
    <w:p w14:paraId="3938A6A8" w14:textId="77777777" w:rsidR="00F8635A" w:rsidRPr="00542969" w:rsidRDefault="00F8635A" w:rsidP="003907FF">
      <w:pPr>
        <w:ind w:left="720" w:hanging="720"/>
      </w:pPr>
    </w:p>
    <w:p w14:paraId="4D5E50F9" w14:textId="77777777" w:rsidR="00F8635A" w:rsidRPr="00542969" w:rsidRDefault="003907FF" w:rsidP="003907FF">
      <w:pPr>
        <w:ind w:left="720" w:hanging="720"/>
      </w:pPr>
      <w:r w:rsidRPr="00542969">
        <w:t>10.</w:t>
      </w:r>
      <w:r w:rsidRPr="00542969">
        <w:tab/>
      </w:r>
      <w:r w:rsidR="00F8635A" w:rsidRPr="00542969">
        <w:t xml:space="preserve">No confidential information is solicited or required under the information collection requirements for </w:t>
      </w:r>
      <w:r w:rsidR="00F058E7">
        <w:t>this collection request</w:t>
      </w:r>
      <w:r w:rsidR="00F8635A" w:rsidRPr="00542969">
        <w:t xml:space="preserve">.  If an applicant identifies information in an application it wants to remain confidential, regulatory authorities rely upon the regulatory provisions at 30 </w:t>
      </w:r>
      <w:smartTag w:uri="urn:schemas-microsoft-com:office:smarttags" w:element="stockticker">
        <w:r w:rsidR="00F8635A" w:rsidRPr="00542969">
          <w:t>CFR</w:t>
        </w:r>
      </w:smartTag>
      <w:r w:rsidR="00F8635A" w:rsidRPr="00542969">
        <w:t xml:space="preserve"> 773.6(d) to ensure confidentiality of qualified information.  There are limitations to information that may qualify for confidentiality.</w:t>
      </w:r>
    </w:p>
    <w:p w14:paraId="36554769" w14:textId="77777777" w:rsidR="00F8635A" w:rsidRPr="00542969" w:rsidRDefault="00F8635A" w:rsidP="003907FF">
      <w:pPr>
        <w:ind w:left="720" w:hanging="720"/>
      </w:pPr>
    </w:p>
    <w:p w14:paraId="00A150A7" w14:textId="76AFA320" w:rsidR="00F8635A" w:rsidRPr="00542969" w:rsidRDefault="003907FF" w:rsidP="003907FF">
      <w:pPr>
        <w:ind w:left="720" w:hanging="720"/>
      </w:pPr>
      <w:r w:rsidRPr="00542969">
        <w:t>11.</w:t>
      </w:r>
      <w:r w:rsidRPr="00542969">
        <w:tab/>
      </w:r>
      <w:r w:rsidR="00F8635A" w:rsidRPr="00542969">
        <w:t>No sensitive information is solicited or required</w:t>
      </w:r>
      <w:r w:rsidRPr="00542969">
        <w:t xml:space="preserve"> for this </w:t>
      </w:r>
      <w:r w:rsidR="00F058E7">
        <w:t>collection</w:t>
      </w:r>
      <w:r w:rsidR="00F8635A" w:rsidRPr="00542969">
        <w:t>.</w:t>
      </w:r>
    </w:p>
    <w:p w14:paraId="479FD169" w14:textId="77777777" w:rsidR="00F8635A" w:rsidRPr="00542969" w:rsidRDefault="00F8635A" w:rsidP="003907FF">
      <w:pPr>
        <w:ind w:left="720" w:hanging="720"/>
      </w:pPr>
    </w:p>
    <w:p w14:paraId="59319292" w14:textId="4B11EB39" w:rsidR="00F8635A" w:rsidRPr="00542969" w:rsidRDefault="003907FF" w:rsidP="003907FF">
      <w:pPr>
        <w:ind w:left="720" w:hanging="720"/>
      </w:pPr>
      <w:r w:rsidRPr="00542969">
        <w:t>16.</w:t>
      </w:r>
      <w:r w:rsidRPr="00542969">
        <w:tab/>
      </w:r>
      <w:r w:rsidR="00F3663D">
        <w:t>OSMRE</w:t>
      </w:r>
      <w:r w:rsidR="00F8635A" w:rsidRPr="00542969">
        <w:t xml:space="preserve"> has no plans to publish the information collected under 30 </w:t>
      </w:r>
      <w:smartTag w:uri="urn:schemas-microsoft-com:office:smarttags" w:element="stockticker">
        <w:r w:rsidR="00F8635A" w:rsidRPr="00542969">
          <w:t>CFR</w:t>
        </w:r>
      </w:smartTag>
      <w:r w:rsidR="00F8635A" w:rsidRPr="00542969">
        <w:t xml:space="preserve"> </w:t>
      </w:r>
      <w:r w:rsidR="008A381D">
        <w:t>Part</w:t>
      </w:r>
      <w:r w:rsidR="00F8635A" w:rsidRPr="00542969">
        <w:t xml:space="preserve"> 773</w:t>
      </w:r>
      <w:r w:rsidR="00F058E7">
        <w:t xml:space="preserve"> or </w:t>
      </w:r>
      <w:r w:rsidR="00AC5232">
        <w:t>§§736.25</w:t>
      </w:r>
      <w:r w:rsidR="00AC5232" w:rsidRPr="00542969">
        <w:t xml:space="preserve"> </w:t>
      </w:r>
      <w:r w:rsidR="00AC5232">
        <w:t>and 750.25</w:t>
      </w:r>
      <w:r w:rsidR="00F8635A" w:rsidRPr="00542969">
        <w:t>.</w:t>
      </w:r>
    </w:p>
    <w:p w14:paraId="5DD0BFC8" w14:textId="77777777" w:rsidR="00F8635A" w:rsidRPr="00542969" w:rsidRDefault="00F8635A" w:rsidP="003907FF">
      <w:pPr>
        <w:ind w:left="720" w:hanging="720"/>
      </w:pPr>
    </w:p>
    <w:p w14:paraId="2C5A4635" w14:textId="39E3E90D" w:rsidR="00F8635A" w:rsidRPr="00542969" w:rsidRDefault="003907FF" w:rsidP="003907FF">
      <w:pPr>
        <w:ind w:left="720" w:hanging="720"/>
      </w:pPr>
      <w:r w:rsidRPr="00542969">
        <w:t>17.</w:t>
      </w:r>
      <w:r w:rsidRPr="00542969">
        <w:tab/>
      </w:r>
      <w:r w:rsidR="002410D3">
        <w:t>This collection is not a form which would allow for an expiration date to be included.</w:t>
      </w:r>
      <w:r w:rsidR="002410D3" w:rsidDel="002410D3">
        <w:t xml:space="preserve"> </w:t>
      </w:r>
      <w:r w:rsidR="002410D3">
        <w:t xml:space="preserve"> </w:t>
      </w:r>
      <w:r w:rsidR="00F8635A" w:rsidRPr="00542969">
        <w:t xml:space="preserve">The OMB control number is 1029-0115 and is found in </w:t>
      </w:r>
      <w:r w:rsidR="009D25F8">
        <w:t>§</w:t>
      </w:r>
      <w:r w:rsidR="00F8635A" w:rsidRPr="00542969">
        <w:t>773.3.</w:t>
      </w:r>
    </w:p>
    <w:p w14:paraId="1E441DF9" w14:textId="77777777" w:rsidR="00F8635A" w:rsidRPr="00542969" w:rsidRDefault="00F8635A" w:rsidP="003907FF">
      <w:pPr>
        <w:ind w:left="720" w:hanging="720"/>
      </w:pPr>
    </w:p>
    <w:p w14:paraId="363E8E35" w14:textId="77707B39" w:rsidR="00F8635A" w:rsidRPr="00542969" w:rsidRDefault="003907FF" w:rsidP="003907FF">
      <w:pPr>
        <w:ind w:left="720" w:hanging="720"/>
      </w:pPr>
      <w:r w:rsidRPr="00542969">
        <w:t>18.</w:t>
      </w:r>
      <w:r w:rsidRPr="00542969">
        <w:tab/>
      </w:r>
      <w:r w:rsidR="00F8635A" w:rsidRPr="00542969">
        <w:t>There are no exceptions to the certification statement.</w:t>
      </w:r>
    </w:p>
    <w:p w14:paraId="18E25C4D" w14:textId="77777777" w:rsidR="00F8635A" w:rsidRPr="00542969" w:rsidRDefault="00F8635A" w:rsidP="003907FF">
      <w:pPr>
        <w:ind w:left="720" w:hanging="720"/>
      </w:pPr>
    </w:p>
    <w:p w14:paraId="3EFBAFAB" w14:textId="77777777" w:rsidR="00F8635A" w:rsidRPr="009D25F8" w:rsidRDefault="00AF4F64" w:rsidP="00F8635A">
      <w:pPr>
        <w:jc w:val="center"/>
        <w:rPr>
          <w:sz w:val="28"/>
          <w:szCs w:val="28"/>
        </w:rPr>
      </w:pPr>
      <w:r w:rsidRPr="00542969">
        <w:rPr>
          <w:b/>
          <w:bCs/>
        </w:rPr>
        <w:br w:type="page"/>
      </w:r>
      <w:r w:rsidR="00FB59E1" w:rsidRPr="00542969">
        <w:rPr>
          <w:b/>
          <w:bCs/>
        </w:rPr>
        <w:t xml:space="preserve"> </w:t>
      </w:r>
      <w:r w:rsidR="00F8635A" w:rsidRPr="009D25F8">
        <w:rPr>
          <w:b/>
          <w:bCs/>
          <w:sz w:val="28"/>
          <w:szCs w:val="28"/>
        </w:rPr>
        <w:t>Section 773.6</w:t>
      </w:r>
      <w:r w:rsidR="008755CA">
        <w:rPr>
          <w:b/>
          <w:bCs/>
          <w:sz w:val="28"/>
          <w:szCs w:val="28"/>
        </w:rPr>
        <w:t xml:space="preserve"> – Public p</w:t>
      </w:r>
      <w:r w:rsidR="00D2456E" w:rsidRPr="009D25F8">
        <w:rPr>
          <w:b/>
          <w:bCs/>
          <w:sz w:val="28"/>
          <w:szCs w:val="28"/>
        </w:rPr>
        <w:t>articipation in permit processing</w:t>
      </w:r>
    </w:p>
    <w:p w14:paraId="588F07B7" w14:textId="77777777" w:rsidR="00F8635A" w:rsidRPr="00542969" w:rsidRDefault="00F8635A" w:rsidP="00F8635A"/>
    <w:p w14:paraId="0227D419" w14:textId="77777777" w:rsidR="00F8635A" w:rsidRPr="00542969" w:rsidRDefault="00F8635A" w:rsidP="00AF4F64">
      <w:pPr>
        <w:ind w:left="720" w:hanging="720"/>
        <w:rPr>
          <w:b/>
          <w:bCs/>
        </w:rPr>
      </w:pPr>
      <w:r w:rsidRPr="00542969">
        <w:rPr>
          <w:b/>
          <w:bCs/>
          <w:u w:val="single"/>
        </w:rPr>
        <w:t>Justification</w:t>
      </w:r>
    </w:p>
    <w:p w14:paraId="4D0063AD" w14:textId="77777777" w:rsidR="00F8635A" w:rsidRPr="00542969" w:rsidRDefault="00F8635A" w:rsidP="00AF4F64">
      <w:pPr>
        <w:ind w:left="720" w:hanging="720"/>
      </w:pPr>
    </w:p>
    <w:p w14:paraId="22FCBE37" w14:textId="77777777" w:rsidR="00F8635A" w:rsidRPr="00542969" w:rsidRDefault="00AF4F64" w:rsidP="00AF4F64">
      <w:pPr>
        <w:numPr>
          <w:ilvl w:val="0"/>
          <w:numId w:val="4"/>
        </w:numPr>
        <w:ind w:left="720" w:hanging="720"/>
      </w:pPr>
      <w:r w:rsidRPr="00542969">
        <w:tab/>
      </w:r>
      <w:r w:rsidR="00F8635A" w:rsidRPr="00542969">
        <w:t xml:space="preserve">Section 773.6 provides for public participation in permitting processes.  The legal authority for this section is found in sections 102(b) and 102(i), and section 507 of SMCRA.  The information </w:t>
      </w:r>
      <w:r w:rsidR="00CF6FA0" w:rsidRPr="00542969">
        <w:t>for</w:t>
      </w:r>
      <w:r w:rsidR="009D25F8">
        <w:t xml:space="preserve"> §</w:t>
      </w:r>
      <w:r w:rsidR="00F8635A" w:rsidRPr="00542969">
        <w:t xml:space="preserve">773.6 is required from applicants in order for the public to assess if there are adverse effects anticipated from </w:t>
      </w:r>
      <w:r w:rsidR="00341DC6" w:rsidRPr="00542969">
        <w:t>a</w:t>
      </w:r>
      <w:r w:rsidR="00F8635A" w:rsidRPr="00542969">
        <w:t xml:space="preserve"> proposed surface mining operation.</w:t>
      </w:r>
    </w:p>
    <w:p w14:paraId="551A10B5" w14:textId="77777777" w:rsidR="00F8635A" w:rsidRPr="00542969" w:rsidRDefault="00F8635A" w:rsidP="00AF4F64">
      <w:pPr>
        <w:ind w:left="720" w:hanging="720"/>
      </w:pPr>
    </w:p>
    <w:p w14:paraId="63FFC997" w14:textId="3CE062E8" w:rsidR="00B968AF" w:rsidRPr="00542969" w:rsidRDefault="00AF4F64" w:rsidP="00AF4F64">
      <w:pPr>
        <w:numPr>
          <w:ilvl w:val="0"/>
          <w:numId w:val="4"/>
        </w:numPr>
        <w:ind w:left="720" w:hanging="720"/>
      </w:pPr>
      <w:r w:rsidRPr="00542969">
        <w:tab/>
      </w:r>
      <w:r w:rsidR="00665D37" w:rsidRPr="00542969">
        <w:t xml:space="preserve">Respondents </w:t>
      </w:r>
      <w:r w:rsidR="00CF6FA0" w:rsidRPr="00542969">
        <w:t xml:space="preserve">of </w:t>
      </w:r>
      <w:r w:rsidR="00665D37" w:rsidRPr="00542969">
        <w:t xml:space="preserve">30 </w:t>
      </w:r>
      <w:smartTag w:uri="urn:schemas-microsoft-com:office:smarttags" w:element="stockticker">
        <w:r w:rsidR="00665D37" w:rsidRPr="00542969">
          <w:t>CFR</w:t>
        </w:r>
      </w:smartTag>
      <w:r w:rsidR="009F76D8" w:rsidRPr="00542969">
        <w:t xml:space="preserve"> </w:t>
      </w:r>
      <w:r w:rsidR="008A381D">
        <w:t>Part</w:t>
      </w:r>
      <w:r w:rsidR="00665D37" w:rsidRPr="00542969">
        <w:t xml:space="preserve"> 773 are applicants for </w:t>
      </w:r>
      <w:r w:rsidR="00B968AF" w:rsidRPr="00542969">
        <w:t xml:space="preserve">new </w:t>
      </w:r>
      <w:r w:rsidR="00665D37" w:rsidRPr="00542969">
        <w:t>surface coal mining permits</w:t>
      </w:r>
      <w:r w:rsidR="00B968AF" w:rsidRPr="00542969">
        <w:t xml:space="preserve">, significant permit revisions, permit renewals, </w:t>
      </w:r>
      <w:r w:rsidR="00665D37" w:rsidRPr="00542969">
        <w:t xml:space="preserve">and </w:t>
      </w:r>
      <w:r w:rsidR="002653EC">
        <w:t>SRAs</w:t>
      </w:r>
      <w:r w:rsidR="00665D37" w:rsidRPr="00542969">
        <w:t xml:space="preserve">.  </w:t>
      </w:r>
      <w:r w:rsidR="00B968AF" w:rsidRPr="00542969">
        <w:t xml:space="preserve">Applicants are required to </w:t>
      </w:r>
      <w:r w:rsidR="00F8635A" w:rsidRPr="00542969">
        <w:t>advertise</w:t>
      </w:r>
      <w:r w:rsidR="00B968AF" w:rsidRPr="00542969">
        <w:t xml:space="preserve"> their intent to mine in order to allow the public in the vicinity of the proposed mining to comment on such intent.  Applicants are also required to file a complete copy of an application for a new permit, a significant permit revision, </w:t>
      </w:r>
      <w:r w:rsidR="00341DC6" w:rsidRPr="00542969">
        <w:t>or</w:t>
      </w:r>
      <w:r w:rsidR="00B968AF" w:rsidRPr="00542969">
        <w:t xml:space="preserve"> a permit renewal at the </w:t>
      </w:r>
      <w:r w:rsidR="00237F30" w:rsidRPr="00542969">
        <w:t xml:space="preserve">county </w:t>
      </w:r>
      <w:r w:rsidR="00B968AF" w:rsidRPr="00542969">
        <w:t>court house where the mining is proposed to occur.</w:t>
      </w:r>
    </w:p>
    <w:p w14:paraId="66E59DE3" w14:textId="77777777" w:rsidR="00B968AF" w:rsidRPr="00542969" w:rsidRDefault="00B968AF" w:rsidP="00AF4F64">
      <w:pPr>
        <w:ind w:left="720" w:hanging="720"/>
      </w:pPr>
    </w:p>
    <w:p w14:paraId="11E70D39" w14:textId="2024E5C1" w:rsidR="0063779B" w:rsidRPr="00542969" w:rsidRDefault="00AF4F64" w:rsidP="00AF4F64">
      <w:pPr>
        <w:ind w:left="720" w:hanging="720"/>
      </w:pPr>
      <w:r w:rsidRPr="00542969">
        <w:tab/>
      </w:r>
      <w:r w:rsidR="000A4459">
        <w:t>SRA</w:t>
      </w:r>
      <w:r w:rsidR="00B968AF" w:rsidRPr="00542969">
        <w:t xml:space="preserve"> respondents are required to notify local governments</w:t>
      </w:r>
      <w:r w:rsidR="0063779B" w:rsidRPr="00542969">
        <w:t xml:space="preserve">, Federal and State agencies that an applicant intends to mine, the land to be mined, and the location where comments on the application may be submitted.  Section 773.6 also requires </w:t>
      </w:r>
      <w:r w:rsidR="002653EC">
        <w:t>SRAs</w:t>
      </w:r>
      <w:r w:rsidR="0063779B" w:rsidRPr="00542969">
        <w:t xml:space="preserve"> to file the written comments and any objections at the same public office w</w:t>
      </w:r>
      <w:r w:rsidR="00341DC6" w:rsidRPr="00542969">
        <w:t>here the application is filed.</w:t>
      </w:r>
    </w:p>
    <w:p w14:paraId="67F2EB91" w14:textId="77777777" w:rsidR="00F8635A" w:rsidRPr="00542969" w:rsidRDefault="00F8635A" w:rsidP="00AF4F64">
      <w:pPr>
        <w:ind w:left="720" w:hanging="720"/>
      </w:pPr>
    </w:p>
    <w:p w14:paraId="6D440BCA" w14:textId="77777777" w:rsidR="00F8635A" w:rsidRPr="00542969" w:rsidRDefault="00F8635A" w:rsidP="00AF4F64">
      <w:pPr>
        <w:ind w:left="720" w:hanging="720"/>
      </w:pPr>
      <w:r w:rsidRPr="00542969">
        <w:t xml:space="preserve">3.  </w:t>
      </w:r>
      <w:r w:rsidR="00AF4F64" w:rsidRPr="00542969">
        <w:tab/>
      </w:r>
      <w:r w:rsidRPr="00542969">
        <w:t>See Identical Responses to Statements.</w:t>
      </w:r>
    </w:p>
    <w:p w14:paraId="668536B9" w14:textId="77777777" w:rsidR="00F8635A" w:rsidRPr="00542969" w:rsidRDefault="00F8635A" w:rsidP="00AF4F64">
      <w:pPr>
        <w:ind w:left="720" w:hanging="720"/>
      </w:pPr>
    </w:p>
    <w:p w14:paraId="1F91383E" w14:textId="77777777" w:rsidR="00F8635A" w:rsidRPr="00542969" w:rsidRDefault="00F8635A" w:rsidP="00AF4F64">
      <w:pPr>
        <w:ind w:left="720" w:hanging="720"/>
      </w:pPr>
      <w:r w:rsidRPr="00542969">
        <w:t xml:space="preserve">4.  </w:t>
      </w:r>
      <w:r w:rsidR="00AF4F64" w:rsidRPr="00542969">
        <w:tab/>
      </w:r>
      <w:r w:rsidRPr="00542969">
        <w:t>See Identical Responses to Statements.</w:t>
      </w:r>
    </w:p>
    <w:p w14:paraId="21275E9E" w14:textId="77777777" w:rsidR="00F8635A" w:rsidRPr="00542969" w:rsidRDefault="00F8635A" w:rsidP="00AF4F64">
      <w:pPr>
        <w:ind w:left="720" w:hanging="720"/>
      </w:pPr>
    </w:p>
    <w:p w14:paraId="7E65A0CC" w14:textId="77777777" w:rsidR="00F8635A" w:rsidRPr="00542969" w:rsidRDefault="00F8635A" w:rsidP="00AF4F64">
      <w:pPr>
        <w:ind w:left="720" w:hanging="720"/>
      </w:pPr>
      <w:r w:rsidRPr="00542969">
        <w:t xml:space="preserve">5.  </w:t>
      </w:r>
      <w:r w:rsidR="00AF4F64" w:rsidRPr="00542969">
        <w:tab/>
      </w:r>
      <w:r w:rsidRPr="00542969">
        <w:t>See Identical Responses to Statements.</w:t>
      </w:r>
    </w:p>
    <w:p w14:paraId="1BD6A44D" w14:textId="77777777" w:rsidR="00F8635A" w:rsidRPr="00542969" w:rsidRDefault="00F8635A" w:rsidP="00AF4F64">
      <w:pPr>
        <w:ind w:left="720" w:hanging="720"/>
      </w:pPr>
    </w:p>
    <w:p w14:paraId="1469F0EC" w14:textId="77777777" w:rsidR="00F8635A" w:rsidRPr="00542969" w:rsidRDefault="00F8635A" w:rsidP="00AF4F64">
      <w:pPr>
        <w:ind w:left="720" w:hanging="720"/>
      </w:pPr>
      <w:r w:rsidRPr="00542969">
        <w:t xml:space="preserve">6.  </w:t>
      </w:r>
      <w:r w:rsidR="00AF4F64" w:rsidRPr="00542969">
        <w:tab/>
      </w:r>
      <w:r w:rsidRPr="00542969">
        <w:t>See Identical Responses to Statements.</w:t>
      </w:r>
    </w:p>
    <w:p w14:paraId="3F4C4422" w14:textId="77777777" w:rsidR="00F8635A" w:rsidRPr="00542969" w:rsidRDefault="00F8635A" w:rsidP="00AF4F64">
      <w:pPr>
        <w:ind w:left="720" w:hanging="720"/>
      </w:pPr>
    </w:p>
    <w:p w14:paraId="6BDEA13E" w14:textId="77777777" w:rsidR="00F8635A" w:rsidRPr="00542969" w:rsidRDefault="00F8635A" w:rsidP="00AF4F64">
      <w:pPr>
        <w:ind w:left="720" w:hanging="720"/>
      </w:pPr>
      <w:r w:rsidRPr="00542969">
        <w:t xml:space="preserve">7.  </w:t>
      </w:r>
      <w:r w:rsidR="00AF4F64" w:rsidRPr="00542969">
        <w:tab/>
      </w:r>
      <w:r w:rsidRPr="00542969">
        <w:t>See Identical Responses to Statements.</w:t>
      </w:r>
    </w:p>
    <w:p w14:paraId="56DCC002" w14:textId="77777777" w:rsidR="00F8635A" w:rsidRPr="00542969" w:rsidRDefault="00F8635A" w:rsidP="00AF4F64">
      <w:pPr>
        <w:ind w:left="720" w:hanging="720"/>
      </w:pPr>
    </w:p>
    <w:p w14:paraId="6DBEE98F" w14:textId="77777777" w:rsidR="00F8635A" w:rsidRPr="00542969" w:rsidRDefault="00F8635A" w:rsidP="00AF4F64">
      <w:pPr>
        <w:ind w:left="720" w:hanging="720"/>
      </w:pPr>
      <w:r w:rsidRPr="00542969">
        <w:t xml:space="preserve">8.  </w:t>
      </w:r>
      <w:r w:rsidR="00AF4F64" w:rsidRPr="00542969">
        <w:tab/>
      </w:r>
      <w:r w:rsidRPr="00542969">
        <w:t>See Identical Responses to Statements.</w:t>
      </w:r>
    </w:p>
    <w:p w14:paraId="5013152D" w14:textId="77777777" w:rsidR="00F8635A" w:rsidRPr="00542969" w:rsidRDefault="00F8635A" w:rsidP="00AF4F64">
      <w:pPr>
        <w:ind w:left="720" w:hanging="720"/>
      </w:pPr>
    </w:p>
    <w:p w14:paraId="07202D80" w14:textId="77777777" w:rsidR="00F8635A" w:rsidRPr="00542969" w:rsidRDefault="00F8635A" w:rsidP="00AF4F64">
      <w:pPr>
        <w:ind w:left="720" w:hanging="720"/>
      </w:pPr>
      <w:r w:rsidRPr="00542969">
        <w:t xml:space="preserve">9.  </w:t>
      </w:r>
      <w:r w:rsidR="00AF4F64" w:rsidRPr="00542969">
        <w:tab/>
      </w:r>
      <w:r w:rsidRPr="00542969">
        <w:t>See Identical Responses to Statements.</w:t>
      </w:r>
    </w:p>
    <w:p w14:paraId="787E4C48" w14:textId="77777777" w:rsidR="00F8635A" w:rsidRPr="00542969" w:rsidRDefault="00F8635A" w:rsidP="00AF4F64">
      <w:pPr>
        <w:ind w:left="720" w:hanging="720"/>
      </w:pPr>
    </w:p>
    <w:p w14:paraId="20415C9F" w14:textId="77777777" w:rsidR="00F8635A" w:rsidRPr="00542969" w:rsidRDefault="00F8635A" w:rsidP="00AF4F64">
      <w:pPr>
        <w:ind w:left="720" w:hanging="720"/>
      </w:pPr>
      <w:r w:rsidRPr="00542969">
        <w:t xml:space="preserve">10.  </w:t>
      </w:r>
      <w:r w:rsidR="00AF4F64" w:rsidRPr="00542969">
        <w:tab/>
      </w:r>
      <w:r w:rsidRPr="00542969">
        <w:t>See Identical Responses to Statements.</w:t>
      </w:r>
    </w:p>
    <w:p w14:paraId="068AF9FC" w14:textId="77777777" w:rsidR="00F8635A" w:rsidRPr="00542969" w:rsidRDefault="00F8635A" w:rsidP="00AF4F64">
      <w:pPr>
        <w:ind w:left="720" w:hanging="720"/>
      </w:pPr>
    </w:p>
    <w:p w14:paraId="1CA4F132" w14:textId="77777777" w:rsidR="00F8635A" w:rsidRPr="00542969" w:rsidRDefault="00F8635A" w:rsidP="00AF4F64">
      <w:pPr>
        <w:ind w:left="720" w:hanging="720"/>
      </w:pPr>
      <w:r w:rsidRPr="00542969">
        <w:t xml:space="preserve">11.  </w:t>
      </w:r>
      <w:r w:rsidR="00AF4F64" w:rsidRPr="00542969">
        <w:tab/>
      </w:r>
      <w:r w:rsidRPr="00542969">
        <w:t>See Identical Responses to Statements.</w:t>
      </w:r>
    </w:p>
    <w:p w14:paraId="7EC5CAED" w14:textId="77777777" w:rsidR="00F8635A" w:rsidRPr="00542969" w:rsidRDefault="00F8635A" w:rsidP="00AF4F64">
      <w:pPr>
        <w:ind w:left="720" w:hanging="720"/>
      </w:pPr>
    </w:p>
    <w:p w14:paraId="0506D60B" w14:textId="77777777" w:rsidR="00F8635A" w:rsidRPr="00542969" w:rsidRDefault="00F8635A" w:rsidP="00AF4F64">
      <w:pPr>
        <w:ind w:left="720" w:hanging="720"/>
      </w:pPr>
      <w:r w:rsidRPr="00542969">
        <w:t xml:space="preserve">12.  </w:t>
      </w:r>
      <w:r w:rsidR="00AF4F64" w:rsidRPr="00542969">
        <w:tab/>
      </w:r>
      <w:r w:rsidRPr="00542969">
        <w:rPr>
          <w:u w:val="single"/>
        </w:rPr>
        <w:t>Estimated Information Collection Burden</w:t>
      </w:r>
    </w:p>
    <w:p w14:paraId="724E25DB" w14:textId="77777777" w:rsidR="00F8635A" w:rsidRPr="00542969" w:rsidRDefault="00F8635A" w:rsidP="00AF4F64">
      <w:pPr>
        <w:ind w:left="720" w:hanging="720"/>
      </w:pPr>
      <w:r w:rsidRPr="00542969">
        <w:t xml:space="preserve">          </w:t>
      </w:r>
    </w:p>
    <w:p w14:paraId="3B0F35CD" w14:textId="77777777" w:rsidR="00F8635A" w:rsidRPr="00542969" w:rsidRDefault="00F8635A" w:rsidP="00AF4F64">
      <w:pPr>
        <w:ind w:left="720" w:hanging="720"/>
      </w:pPr>
      <w:r w:rsidRPr="00542969">
        <w:t xml:space="preserve"> </w:t>
      </w:r>
      <w:r w:rsidR="00044B26" w:rsidRPr="00542969">
        <w:tab/>
      </w:r>
      <w:r w:rsidRPr="00542969">
        <w:t xml:space="preserve">a.  </w:t>
      </w:r>
      <w:r w:rsidR="00AF4F64" w:rsidRPr="00542969">
        <w:tab/>
      </w:r>
      <w:r w:rsidRPr="00542969">
        <w:rPr>
          <w:u w:val="single"/>
        </w:rPr>
        <w:t>Burden Hour Estimates for Respondents</w:t>
      </w:r>
    </w:p>
    <w:p w14:paraId="518FBB09" w14:textId="77777777" w:rsidR="00F8635A" w:rsidRPr="00542969" w:rsidRDefault="00F8635A" w:rsidP="00AF4F64">
      <w:pPr>
        <w:ind w:left="720" w:hanging="720"/>
      </w:pPr>
    </w:p>
    <w:p w14:paraId="12071FA4" w14:textId="18DC159D" w:rsidR="00760D9D" w:rsidRPr="00542969" w:rsidRDefault="00AF4F64" w:rsidP="00AF4F64">
      <w:pPr>
        <w:pStyle w:val="BodyTextIndent"/>
        <w:ind w:left="720" w:hanging="720"/>
      </w:pPr>
      <w:r w:rsidRPr="00542969">
        <w:tab/>
      </w:r>
      <w:r w:rsidR="00F8635A" w:rsidRPr="00542969">
        <w:t xml:space="preserve">The total number of </w:t>
      </w:r>
      <w:r w:rsidR="00237F30" w:rsidRPr="00542969">
        <w:t xml:space="preserve">applications </w:t>
      </w:r>
      <w:r w:rsidR="00F52D6C" w:rsidRPr="00542969">
        <w:t xml:space="preserve">annually </w:t>
      </w:r>
      <w:r w:rsidR="00237F30" w:rsidRPr="00542969">
        <w:t xml:space="preserve">submitted </w:t>
      </w:r>
      <w:r w:rsidR="00B80D64">
        <w:t xml:space="preserve">for new permits, renewals, and significant revisions </w:t>
      </w:r>
      <w:r w:rsidR="00237F30" w:rsidRPr="00542969">
        <w:t>by industry respondents</w:t>
      </w:r>
      <w:r w:rsidR="00006798">
        <w:t>, for both surface and underground mines,</w:t>
      </w:r>
      <w:r w:rsidR="007579C9" w:rsidRPr="00542969">
        <w:t xml:space="preserve"> is estimated to be </w:t>
      </w:r>
      <w:r w:rsidR="009A0717">
        <w:t>927</w:t>
      </w:r>
      <w:r w:rsidR="00F8635A" w:rsidRPr="00542969">
        <w:t xml:space="preserve">.  The estimated number </w:t>
      </w:r>
      <w:r w:rsidR="00237F30" w:rsidRPr="00542969">
        <w:t>of applications</w:t>
      </w:r>
      <w:r w:rsidR="00F8635A" w:rsidRPr="00542969">
        <w:t xml:space="preserve"> is based upon data collected for the </w:t>
      </w:r>
      <w:r w:rsidR="00195542">
        <w:t>201</w:t>
      </w:r>
      <w:r w:rsidR="009A0717">
        <w:t>6-2018</w:t>
      </w:r>
      <w:r w:rsidR="00F8635A" w:rsidRPr="00542969">
        <w:t xml:space="preserve"> evaluation year</w:t>
      </w:r>
      <w:r w:rsidR="009A0717">
        <w:t>s</w:t>
      </w:r>
      <w:r w:rsidR="00341DC6" w:rsidRPr="00542969">
        <w:t xml:space="preserve"> and rep</w:t>
      </w:r>
      <w:r w:rsidR="006C08AB" w:rsidRPr="00542969">
        <w:t xml:space="preserve">resents </w:t>
      </w:r>
      <w:r w:rsidR="00006798">
        <w:t xml:space="preserve">a </w:t>
      </w:r>
      <w:r w:rsidR="002E65DC">
        <w:t xml:space="preserve">small </w:t>
      </w:r>
      <w:r w:rsidR="009A0717">
        <w:t>de</w:t>
      </w:r>
      <w:r w:rsidR="007579C9" w:rsidRPr="00542969">
        <w:t xml:space="preserve">crease </w:t>
      </w:r>
      <w:r w:rsidR="00B53213" w:rsidRPr="00542969">
        <w:t>fr</w:t>
      </w:r>
      <w:r w:rsidR="00341DC6" w:rsidRPr="00542969">
        <w:t>o</w:t>
      </w:r>
      <w:r w:rsidR="00B53213" w:rsidRPr="00542969">
        <w:t>m</w:t>
      </w:r>
      <w:r w:rsidR="00237F30" w:rsidRPr="00542969">
        <w:t xml:space="preserve"> our previous </w:t>
      </w:r>
      <w:r w:rsidR="00341DC6" w:rsidRPr="00542969">
        <w:t>request</w:t>
      </w:r>
      <w:r w:rsidR="00B80D64">
        <w:t>.</w:t>
      </w:r>
      <w:r w:rsidR="002E65DC">
        <w:t xml:space="preserve">  </w:t>
      </w:r>
      <w:r w:rsidR="007A1DF6" w:rsidRPr="00542969">
        <w:t xml:space="preserve">The following table shows the estimated burden hours for industry and </w:t>
      </w:r>
      <w:r w:rsidR="000A4459">
        <w:t>SRA</w:t>
      </w:r>
      <w:r w:rsidR="007A1DF6" w:rsidRPr="00542969">
        <w:t xml:space="preserve"> respondents under </w:t>
      </w:r>
      <w:r w:rsidR="009D25F8">
        <w:t>§</w:t>
      </w:r>
      <w:r w:rsidR="007A1DF6" w:rsidRPr="00542969">
        <w:t xml:space="preserve">773.6.  </w:t>
      </w:r>
      <w:r w:rsidR="00F8635A" w:rsidRPr="00542969">
        <w:t>Some calculations have been rounded.</w:t>
      </w:r>
    </w:p>
    <w:p w14:paraId="3655821D" w14:textId="77777777" w:rsidR="00F8635A" w:rsidRPr="00542969" w:rsidRDefault="00F8635A" w:rsidP="00F8635A">
      <w:pPr>
        <w:pStyle w:val="BodyTextIndent"/>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230"/>
        <w:gridCol w:w="1230"/>
        <w:gridCol w:w="1163"/>
        <w:gridCol w:w="1136"/>
        <w:gridCol w:w="1370"/>
      </w:tblGrid>
      <w:tr w:rsidR="00C55399" w:rsidRPr="00542969" w14:paraId="5B2BBFD2" w14:textId="77777777" w:rsidTr="006555D4">
        <w:tc>
          <w:tcPr>
            <w:tcW w:w="2100" w:type="dxa"/>
            <w:tcBorders>
              <w:top w:val="double" w:sz="4" w:space="0" w:color="auto"/>
              <w:left w:val="double" w:sz="4" w:space="0" w:color="auto"/>
              <w:bottom w:val="double" w:sz="4" w:space="0" w:color="auto"/>
            </w:tcBorders>
          </w:tcPr>
          <w:p w14:paraId="096D5A78" w14:textId="77777777" w:rsidR="00A646E4" w:rsidRPr="00542969" w:rsidRDefault="00A646E4" w:rsidP="00F8635A"/>
          <w:p w14:paraId="43346F75" w14:textId="77777777" w:rsidR="00594063" w:rsidRPr="00542969" w:rsidRDefault="00594063" w:rsidP="00F8635A">
            <w:pPr>
              <w:jc w:val="center"/>
            </w:pPr>
          </w:p>
          <w:p w14:paraId="4DA4A861" w14:textId="77777777" w:rsidR="00A646E4" w:rsidRPr="00542969" w:rsidRDefault="00594063" w:rsidP="00F8635A">
            <w:pPr>
              <w:jc w:val="center"/>
            </w:pPr>
            <w:r w:rsidRPr="00542969">
              <w:t>S</w:t>
            </w:r>
            <w:r w:rsidR="00A646E4" w:rsidRPr="00542969">
              <w:t>ection</w:t>
            </w:r>
          </w:p>
          <w:p w14:paraId="40DC7904" w14:textId="77777777" w:rsidR="00A646E4" w:rsidRPr="00542969" w:rsidRDefault="00A646E4" w:rsidP="00F8635A"/>
        </w:tc>
        <w:tc>
          <w:tcPr>
            <w:tcW w:w="1114" w:type="dxa"/>
            <w:tcBorders>
              <w:top w:val="double" w:sz="4" w:space="0" w:color="auto"/>
              <w:bottom w:val="double" w:sz="4" w:space="0" w:color="auto"/>
            </w:tcBorders>
          </w:tcPr>
          <w:p w14:paraId="651B57E2" w14:textId="77777777" w:rsidR="00C55399" w:rsidRPr="00542969" w:rsidRDefault="00C55399" w:rsidP="00F8635A"/>
          <w:p w14:paraId="6507533D" w14:textId="77777777" w:rsidR="00A646E4" w:rsidRPr="00542969" w:rsidRDefault="00C55399" w:rsidP="00F8635A">
            <w:r w:rsidRPr="00542969">
              <w:t>Applicant</w:t>
            </w:r>
          </w:p>
          <w:p w14:paraId="651138B4" w14:textId="77777777" w:rsidR="00C55399" w:rsidRPr="00542969" w:rsidRDefault="00C55399" w:rsidP="00F8635A">
            <w:r w:rsidRPr="00542969">
              <w:t>Responses</w:t>
            </w:r>
          </w:p>
        </w:tc>
        <w:tc>
          <w:tcPr>
            <w:tcW w:w="1114" w:type="dxa"/>
            <w:tcBorders>
              <w:top w:val="double" w:sz="4" w:space="0" w:color="auto"/>
              <w:bottom w:val="double" w:sz="4" w:space="0" w:color="auto"/>
            </w:tcBorders>
          </w:tcPr>
          <w:p w14:paraId="60B940A8" w14:textId="77777777" w:rsidR="00C55399" w:rsidRPr="00542969" w:rsidRDefault="00C55399" w:rsidP="00F8635A">
            <w:pPr>
              <w:jc w:val="center"/>
            </w:pPr>
          </w:p>
          <w:p w14:paraId="3DF2631E" w14:textId="77777777" w:rsidR="00A646E4" w:rsidRPr="00542969" w:rsidRDefault="00C55399" w:rsidP="00F8635A">
            <w:pPr>
              <w:jc w:val="center"/>
            </w:pPr>
            <w:r w:rsidRPr="00542969">
              <w:t>State</w:t>
            </w:r>
          </w:p>
          <w:p w14:paraId="16D159EE" w14:textId="77777777" w:rsidR="00C55399" w:rsidRPr="00542969" w:rsidRDefault="00C55399" w:rsidP="00F8635A">
            <w:pPr>
              <w:jc w:val="center"/>
            </w:pPr>
            <w:r w:rsidRPr="00542969">
              <w:t>Responses</w:t>
            </w:r>
          </w:p>
        </w:tc>
        <w:tc>
          <w:tcPr>
            <w:tcW w:w="1111" w:type="dxa"/>
            <w:tcBorders>
              <w:top w:val="double" w:sz="4" w:space="0" w:color="auto"/>
              <w:bottom w:val="double" w:sz="4" w:space="0" w:color="auto"/>
            </w:tcBorders>
            <w:shd w:val="clear" w:color="auto" w:fill="auto"/>
          </w:tcPr>
          <w:p w14:paraId="7873C5BE" w14:textId="77777777" w:rsidR="00A646E4" w:rsidRPr="00542969" w:rsidRDefault="00C55399" w:rsidP="003F56A6">
            <w:pPr>
              <w:jc w:val="center"/>
            </w:pPr>
            <w:r w:rsidRPr="00542969">
              <w:t>Applicant</w:t>
            </w:r>
          </w:p>
          <w:p w14:paraId="0C75F267" w14:textId="77777777" w:rsidR="00C55399" w:rsidRPr="00542969" w:rsidRDefault="00C55399" w:rsidP="00715C6F">
            <w:pPr>
              <w:jc w:val="center"/>
            </w:pPr>
            <w:r w:rsidRPr="00542969">
              <w:t>Hours</w:t>
            </w:r>
            <w:r w:rsidR="00715C6F" w:rsidRPr="00542969">
              <w:t xml:space="preserve"> </w:t>
            </w:r>
            <w:r w:rsidRPr="00542969">
              <w:t>per Response</w:t>
            </w:r>
          </w:p>
        </w:tc>
        <w:tc>
          <w:tcPr>
            <w:tcW w:w="1111" w:type="dxa"/>
            <w:tcBorders>
              <w:top w:val="double" w:sz="4" w:space="0" w:color="auto"/>
              <w:bottom w:val="double" w:sz="4" w:space="0" w:color="auto"/>
            </w:tcBorders>
            <w:shd w:val="clear" w:color="auto" w:fill="auto"/>
          </w:tcPr>
          <w:p w14:paraId="23E10DF2" w14:textId="77777777" w:rsidR="00A646E4" w:rsidRPr="00542969" w:rsidRDefault="00594063" w:rsidP="003F56A6">
            <w:pPr>
              <w:jc w:val="center"/>
            </w:pPr>
            <w:r w:rsidRPr="00542969">
              <w:t>State H</w:t>
            </w:r>
            <w:r w:rsidR="00C55399" w:rsidRPr="00542969">
              <w:t>ours per Response</w:t>
            </w:r>
          </w:p>
        </w:tc>
        <w:tc>
          <w:tcPr>
            <w:tcW w:w="1370" w:type="dxa"/>
            <w:tcBorders>
              <w:top w:val="double" w:sz="4" w:space="0" w:color="auto"/>
              <w:bottom w:val="double" w:sz="4" w:space="0" w:color="auto"/>
              <w:right w:val="double" w:sz="4" w:space="0" w:color="auto"/>
            </w:tcBorders>
          </w:tcPr>
          <w:p w14:paraId="0BE0BD0E" w14:textId="77777777" w:rsidR="00A646E4" w:rsidRPr="00542969" w:rsidRDefault="00A646E4" w:rsidP="00F8635A"/>
          <w:p w14:paraId="47C18825" w14:textId="77777777" w:rsidR="005B61A2" w:rsidRPr="00542969" w:rsidRDefault="005B61A2" w:rsidP="00F8635A"/>
          <w:p w14:paraId="6690C6E9" w14:textId="77777777" w:rsidR="00A646E4" w:rsidRPr="00542969" w:rsidRDefault="00A646E4" w:rsidP="00A646E4">
            <w:pPr>
              <w:jc w:val="center"/>
            </w:pPr>
            <w:r w:rsidRPr="00542969">
              <w:t>Total Hours</w:t>
            </w:r>
            <w:r w:rsidR="00C41D50">
              <w:t xml:space="preserve"> (rounded)</w:t>
            </w:r>
          </w:p>
        </w:tc>
      </w:tr>
      <w:tr w:rsidR="00C55399" w:rsidRPr="00542969" w14:paraId="10623C23" w14:textId="77777777" w:rsidTr="00CF6FA0">
        <w:trPr>
          <w:trHeight w:val="432"/>
        </w:trPr>
        <w:tc>
          <w:tcPr>
            <w:tcW w:w="2100" w:type="dxa"/>
            <w:tcBorders>
              <w:top w:val="double" w:sz="4" w:space="0" w:color="auto"/>
              <w:left w:val="double" w:sz="4" w:space="0" w:color="auto"/>
            </w:tcBorders>
            <w:vAlign w:val="center"/>
          </w:tcPr>
          <w:p w14:paraId="386AB9B3" w14:textId="77777777" w:rsidR="00A646E4" w:rsidRPr="00542969" w:rsidRDefault="00A646E4" w:rsidP="00CF6FA0">
            <w:pPr>
              <w:jc w:val="center"/>
            </w:pPr>
            <w:r w:rsidRPr="00542969">
              <w:t>773.6(a)(1)</w:t>
            </w:r>
          </w:p>
        </w:tc>
        <w:tc>
          <w:tcPr>
            <w:tcW w:w="1114" w:type="dxa"/>
            <w:tcBorders>
              <w:top w:val="double" w:sz="4" w:space="0" w:color="auto"/>
            </w:tcBorders>
            <w:shd w:val="clear" w:color="auto" w:fill="auto"/>
            <w:vAlign w:val="center"/>
          </w:tcPr>
          <w:p w14:paraId="7162DCC5" w14:textId="268FDC6B" w:rsidR="00A646E4" w:rsidRPr="00542969" w:rsidRDefault="0081248B" w:rsidP="0024371B">
            <w:pPr>
              <w:jc w:val="center"/>
            </w:pPr>
            <w:r>
              <w:t>927</w:t>
            </w:r>
          </w:p>
        </w:tc>
        <w:tc>
          <w:tcPr>
            <w:tcW w:w="1114" w:type="dxa"/>
            <w:tcBorders>
              <w:top w:val="double" w:sz="4" w:space="0" w:color="auto"/>
            </w:tcBorders>
            <w:shd w:val="clear" w:color="auto" w:fill="auto"/>
            <w:vAlign w:val="center"/>
          </w:tcPr>
          <w:p w14:paraId="78BC5C1C" w14:textId="7807CCC2" w:rsidR="00A646E4" w:rsidRPr="00542969" w:rsidRDefault="008F211C" w:rsidP="00CF6FA0">
            <w:pPr>
              <w:jc w:val="center"/>
            </w:pPr>
            <w:r>
              <w:t>0</w:t>
            </w:r>
          </w:p>
        </w:tc>
        <w:tc>
          <w:tcPr>
            <w:tcW w:w="1111" w:type="dxa"/>
            <w:tcBorders>
              <w:top w:val="double" w:sz="4" w:space="0" w:color="auto"/>
            </w:tcBorders>
            <w:shd w:val="clear" w:color="auto" w:fill="auto"/>
            <w:vAlign w:val="center"/>
          </w:tcPr>
          <w:p w14:paraId="6D26A9C3" w14:textId="5E473126" w:rsidR="00A646E4" w:rsidRPr="00542969" w:rsidRDefault="0034254D" w:rsidP="00C41D50">
            <w:pPr>
              <w:jc w:val="center"/>
            </w:pPr>
            <w:r>
              <w:t>1</w:t>
            </w:r>
          </w:p>
        </w:tc>
        <w:tc>
          <w:tcPr>
            <w:tcW w:w="1111" w:type="dxa"/>
            <w:tcBorders>
              <w:top w:val="double" w:sz="4" w:space="0" w:color="auto"/>
            </w:tcBorders>
            <w:shd w:val="clear" w:color="auto" w:fill="auto"/>
            <w:vAlign w:val="center"/>
          </w:tcPr>
          <w:p w14:paraId="7F4B86F6" w14:textId="6C35769D" w:rsidR="00A646E4" w:rsidRPr="00542969" w:rsidRDefault="008F211C" w:rsidP="00CF6FA0">
            <w:pPr>
              <w:jc w:val="center"/>
            </w:pPr>
            <w:r>
              <w:t>0</w:t>
            </w:r>
          </w:p>
        </w:tc>
        <w:tc>
          <w:tcPr>
            <w:tcW w:w="1370" w:type="dxa"/>
            <w:tcBorders>
              <w:top w:val="double" w:sz="4" w:space="0" w:color="auto"/>
              <w:right w:val="double" w:sz="4" w:space="0" w:color="auto"/>
            </w:tcBorders>
            <w:vAlign w:val="center"/>
          </w:tcPr>
          <w:p w14:paraId="0F858594" w14:textId="5A144FE2" w:rsidR="00A646E4" w:rsidRPr="00542969" w:rsidRDefault="003F5C75" w:rsidP="00C41D50">
            <w:pPr>
              <w:jc w:val="center"/>
            </w:pPr>
            <w:r>
              <w:t>927</w:t>
            </w:r>
          </w:p>
        </w:tc>
      </w:tr>
      <w:tr w:rsidR="00C55399" w:rsidRPr="00542969" w14:paraId="40949857" w14:textId="77777777" w:rsidTr="00CF6FA0">
        <w:trPr>
          <w:trHeight w:val="432"/>
        </w:trPr>
        <w:tc>
          <w:tcPr>
            <w:tcW w:w="2100" w:type="dxa"/>
            <w:tcBorders>
              <w:left w:val="double" w:sz="4" w:space="0" w:color="auto"/>
            </w:tcBorders>
            <w:vAlign w:val="center"/>
          </w:tcPr>
          <w:p w14:paraId="23A9B520" w14:textId="77777777" w:rsidR="00A646E4" w:rsidRPr="00542969" w:rsidRDefault="00A646E4" w:rsidP="00CF6FA0">
            <w:pPr>
              <w:jc w:val="center"/>
            </w:pPr>
            <w:r w:rsidRPr="00542969">
              <w:t>773.6(a)(2)</w:t>
            </w:r>
          </w:p>
        </w:tc>
        <w:tc>
          <w:tcPr>
            <w:tcW w:w="1114" w:type="dxa"/>
            <w:shd w:val="clear" w:color="auto" w:fill="auto"/>
            <w:vAlign w:val="center"/>
          </w:tcPr>
          <w:p w14:paraId="40965F1F" w14:textId="58496BD7" w:rsidR="00A646E4" w:rsidRPr="00542969" w:rsidRDefault="0081248B" w:rsidP="0024371B">
            <w:pPr>
              <w:jc w:val="center"/>
            </w:pPr>
            <w:r>
              <w:t>927</w:t>
            </w:r>
          </w:p>
        </w:tc>
        <w:tc>
          <w:tcPr>
            <w:tcW w:w="1114" w:type="dxa"/>
            <w:shd w:val="clear" w:color="auto" w:fill="auto"/>
            <w:vAlign w:val="center"/>
          </w:tcPr>
          <w:p w14:paraId="63CC0193" w14:textId="13BAEFAC" w:rsidR="00A646E4" w:rsidRPr="00542969" w:rsidRDefault="008F211C" w:rsidP="00CF6FA0">
            <w:pPr>
              <w:jc w:val="center"/>
            </w:pPr>
            <w:r>
              <w:t>0</w:t>
            </w:r>
          </w:p>
        </w:tc>
        <w:tc>
          <w:tcPr>
            <w:tcW w:w="1111" w:type="dxa"/>
            <w:shd w:val="clear" w:color="auto" w:fill="auto"/>
            <w:vAlign w:val="center"/>
          </w:tcPr>
          <w:p w14:paraId="24655206" w14:textId="035F5CBF" w:rsidR="00A646E4" w:rsidRPr="00542969" w:rsidRDefault="003F5C75" w:rsidP="0055686C">
            <w:pPr>
              <w:jc w:val="center"/>
            </w:pPr>
            <w:r>
              <w:t>2</w:t>
            </w:r>
          </w:p>
        </w:tc>
        <w:tc>
          <w:tcPr>
            <w:tcW w:w="1111" w:type="dxa"/>
            <w:shd w:val="clear" w:color="auto" w:fill="auto"/>
            <w:vAlign w:val="center"/>
          </w:tcPr>
          <w:p w14:paraId="5E08800D" w14:textId="7C75ACE0" w:rsidR="00A646E4" w:rsidRPr="00542969" w:rsidRDefault="008F211C" w:rsidP="00CF6FA0">
            <w:pPr>
              <w:jc w:val="center"/>
            </w:pPr>
            <w:r>
              <w:t>0</w:t>
            </w:r>
          </w:p>
        </w:tc>
        <w:tc>
          <w:tcPr>
            <w:tcW w:w="1370" w:type="dxa"/>
            <w:tcBorders>
              <w:right w:val="double" w:sz="4" w:space="0" w:color="auto"/>
            </w:tcBorders>
            <w:vAlign w:val="center"/>
          </w:tcPr>
          <w:p w14:paraId="072564B1" w14:textId="497614FF" w:rsidR="00A646E4" w:rsidRPr="00542969" w:rsidRDefault="003F5C75" w:rsidP="00C41D50">
            <w:pPr>
              <w:jc w:val="center"/>
            </w:pPr>
            <w:r>
              <w:t>1,854</w:t>
            </w:r>
          </w:p>
        </w:tc>
      </w:tr>
      <w:tr w:rsidR="00C55399" w:rsidRPr="00542969" w14:paraId="180275E4" w14:textId="77777777" w:rsidTr="00CF6FA0">
        <w:trPr>
          <w:trHeight w:val="432"/>
        </w:trPr>
        <w:tc>
          <w:tcPr>
            <w:tcW w:w="2100" w:type="dxa"/>
            <w:tcBorders>
              <w:left w:val="double" w:sz="4" w:space="0" w:color="auto"/>
            </w:tcBorders>
            <w:vAlign w:val="center"/>
          </w:tcPr>
          <w:p w14:paraId="1FA52ABB" w14:textId="77777777" w:rsidR="00A646E4" w:rsidRPr="00542969" w:rsidRDefault="00A646E4" w:rsidP="00CF6FA0">
            <w:pPr>
              <w:jc w:val="center"/>
            </w:pPr>
            <w:r w:rsidRPr="00542969">
              <w:t>773.6(a)(3)</w:t>
            </w:r>
          </w:p>
        </w:tc>
        <w:tc>
          <w:tcPr>
            <w:tcW w:w="1114" w:type="dxa"/>
            <w:shd w:val="clear" w:color="auto" w:fill="auto"/>
            <w:vAlign w:val="center"/>
          </w:tcPr>
          <w:p w14:paraId="1E651BB5" w14:textId="52104BC9" w:rsidR="00A646E4" w:rsidRPr="00542969" w:rsidRDefault="008F211C" w:rsidP="00CF6FA0">
            <w:pPr>
              <w:jc w:val="center"/>
            </w:pPr>
            <w:r>
              <w:t>0</w:t>
            </w:r>
          </w:p>
        </w:tc>
        <w:tc>
          <w:tcPr>
            <w:tcW w:w="1114" w:type="dxa"/>
            <w:shd w:val="clear" w:color="auto" w:fill="auto"/>
            <w:vAlign w:val="center"/>
          </w:tcPr>
          <w:p w14:paraId="27E4A514" w14:textId="56382CFE" w:rsidR="00A646E4" w:rsidRPr="00542969" w:rsidRDefault="0081248B" w:rsidP="0024371B">
            <w:pPr>
              <w:jc w:val="center"/>
            </w:pPr>
            <w:r>
              <w:t>920</w:t>
            </w:r>
          </w:p>
        </w:tc>
        <w:tc>
          <w:tcPr>
            <w:tcW w:w="1111" w:type="dxa"/>
            <w:shd w:val="clear" w:color="auto" w:fill="auto"/>
            <w:vAlign w:val="center"/>
          </w:tcPr>
          <w:p w14:paraId="099DBE32" w14:textId="4422F759" w:rsidR="00A646E4" w:rsidRPr="00542969" w:rsidRDefault="008F211C" w:rsidP="00CF6FA0">
            <w:pPr>
              <w:jc w:val="center"/>
            </w:pPr>
            <w:r>
              <w:t>0</w:t>
            </w:r>
          </w:p>
        </w:tc>
        <w:tc>
          <w:tcPr>
            <w:tcW w:w="1111" w:type="dxa"/>
            <w:shd w:val="clear" w:color="auto" w:fill="auto"/>
            <w:vAlign w:val="center"/>
          </w:tcPr>
          <w:p w14:paraId="0396340C" w14:textId="0C77DA77" w:rsidR="00A646E4" w:rsidRPr="00542969" w:rsidRDefault="006C74C5" w:rsidP="00C41D50">
            <w:pPr>
              <w:jc w:val="center"/>
            </w:pPr>
            <w:r>
              <w:t>.75</w:t>
            </w:r>
          </w:p>
        </w:tc>
        <w:tc>
          <w:tcPr>
            <w:tcW w:w="1370" w:type="dxa"/>
            <w:tcBorders>
              <w:right w:val="double" w:sz="4" w:space="0" w:color="auto"/>
            </w:tcBorders>
            <w:vAlign w:val="center"/>
          </w:tcPr>
          <w:p w14:paraId="34576675" w14:textId="6D04C57E" w:rsidR="00A646E4" w:rsidRPr="00542969" w:rsidRDefault="006C74C5" w:rsidP="00C41D50">
            <w:pPr>
              <w:jc w:val="center"/>
            </w:pPr>
            <w:r>
              <w:t>690</w:t>
            </w:r>
          </w:p>
        </w:tc>
      </w:tr>
      <w:tr w:rsidR="00C55399" w:rsidRPr="00542969" w14:paraId="095688F0" w14:textId="77777777" w:rsidTr="00CF6FA0">
        <w:trPr>
          <w:trHeight w:val="432"/>
        </w:trPr>
        <w:tc>
          <w:tcPr>
            <w:tcW w:w="2100" w:type="dxa"/>
            <w:tcBorders>
              <w:left w:val="double" w:sz="4" w:space="0" w:color="auto"/>
              <w:bottom w:val="single" w:sz="4" w:space="0" w:color="auto"/>
            </w:tcBorders>
            <w:vAlign w:val="center"/>
          </w:tcPr>
          <w:p w14:paraId="31716812" w14:textId="77777777" w:rsidR="00A646E4" w:rsidRPr="00542969" w:rsidRDefault="00A646E4" w:rsidP="00CF6FA0">
            <w:pPr>
              <w:jc w:val="center"/>
            </w:pPr>
            <w:r w:rsidRPr="00542969">
              <w:t>773.6(b)(3)(ii)</w:t>
            </w:r>
          </w:p>
        </w:tc>
        <w:tc>
          <w:tcPr>
            <w:tcW w:w="1114" w:type="dxa"/>
            <w:tcBorders>
              <w:bottom w:val="single" w:sz="4" w:space="0" w:color="auto"/>
            </w:tcBorders>
            <w:shd w:val="clear" w:color="auto" w:fill="auto"/>
            <w:vAlign w:val="center"/>
          </w:tcPr>
          <w:p w14:paraId="66B255E0" w14:textId="6B1970CD" w:rsidR="00A646E4" w:rsidRPr="00542969" w:rsidRDefault="008F211C" w:rsidP="00CF6FA0">
            <w:pPr>
              <w:jc w:val="center"/>
            </w:pPr>
            <w:r>
              <w:t>0</w:t>
            </w:r>
          </w:p>
        </w:tc>
        <w:tc>
          <w:tcPr>
            <w:tcW w:w="1114" w:type="dxa"/>
            <w:tcBorders>
              <w:bottom w:val="single" w:sz="4" w:space="0" w:color="auto"/>
            </w:tcBorders>
            <w:shd w:val="clear" w:color="auto" w:fill="auto"/>
            <w:vAlign w:val="center"/>
          </w:tcPr>
          <w:p w14:paraId="62955C52" w14:textId="4A095664" w:rsidR="00A646E4" w:rsidRPr="00542969" w:rsidRDefault="0081248B" w:rsidP="0024371B">
            <w:pPr>
              <w:jc w:val="center"/>
            </w:pPr>
            <w:r>
              <w:t>920</w:t>
            </w:r>
          </w:p>
        </w:tc>
        <w:tc>
          <w:tcPr>
            <w:tcW w:w="1111" w:type="dxa"/>
            <w:tcBorders>
              <w:bottom w:val="single" w:sz="4" w:space="0" w:color="auto"/>
            </w:tcBorders>
            <w:shd w:val="clear" w:color="auto" w:fill="auto"/>
            <w:vAlign w:val="center"/>
          </w:tcPr>
          <w:p w14:paraId="1703AFDA" w14:textId="63442626" w:rsidR="00A646E4" w:rsidRPr="00542969" w:rsidRDefault="008F211C" w:rsidP="00CF6FA0">
            <w:pPr>
              <w:jc w:val="center"/>
            </w:pPr>
            <w:r>
              <w:t>0</w:t>
            </w:r>
          </w:p>
        </w:tc>
        <w:tc>
          <w:tcPr>
            <w:tcW w:w="1111" w:type="dxa"/>
            <w:tcBorders>
              <w:bottom w:val="single" w:sz="4" w:space="0" w:color="auto"/>
            </w:tcBorders>
            <w:shd w:val="clear" w:color="auto" w:fill="auto"/>
            <w:vAlign w:val="center"/>
          </w:tcPr>
          <w:p w14:paraId="037DED8E" w14:textId="48786841" w:rsidR="00A646E4" w:rsidRPr="00542969" w:rsidRDefault="006C74C5" w:rsidP="008F7E85">
            <w:pPr>
              <w:jc w:val="center"/>
            </w:pPr>
            <w:r>
              <w:t>1</w:t>
            </w:r>
          </w:p>
        </w:tc>
        <w:tc>
          <w:tcPr>
            <w:tcW w:w="1370" w:type="dxa"/>
            <w:tcBorders>
              <w:bottom w:val="single" w:sz="4" w:space="0" w:color="auto"/>
              <w:right w:val="double" w:sz="4" w:space="0" w:color="auto"/>
            </w:tcBorders>
            <w:vAlign w:val="center"/>
          </w:tcPr>
          <w:p w14:paraId="110F0C46" w14:textId="4E446765" w:rsidR="00A646E4" w:rsidRPr="00542969" w:rsidRDefault="006C74C5" w:rsidP="00C41D50">
            <w:pPr>
              <w:jc w:val="center"/>
            </w:pPr>
            <w:r>
              <w:t>920</w:t>
            </w:r>
          </w:p>
        </w:tc>
      </w:tr>
      <w:tr w:rsidR="00DB7D37" w:rsidRPr="00542969" w14:paraId="41D35B4B" w14:textId="77777777" w:rsidTr="00CF6FA0">
        <w:trPr>
          <w:trHeight w:val="432"/>
        </w:trPr>
        <w:tc>
          <w:tcPr>
            <w:tcW w:w="2100" w:type="dxa"/>
            <w:tcBorders>
              <w:left w:val="double" w:sz="4" w:space="0" w:color="auto"/>
              <w:bottom w:val="single" w:sz="4" w:space="0" w:color="auto"/>
            </w:tcBorders>
            <w:vAlign w:val="center"/>
          </w:tcPr>
          <w:p w14:paraId="57D018CE" w14:textId="77777777" w:rsidR="00DB7D37" w:rsidRPr="00542969" w:rsidRDefault="00DB7D37" w:rsidP="00DB7D37">
            <w:pPr>
              <w:jc w:val="center"/>
            </w:pPr>
            <w:r>
              <w:t>773.6(c)</w:t>
            </w:r>
          </w:p>
        </w:tc>
        <w:tc>
          <w:tcPr>
            <w:tcW w:w="1114" w:type="dxa"/>
            <w:tcBorders>
              <w:bottom w:val="single" w:sz="4" w:space="0" w:color="auto"/>
            </w:tcBorders>
            <w:shd w:val="clear" w:color="auto" w:fill="auto"/>
            <w:vAlign w:val="center"/>
          </w:tcPr>
          <w:p w14:paraId="65548AD3" w14:textId="313F691B" w:rsidR="00DB7D37" w:rsidRPr="00542969" w:rsidRDefault="008F211C" w:rsidP="00CF6FA0">
            <w:pPr>
              <w:jc w:val="center"/>
            </w:pPr>
            <w:r>
              <w:t>0</w:t>
            </w:r>
          </w:p>
        </w:tc>
        <w:tc>
          <w:tcPr>
            <w:tcW w:w="1114" w:type="dxa"/>
            <w:tcBorders>
              <w:bottom w:val="single" w:sz="4" w:space="0" w:color="auto"/>
            </w:tcBorders>
            <w:shd w:val="clear" w:color="auto" w:fill="auto"/>
            <w:vAlign w:val="center"/>
          </w:tcPr>
          <w:p w14:paraId="775EA162" w14:textId="68AFFB5C" w:rsidR="00DB7D37" w:rsidRDefault="006C74C5" w:rsidP="00DB7D37">
            <w:pPr>
              <w:jc w:val="center"/>
            </w:pPr>
            <w:r>
              <w:t>92</w:t>
            </w:r>
          </w:p>
        </w:tc>
        <w:tc>
          <w:tcPr>
            <w:tcW w:w="1111" w:type="dxa"/>
            <w:tcBorders>
              <w:bottom w:val="single" w:sz="4" w:space="0" w:color="auto"/>
            </w:tcBorders>
            <w:shd w:val="clear" w:color="auto" w:fill="auto"/>
            <w:vAlign w:val="center"/>
          </w:tcPr>
          <w:p w14:paraId="0462198D" w14:textId="424AEE5C" w:rsidR="00DB7D37" w:rsidRPr="00542969" w:rsidRDefault="008F211C" w:rsidP="00CF6FA0">
            <w:pPr>
              <w:jc w:val="center"/>
            </w:pPr>
            <w:r>
              <w:t>0</w:t>
            </w:r>
          </w:p>
        </w:tc>
        <w:tc>
          <w:tcPr>
            <w:tcW w:w="1111" w:type="dxa"/>
            <w:tcBorders>
              <w:bottom w:val="single" w:sz="4" w:space="0" w:color="auto"/>
            </w:tcBorders>
            <w:shd w:val="clear" w:color="auto" w:fill="auto"/>
            <w:vAlign w:val="center"/>
          </w:tcPr>
          <w:p w14:paraId="427AEDE5" w14:textId="4FA71584" w:rsidR="00DB7D37" w:rsidRDefault="006C74C5" w:rsidP="00DB7D37">
            <w:pPr>
              <w:jc w:val="center"/>
            </w:pPr>
            <w:r>
              <w:t>20</w:t>
            </w:r>
          </w:p>
        </w:tc>
        <w:tc>
          <w:tcPr>
            <w:tcW w:w="1370" w:type="dxa"/>
            <w:tcBorders>
              <w:bottom w:val="single" w:sz="4" w:space="0" w:color="auto"/>
              <w:right w:val="double" w:sz="4" w:space="0" w:color="auto"/>
            </w:tcBorders>
            <w:vAlign w:val="center"/>
          </w:tcPr>
          <w:p w14:paraId="01054276" w14:textId="57F1377A" w:rsidR="00DB7D37" w:rsidRDefault="006C74C5" w:rsidP="00DB7D37">
            <w:pPr>
              <w:jc w:val="center"/>
            </w:pPr>
            <w:r>
              <w:t>1,840</w:t>
            </w:r>
          </w:p>
        </w:tc>
      </w:tr>
      <w:tr w:rsidR="00C55399" w:rsidRPr="00542969" w14:paraId="68087062" w14:textId="77777777" w:rsidTr="00CF6FA0">
        <w:trPr>
          <w:trHeight w:val="432"/>
        </w:trPr>
        <w:tc>
          <w:tcPr>
            <w:tcW w:w="2100" w:type="dxa"/>
            <w:tcBorders>
              <w:left w:val="double" w:sz="4" w:space="0" w:color="auto"/>
              <w:bottom w:val="double" w:sz="4" w:space="0" w:color="auto"/>
            </w:tcBorders>
            <w:vAlign w:val="center"/>
          </w:tcPr>
          <w:p w14:paraId="64622F73" w14:textId="77777777" w:rsidR="00C55399" w:rsidRPr="00542969" w:rsidRDefault="00DB7D37" w:rsidP="00DB7D37">
            <w:pPr>
              <w:jc w:val="center"/>
            </w:pPr>
            <w:r>
              <w:t>773.6(d)</w:t>
            </w:r>
          </w:p>
        </w:tc>
        <w:tc>
          <w:tcPr>
            <w:tcW w:w="1114" w:type="dxa"/>
            <w:tcBorders>
              <w:bottom w:val="double" w:sz="4" w:space="0" w:color="auto"/>
            </w:tcBorders>
            <w:shd w:val="clear" w:color="auto" w:fill="auto"/>
            <w:vAlign w:val="center"/>
          </w:tcPr>
          <w:p w14:paraId="25C346F7" w14:textId="5BEA2AF2" w:rsidR="00C55399" w:rsidRPr="00542969" w:rsidRDefault="008F211C" w:rsidP="00CF6FA0">
            <w:pPr>
              <w:jc w:val="center"/>
            </w:pPr>
            <w:r>
              <w:t>0</w:t>
            </w:r>
          </w:p>
        </w:tc>
        <w:tc>
          <w:tcPr>
            <w:tcW w:w="1114" w:type="dxa"/>
            <w:tcBorders>
              <w:bottom w:val="double" w:sz="4" w:space="0" w:color="auto"/>
            </w:tcBorders>
            <w:shd w:val="clear" w:color="auto" w:fill="auto"/>
            <w:vAlign w:val="center"/>
          </w:tcPr>
          <w:p w14:paraId="4F8632B1" w14:textId="417E67C5" w:rsidR="00C55399" w:rsidRPr="00542969" w:rsidRDefault="0081248B" w:rsidP="00D353A3">
            <w:pPr>
              <w:jc w:val="center"/>
            </w:pPr>
            <w:r>
              <w:t>920</w:t>
            </w:r>
          </w:p>
        </w:tc>
        <w:tc>
          <w:tcPr>
            <w:tcW w:w="1111" w:type="dxa"/>
            <w:tcBorders>
              <w:bottom w:val="double" w:sz="4" w:space="0" w:color="auto"/>
            </w:tcBorders>
            <w:shd w:val="clear" w:color="auto" w:fill="auto"/>
            <w:vAlign w:val="center"/>
          </w:tcPr>
          <w:p w14:paraId="6A539CA5" w14:textId="295FD2F3" w:rsidR="00C55399" w:rsidRPr="00542969" w:rsidRDefault="008F211C" w:rsidP="00CF6FA0">
            <w:pPr>
              <w:jc w:val="center"/>
            </w:pPr>
            <w:r>
              <w:t>0</w:t>
            </w:r>
          </w:p>
        </w:tc>
        <w:tc>
          <w:tcPr>
            <w:tcW w:w="1111" w:type="dxa"/>
            <w:tcBorders>
              <w:bottom w:val="double" w:sz="4" w:space="0" w:color="auto"/>
            </w:tcBorders>
            <w:shd w:val="clear" w:color="auto" w:fill="auto"/>
            <w:vAlign w:val="center"/>
          </w:tcPr>
          <w:p w14:paraId="24AD58CF" w14:textId="316C6811" w:rsidR="00C55399" w:rsidRPr="00542969" w:rsidRDefault="00F14F83" w:rsidP="0016181B">
            <w:pPr>
              <w:jc w:val="center"/>
            </w:pPr>
            <w:r>
              <w:t>1</w:t>
            </w:r>
          </w:p>
        </w:tc>
        <w:tc>
          <w:tcPr>
            <w:tcW w:w="1370" w:type="dxa"/>
            <w:tcBorders>
              <w:bottom w:val="double" w:sz="4" w:space="0" w:color="auto"/>
              <w:right w:val="double" w:sz="4" w:space="0" w:color="auto"/>
            </w:tcBorders>
            <w:vAlign w:val="center"/>
          </w:tcPr>
          <w:p w14:paraId="2934C223" w14:textId="26984DAC" w:rsidR="00C55399" w:rsidRPr="00542969" w:rsidRDefault="00F14F83" w:rsidP="00F14F83">
            <w:pPr>
              <w:jc w:val="center"/>
            </w:pPr>
            <w:r>
              <w:t>920</w:t>
            </w:r>
          </w:p>
        </w:tc>
      </w:tr>
      <w:tr w:rsidR="00C55399" w:rsidRPr="00542969" w14:paraId="58F2001E" w14:textId="77777777" w:rsidTr="00CF6FA0">
        <w:trPr>
          <w:trHeight w:val="432"/>
        </w:trPr>
        <w:tc>
          <w:tcPr>
            <w:tcW w:w="2100" w:type="dxa"/>
            <w:tcBorders>
              <w:top w:val="double" w:sz="4" w:space="0" w:color="auto"/>
              <w:left w:val="double" w:sz="4" w:space="0" w:color="auto"/>
              <w:bottom w:val="double" w:sz="4" w:space="0" w:color="auto"/>
            </w:tcBorders>
            <w:vAlign w:val="center"/>
          </w:tcPr>
          <w:p w14:paraId="26CC5E3B" w14:textId="77777777" w:rsidR="00A646E4" w:rsidRPr="00542969" w:rsidRDefault="00A646E4" w:rsidP="00CF6FA0">
            <w:pPr>
              <w:jc w:val="center"/>
            </w:pPr>
            <w:r w:rsidRPr="00542969">
              <w:t>TOTALS</w:t>
            </w:r>
          </w:p>
        </w:tc>
        <w:tc>
          <w:tcPr>
            <w:tcW w:w="1114" w:type="dxa"/>
            <w:tcBorders>
              <w:top w:val="double" w:sz="4" w:space="0" w:color="auto"/>
              <w:bottom w:val="double" w:sz="4" w:space="0" w:color="auto"/>
            </w:tcBorders>
            <w:shd w:val="clear" w:color="auto" w:fill="auto"/>
            <w:vAlign w:val="center"/>
          </w:tcPr>
          <w:p w14:paraId="0947D63A" w14:textId="3BE8829F" w:rsidR="00A646E4" w:rsidRPr="00542969" w:rsidRDefault="0081248B" w:rsidP="0024371B">
            <w:pPr>
              <w:jc w:val="center"/>
            </w:pPr>
            <w:r>
              <w:t>927</w:t>
            </w:r>
          </w:p>
        </w:tc>
        <w:tc>
          <w:tcPr>
            <w:tcW w:w="1114" w:type="dxa"/>
            <w:tcBorders>
              <w:top w:val="double" w:sz="4" w:space="0" w:color="auto"/>
              <w:bottom w:val="double" w:sz="4" w:space="0" w:color="auto"/>
            </w:tcBorders>
            <w:shd w:val="clear" w:color="auto" w:fill="auto"/>
            <w:vAlign w:val="center"/>
          </w:tcPr>
          <w:p w14:paraId="23F22BEA" w14:textId="61E7DE02" w:rsidR="00A646E4" w:rsidRPr="00542969" w:rsidRDefault="008F211C" w:rsidP="0024371B">
            <w:pPr>
              <w:jc w:val="center"/>
            </w:pPr>
            <w:r>
              <w:t>n/a</w:t>
            </w:r>
          </w:p>
        </w:tc>
        <w:tc>
          <w:tcPr>
            <w:tcW w:w="1111" w:type="dxa"/>
            <w:tcBorders>
              <w:top w:val="double" w:sz="4" w:space="0" w:color="auto"/>
              <w:bottom w:val="double" w:sz="4" w:space="0" w:color="auto"/>
            </w:tcBorders>
            <w:shd w:val="clear" w:color="auto" w:fill="auto"/>
            <w:vAlign w:val="center"/>
          </w:tcPr>
          <w:p w14:paraId="1C8B765E" w14:textId="173CE12C" w:rsidR="00A646E4" w:rsidRPr="00542969" w:rsidRDefault="008F211C" w:rsidP="002A1A88">
            <w:pPr>
              <w:jc w:val="center"/>
            </w:pPr>
            <w:r>
              <w:t>n/a</w:t>
            </w:r>
          </w:p>
        </w:tc>
        <w:tc>
          <w:tcPr>
            <w:tcW w:w="1111" w:type="dxa"/>
            <w:tcBorders>
              <w:top w:val="double" w:sz="4" w:space="0" w:color="auto"/>
              <w:bottom w:val="double" w:sz="4" w:space="0" w:color="auto"/>
            </w:tcBorders>
            <w:shd w:val="clear" w:color="auto" w:fill="auto"/>
            <w:vAlign w:val="center"/>
          </w:tcPr>
          <w:p w14:paraId="2D48BD21" w14:textId="159724C9" w:rsidR="00A646E4" w:rsidRPr="00542969" w:rsidRDefault="008F211C" w:rsidP="002528E9">
            <w:pPr>
              <w:jc w:val="center"/>
            </w:pPr>
            <w:r>
              <w:t>n/a</w:t>
            </w:r>
          </w:p>
        </w:tc>
        <w:tc>
          <w:tcPr>
            <w:tcW w:w="1370" w:type="dxa"/>
            <w:tcBorders>
              <w:top w:val="double" w:sz="4" w:space="0" w:color="auto"/>
              <w:bottom w:val="double" w:sz="4" w:space="0" w:color="auto"/>
              <w:right w:val="double" w:sz="4" w:space="0" w:color="auto"/>
            </w:tcBorders>
            <w:vAlign w:val="center"/>
          </w:tcPr>
          <w:p w14:paraId="5A8C71AE" w14:textId="626AF7A7" w:rsidR="00A646E4" w:rsidRPr="00542969" w:rsidRDefault="008F211C" w:rsidP="00DB7D37">
            <w:pPr>
              <w:jc w:val="center"/>
            </w:pPr>
            <w:r>
              <w:t>7,151</w:t>
            </w:r>
          </w:p>
        </w:tc>
      </w:tr>
    </w:tbl>
    <w:p w14:paraId="56FB6BEB" w14:textId="77777777" w:rsidR="00F8635A" w:rsidRPr="00542969" w:rsidRDefault="00F8635A" w:rsidP="00F8635A">
      <w:pPr>
        <w:ind w:left="360"/>
      </w:pPr>
    </w:p>
    <w:p w14:paraId="0667FB3A" w14:textId="11F3BEF9" w:rsidR="00C55399" w:rsidRPr="00542969" w:rsidRDefault="004E401B" w:rsidP="00B70AD8">
      <w:pPr>
        <w:ind w:left="720"/>
      </w:pPr>
      <w:r>
        <w:t>For 773.6(a)(1)</w:t>
      </w:r>
      <w:r w:rsidR="000276EA">
        <w:t xml:space="preserve"> </w:t>
      </w:r>
      <w:r w:rsidR="000A53CD">
        <w:t>and (a)(2)</w:t>
      </w:r>
      <w:r>
        <w:t>, w</w:t>
      </w:r>
      <w:r w:rsidR="002E7711" w:rsidRPr="00542969">
        <w:t xml:space="preserve">e estimate </w:t>
      </w:r>
      <w:r w:rsidR="00B70AD8" w:rsidRPr="00542969">
        <w:t xml:space="preserve">that each of the </w:t>
      </w:r>
      <w:r w:rsidR="00847DE6">
        <w:t>927</w:t>
      </w:r>
      <w:r w:rsidR="00C55399" w:rsidRPr="00542969">
        <w:t xml:space="preserve"> applica</w:t>
      </w:r>
      <w:r w:rsidR="00B70AD8" w:rsidRPr="00542969">
        <w:t xml:space="preserve">nts </w:t>
      </w:r>
      <w:r w:rsidR="00C55399" w:rsidRPr="00542969">
        <w:t>w</w:t>
      </w:r>
      <w:r w:rsidR="00BE1F0F" w:rsidRPr="00542969">
        <w:t xml:space="preserve">ill require </w:t>
      </w:r>
      <w:r w:rsidR="008F7E85">
        <w:t xml:space="preserve">a total of </w:t>
      </w:r>
      <w:r w:rsidR="003F5C75">
        <w:t>1</w:t>
      </w:r>
      <w:r w:rsidR="00930C89">
        <w:t xml:space="preserve"> </w:t>
      </w:r>
      <w:r w:rsidR="008F7E85">
        <w:t>hour</w:t>
      </w:r>
      <w:r w:rsidR="00C55399" w:rsidRPr="00542969">
        <w:t xml:space="preserve"> to</w:t>
      </w:r>
      <w:r w:rsidR="00CF6FA0" w:rsidRPr="00542969">
        <w:t xml:space="preserve"> provide a copy of the newspaper advertisement announcing its intent to mine in an application for a permit</w:t>
      </w:r>
      <w:r w:rsidR="00B70AD8" w:rsidRPr="00542969">
        <w:t>,</w:t>
      </w:r>
      <w:r w:rsidR="00CF6FA0" w:rsidRPr="00542969">
        <w:t xml:space="preserve"> </w:t>
      </w:r>
      <w:r w:rsidR="003F5C75">
        <w:t xml:space="preserve">and an additional 2 hours </w:t>
      </w:r>
      <w:r w:rsidR="00CF6FA0" w:rsidRPr="00542969">
        <w:t>to file a copy of its application at the courthouse or other approved public location in the county where the mining operation is proposed to be located.</w:t>
      </w:r>
      <w:r w:rsidR="00341DC6" w:rsidRPr="00542969">
        <w:t xml:space="preserve">  </w:t>
      </w:r>
      <w:r w:rsidR="00F52D6C" w:rsidRPr="00542969">
        <w:t>This estimate</w:t>
      </w:r>
      <w:r w:rsidR="00CF6FA0" w:rsidRPr="00542969">
        <w:t>d</w:t>
      </w:r>
      <w:r w:rsidR="00F52D6C" w:rsidRPr="00542969">
        <w:t xml:space="preserve"> burden for industry respondents </w:t>
      </w:r>
      <w:r w:rsidR="008F7E85">
        <w:t xml:space="preserve">has </w:t>
      </w:r>
      <w:r w:rsidR="003F5C75">
        <w:t xml:space="preserve">slightly </w:t>
      </w:r>
      <w:r w:rsidR="008F7E85">
        <w:t xml:space="preserve">increased based on the recent data from the operators we contacted.  </w:t>
      </w:r>
      <w:r w:rsidR="00903EAD">
        <w:t>Broken down, the time t</w:t>
      </w:r>
      <w:r w:rsidR="004B1983">
        <w:t xml:space="preserve">o place an advertisement in the </w:t>
      </w:r>
      <w:r w:rsidR="003A3A78">
        <w:t>newspaper by</w:t>
      </w:r>
      <w:r w:rsidR="004B1983">
        <w:t xml:space="preserve"> industry respondents typically</w:t>
      </w:r>
      <w:r w:rsidR="00903EAD">
        <w:t xml:space="preserve"> requires</w:t>
      </w:r>
      <w:r w:rsidR="004B1983">
        <w:t xml:space="preserve"> </w:t>
      </w:r>
      <w:r w:rsidR="003F5C75">
        <w:t>0.5</w:t>
      </w:r>
      <w:r w:rsidR="004B1983">
        <w:t xml:space="preserve"> hour preparing the advertisement, and an additional 0.</w:t>
      </w:r>
      <w:r w:rsidR="003F5C75">
        <w:t>50</w:t>
      </w:r>
      <w:r w:rsidR="004B1983">
        <w:t xml:space="preserve"> hour to transact with the newspaper and submit a copy to the regulatory authority.  </w:t>
      </w:r>
      <w:r w:rsidR="00903EAD">
        <w:t>The estimated 2 hours t</w:t>
      </w:r>
      <w:r w:rsidR="004B1983">
        <w:t>o file a copy of the application with the recorder at the courthouse</w:t>
      </w:r>
      <w:r w:rsidR="003F5C75">
        <w:t xml:space="preserve"> includes </w:t>
      </w:r>
      <w:r>
        <w:t>t</w:t>
      </w:r>
      <w:r w:rsidR="008F7E85">
        <w:t xml:space="preserve">he travel time to the nearest courthouse </w:t>
      </w:r>
      <w:r w:rsidR="00244447">
        <w:t>and delivery to the</w:t>
      </w:r>
      <w:r w:rsidR="00AC6B7D">
        <w:t xml:space="preserve"> correct office</w:t>
      </w:r>
      <w:r w:rsidR="008F7E85">
        <w:t>.  Additionally, some of the operators report that they will send a person to the courthouse to collect the permit application once it has been available to the public for the required time</w:t>
      </w:r>
      <w:r w:rsidR="00F52D6C" w:rsidRPr="00542969">
        <w:t xml:space="preserve">.  </w:t>
      </w:r>
      <w:r w:rsidR="00AC57D9" w:rsidRPr="00542969">
        <w:t>W</w:t>
      </w:r>
      <w:r w:rsidR="00341DC6" w:rsidRPr="00542969">
        <w:t xml:space="preserve">e estimate the information collection burden for industry respondents will </w:t>
      </w:r>
      <w:r w:rsidR="007579C9" w:rsidRPr="00542969">
        <w:t xml:space="preserve">be </w:t>
      </w:r>
      <w:r w:rsidR="003F5C75" w:rsidRPr="00EF7AE5">
        <w:rPr>
          <w:b/>
        </w:rPr>
        <w:t>2,781</w:t>
      </w:r>
      <w:r w:rsidR="008F7E85" w:rsidRPr="00EF7AE5">
        <w:rPr>
          <w:b/>
        </w:rPr>
        <w:t xml:space="preserve"> </w:t>
      </w:r>
      <w:r w:rsidR="00AC57D9" w:rsidRPr="00EF7AE5">
        <w:rPr>
          <w:b/>
        </w:rPr>
        <w:t>hour</w:t>
      </w:r>
      <w:r w:rsidR="007579C9" w:rsidRPr="00EF7AE5">
        <w:rPr>
          <w:b/>
        </w:rPr>
        <w:t>s</w:t>
      </w:r>
      <w:r w:rsidR="00AC57D9" w:rsidRPr="00542969">
        <w:t xml:space="preserve"> (</w:t>
      </w:r>
      <w:r w:rsidR="003F5C75">
        <w:t>927</w:t>
      </w:r>
      <w:r w:rsidR="007579C9" w:rsidRPr="00542969">
        <w:t xml:space="preserve"> </w:t>
      </w:r>
      <w:r w:rsidR="00AC57D9" w:rsidRPr="00542969">
        <w:t xml:space="preserve">applications x </w:t>
      </w:r>
      <w:r w:rsidR="003F5C75">
        <w:t>3</w:t>
      </w:r>
      <w:r w:rsidR="00AC57D9" w:rsidRPr="00542969">
        <w:t xml:space="preserve"> hour</w:t>
      </w:r>
      <w:r w:rsidR="00930C89">
        <w:t>s</w:t>
      </w:r>
      <w:r w:rsidR="00341DC6" w:rsidRPr="00542969">
        <w:t xml:space="preserve"> per application).</w:t>
      </w:r>
    </w:p>
    <w:p w14:paraId="5E1DA647" w14:textId="77777777" w:rsidR="00C55399" w:rsidRPr="00542969" w:rsidRDefault="00C55399" w:rsidP="00AF4F64">
      <w:pPr>
        <w:ind w:left="720" w:hanging="720"/>
      </w:pPr>
    </w:p>
    <w:p w14:paraId="3280D333" w14:textId="67B35CE3" w:rsidR="00F8635A" w:rsidRPr="00542969" w:rsidRDefault="00AF4F64" w:rsidP="00AF4F64">
      <w:pPr>
        <w:ind w:left="720" w:hanging="720"/>
      </w:pPr>
      <w:r w:rsidRPr="00542969">
        <w:tab/>
      </w:r>
      <w:r w:rsidR="002528E9">
        <w:t>For 773.6(a)(3)</w:t>
      </w:r>
      <w:r w:rsidR="0065105E">
        <w:t xml:space="preserve">, </w:t>
      </w:r>
      <w:r w:rsidR="002528E9">
        <w:t xml:space="preserve">(b)(3)(ii), </w:t>
      </w:r>
      <w:r w:rsidR="0065105E">
        <w:t xml:space="preserve">and 773.6(d), </w:t>
      </w:r>
      <w:r w:rsidR="002528E9">
        <w:t>w</w:t>
      </w:r>
      <w:r w:rsidR="007579C9" w:rsidRPr="00542969">
        <w:t xml:space="preserve">e estimate </w:t>
      </w:r>
      <w:r w:rsidR="003F5C75">
        <w:t>920</w:t>
      </w:r>
      <w:r w:rsidR="00341DC6" w:rsidRPr="00542969">
        <w:t xml:space="preserve"> of the </w:t>
      </w:r>
      <w:r w:rsidR="003F5C75">
        <w:t>927</w:t>
      </w:r>
      <w:r w:rsidR="00341DC6" w:rsidRPr="00542969">
        <w:t xml:space="preserve"> total applications will </w:t>
      </w:r>
      <w:r w:rsidR="00B61645" w:rsidRPr="00542969">
        <w:t xml:space="preserve">be applications for State permits.  </w:t>
      </w:r>
      <w:r w:rsidR="00903EAD">
        <w:t xml:space="preserve">The remaining 7 applications will be submitted to OSMRE for review on lands where OSMRE is the regulatory authority.  </w:t>
      </w:r>
      <w:r w:rsidR="00B61645" w:rsidRPr="00542969">
        <w:t xml:space="preserve">We estimate </w:t>
      </w:r>
      <w:r w:rsidR="002653EC">
        <w:t>SRAs</w:t>
      </w:r>
      <w:r w:rsidR="00D3187E" w:rsidRPr="00542969">
        <w:t xml:space="preserve"> will require a cumulative </w:t>
      </w:r>
      <w:r w:rsidR="00F14F83">
        <w:t>2</w:t>
      </w:r>
      <w:r w:rsidR="002528E9">
        <w:t>.75</w:t>
      </w:r>
      <w:r w:rsidR="00AC7E9C" w:rsidRPr="00542969">
        <w:t xml:space="preserve"> hours </w:t>
      </w:r>
      <w:r w:rsidR="00B61645" w:rsidRPr="00542969">
        <w:t xml:space="preserve">per application </w:t>
      </w:r>
      <w:r w:rsidR="00AC7E9C" w:rsidRPr="00542969">
        <w:t>to</w:t>
      </w:r>
      <w:r w:rsidR="00B61645" w:rsidRPr="00542969">
        <w:t xml:space="preserve"> review </w:t>
      </w:r>
      <w:r w:rsidR="00E87456" w:rsidRPr="00542969">
        <w:t>and prepare the notice</w:t>
      </w:r>
      <w:r w:rsidR="0065105E">
        <w:t>s</w:t>
      </w:r>
      <w:r w:rsidR="00E87456" w:rsidRPr="00542969">
        <w:t xml:space="preserve"> required for </w:t>
      </w:r>
      <w:r w:rsidR="00B61645" w:rsidRPr="00542969">
        <w:t>th</w:t>
      </w:r>
      <w:r w:rsidR="0065105E">
        <w:t xml:space="preserve">ese </w:t>
      </w:r>
      <w:r w:rsidR="00E87456" w:rsidRPr="00542969">
        <w:t>section</w:t>
      </w:r>
      <w:r w:rsidR="0065105E">
        <w:t>s, and make them available for public inspection and copying</w:t>
      </w:r>
      <w:r w:rsidR="004F201E">
        <w:t>.</w:t>
      </w:r>
      <w:r w:rsidR="00AC7E9C" w:rsidRPr="00542969">
        <w:t xml:space="preserve">.  </w:t>
      </w:r>
      <w:r w:rsidR="009B4D8F" w:rsidRPr="00542969">
        <w:t>Therefore, w</w:t>
      </w:r>
      <w:r w:rsidR="00F8635A" w:rsidRPr="00542969">
        <w:t xml:space="preserve">e estimate </w:t>
      </w:r>
      <w:r w:rsidR="009B4D8F" w:rsidRPr="00542969">
        <w:t>t</w:t>
      </w:r>
      <w:r w:rsidR="008E661D" w:rsidRPr="00542969">
        <w:t>he</w:t>
      </w:r>
      <w:r w:rsidR="00F8635A" w:rsidRPr="00542969">
        <w:t xml:space="preserve"> review burden to S</w:t>
      </w:r>
      <w:r w:rsidR="00ED20F5" w:rsidRPr="00542969">
        <w:t xml:space="preserve">tates </w:t>
      </w:r>
      <w:r w:rsidR="00E87456" w:rsidRPr="00542969">
        <w:t xml:space="preserve">for </w:t>
      </w:r>
      <w:r w:rsidR="009D25F8">
        <w:t>§</w:t>
      </w:r>
      <w:r w:rsidR="00ED20F5" w:rsidRPr="00542969">
        <w:t>773.6</w:t>
      </w:r>
      <w:r w:rsidR="006555D4" w:rsidRPr="00542969">
        <w:t xml:space="preserve"> is </w:t>
      </w:r>
      <w:r w:rsidR="00F14F83" w:rsidRPr="00EF7AE5">
        <w:rPr>
          <w:b/>
        </w:rPr>
        <w:t>2,530</w:t>
      </w:r>
      <w:r w:rsidR="00ED20F5" w:rsidRPr="00EF7AE5">
        <w:rPr>
          <w:b/>
        </w:rPr>
        <w:t xml:space="preserve"> ho</w:t>
      </w:r>
      <w:r w:rsidR="00B94C9D" w:rsidRPr="00EF7AE5">
        <w:rPr>
          <w:b/>
        </w:rPr>
        <w:t>urs</w:t>
      </w:r>
      <w:r w:rsidR="00B94C9D" w:rsidRPr="00542969">
        <w:t xml:space="preserve"> (</w:t>
      </w:r>
      <w:r w:rsidR="00587036">
        <w:t>920</w:t>
      </w:r>
      <w:r w:rsidR="00522204" w:rsidRPr="00542969">
        <w:t xml:space="preserve"> State applications x </w:t>
      </w:r>
      <w:r w:rsidR="0065105E">
        <w:t>2</w:t>
      </w:r>
      <w:r w:rsidR="004E401B">
        <w:t>.75</w:t>
      </w:r>
      <w:r w:rsidR="00F8635A" w:rsidRPr="00542969">
        <w:t xml:space="preserve"> hour</w:t>
      </w:r>
      <w:r w:rsidR="00897D45" w:rsidRPr="00542969">
        <w:t>s</w:t>
      </w:r>
      <w:r w:rsidR="00F8635A" w:rsidRPr="00542969">
        <w:t xml:space="preserve"> per review).</w:t>
      </w:r>
    </w:p>
    <w:p w14:paraId="13332A77" w14:textId="77777777" w:rsidR="00F8635A" w:rsidRDefault="00F8635A" w:rsidP="00AF4F64">
      <w:pPr>
        <w:ind w:left="720" w:hanging="720"/>
      </w:pPr>
    </w:p>
    <w:p w14:paraId="2CF0D007" w14:textId="6E2393F8" w:rsidR="0065105E" w:rsidRDefault="002528E9" w:rsidP="00AF4F64">
      <w:pPr>
        <w:ind w:left="720" w:hanging="720"/>
      </w:pPr>
      <w:r>
        <w:tab/>
        <w:t>For 773.6(c) w</w:t>
      </w:r>
      <w:r w:rsidRPr="00542969">
        <w:t xml:space="preserve">e estimate </w:t>
      </w:r>
      <w:r>
        <w:t xml:space="preserve">that an informal conference will be requested for </w:t>
      </w:r>
      <w:r w:rsidR="006C74C5">
        <w:t>92</w:t>
      </w:r>
      <w:r>
        <w:t xml:space="preserve"> applications (</w:t>
      </w:r>
      <w:r w:rsidR="006C74C5">
        <w:t>10</w:t>
      </w:r>
      <w:r>
        <w:t xml:space="preserve">% of </w:t>
      </w:r>
      <w:r w:rsidR="00D353A3">
        <w:t xml:space="preserve">the </w:t>
      </w:r>
      <w:r>
        <w:t>92</w:t>
      </w:r>
      <w:r w:rsidR="006C74C5">
        <w:t>0</w:t>
      </w:r>
      <w:r w:rsidR="00D353A3">
        <w:t xml:space="preserve"> applications</w:t>
      </w:r>
      <w:r w:rsidR="00EE33F6">
        <w:t xml:space="preserve"> reviewed by SRAs</w:t>
      </w:r>
      <w:r>
        <w:t xml:space="preserve">) </w:t>
      </w:r>
      <w:r w:rsidRPr="00542969">
        <w:t xml:space="preserve">for State permits.  </w:t>
      </w:r>
      <w:r w:rsidR="00D353A3">
        <w:t xml:space="preserve">This percentage varies significantly among the regulatory authorities we contacted, with new permits to mine coal receiving the highest percentage of informal conference requests.  </w:t>
      </w:r>
      <w:r w:rsidRPr="00542969">
        <w:t xml:space="preserve">We estimate </w:t>
      </w:r>
      <w:r w:rsidR="002653EC">
        <w:t>SRAs</w:t>
      </w:r>
      <w:r w:rsidRPr="00542969">
        <w:t xml:space="preserve"> will require </w:t>
      </w:r>
      <w:r w:rsidR="00D353A3">
        <w:t>2</w:t>
      </w:r>
      <w:r w:rsidR="00AD4D51">
        <w:t>0</w:t>
      </w:r>
      <w:r w:rsidRPr="00542969">
        <w:t xml:space="preserve"> hours per </w:t>
      </w:r>
      <w:r w:rsidR="00AD4D51">
        <w:t>informal conference to prepare for the conference and have multiple staff attend</w:t>
      </w:r>
      <w:r w:rsidRPr="00542969">
        <w:t xml:space="preserve">.  Therefore, we estimate the review burden to States for </w:t>
      </w:r>
      <w:r>
        <w:t>§</w:t>
      </w:r>
      <w:r w:rsidRPr="00542969">
        <w:t>773.6 is</w:t>
      </w:r>
      <w:r w:rsidR="00981825">
        <w:t xml:space="preserve"> </w:t>
      </w:r>
      <w:r w:rsidR="006C74C5" w:rsidRPr="00EF7AE5">
        <w:rPr>
          <w:b/>
        </w:rPr>
        <w:t>1,840</w:t>
      </w:r>
      <w:r w:rsidRPr="00EF7AE5">
        <w:rPr>
          <w:b/>
        </w:rPr>
        <w:t xml:space="preserve"> hours</w:t>
      </w:r>
      <w:r w:rsidRPr="00542969">
        <w:t xml:space="preserve"> (</w:t>
      </w:r>
      <w:r w:rsidR="006C74C5">
        <w:t>92</w:t>
      </w:r>
      <w:r w:rsidRPr="00542969">
        <w:t xml:space="preserve"> </w:t>
      </w:r>
      <w:r w:rsidR="00AD4D51">
        <w:t>informal conferences</w:t>
      </w:r>
      <w:r w:rsidRPr="00542969">
        <w:t xml:space="preserve"> x </w:t>
      </w:r>
      <w:r>
        <w:t>2</w:t>
      </w:r>
      <w:r w:rsidR="00AD4D51">
        <w:t>0</w:t>
      </w:r>
      <w:r w:rsidRPr="00542969">
        <w:t xml:space="preserve"> hours per </w:t>
      </w:r>
      <w:r w:rsidR="00AD4D51">
        <w:t>conference</w:t>
      </w:r>
      <w:r w:rsidRPr="00542969">
        <w:t>).</w:t>
      </w:r>
    </w:p>
    <w:p w14:paraId="2D696A3F" w14:textId="77777777" w:rsidR="00362643" w:rsidRPr="00542969" w:rsidRDefault="00362643" w:rsidP="00AF4F64">
      <w:pPr>
        <w:ind w:left="720" w:hanging="720"/>
      </w:pPr>
    </w:p>
    <w:p w14:paraId="401DB439" w14:textId="2E51B19C" w:rsidR="00F8635A" w:rsidRPr="00542969" w:rsidRDefault="00AF4F64" w:rsidP="00AF4F64">
      <w:pPr>
        <w:ind w:left="720" w:hanging="720"/>
      </w:pPr>
      <w:r w:rsidRPr="00542969">
        <w:tab/>
      </w:r>
      <w:r w:rsidR="00F8635A" w:rsidRPr="00542969">
        <w:t xml:space="preserve">Therefore, the total estimated </w:t>
      </w:r>
      <w:r w:rsidR="009A6DB1" w:rsidRPr="00542969">
        <w:t xml:space="preserve">information collection </w:t>
      </w:r>
      <w:r w:rsidR="00F8635A" w:rsidRPr="00542969">
        <w:t xml:space="preserve">burden </w:t>
      </w:r>
      <w:r w:rsidR="008E661D" w:rsidRPr="00542969">
        <w:t xml:space="preserve">for all respondents </w:t>
      </w:r>
      <w:r w:rsidR="006552AB">
        <w:t xml:space="preserve">for </w:t>
      </w:r>
      <w:r w:rsidR="009D25F8">
        <w:t>§</w:t>
      </w:r>
      <w:r w:rsidR="0041445C" w:rsidRPr="00542969">
        <w:t xml:space="preserve">773.6 is </w:t>
      </w:r>
      <w:r w:rsidR="008F211C" w:rsidRPr="00EF7AE5">
        <w:rPr>
          <w:b/>
        </w:rPr>
        <w:t>7,151</w:t>
      </w:r>
      <w:r w:rsidR="00F8635A" w:rsidRPr="00EF7AE5">
        <w:rPr>
          <w:b/>
        </w:rPr>
        <w:t xml:space="preserve"> hours</w:t>
      </w:r>
      <w:r w:rsidR="00F8635A" w:rsidRPr="00542969">
        <w:t xml:space="preserve"> (</w:t>
      </w:r>
      <w:r w:rsidR="008F211C">
        <w:t>2,781</w:t>
      </w:r>
      <w:r w:rsidR="00F8635A" w:rsidRPr="00542969">
        <w:t xml:space="preserve"> hours </w:t>
      </w:r>
      <w:r w:rsidR="00D5239A">
        <w:t xml:space="preserve">for applicants </w:t>
      </w:r>
      <w:r w:rsidR="007C67F1">
        <w:t>+</w:t>
      </w:r>
      <w:r w:rsidR="009B22DC">
        <w:t xml:space="preserve"> </w:t>
      </w:r>
      <w:r w:rsidR="008F211C">
        <w:t>2,530</w:t>
      </w:r>
      <w:r w:rsidR="00F8635A" w:rsidRPr="00542969">
        <w:t xml:space="preserve"> hours</w:t>
      </w:r>
      <w:r w:rsidR="00D5239A">
        <w:t xml:space="preserve"> </w:t>
      </w:r>
      <w:r w:rsidR="008F211C">
        <w:t>for SRAs</w:t>
      </w:r>
      <w:r w:rsidR="00D5239A">
        <w:t>+</w:t>
      </w:r>
      <w:r w:rsidR="00F8635A" w:rsidRPr="00542969">
        <w:t xml:space="preserve"> </w:t>
      </w:r>
      <w:r w:rsidR="008F211C">
        <w:t>1,840</w:t>
      </w:r>
      <w:r w:rsidR="00D5239A">
        <w:t xml:space="preserve"> hours </w:t>
      </w:r>
      <w:r w:rsidR="00F8635A" w:rsidRPr="00542969">
        <w:t xml:space="preserve">for </w:t>
      </w:r>
      <w:r w:rsidR="002653EC">
        <w:t>SRAs</w:t>
      </w:r>
      <w:r w:rsidR="00F8635A" w:rsidRPr="00542969">
        <w:t>).</w:t>
      </w:r>
    </w:p>
    <w:p w14:paraId="4E97D788" w14:textId="77777777" w:rsidR="00F8635A" w:rsidRPr="00542969" w:rsidRDefault="00F8635A" w:rsidP="00AF4F64">
      <w:pPr>
        <w:ind w:left="720" w:hanging="720"/>
      </w:pPr>
    </w:p>
    <w:p w14:paraId="32345AAB" w14:textId="77777777" w:rsidR="00F8635A" w:rsidRPr="00542969" w:rsidRDefault="00F8635A" w:rsidP="00044B26">
      <w:pPr>
        <w:ind w:left="720"/>
      </w:pPr>
      <w:r w:rsidRPr="00542969">
        <w:t xml:space="preserve">b.  </w:t>
      </w:r>
      <w:r w:rsidR="00AF4F64" w:rsidRPr="00542969">
        <w:tab/>
      </w:r>
      <w:r w:rsidRPr="00542969">
        <w:rPr>
          <w:u w:val="single"/>
        </w:rPr>
        <w:t>Estimated Wage Cost to Respondents</w:t>
      </w:r>
    </w:p>
    <w:p w14:paraId="1D8718EE" w14:textId="77777777" w:rsidR="00F8635A" w:rsidRPr="00542969" w:rsidRDefault="00F8635A" w:rsidP="00AF4F64">
      <w:pPr>
        <w:ind w:left="720" w:hanging="720"/>
      </w:pPr>
    </w:p>
    <w:p w14:paraId="62D42EE3" w14:textId="772066AC" w:rsidR="008C4B63" w:rsidRPr="001C5BD7" w:rsidRDefault="00F3663D" w:rsidP="008C4B63">
      <w:pPr>
        <w:ind w:left="720"/>
      </w:pPr>
      <w:r>
        <w:t>OSMRE</w:t>
      </w:r>
      <w:r w:rsidR="00A35E4D" w:rsidRPr="00542969">
        <w:t xml:space="preserve"> estimates that </w:t>
      </w:r>
      <w:r w:rsidR="00336B9B" w:rsidRPr="00542969">
        <w:t xml:space="preserve">the industry </w:t>
      </w:r>
      <w:r w:rsidR="008C4B63" w:rsidRPr="00542969">
        <w:t xml:space="preserve">office support staff will incorporate the newspaper advertisement announcing the mine plan into the application, and to deliver the application to the local court house or library near the location of the proposed minesite.  </w:t>
      </w:r>
      <w:r>
        <w:t>OSMRE</w:t>
      </w:r>
      <w:r w:rsidR="008C4B63" w:rsidRPr="00542969">
        <w:t xml:space="preserve"> estimates that the administrative staff will earn a wage of </w:t>
      </w:r>
      <w:r w:rsidR="00E7281B">
        <w:t>$19.74</w:t>
      </w:r>
      <w:r w:rsidR="008C4B63" w:rsidRPr="00542969">
        <w:t xml:space="preserve"> per hour based on Bureau of Labor Statistics (BLS) estimates found at </w:t>
      </w:r>
      <w:hyperlink r:id="rId9" w:history="1">
        <w:r w:rsidR="005D670A" w:rsidRPr="00AE4F81">
          <w:rPr>
            <w:rStyle w:val="Hyperlink"/>
          </w:rPr>
          <w:t>http://www.bls.gov/oes/current/naics4_212100.htm</w:t>
        </w:r>
      </w:hyperlink>
      <w:r w:rsidR="001C5BD7">
        <w:t>.</w:t>
      </w:r>
      <w:r w:rsidR="008C4B63" w:rsidRPr="00542969">
        <w:t xml:space="preserve">  Assuming benefits of 1.4 of the salary according to the </w:t>
      </w:r>
      <w:r w:rsidR="00BB4436" w:rsidRPr="00AE4F81">
        <w:t>BLS news release USDL-</w:t>
      </w:r>
      <w:r w:rsidR="00BB4436">
        <w:t>18-1499</w:t>
      </w:r>
      <w:r w:rsidR="00BB4436" w:rsidRPr="00AE4F81">
        <w:t xml:space="preserve"> entitled EMPLOYER COSTS FOR EMPLOYEE COMPENSATION—</w:t>
      </w:r>
      <w:r w:rsidR="00BB4436">
        <w:t>JUNE 2018</w:t>
      </w:r>
      <w:r w:rsidR="00BB4436" w:rsidRPr="00AE4F81">
        <w:t xml:space="preserve"> at - </w:t>
      </w:r>
      <w:hyperlink r:id="rId10" w:history="1">
        <w:r w:rsidR="00BB4436" w:rsidRPr="00AE4F81">
          <w:rPr>
            <w:rStyle w:val="Hyperlink"/>
          </w:rPr>
          <w:t>http://www.bls.gov/news.release/pdf/ecec.pdf</w:t>
        </w:r>
      </w:hyperlink>
      <w:r w:rsidR="00BB4436" w:rsidRPr="00AE4F81">
        <w:t xml:space="preserve">, dated </w:t>
      </w:r>
      <w:r w:rsidR="00BB4436">
        <w:t>September 18</w:t>
      </w:r>
      <w:r w:rsidR="00BB4436" w:rsidRPr="00AE4F81">
        <w:t>, 201</w:t>
      </w:r>
      <w:r w:rsidR="00BB4436">
        <w:t>8</w:t>
      </w:r>
      <w:r w:rsidR="008C4B63" w:rsidRPr="00542969">
        <w:t xml:space="preserve">, industry wage cost per application is </w:t>
      </w:r>
      <w:r w:rsidR="008C4B63" w:rsidRPr="00FD2E4E">
        <w:t>$</w:t>
      </w:r>
      <w:r w:rsidR="00BB4436">
        <w:t>27.64 ($19.74 x 1.4)</w:t>
      </w:r>
      <w:r w:rsidR="008C4B63" w:rsidRPr="00542969">
        <w:t xml:space="preserve">, and the cost to all of </w:t>
      </w:r>
      <w:r w:rsidR="008C4B63" w:rsidRPr="001C5BD7">
        <w:t xml:space="preserve">industry is </w:t>
      </w:r>
      <w:r w:rsidR="00336B9B" w:rsidRPr="001C5BD7">
        <w:t>$</w:t>
      </w:r>
      <w:r w:rsidR="00BB4436">
        <w:t>89,678</w:t>
      </w:r>
      <w:r w:rsidR="00336B9B" w:rsidRPr="001C5BD7">
        <w:t xml:space="preserve"> (</w:t>
      </w:r>
      <w:r w:rsidR="00BB4436">
        <w:t>927</w:t>
      </w:r>
      <w:r w:rsidR="00336B9B" w:rsidRPr="001C5BD7">
        <w:t xml:space="preserve"> applications x $</w:t>
      </w:r>
      <w:r w:rsidR="00BB4436">
        <w:t>27.64</w:t>
      </w:r>
      <w:r w:rsidR="00E30E10" w:rsidRPr="001C5BD7">
        <w:t xml:space="preserve"> per hour x </w:t>
      </w:r>
      <w:r w:rsidR="00BB4436">
        <w:t>3</w:t>
      </w:r>
      <w:r w:rsidR="00E30E10" w:rsidRPr="001C5BD7">
        <w:t xml:space="preserve"> hours per application</w:t>
      </w:r>
      <w:r w:rsidR="00336B9B" w:rsidRPr="001C5BD7">
        <w:t>).</w:t>
      </w:r>
    </w:p>
    <w:p w14:paraId="01179ECC" w14:textId="77777777" w:rsidR="00A35E4D" w:rsidRPr="001C5BD7" w:rsidRDefault="00A35E4D" w:rsidP="008C4B63">
      <w:pPr>
        <w:pStyle w:val="BodyTextIndent"/>
        <w:ind w:left="720"/>
      </w:pPr>
    </w:p>
    <w:p w14:paraId="0233B3E8" w14:textId="37689061" w:rsidR="00CC4BA4" w:rsidRPr="002E3B3A" w:rsidRDefault="005330B6" w:rsidP="00A35E4D">
      <w:pPr>
        <w:ind w:left="720"/>
      </w:pPr>
      <w:r w:rsidRPr="00542969">
        <w:t xml:space="preserve">In addition, </w:t>
      </w:r>
      <w:r w:rsidR="00931EB4" w:rsidRPr="00542969">
        <w:t xml:space="preserve">the </w:t>
      </w:r>
      <w:r w:rsidR="00A35E4D" w:rsidRPr="00542969">
        <w:t xml:space="preserve">State employee who </w:t>
      </w:r>
      <w:r w:rsidR="00931EB4" w:rsidRPr="00542969">
        <w:t xml:space="preserve">reviews this portion of the application and </w:t>
      </w:r>
      <w:r w:rsidR="00931EB4" w:rsidRPr="002E3B3A">
        <w:t xml:space="preserve">prepares the written notice </w:t>
      </w:r>
      <w:r w:rsidR="00A35E4D" w:rsidRPr="002E3B3A">
        <w:t>would have the equivalent salary of an engineering technician at $</w:t>
      </w:r>
      <w:r w:rsidR="00142CC0">
        <w:t>23.26</w:t>
      </w:r>
      <w:r w:rsidR="00A35E4D" w:rsidRPr="002E3B3A">
        <w:t xml:space="preserve"> per hour</w:t>
      </w:r>
      <w:r w:rsidR="00CC4BA4" w:rsidRPr="002E3B3A">
        <w:t>, or $</w:t>
      </w:r>
      <w:r w:rsidR="00142CC0">
        <w:t>37.22</w:t>
      </w:r>
      <w:r w:rsidR="00CC4BA4" w:rsidRPr="002E3B3A">
        <w:t xml:space="preserve"> per hour including benefits of 1.</w:t>
      </w:r>
      <w:r w:rsidR="008F211C">
        <w:t>6</w:t>
      </w:r>
      <w:r w:rsidR="00CC4BA4" w:rsidRPr="002E3B3A">
        <w:t xml:space="preserve"> of salary </w:t>
      </w:r>
      <w:r w:rsidR="00A35E4D" w:rsidRPr="002E3B3A">
        <w:t>(derived from Bureau of Labor Statistics at</w:t>
      </w:r>
      <w:r w:rsidR="00931EB4" w:rsidRPr="002E3B3A">
        <w:t xml:space="preserve"> </w:t>
      </w:r>
      <w:hyperlink r:id="rId11" w:history="1">
        <w:r w:rsidR="002E3B3A" w:rsidRPr="002E3B3A">
          <w:rPr>
            <w:rStyle w:val="Hyperlink"/>
          </w:rPr>
          <w:t>http://www.bls.gov/oes/current/naics4_999200.htm</w:t>
        </w:r>
      </w:hyperlink>
      <w:r w:rsidR="002E3B3A" w:rsidRPr="002E3B3A">
        <w:t xml:space="preserve"> </w:t>
      </w:r>
      <w:r w:rsidR="00CC4BA4" w:rsidRPr="002E3B3A">
        <w:t xml:space="preserve">and the </w:t>
      </w:r>
      <w:r w:rsidR="00931EB4" w:rsidRPr="002E3B3A">
        <w:t>BLS news release referenced above</w:t>
      </w:r>
      <w:r w:rsidR="00503A18" w:rsidRPr="002E3B3A">
        <w:t>,</w:t>
      </w:r>
      <w:r w:rsidR="00931EB4" w:rsidRPr="002E3B3A">
        <w:t xml:space="preserve"> for State government employees</w:t>
      </w:r>
      <w:r w:rsidR="00CC4BA4" w:rsidRPr="002E3B3A">
        <w:t>)</w:t>
      </w:r>
      <w:r w:rsidR="00931EB4" w:rsidRPr="002E3B3A">
        <w:t>.</w:t>
      </w:r>
      <w:r w:rsidR="00CC4BA4" w:rsidRPr="002E3B3A">
        <w:t xml:space="preserve">  The estimated total wage cost for all State employees is $</w:t>
      </w:r>
      <w:r w:rsidR="00142CC0">
        <w:t>94,167</w:t>
      </w:r>
      <w:r w:rsidR="00CC4BA4" w:rsidRPr="002E3B3A">
        <w:t xml:space="preserve"> (</w:t>
      </w:r>
      <w:r w:rsidR="00A755B9" w:rsidRPr="002E3B3A">
        <w:t>92</w:t>
      </w:r>
      <w:r w:rsidR="00BB4436">
        <w:t>0</w:t>
      </w:r>
      <w:r w:rsidR="00CC4BA4" w:rsidRPr="002E3B3A">
        <w:t xml:space="preserve"> applic</w:t>
      </w:r>
      <w:r w:rsidR="00E12E50" w:rsidRPr="002E3B3A">
        <w:t>ations reviewed x $</w:t>
      </w:r>
      <w:r w:rsidR="00142CC0">
        <w:t>37.22</w:t>
      </w:r>
      <w:r w:rsidR="00E12E50" w:rsidRPr="002E3B3A">
        <w:t xml:space="preserve"> per hour</w:t>
      </w:r>
      <w:r w:rsidR="00E30E10" w:rsidRPr="002E3B3A">
        <w:t xml:space="preserve"> x </w:t>
      </w:r>
      <w:r w:rsidR="00A755B9" w:rsidRPr="002E3B3A">
        <w:t>2.75</w:t>
      </w:r>
      <w:r w:rsidR="00E30E10" w:rsidRPr="002E3B3A">
        <w:t xml:space="preserve"> hours per application</w:t>
      </w:r>
      <w:r w:rsidR="00E12E50" w:rsidRPr="002E3B3A">
        <w:t>)</w:t>
      </w:r>
      <w:r w:rsidR="009B22DC" w:rsidRPr="002E3B3A">
        <w:t xml:space="preserve"> </w:t>
      </w:r>
      <w:r w:rsidR="00D5239A">
        <w:t>+</w:t>
      </w:r>
      <w:r w:rsidR="009B22DC" w:rsidRPr="002E3B3A">
        <w:t xml:space="preserve"> </w:t>
      </w:r>
      <w:r w:rsidR="002E3B3A" w:rsidRPr="002E3B3A">
        <w:t>$</w:t>
      </w:r>
      <w:r w:rsidR="00142CC0">
        <w:t>68,485</w:t>
      </w:r>
      <w:r w:rsidR="002E3B3A" w:rsidRPr="002E3B3A">
        <w:t xml:space="preserve"> </w:t>
      </w:r>
      <w:r w:rsidR="009B22DC" w:rsidRPr="002E3B3A">
        <w:t>(</w:t>
      </w:r>
      <w:r w:rsidR="00BB4436">
        <w:t>92</w:t>
      </w:r>
      <w:r w:rsidR="009B22DC" w:rsidRPr="002E3B3A">
        <w:t xml:space="preserve"> informal conferences x </w:t>
      </w:r>
      <w:r w:rsidR="004D5E0E" w:rsidRPr="002E3B3A">
        <w:t>$</w:t>
      </w:r>
      <w:r w:rsidR="00142CC0">
        <w:t>37.22</w:t>
      </w:r>
      <w:r w:rsidR="004D5E0E" w:rsidRPr="002E3B3A">
        <w:t xml:space="preserve"> per hour x 20 hours per application)</w:t>
      </w:r>
      <w:r w:rsidR="002E3B3A" w:rsidRPr="002E3B3A">
        <w:t xml:space="preserve"> = $</w:t>
      </w:r>
      <w:r w:rsidR="00142CC0">
        <w:t>162,652</w:t>
      </w:r>
      <w:r w:rsidR="00E12E50" w:rsidRPr="002E3B3A">
        <w:t>.</w:t>
      </w:r>
    </w:p>
    <w:p w14:paraId="14897CD0" w14:textId="77777777" w:rsidR="00CC4BA4" w:rsidRPr="002E3B3A" w:rsidRDefault="00CC4BA4" w:rsidP="00A35E4D">
      <w:pPr>
        <w:ind w:left="720"/>
      </w:pPr>
    </w:p>
    <w:p w14:paraId="7985F902" w14:textId="626C10EB" w:rsidR="00CC4BA4" w:rsidRPr="002E3B3A" w:rsidRDefault="00CC4BA4" w:rsidP="00A35E4D">
      <w:pPr>
        <w:ind w:left="720"/>
      </w:pPr>
      <w:r w:rsidRPr="002E3B3A">
        <w:t>Therefore, the total cost to all respondents is $</w:t>
      </w:r>
      <w:r w:rsidR="00142CC0">
        <w:t>252,330</w:t>
      </w:r>
      <w:r w:rsidRPr="002E3B3A">
        <w:t xml:space="preserve"> ($</w:t>
      </w:r>
      <w:r w:rsidR="00BB4436">
        <w:t>89,678</w:t>
      </w:r>
      <w:r w:rsidR="002E3B3A" w:rsidRPr="002E3B3A">
        <w:t xml:space="preserve"> </w:t>
      </w:r>
      <w:r w:rsidRPr="002E3B3A">
        <w:t>for industry + $</w:t>
      </w:r>
      <w:r w:rsidR="00142CC0">
        <w:t>162,652</w:t>
      </w:r>
      <w:r w:rsidRPr="002E3B3A">
        <w:t xml:space="preserve"> for States).</w:t>
      </w:r>
    </w:p>
    <w:p w14:paraId="23AEB12F" w14:textId="77777777" w:rsidR="00CC4BA4" w:rsidRPr="002E3B3A" w:rsidRDefault="00CC4BA4" w:rsidP="00A35E4D">
      <w:pPr>
        <w:ind w:left="720"/>
        <w:rPr>
          <w:color w:val="0070C0"/>
        </w:rPr>
      </w:pPr>
    </w:p>
    <w:p w14:paraId="7FD02612" w14:textId="77777777" w:rsidR="00F8635A" w:rsidRPr="00542969" w:rsidRDefault="00F8635A" w:rsidP="00AF4F64">
      <w:pPr>
        <w:ind w:left="720" w:hanging="720"/>
      </w:pPr>
      <w:r w:rsidRPr="002E3B3A">
        <w:t>13.</w:t>
      </w:r>
      <w:r w:rsidRPr="002E3B3A">
        <w:tab/>
      </w:r>
      <w:r w:rsidRPr="002E3B3A">
        <w:rPr>
          <w:u w:val="single"/>
        </w:rPr>
        <w:t>Total Annual Non-Wage Cost</w:t>
      </w:r>
      <w:r w:rsidRPr="00542969">
        <w:rPr>
          <w:u w:val="single"/>
        </w:rPr>
        <w:t xml:space="preserve"> Burden to Respondents</w:t>
      </w:r>
    </w:p>
    <w:p w14:paraId="6F51841C" w14:textId="77777777" w:rsidR="00F8635A" w:rsidRPr="00542969" w:rsidRDefault="00F8635A" w:rsidP="00AF4F64">
      <w:pPr>
        <w:ind w:left="720" w:hanging="720"/>
      </w:pPr>
    </w:p>
    <w:p w14:paraId="254624E1" w14:textId="77777777" w:rsidR="00F8635A" w:rsidRPr="00542969" w:rsidRDefault="00F8635A" w:rsidP="00044B26">
      <w:pPr>
        <w:ind w:left="720"/>
      </w:pPr>
      <w:r w:rsidRPr="00542969">
        <w:t xml:space="preserve">a.  </w:t>
      </w:r>
      <w:r w:rsidR="00AF4F64" w:rsidRPr="00542969">
        <w:tab/>
      </w:r>
      <w:r w:rsidRPr="00542969">
        <w:rPr>
          <w:u w:val="single"/>
        </w:rPr>
        <w:t>Annual Capital and Start-up Costs</w:t>
      </w:r>
    </w:p>
    <w:p w14:paraId="0F018536" w14:textId="77777777" w:rsidR="00F8635A" w:rsidRPr="00542969" w:rsidRDefault="00F8635A" w:rsidP="00AF4F64">
      <w:pPr>
        <w:ind w:left="720" w:hanging="720"/>
      </w:pPr>
    </w:p>
    <w:p w14:paraId="4860284E" w14:textId="77777777" w:rsidR="00F8635A" w:rsidRPr="00542969" w:rsidRDefault="00AF4F64" w:rsidP="00AF4F64">
      <w:pPr>
        <w:pStyle w:val="BodyTextIndent"/>
        <w:ind w:left="720" w:hanging="720"/>
      </w:pPr>
      <w:r w:rsidRPr="00542969">
        <w:tab/>
      </w:r>
      <w:r w:rsidR="00F8635A" w:rsidRPr="00542969">
        <w:t xml:space="preserve">The information collection requirements of </w:t>
      </w:r>
      <w:r w:rsidR="009D25F8">
        <w:t>§</w:t>
      </w:r>
      <w:r w:rsidR="00F8635A" w:rsidRPr="00542969">
        <w:t>773.6 do not involve any capital or start-up costs apart from expenditures associated with customary business practices.</w:t>
      </w:r>
    </w:p>
    <w:p w14:paraId="2BF72150" w14:textId="77777777" w:rsidR="00F8635A" w:rsidRPr="00542969" w:rsidRDefault="00F8635A" w:rsidP="00AF4F64">
      <w:pPr>
        <w:ind w:left="720" w:hanging="720"/>
      </w:pPr>
    </w:p>
    <w:p w14:paraId="42C5BFE5" w14:textId="77777777" w:rsidR="00F8635A" w:rsidRPr="00542969" w:rsidRDefault="00F8635A" w:rsidP="00044B26">
      <w:pPr>
        <w:ind w:left="720"/>
      </w:pPr>
      <w:r w:rsidRPr="00542969">
        <w:t xml:space="preserve">b.  </w:t>
      </w:r>
      <w:r w:rsidR="00AF4F64" w:rsidRPr="00542969">
        <w:tab/>
      </w:r>
      <w:r w:rsidRPr="00542969">
        <w:rPr>
          <w:u w:val="single"/>
        </w:rPr>
        <w:t>Operation and Maintenance Costs</w:t>
      </w:r>
    </w:p>
    <w:p w14:paraId="375F991F" w14:textId="77777777" w:rsidR="00F8635A" w:rsidRPr="00542969" w:rsidRDefault="00F8635A" w:rsidP="00AF4F64">
      <w:pPr>
        <w:ind w:left="720" w:hanging="720"/>
      </w:pPr>
    </w:p>
    <w:p w14:paraId="69820770" w14:textId="1FE441D2" w:rsidR="00F8635A" w:rsidRPr="00542969" w:rsidRDefault="00AF4F64" w:rsidP="00AF4F64">
      <w:pPr>
        <w:ind w:left="720" w:hanging="720"/>
      </w:pPr>
      <w:r w:rsidRPr="00542969">
        <w:tab/>
      </w:r>
      <w:r w:rsidR="00F8635A" w:rsidRPr="00542969">
        <w:t xml:space="preserve">There are no significant or distinct non-wage operation or maintenance costs associated with compliance with the information collection requirements for this section apart from the newspaper advertisement required under </w:t>
      </w:r>
      <w:r w:rsidR="009D25F8">
        <w:t>§</w:t>
      </w:r>
      <w:r w:rsidR="00F8635A" w:rsidRPr="00542969">
        <w:t>773.6(a)(1).  The newspaper advertisements are estimated to cost $</w:t>
      </w:r>
      <w:r w:rsidR="00FF5DCF">
        <w:t>100</w:t>
      </w:r>
      <w:r w:rsidR="00F8635A" w:rsidRPr="00542969">
        <w:t xml:space="preserve"> each.  Therefore, the total cost of newspaper advertisements to respon</w:t>
      </w:r>
      <w:r w:rsidR="00665650" w:rsidRPr="00542969">
        <w:t>dents is estimated to be $</w:t>
      </w:r>
      <w:r w:rsidR="00142CC0">
        <w:t>92,700</w:t>
      </w:r>
      <w:r w:rsidR="00F8635A" w:rsidRPr="00542969">
        <w:t xml:space="preserve"> ($</w:t>
      </w:r>
      <w:r w:rsidR="00FF5DCF">
        <w:t>100</w:t>
      </w:r>
      <w:r w:rsidR="00665650" w:rsidRPr="00542969">
        <w:t xml:space="preserve"> x </w:t>
      </w:r>
      <w:r w:rsidR="00142CC0">
        <w:t>927</w:t>
      </w:r>
      <w:r w:rsidR="00F8635A" w:rsidRPr="00542969">
        <w:t xml:space="preserve"> respondents).</w:t>
      </w:r>
    </w:p>
    <w:p w14:paraId="3C6430F9" w14:textId="77777777" w:rsidR="00F8635A" w:rsidRPr="00542969" w:rsidRDefault="00F8635A" w:rsidP="00AF4F64">
      <w:pPr>
        <w:ind w:left="720" w:hanging="720"/>
      </w:pPr>
    </w:p>
    <w:p w14:paraId="6AB79FC3" w14:textId="77777777" w:rsidR="00F8635A" w:rsidRPr="00542969" w:rsidRDefault="00F8635A" w:rsidP="00AF4F64">
      <w:pPr>
        <w:ind w:left="720" w:hanging="720"/>
      </w:pPr>
      <w:r w:rsidRPr="00542969">
        <w:t xml:space="preserve">14.  </w:t>
      </w:r>
      <w:r w:rsidR="00AF4F64" w:rsidRPr="00542969">
        <w:tab/>
      </w:r>
      <w:r w:rsidRPr="00542969">
        <w:rPr>
          <w:u w:val="single"/>
        </w:rPr>
        <w:t>Estimate of Cost to the Federal Government</w:t>
      </w:r>
    </w:p>
    <w:p w14:paraId="2178FDD8" w14:textId="77777777" w:rsidR="00F8635A" w:rsidRPr="00542969" w:rsidRDefault="00F8635A" w:rsidP="00AF4F64">
      <w:pPr>
        <w:ind w:left="720" w:hanging="720"/>
      </w:pPr>
    </w:p>
    <w:p w14:paraId="39AF0091" w14:textId="494A0FFF" w:rsidR="002D6549" w:rsidRPr="00542969" w:rsidRDefault="00F8635A" w:rsidP="002D6549">
      <w:pPr>
        <w:ind w:left="720" w:righ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compliance with </w:t>
      </w:r>
      <w:r w:rsidR="009D25F8">
        <w:t>§</w:t>
      </w:r>
      <w:r w:rsidRPr="00542969">
        <w:t xml:space="preserve">773.6 in the absence of an indication of problems.  </w:t>
      </w:r>
      <w:r w:rsidR="00F3663D">
        <w:t>OSMRE</w:t>
      </w:r>
      <w:r w:rsidRPr="00542969">
        <w:t xml:space="preserve"> estimates it will conduct one oversight review of </w:t>
      </w:r>
      <w:r w:rsidR="009D25F8">
        <w:t>§</w:t>
      </w:r>
      <w:r w:rsidRPr="00542969">
        <w:t xml:space="preserve">773.6 in one State per year.  </w:t>
      </w:r>
      <w:r w:rsidR="00F3663D">
        <w:t>OSMRE</w:t>
      </w:r>
      <w:r w:rsidRPr="00542969">
        <w:t xml:space="preserve"> estimates that the oversight review will require 20 hours.  This estimate of review time is unchanged from </w:t>
      </w:r>
      <w:r w:rsidR="00715C6F" w:rsidRPr="00542969">
        <w:t>our</w:t>
      </w:r>
      <w:r w:rsidRPr="00542969">
        <w:t xml:space="preserve"> previous request for information collection approval.</w:t>
      </w:r>
      <w:r w:rsidR="002D6549" w:rsidRPr="00542969">
        <w:t xml:space="preserve">  A GS-13, step 5 environmental scientist with a </w:t>
      </w:r>
      <w:r w:rsidR="002D6549" w:rsidRPr="001804AE">
        <w:t>salary of $</w:t>
      </w:r>
      <w:r w:rsidR="00074141">
        <w:t>47.38</w:t>
      </w:r>
      <w:r w:rsidRPr="001804AE">
        <w:t xml:space="preserve"> </w:t>
      </w:r>
      <w:r w:rsidR="002D6549" w:rsidRPr="001804AE">
        <w:t xml:space="preserve">per hour </w:t>
      </w:r>
      <w:hyperlink r:id="rId12" w:history="1">
        <w:r w:rsidR="00A7166C" w:rsidRPr="00986BF9">
          <w:rPr>
            <w:rStyle w:val="Hyperlink"/>
          </w:rPr>
          <w:t>https://www.opm.gov/policy-data-oversight/pay-leave/salaries-wages/salary-tables/pdf/2018/RUS_h.pdf</w:t>
        </w:r>
      </w:hyperlink>
      <w:r w:rsidR="002D6549" w:rsidRPr="001804AE">
        <w:t>, plu</w:t>
      </w:r>
      <w:r w:rsidR="00DB5A86" w:rsidRPr="001804AE">
        <w:t>s the 1.</w:t>
      </w:r>
      <w:r w:rsidR="00074141">
        <w:t>6</w:t>
      </w:r>
      <w:r w:rsidR="002D6549" w:rsidRPr="001804AE">
        <w:t xml:space="preserve"> multiplier for benefits</w:t>
      </w:r>
      <w:r w:rsidR="00313618" w:rsidRPr="001804AE">
        <w:t xml:space="preserve"> which is derived using </w:t>
      </w:r>
      <w:r w:rsidR="001804AE" w:rsidRPr="001804AE">
        <w:t xml:space="preserve">BLS news release </w:t>
      </w:r>
      <w:r w:rsidR="0051714A" w:rsidRPr="00AE4F81">
        <w:t>BLS news release USDL-</w:t>
      </w:r>
      <w:r w:rsidR="0051714A">
        <w:t>18-1499</w:t>
      </w:r>
      <w:r w:rsidR="0051714A" w:rsidRPr="00AE4F81">
        <w:t xml:space="preserve"> entitled EMPLOYER COSTS FOR EMPLOYEE COMPENSATION—</w:t>
      </w:r>
      <w:r w:rsidR="0051714A">
        <w:t>JUNE 2018</w:t>
      </w:r>
      <w:r w:rsidR="0051714A" w:rsidRPr="00AE4F81">
        <w:t xml:space="preserve"> at - </w:t>
      </w:r>
      <w:hyperlink r:id="rId13" w:history="1">
        <w:r w:rsidR="0051714A" w:rsidRPr="00AE4F81">
          <w:rPr>
            <w:rStyle w:val="Hyperlink"/>
          </w:rPr>
          <w:t>http://www.bls.gov/news.release/pdf/ecec.pdf</w:t>
        </w:r>
      </w:hyperlink>
      <w:r w:rsidR="0051714A" w:rsidRPr="00AE4F81">
        <w:t xml:space="preserve">, dated </w:t>
      </w:r>
      <w:r w:rsidR="0051714A">
        <w:t>September 18</w:t>
      </w:r>
      <w:r w:rsidR="0051714A" w:rsidRPr="00AE4F81">
        <w:t>, 201</w:t>
      </w:r>
      <w:r w:rsidR="0051714A">
        <w:t>8</w:t>
      </w:r>
      <w:r w:rsidR="001804AE" w:rsidRPr="001804AE">
        <w:t xml:space="preserve">, </w:t>
      </w:r>
      <w:r w:rsidR="002D6549" w:rsidRPr="001804AE">
        <w:t>would require $</w:t>
      </w:r>
      <w:r w:rsidR="00074141">
        <w:t>75.81</w:t>
      </w:r>
      <w:r w:rsidR="002D6549" w:rsidRPr="001804AE">
        <w:t xml:space="preserve"> per hour.  Therefore, the annual cost to the Federal government for oversight is </w:t>
      </w:r>
      <w:r w:rsidR="001804AE" w:rsidRPr="001804AE">
        <w:t>$</w:t>
      </w:r>
      <w:r w:rsidR="00074141">
        <w:t>1,516</w:t>
      </w:r>
      <w:r w:rsidR="002D6549" w:rsidRPr="001804AE">
        <w:t xml:space="preserve"> ($</w:t>
      </w:r>
      <w:r w:rsidR="00074141">
        <w:t>75.81</w:t>
      </w:r>
      <w:r w:rsidR="002D6549" w:rsidRPr="001804AE">
        <w:t xml:space="preserve"> X 20</w:t>
      </w:r>
      <w:r w:rsidR="002D6549" w:rsidRPr="00542969">
        <w:t xml:space="preserve"> hours). </w:t>
      </w:r>
    </w:p>
    <w:p w14:paraId="09B57DE4" w14:textId="77777777" w:rsidR="002D6549" w:rsidRPr="00542969" w:rsidRDefault="002D6549" w:rsidP="002D6549">
      <w:pPr>
        <w:ind w:left="720"/>
      </w:pPr>
    </w:p>
    <w:p w14:paraId="12AB44AF" w14:textId="6FA64BA2" w:rsidR="00F8635A" w:rsidRPr="00542969" w:rsidRDefault="00AF4F64" w:rsidP="00AF4F64">
      <w:pPr>
        <w:ind w:left="720" w:hanging="720"/>
      </w:pPr>
      <w:r w:rsidRPr="00542969">
        <w:tab/>
      </w:r>
      <w:r w:rsidR="00F8635A" w:rsidRPr="00542969">
        <w:rPr>
          <w:u w:val="single"/>
        </w:rPr>
        <w:t>Federal Programs</w:t>
      </w:r>
      <w:r w:rsidR="00F8635A" w:rsidRPr="00542969">
        <w:t xml:space="preserve">.  </w:t>
      </w:r>
      <w:r w:rsidR="00F3663D">
        <w:t>OSMRE</w:t>
      </w:r>
      <w:r w:rsidR="00F8635A" w:rsidRPr="00542969">
        <w:t xml:space="preserve"> estimates it will a</w:t>
      </w:r>
      <w:r w:rsidR="00995B34" w:rsidRPr="00542969">
        <w:t xml:space="preserve">nnually receive approximately </w:t>
      </w:r>
      <w:r w:rsidR="0051714A">
        <w:t>7</w:t>
      </w:r>
      <w:r w:rsidR="00F8635A" w:rsidRPr="00542969">
        <w:t xml:space="preserve"> applications for permits on Federal lands and in Federal programs.  This estimate is based </w:t>
      </w:r>
      <w:r w:rsidR="00995B34" w:rsidRPr="00542969">
        <w:t xml:space="preserve">upon data collected for the </w:t>
      </w:r>
      <w:r w:rsidR="00FF5DCF">
        <w:t>201</w:t>
      </w:r>
      <w:r w:rsidR="0051714A">
        <w:t xml:space="preserve">6-2018 </w:t>
      </w:r>
      <w:r w:rsidR="00F8635A" w:rsidRPr="00542969">
        <w:t>evaluation year</w:t>
      </w:r>
      <w:r w:rsidR="0051714A">
        <w:t>s</w:t>
      </w:r>
      <w:r w:rsidR="005C55CB" w:rsidRPr="00542969">
        <w:t xml:space="preserve">.  We estimate </w:t>
      </w:r>
      <w:r w:rsidR="00F3663D">
        <w:t>OSMRE</w:t>
      </w:r>
      <w:r w:rsidR="005C55CB" w:rsidRPr="00542969">
        <w:t xml:space="preserve"> will require </w:t>
      </w:r>
      <w:r w:rsidR="00F8635A" w:rsidRPr="00542969">
        <w:t xml:space="preserve">1 hour to review the information provided under </w:t>
      </w:r>
      <w:r w:rsidR="009D25F8">
        <w:t>§</w:t>
      </w:r>
      <w:r w:rsidR="00995B34" w:rsidRPr="00542969">
        <w:t xml:space="preserve">773.6.  This estimate </w:t>
      </w:r>
      <w:r w:rsidR="004D1A89">
        <w:t xml:space="preserve">is unchanged </w:t>
      </w:r>
      <w:r w:rsidR="00F8635A" w:rsidRPr="00542969">
        <w:t xml:space="preserve">from </w:t>
      </w:r>
      <w:r w:rsidR="00715C6F" w:rsidRPr="00542969">
        <w:t>our</w:t>
      </w:r>
      <w:r w:rsidR="00F8635A" w:rsidRPr="00542969">
        <w:t xml:space="preserve"> previous request for </w:t>
      </w:r>
      <w:r w:rsidR="00F8635A" w:rsidRPr="001804AE">
        <w:t xml:space="preserve">information collection approval for </w:t>
      </w:r>
      <w:r w:rsidR="009D25F8" w:rsidRPr="001804AE">
        <w:t>§</w:t>
      </w:r>
      <w:r w:rsidR="00F8635A" w:rsidRPr="001804AE">
        <w:t xml:space="preserve">773.6 </w:t>
      </w:r>
      <w:r w:rsidR="00313618" w:rsidRPr="001804AE">
        <w:t>in</w:t>
      </w:r>
      <w:r w:rsidR="00F8635A" w:rsidRPr="001804AE">
        <w:t xml:space="preserve"> Federal programs.  The average salary used to estimate Federal wage costs is $</w:t>
      </w:r>
      <w:r w:rsidR="0051714A">
        <w:t>75.81</w:t>
      </w:r>
      <w:r w:rsidR="001C0A85" w:rsidRPr="001804AE">
        <w:t xml:space="preserve"> per hour with benefits as noted</w:t>
      </w:r>
      <w:r w:rsidR="00F8635A" w:rsidRPr="001804AE">
        <w:t xml:space="preserve"> </w:t>
      </w:r>
      <w:r w:rsidR="001C0A85" w:rsidRPr="001804AE">
        <w:t>above</w:t>
      </w:r>
      <w:r w:rsidR="00F8635A" w:rsidRPr="001804AE">
        <w:t>.  Therefore, the e</w:t>
      </w:r>
      <w:r w:rsidR="00995B34" w:rsidRPr="001804AE">
        <w:t xml:space="preserve">stimated cost to </w:t>
      </w:r>
      <w:r w:rsidR="00F3663D" w:rsidRPr="001804AE">
        <w:t>OSMRE</w:t>
      </w:r>
      <w:r w:rsidR="00995B34" w:rsidRPr="001804AE">
        <w:t xml:space="preserve"> to review</w:t>
      </w:r>
      <w:r w:rsidR="001C0A85" w:rsidRPr="001804AE">
        <w:t xml:space="preserve"> the </w:t>
      </w:r>
      <w:r w:rsidR="0051714A">
        <w:t>7</w:t>
      </w:r>
      <w:r w:rsidR="00F8635A" w:rsidRPr="001804AE">
        <w:t xml:space="preserve"> Federal applications under </w:t>
      </w:r>
      <w:r w:rsidR="004A050B" w:rsidRPr="001804AE">
        <w:t>§</w:t>
      </w:r>
      <w:r w:rsidR="00F8635A" w:rsidRPr="001804AE">
        <w:t>773.6 is $</w:t>
      </w:r>
      <w:r w:rsidR="0051714A">
        <w:t>531</w:t>
      </w:r>
      <w:r w:rsidR="005C55CB" w:rsidRPr="001804AE">
        <w:t xml:space="preserve"> (</w:t>
      </w:r>
      <w:r w:rsidR="00FF5DCF" w:rsidRPr="001804AE">
        <w:t>7</w:t>
      </w:r>
      <w:r w:rsidR="00F8635A" w:rsidRPr="001804AE">
        <w:t xml:space="preserve"> applications x 1 hour per review x $</w:t>
      </w:r>
      <w:r w:rsidR="0051714A">
        <w:t>75.81</w:t>
      </w:r>
      <w:r w:rsidR="00F8635A" w:rsidRPr="001804AE">
        <w:t xml:space="preserve"> per hour).</w:t>
      </w:r>
    </w:p>
    <w:p w14:paraId="4F76B189" w14:textId="77777777" w:rsidR="00F8635A" w:rsidRPr="00542969" w:rsidRDefault="00F8635A" w:rsidP="00AF4F64">
      <w:pPr>
        <w:ind w:left="720" w:hanging="720"/>
      </w:pPr>
    </w:p>
    <w:p w14:paraId="1785A4F2" w14:textId="1725A129" w:rsidR="00F8635A" w:rsidRPr="00542969" w:rsidRDefault="00AF4F64" w:rsidP="00AF4F64">
      <w:pPr>
        <w:ind w:left="720" w:hanging="720"/>
      </w:pPr>
      <w:r w:rsidRPr="00542969">
        <w:tab/>
      </w:r>
      <w:r w:rsidR="00F8635A" w:rsidRPr="00542969">
        <w:t xml:space="preserve">Therefore, the </w:t>
      </w:r>
      <w:r w:rsidR="00715C6F" w:rsidRPr="00542969">
        <w:t xml:space="preserve">total </w:t>
      </w:r>
      <w:r w:rsidR="00F8635A" w:rsidRPr="00542969">
        <w:t xml:space="preserve">cost to the Federal Government </w:t>
      </w:r>
      <w:r w:rsidR="009D25F8">
        <w:t>for §</w:t>
      </w:r>
      <w:r w:rsidR="00F8635A" w:rsidRPr="00542969">
        <w:t xml:space="preserve">773.6 is estimated to be </w:t>
      </w:r>
      <w:r w:rsidR="00F8635A" w:rsidRPr="001804AE">
        <w:t>$</w:t>
      </w:r>
      <w:r w:rsidR="0051714A">
        <w:t>2,047</w:t>
      </w:r>
      <w:r w:rsidR="001804AE" w:rsidRPr="001804AE">
        <w:t xml:space="preserve"> </w:t>
      </w:r>
      <w:r w:rsidR="00F8635A" w:rsidRPr="001804AE">
        <w:t>($</w:t>
      </w:r>
      <w:r w:rsidR="0051714A">
        <w:t>1,516</w:t>
      </w:r>
      <w:r w:rsidR="00F8635A" w:rsidRPr="001804AE">
        <w:t xml:space="preserve"> for overs</w:t>
      </w:r>
      <w:r w:rsidR="004211D6" w:rsidRPr="001804AE">
        <w:t>ight + $</w:t>
      </w:r>
      <w:r w:rsidR="0051714A">
        <w:t>531</w:t>
      </w:r>
      <w:r w:rsidR="00F8635A" w:rsidRPr="001804AE">
        <w:t xml:space="preserve"> for Federal</w:t>
      </w:r>
      <w:r w:rsidR="00F8635A" w:rsidRPr="00542969">
        <w:t xml:space="preserve"> programs).</w:t>
      </w:r>
    </w:p>
    <w:p w14:paraId="7D159906" w14:textId="77777777" w:rsidR="00F8635A" w:rsidRPr="00542969" w:rsidRDefault="00F8635A" w:rsidP="00AF4F64">
      <w:pPr>
        <w:pStyle w:val="BodyTextIndent"/>
        <w:ind w:left="720" w:hanging="720"/>
      </w:pPr>
    </w:p>
    <w:p w14:paraId="409C7577" w14:textId="171B0142" w:rsidR="00F8635A" w:rsidRPr="00542969" w:rsidRDefault="00F8635A" w:rsidP="009544B8">
      <w:pPr>
        <w:pStyle w:val="BodyTextIndent"/>
        <w:ind w:left="720" w:hanging="720"/>
      </w:pPr>
      <w:r w:rsidRPr="00542969">
        <w:t xml:space="preserve">15. </w:t>
      </w:r>
      <w:r w:rsidR="00AF4F64" w:rsidRPr="00542969">
        <w:tab/>
      </w:r>
      <w:r w:rsidR="00882BC9">
        <w:t xml:space="preserve">This </w:t>
      </w:r>
      <w:r w:rsidR="009544B8">
        <w:t>information collection request</w:t>
      </w:r>
      <w:r w:rsidR="00882BC9">
        <w:t xml:space="preserve"> increases the burden for this section by 952 hours primarily due to a modest increase in the number of </w:t>
      </w:r>
      <w:r w:rsidR="009544B8">
        <w:t>informal conferences</w:t>
      </w:r>
      <w:r w:rsidR="00882BC9">
        <w:t xml:space="preserve"> held by States</w:t>
      </w:r>
      <w:r w:rsidR="009544B8">
        <w:t xml:space="preserve">.  </w:t>
      </w:r>
      <w:r w:rsidRPr="00542969">
        <w:t>The estimated change in burden hours is shown below.</w:t>
      </w:r>
      <w:r w:rsidR="009544B8">
        <w:t xml:space="preserve">  </w:t>
      </w:r>
    </w:p>
    <w:p w14:paraId="4D531A7D" w14:textId="77777777" w:rsidR="00F8635A" w:rsidRPr="00542969" w:rsidRDefault="00F8635A" w:rsidP="00AF4F64">
      <w:pPr>
        <w:tabs>
          <w:tab w:val="left" w:pos="1080"/>
        </w:tabs>
        <w:ind w:left="720" w:hanging="720"/>
      </w:pPr>
    </w:p>
    <w:p w14:paraId="082C1976" w14:textId="19A45752" w:rsidR="00F8635A" w:rsidRDefault="00A46E12" w:rsidP="00AF4F64">
      <w:pPr>
        <w:tabs>
          <w:tab w:val="left" w:pos="1080"/>
        </w:tabs>
        <w:ind w:left="720" w:hanging="720"/>
      </w:pPr>
      <w:r w:rsidRPr="00542969">
        <w:tab/>
        <w:t xml:space="preserve">  </w:t>
      </w:r>
      <w:r w:rsidR="00266657">
        <w:tab/>
      </w:r>
      <w:r w:rsidR="00186AEF">
        <w:t xml:space="preserve"> </w:t>
      </w:r>
      <w:r w:rsidR="0051714A">
        <w:t>6,199</w:t>
      </w:r>
      <w:r w:rsidR="00860C35">
        <w:t xml:space="preserve"> </w:t>
      </w:r>
      <w:r w:rsidR="009D5486" w:rsidRPr="00542969">
        <w:t xml:space="preserve"> </w:t>
      </w:r>
      <w:r w:rsidR="00F8635A" w:rsidRPr="00542969">
        <w:t>hours currently approved</w:t>
      </w:r>
    </w:p>
    <w:p w14:paraId="1757018F" w14:textId="43B4306C" w:rsidR="00F8635A" w:rsidRPr="00542969" w:rsidRDefault="00266657" w:rsidP="00AF4F64">
      <w:pPr>
        <w:tabs>
          <w:tab w:val="left" w:pos="1080"/>
        </w:tabs>
        <w:ind w:left="720" w:hanging="720"/>
      </w:pPr>
      <w:r>
        <w:tab/>
      </w:r>
      <w:r w:rsidR="00F8635A" w:rsidRPr="00542969">
        <w:tab/>
      </w:r>
      <w:r w:rsidR="00A46E12" w:rsidRPr="00BE6E08">
        <w:rPr>
          <w:u w:val="single"/>
        </w:rPr>
        <w:t>+</w:t>
      </w:r>
      <w:r w:rsidR="007172B7">
        <w:rPr>
          <w:u w:val="single"/>
        </w:rPr>
        <w:t xml:space="preserve"> </w:t>
      </w:r>
      <w:r w:rsidR="0051714A">
        <w:rPr>
          <w:u w:val="single"/>
        </w:rPr>
        <w:t xml:space="preserve"> 952</w:t>
      </w:r>
      <w:r w:rsidR="00BE6E08">
        <w:t xml:space="preserve">  </w:t>
      </w:r>
      <w:r w:rsidR="00F8635A" w:rsidRPr="00BE6E08">
        <w:t>hours</w:t>
      </w:r>
      <w:r w:rsidR="001730B5" w:rsidRPr="00542969">
        <w:t xml:space="preserve"> due to</w:t>
      </w:r>
      <w:r w:rsidR="004D5E0E">
        <w:t xml:space="preserve"> </w:t>
      </w:r>
      <w:r w:rsidR="00044B26" w:rsidRPr="00542969">
        <w:t>adjustment</w:t>
      </w:r>
      <w:r w:rsidR="00BE6E08">
        <w:t>s</w:t>
      </w:r>
    </w:p>
    <w:p w14:paraId="7FE3811E" w14:textId="72B285F5" w:rsidR="00F8635A" w:rsidRPr="00542969" w:rsidRDefault="00F8635A" w:rsidP="009544B8">
      <w:pPr>
        <w:pStyle w:val="BodyTextIndent"/>
        <w:tabs>
          <w:tab w:val="left" w:pos="1080"/>
        </w:tabs>
        <w:ind w:left="720" w:hanging="720"/>
      </w:pPr>
      <w:r w:rsidRPr="00542969">
        <w:tab/>
      </w:r>
      <w:r w:rsidR="009544B8">
        <w:tab/>
      </w:r>
      <w:r w:rsidR="00186AEF">
        <w:t xml:space="preserve"> </w:t>
      </w:r>
      <w:r w:rsidR="00F613D4">
        <w:t xml:space="preserve"> </w:t>
      </w:r>
      <w:r w:rsidR="0051714A">
        <w:t>7,151</w:t>
      </w:r>
      <w:r w:rsidR="00AA088F" w:rsidRPr="00542969">
        <w:t xml:space="preserve"> </w:t>
      </w:r>
      <w:r w:rsidR="009D5486" w:rsidRPr="00542969">
        <w:t xml:space="preserve"> </w:t>
      </w:r>
      <w:r w:rsidR="00AA088F" w:rsidRPr="00542969">
        <w:t>hours requested</w:t>
      </w:r>
    </w:p>
    <w:p w14:paraId="55DD689D" w14:textId="77777777" w:rsidR="00F8635A" w:rsidRDefault="00F8635A" w:rsidP="00AF4F64">
      <w:pPr>
        <w:ind w:left="720" w:hanging="720"/>
      </w:pPr>
    </w:p>
    <w:p w14:paraId="2A032DAC" w14:textId="083EE831" w:rsidR="00691274" w:rsidRDefault="00691274" w:rsidP="004F5A07">
      <w:pPr>
        <w:ind w:left="720" w:hanging="720"/>
      </w:pPr>
      <w:r>
        <w:tab/>
        <w:t xml:space="preserve">This collection </w:t>
      </w:r>
      <w:r w:rsidRPr="001804AE">
        <w:t xml:space="preserve">request </w:t>
      </w:r>
      <w:r w:rsidR="004F5A07" w:rsidRPr="001804AE">
        <w:t>includes $</w:t>
      </w:r>
      <w:r w:rsidR="0051714A">
        <w:t>92,700</w:t>
      </w:r>
      <w:r w:rsidR="004F5A07" w:rsidRPr="001804AE">
        <w:t xml:space="preserve"> in non-wage costs, a </w:t>
      </w:r>
      <w:r w:rsidR="0051714A">
        <w:t>de</w:t>
      </w:r>
      <w:r w:rsidR="004F5A07" w:rsidRPr="001804AE">
        <w:t>crease of $</w:t>
      </w:r>
      <w:r w:rsidR="0051714A">
        <w:t>1,500</w:t>
      </w:r>
      <w:r w:rsidR="004F5A07" w:rsidRPr="001804AE">
        <w:t xml:space="preserve"> due to </w:t>
      </w:r>
      <w:r w:rsidR="0051714A">
        <w:t>a slight reduction in the number of permit actions that require</w:t>
      </w:r>
      <w:r w:rsidR="009544B8">
        <w:t xml:space="preserve"> newspaper advertisements</w:t>
      </w:r>
      <w:r w:rsidR="004F5A07" w:rsidRPr="001804AE">
        <w:t>.</w:t>
      </w:r>
    </w:p>
    <w:p w14:paraId="56FBE2C5" w14:textId="77777777" w:rsidR="004F5A07" w:rsidRPr="00542969" w:rsidRDefault="004F5A07" w:rsidP="004F5A07">
      <w:pPr>
        <w:ind w:left="720" w:hanging="720"/>
      </w:pPr>
    </w:p>
    <w:p w14:paraId="18377DC1" w14:textId="77777777" w:rsidR="00F8635A" w:rsidRPr="00542969" w:rsidRDefault="00F8635A" w:rsidP="00AF4F64">
      <w:pPr>
        <w:ind w:left="720" w:hanging="720"/>
      </w:pPr>
      <w:r w:rsidRPr="00542969">
        <w:t xml:space="preserve">16. </w:t>
      </w:r>
      <w:r w:rsidR="00AF4F64" w:rsidRPr="00542969">
        <w:tab/>
      </w:r>
      <w:r w:rsidRPr="00542969">
        <w:t>See Identical Responses to Statements.</w:t>
      </w:r>
    </w:p>
    <w:p w14:paraId="23E014F4" w14:textId="77777777" w:rsidR="00F8635A" w:rsidRPr="00542969" w:rsidRDefault="00F8635A" w:rsidP="00AF4F64">
      <w:pPr>
        <w:ind w:left="720" w:hanging="720"/>
      </w:pPr>
    </w:p>
    <w:p w14:paraId="6690A530" w14:textId="77777777" w:rsidR="00F8635A" w:rsidRPr="00542969" w:rsidRDefault="00F8635A" w:rsidP="00AF4F64">
      <w:pPr>
        <w:ind w:left="720" w:hanging="720"/>
      </w:pPr>
      <w:r w:rsidRPr="00542969">
        <w:t xml:space="preserve">17.  </w:t>
      </w:r>
      <w:r w:rsidR="00AF4F64" w:rsidRPr="00542969">
        <w:tab/>
      </w:r>
      <w:r w:rsidRPr="00542969">
        <w:t>See Identical Responses to Statements.</w:t>
      </w:r>
    </w:p>
    <w:p w14:paraId="561E0664" w14:textId="77777777" w:rsidR="00F8635A" w:rsidRPr="00542969" w:rsidRDefault="00F8635A" w:rsidP="00AF4F64">
      <w:pPr>
        <w:ind w:left="720" w:hanging="720"/>
      </w:pPr>
    </w:p>
    <w:p w14:paraId="58E81001" w14:textId="77777777" w:rsidR="00F8635A" w:rsidRPr="00542969" w:rsidRDefault="00F8635A" w:rsidP="00AF4F64">
      <w:pPr>
        <w:ind w:left="720" w:hanging="720"/>
      </w:pPr>
      <w:r w:rsidRPr="00542969">
        <w:t xml:space="preserve">18.  </w:t>
      </w:r>
      <w:r w:rsidR="00AF4F64" w:rsidRPr="00542969">
        <w:tab/>
      </w:r>
      <w:r w:rsidRPr="00542969">
        <w:t>See Identical Responses to Statements.</w:t>
      </w:r>
    </w:p>
    <w:p w14:paraId="59BAE2DC" w14:textId="77777777" w:rsidR="00DE165B" w:rsidRPr="009D25F8" w:rsidRDefault="00DE165B" w:rsidP="00DB7FE2">
      <w:pPr>
        <w:ind w:left="720" w:hanging="720"/>
        <w:jc w:val="center"/>
        <w:rPr>
          <w:sz w:val="28"/>
          <w:szCs w:val="28"/>
        </w:rPr>
      </w:pPr>
      <w:r w:rsidRPr="00542969">
        <w:br w:type="page"/>
      </w:r>
      <w:r w:rsidRPr="009D25F8">
        <w:rPr>
          <w:b/>
          <w:bCs/>
          <w:sz w:val="28"/>
          <w:szCs w:val="28"/>
        </w:rPr>
        <w:t>Section 773.7(a)</w:t>
      </w:r>
      <w:r w:rsidR="00500F1E" w:rsidRPr="009D25F8">
        <w:rPr>
          <w:b/>
          <w:bCs/>
          <w:sz w:val="28"/>
          <w:szCs w:val="28"/>
        </w:rPr>
        <w:t xml:space="preserve"> – Review of permit applications</w:t>
      </w:r>
    </w:p>
    <w:p w14:paraId="719DEC5C" w14:textId="77777777" w:rsidR="00DE165B" w:rsidRPr="00542969" w:rsidRDefault="00DE165B" w:rsidP="00DE165B"/>
    <w:p w14:paraId="5281687A" w14:textId="77777777" w:rsidR="00DE165B" w:rsidRPr="00542969" w:rsidRDefault="00DE165B" w:rsidP="00DB7FE2">
      <w:pPr>
        <w:rPr>
          <w:b/>
          <w:bCs/>
        </w:rPr>
      </w:pPr>
      <w:r w:rsidRPr="00542969">
        <w:rPr>
          <w:b/>
          <w:bCs/>
          <w:u w:val="single"/>
        </w:rPr>
        <w:t>Justification</w:t>
      </w:r>
    </w:p>
    <w:p w14:paraId="4991EF41" w14:textId="77777777" w:rsidR="00DE165B" w:rsidRPr="00542969" w:rsidRDefault="00DE165B" w:rsidP="00044B26">
      <w:pPr>
        <w:ind w:left="720" w:hanging="720"/>
      </w:pPr>
    </w:p>
    <w:p w14:paraId="7E946FC5" w14:textId="77777777" w:rsidR="00DE165B" w:rsidRPr="00542969" w:rsidRDefault="00044B26" w:rsidP="00044B26">
      <w:pPr>
        <w:ind w:left="720" w:hanging="720"/>
      </w:pPr>
      <w:r w:rsidRPr="00542969">
        <w:t>1.</w:t>
      </w:r>
      <w:r w:rsidRPr="00542969">
        <w:tab/>
      </w:r>
      <w:r w:rsidR="00DE165B" w:rsidRPr="00542969">
        <w:t xml:space="preserve">Section 773.7(a) requires regulatory authorities to review applications for </w:t>
      </w:r>
      <w:r w:rsidR="00637322" w:rsidRPr="00542969">
        <w:t xml:space="preserve">new </w:t>
      </w:r>
      <w:r w:rsidR="00DE165B" w:rsidRPr="00542969">
        <w:t xml:space="preserve">permits, </w:t>
      </w:r>
      <w:r w:rsidR="007A1DF6" w:rsidRPr="00542969">
        <w:t xml:space="preserve">permit </w:t>
      </w:r>
      <w:r w:rsidR="00DE165B" w:rsidRPr="00542969">
        <w:t xml:space="preserve">revisions, </w:t>
      </w:r>
      <w:r w:rsidR="007A1DF6" w:rsidRPr="00542969">
        <w:t xml:space="preserve">permit </w:t>
      </w:r>
      <w:r w:rsidR="00DE165B" w:rsidRPr="00542969">
        <w:t>renewals</w:t>
      </w:r>
      <w:r w:rsidR="00A97CA2">
        <w:t>;</w:t>
      </w:r>
      <w:r w:rsidR="00DE165B" w:rsidRPr="00542969">
        <w:t xml:space="preserve"> written comments and objections</w:t>
      </w:r>
      <w:r w:rsidR="007A1DF6" w:rsidRPr="00542969">
        <w:t xml:space="preserve"> on these applications</w:t>
      </w:r>
      <w:r w:rsidR="00A97CA2">
        <w:t>;</w:t>
      </w:r>
      <w:r w:rsidR="00DE165B" w:rsidRPr="00542969">
        <w:t xml:space="preserve"> and written records of any informal conference or hearing</w:t>
      </w:r>
      <w:r w:rsidR="007A1DF6" w:rsidRPr="00542969">
        <w:t xml:space="preserve"> held on these applications</w:t>
      </w:r>
      <w:r w:rsidR="00DE165B" w:rsidRPr="00542969">
        <w:t xml:space="preserve">.  </w:t>
      </w:r>
      <w:r w:rsidR="002D52BD" w:rsidRPr="00542969">
        <w:t>S</w:t>
      </w:r>
      <w:r w:rsidR="00DE165B" w:rsidRPr="00542969">
        <w:t xml:space="preserve">ection 773.7(a) is authorized under section </w:t>
      </w:r>
      <w:r w:rsidR="00083E71" w:rsidRPr="00542969">
        <w:t xml:space="preserve">510(a) </w:t>
      </w:r>
      <w:r w:rsidR="00DE165B" w:rsidRPr="00542969">
        <w:t xml:space="preserve">of SMCRA.  The </w:t>
      </w:r>
      <w:r w:rsidR="002D52BD" w:rsidRPr="00542969">
        <w:t xml:space="preserve">end product </w:t>
      </w:r>
      <w:r w:rsidR="00DE165B" w:rsidRPr="00542969">
        <w:t>of the</w:t>
      </w:r>
      <w:r w:rsidR="002D52BD" w:rsidRPr="00542969">
        <w:t>se</w:t>
      </w:r>
      <w:r w:rsidR="00DE165B" w:rsidRPr="00542969">
        <w:t xml:space="preserve"> review</w:t>
      </w:r>
      <w:r w:rsidR="002D52BD" w:rsidRPr="00542969">
        <w:t>s</w:t>
      </w:r>
      <w:r w:rsidR="00DE165B" w:rsidRPr="00542969">
        <w:t xml:space="preserve"> is a written decision </w:t>
      </w:r>
      <w:r w:rsidR="00A63A00" w:rsidRPr="00542969">
        <w:t xml:space="preserve">issued by regulatory authorities </w:t>
      </w:r>
      <w:r w:rsidR="00DE165B" w:rsidRPr="00542969">
        <w:t xml:space="preserve">as to whether an application for a </w:t>
      </w:r>
      <w:r w:rsidR="00637322" w:rsidRPr="00542969">
        <w:t xml:space="preserve">new </w:t>
      </w:r>
      <w:r w:rsidR="00DE165B" w:rsidRPr="00542969">
        <w:t xml:space="preserve">permit, </w:t>
      </w:r>
      <w:r w:rsidR="00637322" w:rsidRPr="00542969">
        <w:t xml:space="preserve">permit </w:t>
      </w:r>
      <w:r w:rsidR="00DE165B" w:rsidRPr="00542969">
        <w:t>revision</w:t>
      </w:r>
      <w:r w:rsidR="002D52BD" w:rsidRPr="00542969">
        <w:t>,</w:t>
      </w:r>
      <w:r w:rsidR="00DE165B" w:rsidRPr="00542969">
        <w:t xml:space="preserve"> or </w:t>
      </w:r>
      <w:r w:rsidR="00637322" w:rsidRPr="00542969">
        <w:t xml:space="preserve">permit </w:t>
      </w:r>
      <w:r w:rsidR="00DE165B" w:rsidRPr="00542969">
        <w:t>renewal is administratively complete.</w:t>
      </w:r>
      <w:r w:rsidR="00083E71" w:rsidRPr="00542969">
        <w:t xml:space="preserve"> </w:t>
      </w:r>
    </w:p>
    <w:p w14:paraId="1F90CCA2" w14:textId="77777777" w:rsidR="00184D69" w:rsidRPr="00542969" w:rsidRDefault="00184D69" w:rsidP="00044B26">
      <w:pPr>
        <w:ind w:left="720" w:hanging="720"/>
      </w:pPr>
    </w:p>
    <w:p w14:paraId="11072444" w14:textId="327C6BFD" w:rsidR="00184D69" w:rsidRPr="00542969" w:rsidRDefault="00044B26" w:rsidP="00044B26">
      <w:pPr>
        <w:ind w:left="720" w:hanging="720"/>
      </w:pPr>
      <w:r w:rsidRPr="00542969">
        <w:t>2.</w:t>
      </w:r>
      <w:r w:rsidRPr="00542969">
        <w:tab/>
      </w:r>
      <w:r w:rsidR="00083E71" w:rsidRPr="00542969">
        <w:t xml:space="preserve">Respondents under section 507(a) are </w:t>
      </w:r>
      <w:r w:rsidR="002653EC">
        <w:t>SRAs</w:t>
      </w:r>
      <w:r w:rsidR="00083E71" w:rsidRPr="00542969">
        <w:t xml:space="preserve">.  </w:t>
      </w:r>
      <w:r w:rsidR="002653EC">
        <w:t>SRAs</w:t>
      </w:r>
      <w:r w:rsidR="00083E71" w:rsidRPr="00542969">
        <w:t xml:space="preserve"> are required to review each application for a </w:t>
      </w:r>
      <w:r w:rsidR="00637322" w:rsidRPr="00542969">
        <w:t xml:space="preserve">new </w:t>
      </w:r>
      <w:r w:rsidR="00083E71" w:rsidRPr="00542969">
        <w:t xml:space="preserve">permit, </w:t>
      </w:r>
      <w:r w:rsidR="00637322" w:rsidRPr="00542969">
        <w:t xml:space="preserve">permit </w:t>
      </w:r>
      <w:r w:rsidR="00083E71" w:rsidRPr="00542969">
        <w:t xml:space="preserve">revision, and </w:t>
      </w:r>
      <w:r w:rsidR="00637322" w:rsidRPr="00542969">
        <w:t xml:space="preserve">permit </w:t>
      </w:r>
      <w:r w:rsidR="00083E71" w:rsidRPr="00542969">
        <w:t xml:space="preserve">renewal.  </w:t>
      </w:r>
      <w:r w:rsidR="002653EC">
        <w:t>SRAs</w:t>
      </w:r>
      <w:r w:rsidR="00083E71" w:rsidRPr="00542969">
        <w:t xml:space="preserve"> also are required to review any comments and objections submitted on an application for a </w:t>
      </w:r>
      <w:r w:rsidR="00637322" w:rsidRPr="00542969">
        <w:t xml:space="preserve">new </w:t>
      </w:r>
      <w:r w:rsidR="00083E71" w:rsidRPr="00542969">
        <w:t xml:space="preserve">permit, </w:t>
      </w:r>
      <w:r w:rsidR="00637322" w:rsidRPr="00542969">
        <w:t xml:space="preserve">permit </w:t>
      </w:r>
      <w:r w:rsidR="00083E71" w:rsidRPr="00542969">
        <w:t xml:space="preserve">revision, or </w:t>
      </w:r>
      <w:r w:rsidR="00637322" w:rsidRPr="00542969">
        <w:t xml:space="preserve">permit </w:t>
      </w:r>
      <w:r w:rsidR="00083E71" w:rsidRPr="00542969">
        <w:t>renewal</w:t>
      </w:r>
      <w:r w:rsidR="007703B9" w:rsidRPr="00542969">
        <w:t xml:space="preserve"> as well as the record of any informal conference or hearing held concerning an application for a </w:t>
      </w:r>
      <w:r w:rsidR="00637322" w:rsidRPr="00542969">
        <w:t xml:space="preserve">new </w:t>
      </w:r>
      <w:r w:rsidR="007703B9" w:rsidRPr="00542969">
        <w:t xml:space="preserve">permit, </w:t>
      </w:r>
      <w:r w:rsidR="00637322" w:rsidRPr="00542969">
        <w:t xml:space="preserve">permit </w:t>
      </w:r>
      <w:r w:rsidR="007703B9" w:rsidRPr="00542969">
        <w:t xml:space="preserve">revision, or </w:t>
      </w:r>
      <w:r w:rsidR="00637322" w:rsidRPr="00542969">
        <w:t xml:space="preserve">permit </w:t>
      </w:r>
      <w:r w:rsidR="007703B9" w:rsidRPr="00542969">
        <w:t xml:space="preserve">renewal.  After the reviews in </w:t>
      </w:r>
      <w:r w:rsidR="00E44E61">
        <w:t>§</w:t>
      </w:r>
      <w:r w:rsidR="007703B9" w:rsidRPr="00542969">
        <w:t xml:space="preserve">773.7, the </w:t>
      </w:r>
      <w:r w:rsidR="000A4459">
        <w:t>SRA</w:t>
      </w:r>
      <w:r w:rsidR="00DE165B" w:rsidRPr="00542969">
        <w:t xml:space="preserve"> </w:t>
      </w:r>
      <w:r w:rsidR="007703B9" w:rsidRPr="00542969">
        <w:t xml:space="preserve">is required to issue a written decision as to whether an application is administratively complete.  Only an administratively complete application will continue </w:t>
      </w:r>
      <w:r w:rsidR="002D52BD" w:rsidRPr="00542969">
        <w:t>through</w:t>
      </w:r>
      <w:r w:rsidR="007703B9" w:rsidRPr="00542969">
        <w:t xml:space="preserve"> the review process in 30 </w:t>
      </w:r>
      <w:smartTag w:uri="urn:schemas-microsoft-com:office:smarttags" w:element="stockticker">
        <w:r w:rsidR="007703B9" w:rsidRPr="00542969">
          <w:t>CFR</w:t>
        </w:r>
      </w:smartTag>
      <w:r w:rsidR="009F76D8" w:rsidRPr="00542969">
        <w:t xml:space="preserve"> </w:t>
      </w:r>
      <w:r w:rsidR="008A381D">
        <w:t>Part</w:t>
      </w:r>
      <w:r w:rsidR="007703B9" w:rsidRPr="00542969">
        <w:t xml:space="preserve"> 773 towards a regulatory authority determination of permit eligibility under </w:t>
      </w:r>
      <w:r w:rsidR="00E44E61">
        <w:t>§</w:t>
      </w:r>
      <w:r w:rsidR="007703B9" w:rsidRPr="00542969">
        <w:t xml:space="preserve">773.12 and </w:t>
      </w:r>
      <w:r w:rsidR="002D52BD" w:rsidRPr="00542969">
        <w:t xml:space="preserve">the additional provisions under 30 </w:t>
      </w:r>
      <w:smartTag w:uri="urn:schemas-microsoft-com:office:smarttags" w:element="stockticker">
        <w:r w:rsidR="002D52BD" w:rsidRPr="00542969">
          <w:t>CFR</w:t>
        </w:r>
      </w:smartTag>
      <w:r w:rsidR="009F76D8" w:rsidRPr="00542969">
        <w:t xml:space="preserve"> </w:t>
      </w:r>
      <w:r w:rsidR="008A381D">
        <w:t>Part</w:t>
      </w:r>
      <w:r w:rsidR="002D52BD" w:rsidRPr="00542969">
        <w:t xml:space="preserve"> 773</w:t>
      </w:r>
      <w:r w:rsidR="007703B9" w:rsidRPr="00542969">
        <w:t>.</w:t>
      </w:r>
    </w:p>
    <w:p w14:paraId="5A070E22" w14:textId="77777777" w:rsidR="00184D69" w:rsidRPr="00542969" w:rsidRDefault="00184D69" w:rsidP="00044B26">
      <w:pPr>
        <w:ind w:left="720" w:hanging="720"/>
      </w:pPr>
    </w:p>
    <w:p w14:paraId="5BB6087D" w14:textId="77777777" w:rsidR="00184D69" w:rsidRPr="00542969" w:rsidRDefault="00044B26" w:rsidP="00044B26">
      <w:pPr>
        <w:ind w:left="720" w:hanging="720"/>
      </w:pPr>
      <w:r w:rsidRPr="00542969">
        <w:t>3.</w:t>
      </w:r>
      <w:r w:rsidRPr="00542969">
        <w:tab/>
      </w:r>
      <w:r w:rsidR="00184D69" w:rsidRPr="00542969">
        <w:t>See Identical Responses to Statements.</w:t>
      </w:r>
    </w:p>
    <w:p w14:paraId="717090F4" w14:textId="77777777" w:rsidR="00184D69" w:rsidRPr="00542969" w:rsidRDefault="00184D69" w:rsidP="00044B26">
      <w:pPr>
        <w:ind w:left="720" w:hanging="720"/>
      </w:pPr>
    </w:p>
    <w:p w14:paraId="0675CFEA" w14:textId="77777777" w:rsidR="00184D69" w:rsidRPr="00542969" w:rsidRDefault="00184D69" w:rsidP="00044B26">
      <w:pPr>
        <w:ind w:left="720" w:hanging="720"/>
      </w:pPr>
      <w:r w:rsidRPr="00542969">
        <w:t xml:space="preserve">4.  </w:t>
      </w:r>
      <w:r w:rsidR="00044B26" w:rsidRPr="00542969">
        <w:tab/>
      </w:r>
      <w:r w:rsidRPr="00542969">
        <w:t>See Identical Responses to Statements.</w:t>
      </w:r>
    </w:p>
    <w:p w14:paraId="70B5ED71" w14:textId="77777777" w:rsidR="00184D69" w:rsidRPr="00542969" w:rsidRDefault="00184D69" w:rsidP="00044B26">
      <w:pPr>
        <w:ind w:left="720" w:hanging="720"/>
      </w:pPr>
    </w:p>
    <w:p w14:paraId="0E62F30D" w14:textId="77777777" w:rsidR="00184D69" w:rsidRPr="00542969" w:rsidRDefault="00184D69" w:rsidP="00044B26">
      <w:pPr>
        <w:ind w:left="720" w:hanging="720"/>
      </w:pPr>
      <w:r w:rsidRPr="00542969">
        <w:t xml:space="preserve">5.  </w:t>
      </w:r>
      <w:r w:rsidR="00044B26" w:rsidRPr="00542969">
        <w:tab/>
      </w:r>
      <w:r w:rsidRPr="00542969">
        <w:t>See Identical Responses to Statements.</w:t>
      </w:r>
    </w:p>
    <w:p w14:paraId="0512FBE3" w14:textId="77777777" w:rsidR="00184D69" w:rsidRPr="00542969" w:rsidRDefault="00184D69" w:rsidP="00044B26">
      <w:pPr>
        <w:ind w:left="720" w:hanging="720"/>
      </w:pPr>
    </w:p>
    <w:p w14:paraId="4455F5DA" w14:textId="77777777" w:rsidR="00184D69" w:rsidRPr="00542969" w:rsidRDefault="00184D69" w:rsidP="00044B26">
      <w:pPr>
        <w:ind w:left="720" w:hanging="720"/>
      </w:pPr>
      <w:r w:rsidRPr="00542969">
        <w:t xml:space="preserve">6.  </w:t>
      </w:r>
      <w:r w:rsidR="00044B26" w:rsidRPr="00542969">
        <w:tab/>
      </w:r>
      <w:r w:rsidRPr="00542969">
        <w:t>See Identical Responses to Statements.</w:t>
      </w:r>
    </w:p>
    <w:p w14:paraId="30C5837D" w14:textId="77777777" w:rsidR="00184D69" w:rsidRPr="00542969" w:rsidRDefault="00184D69" w:rsidP="00044B26">
      <w:pPr>
        <w:ind w:left="720" w:hanging="720"/>
      </w:pPr>
    </w:p>
    <w:p w14:paraId="24521D57" w14:textId="77777777" w:rsidR="00184D69" w:rsidRPr="00542969" w:rsidRDefault="00184D69" w:rsidP="00044B26">
      <w:pPr>
        <w:ind w:left="720" w:hanging="720"/>
      </w:pPr>
      <w:r w:rsidRPr="00542969">
        <w:t xml:space="preserve">7.  </w:t>
      </w:r>
      <w:r w:rsidR="00044B26" w:rsidRPr="00542969">
        <w:tab/>
      </w:r>
      <w:r w:rsidRPr="00542969">
        <w:t>See Identical Responses to Statements.</w:t>
      </w:r>
    </w:p>
    <w:p w14:paraId="7D3C5EA7" w14:textId="77777777" w:rsidR="00184D69" w:rsidRPr="00542969" w:rsidRDefault="00184D69" w:rsidP="00044B26">
      <w:pPr>
        <w:ind w:left="720" w:hanging="720"/>
      </w:pPr>
    </w:p>
    <w:p w14:paraId="10083AE3" w14:textId="77777777" w:rsidR="00184D69" w:rsidRPr="00542969" w:rsidRDefault="00184D69" w:rsidP="00044B26">
      <w:pPr>
        <w:ind w:left="720" w:hanging="720"/>
      </w:pPr>
      <w:r w:rsidRPr="00542969">
        <w:t xml:space="preserve">8.  </w:t>
      </w:r>
      <w:r w:rsidR="00044B26" w:rsidRPr="00542969">
        <w:tab/>
      </w:r>
      <w:r w:rsidRPr="00542969">
        <w:t>See Identical Responses to Statements.</w:t>
      </w:r>
    </w:p>
    <w:p w14:paraId="26C7C0A7" w14:textId="77777777" w:rsidR="00184D69" w:rsidRPr="00542969" w:rsidRDefault="00184D69" w:rsidP="00044B26">
      <w:pPr>
        <w:ind w:left="720" w:hanging="720"/>
      </w:pPr>
    </w:p>
    <w:p w14:paraId="58368442" w14:textId="77777777" w:rsidR="00184D69" w:rsidRPr="00542969" w:rsidRDefault="00184D69" w:rsidP="00044B26">
      <w:pPr>
        <w:ind w:left="720" w:hanging="720"/>
      </w:pPr>
      <w:r w:rsidRPr="00542969">
        <w:t xml:space="preserve">9.  </w:t>
      </w:r>
      <w:r w:rsidR="00044B26" w:rsidRPr="00542969">
        <w:tab/>
      </w:r>
      <w:r w:rsidRPr="00542969">
        <w:t>See Identical Responses to Statements.</w:t>
      </w:r>
    </w:p>
    <w:p w14:paraId="3E7CBDA8" w14:textId="77777777" w:rsidR="00184D69" w:rsidRPr="00542969" w:rsidRDefault="00184D69" w:rsidP="00044B26">
      <w:pPr>
        <w:ind w:left="720" w:hanging="720"/>
      </w:pPr>
    </w:p>
    <w:p w14:paraId="52849C2A" w14:textId="77777777" w:rsidR="00184D69" w:rsidRPr="00542969" w:rsidRDefault="00184D69" w:rsidP="00044B26">
      <w:pPr>
        <w:ind w:left="720" w:hanging="720"/>
      </w:pPr>
      <w:r w:rsidRPr="00542969">
        <w:t xml:space="preserve">10.  </w:t>
      </w:r>
      <w:r w:rsidR="00044B26" w:rsidRPr="00542969">
        <w:tab/>
      </w:r>
      <w:r w:rsidRPr="00542969">
        <w:t>See Identical Responses to Statements.</w:t>
      </w:r>
    </w:p>
    <w:p w14:paraId="4467D1B2" w14:textId="77777777" w:rsidR="00184D69" w:rsidRPr="00542969" w:rsidRDefault="00184D69" w:rsidP="00044B26">
      <w:pPr>
        <w:ind w:left="720" w:hanging="720"/>
      </w:pPr>
    </w:p>
    <w:p w14:paraId="5DE47CB8" w14:textId="77777777" w:rsidR="00184D69" w:rsidRPr="00542969" w:rsidRDefault="00184D69" w:rsidP="00044B26">
      <w:pPr>
        <w:ind w:left="720" w:hanging="720"/>
      </w:pPr>
      <w:r w:rsidRPr="00542969">
        <w:t xml:space="preserve">11.  </w:t>
      </w:r>
      <w:r w:rsidR="00044B26" w:rsidRPr="00542969">
        <w:tab/>
      </w:r>
      <w:r w:rsidRPr="00542969">
        <w:t>See Identical Responses to Statements.</w:t>
      </w:r>
    </w:p>
    <w:p w14:paraId="21917DA1" w14:textId="77777777" w:rsidR="00184D69" w:rsidRPr="00542969" w:rsidRDefault="00184D69" w:rsidP="00044B26">
      <w:pPr>
        <w:ind w:left="720" w:hanging="720"/>
      </w:pPr>
    </w:p>
    <w:p w14:paraId="658D5AB5" w14:textId="77777777" w:rsidR="00184D69" w:rsidRPr="00542969" w:rsidRDefault="00184D69" w:rsidP="00044B26">
      <w:pPr>
        <w:ind w:left="720" w:hanging="720"/>
      </w:pPr>
      <w:r w:rsidRPr="00542969">
        <w:t xml:space="preserve">12.  </w:t>
      </w:r>
      <w:r w:rsidR="00044B26" w:rsidRPr="00542969">
        <w:tab/>
      </w:r>
      <w:r w:rsidRPr="00542969">
        <w:rPr>
          <w:u w:val="single"/>
        </w:rPr>
        <w:t>Estimated Information Collection Burden</w:t>
      </w:r>
    </w:p>
    <w:p w14:paraId="7ADDCE0F" w14:textId="77777777" w:rsidR="00184D69" w:rsidRPr="00542969" w:rsidRDefault="00184D69" w:rsidP="00044B26">
      <w:pPr>
        <w:ind w:left="720" w:hanging="720"/>
      </w:pPr>
    </w:p>
    <w:p w14:paraId="2A36FC67" w14:textId="77777777" w:rsidR="007703B9" w:rsidRPr="00542969" w:rsidRDefault="00C13CC4" w:rsidP="00C13CC4">
      <w:pPr>
        <w:ind w:firstLine="720"/>
        <w:rPr>
          <w:u w:val="single"/>
        </w:rPr>
      </w:pPr>
      <w:r w:rsidRPr="00542969">
        <w:t>a.</w:t>
      </w:r>
      <w:r w:rsidRPr="00542969">
        <w:tab/>
      </w:r>
      <w:r w:rsidR="007A1DF6" w:rsidRPr="00542969">
        <w:rPr>
          <w:u w:val="single"/>
        </w:rPr>
        <w:t>Burden Hour Estimates for Respondents</w:t>
      </w:r>
    </w:p>
    <w:p w14:paraId="1A7DC513" w14:textId="77777777" w:rsidR="007703B9" w:rsidRPr="00542969" w:rsidRDefault="007703B9" w:rsidP="00044B26">
      <w:pPr>
        <w:ind w:left="720" w:hanging="720"/>
      </w:pPr>
    </w:p>
    <w:p w14:paraId="65FE3295" w14:textId="2064BD13" w:rsidR="007703B9" w:rsidRPr="00542969" w:rsidRDefault="007A1DF6" w:rsidP="00273A96">
      <w:pPr>
        <w:ind w:left="720"/>
      </w:pPr>
      <w:r w:rsidRPr="00542969">
        <w:t xml:space="preserve">The total number of applications annually submitted by industry </w:t>
      </w:r>
      <w:r w:rsidR="00BC2775" w:rsidRPr="00542969">
        <w:t>respondents</w:t>
      </w:r>
      <w:r w:rsidR="0026083E">
        <w:t xml:space="preserve"> is </w:t>
      </w:r>
      <w:r w:rsidR="00C71217">
        <w:t>2,970</w:t>
      </w:r>
      <w:r w:rsidR="0026083E">
        <w:t>,</w:t>
      </w:r>
      <w:r w:rsidR="003C1E8B">
        <w:t xml:space="preserve"> and is broken down </w:t>
      </w:r>
      <w:r w:rsidR="00273A96" w:rsidRPr="00542969">
        <w:t xml:space="preserve">as follows:  new permits – </w:t>
      </w:r>
      <w:r w:rsidR="00CD7373">
        <w:t>70</w:t>
      </w:r>
      <w:r w:rsidR="005E549C">
        <w:t>;</w:t>
      </w:r>
      <w:r w:rsidR="00273A96" w:rsidRPr="00542969">
        <w:t xml:space="preserve"> </w:t>
      </w:r>
      <w:r w:rsidR="00E55A3E" w:rsidRPr="00542969">
        <w:t xml:space="preserve">permit renewals </w:t>
      </w:r>
      <w:r w:rsidR="00E55A3E">
        <w:t>–</w:t>
      </w:r>
      <w:r w:rsidR="00E55A3E" w:rsidRPr="00542969">
        <w:t xml:space="preserve"> </w:t>
      </w:r>
      <w:r w:rsidR="00CD7373">
        <w:t>750</w:t>
      </w:r>
      <w:r w:rsidR="005E549C">
        <w:t>;</w:t>
      </w:r>
      <w:r w:rsidR="00E55A3E">
        <w:t xml:space="preserve"> and</w:t>
      </w:r>
      <w:r w:rsidR="00E55A3E" w:rsidRPr="00542969">
        <w:t xml:space="preserve"> </w:t>
      </w:r>
      <w:r w:rsidR="0026083E">
        <w:t xml:space="preserve">all types of </w:t>
      </w:r>
      <w:r w:rsidRPr="00542969">
        <w:t>permit revisions</w:t>
      </w:r>
      <w:r w:rsidR="00273A96" w:rsidRPr="00542969">
        <w:t xml:space="preserve"> </w:t>
      </w:r>
      <w:r w:rsidR="00C15F32">
        <w:t>–</w:t>
      </w:r>
      <w:r w:rsidR="00273A96" w:rsidRPr="00542969">
        <w:t xml:space="preserve"> </w:t>
      </w:r>
      <w:r w:rsidR="00C71217">
        <w:t>2,150</w:t>
      </w:r>
      <w:r w:rsidR="002D52BD" w:rsidRPr="00542969">
        <w:t>.  The</w:t>
      </w:r>
      <w:r w:rsidR="00273A96" w:rsidRPr="00542969">
        <w:t xml:space="preserve">se </w:t>
      </w:r>
      <w:r w:rsidR="002D52BD" w:rsidRPr="00542969">
        <w:t xml:space="preserve">estimated numbers </w:t>
      </w:r>
      <w:r w:rsidR="00273A96" w:rsidRPr="00542969">
        <w:t xml:space="preserve">are </w:t>
      </w:r>
      <w:r w:rsidR="002D52BD" w:rsidRPr="00542969">
        <w:t xml:space="preserve">based upon data collected for the </w:t>
      </w:r>
      <w:r w:rsidR="00C71217">
        <w:t>2016-2018</w:t>
      </w:r>
      <w:r w:rsidR="002D52BD" w:rsidRPr="00542969">
        <w:t xml:space="preserve"> evaluation year</w:t>
      </w:r>
      <w:r w:rsidR="00C71217">
        <w:t>s</w:t>
      </w:r>
      <w:r w:rsidR="002D52BD" w:rsidRPr="00542969">
        <w:t xml:space="preserve"> and represent </w:t>
      </w:r>
      <w:r w:rsidR="00860C35">
        <w:t xml:space="preserve">a </w:t>
      </w:r>
      <w:r w:rsidR="00C71217">
        <w:t xml:space="preserve">continued steady </w:t>
      </w:r>
      <w:r w:rsidR="0023025F">
        <w:t xml:space="preserve">annual </w:t>
      </w:r>
      <w:r w:rsidR="00C71217">
        <w:t>decrease</w:t>
      </w:r>
      <w:r w:rsidR="0026083E">
        <w:t xml:space="preserve"> </w:t>
      </w:r>
      <w:r w:rsidR="0091290A" w:rsidRPr="00542969">
        <w:t>from our previous request.</w:t>
      </w:r>
    </w:p>
    <w:p w14:paraId="63E75F4F" w14:textId="77777777" w:rsidR="0091290A" w:rsidRPr="00542969" w:rsidRDefault="0091290A" w:rsidP="00044B26">
      <w:pPr>
        <w:ind w:left="720" w:hanging="720"/>
      </w:pPr>
    </w:p>
    <w:p w14:paraId="3E404A18" w14:textId="2BEDBCDA" w:rsidR="0091290A" w:rsidRPr="00542969" w:rsidRDefault="00273A96" w:rsidP="00273A96">
      <w:pPr>
        <w:ind w:left="720" w:hanging="720"/>
      </w:pPr>
      <w:r w:rsidRPr="00542969">
        <w:tab/>
      </w:r>
      <w:r w:rsidR="0091290A" w:rsidRPr="00542969">
        <w:t xml:space="preserve">The respondents </w:t>
      </w:r>
      <w:r w:rsidR="00DC0F4B">
        <w:t xml:space="preserve">for </w:t>
      </w:r>
      <w:r w:rsidR="00E44E61">
        <w:t>§</w:t>
      </w:r>
      <w:r w:rsidR="0091290A" w:rsidRPr="00542969">
        <w:t xml:space="preserve">773.7 are </w:t>
      </w:r>
      <w:r w:rsidR="002653EC">
        <w:t>SRAs</w:t>
      </w:r>
      <w:r w:rsidR="0091290A" w:rsidRPr="00542969">
        <w:t>.  We estimate</w:t>
      </w:r>
      <w:r w:rsidR="00637322" w:rsidRPr="00542969">
        <w:t xml:space="preserve"> of t</w:t>
      </w:r>
      <w:r w:rsidRPr="00542969">
        <w:t>h</w:t>
      </w:r>
      <w:r w:rsidR="00637322" w:rsidRPr="00542969">
        <w:t xml:space="preserve">e total </w:t>
      </w:r>
      <w:r w:rsidR="0023025F">
        <w:t>2,970</w:t>
      </w:r>
      <w:r w:rsidR="00637322" w:rsidRPr="00542969">
        <w:t xml:space="preserve"> Federal and State applications for permits</w:t>
      </w:r>
      <w:r w:rsidR="006F386D" w:rsidRPr="00542969">
        <w:t xml:space="preserve">, </w:t>
      </w:r>
      <w:r w:rsidR="0023025F">
        <w:t>2,924</w:t>
      </w:r>
      <w:r w:rsidR="00BE50E2" w:rsidRPr="00542969">
        <w:t xml:space="preserve"> will be applications for State permits</w:t>
      </w:r>
      <w:r w:rsidR="006F386D" w:rsidRPr="00542969">
        <w:t xml:space="preserve"> (</w:t>
      </w:r>
      <w:r w:rsidR="0023025F">
        <w:t>70</w:t>
      </w:r>
      <w:r w:rsidR="00A63A00" w:rsidRPr="00542969">
        <w:t xml:space="preserve"> applications for new permits + </w:t>
      </w:r>
      <w:r w:rsidR="0023025F">
        <w:t>74</w:t>
      </w:r>
      <w:r w:rsidR="0086358C">
        <w:t>4</w:t>
      </w:r>
      <w:r w:rsidR="00A97CA2" w:rsidRPr="00542969">
        <w:t xml:space="preserve"> applications for permit renewals</w:t>
      </w:r>
      <w:r w:rsidR="00A97CA2">
        <w:t xml:space="preserve"> + </w:t>
      </w:r>
      <w:r w:rsidR="0023025F">
        <w:t>2,110</w:t>
      </w:r>
      <w:r w:rsidR="00A63A00" w:rsidRPr="00542969">
        <w:t xml:space="preserve"> applica</w:t>
      </w:r>
      <w:r w:rsidR="006F386D" w:rsidRPr="00542969">
        <w:t>tions for permit revisions</w:t>
      </w:r>
      <w:r w:rsidR="00A63A00" w:rsidRPr="00542969">
        <w:t>)</w:t>
      </w:r>
      <w:r w:rsidR="00BE50E2" w:rsidRPr="00542969">
        <w:t>.</w:t>
      </w:r>
      <w:r w:rsidRPr="00542969">
        <w:t xml:space="preserve"> </w:t>
      </w:r>
      <w:r w:rsidR="00BE2E47">
        <w:t xml:space="preserve"> </w:t>
      </w:r>
      <w:r w:rsidRPr="00542969">
        <w:t xml:space="preserve">The remaining </w:t>
      </w:r>
      <w:r w:rsidR="0023025F">
        <w:t>46</w:t>
      </w:r>
      <w:r w:rsidRPr="00542969">
        <w:t xml:space="preserve"> permit applications will be in </w:t>
      </w:r>
      <w:r w:rsidR="000A4459">
        <w:t>Federal Program State</w:t>
      </w:r>
      <w:r w:rsidRPr="00542969">
        <w:t>s.</w:t>
      </w:r>
      <w:r w:rsidR="00BE50E2" w:rsidRPr="00542969">
        <w:t xml:space="preserve">  We estimate each administrative co</w:t>
      </w:r>
      <w:r w:rsidR="006F386D" w:rsidRPr="00542969">
        <w:t xml:space="preserve">mpleteness review will require </w:t>
      </w:r>
      <w:r w:rsidR="0023025F">
        <w:t>16</w:t>
      </w:r>
      <w:r w:rsidR="00BE50E2" w:rsidRPr="00542969">
        <w:t xml:space="preserve"> hours.  Therefore, we estimate the total information collection burden for </w:t>
      </w:r>
      <w:r w:rsidR="002653EC">
        <w:t>SRAs</w:t>
      </w:r>
      <w:r w:rsidR="00BE50E2" w:rsidRPr="00542969">
        <w:t xml:space="preserve"> under</w:t>
      </w:r>
      <w:r w:rsidR="00A63A00" w:rsidRPr="00542969">
        <w:t xml:space="preserve"> </w:t>
      </w:r>
      <w:r w:rsidR="00E44E61">
        <w:t>§</w:t>
      </w:r>
      <w:r w:rsidR="00A63A00" w:rsidRPr="00542969">
        <w:t xml:space="preserve">773.7(a) will be </w:t>
      </w:r>
      <w:r w:rsidR="0023025F">
        <w:t>46,784</w:t>
      </w:r>
      <w:r w:rsidR="006F386D" w:rsidRPr="00542969">
        <w:t xml:space="preserve"> hours (</w:t>
      </w:r>
      <w:r w:rsidR="0023025F">
        <w:t>2,924</w:t>
      </w:r>
      <w:r w:rsidR="00BE50E2" w:rsidRPr="00542969">
        <w:t xml:space="preserve"> State applications for new permits, permit re</w:t>
      </w:r>
      <w:r w:rsidR="006F386D" w:rsidRPr="00542969">
        <w:t xml:space="preserve">visions, and permit renewals x </w:t>
      </w:r>
      <w:r w:rsidR="0023025F">
        <w:t>16</w:t>
      </w:r>
      <w:r w:rsidR="00BE50E2" w:rsidRPr="00542969">
        <w:t xml:space="preserve"> hours per review).</w:t>
      </w:r>
    </w:p>
    <w:p w14:paraId="43673FE1" w14:textId="77777777" w:rsidR="00BE50E2" w:rsidRPr="00542969" w:rsidRDefault="00BE50E2" w:rsidP="00044B26">
      <w:pPr>
        <w:ind w:left="720" w:hanging="720"/>
      </w:pPr>
    </w:p>
    <w:p w14:paraId="6B0A6750" w14:textId="77777777" w:rsidR="00BE50E2" w:rsidRPr="00542969" w:rsidRDefault="00BE50E2" w:rsidP="00273A96">
      <w:pPr>
        <w:ind w:left="720"/>
      </w:pPr>
      <w:r w:rsidRPr="00542969">
        <w:t xml:space="preserve">There is no information collection burden for the industry under </w:t>
      </w:r>
      <w:r w:rsidR="00E44E61">
        <w:t>§</w:t>
      </w:r>
      <w:r w:rsidRPr="00542969">
        <w:t>773.7(a).</w:t>
      </w:r>
    </w:p>
    <w:p w14:paraId="092A5A55" w14:textId="77777777" w:rsidR="00BE50E2" w:rsidRPr="00542969" w:rsidRDefault="00BE50E2" w:rsidP="00044B26">
      <w:pPr>
        <w:ind w:left="720" w:hanging="720"/>
      </w:pPr>
    </w:p>
    <w:p w14:paraId="38D82281" w14:textId="77777777" w:rsidR="00BE50E2" w:rsidRPr="00542969" w:rsidRDefault="00BE50E2" w:rsidP="00273A96">
      <w:pPr>
        <w:ind w:left="720"/>
      </w:pPr>
      <w:r w:rsidRPr="00542969">
        <w:t>b</w:t>
      </w:r>
      <w:r w:rsidR="00273A96" w:rsidRPr="00542969">
        <w:t>.</w:t>
      </w:r>
      <w:r w:rsidR="00273A96" w:rsidRPr="00542969">
        <w:tab/>
      </w:r>
      <w:r w:rsidRPr="00542969">
        <w:rPr>
          <w:u w:val="single"/>
        </w:rPr>
        <w:t>Estimated Wage Cost to Respondents</w:t>
      </w:r>
    </w:p>
    <w:p w14:paraId="56B08E79" w14:textId="77777777" w:rsidR="00BE50E2" w:rsidRPr="00542969" w:rsidRDefault="00BE50E2" w:rsidP="00044B26">
      <w:pPr>
        <w:ind w:left="720" w:hanging="720"/>
      </w:pPr>
    </w:p>
    <w:p w14:paraId="4E56891B" w14:textId="32C0D6F5" w:rsidR="00C13CC4" w:rsidRPr="00542969" w:rsidRDefault="00F3663D" w:rsidP="00273A96">
      <w:pPr>
        <w:ind w:left="720"/>
      </w:pPr>
      <w:r>
        <w:t>OSMRE</w:t>
      </w:r>
      <w:r w:rsidR="00044B26" w:rsidRPr="00542969">
        <w:t xml:space="preserve"> estimates that </w:t>
      </w:r>
      <w:r w:rsidR="00273A96" w:rsidRPr="00542969">
        <w:t xml:space="preserve">a State engineering technician will conduct the completeness review and </w:t>
      </w:r>
      <w:r w:rsidR="00273A96" w:rsidRPr="001F3E0C">
        <w:t>prepare the notice</w:t>
      </w:r>
      <w:r w:rsidR="00C13CC4" w:rsidRPr="001F3E0C">
        <w:t>.</w:t>
      </w:r>
      <w:r w:rsidR="00273A96" w:rsidRPr="001F3E0C">
        <w:t xml:space="preserve">  </w:t>
      </w:r>
      <w:r w:rsidR="000276EA" w:rsidRPr="001F3E0C">
        <w:t>An</w:t>
      </w:r>
      <w:r w:rsidR="00E30E10" w:rsidRPr="001F3E0C">
        <w:t xml:space="preserve"> engineering technician</w:t>
      </w:r>
      <w:r w:rsidR="009017A6" w:rsidRPr="001F3E0C">
        <w:t xml:space="preserve"> earning</w:t>
      </w:r>
      <w:r w:rsidR="00E30E10" w:rsidRPr="001F3E0C">
        <w:t xml:space="preserve"> $</w:t>
      </w:r>
      <w:r w:rsidR="00122E97">
        <w:t>23.26</w:t>
      </w:r>
      <w:r w:rsidR="00E30E10" w:rsidRPr="001F3E0C">
        <w:t xml:space="preserve"> </w:t>
      </w:r>
      <w:r w:rsidR="002A0C7C" w:rsidRPr="001F3E0C">
        <w:t>per hour, or $3</w:t>
      </w:r>
      <w:r w:rsidR="00122E97">
        <w:t>7.22</w:t>
      </w:r>
      <w:r w:rsidR="002A0C7C" w:rsidRPr="001F3E0C">
        <w:t xml:space="preserve"> per hou</w:t>
      </w:r>
      <w:r w:rsidR="002A0C7C" w:rsidRPr="00542969">
        <w:t>r including benefits of 1.</w:t>
      </w:r>
      <w:r w:rsidR="00122E97">
        <w:t>6</w:t>
      </w:r>
      <w:r w:rsidR="002A0C7C" w:rsidRPr="00542969">
        <w:t xml:space="preserve"> of salary (derived from BLS </w:t>
      </w:r>
      <w:r w:rsidR="00122E97">
        <w:t xml:space="preserve">hourly rates </w:t>
      </w:r>
      <w:r w:rsidR="00273A96" w:rsidRPr="001F3E0C">
        <w:t xml:space="preserve">and the BLS news release </w:t>
      </w:r>
      <w:r w:rsidR="00122E97">
        <w:t xml:space="preserve">previously </w:t>
      </w:r>
      <w:r w:rsidR="00273A96" w:rsidRPr="001F3E0C">
        <w:t xml:space="preserve">referenced above for State government employees), </w:t>
      </w:r>
      <w:r w:rsidR="009017A6" w:rsidRPr="001F3E0C">
        <w:t>will conduct the review.  T</w:t>
      </w:r>
      <w:r w:rsidR="00273A96" w:rsidRPr="001F3E0C">
        <w:t>he estimated total wage cost for all State employees</w:t>
      </w:r>
      <w:r w:rsidR="00C13CC4" w:rsidRPr="001F3E0C">
        <w:t xml:space="preserve"> to comply with this section </w:t>
      </w:r>
      <w:r w:rsidR="00273A96" w:rsidRPr="001F3E0C">
        <w:t>is $</w:t>
      </w:r>
      <w:r w:rsidR="00122E97">
        <w:t>1,741,300</w:t>
      </w:r>
      <w:r w:rsidR="00273A96" w:rsidRPr="001F3E0C">
        <w:t xml:space="preserve"> (</w:t>
      </w:r>
      <w:r w:rsidR="00122E97">
        <w:t>2,924</w:t>
      </w:r>
      <w:r w:rsidR="00273A96" w:rsidRPr="001F3E0C">
        <w:t xml:space="preserve"> applications reviewed x $</w:t>
      </w:r>
      <w:r w:rsidR="00122E97">
        <w:t>37.22</w:t>
      </w:r>
      <w:r w:rsidR="00273A96" w:rsidRPr="001F3E0C">
        <w:t xml:space="preserve"> per hour</w:t>
      </w:r>
      <w:r w:rsidR="009017A6" w:rsidRPr="001F3E0C">
        <w:t xml:space="preserve"> x </w:t>
      </w:r>
      <w:r w:rsidR="00122E97">
        <w:t>16</w:t>
      </w:r>
      <w:r w:rsidR="009017A6" w:rsidRPr="001F3E0C">
        <w:t xml:space="preserve"> hours per review</w:t>
      </w:r>
      <w:r w:rsidR="00273A96" w:rsidRPr="001F3E0C">
        <w:t>).</w:t>
      </w:r>
    </w:p>
    <w:p w14:paraId="68D69FC8" w14:textId="77777777" w:rsidR="00C13CC4" w:rsidRPr="00542969" w:rsidRDefault="00C13CC4" w:rsidP="00273A96">
      <w:pPr>
        <w:ind w:left="720"/>
      </w:pPr>
    </w:p>
    <w:p w14:paraId="0CBCA6BB" w14:textId="77777777" w:rsidR="00BE50E2" w:rsidRPr="00542969" w:rsidRDefault="00BE50E2" w:rsidP="00044B26">
      <w:pPr>
        <w:ind w:left="720" w:hanging="720"/>
      </w:pPr>
      <w:r w:rsidRPr="00542969">
        <w:t>13.</w:t>
      </w:r>
      <w:r w:rsidR="00C13CC4" w:rsidRPr="00542969">
        <w:tab/>
      </w:r>
      <w:r w:rsidRPr="00542969">
        <w:t xml:space="preserve"> </w:t>
      </w:r>
      <w:r w:rsidRPr="00542969">
        <w:rPr>
          <w:u w:val="single"/>
        </w:rPr>
        <w:t>Total Annual Non-Wage Cost Burden to Respondents</w:t>
      </w:r>
    </w:p>
    <w:p w14:paraId="3C551D10" w14:textId="77777777" w:rsidR="00BE50E2" w:rsidRPr="00542969" w:rsidRDefault="00BE50E2" w:rsidP="00044B26">
      <w:pPr>
        <w:ind w:left="720" w:hanging="720"/>
      </w:pPr>
    </w:p>
    <w:p w14:paraId="2848D371" w14:textId="77777777" w:rsidR="00BE50E2" w:rsidRPr="00542969" w:rsidRDefault="00BE50E2" w:rsidP="00C13CC4">
      <w:pPr>
        <w:numPr>
          <w:ilvl w:val="0"/>
          <w:numId w:val="23"/>
        </w:numPr>
        <w:tabs>
          <w:tab w:val="left" w:pos="1440"/>
        </w:tabs>
      </w:pPr>
      <w:r w:rsidRPr="00542969">
        <w:rPr>
          <w:u w:val="single"/>
        </w:rPr>
        <w:t>Annual Capital and Start-up Costs</w:t>
      </w:r>
    </w:p>
    <w:p w14:paraId="0CE46DB8" w14:textId="77777777" w:rsidR="00BE50E2" w:rsidRPr="00542969" w:rsidRDefault="00BE50E2" w:rsidP="00044B26">
      <w:pPr>
        <w:ind w:left="720" w:hanging="720"/>
      </w:pPr>
    </w:p>
    <w:p w14:paraId="3251F340" w14:textId="77777777" w:rsidR="00BE50E2" w:rsidRPr="00542969" w:rsidRDefault="00BE50E2" w:rsidP="00C13CC4">
      <w:pPr>
        <w:pStyle w:val="BodyTextIndent"/>
        <w:ind w:left="720"/>
      </w:pPr>
      <w:r w:rsidRPr="00542969">
        <w:t>The information collection r</w:t>
      </w:r>
      <w:r w:rsidR="00E87E48" w:rsidRPr="00542969">
        <w:t xml:space="preserve">equirements of </w:t>
      </w:r>
      <w:r w:rsidR="00E44E61">
        <w:t>§</w:t>
      </w:r>
      <w:r w:rsidR="00E87E48" w:rsidRPr="00542969">
        <w:t>773.7(a)</w:t>
      </w:r>
      <w:r w:rsidRPr="00542969">
        <w:t xml:space="preserve"> do not involve any capital or start-up costs apart from expenditures associated with customary business practices.</w:t>
      </w:r>
    </w:p>
    <w:p w14:paraId="0CEDBC10" w14:textId="77777777" w:rsidR="00BE50E2" w:rsidRPr="00542969" w:rsidRDefault="00BE50E2" w:rsidP="00044B26">
      <w:pPr>
        <w:ind w:left="720" w:hanging="720"/>
      </w:pPr>
    </w:p>
    <w:p w14:paraId="1754752D" w14:textId="77777777" w:rsidR="00BE50E2" w:rsidRPr="00542969" w:rsidRDefault="00BE50E2" w:rsidP="00C13CC4">
      <w:pPr>
        <w:ind w:left="720"/>
      </w:pPr>
      <w:r w:rsidRPr="00542969">
        <w:t>b.</w:t>
      </w:r>
      <w:r w:rsidR="00C13CC4" w:rsidRPr="00542969">
        <w:tab/>
      </w:r>
      <w:r w:rsidRPr="00542969">
        <w:t xml:space="preserve"> </w:t>
      </w:r>
      <w:r w:rsidRPr="00542969">
        <w:rPr>
          <w:u w:val="single"/>
        </w:rPr>
        <w:t>Operation and Maintenance Costs</w:t>
      </w:r>
    </w:p>
    <w:p w14:paraId="1E1FFE24" w14:textId="77777777" w:rsidR="00BE50E2" w:rsidRPr="00542969" w:rsidRDefault="00BE50E2" w:rsidP="00044B26">
      <w:pPr>
        <w:ind w:left="720" w:hanging="720"/>
      </w:pPr>
    </w:p>
    <w:p w14:paraId="4C6566CC" w14:textId="77777777" w:rsidR="00BE50E2" w:rsidRPr="00542969" w:rsidRDefault="00BE50E2" w:rsidP="00C13CC4">
      <w:pPr>
        <w:ind w:left="720"/>
      </w:pPr>
      <w:r w:rsidRPr="00542969">
        <w:t>There are no significant or distinct non-wage operations or maintenance costs associated with compliance with the information collection requirements for this section.</w:t>
      </w:r>
    </w:p>
    <w:p w14:paraId="69257108" w14:textId="77777777" w:rsidR="00BE50E2" w:rsidRPr="00542969" w:rsidRDefault="00BE50E2" w:rsidP="00044B26">
      <w:pPr>
        <w:ind w:left="720" w:hanging="720"/>
      </w:pPr>
    </w:p>
    <w:p w14:paraId="5C6E2056" w14:textId="77777777" w:rsidR="00BE50E2" w:rsidRPr="00542969" w:rsidRDefault="00BE50E2" w:rsidP="00044B26">
      <w:pPr>
        <w:ind w:left="720" w:hanging="720"/>
      </w:pPr>
      <w:r w:rsidRPr="00542969">
        <w:t>14.</w:t>
      </w:r>
      <w:r w:rsidR="00C13CC4" w:rsidRPr="00542969">
        <w:tab/>
      </w:r>
      <w:r w:rsidRPr="00542969">
        <w:t xml:space="preserve"> </w:t>
      </w:r>
      <w:r w:rsidRPr="00542969">
        <w:rPr>
          <w:u w:val="single"/>
        </w:rPr>
        <w:t>Estimate of Cost to the Federal Government</w:t>
      </w:r>
    </w:p>
    <w:p w14:paraId="07DB7AAE" w14:textId="77777777" w:rsidR="00BE50E2" w:rsidRPr="00542969" w:rsidRDefault="00BE50E2" w:rsidP="00044B26">
      <w:pPr>
        <w:ind w:left="720" w:hanging="720"/>
      </w:pPr>
    </w:p>
    <w:p w14:paraId="09FE2D38" w14:textId="34495945" w:rsidR="00A57CBD" w:rsidRPr="00542969" w:rsidRDefault="00BE50E2" w:rsidP="00A57CBD">
      <w:pPr>
        <w:ind w:left="720" w:right="720"/>
      </w:pPr>
      <w:r w:rsidRPr="00542969">
        <w:rPr>
          <w:u w:val="single"/>
        </w:rPr>
        <w:t>Oversight</w:t>
      </w:r>
      <w:r w:rsidRPr="00542969">
        <w:t>.</w:t>
      </w:r>
      <w:r w:rsidR="00C13CC4" w:rsidRPr="00542969">
        <w:t xml:space="preserve">  </w:t>
      </w:r>
      <w:r w:rsidRPr="00542969">
        <w:t xml:space="preserve">In keeping with the current guidance concerning oversight of State program implementation, </w:t>
      </w:r>
      <w:r w:rsidR="00F3663D">
        <w:t>OSMRE</w:t>
      </w:r>
      <w:r w:rsidRPr="00542969">
        <w:t xml:space="preserve"> does not anticipate significant oversight review of State compliance with </w:t>
      </w:r>
      <w:r w:rsidR="00E44E61">
        <w:t>§</w:t>
      </w:r>
      <w:r w:rsidR="00E87E48" w:rsidRPr="00542969">
        <w:t>773.7(a)</w:t>
      </w:r>
      <w:r w:rsidRPr="00542969">
        <w:t xml:space="preserve"> in the absence of indication of problems.  </w:t>
      </w:r>
      <w:r w:rsidR="00F3663D">
        <w:t>OSMRE</w:t>
      </w:r>
      <w:r w:rsidR="00A57CBD" w:rsidRPr="00542969">
        <w:t xml:space="preserve"> estimates </w:t>
      </w:r>
      <w:r w:rsidR="0063468E">
        <w:t xml:space="preserve">it will conduct one </w:t>
      </w:r>
      <w:r w:rsidR="00A57CBD" w:rsidRPr="00542969">
        <w:t xml:space="preserve">oversight review </w:t>
      </w:r>
      <w:r w:rsidR="000F2886">
        <w:t xml:space="preserve">that </w:t>
      </w:r>
      <w:r w:rsidR="00A57CBD" w:rsidRPr="00542969">
        <w:t xml:space="preserve">will require 8 hours.  This estimate of review time is unchanged from our previous </w:t>
      </w:r>
      <w:r w:rsidR="00A57CBD" w:rsidRPr="005D295C">
        <w:t xml:space="preserve">request for information collection approval.  </w:t>
      </w:r>
      <w:r w:rsidR="002A0C7C" w:rsidRPr="005D295C">
        <w:t>A GS-13, step 5 environmental scientist with a salary of $</w:t>
      </w:r>
      <w:r w:rsidR="00BE2222">
        <w:t>47.38</w:t>
      </w:r>
      <w:r w:rsidR="002A0C7C" w:rsidRPr="005D295C">
        <w:t xml:space="preserve"> per hour, plus the 1.</w:t>
      </w:r>
      <w:r w:rsidR="00BE2222">
        <w:t>6</w:t>
      </w:r>
      <w:r w:rsidR="002A0C7C" w:rsidRPr="005D295C">
        <w:t xml:space="preserve"> multiplier for </w:t>
      </w:r>
      <w:r w:rsidR="003A3A78" w:rsidRPr="005D295C">
        <w:t>benefits, which</w:t>
      </w:r>
      <w:r w:rsidR="002A0C7C" w:rsidRPr="005D295C">
        <w:t xml:space="preserve"> is derived </w:t>
      </w:r>
      <w:r w:rsidR="00B414F9">
        <w:t>from the BLS news release</w:t>
      </w:r>
      <w:r w:rsidR="002A0C7C" w:rsidRPr="005D295C">
        <w:t>, would require $</w:t>
      </w:r>
      <w:r w:rsidR="00BE2222">
        <w:t>75.81</w:t>
      </w:r>
      <w:r w:rsidR="002A0C7C" w:rsidRPr="005D295C">
        <w:t xml:space="preserve"> per hour.  </w:t>
      </w:r>
      <w:r w:rsidR="00A57CBD" w:rsidRPr="005D295C">
        <w:t>Therefore, the annual cost to the Federal government for oversight is $</w:t>
      </w:r>
      <w:r w:rsidR="00BE2222">
        <w:t>606</w:t>
      </w:r>
      <w:r w:rsidR="00A57CBD" w:rsidRPr="005D295C">
        <w:t xml:space="preserve"> ($</w:t>
      </w:r>
      <w:r w:rsidR="00BE2222">
        <w:t>75.81</w:t>
      </w:r>
      <w:r w:rsidR="00A57CBD" w:rsidRPr="005D295C">
        <w:t xml:space="preserve"> </w:t>
      </w:r>
      <w:r w:rsidR="002A0C7C" w:rsidRPr="005D295C">
        <w:t>x</w:t>
      </w:r>
      <w:r w:rsidR="00A57CBD" w:rsidRPr="005D295C">
        <w:t xml:space="preserve"> 8 hours).</w:t>
      </w:r>
      <w:r w:rsidR="00A57CBD" w:rsidRPr="00542969">
        <w:t xml:space="preserve"> </w:t>
      </w:r>
    </w:p>
    <w:p w14:paraId="7719862C" w14:textId="77777777" w:rsidR="00BE50E2" w:rsidRPr="00542969" w:rsidRDefault="00BE50E2" w:rsidP="00044B26">
      <w:pPr>
        <w:ind w:left="720" w:hanging="720"/>
      </w:pPr>
    </w:p>
    <w:p w14:paraId="293D351B" w14:textId="68A50557" w:rsidR="000D6DEB" w:rsidRPr="00542969" w:rsidRDefault="00BE50E2" w:rsidP="000D6DEB">
      <w:pPr>
        <w:ind w:left="720" w:right="720"/>
      </w:pPr>
      <w:r w:rsidRPr="00542969">
        <w:rPr>
          <w:u w:val="single"/>
        </w:rPr>
        <w:t>Federal Programs</w:t>
      </w:r>
      <w:r w:rsidRPr="00542969">
        <w:t>.</w:t>
      </w:r>
      <w:r w:rsidR="00C13CC4" w:rsidRPr="00542969">
        <w:t xml:space="preserve">  </w:t>
      </w:r>
      <w:r w:rsidRPr="00542969">
        <w:t>W</w:t>
      </w:r>
      <w:r w:rsidR="00E87E48" w:rsidRPr="00542969">
        <w:t xml:space="preserve">e estimated </w:t>
      </w:r>
      <w:r w:rsidR="00BE2222">
        <w:t>46</w:t>
      </w:r>
      <w:r w:rsidR="00E87E48" w:rsidRPr="00542969">
        <w:t xml:space="preserve"> applications for new permits, permit revisions, and permit renewals will be submitted w</w:t>
      </w:r>
      <w:r w:rsidRPr="00542969">
        <w:t xml:space="preserve">here </w:t>
      </w:r>
      <w:r w:rsidR="00F3663D">
        <w:t>OSMRE</w:t>
      </w:r>
      <w:r w:rsidRPr="00542969">
        <w:t xml:space="preserve"> is the regulatory authority.  We estimate the </w:t>
      </w:r>
      <w:r w:rsidR="00E87E48" w:rsidRPr="00542969">
        <w:t>administrative completeness review will re</w:t>
      </w:r>
      <w:r w:rsidRPr="00542969">
        <w:t xml:space="preserve">quire </w:t>
      </w:r>
      <w:r w:rsidR="002A1C22" w:rsidRPr="00542969">
        <w:t>8</w:t>
      </w:r>
      <w:r w:rsidRPr="00542969">
        <w:t xml:space="preserve"> hours under Federal programs.  </w:t>
      </w:r>
      <w:r w:rsidR="000D6DEB" w:rsidRPr="00542969">
        <w:t xml:space="preserve">Therefore, the cost for each review in a </w:t>
      </w:r>
      <w:r w:rsidR="000A4459">
        <w:t>Federal Program State</w:t>
      </w:r>
      <w:r w:rsidR="000D6DEB" w:rsidRPr="005D295C">
        <w:t xml:space="preserve"> would be $</w:t>
      </w:r>
      <w:r w:rsidR="00BE2222">
        <w:t>606</w:t>
      </w:r>
      <w:r w:rsidR="005D295C" w:rsidRPr="005D295C">
        <w:t xml:space="preserve"> </w:t>
      </w:r>
      <w:r w:rsidR="000D6DEB" w:rsidRPr="005D295C">
        <w:t>($</w:t>
      </w:r>
      <w:r w:rsidR="00BE2222">
        <w:t>75.81</w:t>
      </w:r>
      <w:r w:rsidR="000D6DEB" w:rsidRPr="005D295C">
        <w:t xml:space="preserve"> </w:t>
      </w:r>
      <w:r w:rsidR="002A0C7C" w:rsidRPr="005D295C">
        <w:t>x</w:t>
      </w:r>
      <w:r w:rsidR="000D6DEB" w:rsidRPr="005D295C">
        <w:t xml:space="preserve"> 8 hours), and the annual cost for all completeness reviews by the Federal government would be $</w:t>
      </w:r>
      <w:r w:rsidR="00BE2222">
        <w:t>27,876</w:t>
      </w:r>
      <w:r w:rsidR="002A0C7C" w:rsidRPr="005D295C">
        <w:t xml:space="preserve"> </w:t>
      </w:r>
      <w:r w:rsidR="00E42E75" w:rsidRPr="005D295C">
        <w:t>($</w:t>
      </w:r>
      <w:r w:rsidR="00BE2222">
        <w:t>606</w:t>
      </w:r>
      <w:r w:rsidR="00E42E75" w:rsidRPr="005D295C">
        <w:t xml:space="preserve"> x </w:t>
      </w:r>
      <w:r w:rsidR="00BE2222">
        <w:t>46</w:t>
      </w:r>
      <w:r w:rsidR="000D6DEB" w:rsidRPr="005D295C">
        <w:t xml:space="preserve"> applications).</w:t>
      </w:r>
      <w:r w:rsidR="000D6DEB" w:rsidRPr="00542969">
        <w:t xml:space="preserve"> </w:t>
      </w:r>
    </w:p>
    <w:p w14:paraId="2C2B0EAC" w14:textId="77777777" w:rsidR="000D6DEB" w:rsidRPr="00542969" w:rsidRDefault="000D6DEB" w:rsidP="007D5AE0">
      <w:pPr>
        <w:ind w:left="720" w:hanging="720"/>
      </w:pPr>
    </w:p>
    <w:p w14:paraId="0ADEA95D" w14:textId="3B7B1CC8" w:rsidR="00BE50E2" w:rsidRPr="00542969" w:rsidRDefault="007D5AE0" w:rsidP="00044B26">
      <w:pPr>
        <w:ind w:left="720" w:hanging="720"/>
      </w:pPr>
      <w:r w:rsidRPr="00542969">
        <w:tab/>
      </w:r>
      <w:r w:rsidR="00BE50E2" w:rsidRPr="005D295C">
        <w:t xml:space="preserve">Therefore, the cost to the Federal </w:t>
      </w:r>
      <w:r w:rsidR="00327A32" w:rsidRPr="005D295C">
        <w:t xml:space="preserve">Government </w:t>
      </w:r>
      <w:r w:rsidR="002A0C7C" w:rsidRPr="005D295C">
        <w:t>for</w:t>
      </w:r>
      <w:r w:rsidR="00327A32" w:rsidRPr="005D295C">
        <w:t xml:space="preserve"> </w:t>
      </w:r>
      <w:r w:rsidR="00E44E61" w:rsidRPr="005D295C">
        <w:t>§</w:t>
      </w:r>
      <w:r w:rsidR="00327A32" w:rsidRPr="005D295C">
        <w:t>773.7(a) is estimated to be $</w:t>
      </w:r>
      <w:r w:rsidR="00BE2222">
        <w:t>28,482</w:t>
      </w:r>
      <w:r w:rsidR="000D4F61" w:rsidRPr="005D295C">
        <w:t xml:space="preserve"> (</w:t>
      </w:r>
      <w:r w:rsidR="002A1C22" w:rsidRPr="005D295C">
        <w:t>$</w:t>
      </w:r>
      <w:r w:rsidR="00BE2222">
        <w:t>606</w:t>
      </w:r>
      <w:r w:rsidR="00E87E48" w:rsidRPr="005D295C">
        <w:t xml:space="preserve"> for oversight + $</w:t>
      </w:r>
      <w:r w:rsidR="00BE2222">
        <w:t>27,876</w:t>
      </w:r>
      <w:r w:rsidR="00BE50E2" w:rsidRPr="005D295C">
        <w:t xml:space="preserve"> for Federal</w:t>
      </w:r>
      <w:r w:rsidR="00BE50E2" w:rsidRPr="00542969">
        <w:t xml:space="preserve"> programs).</w:t>
      </w:r>
    </w:p>
    <w:p w14:paraId="1B141633" w14:textId="77777777" w:rsidR="00BE50E2" w:rsidRPr="00542969" w:rsidRDefault="00BE50E2" w:rsidP="00044B26">
      <w:pPr>
        <w:pStyle w:val="BodyTextIndent"/>
        <w:ind w:left="720" w:hanging="720"/>
      </w:pPr>
    </w:p>
    <w:p w14:paraId="6CA46BF4" w14:textId="15870D02" w:rsidR="00BE50E2" w:rsidRPr="00542969" w:rsidRDefault="00BE50E2" w:rsidP="00044B26">
      <w:pPr>
        <w:ind w:left="720" w:hanging="720"/>
      </w:pPr>
      <w:r w:rsidRPr="00542969">
        <w:t>15.</w:t>
      </w:r>
      <w:r w:rsidR="000D6DEB" w:rsidRPr="00542969">
        <w:tab/>
      </w:r>
      <w:r w:rsidR="003E777C" w:rsidRPr="003E777C">
        <w:t xml:space="preserve">This information collection request increases the burden for this section by </w:t>
      </w:r>
      <w:r w:rsidR="003E777C">
        <w:t xml:space="preserve">16,944 </w:t>
      </w:r>
      <w:r w:rsidR="003E777C" w:rsidRPr="003E777C">
        <w:t>hours due to a</w:t>
      </w:r>
      <w:r w:rsidR="003E777C">
        <w:t xml:space="preserve"> reestimate </w:t>
      </w:r>
      <w:r w:rsidR="003E777C" w:rsidRPr="003E777C">
        <w:t xml:space="preserve">in the </w:t>
      </w:r>
      <w:r w:rsidR="003E777C">
        <w:t>burden by States to review each permit application</w:t>
      </w:r>
      <w:r w:rsidR="003E777C" w:rsidRPr="003E777C">
        <w:t xml:space="preserve">.  </w:t>
      </w:r>
      <w:r w:rsidRPr="00542969">
        <w:t xml:space="preserve">The estimated </w:t>
      </w:r>
      <w:r w:rsidR="00536AEE" w:rsidRPr="00542969">
        <w:t xml:space="preserve">change in burden </w:t>
      </w:r>
      <w:r w:rsidRPr="00542969">
        <w:t>hours for respondents is shown below.</w:t>
      </w:r>
      <w:r w:rsidR="00E87E48" w:rsidRPr="00542969">
        <w:t xml:space="preserve">  </w:t>
      </w:r>
    </w:p>
    <w:p w14:paraId="7ACE7024" w14:textId="77777777" w:rsidR="00BE50E2" w:rsidRPr="00542969" w:rsidRDefault="00BE50E2" w:rsidP="00044B26">
      <w:pPr>
        <w:ind w:left="720" w:hanging="720"/>
      </w:pPr>
    </w:p>
    <w:p w14:paraId="5CB102B2" w14:textId="183F5424" w:rsidR="00BE50E2" w:rsidRPr="00542969" w:rsidRDefault="00BE50E2" w:rsidP="00E42E75">
      <w:pPr>
        <w:tabs>
          <w:tab w:val="left" w:pos="1080"/>
        </w:tabs>
        <w:ind w:left="720" w:hanging="720"/>
      </w:pPr>
      <w:r w:rsidRPr="00542969">
        <w:t xml:space="preserve"> </w:t>
      </w:r>
      <w:r w:rsidR="00914029" w:rsidRPr="00542969">
        <w:tab/>
      </w:r>
      <w:r w:rsidR="00E42E75" w:rsidRPr="00542969">
        <w:tab/>
      </w:r>
      <w:r w:rsidR="00BE2222">
        <w:t>29,840</w:t>
      </w:r>
      <w:r w:rsidR="002A1C22" w:rsidRPr="00542969">
        <w:t xml:space="preserve"> </w:t>
      </w:r>
      <w:r w:rsidRPr="00542969">
        <w:t xml:space="preserve"> hours currently approved</w:t>
      </w:r>
    </w:p>
    <w:p w14:paraId="0DC15CFB" w14:textId="5E0470E4" w:rsidR="00BE50E2" w:rsidRPr="00542969" w:rsidRDefault="005552D2" w:rsidP="00E42E75">
      <w:pPr>
        <w:tabs>
          <w:tab w:val="left" w:pos="1080"/>
        </w:tabs>
        <w:ind w:left="720"/>
      </w:pPr>
      <w:r>
        <w:rPr>
          <w:u w:val="single"/>
        </w:rPr>
        <w:t>+</w:t>
      </w:r>
      <w:r w:rsidR="00E42E75" w:rsidRPr="00542969">
        <w:rPr>
          <w:u w:val="single"/>
        </w:rPr>
        <w:tab/>
      </w:r>
      <w:r w:rsidR="00BE2222">
        <w:rPr>
          <w:u w:val="single"/>
        </w:rPr>
        <w:t>16,944</w:t>
      </w:r>
      <w:r w:rsidR="00DE2118" w:rsidRPr="00542969">
        <w:rPr>
          <w:u w:val="single"/>
        </w:rPr>
        <w:t xml:space="preserve"> </w:t>
      </w:r>
      <w:r w:rsidR="005B5816" w:rsidRPr="00542969">
        <w:t xml:space="preserve"> </w:t>
      </w:r>
      <w:r w:rsidR="00BE50E2" w:rsidRPr="00542969">
        <w:t>hours</w:t>
      </w:r>
      <w:r w:rsidR="005B5816" w:rsidRPr="00542969">
        <w:t xml:space="preserve"> due to a</w:t>
      </w:r>
      <w:r w:rsidR="003E777C">
        <w:t>n</w:t>
      </w:r>
      <w:r w:rsidR="0086358C">
        <w:t xml:space="preserve"> </w:t>
      </w:r>
      <w:r w:rsidR="003E777C">
        <w:t>increase a</w:t>
      </w:r>
      <w:r w:rsidR="00914029" w:rsidRPr="00542969">
        <w:t>s an adjustment</w:t>
      </w:r>
    </w:p>
    <w:p w14:paraId="4E18B564" w14:textId="141566AC" w:rsidR="00BE50E2" w:rsidRDefault="00BE50E2" w:rsidP="00E42E75">
      <w:pPr>
        <w:tabs>
          <w:tab w:val="left" w:pos="1080"/>
        </w:tabs>
        <w:ind w:left="720" w:hanging="720"/>
      </w:pPr>
      <w:r w:rsidRPr="00542969">
        <w:t xml:space="preserve">  </w:t>
      </w:r>
      <w:r w:rsidR="00DE2118" w:rsidRPr="00542969">
        <w:t xml:space="preserve"> </w:t>
      </w:r>
      <w:r w:rsidR="00914029" w:rsidRPr="00542969">
        <w:tab/>
      </w:r>
      <w:r w:rsidR="00E42E75" w:rsidRPr="00542969">
        <w:tab/>
      </w:r>
      <w:r w:rsidR="00BE2222">
        <w:t>46,784</w:t>
      </w:r>
      <w:r w:rsidR="00416B61" w:rsidRPr="00542969">
        <w:t xml:space="preserve"> </w:t>
      </w:r>
      <w:r w:rsidR="00967E30" w:rsidRPr="00542969">
        <w:t xml:space="preserve"> </w:t>
      </w:r>
      <w:r w:rsidR="00416B61" w:rsidRPr="00542969">
        <w:t>hours requested</w:t>
      </w:r>
    </w:p>
    <w:p w14:paraId="24F39D9D" w14:textId="77777777" w:rsidR="009D05D1" w:rsidRDefault="009D05D1" w:rsidP="00E42E75">
      <w:pPr>
        <w:tabs>
          <w:tab w:val="left" w:pos="1080"/>
        </w:tabs>
        <w:ind w:left="720" w:hanging="720"/>
      </w:pPr>
    </w:p>
    <w:p w14:paraId="30F2532C" w14:textId="77777777" w:rsidR="009D05D1" w:rsidRPr="00542969" w:rsidRDefault="009D05D1" w:rsidP="00E42E75">
      <w:pPr>
        <w:tabs>
          <w:tab w:val="left" w:pos="1080"/>
        </w:tabs>
        <w:ind w:left="720" w:hanging="720"/>
      </w:pPr>
      <w:r>
        <w:tab/>
        <w:t>There are no non-wage costs associated with this section.</w:t>
      </w:r>
    </w:p>
    <w:p w14:paraId="5B6D8F3B" w14:textId="77777777" w:rsidR="00BE50E2" w:rsidRPr="00542969" w:rsidRDefault="00BE50E2" w:rsidP="00044B26">
      <w:pPr>
        <w:pStyle w:val="BodyTextIndent"/>
        <w:ind w:left="720" w:hanging="720"/>
      </w:pPr>
    </w:p>
    <w:p w14:paraId="151CB8E1" w14:textId="77777777" w:rsidR="00BE50E2" w:rsidRPr="00542969" w:rsidRDefault="00BE50E2" w:rsidP="00044B26">
      <w:pPr>
        <w:ind w:left="720" w:hanging="720"/>
      </w:pPr>
      <w:r w:rsidRPr="00542969">
        <w:t xml:space="preserve">16.  </w:t>
      </w:r>
      <w:r w:rsidR="00914029" w:rsidRPr="00542969">
        <w:tab/>
      </w:r>
      <w:r w:rsidRPr="00542969">
        <w:t>See Identical Responses to Statements.</w:t>
      </w:r>
    </w:p>
    <w:p w14:paraId="09ED5F8A" w14:textId="77777777" w:rsidR="00BE50E2" w:rsidRPr="00542969" w:rsidRDefault="00BE50E2" w:rsidP="00044B26">
      <w:pPr>
        <w:ind w:left="720" w:hanging="720"/>
      </w:pPr>
    </w:p>
    <w:p w14:paraId="7276F5C4" w14:textId="77777777" w:rsidR="00BE50E2" w:rsidRPr="00542969" w:rsidRDefault="00BE50E2" w:rsidP="00044B26">
      <w:pPr>
        <w:ind w:left="720" w:hanging="720"/>
      </w:pPr>
      <w:r w:rsidRPr="00542969">
        <w:t xml:space="preserve">17.  </w:t>
      </w:r>
      <w:r w:rsidR="00914029" w:rsidRPr="00542969">
        <w:tab/>
      </w:r>
      <w:r w:rsidRPr="00542969">
        <w:t>See Identical Responses to Statements.</w:t>
      </w:r>
    </w:p>
    <w:p w14:paraId="58BF48BA" w14:textId="77777777" w:rsidR="00BE50E2" w:rsidRPr="00542969" w:rsidRDefault="00BE50E2" w:rsidP="00044B26">
      <w:pPr>
        <w:ind w:left="720" w:hanging="720"/>
      </w:pPr>
    </w:p>
    <w:p w14:paraId="3D55F065" w14:textId="77777777" w:rsidR="00BE50E2" w:rsidRPr="00542969" w:rsidRDefault="00BE50E2" w:rsidP="00044B26">
      <w:pPr>
        <w:ind w:left="720" w:hanging="720"/>
      </w:pPr>
      <w:r w:rsidRPr="00542969">
        <w:t xml:space="preserve">18.  </w:t>
      </w:r>
      <w:r w:rsidR="00914029" w:rsidRPr="00542969">
        <w:tab/>
      </w:r>
      <w:r w:rsidRPr="00542969">
        <w:t>See Identical Responses to Statements.</w:t>
      </w:r>
    </w:p>
    <w:p w14:paraId="24F430F4" w14:textId="77777777" w:rsidR="00BE50E2" w:rsidRPr="00542969" w:rsidRDefault="00BE50E2" w:rsidP="00044B26">
      <w:pPr>
        <w:ind w:left="720" w:hanging="720"/>
      </w:pPr>
    </w:p>
    <w:p w14:paraId="4706C773" w14:textId="77777777" w:rsidR="00F8635A" w:rsidRPr="002A0C7C" w:rsidRDefault="007820BC" w:rsidP="00F8635A">
      <w:pPr>
        <w:jc w:val="center"/>
        <w:rPr>
          <w:sz w:val="28"/>
          <w:szCs w:val="28"/>
        </w:rPr>
      </w:pPr>
      <w:r>
        <w:rPr>
          <w:b/>
          <w:bCs/>
        </w:rPr>
        <w:br w:type="page"/>
      </w:r>
      <w:r w:rsidR="00F8635A" w:rsidRPr="002A0C7C">
        <w:rPr>
          <w:b/>
          <w:bCs/>
          <w:sz w:val="28"/>
          <w:szCs w:val="28"/>
        </w:rPr>
        <w:t>Section 773.10(c)</w:t>
      </w:r>
      <w:r w:rsidR="00E510C8" w:rsidRPr="002A0C7C">
        <w:rPr>
          <w:b/>
          <w:bCs/>
          <w:sz w:val="28"/>
          <w:szCs w:val="28"/>
        </w:rPr>
        <w:t xml:space="preserve"> – Review of permit history</w:t>
      </w:r>
    </w:p>
    <w:p w14:paraId="6A1E5334" w14:textId="77777777" w:rsidR="00F8635A" w:rsidRPr="00542969" w:rsidRDefault="00F8635A" w:rsidP="00F8635A"/>
    <w:p w14:paraId="286AD639" w14:textId="77777777" w:rsidR="00F8635A" w:rsidRPr="00542969" w:rsidRDefault="00F8635A" w:rsidP="00EF171B">
      <w:pPr>
        <w:ind w:left="720" w:hanging="720"/>
        <w:rPr>
          <w:b/>
          <w:bCs/>
        </w:rPr>
      </w:pPr>
      <w:r w:rsidRPr="00542969">
        <w:rPr>
          <w:b/>
          <w:bCs/>
          <w:u w:val="single"/>
        </w:rPr>
        <w:t>Justification</w:t>
      </w:r>
    </w:p>
    <w:p w14:paraId="25A90480" w14:textId="77777777" w:rsidR="00F8635A" w:rsidRPr="00542969" w:rsidRDefault="00F8635A" w:rsidP="00F8635A"/>
    <w:p w14:paraId="601E7A64" w14:textId="77777777" w:rsidR="00F8635A" w:rsidRPr="00542969" w:rsidRDefault="00F8635A" w:rsidP="00EF171B">
      <w:pPr>
        <w:numPr>
          <w:ilvl w:val="0"/>
          <w:numId w:val="19"/>
        </w:numPr>
        <w:tabs>
          <w:tab w:val="clear" w:pos="360"/>
        </w:tabs>
        <w:ind w:left="720" w:hanging="720"/>
      </w:pPr>
      <w:r w:rsidRPr="00542969">
        <w:t xml:space="preserve">Section 773.10 requires regulatory authorities to review an applicant’s permit history as </w:t>
      </w:r>
      <w:r w:rsidR="007703B9" w:rsidRPr="00542969">
        <w:t>p</w:t>
      </w:r>
      <w:r w:rsidRPr="00542969">
        <w:t xml:space="preserve">art of a determination of permit eligibility.  Under </w:t>
      </w:r>
      <w:r w:rsidR="00E44E61">
        <w:t>§</w:t>
      </w:r>
      <w:r w:rsidRPr="00542969">
        <w:t>773.10(c), if a regulatory authority finds, in the course of its review, that an applicant or its operator do</w:t>
      </w:r>
      <w:r w:rsidR="00EF171B" w:rsidRPr="00542969">
        <w:t>es</w:t>
      </w:r>
      <w:r w:rsidRPr="00542969">
        <w:t xml:space="preserve"> not have previous mining experience, the regulatory authority may conduct</w:t>
      </w:r>
      <w:r w:rsidR="00D768BA" w:rsidRPr="00542969">
        <w:t xml:space="preserve"> an additional review</w:t>
      </w:r>
      <w:r w:rsidRPr="00542969">
        <w:t xml:space="preserve"> under </w:t>
      </w:r>
      <w:r w:rsidR="00E44E61">
        <w:t>§</w:t>
      </w:r>
      <w:r w:rsidRPr="00542969">
        <w:t xml:space="preserve">774.12(f).  The legal authority for this section is found in section 507 of SMCRA.  The information collected </w:t>
      </w:r>
      <w:r w:rsidR="002956D2">
        <w:t xml:space="preserve">in </w:t>
      </w:r>
      <w:r w:rsidR="00E44E61">
        <w:t>§</w:t>
      </w:r>
      <w:r w:rsidRPr="00542969">
        <w:t xml:space="preserve">773.10(c) is required to ensure that an applicant or its operator possess the expertise to conduct </w:t>
      </w:r>
      <w:r w:rsidR="00D768BA" w:rsidRPr="00542969">
        <w:t xml:space="preserve">surface coal </w:t>
      </w:r>
      <w:r w:rsidRPr="00542969">
        <w:t>mining and reclamation operations</w:t>
      </w:r>
      <w:r w:rsidR="00D768BA" w:rsidRPr="00542969">
        <w:t>,</w:t>
      </w:r>
      <w:r w:rsidRPr="00542969">
        <w:t xml:space="preserve"> </w:t>
      </w:r>
      <w:r w:rsidR="00657668" w:rsidRPr="00542969">
        <w:t xml:space="preserve">or whether another person has the expertise, </w:t>
      </w:r>
      <w:r w:rsidRPr="00542969">
        <w:t>in compliance with the Act and its implementing regulations.</w:t>
      </w:r>
    </w:p>
    <w:p w14:paraId="0C4A2AA5" w14:textId="77777777" w:rsidR="00184D69" w:rsidRPr="00542969" w:rsidRDefault="00184D69" w:rsidP="00184D69">
      <w:pPr>
        <w:ind w:left="360"/>
      </w:pPr>
    </w:p>
    <w:p w14:paraId="1452A707" w14:textId="1B995FA7" w:rsidR="00F8635A" w:rsidRPr="00542969" w:rsidRDefault="00EF171B" w:rsidP="00EF171B">
      <w:pPr>
        <w:ind w:left="720" w:hanging="720"/>
      </w:pPr>
      <w:r w:rsidRPr="00542969">
        <w:t>2.</w:t>
      </w:r>
      <w:r w:rsidRPr="00542969">
        <w:tab/>
      </w:r>
      <w:r w:rsidR="00F8635A" w:rsidRPr="00542969">
        <w:t xml:space="preserve">The </w:t>
      </w:r>
      <w:r w:rsidR="0063779B" w:rsidRPr="00542969">
        <w:t xml:space="preserve">respondents in </w:t>
      </w:r>
      <w:r w:rsidR="00E44E61">
        <w:t>§</w:t>
      </w:r>
      <w:r w:rsidR="0063779B" w:rsidRPr="00542969">
        <w:t xml:space="preserve">773.10(c) are </w:t>
      </w:r>
      <w:r w:rsidR="002653EC">
        <w:t>SRAs</w:t>
      </w:r>
      <w:r w:rsidR="0063779B" w:rsidRPr="00542969">
        <w:t xml:space="preserve">.  Section 773.10(c) requires a </w:t>
      </w:r>
      <w:r w:rsidR="000A4459">
        <w:t>SRA</w:t>
      </w:r>
      <w:r w:rsidR="0063779B" w:rsidRPr="00542969">
        <w:t xml:space="preserve"> to make a finding as to whether an applicant for a </w:t>
      </w:r>
      <w:r w:rsidR="00D768BA" w:rsidRPr="00542969">
        <w:t xml:space="preserve">surface coal mining </w:t>
      </w:r>
      <w:r w:rsidR="0063779B" w:rsidRPr="00542969">
        <w:t>permit and its proposed operator ha</w:t>
      </w:r>
      <w:r w:rsidR="00430720">
        <w:t>s</w:t>
      </w:r>
      <w:r w:rsidR="0063779B" w:rsidRPr="00542969">
        <w:t xml:space="preserve"> previous mining experience.  </w:t>
      </w:r>
      <w:r w:rsidR="00D768BA" w:rsidRPr="00542969">
        <w:t xml:space="preserve">The information collection burden is incurred when a </w:t>
      </w:r>
      <w:r w:rsidR="000A4459">
        <w:t>SRA</w:t>
      </w:r>
      <w:r w:rsidR="00D768BA" w:rsidRPr="00542969">
        <w:t xml:space="preserve"> </w:t>
      </w:r>
      <w:r w:rsidR="00657668" w:rsidRPr="00542969">
        <w:t>determines</w:t>
      </w:r>
      <w:r w:rsidR="00D768BA" w:rsidRPr="00542969">
        <w:t xml:space="preserve"> that neither an applicant nor its operator has previous surface coal mining experience.</w:t>
      </w:r>
    </w:p>
    <w:p w14:paraId="41DE7C07" w14:textId="77777777" w:rsidR="00F8635A" w:rsidRPr="00542969" w:rsidRDefault="00F8635A" w:rsidP="00F8635A"/>
    <w:p w14:paraId="0F48F322" w14:textId="77777777" w:rsidR="00F8635A" w:rsidRPr="00542969" w:rsidRDefault="00F8635A" w:rsidP="00F8635A">
      <w:r w:rsidRPr="00542969">
        <w:t xml:space="preserve">3.  </w:t>
      </w:r>
      <w:r w:rsidR="00EF171B" w:rsidRPr="00542969">
        <w:tab/>
      </w:r>
      <w:r w:rsidRPr="00542969">
        <w:t>See Identical Responses to Statements.</w:t>
      </w:r>
    </w:p>
    <w:p w14:paraId="7CA429FA" w14:textId="77777777" w:rsidR="00F8635A" w:rsidRPr="00542969" w:rsidRDefault="00F8635A" w:rsidP="00F8635A"/>
    <w:p w14:paraId="40EB58BA" w14:textId="77777777" w:rsidR="00F8635A" w:rsidRPr="00542969" w:rsidRDefault="00F8635A" w:rsidP="00F8635A">
      <w:r w:rsidRPr="00542969">
        <w:t xml:space="preserve">4.  </w:t>
      </w:r>
      <w:r w:rsidR="00EF171B" w:rsidRPr="00542969">
        <w:tab/>
      </w:r>
      <w:r w:rsidRPr="00542969">
        <w:t>See Identical Responses to Statements.</w:t>
      </w:r>
    </w:p>
    <w:p w14:paraId="1FB7A99E" w14:textId="77777777" w:rsidR="00F8635A" w:rsidRPr="00542969" w:rsidRDefault="00F8635A" w:rsidP="00F8635A"/>
    <w:p w14:paraId="63F2E844" w14:textId="77777777" w:rsidR="00F8635A" w:rsidRPr="00542969" w:rsidRDefault="00F8635A" w:rsidP="00F8635A">
      <w:r w:rsidRPr="00542969">
        <w:t xml:space="preserve">5.  </w:t>
      </w:r>
      <w:r w:rsidR="00EF171B" w:rsidRPr="00542969">
        <w:tab/>
      </w:r>
      <w:r w:rsidRPr="00542969">
        <w:t>See Identical Responses to Statements.</w:t>
      </w:r>
    </w:p>
    <w:p w14:paraId="78C558AF" w14:textId="77777777" w:rsidR="00F8635A" w:rsidRPr="00542969" w:rsidRDefault="00F8635A" w:rsidP="00F8635A"/>
    <w:p w14:paraId="45E82590" w14:textId="77777777" w:rsidR="00F8635A" w:rsidRPr="00542969" w:rsidRDefault="00F8635A" w:rsidP="00F8635A">
      <w:r w:rsidRPr="00542969">
        <w:t xml:space="preserve">6.  </w:t>
      </w:r>
      <w:r w:rsidR="00EF171B" w:rsidRPr="00542969">
        <w:tab/>
      </w:r>
      <w:r w:rsidRPr="00542969">
        <w:t>See Identical Responses to Statements.</w:t>
      </w:r>
    </w:p>
    <w:p w14:paraId="75F5E60B" w14:textId="77777777" w:rsidR="00F8635A" w:rsidRPr="00542969" w:rsidRDefault="00F8635A" w:rsidP="00F8635A"/>
    <w:p w14:paraId="758720F0" w14:textId="77777777" w:rsidR="00F8635A" w:rsidRPr="00542969" w:rsidRDefault="00F8635A" w:rsidP="00F8635A">
      <w:r w:rsidRPr="00542969">
        <w:t xml:space="preserve">7.  </w:t>
      </w:r>
      <w:r w:rsidR="00EF171B" w:rsidRPr="00542969">
        <w:tab/>
      </w:r>
      <w:r w:rsidRPr="00542969">
        <w:t>See Identical Responses to Statements.</w:t>
      </w:r>
    </w:p>
    <w:p w14:paraId="5C079B96" w14:textId="77777777" w:rsidR="00F8635A" w:rsidRPr="00542969" w:rsidRDefault="00F8635A" w:rsidP="00F8635A"/>
    <w:p w14:paraId="2AE8A1D6" w14:textId="77777777" w:rsidR="00F8635A" w:rsidRPr="00542969" w:rsidRDefault="00F8635A" w:rsidP="00F8635A">
      <w:r w:rsidRPr="00542969">
        <w:t xml:space="preserve">8.  </w:t>
      </w:r>
      <w:r w:rsidR="00EF171B" w:rsidRPr="00542969">
        <w:tab/>
      </w:r>
      <w:r w:rsidRPr="00542969">
        <w:t>See Identical Responses to Statements.</w:t>
      </w:r>
    </w:p>
    <w:p w14:paraId="39954823" w14:textId="77777777" w:rsidR="00F8635A" w:rsidRPr="00542969" w:rsidRDefault="00F8635A" w:rsidP="00F8635A"/>
    <w:p w14:paraId="2EFD45CD" w14:textId="77777777" w:rsidR="00F8635A" w:rsidRPr="00542969" w:rsidRDefault="00F8635A" w:rsidP="00F8635A">
      <w:r w:rsidRPr="00542969">
        <w:t>9.</w:t>
      </w:r>
      <w:r w:rsidR="00EF171B" w:rsidRPr="00542969">
        <w:tab/>
      </w:r>
      <w:r w:rsidRPr="00542969">
        <w:t>See Identical Responses to Statements.</w:t>
      </w:r>
    </w:p>
    <w:p w14:paraId="456B9034" w14:textId="77777777" w:rsidR="00F8635A" w:rsidRPr="00542969" w:rsidRDefault="00F8635A" w:rsidP="00F8635A"/>
    <w:p w14:paraId="4A8806B6" w14:textId="77777777" w:rsidR="00F8635A" w:rsidRPr="00542969" w:rsidRDefault="00F8635A" w:rsidP="00F8635A">
      <w:r w:rsidRPr="00542969">
        <w:t>10.</w:t>
      </w:r>
      <w:r w:rsidR="00EF171B" w:rsidRPr="00542969">
        <w:tab/>
      </w:r>
      <w:r w:rsidRPr="00542969">
        <w:t>See Identical Responses to Statements.</w:t>
      </w:r>
    </w:p>
    <w:p w14:paraId="5F765C91" w14:textId="77777777" w:rsidR="00F8635A" w:rsidRPr="00542969" w:rsidRDefault="00F8635A" w:rsidP="00F8635A"/>
    <w:p w14:paraId="5ACA0875" w14:textId="77777777" w:rsidR="00F8635A" w:rsidRPr="00542969" w:rsidRDefault="00F8635A" w:rsidP="00F8635A">
      <w:r w:rsidRPr="00542969">
        <w:t>11.</w:t>
      </w:r>
      <w:r w:rsidR="00EF171B" w:rsidRPr="00542969">
        <w:tab/>
      </w:r>
      <w:r w:rsidRPr="00542969">
        <w:t>See Identical Responses to Statements.</w:t>
      </w:r>
    </w:p>
    <w:p w14:paraId="13B34BEB" w14:textId="77777777" w:rsidR="00F8635A" w:rsidRPr="00542969" w:rsidRDefault="00F8635A" w:rsidP="00F8635A"/>
    <w:p w14:paraId="607440EC" w14:textId="77777777" w:rsidR="00F8635A" w:rsidRPr="00542969" w:rsidRDefault="00F8635A" w:rsidP="00F8635A">
      <w:r w:rsidRPr="00542969">
        <w:t>12.</w:t>
      </w:r>
      <w:r w:rsidR="00EF171B" w:rsidRPr="00542969">
        <w:tab/>
      </w:r>
      <w:r w:rsidRPr="00542969">
        <w:rPr>
          <w:u w:val="single"/>
        </w:rPr>
        <w:t>Estimated Information Collection Burden</w:t>
      </w:r>
    </w:p>
    <w:p w14:paraId="66EB93AB" w14:textId="77777777" w:rsidR="00F8635A" w:rsidRPr="00542969" w:rsidRDefault="00F8635A" w:rsidP="00F8635A"/>
    <w:p w14:paraId="768D0393" w14:textId="77777777" w:rsidR="00F8635A" w:rsidRPr="00542969" w:rsidRDefault="00F8635A" w:rsidP="00EF171B">
      <w:pPr>
        <w:numPr>
          <w:ilvl w:val="0"/>
          <w:numId w:val="26"/>
        </w:numPr>
        <w:tabs>
          <w:tab w:val="left" w:pos="1440"/>
        </w:tabs>
        <w:ind w:left="720" w:firstLine="0"/>
      </w:pPr>
      <w:r w:rsidRPr="00542969">
        <w:rPr>
          <w:u w:val="single"/>
        </w:rPr>
        <w:t>Burden Hour Estimates for Respondents</w:t>
      </w:r>
    </w:p>
    <w:p w14:paraId="1ACF134B" w14:textId="77777777" w:rsidR="00F8635A" w:rsidRPr="00542969" w:rsidRDefault="00F8635A" w:rsidP="00F8635A"/>
    <w:p w14:paraId="1523E583" w14:textId="18EB0017" w:rsidR="00F8635A" w:rsidRPr="00542969" w:rsidRDefault="00F8635A" w:rsidP="00EF171B">
      <w:pPr>
        <w:ind w:left="720"/>
      </w:pPr>
      <w:r w:rsidRPr="00542969">
        <w:t xml:space="preserve">The respondents </w:t>
      </w:r>
      <w:r w:rsidR="00E30E10">
        <w:t>for</w:t>
      </w:r>
      <w:r w:rsidRPr="00542969">
        <w:t xml:space="preserve"> </w:t>
      </w:r>
      <w:r w:rsidR="00E44E61">
        <w:t>§</w:t>
      </w:r>
      <w:r w:rsidRPr="00542969">
        <w:t xml:space="preserve">773.10(c) are </w:t>
      </w:r>
      <w:r w:rsidR="002653EC">
        <w:t>SRAs</w:t>
      </w:r>
      <w:r w:rsidRPr="00542969">
        <w:t xml:space="preserve">.  We estimate </w:t>
      </w:r>
      <w:r w:rsidR="004D5E0E">
        <w:t xml:space="preserve">that </w:t>
      </w:r>
      <w:r w:rsidRPr="00542969">
        <w:t xml:space="preserve">10 percent of the </w:t>
      </w:r>
      <w:r w:rsidR="00B375AF">
        <w:t>70</w:t>
      </w:r>
      <w:r w:rsidRPr="00542969">
        <w:t xml:space="preserve"> </w:t>
      </w:r>
      <w:r w:rsidR="00D07F51">
        <w:t xml:space="preserve">new permit </w:t>
      </w:r>
      <w:r w:rsidRPr="00542969">
        <w:t>applica</w:t>
      </w:r>
      <w:r w:rsidR="00657668" w:rsidRPr="00542969">
        <w:t>tion</w:t>
      </w:r>
      <w:r w:rsidR="000A688D" w:rsidRPr="00542969">
        <w:t>s</w:t>
      </w:r>
      <w:r w:rsidR="007C7FC0">
        <w:t xml:space="preserve"> submitted to </w:t>
      </w:r>
      <w:r w:rsidR="002653EC">
        <w:t>SRAs</w:t>
      </w:r>
      <w:r w:rsidR="007C7FC0">
        <w:t xml:space="preserve">, </w:t>
      </w:r>
      <w:r w:rsidR="00D07F51">
        <w:t xml:space="preserve">or </w:t>
      </w:r>
      <w:r w:rsidR="00B375AF">
        <w:t>7</w:t>
      </w:r>
      <w:r w:rsidR="00D07F51">
        <w:t xml:space="preserve"> total</w:t>
      </w:r>
      <w:r w:rsidRPr="00542969">
        <w:t xml:space="preserve">, </w:t>
      </w:r>
      <w:r w:rsidR="00657668" w:rsidRPr="00542969">
        <w:t>are applicants where neither the applicant nor its operat</w:t>
      </w:r>
      <w:r w:rsidRPr="00542969">
        <w:t xml:space="preserve">or </w:t>
      </w:r>
      <w:r w:rsidR="00F52D6C" w:rsidRPr="00542969">
        <w:t>has</w:t>
      </w:r>
      <w:r w:rsidRPr="00542969">
        <w:t xml:space="preserve"> previous mining experience.  </w:t>
      </w:r>
      <w:r w:rsidR="00EF171B" w:rsidRPr="00542969">
        <w:t>Based on discussions with those identified in item 8, States will require 5 hours to conduct the additional review to determine when neith</w:t>
      </w:r>
      <w:r w:rsidR="00657668" w:rsidRPr="00542969">
        <w:t xml:space="preserve">er </w:t>
      </w:r>
      <w:r w:rsidRPr="00542969">
        <w:t>th</w:t>
      </w:r>
      <w:r w:rsidR="00657668" w:rsidRPr="00542969">
        <w:t>e applicant nor its operator has</w:t>
      </w:r>
      <w:r w:rsidRPr="00542969">
        <w:t xml:space="preserve"> previous mining experienc</w:t>
      </w:r>
      <w:r w:rsidR="00EF171B" w:rsidRPr="00542969">
        <w:t>e</w:t>
      </w:r>
      <w:r w:rsidRPr="00542969">
        <w:t>.  Therefore, we estimate the total burden</w:t>
      </w:r>
      <w:r w:rsidR="000A688D" w:rsidRPr="00542969">
        <w:t xml:space="preserve"> for </w:t>
      </w:r>
      <w:r w:rsidR="00E44E61">
        <w:t>§</w:t>
      </w:r>
      <w:r w:rsidR="000A688D" w:rsidRPr="00542969">
        <w:t xml:space="preserve">773.10(c) to be </w:t>
      </w:r>
      <w:r w:rsidR="00B375AF">
        <w:t>35</w:t>
      </w:r>
      <w:r w:rsidR="000A688D" w:rsidRPr="00542969">
        <w:t xml:space="preserve"> hours (</w:t>
      </w:r>
      <w:r w:rsidR="00B375AF">
        <w:t>7</w:t>
      </w:r>
      <w:r w:rsidRPr="00542969">
        <w:t xml:space="preserve"> applications x 5 hours per review).</w:t>
      </w:r>
    </w:p>
    <w:p w14:paraId="1D288E16" w14:textId="77777777" w:rsidR="00657668" w:rsidRPr="00542969" w:rsidRDefault="00657668" w:rsidP="00F8635A">
      <w:pPr>
        <w:ind w:left="360"/>
      </w:pPr>
    </w:p>
    <w:p w14:paraId="37DF9E03" w14:textId="77777777" w:rsidR="00657668" w:rsidRPr="00542969" w:rsidRDefault="00657668" w:rsidP="00EF171B">
      <w:pPr>
        <w:ind w:left="360" w:firstLine="360"/>
      </w:pPr>
      <w:r w:rsidRPr="00542969">
        <w:t xml:space="preserve">Industry has no information collection burden under </w:t>
      </w:r>
      <w:r w:rsidR="00E44E61">
        <w:t>§</w:t>
      </w:r>
      <w:r w:rsidRPr="00542969">
        <w:t>773.10(c).</w:t>
      </w:r>
    </w:p>
    <w:p w14:paraId="18BD9F86" w14:textId="77777777" w:rsidR="00F8635A" w:rsidRPr="00542969" w:rsidRDefault="00F8635A" w:rsidP="00F8635A">
      <w:pPr>
        <w:ind w:left="360"/>
      </w:pPr>
    </w:p>
    <w:p w14:paraId="3D9DA7A1" w14:textId="77777777" w:rsidR="00F8635A" w:rsidRPr="00542969" w:rsidRDefault="00F8635A" w:rsidP="00EF171B">
      <w:pPr>
        <w:numPr>
          <w:ilvl w:val="0"/>
          <w:numId w:val="26"/>
        </w:numPr>
        <w:tabs>
          <w:tab w:val="left" w:pos="1440"/>
        </w:tabs>
      </w:pPr>
      <w:r w:rsidRPr="00542969">
        <w:rPr>
          <w:u w:val="single"/>
        </w:rPr>
        <w:t>Estimated Wage Cost to Respondents</w:t>
      </w:r>
    </w:p>
    <w:p w14:paraId="64349E0F" w14:textId="77777777" w:rsidR="002646A3" w:rsidRDefault="002646A3" w:rsidP="00EF171B">
      <w:pPr>
        <w:ind w:left="720"/>
      </w:pPr>
    </w:p>
    <w:p w14:paraId="51A085BB" w14:textId="1CB06BC4" w:rsidR="00EF171B" w:rsidRPr="00542969" w:rsidRDefault="00F3663D" w:rsidP="00EF171B">
      <w:pPr>
        <w:ind w:left="720"/>
      </w:pPr>
      <w:r>
        <w:t>OSMRE</w:t>
      </w:r>
      <w:r w:rsidR="00EF171B" w:rsidRPr="00542969">
        <w:t xml:space="preserve"> estimates that a State engineering technician will conduct the additional operator experience </w:t>
      </w:r>
      <w:r w:rsidR="00EF171B" w:rsidRPr="00F8582B">
        <w:t xml:space="preserve">review.  At </w:t>
      </w:r>
      <w:r w:rsidR="002646A3" w:rsidRPr="00F8582B">
        <w:t>$</w:t>
      </w:r>
      <w:r w:rsidR="00B375AF">
        <w:t>23.26</w:t>
      </w:r>
      <w:r w:rsidR="002646A3" w:rsidRPr="00F8582B">
        <w:t xml:space="preserve"> per hour, or $</w:t>
      </w:r>
      <w:r w:rsidR="00B375AF">
        <w:t>37.22</w:t>
      </w:r>
      <w:r w:rsidR="002646A3" w:rsidRPr="00F8582B">
        <w:t xml:space="preserve"> per hour including benefits of 1.</w:t>
      </w:r>
      <w:r w:rsidR="00B375AF">
        <w:t>6</w:t>
      </w:r>
      <w:r w:rsidR="002646A3" w:rsidRPr="00F8582B">
        <w:t xml:space="preserve"> of salary (derived from Bureau of Labor Statistics and the BLS news release referenced above, for State government employees)</w:t>
      </w:r>
      <w:r w:rsidR="00EF171B" w:rsidRPr="00F8582B">
        <w:t>, the estimated total wage cost to comply with this section is $</w:t>
      </w:r>
      <w:r w:rsidR="00B375AF">
        <w:t>1,303</w:t>
      </w:r>
      <w:r w:rsidR="00EF171B" w:rsidRPr="00F8582B">
        <w:t xml:space="preserve"> (</w:t>
      </w:r>
      <w:r w:rsidR="00B375AF">
        <w:t>7</w:t>
      </w:r>
      <w:r w:rsidR="00EF171B" w:rsidRPr="00F8582B">
        <w:t xml:space="preserve"> applications </w:t>
      </w:r>
      <w:r w:rsidR="003622B0" w:rsidRPr="00F8582B">
        <w:t>r</w:t>
      </w:r>
      <w:r w:rsidR="00EF171B" w:rsidRPr="00F8582B">
        <w:t>eviewed x $</w:t>
      </w:r>
      <w:r w:rsidR="00B375AF">
        <w:t>37.22</w:t>
      </w:r>
      <w:r w:rsidR="00EF171B" w:rsidRPr="00F8582B">
        <w:t xml:space="preserve"> per hour</w:t>
      </w:r>
      <w:r w:rsidR="002646A3" w:rsidRPr="00F8582B">
        <w:t xml:space="preserve"> x 5 hours per review</w:t>
      </w:r>
      <w:r w:rsidR="00EF171B" w:rsidRPr="00F8582B">
        <w:t>).</w:t>
      </w:r>
    </w:p>
    <w:p w14:paraId="1637406F" w14:textId="77777777" w:rsidR="00EF171B" w:rsidRPr="00542969" w:rsidRDefault="00EF171B" w:rsidP="00EF171B">
      <w:pPr>
        <w:ind w:left="720"/>
      </w:pPr>
    </w:p>
    <w:p w14:paraId="60AFB292" w14:textId="77777777" w:rsidR="00F8635A" w:rsidRPr="00542969" w:rsidRDefault="00F8635A" w:rsidP="00F8635A">
      <w:r w:rsidRPr="00542969">
        <w:t>13.</w:t>
      </w:r>
      <w:r w:rsidR="003622B0" w:rsidRPr="00542969">
        <w:tab/>
      </w:r>
      <w:r w:rsidRPr="00542969">
        <w:rPr>
          <w:u w:val="single"/>
        </w:rPr>
        <w:t>Total Annual Non-Wage Cost Burden to Respondents</w:t>
      </w:r>
    </w:p>
    <w:p w14:paraId="4F62797C" w14:textId="77777777" w:rsidR="00F8635A" w:rsidRPr="00542969" w:rsidRDefault="00F8635A" w:rsidP="00F8635A"/>
    <w:p w14:paraId="0FDB59D9" w14:textId="77777777" w:rsidR="00F8635A" w:rsidRPr="00542969" w:rsidRDefault="00F8635A" w:rsidP="003622B0">
      <w:pPr>
        <w:numPr>
          <w:ilvl w:val="0"/>
          <w:numId w:val="27"/>
        </w:numPr>
        <w:tabs>
          <w:tab w:val="left" w:pos="1440"/>
        </w:tabs>
      </w:pPr>
      <w:r w:rsidRPr="00542969">
        <w:rPr>
          <w:u w:val="single"/>
        </w:rPr>
        <w:t>Annual Capital and Start-up Costs</w:t>
      </w:r>
    </w:p>
    <w:p w14:paraId="6D129E77" w14:textId="77777777" w:rsidR="00F8635A" w:rsidRPr="00542969" w:rsidRDefault="00F8635A" w:rsidP="00F8635A"/>
    <w:p w14:paraId="7E5623C1" w14:textId="77777777" w:rsidR="00F8635A" w:rsidRPr="00542969" w:rsidRDefault="00F8635A" w:rsidP="003622B0">
      <w:pPr>
        <w:pStyle w:val="BodyTextIndent"/>
        <w:ind w:left="720"/>
      </w:pPr>
      <w:r w:rsidRPr="00542969">
        <w:t xml:space="preserve">The information collection requirements of </w:t>
      </w:r>
      <w:r w:rsidR="00E44E61">
        <w:t>§</w:t>
      </w:r>
      <w:r w:rsidRPr="00542969">
        <w:t>773.10(c) do not involve any capital or start-up costs apart from expenditures associated with customary business practices.</w:t>
      </w:r>
    </w:p>
    <w:p w14:paraId="49A68BF0" w14:textId="77777777" w:rsidR="00F8635A" w:rsidRPr="00542969" w:rsidRDefault="00F8635A" w:rsidP="00F8635A"/>
    <w:p w14:paraId="15535486" w14:textId="77777777" w:rsidR="00F8635A" w:rsidRPr="00542969" w:rsidRDefault="00F8635A" w:rsidP="003622B0">
      <w:pPr>
        <w:numPr>
          <w:ilvl w:val="0"/>
          <w:numId w:val="27"/>
        </w:numPr>
        <w:ind w:left="1440" w:hanging="720"/>
      </w:pPr>
      <w:r w:rsidRPr="00542969">
        <w:rPr>
          <w:u w:val="single"/>
        </w:rPr>
        <w:t>Operation and Maintenance Costs</w:t>
      </w:r>
    </w:p>
    <w:p w14:paraId="38DE6675" w14:textId="77777777" w:rsidR="00F8635A" w:rsidRPr="00542969" w:rsidRDefault="00F8635A" w:rsidP="00F8635A"/>
    <w:p w14:paraId="470D5ECF" w14:textId="77777777" w:rsidR="00F8635A" w:rsidRPr="00542969" w:rsidRDefault="00F8635A" w:rsidP="003622B0">
      <w:pPr>
        <w:ind w:left="720"/>
      </w:pPr>
      <w:r w:rsidRPr="00542969">
        <w:t>There are no significant or distinct non-wage operations or maintenance costs associated with compliance with the information collection requirements for this section.</w:t>
      </w:r>
    </w:p>
    <w:p w14:paraId="66FB0FE7" w14:textId="77777777" w:rsidR="00F8635A" w:rsidRPr="00542969" w:rsidRDefault="00F8635A" w:rsidP="00F8635A"/>
    <w:p w14:paraId="489DEF8D" w14:textId="77777777" w:rsidR="00F8635A" w:rsidRPr="00542969" w:rsidRDefault="00F8635A" w:rsidP="00F8635A">
      <w:r w:rsidRPr="00542969">
        <w:t>14.</w:t>
      </w:r>
      <w:r w:rsidR="003622B0" w:rsidRPr="00542969">
        <w:tab/>
      </w:r>
      <w:r w:rsidRPr="00542969">
        <w:rPr>
          <w:u w:val="single"/>
        </w:rPr>
        <w:t>Estimate of Cost to the Federal Government</w:t>
      </w:r>
    </w:p>
    <w:p w14:paraId="6DFBDDDE" w14:textId="77777777" w:rsidR="00F8635A" w:rsidRPr="00542969" w:rsidRDefault="00F8635A" w:rsidP="00F8635A"/>
    <w:p w14:paraId="727B9232" w14:textId="1BD69BC7" w:rsidR="00F8635A" w:rsidRPr="00542969" w:rsidRDefault="00F8635A" w:rsidP="003622B0">
      <w:pPr>
        <w:pStyle w:val="BodyTextIndent"/>
        <w:ind w:lef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compliance with </w:t>
      </w:r>
      <w:r w:rsidR="00E44E61">
        <w:t>§</w:t>
      </w:r>
      <w:r w:rsidRPr="00542969">
        <w:t xml:space="preserve">773.10(c) in the absence of indication of problems.  </w:t>
      </w:r>
      <w:r w:rsidR="00F3663D">
        <w:t>OSMRE</w:t>
      </w:r>
      <w:r w:rsidR="002867DF" w:rsidRPr="00542969">
        <w:t xml:space="preserve"> estimates that the oversight </w:t>
      </w:r>
      <w:r w:rsidR="002867DF" w:rsidRPr="00CB40DE">
        <w:t xml:space="preserve">review will require 5 hours.  </w:t>
      </w:r>
      <w:r w:rsidR="001B2D37" w:rsidRPr="00CB40DE">
        <w:t xml:space="preserve">A GS-13, step 5 environmental scientist with a </w:t>
      </w:r>
      <w:r w:rsidR="008C34E2">
        <w:t xml:space="preserve">base </w:t>
      </w:r>
      <w:r w:rsidR="001B2D37" w:rsidRPr="00CB40DE">
        <w:t xml:space="preserve">salary of </w:t>
      </w:r>
      <w:r w:rsidR="00B414F9" w:rsidRPr="00CB40DE">
        <w:t>$</w:t>
      </w:r>
      <w:r w:rsidR="00226CE3">
        <w:t>47.38</w:t>
      </w:r>
      <w:r w:rsidR="001B2D37" w:rsidRPr="00CB40DE">
        <w:t xml:space="preserve"> per hour</w:t>
      </w:r>
      <w:r w:rsidR="0086358C">
        <w:t>,</w:t>
      </w:r>
      <w:r w:rsidR="001B2D37" w:rsidRPr="00CB40DE">
        <w:t xml:space="preserve"> plus the 1.</w:t>
      </w:r>
      <w:r w:rsidR="00226CE3">
        <w:t>6</w:t>
      </w:r>
      <w:r w:rsidR="001B2D37" w:rsidRPr="00CB40DE">
        <w:t xml:space="preserve"> multiplier for </w:t>
      </w:r>
      <w:r w:rsidR="003A3A78" w:rsidRPr="00CB40DE">
        <w:t>benefits, which</w:t>
      </w:r>
      <w:r w:rsidR="001B2D37" w:rsidRPr="00CB40DE">
        <w:t xml:space="preserve"> is derived </w:t>
      </w:r>
      <w:r w:rsidR="00B414F9" w:rsidRPr="00CB40DE">
        <w:t>from the BLS news release</w:t>
      </w:r>
      <w:r w:rsidR="001B2D37" w:rsidRPr="00CB40DE">
        <w:t>, would require $</w:t>
      </w:r>
      <w:r w:rsidR="00226CE3">
        <w:t>75.81</w:t>
      </w:r>
      <w:r w:rsidR="001B2D37" w:rsidRPr="00CB40DE">
        <w:t xml:space="preserve"> per hour.  </w:t>
      </w:r>
      <w:r w:rsidR="002867DF" w:rsidRPr="00CB40DE">
        <w:t>Therefore, the annual cost to the Federal government for oversight is $</w:t>
      </w:r>
      <w:r w:rsidR="00226CE3">
        <w:t>379</w:t>
      </w:r>
      <w:r w:rsidR="002867DF" w:rsidRPr="00CB40DE">
        <w:t xml:space="preserve"> ($</w:t>
      </w:r>
      <w:r w:rsidR="00226CE3">
        <w:t>75.81</w:t>
      </w:r>
      <w:r w:rsidR="002867DF" w:rsidRPr="00CB40DE">
        <w:t xml:space="preserve"> X 5 hours).</w:t>
      </w:r>
      <w:r w:rsidR="002867DF" w:rsidRPr="00542969">
        <w:t xml:space="preserve"> </w:t>
      </w:r>
    </w:p>
    <w:p w14:paraId="09A46E72" w14:textId="77777777" w:rsidR="00F8635A" w:rsidRPr="00542969" w:rsidRDefault="00F8635A" w:rsidP="00F8635A">
      <w:pPr>
        <w:ind w:left="360"/>
      </w:pPr>
    </w:p>
    <w:p w14:paraId="042DBCA5" w14:textId="0F8DCB7D" w:rsidR="001B2D37" w:rsidRPr="004F3DF4" w:rsidRDefault="00F8635A" w:rsidP="001B2D37">
      <w:pPr>
        <w:ind w:left="720" w:right="720"/>
      </w:pPr>
      <w:r w:rsidRPr="00542969">
        <w:rPr>
          <w:u w:val="single"/>
        </w:rPr>
        <w:t>Federal Programs</w:t>
      </w:r>
      <w:r w:rsidRPr="00542969">
        <w:t xml:space="preserve">.  </w:t>
      </w:r>
      <w:r w:rsidR="007C7FC0">
        <w:t xml:space="preserve">Of the </w:t>
      </w:r>
      <w:r w:rsidR="00226CE3">
        <w:t>70</w:t>
      </w:r>
      <w:r w:rsidR="007C7FC0">
        <w:t xml:space="preserve"> applications to mine coal, we estimate that one will be submitted w</w:t>
      </w:r>
      <w:r w:rsidR="00657668" w:rsidRPr="00542969">
        <w:t>here</w:t>
      </w:r>
      <w:r w:rsidRPr="00542969">
        <w:t xml:space="preserve"> </w:t>
      </w:r>
      <w:r w:rsidR="00F3663D">
        <w:t>OSMRE</w:t>
      </w:r>
      <w:r w:rsidRPr="00542969">
        <w:t xml:space="preserve"> is the regulatory authority</w:t>
      </w:r>
      <w:r w:rsidR="007C7FC0">
        <w:t>.  W</w:t>
      </w:r>
      <w:r w:rsidRPr="00542969">
        <w:t xml:space="preserve">e estimate </w:t>
      </w:r>
      <w:r w:rsidR="00657668" w:rsidRPr="00542969">
        <w:t xml:space="preserve">we will identify </w:t>
      </w:r>
      <w:r w:rsidR="00CC04D6" w:rsidRPr="00542969">
        <w:t xml:space="preserve">1 </w:t>
      </w:r>
      <w:r w:rsidR="00657668" w:rsidRPr="00542969">
        <w:t>applica</w:t>
      </w:r>
      <w:r w:rsidRPr="00542969">
        <w:t>t</w:t>
      </w:r>
      <w:r w:rsidR="00657668" w:rsidRPr="00542969">
        <w:t>ion</w:t>
      </w:r>
      <w:r w:rsidR="000E5D63" w:rsidRPr="00542969">
        <w:t xml:space="preserve"> (10 percent of </w:t>
      </w:r>
      <w:r w:rsidR="001E3873">
        <w:t>1</w:t>
      </w:r>
      <w:r w:rsidRPr="00542969">
        <w:t xml:space="preserve"> </w:t>
      </w:r>
      <w:r w:rsidR="00657668" w:rsidRPr="00542969">
        <w:t>Federal application</w:t>
      </w:r>
      <w:r w:rsidR="006E29BF">
        <w:t xml:space="preserve">, rounded </w:t>
      </w:r>
      <w:r w:rsidR="005E549C">
        <w:t>up so at least one instance would occur</w:t>
      </w:r>
      <w:r w:rsidRPr="00542969">
        <w:t xml:space="preserve">) </w:t>
      </w:r>
      <w:r w:rsidR="00657668" w:rsidRPr="00542969">
        <w:t>where neither</w:t>
      </w:r>
      <w:r w:rsidRPr="00542969">
        <w:t xml:space="preserve"> the applicant</w:t>
      </w:r>
      <w:r w:rsidR="00657668" w:rsidRPr="00542969">
        <w:t xml:space="preserve"> nor its</w:t>
      </w:r>
      <w:r w:rsidRPr="00542969">
        <w:t xml:space="preserve"> operator </w:t>
      </w:r>
      <w:r w:rsidR="00657668" w:rsidRPr="00542969">
        <w:t>has</w:t>
      </w:r>
      <w:r w:rsidRPr="00542969">
        <w:t xml:space="preserve"> </w:t>
      </w:r>
      <w:r w:rsidR="00EA2104" w:rsidRPr="00542969">
        <w:t>any</w:t>
      </w:r>
      <w:r w:rsidRPr="00542969">
        <w:t xml:space="preserve"> </w:t>
      </w:r>
      <w:r w:rsidR="00657668" w:rsidRPr="00542969">
        <w:t>m</w:t>
      </w:r>
      <w:r w:rsidRPr="00542969">
        <w:t xml:space="preserve">ining experience.  We estimate the determination will require 5 hours under Federal programs.  This estimate </w:t>
      </w:r>
      <w:r w:rsidR="00686460" w:rsidRPr="00542969">
        <w:t xml:space="preserve">of time </w:t>
      </w:r>
      <w:r w:rsidRPr="00542969">
        <w:t xml:space="preserve">is unchanged from </w:t>
      </w:r>
      <w:r w:rsidR="00657668" w:rsidRPr="00542969">
        <w:t>our</w:t>
      </w:r>
      <w:r w:rsidRPr="00542969">
        <w:t xml:space="preserve"> previous </w:t>
      </w:r>
      <w:r w:rsidRPr="004F3DF4">
        <w:t>request.</w:t>
      </w:r>
      <w:r w:rsidR="001B2D37" w:rsidRPr="004F3DF4">
        <w:t xml:space="preserve">  A</w:t>
      </w:r>
      <w:r w:rsidR="004F3DF4" w:rsidRPr="004F3DF4">
        <w:t xml:space="preserve">t </w:t>
      </w:r>
      <w:r w:rsidR="001B2D37" w:rsidRPr="004F3DF4">
        <w:t>$</w:t>
      </w:r>
      <w:r w:rsidR="00226CE3">
        <w:t>75.81</w:t>
      </w:r>
      <w:r w:rsidR="001B2D37" w:rsidRPr="004F3DF4">
        <w:t xml:space="preserve"> per hour </w:t>
      </w:r>
      <w:r w:rsidR="004F3DF4" w:rsidRPr="004F3DF4">
        <w:t>including benefits</w:t>
      </w:r>
      <w:r w:rsidR="001B2D37" w:rsidRPr="004F3DF4">
        <w:t xml:space="preserve">, the annual cost to the Federal government where </w:t>
      </w:r>
      <w:r w:rsidR="00F3663D" w:rsidRPr="004F3DF4">
        <w:t>OSMRE</w:t>
      </w:r>
      <w:r w:rsidR="001B2D37" w:rsidRPr="004F3DF4">
        <w:t xml:space="preserve"> is the regulatory authority will be $</w:t>
      </w:r>
      <w:r w:rsidR="00226CE3">
        <w:t>379</w:t>
      </w:r>
      <w:r w:rsidR="001B2D37" w:rsidRPr="004F3DF4">
        <w:t xml:space="preserve"> (1 application $</w:t>
      </w:r>
      <w:r w:rsidR="00226CE3">
        <w:t>75.81</w:t>
      </w:r>
      <w:r w:rsidR="001B2D37" w:rsidRPr="004F3DF4">
        <w:t xml:space="preserve"> x 5 hours). </w:t>
      </w:r>
    </w:p>
    <w:p w14:paraId="69AAC661" w14:textId="77777777" w:rsidR="00F8635A" w:rsidRPr="004F3DF4" w:rsidRDefault="00F8635A" w:rsidP="00F8635A"/>
    <w:p w14:paraId="5789592B" w14:textId="544177E3" w:rsidR="00F8635A" w:rsidRPr="00542969" w:rsidRDefault="00F8635A" w:rsidP="00123BD5">
      <w:pPr>
        <w:ind w:left="720"/>
      </w:pPr>
      <w:r w:rsidRPr="004F3DF4">
        <w:t xml:space="preserve">Therefore, the cost to the Federal Government under </w:t>
      </w:r>
      <w:r w:rsidR="00E44E61" w:rsidRPr="004F3DF4">
        <w:t>§</w:t>
      </w:r>
      <w:r w:rsidRPr="004F3DF4">
        <w:t>773.10(c) is estimated to be $</w:t>
      </w:r>
      <w:r w:rsidR="00226CE3">
        <w:t>758</w:t>
      </w:r>
      <w:r w:rsidRPr="004F3DF4">
        <w:t xml:space="preserve"> ($</w:t>
      </w:r>
      <w:r w:rsidR="00226CE3">
        <w:t>379</w:t>
      </w:r>
      <w:r w:rsidRPr="004F3DF4">
        <w:t xml:space="preserve"> for oversight + $</w:t>
      </w:r>
      <w:r w:rsidR="00226CE3">
        <w:t>379</w:t>
      </w:r>
      <w:r w:rsidRPr="004F3DF4">
        <w:t xml:space="preserve"> for Federal programs).</w:t>
      </w:r>
    </w:p>
    <w:p w14:paraId="4B2EAFF8" w14:textId="77777777" w:rsidR="00F8635A" w:rsidRPr="00542969" w:rsidRDefault="00F8635A" w:rsidP="00F8635A">
      <w:pPr>
        <w:pStyle w:val="BodyTextIndent"/>
        <w:ind w:left="0"/>
      </w:pPr>
    </w:p>
    <w:p w14:paraId="5921A5C4" w14:textId="6EA1267D" w:rsidR="00F8635A" w:rsidRPr="00542969" w:rsidRDefault="00123BD5" w:rsidP="00123BD5">
      <w:pPr>
        <w:ind w:left="720" w:hanging="720"/>
      </w:pPr>
      <w:r w:rsidRPr="00542969">
        <w:t>15.</w:t>
      </w:r>
      <w:r w:rsidRPr="00542969">
        <w:tab/>
      </w:r>
      <w:r w:rsidR="005552D2" w:rsidRPr="00542969">
        <w:t xml:space="preserve">The estimated </w:t>
      </w:r>
      <w:r w:rsidR="005552D2">
        <w:t>decrease</w:t>
      </w:r>
      <w:r w:rsidR="005552D2" w:rsidRPr="00542969">
        <w:t xml:space="preserve"> is due to a </w:t>
      </w:r>
      <w:r w:rsidR="008C34E2">
        <w:t xml:space="preserve">decrease in </w:t>
      </w:r>
      <w:r w:rsidR="005552D2" w:rsidRPr="00542969">
        <w:t xml:space="preserve">the number of applications that will </w:t>
      </w:r>
      <w:r w:rsidR="005552D2">
        <w:t xml:space="preserve">be received and </w:t>
      </w:r>
      <w:r w:rsidR="005552D2" w:rsidRPr="00542969">
        <w:t xml:space="preserve">subject to permit eligibility review under </w:t>
      </w:r>
      <w:r w:rsidR="005552D2">
        <w:t>§</w:t>
      </w:r>
      <w:r w:rsidR="005552D2" w:rsidRPr="00542969">
        <w:t>773.1</w:t>
      </w:r>
      <w:r w:rsidR="005552D2">
        <w:t xml:space="preserve">0(c).  </w:t>
      </w:r>
      <w:r w:rsidR="00F8635A" w:rsidRPr="00542969">
        <w:t>The estimated change in burden hours for respondents is shown below.</w:t>
      </w:r>
    </w:p>
    <w:p w14:paraId="7AE146E3" w14:textId="77777777" w:rsidR="00F8635A" w:rsidRPr="00542969" w:rsidRDefault="00F8635A" w:rsidP="00F8635A">
      <w:pPr>
        <w:ind w:left="720"/>
      </w:pPr>
    </w:p>
    <w:p w14:paraId="2F6967E1" w14:textId="374E803F" w:rsidR="00F8635A" w:rsidRPr="00542969" w:rsidRDefault="00226CE3" w:rsidP="002867DF">
      <w:pPr>
        <w:ind w:left="1080"/>
      </w:pPr>
      <w:r>
        <w:t xml:space="preserve">  55</w:t>
      </w:r>
      <w:r w:rsidR="00F8635A" w:rsidRPr="00542969">
        <w:t xml:space="preserve"> hours currently approved</w:t>
      </w:r>
    </w:p>
    <w:p w14:paraId="79C2EE7D" w14:textId="3D7BAF21" w:rsidR="00F8635A" w:rsidRPr="00542969" w:rsidRDefault="001B2D37" w:rsidP="002867DF">
      <w:pPr>
        <w:ind w:left="1080" w:hanging="360"/>
      </w:pPr>
      <w:r w:rsidRPr="001B2D37">
        <w:rPr>
          <w:u w:val="single"/>
        </w:rPr>
        <w:t>-</w:t>
      </w:r>
      <w:r w:rsidR="002867DF" w:rsidRPr="001B2D37">
        <w:rPr>
          <w:u w:val="single"/>
        </w:rPr>
        <w:tab/>
        <w:t xml:space="preserve">  </w:t>
      </w:r>
      <w:r w:rsidR="00226CE3">
        <w:rPr>
          <w:u w:val="single"/>
        </w:rPr>
        <w:t>2</w:t>
      </w:r>
      <w:r w:rsidR="00E030D3">
        <w:rPr>
          <w:u w:val="single"/>
        </w:rPr>
        <w:t>0</w:t>
      </w:r>
      <w:r w:rsidR="00EF51A9" w:rsidRPr="00542969">
        <w:t xml:space="preserve"> </w:t>
      </w:r>
      <w:r w:rsidR="00F8635A" w:rsidRPr="00542969">
        <w:t>hours</w:t>
      </w:r>
      <w:r w:rsidR="00EF51A9" w:rsidRPr="00542969">
        <w:t xml:space="preserve"> </w:t>
      </w:r>
      <w:r w:rsidR="00F8635A" w:rsidRPr="00542969">
        <w:t xml:space="preserve">due to a </w:t>
      </w:r>
      <w:r w:rsidR="00D07F51">
        <w:t>de</w:t>
      </w:r>
      <w:r w:rsidR="00F8635A" w:rsidRPr="00542969">
        <w:t>crease in use</w:t>
      </w:r>
      <w:r w:rsidR="002867DF" w:rsidRPr="00542969">
        <w:t xml:space="preserve"> as an adjustment</w:t>
      </w:r>
    </w:p>
    <w:p w14:paraId="464423C0" w14:textId="22DE8D8E" w:rsidR="00F8635A" w:rsidRPr="00542969" w:rsidRDefault="00E030D3" w:rsidP="002867DF">
      <w:pPr>
        <w:ind w:left="1440" w:hanging="360"/>
      </w:pPr>
      <w:r>
        <w:t xml:space="preserve">  </w:t>
      </w:r>
      <w:r w:rsidR="00226CE3">
        <w:t>3</w:t>
      </w:r>
      <w:r>
        <w:t>5</w:t>
      </w:r>
      <w:r w:rsidR="00F8635A" w:rsidRPr="00542969">
        <w:t xml:space="preserve"> h</w:t>
      </w:r>
      <w:r w:rsidR="0049699F" w:rsidRPr="00542969">
        <w:t>ours requested</w:t>
      </w:r>
    </w:p>
    <w:p w14:paraId="3F1C5DC8" w14:textId="77777777" w:rsidR="00F8635A" w:rsidRDefault="00F8635A" w:rsidP="00F8635A">
      <w:pPr>
        <w:pStyle w:val="BodyTextIndent"/>
        <w:ind w:hanging="360"/>
      </w:pPr>
    </w:p>
    <w:p w14:paraId="3E46A41D" w14:textId="77777777" w:rsidR="004F3DF4" w:rsidRPr="00542969" w:rsidRDefault="004F3DF4" w:rsidP="004F3DF4">
      <w:pPr>
        <w:tabs>
          <w:tab w:val="left" w:pos="1080"/>
        </w:tabs>
        <w:ind w:left="720" w:hanging="720"/>
      </w:pPr>
      <w:r>
        <w:tab/>
        <w:t>There are no non-wage costs associated with this section.</w:t>
      </w:r>
    </w:p>
    <w:p w14:paraId="3712B9F0" w14:textId="77777777" w:rsidR="004F3DF4" w:rsidRPr="00542969" w:rsidRDefault="004F3DF4" w:rsidP="00F8635A">
      <w:pPr>
        <w:pStyle w:val="BodyTextIndent"/>
        <w:ind w:hanging="360"/>
      </w:pPr>
    </w:p>
    <w:p w14:paraId="6473F803" w14:textId="77777777" w:rsidR="00F8635A" w:rsidRPr="00542969" w:rsidRDefault="00F8635A" w:rsidP="002867DF">
      <w:pPr>
        <w:ind w:left="720" w:hanging="720"/>
      </w:pPr>
      <w:r w:rsidRPr="00542969">
        <w:t xml:space="preserve">16.  </w:t>
      </w:r>
      <w:r w:rsidR="002867DF" w:rsidRPr="00542969">
        <w:tab/>
      </w:r>
      <w:r w:rsidRPr="00542969">
        <w:t>See Identical Responses to Statements.</w:t>
      </w:r>
    </w:p>
    <w:p w14:paraId="4FFE8466" w14:textId="77777777" w:rsidR="00F8635A" w:rsidRPr="00542969" w:rsidRDefault="00F8635A" w:rsidP="00F8635A"/>
    <w:p w14:paraId="722A19D0" w14:textId="77777777" w:rsidR="00F8635A" w:rsidRPr="00542969" w:rsidRDefault="00F8635A" w:rsidP="002867DF">
      <w:pPr>
        <w:ind w:left="720" w:hanging="720"/>
      </w:pPr>
      <w:r w:rsidRPr="00542969">
        <w:t xml:space="preserve">17.  </w:t>
      </w:r>
      <w:r w:rsidR="002867DF" w:rsidRPr="00542969">
        <w:tab/>
      </w:r>
      <w:r w:rsidRPr="00542969">
        <w:t>See Identical Responses to Statements.</w:t>
      </w:r>
    </w:p>
    <w:p w14:paraId="542D3BD2" w14:textId="77777777" w:rsidR="00F8635A" w:rsidRPr="00542969" w:rsidRDefault="00F8635A" w:rsidP="00F8635A"/>
    <w:p w14:paraId="665CB97C" w14:textId="77777777" w:rsidR="00F8635A" w:rsidRPr="00542969" w:rsidRDefault="00F8635A" w:rsidP="002867DF">
      <w:pPr>
        <w:ind w:left="720" w:hanging="720"/>
      </w:pPr>
      <w:r w:rsidRPr="00542969">
        <w:t xml:space="preserve">18.  </w:t>
      </w:r>
      <w:r w:rsidR="002867DF" w:rsidRPr="00542969">
        <w:tab/>
      </w:r>
      <w:r w:rsidRPr="00542969">
        <w:t>See Identical Responses to Statements.</w:t>
      </w:r>
    </w:p>
    <w:p w14:paraId="0E44ADDB" w14:textId="77777777" w:rsidR="00F8635A" w:rsidRPr="00542969" w:rsidRDefault="00F8635A" w:rsidP="00F8635A"/>
    <w:p w14:paraId="7BCE5BEF" w14:textId="77777777" w:rsidR="00F8635A" w:rsidRPr="00542969" w:rsidRDefault="00F8635A" w:rsidP="00F8635A"/>
    <w:p w14:paraId="36A9D490" w14:textId="77777777" w:rsidR="00153C39" w:rsidRDefault="00153C39" w:rsidP="00153C39"/>
    <w:p w14:paraId="2C4C7227" w14:textId="77777777" w:rsidR="00153C39" w:rsidRDefault="00153C39" w:rsidP="00153C39">
      <w:pPr>
        <w:rPr>
          <w:b/>
          <w:bCs/>
        </w:rPr>
      </w:pPr>
    </w:p>
    <w:p w14:paraId="0BC413D8" w14:textId="77777777" w:rsidR="00153C39" w:rsidRDefault="00153C39" w:rsidP="00153C39">
      <w:pPr>
        <w:rPr>
          <w:b/>
          <w:bCs/>
        </w:rPr>
      </w:pPr>
    </w:p>
    <w:p w14:paraId="7C39F87E" w14:textId="77777777" w:rsidR="00F8635A" w:rsidRPr="00153C39" w:rsidRDefault="00153C39" w:rsidP="00153C39">
      <w:pPr>
        <w:jc w:val="center"/>
        <w:rPr>
          <w:sz w:val="28"/>
          <w:szCs w:val="28"/>
        </w:rPr>
      </w:pPr>
      <w:r>
        <w:rPr>
          <w:b/>
          <w:bCs/>
        </w:rPr>
        <w:br w:type="page"/>
      </w:r>
      <w:r w:rsidR="00F8635A" w:rsidRPr="00153C39">
        <w:rPr>
          <w:b/>
          <w:bCs/>
          <w:sz w:val="28"/>
          <w:szCs w:val="28"/>
        </w:rPr>
        <w:t>Section 773.12</w:t>
      </w:r>
      <w:r w:rsidR="008E203E" w:rsidRPr="00153C39">
        <w:rPr>
          <w:b/>
          <w:bCs/>
          <w:sz w:val="28"/>
          <w:szCs w:val="28"/>
        </w:rPr>
        <w:t xml:space="preserve"> – Permit eligibility determination</w:t>
      </w:r>
    </w:p>
    <w:p w14:paraId="56FEEE5C" w14:textId="77777777" w:rsidR="00F8635A" w:rsidRPr="00542969" w:rsidRDefault="00F8635A" w:rsidP="00F8635A"/>
    <w:p w14:paraId="0D0B318B" w14:textId="77777777" w:rsidR="00F8635A" w:rsidRPr="00542969" w:rsidRDefault="00F8635A" w:rsidP="00153C39">
      <w:pPr>
        <w:rPr>
          <w:b/>
          <w:bCs/>
        </w:rPr>
      </w:pPr>
      <w:r w:rsidRPr="00542969">
        <w:rPr>
          <w:b/>
          <w:bCs/>
          <w:u w:val="single"/>
        </w:rPr>
        <w:t>Justification</w:t>
      </w:r>
    </w:p>
    <w:p w14:paraId="0178471D" w14:textId="77777777" w:rsidR="00F8635A" w:rsidRPr="00542969" w:rsidRDefault="00F8635A" w:rsidP="00F8635A"/>
    <w:p w14:paraId="7E4CDE0D" w14:textId="77777777" w:rsidR="007E16F8" w:rsidRPr="00542969" w:rsidRDefault="00F8635A" w:rsidP="009A050A">
      <w:pPr>
        <w:numPr>
          <w:ilvl w:val="0"/>
          <w:numId w:val="16"/>
        </w:numPr>
        <w:tabs>
          <w:tab w:val="clear" w:pos="420"/>
        </w:tabs>
        <w:ind w:left="720" w:hanging="720"/>
      </w:pPr>
      <w:r w:rsidRPr="00542969">
        <w:t xml:space="preserve">Section 773.12 provides for regulatory authority determination of permit eligibility for each applicant and operator identified in an application.  The permit eligibility determination under </w:t>
      </w:r>
      <w:r w:rsidR="00E44E61">
        <w:t>§</w:t>
      </w:r>
      <w:r w:rsidRPr="00542969">
        <w:t xml:space="preserve">773.12 is the culmination of the reviews of applicant, operator, ownership, control, permit history, and compliance information provided for under </w:t>
      </w:r>
      <w:r w:rsidR="00E44E61">
        <w:t>§§</w:t>
      </w:r>
      <w:r w:rsidRPr="00542969">
        <w:t>773.9</w:t>
      </w:r>
      <w:r w:rsidR="00CD4203" w:rsidRPr="00542969">
        <w:t xml:space="preserve"> through 773.14</w:t>
      </w:r>
      <w:r w:rsidR="00D768BA" w:rsidRPr="00542969">
        <w:t xml:space="preserve"> and any other information available to the regulatory authority.</w:t>
      </w:r>
      <w:r w:rsidRPr="00542969">
        <w:t xml:space="preserve">  The legal authority for this section is found in section 510(c) of the Act.  The permit eligibility determination under </w:t>
      </w:r>
      <w:r w:rsidR="00E44E61">
        <w:t>§</w:t>
      </w:r>
      <w:r w:rsidRPr="00542969">
        <w:t xml:space="preserve">773.12 ensures that applicants and operators that are not in compliance with the Act are not granted the benefit of an unconditional surface coal mining permit.  This section </w:t>
      </w:r>
      <w:r w:rsidR="007E16F8" w:rsidRPr="00542969">
        <w:t xml:space="preserve">also </w:t>
      </w:r>
      <w:r w:rsidRPr="00542969">
        <w:t>provides for the use of AVS to assist regulatory authorities in determining if an applicant and its operator are eligible for a permit.</w:t>
      </w:r>
      <w:r w:rsidR="007E16F8" w:rsidRPr="00542969">
        <w:t xml:space="preserve">  </w:t>
      </w:r>
      <w:r w:rsidR="009A050A" w:rsidRPr="00542969">
        <w:t xml:space="preserve">The </w:t>
      </w:r>
      <w:r w:rsidR="00D768BA" w:rsidRPr="00542969">
        <w:t xml:space="preserve">AVS, due to its </w:t>
      </w:r>
      <w:r w:rsidR="00686460" w:rsidRPr="00542969">
        <w:t>function</w:t>
      </w:r>
      <w:r w:rsidR="00D768BA" w:rsidRPr="00542969">
        <w:t xml:space="preserve"> as a rep</w:t>
      </w:r>
      <w:r w:rsidR="00686460" w:rsidRPr="00542969">
        <w:t>ository of national application</w:t>
      </w:r>
      <w:r w:rsidR="00D768BA" w:rsidRPr="00542969">
        <w:t xml:space="preserve">, permitting, violation, and other information, is </w:t>
      </w:r>
      <w:r w:rsidR="00686460" w:rsidRPr="00542969">
        <w:t>considered</w:t>
      </w:r>
      <w:r w:rsidR="00D768BA" w:rsidRPr="00542969">
        <w:t xml:space="preserve"> among other information available to a regulatory authority.  </w:t>
      </w:r>
      <w:r w:rsidR="007E16F8" w:rsidRPr="00542969">
        <w:t xml:space="preserve">The information collected under </w:t>
      </w:r>
      <w:r w:rsidR="00E44E61">
        <w:t>§</w:t>
      </w:r>
      <w:r w:rsidR="007E16F8" w:rsidRPr="00542969">
        <w:t>773.12 is necessary to comply with section 510(c) of the Act.</w:t>
      </w:r>
    </w:p>
    <w:p w14:paraId="65EF939B" w14:textId="77777777" w:rsidR="00EA7CD1" w:rsidRPr="00542969" w:rsidRDefault="00EA7CD1" w:rsidP="00EA7CD1"/>
    <w:p w14:paraId="32FE827E" w14:textId="29946F76" w:rsidR="00F8635A" w:rsidRPr="00542969" w:rsidRDefault="007E16F8" w:rsidP="009A050A">
      <w:pPr>
        <w:numPr>
          <w:ilvl w:val="0"/>
          <w:numId w:val="16"/>
        </w:numPr>
        <w:tabs>
          <w:tab w:val="clear" w:pos="420"/>
        </w:tabs>
        <w:ind w:left="720" w:hanging="720"/>
      </w:pPr>
      <w:r w:rsidRPr="00542969">
        <w:t xml:space="preserve">The respondents in </w:t>
      </w:r>
      <w:r w:rsidR="00E44E61">
        <w:t>§</w:t>
      </w:r>
      <w:r w:rsidRPr="00542969">
        <w:t xml:space="preserve">773.12 are </w:t>
      </w:r>
      <w:r w:rsidR="002653EC">
        <w:t>SRAs</w:t>
      </w:r>
      <w:r w:rsidRPr="00542969">
        <w:t xml:space="preserve">.  </w:t>
      </w:r>
      <w:r w:rsidR="00686460" w:rsidRPr="00542969">
        <w:t xml:space="preserve">Under </w:t>
      </w:r>
      <w:r w:rsidR="00E44E61">
        <w:t>§</w:t>
      </w:r>
      <w:r w:rsidR="00686460" w:rsidRPr="00542969">
        <w:t xml:space="preserve">773.12, regulatory authorities are required to determine </w:t>
      </w:r>
      <w:r w:rsidRPr="00542969">
        <w:t xml:space="preserve">if an applicant and its operator are eligible for a surface coal mining permit. </w:t>
      </w:r>
      <w:r w:rsidR="00CD4732" w:rsidRPr="00542969">
        <w:t xml:space="preserve"> </w:t>
      </w:r>
      <w:r w:rsidR="00686460" w:rsidRPr="00542969">
        <w:t xml:space="preserve">Regulatory authorities are required to make the determinations in </w:t>
      </w:r>
      <w:r w:rsidR="00E44E61">
        <w:t>§</w:t>
      </w:r>
      <w:r w:rsidR="00686460" w:rsidRPr="00542969">
        <w:t xml:space="preserve">773.12 following their review under </w:t>
      </w:r>
      <w:r w:rsidR="00E44E61">
        <w:t>§§</w:t>
      </w:r>
      <w:r w:rsidR="00686460" w:rsidRPr="00542969">
        <w:t>773.9</w:t>
      </w:r>
      <w:r w:rsidR="009A050A" w:rsidRPr="00542969">
        <w:t xml:space="preserve"> through 778.14</w:t>
      </w:r>
      <w:r w:rsidR="00CD4732" w:rsidRPr="00542969">
        <w:t>.  T</w:t>
      </w:r>
      <w:r w:rsidRPr="00542969">
        <w:t xml:space="preserve">he </w:t>
      </w:r>
      <w:r w:rsidR="00CD4732" w:rsidRPr="00542969">
        <w:t xml:space="preserve">information is reviewed by </w:t>
      </w:r>
      <w:r w:rsidR="00686460" w:rsidRPr="00542969">
        <w:t>regulatory authorities</w:t>
      </w:r>
      <w:r w:rsidR="00CD4732" w:rsidRPr="00542969">
        <w:t xml:space="preserve">.  </w:t>
      </w:r>
      <w:r w:rsidR="00F8635A" w:rsidRPr="00542969">
        <w:t xml:space="preserve">The information collection burden consists of the composite set of reviews of applicant, operator, ownership, control, previous permit </w:t>
      </w:r>
      <w:r w:rsidR="00686460" w:rsidRPr="00542969">
        <w:t>history</w:t>
      </w:r>
      <w:r w:rsidR="00F8635A" w:rsidRPr="00542969">
        <w:t>, and violation and other compliance information</w:t>
      </w:r>
      <w:r w:rsidR="00686460" w:rsidRPr="00542969">
        <w:t xml:space="preserve">.  </w:t>
      </w:r>
      <w:r w:rsidR="00B44F93" w:rsidRPr="00542969">
        <w:t>In making a determination, regulatory authorities will generate reports from A</w:t>
      </w:r>
      <w:r w:rsidR="00F8635A" w:rsidRPr="00542969">
        <w:t>VS</w:t>
      </w:r>
      <w:r w:rsidR="00B44F93" w:rsidRPr="00542969">
        <w:t xml:space="preserve"> and review</w:t>
      </w:r>
      <w:r w:rsidR="00F8635A" w:rsidRPr="00542969">
        <w:t xml:space="preserve"> other available information</w:t>
      </w:r>
      <w:r w:rsidRPr="00542969">
        <w:t xml:space="preserve">. </w:t>
      </w:r>
    </w:p>
    <w:p w14:paraId="68E0E5CD" w14:textId="77777777" w:rsidR="00EA7CD1" w:rsidRPr="00542969" w:rsidRDefault="00EA7CD1" w:rsidP="00EA7CD1"/>
    <w:p w14:paraId="16DCD4FF" w14:textId="77777777" w:rsidR="00F8635A" w:rsidRPr="00542969" w:rsidRDefault="00F8635A" w:rsidP="009A050A">
      <w:pPr>
        <w:numPr>
          <w:ilvl w:val="0"/>
          <w:numId w:val="16"/>
        </w:numPr>
        <w:tabs>
          <w:tab w:val="clear" w:pos="420"/>
        </w:tabs>
        <w:ind w:left="720" w:hanging="720"/>
      </w:pPr>
      <w:r w:rsidRPr="00542969">
        <w:t>See Identical Responses to Statements.</w:t>
      </w:r>
    </w:p>
    <w:p w14:paraId="30E40737" w14:textId="77777777" w:rsidR="00F8635A" w:rsidRPr="00542969" w:rsidRDefault="00F8635A" w:rsidP="00F8635A"/>
    <w:p w14:paraId="36F594E2" w14:textId="77777777" w:rsidR="00F8635A" w:rsidRPr="00542969" w:rsidRDefault="00F8635A" w:rsidP="009A050A">
      <w:pPr>
        <w:ind w:left="720" w:hanging="720"/>
      </w:pPr>
      <w:r w:rsidRPr="00542969">
        <w:t xml:space="preserve">4.  </w:t>
      </w:r>
      <w:r w:rsidR="009A050A" w:rsidRPr="00542969">
        <w:tab/>
      </w:r>
      <w:r w:rsidRPr="00542969">
        <w:t>See Identical Responses to Statements.</w:t>
      </w:r>
    </w:p>
    <w:p w14:paraId="065D7C05" w14:textId="77777777" w:rsidR="00F8635A" w:rsidRPr="00542969" w:rsidRDefault="00F8635A" w:rsidP="00F8635A"/>
    <w:p w14:paraId="4B6B7E18" w14:textId="77777777" w:rsidR="00F8635A" w:rsidRPr="00542969" w:rsidRDefault="00F8635A" w:rsidP="009A050A">
      <w:pPr>
        <w:ind w:left="720" w:hanging="720"/>
      </w:pPr>
      <w:r w:rsidRPr="00542969">
        <w:t xml:space="preserve">5.  </w:t>
      </w:r>
      <w:r w:rsidR="009A050A" w:rsidRPr="00542969">
        <w:tab/>
      </w:r>
      <w:r w:rsidRPr="00542969">
        <w:t>See Identical Responses to Statements.</w:t>
      </w:r>
    </w:p>
    <w:p w14:paraId="75D133FC" w14:textId="77777777" w:rsidR="00F8635A" w:rsidRPr="00542969" w:rsidRDefault="00F8635A" w:rsidP="00F8635A"/>
    <w:p w14:paraId="75C43F82" w14:textId="77777777" w:rsidR="00F8635A" w:rsidRPr="00542969" w:rsidRDefault="00F8635A" w:rsidP="009A050A">
      <w:pPr>
        <w:ind w:left="720" w:hanging="720"/>
      </w:pPr>
      <w:r w:rsidRPr="00542969">
        <w:t xml:space="preserve">6.  </w:t>
      </w:r>
      <w:r w:rsidR="009A050A" w:rsidRPr="00542969">
        <w:tab/>
      </w:r>
      <w:r w:rsidRPr="00542969">
        <w:t>See Identical Responses to Statements.</w:t>
      </w:r>
    </w:p>
    <w:p w14:paraId="04C54CE6" w14:textId="77777777" w:rsidR="00F8635A" w:rsidRPr="00542969" w:rsidRDefault="00F8635A" w:rsidP="00F8635A"/>
    <w:p w14:paraId="2023D1F9" w14:textId="77777777" w:rsidR="00F8635A" w:rsidRPr="00542969" w:rsidRDefault="00F8635A" w:rsidP="009A050A">
      <w:pPr>
        <w:ind w:left="720" w:hanging="720"/>
      </w:pPr>
      <w:r w:rsidRPr="00542969">
        <w:t xml:space="preserve">7.  </w:t>
      </w:r>
      <w:r w:rsidR="009A050A" w:rsidRPr="00542969">
        <w:tab/>
      </w:r>
      <w:r w:rsidRPr="00542969">
        <w:t>See Identical Responses to Statements.</w:t>
      </w:r>
    </w:p>
    <w:p w14:paraId="193AFCB3" w14:textId="77777777" w:rsidR="00F8635A" w:rsidRPr="00542969" w:rsidRDefault="00F8635A" w:rsidP="00F8635A"/>
    <w:p w14:paraId="06FD1E32" w14:textId="77777777" w:rsidR="00F8635A" w:rsidRPr="00542969" w:rsidRDefault="00F8635A" w:rsidP="009A050A">
      <w:pPr>
        <w:ind w:left="720" w:hanging="720"/>
      </w:pPr>
      <w:r w:rsidRPr="00542969">
        <w:t xml:space="preserve">8.  </w:t>
      </w:r>
      <w:r w:rsidR="009A050A" w:rsidRPr="00542969">
        <w:tab/>
      </w:r>
      <w:r w:rsidRPr="00542969">
        <w:t>See Identical Responses to Statements.</w:t>
      </w:r>
    </w:p>
    <w:p w14:paraId="377C1C5C" w14:textId="77777777" w:rsidR="00F8635A" w:rsidRPr="00542969" w:rsidRDefault="00F8635A" w:rsidP="00F8635A"/>
    <w:p w14:paraId="2F58D81B" w14:textId="77777777" w:rsidR="00F8635A" w:rsidRPr="00542969" w:rsidRDefault="00F8635A" w:rsidP="009A050A">
      <w:pPr>
        <w:ind w:left="720" w:hanging="720"/>
      </w:pPr>
      <w:r w:rsidRPr="00542969">
        <w:t xml:space="preserve">9.  </w:t>
      </w:r>
      <w:r w:rsidR="009A050A" w:rsidRPr="00542969">
        <w:tab/>
      </w:r>
      <w:r w:rsidRPr="00542969">
        <w:t>See Identical Responses to Statements.</w:t>
      </w:r>
    </w:p>
    <w:p w14:paraId="7E673FBF" w14:textId="77777777" w:rsidR="00F8635A" w:rsidRPr="00542969" w:rsidRDefault="00F8635A" w:rsidP="00F8635A"/>
    <w:p w14:paraId="5A058E94" w14:textId="77777777" w:rsidR="00F8635A" w:rsidRPr="00542969" w:rsidRDefault="00F8635A" w:rsidP="009A050A">
      <w:pPr>
        <w:ind w:left="720" w:hanging="720"/>
      </w:pPr>
      <w:r w:rsidRPr="00542969">
        <w:t xml:space="preserve">10.  </w:t>
      </w:r>
      <w:r w:rsidR="009A050A" w:rsidRPr="00542969">
        <w:tab/>
      </w:r>
      <w:r w:rsidRPr="00542969">
        <w:t>See Identical Responses to Statements.</w:t>
      </w:r>
    </w:p>
    <w:p w14:paraId="223B97EA" w14:textId="77777777" w:rsidR="00F8635A" w:rsidRPr="00542969" w:rsidRDefault="00F8635A" w:rsidP="00F8635A"/>
    <w:p w14:paraId="633F9ECF" w14:textId="77777777" w:rsidR="00F8635A" w:rsidRPr="00542969" w:rsidRDefault="00F8635A" w:rsidP="009A050A">
      <w:pPr>
        <w:ind w:left="720" w:hanging="720"/>
      </w:pPr>
      <w:r w:rsidRPr="00542969">
        <w:t xml:space="preserve">11.  </w:t>
      </w:r>
      <w:r w:rsidR="009A050A" w:rsidRPr="00542969">
        <w:tab/>
      </w:r>
      <w:r w:rsidRPr="00542969">
        <w:t>See Identical Responses to Statements.</w:t>
      </w:r>
    </w:p>
    <w:p w14:paraId="1ABC4AE3" w14:textId="77777777" w:rsidR="00F8635A" w:rsidRPr="00542969" w:rsidRDefault="00F8635A" w:rsidP="00F8635A"/>
    <w:p w14:paraId="44919838" w14:textId="77777777" w:rsidR="00F8635A" w:rsidRPr="00542969" w:rsidRDefault="00F8635A" w:rsidP="009A050A">
      <w:pPr>
        <w:ind w:left="720" w:hanging="720"/>
      </w:pPr>
      <w:r w:rsidRPr="00542969">
        <w:t xml:space="preserve">12.  </w:t>
      </w:r>
      <w:r w:rsidR="009A050A" w:rsidRPr="00542969">
        <w:tab/>
      </w:r>
      <w:r w:rsidRPr="00542969">
        <w:rPr>
          <w:u w:val="single"/>
        </w:rPr>
        <w:t>Estimated Information Collection Burden</w:t>
      </w:r>
    </w:p>
    <w:p w14:paraId="20896733" w14:textId="77777777" w:rsidR="00F8635A" w:rsidRPr="00542969" w:rsidRDefault="00F8635A" w:rsidP="00F8635A"/>
    <w:p w14:paraId="5248D49C" w14:textId="77777777" w:rsidR="00F8635A" w:rsidRPr="00542969" w:rsidRDefault="009A050A" w:rsidP="009A050A">
      <w:pPr>
        <w:tabs>
          <w:tab w:val="left" w:pos="1440"/>
        </w:tabs>
        <w:ind w:left="720" w:hanging="720"/>
      </w:pPr>
      <w:r w:rsidRPr="00542969">
        <w:tab/>
        <w:t>a.</w:t>
      </w:r>
      <w:r w:rsidRPr="00542969">
        <w:tab/>
      </w:r>
      <w:r w:rsidR="00F8635A" w:rsidRPr="00542969">
        <w:rPr>
          <w:u w:val="single"/>
        </w:rPr>
        <w:t>Burden Hour Estimates for Respondents</w:t>
      </w:r>
    </w:p>
    <w:p w14:paraId="4F1150A5" w14:textId="77777777" w:rsidR="00F8635A" w:rsidRPr="00542969" w:rsidRDefault="00F8635A" w:rsidP="00F8635A"/>
    <w:p w14:paraId="664F99F6" w14:textId="3410D969" w:rsidR="00F8635A" w:rsidRPr="00542969" w:rsidRDefault="00EA7CD1" w:rsidP="009A050A">
      <w:pPr>
        <w:ind w:left="720"/>
      </w:pPr>
      <w:r w:rsidRPr="00542969">
        <w:t>R</w:t>
      </w:r>
      <w:r w:rsidR="00F8635A" w:rsidRPr="00542969">
        <w:t xml:space="preserve">espondents under </w:t>
      </w:r>
      <w:r w:rsidR="00E44E61">
        <w:t>§</w:t>
      </w:r>
      <w:r w:rsidR="00F8635A" w:rsidRPr="00542969">
        <w:t xml:space="preserve">773.12 are </w:t>
      </w:r>
      <w:r w:rsidR="002653EC">
        <w:t>SRAs</w:t>
      </w:r>
      <w:r w:rsidR="00F8635A" w:rsidRPr="00542969">
        <w:t xml:space="preserve">.  </w:t>
      </w:r>
      <w:r w:rsidR="002653EC">
        <w:t>SRAs</w:t>
      </w:r>
      <w:r w:rsidR="00A27BE7" w:rsidRPr="00542969">
        <w:t xml:space="preserve"> incur an information collection burden in </w:t>
      </w:r>
      <w:r w:rsidR="00E44E61">
        <w:t>§</w:t>
      </w:r>
      <w:r w:rsidR="00A27BE7" w:rsidRPr="00542969">
        <w:t xml:space="preserve">773.12 where they are required to </w:t>
      </w:r>
      <w:r w:rsidR="00B06A10" w:rsidRPr="00542969">
        <w:t>conduct</w:t>
      </w:r>
      <w:r w:rsidR="00A27BE7" w:rsidRPr="00542969">
        <w:t xml:space="preserve"> dispositive review</w:t>
      </w:r>
      <w:r w:rsidRPr="00542969">
        <w:t>s</w:t>
      </w:r>
      <w:r w:rsidR="00A27BE7" w:rsidRPr="00542969">
        <w:t xml:space="preserve"> </w:t>
      </w:r>
      <w:r w:rsidRPr="00542969">
        <w:t xml:space="preserve">under </w:t>
      </w:r>
      <w:r w:rsidR="00E44E61">
        <w:t>§§</w:t>
      </w:r>
      <w:r w:rsidRPr="00542969">
        <w:t>773.9</w:t>
      </w:r>
      <w:r w:rsidR="00E42E75" w:rsidRPr="00542969">
        <w:t xml:space="preserve"> through 773.14 </w:t>
      </w:r>
      <w:r w:rsidR="00CD4732" w:rsidRPr="00542969">
        <w:t xml:space="preserve">that culminate in a determination under </w:t>
      </w:r>
      <w:r w:rsidR="00E44E61">
        <w:t>§</w:t>
      </w:r>
      <w:r w:rsidR="00CD4732" w:rsidRPr="00542969">
        <w:t>773.12</w:t>
      </w:r>
      <w:r w:rsidRPr="00542969">
        <w:t xml:space="preserve">.  </w:t>
      </w:r>
      <w:r w:rsidR="00F8635A" w:rsidRPr="00542969">
        <w:t xml:space="preserve">We estimate that of the total </w:t>
      </w:r>
      <w:r w:rsidR="00C20EE8">
        <w:t>70</w:t>
      </w:r>
      <w:r w:rsidR="00F8635A" w:rsidRPr="00542969">
        <w:t xml:space="preserve"> app</w:t>
      </w:r>
      <w:r w:rsidR="00664C3F" w:rsidRPr="00542969">
        <w:t>lications for State permits</w:t>
      </w:r>
      <w:r w:rsidR="001F06AF">
        <w:t xml:space="preserve"> to mine coal</w:t>
      </w:r>
      <w:r w:rsidR="00664C3F" w:rsidRPr="00542969">
        <w:t xml:space="preserve">, </w:t>
      </w:r>
      <w:r w:rsidR="003012F1">
        <w:t>63</w:t>
      </w:r>
      <w:r w:rsidR="00F8635A" w:rsidRPr="00542969">
        <w:t xml:space="preserve"> applications will survive the administrative completeness review </w:t>
      </w:r>
      <w:r w:rsidR="00020D32" w:rsidRPr="00542969">
        <w:t xml:space="preserve">under </w:t>
      </w:r>
      <w:r w:rsidR="00E44E61">
        <w:t>§</w:t>
      </w:r>
      <w:r w:rsidR="00020D32" w:rsidRPr="00542969">
        <w:t xml:space="preserve">773.7(a) </w:t>
      </w:r>
      <w:r w:rsidR="00F8635A" w:rsidRPr="00542969">
        <w:t xml:space="preserve">and will not be withdrawn, rejected, or returned.  This estimate is based </w:t>
      </w:r>
      <w:r w:rsidR="00C752B7" w:rsidRPr="00542969">
        <w:t xml:space="preserve">upon data collected for </w:t>
      </w:r>
      <w:r w:rsidR="001F06AF">
        <w:t xml:space="preserve">recent </w:t>
      </w:r>
      <w:r w:rsidR="00F8635A" w:rsidRPr="00542969">
        <w:t>evaluation year</w:t>
      </w:r>
      <w:r w:rsidR="001F06AF">
        <w:t>s</w:t>
      </w:r>
      <w:r w:rsidR="00B65E5B">
        <w:t xml:space="preserve"> and</w:t>
      </w:r>
      <w:r w:rsidR="00EB4BC0" w:rsidRPr="00542969">
        <w:t xml:space="preserve"> </w:t>
      </w:r>
      <w:r w:rsidR="00B44F93" w:rsidRPr="00542969">
        <w:t>represents the number of applications</w:t>
      </w:r>
      <w:r w:rsidR="00EB4BC0" w:rsidRPr="00542969">
        <w:t xml:space="preserve"> </w:t>
      </w:r>
      <w:r w:rsidR="00B44F93" w:rsidRPr="00542969">
        <w:t xml:space="preserve">subject to regulatory authority </w:t>
      </w:r>
      <w:r w:rsidR="00EB4BC0" w:rsidRPr="00542969">
        <w:t>review</w:t>
      </w:r>
      <w:r w:rsidR="00B44F93" w:rsidRPr="00542969">
        <w:t xml:space="preserve"> of permit eligibility under </w:t>
      </w:r>
      <w:r w:rsidR="00E44E61">
        <w:t>§</w:t>
      </w:r>
      <w:r w:rsidR="00B44F93" w:rsidRPr="00542969">
        <w:t>773.12</w:t>
      </w:r>
      <w:r w:rsidR="00EB4BC0" w:rsidRPr="00542969">
        <w:t xml:space="preserve"> following the review for administrative completeness under </w:t>
      </w:r>
      <w:r w:rsidR="00E44E61">
        <w:t>§</w:t>
      </w:r>
      <w:r w:rsidR="00EB4BC0" w:rsidRPr="00542969">
        <w:t>773.7</w:t>
      </w:r>
      <w:r w:rsidR="00020D32" w:rsidRPr="00542969">
        <w:t>(a)</w:t>
      </w:r>
      <w:r w:rsidR="00EB4BC0" w:rsidRPr="00542969">
        <w:t xml:space="preserve">.  </w:t>
      </w:r>
      <w:r w:rsidR="002653EC">
        <w:t>SRAs</w:t>
      </w:r>
      <w:r w:rsidR="00F8635A" w:rsidRPr="00542969">
        <w:t xml:space="preserve"> will review </w:t>
      </w:r>
      <w:r w:rsidR="004F3183">
        <w:t>62</w:t>
      </w:r>
      <w:r w:rsidR="00466CA1">
        <w:t xml:space="preserve"> of the </w:t>
      </w:r>
      <w:r w:rsidR="004F3183">
        <w:t>63</w:t>
      </w:r>
      <w:r w:rsidR="00F8635A" w:rsidRPr="00542969">
        <w:t xml:space="preserve"> </w:t>
      </w:r>
      <w:r w:rsidR="00466CA1">
        <w:t xml:space="preserve">total </w:t>
      </w:r>
      <w:r w:rsidR="00F8635A" w:rsidRPr="00542969">
        <w:t xml:space="preserve">applications for a State permit to make a determination of permit eligibility under </w:t>
      </w:r>
      <w:r w:rsidR="00E44E61">
        <w:t>§</w:t>
      </w:r>
      <w:r w:rsidR="00F8635A" w:rsidRPr="00542969">
        <w:t>773.12.  W</w:t>
      </w:r>
      <w:r w:rsidR="00F52D6C" w:rsidRPr="00542969">
        <w:t xml:space="preserve">e estimate each review </w:t>
      </w:r>
      <w:r w:rsidR="00F8635A" w:rsidRPr="00542969">
        <w:t xml:space="preserve">will require 32 hours.  The estimated 32 hours for the review of each application is unchanged from </w:t>
      </w:r>
      <w:r w:rsidR="00B44F93" w:rsidRPr="00542969">
        <w:t>our</w:t>
      </w:r>
      <w:r w:rsidR="00F8635A" w:rsidRPr="00542969">
        <w:t xml:space="preserve"> previous request. </w:t>
      </w:r>
    </w:p>
    <w:p w14:paraId="16D27246" w14:textId="77777777" w:rsidR="00F8635A" w:rsidRPr="00542969" w:rsidRDefault="00F8635A" w:rsidP="00F8635A">
      <w:pPr>
        <w:ind w:left="360"/>
      </w:pPr>
    </w:p>
    <w:p w14:paraId="22769D3B" w14:textId="6B4495AA" w:rsidR="00F8635A" w:rsidRPr="00542969" w:rsidRDefault="00F8635A" w:rsidP="00CD4203">
      <w:pPr>
        <w:ind w:left="720"/>
      </w:pPr>
      <w:r w:rsidRPr="00542969">
        <w:t xml:space="preserve">Therefore, the total estimated burden hours for </w:t>
      </w:r>
      <w:r w:rsidR="002653EC">
        <w:t>SRAs</w:t>
      </w:r>
      <w:r w:rsidRPr="00542969">
        <w:t xml:space="preserve"> under </w:t>
      </w:r>
      <w:r w:rsidR="00E44E61">
        <w:t>§</w:t>
      </w:r>
      <w:r w:rsidR="00536A87" w:rsidRPr="00542969">
        <w:t xml:space="preserve">773.12 are </w:t>
      </w:r>
      <w:r w:rsidR="004F3183">
        <w:t>1,984</w:t>
      </w:r>
      <w:r w:rsidR="00827E84" w:rsidRPr="00542969">
        <w:t xml:space="preserve"> hours </w:t>
      </w:r>
      <w:r w:rsidR="00664C3F" w:rsidRPr="00542969">
        <w:t>(</w:t>
      </w:r>
      <w:r w:rsidR="004F3183">
        <w:t>62</w:t>
      </w:r>
      <w:r w:rsidRPr="00542969">
        <w:t xml:space="preserve"> applications x 32 hours per application).</w:t>
      </w:r>
    </w:p>
    <w:p w14:paraId="3B7AA3F2" w14:textId="77777777" w:rsidR="00B44F93" w:rsidRPr="00542969" w:rsidRDefault="00B44F93" w:rsidP="00F8635A">
      <w:pPr>
        <w:ind w:left="360"/>
      </w:pPr>
    </w:p>
    <w:p w14:paraId="6AF047A3" w14:textId="77777777" w:rsidR="00B44F93" w:rsidRPr="00542969" w:rsidRDefault="00B44F93" w:rsidP="00CD4203">
      <w:pPr>
        <w:ind w:left="360" w:firstLine="360"/>
      </w:pPr>
      <w:r w:rsidRPr="00542969">
        <w:t xml:space="preserve">There is no information collection burden for the industry under </w:t>
      </w:r>
      <w:r w:rsidR="00E44E61">
        <w:t>§</w:t>
      </w:r>
      <w:r w:rsidRPr="00542969">
        <w:t>773.12.</w:t>
      </w:r>
    </w:p>
    <w:p w14:paraId="1EF9386B" w14:textId="77777777" w:rsidR="00F8635A" w:rsidRPr="00542969" w:rsidRDefault="00F8635A" w:rsidP="00F8635A">
      <w:pPr>
        <w:ind w:left="360"/>
      </w:pPr>
    </w:p>
    <w:p w14:paraId="59F6329E" w14:textId="77777777" w:rsidR="00F8635A" w:rsidRPr="00542969" w:rsidRDefault="00CD4203" w:rsidP="00CD4203">
      <w:pPr>
        <w:ind w:left="1440" w:hanging="720"/>
      </w:pPr>
      <w:r w:rsidRPr="00542969">
        <w:t>b.</w:t>
      </w:r>
      <w:r w:rsidRPr="00542969">
        <w:tab/>
      </w:r>
      <w:r w:rsidR="00F8635A" w:rsidRPr="00542969">
        <w:rPr>
          <w:u w:val="single"/>
        </w:rPr>
        <w:t>Estimated Wage Cost to Respondents</w:t>
      </w:r>
    </w:p>
    <w:p w14:paraId="5500B7C1" w14:textId="77777777" w:rsidR="00F8635A" w:rsidRPr="00542969" w:rsidRDefault="00F8635A" w:rsidP="00F8635A"/>
    <w:p w14:paraId="17965795" w14:textId="5B76C322" w:rsidR="00384007" w:rsidRPr="00542969" w:rsidRDefault="00F3663D" w:rsidP="00384007">
      <w:pPr>
        <w:ind w:left="720"/>
      </w:pPr>
      <w:r w:rsidRPr="00304BF7">
        <w:t>OSMRE</w:t>
      </w:r>
      <w:r w:rsidR="00384007" w:rsidRPr="00304BF7">
        <w:t xml:space="preserve"> estimates that a State engineering technician will conduct the reviews.  </w:t>
      </w:r>
      <w:r w:rsidR="002545F8" w:rsidRPr="00304BF7">
        <w:t>At $</w:t>
      </w:r>
      <w:r w:rsidR="004F3183">
        <w:t>23.26</w:t>
      </w:r>
      <w:r w:rsidR="002545F8" w:rsidRPr="00304BF7">
        <w:t xml:space="preserve"> per hour, or $</w:t>
      </w:r>
      <w:r w:rsidR="004F3183">
        <w:t>37.22</w:t>
      </w:r>
      <w:r w:rsidR="002545F8" w:rsidRPr="00304BF7">
        <w:t xml:space="preserve"> per hour including benefits of 1.</w:t>
      </w:r>
      <w:r w:rsidR="004F3183">
        <w:t>6</w:t>
      </w:r>
      <w:r w:rsidR="002545F8" w:rsidRPr="00304BF7">
        <w:t xml:space="preserve"> of salary (derived from Bureau of Labor Statistics and the BLS news release referenced above</w:t>
      </w:r>
      <w:r w:rsidR="00304BF7" w:rsidRPr="00304BF7">
        <w:t>)</w:t>
      </w:r>
      <w:r w:rsidR="002545F8" w:rsidRPr="00304BF7">
        <w:t xml:space="preserve">, for State government employees, the estimated </w:t>
      </w:r>
      <w:r w:rsidR="00384007" w:rsidRPr="00304BF7">
        <w:t>wage cost to review each application is $</w:t>
      </w:r>
      <w:r w:rsidR="004F3183">
        <w:t>1,191</w:t>
      </w:r>
      <w:r w:rsidR="00384007" w:rsidRPr="00304BF7">
        <w:t xml:space="preserve"> ($</w:t>
      </w:r>
      <w:r w:rsidR="004F3183">
        <w:t>37.22</w:t>
      </w:r>
      <w:r w:rsidR="00384007" w:rsidRPr="00304BF7">
        <w:t xml:space="preserve"> x 32 hours), and the total cost to all States to conduct this review is comply with this section is $</w:t>
      </w:r>
      <w:r w:rsidR="004F3183">
        <w:t>73,842</w:t>
      </w:r>
      <w:r w:rsidR="00384007" w:rsidRPr="00304BF7">
        <w:t xml:space="preserve"> (</w:t>
      </w:r>
      <w:r w:rsidR="004F3183">
        <w:t>62</w:t>
      </w:r>
      <w:r w:rsidR="00384007" w:rsidRPr="00304BF7">
        <w:t xml:space="preserve"> applications reviewed x $</w:t>
      </w:r>
      <w:r w:rsidR="004F3183">
        <w:t>1,191</w:t>
      </w:r>
      <w:r w:rsidR="00384007" w:rsidRPr="00304BF7">
        <w:t>).</w:t>
      </w:r>
    </w:p>
    <w:p w14:paraId="7DAABB41" w14:textId="77777777" w:rsidR="00384007" w:rsidRPr="00542969" w:rsidRDefault="00384007" w:rsidP="00384007">
      <w:pPr>
        <w:ind w:left="720"/>
      </w:pPr>
    </w:p>
    <w:p w14:paraId="19DE9B6F" w14:textId="77777777" w:rsidR="00F8635A" w:rsidRPr="00542969" w:rsidRDefault="00384007" w:rsidP="00384007">
      <w:pPr>
        <w:ind w:left="720" w:hanging="720"/>
      </w:pPr>
      <w:r w:rsidRPr="00542969">
        <w:t>13.</w:t>
      </w:r>
      <w:r w:rsidRPr="00542969">
        <w:tab/>
      </w:r>
      <w:r w:rsidR="00F8635A" w:rsidRPr="00542969">
        <w:rPr>
          <w:u w:val="single"/>
        </w:rPr>
        <w:t>Total Annual Non-Wage Cost Burden to Respondents</w:t>
      </w:r>
    </w:p>
    <w:p w14:paraId="0BFDBDAE" w14:textId="77777777" w:rsidR="00F8635A" w:rsidRPr="00542969" w:rsidRDefault="00F8635A" w:rsidP="00F8635A"/>
    <w:p w14:paraId="20627336" w14:textId="77777777" w:rsidR="00F8635A" w:rsidRPr="00542969" w:rsidRDefault="00384007" w:rsidP="00384007">
      <w:pPr>
        <w:ind w:left="1440" w:hanging="720"/>
      </w:pPr>
      <w:r w:rsidRPr="00542969">
        <w:t>a.</w:t>
      </w:r>
      <w:r w:rsidRPr="00542969">
        <w:tab/>
      </w:r>
      <w:r w:rsidR="00F8635A" w:rsidRPr="00542969">
        <w:rPr>
          <w:u w:val="single"/>
        </w:rPr>
        <w:t>Annual Capital and Start-up Costs</w:t>
      </w:r>
    </w:p>
    <w:p w14:paraId="7BEA9E87" w14:textId="77777777" w:rsidR="00F8635A" w:rsidRPr="00542969" w:rsidRDefault="00F8635A" w:rsidP="00F8635A"/>
    <w:p w14:paraId="72D09EEB" w14:textId="77777777" w:rsidR="00F8635A" w:rsidRPr="00542969" w:rsidRDefault="00F8635A" w:rsidP="00384007">
      <w:pPr>
        <w:pStyle w:val="BodyTextIndent"/>
        <w:ind w:left="720"/>
      </w:pPr>
      <w:r w:rsidRPr="00542969">
        <w:t xml:space="preserve">The information collection requirements of </w:t>
      </w:r>
      <w:r w:rsidR="00E44E61">
        <w:t>§</w:t>
      </w:r>
      <w:r w:rsidRPr="00542969">
        <w:t>773.12 do not involve any capital or start-up costs apart from expenditures associated with customary business practices.</w:t>
      </w:r>
    </w:p>
    <w:p w14:paraId="486DA391" w14:textId="77777777" w:rsidR="007820BC" w:rsidRDefault="007820BC" w:rsidP="00384007">
      <w:pPr>
        <w:ind w:left="1440" w:hanging="720"/>
      </w:pPr>
    </w:p>
    <w:p w14:paraId="3128D7CE" w14:textId="77777777" w:rsidR="00F8635A" w:rsidRPr="00542969" w:rsidRDefault="00F8635A" w:rsidP="00384007">
      <w:pPr>
        <w:ind w:left="1440" w:hanging="720"/>
      </w:pPr>
      <w:r w:rsidRPr="00542969">
        <w:t xml:space="preserve">b.  </w:t>
      </w:r>
      <w:r w:rsidR="00384007" w:rsidRPr="00542969">
        <w:tab/>
      </w:r>
      <w:r w:rsidRPr="00542969">
        <w:rPr>
          <w:u w:val="single"/>
        </w:rPr>
        <w:t>Operation and Maintenance Costs</w:t>
      </w:r>
    </w:p>
    <w:p w14:paraId="06EBC36B" w14:textId="77777777" w:rsidR="00F8635A" w:rsidRPr="00542969" w:rsidRDefault="00F8635A" w:rsidP="00F8635A"/>
    <w:p w14:paraId="1DB4A196" w14:textId="77777777" w:rsidR="00F8635A" w:rsidRPr="00542969" w:rsidRDefault="00F8635A" w:rsidP="00384007">
      <w:pPr>
        <w:ind w:left="720"/>
      </w:pPr>
      <w:r w:rsidRPr="00542969">
        <w:t>There are no significant or distinct non-wage operations or maintenance costs associated with compliance with the information collection requirements for this section.</w:t>
      </w:r>
    </w:p>
    <w:p w14:paraId="35A7B66F" w14:textId="77777777" w:rsidR="00F8635A" w:rsidRPr="00542969" w:rsidRDefault="00F8635A" w:rsidP="00F8635A">
      <w:pPr>
        <w:tabs>
          <w:tab w:val="left" w:pos="2655"/>
        </w:tabs>
      </w:pPr>
      <w:r w:rsidRPr="00542969">
        <w:tab/>
      </w:r>
    </w:p>
    <w:p w14:paraId="7E0E89FA" w14:textId="77777777" w:rsidR="00F8635A" w:rsidRPr="00542969" w:rsidRDefault="00F8635A" w:rsidP="00384007">
      <w:pPr>
        <w:ind w:left="720" w:hanging="720"/>
      </w:pPr>
      <w:r w:rsidRPr="00542969">
        <w:t xml:space="preserve">14.  </w:t>
      </w:r>
      <w:r w:rsidR="00384007" w:rsidRPr="00542969">
        <w:tab/>
      </w:r>
      <w:r w:rsidRPr="00542969">
        <w:rPr>
          <w:u w:val="single"/>
        </w:rPr>
        <w:t>Estimate of Cost to the Federal Government</w:t>
      </w:r>
    </w:p>
    <w:p w14:paraId="0ED02ADE" w14:textId="77777777" w:rsidR="00F8635A" w:rsidRPr="00542969" w:rsidRDefault="00F8635A" w:rsidP="00F8635A"/>
    <w:p w14:paraId="6309419D" w14:textId="0CD103C6" w:rsidR="006B0E39" w:rsidRPr="00542969" w:rsidRDefault="00F8635A" w:rsidP="006B0E39">
      <w:pPr>
        <w:pStyle w:val="BodyTextIndent"/>
        <w:ind w:lef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compliance with </w:t>
      </w:r>
      <w:r w:rsidR="00E44E61">
        <w:t>§</w:t>
      </w:r>
      <w:r w:rsidRPr="00542969">
        <w:t xml:space="preserve">773.12 in the absence of indication of problems.  </w:t>
      </w:r>
      <w:r w:rsidR="00F3663D">
        <w:t>OSMRE</w:t>
      </w:r>
      <w:r w:rsidRPr="00542969">
        <w:t xml:space="preserve"> estimates it will conduct an oversight review of </w:t>
      </w:r>
      <w:r w:rsidR="00E44E61">
        <w:t>§</w:t>
      </w:r>
      <w:r w:rsidRPr="00542969">
        <w:t xml:space="preserve">773.12 in one State per year and that an oversight review will consist of 10 permit eligibility reviews.  This estimate </w:t>
      </w:r>
      <w:r w:rsidR="00B44F93" w:rsidRPr="00542969">
        <w:t xml:space="preserve">of time </w:t>
      </w:r>
      <w:r w:rsidRPr="00542969">
        <w:t xml:space="preserve">is unchanged from </w:t>
      </w:r>
      <w:r w:rsidR="00B44F93" w:rsidRPr="00542969">
        <w:t>our</w:t>
      </w:r>
      <w:r w:rsidRPr="00542969">
        <w:t xml:space="preserve"> previous request.  </w:t>
      </w:r>
      <w:r w:rsidR="00F3663D">
        <w:t>OSMRE</w:t>
      </w:r>
      <w:r w:rsidRPr="00542969">
        <w:t xml:space="preserve"> estimates the oversight review will require 16 hours.  This estimate is unchanged from the previous request for information collection approval.  </w:t>
      </w:r>
      <w:r w:rsidR="00304BF7" w:rsidRPr="00CB40DE">
        <w:t>A GS-13, step 5 environmental scientist with a salary of $</w:t>
      </w:r>
      <w:r w:rsidR="004F3183">
        <w:t>47.38</w:t>
      </w:r>
      <w:r w:rsidR="00304BF7" w:rsidRPr="00CB40DE">
        <w:t xml:space="preserve"> per hour, plus the 1.</w:t>
      </w:r>
      <w:r w:rsidR="004F3183">
        <w:t>6</w:t>
      </w:r>
      <w:r w:rsidR="00304BF7" w:rsidRPr="00CB40DE">
        <w:t xml:space="preserve"> multiplier for </w:t>
      </w:r>
      <w:r w:rsidR="003A3A78" w:rsidRPr="00CB40DE">
        <w:t>benefits, which</w:t>
      </w:r>
      <w:r w:rsidR="00304BF7" w:rsidRPr="00CB40DE">
        <w:t xml:space="preserve"> is derived from the BLS news release, would require $</w:t>
      </w:r>
      <w:r w:rsidR="004F3183">
        <w:t>75.81</w:t>
      </w:r>
      <w:r w:rsidR="00304BF7" w:rsidRPr="00CB40DE">
        <w:t xml:space="preserve"> per hour. </w:t>
      </w:r>
      <w:r w:rsidR="006B0E39" w:rsidRPr="00542969">
        <w:t xml:space="preserve">Therefore, the annual cost to the Federal government for oversight is </w:t>
      </w:r>
      <w:r w:rsidR="002545F8" w:rsidRPr="00304BF7">
        <w:t>$</w:t>
      </w:r>
      <w:r w:rsidR="00A239B3">
        <w:t>1,213</w:t>
      </w:r>
      <w:r w:rsidR="006B0E39" w:rsidRPr="00304BF7">
        <w:t xml:space="preserve"> ($</w:t>
      </w:r>
      <w:r w:rsidR="004F3183">
        <w:t>75.81</w:t>
      </w:r>
      <w:r w:rsidR="006B0E39" w:rsidRPr="00542969">
        <w:t xml:space="preserve"> </w:t>
      </w:r>
      <w:r w:rsidR="00304BF7">
        <w:t>x</w:t>
      </w:r>
      <w:r w:rsidR="006B0E39" w:rsidRPr="00542969">
        <w:t xml:space="preserve"> 16 hours). </w:t>
      </w:r>
    </w:p>
    <w:p w14:paraId="7527225D" w14:textId="77777777" w:rsidR="006B0E39" w:rsidRPr="00542969" w:rsidRDefault="006B0E39" w:rsidP="00304BF7">
      <w:pPr>
        <w:ind w:left="360"/>
        <w:jc w:val="center"/>
      </w:pPr>
    </w:p>
    <w:p w14:paraId="795E2D10" w14:textId="498A82EB" w:rsidR="00F8635A" w:rsidRPr="00542969" w:rsidRDefault="00F8635A" w:rsidP="006B0E39">
      <w:pPr>
        <w:ind w:left="720"/>
      </w:pPr>
      <w:r w:rsidRPr="00304BF7">
        <w:rPr>
          <w:u w:val="single"/>
        </w:rPr>
        <w:t>Federal Programs</w:t>
      </w:r>
      <w:r w:rsidRPr="00304BF7">
        <w:t xml:space="preserve">.  </w:t>
      </w:r>
      <w:r w:rsidR="00F3663D" w:rsidRPr="00304BF7">
        <w:t>OSMRE</w:t>
      </w:r>
      <w:r w:rsidRPr="00304BF7">
        <w:t xml:space="preserve"> estimates it will a</w:t>
      </w:r>
      <w:r w:rsidR="006B0E39" w:rsidRPr="00304BF7">
        <w:t xml:space="preserve">nnually receive approximately </w:t>
      </w:r>
      <w:r w:rsidR="001F06AF" w:rsidRPr="00304BF7">
        <w:t>1</w:t>
      </w:r>
      <w:r w:rsidRPr="00304BF7">
        <w:t xml:space="preserve"> application for </w:t>
      </w:r>
      <w:r w:rsidR="001F06AF" w:rsidRPr="00304BF7">
        <w:t xml:space="preserve">a </w:t>
      </w:r>
      <w:r w:rsidRPr="00304BF7">
        <w:t xml:space="preserve">new permit for lands and operations for which </w:t>
      </w:r>
      <w:r w:rsidR="00F3663D" w:rsidRPr="00304BF7">
        <w:t>OSMRE</w:t>
      </w:r>
      <w:r w:rsidRPr="00304BF7">
        <w:t xml:space="preserve"> is t</w:t>
      </w:r>
      <w:r w:rsidR="006B0E39" w:rsidRPr="00304BF7">
        <w:t xml:space="preserve">he regulatory authority.  </w:t>
      </w:r>
      <w:r w:rsidR="001F06AF" w:rsidRPr="00304BF7">
        <w:t xml:space="preserve">The single </w:t>
      </w:r>
      <w:r w:rsidR="002545F8" w:rsidRPr="00304BF7">
        <w:t xml:space="preserve">application </w:t>
      </w:r>
      <w:r w:rsidRPr="00304BF7">
        <w:t xml:space="preserve">will survive administrative review and not be withdrawn, rejected, or returned and, as a result, </w:t>
      </w:r>
      <w:r w:rsidR="00F3663D" w:rsidRPr="00304BF7">
        <w:t>OSMRE</w:t>
      </w:r>
      <w:r w:rsidRPr="00304BF7">
        <w:t xml:space="preserve"> will review every application it receives for permit eligibility under </w:t>
      </w:r>
      <w:r w:rsidR="00E44E61" w:rsidRPr="00304BF7">
        <w:t>§</w:t>
      </w:r>
      <w:r w:rsidRPr="00304BF7">
        <w:t xml:space="preserve">773.12.  This estimate is based </w:t>
      </w:r>
      <w:r w:rsidR="00976A0B" w:rsidRPr="00304BF7">
        <w:t xml:space="preserve">upon data collected for the </w:t>
      </w:r>
      <w:r w:rsidR="007A40C7">
        <w:t>2016-2018</w:t>
      </w:r>
      <w:r w:rsidRPr="00304BF7">
        <w:t xml:space="preserve"> evaluation year</w:t>
      </w:r>
      <w:r w:rsidR="007A40C7">
        <w:t>s</w:t>
      </w:r>
      <w:r w:rsidRPr="00304BF7">
        <w:t>.</w:t>
      </w:r>
      <w:r w:rsidRPr="00542969">
        <w:t xml:space="preserve">  We estimate each review will require 32 hours.  This estimate is unchanged from </w:t>
      </w:r>
      <w:r w:rsidR="00B44F93" w:rsidRPr="00542969">
        <w:t>our</w:t>
      </w:r>
      <w:r w:rsidRPr="00542969">
        <w:t xml:space="preserve"> previous</w:t>
      </w:r>
      <w:r w:rsidR="00B44F93" w:rsidRPr="00542969">
        <w:t xml:space="preserve"> request</w:t>
      </w:r>
      <w:r w:rsidRPr="00542969">
        <w:t>.</w:t>
      </w:r>
    </w:p>
    <w:p w14:paraId="2CF3B294" w14:textId="77777777" w:rsidR="006B0E39" w:rsidRPr="00542969" w:rsidRDefault="006B0E39" w:rsidP="006B0E39">
      <w:pPr>
        <w:ind w:left="360"/>
      </w:pPr>
    </w:p>
    <w:p w14:paraId="1C16A3AC" w14:textId="3EE598A9" w:rsidR="006B0E39" w:rsidRPr="00304BF7" w:rsidRDefault="006B0E39" w:rsidP="006B0E39">
      <w:pPr>
        <w:ind w:left="720"/>
      </w:pPr>
      <w:r w:rsidRPr="00542969">
        <w:t xml:space="preserve">At an average </w:t>
      </w:r>
      <w:r w:rsidRPr="00304BF7">
        <w:t>salary of $</w:t>
      </w:r>
      <w:r w:rsidR="00A239B3">
        <w:t>75.81</w:t>
      </w:r>
      <w:r w:rsidRPr="00304BF7">
        <w:t xml:space="preserve"> per hour with benefits as described above, the estimated annual wage cost to the Federal government where </w:t>
      </w:r>
      <w:r w:rsidR="00F3663D" w:rsidRPr="00304BF7">
        <w:t>OSMRE</w:t>
      </w:r>
      <w:r w:rsidRPr="00304BF7">
        <w:t xml:space="preserve"> is the regulatory authority will be $</w:t>
      </w:r>
      <w:r w:rsidR="00A239B3">
        <w:t>2,426</w:t>
      </w:r>
      <w:r w:rsidRPr="00304BF7">
        <w:t xml:space="preserve"> (</w:t>
      </w:r>
      <w:r w:rsidR="001F06AF" w:rsidRPr="00304BF7">
        <w:t>1</w:t>
      </w:r>
      <w:r w:rsidRPr="00304BF7">
        <w:t xml:space="preserve"> application x 32 hours per application x $</w:t>
      </w:r>
      <w:r w:rsidR="00A239B3">
        <w:t>75.81</w:t>
      </w:r>
      <w:r w:rsidRPr="00304BF7">
        <w:t xml:space="preserve"> per hour).</w:t>
      </w:r>
    </w:p>
    <w:p w14:paraId="2B91B109" w14:textId="77777777" w:rsidR="006B0E39" w:rsidRPr="00304BF7" w:rsidRDefault="006B0E39" w:rsidP="006B0E39"/>
    <w:p w14:paraId="0F417EEA" w14:textId="559E962F" w:rsidR="006B0E39" w:rsidRPr="00542969" w:rsidRDefault="006B0E39" w:rsidP="006B0E39">
      <w:pPr>
        <w:ind w:left="720"/>
      </w:pPr>
      <w:r w:rsidRPr="00304BF7">
        <w:t xml:space="preserve">Therefore, the cost to the Federal Government under </w:t>
      </w:r>
      <w:r w:rsidR="00E44E61" w:rsidRPr="00304BF7">
        <w:t>§</w:t>
      </w:r>
      <w:r w:rsidRPr="00304BF7">
        <w:t>773.1</w:t>
      </w:r>
      <w:r w:rsidR="0059216B" w:rsidRPr="00304BF7">
        <w:t>2</w:t>
      </w:r>
      <w:r w:rsidRPr="00304BF7">
        <w:t xml:space="preserve"> is estimated to be $</w:t>
      </w:r>
      <w:r w:rsidR="00A239B3">
        <w:t>3,639</w:t>
      </w:r>
      <w:r w:rsidRPr="00304BF7">
        <w:t xml:space="preserve"> ($</w:t>
      </w:r>
      <w:r w:rsidR="00A239B3">
        <w:t>1,213</w:t>
      </w:r>
      <w:r w:rsidRPr="00304BF7">
        <w:t xml:space="preserve"> for oversight + $</w:t>
      </w:r>
      <w:r w:rsidR="00A239B3">
        <w:t>2,426</w:t>
      </w:r>
      <w:r w:rsidRPr="00304BF7">
        <w:t xml:space="preserve"> for Federal programs</w:t>
      </w:r>
      <w:r w:rsidRPr="00542969">
        <w:t>).</w:t>
      </w:r>
    </w:p>
    <w:p w14:paraId="5EAE85E9" w14:textId="77777777" w:rsidR="0059216B" w:rsidRPr="00542969" w:rsidRDefault="0059216B" w:rsidP="00F8635A">
      <w:pPr>
        <w:ind w:left="360" w:hanging="360"/>
      </w:pPr>
    </w:p>
    <w:p w14:paraId="6854309B" w14:textId="77777777" w:rsidR="00F8635A" w:rsidRPr="00542969" w:rsidRDefault="0059216B" w:rsidP="0059216B">
      <w:pPr>
        <w:ind w:left="720" w:hanging="720"/>
      </w:pPr>
      <w:r w:rsidRPr="00542969">
        <w:t>15.</w:t>
      </w:r>
      <w:r w:rsidRPr="00542969">
        <w:tab/>
      </w:r>
      <w:r w:rsidR="00F8635A" w:rsidRPr="00542969">
        <w:t>The estimated change in burden hours for respondents is shown below.</w:t>
      </w:r>
      <w:r w:rsidR="00F52D6C" w:rsidRPr="00542969">
        <w:t xml:space="preserve">  The estimated </w:t>
      </w:r>
      <w:r w:rsidR="001F06AF">
        <w:t>decrease</w:t>
      </w:r>
      <w:r w:rsidR="00F52D6C" w:rsidRPr="00542969">
        <w:t xml:space="preserve"> is due to a more accurate estimate of the number of applications that will </w:t>
      </w:r>
      <w:r w:rsidR="00CD7048">
        <w:t xml:space="preserve">be received and </w:t>
      </w:r>
      <w:r w:rsidR="00F52D6C" w:rsidRPr="00542969">
        <w:t xml:space="preserve">subject to </w:t>
      </w:r>
      <w:r w:rsidR="00EB4BC0" w:rsidRPr="00542969">
        <w:t xml:space="preserve">permit eligibility review under </w:t>
      </w:r>
      <w:r w:rsidR="00E44E61">
        <w:t>§</w:t>
      </w:r>
      <w:r w:rsidR="00EB4BC0" w:rsidRPr="00542969">
        <w:t>773.12.</w:t>
      </w:r>
    </w:p>
    <w:p w14:paraId="00D998E8" w14:textId="77777777" w:rsidR="00D07823" w:rsidRPr="00542969" w:rsidRDefault="00D07823" w:rsidP="00F8635A">
      <w:pPr>
        <w:ind w:left="720"/>
      </w:pPr>
    </w:p>
    <w:p w14:paraId="36CBB3A7" w14:textId="3FF45F51" w:rsidR="00F8635A" w:rsidRPr="00542969" w:rsidRDefault="001F06AF" w:rsidP="00D07823">
      <w:pPr>
        <w:ind w:left="1080"/>
      </w:pPr>
      <w:r>
        <w:t xml:space="preserve">  </w:t>
      </w:r>
      <w:r w:rsidR="00A239B3">
        <w:t>2,944</w:t>
      </w:r>
      <w:r w:rsidR="00F8635A" w:rsidRPr="00542969">
        <w:t xml:space="preserve"> hours currently approved</w:t>
      </w:r>
    </w:p>
    <w:p w14:paraId="3FB7F06D" w14:textId="1CF982E4" w:rsidR="00F8635A" w:rsidRPr="00542969" w:rsidRDefault="004C1055" w:rsidP="00D07823">
      <w:pPr>
        <w:ind w:left="1080" w:hanging="360"/>
      </w:pPr>
      <w:r>
        <w:rPr>
          <w:u w:val="single"/>
        </w:rPr>
        <w:t>-</w:t>
      </w:r>
      <w:r w:rsidR="00D07823" w:rsidRPr="004C1055">
        <w:rPr>
          <w:u w:val="single"/>
        </w:rPr>
        <w:tab/>
        <w:t xml:space="preserve">  </w:t>
      </w:r>
      <w:r w:rsidR="00A239B3">
        <w:rPr>
          <w:u w:val="single"/>
        </w:rPr>
        <w:t xml:space="preserve">   960</w:t>
      </w:r>
      <w:r w:rsidR="00E73345" w:rsidRPr="00542969">
        <w:t xml:space="preserve"> </w:t>
      </w:r>
      <w:r w:rsidR="00F8635A" w:rsidRPr="00542969">
        <w:t>hours</w:t>
      </w:r>
      <w:r w:rsidR="000C5005" w:rsidRPr="00542969">
        <w:t xml:space="preserve"> </w:t>
      </w:r>
      <w:r w:rsidR="00F8635A" w:rsidRPr="00542969">
        <w:t xml:space="preserve">due to </w:t>
      </w:r>
      <w:r w:rsidR="00EB4BC0" w:rsidRPr="00542969">
        <w:t>a</w:t>
      </w:r>
      <w:r w:rsidR="00123C32" w:rsidRPr="00542969">
        <w:t xml:space="preserve">n estimated </w:t>
      </w:r>
      <w:r w:rsidR="009D2F98">
        <w:t>decrease</w:t>
      </w:r>
      <w:r w:rsidR="00123C32" w:rsidRPr="00542969">
        <w:t xml:space="preserve"> </w:t>
      </w:r>
      <w:r w:rsidR="000C5005" w:rsidRPr="00542969">
        <w:t>in use</w:t>
      </w:r>
      <w:r w:rsidR="0059216B" w:rsidRPr="00542969">
        <w:t xml:space="preserve"> as an adjustment</w:t>
      </w:r>
    </w:p>
    <w:p w14:paraId="0E8F53FA" w14:textId="2B1F1DDA" w:rsidR="00F8635A" w:rsidRDefault="009D2F98" w:rsidP="00D07823">
      <w:pPr>
        <w:ind w:left="1080"/>
      </w:pPr>
      <w:r>
        <w:t xml:space="preserve">  </w:t>
      </w:r>
      <w:r w:rsidR="00A239B3">
        <w:t>1,984</w:t>
      </w:r>
      <w:r w:rsidR="00312D35" w:rsidRPr="00542969">
        <w:t xml:space="preserve"> hours requested</w:t>
      </w:r>
    </w:p>
    <w:p w14:paraId="2B955126" w14:textId="77777777" w:rsidR="00025B28" w:rsidRDefault="00025B28" w:rsidP="00D07823">
      <w:pPr>
        <w:ind w:left="1080"/>
      </w:pPr>
    </w:p>
    <w:p w14:paraId="1A56E28B" w14:textId="77777777" w:rsidR="00025B28" w:rsidRPr="00542969" w:rsidRDefault="00025B28" w:rsidP="00025B28">
      <w:pPr>
        <w:tabs>
          <w:tab w:val="left" w:pos="1080"/>
        </w:tabs>
        <w:ind w:left="720" w:hanging="720"/>
      </w:pPr>
      <w:r>
        <w:tab/>
        <w:t>There are no non-wage costs associated with this section.</w:t>
      </w:r>
    </w:p>
    <w:p w14:paraId="123DA9C4" w14:textId="77777777" w:rsidR="00F8635A" w:rsidRPr="00542969" w:rsidRDefault="00F8635A" w:rsidP="00F8635A">
      <w:pPr>
        <w:pStyle w:val="BodyTextIndent"/>
        <w:ind w:hanging="360"/>
      </w:pPr>
    </w:p>
    <w:p w14:paraId="62A691AD" w14:textId="77777777" w:rsidR="00F8635A" w:rsidRPr="00542969" w:rsidRDefault="00F8635A" w:rsidP="00D07823">
      <w:pPr>
        <w:ind w:left="720" w:hanging="720"/>
      </w:pPr>
      <w:r w:rsidRPr="00542969">
        <w:t>16.</w:t>
      </w:r>
      <w:r w:rsidR="00D07823" w:rsidRPr="00542969">
        <w:tab/>
      </w:r>
      <w:r w:rsidRPr="00542969">
        <w:t>See Identical Responses to Statements.</w:t>
      </w:r>
    </w:p>
    <w:p w14:paraId="2B2F9302" w14:textId="77777777" w:rsidR="00F8635A" w:rsidRPr="00542969" w:rsidRDefault="00F8635A" w:rsidP="00F8635A"/>
    <w:p w14:paraId="5B27828D" w14:textId="77777777" w:rsidR="00F8635A" w:rsidRPr="00542969" w:rsidRDefault="00F8635A" w:rsidP="00F8635A">
      <w:r w:rsidRPr="00542969">
        <w:t>17.</w:t>
      </w:r>
      <w:r w:rsidR="00D07823" w:rsidRPr="00542969">
        <w:tab/>
      </w:r>
      <w:r w:rsidRPr="00542969">
        <w:t>See Identical Responses to Statements.</w:t>
      </w:r>
    </w:p>
    <w:p w14:paraId="15C8385D" w14:textId="77777777" w:rsidR="00F8635A" w:rsidRPr="00542969" w:rsidRDefault="00F8635A" w:rsidP="00F8635A"/>
    <w:p w14:paraId="1A3D39A1" w14:textId="66D90931" w:rsidR="00F8635A" w:rsidRPr="00542969" w:rsidRDefault="00F8635A" w:rsidP="00F8635A">
      <w:r w:rsidRPr="00542969">
        <w:t>18.</w:t>
      </w:r>
      <w:r w:rsidR="00D07823" w:rsidRPr="00542969">
        <w:tab/>
      </w:r>
      <w:r w:rsidRPr="00542969">
        <w:t>See Identical Responses to Statements.</w:t>
      </w:r>
    </w:p>
    <w:p w14:paraId="39D88DD6" w14:textId="77777777" w:rsidR="00F8635A" w:rsidRPr="00D93B7E" w:rsidRDefault="00F8635A" w:rsidP="00D93B7E">
      <w:pPr>
        <w:ind w:left="360"/>
        <w:jc w:val="center"/>
        <w:rPr>
          <w:sz w:val="28"/>
          <w:szCs w:val="28"/>
        </w:rPr>
      </w:pPr>
      <w:r w:rsidRPr="00542969">
        <w:br w:type="page"/>
      </w:r>
      <w:r w:rsidRPr="00D93B7E">
        <w:rPr>
          <w:b/>
          <w:bCs/>
          <w:sz w:val="28"/>
          <w:szCs w:val="28"/>
        </w:rPr>
        <w:t>Section 773.14</w:t>
      </w:r>
      <w:r w:rsidR="00692F03" w:rsidRPr="00D93B7E">
        <w:rPr>
          <w:b/>
          <w:bCs/>
          <w:sz w:val="28"/>
          <w:szCs w:val="28"/>
        </w:rPr>
        <w:t xml:space="preserve"> – Eligibility for provisionally issued permits </w:t>
      </w:r>
    </w:p>
    <w:p w14:paraId="43C614FF" w14:textId="77777777" w:rsidR="00F8635A" w:rsidRPr="00542969" w:rsidRDefault="00F8635A" w:rsidP="00F8635A"/>
    <w:p w14:paraId="212054B4" w14:textId="77777777" w:rsidR="00F8635A" w:rsidRPr="00542969" w:rsidRDefault="00F8635A" w:rsidP="00F8635A">
      <w:pPr>
        <w:rPr>
          <w:b/>
          <w:bCs/>
        </w:rPr>
      </w:pPr>
      <w:r w:rsidRPr="00542969">
        <w:rPr>
          <w:b/>
          <w:bCs/>
          <w:u w:val="single"/>
        </w:rPr>
        <w:t>Justification</w:t>
      </w:r>
    </w:p>
    <w:p w14:paraId="705E3D9A" w14:textId="77777777" w:rsidR="00F8635A" w:rsidRPr="00542969" w:rsidRDefault="00F8635A" w:rsidP="00F8635A"/>
    <w:p w14:paraId="6A6E3055" w14:textId="015E86B9" w:rsidR="00F8635A" w:rsidRPr="00542969" w:rsidRDefault="00F8635A" w:rsidP="00A1597E">
      <w:pPr>
        <w:numPr>
          <w:ilvl w:val="0"/>
          <w:numId w:val="8"/>
        </w:numPr>
        <w:tabs>
          <w:tab w:val="clear" w:pos="360"/>
        </w:tabs>
        <w:ind w:left="720" w:hanging="720"/>
      </w:pPr>
      <w:r w:rsidRPr="00542969">
        <w:t xml:space="preserve">Section 773.14 </w:t>
      </w:r>
      <w:r w:rsidR="00EA7CD1" w:rsidRPr="00542969">
        <w:t>govern</w:t>
      </w:r>
      <w:r w:rsidR="00A1597E" w:rsidRPr="00542969">
        <w:t>s</w:t>
      </w:r>
      <w:r w:rsidR="00EA7CD1" w:rsidRPr="00542969">
        <w:t xml:space="preserve"> whether a </w:t>
      </w:r>
      <w:r w:rsidRPr="00542969">
        <w:t>regulatory authority</w:t>
      </w:r>
      <w:r w:rsidR="00EA7CD1" w:rsidRPr="00542969">
        <w:t xml:space="preserve"> may </w:t>
      </w:r>
      <w:r w:rsidRPr="00542969">
        <w:t>determin</w:t>
      </w:r>
      <w:r w:rsidR="00EA7CD1" w:rsidRPr="00542969">
        <w:t>e if an applicant is el</w:t>
      </w:r>
      <w:r w:rsidRPr="00542969">
        <w:t>igib</w:t>
      </w:r>
      <w:r w:rsidR="00EA7CD1" w:rsidRPr="00542969">
        <w:t xml:space="preserve">le </w:t>
      </w:r>
      <w:r w:rsidRPr="00542969">
        <w:t xml:space="preserve">for a provisionally issued permit.  </w:t>
      </w:r>
      <w:r w:rsidR="00EA7CD1" w:rsidRPr="00542969">
        <w:t xml:space="preserve">A </w:t>
      </w:r>
      <w:r w:rsidR="000A4459">
        <w:t>SRA</w:t>
      </w:r>
      <w:r w:rsidR="00EA7CD1" w:rsidRPr="00542969">
        <w:t xml:space="preserve"> may consider approval for a provisionally issued permit </w:t>
      </w:r>
      <w:r w:rsidR="00633F50" w:rsidRPr="00542969">
        <w:t xml:space="preserve">if an applicant is not eligible for a permit under </w:t>
      </w:r>
      <w:r w:rsidR="00E44E61">
        <w:t>§</w:t>
      </w:r>
      <w:r w:rsidR="00633F50" w:rsidRPr="00542969">
        <w:t>773.12</w:t>
      </w:r>
      <w:r w:rsidR="00DE34B8" w:rsidRPr="00542969">
        <w:t xml:space="preserve"> due to an unabated or uncorrected violation</w:t>
      </w:r>
      <w:r w:rsidR="00633F50" w:rsidRPr="00542969">
        <w:t>.</w:t>
      </w:r>
      <w:r w:rsidRPr="00542969">
        <w:t xml:space="preserve">  Regulatory authorities </w:t>
      </w:r>
      <w:r w:rsidR="00633F50" w:rsidRPr="00542969">
        <w:t>may</w:t>
      </w:r>
      <w:r w:rsidRPr="00542969">
        <w:t xml:space="preserve"> grant a provisionally issued permit to an applicant who meets any one of the four criteria</w:t>
      </w:r>
      <w:r w:rsidR="00354F03" w:rsidRPr="00542969">
        <w:t xml:space="preserve"> stipulated in </w:t>
      </w:r>
      <w:r w:rsidR="00E44E61">
        <w:t>§</w:t>
      </w:r>
      <w:r w:rsidR="00354F03" w:rsidRPr="00542969">
        <w:t>773.14</w:t>
      </w:r>
      <w:r w:rsidRPr="00542969">
        <w:t xml:space="preserve">.  The legal authority for this section is found in section 510(c) of the Act.  </w:t>
      </w:r>
    </w:p>
    <w:p w14:paraId="20412298" w14:textId="77777777" w:rsidR="00354F03" w:rsidRPr="00542969" w:rsidRDefault="00354F03" w:rsidP="00354F03"/>
    <w:p w14:paraId="7DD8E267" w14:textId="4E8502F0" w:rsidR="00633F50" w:rsidRPr="00542969" w:rsidRDefault="00F8635A" w:rsidP="00A1597E">
      <w:pPr>
        <w:numPr>
          <w:ilvl w:val="0"/>
          <w:numId w:val="8"/>
        </w:numPr>
        <w:tabs>
          <w:tab w:val="clear" w:pos="360"/>
        </w:tabs>
        <w:ind w:left="720" w:hanging="720"/>
      </w:pPr>
      <w:r w:rsidRPr="00542969">
        <w:t xml:space="preserve">The </w:t>
      </w:r>
      <w:r w:rsidR="00633F50" w:rsidRPr="00542969">
        <w:t xml:space="preserve">respondents in </w:t>
      </w:r>
      <w:r w:rsidR="00E44E61">
        <w:t>§</w:t>
      </w:r>
      <w:r w:rsidR="00633F50" w:rsidRPr="00542969">
        <w:t>773.14</w:t>
      </w:r>
      <w:r w:rsidRPr="00542969">
        <w:t xml:space="preserve"> </w:t>
      </w:r>
      <w:r w:rsidR="00633F50" w:rsidRPr="00542969">
        <w:t xml:space="preserve">are applicants for permits and </w:t>
      </w:r>
      <w:r w:rsidR="002653EC">
        <w:t>SRAs</w:t>
      </w:r>
      <w:r w:rsidR="00633F50" w:rsidRPr="00542969">
        <w:t xml:space="preserve">.  Applicants must demonstrate compliance, by means of a proof, with any one of four </w:t>
      </w:r>
      <w:r w:rsidR="00884E60" w:rsidRPr="00542969">
        <w:t>criteria</w:t>
      </w:r>
      <w:r w:rsidR="00633F50" w:rsidRPr="00542969">
        <w:t xml:space="preserve"> </w:t>
      </w:r>
      <w:r w:rsidR="00DE34B8" w:rsidRPr="00542969">
        <w:t>to be considered for a provisionally issued permit.</w:t>
      </w:r>
      <w:r w:rsidR="00633F50" w:rsidRPr="00542969">
        <w:t xml:space="preserve"> </w:t>
      </w:r>
      <w:r w:rsidR="00DE34B8" w:rsidRPr="00542969">
        <w:t xml:space="preserve"> </w:t>
      </w:r>
      <w:r w:rsidR="00354F03" w:rsidRPr="00542969">
        <w:t xml:space="preserve">The criteria to establish a proof are:  (1) the violation is being abated to the satisfaction of the regulatory authority with jurisdiction, (2) continuing compliance with the terms of an abatement plan or payment schedule approved by the regulatory authority with jurisdiction, (3) pursuing a good faith challenge of a pertinent ownership or control listing or finding, and (4) pursuing a good faith administrative or judicial appeal contesting the validity of the relevant violation.  </w:t>
      </w:r>
      <w:r w:rsidR="000A4459">
        <w:t>SRA</w:t>
      </w:r>
      <w:r w:rsidR="00DE34B8" w:rsidRPr="00542969">
        <w:t xml:space="preserve"> respondents must evaluate the proof of compliance submitted by an applicant to determine if the applicant is eligible for a provisionally issued permit.  If a regulatory authority finds the proof inadequate, no permit of any kind will be issued.</w:t>
      </w:r>
    </w:p>
    <w:p w14:paraId="04728AAC" w14:textId="77777777" w:rsidR="00F8635A" w:rsidRPr="00542969" w:rsidRDefault="00F8635A" w:rsidP="00F8635A"/>
    <w:p w14:paraId="393EA8B3" w14:textId="77777777" w:rsidR="00F8635A" w:rsidRPr="00542969" w:rsidRDefault="00F8635A" w:rsidP="00A1597E">
      <w:pPr>
        <w:ind w:left="720" w:hanging="720"/>
      </w:pPr>
      <w:r w:rsidRPr="00542969">
        <w:t xml:space="preserve">3.  </w:t>
      </w:r>
      <w:r w:rsidR="00A1597E" w:rsidRPr="00542969">
        <w:tab/>
      </w:r>
      <w:r w:rsidRPr="00542969">
        <w:t>See Identical Responses to Statements.</w:t>
      </w:r>
    </w:p>
    <w:p w14:paraId="33DAA80E" w14:textId="77777777" w:rsidR="00F8635A" w:rsidRPr="00542969" w:rsidRDefault="00F8635A" w:rsidP="00F8635A"/>
    <w:p w14:paraId="666DF06F" w14:textId="77777777" w:rsidR="00F8635A" w:rsidRPr="00542969" w:rsidRDefault="00F8635A" w:rsidP="00F8635A">
      <w:r w:rsidRPr="00542969">
        <w:t xml:space="preserve">4.  </w:t>
      </w:r>
      <w:r w:rsidR="00A1597E" w:rsidRPr="00542969">
        <w:tab/>
      </w:r>
      <w:r w:rsidRPr="00542969">
        <w:t>See Identical Responses to Statements.</w:t>
      </w:r>
    </w:p>
    <w:p w14:paraId="22ADB9E1" w14:textId="77777777" w:rsidR="00F8635A" w:rsidRPr="00542969" w:rsidRDefault="00F8635A" w:rsidP="00F8635A"/>
    <w:p w14:paraId="7DC0A142" w14:textId="77777777" w:rsidR="00F8635A" w:rsidRPr="00542969" w:rsidRDefault="00F8635A" w:rsidP="00F8635A">
      <w:r w:rsidRPr="00542969">
        <w:t xml:space="preserve">5.  </w:t>
      </w:r>
      <w:r w:rsidR="00A1597E" w:rsidRPr="00542969">
        <w:tab/>
      </w:r>
      <w:r w:rsidRPr="00542969">
        <w:t>See Identical Responses to Statements.</w:t>
      </w:r>
    </w:p>
    <w:p w14:paraId="61F76DD7" w14:textId="77777777" w:rsidR="00F8635A" w:rsidRPr="00542969" w:rsidRDefault="00F8635A" w:rsidP="00F8635A"/>
    <w:p w14:paraId="6C3DBD86" w14:textId="77777777" w:rsidR="00F8635A" w:rsidRPr="00542969" w:rsidRDefault="00F8635A" w:rsidP="00F8635A">
      <w:r w:rsidRPr="00542969">
        <w:t xml:space="preserve">6.  </w:t>
      </w:r>
      <w:r w:rsidR="00A1597E" w:rsidRPr="00542969">
        <w:tab/>
      </w:r>
      <w:r w:rsidRPr="00542969">
        <w:t>See Identical Responses to Statements.</w:t>
      </w:r>
    </w:p>
    <w:p w14:paraId="179CB784" w14:textId="77777777" w:rsidR="00F8635A" w:rsidRPr="00542969" w:rsidRDefault="00F8635A" w:rsidP="00F8635A"/>
    <w:p w14:paraId="723903EA" w14:textId="77777777" w:rsidR="00F8635A" w:rsidRPr="00542969" w:rsidRDefault="00F8635A" w:rsidP="00F8635A">
      <w:r w:rsidRPr="00542969">
        <w:t xml:space="preserve">7.  </w:t>
      </w:r>
      <w:r w:rsidR="00A1597E" w:rsidRPr="00542969">
        <w:tab/>
      </w:r>
      <w:r w:rsidRPr="00542969">
        <w:t>See Identical Responses to Statements.</w:t>
      </w:r>
    </w:p>
    <w:p w14:paraId="1058145B" w14:textId="77777777" w:rsidR="00F8635A" w:rsidRPr="00542969" w:rsidRDefault="00F8635A" w:rsidP="00F8635A"/>
    <w:p w14:paraId="1E11B3B6" w14:textId="77777777" w:rsidR="00F8635A" w:rsidRPr="00542969" w:rsidRDefault="00F8635A" w:rsidP="00F8635A">
      <w:r w:rsidRPr="00542969">
        <w:t xml:space="preserve">8.  </w:t>
      </w:r>
      <w:r w:rsidR="00A1597E" w:rsidRPr="00542969">
        <w:tab/>
      </w:r>
      <w:r w:rsidRPr="00542969">
        <w:t>See Identical Responses to Statements.</w:t>
      </w:r>
    </w:p>
    <w:p w14:paraId="28281FFD" w14:textId="77777777" w:rsidR="00F8635A" w:rsidRPr="00542969" w:rsidRDefault="00F8635A" w:rsidP="00F8635A"/>
    <w:p w14:paraId="266002B4" w14:textId="77777777" w:rsidR="00F8635A" w:rsidRPr="00542969" w:rsidRDefault="00F8635A" w:rsidP="00F8635A">
      <w:r w:rsidRPr="00542969">
        <w:t xml:space="preserve">9.  </w:t>
      </w:r>
      <w:r w:rsidR="00A1597E" w:rsidRPr="00542969">
        <w:tab/>
      </w:r>
      <w:r w:rsidRPr="00542969">
        <w:t>See Identical Responses to Statements.</w:t>
      </w:r>
    </w:p>
    <w:p w14:paraId="4C548C68" w14:textId="77777777" w:rsidR="00F8635A" w:rsidRPr="00542969" w:rsidRDefault="00F8635A" w:rsidP="00F8635A"/>
    <w:p w14:paraId="629B4387" w14:textId="77777777" w:rsidR="00F8635A" w:rsidRPr="00542969" w:rsidRDefault="00F8635A" w:rsidP="00F8635A">
      <w:r w:rsidRPr="00542969">
        <w:t xml:space="preserve">10.  </w:t>
      </w:r>
      <w:r w:rsidR="00A1597E" w:rsidRPr="00542969">
        <w:tab/>
      </w:r>
      <w:r w:rsidRPr="00542969">
        <w:t>See Identical Responses to Statements.</w:t>
      </w:r>
    </w:p>
    <w:p w14:paraId="797A7266" w14:textId="77777777" w:rsidR="00F8635A" w:rsidRPr="00542969" w:rsidRDefault="00F8635A" w:rsidP="00F8635A"/>
    <w:p w14:paraId="6983A385" w14:textId="77777777" w:rsidR="00F8635A" w:rsidRPr="00542969" w:rsidRDefault="00F8635A" w:rsidP="00F8635A">
      <w:r w:rsidRPr="00542969">
        <w:t xml:space="preserve">11.  </w:t>
      </w:r>
      <w:r w:rsidR="00A1597E" w:rsidRPr="00542969">
        <w:tab/>
      </w:r>
      <w:r w:rsidRPr="00542969">
        <w:t>See Identical Responses to Statements.</w:t>
      </w:r>
    </w:p>
    <w:p w14:paraId="7A2517E1" w14:textId="77777777" w:rsidR="00F8635A" w:rsidRPr="00542969" w:rsidRDefault="00F8635A" w:rsidP="00F8635A"/>
    <w:p w14:paraId="7C120886" w14:textId="77777777" w:rsidR="00F8635A" w:rsidRPr="00542969" w:rsidRDefault="00F8635A" w:rsidP="00F8635A">
      <w:r w:rsidRPr="00542969">
        <w:t xml:space="preserve">12.  </w:t>
      </w:r>
      <w:r w:rsidR="00A1597E" w:rsidRPr="00542969">
        <w:tab/>
      </w:r>
      <w:r w:rsidRPr="00542969">
        <w:rPr>
          <w:u w:val="single"/>
        </w:rPr>
        <w:t>Estimated Information Collection Burden</w:t>
      </w:r>
    </w:p>
    <w:p w14:paraId="5ADDEB33" w14:textId="77777777" w:rsidR="00F8635A" w:rsidRPr="00542969" w:rsidRDefault="00F8635A" w:rsidP="00F8635A"/>
    <w:p w14:paraId="0E94DA5F" w14:textId="77777777" w:rsidR="00F8635A" w:rsidRPr="00542969" w:rsidRDefault="00F8635A" w:rsidP="00A1597E">
      <w:pPr>
        <w:numPr>
          <w:ilvl w:val="0"/>
          <w:numId w:val="31"/>
        </w:numPr>
        <w:ind w:left="1440" w:hanging="720"/>
      </w:pPr>
      <w:r w:rsidRPr="00542969">
        <w:rPr>
          <w:u w:val="single"/>
        </w:rPr>
        <w:t>Burden Hour Estimates for Respondents</w:t>
      </w:r>
    </w:p>
    <w:p w14:paraId="7F8A35FD" w14:textId="77777777" w:rsidR="00F8635A" w:rsidRPr="00542969" w:rsidRDefault="00F8635A" w:rsidP="00F8635A"/>
    <w:p w14:paraId="7446360D" w14:textId="5F92144A" w:rsidR="00020D32" w:rsidRPr="00542969" w:rsidRDefault="00697C23" w:rsidP="00A1597E">
      <w:pPr>
        <w:ind w:left="720"/>
      </w:pPr>
      <w:r w:rsidRPr="00542969">
        <w:t xml:space="preserve">We estimate </w:t>
      </w:r>
      <w:r w:rsidR="00FF1A89">
        <w:t>7</w:t>
      </w:r>
      <w:r w:rsidRPr="00542969">
        <w:t xml:space="preserve"> </w:t>
      </w:r>
      <w:r w:rsidR="00371312">
        <w:t xml:space="preserve">(or 10% </w:t>
      </w:r>
      <w:r w:rsidRPr="00542969">
        <w:t xml:space="preserve">of the estimated </w:t>
      </w:r>
      <w:r w:rsidR="00FF1A89">
        <w:t>70</w:t>
      </w:r>
      <w:r w:rsidR="00371312">
        <w:t>)</w:t>
      </w:r>
      <w:r w:rsidRPr="00542969">
        <w:t xml:space="preserve"> total applications will result in an applicant ineligible for a permit under </w:t>
      </w:r>
      <w:r w:rsidR="00E44E61">
        <w:t>§</w:t>
      </w:r>
      <w:r w:rsidRPr="00542969">
        <w:t xml:space="preserve">773.12, and therefore, </w:t>
      </w:r>
      <w:r w:rsidR="002C6400" w:rsidRPr="00542969">
        <w:t>considered</w:t>
      </w:r>
      <w:r w:rsidRPr="00542969">
        <w:t xml:space="preserve"> for a provisionally issued permit under </w:t>
      </w:r>
      <w:r w:rsidR="00E44E61">
        <w:t>§</w:t>
      </w:r>
      <w:r w:rsidRPr="00542969">
        <w:t>773.14.  The total number of applicants is based on data collected for the</w:t>
      </w:r>
      <w:r w:rsidR="007A40C7">
        <w:t xml:space="preserve"> </w:t>
      </w:r>
      <w:r w:rsidR="00FF1A89">
        <w:t>2016-2018</w:t>
      </w:r>
      <w:r w:rsidRPr="00542969">
        <w:t xml:space="preserve"> evalua</w:t>
      </w:r>
      <w:r w:rsidR="00E56218" w:rsidRPr="00542969">
        <w:t>tion year</w:t>
      </w:r>
      <w:r w:rsidR="00FF1A89">
        <w:t>s</w:t>
      </w:r>
      <w:r w:rsidR="00E56218" w:rsidRPr="00542969">
        <w:t xml:space="preserve">.  Applicants of the </w:t>
      </w:r>
      <w:r w:rsidR="00FF1A89">
        <w:t>7</w:t>
      </w:r>
      <w:r w:rsidRPr="00542969">
        <w:t xml:space="preserve"> </w:t>
      </w:r>
      <w:r w:rsidR="007A40C7">
        <w:t xml:space="preserve">new permit </w:t>
      </w:r>
      <w:r w:rsidRPr="00542969">
        <w:t>applications must submit one of the four proofs of compliance to be considered for a provisionally issued permit</w:t>
      </w:r>
      <w:r w:rsidR="00AF6E41">
        <w:t xml:space="preserve"> as discussed in item 2 above</w:t>
      </w:r>
      <w:r w:rsidRPr="00542969">
        <w:t xml:space="preserve">.  </w:t>
      </w:r>
    </w:p>
    <w:p w14:paraId="44947667" w14:textId="77777777" w:rsidR="00020D32" w:rsidRPr="00542969" w:rsidRDefault="00020D32" w:rsidP="00F8635A">
      <w:pPr>
        <w:ind w:left="360"/>
      </w:pPr>
    </w:p>
    <w:p w14:paraId="0E8F13A1" w14:textId="77777777" w:rsidR="00EA1438" w:rsidRPr="00542969" w:rsidRDefault="00697C23" w:rsidP="00A1597E">
      <w:pPr>
        <w:ind w:left="720"/>
      </w:pPr>
      <w:r w:rsidRPr="00542969">
        <w:t xml:space="preserve">The following table shows the estimated burden hours for information collection.  Data in the table are discussed below.  </w:t>
      </w:r>
    </w:p>
    <w:p w14:paraId="21F0C289" w14:textId="77777777" w:rsidR="00EA1438" w:rsidRPr="00542969" w:rsidRDefault="00EA1438" w:rsidP="00F8635A">
      <w:pPr>
        <w:ind w:left="360"/>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10"/>
        <w:gridCol w:w="1260"/>
        <w:gridCol w:w="1474"/>
        <w:gridCol w:w="1461"/>
        <w:gridCol w:w="1455"/>
        <w:gridCol w:w="1388"/>
      </w:tblGrid>
      <w:tr w:rsidR="000D5978" w:rsidRPr="00542969" w14:paraId="5B5B2D2B" w14:textId="77777777" w:rsidTr="00A1597E">
        <w:trPr>
          <w:trHeight w:val="720"/>
        </w:trPr>
        <w:tc>
          <w:tcPr>
            <w:tcW w:w="1710" w:type="dxa"/>
            <w:tcBorders>
              <w:top w:val="double" w:sz="4" w:space="0" w:color="auto"/>
              <w:bottom w:val="double" w:sz="4" w:space="0" w:color="auto"/>
            </w:tcBorders>
            <w:vAlign w:val="center"/>
          </w:tcPr>
          <w:p w14:paraId="2C63BA58" w14:textId="77777777" w:rsidR="000D5978" w:rsidRPr="00542969" w:rsidRDefault="000D5978" w:rsidP="00A1597E">
            <w:pPr>
              <w:jc w:val="center"/>
            </w:pPr>
            <w:r w:rsidRPr="00542969">
              <w:t>Section</w:t>
            </w:r>
          </w:p>
        </w:tc>
        <w:tc>
          <w:tcPr>
            <w:tcW w:w="1260" w:type="dxa"/>
            <w:tcBorders>
              <w:top w:val="double" w:sz="4" w:space="0" w:color="auto"/>
              <w:bottom w:val="double" w:sz="4" w:space="0" w:color="auto"/>
            </w:tcBorders>
            <w:vAlign w:val="center"/>
          </w:tcPr>
          <w:p w14:paraId="08F07AC5" w14:textId="77777777" w:rsidR="000D5978" w:rsidRPr="00542969" w:rsidRDefault="000D5978" w:rsidP="00A1597E">
            <w:pPr>
              <w:jc w:val="center"/>
            </w:pPr>
            <w:r w:rsidRPr="00542969">
              <w:t>Applicant</w:t>
            </w:r>
          </w:p>
          <w:p w14:paraId="0CA27EE8" w14:textId="77777777" w:rsidR="000D5978" w:rsidRPr="00542969" w:rsidRDefault="000D5978" w:rsidP="00A1597E">
            <w:pPr>
              <w:jc w:val="center"/>
            </w:pPr>
            <w:r w:rsidRPr="00542969">
              <w:t>Responses</w:t>
            </w:r>
          </w:p>
        </w:tc>
        <w:tc>
          <w:tcPr>
            <w:tcW w:w="1474" w:type="dxa"/>
            <w:tcBorders>
              <w:top w:val="double" w:sz="4" w:space="0" w:color="auto"/>
              <w:bottom w:val="double" w:sz="4" w:space="0" w:color="auto"/>
            </w:tcBorders>
            <w:vAlign w:val="center"/>
          </w:tcPr>
          <w:p w14:paraId="50EB4B9E" w14:textId="77777777" w:rsidR="000D5978" w:rsidRPr="00542969" w:rsidRDefault="000D5978" w:rsidP="00A1597E">
            <w:pPr>
              <w:jc w:val="center"/>
            </w:pPr>
            <w:r w:rsidRPr="00542969">
              <w:t>State</w:t>
            </w:r>
          </w:p>
          <w:p w14:paraId="6DC0D538" w14:textId="77777777" w:rsidR="000D5978" w:rsidRPr="00542969" w:rsidRDefault="000D5978" w:rsidP="00A1597E">
            <w:pPr>
              <w:jc w:val="center"/>
            </w:pPr>
            <w:r w:rsidRPr="00542969">
              <w:t>Responses</w:t>
            </w:r>
          </w:p>
        </w:tc>
        <w:tc>
          <w:tcPr>
            <w:tcW w:w="1461" w:type="dxa"/>
            <w:tcBorders>
              <w:top w:val="double" w:sz="4" w:space="0" w:color="auto"/>
              <w:bottom w:val="double" w:sz="4" w:space="0" w:color="auto"/>
            </w:tcBorders>
            <w:vAlign w:val="center"/>
          </w:tcPr>
          <w:p w14:paraId="19C0C9F8" w14:textId="77777777" w:rsidR="000D5978" w:rsidRPr="00542969" w:rsidRDefault="000D5978" w:rsidP="00A1597E">
            <w:pPr>
              <w:jc w:val="center"/>
            </w:pPr>
            <w:r w:rsidRPr="00542969">
              <w:t>Applicant</w:t>
            </w:r>
          </w:p>
          <w:p w14:paraId="1410F60E" w14:textId="77777777" w:rsidR="000D5978" w:rsidRPr="00542969" w:rsidRDefault="000D5978" w:rsidP="00A1597E">
            <w:pPr>
              <w:jc w:val="center"/>
            </w:pPr>
            <w:r w:rsidRPr="00542969">
              <w:t>Hours per Response</w:t>
            </w:r>
          </w:p>
        </w:tc>
        <w:tc>
          <w:tcPr>
            <w:tcW w:w="1455" w:type="dxa"/>
            <w:tcBorders>
              <w:top w:val="double" w:sz="4" w:space="0" w:color="auto"/>
              <w:bottom w:val="double" w:sz="4" w:space="0" w:color="auto"/>
            </w:tcBorders>
            <w:vAlign w:val="center"/>
          </w:tcPr>
          <w:p w14:paraId="69BC2B15" w14:textId="77777777" w:rsidR="000D5978" w:rsidRPr="00542969" w:rsidRDefault="000D5978" w:rsidP="00A1597E">
            <w:pPr>
              <w:jc w:val="center"/>
            </w:pPr>
            <w:r w:rsidRPr="00542969">
              <w:t>State Hours per Response</w:t>
            </w:r>
          </w:p>
        </w:tc>
        <w:tc>
          <w:tcPr>
            <w:tcW w:w="1388" w:type="dxa"/>
            <w:tcBorders>
              <w:top w:val="double" w:sz="4" w:space="0" w:color="auto"/>
              <w:bottom w:val="double" w:sz="4" w:space="0" w:color="auto"/>
            </w:tcBorders>
            <w:vAlign w:val="center"/>
          </w:tcPr>
          <w:p w14:paraId="72CDC714" w14:textId="77777777" w:rsidR="000D5978" w:rsidRPr="00542969" w:rsidRDefault="000D5978" w:rsidP="00A1597E">
            <w:pPr>
              <w:jc w:val="center"/>
            </w:pPr>
            <w:r w:rsidRPr="00542969">
              <w:t>Total Hours</w:t>
            </w:r>
          </w:p>
        </w:tc>
      </w:tr>
      <w:tr w:rsidR="000D5978" w:rsidRPr="00542969" w14:paraId="1526E37E" w14:textId="77777777" w:rsidTr="003A0219">
        <w:trPr>
          <w:trHeight w:val="720"/>
        </w:trPr>
        <w:tc>
          <w:tcPr>
            <w:tcW w:w="1710" w:type="dxa"/>
            <w:tcBorders>
              <w:top w:val="double" w:sz="4" w:space="0" w:color="auto"/>
              <w:bottom w:val="single" w:sz="4" w:space="0" w:color="auto"/>
            </w:tcBorders>
            <w:vAlign w:val="center"/>
          </w:tcPr>
          <w:p w14:paraId="53E0C1D5" w14:textId="77777777" w:rsidR="000D5978" w:rsidRPr="00AF6E41" w:rsidRDefault="000D5978" w:rsidP="003A0219">
            <w:pPr>
              <w:jc w:val="center"/>
            </w:pPr>
          </w:p>
          <w:p w14:paraId="7078E1D7" w14:textId="77777777" w:rsidR="000D5978" w:rsidRPr="00AF6E41" w:rsidRDefault="000D5978" w:rsidP="003A0219">
            <w:pPr>
              <w:jc w:val="center"/>
            </w:pPr>
            <w:r w:rsidRPr="00AF6E41">
              <w:t>773.14(b)</w:t>
            </w:r>
          </w:p>
        </w:tc>
        <w:tc>
          <w:tcPr>
            <w:tcW w:w="1260" w:type="dxa"/>
            <w:tcBorders>
              <w:top w:val="double" w:sz="4" w:space="0" w:color="auto"/>
              <w:bottom w:val="single" w:sz="4" w:space="0" w:color="auto"/>
            </w:tcBorders>
            <w:vAlign w:val="center"/>
          </w:tcPr>
          <w:p w14:paraId="687CF0A9" w14:textId="77777777" w:rsidR="000D5978" w:rsidRPr="00AF6E41" w:rsidRDefault="000D5978" w:rsidP="003A0219">
            <w:pPr>
              <w:jc w:val="center"/>
            </w:pPr>
          </w:p>
          <w:p w14:paraId="1C297177" w14:textId="77777777" w:rsidR="000D5978" w:rsidRPr="00AF6E41" w:rsidRDefault="000D5978" w:rsidP="003A0219">
            <w:pPr>
              <w:jc w:val="center"/>
            </w:pPr>
            <w:r w:rsidRPr="00AF6E41">
              <w:t>0</w:t>
            </w:r>
          </w:p>
        </w:tc>
        <w:tc>
          <w:tcPr>
            <w:tcW w:w="1474" w:type="dxa"/>
            <w:tcBorders>
              <w:top w:val="double" w:sz="4" w:space="0" w:color="auto"/>
              <w:bottom w:val="single" w:sz="4" w:space="0" w:color="auto"/>
            </w:tcBorders>
            <w:vAlign w:val="center"/>
          </w:tcPr>
          <w:p w14:paraId="7CF2B58C" w14:textId="77777777" w:rsidR="000D5978" w:rsidRPr="00AF6E41" w:rsidRDefault="000D5978" w:rsidP="003A0219">
            <w:pPr>
              <w:jc w:val="center"/>
            </w:pPr>
          </w:p>
          <w:p w14:paraId="062BBB77" w14:textId="0221534C" w:rsidR="000D5978" w:rsidRPr="00AF6E41" w:rsidRDefault="00FF1A89" w:rsidP="00FF1A89">
            <w:pPr>
              <w:jc w:val="center"/>
            </w:pPr>
            <w:r>
              <w:t>7</w:t>
            </w:r>
          </w:p>
        </w:tc>
        <w:tc>
          <w:tcPr>
            <w:tcW w:w="1461" w:type="dxa"/>
            <w:tcBorders>
              <w:top w:val="double" w:sz="4" w:space="0" w:color="auto"/>
              <w:bottom w:val="single" w:sz="4" w:space="0" w:color="auto"/>
            </w:tcBorders>
            <w:vAlign w:val="center"/>
          </w:tcPr>
          <w:p w14:paraId="56C38498" w14:textId="77777777" w:rsidR="000D5978" w:rsidRPr="00AF6E41" w:rsidRDefault="000D5978" w:rsidP="003A0219">
            <w:pPr>
              <w:jc w:val="center"/>
            </w:pPr>
          </w:p>
          <w:p w14:paraId="25C2962F" w14:textId="77777777" w:rsidR="000D5978" w:rsidRPr="00AF6E41" w:rsidRDefault="000D5978" w:rsidP="003A0219">
            <w:pPr>
              <w:jc w:val="center"/>
            </w:pPr>
            <w:r w:rsidRPr="00AF6E41">
              <w:t>0</w:t>
            </w:r>
          </w:p>
        </w:tc>
        <w:tc>
          <w:tcPr>
            <w:tcW w:w="1455" w:type="dxa"/>
            <w:tcBorders>
              <w:top w:val="double" w:sz="4" w:space="0" w:color="auto"/>
              <w:bottom w:val="single" w:sz="4" w:space="0" w:color="auto"/>
            </w:tcBorders>
            <w:vAlign w:val="center"/>
          </w:tcPr>
          <w:p w14:paraId="3508502F" w14:textId="77777777" w:rsidR="000D5978" w:rsidRPr="00AF6E41" w:rsidRDefault="000D5978" w:rsidP="003A0219">
            <w:pPr>
              <w:jc w:val="center"/>
            </w:pPr>
          </w:p>
          <w:p w14:paraId="1AF8DD04" w14:textId="77777777" w:rsidR="000D5978" w:rsidRPr="00AF6E41" w:rsidRDefault="000D5978" w:rsidP="003A0219">
            <w:pPr>
              <w:jc w:val="center"/>
            </w:pPr>
            <w:r w:rsidRPr="00AF6E41">
              <w:t>1</w:t>
            </w:r>
          </w:p>
        </w:tc>
        <w:tc>
          <w:tcPr>
            <w:tcW w:w="1388" w:type="dxa"/>
            <w:tcBorders>
              <w:top w:val="double" w:sz="4" w:space="0" w:color="auto"/>
              <w:bottom w:val="single" w:sz="4" w:space="0" w:color="auto"/>
            </w:tcBorders>
            <w:vAlign w:val="center"/>
          </w:tcPr>
          <w:p w14:paraId="58438FEF" w14:textId="77777777" w:rsidR="000D5978" w:rsidRPr="00AF6E41" w:rsidRDefault="000D5978" w:rsidP="003A0219">
            <w:pPr>
              <w:jc w:val="center"/>
            </w:pPr>
          </w:p>
          <w:p w14:paraId="32F5A77B" w14:textId="53853A1D" w:rsidR="000D5978" w:rsidRPr="00AF6E41" w:rsidRDefault="00FF1A89" w:rsidP="00FF1A89">
            <w:pPr>
              <w:jc w:val="center"/>
            </w:pPr>
            <w:r>
              <w:t>7</w:t>
            </w:r>
          </w:p>
        </w:tc>
      </w:tr>
      <w:tr w:rsidR="000D5978" w:rsidRPr="00542969" w14:paraId="59F39CE1" w14:textId="77777777" w:rsidTr="003A0219">
        <w:trPr>
          <w:trHeight w:val="720"/>
        </w:trPr>
        <w:tc>
          <w:tcPr>
            <w:tcW w:w="1710" w:type="dxa"/>
            <w:tcBorders>
              <w:top w:val="single" w:sz="4" w:space="0" w:color="auto"/>
              <w:bottom w:val="double" w:sz="4" w:space="0" w:color="auto"/>
            </w:tcBorders>
            <w:vAlign w:val="center"/>
          </w:tcPr>
          <w:p w14:paraId="0FF20908" w14:textId="77777777" w:rsidR="000D5978" w:rsidRPr="00AF6E41" w:rsidRDefault="000D5978" w:rsidP="003A0219">
            <w:pPr>
              <w:jc w:val="center"/>
            </w:pPr>
            <w:r w:rsidRPr="00AF6E41">
              <w:t>773.14(b)(1), (2), (3) and (4)</w:t>
            </w:r>
          </w:p>
        </w:tc>
        <w:tc>
          <w:tcPr>
            <w:tcW w:w="1260" w:type="dxa"/>
            <w:tcBorders>
              <w:top w:val="single" w:sz="4" w:space="0" w:color="auto"/>
              <w:bottom w:val="double" w:sz="4" w:space="0" w:color="auto"/>
            </w:tcBorders>
            <w:vAlign w:val="center"/>
          </w:tcPr>
          <w:p w14:paraId="53512A7B" w14:textId="77777777" w:rsidR="000D5978" w:rsidRPr="00AF6E41" w:rsidRDefault="000D5978" w:rsidP="003A0219">
            <w:pPr>
              <w:jc w:val="center"/>
            </w:pPr>
          </w:p>
          <w:p w14:paraId="6BD7A1D3" w14:textId="39134A85" w:rsidR="000D5978" w:rsidRPr="00AF6E41" w:rsidRDefault="00FF1A89" w:rsidP="00FF1A89">
            <w:pPr>
              <w:jc w:val="center"/>
            </w:pPr>
            <w:r>
              <w:t>7</w:t>
            </w:r>
          </w:p>
        </w:tc>
        <w:tc>
          <w:tcPr>
            <w:tcW w:w="1474" w:type="dxa"/>
            <w:tcBorders>
              <w:top w:val="single" w:sz="4" w:space="0" w:color="auto"/>
              <w:bottom w:val="double" w:sz="4" w:space="0" w:color="auto"/>
            </w:tcBorders>
            <w:vAlign w:val="center"/>
          </w:tcPr>
          <w:p w14:paraId="4A680022" w14:textId="77777777" w:rsidR="000D5978" w:rsidRPr="00AF6E41" w:rsidRDefault="000D5978" w:rsidP="003A0219">
            <w:pPr>
              <w:jc w:val="center"/>
            </w:pPr>
          </w:p>
          <w:p w14:paraId="12D9E229" w14:textId="77777777" w:rsidR="000D5978" w:rsidRPr="00AF6E41" w:rsidRDefault="000D5978" w:rsidP="003A0219">
            <w:pPr>
              <w:jc w:val="center"/>
            </w:pPr>
            <w:r w:rsidRPr="00AF6E41">
              <w:t>0</w:t>
            </w:r>
          </w:p>
        </w:tc>
        <w:tc>
          <w:tcPr>
            <w:tcW w:w="1461" w:type="dxa"/>
            <w:tcBorders>
              <w:top w:val="single" w:sz="4" w:space="0" w:color="auto"/>
              <w:bottom w:val="double" w:sz="4" w:space="0" w:color="auto"/>
            </w:tcBorders>
            <w:vAlign w:val="center"/>
          </w:tcPr>
          <w:p w14:paraId="4BC5EF26" w14:textId="77777777" w:rsidR="000D5978" w:rsidRPr="00AF6E41" w:rsidRDefault="000D5978" w:rsidP="003A0219">
            <w:pPr>
              <w:jc w:val="center"/>
            </w:pPr>
          </w:p>
          <w:p w14:paraId="03745DC0" w14:textId="77777777" w:rsidR="000D5978" w:rsidRPr="00AF6E41" w:rsidRDefault="000D5978" w:rsidP="003A0219">
            <w:pPr>
              <w:jc w:val="center"/>
            </w:pPr>
            <w:r w:rsidRPr="00AF6E41">
              <w:t>1</w:t>
            </w:r>
          </w:p>
        </w:tc>
        <w:tc>
          <w:tcPr>
            <w:tcW w:w="1455" w:type="dxa"/>
            <w:tcBorders>
              <w:top w:val="single" w:sz="4" w:space="0" w:color="auto"/>
              <w:bottom w:val="double" w:sz="4" w:space="0" w:color="auto"/>
            </w:tcBorders>
            <w:vAlign w:val="center"/>
          </w:tcPr>
          <w:p w14:paraId="223D332B" w14:textId="77777777" w:rsidR="000D5978" w:rsidRPr="00AF6E41" w:rsidRDefault="000D5978" w:rsidP="003A0219">
            <w:pPr>
              <w:jc w:val="center"/>
            </w:pPr>
          </w:p>
          <w:p w14:paraId="20E0B6BD" w14:textId="77777777" w:rsidR="000D5978" w:rsidRPr="00AF6E41" w:rsidRDefault="000D5978" w:rsidP="003A0219">
            <w:pPr>
              <w:jc w:val="center"/>
            </w:pPr>
            <w:r w:rsidRPr="00AF6E41">
              <w:t>0</w:t>
            </w:r>
          </w:p>
        </w:tc>
        <w:tc>
          <w:tcPr>
            <w:tcW w:w="1388" w:type="dxa"/>
            <w:tcBorders>
              <w:top w:val="single" w:sz="4" w:space="0" w:color="auto"/>
              <w:bottom w:val="double" w:sz="4" w:space="0" w:color="auto"/>
            </w:tcBorders>
            <w:vAlign w:val="center"/>
          </w:tcPr>
          <w:p w14:paraId="67CF3A63" w14:textId="77777777" w:rsidR="000D5978" w:rsidRPr="00AF6E41" w:rsidRDefault="000D5978" w:rsidP="003A0219">
            <w:pPr>
              <w:jc w:val="center"/>
            </w:pPr>
          </w:p>
          <w:p w14:paraId="13FFDDFB" w14:textId="341EB4F2" w:rsidR="000D5978" w:rsidRPr="00AF6E41" w:rsidRDefault="00FF1A89" w:rsidP="00FF1A89">
            <w:pPr>
              <w:jc w:val="center"/>
            </w:pPr>
            <w:r>
              <w:t>7</w:t>
            </w:r>
          </w:p>
        </w:tc>
      </w:tr>
      <w:tr w:rsidR="000D5978" w:rsidRPr="00542969" w14:paraId="6878FAF6" w14:textId="77777777" w:rsidTr="003A0219">
        <w:trPr>
          <w:trHeight w:val="432"/>
        </w:trPr>
        <w:tc>
          <w:tcPr>
            <w:tcW w:w="1710" w:type="dxa"/>
            <w:tcBorders>
              <w:top w:val="double" w:sz="4" w:space="0" w:color="auto"/>
            </w:tcBorders>
            <w:vAlign w:val="center"/>
          </w:tcPr>
          <w:p w14:paraId="71D65481" w14:textId="77777777" w:rsidR="000D5978" w:rsidRPr="00AF6E41" w:rsidRDefault="000D5978" w:rsidP="003A0219">
            <w:pPr>
              <w:jc w:val="center"/>
            </w:pPr>
            <w:r w:rsidRPr="00AF6E41">
              <w:t>TOTALS</w:t>
            </w:r>
          </w:p>
        </w:tc>
        <w:tc>
          <w:tcPr>
            <w:tcW w:w="1260" w:type="dxa"/>
            <w:tcBorders>
              <w:top w:val="double" w:sz="4" w:space="0" w:color="auto"/>
            </w:tcBorders>
            <w:vAlign w:val="center"/>
          </w:tcPr>
          <w:p w14:paraId="4674C0DD" w14:textId="77777777" w:rsidR="000D5978" w:rsidRPr="00AF6E41" w:rsidRDefault="000D5978" w:rsidP="003A0219">
            <w:pPr>
              <w:jc w:val="center"/>
            </w:pPr>
          </w:p>
        </w:tc>
        <w:tc>
          <w:tcPr>
            <w:tcW w:w="1474" w:type="dxa"/>
            <w:tcBorders>
              <w:top w:val="double" w:sz="4" w:space="0" w:color="auto"/>
            </w:tcBorders>
            <w:vAlign w:val="center"/>
          </w:tcPr>
          <w:p w14:paraId="0817BCA0" w14:textId="77777777" w:rsidR="000D5978" w:rsidRPr="00AF6E41" w:rsidRDefault="000D5978" w:rsidP="003A0219">
            <w:pPr>
              <w:jc w:val="center"/>
            </w:pPr>
          </w:p>
        </w:tc>
        <w:tc>
          <w:tcPr>
            <w:tcW w:w="1461" w:type="dxa"/>
            <w:tcBorders>
              <w:top w:val="double" w:sz="4" w:space="0" w:color="auto"/>
            </w:tcBorders>
            <w:vAlign w:val="center"/>
          </w:tcPr>
          <w:p w14:paraId="11ABED8A" w14:textId="77777777" w:rsidR="000D5978" w:rsidRPr="00AF6E41" w:rsidRDefault="000D5978" w:rsidP="003A0219">
            <w:pPr>
              <w:jc w:val="center"/>
            </w:pPr>
          </w:p>
        </w:tc>
        <w:tc>
          <w:tcPr>
            <w:tcW w:w="1455" w:type="dxa"/>
            <w:tcBorders>
              <w:top w:val="double" w:sz="4" w:space="0" w:color="auto"/>
            </w:tcBorders>
            <w:vAlign w:val="center"/>
          </w:tcPr>
          <w:p w14:paraId="0BC48F71" w14:textId="77777777" w:rsidR="000D5978" w:rsidRPr="00AF6E41" w:rsidRDefault="000D5978" w:rsidP="003A0219">
            <w:pPr>
              <w:jc w:val="center"/>
            </w:pPr>
          </w:p>
        </w:tc>
        <w:tc>
          <w:tcPr>
            <w:tcW w:w="1388" w:type="dxa"/>
            <w:tcBorders>
              <w:top w:val="double" w:sz="4" w:space="0" w:color="auto"/>
            </w:tcBorders>
            <w:vAlign w:val="center"/>
          </w:tcPr>
          <w:p w14:paraId="0EBFA065" w14:textId="19107F95" w:rsidR="000D5978" w:rsidRPr="00AF6E41" w:rsidRDefault="00FF1A89" w:rsidP="00FF1A89">
            <w:pPr>
              <w:jc w:val="center"/>
            </w:pPr>
            <w:r>
              <w:t>14</w:t>
            </w:r>
          </w:p>
        </w:tc>
      </w:tr>
    </w:tbl>
    <w:p w14:paraId="04409905" w14:textId="77777777" w:rsidR="00EA1438" w:rsidRPr="00542969" w:rsidRDefault="00EA1438" w:rsidP="00F8635A">
      <w:pPr>
        <w:ind w:left="360"/>
      </w:pPr>
    </w:p>
    <w:p w14:paraId="3D3B0CA3" w14:textId="499AEB94" w:rsidR="00F8635A" w:rsidRPr="00542969" w:rsidRDefault="00F8635A" w:rsidP="007F1740">
      <w:pPr>
        <w:ind w:left="720"/>
      </w:pPr>
      <w:r w:rsidRPr="00542969">
        <w:t xml:space="preserve">We estimate each </w:t>
      </w:r>
      <w:r w:rsidR="00FE49DD" w:rsidRPr="00542969">
        <w:t xml:space="preserve">applicant will require </w:t>
      </w:r>
      <w:r w:rsidRPr="00542969">
        <w:t>1 hour to prepare</w:t>
      </w:r>
      <w:r w:rsidR="00FE49DD" w:rsidRPr="00542969">
        <w:t xml:space="preserve"> </w:t>
      </w:r>
      <w:r w:rsidR="00F808AD" w:rsidRPr="00542969">
        <w:t>a</w:t>
      </w:r>
      <w:r w:rsidR="00FE49DD" w:rsidRPr="00542969">
        <w:t xml:space="preserve"> proof</w:t>
      </w:r>
      <w:r w:rsidRPr="00542969">
        <w:t xml:space="preserve">.  The estimated time to prepare </w:t>
      </w:r>
      <w:r w:rsidR="00F12469" w:rsidRPr="00542969">
        <w:t>a</w:t>
      </w:r>
      <w:r w:rsidRPr="00542969">
        <w:t xml:space="preserve"> proof is unchanged from </w:t>
      </w:r>
      <w:r w:rsidR="00F808AD" w:rsidRPr="00542969">
        <w:t>our</w:t>
      </w:r>
      <w:r w:rsidRPr="00542969">
        <w:t xml:space="preserve"> previous request. </w:t>
      </w:r>
      <w:r w:rsidR="00FE49DD" w:rsidRPr="00542969">
        <w:t xml:space="preserve"> The total burden for industry respon</w:t>
      </w:r>
      <w:r w:rsidR="0019795D" w:rsidRPr="00542969">
        <w:t xml:space="preserve">dents </w:t>
      </w:r>
      <w:r w:rsidR="008F6303">
        <w:t>for</w:t>
      </w:r>
      <w:r w:rsidR="0019795D" w:rsidRPr="00542969">
        <w:t xml:space="preserve"> </w:t>
      </w:r>
      <w:r w:rsidR="00E44E61">
        <w:t>§</w:t>
      </w:r>
      <w:r w:rsidR="0019795D" w:rsidRPr="00542969">
        <w:t xml:space="preserve">773.14 is </w:t>
      </w:r>
      <w:r w:rsidR="00FF1A89">
        <w:t>7</w:t>
      </w:r>
      <w:r w:rsidR="0019795D" w:rsidRPr="00542969">
        <w:t xml:space="preserve"> hours (</w:t>
      </w:r>
      <w:r w:rsidR="00FF1A89">
        <w:t>7</w:t>
      </w:r>
      <w:r w:rsidR="00FE49DD" w:rsidRPr="00542969">
        <w:t xml:space="preserve"> required proofs x 1 hour to prepare </w:t>
      </w:r>
      <w:r w:rsidR="00F808AD" w:rsidRPr="00542969">
        <w:t>a</w:t>
      </w:r>
      <w:r w:rsidR="00FE49DD" w:rsidRPr="00542969">
        <w:t xml:space="preserve"> proof).</w:t>
      </w:r>
    </w:p>
    <w:p w14:paraId="1D60AF6B" w14:textId="77777777" w:rsidR="00F8635A" w:rsidRPr="00542969" w:rsidRDefault="00F8635A" w:rsidP="00F8635A">
      <w:pPr>
        <w:ind w:left="360"/>
      </w:pPr>
    </w:p>
    <w:p w14:paraId="21366C6C" w14:textId="2F863C65" w:rsidR="00F8635A" w:rsidRPr="00542969" w:rsidRDefault="00F8635A" w:rsidP="007F1740">
      <w:pPr>
        <w:ind w:left="720"/>
      </w:pPr>
      <w:r w:rsidRPr="00542969">
        <w:t xml:space="preserve">We estimate </w:t>
      </w:r>
      <w:r w:rsidR="002653EC">
        <w:t>SRAs</w:t>
      </w:r>
      <w:r w:rsidRPr="00542969">
        <w:t xml:space="preserve"> will require 1 hour to review</w:t>
      </w:r>
      <w:r w:rsidR="0019795D" w:rsidRPr="00542969">
        <w:t xml:space="preserve"> each proof for the </w:t>
      </w:r>
      <w:r w:rsidR="00FF1A89">
        <w:t>7</w:t>
      </w:r>
      <w:r w:rsidRPr="00542969">
        <w:t xml:space="preserve"> applications in order to determine if an otherwise ineligible applicant </w:t>
      </w:r>
      <w:r w:rsidR="00F12469" w:rsidRPr="00542969">
        <w:t>should be considered</w:t>
      </w:r>
      <w:r w:rsidRPr="00542969">
        <w:t xml:space="preserve"> for a provisionally issued permit.  </w:t>
      </w:r>
      <w:r w:rsidR="00FE49DD" w:rsidRPr="00542969">
        <w:t>The total burden for State govern</w:t>
      </w:r>
      <w:r w:rsidR="0019795D" w:rsidRPr="00542969">
        <w:t xml:space="preserve">ments under </w:t>
      </w:r>
      <w:r w:rsidR="00E44E61">
        <w:t>§</w:t>
      </w:r>
      <w:r w:rsidR="0019795D" w:rsidRPr="00542969">
        <w:t xml:space="preserve">773.14 is </w:t>
      </w:r>
      <w:r w:rsidR="00FF1A89">
        <w:t>7</w:t>
      </w:r>
      <w:r w:rsidR="0019795D" w:rsidRPr="00542969">
        <w:t xml:space="preserve"> hours (</w:t>
      </w:r>
      <w:r w:rsidR="00FF1A89">
        <w:t>7</w:t>
      </w:r>
      <w:r w:rsidR="00FE49DD" w:rsidRPr="00542969">
        <w:t xml:space="preserve"> proofs x </w:t>
      </w:r>
      <w:r w:rsidR="00EB6FE1" w:rsidRPr="00542969">
        <w:t>1</w:t>
      </w:r>
      <w:r w:rsidR="00FE49DD" w:rsidRPr="00542969">
        <w:t xml:space="preserve"> hour to review each proof).</w:t>
      </w:r>
    </w:p>
    <w:p w14:paraId="3FEA28D3" w14:textId="77777777" w:rsidR="00F8635A" w:rsidRPr="00542969" w:rsidRDefault="00F8635A" w:rsidP="00F8635A">
      <w:pPr>
        <w:ind w:left="360"/>
      </w:pPr>
    </w:p>
    <w:p w14:paraId="152D0C55" w14:textId="577A2EAA" w:rsidR="00F8635A" w:rsidRPr="00542969" w:rsidRDefault="00F8635A" w:rsidP="007F1740">
      <w:pPr>
        <w:ind w:left="720"/>
      </w:pPr>
      <w:r w:rsidRPr="00542969">
        <w:t>Therefore, the total estimated</w:t>
      </w:r>
      <w:r w:rsidR="00FE49DD" w:rsidRPr="00542969">
        <w:t xml:space="preserve"> information collection </w:t>
      </w:r>
      <w:r w:rsidRPr="00542969">
        <w:t xml:space="preserve">burden hours for </w:t>
      </w:r>
      <w:r w:rsidR="00FE49DD" w:rsidRPr="00542969">
        <w:t xml:space="preserve">all </w:t>
      </w:r>
      <w:r w:rsidRPr="00542969">
        <w:t>responde</w:t>
      </w:r>
      <w:r w:rsidR="0019795D" w:rsidRPr="00542969">
        <w:t xml:space="preserve">nts under </w:t>
      </w:r>
      <w:r w:rsidR="00E44E61">
        <w:t>§</w:t>
      </w:r>
      <w:r w:rsidR="0019795D" w:rsidRPr="00542969">
        <w:t xml:space="preserve">773.14(b) is </w:t>
      </w:r>
      <w:r w:rsidR="00FF1A89">
        <w:t>14</w:t>
      </w:r>
      <w:r w:rsidR="0019795D" w:rsidRPr="00542969">
        <w:t xml:space="preserve"> hours [(</w:t>
      </w:r>
      <w:r w:rsidR="00FF1A89">
        <w:t>7</w:t>
      </w:r>
      <w:r w:rsidRPr="00542969">
        <w:t xml:space="preserve"> </w:t>
      </w:r>
      <w:r w:rsidR="00FE49DD" w:rsidRPr="00542969">
        <w:t>proofs</w:t>
      </w:r>
      <w:r w:rsidRPr="00542969">
        <w:t xml:space="preserve"> x 1 hour </w:t>
      </w:r>
      <w:r w:rsidR="00F808AD" w:rsidRPr="00542969">
        <w:t xml:space="preserve">per application </w:t>
      </w:r>
      <w:r w:rsidR="00FE49DD" w:rsidRPr="00542969">
        <w:t xml:space="preserve">to prepare </w:t>
      </w:r>
      <w:r w:rsidR="00F808AD" w:rsidRPr="00542969">
        <w:t>a</w:t>
      </w:r>
      <w:r w:rsidR="0019795D" w:rsidRPr="00542969">
        <w:t xml:space="preserve"> proof) + (</w:t>
      </w:r>
      <w:r w:rsidR="00FF1A89">
        <w:t>7</w:t>
      </w:r>
      <w:r w:rsidRPr="00542969">
        <w:t xml:space="preserve"> proofs x 1 hour </w:t>
      </w:r>
      <w:r w:rsidR="00F808AD" w:rsidRPr="00542969">
        <w:t xml:space="preserve">per application </w:t>
      </w:r>
      <w:r w:rsidR="00FE49DD" w:rsidRPr="00542969">
        <w:t>to</w:t>
      </w:r>
      <w:r w:rsidRPr="00542969">
        <w:t xml:space="preserve"> review</w:t>
      </w:r>
      <w:r w:rsidR="00FE49DD" w:rsidRPr="00542969">
        <w:t xml:space="preserve"> each proof</w:t>
      </w:r>
      <w:r w:rsidRPr="00542969">
        <w:t>)].</w:t>
      </w:r>
    </w:p>
    <w:p w14:paraId="7C3EDF02" w14:textId="77777777" w:rsidR="00F8635A" w:rsidRPr="00542969" w:rsidRDefault="00F8635A" w:rsidP="00F8635A">
      <w:pPr>
        <w:ind w:left="360"/>
      </w:pPr>
    </w:p>
    <w:p w14:paraId="12FE5088" w14:textId="77777777" w:rsidR="00F8635A" w:rsidRPr="00542969" w:rsidRDefault="00F8635A" w:rsidP="007F1740">
      <w:pPr>
        <w:numPr>
          <w:ilvl w:val="0"/>
          <w:numId w:val="31"/>
        </w:numPr>
      </w:pPr>
      <w:r w:rsidRPr="00542969">
        <w:rPr>
          <w:u w:val="single"/>
        </w:rPr>
        <w:t>Estimated Wage Cost to Respondents</w:t>
      </w:r>
    </w:p>
    <w:p w14:paraId="41642E2C" w14:textId="77777777" w:rsidR="00F8635A" w:rsidRPr="00542969" w:rsidRDefault="00F8635A" w:rsidP="00F8635A"/>
    <w:p w14:paraId="3B4C33BD" w14:textId="4BB8D6B6" w:rsidR="007F1740" w:rsidRPr="00542969" w:rsidRDefault="00F3663D" w:rsidP="007F1740">
      <w:pPr>
        <w:ind w:left="720"/>
      </w:pPr>
      <w:r>
        <w:t>OSMRE</w:t>
      </w:r>
      <w:r w:rsidR="007F1740" w:rsidRPr="00542969">
        <w:t xml:space="preserve"> estimates that each operations manager will include the proof of compliance into the permit application.  </w:t>
      </w:r>
      <w:r>
        <w:t>OSMRE</w:t>
      </w:r>
      <w:r w:rsidR="007F1740" w:rsidRPr="00542969">
        <w:t xml:space="preserve"> estimates that the </w:t>
      </w:r>
      <w:r w:rsidR="00EB6FE1" w:rsidRPr="00542969">
        <w:t xml:space="preserve">operations manager </w:t>
      </w:r>
      <w:r w:rsidR="007F1740" w:rsidRPr="00542969">
        <w:t xml:space="preserve">will earn a wage </w:t>
      </w:r>
      <w:r w:rsidR="007F1740" w:rsidRPr="00E4748D">
        <w:t>of $</w:t>
      </w:r>
      <w:r w:rsidR="00FF1A89">
        <w:t>60.01</w:t>
      </w:r>
      <w:r w:rsidR="007F1740" w:rsidRPr="00E4748D">
        <w:t xml:space="preserve"> per hour based on Bureau of Labor Statistics (BLS) estimates found at </w:t>
      </w:r>
      <w:hyperlink r:id="rId14" w:anchor="11-0000" w:history="1">
        <w:r w:rsidR="00E4748D" w:rsidRPr="00E4748D">
          <w:rPr>
            <w:rStyle w:val="Hyperlink"/>
          </w:rPr>
          <w:t>http://www.bls.gov/oes/current/naics4_212100.htm#11-0000</w:t>
        </w:r>
      </w:hyperlink>
      <w:r w:rsidR="00E4748D" w:rsidRPr="00E4748D">
        <w:t xml:space="preserve">.  </w:t>
      </w:r>
      <w:r w:rsidR="007F1740" w:rsidRPr="00E4748D">
        <w:t>Assuming benefits of 1.4 of the salary according to the BLS news release, industry wage cost per application is $</w:t>
      </w:r>
      <w:r w:rsidR="00FF1A89">
        <w:t>84.01</w:t>
      </w:r>
      <w:r w:rsidR="007F1740" w:rsidRPr="00E4748D">
        <w:t>, and the cost to all of industry is $</w:t>
      </w:r>
      <w:r w:rsidR="00FF1A89">
        <w:t>588</w:t>
      </w:r>
      <w:r w:rsidR="007F1740" w:rsidRPr="00E4748D">
        <w:t xml:space="preserve"> (</w:t>
      </w:r>
      <w:r w:rsidR="00FF1A89">
        <w:t>7</w:t>
      </w:r>
      <w:r w:rsidR="007F1740" w:rsidRPr="00E4748D">
        <w:t xml:space="preserve"> applications x $</w:t>
      </w:r>
      <w:r w:rsidR="00FF1A89">
        <w:t>84.01</w:t>
      </w:r>
      <w:r w:rsidR="007F1740" w:rsidRPr="00E4748D">
        <w:t>).</w:t>
      </w:r>
    </w:p>
    <w:p w14:paraId="7569A6C2" w14:textId="77777777" w:rsidR="007F1740" w:rsidRPr="00542969" w:rsidRDefault="007F1740" w:rsidP="007F1740">
      <w:pPr>
        <w:pStyle w:val="BodyTextIndent"/>
        <w:ind w:left="720"/>
      </w:pPr>
    </w:p>
    <w:p w14:paraId="712F5D28" w14:textId="355308D3" w:rsidR="007F1740" w:rsidRPr="00025B28" w:rsidRDefault="007F1740" w:rsidP="007F1740">
      <w:pPr>
        <w:ind w:left="720"/>
      </w:pPr>
      <w:r w:rsidRPr="00542969">
        <w:t xml:space="preserve">In addition, the State employee who reviews this portion of the application would have the equivalent salary of an engineering technician </w:t>
      </w:r>
      <w:r w:rsidRPr="00025B28">
        <w:t>at</w:t>
      </w:r>
      <w:r w:rsidR="007701F2" w:rsidRPr="00025B28">
        <w:t xml:space="preserve"> $</w:t>
      </w:r>
      <w:r w:rsidR="00FF1A89">
        <w:t>23.26</w:t>
      </w:r>
      <w:r w:rsidR="007701F2" w:rsidRPr="00025B28">
        <w:t xml:space="preserve"> per hour, or $</w:t>
      </w:r>
      <w:r w:rsidR="00FF1A89">
        <w:t>37.22</w:t>
      </w:r>
      <w:r w:rsidR="007701F2" w:rsidRPr="00025B28">
        <w:t xml:space="preserve"> per hour including benefits of 1.</w:t>
      </w:r>
      <w:r w:rsidR="00FF1A89">
        <w:t>6</w:t>
      </w:r>
      <w:r w:rsidR="007701F2" w:rsidRPr="00025B28">
        <w:t xml:space="preserve"> of salary (derived from Bureau of Labor Statistics and the BLS news release referenced above, for State government employees).  The estimated wage cost to review all proofs for applications is $</w:t>
      </w:r>
      <w:r w:rsidR="00FF1A89">
        <w:t>261</w:t>
      </w:r>
      <w:r w:rsidR="007701F2" w:rsidRPr="00025B28">
        <w:t xml:space="preserve"> ($</w:t>
      </w:r>
      <w:r w:rsidR="00FF1A89">
        <w:t>37.22</w:t>
      </w:r>
      <w:r w:rsidR="007701F2" w:rsidRPr="00025B28">
        <w:t xml:space="preserve"> x 1 hour x </w:t>
      </w:r>
      <w:r w:rsidR="00FF1A89">
        <w:t>7</w:t>
      </w:r>
      <w:r w:rsidR="007701F2" w:rsidRPr="00025B28">
        <w:t xml:space="preserve"> proofs reviewed)</w:t>
      </w:r>
      <w:r w:rsidR="00A34A70" w:rsidRPr="00025B28">
        <w:t>.</w:t>
      </w:r>
      <w:r w:rsidRPr="00025B28">
        <w:t xml:space="preserve"> </w:t>
      </w:r>
    </w:p>
    <w:p w14:paraId="4115AAF6" w14:textId="77777777" w:rsidR="007F1740" w:rsidRPr="00025B28" w:rsidRDefault="007F1740" w:rsidP="007F1740">
      <w:pPr>
        <w:ind w:left="720"/>
      </w:pPr>
    </w:p>
    <w:p w14:paraId="774C7AB4" w14:textId="22D35CBB" w:rsidR="007F1740" w:rsidRPr="00542969" w:rsidRDefault="007F1740" w:rsidP="007F1740">
      <w:pPr>
        <w:ind w:left="720"/>
      </w:pPr>
      <w:r w:rsidRPr="00025B28">
        <w:t>Therefore, the total cost to all respondents is $</w:t>
      </w:r>
      <w:r w:rsidR="00FF1A89">
        <w:t>849</w:t>
      </w:r>
      <w:r w:rsidRPr="00025B28">
        <w:t xml:space="preserve"> ($</w:t>
      </w:r>
      <w:r w:rsidR="00FF1A89">
        <w:t>588</w:t>
      </w:r>
      <w:r w:rsidRPr="00025B28">
        <w:t xml:space="preserve"> for industry + $</w:t>
      </w:r>
      <w:r w:rsidR="00FF1A89">
        <w:t>261</w:t>
      </w:r>
      <w:r w:rsidRPr="00025B28">
        <w:t xml:space="preserve"> for States).</w:t>
      </w:r>
    </w:p>
    <w:p w14:paraId="4C0C3557" w14:textId="77777777" w:rsidR="00F8635A" w:rsidRPr="00542969" w:rsidRDefault="00F8635A" w:rsidP="00F8635A"/>
    <w:p w14:paraId="0B671E74" w14:textId="77777777" w:rsidR="00F8635A" w:rsidRPr="00542969" w:rsidRDefault="00F8635A" w:rsidP="00A81CBC">
      <w:pPr>
        <w:ind w:left="720" w:hanging="720"/>
      </w:pPr>
      <w:r w:rsidRPr="00542969">
        <w:t>13.</w:t>
      </w:r>
      <w:r w:rsidR="00A81CBC" w:rsidRPr="00542969">
        <w:tab/>
      </w:r>
      <w:r w:rsidRPr="00542969">
        <w:rPr>
          <w:u w:val="single"/>
        </w:rPr>
        <w:t>Total Annual Non-Wage Cost Burden to Respondents</w:t>
      </w:r>
    </w:p>
    <w:p w14:paraId="0E08056F" w14:textId="77777777" w:rsidR="00F8635A" w:rsidRPr="00542969" w:rsidRDefault="00F8635A" w:rsidP="00F8635A"/>
    <w:p w14:paraId="64C53D20" w14:textId="77777777" w:rsidR="00F8635A" w:rsidRPr="00542969" w:rsidRDefault="00F8635A" w:rsidP="00A81CBC">
      <w:pPr>
        <w:numPr>
          <w:ilvl w:val="0"/>
          <w:numId w:val="32"/>
        </w:numPr>
        <w:ind w:left="1440" w:hanging="720"/>
      </w:pPr>
      <w:r w:rsidRPr="00542969">
        <w:rPr>
          <w:u w:val="single"/>
        </w:rPr>
        <w:t>Annual Capital and Start-up Costs</w:t>
      </w:r>
    </w:p>
    <w:p w14:paraId="7DC6F19A" w14:textId="77777777" w:rsidR="00F8635A" w:rsidRPr="00542969" w:rsidRDefault="00F8635A" w:rsidP="00F8635A"/>
    <w:p w14:paraId="542FA03F" w14:textId="77777777" w:rsidR="00F8635A" w:rsidRPr="00542969" w:rsidRDefault="00F8635A" w:rsidP="00A81CBC">
      <w:pPr>
        <w:pStyle w:val="BodyTextIndent"/>
        <w:ind w:left="720"/>
      </w:pPr>
      <w:r w:rsidRPr="00542969">
        <w:t xml:space="preserve">The information collection requirements of </w:t>
      </w:r>
      <w:r w:rsidR="00E44E61">
        <w:t>§</w:t>
      </w:r>
      <w:r w:rsidRPr="00542969">
        <w:t>773.14(b) do not involve any capital or start-up costs apart from expenditures associated with customary business practices.</w:t>
      </w:r>
    </w:p>
    <w:p w14:paraId="4223821B" w14:textId="77777777" w:rsidR="00F8635A" w:rsidRPr="00542969" w:rsidRDefault="00F8635A" w:rsidP="00F8635A"/>
    <w:p w14:paraId="67430AE4" w14:textId="77777777" w:rsidR="00F8635A" w:rsidRPr="00542969" w:rsidRDefault="00F8635A" w:rsidP="00A81CBC">
      <w:pPr>
        <w:numPr>
          <w:ilvl w:val="0"/>
          <w:numId w:val="32"/>
        </w:numPr>
      </w:pPr>
      <w:r w:rsidRPr="00542969">
        <w:rPr>
          <w:u w:val="single"/>
        </w:rPr>
        <w:t>Operation and Maintenance Costs</w:t>
      </w:r>
    </w:p>
    <w:p w14:paraId="1205B8CE" w14:textId="77777777" w:rsidR="00F8635A" w:rsidRPr="00542969" w:rsidRDefault="00F8635A" w:rsidP="00F8635A"/>
    <w:p w14:paraId="008F6080" w14:textId="77777777" w:rsidR="00F8635A" w:rsidRPr="00542969" w:rsidRDefault="00F8635A" w:rsidP="00A81CBC">
      <w:pPr>
        <w:ind w:left="720"/>
      </w:pPr>
      <w:r w:rsidRPr="00542969">
        <w:t>There are no significant or distinct non-wage operation</w:t>
      </w:r>
      <w:r w:rsidR="00F4685E">
        <w:t>s</w:t>
      </w:r>
      <w:r w:rsidRPr="00542969">
        <w:t xml:space="preserve"> or maintenance costs associated with compliance with the information collection requirements for this section.</w:t>
      </w:r>
    </w:p>
    <w:p w14:paraId="1775C1AE" w14:textId="77777777" w:rsidR="00F8635A" w:rsidRPr="00542969" w:rsidRDefault="00F8635A" w:rsidP="00F8635A">
      <w:pPr>
        <w:tabs>
          <w:tab w:val="left" w:pos="2655"/>
        </w:tabs>
      </w:pPr>
      <w:r w:rsidRPr="00542969">
        <w:tab/>
      </w:r>
    </w:p>
    <w:p w14:paraId="1B93E603" w14:textId="77777777" w:rsidR="00F8635A" w:rsidRPr="00542969" w:rsidRDefault="00F8635A" w:rsidP="0053788D">
      <w:pPr>
        <w:ind w:left="720" w:hanging="720"/>
      </w:pPr>
      <w:r w:rsidRPr="00542969">
        <w:t>14.</w:t>
      </w:r>
      <w:r w:rsidR="0053788D" w:rsidRPr="00542969">
        <w:tab/>
      </w:r>
      <w:r w:rsidRPr="00542969">
        <w:rPr>
          <w:u w:val="single"/>
        </w:rPr>
        <w:t>Estimate of Cost to the Federal Government</w:t>
      </w:r>
    </w:p>
    <w:p w14:paraId="13EBD01B" w14:textId="77777777" w:rsidR="00F8635A" w:rsidRPr="00542969" w:rsidRDefault="00F8635A" w:rsidP="00F8635A"/>
    <w:p w14:paraId="589B50D2" w14:textId="77777777" w:rsidR="00F8635A" w:rsidRPr="00542969" w:rsidRDefault="00F8635A" w:rsidP="0053788D">
      <w:pPr>
        <w:pStyle w:val="BodyTextIndent"/>
        <w:ind w:lef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compliance with </w:t>
      </w:r>
      <w:r w:rsidR="00E44E61">
        <w:t>§</w:t>
      </w:r>
      <w:r w:rsidRPr="00542969">
        <w:t xml:space="preserve">773.14(b) in the absence of indication of problems.  </w:t>
      </w:r>
      <w:r w:rsidR="00F3663D">
        <w:t>OSMRE</w:t>
      </w:r>
      <w:r w:rsidRPr="00542969">
        <w:t xml:space="preserve"> estimates it will conduct an oversight review of </w:t>
      </w:r>
      <w:r w:rsidR="00E44E61">
        <w:t>§</w:t>
      </w:r>
      <w:r w:rsidRPr="00542969">
        <w:t xml:space="preserve">773.14(b) in one State per year and that the review will consist </w:t>
      </w:r>
      <w:r w:rsidR="00EC2C24">
        <w:t>of 1</w:t>
      </w:r>
      <w:r w:rsidRPr="00542969">
        <w:t xml:space="preserve"> proof for provisionally issued permits</w:t>
      </w:r>
      <w:r w:rsidR="0070074A">
        <w:t xml:space="preserve"> in that State</w:t>
      </w:r>
      <w:r w:rsidRPr="00542969">
        <w:t xml:space="preserve">.  The estimated number of proofs subject to oversight is unchanged from </w:t>
      </w:r>
      <w:r w:rsidR="00F808AD" w:rsidRPr="00542969">
        <w:t>our</w:t>
      </w:r>
      <w:r w:rsidRPr="00542969">
        <w:t xml:space="preserve"> previous request.  </w:t>
      </w:r>
      <w:r w:rsidR="00F3663D">
        <w:t>OSMRE</w:t>
      </w:r>
      <w:r w:rsidRPr="00542969">
        <w:t xml:space="preserve"> estimates the oversight review will require 1 hour.  This estimate is </w:t>
      </w:r>
      <w:r w:rsidR="00F808AD" w:rsidRPr="00542969">
        <w:t xml:space="preserve">of time </w:t>
      </w:r>
      <w:r w:rsidRPr="00542969">
        <w:t xml:space="preserve">unchanged from </w:t>
      </w:r>
      <w:r w:rsidR="00F12469" w:rsidRPr="00542969">
        <w:t>our</w:t>
      </w:r>
      <w:r w:rsidRPr="00542969">
        <w:t xml:space="preserve"> previous request for information collection approval for </w:t>
      </w:r>
      <w:r w:rsidR="00E44E61">
        <w:t>§</w:t>
      </w:r>
      <w:r w:rsidRPr="00542969">
        <w:t xml:space="preserve">773.14(b).  </w:t>
      </w:r>
    </w:p>
    <w:p w14:paraId="5978628A" w14:textId="77777777" w:rsidR="00F8635A" w:rsidRPr="00542969" w:rsidRDefault="00F8635A" w:rsidP="00F8635A">
      <w:pPr>
        <w:pStyle w:val="BodyTextIndent"/>
      </w:pPr>
    </w:p>
    <w:p w14:paraId="7A692CFC" w14:textId="63254D38" w:rsidR="0053788D" w:rsidRPr="00542969" w:rsidRDefault="007701F2" w:rsidP="007701F2">
      <w:pPr>
        <w:ind w:left="720"/>
      </w:pPr>
      <w:r w:rsidRPr="00542969">
        <w:t xml:space="preserve">A GS-13, step 5 environmental scientist with a salary </w:t>
      </w:r>
      <w:r w:rsidRPr="00025B28">
        <w:t>of $</w:t>
      </w:r>
      <w:r w:rsidR="00FF1A89">
        <w:t>47.38</w:t>
      </w:r>
      <w:r w:rsidRPr="00025B28">
        <w:t xml:space="preserve"> per</w:t>
      </w:r>
      <w:r w:rsidRPr="00542969">
        <w:t xml:space="preserve"> hour, plu</w:t>
      </w:r>
      <w:r>
        <w:t>s the 1.</w:t>
      </w:r>
      <w:r w:rsidR="00FF1A89">
        <w:t>6</w:t>
      </w:r>
      <w:r w:rsidRPr="00542969">
        <w:t xml:space="preserve"> multiplier for benefits</w:t>
      </w:r>
      <w:r w:rsidRPr="00476D21">
        <w:t xml:space="preserve"> </w:t>
      </w:r>
      <w:r w:rsidR="00025B28" w:rsidRPr="00025B28">
        <w:t>BLS news release referenced above</w:t>
      </w:r>
      <w:r w:rsidRPr="00542969">
        <w:t xml:space="preserve">, </w:t>
      </w:r>
      <w:r w:rsidRPr="00025B28">
        <w:t>would require $</w:t>
      </w:r>
      <w:r w:rsidR="00FF1A89">
        <w:t>75.81</w:t>
      </w:r>
      <w:r w:rsidRPr="00025B28">
        <w:t xml:space="preserve"> per hour.  </w:t>
      </w:r>
      <w:r w:rsidR="0053788D" w:rsidRPr="00025B28">
        <w:t>Therefore, the annual cost to the Federal government for oversight is $</w:t>
      </w:r>
      <w:r w:rsidR="00FF1A89">
        <w:t>76</w:t>
      </w:r>
      <w:r w:rsidR="0053788D" w:rsidRPr="00025B28">
        <w:t xml:space="preserve"> ($</w:t>
      </w:r>
      <w:r w:rsidR="00FF1A89">
        <w:t>75.81</w:t>
      </w:r>
      <w:r w:rsidR="00025B28" w:rsidRPr="00025B28">
        <w:t xml:space="preserve"> x</w:t>
      </w:r>
      <w:r w:rsidR="0053788D" w:rsidRPr="00025B28">
        <w:t xml:space="preserve"> 1 hour).</w:t>
      </w:r>
      <w:r w:rsidR="0053788D" w:rsidRPr="00542969">
        <w:t xml:space="preserve"> </w:t>
      </w:r>
    </w:p>
    <w:p w14:paraId="2FEFAC1F" w14:textId="77777777" w:rsidR="00F8635A" w:rsidRPr="00542969" w:rsidRDefault="00F8635A" w:rsidP="00F8635A">
      <w:pPr>
        <w:ind w:left="360"/>
      </w:pPr>
    </w:p>
    <w:p w14:paraId="18AADC62" w14:textId="59ABFEF5" w:rsidR="0053788D" w:rsidRPr="00542969" w:rsidRDefault="00F8635A" w:rsidP="0053788D">
      <w:pPr>
        <w:ind w:left="720"/>
      </w:pPr>
      <w:r w:rsidRPr="00542969">
        <w:rPr>
          <w:u w:val="single"/>
        </w:rPr>
        <w:t>Federal Programs</w:t>
      </w:r>
      <w:r w:rsidRPr="00542969">
        <w:t xml:space="preserve">.  </w:t>
      </w:r>
      <w:r w:rsidR="00F3663D">
        <w:t>OSMRE</w:t>
      </w:r>
      <w:r w:rsidRPr="00542969">
        <w:t xml:space="preserve"> esti</w:t>
      </w:r>
      <w:r w:rsidR="0053788D" w:rsidRPr="00542969">
        <w:t xml:space="preserve">mates that of the </w:t>
      </w:r>
      <w:r w:rsidR="0053788D" w:rsidRPr="00025B28">
        <w:t>estimated</w:t>
      </w:r>
      <w:r w:rsidR="00ED3063" w:rsidRPr="00025B28">
        <w:t xml:space="preserve"> </w:t>
      </w:r>
      <w:r w:rsidR="00534B87" w:rsidRPr="00025B28">
        <w:t>1</w:t>
      </w:r>
      <w:r w:rsidRPr="00025B28">
        <w:t xml:space="preserve"> applica</w:t>
      </w:r>
      <w:r w:rsidR="00534B87" w:rsidRPr="00025B28">
        <w:t>tion</w:t>
      </w:r>
      <w:r w:rsidRPr="00025B28">
        <w:t xml:space="preserve"> for Federal permits, 1 applicant will be required to submit </w:t>
      </w:r>
      <w:r w:rsidR="00F12469" w:rsidRPr="00025B28">
        <w:t xml:space="preserve">a </w:t>
      </w:r>
      <w:r w:rsidRPr="00025B28">
        <w:t xml:space="preserve">proof under </w:t>
      </w:r>
      <w:r w:rsidR="00E44E61" w:rsidRPr="00025B28">
        <w:t>§</w:t>
      </w:r>
      <w:r w:rsidRPr="00025B28">
        <w:t xml:space="preserve">773.14(b) in order to be </w:t>
      </w:r>
      <w:r w:rsidR="00F808AD" w:rsidRPr="00025B28">
        <w:t xml:space="preserve">considered for </w:t>
      </w:r>
      <w:r w:rsidRPr="00025B28">
        <w:t xml:space="preserve">a provisionally issued permit.  We estimate </w:t>
      </w:r>
      <w:r w:rsidR="00F3663D" w:rsidRPr="00025B28">
        <w:t>OSMRE</w:t>
      </w:r>
      <w:r w:rsidRPr="00025B28">
        <w:t xml:space="preserve"> will require 1 hour to review the proof.  </w:t>
      </w:r>
      <w:r w:rsidR="0053788D" w:rsidRPr="00025B28">
        <w:t>At an average salary of $</w:t>
      </w:r>
      <w:r w:rsidR="00FF1A89">
        <w:t>75.81</w:t>
      </w:r>
      <w:r w:rsidR="0053788D" w:rsidRPr="00025B28">
        <w:t xml:space="preserve"> per hour with benefits as described above, the estimated annual wage cost to the Federal</w:t>
      </w:r>
      <w:r w:rsidR="0053788D" w:rsidRPr="00542969">
        <w:t xml:space="preserve"> government where </w:t>
      </w:r>
      <w:r w:rsidR="00F3663D">
        <w:t>OSMRE</w:t>
      </w:r>
      <w:r w:rsidR="0053788D" w:rsidRPr="00542969">
        <w:t xml:space="preserve"> is the regulatory authority </w:t>
      </w:r>
      <w:r w:rsidR="0053788D" w:rsidRPr="00025B28">
        <w:t>will be $</w:t>
      </w:r>
      <w:r w:rsidR="00FF1A89">
        <w:t>76</w:t>
      </w:r>
      <w:r w:rsidR="0053788D" w:rsidRPr="00025B28">
        <w:t>.</w:t>
      </w:r>
    </w:p>
    <w:p w14:paraId="6DD55B23" w14:textId="77777777" w:rsidR="0053788D" w:rsidRPr="00542969" w:rsidRDefault="0053788D" w:rsidP="0053788D"/>
    <w:p w14:paraId="2D164F1E" w14:textId="31F3C50A" w:rsidR="00F8635A" w:rsidRPr="00542969" w:rsidRDefault="00F8635A" w:rsidP="0053788D">
      <w:pPr>
        <w:ind w:left="720"/>
      </w:pPr>
      <w:r w:rsidRPr="00542969">
        <w:t xml:space="preserve">Therefore, the total cost to the Federal Government </w:t>
      </w:r>
      <w:r w:rsidR="00AE0547">
        <w:t>for</w:t>
      </w:r>
      <w:r w:rsidRPr="00542969">
        <w:t xml:space="preserve"> </w:t>
      </w:r>
      <w:r w:rsidR="00E44E61">
        <w:t>§</w:t>
      </w:r>
      <w:r w:rsidRPr="00542969">
        <w:t>7</w:t>
      </w:r>
      <w:r w:rsidR="00F808AD" w:rsidRPr="00542969">
        <w:t xml:space="preserve">73.14(b) is estimated to be </w:t>
      </w:r>
      <w:r w:rsidR="00F808AD" w:rsidRPr="00025B28">
        <w:t>$</w:t>
      </w:r>
      <w:r w:rsidR="005C775E">
        <w:t>152</w:t>
      </w:r>
      <w:r w:rsidR="00F808AD" w:rsidRPr="00025B28">
        <w:t xml:space="preserve"> ($</w:t>
      </w:r>
      <w:r w:rsidR="005C775E">
        <w:t>76</w:t>
      </w:r>
      <w:r w:rsidRPr="00025B28">
        <w:t xml:space="preserve"> for oversight + $</w:t>
      </w:r>
      <w:r w:rsidR="005C775E">
        <w:t>76</w:t>
      </w:r>
      <w:r w:rsidRPr="00025B28">
        <w:t xml:space="preserve"> for Federal programs</w:t>
      </w:r>
      <w:r w:rsidRPr="00542969">
        <w:t>).</w:t>
      </w:r>
    </w:p>
    <w:p w14:paraId="4BE6000C" w14:textId="77777777" w:rsidR="00F8635A" w:rsidRPr="00542969" w:rsidRDefault="00F8635A" w:rsidP="00F8635A">
      <w:pPr>
        <w:pStyle w:val="BodyTextIndent"/>
        <w:ind w:left="0"/>
      </w:pPr>
    </w:p>
    <w:p w14:paraId="519CB782" w14:textId="77777777" w:rsidR="00F8635A" w:rsidRPr="00542969" w:rsidRDefault="00F8635A" w:rsidP="0053788D">
      <w:pPr>
        <w:ind w:left="720" w:hanging="720"/>
      </w:pPr>
      <w:r w:rsidRPr="00542969">
        <w:t>15.</w:t>
      </w:r>
      <w:r w:rsidR="0053788D" w:rsidRPr="00542969">
        <w:tab/>
      </w:r>
      <w:r w:rsidRPr="00542969">
        <w:t>The estimated change in burden hours for respondents is shown below.</w:t>
      </w:r>
    </w:p>
    <w:p w14:paraId="0438C654" w14:textId="77777777" w:rsidR="00F8635A" w:rsidRPr="00542969" w:rsidRDefault="00F8635A" w:rsidP="00F8635A">
      <w:pPr>
        <w:ind w:left="720"/>
      </w:pPr>
    </w:p>
    <w:p w14:paraId="111D3EAA" w14:textId="6FDAE347" w:rsidR="00F8635A" w:rsidRPr="00542969" w:rsidRDefault="005C775E" w:rsidP="0053788D">
      <w:pPr>
        <w:ind w:left="1080"/>
      </w:pPr>
      <w:r>
        <w:t>22</w:t>
      </w:r>
      <w:r w:rsidR="00F8635A" w:rsidRPr="00542969">
        <w:t xml:space="preserve"> hours currently approved</w:t>
      </w:r>
    </w:p>
    <w:p w14:paraId="29F9B170" w14:textId="3B4E020B" w:rsidR="00F8635A" w:rsidRPr="00542969" w:rsidRDefault="00AE0547" w:rsidP="0053788D">
      <w:pPr>
        <w:ind w:left="1080" w:hanging="360"/>
      </w:pPr>
      <w:r>
        <w:rPr>
          <w:u w:val="single"/>
        </w:rPr>
        <w:t>-</w:t>
      </w:r>
      <w:r w:rsidR="0053788D" w:rsidRPr="00542969">
        <w:rPr>
          <w:u w:val="single"/>
        </w:rPr>
        <w:tab/>
      </w:r>
      <w:r w:rsidR="005C775E">
        <w:rPr>
          <w:u w:val="single"/>
        </w:rPr>
        <w:t xml:space="preserve">  8</w:t>
      </w:r>
      <w:r w:rsidR="00F8635A" w:rsidRPr="00542969">
        <w:t xml:space="preserve"> hour</w:t>
      </w:r>
      <w:r w:rsidR="00EA2104" w:rsidRPr="00542969">
        <w:t>s</w:t>
      </w:r>
      <w:r w:rsidR="009E2C43" w:rsidRPr="00542969">
        <w:t xml:space="preserve"> due to an </w:t>
      </w:r>
      <w:r w:rsidR="001309AC" w:rsidRPr="00542969">
        <w:t xml:space="preserve">estimated </w:t>
      </w:r>
      <w:r w:rsidR="00C8504A">
        <w:t>decrease</w:t>
      </w:r>
      <w:r w:rsidR="009E2C43" w:rsidRPr="00542969">
        <w:t xml:space="preserve"> in use </w:t>
      </w:r>
      <w:r w:rsidR="0053788D" w:rsidRPr="00542969">
        <w:t>as an adjustment</w:t>
      </w:r>
    </w:p>
    <w:p w14:paraId="6B18D992" w14:textId="3AB14586" w:rsidR="00F8635A" w:rsidRPr="00542969" w:rsidRDefault="005C775E" w:rsidP="0053788D">
      <w:pPr>
        <w:ind w:left="1080"/>
      </w:pPr>
      <w:r>
        <w:t>14</w:t>
      </w:r>
      <w:r w:rsidR="00BA2364" w:rsidRPr="00542969">
        <w:t xml:space="preserve"> hours requested</w:t>
      </w:r>
    </w:p>
    <w:p w14:paraId="335FA59C" w14:textId="77777777" w:rsidR="00025B28" w:rsidRDefault="00025B28" w:rsidP="00025B28">
      <w:pPr>
        <w:tabs>
          <w:tab w:val="left" w:pos="1080"/>
        </w:tabs>
        <w:ind w:left="720" w:hanging="720"/>
      </w:pPr>
    </w:p>
    <w:p w14:paraId="776116FA" w14:textId="77777777" w:rsidR="00025B28" w:rsidRPr="00542969" w:rsidRDefault="00025B28" w:rsidP="00025B28">
      <w:pPr>
        <w:tabs>
          <w:tab w:val="left" w:pos="1080"/>
        </w:tabs>
        <w:ind w:left="720" w:hanging="720"/>
      </w:pPr>
      <w:r>
        <w:tab/>
        <w:t>There are no non-wage costs associated with this section.</w:t>
      </w:r>
    </w:p>
    <w:p w14:paraId="62BB75B2" w14:textId="77777777" w:rsidR="00F8635A" w:rsidRPr="00542969" w:rsidRDefault="00F8635A" w:rsidP="00F8635A"/>
    <w:p w14:paraId="4C9F17B0" w14:textId="77777777" w:rsidR="00F8635A" w:rsidRPr="00542969" w:rsidRDefault="00F8635A" w:rsidP="00F8635A">
      <w:r w:rsidRPr="00542969">
        <w:t xml:space="preserve">16. </w:t>
      </w:r>
      <w:r w:rsidR="0053788D" w:rsidRPr="00542969">
        <w:tab/>
      </w:r>
      <w:r w:rsidRPr="00542969">
        <w:t>See Identical Responses to Statements.</w:t>
      </w:r>
    </w:p>
    <w:p w14:paraId="0E5C959B" w14:textId="77777777" w:rsidR="00F8635A" w:rsidRPr="00542969" w:rsidRDefault="00F8635A" w:rsidP="00F8635A"/>
    <w:p w14:paraId="10E4068C" w14:textId="77777777" w:rsidR="00F8635A" w:rsidRPr="00542969" w:rsidRDefault="00F8635A" w:rsidP="00F8635A">
      <w:r w:rsidRPr="00542969">
        <w:t>17.</w:t>
      </w:r>
      <w:r w:rsidR="0053788D" w:rsidRPr="00542969">
        <w:tab/>
      </w:r>
      <w:r w:rsidRPr="00542969">
        <w:t>See Identical Responses to Statements.</w:t>
      </w:r>
    </w:p>
    <w:p w14:paraId="16DBD4EC" w14:textId="77777777" w:rsidR="00F8635A" w:rsidRPr="00542969" w:rsidRDefault="00F8635A" w:rsidP="00F8635A"/>
    <w:p w14:paraId="0A840DB9" w14:textId="77777777" w:rsidR="00F8635A" w:rsidRPr="00542969" w:rsidRDefault="00F8635A" w:rsidP="00F8635A">
      <w:r w:rsidRPr="00542969">
        <w:t>18.</w:t>
      </w:r>
      <w:r w:rsidR="0053788D" w:rsidRPr="00542969">
        <w:tab/>
      </w:r>
      <w:r w:rsidRPr="00542969">
        <w:t>See Identical Responses to Statements.</w:t>
      </w:r>
    </w:p>
    <w:p w14:paraId="070F173A" w14:textId="77777777" w:rsidR="00F8635A" w:rsidRPr="00153C39" w:rsidRDefault="00F8635A" w:rsidP="00153C39">
      <w:pPr>
        <w:ind w:left="360"/>
        <w:jc w:val="center"/>
        <w:rPr>
          <w:sz w:val="28"/>
          <w:szCs w:val="28"/>
        </w:rPr>
      </w:pPr>
      <w:r w:rsidRPr="00542969">
        <w:br w:type="page"/>
      </w:r>
      <w:r w:rsidRPr="00153C39">
        <w:rPr>
          <w:b/>
          <w:bCs/>
          <w:sz w:val="28"/>
          <w:szCs w:val="28"/>
        </w:rPr>
        <w:t>Section 773.19</w:t>
      </w:r>
      <w:r w:rsidR="0073596B" w:rsidRPr="00153C39">
        <w:rPr>
          <w:b/>
          <w:bCs/>
          <w:sz w:val="28"/>
          <w:szCs w:val="28"/>
        </w:rPr>
        <w:t xml:space="preserve"> – Permit issuance and right of renewal</w:t>
      </w:r>
    </w:p>
    <w:p w14:paraId="68FAB534" w14:textId="77777777" w:rsidR="00F8635A" w:rsidRPr="00542969" w:rsidRDefault="00F8635A" w:rsidP="00F8635A"/>
    <w:p w14:paraId="75068160" w14:textId="77777777" w:rsidR="00F8635A" w:rsidRPr="00542969" w:rsidRDefault="00F8635A" w:rsidP="00153C39">
      <w:pPr>
        <w:rPr>
          <w:b/>
          <w:bCs/>
        </w:rPr>
      </w:pPr>
      <w:r w:rsidRPr="00542969">
        <w:rPr>
          <w:b/>
          <w:bCs/>
          <w:u w:val="single"/>
        </w:rPr>
        <w:t>Justification</w:t>
      </w:r>
    </w:p>
    <w:p w14:paraId="159E38E3" w14:textId="77777777" w:rsidR="00F8635A" w:rsidRPr="00542969" w:rsidRDefault="00F8635A" w:rsidP="00F8635A"/>
    <w:p w14:paraId="71F91D6D" w14:textId="77777777" w:rsidR="00F8635A" w:rsidRPr="00542969" w:rsidRDefault="00923E0B" w:rsidP="00923E0B">
      <w:pPr>
        <w:ind w:left="720" w:hanging="720"/>
      </w:pPr>
      <w:r w:rsidRPr="00542969">
        <w:t>1.</w:t>
      </w:r>
      <w:r w:rsidRPr="00542969">
        <w:tab/>
      </w:r>
      <w:r w:rsidR="00F8635A" w:rsidRPr="00542969">
        <w:t xml:space="preserve">Section 773.19 </w:t>
      </w:r>
      <w:r w:rsidR="00D840B8" w:rsidRPr="00542969">
        <w:t>governs</w:t>
      </w:r>
      <w:r w:rsidR="00F8635A" w:rsidRPr="00542969">
        <w:t xml:space="preserve"> regulatory authority issuance of a permit.  When a permit is issued, regulatory authorities are required to issue written notification </w:t>
      </w:r>
      <w:r w:rsidR="00C867D5" w:rsidRPr="00542969">
        <w:t>of</w:t>
      </w:r>
      <w:r w:rsidR="00F8635A" w:rsidRPr="00542969">
        <w:t xml:space="preserve"> the permitting decision to </w:t>
      </w:r>
      <w:r w:rsidR="00C867D5" w:rsidRPr="00542969">
        <w:t xml:space="preserve">the </w:t>
      </w:r>
      <w:r w:rsidR="00F8635A" w:rsidRPr="00542969">
        <w:t xml:space="preserve">applicant, commenters, and local, State, and Federal agencies with an interest in the permitting decision within 10 days of the decision.  </w:t>
      </w:r>
      <w:r w:rsidR="001D690A" w:rsidRPr="00542969">
        <w:t xml:space="preserve">This requirement ensures all appropriate regulatory agencies </w:t>
      </w:r>
      <w:r w:rsidR="00C867D5" w:rsidRPr="00542969">
        <w:t xml:space="preserve">and other interested parties </w:t>
      </w:r>
      <w:r w:rsidR="001D690A" w:rsidRPr="00542969">
        <w:t xml:space="preserve">are kept informed of </w:t>
      </w:r>
      <w:r w:rsidR="00C867D5" w:rsidRPr="00542969">
        <w:t xml:space="preserve">those applicants who </w:t>
      </w:r>
      <w:r w:rsidR="001D690A" w:rsidRPr="00542969">
        <w:t xml:space="preserve">are issued permits to mine coal.  </w:t>
      </w:r>
      <w:r w:rsidR="00C867D5" w:rsidRPr="00542969">
        <w:t xml:space="preserve">Section 773.19 also </w:t>
      </w:r>
      <w:r w:rsidR="001D690A" w:rsidRPr="00542969">
        <w:t xml:space="preserve">requires a permittee to </w:t>
      </w:r>
      <w:r w:rsidR="00C867D5" w:rsidRPr="00542969">
        <w:t>submit</w:t>
      </w:r>
      <w:r w:rsidR="001D690A" w:rsidRPr="00542969">
        <w:t xml:space="preserve"> a written request for an extension of time to commence mining operations if such an extension becomes necessary. </w:t>
      </w:r>
      <w:r w:rsidR="00D840B8" w:rsidRPr="00542969">
        <w:t xml:space="preserve"> </w:t>
      </w:r>
      <w:r w:rsidR="00C867D5" w:rsidRPr="00542969">
        <w:t xml:space="preserve">Such written requests are reviewed and decided upon by the regulatory authority.  </w:t>
      </w:r>
      <w:r w:rsidR="00F8635A" w:rsidRPr="00542969">
        <w:t>The legal authorit</w:t>
      </w:r>
      <w:r w:rsidR="001D690A" w:rsidRPr="00542969">
        <w:t>ies</w:t>
      </w:r>
      <w:r w:rsidR="00F8635A" w:rsidRPr="00542969">
        <w:t xml:space="preserve"> for </w:t>
      </w:r>
      <w:r w:rsidR="00E44E61">
        <w:t>§</w:t>
      </w:r>
      <w:r w:rsidR="001D690A" w:rsidRPr="00542969">
        <w:t xml:space="preserve">773.19 are </w:t>
      </w:r>
      <w:r w:rsidR="00F8635A" w:rsidRPr="00542969">
        <w:t xml:space="preserve">found in sections </w:t>
      </w:r>
      <w:r w:rsidR="001D690A" w:rsidRPr="00542969">
        <w:t xml:space="preserve">506(c), </w:t>
      </w:r>
      <w:r w:rsidR="00F8635A" w:rsidRPr="00542969">
        <w:t>510(a)</w:t>
      </w:r>
      <w:r w:rsidR="001D690A" w:rsidRPr="00542969">
        <w:t>,</w:t>
      </w:r>
      <w:r w:rsidR="00F8635A" w:rsidRPr="00542969">
        <w:t xml:space="preserve"> and 513(b) of SMCRA.  </w:t>
      </w:r>
    </w:p>
    <w:p w14:paraId="7CEACAF1" w14:textId="77777777" w:rsidR="00F8635A" w:rsidRPr="00542969" w:rsidRDefault="00F8635A" w:rsidP="00F8635A"/>
    <w:p w14:paraId="56787291" w14:textId="0C77F935" w:rsidR="00F8635A" w:rsidRPr="00542969" w:rsidRDefault="001D690A" w:rsidP="00923E0B">
      <w:pPr>
        <w:numPr>
          <w:ilvl w:val="0"/>
          <w:numId w:val="19"/>
        </w:numPr>
        <w:tabs>
          <w:tab w:val="clear" w:pos="360"/>
        </w:tabs>
        <w:ind w:left="720" w:hanging="720"/>
      </w:pPr>
      <w:r w:rsidRPr="00542969">
        <w:t xml:space="preserve">The respondents in </w:t>
      </w:r>
      <w:r w:rsidR="00E44E61">
        <w:t>§</w:t>
      </w:r>
      <w:r w:rsidRPr="00542969">
        <w:t xml:space="preserve">773.19 are industry respondents (permittees) and </w:t>
      </w:r>
      <w:r w:rsidR="002653EC">
        <w:t>SRAs</w:t>
      </w:r>
      <w:r w:rsidRPr="00542969">
        <w:t xml:space="preserve">.  </w:t>
      </w:r>
      <w:r w:rsidR="00F12469" w:rsidRPr="00542969">
        <w:t>After permit approval, p</w:t>
      </w:r>
      <w:r w:rsidRPr="00542969">
        <w:t xml:space="preserve">ermittees </w:t>
      </w:r>
      <w:r w:rsidR="00C867D5" w:rsidRPr="00542969">
        <w:t xml:space="preserve">must </w:t>
      </w:r>
      <w:r w:rsidRPr="00542969">
        <w:t xml:space="preserve">use </w:t>
      </w:r>
      <w:r w:rsidR="00E44E61">
        <w:t>§</w:t>
      </w:r>
      <w:r w:rsidRPr="00542969">
        <w:t xml:space="preserve">773.19 to request an extension to commence mining operations </w:t>
      </w:r>
      <w:r w:rsidR="00C867D5" w:rsidRPr="00542969">
        <w:t>if such an extension becomes necessary</w:t>
      </w:r>
      <w:r w:rsidR="00787BFC" w:rsidRPr="00542969">
        <w:t xml:space="preserve">.  </w:t>
      </w:r>
      <w:r w:rsidR="002653EC">
        <w:t>SRAs</w:t>
      </w:r>
      <w:r w:rsidR="00787BFC" w:rsidRPr="00542969">
        <w:t xml:space="preserve"> </w:t>
      </w:r>
      <w:r w:rsidR="000304F1" w:rsidRPr="00542969">
        <w:t xml:space="preserve">are required under </w:t>
      </w:r>
      <w:r w:rsidR="00E44E61">
        <w:t>§</w:t>
      </w:r>
      <w:r w:rsidR="00787BFC" w:rsidRPr="00542969">
        <w:t xml:space="preserve">773.19 to notify </w:t>
      </w:r>
      <w:r w:rsidR="00F8635A" w:rsidRPr="00542969">
        <w:t>local, State, and Federal agencies, with a regulatory interest in surface coal mining operations, as to when and to whom a permit is issued</w:t>
      </w:r>
      <w:r w:rsidR="00787BFC" w:rsidRPr="00542969">
        <w:t xml:space="preserve">, and to notify </w:t>
      </w:r>
      <w:r w:rsidR="00F8635A" w:rsidRPr="00542969">
        <w:t>the applicant, each person who files comments or objections on an application, and each party to an</w:t>
      </w:r>
      <w:r w:rsidR="00C867D5" w:rsidRPr="00542969">
        <w:t>y</w:t>
      </w:r>
      <w:r w:rsidR="00F8635A" w:rsidRPr="00542969">
        <w:t xml:space="preserve"> informal conference</w:t>
      </w:r>
      <w:r w:rsidR="00C867D5" w:rsidRPr="00542969">
        <w:t xml:space="preserve"> that is held</w:t>
      </w:r>
      <w:r w:rsidR="00F8635A" w:rsidRPr="00542969">
        <w:t xml:space="preserve"> on an application.  </w:t>
      </w:r>
      <w:r w:rsidR="000304F1" w:rsidRPr="00542969">
        <w:t xml:space="preserve">Under </w:t>
      </w:r>
      <w:r w:rsidR="00E44E61">
        <w:t>§</w:t>
      </w:r>
      <w:r w:rsidR="000304F1" w:rsidRPr="00542969">
        <w:t xml:space="preserve">773.19, </w:t>
      </w:r>
      <w:r w:rsidR="002653EC">
        <w:t>SRAs</w:t>
      </w:r>
      <w:r w:rsidR="00787BFC" w:rsidRPr="00542969">
        <w:t xml:space="preserve"> also </w:t>
      </w:r>
      <w:r w:rsidR="000304F1" w:rsidRPr="00542969">
        <w:t xml:space="preserve">are authorized </w:t>
      </w:r>
      <w:r w:rsidR="00787BFC" w:rsidRPr="00542969">
        <w:t>to grant a reasonable extension of time</w:t>
      </w:r>
      <w:r w:rsidR="000304F1" w:rsidRPr="00542969">
        <w:t xml:space="preserve"> for a permittee </w:t>
      </w:r>
      <w:r w:rsidR="00787BFC" w:rsidRPr="00542969">
        <w:t>to commence mining operations.</w:t>
      </w:r>
    </w:p>
    <w:p w14:paraId="65CFF79F" w14:textId="77777777" w:rsidR="00F8635A" w:rsidRPr="00542969" w:rsidRDefault="00F8635A" w:rsidP="00F8635A"/>
    <w:p w14:paraId="765B6B85" w14:textId="77777777" w:rsidR="00F8635A" w:rsidRPr="00542969" w:rsidRDefault="00F8635A" w:rsidP="00923E0B">
      <w:pPr>
        <w:numPr>
          <w:ilvl w:val="0"/>
          <w:numId w:val="19"/>
        </w:numPr>
        <w:tabs>
          <w:tab w:val="clear" w:pos="360"/>
        </w:tabs>
        <w:ind w:left="720" w:hanging="720"/>
      </w:pPr>
      <w:r w:rsidRPr="00542969">
        <w:t>See Identical Responses to Statements.</w:t>
      </w:r>
    </w:p>
    <w:p w14:paraId="2C38C893" w14:textId="77777777" w:rsidR="00F8635A" w:rsidRPr="00542969" w:rsidRDefault="00F8635A" w:rsidP="00F8635A"/>
    <w:p w14:paraId="1973819A" w14:textId="77777777" w:rsidR="00F8635A" w:rsidRPr="00542969" w:rsidRDefault="00923E0B" w:rsidP="00923E0B">
      <w:r w:rsidRPr="00542969">
        <w:t>4.</w:t>
      </w:r>
      <w:r w:rsidRPr="00542969">
        <w:tab/>
      </w:r>
      <w:r w:rsidR="00F8635A" w:rsidRPr="00542969">
        <w:t>See Identical Responses to Statements.</w:t>
      </w:r>
    </w:p>
    <w:p w14:paraId="7F3FAE62" w14:textId="77777777" w:rsidR="00F8635A" w:rsidRPr="00542969" w:rsidRDefault="00F8635A" w:rsidP="00F8635A"/>
    <w:p w14:paraId="4911E3B5" w14:textId="77777777" w:rsidR="00F8635A" w:rsidRPr="00542969" w:rsidRDefault="00F8635A" w:rsidP="00F8635A">
      <w:r w:rsidRPr="00542969">
        <w:t xml:space="preserve">5.  </w:t>
      </w:r>
      <w:r w:rsidR="00923E0B" w:rsidRPr="00542969">
        <w:tab/>
      </w:r>
      <w:r w:rsidRPr="00542969">
        <w:t>See Identical Responses to Statements.</w:t>
      </w:r>
    </w:p>
    <w:p w14:paraId="4E596534" w14:textId="77777777" w:rsidR="00F8635A" w:rsidRPr="00542969" w:rsidRDefault="00F8635A" w:rsidP="00F8635A"/>
    <w:p w14:paraId="568C5C8C" w14:textId="77777777" w:rsidR="00F8635A" w:rsidRPr="00542969" w:rsidRDefault="00F8635A" w:rsidP="00F8635A">
      <w:r w:rsidRPr="00542969">
        <w:t xml:space="preserve">6.  </w:t>
      </w:r>
      <w:r w:rsidR="00923E0B" w:rsidRPr="00542969">
        <w:tab/>
      </w:r>
      <w:r w:rsidRPr="00542969">
        <w:t>See Identical Responses to Statements.</w:t>
      </w:r>
    </w:p>
    <w:p w14:paraId="61C74CD6" w14:textId="77777777" w:rsidR="00F8635A" w:rsidRPr="00542969" w:rsidRDefault="00F8635A" w:rsidP="00F8635A"/>
    <w:p w14:paraId="35DB8FC0" w14:textId="77777777" w:rsidR="00F8635A" w:rsidRPr="00542969" w:rsidRDefault="00F8635A" w:rsidP="00F8635A">
      <w:r w:rsidRPr="00542969">
        <w:t xml:space="preserve">7.  </w:t>
      </w:r>
      <w:r w:rsidR="00923E0B" w:rsidRPr="00542969">
        <w:tab/>
      </w:r>
      <w:r w:rsidRPr="00542969">
        <w:t>See Identical Responses to Statements.</w:t>
      </w:r>
    </w:p>
    <w:p w14:paraId="432682B4" w14:textId="77777777" w:rsidR="00F8635A" w:rsidRPr="00542969" w:rsidRDefault="00F8635A" w:rsidP="00F8635A"/>
    <w:p w14:paraId="377117F2" w14:textId="77777777" w:rsidR="00F8635A" w:rsidRPr="00542969" w:rsidRDefault="00F8635A" w:rsidP="00F8635A">
      <w:r w:rsidRPr="00542969">
        <w:t xml:space="preserve">8.  </w:t>
      </w:r>
      <w:r w:rsidR="00923E0B" w:rsidRPr="00542969">
        <w:tab/>
      </w:r>
      <w:r w:rsidRPr="00542969">
        <w:t>See Identical Responses to Statements.</w:t>
      </w:r>
    </w:p>
    <w:p w14:paraId="08B06F9E" w14:textId="77777777" w:rsidR="00F8635A" w:rsidRPr="00542969" w:rsidRDefault="00F8635A" w:rsidP="00F8635A"/>
    <w:p w14:paraId="73B6A58F" w14:textId="77777777" w:rsidR="00F8635A" w:rsidRPr="00542969" w:rsidRDefault="00F8635A" w:rsidP="00F8635A">
      <w:r w:rsidRPr="00542969">
        <w:t xml:space="preserve">9.  </w:t>
      </w:r>
      <w:r w:rsidR="00923E0B" w:rsidRPr="00542969">
        <w:tab/>
      </w:r>
      <w:r w:rsidRPr="00542969">
        <w:t>See Identical Responses to Statements.</w:t>
      </w:r>
    </w:p>
    <w:p w14:paraId="40FA62C0" w14:textId="77777777" w:rsidR="00F8635A" w:rsidRPr="00542969" w:rsidRDefault="00F8635A" w:rsidP="00F8635A"/>
    <w:p w14:paraId="60AB26B5" w14:textId="77777777" w:rsidR="00F8635A" w:rsidRPr="00542969" w:rsidRDefault="00F8635A" w:rsidP="00F8635A">
      <w:r w:rsidRPr="00542969">
        <w:t xml:space="preserve">10.  </w:t>
      </w:r>
      <w:r w:rsidR="00923E0B" w:rsidRPr="00542969">
        <w:tab/>
      </w:r>
      <w:r w:rsidRPr="00542969">
        <w:t>See Identical Responses to Statements.</w:t>
      </w:r>
    </w:p>
    <w:p w14:paraId="20F8C81F" w14:textId="77777777" w:rsidR="00F8635A" w:rsidRPr="00542969" w:rsidRDefault="00F8635A" w:rsidP="00F8635A"/>
    <w:p w14:paraId="032202FD" w14:textId="77777777" w:rsidR="00F8635A" w:rsidRPr="00542969" w:rsidRDefault="00F8635A" w:rsidP="00F8635A">
      <w:r w:rsidRPr="00542969">
        <w:t xml:space="preserve">11.  </w:t>
      </w:r>
      <w:r w:rsidR="00923E0B" w:rsidRPr="00542969">
        <w:tab/>
      </w:r>
      <w:r w:rsidRPr="00542969">
        <w:t>See Identical Responses to Statements.</w:t>
      </w:r>
    </w:p>
    <w:p w14:paraId="4AD96074" w14:textId="77777777" w:rsidR="00F8635A" w:rsidRPr="00542969" w:rsidRDefault="00F8635A" w:rsidP="00F8635A"/>
    <w:p w14:paraId="105612FE" w14:textId="77777777" w:rsidR="00F8635A" w:rsidRPr="00542969" w:rsidRDefault="00F8635A" w:rsidP="00F8635A">
      <w:r w:rsidRPr="00542969">
        <w:t xml:space="preserve">12. </w:t>
      </w:r>
      <w:r w:rsidR="00923E0B" w:rsidRPr="00542969">
        <w:tab/>
      </w:r>
      <w:r w:rsidRPr="00542969">
        <w:rPr>
          <w:u w:val="single"/>
        </w:rPr>
        <w:t>Estimated Information Collection Burden</w:t>
      </w:r>
    </w:p>
    <w:p w14:paraId="51236460" w14:textId="77777777" w:rsidR="00F8635A" w:rsidRPr="00542969" w:rsidRDefault="00F8635A" w:rsidP="00F8635A"/>
    <w:p w14:paraId="55CEA95D" w14:textId="77777777" w:rsidR="00F8635A" w:rsidRPr="00542969" w:rsidRDefault="00F8635A" w:rsidP="00923E0B">
      <w:pPr>
        <w:numPr>
          <w:ilvl w:val="0"/>
          <w:numId w:val="34"/>
        </w:numPr>
        <w:ind w:left="1440" w:hanging="720"/>
      </w:pPr>
      <w:r w:rsidRPr="00542969">
        <w:rPr>
          <w:u w:val="single"/>
        </w:rPr>
        <w:t>Burden Hour Estimates for Respondents</w:t>
      </w:r>
    </w:p>
    <w:p w14:paraId="7444439A" w14:textId="77777777" w:rsidR="00F8635A" w:rsidRPr="00542969" w:rsidRDefault="00F8635A" w:rsidP="00F8635A"/>
    <w:p w14:paraId="79E25D95" w14:textId="4A407AD7" w:rsidR="00020D32" w:rsidRPr="00542969" w:rsidRDefault="000304F1" w:rsidP="00923E0B">
      <w:pPr>
        <w:ind w:left="720"/>
      </w:pPr>
      <w:r w:rsidRPr="00542969">
        <w:t xml:space="preserve">We estimate there will be a total of </w:t>
      </w:r>
      <w:r w:rsidR="005C775E">
        <w:t>70</w:t>
      </w:r>
      <w:r w:rsidRPr="00542969">
        <w:t xml:space="preserve"> applications </w:t>
      </w:r>
      <w:r w:rsidR="002C6400" w:rsidRPr="00542969">
        <w:t>for permits annually received by regulatory authorities</w:t>
      </w:r>
      <w:r w:rsidRPr="00542969">
        <w:t xml:space="preserve">.  This estimate is based </w:t>
      </w:r>
      <w:r w:rsidR="00191C28" w:rsidRPr="00542969">
        <w:t xml:space="preserve">upon data collected for the </w:t>
      </w:r>
      <w:r w:rsidR="005C775E">
        <w:t>2016-2018</w:t>
      </w:r>
      <w:r w:rsidRPr="00542969">
        <w:t xml:space="preserve"> evaluation</w:t>
      </w:r>
      <w:r w:rsidR="005C775E">
        <w:t>s</w:t>
      </w:r>
      <w:r w:rsidRPr="00542969">
        <w:t xml:space="preserve"> year and represents an estimated </w:t>
      </w:r>
      <w:r w:rsidR="00295C91">
        <w:t xml:space="preserve">decrease from </w:t>
      </w:r>
      <w:r w:rsidRPr="00542969">
        <w:t xml:space="preserve">our previous request.  </w:t>
      </w:r>
    </w:p>
    <w:p w14:paraId="7C2D1A08" w14:textId="77777777" w:rsidR="00020D32" w:rsidRPr="00542969" w:rsidRDefault="00020D32" w:rsidP="00787BFC">
      <w:pPr>
        <w:ind w:left="360"/>
      </w:pPr>
    </w:p>
    <w:p w14:paraId="694C9D50" w14:textId="77777777" w:rsidR="00787BFC" w:rsidRPr="00542969" w:rsidRDefault="00787BFC" w:rsidP="00923E0B">
      <w:pPr>
        <w:ind w:left="720"/>
      </w:pPr>
      <w:r w:rsidRPr="00542969">
        <w:t xml:space="preserve">The following table shows the estimated burden hours for information collection.  Data in the table are discussed below.  </w:t>
      </w:r>
    </w:p>
    <w:p w14:paraId="3B3C025F" w14:textId="77777777" w:rsidR="00787BFC" w:rsidRPr="00542969" w:rsidRDefault="00787BFC" w:rsidP="00787BFC">
      <w:pPr>
        <w:ind w:left="360"/>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60"/>
        <w:gridCol w:w="1348"/>
        <w:gridCol w:w="1485"/>
        <w:gridCol w:w="1473"/>
        <w:gridCol w:w="1469"/>
        <w:gridCol w:w="1413"/>
      </w:tblGrid>
      <w:tr w:rsidR="00787BFC" w:rsidRPr="00542969" w14:paraId="4D2161BF" w14:textId="77777777" w:rsidTr="009A5D58">
        <w:tc>
          <w:tcPr>
            <w:tcW w:w="1560" w:type="dxa"/>
            <w:vAlign w:val="center"/>
          </w:tcPr>
          <w:p w14:paraId="0833B71B" w14:textId="77777777" w:rsidR="00787BFC" w:rsidRPr="00542969" w:rsidRDefault="00787BFC" w:rsidP="009A5D58">
            <w:pPr>
              <w:jc w:val="center"/>
            </w:pPr>
          </w:p>
          <w:p w14:paraId="430429F3" w14:textId="77777777" w:rsidR="00787BFC" w:rsidRPr="00542969" w:rsidRDefault="00787BFC" w:rsidP="009A5D58">
            <w:pPr>
              <w:jc w:val="center"/>
            </w:pPr>
            <w:r w:rsidRPr="00542969">
              <w:t>Section</w:t>
            </w:r>
          </w:p>
        </w:tc>
        <w:tc>
          <w:tcPr>
            <w:tcW w:w="1348" w:type="dxa"/>
            <w:vAlign w:val="center"/>
          </w:tcPr>
          <w:p w14:paraId="11CA3063" w14:textId="77777777" w:rsidR="003F56A6" w:rsidRPr="00542969" w:rsidRDefault="003F56A6" w:rsidP="009A5D58">
            <w:pPr>
              <w:jc w:val="center"/>
            </w:pPr>
          </w:p>
          <w:p w14:paraId="14AF0907" w14:textId="77777777" w:rsidR="00787BFC" w:rsidRPr="00542969" w:rsidRDefault="00787BFC" w:rsidP="009A5D58">
            <w:pPr>
              <w:jc w:val="center"/>
            </w:pPr>
            <w:r w:rsidRPr="00542969">
              <w:t>Applicant</w:t>
            </w:r>
          </w:p>
          <w:p w14:paraId="19FA1AD3" w14:textId="77777777" w:rsidR="00787BFC" w:rsidRPr="00542969" w:rsidRDefault="00787BFC" w:rsidP="009A5D58">
            <w:pPr>
              <w:jc w:val="center"/>
            </w:pPr>
            <w:r w:rsidRPr="00542969">
              <w:t>Responses</w:t>
            </w:r>
          </w:p>
        </w:tc>
        <w:tc>
          <w:tcPr>
            <w:tcW w:w="1485" w:type="dxa"/>
            <w:vAlign w:val="center"/>
          </w:tcPr>
          <w:p w14:paraId="2AE3DCDB" w14:textId="77777777" w:rsidR="003F56A6" w:rsidRPr="00542969" w:rsidRDefault="003F56A6" w:rsidP="009A5D58">
            <w:pPr>
              <w:jc w:val="center"/>
            </w:pPr>
          </w:p>
          <w:p w14:paraId="029C8CFD" w14:textId="77777777" w:rsidR="00787BFC" w:rsidRPr="00542969" w:rsidRDefault="00787BFC" w:rsidP="009A5D58">
            <w:pPr>
              <w:jc w:val="center"/>
            </w:pPr>
            <w:r w:rsidRPr="00542969">
              <w:t>State</w:t>
            </w:r>
          </w:p>
          <w:p w14:paraId="4AD967B4" w14:textId="77777777" w:rsidR="00787BFC" w:rsidRPr="00542969" w:rsidRDefault="00787BFC" w:rsidP="009A5D58">
            <w:pPr>
              <w:jc w:val="center"/>
            </w:pPr>
            <w:r w:rsidRPr="00542969">
              <w:t>Responses</w:t>
            </w:r>
          </w:p>
        </w:tc>
        <w:tc>
          <w:tcPr>
            <w:tcW w:w="1473" w:type="dxa"/>
            <w:vAlign w:val="center"/>
          </w:tcPr>
          <w:p w14:paraId="116C3B2A" w14:textId="77777777" w:rsidR="00787BFC" w:rsidRPr="00542969" w:rsidRDefault="00787BFC" w:rsidP="009A5D58">
            <w:pPr>
              <w:jc w:val="center"/>
            </w:pPr>
            <w:r w:rsidRPr="00542969">
              <w:t>Applicant</w:t>
            </w:r>
          </w:p>
          <w:p w14:paraId="00266B6A" w14:textId="77777777" w:rsidR="00787BFC" w:rsidRPr="00542969" w:rsidRDefault="00787BFC" w:rsidP="009A5D58">
            <w:pPr>
              <w:jc w:val="center"/>
            </w:pPr>
            <w:r w:rsidRPr="00542969">
              <w:t>Hours</w:t>
            </w:r>
            <w:r w:rsidR="003F56A6" w:rsidRPr="00542969">
              <w:t xml:space="preserve"> per R</w:t>
            </w:r>
            <w:r w:rsidR="00281513" w:rsidRPr="00542969">
              <w:t>esponse</w:t>
            </w:r>
          </w:p>
        </w:tc>
        <w:tc>
          <w:tcPr>
            <w:tcW w:w="1469" w:type="dxa"/>
            <w:vAlign w:val="center"/>
          </w:tcPr>
          <w:p w14:paraId="5CF37AFA" w14:textId="77777777" w:rsidR="00787BFC" w:rsidRPr="00542969" w:rsidRDefault="00787BFC" w:rsidP="009A5D58">
            <w:pPr>
              <w:jc w:val="center"/>
            </w:pPr>
            <w:r w:rsidRPr="00542969">
              <w:t>State</w:t>
            </w:r>
          </w:p>
          <w:p w14:paraId="03C1AEE1" w14:textId="77777777" w:rsidR="00787BFC" w:rsidRPr="00542969" w:rsidRDefault="00281513" w:rsidP="009A5D58">
            <w:pPr>
              <w:jc w:val="center"/>
            </w:pPr>
            <w:r w:rsidRPr="00542969">
              <w:t>H</w:t>
            </w:r>
            <w:r w:rsidR="003F56A6" w:rsidRPr="00542969">
              <w:t>ours per R</w:t>
            </w:r>
            <w:r w:rsidRPr="00542969">
              <w:t>esponse</w:t>
            </w:r>
          </w:p>
        </w:tc>
        <w:tc>
          <w:tcPr>
            <w:tcW w:w="1413" w:type="dxa"/>
            <w:vAlign w:val="center"/>
          </w:tcPr>
          <w:p w14:paraId="385E9860" w14:textId="77777777" w:rsidR="003F56A6" w:rsidRPr="00542969" w:rsidRDefault="003F56A6" w:rsidP="009A5D58">
            <w:pPr>
              <w:jc w:val="center"/>
            </w:pPr>
          </w:p>
          <w:p w14:paraId="20085BEA" w14:textId="77777777" w:rsidR="00787BFC" w:rsidRPr="00542969" w:rsidRDefault="00787BFC" w:rsidP="009A5D58">
            <w:pPr>
              <w:jc w:val="center"/>
            </w:pPr>
            <w:r w:rsidRPr="00542969">
              <w:t>Total</w:t>
            </w:r>
          </w:p>
          <w:p w14:paraId="7BBAECF5" w14:textId="77777777" w:rsidR="00787BFC" w:rsidRPr="00542969" w:rsidRDefault="00787BFC" w:rsidP="009A5D58">
            <w:pPr>
              <w:jc w:val="center"/>
            </w:pPr>
            <w:r w:rsidRPr="00542969">
              <w:t>Hours</w:t>
            </w:r>
          </w:p>
        </w:tc>
      </w:tr>
      <w:tr w:rsidR="00787BFC" w:rsidRPr="00542969" w14:paraId="60934220" w14:textId="77777777" w:rsidTr="00167F3A">
        <w:tc>
          <w:tcPr>
            <w:tcW w:w="1560" w:type="dxa"/>
          </w:tcPr>
          <w:p w14:paraId="14AFC836" w14:textId="77777777" w:rsidR="00787BFC" w:rsidRPr="00542969" w:rsidRDefault="00787BFC" w:rsidP="006421D3">
            <w:r w:rsidRPr="00542969">
              <w:t>773.19(b)</w:t>
            </w:r>
            <w:r w:rsidR="00182BD6" w:rsidRPr="00542969">
              <w:t xml:space="preserve"> RA notifica</w:t>
            </w:r>
            <w:r w:rsidR="00281513" w:rsidRPr="00542969">
              <w:t>tion</w:t>
            </w:r>
            <w:r w:rsidR="00282DD9" w:rsidRPr="00542969">
              <w:t>s</w:t>
            </w:r>
          </w:p>
        </w:tc>
        <w:tc>
          <w:tcPr>
            <w:tcW w:w="1348" w:type="dxa"/>
          </w:tcPr>
          <w:p w14:paraId="36A081B4" w14:textId="77777777" w:rsidR="00787BFC" w:rsidRPr="00542969" w:rsidRDefault="00787BFC" w:rsidP="006421D3"/>
          <w:p w14:paraId="469CB82C" w14:textId="77777777" w:rsidR="00787BFC" w:rsidRPr="00542969" w:rsidRDefault="00787BFC" w:rsidP="00CE2841">
            <w:pPr>
              <w:jc w:val="center"/>
            </w:pPr>
            <w:r w:rsidRPr="00542969">
              <w:t>0</w:t>
            </w:r>
          </w:p>
        </w:tc>
        <w:tc>
          <w:tcPr>
            <w:tcW w:w="1485" w:type="dxa"/>
          </w:tcPr>
          <w:p w14:paraId="05524B67" w14:textId="77777777" w:rsidR="00787BFC" w:rsidRPr="00542969" w:rsidRDefault="00787BFC" w:rsidP="006421D3"/>
          <w:p w14:paraId="4123529C" w14:textId="26B56C6A" w:rsidR="00787BFC" w:rsidRPr="00542969" w:rsidRDefault="00F626F0" w:rsidP="00F626F0">
            <w:pPr>
              <w:jc w:val="center"/>
            </w:pPr>
            <w:r>
              <w:t>62</w:t>
            </w:r>
          </w:p>
        </w:tc>
        <w:tc>
          <w:tcPr>
            <w:tcW w:w="1473" w:type="dxa"/>
          </w:tcPr>
          <w:p w14:paraId="0324FA40" w14:textId="77777777" w:rsidR="00787BFC" w:rsidRPr="00542969" w:rsidRDefault="00787BFC" w:rsidP="006421D3"/>
          <w:p w14:paraId="3CA118FB" w14:textId="77777777" w:rsidR="00787BFC" w:rsidRPr="00542969" w:rsidRDefault="00787BFC" w:rsidP="00CE2841">
            <w:pPr>
              <w:jc w:val="center"/>
            </w:pPr>
            <w:r w:rsidRPr="00542969">
              <w:t>0</w:t>
            </w:r>
          </w:p>
        </w:tc>
        <w:tc>
          <w:tcPr>
            <w:tcW w:w="1469" w:type="dxa"/>
          </w:tcPr>
          <w:p w14:paraId="0B4823B7" w14:textId="77777777" w:rsidR="00787BFC" w:rsidRPr="00542969" w:rsidRDefault="00787BFC" w:rsidP="006421D3"/>
          <w:p w14:paraId="698ED561" w14:textId="77777777" w:rsidR="00787BFC" w:rsidRPr="00542969" w:rsidRDefault="00EC2C24" w:rsidP="00EC2C24">
            <w:pPr>
              <w:jc w:val="center"/>
            </w:pPr>
            <w:r>
              <w:t>1</w:t>
            </w:r>
          </w:p>
        </w:tc>
        <w:tc>
          <w:tcPr>
            <w:tcW w:w="1413" w:type="dxa"/>
          </w:tcPr>
          <w:p w14:paraId="279CE965" w14:textId="77777777" w:rsidR="00787BFC" w:rsidRPr="00542969" w:rsidRDefault="00787BFC" w:rsidP="00CE2841">
            <w:pPr>
              <w:jc w:val="center"/>
            </w:pPr>
          </w:p>
          <w:p w14:paraId="49B28488" w14:textId="190CDDFA" w:rsidR="002B3839" w:rsidRPr="00542969" w:rsidRDefault="00F626F0" w:rsidP="00F626F0">
            <w:pPr>
              <w:jc w:val="center"/>
            </w:pPr>
            <w:r>
              <w:t>62</w:t>
            </w:r>
          </w:p>
        </w:tc>
      </w:tr>
      <w:tr w:rsidR="000D0042" w:rsidRPr="00542969" w14:paraId="4468CE92" w14:textId="77777777" w:rsidTr="009A5D58">
        <w:tc>
          <w:tcPr>
            <w:tcW w:w="1560" w:type="dxa"/>
            <w:tcBorders>
              <w:bottom w:val="single" w:sz="4" w:space="0" w:color="auto"/>
            </w:tcBorders>
          </w:tcPr>
          <w:p w14:paraId="0C5CB4F9" w14:textId="77777777" w:rsidR="000D0042" w:rsidRPr="00542969" w:rsidRDefault="000D0042" w:rsidP="006421D3">
            <w:r w:rsidRPr="00542969">
              <w:t>773.19(e)</w:t>
            </w:r>
            <w:r w:rsidR="00281513" w:rsidRPr="00542969">
              <w:t>(1)</w:t>
            </w:r>
          </w:p>
          <w:p w14:paraId="5B9764C9" w14:textId="77777777" w:rsidR="00281513" w:rsidRPr="00542969" w:rsidRDefault="00281513" w:rsidP="006421D3">
            <w:r w:rsidRPr="00542969">
              <w:t>Request</w:t>
            </w:r>
            <w:r w:rsidR="00282DD9" w:rsidRPr="00542969">
              <w:t>s</w:t>
            </w:r>
            <w:r w:rsidRPr="00542969">
              <w:t xml:space="preserve"> for extension</w:t>
            </w:r>
            <w:r w:rsidR="00282DD9" w:rsidRPr="00542969">
              <w:t>s</w:t>
            </w:r>
          </w:p>
        </w:tc>
        <w:tc>
          <w:tcPr>
            <w:tcW w:w="1348" w:type="dxa"/>
            <w:tcBorders>
              <w:bottom w:val="single" w:sz="4" w:space="0" w:color="auto"/>
            </w:tcBorders>
          </w:tcPr>
          <w:p w14:paraId="5A0252ED" w14:textId="77777777" w:rsidR="000D0042" w:rsidRPr="00542969" w:rsidRDefault="000D0042" w:rsidP="00CE2841">
            <w:pPr>
              <w:jc w:val="center"/>
            </w:pPr>
          </w:p>
          <w:p w14:paraId="26343B1F" w14:textId="1DAC6D87" w:rsidR="000D0042" w:rsidRPr="00542969" w:rsidRDefault="00F626F0" w:rsidP="00F626F0">
            <w:pPr>
              <w:jc w:val="center"/>
            </w:pPr>
            <w:r>
              <w:t>6</w:t>
            </w:r>
          </w:p>
        </w:tc>
        <w:tc>
          <w:tcPr>
            <w:tcW w:w="1485" w:type="dxa"/>
            <w:tcBorders>
              <w:bottom w:val="single" w:sz="4" w:space="0" w:color="auto"/>
            </w:tcBorders>
          </w:tcPr>
          <w:p w14:paraId="3CCCD2C1" w14:textId="77777777" w:rsidR="000D0042" w:rsidRPr="00542969" w:rsidRDefault="000D0042" w:rsidP="00CE2841">
            <w:pPr>
              <w:jc w:val="center"/>
            </w:pPr>
          </w:p>
          <w:p w14:paraId="18BDFC53" w14:textId="77777777" w:rsidR="000D0042" w:rsidRPr="00542969" w:rsidRDefault="000D0042" w:rsidP="00CE2841">
            <w:pPr>
              <w:jc w:val="center"/>
            </w:pPr>
            <w:r w:rsidRPr="00542969">
              <w:t>0</w:t>
            </w:r>
          </w:p>
        </w:tc>
        <w:tc>
          <w:tcPr>
            <w:tcW w:w="1473" w:type="dxa"/>
            <w:tcBorders>
              <w:bottom w:val="single" w:sz="4" w:space="0" w:color="auto"/>
            </w:tcBorders>
          </w:tcPr>
          <w:p w14:paraId="4B85B732" w14:textId="77777777" w:rsidR="000D0042" w:rsidRPr="00542969" w:rsidRDefault="000D0042" w:rsidP="00CE2841">
            <w:pPr>
              <w:jc w:val="center"/>
            </w:pPr>
          </w:p>
          <w:p w14:paraId="63D1D819" w14:textId="77777777" w:rsidR="000D0042" w:rsidRPr="00542969" w:rsidRDefault="000D0042" w:rsidP="00CE2841">
            <w:pPr>
              <w:jc w:val="center"/>
            </w:pPr>
            <w:r w:rsidRPr="00542969">
              <w:t>6</w:t>
            </w:r>
          </w:p>
        </w:tc>
        <w:tc>
          <w:tcPr>
            <w:tcW w:w="1469" w:type="dxa"/>
            <w:tcBorders>
              <w:bottom w:val="single" w:sz="4" w:space="0" w:color="auto"/>
            </w:tcBorders>
          </w:tcPr>
          <w:p w14:paraId="045C163F" w14:textId="77777777" w:rsidR="000D0042" w:rsidRPr="00542969" w:rsidRDefault="000D0042" w:rsidP="00CE2841">
            <w:pPr>
              <w:jc w:val="center"/>
            </w:pPr>
          </w:p>
          <w:p w14:paraId="5BCE1639" w14:textId="77777777" w:rsidR="000D0042" w:rsidRPr="00542969" w:rsidRDefault="000D0042" w:rsidP="00CE2841">
            <w:pPr>
              <w:jc w:val="center"/>
            </w:pPr>
            <w:r w:rsidRPr="00542969">
              <w:t>0</w:t>
            </w:r>
          </w:p>
        </w:tc>
        <w:tc>
          <w:tcPr>
            <w:tcW w:w="1413" w:type="dxa"/>
            <w:tcBorders>
              <w:bottom w:val="single" w:sz="4" w:space="0" w:color="auto"/>
            </w:tcBorders>
          </w:tcPr>
          <w:p w14:paraId="0C377069" w14:textId="77777777" w:rsidR="000D0042" w:rsidRPr="00542969" w:rsidRDefault="000D0042" w:rsidP="00CE2841">
            <w:pPr>
              <w:jc w:val="center"/>
            </w:pPr>
          </w:p>
          <w:p w14:paraId="45E02E9B" w14:textId="7AF2A63C" w:rsidR="00AD5B37" w:rsidRPr="00542969" w:rsidRDefault="00F626F0" w:rsidP="00F626F0">
            <w:pPr>
              <w:jc w:val="center"/>
            </w:pPr>
            <w:r>
              <w:t>36</w:t>
            </w:r>
          </w:p>
        </w:tc>
      </w:tr>
      <w:tr w:rsidR="00787BFC" w:rsidRPr="00542969" w14:paraId="77F295B9" w14:textId="77777777" w:rsidTr="009A5D58">
        <w:tc>
          <w:tcPr>
            <w:tcW w:w="1560" w:type="dxa"/>
            <w:tcBorders>
              <w:top w:val="single" w:sz="4" w:space="0" w:color="auto"/>
              <w:bottom w:val="double" w:sz="4" w:space="0" w:color="auto"/>
            </w:tcBorders>
          </w:tcPr>
          <w:p w14:paraId="03C97DDA" w14:textId="77777777" w:rsidR="00787BFC" w:rsidRPr="00542969" w:rsidRDefault="000D0042" w:rsidP="006421D3">
            <w:r w:rsidRPr="00542969">
              <w:t>773.19(e)(2)</w:t>
            </w:r>
          </w:p>
          <w:p w14:paraId="63EDBA42" w14:textId="77777777" w:rsidR="00281513" w:rsidRPr="00542969" w:rsidRDefault="00281513" w:rsidP="006421D3">
            <w:r w:rsidRPr="00542969">
              <w:t>RA review</w:t>
            </w:r>
            <w:r w:rsidR="00282DD9" w:rsidRPr="00542969">
              <w:t xml:space="preserve"> of extension requests</w:t>
            </w:r>
          </w:p>
        </w:tc>
        <w:tc>
          <w:tcPr>
            <w:tcW w:w="1348" w:type="dxa"/>
            <w:tcBorders>
              <w:top w:val="single" w:sz="4" w:space="0" w:color="auto"/>
              <w:bottom w:val="double" w:sz="4" w:space="0" w:color="auto"/>
            </w:tcBorders>
          </w:tcPr>
          <w:p w14:paraId="320F5A4F" w14:textId="77777777" w:rsidR="00787BFC" w:rsidRPr="00542969" w:rsidRDefault="00787BFC" w:rsidP="006421D3"/>
          <w:p w14:paraId="1208447F" w14:textId="77777777" w:rsidR="00763803" w:rsidRPr="00542969" w:rsidRDefault="00763803" w:rsidP="00CE2841">
            <w:pPr>
              <w:jc w:val="center"/>
            </w:pPr>
          </w:p>
          <w:p w14:paraId="62386DAA" w14:textId="77777777" w:rsidR="00787BFC" w:rsidRPr="00542969" w:rsidRDefault="003F56A6" w:rsidP="00CE2841">
            <w:pPr>
              <w:jc w:val="center"/>
            </w:pPr>
            <w:r w:rsidRPr="00542969">
              <w:t>0</w:t>
            </w:r>
          </w:p>
        </w:tc>
        <w:tc>
          <w:tcPr>
            <w:tcW w:w="1485" w:type="dxa"/>
            <w:tcBorders>
              <w:top w:val="single" w:sz="4" w:space="0" w:color="auto"/>
              <w:bottom w:val="double" w:sz="4" w:space="0" w:color="auto"/>
            </w:tcBorders>
          </w:tcPr>
          <w:p w14:paraId="29D3EF12" w14:textId="77777777" w:rsidR="00787BFC" w:rsidRPr="00542969" w:rsidRDefault="00787BFC" w:rsidP="006421D3"/>
          <w:p w14:paraId="428756FC" w14:textId="77777777" w:rsidR="00763803" w:rsidRPr="00542969" w:rsidRDefault="00763803" w:rsidP="00CE2841">
            <w:pPr>
              <w:jc w:val="center"/>
            </w:pPr>
          </w:p>
          <w:p w14:paraId="5D20EC65" w14:textId="49E055F7" w:rsidR="00787BFC" w:rsidRPr="00542969" w:rsidRDefault="00F626F0" w:rsidP="00F626F0">
            <w:pPr>
              <w:jc w:val="center"/>
            </w:pPr>
            <w:r>
              <w:t>6</w:t>
            </w:r>
          </w:p>
        </w:tc>
        <w:tc>
          <w:tcPr>
            <w:tcW w:w="1473" w:type="dxa"/>
            <w:tcBorders>
              <w:top w:val="single" w:sz="4" w:space="0" w:color="auto"/>
              <w:bottom w:val="double" w:sz="4" w:space="0" w:color="auto"/>
            </w:tcBorders>
          </w:tcPr>
          <w:p w14:paraId="5319B947" w14:textId="77777777" w:rsidR="00787BFC" w:rsidRPr="00542969" w:rsidRDefault="00787BFC" w:rsidP="006421D3"/>
          <w:p w14:paraId="1CE5C9CA" w14:textId="77777777" w:rsidR="00763803" w:rsidRPr="00542969" w:rsidRDefault="00763803" w:rsidP="00CE2841">
            <w:pPr>
              <w:jc w:val="center"/>
            </w:pPr>
          </w:p>
          <w:p w14:paraId="367AFA90" w14:textId="77777777" w:rsidR="00787BFC" w:rsidRPr="00542969" w:rsidRDefault="003F56A6" w:rsidP="00CE2841">
            <w:pPr>
              <w:jc w:val="center"/>
            </w:pPr>
            <w:r w:rsidRPr="00542969">
              <w:t>0</w:t>
            </w:r>
          </w:p>
        </w:tc>
        <w:tc>
          <w:tcPr>
            <w:tcW w:w="1469" w:type="dxa"/>
            <w:tcBorders>
              <w:top w:val="single" w:sz="4" w:space="0" w:color="auto"/>
              <w:bottom w:val="double" w:sz="4" w:space="0" w:color="auto"/>
            </w:tcBorders>
          </w:tcPr>
          <w:p w14:paraId="26EB3849" w14:textId="77777777" w:rsidR="00787BFC" w:rsidRPr="00542969" w:rsidRDefault="00787BFC" w:rsidP="006421D3"/>
          <w:p w14:paraId="28DB176C" w14:textId="77777777" w:rsidR="00763803" w:rsidRPr="00542969" w:rsidRDefault="00763803" w:rsidP="00CE2841">
            <w:pPr>
              <w:jc w:val="center"/>
            </w:pPr>
          </w:p>
          <w:p w14:paraId="781E47F9" w14:textId="77777777" w:rsidR="00787BFC" w:rsidRPr="00542969" w:rsidRDefault="00281513" w:rsidP="00CE2841">
            <w:pPr>
              <w:jc w:val="center"/>
            </w:pPr>
            <w:r w:rsidRPr="00542969">
              <w:t>2</w:t>
            </w:r>
          </w:p>
        </w:tc>
        <w:tc>
          <w:tcPr>
            <w:tcW w:w="1413" w:type="dxa"/>
            <w:tcBorders>
              <w:top w:val="single" w:sz="4" w:space="0" w:color="auto"/>
              <w:bottom w:val="double" w:sz="4" w:space="0" w:color="auto"/>
            </w:tcBorders>
          </w:tcPr>
          <w:p w14:paraId="3CBC0F12" w14:textId="77777777" w:rsidR="00787BFC" w:rsidRPr="00542969" w:rsidRDefault="00787BFC" w:rsidP="00CE2841">
            <w:pPr>
              <w:jc w:val="center"/>
            </w:pPr>
          </w:p>
          <w:p w14:paraId="159B09DF" w14:textId="77777777" w:rsidR="00AD5B37" w:rsidRPr="00542969" w:rsidRDefault="00AD5B37" w:rsidP="00CE2841">
            <w:pPr>
              <w:jc w:val="center"/>
            </w:pPr>
          </w:p>
          <w:p w14:paraId="77D66BCD" w14:textId="3E4EBC79" w:rsidR="00AD5B37" w:rsidRPr="00542969" w:rsidRDefault="00F626F0" w:rsidP="00F626F0">
            <w:pPr>
              <w:jc w:val="center"/>
            </w:pPr>
            <w:r>
              <w:t>12</w:t>
            </w:r>
          </w:p>
        </w:tc>
      </w:tr>
      <w:tr w:rsidR="00787BFC" w:rsidRPr="00542969" w14:paraId="2B51BE6C" w14:textId="77777777" w:rsidTr="009A5D58">
        <w:tc>
          <w:tcPr>
            <w:tcW w:w="1560" w:type="dxa"/>
            <w:tcBorders>
              <w:top w:val="double" w:sz="4" w:space="0" w:color="auto"/>
            </w:tcBorders>
          </w:tcPr>
          <w:p w14:paraId="3066DCF5" w14:textId="77777777" w:rsidR="00787BFC" w:rsidRPr="00542969" w:rsidRDefault="00787BFC" w:rsidP="006421D3">
            <w:r w:rsidRPr="00542969">
              <w:t>TOTALS</w:t>
            </w:r>
          </w:p>
        </w:tc>
        <w:tc>
          <w:tcPr>
            <w:tcW w:w="1348" w:type="dxa"/>
            <w:tcBorders>
              <w:top w:val="double" w:sz="4" w:space="0" w:color="auto"/>
            </w:tcBorders>
          </w:tcPr>
          <w:p w14:paraId="75377B7E" w14:textId="77777777" w:rsidR="00787BFC" w:rsidRPr="00542969" w:rsidRDefault="00787BFC" w:rsidP="008F19B2">
            <w:pPr>
              <w:jc w:val="center"/>
            </w:pPr>
          </w:p>
        </w:tc>
        <w:tc>
          <w:tcPr>
            <w:tcW w:w="1485" w:type="dxa"/>
            <w:tcBorders>
              <w:top w:val="double" w:sz="4" w:space="0" w:color="auto"/>
            </w:tcBorders>
          </w:tcPr>
          <w:p w14:paraId="6C897E77" w14:textId="77777777" w:rsidR="00787BFC" w:rsidRPr="00542969" w:rsidRDefault="00787BFC" w:rsidP="008F19B2">
            <w:pPr>
              <w:jc w:val="center"/>
            </w:pPr>
          </w:p>
        </w:tc>
        <w:tc>
          <w:tcPr>
            <w:tcW w:w="1473" w:type="dxa"/>
            <w:tcBorders>
              <w:top w:val="double" w:sz="4" w:space="0" w:color="auto"/>
            </w:tcBorders>
          </w:tcPr>
          <w:p w14:paraId="71C5986F" w14:textId="77777777" w:rsidR="00787BFC" w:rsidRPr="00542969" w:rsidRDefault="00787BFC" w:rsidP="00CE2841">
            <w:pPr>
              <w:jc w:val="center"/>
            </w:pPr>
          </w:p>
        </w:tc>
        <w:tc>
          <w:tcPr>
            <w:tcW w:w="1469" w:type="dxa"/>
            <w:tcBorders>
              <w:top w:val="double" w:sz="4" w:space="0" w:color="auto"/>
            </w:tcBorders>
          </w:tcPr>
          <w:p w14:paraId="4475C83E" w14:textId="77777777" w:rsidR="00787BFC" w:rsidRPr="00542969" w:rsidRDefault="00787BFC" w:rsidP="00CE2841">
            <w:pPr>
              <w:jc w:val="center"/>
            </w:pPr>
          </w:p>
        </w:tc>
        <w:tc>
          <w:tcPr>
            <w:tcW w:w="1413" w:type="dxa"/>
            <w:tcBorders>
              <w:top w:val="double" w:sz="4" w:space="0" w:color="auto"/>
            </w:tcBorders>
          </w:tcPr>
          <w:p w14:paraId="758FDE58" w14:textId="6DA13C54" w:rsidR="00787BFC" w:rsidRPr="00542969" w:rsidRDefault="00F626F0" w:rsidP="00F626F0">
            <w:pPr>
              <w:jc w:val="center"/>
            </w:pPr>
            <w:r>
              <w:t>110</w:t>
            </w:r>
          </w:p>
        </w:tc>
      </w:tr>
    </w:tbl>
    <w:p w14:paraId="7A02F0CD" w14:textId="77777777" w:rsidR="00787BFC" w:rsidRPr="00542969" w:rsidRDefault="00787BFC" w:rsidP="00787BFC">
      <w:pPr>
        <w:ind w:left="360"/>
      </w:pPr>
    </w:p>
    <w:p w14:paraId="5DDCD1D2" w14:textId="2FF18D83" w:rsidR="00F8635A" w:rsidRPr="00542969" w:rsidRDefault="00E868B4" w:rsidP="00923E0B">
      <w:pPr>
        <w:ind w:left="720"/>
      </w:pPr>
      <w:r w:rsidRPr="00542969">
        <w:t xml:space="preserve">Of the </w:t>
      </w:r>
      <w:r w:rsidR="005C775E">
        <w:t>70</w:t>
      </w:r>
      <w:r w:rsidR="000304F1" w:rsidRPr="00542969">
        <w:t xml:space="preserve"> </w:t>
      </w:r>
      <w:r w:rsidRPr="00542969">
        <w:t>total</w:t>
      </w:r>
      <w:r w:rsidR="000304F1" w:rsidRPr="00542969">
        <w:t xml:space="preserve"> applications</w:t>
      </w:r>
      <w:r w:rsidRPr="00542969">
        <w:t xml:space="preserve">, </w:t>
      </w:r>
      <w:r w:rsidR="005C775E">
        <w:t>69</w:t>
      </w:r>
      <w:r w:rsidR="00F8635A" w:rsidRPr="00542969">
        <w:t xml:space="preserve"> applications </w:t>
      </w:r>
      <w:r w:rsidRPr="00542969">
        <w:t xml:space="preserve">will be for State permits.  Of these, </w:t>
      </w:r>
      <w:r w:rsidR="005C775E">
        <w:t>62</w:t>
      </w:r>
      <w:r w:rsidR="00F8635A" w:rsidRPr="00542969">
        <w:t xml:space="preserve"> applications will survive the administrative completeness review and will not be withdrawn, rejected, or returned</w:t>
      </w:r>
      <w:r w:rsidR="008F19B2">
        <w:t xml:space="preserve"> under 737.19(b)</w:t>
      </w:r>
      <w:r w:rsidR="00FB3FA5" w:rsidRPr="00542969">
        <w:t xml:space="preserve">.  These </w:t>
      </w:r>
      <w:r w:rsidR="005C775E">
        <w:t>62</w:t>
      </w:r>
      <w:r w:rsidR="00C867D5" w:rsidRPr="00542969">
        <w:t xml:space="preserve"> applications </w:t>
      </w:r>
      <w:r w:rsidR="00F8635A" w:rsidRPr="00542969">
        <w:t xml:space="preserve">are the number of applications </w:t>
      </w:r>
      <w:r w:rsidRPr="00542969">
        <w:t xml:space="preserve">for which permits will be issued and </w:t>
      </w:r>
      <w:r w:rsidR="00F8635A" w:rsidRPr="00542969">
        <w:t xml:space="preserve">for which </w:t>
      </w:r>
      <w:r w:rsidR="002653EC">
        <w:t>SRAs</w:t>
      </w:r>
      <w:r w:rsidR="00F8635A" w:rsidRPr="00542969">
        <w:t xml:space="preserve"> must provide notificatio</w:t>
      </w:r>
      <w:r w:rsidR="00DC41D2" w:rsidRPr="00542969">
        <w:t xml:space="preserve">n under </w:t>
      </w:r>
      <w:r w:rsidR="00E44E61">
        <w:t>§</w:t>
      </w:r>
      <w:r w:rsidR="00DC41D2" w:rsidRPr="00542969">
        <w:t xml:space="preserve">773.19(b).  </w:t>
      </w:r>
      <w:r w:rsidR="00F8635A" w:rsidRPr="00542969">
        <w:t>We estimate the notifications will require one hour for each application</w:t>
      </w:r>
      <w:r w:rsidR="005C775E">
        <w:t xml:space="preserve">, which is unchanged </w:t>
      </w:r>
      <w:r w:rsidR="00F8635A" w:rsidRPr="00542969">
        <w:t xml:space="preserve">from </w:t>
      </w:r>
      <w:r w:rsidRPr="00542969">
        <w:t>our</w:t>
      </w:r>
      <w:r w:rsidR="00F8635A" w:rsidRPr="00542969">
        <w:t xml:space="preserve"> previous request.  </w:t>
      </w:r>
      <w:r w:rsidR="00E6380D" w:rsidRPr="00542969">
        <w:t>Therefore</w:t>
      </w:r>
      <w:r w:rsidR="00EE641A">
        <w:t>,</w:t>
      </w:r>
      <w:r w:rsidR="00E6380D" w:rsidRPr="00542969">
        <w:t xml:space="preserve"> the information collection burden for </w:t>
      </w:r>
      <w:r w:rsidR="000A4459">
        <w:t>SRA</w:t>
      </w:r>
      <w:r w:rsidR="00FB3FA5" w:rsidRPr="00542969">
        <w:t xml:space="preserve"> is </w:t>
      </w:r>
      <w:r w:rsidR="005C775E">
        <w:t>62</w:t>
      </w:r>
      <w:r w:rsidR="00FB3FA5" w:rsidRPr="00542969">
        <w:t xml:space="preserve"> hours (</w:t>
      </w:r>
      <w:r w:rsidR="005C775E">
        <w:t>62</w:t>
      </w:r>
      <w:r w:rsidR="00E6380D" w:rsidRPr="00542969">
        <w:t xml:space="preserve"> notifications x </w:t>
      </w:r>
      <w:r w:rsidR="00D77193">
        <w:t>1</w:t>
      </w:r>
      <w:r w:rsidR="00E6380D" w:rsidRPr="00542969">
        <w:t xml:space="preserve"> hour per notification</w:t>
      </w:r>
      <w:r w:rsidR="000304F1" w:rsidRPr="00542969">
        <w:t>)</w:t>
      </w:r>
      <w:r w:rsidR="00E6380D" w:rsidRPr="00542969">
        <w:t>.</w:t>
      </w:r>
    </w:p>
    <w:p w14:paraId="7B6A4E1C" w14:textId="77777777" w:rsidR="00F8635A" w:rsidRPr="00542969" w:rsidRDefault="00F8635A" w:rsidP="00F8635A">
      <w:pPr>
        <w:ind w:left="360"/>
      </w:pPr>
    </w:p>
    <w:p w14:paraId="38438CCC" w14:textId="020B3D94" w:rsidR="00DC41D2" w:rsidRPr="00542969" w:rsidRDefault="00DC41D2" w:rsidP="00923E0B">
      <w:pPr>
        <w:pStyle w:val="BodyTextIndent"/>
        <w:ind w:left="720"/>
      </w:pPr>
      <w:r w:rsidRPr="00542969">
        <w:t xml:space="preserve">We estimate that </w:t>
      </w:r>
      <w:r w:rsidR="005C775E">
        <w:t>6</w:t>
      </w:r>
      <w:r w:rsidR="00A827A4">
        <w:t xml:space="preserve"> (or 10% of the </w:t>
      </w:r>
      <w:r w:rsidR="0070074A">
        <w:t xml:space="preserve">total </w:t>
      </w:r>
      <w:r w:rsidR="005C775E">
        <w:t>62</w:t>
      </w:r>
      <w:r w:rsidR="00A827A4">
        <w:t>)</w:t>
      </w:r>
      <w:r w:rsidR="00E868B4" w:rsidRPr="00542969">
        <w:t xml:space="preserve"> </w:t>
      </w:r>
      <w:r w:rsidR="00282DD9" w:rsidRPr="00542969">
        <w:t xml:space="preserve">State </w:t>
      </w:r>
      <w:r w:rsidR="00E868B4" w:rsidRPr="00542969">
        <w:t xml:space="preserve">applicants, now permittees, will request an extension to commence surface coal operations under </w:t>
      </w:r>
      <w:r w:rsidR="004A050B">
        <w:t>§</w:t>
      </w:r>
      <w:r w:rsidR="00E868B4" w:rsidRPr="00542969">
        <w:t xml:space="preserve">773.19(e)(1).  </w:t>
      </w:r>
      <w:r w:rsidR="00A827A4">
        <w:t xml:space="preserve">This percentage is based upon </w:t>
      </w:r>
      <w:r w:rsidR="00D77193">
        <w:t xml:space="preserve">previous </w:t>
      </w:r>
      <w:r w:rsidR="00A827A4">
        <w:t xml:space="preserve">discussions with regulatory authorities in the </w:t>
      </w:r>
      <w:r w:rsidR="00010BCC">
        <w:t>s</w:t>
      </w:r>
      <w:r w:rsidR="00A827A4">
        <w:t>tates of West Virginia and Pennsylvania</w:t>
      </w:r>
      <w:r w:rsidR="00010BCC">
        <w:t>, two states that issue many new mine permits.</w:t>
      </w:r>
      <w:r w:rsidR="00A827A4">
        <w:t xml:space="preserve">  They told us that the main reasons that permittees will need this time extension is due to </w:t>
      </w:r>
      <w:r w:rsidR="00394C66">
        <w:t xml:space="preserve">fluctuating </w:t>
      </w:r>
      <w:r w:rsidR="00A827A4">
        <w:t xml:space="preserve">coal market prices, litigation, and labor strikes.  </w:t>
      </w:r>
      <w:r w:rsidR="00E868B4" w:rsidRPr="00542969">
        <w:t xml:space="preserve">We estimate that each </w:t>
      </w:r>
      <w:r w:rsidR="000304F1" w:rsidRPr="00542969">
        <w:t>permittee respondent</w:t>
      </w:r>
      <w:r w:rsidR="00E868B4" w:rsidRPr="00542969">
        <w:t xml:space="preserve"> will require 6 hours to prepare a request for an extension.  This estimate is unchanged from </w:t>
      </w:r>
      <w:r w:rsidR="004D0085" w:rsidRPr="00542969">
        <w:t>our</w:t>
      </w:r>
      <w:r w:rsidR="00E868B4" w:rsidRPr="00542969">
        <w:t xml:space="preserve"> previous request.  Therefore, we estimate the information burden for permittees under </w:t>
      </w:r>
      <w:r w:rsidR="004A050B">
        <w:t>§</w:t>
      </w:r>
      <w:r w:rsidR="00E868B4" w:rsidRPr="00542969">
        <w:t xml:space="preserve">773.19(e)(1) </w:t>
      </w:r>
      <w:r w:rsidR="000304F1" w:rsidRPr="00542969">
        <w:t>will</w:t>
      </w:r>
      <w:r w:rsidR="00E868B4" w:rsidRPr="00542969">
        <w:t xml:space="preserve"> be </w:t>
      </w:r>
      <w:r w:rsidR="005C775E">
        <w:t>36</w:t>
      </w:r>
      <w:r w:rsidR="00E868B4" w:rsidRPr="00542969">
        <w:t xml:space="preserve"> hours (</w:t>
      </w:r>
      <w:r w:rsidR="005C775E">
        <w:t>6</w:t>
      </w:r>
      <w:r w:rsidR="00E868B4" w:rsidRPr="00542969">
        <w:t xml:space="preserve"> requests for extension x 6 hours per request). </w:t>
      </w:r>
    </w:p>
    <w:p w14:paraId="127D3512" w14:textId="77777777" w:rsidR="00DC41D2" w:rsidRPr="00542969" w:rsidRDefault="00DC41D2" w:rsidP="00F8635A">
      <w:pPr>
        <w:ind w:left="360"/>
      </w:pPr>
    </w:p>
    <w:p w14:paraId="6869A78A" w14:textId="6861DD52" w:rsidR="00DC41D2" w:rsidRPr="00542969" w:rsidRDefault="00DC41D2" w:rsidP="00923E0B">
      <w:pPr>
        <w:pStyle w:val="BodyTextIndent"/>
        <w:ind w:left="720"/>
      </w:pPr>
      <w:r w:rsidRPr="00542969">
        <w:t xml:space="preserve">We estimate that </w:t>
      </w:r>
      <w:r w:rsidR="00923E0B" w:rsidRPr="00542969">
        <w:t xml:space="preserve">the </w:t>
      </w:r>
      <w:r w:rsidR="002653EC">
        <w:t>SRAs</w:t>
      </w:r>
      <w:r w:rsidRPr="00542969">
        <w:t xml:space="preserve"> will require 2 hours </w:t>
      </w:r>
      <w:r w:rsidR="004D0085" w:rsidRPr="00542969">
        <w:t xml:space="preserve">each </w:t>
      </w:r>
      <w:r w:rsidRPr="00542969">
        <w:t xml:space="preserve">to review the </w:t>
      </w:r>
      <w:r w:rsidR="000D0042" w:rsidRPr="00542969">
        <w:t xml:space="preserve">estimated </w:t>
      </w:r>
      <w:r w:rsidR="00337A00">
        <w:t>6</w:t>
      </w:r>
      <w:r w:rsidR="00E6380D" w:rsidRPr="00542969">
        <w:t xml:space="preserve"> </w:t>
      </w:r>
      <w:r w:rsidRPr="00542969">
        <w:t xml:space="preserve">requests for an extension </w:t>
      </w:r>
      <w:r w:rsidR="004D0085" w:rsidRPr="00542969">
        <w:t xml:space="preserve">to commence mining </w:t>
      </w:r>
      <w:r w:rsidRPr="00542969">
        <w:t xml:space="preserve">and </w:t>
      </w:r>
      <w:r w:rsidR="004D0085" w:rsidRPr="00542969">
        <w:t>r</w:t>
      </w:r>
      <w:r w:rsidRPr="00542969">
        <w:t>ender a decision</w:t>
      </w:r>
      <w:r w:rsidR="004D0085" w:rsidRPr="00542969">
        <w:t xml:space="preserve"> under </w:t>
      </w:r>
      <w:r w:rsidR="004A050B">
        <w:t>§</w:t>
      </w:r>
      <w:r w:rsidR="004D0085" w:rsidRPr="00542969">
        <w:t>773.19(e)(2)</w:t>
      </w:r>
      <w:r w:rsidRPr="00542969">
        <w:t>.  This</w:t>
      </w:r>
      <w:r w:rsidR="000D0042" w:rsidRPr="00542969">
        <w:t xml:space="preserve"> hourly burden</w:t>
      </w:r>
      <w:r w:rsidRPr="00542969">
        <w:t xml:space="preserve"> estimate is unchanged from </w:t>
      </w:r>
      <w:r w:rsidR="004D0085" w:rsidRPr="00542969">
        <w:t>our</w:t>
      </w:r>
      <w:r w:rsidRPr="00542969">
        <w:t xml:space="preserve"> previous request.  Therefore, we estimate the review burden for </w:t>
      </w:r>
      <w:r w:rsidR="002653EC">
        <w:t>SRAs</w:t>
      </w:r>
      <w:r w:rsidRPr="00542969">
        <w:t xml:space="preserve"> under </w:t>
      </w:r>
      <w:r w:rsidR="004A050B">
        <w:t>§</w:t>
      </w:r>
      <w:r w:rsidRPr="00542969">
        <w:t>773.19(e)</w:t>
      </w:r>
      <w:r w:rsidR="00E6380D" w:rsidRPr="00542969">
        <w:t xml:space="preserve">(2) to be </w:t>
      </w:r>
      <w:r w:rsidR="00337A00">
        <w:t>12</w:t>
      </w:r>
      <w:r w:rsidR="00C22565" w:rsidRPr="00542969">
        <w:t xml:space="preserve"> hours (</w:t>
      </w:r>
      <w:r w:rsidR="00337A00">
        <w:t>6</w:t>
      </w:r>
      <w:r w:rsidRPr="00542969">
        <w:t xml:space="preserve"> requests for extension x 2 hours per review).</w:t>
      </w:r>
    </w:p>
    <w:p w14:paraId="384D3538" w14:textId="77777777" w:rsidR="00DC41D2" w:rsidRPr="00542969" w:rsidRDefault="00DC41D2" w:rsidP="00DC41D2">
      <w:pPr>
        <w:pStyle w:val="BodyTextIndent"/>
      </w:pPr>
    </w:p>
    <w:p w14:paraId="04FF8841" w14:textId="7FA2C38C" w:rsidR="00DC41D2" w:rsidRPr="00542969" w:rsidRDefault="00DC41D2" w:rsidP="00923E0B">
      <w:pPr>
        <w:ind w:left="720"/>
      </w:pPr>
      <w:r w:rsidRPr="00542969">
        <w:t>Therefore, we estimate the total burden hours for all res</w:t>
      </w:r>
      <w:r w:rsidR="00E6380D" w:rsidRPr="00542969">
        <w:t xml:space="preserve">pondents </w:t>
      </w:r>
      <w:r w:rsidR="00DE14E7">
        <w:t>for</w:t>
      </w:r>
      <w:r w:rsidR="00E6380D" w:rsidRPr="00542969">
        <w:t xml:space="preserve"> </w:t>
      </w:r>
      <w:r w:rsidR="004A050B">
        <w:t>§</w:t>
      </w:r>
      <w:r w:rsidR="00E6380D" w:rsidRPr="00542969">
        <w:t xml:space="preserve">773.19 to be </w:t>
      </w:r>
      <w:r w:rsidR="00F626F0">
        <w:t>110</w:t>
      </w:r>
      <w:r w:rsidRPr="00542969">
        <w:t xml:space="preserve"> hours </w:t>
      </w:r>
      <w:r w:rsidR="008F19B2">
        <w:t>(</w:t>
      </w:r>
      <w:r w:rsidR="00F626F0">
        <w:t>62</w:t>
      </w:r>
      <w:r w:rsidR="008F19B2">
        <w:t xml:space="preserve"> hours for </w:t>
      </w:r>
      <w:r w:rsidR="002653EC">
        <w:t>SRAs</w:t>
      </w:r>
      <w:r w:rsidR="008F19B2">
        <w:t xml:space="preserve"> to provide notification) + </w:t>
      </w:r>
      <w:r w:rsidR="00C22565" w:rsidRPr="00542969">
        <w:t>(</w:t>
      </w:r>
      <w:r w:rsidR="00F626F0">
        <w:t>36</w:t>
      </w:r>
      <w:r w:rsidR="00E6380D" w:rsidRPr="00542969">
        <w:t xml:space="preserve"> hours for all </w:t>
      </w:r>
      <w:r w:rsidR="00DE14E7">
        <w:t>permittee extension requests</w:t>
      </w:r>
      <w:r w:rsidR="00E6380D" w:rsidRPr="00542969">
        <w:t xml:space="preserve">) + </w:t>
      </w:r>
      <w:r w:rsidR="00282DD9" w:rsidRPr="00542969">
        <w:t>(</w:t>
      </w:r>
      <w:r w:rsidR="00337A00">
        <w:t>12</w:t>
      </w:r>
      <w:r w:rsidRPr="00542969">
        <w:t xml:space="preserve"> hours for </w:t>
      </w:r>
      <w:r w:rsidR="000A4459">
        <w:t>SRA</w:t>
      </w:r>
      <w:r w:rsidR="00E6380D" w:rsidRPr="00542969">
        <w:t xml:space="preserve"> </w:t>
      </w:r>
      <w:r w:rsidRPr="00542969">
        <w:t>review of the requests</w:t>
      </w:r>
      <w:r w:rsidR="00E6380D" w:rsidRPr="00542969">
        <w:t xml:space="preserve"> for an extension</w:t>
      </w:r>
      <w:r w:rsidRPr="00542969">
        <w:t>).</w:t>
      </w:r>
    </w:p>
    <w:p w14:paraId="5A1AD019" w14:textId="77777777" w:rsidR="00DC41D2" w:rsidRPr="00542969" w:rsidRDefault="00DC41D2" w:rsidP="00F8635A">
      <w:pPr>
        <w:ind w:left="360"/>
      </w:pPr>
    </w:p>
    <w:p w14:paraId="51AE288C" w14:textId="77777777" w:rsidR="00F8635A" w:rsidRPr="00542969" w:rsidRDefault="00F8635A" w:rsidP="00291DCC">
      <w:pPr>
        <w:numPr>
          <w:ilvl w:val="0"/>
          <w:numId w:val="34"/>
        </w:numPr>
      </w:pPr>
      <w:r w:rsidRPr="00542969">
        <w:rPr>
          <w:u w:val="single"/>
        </w:rPr>
        <w:t>Estimated Wage Cost to Respondents</w:t>
      </w:r>
    </w:p>
    <w:p w14:paraId="2156580E" w14:textId="77777777" w:rsidR="00F8635A" w:rsidRPr="00542969" w:rsidRDefault="00E868B4" w:rsidP="00F8635A">
      <w:r w:rsidRPr="00542969">
        <w:tab/>
      </w:r>
    </w:p>
    <w:p w14:paraId="087CD8B9" w14:textId="74FC7D12" w:rsidR="00291DCC" w:rsidRPr="00542969" w:rsidRDefault="00F3663D" w:rsidP="00291DCC">
      <w:pPr>
        <w:ind w:left="720"/>
      </w:pPr>
      <w:r>
        <w:t>OSMRE</w:t>
      </w:r>
      <w:r w:rsidR="00291DCC" w:rsidRPr="00542969">
        <w:t xml:space="preserve"> estimates that each operations manager will prepare the request for extension to commence mining.  </w:t>
      </w:r>
      <w:r>
        <w:t>OSMRE</w:t>
      </w:r>
      <w:r w:rsidR="00291DCC" w:rsidRPr="00542969">
        <w:t xml:space="preserve"> estimates that the operations manager will </w:t>
      </w:r>
      <w:r w:rsidR="00291DCC" w:rsidRPr="000C5AE0">
        <w:t>earn a wage of $</w:t>
      </w:r>
      <w:r w:rsidR="008A4DDB">
        <w:t>60.01</w:t>
      </w:r>
      <w:r w:rsidR="00291DCC" w:rsidRPr="000C5AE0">
        <w:t xml:space="preserve"> per hour based on BLS estimates.  Assuming benefits of 1.4 of the salary according to the BLS news release</w:t>
      </w:r>
      <w:r w:rsidR="0008116E" w:rsidRPr="000C5AE0">
        <w:t xml:space="preserve">, </w:t>
      </w:r>
      <w:r w:rsidR="00291DCC" w:rsidRPr="000C5AE0">
        <w:t>wage costs per permittee is $</w:t>
      </w:r>
      <w:r w:rsidR="008A4DDB">
        <w:t>504</w:t>
      </w:r>
      <w:r w:rsidR="00291DCC" w:rsidRPr="000C5AE0">
        <w:t xml:space="preserve"> ($</w:t>
      </w:r>
      <w:r w:rsidR="008A4DDB">
        <w:t>84.01</w:t>
      </w:r>
      <w:r w:rsidR="00291DCC" w:rsidRPr="000C5AE0">
        <w:t xml:space="preserve"> x 6 hours), and the cost to all permittees is $</w:t>
      </w:r>
      <w:r w:rsidR="008A4DDB">
        <w:t>3,024</w:t>
      </w:r>
      <w:r w:rsidR="00291DCC" w:rsidRPr="000C5AE0">
        <w:t xml:space="preserve"> (</w:t>
      </w:r>
      <w:r w:rsidR="008A4DDB">
        <w:t>6</w:t>
      </w:r>
      <w:r w:rsidR="00291DCC" w:rsidRPr="000C5AE0">
        <w:t xml:space="preserve"> requests x $</w:t>
      </w:r>
      <w:r w:rsidR="008A4DDB">
        <w:t>504</w:t>
      </w:r>
      <w:r w:rsidR="00291DCC" w:rsidRPr="000C5AE0">
        <w:t>).</w:t>
      </w:r>
    </w:p>
    <w:p w14:paraId="3892D732" w14:textId="77777777" w:rsidR="00291DCC" w:rsidRPr="00542969" w:rsidRDefault="00291DCC" w:rsidP="00291DCC">
      <w:pPr>
        <w:pStyle w:val="BodyTextIndent"/>
        <w:ind w:left="720"/>
      </w:pPr>
    </w:p>
    <w:p w14:paraId="74567686" w14:textId="5BFA8F69" w:rsidR="00291DCC" w:rsidRPr="00542969" w:rsidRDefault="00291DCC" w:rsidP="00291DCC">
      <w:pPr>
        <w:ind w:left="720"/>
      </w:pPr>
      <w:r w:rsidRPr="00542969">
        <w:t xml:space="preserve">In addition, the State </w:t>
      </w:r>
      <w:r w:rsidRPr="000C5AE0">
        <w:t xml:space="preserve">employee who reviews the extension requests would have the equivalent salary of an </w:t>
      </w:r>
      <w:r w:rsidR="0008116E" w:rsidRPr="000C5AE0">
        <w:t>engineering technician at $</w:t>
      </w:r>
      <w:r w:rsidR="008A4DDB">
        <w:t>23.26</w:t>
      </w:r>
      <w:r w:rsidR="0008116E" w:rsidRPr="000C5AE0">
        <w:t xml:space="preserve"> per hour, or $</w:t>
      </w:r>
      <w:r w:rsidR="008A4DDB">
        <w:t>37.22</w:t>
      </w:r>
      <w:r w:rsidR="0008116E" w:rsidRPr="000C5AE0">
        <w:t xml:space="preserve"> per hour including benefits of 1.</w:t>
      </w:r>
      <w:r w:rsidR="008A4DDB">
        <w:t>6</w:t>
      </w:r>
      <w:r w:rsidR="0008116E" w:rsidRPr="000C5AE0">
        <w:t xml:space="preserve"> of salary for State government employees).  </w:t>
      </w:r>
      <w:r w:rsidRPr="000C5AE0">
        <w:t>The estimated total wage cost to review the extension requests is $</w:t>
      </w:r>
      <w:r w:rsidR="008A4DDB">
        <w:t>447</w:t>
      </w:r>
      <w:r w:rsidRPr="000C5AE0">
        <w:t xml:space="preserve"> (</w:t>
      </w:r>
      <w:r w:rsidR="008A4DDB">
        <w:t>6</w:t>
      </w:r>
      <w:r w:rsidRPr="000C5AE0">
        <w:t xml:space="preserve"> requests x $</w:t>
      </w:r>
      <w:r w:rsidR="008A4DDB">
        <w:t>37.22</w:t>
      </w:r>
      <w:r w:rsidRPr="000C5AE0">
        <w:t xml:space="preserve"> per hour x 2 hours).</w:t>
      </w:r>
    </w:p>
    <w:p w14:paraId="340DD8F5" w14:textId="77777777" w:rsidR="00EF5FBA" w:rsidRPr="00542969" w:rsidRDefault="00EF5FBA" w:rsidP="00291DCC">
      <w:pPr>
        <w:ind w:left="720"/>
      </w:pPr>
    </w:p>
    <w:p w14:paraId="12490699" w14:textId="7E905997" w:rsidR="00EF5FBA" w:rsidRPr="00542969" w:rsidRDefault="00EF5FBA" w:rsidP="00291DCC">
      <w:pPr>
        <w:ind w:left="720"/>
      </w:pPr>
      <w:r w:rsidRPr="000C5AE0">
        <w:t xml:space="preserve">Finally, a State employee with a salary equivalent to the technician discussed above requires </w:t>
      </w:r>
      <w:r w:rsidR="00D77193" w:rsidRPr="000C5AE0">
        <w:t>1</w:t>
      </w:r>
      <w:r w:rsidRPr="000C5AE0">
        <w:t xml:space="preserve"> hour to prepare each of the </w:t>
      </w:r>
      <w:r w:rsidR="008A4DDB">
        <w:t>62</w:t>
      </w:r>
      <w:r w:rsidRPr="000C5AE0">
        <w:t xml:space="preserve"> notification letters, or </w:t>
      </w:r>
      <w:r w:rsidR="008A4DDB">
        <w:t>62</w:t>
      </w:r>
      <w:r w:rsidRPr="000C5AE0">
        <w:t xml:space="preserve"> hours x $</w:t>
      </w:r>
      <w:r w:rsidR="008A4DDB">
        <w:t>37.22</w:t>
      </w:r>
      <w:r w:rsidRPr="000C5AE0">
        <w:t xml:space="preserve"> = $</w:t>
      </w:r>
      <w:r w:rsidR="008A4DDB">
        <w:t>2,308 to report all of the nationwide letters</w:t>
      </w:r>
      <w:r w:rsidRPr="000C5AE0">
        <w:t>.</w:t>
      </w:r>
    </w:p>
    <w:p w14:paraId="168EDC06" w14:textId="77777777" w:rsidR="00291DCC" w:rsidRPr="00542969" w:rsidRDefault="00291DCC" w:rsidP="00291DCC">
      <w:pPr>
        <w:ind w:left="720"/>
      </w:pPr>
    </w:p>
    <w:p w14:paraId="019B8DC0" w14:textId="1DB558B2" w:rsidR="00291DCC" w:rsidRPr="00542969" w:rsidRDefault="00291DCC" w:rsidP="00291DCC">
      <w:pPr>
        <w:ind w:left="720"/>
      </w:pPr>
      <w:r w:rsidRPr="00542969">
        <w:t xml:space="preserve">Therefore, the total cost to all </w:t>
      </w:r>
      <w:r w:rsidRPr="000C5AE0">
        <w:t xml:space="preserve">respondents is </w:t>
      </w:r>
      <w:r w:rsidR="00EF5FBA" w:rsidRPr="000C5AE0">
        <w:t>$</w:t>
      </w:r>
      <w:r w:rsidR="008A4DDB">
        <w:t>3,024</w:t>
      </w:r>
      <w:r w:rsidR="00EF5FBA" w:rsidRPr="000C5AE0">
        <w:t xml:space="preserve"> + </w:t>
      </w:r>
      <w:r w:rsidRPr="000C5AE0">
        <w:t>$</w:t>
      </w:r>
      <w:r w:rsidR="008A4DDB">
        <w:t>447</w:t>
      </w:r>
      <w:r w:rsidR="00EF5FBA" w:rsidRPr="000C5AE0">
        <w:t xml:space="preserve"> + </w:t>
      </w:r>
      <w:r w:rsidR="00FA0125" w:rsidRPr="000C5AE0">
        <w:t>$</w:t>
      </w:r>
      <w:r w:rsidR="008A4DDB">
        <w:t>2,308</w:t>
      </w:r>
      <w:r w:rsidR="00FA0125" w:rsidRPr="000C5AE0">
        <w:t>,</w:t>
      </w:r>
      <w:r w:rsidR="00EF5FBA" w:rsidRPr="000C5AE0">
        <w:t xml:space="preserve"> or $</w:t>
      </w:r>
      <w:r w:rsidR="008A4DDB">
        <w:t>5,779</w:t>
      </w:r>
      <w:r w:rsidRPr="000C5AE0">
        <w:t>.</w:t>
      </w:r>
    </w:p>
    <w:p w14:paraId="4799C1BC" w14:textId="77777777" w:rsidR="00291DCC" w:rsidRPr="00542969" w:rsidRDefault="00291DCC" w:rsidP="00291DCC"/>
    <w:p w14:paraId="70AA31F8" w14:textId="77777777" w:rsidR="00F8635A" w:rsidRPr="00542969" w:rsidRDefault="00F8635A" w:rsidP="00EF5FBA">
      <w:pPr>
        <w:ind w:left="720" w:hanging="720"/>
      </w:pPr>
      <w:r w:rsidRPr="00542969">
        <w:t>13.</w:t>
      </w:r>
      <w:r w:rsidR="00EF5FBA" w:rsidRPr="00542969">
        <w:tab/>
      </w:r>
      <w:r w:rsidRPr="00542969">
        <w:rPr>
          <w:u w:val="single"/>
        </w:rPr>
        <w:t>Total Annual Non-Wage Cost Burden to Respondents</w:t>
      </w:r>
    </w:p>
    <w:p w14:paraId="4C4BF93E" w14:textId="77777777" w:rsidR="00F8635A" w:rsidRPr="00542969" w:rsidRDefault="00F8635A" w:rsidP="00F8635A"/>
    <w:p w14:paraId="19A5ACFF" w14:textId="77777777" w:rsidR="00F8635A" w:rsidRPr="00542969" w:rsidRDefault="00F8635A" w:rsidP="002E1487">
      <w:pPr>
        <w:numPr>
          <w:ilvl w:val="0"/>
          <w:numId w:val="35"/>
        </w:numPr>
      </w:pPr>
      <w:r w:rsidRPr="00542969">
        <w:rPr>
          <w:u w:val="single"/>
        </w:rPr>
        <w:t>Annual Capital and Start-up Costs</w:t>
      </w:r>
    </w:p>
    <w:p w14:paraId="03EA7494" w14:textId="77777777" w:rsidR="00F8635A" w:rsidRPr="00542969" w:rsidRDefault="00F8635A" w:rsidP="00F8635A"/>
    <w:p w14:paraId="5486FF3F" w14:textId="77777777" w:rsidR="00F8635A" w:rsidRPr="00542969" w:rsidRDefault="00F8635A" w:rsidP="00EF5FBA">
      <w:pPr>
        <w:pStyle w:val="BodyTextIndent"/>
        <w:ind w:left="720"/>
      </w:pPr>
      <w:r w:rsidRPr="00542969">
        <w:t xml:space="preserve">The information collection requirements of 30 </w:t>
      </w:r>
      <w:smartTag w:uri="urn:schemas-microsoft-com:office:smarttags" w:element="stockticker">
        <w:r w:rsidRPr="00542969">
          <w:t>CFR</w:t>
        </w:r>
      </w:smartTag>
      <w:r w:rsidR="00282DD9" w:rsidRPr="00542969">
        <w:t xml:space="preserve"> 773.19</w:t>
      </w:r>
      <w:r w:rsidRPr="00542969">
        <w:t xml:space="preserve"> do not involve any capital or start-up costs apart from expenditures associated with customary business practices.</w:t>
      </w:r>
    </w:p>
    <w:p w14:paraId="59FAF78A" w14:textId="77777777" w:rsidR="00F8635A" w:rsidRPr="00542969" w:rsidRDefault="00F8635A" w:rsidP="00F8635A"/>
    <w:p w14:paraId="0BF7594E" w14:textId="77777777" w:rsidR="008A6CBA" w:rsidRDefault="00F8635A">
      <w:pPr>
        <w:numPr>
          <w:ilvl w:val="0"/>
          <w:numId w:val="35"/>
        </w:numPr>
      </w:pPr>
      <w:r w:rsidRPr="00542969">
        <w:rPr>
          <w:u w:val="single"/>
        </w:rPr>
        <w:t>Operation and Maintenance Costs</w:t>
      </w:r>
    </w:p>
    <w:p w14:paraId="2B29B597" w14:textId="77777777" w:rsidR="00F8635A" w:rsidRPr="00542969" w:rsidRDefault="00F8635A" w:rsidP="00F8635A"/>
    <w:p w14:paraId="7A283ACB" w14:textId="77777777" w:rsidR="00F8635A" w:rsidRPr="00542969" w:rsidRDefault="00F8635A" w:rsidP="00EF5FBA">
      <w:pPr>
        <w:ind w:left="720"/>
      </w:pPr>
      <w:r w:rsidRPr="00542969">
        <w:t>There are no significant or distinct non-wage operations or maintenance costs associated with compliance with the information collection requirements for this section.</w:t>
      </w:r>
    </w:p>
    <w:p w14:paraId="74646EE3" w14:textId="77777777" w:rsidR="00F8635A" w:rsidRPr="00542969" w:rsidRDefault="00F8635A" w:rsidP="00F8635A">
      <w:pPr>
        <w:tabs>
          <w:tab w:val="left" w:pos="2655"/>
        </w:tabs>
      </w:pPr>
      <w:r w:rsidRPr="00542969">
        <w:tab/>
      </w:r>
    </w:p>
    <w:p w14:paraId="4BFEDF18" w14:textId="77777777" w:rsidR="00F8635A" w:rsidRPr="00542969" w:rsidRDefault="00F8635A" w:rsidP="00F8635A">
      <w:r w:rsidRPr="00542969">
        <w:t>14.</w:t>
      </w:r>
      <w:r w:rsidR="00EF5FBA" w:rsidRPr="00542969">
        <w:tab/>
      </w:r>
      <w:r w:rsidRPr="00542969">
        <w:rPr>
          <w:u w:val="single"/>
        </w:rPr>
        <w:t>Estimate of Cost to the Federal Government</w:t>
      </w:r>
    </w:p>
    <w:p w14:paraId="0BC17377" w14:textId="77777777" w:rsidR="00F8635A" w:rsidRPr="00542969" w:rsidRDefault="00F8635A" w:rsidP="00F8635A"/>
    <w:p w14:paraId="1777443F" w14:textId="214A1596" w:rsidR="004802F7" w:rsidRPr="00542969" w:rsidRDefault="00F8635A" w:rsidP="004802F7">
      <w:pPr>
        <w:pStyle w:val="BodyTextIndent"/>
        <w:ind w:left="720"/>
      </w:pPr>
      <w:r w:rsidRPr="00542969">
        <w:rPr>
          <w:u w:val="single"/>
        </w:rPr>
        <w:t>Oversight</w:t>
      </w:r>
      <w:r w:rsidRPr="00542969">
        <w:t xml:space="preserve">.  In keeping with the current guidance concerning oversight of State program implementation, </w:t>
      </w:r>
      <w:r w:rsidR="00F3663D">
        <w:t>OSMRE</w:t>
      </w:r>
      <w:r w:rsidRPr="00542969">
        <w:t xml:space="preserve"> does not anticipate significant oversight review of State c</w:t>
      </w:r>
      <w:r w:rsidR="00282DD9" w:rsidRPr="00542969">
        <w:t xml:space="preserve">ompliance with </w:t>
      </w:r>
      <w:r w:rsidR="004A050B">
        <w:t>§</w:t>
      </w:r>
      <w:r w:rsidR="00282DD9" w:rsidRPr="00542969">
        <w:t>773.19</w:t>
      </w:r>
      <w:r w:rsidRPr="00542969">
        <w:t xml:space="preserve"> in the absence of indication of problems.  </w:t>
      </w:r>
      <w:r w:rsidR="00F3663D">
        <w:t>OSMRE</w:t>
      </w:r>
      <w:r w:rsidRPr="00542969">
        <w:t xml:space="preserve"> estimates it will conduct an overs</w:t>
      </w:r>
      <w:r w:rsidR="00282DD9" w:rsidRPr="00542969">
        <w:t xml:space="preserve">ight review of </w:t>
      </w:r>
      <w:r w:rsidR="004A050B">
        <w:t>§</w:t>
      </w:r>
      <w:r w:rsidR="00282DD9" w:rsidRPr="00542969">
        <w:t>773.19</w:t>
      </w:r>
      <w:r w:rsidRPr="00542969">
        <w:t xml:space="preserve"> in one State per year and that </w:t>
      </w:r>
      <w:r w:rsidR="00F3663D">
        <w:t>OSMRE</w:t>
      </w:r>
      <w:r w:rsidRPr="00542969">
        <w:t xml:space="preserve"> will review notification for one permit.  </w:t>
      </w:r>
      <w:r w:rsidR="00F3663D">
        <w:t>OSMRE</w:t>
      </w:r>
      <w:r w:rsidRPr="00542969">
        <w:t xml:space="preserve"> estimates the oversight review will require 2 hours.  These estimates are </w:t>
      </w:r>
      <w:r w:rsidRPr="000C5AE0">
        <w:t xml:space="preserve">unchanged from </w:t>
      </w:r>
      <w:r w:rsidR="000304F1" w:rsidRPr="000C5AE0">
        <w:t>our</w:t>
      </w:r>
      <w:r w:rsidRPr="000C5AE0">
        <w:t xml:space="preserve"> previous request.  </w:t>
      </w:r>
      <w:r w:rsidR="007F6507" w:rsidRPr="000C5AE0">
        <w:t>A GS-13, step 5 environmental scientist with a salary of $</w:t>
      </w:r>
      <w:r w:rsidR="008A4DDB">
        <w:t>75.81</w:t>
      </w:r>
      <w:r w:rsidR="007F6507" w:rsidRPr="000C5AE0">
        <w:t xml:space="preserve"> per hour plus the 1.</w:t>
      </w:r>
      <w:r w:rsidR="008A4DDB">
        <w:t>6</w:t>
      </w:r>
      <w:r w:rsidR="007F6507" w:rsidRPr="000C5AE0">
        <w:t xml:space="preserve"> multiplier for benefits </w:t>
      </w:r>
      <w:r w:rsidR="000C5AE0" w:rsidRPr="000C5AE0">
        <w:t xml:space="preserve">discussed previously, </w:t>
      </w:r>
      <w:r w:rsidR="004802F7" w:rsidRPr="000C5AE0">
        <w:t>the annual cost to the Federal government for oversight is $</w:t>
      </w:r>
      <w:r w:rsidR="008A4DDB">
        <w:t>152</w:t>
      </w:r>
      <w:r w:rsidR="004802F7" w:rsidRPr="000C5AE0">
        <w:t xml:space="preserve"> ($</w:t>
      </w:r>
      <w:r w:rsidR="008A4DDB">
        <w:t>75.81</w:t>
      </w:r>
      <w:r w:rsidR="004802F7" w:rsidRPr="000C5AE0">
        <w:t xml:space="preserve"> X 2 hours).</w:t>
      </w:r>
      <w:r w:rsidR="004802F7" w:rsidRPr="00542969">
        <w:t xml:space="preserve"> </w:t>
      </w:r>
    </w:p>
    <w:p w14:paraId="5581D836" w14:textId="77777777" w:rsidR="00F8635A" w:rsidRPr="00542969" w:rsidRDefault="00F8635A" w:rsidP="00F8635A">
      <w:pPr>
        <w:ind w:left="360"/>
      </w:pPr>
    </w:p>
    <w:p w14:paraId="715079B7" w14:textId="322AE4FF" w:rsidR="004802F7" w:rsidRPr="00064EBA" w:rsidRDefault="00F8635A" w:rsidP="004802F7">
      <w:pPr>
        <w:ind w:left="720"/>
      </w:pPr>
      <w:r w:rsidRPr="00542969">
        <w:rPr>
          <w:u w:val="single"/>
        </w:rPr>
        <w:t>Federal Programs</w:t>
      </w:r>
      <w:r w:rsidRPr="00542969">
        <w:t xml:space="preserve">.  </w:t>
      </w:r>
      <w:r w:rsidR="00F3663D">
        <w:t>OSMRE</w:t>
      </w:r>
      <w:r w:rsidRPr="00542969">
        <w:t xml:space="preserve"> estimates it will annually receive </w:t>
      </w:r>
      <w:r w:rsidR="00D77193">
        <w:t>1</w:t>
      </w:r>
      <w:r w:rsidRPr="00542969">
        <w:t xml:space="preserve"> application for </w:t>
      </w:r>
      <w:r w:rsidR="00D77193">
        <w:t xml:space="preserve">a </w:t>
      </w:r>
      <w:r w:rsidRPr="00542969">
        <w:t xml:space="preserve">new permit </w:t>
      </w:r>
      <w:r w:rsidR="000304F1" w:rsidRPr="00542969">
        <w:t>where</w:t>
      </w:r>
      <w:r w:rsidRPr="00542969">
        <w:t xml:space="preserve"> </w:t>
      </w:r>
      <w:r w:rsidR="00F3663D">
        <w:t>OSMRE</w:t>
      </w:r>
      <w:r w:rsidRPr="00542969">
        <w:t xml:space="preserve"> is the regulatory authority.  This estimate is based </w:t>
      </w:r>
      <w:r w:rsidR="00034219" w:rsidRPr="00542969">
        <w:t xml:space="preserve">upon data collected for the </w:t>
      </w:r>
      <w:r w:rsidR="008A4DDB">
        <w:t>2016-2018</w:t>
      </w:r>
      <w:r w:rsidRPr="00542969">
        <w:t xml:space="preserve"> evaluation year</w:t>
      </w:r>
      <w:r w:rsidR="008A4DDB">
        <w:t>s</w:t>
      </w:r>
      <w:r w:rsidRPr="00542969">
        <w:t xml:space="preserve">.  We will provide notification </w:t>
      </w:r>
      <w:r w:rsidR="00E03D86" w:rsidRPr="00542969">
        <w:t xml:space="preserve">under </w:t>
      </w:r>
      <w:r w:rsidR="004A050B">
        <w:t>§</w:t>
      </w:r>
      <w:r w:rsidR="00E03D86" w:rsidRPr="00542969">
        <w:t xml:space="preserve">773.19(b) </w:t>
      </w:r>
      <w:r w:rsidR="000E7F85" w:rsidRPr="00542969">
        <w:t xml:space="preserve">on </w:t>
      </w:r>
      <w:r w:rsidR="00D77193">
        <w:t>1</w:t>
      </w:r>
      <w:r w:rsidRPr="00542969">
        <w:t xml:space="preserve"> application</w:t>
      </w:r>
      <w:r w:rsidR="004802F7" w:rsidRPr="00542969">
        <w:t>,</w:t>
      </w:r>
      <w:r w:rsidR="00587B05" w:rsidRPr="00542969">
        <w:t xml:space="preserve"> requir</w:t>
      </w:r>
      <w:r w:rsidR="00064EBA">
        <w:t>ing</w:t>
      </w:r>
      <w:r w:rsidR="00587B05" w:rsidRPr="00542969">
        <w:t xml:space="preserve"> </w:t>
      </w:r>
      <w:r w:rsidR="00D77193">
        <w:t>1</w:t>
      </w:r>
      <w:r w:rsidR="00587B05" w:rsidRPr="00542969">
        <w:t xml:space="preserve"> hour</w:t>
      </w:r>
      <w:r w:rsidR="008939DA">
        <w:t xml:space="preserve"> or burden on the public</w:t>
      </w:r>
      <w:r w:rsidRPr="00542969">
        <w:t xml:space="preserve">.  We also estimate </w:t>
      </w:r>
      <w:r w:rsidR="00587B05" w:rsidRPr="00542969">
        <w:t xml:space="preserve">where </w:t>
      </w:r>
      <w:r w:rsidR="00F3663D">
        <w:t>OSMRE</w:t>
      </w:r>
      <w:r w:rsidR="00587B05" w:rsidRPr="00542969">
        <w:t xml:space="preserve"> is the regula</w:t>
      </w:r>
      <w:r w:rsidR="00282DD9" w:rsidRPr="00542969">
        <w:t xml:space="preserve">tory authority, it will review </w:t>
      </w:r>
      <w:r w:rsidR="00D86721">
        <w:t>1</w:t>
      </w:r>
      <w:r w:rsidR="00587B05" w:rsidRPr="00542969">
        <w:t xml:space="preserve"> request for an extension to commence mining operations </w:t>
      </w:r>
      <w:r w:rsidR="00E03D86" w:rsidRPr="00542969">
        <w:t xml:space="preserve">under </w:t>
      </w:r>
      <w:r w:rsidR="004A050B">
        <w:t>§</w:t>
      </w:r>
      <w:r w:rsidR="00E03D86" w:rsidRPr="00542969">
        <w:t xml:space="preserve">773.19(e)(2) </w:t>
      </w:r>
      <w:r w:rsidR="00587B05" w:rsidRPr="00542969">
        <w:t>and the review will require 2 hours to perform</w:t>
      </w:r>
      <w:r w:rsidR="004802F7" w:rsidRPr="00542969">
        <w:t xml:space="preserve">, or </w:t>
      </w:r>
      <w:r w:rsidR="00D86721">
        <w:t>2</w:t>
      </w:r>
      <w:r w:rsidR="004802F7" w:rsidRPr="00542969">
        <w:t xml:space="preserve"> hours total</w:t>
      </w:r>
      <w:r w:rsidR="00587B05" w:rsidRPr="00542969">
        <w:t xml:space="preserve">. </w:t>
      </w:r>
      <w:r w:rsidR="004802F7" w:rsidRPr="00542969">
        <w:t xml:space="preserve"> The total burden </w:t>
      </w:r>
      <w:r w:rsidR="004802F7" w:rsidRPr="00064EBA">
        <w:t xml:space="preserve">for </w:t>
      </w:r>
      <w:r w:rsidR="00F3663D" w:rsidRPr="00064EBA">
        <w:t>OSMRE</w:t>
      </w:r>
      <w:r w:rsidR="004802F7" w:rsidRPr="00064EBA">
        <w:t xml:space="preserve"> under Federal programs is </w:t>
      </w:r>
      <w:r w:rsidR="00D86721" w:rsidRPr="00064EBA">
        <w:t>3</w:t>
      </w:r>
      <w:r w:rsidR="004802F7" w:rsidRPr="00064EBA">
        <w:t xml:space="preserve"> hours. </w:t>
      </w:r>
    </w:p>
    <w:p w14:paraId="375A431D" w14:textId="77777777" w:rsidR="004802F7" w:rsidRPr="00064EBA" w:rsidRDefault="004802F7" w:rsidP="004802F7">
      <w:pPr>
        <w:ind w:left="720"/>
      </w:pPr>
    </w:p>
    <w:p w14:paraId="1CCD7D17" w14:textId="064465A8" w:rsidR="004802F7" w:rsidRPr="00064EBA" w:rsidRDefault="004802F7" w:rsidP="004802F7">
      <w:pPr>
        <w:ind w:left="720"/>
      </w:pPr>
      <w:r w:rsidRPr="00064EBA">
        <w:t>At an average salary of $</w:t>
      </w:r>
      <w:r w:rsidR="008A4DDB">
        <w:t>75.81</w:t>
      </w:r>
      <w:r w:rsidRPr="00064EBA">
        <w:t xml:space="preserve"> per hour with benefits as described above, the estimated annual wage cost to the Federal government where </w:t>
      </w:r>
      <w:r w:rsidR="00F3663D" w:rsidRPr="00064EBA">
        <w:t>OSMRE</w:t>
      </w:r>
      <w:r w:rsidRPr="00064EBA">
        <w:t xml:space="preserve"> is the regulatory authority will be $</w:t>
      </w:r>
      <w:r w:rsidR="008A4DDB">
        <w:t>227</w:t>
      </w:r>
      <w:r w:rsidRPr="00064EBA">
        <w:t xml:space="preserve"> (</w:t>
      </w:r>
      <w:r w:rsidR="007F6507" w:rsidRPr="00064EBA">
        <w:t>3</w:t>
      </w:r>
      <w:r w:rsidRPr="00064EBA">
        <w:t xml:space="preserve"> hours </w:t>
      </w:r>
      <w:r w:rsidR="00D14C27" w:rsidRPr="00064EBA">
        <w:t xml:space="preserve">x </w:t>
      </w:r>
      <w:r w:rsidR="007F6507" w:rsidRPr="00064EBA">
        <w:t xml:space="preserve">$ </w:t>
      </w:r>
      <w:r w:rsidR="008A4DDB">
        <w:t>75.81</w:t>
      </w:r>
      <w:r w:rsidRPr="00064EBA">
        <w:t xml:space="preserve"> per hour</w:t>
      </w:r>
      <w:r w:rsidR="00D14C27" w:rsidRPr="00064EBA">
        <w:t>)</w:t>
      </w:r>
      <w:r w:rsidRPr="00064EBA">
        <w:t>.</w:t>
      </w:r>
    </w:p>
    <w:p w14:paraId="12448EC2" w14:textId="77777777" w:rsidR="004802F7" w:rsidRPr="00064EBA" w:rsidRDefault="004802F7" w:rsidP="004802F7"/>
    <w:p w14:paraId="6B25732E" w14:textId="1CFD778B" w:rsidR="004802F7" w:rsidRPr="00542969" w:rsidRDefault="004802F7" w:rsidP="004802F7">
      <w:pPr>
        <w:ind w:left="720"/>
      </w:pPr>
      <w:r w:rsidRPr="00064EBA">
        <w:t xml:space="preserve">Therefore, the total cost to the Federal Government under </w:t>
      </w:r>
      <w:r w:rsidR="004A050B" w:rsidRPr="00064EBA">
        <w:t>§</w:t>
      </w:r>
      <w:r w:rsidRPr="00064EBA">
        <w:t>773.14(b) is estimated to be $</w:t>
      </w:r>
      <w:r w:rsidR="008A4DDB">
        <w:t>379</w:t>
      </w:r>
      <w:r w:rsidRPr="00064EBA">
        <w:t xml:space="preserve"> ($</w:t>
      </w:r>
      <w:r w:rsidR="008A4DDB">
        <w:t>152</w:t>
      </w:r>
      <w:r w:rsidRPr="00064EBA">
        <w:t xml:space="preserve"> for oversight + $</w:t>
      </w:r>
      <w:r w:rsidR="008A4DDB">
        <w:t>227</w:t>
      </w:r>
      <w:r w:rsidRPr="00064EBA">
        <w:t xml:space="preserve"> for Federal programs).</w:t>
      </w:r>
    </w:p>
    <w:p w14:paraId="16C08939" w14:textId="77777777" w:rsidR="00F705D1" w:rsidRPr="00542969" w:rsidRDefault="00F705D1" w:rsidP="00F8635A">
      <w:pPr>
        <w:ind w:left="360"/>
      </w:pPr>
    </w:p>
    <w:p w14:paraId="735D1D8E" w14:textId="725438F5" w:rsidR="00F8635A" w:rsidRPr="00542969" w:rsidRDefault="00D14C27" w:rsidP="00D14C27">
      <w:pPr>
        <w:ind w:left="720" w:hanging="720"/>
        <w:rPr>
          <w:strike/>
        </w:rPr>
      </w:pPr>
      <w:r w:rsidRPr="00542969">
        <w:t>15.</w:t>
      </w:r>
      <w:r w:rsidRPr="00542969">
        <w:tab/>
      </w:r>
      <w:r w:rsidR="00F8635A" w:rsidRPr="00542969">
        <w:t xml:space="preserve">This information collection request will </w:t>
      </w:r>
      <w:r w:rsidR="00D77193">
        <w:t>decrease</w:t>
      </w:r>
      <w:r w:rsidR="008B669D" w:rsidRPr="00542969">
        <w:t xml:space="preserve"> </w:t>
      </w:r>
      <w:r w:rsidR="00EE641A">
        <w:t xml:space="preserve">burden </w:t>
      </w:r>
      <w:r w:rsidR="008B669D" w:rsidRPr="00542969">
        <w:t>due to a</w:t>
      </w:r>
      <w:r w:rsidR="00D77193">
        <w:t xml:space="preserve"> </w:t>
      </w:r>
      <w:r w:rsidR="00EE641A">
        <w:t>change</w:t>
      </w:r>
      <w:r w:rsidR="008B669D" w:rsidRPr="00542969">
        <w:t xml:space="preserve"> in use.  The collective impact on the currently approved burden hours under </w:t>
      </w:r>
      <w:r w:rsidR="004A050B">
        <w:t>§</w:t>
      </w:r>
      <w:r w:rsidR="008B669D" w:rsidRPr="00542969">
        <w:t xml:space="preserve">773.19 is </w:t>
      </w:r>
      <w:r w:rsidR="00F8635A" w:rsidRPr="00542969">
        <w:t>shown below.</w:t>
      </w:r>
    </w:p>
    <w:p w14:paraId="5643C639" w14:textId="77777777" w:rsidR="00F8635A" w:rsidRPr="00542969" w:rsidRDefault="00F8635A" w:rsidP="00F8635A">
      <w:pPr>
        <w:ind w:left="720"/>
      </w:pPr>
    </w:p>
    <w:p w14:paraId="01185972" w14:textId="42DFCE5C" w:rsidR="00F8635A" w:rsidRPr="00542969" w:rsidRDefault="008A4DDB" w:rsidP="00CD4842">
      <w:pPr>
        <w:ind w:left="720" w:firstLine="360"/>
      </w:pPr>
      <w:r>
        <w:t>164</w:t>
      </w:r>
      <w:r w:rsidR="00F8635A" w:rsidRPr="00542969">
        <w:t xml:space="preserve"> hours currently approved</w:t>
      </w:r>
    </w:p>
    <w:p w14:paraId="1E2C0AA3" w14:textId="76444220" w:rsidR="00F8635A" w:rsidRPr="00542969" w:rsidRDefault="007F6507" w:rsidP="00CD4842">
      <w:pPr>
        <w:ind w:left="1080" w:hanging="360"/>
      </w:pPr>
      <w:r>
        <w:rPr>
          <w:u w:val="single"/>
        </w:rPr>
        <w:t>-</w:t>
      </w:r>
      <w:r w:rsidR="00CD4842">
        <w:rPr>
          <w:u w:val="single"/>
        </w:rPr>
        <w:tab/>
      </w:r>
      <w:r w:rsidR="008A4DDB">
        <w:rPr>
          <w:u w:val="single"/>
        </w:rPr>
        <w:t xml:space="preserve">  54</w:t>
      </w:r>
      <w:r w:rsidR="00F94252" w:rsidRPr="00542969">
        <w:t xml:space="preserve"> </w:t>
      </w:r>
      <w:r w:rsidR="00F8635A" w:rsidRPr="00542969">
        <w:t>hour</w:t>
      </w:r>
      <w:r w:rsidR="00EA2104" w:rsidRPr="00542969">
        <w:t>s</w:t>
      </w:r>
      <w:r w:rsidR="00F94252" w:rsidRPr="00542969">
        <w:t xml:space="preserve"> due to an </w:t>
      </w:r>
      <w:r w:rsidR="00D14C27" w:rsidRPr="00542969">
        <w:t>adjustment</w:t>
      </w:r>
    </w:p>
    <w:p w14:paraId="1AA0C6BE" w14:textId="63948B12" w:rsidR="00F8635A" w:rsidRDefault="008A4DDB" w:rsidP="00CD4842">
      <w:pPr>
        <w:ind w:left="1080"/>
      </w:pPr>
      <w:r>
        <w:t>110</w:t>
      </w:r>
      <w:r w:rsidR="00F94252" w:rsidRPr="00542969">
        <w:t xml:space="preserve"> hours requested</w:t>
      </w:r>
    </w:p>
    <w:p w14:paraId="24F5167E" w14:textId="77777777" w:rsidR="000C5AE0" w:rsidRPr="00542969" w:rsidRDefault="000C5AE0" w:rsidP="00F8635A">
      <w:pPr>
        <w:ind w:firstLine="720"/>
      </w:pPr>
    </w:p>
    <w:p w14:paraId="696CA917" w14:textId="77777777" w:rsidR="000C5AE0" w:rsidRPr="00542969" w:rsidRDefault="000C5AE0" w:rsidP="000C5AE0">
      <w:pPr>
        <w:tabs>
          <w:tab w:val="left" w:pos="1080"/>
        </w:tabs>
        <w:ind w:left="720" w:hanging="720"/>
      </w:pPr>
      <w:r>
        <w:tab/>
        <w:t>There are no non-wage costs associated with this section.</w:t>
      </w:r>
    </w:p>
    <w:p w14:paraId="089FBA3A" w14:textId="77777777" w:rsidR="00F8635A" w:rsidRPr="00542969" w:rsidRDefault="00F8635A" w:rsidP="00F8635A">
      <w:pPr>
        <w:ind w:left="720"/>
      </w:pPr>
    </w:p>
    <w:p w14:paraId="72B7FD36" w14:textId="77777777" w:rsidR="00F8635A" w:rsidRPr="00542969" w:rsidRDefault="00F8635A" w:rsidP="00F8635A">
      <w:r w:rsidRPr="00542969">
        <w:t xml:space="preserve">16.  </w:t>
      </w:r>
      <w:r w:rsidR="00D14C27" w:rsidRPr="00542969">
        <w:tab/>
      </w:r>
      <w:r w:rsidRPr="00542969">
        <w:t>See Identical Responses to Statements.</w:t>
      </w:r>
    </w:p>
    <w:p w14:paraId="1779FF06" w14:textId="77777777" w:rsidR="00F8635A" w:rsidRPr="00542969" w:rsidRDefault="00F8635A" w:rsidP="00F8635A"/>
    <w:p w14:paraId="3E394D24" w14:textId="77777777" w:rsidR="00F8635A" w:rsidRPr="00542969" w:rsidRDefault="00F8635A" w:rsidP="00F8635A">
      <w:r w:rsidRPr="00542969">
        <w:t xml:space="preserve">17.  </w:t>
      </w:r>
      <w:r w:rsidR="00D14C27" w:rsidRPr="00542969">
        <w:tab/>
      </w:r>
      <w:r w:rsidRPr="00542969">
        <w:t>See Identical Responses to Statements.</w:t>
      </w:r>
    </w:p>
    <w:p w14:paraId="37512E41" w14:textId="77777777" w:rsidR="00F8635A" w:rsidRPr="00542969" w:rsidRDefault="00F8635A" w:rsidP="00F8635A"/>
    <w:p w14:paraId="406834BA" w14:textId="77777777" w:rsidR="00F8635A" w:rsidRDefault="00F8635A" w:rsidP="00F8635A">
      <w:r w:rsidRPr="00542969">
        <w:t xml:space="preserve">18.  </w:t>
      </w:r>
      <w:r w:rsidR="00D14C27" w:rsidRPr="00542969">
        <w:tab/>
      </w:r>
      <w:r w:rsidRPr="00542969">
        <w:t>See Identical Responses to Statements.</w:t>
      </w:r>
    </w:p>
    <w:p w14:paraId="78BB977D" w14:textId="77777777" w:rsidR="00841A79" w:rsidRDefault="00841A79" w:rsidP="00F8635A"/>
    <w:p w14:paraId="4FAF8108" w14:textId="77777777" w:rsidR="00841A79" w:rsidRPr="00542969" w:rsidRDefault="00841A79" w:rsidP="00F8635A">
      <w:r>
        <w:br w:type="page"/>
      </w:r>
    </w:p>
    <w:p w14:paraId="1AF5FC08" w14:textId="77777777" w:rsidR="00841A79" w:rsidRPr="00153C39" w:rsidRDefault="00841A79" w:rsidP="00841A79">
      <w:pPr>
        <w:ind w:left="360"/>
        <w:jc w:val="center"/>
        <w:rPr>
          <w:sz w:val="28"/>
          <w:szCs w:val="28"/>
        </w:rPr>
      </w:pPr>
      <w:r w:rsidRPr="00153C39">
        <w:rPr>
          <w:b/>
          <w:bCs/>
          <w:sz w:val="28"/>
          <w:szCs w:val="28"/>
        </w:rPr>
        <w:t>Section</w:t>
      </w:r>
      <w:r w:rsidR="00AC5232">
        <w:rPr>
          <w:b/>
          <w:bCs/>
          <w:sz w:val="28"/>
          <w:szCs w:val="28"/>
        </w:rPr>
        <w:t>s</w:t>
      </w:r>
      <w:r w:rsidRPr="00153C39">
        <w:rPr>
          <w:b/>
          <w:bCs/>
          <w:sz w:val="28"/>
          <w:szCs w:val="28"/>
        </w:rPr>
        <w:t xml:space="preserve"> 7</w:t>
      </w:r>
      <w:r>
        <w:rPr>
          <w:b/>
          <w:bCs/>
          <w:sz w:val="28"/>
          <w:szCs w:val="28"/>
        </w:rPr>
        <w:t>36.25</w:t>
      </w:r>
      <w:r w:rsidRPr="00153C39">
        <w:rPr>
          <w:b/>
          <w:bCs/>
          <w:sz w:val="28"/>
          <w:szCs w:val="28"/>
        </w:rPr>
        <w:t xml:space="preserve"> </w:t>
      </w:r>
      <w:r w:rsidR="00AC5232">
        <w:rPr>
          <w:b/>
          <w:bCs/>
          <w:sz w:val="28"/>
          <w:szCs w:val="28"/>
        </w:rPr>
        <w:t xml:space="preserve">and 750.25 </w:t>
      </w:r>
      <w:r w:rsidRPr="00153C39">
        <w:rPr>
          <w:b/>
          <w:bCs/>
          <w:sz w:val="28"/>
          <w:szCs w:val="28"/>
        </w:rPr>
        <w:t xml:space="preserve">– Permit </w:t>
      </w:r>
      <w:r>
        <w:rPr>
          <w:b/>
          <w:bCs/>
          <w:sz w:val="28"/>
          <w:szCs w:val="28"/>
        </w:rPr>
        <w:t>fees</w:t>
      </w:r>
    </w:p>
    <w:p w14:paraId="69D27680" w14:textId="77777777" w:rsidR="00841A79" w:rsidRPr="00542969" w:rsidRDefault="00841A79" w:rsidP="00841A79"/>
    <w:p w14:paraId="4A190429" w14:textId="77777777" w:rsidR="00841A79" w:rsidRPr="00542969" w:rsidRDefault="00841A79" w:rsidP="00841A79">
      <w:pPr>
        <w:rPr>
          <w:b/>
          <w:bCs/>
        </w:rPr>
      </w:pPr>
      <w:r w:rsidRPr="00542969">
        <w:rPr>
          <w:b/>
          <w:bCs/>
          <w:u w:val="single"/>
        </w:rPr>
        <w:t>Justification</w:t>
      </w:r>
    </w:p>
    <w:p w14:paraId="3CC175CE" w14:textId="77777777" w:rsidR="00841A79" w:rsidRPr="00542969" w:rsidRDefault="00841A79" w:rsidP="00841A79"/>
    <w:p w14:paraId="64D142AA" w14:textId="688B4F60" w:rsidR="008A6CBA" w:rsidRDefault="00841A79">
      <w:pPr>
        <w:numPr>
          <w:ilvl w:val="0"/>
          <w:numId w:val="38"/>
        </w:numPr>
        <w:ind w:left="720" w:hanging="720"/>
      </w:pPr>
      <w:r w:rsidRPr="00542969">
        <w:t>Section</w:t>
      </w:r>
      <w:r w:rsidR="00AC5232">
        <w:t>s</w:t>
      </w:r>
      <w:r w:rsidRPr="00542969">
        <w:t xml:space="preserve"> 7</w:t>
      </w:r>
      <w:r w:rsidR="007D3FA9">
        <w:t>36.25</w:t>
      </w:r>
      <w:r w:rsidRPr="00542969">
        <w:t xml:space="preserve"> </w:t>
      </w:r>
      <w:r w:rsidR="00AC5232">
        <w:t xml:space="preserve">and 750.25 </w:t>
      </w:r>
      <w:r w:rsidRPr="00542969">
        <w:t xml:space="preserve">govern </w:t>
      </w:r>
      <w:r w:rsidR="00961E0C">
        <w:t xml:space="preserve">new </w:t>
      </w:r>
      <w:r w:rsidR="007D3FA9">
        <w:t>permit applicants</w:t>
      </w:r>
      <w:r w:rsidR="00961E0C">
        <w:t>’</w:t>
      </w:r>
      <w:r w:rsidR="007D3FA9">
        <w:t xml:space="preserve"> fees in Federal program States</w:t>
      </w:r>
      <w:r w:rsidR="00AC5232">
        <w:t xml:space="preserve"> and on Indian lands, respectively</w:t>
      </w:r>
      <w:r w:rsidRPr="00542969">
        <w:t xml:space="preserve">.  When a </w:t>
      </w:r>
      <w:r w:rsidR="007D3FA9">
        <w:t xml:space="preserve">new permit application is received in a Federal </w:t>
      </w:r>
      <w:r w:rsidR="000A4459">
        <w:t>P</w:t>
      </w:r>
      <w:r w:rsidR="007D3FA9">
        <w:t>rogram State</w:t>
      </w:r>
      <w:r w:rsidR="008939DA">
        <w:t>,</w:t>
      </w:r>
      <w:r w:rsidR="00AC5232">
        <w:t xml:space="preserve"> or on Indian lands</w:t>
      </w:r>
      <w:r w:rsidRPr="00542969">
        <w:t xml:space="preserve">, </w:t>
      </w:r>
      <w:r w:rsidR="007D3FA9">
        <w:t xml:space="preserve">the applicant must submit processing fees to </w:t>
      </w:r>
      <w:r w:rsidR="00F3663D">
        <w:t>OSMRE</w:t>
      </w:r>
      <w:r w:rsidR="007D3FA9">
        <w:t xml:space="preserve"> based on a fee schedule.  The legal authority for </w:t>
      </w:r>
      <w:r w:rsidR="0094629A">
        <w:t xml:space="preserve">regulatory authorities </w:t>
      </w:r>
      <w:r w:rsidR="007D3FA9">
        <w:t xml:space="preserve">to collect permit fees is found in section 507(a) of SMCRA. </w:t>
      </w:r>
    </w:p>
    <w:p w14:paraId="4AF76400" w14:textId="77777777" w:rsidR="007D3FA9" w:rsidRDefault="007D3FA9" w:rsidP="00841A79">
      <w:pPr>
        <w:ind w:left="720" w:hanging="720"/>
      </w:pPr>
    </w:p>
    <w:p w14:paraId="0FC43197" w14:textId="77777777" w:rsidR="008A6CBA" w:rsidRDefault="0094629A">
      <w:pPr>
        <w:numPr>
          <w:ilvl w:val="0"/>
          <w:numId w:val="38"/>
        </w:numPr>
        <w:ind w:left="720" w:hanging="720"/>
      </w:pPr>
      <w:r w:rsidRPr="00542969">
        <w:t xml:space="preserve">The </w:t>
      </w:r>
      <w:r w:rsidRPr="00C975E2">
        <w:t xml:space="preserve">respondents in </w:t>
      </w:r>
      <w:r w:rsidR="00AC5232">
        <w:t>§§736.25</w:t>
      </w:r>
      <w:r w:rsidR="00AC5232" w:rsidRPr="00542969">
        <w:t xml:space="preserve"> </w:t>
      </w:r>
      <w:r w:rsidR="00AC5232">
        <w:t>and 750.25</w:t>
      </w:r>
      <w:r w:rsidRPr="00C975E2">
        <w:t xml:space="preserve"> are industry respondents (permittees).  The applicant </w:t>
      </w:r>
      <w:r w:rsidR="002E1487">
        <w:t xml:space="preserve">for a new permit </w:t>
      </w:r>
      <w:r w:rsidRPr="00C975E2">
        <w:t xml:space="preserve">may submit all fees </w:t>
      </w:r>
      <w:r w:rsidR="00C975E2" w:rsidRPr="00C975E2">
        <w:t>upon applicat</w:t>
      </w:r>
      <w:r w:rsidR="00961E0C">
        <w:t>ion</w:t>
      </w:r>
      <w:r w:rsidR="00C975E2" w:rsidRPr="00C975E2">
        <w:t xml:space="preserve"> submission, or in stages as follows:</w:t>
      </w:r>
    </w:p>
    <w:p w14:paraId="74AF1C4F" w14:textId="77777777" w:rsidR="00C975E2" w:rsidRPr="00C975E2" w:rsidRDefault="002E1487" w:rsidP="002E1487">
      <w:pPr>
        <w:pStyle w:val="NormalWeb"/>
        <w:ind w:left="720" w:hanging="720"/>
      </w:pPr>
      <w:r>
        <w:tab/>
      </w:r>
      <w:r w:rsidR="00C975E2" w:rsidRPr="00C975E2">
        <w:t>(</w:t>
      </w:r>
      <w:r w:rsidR="00C975E2">
        <w:t>a</w:t>
      </w:r>
      <w:r w:rsidR="00C975E2" w:rsidRPr="00C975E2">
        <w:t xml:space="preserve">) </w:t>
      </w:r>
      <w:r>
        <w:t xml:space="preserve"> </w:t>
      </w:r>
      <w:r w:rsidR="00C975E2" w:rsidRPr="00C975E2">
        <w:rPr>
          <w:i/>
          <w:iCs/>
        </w:rPr>
        <w:t xml:space="preserve">Administrative completeness review. </w:t>
      </w:r>
      <w:r w:rsidR="00C975E2">
        <w:rPr>
          <w:i/>
          <w:iCs/>
        </w:rPr>
        <w:t xml:space="preserve"> </w:t>
      </w:r>
      <w:r w:rsidR="00C975E2" w:rsidRPr="00C975E2">
        <w:t>An applicant who pays by stage of review shall submit the administrative completeness review fee with the permit application.</w:t>
      </w:r>
    </w:p>
    <w:p w14:paraId="7CDDF436" w14:textId="77777777" w:rsidR="00C975E2" w:rsidRPr="00C975E2" w:rsidRDefault="002E1487" w:rsidP="002E1487">
      <w:pPr>
        <w:pStyle w:val="NormalWeb"/>
        <w:ind w:left="720" w:hanging="720"/>
      </w:pPr>
      <w:r>
        <w:tab/>
      </w:r>
      <w:r w:rsidR="00C975E2">
        <w:t>(b</w:t>
      </w:r>
      <w:r w:rsidR="00C975E2" w:rsidRPr="00C975E2">
        <w:t>)</w:t>
      </w:r>
      <w:r>
        <w:t xml:space="preserve"> </w:t>
      </w:r>
      <w:r w:rsidR="00C975E2" w:rsidRPr="00C975E2">
        <w:t xml:space="preserve"> </w:t>
      </w:r>
      <w:r w:rsidR="00C975E2" w:rsidRPr="00C975E2">
        <w:rPr>
          <w:i/>
          <w:iCs/>
        </w:rPr>
        <w:t>Technical review.</w:t>
      </w:r>
      <w:r w:rsidR="00C975E2">
        <w:rPr>
          <w:i/>
          <w:iCs/>
        </w:rPr>
        <w:t xml:space="preserve"> </w:t>
      </w:r>
      <w:r w:rsidR="00C975E2" w:rsidRPr="00C975E2">
        <w:rPr>
          <w:i/>
          <w:iCs/>
        </w:rPr>
        <w:t xml:space="preserve"> </w:t>
      </w:r>
      <w:r w:rsidR="00C975E2" w:rsidRPr="00C975E2">
        <w:t xml:space="preserve">Following receipt from </w:t>
      </w:r>
      <w:r w:rsidR="00F3663D">
        <w:t>OSMRE</w:t>
      </w:r>
      <w:r w:rsidR="00C975E2" w:rsidRPr="00C975E2">
        <w:t xml:space="preserve"> of a notice of administrative completeness, an applicant who pays by stage of review shall submit the technical review basic fee, plus the per-acre fee for each acre of disturbed area or fraction thereof to be included in the permit area.</w:t>
      </w:r>
    </w:p>
    <w:p w14:paraId="69EEC303" w14:textId="77777777" w:rsidR="00C975E2" w:rsidRPr="00C975E2" w:rsidRDefault="002E1487" w:rsidP="002E1487">
      <w:pPr>
        <w:pStyle w:val="NormalWeb"/>
        <w:ind w:left="720" w:hanging="720"/>
      </w:pPr>
      <w:r>
        <w:tab/>
      </w:r>
      <w:r w:rsidR="00C975E2">
        <w:t>(c</w:t>
      </w:r>
      <w:r w:rsidR="00C975E2" w:rsidRPr="00C975E2">
        <w:t>)</w:t>
      </w:r>
      <w:r>
        <w:t xml:space="preserve"> </w:t>
      </w:r>
      <w:r w:rsidR="00C975E2" w:rsidRPr="00C975E2">
        <w:t xml:space="preserve"> </w:t>
      </w:r>
      <w:r w:rsidR="00C975E2" w:rsidRPr="00C975E2">
        <w:rPr>
          <w:i/>
          <w:iCs/>
        </w:rPr>
        <w:t xml:space="preserve">Permit issuance. </w:t>
      </w:r>
      <w:r w:rsidR="00C975E2">
        <w:rPr>
          <w:i/>
          <w:iCs/>
        </w:rPr>
        <w:t xml:space="preserve"> </w:t>
      </w:r>
      <w:r w:rsidR="00C975E2" w:rsidRPr="00C975E2">
        <w:t xml:space="preserve">Following receipt from </w:t>
      </w:r>
      <w:r w:rsidR="00F3663D">
        <w:t>OSMRE</w:t>
      </w:r>
      <w:r w:rsidR="00C975E2" w:rsidRPr="00C975E2">
        <w:t xml:space="preserve"> of a notice of technical adequacy, an applicant who pays by stage of review shall submit the decision document fee.</w:t>
      </w:r>
    </w:p>
    <w:p w14:paraId="07BC2CA0" w14:textId="77777777" w:rsidR="00841A79" w:rsidRDefault="00A028F4" w:rsidP="002E1487">
      <w:pPr>
        <w:ind w:left="720" w:hanging="720"/>
      </w:pPr>
      <w:r>
        <w:t>3.</w:t>
      </w:r>
      <w:r>
        <w:tab/>
        <w:t>See Identical Responses to Statements.</w:t>
      </w:r>
    </w:p>
    <w:p w14:paraId="5908A421" w14:textId="77777777" w:rsidR="00A028F4" w:rsidRPr="00542969" w:rsidRDefault="00A028F4" w:rsidP="002E1487">
      <w:pPr>
        <w:ind w:left="720" w:hanging="720"/>
      </w:pPr>
    </w:p>
    <w:p w14:paraId="3B8D740F" w14:textId="77777777" w:rsidR="00841A79" w:rsidRPr="00542969" w:rsidRDefault="00841A79" w:rsidP="002E1487">
      <w:pPr>
        <w:ind w:left="720" w:hanging="720"/>
      </w:pPr>
      <w:r w:rsidRPr="00542969">
        <w:t>4.</w:t>
      </w:r>
      <w:r w:rsidRPr="00542969">
        <w:tab/>
        <w:t>See Identical Responses to Statements.</w:t>
      </w:r>
    </w:p>
    <w:p w14:paraId="3CAA36C5" w14:textId="77777777" w:rsidR="00841A79" w:rsidRPr="00542969" w:rsidRDefault="00841A79" w:rsidP="002E1487">
      <w:pPr>
        <w:ind w:left="720" w:hanging="720"/>
      </w:pPr>
    </w:p>
    <w:p w14:paraId="6903FCCE" w14:textId="77777777" w:rsidR="00841A79" w:rsidRPr="00542969" w:rsidRDefault="00841A79" w:rsidP="002E1487">
      <w:pPr>
        <w:ind w:left="720" w:hanging="720"/>
      </w:pPr>
      <w:r w:rsidRPr="00542969">
        <w:t xml:space="preserve">5.  </w:t>
      </w:r>
      <w:r w:rsidRPr="00542969">
        <w:tab/>
        <w:t>See Identical Responses to Statements.</w:t>
      </w:r>
    </w:p>
    <w:p w14:paraId="5906517D" w14:textId="77777777" w:rsidR="00841A79" w:rsidRPr="00542969" w:rsidRDefault="00841A79" w:rsidP="002E1487">
      <w:pPr>
        <w:ind w:left="720" w:hanging="720"/>
      </w:pPr>
    </w:p>
    <w:p w14:paraId="6270FC67" w14:textId="77777777" w:rsidR="00841A79" w:rsidRPr="00542969" w:rsidRDefault="00841A79" w:rsidP="002E1487">
      <w:pPr>
        <w:ind w:left="720" w:hanging="720"/>
      </w:pPr>
      <w:r w:rsidRPr="00542969">
        <w:t xml:space="preserve">6.  </w:t>
      </w:r>
      <w:r w:rsidRPr="00542969">
        <w:tab/>
        <w:t>See Identical Responses to Statements.</w:t>
      </w:r>
    </w:p>
    <w:p w14:paraId="238FED03" w14:textId="77777777" w:rsidR="00841A79" w:rsidRPr="00542969" w:rsidRDefault="00841A79" w:rsidP="002E1487">
      <w:pPr>
        <w:ind w:left="720" w:hanging="720"/>
      </w:pPr>
    </w:p>
    <w:p w14:paraId="63844DA6" w14:textId="77777777" w:rsidR="00841A79" w:rsidRPr="00542969" w:rsidRDefault="00841A79" w:rsidP="002E1487">
      <w:pPr>
        <w:ind w:left="720" w:hanging="720"/>
      </w:pPr>
      <w:r w:rsidRPr="00542969">
        <w:t xml:space="preserve">7.  </w:t>
      </w:r>
      <w:r w:rsidRPr="00542969">
        <w:tab/>
        <w:t>See Identical Responses to Statements.</w:t>
      </w:r>
    </w:p>
    <w:p w14:paraId="65A3D708" w14:textId="77777777" w:rsidR="00841A79" w:rsidRPr="00542969" w:rsidRDefault="00841A79" w:rsidP="002E1487">
      <w:pPr>
        <w:ind w:left="720" w:hanging="720"/>
      </w:pPr>
    </w:p>
    <w:p w14:paraId="597D462A" w14:textId="77777777" w:rsidR="00841A79" w:rsidRPr="00542969" w:rsidRDefault="00841A79" w:rsidP="002E1487">
      <w:pPr>
        <w:ind w:left="720" w:hanging="720"/>
      </w:pPr>
      <w:r w:rsidRPr="00542969">
        <w:t xml:space="preserve">8.  </w:t>
      </w:r>
      <w:r w:rsidRPr="00542969">
        <w:tab/>
        <w:t>See Identical Responses to Statements.</w:t>
      </w:r>
    </w:p>
    <w:p w14:paraId="35F9A78E" w14:textId="77777777" w:rsidR="00841A79" w:rsidRPr="00542969" w:rsidRDefault="00841A79" w:rsidP="002E1487">
      <w:pPr>
        <w:ind w:left="720" w:hanging="720"/>
      </w:pPr>
    </w:p>
    <w:p w14:paraId="459DB473" w14:textId="77777777" w:rsidR="00841A79" w:rsidRPr="00542969" w:rsidRDefault="00841A79" w:rsidP="002E1487">
      <w:pPr>
        <w:ind w:left="720" w:hanging="720"/>
      </w:pPr>
      <w:r w:rsidRPr="00542969">
        <w:t xml:space="preserve">9.  </w:t>
      </w:r>
      <w:r w:rsidRPr="00542969">
        <w:tab/>
        <w:t>See Identical Responses to Statements.</w:t>
      </w:r>
    </w:p>
    <w:p w14:paraId="4E206CA7" w14:textId="77777777" w:rsidR="00841A79" w:rsidRPr="00542969" w:rsidRDefault="00841A79" w:rsidP="002E1487">
      <w:pPr>
        <w:ind w:left="720" w:hanging="720"/>
      </w:pPr>
    </w:p>
    <w:p w14:paraId="4CF52A71" w14:textId="77777777" w:rsidR="00841A79" w:rsidRPr="00542969" w:rsidRDefault="00841A79" w:rsidP="002E1487">
      <w:pPr>
        <w:ind w:left="720" w:hanging="720"/>
      </w:pPr>
      <w:r w:rsidRPr="00542969">
        <w:t xml:space="preserve">10. </w:t>
      </w:r>
      <w:r w:rsidR="002E1487">
        <w:tab/>
      </w:r>
      <w:r w:rsidRPr="00542969">
        <w:t>See Identical Responses to Statements.</w:t>
      </w:r>
    </w:p>
    <w:p w14:paraId="746A20D7" w14:textId="77777777" w:rsidR="00841A79" w:rsidRPr="00542969" w:rsidRDefault="00841A79" w:rsidP="002E1487">
      <w:pPr>
        <w:ind w:left="720" w:hanging="720"/>
      </w:pPr>
    </w:p>
    <w:p w14:paraId="267AD89C" w14:textId="77777777" w:rsidR="00841A79" w:rsidRDefault="00841A79" w:rsidP="002E1487">
      <w:pPr>
        <w:ind w:left="720" w:hanging="720"/>
      </w:pPr>
      <w:r w:rsidRPr="00542969">
        <w:t xml:space="preserve">11.  </w:t>
      </w:r>
      <w:r w:rsidRPr="00542969">
        <w:tab/>
        <w:t>See Identical Responses to Statements.</w:t>
      </w:r>
    </w:p>
    <w:p w14:paraId="51D49FEE" w14:textId="77777777" w:rsidR="002E1487" w:rsidRDefault="002E1487" w:rsidP="002E1487">
      <w:pPr>
        <w:ind w:left="720" w:hanging="720"/>
      </w:pPr>
    </w:p>
    <w:p w14:paraId="65083D55" w14:textId="77777777" w:rsidR="002E1487" w:rsidRDefault="002E1487" w:rsidP="002E1487">
      <w:pPr>
        <w:ind w:left="720" w:hanging="720"/>
      </w:pPr>
      <w:r>
        <w:t>12.</w:t>
      </w:r>
      <w:r>
        <w:tab/>
        <w:t>Estimated Information Collection Burden</w:t>
      </w:r>
    </w:p>
    <w:p w14:paraId="0825D7D9" w14:textId="77777777" w:rsidR="008A6CBA" w:rsidRDefault="008A6CBA">
      <w:pPr>
        <w:ind w:left="1080" w:hanging="360"/>
      </w:pPr>
    </w:p>
    <w:p w14:paraId="2ED65DE0" w14:textId="5244AF24" w:rsidR="00841A79" w:rsidRPr="00542969" w:rsidRDefault="00841A79" w:rsidP="00841A79">
      <w:pPr>
        <w:ind w:left="720"/>
      </w:pPr>
      <w:r w:rsidRPr="00542969">
        <w:t xml:space="preserve">We estimate there will be </w:t>
      </w:r>
      <w:r w:rsidR="00662639">
        <w:t xml:space="preserve">only </w:t>
      </w:r>
      <w:r w:rsidR="0063616F">
        <w:t>1</w:t>
      </w:r>
      <w:r w:rsidRPr="00542969">
        <w:t xml:space="preserve"> application for </w:t>
      </w:r>
      <w:r w:rsidR="0063616F">
        <w:t xml:space="preserve">a </w:t>
      </w:r>
      <w:r w:rsidR="002E1487">
        <w:t xml:space="preserve">new </w:t>
      </w:r>
      <w:r w:rsidRPr="00542969">
        <w:t xml:space="preserve">permit </w:t>
      </w:r>
      <w:r w:rsidR="0063616F">
        <w:t xml:space="preserve">to mine coal </w:t>
      </w:r>
      <w:r w:rsidRPr="00542969">
        <w:t xml:space="preserve">annually received by </w:t>
      </w:r>
      <w:r w:rsidR="00F3663D">
        <w:t>OSMRE</w:t>
      </w:r>
      <w:r w:rsidR="002E1487">
        <w:t xml:space="preserve"> as the </w:t>
      </w:r>
      <w:r w:rsidRPr="00542969">
        <w:t>regulatory authorit</w:t>
      </w:r>
      <w:r w:rsidR="002E1487">
        <w:t xml:space="preserve">y in </w:t>
      </w:r>
      <w:r w:rsidR="000A4459">
        <w:t>Federal Program State</w:t>
      </w:r>
      <w:r w:rsidR="002E1487">
        <w:t>s</w:t>
      </w:r>
      <w:r w:rsidR="00AC5232">
        <w:t xml:space="preserve"> and on Indian lands</w:t>
      </w:r>
      <w:r w:rsidRPr="00542969">
        <w:t>.  This estimate is based upon data collected fr</w:t>
      </w:r>
      <w:r w:rsidR="00AC5232">
        <w:t xml:space="preserve">om </w:t>
      </w:r>
      <w:r w:rsidRPr="00542969">
        <w:t xml:space="preserve">the </w:t>
      </w:r>
      <w:r w:rsidR="001C3465">
        <w:t>2016-2018</w:t>
      </w:r>
      <w:r w:rsidRPr="00542969">
        <w:t xml:space="preserve"> evaluation year</w:t>
      </w:r>
      <w:r w:rsidR="001C3465">
        <w:t>s</w:t>
      </w:r>
      <w:r w:rsidRPr="00542969">
        <w:t>.</w:t>
      </w:r>
      <w:r w:rsidR="002E1487">
        <w:t xml:space="preserve">  There is no hourly burden associated with this section</w:t>
      </w:r>
      <w:r w:rsidR="0063616F">
        <w:t xml:space="preserve">, </w:t>
      </w:r>
      <w:r w:rsidR="00B80B80">
        <w:t>only the submission of permitting fees</w:t>
      </w:r>
      <w:r w:rsidR="002E1487">
        <w:t xml:space="preserve">. </w:t>
      </w:r>
      <w:r w:rsidRPr="00542969">
        <w:t xml:space="preserve">  </w:t>
      </w:r>
    </w:p>
    <w:p w14:paraId="70DC1D22" w14:textId="77777777" w:rsidR="00841A79" w:rsidRPr="00542969" w:rsidRDefault="00841A79" w:rsidP="00841A79">
      <w:pPr>
        <w:ind w:left="360"/>
      </w:pPr>
    </w:p>
    <w:p w14:paraId="47569B7C" w14:textId="77777777" w:rsidR="00841A79" w:rsidRPr="00542969" w:rsidRDefault="00841A79" w:rsidP="00841A79">
      <w:pPr>
        <w:ind w:left="720" w:hanging="720"/>
      </w:pPr>
      <w:r w:rsidRPr="00542969">
        <w:t>13.</w:t>
      </w:r>
      <w:r w:rsidRPr="00542969">
        <w:tab/>
      </w:r>
      <w:r w:rsidRPr="00542969">
        <w:rPr>
          <w:u w:val="single"/>
        </w:rPr>
        <w:t>Total Annual Non-Wage Cost Burden to Respondents</w:t>
      </w:r>
    </w:p>
    <w:p w14:paraId="6097C0E2" w14:textId="77777777" w:rsidR="00841A79" w:rsidRDefault="00841A79" w:rsidP="00841A79"/>
    <w:p w14:paraId="38CF79F7" w14:textId="77777777" w:rsidR="00A9049F" w:rsidRPr="00542969" w:rsidRDefault="00A9049F" w:rsidP="00841A79">
      <w:r>
        <w:tab/>
        <w:t>a.</w:t>
      </w:r>
      <w:r>
        <w:tab/>
        <w:t>Annual Capital and Start-up Costs</w:t>
      </w:r>
    </w:p>
    <w:p w14:paraId="0A86C6BC" w14:textId="77777777" w:rsidR="00841A79" w:rsidRPr="00542969" w:rsidRDefault="00841A79" w:rsidP="00841A79"/>
    <w:p w14:paraId="6F82D124" w14:textId="773F5D5B" w:rsidR="00A9049F" w:rsidRDefault="00841A79" w:rsidP="00841A79">
      <w:pPr>
        <w:pStyle w:val="BodyTextIndent"/>
        <w:ind w:left="720"/>
      </w:pPr>
      <w:r w:rsidRPr="00542969">
        <w:t>Th</w:t>
      </w:r>
      <w:r w:rsidR="002E1487">
        <w:t xml:space="preserve">is </w:t>
      </w:r>
      <w:r w:rsidRPr="00542969">
        <w:t>information collection reques</w:t>
      </w:r>
      <w:r w:rsidR="00A9049F">
        <w:t>t seeks to incorporate the processing fees authorized in 30 CFR 736.25</w:t>
      </w:r>
      <w:r w:rsidR="00AC5232">
        <w:t xml:space="preserve"> and 750.25</w:t>
      </w:r>
      <w:r w:rsidR="00A9049F">
        <w:t xml:space="preserve"> as a </w:t>
      </w:r>
      <w:r w:rsidRPr="00542969">
        <w:t>start-up cost</w:t>
      </w:r>
      <w:r w:rsidR="00A9049F">
        <w:t xml:space="preserve"> for new permit applications in </w:t>
      </w:r>
      <w:r w:rsidR="000A4459">
        <w:t>Federal Program State</w:t>
      </w:r>
      <w:r w:rsidR="00A9049F">
        <w:t>s.  Applicants for a new permit may submit processing fees when they submit their permit application, or in a schedule as follows:</w:t>
      </w:r>
    </w:p>
    <w:p w14:paraId="089E50C9" w14:textId="77777777" w:rsidR="00A9049F" w:rsidRDefault="00A9049F" w:rsidP="00841A79">
      <w:pPr>
        <w:pStyle w:val="BodyTextIndent"/>
        <w:ind w:left="720"/>
      </w:pPr>
    </w:p>
    <w:tbl>
      <w:tblPr>
        <w:tblW w:w="4538" w:type="pct"/>
        <w:tblInd w:w="732" w:type="dxa"/>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6555"/>
        <w:gridCol w:w="1635"/>
      </w:tblGrid>
      <w:tr w:rsidR="00A9049F" w:rsidRPr="000D0969" w14:paraId="0F353CD8" w14:textId="77777777" w:rsidTr="00A9049F">
        <w:tc>
          <w:tcPr>
            <w:tcW w:w="4002" w:type="pct"/>
            <w:tcBorders>
              <w:top w:val="single" w:sz="4" w:space="0" w:color="000000"/>
              <w:left w:val="single" w:sz="4" w:space="0" w:color="000000"/>
              <w:bottom w:val="single" w:sz="4" w:space="0" w:color="000000"/>
              <w:right w:val="single" w:sz="4" w:space="0" w:color="000000"/>
            </w:tcBorders>
            <w:hideMark/>
          </w:tcPr>
          <w:p w14:paraId="3C8DE87D" w14:textId="77777777" w:rsidR="00A9049F" w:rsidRPr="000D0969" w:rsidRDefault="00A9049F">
            <w:r w:rsidRPr="000D0969">
              <w:t>Administrative completeness review</w:t>
            </w:r>
          </w:p>
        </w:tc>
        <w:tc>
          <w:tcPr>
            <w:tcW w:w="998" w:type="pct"/>
            <w:tcBorders>
              <w:top w:val="single" w:sz="4" w:space="0" w:color="000000"/>
              <w:left w:val="single" w:sz="4" w:space="0" w:color="000000"/>
              <w:bottom w:val="single" w:sz="4" w:space="0" w:color="000000"/>
              <w:right w:val="single" w:sz="4" w:space="0" w:color="000000"/>
            </w:tcBorders>
            <w:hideMark/>
          </w:tcPr>
          <w:p w14:paraId="2B1CE977" w14:textId="77777777" w:rsidR="00A9049F" w:rsidRPr="000D0969" w:rsidRDefault="005D76A5">
            <w:r>
              <w:t>$250.00</w:t>
            </w:r>
          </w:p>
        </w:tc>
      </w:tr>
      <w:tr w:rsidR="00A9049F" w:rsidRPr="000D0969" w14:paraId="7052D117" w14:textId="77777777" w:rsidTr="00A9049F">
        <w:tc>
          <w:tcPr>
            <w:tcW w:w="4002" w:type="pct"/>
            <w:tcBorders>
              <w:top w:val="single" w:sz="4" w:space="0" w:color="000000"/>
              <w:left w:val="single" w:sz="4" w:space="0" w:color="000000"/>
              <w:bottom w:val="single" w:sz="4" w:space="0" w:color="000000"/>
              <w:right w:val="single" w:sz="4" w:space="0" w:color="000000"/>
            </w:tcBorders>
            <w:hideMark/>
          </w:tcPr>
          <w:p w14:paraId="086BF04E" w14:textId="77777777" w:rsidR="00A9049F" w:rsidRPr="000D0969" w:rsidRDefault="005D76A5">
            <w:r>
              <w:t>Technical review:</w:t>
            </w:r>
          </w:p>
        </w:tc>
        <w:tc>
          <w:tcPr>
            <w:tcW w:w="998" w:type="pct"/>
            <w:tcBorders>
              <w:top w:val="single" w:sz="4" w:space="0" w:color="000000"/>
              <w:left w:val="single" w:sz="4" w:space="0" w:color="000000"/>
              <w:bottom w:val="single" w:sz="4" w:space="0" w:color="000000"/>
              <w:right w:val="single" w:sz="4" w:space="0" w:color="000000"/>
            </w:tcBorders>
            <w:hideMark/>
          </w:tcPr>
          <w:p w14:paraId="2FEE9EE7" w14:textId="77777777" w:rsidR="00A9049F" w:rsidRPr="000D0969" w:rsidRDefault="00A9049F"/>
        </w:tc>
      </w:tr>
      <w:tr w:rsidR="00A9049F" w:rsidRPr="000D0969" w14:paraId="76930DFD"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342C6301" w14:textId="77777777" w:rsidR="00A9049F" w:rsidRPr="000D0969" w:rsidRDefault="005D76A5">
            <w:r>
              <w:t>Basic fee</w:t>
            </w:r>
          </w:p>
        </w:tc>
        <w:tc>
          <w:tcPr>
            <w:tcW w:w="998" w:type="pct"/>
            <w:tcBorders>
              <w:top w:val="single" w:sz="4" w:space="0" w:color="000000"/>
              <w:left w:val="single" w:sz="4" w:space="0" w:color="000000"/>
              <w:bottom w:val="single" w:sz="4" w:space="0" w:color="000000"/>
              <w:right w:val="single" w:sz="4" w:space="0" w:color="000000"/>
            </w:tcBorders>
            <w:hideMark/>
          </w:tcPr>
          <w:p w14:paraId="25DEFCC0" w14:textId="77777777" w:rsidR="00A9049F" w:rsidRPr="000D0969" w:rsidRDefault="00C14E70">
            <w:r>
              <w:t>$</w:t>
            </w:r>
            <w:r w:rsidR="005D76A5">
              <w:t>1</w:t>
            </w:r>
            <w:r>
              <w:t>,</w:t>
            </w:r>
            <w:r w:rsidR="005D76A5">
              <w:t>350.00</w:t>
            </w:r>
          </w:p>
        </w:tc>
      </w:tr>
      <w:tr w:rsidR="00A9049F" w:rsidRPr="000D0969" w14:paraId="0BD32D55" w14:textId="77777777" w:rsidTr="00A9049F">
        <w:tc>
          <w:tcPr>
            <w:tcW w:w="4002" w:type="pct"/>
            <w:tcBorders>
              <w:top w:val="single" w:sz="4" w:space="0" w:color="000000"/>
              <w:left w:val="single" w:sz="4" w:space="0" w:color="000000"/>
              <w:bottom w:val="single" w:sz="4" w:space="0" w:color="000000"/>
              <w:right w:val="single" w:sz="4" w:space="0" w:color="000000"/>
            </w:tcBorders>
            <w:hideMark/>
          </w:tcPr>
          <w:p w14:paraId="028CA49D" w14:textId="77777777" w:rsidR="00A9049F" w:rsidRPr="000D0969" w:rsidRDefault="005D76A5">
            <w:r>
              <w:t>Fee per acre of disturbed area in permit area:</w:t>
            </w:r>
          </w:p>
        </w:tc>
        <w:tc>
          <w:tcPr>
            <w:tcW w:w="998" w:type="pct"/>
            <w:tcBorders>
              <w:top w:val="single" w:sz="4" w:space="0" w:color="000000"/>
              <w:left w:val="single" w:sz="4" w:space="0" w:color="000000"/>
              <w:bottom w:val="single" w:sz="4" w:space="0" w:color="000000"/>
              <w:right w:val="single" w:sz="4" w:space="0" w:color="000000"/>
            </w:tcBorders>
            <w:hideMark/>
          </w:tcPr>
          <w:p w14:paraId="6893DEB1" w14:textId="77777777" w:rsidR="00A9049F" w:rsidRPr="000D0969" w:rsidRDefault="00A9049F"/>
        </w:tc>
      </w:tr>
      <w:tr w:rsidR="00A9049F" w:rsidRPr="000D0969" w14:paraId="291D50C9"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3F7ED81E" w14:textId="77777777" w:rsidR="00A9049F" w:rsidRPr="000D0969" w:rsidRDefault="005D76A5">
            <w:r>
              <w:t>First 1,000 acres</w:t>
            </w:r>
          </w:p>
        </w:tc>
        <w:tc>
          <w:tcPr>
            <w:tcW w:w="998" w:type="pct"/>
            <w:tcBorders>
              <w:top w:val="single" w:sz="4" w:space="0" w:color="000000"/>
              <w:left w:val="single" w:sz="4" w:space="0" w:color="000000"/>
              <w:bottom w:val="single" w:sz="4" w:space="0" w:color="000000"/>
              <w:right w:val="single" w:sz="4" w:space="0" w:color="000000"/>
            </w:tcBorders>
            <w:hideMark/>
          </w:tcPr>
          <w:p w14:paraId="0035C042" w14:textId="77777777" w:rsidR="00A9049F" w:rsidRPr="000D0969" w:rsidRDefault="00C14E70">
            <w:r>
              <w:t>$</w:t>
            </w:r>
            <w:r w:rsidR="005D76A5">
              <w:t>13.50/acre</w:t>
            </w:r>
          </w:p>
        </w:tc>
      </w:tr>
      <w:tr w:rsidR="00A9049F" w:rsidRPr="000D0969" w14:paraId="714E95FC"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64B0FA52" w14:textId="77777777" w:rsidR="00A9049F" w:rsidRPr="000D0969" w:rsidRDefault="005D76A5">
            <w:r>
              <w:t>Second 1,000 acres</w:t>
            </w:r>
          </w:p>
        </w:tc>
        <w:tc>
          <w:tcPr>
            <w:tcW w:w="998" w:type="pct"/>
            <w:tcBorders>
              <w:top w:val="single" w:sz="4" w:space="0" w:color="000000"/>
              <w:left w:val="single" w:sz="4" w:space="0" w:color="000000"/>
              <w:bottom w:val="single" w:sz="4" w:space="0" w:color="000000"/>
              <w:right w:val="single" w:sz="4" w:space="0" w:color="000000"/>
            </w:tcBorders>
            <w:hideMark/>
          </w:tcPr>
          <w:p w14:paraId="74801911" w14:textId="77777777" w:rsidR="00A9049F" w:rsidRPr="000D0969" w:rsidRDefault="00C14E70">
            <w:r>
              <w:t>$</w:t>
            </w:r>
            <w:r w:rsidR="005D76A5">
              <w:t>6.00/acre</w:t>
            </w:r>
          </w:p>
        </w:tc>
      </w:tr>
      <w:tr w:rsidR="00A9049F" w:rsidRPr="000D0969" w14:paraId="02B6D584"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6EDCEBA4" w14:textId="77777777" w:rsidR="00A9049F" w:rsidRPr="000D0969" w:rsidRDefault="005D76A5">
            <w:r>
              <w:t>Third 1,000 acres</w:t>
            </w:r>
          </w:p>
        </w:tc>
        <w:tc>
          <w:tcPr>
            <w:tcW w:w="998" w:type="pct"/>
            <w:tcBorders>
              <w:top w:val="single" w:sz="4" w:space="0" w:color="000000"/>
              <w:left w:val="single" w:sz="4" w:space="0" w:color="000000"/>
              <w:bottom w:val="single" w:sz="4" w:space="0" w:color="000000"/>
              <w:right w:val="single" w:sz="4" w:space="0" w:color="000000"/>
            </w:tcBorders>
            <w:hideMark/>
          </w:tcPr>
          <w:p w14:paraId="2C48DF9A" w14:textId="77777777" w:rsidR="00A9049F" w:rsidRPr="000D0969" w:rsidRDefault="00C14E70">
            <w:r>
              <w:t>$</w:t>
            </w:r>
            <w:r w:rsidR="005D76A5">
              <w:t>4.00/acre</w:t>
            </w:r>
          </w:p>
        </w:tc>
      </w:tr>
      <w:tr w:rsidR="00A9049F" w:rsidRPr="000D0969" w14:paraId="010604BA" w14:textId="77777777" w:rsidTr="00A9049F">
        <w:tc>
          <w:tcPr>
            <w:tcW w:w="4002" w:type="pct"/>
            <w:tcBorders>
              <w:top w:val="single" w:sz="4" w:space="0" w:color="000000"/>
              <w:left w:val="single" w:sz="4" w:space="0" w:color="000000"/>
              <w:bottom w:val="single" w:sz="4" w:space="0" w:color="000000"/>
              <w:right w:val="single" w:sz="4" w:space="0" w:color="000000"/>
            </w:tcBorders>
            <w:tcMar>
              <w:top w:w="120" w:type="dxa"/>
              <w:left w:w="480" w:type="dxa"/>
              <w:bottom w:w="12" w:type="dxa"/>
              <w:right w:w="12" w:type="dxa"/>
            </w:tcMar>
            <w:hideMark/>
          </w:tcPr>
          <w:p w14:paraId="3B29CFC4" w14:textId="77777777" w:rsidR="00A9049F" w:rsidRPr="000D0969" w:rsidRDefault="005D76A5">
            <w:r>
              <w:t>Additional acres</w:t>
            </w:r>
          </w:p>
        </w:tc>
        <w:tc>
          <w:tcPr>
            <w:tcW w:w="998" w:type="pct"/>
            <w:tcBorders>
              <w:top w:val="single" w:sz="4" w:space="0" w:color="000000"/>
              <w:left w:val="single" w:sz="4" w:space="0" w:color="000000"/>
              <w:bottom w:val="single" w:sz="4" w:space="0" w:color="000000"/>
              <w:right w:val="single" w:sz="4" w:space="0" w:color="000000"/>
            </w:tcBorders>
            <w:hideMark/>
          </w:tcPr>
          <w:p w14:paraId="4E146F7E" w14:textId="77777777" w:rsidR="00A9049F" w:rsidRPr="000D0969" w:rsidRDefault="00C14E70">
            <w:r>
              <w:t>$</w:t>
            </w:r>
            <w:r w:rsidR="005D76A5">
              <w:t>3.00/acre</w:t>
            </w:r>
          </w:p>
        </w:tc>
      </w:tr>
      <w:tr w:rsidR="00A9049F" w:rsidRPr="000D0969" w14:paraId="4AC3DD5D" w14:textId="77777777" w:rsidTr="00A9049F">
        <w:tc>
          <w:tcPr>
            <w:tcW w:w="4002" w:type="pct"/>
            <w:tcBorders>
              <w:top w:val="single" w:sz="4" w:space="0" w:color="000000"/>
              <w:left w:val="single" w:sz="4" w:space="0" w:color="000000"/>
              <w:bottom w:val="single" w:sz="4" w:space="0" w:color="000000"/>
              <w:right w:val="single" w:sz="4" w:space="0" w:color="000000"/>
            </w:tcBorders>
            <w:hideMark/>
          </w:tcPr>
          <w:p w14:paraId="5EEFFFC7" w14:textId="77777777" w:rsidR="00A9049F" w:rsidRPr="000D0969" w:rsidRDefault="005D76A5">
            <w:r>
              <w:t>Decision Document</w:t>
            </w:r>
          </w:p>
        </w:tc>
        <w:tc>
          <w:tcPr>
            <w:tcW w:w="998" w:type="pct"/>
            <w:tcBorders>
              <w:top w:val="single" w:sz="4" w:space="0" w:color="000000"/>
              <w:left w:val="single" w:sz="4" w:space="0" w:color="000000"/>
              <w:bottom w:val="single" w:sz="4" w:space="0" w:color="000000"/>
              <w:right w:val="single" w:sz="4" w:space="0" w:color="000000"/>
            </w:tcBorders>
            <w:hideMark/>
          </w:tcPr>
          <w:p w14:paraId="38345594" w14:textId="77777777" w:rsidR="00A9049F" w:rsidRPr="000D0969" w:rsidRDefault="00C14E70">
            <w:r>
              <w:t>$</w:t>
            </w:r>
            <w:r w:rsidR="005D76A5">
              <w:t>2</w:t>
            </w:r>
            <w:r>
              <w:t>,</w:t>
            </w:r>
            <w:r w:rsidR="005D76A5">
              <w:t>000.00</w:t>
            </w:r>
          </w:p>
        </w:tc>
      </w:tr>
    </w:tbl>
    <w:p w14:paraId="57102761" w14:textId="77777777" w:rsidR="00A9049F" w:rsidRDefault="00A9049F" w:rsidP="00841A79">
      <w:pPr>
        <w:pStyle w:val="BodyTextIndent"/>
        <w:ind w:left="720"/>
      </w:pPr>
    </w:p>
    <w:p w14:paraId="21C391FA" w14:textId="77777777" w:rsidR="00D40DCA" w:rsidRDefault="00F3663D" w:rsidP="00841A79">
      <w:pPr>
        <w:pStyle w:val="BodyTextIndent"/>
        <w:ind w:left="720"/>
      </w:pPr>
      <w:r>
        <w:t>OSMRE</w:t>
      </w:r>
      <w:r w:rsidR="00D40DCA">
        <w:t xml:space="preserve"> is the regulatory authority in two Federal Program States – Tennessee and Washington</w:t>
      </w:r>
      <w:r w:rsidR="00AC5232">
        <w:t xml:space="preserve"> and on Indian lands</w:t>
      </w:r>
      <w:r w:rsidR="00D40DCA">
        <w:t xml:space="preserve">.  In Tennessee, </w:t>
      </w:r>
      <w:r w:rsidR="00320AEB">
        <w:t>a typical permit application will include 2</w:t>
      </w:r>
      <w:r w:rsidR="00AC5232">
        <w:t>0</w:t>
      </w:r>
      <w:r w:rsidR="00320AEB">
        <w:t xml:space="preserve">0 </w:t>
      </w:r>
      <w:r w:rsidR="00D40DCA">
        <w:t>acres</w:t>
      </w:r>
      <w:r w:rsidR="00320AEB">
        <w:t>, and in Washington</w:t>
      </w:r>
      <w:r w:rsidR="00AC5232">
        <w:t xml:space="preserve"> and on Indian lands</w:t>
      </w:r>
      <w:r w:rsidR="00320AEB">
        <w:t xml:space="preserve">, a typical permit application will include </w:t>
      </w:r>
      <w:r w:rsidR="00AC5232">
        <w:t>6</w:t>
      </w:r>
      <w:r w:rsidR="00320AEB">
        <w:t>,</w:t>
      </w:r>
      <w:r w:rsidR="00AC5232">
        <w:t>0</w:t>
      </w:r>
      <w:r w:rsidR="00320AEB">
        <w:t>00 acres.</w:t>
      </w:r>
    </w:p>
    <w:p w14:paraId="66C3E036" w14:textId="77777777" w:rsidR="00320AEB" w:rsidRDefault="00320AEB" w:rsidP="00841A79">
      <w:pPr>
        <w:pStyle w:val="BodyTextIndent"/>
        <w:ind w:left="720"/>
      </w:pPr>
    </w:p>
    <w:p w14:paraId="037D60E5" w14:textId="77777777" w:rsidR="00A9049F" w:rsidRDefault="00A9049F" w:rsidP="00841A79">
      <w:pPr>
        <w:pStyle w:val="BodyTextIndent"/>
        <w:ind w:left="720"/>
      </w:pPr>
      <w:r>
        <w:t>Based on th</w:t>
      </w:r>
      <w:r w:rsidR="00320AEB">
        <w:t>e fee</w:t>
      </w:r>
      <w:r>
        <w:t xml:space="preserve"> schedule, the </w:t>
      </w:r>
      <w:r w:rsidR="00320AEB">
        <w:t xml:space="preserve">typical </w:t>
      </w:r>
      <w:r>
        <w:t xml:space="preserve">fee </w:t>
      </w:r>
      <w:r w:rsidR="00961E0C">
        <w:t xml:space="preserve">for a new permit </w:t>
      </w:r>
      <w:r>
        <w:t xml:space="preserve">applicant </w:t>
      </w:r>
      <w:r w:rsidR="00320AEB">
        <w:t>in Tennessee would be:</w:t>
      </w:r>
    </w:p>
    <w:p w14:paraId="7BFAEC88" w14:textId="77777777" w:rsidR="00320AEB" w:rsidRDefault="00320AEB" w:rsidP="00841A79">
      <w:pPr>
        <w:pStyle w:val="BodyTextIndent"/>
        <w:ind w:left="720"/>
      </w:pPr>
    </w:p>
    <w:p w14:paraId="64511836" w14:textId="77777777" w:rsidR="00320AEB" w:rsidRDefault="00320AEB" w:rsidP="00841A79">
      <w:pPr>
        <w:pStyle w:val="BodyTextIndent"/>
        <w:ind w:left="720"/>
      </w:pPr>
      <w:r>
        <w:t>$250 for an administrative completeness review + $1,350 for a technical review + $2,000 for a decision document + $</w:t>
      </w:r>
      <w:r w:rsidR="00BF38D5">
        <w:t>2</w:t>
      </w:r>
      <w:r>
        <w:t>,</w:t>
      </w:r>
      <w:r w:rsidR="00BF38D5">
        <w:t>700</w:t>
      </w:r>
      <w:r>
        <w:t xml:space="preserve"> based on acreage = $6,</w:t>
      </w:r>
      <w:r w:rsidR="00BF38D5">
        <w:t>300</w:t>
      </w:r>
      <w:r>
        <w:t xml:space="preserve">. </w:t>
      </w:r>
    </w:p>
    <w:p w14:paraId="161AC4BC" w14:textId="77777777" w:rsidR="00A9049F" w:rsidRDefault="00A9049F" w:rsidP="00841A79">
      <w:pPr>
        <w:pStyle w:val="BodyTextIndent"/>
        <w:ind w:left="720"/>
      </w:pPr>
    </w:p>
    <w:p w14:paraId="1BFA101B" w14:textId="2FFFEC4B" w:rsidR="00A9049F" w:rsidRDefault="00320AEB" w:rsidP="00841A79">
      <w:pPr>
        <w:pStyle w:val="BodyTextIndent"/>
        <w:ind w:left="720"/>
      </w:pPr>
      <w:r>
        <w:t xml:space="preserve">Assuming that </w:t>
      </w:r>
      <w:r w:rsidR="00F3663D">
        <w:t>OSMRE</w:t>
      </w:r>
      <w:r>
        <w:t xml:space="preserve"> will receive </w:t>
      </w:r>
      <w:r w:rsidR="004160D1">
        <w:t xml:space="preserve">one </w:t>
      </w:r>
      <w:r>
        <w:t xml:space="preserve">new permit application in Tennessee </w:t>
      </w:r>
      <w:r w:rsidR="00BF38D5">
        <w:t xml:space="preserve">each year based on data from </w:t>
      </w:r>
      <w:r w:rsidR="000950A3">
        <w:t>2016-2018</w:t>
      </w:r>
      <w:r>
        <w:t xml:space="preserve">, fees submitted by respondents </w:t>
      </w:r>
      <w:r w:rsidR="000D0969">
        <w:t xml:space="preserve">in Tennessee </w:t>
      </w:r>
      <w:r>
        <w:t>will total $</w:t>
      </w:r>
      <w:r w:rsidR="004160D1">
        <w:t>6,300</w:t>
      </w:r>
      <w:r>
        <w:t xml:space="preserve"> (</w:t>
      </w:r>
      <w:r w:rsidR="004160D1">
        <w:t>1</w:t>
      </w:r>
      <w:r>
        <w:t xml:space="preserve"> permit x $6,</w:t>
      </w:r>
      <w:r w:rsidR="00BF38D5">
        <w:t>300</w:t>
      </w:r>
      <w:r>
        <w:t xml:space="preserve"> in processing fees).</w:t>
      </w:r>
    </w:p>
    <w:p w14:paraId="63488AF0" w14:textId="77777777" w:rsidR="000D0969" w:rsidRDefault="000D0969" w:rsidP="00841A79">
      <w:pPr>
        <w:pStyle w:val="BodyTextIndent"/>
        <w:ind w:left="720"/>
      </w:pPr>
    </w:p>
    <w:p w14:paraId="7106FCB1" w14:textId="77777777" w:rsidR="000D0969" w:rsidRDefault="004160D1" w:rsidP="000D0969">
      <w:pPr>
        <w:pStyle w:val="BodyTextIndent"/>
        <w:ind w:left="720"/>
      </w:pPr>
      <w:r>
        <w:t>We do not expect to receive a new permit application to mine coal in Washington or on Indian lands.</w:t>
      </w:r>
    </w:p>
    <w:p w14:paraId="3418F488" w14:textId="77777777" w:rsidR="00C14E70" w:rsidRDefault="00C14E70" w:rsidP="000D0969">
      <w:pPr>
        <w:pStyle w:val="BodyTextIndent"/>
        <w:ind w:left="720"/>
      </w:pPr>
    </w:p>
    <w:p w14:paraId="3C69E457" w14:textId="77777777" w:rsidR="000D0969" w:rsidRDefault="000D0969" w:rsidP="000D0969">
      <w:pPr>
        <w:pStyle w:val="BodyTextIndent"/>
        <w:ind w:left="720"/>
      </w:pPr>
      <w:r>
        <w:t xml:space="preserve">Therefore, the average non-wage cost burden for all respondents for </w:t>
      </w:r>
      <w:r w:rsidR="00BF38D5">
        <w:t>§</w:t>
      </w:r>
      <w:r w:rsidRPr="00C975E2">
        <w:t>§736.25</w:t>
      </w:r>
      <w:r w:rsidR="00BF38D5">
        <w:t xml:space="preserve"> and 750.25</w:t>
      </w:r>
      <w:r w:rsidRPr="00C975E2">
        <w:t xml:space="preserve"> </w:t>
      </w:r>
      <w:r w:rsidR="0006645C">
        <w:t>is</w:t>
      </w:r>
      <w:r>
        <w:t xml:space="preserve"> $</w:t>
      </w:r>
      <w:r w:rsidR="004160D1">
        <w:t>6,300</w:t>
      </w:r>
      <w:r>
        <w:t>.</w:t>
      </w:r>
    </w:p>
    <w:p w14:paraId="4569BCC4" w14:textId="77777777" w:rsidR="000D0969" w:rsidRDefault="000D0969" w:rsidP="000D0969">
      <w:pPr>
        <w:pStyle w:val="BodyTextIndent"/>
        <w:ind w:left="720"/>
      </w:pPr>
    </w:p>
    <w:p w14:paraId="047B78E8" w14:textId="77777777" w:rsidR="00A9049F" w:rsidRPr="00542969" w:rsidRDefault="00A9049F" w:rsidP="00A9049F">
      <w:r>
        <w:tab/>
        <w:t>b.</w:t>
      </w:r>
      <w:r>
        <w:tab/>
        <w:t>Operations and Maintenance Costs</w:t>
      </w:r>
    </w:p>
    <w:p w14:paraId="0FDA1D9F" w14:textId="77777777" w:rsidR="00A9049F" w:rsidRDefault="00A9049F" w:rsidP="00841A79">
      <w:pPr>
        <w:ind w:left="720"/>
      </w:pPr>
    </w:p>
    <w:p w14:paraId="3DAF1F39" w14:textId="77777777" w:rsidR="00841A79" w:rsidRPr="00542969" w:rsidRDefault="00841A79" w:rsidP="00841A79">
      <w:pPr>
        <w:ind w:left="720"/>
      </w:pPr>
      <w:r w:rsidRPr="00542969">
        <w:t>There are no significant or distinct non-wage operations or maintenance costs associated with compliance with the information collection requirements for this section.</w:t>
      </w:r>
    </w:p>
    <w:p w14:paraId="024DABF9" w14:textId="77777777" w:rsidR="00841A79" w:rsidRPr="00542969" w:rsidRDefault="00841A79" w:rsidP="00841A79">
      <w:pPr>
        <w:tabs>
          <w:tab w:val="left" w:pos="2655"/>
        </w:tabs>
      </w:pPr>
      <w:r w:rsidRPr="00542969">
        <w:tab/>
      </w:r>
    </w:p>
    <w:p w14:paraId="78CB0FE6" w14:textId="77777777" w:rsidR="00841A79" w:rsidRPr="00542969" w:rsidRDefault="00841A79" w:rsidP="00841A79">
      <w:r w:rsidRPr="00542969">
        <w:t>14.</w:t>
      </w:r>
      <w:r w:rsidRPr="00542969">
        <w:tab/>
      </w:r>
      <w:r w:rsidRPr="00542969">
        <w:rPr>
          <w:u w:val="single"/>
        </w:rPr>
        <w:t>Estimate of Cost to the Federal Government</w:t>
      </w:r>
    </w:p>
    <w:p w14:paraId="212DDD59" w14:textId="77777777" w:rsidR="00841A79" w:rsidRPr="00542969" w:rsidRDefault="00841A79" w:rsidP="00841A79"/>
    <w:p w14:paraId="7791745F" w14:textId="77777777" w:rsidR="0006645C" w:rsidRDefault="0006645C" w:rsidP="00841A79">
      <w:pPr>
        <w:pStyle w:val="BodyTextIndent"/>
        <w:ind w:left="720"/>
      </w:pPr>
      <w:r>
        <w:t xml:space="preserve">There is no </w:t>
      </w:r>
      <w:r w:rsidR="00961E0C">
        <w:t xml:space="preserve">cost </w:t>
      </w:r>
      <w:r w:rsidR="0025730C">
        <w:t xml:space="preserve">to the </w:t>
      </w:r>
      <w:r>
        <w:t xml:space="preserve">Federal </w:t>
      </w:r>
      <w:r w:rsidR="0025730C">
        <w:t>government as a result of this collection.</w:t>
      </w:r>
    </w:p>
    <w:p w14:paraId="222A66EF" w14:textId="77777777" w:rsidR="00841A79" w:rsidRPr="00542969" w:rsidRDefault="00841A79" w:rsidP="00841A79">
      <w:pPr>
        <w:ind w:left="360"/>
      </w:pPr>
    </w:p>
    <w:p w14:paraId="4FBBB391" w14:textId="77777777" w:rsidR="004160D1" w:rsidRDefault="00841A79" w:rsidP="00841A79">
      <w:pPr>
        <w:ind w:left="720" w:hanging="720"/>
      </w:pPr>
      <w:r w:rsidRPr="00542969">
        <w:t>15.</w:t>
      </w:r>
      <w:r w:rsidRPr="00542969">
        <w:tab/>
      </w:r>
      <w:r w:rsidR="004160D1">
        <w:t>There are no burden hours for respondents for §§736.25 and 750.25.</w:t>
      </w:r>
    </w:p>
    <w:p w14:paraId="6EE4AC39" w14:textId="77777777" w:rsidR="004160D1" w:rsidRDefault="004160D1" w:rsidP="00841A79">
      <w:pPr>
        <w:ind w:left="720" w:hanging="720"/>
      </w:pPr>
    </w:p>
    <w:p w14:paraId="55AFEBC9" w14:textId="193D83C5" w:rsidR="002E49C4" w:rsidRDefault="00841A79" w:rsidP="00662639">
      <w:pPr>
        <w:ind w:left="720"/>
      </w:pPr>
      <w:r w:rsidRPr="00542969">
        <w:t xml:space="preserve">This information collection request </w:t>
      </w:r>
      <w:r w:rsidR="00133726">
        <w:t>includes</w:t>
      </w:r>
      <w:r w:rsidR="002E49C4">
        <w:t xml:space="preserve"> $</w:t>
      </w:r>
      <w:r w:rsidR="004160D1">
        <w:t>6,300</w:t>
      </w:r>
      <w:r w:rsidR="002E49C4">
        <w:t xml:space="preserve"> in non-wage costs for respondents</w:t>
      </w:r>
      <w:r w:rsidR="004160D1">
        <w:t xml:space="preserve">, </w:t>
      </w:r>
      <w:r w:rsidR="000950A3">
        <w:t>which is unchanged from the previous request</w:t>
      </w:r>
      <w:r w:rsidR="00133726">
        <w:t>.</w:t>
      </w:r>
    </w:p>
    <w:p w14:paraId="58F55935" w14:textId="77777777" w:rsidR="00841A79" w:rsidRPr="00542969" w:rsidRDefault="00841A79" w:rsidP="00841A79">
      <w:pPr>
        <w:ind w:left="720"/>
      </w:pPr>
    </w:p>
    <w:p w14:paraId="576C2244" w14:textId="77777777" w:rsidR="00841A79" w:rsidRPr="00542969" w:rsidRDefault="00841A79" w:rsidP="00841A79">
      <w:r w:rsidRPr="00542969">
        <w:t xml:space="preserve">16.  </w:t>
      </w:r>
      <w:r w:rsidRPr="00542969">
        <w:tab/>
        <w:t>See Identical Responses to Statements.</w:t>
      </w:r>
    </w:p>
    <w:p w14:paraId="6A6B66A3" w14:textId="77777777" w:rsidR="00841A79" w:rsidRPr="00542969" w:rsidRDefault="00841A79" w:rsidP="00841A79"/>
    <w:p w14:paraId="354D768C" w14:textId="77777777" w:rsidR="00841A79" w:rsidRPr="00542969" w:rsidRDefault="00841A79" w:rsidP="00841A79">
      <w:r w:rsidRPr="00542969">
        <w:t xml:space="preserve">17.  </w:t>
      </w:r>
      <w:r w:rsidRPr="00542969">
        <w:tab/>
        <w:t>See Identical Responses to Statements.</w:t>
      </w:r>
    </w:p>
    <w:p w14:paraId="77C9B1F2" w14:textId="77777777" w:rsidR="00841A79" w:rsidRPr="00542969" w:rsidRDefault="00841A79" w:rsidP="00841A79"/>
    <w:p w14:paraId="0FBC8FFF" w14:textId="77777777" w:rsidR="00841A79" w:rsidRDefault="00841A79" w:rsidP="00841A79">
      <w:r w:rsidRPr="00542969">
        <w:t xml:space="preserve">18.  </w:t>
      </w:r>
      <w:r w:rsidRPr="00542969">
        <w:tab/>
        <w:t>See Identical Responses to Statements.</w:t>
      </w:r>
    </w:p>
    <w:p w14:paraId="4FECDF82" w14:textId="77777777" w:rsidR="00F8635A" w:rsidRPr="00542969" w:rsidRDefault="00F8635A" w:rsidP="00F8635A"/>
    <w:sectPr w:rsidR="00F8635A" w:rsidRPr="00542969" w:rsidSect="00901962">
      <w:footerReference w:type="even" r:id="rId15"/>
      <w:footerReference w:type="default" r:id="rId16"/>
      <w:footerReference w:type="first" r:id="rId17"/>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019FE" w14:textId="77777777" w:rsidR="00A26279" w:rsidRDefault="00A26279">
      <w:r>
        <w:separator/>
      </w:r>
    </w:p>
  </w:endnote>
  <w:endnote w:type="continuationSeparator" w:id="0">
    <w:p w14:paraId="428BD87A" w14:textId="77777777" w:rsidR="00A26279" w:rsidRDefault="00A2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2359" w14:textId="77777777" w:rsidR="00A26279" w:rsidRDefault="00A26279" w:rsidP="00901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BE645" w14:textId="77777777" w:rsidR="00A26279" w:rsidRDefault="00A26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107979"/>
      <w:docPartObj>
        <w:docPartGallery w:val="Page Numbers (Bottom of Page)"/>
        <w:docPartUnique/>
      </w:docPartObj>
    </w:sdtPr>
    <w:sdtEndPr>
      <w:rPr>
        <w:noProof/>
      </w:rPr>
    </w:sdtEndPr>
    <w:sdtContent>
      <w:p w14:paraId="172F93BC" w14:textId="090545C4" w:rsidR="00A26279" w:rsidRDefault="00A26279">
        <w:pPr>
          <w:pStyle w:val="Footer"/>
          <w:jc w:val="center"/>
        </w:pPr>
        <w:r>
          <w:fldChar w:fldCharType="begin"/>
        </w:r>
        <w:r>
          <w:instrText xml:space="preserve"> PAGE   \* MERGEFORMAT </w:instrText>
        </w:r>
        <w:r>
          <w:fldChar w:fldCharType="separate"/>
        </w:r>
        <w:r w:rsidR="00E875D8">
          <w:rPr>
            <w:noProof/>
          </w:rPr>
          <w:t>2</w:t>
        </w:r>
        <w:r>
          <w:rPr>
            <w:noProof/>
          </w:rPr>
          <w:fldChar w:fldCharType="end"/>
        </w:r>
      </w:p>
    </w:sdtContent>
  </w:sdt>
  <w:p w14:paraId="17435D07" w14:textId="77777777" w:rsidR="00A26279" w:rsidRDefault="00A26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723772"/>
      <w:docPartObj>
        <w:docPartGallery w:val="Page Numbers (Bottom of Page)"/>
        <w:docPartUnique/>
      </w:docPartObj>
    </w:sdtPr>
    <w:sdtEndPr>
      <w:rPr>
        <w:noProof/>
      </w:rPr>
    </w:sdtEndPr>
    <w:sdtContent>
      <w:p w14:paraId="5E7719F3" w14:textId="3F22D6C9" w:rsidR="00A26279" w:rsidRDefault="00A26279">
        <w:pPr>
          <w:pStyle w:val="Footer"/>
          <w:jc w:val="center"/>
        </w:pPr>
        <w:r>
          <w:fldChar w:fldCharType="begin"/>
        </w:r>
        <w:r>
          <w:instrText xml:space="preserve"> PAGE   \* MERGEFORMAT </w:instrText>
        </w:r>
        <w:r>
          <w:fldChar w:fldCharType="separate"/>
        </w:r>
        <w:r w:rsidR="00E875D8">
          <w:rPr>
            <w:noProof/>
          </w:rPr>
          <w:t>1</w:t>
        </w:r>
        <w:r>
          <w:rPr>
            <w:noProof/>
          </w:rPr>
          <w:fldChar w:fldCharType="end"/>
        </w:r>
      </w:p>
    </w:sdtContent>
  </w:sdt>
  <w:p w14:paraId="157C5936" w14:textId="77777777" w:rsidR="00A26279" w:rsidRDefault="00A26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C103D" w14:textId="77777777" w:rsidR="00A26279" w:rsidRDefault="00A26279">
      <w:r>
        <w:separator/>
      </w:r>
    </w:p>
  </w:footnote>
  <w:footnote w:type="continuationSeparator" w:id="0">
    <w:p w14:paraId="0588D982" w14:textId="77777777" w:rsidR="00A26279" w:rsidRDefault="00A26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2AD"/>
    <w:multiLevelType w:val="hybridMultilevel"/>
    <w:tmpl w:val="4E625FFE"/>
    <w:lvl w:ilvl="0" w:tplc="3A0A24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9233A"/>
    <w:multiLevelType w:val="hybridMultilevel"/>
    <w:tmpl w:val="BD68DA86"/>
    <w:lvl w:ilvl="0" w:tplc="119CD0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68098C"/>
    <w:multiLevelType w:val="multilevel"/>
    <w:tmpl w:val="BD68DA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201F01"/>
    <w:multiLevelType w:val="hybridMultilevel"/>
    <w:tmpl w:val="6CC2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23E4F"/>
    <w:multiLevelType w:val="hybridMultilevel"/>
    <w:tmpl w:val="BABA0AAC"/>
    <w:lvl w:ilvl="0" w:tplc="F1644CC6">
      <w:start w:val="16"/>
      <w:numFmt w:val="decimal"/>
      <w:lvlText w:val="%1."/>
      <w:lvlJc w:val="left"/>
      <w:pPr>
        <w:tabs>
          <w:tab w:val="num" w:pos="360"/>
        </w:tabs>
        <w:ind w:left="360" w:hanging="360"/>
      </w:pPr>
      <w:rPr>
        <w:rFonts w:hint="default"/>
      </w:rPr>
    </w:lvl>
    <w:lvl w:ilvl="1" w:tplc="BB983AC4">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797C8B"/>
    <w:multiLevelType w:val="hybridMultilevel"/>
    <w:tmpl w:val="EC925518"/>
    <w:lvl w:ilvl="0" w:tplc="B2CA802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4D53D4"/>
    <w:multiLevelType w:val="hybridMultilevel"/>
    <w:tmpl w:val="3078EDAE"/>
    <w:lvl w:ilvl="0" w:tplc="9F7A8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161BA8"/>
    <w:multiLevelType w:val="hybridMultilevel"/>
    <w:tmpl w:val="3EEE965A"/>
    <w:lvl w:ilvl="0" w:tplc="4DD421EC">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DAE4627"/>
    <w:multiLevelType w:val="hybridMultilevel"/>
    <w:tmpl w:val="0512CD0C"/>
    <w:lvl w:ilvl="0" w:tplc="DC2AD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F403DD"/>
    <w:multiLevelType w:val="hybridMultilevel"/>
    <w:tmpl w:val="C964B150"/>
    <w:lvl w:ilvl="0" w:tplc="6BC4CAA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5443C7E"/>
    <w:multiLevelType w:val="hybridMultilevel"/>
    <w:tmpl w:val="C964B150"/>
    <w:lvl w:ilvl="0" w:tplc="D5C818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65E6D0D"/>
    <w:multiLevelType w:val="hybridMultilevel"/>
    <w:tmpl w:val="9C3C2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4F0C04"/>
    <w:multiLevelType w:val="hybridMultilevel"/>
    <w:tmpl w:val="9EAA6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7D3DE8"/>
    <w:multiLevelType w:val="hybridMultilevel"/>
    <w:tmpl w:val="1C2292B0"/>
    <w:lvl w:ilvl="0" w:tplc="E050D6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3261ED"/>
    <w:multiLevelType w:val="hybridMultilevel"/>
    <w:tmpl w:val="7894318A"/>
    <w:lvl w:ilvl="0" w:tplc="ED3CD56C">
      <w:start w:val="1"/>
      <w:numFmt w:val="decimal"/>
      <w:lvlText w:val="%1."/>
      <w:lvlJc w:val="left"/>
      <w:pPr>
        <w:tabs>
          <w:tab w:val="num" w:pos="360"/>
        </w:tabs>
        <w:ind w:left="360" w:hanging="360"/>
      </w:pPr>
      <w:rPr>
        <w:rFonts w:hint="default"/>
      </w:rPr>
    </w:lvl>
    <w:lvl w:ilvl="1" w:tplc="D06E8FA4">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8E2EC5"/>
    <w:multiLevelType w:val="hybridMultilevel"/>
    <w:tmpl w:val="903A9CE0"/>
    <w:lvl w:ilvl="0" w:tplc="C5EE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ED5AE0"/>
    <w:multiLevelType w:val="hybridMultilevel"/>
    <w:tmpl w:val="8DC071E2"/>
    <w:lvl w:ilvl="0" w:tplc="3AB6A15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0A13B9"/>
    <w:multiLevelType w:val="hybridMultilevel"/>
    <w:tmpl w:val="C5340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CD5D66"/>
    <w:multiLevelType w:val="hybridMultilevel"/>
    <w:tmpl w:val="20688E04"/>
    <w:lvl w:ilvl="0" w:tplc="B7DAD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171C09"/>
    <w:multiLevelType w:val="hybridMultilevel"/>
    <w:tmpl w:val="EFFE654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7121CB"/>
    <w:multiLevelType w:val="hybridMultilevel"/>
    <w:tmpl w:val="37DA0900"/>
    <w:lvl w:ilvl="0" w:tplc="F0B04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D74355"/>
    <w:multiLevelType w:val="hybridMultilevel"/>
    <w:tmpl w:val="B6206D78"/>
    <w:lvl w:ilvl="0" w:tplc="4DD421E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BC77C8"/>
    <w:multiLevelType w:val="hybridMultilevel"/>
    <w:tmpl w:val="FA18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24133F"/>
    <w:multiLevelType w:val="hybridMultilevel"/>
    <w:tmpl w:val="7244074A"/>
    <w:lvl w:ilvl="0" w:tplc="3502E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C06BF3"/>
    <w:multiLevelType w:val="hybridMultilevel"/>
    <w:tmpl w:val="C964B150"/>
    <w:lvl w:ilvl="0" w:tplc="5E5EAB6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94713D1"/>
    <w:multiLevelType w:val="hybridMultilevel"/>
    <w:tmpl w:val="76343E52"/>
    <w:lvl w:ilvl="0" w:tplc="56B824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EA583C"/>
    <w:multiLevelType w:val="hybridMultilevel"/>
    <w:tmpl w:val="C964B150"/>
    <w:lvl w:ilvl="0" w:tplc="4E2C7D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D261773"/>
    <w:multiLevelType w:val="hybridMultilevel"/>
    <w:tmpl w:val="8B58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54926"/>
    <w:multiLevelType w:val="hybridMultilevel"/>
    <w:tmpl w:val="1132133C"/>
    <w:lvl w:ilvl="0" w:tplc="1806F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61100E"/>
    <w:multiLevelType w:val="multilevel"/>
    <w:tmpl w:val="B6206D78"/>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431DE3"/>
    <w:multiLevelType w:val="hybridMultilevel"/>
    <w:tmpl w:val="3954AC60"/>
    <w:lvl w:ilvl="0" w:tplc="8BC2363E">
      <w:start w:val="3"/>
      <w:numFmt w:val="decimal"/>
      <w:lvlText w:val="%1."/>
      <w:lvlJc w:val="left"/>
      <w:pPr>
        <w:tabs>
          <w:tab w:val="num" w:pos="360"/>
        </w:tabs>
        <w:ind w:left="360" w:hanging="360"/>
      </w:pPr>
      <w:rPr>
        <w:rFonts w:hint="default"/>
      </w:rPr>
    </w:lvl>
    <w:lvl w:ilvl="1" w:tplc="84A065BA">
      <w:start w:val="2"/>
      <w:numFmt w:val="upperLetter"/>
      <w:pStyle w:val="Heading2"/>
      <w:lvlText w:val="%2."/>
      <w:lvlJc w:val="left"/>
      <w:pPr>
        <w:tabs>
          <w:tab w:val="num" w:pos="360"/>
        </w:tabs>
        <w:ind w:left="360" w:hanging="360"/>
      </w:pPr>
      <w:rPr>
        <w:rFonts w:hint="default"/>
      </w:rPr>
    </w:lvl>
    <w:lvl w:ilvl="2" w:tplc="0F8E07B6">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E7E4D"/>
    <w:multiLevelType w:val="hybridMultilevel"/>
    <w:tmpl w:val="91DADD0E"/>
    <w:lvl w:ilvl="0" w:tplc="FFF88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0D0500"/>
    <w:multiLevelType w:val="hybridMultilevel"/>
    <w:tmpl w:val="07940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02610"/>
    <w:multiLevelType w:val="hybridMultilevel"/>
    <w:tmpl w:val="B8147152"/>
    <w:lvl w:ilvl="0" w:tplc="1EA2A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136B5E"/>
    <w:multiLevelType w:val="hybridMultilevel"/>
    <w:tmpl w:val="6C5A4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4"/>
  </w:num>
  <w:num w:numId="4">
    <w:abstractNumId w:val="14"/>
  </w:num>
  <w:num w:numId="5">
    <w:abstractNumId w:val="13"/>
  </w:num>
  <w:num w:numId="6">
    <w:abstractNumId w:val="30"/>
  </w:num>
  <w:num w:numId="7">
    <w:abstractNumId w:val="30"/>
    <w:lvlOverride w:ilvl="0">
      <w:startOverride w:val="1"/>
    </w:lvlOverride>
  </w:num>
  <w:num w:numId="8">
    <w:abstractNumId w:val="30"/>
    <w:lvlOverride w:ilvl="0">
      <w:startOverride w:val="1"/>
    </w:lvlOverride>
  </w:num>
  <w:num w:numId="9">
    <w:abstractNumId w:val="30"/>
  </w:num>
  <w:num w:numId="10">
    <w:abstractNumId w:val="24"/>
  </w:num>
  <w:num w:numId="11">
    <w:abstractNumId w:val="26"/>
  </w:num>
  <w:num w:numId="12">
    <w:abstractNumId w:val="9"/>
  </w:num>
  <w:num w:numId="13">
    <w:abstractNumId w:val="10"/>
  </w:num>
  <w:num w:numId="14">
    <w:abstractNumId w:val="21"/>
  </w:num>
  <w:num w:numId="15">
    <w:abstractNumId w:val="29"/>
  </w:num>
  <w:num w:numId="16">
    <w:abstractNumId w:val="7"/>
  </w:num>
  <w:num w:numId="17">
    <w:abstractNumId w:val="1"/>
  </w:num>
  <w:num w:numId="18">
    <w:abstractNumId w:val="2"/>
  </w:num>
  <w:num w:numId="19">
    <w:abstractNumId w:val="25"/>
  </w:num>
  <w:num w:numId="20">
    <w:abstractNumId w:val="11"/>
  </w:num>
  <w:num w:numId="21">
    <w:abstractNumId w:val="34"/>
  </w:num>
  <w:num w:numId="22">
    <w:abstractNumId w:val="33"/>
  </w:num>
  <w:num w:numId="23">
    <w:abstractNumId w:val="18"/>
  </w:num>
  <w:num w:numId="24">
    <w:abstractNumId w:val="16"/>
  </w:num>
  <w:num w:numId="25">
    <w:abstractNumId w:val="5"/>
  </w:num>
  <w:num w:numId="26">
    <w:abstractNumId w:val="31"/>
  </w:num>
  <w:num w:numId="27">
    <w:abstractNumId w:val="20"/>
  </w:num>
  <w:num w:numId="28">
    <w:abstractNumId w:val="3"/>
  </w:num>
  <w:num w:numId="29">
    <w:abstractNumId w:val="19"/>
  </w:num>
  <w:num w:numId="30">
    <w:abstractNumId w:val="15"/>
  </w:num>
  <w:num w:numId="31">
    <w:abstractNumId w:val="28"/>
  </w:num>
  <w:num w:numId="32">
    <w:abstractNumId w:val="6"/>
  </w:num>
  <w:num w:numId="33">
    <w:abstractNumId w:val="32"/>
  </w:num>
  <w:num w:numId="34">
    <w:abstractNumId w:val="23"/>
  </w:num>
  <w:num w:numId="35">
    <w:abstractNumId w:val="8"/>
  </w:num>
  <w:num w:numId="36">
    <w:abstractNumId w:val="27"/>
  </w:num>
  <w:num w:numId="37">
    <w:abstractNumId w:val="22"/>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5A"/>
    <w:rsid w:val="00000106"/>
    <w:rsid w:val="00006798"/>
    <w:rsid w:val="00006DB9"/>
    <w:rsid w:val="00010BCC"/>
    <w:rsid w:val="00010DE7"/>
    <w:rsid w:val="0001216B"/>
    <w:rsid w:val="00013BD1"/>
    <w:rsid w:val="00015834"/>
    <w:rsid w:val="00016E99"/>
    <w:rsid w:val="00020D32"/>
    <w:rsid w:val="000221FA"/>
    <w:rsid w:val="00025B28"/>
    <w:rsid w:val="000260FD"/>
    <w:rsid w:val="000276EA"/>
    <w:rsid w:val="000304F1"/>
    <w:rsid w:val="00034219"/>
    <w:rsid w:val="00036F99"/>
    <w:rsid w:val="000378C8"/>
    <w:rsid w:val="00040029"/>
    <w:rsid w:val="00044B26"/>
    <w:rsid w:val="00052147"/>
    <w:rsid w:val="00053B37"/>
    <w:rsid w:val="00054149"/>
    <w:rsid w:val="00063A82"/>
    <w:rsid w:val="00064EBA"/>
    <w:rsid w:val="00065164"/>
    <w:rsid w:val="00065F59"/>
    <w:rsid w:val="0006645C"/>
    <w:rsid w:val="00066B92"/>
    <w:rsid w:val="00066C92"/>
    <w:rsid w:val="00071647"/>
    <w:rsid w:val="00071790"/>
    <w:rsid w:val="00071D5F"/>
    <w:rsid w:val="00071D7A"/>
    <w:rsid w:val="00073A8B"/>
    <w:rsid w:val="00074141"/>
    <w:rsid w:val="0007542A"/>
    <w:rsid w:val="0008021C"/>
    <w:rsid w:val="0008116E"/>
    <w:rsid w:val="0008241F"/>
    <w:rsid w:val="00083E71"/>
    <w:rsid w:val="00085DB8"/>
    <w:rsid w:val="000936B8"/>
    <w:rsid w:val="00094980"/>
    <w:rsid w:val="000950A3"/>
    <w:rsid w:val="0009548E"/>
    <w:rsid w:val="000A4459"/>
    <w:rsid w:val="000A4D2C"/>
    <w:rsid w:val="000A53CD"/>
    <w:rsid w:val="000A688D"/>
    <w:rsid w:val="000A699E"/>
    <w:rsid w:val="000B0FF6"/>
    <w:rsid w:val="000B2D69"/>
    <w:rsid w:val="000B328C"/>
    <w:rsid w:val="000B6D46"/>
    <w:rsid w:val="000C5005"/>
    <w:rsid w:val="000C5AE0"/>
    <w:rsid w:val="000C6305"/>
    <w:rsid w:val="000C6C53"/>
    <w:rsid w:val="000C7416"/>
    <w:rsid w:val="000D0042"/>
    <w:rsid w:val="000D0969"/>
    <w:rsid w:val="000D47B7"/>
    <w:rsid w:val="000D4F61"/>
    <w:rsid w:val="000D5978"/>
    <w:rsid w:val="000D65F3"/>
    <w:rsid w:val="000D6DEB"/>
    <w:rsid w:val="000D7AB1"/>
    <w:rsid w:val="000D7B6C"/>
    <w:rsid w:val="000E3D87"/>
    <w:rsid w:val="000E5D63"/>
    <w:rsid w:val="000E7F85"/>
    <w:rsid w:val="000F0AFE"/>
    <w:rsid w:val="000F2886"/>
    <w:rsid w:val="000F41A7"/>
    <w:rsid w:val="000F5FFB"/>
    <w:rsid w:val="000F663B"/>
    <w:rsid w:val="000F7314"/>
    <w:rsid w:val="00105894"/>
    <w:rsid w:val="0010592E"/>
    <w:rsid w:val="00112B7E"/>
    <w:rsid w:val="0011312F"/>
    <w:rsid w:val="00122E97"/>
    <w:rsid w:val="00123BD5"/>
    <w:rsid w:val="00123C32"/>
    <w:rsid w:val="0012495D"/>
    <w:rsid w:val="00125582"/>
    <w:rsid w:val="001309AC"/>
    <w:rsid w:val="00133726"/>
    <w:rsid w:val="00141268"/>
    <w:rsid w:val="00142CC0"/>
    <w:rsid w:val="001441FE"/>
    <w:rsid w:val="00153C39"/>
    <w:rsid w:val="00157935"/>
    <w:rsid w:val="0016181B"/>
    <w:rsid w:val="00161D62"/>
    <w:rsid w:val="001643FF"/>
    <w:rsid w:val="001675A0"/>
    <w:rsid w:val="00167E00"/>
    <w:rsid w:val="00167F3A"/>
    <w:rsid w:val="001730B5"/>
    <w:rsid w:val="00174764"/>
    <w:rsid w:val="001804AE"/>
    <w:rsid w:val="00182993"/>
    <w:rsid w:val="00182BD6"/>
    <w:rsid w:val="00184709"/>
    <w:rsid w:val="00184D69"/>
    <w:rsid w:val="00186AEF"/>
    <w:rsid w:val="00186CCB"/>
    <w:rsid w:val="00191B64"/>
    <w:rsid w:val="00191C28"/>
    <w:rsid w:val="00195542"/>
    <w:rsid w:val="00195A53"/>
    <w:rsid w:val="001964FE"/>
    <w:rsid w:val="0019795D"/>
    <w:rsid w:val="001A49A3"/>
    <w:rsid w:val="001B2609"/>
    <w:rsid w:val="001B2D37"/>
    <w:rsid w:val="001B6859"/>
    <w:rsid w:val="001B7ADB"/>
    <w:rsid w:val="001C0A85"/>
    <w:rsid w:val="001C340D"/>
    <w:rsid w:val="001C3465"/>
    <w:rsid w:val="001C53CC"/>
    <w:rsid w:val="001C5BD7"/>
    <w:rsid w:val="001C5E49"/>
    <w:rsid w:val="001D00C9"/>
    <w:rsid w:val="001D508B"/>
    <w:rsid w:val="001D5893"/>
    <w:rsid w:val="001D690A"/>
    <w:rsid w:val="001D7D71"/>
    <w:rsid w:val="001E28FE"/>
    <w:rsid w:val="001E3873"/>
    <w:rsid w:val="001F0041"/>
    <w:rsid w:val="001F06AF"/>
    <w:rsid w:val="001F0DFF"/>
    <w:rsid w:val="001F183B"/>
    <w:rsid w:val="001F2741"/>
    <w:rsid w:val="001F3E0C"/>
    <w:rsid w:val="001F7572"/>
    <w:rsid w:val="001F7C9E"/>
    <w:rsid w:val="002052A0"/>
    <w:rsid w:val="00211F6F"/>
    <w:rsid w:val="002152DD"/>
    <w:rsid w:val="00215DC3"/>
    <w:rsid w:val="002208FC"/>
    <w:rsid w:val="00221B55"/>
    <w:rsid w:val="00223701"/>
    <w:rsid w:val="00226CE3"/>
    <w:rsid w:val="0023025F"/>
    <w:rsid w:val="0023192C"/>
    <w:rsid w:val="00234151"/>
    <w:rsid w:val="0023477D"/>
    <w:rsid w:val="002374E2"/>
    <w:rsid w:val="00237F30"/>
    <w:rsid w:val="002410D3"/>
    <w:rsid w:val="00241B89"/>
    <w:rsid w:val="0024371B"/>
    <w:rsid w:val="00244447"/>
    <w:rsid w:val="00245238"/>
    <w:rsid w:val="00246940"/>
    <w:rsid w:val="002528E9"/>
    <w:rsid w:val="002545F8"/>
    <w:rsid w:val="002564AC"/>
    <w:rsid w:val="0025730C"/>
    <w:rsid w:val="0026083E"/>
    <w:rsid w:val="002646A3"/>
    <w:rsid w:val="002653EC"/>
    <w:rsid w:val="002663FC"/>
    <w:rsid w:val="00266657"/>
    <w:rsid w:val="00273A96"/>
    <w:rsid w:val="00276FAC"/>
    <w:rsid w:val="00280F72"/>
    <w:rsid w:val="00281513"/>
    <w:rsid w:val="002815AE"/>
    <w:rsid w:val="00282DD9"/>
    <w:rsid w:val="00284E65"/>
    <w:rsid w:val="002867DF"/>
    <w:rsid w:val="00291DCC"/>
    <w:rsid w:val="002956D2"/>
    <w:rsid w:val="00295C91"/>
    <w:rsid w:val="00295E0E"/>
    <w:rsid w:val="002A01C3"/>
    <w:rsid w:val="002A0C7C"/>
    <w:rsid w:val="002A1A88"/>
    <w:rsid w:val="002A1C22"/>
    <w:rsid w:val="002A3161"/>
    <w:rsid w:val="002A592A"/>
    <w:rsid w:val="002B3839"/>
    <w:rsid w:val="002B7746"/>
    <w:rsid w:val="002C37AE"/>
    <w:rsid w:val="002C46E6"/>
    <w:rsid w:val="002C5390"/>
    <w:rsid w:val="002C5FA2"/>
    <w:rsid w:val="002C6400"/>
    <w:rsid w:val="002D07CD"/>
    <w:rsid w:val="002D1363"/>
    <w:rsid w:val="002D29DB"/>
    <w:rsid w:val="002D52BD"/>
    <w:rsid w:val="002D6549"/>
    <w:rsid w:val="002E1487"/>
    <w:rsid w:val="002E1C7D"/>
    <w:rsid w:val="002E3271"/>
    <w:rsid w:val="002E35D0"/>
    <w:rsid w:val="002E3729"/>
    <w:rsid w:val="002E394D"/>
    <w:rsid w:val="002E3B3A"/>
    <w:rsid w:val="002E49C4"/>
    <w:rsid w:val="002E4CC9"/>
    <w:rsid w:val="002E5F6F"/>
    <w:rsid w:val="002E65DC"/>
    <w:rsid w:val="002E7711"/>
    <w:rsid w:val="002F2902"/>
    <w:rsid w:val="002F65CE"/>
    <w:rsid w:val="003012F1"/>
    <w:rsid w:val="00304BF7"/>
    <w:rsid w:val="00312D35"/>
    <w:rsid w:val="00313375"/>
    <w:rsid w:val="00313612"/>
    <w:rsid w:val="00313618"/>
    <w:rsid w:val="00313E82"/>
    <w:rsid w:val="0031568B"/>
    <w:rsid w:val="00315AE9"/>
    <w:rsid w:val="00320AEB"/>
    <w:rsid w:val="00320B66"/>
    <w:rsid w:val="003233C5"/>
    <w:rsid w:val="003236FE"/>
    <w:rsid w:val="00327A32"/>
    <w:rsid w:val="00334B7C"/>
    <w:rsid w:val="00336B9B"/>
    <w:rsid w:val="00337438"/>
    <w:rsid w:val="00337A00"/>
    <w:rsid w:val="00341D90"/>
    <w:rsid w:val="00341DC6"/>
    <w:rsid w:val="0034254D"/>
    <w:rsid w:val="0034452C"/>
    <w:rsid w:val="00354F03"/>
    <w:rsid w:val="00357C9F"/>
    <w:rsid w:val="003622B0"/>
    <w:rsid w:val="00362643"/>
    <w:rsid w:val="0036308F"/>
    <w:rsid w:val="003701C4"/>
    <w:rsid w:val="0037031C"/>
    <w:rsid w:val="00371312"/>
    <w:rsid w:val="00375C96"/>
    <w:rsid w:val="00380E67"/>
    <w:rsid w:val="0038141A"/>
    <w:rsid w:val="00384007"/>
    <w:rsid w:val="003907FF"/>
    <w:rsid w:val="0039181E"/>
    <w:rsid w:val="00394C66"/>
    <w:rsid w:val="003A0219"/>
    <w:rsid w:val="003A3A78"/>
    <w:rsid w:val="003A7EF6"/>
    <w:rsid w:val="003B2D2D"/>
    <w:rsid w:val="003C199E"/>
    <w:rsid w:val="003C1E8B"/>
    <w:rsid w:val="003C4B73"/>
    <w:rsid w:val="003C6D14"/>
    <w:rsid w:val="003C7524"/>
    <w:rsid w:val="003D2FC2"/>
    <w:rsid w:val="003D5BE0"/>
    <w:rsid w:val="003E26F7"/>
    <w:rsid w:val="003E2C4D"/>
    <w:rsid w:val="003E777C"/>
    <w:rsid w:val="003F56A6"/>
    <w:rsid w:val="003F5C75"/>
    <w:rsid w:val="00403A0F"/>
    <w:rsid w:val="00404D55"/>
    <w:rsid w:val="0040724D"/>
    <w:rsid w:val="00407443"/>
    <w:rsid w:val="0041445C"/>
    <w:rsid w:val="004160D1"/>
    <w:rsid w:val="00416B61"/>
    <w:rsid w:val="00416EA4"/>
    <w:rsid w:val="004201D4"/>
    <w:rsid w:val="004211D6"/>
    <w:rsid w:val="0042761C"/>
    <w:rsid w:val="00430720"/>
    <w:rsid w:val="004370A4"/>
    <w:rsid w:val="00442F33"/>
    <w:rsid w:val="00443D80"/>
    <w:rsid w:val="00444672"/>
    <w:rsid w:val="004447E1"/>
    <w:rsid w:val="00445F2F"/>
    <w:rsid w:val="00446A80"/>
    <w:rsid w:val="004566B6"/>
    <w:rsid w:val="00462F24"/>
    <w:rsid w:val="0046323A"/>
    <w:rsid w:val="00464395"/>
    <w:rsid w:val="00464F60"/>
    <w:rsid w:val="00466CA1"/>
    <w:rsid w:val="004674C3"/>
    <w:rsid w:val="00473D17"/>
    <w:rsid w:val="00474774"/>
    <w:rsid w:val="004802F7"/>
    <w:rsid w:val="00487AC2"/>
    <w:rsid w:val="00487C9F"/>
    <w:rsid w:val="0049227A"/>
    <w:rsid w:val="004923C9"/>
    <w:rsid w:val="0049596F"/>
    <w:rsid w:val="0049699F"/>
    <w:rsid w:val="004977A8"/>
    <w:rsid w:val="004A00B3"/>
    <w:rsid w:val="004A050B"/>
    <w:rsid w:val="004A103D"/>
    <w:rsid w:val="004A2C19"/>
    <w:rsid w:val="004A424D"/>
    <w:rsid w:val="004A4B54"/>
    <w:rsid w:val="004A5E6E"/>
    <w:rsid w:val="004A63A5"/>
    <w:rsid w:val="004B1983"/>
    <w:rsid w:val="004B1B3A"/>
    <w:rsid w:val="004B3259"/>
    <w:rsid w:val="004B44A3"/>
    <w:rsid w:val="004B5329"/>
    <w:rsid w:val="004C1055"/>
    <w:rsid w:val="004C30AD"/>
    <w:rsid w:val="004C483E"/>
    <w:rsid w:val="004C6093"/>
    <w:rsid w:val="004D0085"/>
    <w:rsid w:val="004D1A89"/>
    <w:rsid w:val="004D20D9"/>
    <w:rsid w:val="004D5E0E"/>
    <w:rsid w:val="004E401B"/>
    <w:rsid w:val="004F201E"/>
    <w:rsid w:val="004F24CE"/>
    <w:rsid w:val="004F3183"/>
    <w:rsid w:val="004F3DF4"/>
    <w:rsid w:val="004F5A07"/>
    <w:rsid w:val="005004B6"/>
    <w:rsid w:val="00500F1E"/>
    <w:rsid w:val="00503A18"/>
    <w:rsid w:val="00507D78"/>
    <w:rsid w:val="00510349"/>
    <w:rsid w:val="00510E47"/>
    <w:rsid w:val="005144E5"/>
    <w:rsid w:val="0051714A"/>
    <w:rsid w:val="00517194"/>
    <w:rsid w:val="00522204"/>
    <w:rsid w:val="00523E08"/>
    <w:rsid w:val="005330B6"/>
    <w:rsid w:val="00533834"/>
    <w:rsid w:val="00534B87"/>
    <w:rsid w:val="00536A87"/>
    <w:rsid w:val="00536AEE"/>
    <w:rsid w:val="00536B44"/>
    <w:rsid w:val="0053788D"/>
    <w:rsid w:val="0054118C"/>
    <w:rsid w:val="00542969"/>
    <w:rsid w:val="00546042"/>
    <w:rsid w:val="00547F3D"/>
    <w:rsid w:val="005507B5"/>
    <w:rsid w:val="0055382C"/>
    <w:rsid w:val="005552D2"/>
    <w:rsid w:val="005561E0"/>
    <w:rsid w:val="0055686C"/>
    <w:rsid w:val="005570FB"/>
    <w:rsid w:val="005628E5"/>
    <w:rsid w:val="005661CA"/>
    <w:rsid w:val="0057008D"/>
    <w:rsid w:val="00580A2A"/>
    <w:rsid w:val="00581464"/>
    <w:rsid w:val="00586AC8"/>
    <w:rsid w:val="00587036"/>
    <w:rsid w:val="00587B05"/>
    <w:rsid w:val="00591A80"/>
    <w:rsid w:val="0059216B"/>
    <w:rsid w:val="00594063"/>
    <w:rsid w:val="005962AE"/>
    <w:rsid w:val="005A3E2E"/>
    <w:rsid w:val="005B2033"/>
    <w:rsid w:val="005B52A5"/>
    <w:rsid w:val="005B5816"/>
    <w:rsid w:val="005B61A2"/>
    <w:rsid w:val="005C55CB"/>
    <w:rsid w:val="005C775E"/>
    <w:rsid w:val="005D295C"/>
    <w:rsid w:val="005D463C"/>
    <w:rsid w:val="005D670A"/>
    <w:rsid w:val="005D6957"/>
    <w:rsid w:val="005D76A5"/>
    <w:rsid w:val="005E2B24"/>
    <w:rsid w:val="005E549C"/>
    <w:rsid w:val="005E5AFC"/>
    <w:rsid w:val="005F125E"/>
    <w:rsid w:val="005F23F0"/>
    <w:rsid w:val="006009FA"/>
    <w:rsid w:val="00604871"/>
    <w:rsid w:val="0061720B"/>
    <w:rsid w:val="006226B3"/>
    <w:rsid w:val="00626B4C"/>
    <w:rsid w:val="00631763"/>
    <w:rsid w:val="006339F7"/>
    <w:rsid w:val="00633F50"/>
    <w:rsid w:val="0063468E"/>
    <w:rsid w:val="0063616F"/>
    <w:rsid w:val="00636EAE"/>
    <w:rsid w:val="00637322"/>
    <w:rsid w:val="0063779B"/>
    <w:rsid w:val="00641FDD"/>
    <w:rsid w:val="006421D3"/>
    <w:rsid w:val="006433FF"/>
    <w:rsid w:val="00643CE3"/>
    <w:rsid w:val="00644351"/>
    <w:rsid w:val="0065105E"/>
    <w:rsid w:val="0065311B"/>
    <w:rsid w:val="006552AB"/>
    <w:rsid w:val="006555D4"/>
    <w:rsid w:val="00657668"/>
    <w:rsid w:val="006609D2"/>
    <w:rsid w:val="00662639"/>
    <w:rsid w:val="0066371D"/>
    <w:rsid w:val="00664C3F"/>
    <w:rsid w:val="00665426"/>
    <w:rsid w:val="00665650"/>
    <w:rsid w:val="006659D3"/>
    <w:rsid w:val="00665D37"/>
    <w:rsid w:val="00667B44"/>
    <w:rsid w:val="00676058"/>
    <w:rsid w:val="00686460"/>
    <w:rsid w:val="00691274"/>
    <w:rsid w:val="00692F03"/>
    <w:rsid w:val="0069724B"/>
    <w:rsid w:val="00697C23"/>
    <w:rsid w:val="006A5483"/>
    <w:rsid w:val="006B0E39"/>
    <w:rsid w:val="006B625E"/>
    <w:rsid w:val="006B65D8"/>
    <w:rsid w:val="006B7060"/>
    <w:rsid w:val="006C03E8"/>
    <w:rsid w:val="006C08AB"/>
    <w:rsid w:val="006C1A51"/>
    <w:rsid w:val="006C38A7"/>
    <w:rsid w:val="006C5992"/>
    <w:rsid w:val="006C74C5"/>
    <w:rsid w:val="006D2799"/>
    <w:rsid w:val="006D2F86"/>
    <w:rsid w:val="006E29BF"/>
    <w:rsid w:val="006E5ABC"/>
    <w:rsid w:val="006F1584"/>
    <w:rsid w:val="006F386D"/>
    <w:rsid w:val="006F43BC"/>
    <w:rsid w:val="0070074A"/>
    <w:rsid w:val="00704D75"/>
    <w:rsid w:val="00705A4A"/>
    <w:rsid w:val="00711969"/>
    <w:rsid w:val="00715C6F"/>
    <w:rsid w:val="007172B7"/>
    <w:rsid w:val="00717DCD"/>
    <w:rsid w:val="00720EAB"/>
    <w:rsid w:val="007349E3"/>
    <w:rsid w:val="0073596B"/>
    <w:rsid w:val="00744414"/>
    <w:rsid w:val="00755AFC"/>
    <w:rsid w:val="007579C9"/>
    <w:rsid w:val="00760D9D"/>
    <w:rsid w:val="007629B9"/>
    <w:rsid w:val="00763803"/>
    <w:rsid w:val="007649E5"/>
    <w:rsid w:val="0076599A"/>
    <w:rsid w:val="0076716B"/>
    <w:rsid w:val="007701F2"/>
    <w:rsid w:val="007703B9"/>
    <w:rsid w:val="007731EB"/>
    <w:rsid w:val="00776011"/>
    <w:rsid w:val="007806A6"/>
    <w:rsid w:val="007820BC"/>
    <w:rsid w:val="007835B9"/>
    <w:rsid w:val="007861D2"/>
    <w:rsid w:val="00787BFC"/>
    <w:rsid w:val="00790A96"/>
    <w:rsid w:val="007910B0"/>
    <w:rsid w:val="007A1DF6"/>
    <w:rsid w:val="007A3F50"/>
    <w:rsid w:val="007A40C7"/>
    <w:rsid w:val="007A461C"/>
    <w:rsid w:val="007B7F4B"/>
    <w:rsid w:val="007C2C2C"/>
    <w:rsid w:val="007C54BD"/>
    <w:rsid w:val="007C67F1"/>
    <w:rsid w:val="007C72ED"/>
    <w:rsid w:val="007C7FC0"/>
    <w:rsid w:val="007D3FA9"/>
    <w:rsid w:val="007D5AE0"/>
    <w:rsid w:val="007D67DE"/>
    <w:rsid w:val="007E07DE"/>
    <w:rsid w:val="007E16F8"/>
    <w:rsid w:val="007E1DE9"/>
    <w:rsid w:val="007E27DA"/>
    <w:rsid w:val="007E3ED6"/>
    <w:rsid w:val="007E543B"/>
    <w:rsid w:val="007E772D"/>
    <w:rsid w:val="007F1740"/>
    <w:rsid w:val="007F6507"/>
    <w:rsid w:val="00801E0C"/>
    <w:rsid w:val="00803C9C"/>
    <w:rsid w:val="00805B51"/>
    <w:rsid w:val="008103C7"/>
    <w:rsid w:val="0081248B"/>
    <w:rsid w:val="0081308F"/>
    <w:rsid w:val="0081492F"/>
    <w:rsid w:val="00816FFB"/>
    <w:rsid w:val="00824788"/>
    <w:rsid w:val="00827127"/>
    <w:rsid w:val="00827CBC"/>
    <w:rsid w:val="00827E84"/>
    <w:rsid w:val="008305EE"/>
    <w:rsid w:val="00835FDE"/>
    <w:rsid w:val="00840801"/>
    <w:rsid w:val="00840A96"/>
    <w:rsid w:val="00841A79"/>
    <w:rsid w:val="008433C7"/>
    <w:rsid w:val="00843E76"/>
    <w:rsid w:val="00847DE6"/>
    <w:rsid w:val="00850D89"/>
    <w:rsid w:val="00852EFF"/>
    <w:rsid w:val="0085305E"/>
    <w:rsid w:val="00857882"/>
    <w:rsid w:val="00860C35"/>
    <w:rsid w:val="008613A7"/>
    <w:rsid w:val="00862C49"/>
    <w:rsid w:val="0086358C"/>
    <w:rsid w:val="008653CF"/>
    <w:rsid w:val="008755CA"/>
    <w:rsid w:val="00877DD7"/>
    <w:rsid w:val="00882BC9"/>
    <w:rsid w:val="00884E60"/>
    <w:rsid w:val="00887984"/>
    <w:rsid w:val="008939DA"/>
    <w:rsid w:val="00895D2D"/>
    <w:rsid w:val="00896981"/>
    <w:rsid w:val="00897143"/>
    <w:rsid w:val="00897D45"/>
    <w:rsid w:val="008A381D"/>
    <w:rsid w:val="008A4C03"/>
    <w:rsid w:val="008A4DDB"/>
    <w:rsid w:val="008A6CBA"/>
    <w:rsid w:val="008B40E5"/>
    <w:rsid w:val="008B669D"/>
    <w:rsid w:val="008C26CC"/>
    <w:rsid w:val="008C34E2"/>
    <w:rsid w:val="008C4B63"/>
    <w:rsid w:val="008D2A81"/>
    <w:rsid w:val="008D3B4C"/>
    <w:rsid w:val="008E022A"/>
    <w:rsid w:val="008E0F99"/>
    <w:rsid w:val="008E203E"/>
    <w:rsid w:val="008E661D"/>
    <w:rsid w:val="008E6CFB"/>
    <w:rsid w:val="008F19B2"/>
    <w:rsid w:val="008F211C"/>
    <w:rsid w:val="008F23A0"/>
    <w:rsid w:val="008F6303"/>
    <w:rsid w:val="008F7E85"/>
    <w:rsid w:val="009017A6"/>
    <w:rsid w:val="00901962"/>
    <w:rsid w:val="00903EAD"/>
    <w:rsid w:val="00905453"/>
    <w:rsid w:val="00905476"/>
    <w:rsid w:val="00911305"/>
    <w:rsid w:val="0091290A"/>
    <w:rsid w:val="0091317A"/>
    <w:rsid w:val="009134BB"/>
    <w:rsid w:val="00914029"/>
    <w:rsid w:val="009169C8"/>
    <w:rsid w:val="00917D6D"/>
    <w:rsid w:val="00923E0B"/>
    <w:rsid w:val="00923F60"/>
    <w:rsid w:val="00927A38"/>
    <w:rsid w:val="00930C89"/>
    <w:rsid w:val="00931EB4"/>
    <w:rsid w:val="00935024"/>
    <w:rsid w:val="009360E9"/>
    <w:rsid w:val="00940B3B"/>
    <w:rsid w:val="00944AD9"/>
    <w:rsid w:val="0094629A"/>
    <w:rsid w:val="009509A9"/>
    <w:rsid w:val="00953878"/>
    <w:rsid w:val="009544B8"/>
    <w:rsid w:val="009571F5"/>
    <w:rsid w:val="00957DA1"/>
    <w:rsid w:val="00960F7E"/>
    <w:rsid w:val="00961E0C"/>
    <w:rsid w:val="00966ACF"/>
    <w:rsid w:val="00967E30"/>
    <w:rsid w:val="0097302F"/>
    <w:rsid w:val="00976A0B"/>
    <w:rsid w:val="0098115F"/>
    <w:rsid w:val="00981825"/>
    <w:rsid w:val="00984418"/>
    <w:rsid w:val="00985C88"/>
    <w:rsid w:val="00990EFC"/>
    <w:rsid w:val="00994ADD"/>
    <w:rsid w:val="00995B34"/>
    <w:rsid w:val="009979E4"/>
    <w:rsid w:val="009A050A"/>
    <w:rsid w:val="009A0717"/>
    <w:rsid w:val="009A5D58"/>
    <w:rsid w:val="009A5D9B"/>
    <w:rsid w:val="009A6DB1"/>
    <w:rsid w:val="009B22DC"/>
    <w:rsid w:val="009B45B3"/>
    <w:rsid w:val="009B4D8F"/>
    <w:rsid w:val="009B504D"/>
    <w:rsid w:val="009C06E3"/>
    <w:rsid w:val="009C3CA2"/>
    <w:rsid w:val="009C4B5A"/>
    <w:rsid w:val="009C66A9"/>
    <w:rsid w:val="009D05D1"/>
    <w:rsid w:val="009D25F8"/>
    <w:rsid w:val="009D2F98"/>
    <w:rsid w:val="009D45C6"/>
    <w:rsid w:val="009D5032"/>
    <w:rsid w:val="009D5486"/>
    <w:rsid w:val="009D5609"/>
    <w:rsid w:val="009D6BE1"/>
    <w:rsid w:val="009E0FEF"/>
    <w:rsid w:val="009E2C43"/>
    <w:rsid w:val="009F2DC7"/>
    <w:rsid w:val="009F76D8"/>
    <w:rsid w:val="00A00952"/>
    <w:rsid w:val="00A027BA"/>
    <w:rsid w:val="00A028F4"/>
    <w:rsid w:val="00A115A9"/>
    <w:rsid w:val="00A1174D"/>
    <w:rsid w:val="00A1597E"/>
    <w:rsid w:val="00A239B3"/>
    <w:rsid w:val="00A24248"/>
    <w:rsid w:val="00A26218"/>
    <w:rsid w:val="00A26279"/>
    <w:rsid w:val="00A27BE7"/>
    <w:rsid w:val="00A32A54"/>
    <w:rsid w:val="00A34A70"/>
    <w:rsid w:val="00A35E4D"/>
    <w:rsid w:val="00A36072"/>
    <w:rsid w:val="00A46E12"/>
    <w:rsid w:val="00A515E9"/>
    <w:rsid w:val="00A57CBD"/>
    <w:rsid w:val="00A61089"/>
    <w:rsid w:val="00A63A00"/>
    <w:rsid w:val="00A64550"/>
    <w:rsid w:val="00A646E4"/>
    <w:rsid w:val="00A65CA9"/>
    <w:rsid w:val="00A7166C"/>
    <w:rsid w:val="00A72E2C"/>
    <w:rsid w:val="00A755B9"/>
    <w:rsid w:val="00A77CF0"/>
    <w:rsid w:val="00A81CBC"/>
    <w:rsid w:val="00A827A4"/>
    <w:rsid w:val="00A82A1E"/>
    <w:rsid w:val="00A82D1E"/>
    <w:rsid w:val="00A9049F"/>
    <w:rsid w:val="00A97CA2"/>
    <w:rsid w:val="00AA088F"/>
    <w:rsid w:val="00AA29C7"/>
    <w:rsid w:val="00AA77E0"/>
    <w:rsid w:val="00AB2849"/>
    <w:rsid w:val="00AB7EE3"/>
    <w:rsid w:val="00AC5232"/>
    <w:rsid w:val="00AC57D9"/>
    <w:rsid w:val="00AC6B7D"/>
    <w:rsid w:val="00AC71BA"/>
    <w:rsid w:val="00AC7E24"/>
    <w:rsid w:val="00AC7E9C"/>
    <w:rsid w:val="00AD0C43"/>
    <w:rsid w:val="00AD3311"/>
    <w:rsid w:val="00AD4D51"/>
    <w:rsid w:val="00AD5B37"/>
    <w:rsid w:val="00AD698A"/>
    <w:rsid w:val="00AD73D0"/>
    <w:rsid w:val="00AE0547"/>
    <w:rsid w:val="00AF1BBB"/>
    <w:rsid w:val="00AF4007"/>
    <w:rsid w:val="00AF4F64"/>
    <w:rsid w:val="00AF5BEE"/>
    <w:rsid w:val="00AF6E41"/>
    <w:rsid w:val="00B00777"/>
    <w:rsid w:val="00B00DE1"/>
    <w:rsid w:val="00B016B3"/>
    <w:rsid w:val="00B0588B"/>
    <w:rsid w:val="00B061BA"/>
    <w:rsid w:val="00B06A10"/>
    <w:rsid w:val="00B11B9E"/>
    <w:rsid w:val="00B161B7"/>
    <w:rsid w:val="00B17BB8"/>
    <w:rsid w:val="00B2175A"/>
    <w:rsid w:val="00B23699"/>
    <w:rsid w:val="00B23794"/>
    <w:rsid w:val="00B32D06"/>
    <w:rsid w:val="00B34FCA"/>
    <w:rsid w:val="00B3726C"/>
    <w:rsid w:val="00B375AF"/>
    <w:rsid w:val="00B41166"/>
    <w:rsid w:val="00B414F9"/>
    <w:rsid w:val="00B42DDD"/>
    <w:rsid w:val="00B43517"/>
    <w:rsid w:val="00B44F93"/>
    <w:rsid w:val="00B53213"/>
    <w:rsid w:val="00B53A57"/>
    <w:rsid w:val="00B556C3"/>
    <w:rsid w:val="00B61645"/>
    <w:rsid w:val="00B61793"/>
    <w:rsid w:val="00B64021"/>
    <w:rsid w:val="00B65E5B"/>
    <w:rsid w:val="00B70AD8"/>
    <w:rsid w:val="00B7182A"/>
    <w:rsid w:val="00B74D7F"/>
    <w:rsid w:val="00B75DC8"/>
    <w:rsid w:val="00B77D26"/>
    <w:rsid w:val="00B80B80"/>
    <w:rsid w:val="00B80D64"/>
    <w:rsid w:val="00B85BB0"/>
    <w:rsid w:val="00B86E43"/>
    <w:rsid w:val="00B87647"/>
    <w:rsid w:val="00B90FAE"/>
    <w:rsid w:val="00B94C9D"/>
    <w:rsid w:val="00B968AF"/>
    <w:rsid w:val="00B9690A"/>
    <w:rsid w:val="00B96C8F"/>
    <w:rsid w:val="00BA0B0C"/>
    <w:rsid w:val="00BA2364"/>
    <w:rsid w:val="00BA75D1"/>
    <w:rsid w:val="00BB0A2E"/>
    <w:rsid w:val="00BB4436"/>
    <w:rsid w:val="00BC1562"/>
    <w:rsid w:val="00BC2775"/>
    <w:rsid w:val="00BC5ED0"/>
    <w:rsid w:val="00BE1F0F"/>
    <w:rsid w:val="00BE2222"/>
    <w:rsid w:val="00BE2E47"/>
    <w:rsid w:val="00BE3313"/>
    <w:rsid w:val="00BE3F64"/>
    <w:rsid w:val="00BE50E2"/>
    <w:rsid w:val="00BE6315"/>
    <w:rsid w:val="00BE646D"/>
    <w:rsid w:val="00BE6E08"/>
    <w:rsid w:val="00BF38D5"/>
    <w:rsid w:val="00BF707A"/>
    <w:rsid w:val="00C0298E"/>
    <w:rsid w:val="00C05CE7"/>
    <w:rsid w:val="00C12FD1"/>
    <w:rsid w:val="00C13CC4"/>
    <w:rsid w:val="00C14E70"/>
    <w:rsid w:val="00C15F32"/>
    <w:rsid w:val="00C1783D"/>
    <w:rsid w:val="00C20EE8"/>
    <w:rsid w:val="00C22565"/>
    <w:rsid w:val="00C24741"/>
    <w:rsid w:val="00C27F87"/>
    <w:rsid w:val="00C33895"/>
    <w:rsid w:val="00C33985"/>
    <w:rsid w:val="00C41D50"/>
    <w:rsid w:val="00C41D6E"/>
    <w:rsid w:val="00C43916"/>
    <w:rsid w:val="00C43A2B"/>
    <w:rsid w:val="00C46C21"/>
    <w:rsid w:val="00C54535"/>
    <w:rsid w:val="00C55399"/>
    <w:rsid w:val="00C62081"/>
    <w:rsid w:val="00C627E0"/>
    <w:rsid w:val="00C63680"/>
    <w:rsid w:val="00C65C85"/>
    <w:rsid w:val="00C67944"/>
    <w:rsid w:val="00C71217"/>
    <w:rsid w:val="00C72C60"/>
    <w:rsid w:val="00C752B7"/>
    <w:rsid w:val="00C753B6"/>
    <w:rsid w:val="00C76030"/>
    <w:rsid w:val="00C8037D"/>
    <w:rsid w:val="00C80E09"/>
    <w:rsid w:val="00C8504A"/>
    <w:rsid w:val="00C867D5"/>
    <w:rsid w:val="00C94C15"/>
    <w:rsid w:val="00C955B4"/>
    <w:rsid w:val="00C975E2"/>
    <w:rsid w:val="00CA0818"/>
    <w:rsid w:val="00CA7481"/>
    <w:rsid w:val="00CB01B2"/>
    <w:rsid w:val="00CB226F"/>
    <w:rsid w:val="00CB40DE"/>
    <w:rsid w:val="00CC04D6"/>
    <w:rsid w:val="00CC0AE0"/>
    <w:rsid w:val="00CC4BA4"/>
    <w:rsid w:val="00CC690A"/>
    <w:rsid w:val="00CD170F"/>
    <w:rsid w:val="00CD4203"/>
    <w:rsid w:val="00CD4732"/>
    <w:rsid w:val="00CD4842"/>
    <w:rsid w:val="00CD4BF6"/>
    <w:rsid w:val="00CD7048"/>
    <w:rsid w:val="00CD7373"/>
    <w:rsid w:val="00CE2841"/>
    <w:rsid w:val="00CE3F81"/>
    <w:rsid w:val="00CE4DF0"/>
    <w:rsid w:val="00CF216C"/>
    <w:rsid w:val="00CF331D"/>
    <w:rsid w:val="00CF65E1"/>
    <w:rsid w:val="00CF67CD"/>
    <w:rsid w:val="00CF6FA0"/>
    <w:rsid w:val="00D026CE"/>
    <w:rsid w:val="00D07823"/>
    <w:rsid w:val="00D07F51"/>
    <w:rsid w:val="00D128D6"/>
    <w:rsid w:val="00D12C74"/>
    <w:rsid w:val="00D14C27"/>
    <w:rsid w:val="00D15A4C"/>
    <w:rsid w:val="00D171EA"/>
    <w:rsid w:val="00D232F9"/>
    <w:rsid w:val="00D23F8B"/>
    <w:rsid w:val="00D2456E"/>
    <w:rsid w:val="00D26287"/>
    <w:rsid w:val="00D278EF"/>
    <w:rsid w:val="00D3187E"/>
    <w:rsid w:val="00D328F1"/>
    <w:rsid w:val="00D353A3"/>
    <w:rsid w:val="00D40DCA"/>
    <w:rsid w:val="00D426E8"/>
    <w:rsid w:val="00D46E93"/>
    <w:rsid w:val="00D5239A"/>
    <w:rsid w:val="00D56F55"/>
    <w:rsid w:val="00D640D5"/>
    <w:rsid w:val="00D6601B"/>
    <w:rsid w:val="00D6736F"/>
    <w:rsid w:val="00D7283C"/>
    <w:rsid w:val="00D7294E"/>
    <w:rsid w:val="00D768BA"/>
    <w:rsid w:val="00D77193"/>
    <w:rsid w:val="00D806F1"/>
    <w:rsid w:val="00D81743"/>
    <w:rsid w:val="00D83CBD"/>
    <w:rsid w:val="00D840B8"/>
    <w:rsid w:val="00D86721"/>
    <w:rsid w:val="00D874F0"/>
    <w:rsid w:val="00D92796"/>
    <w:rsid w:val="00D93B7E"/>
    <w:rsid w:val="00D94921"/>
    <w:rsid w:val="00D9742A"/>
    <w:rsid w:val="00DA6B4E"/>
    <w:rsid w:val="00DB2C85"/>
    <w:rsid w:val="00DB3572"/>
    <w:rsid w:val="00DB5A86"/>
    <w:rsid w:val="00DB6653"/>
    <w:rsid w:val="00DB7D37"/>
    <w:rsid w:val="00DB7FE2"/>
    <w:rsid w:val="00DC0F4B"/>
    <w:rsid w:val="00DC41D2"/>
    <w:rsid w:val="00DD33C9"/>
    <w:rsid w:val="00DD483A"/>
    <w:rsid w:val="00DE14E7"/>
    <w:rsid w:val="00DE165B"/>
    <w:rsid w:val="00DE2118"/>
    <w:rsid w:val="00DE3189"/>
    <w:rsid w:val="00DE34B8"/>
    <w:rsid w:val="00DE50F3"/>
    <w:rsid w:val="00DE6F8F"/>
    <w:rsid w:val="00DF0CD3"/>
    <w:rsid w:val="00E030D3"/>
    <w:rsid w:val="00E037AE"/>
    <w:rsid w:val="00E03D86"/>
    <w:rsid w:val="00E12E50"/>
    <w:rsid w:val="00E142BE"/>
    <w:rsid w:val="00E14444"/>
    <w:rsid w:val="00E15AAD"/>
    <w:rsid w:val="00E17D15"/>
    <w:rsid w:val="00E22499"/>
    <w:rsid w:val="00E22A26"/>
    <w:rsid w:val="00E24104"/>
    <w:rsid w:val="00E24694"/>
    <w:rsid w:val="00E30E10"/>
    <w:rsid w:val="00E31BD3"/>
    <w:rsid w:val="00E32AB3"/>
    <w:rsid w:val="00E36EEF"/>
    <w:rsid w:val="00E42E75"/>
    <w:rsid w:val="00E4356F"/>
    <w:rsid w:val="00E44E61"/>
    <w:rsid w:val="00E455C8"/>
    <w:rsid w:val="00E46BFC"/>
    <w:rsid w:val="00E4748D"/>
    <w:rsid w:val="00E510C8"/>
    <w:rsid w:val="00E5148F"/>
    <w:rsid w:val="00E5409B"/>
    <w:rsid w:val="00E55A3E"/>
    <w:rsid w:val="00E55D42"/>
    <w:rsid w:val="00E56218"/>
    <w:rsid w:val="00E57961"/>
    <w:rsid w:val="00E61710"/>
    <w:rsid w:val="00E6380D"/>
    <w:rsid w:val="00E66A86"/>
    <w:rsid w:val="00E66CFC"/>
    <w:rsid w:val="00E7281B"/>
    <w:rsid w:val="00E73345"/>
    <w:rsid w:val="00E73F8C"/>
    <w:rsid w:val="00E76287"/>
    <w:rsid w:val="00E80D28"/>
    <w:rsid w:val="00E84F13"/>
    <w:rsid w:val="00E868B4"/>
    <w:rsid w:val="00E87456"/>
    <w:rsid w:val="00E875D8"/>
    <w:rsid w:val="00E87E48"/>
    <w:rsid w:val="00E92300"/>
    <w:rsid w:val="00E961F5"/>
    <w:rsid w:val="00E97938"/>
    <w:rsid w:val="00EA1438"/>
    <w:rsid w:val="00EA2104"/>
    <w:rsid w:val="00EA25A2"/>
    <w:rsid w:val="00EA3C46"/>
    <w:rsid w:val="00EA4930"/>
    <w:rsid w:val="00EA5F8B"/>
    <w:rsid w:val="00EA709F"/>
    <w:rsid w:val="00EA793E"/>
    <w:rsid w:val="00EA7CD1"/>
    <w:rsid w:val="00EB0D48"/>
    <w:rsid w:val="00EB4BC0"/>
    <w:rsid w:val="00EB520C"/>
    <w:rsid w:val="00EB678E"/>
    <w:rsid w:val="00EB6FE1"/>
    <w:rsid w:val="00EC11AE"/>
    <w:rsid w:val="00EC2C24"/>
    <w:rsid w:val="00EC4983"/>
    <w:rsid w:val="00ED0A92"/>
    <w:rsid w:val="00ED20F5"/>
    <w:rsid w:val="00ED3063"/>
    <w:rsid w:val="00ED6415"/>
    <w:rsid w:val="00EE050A"/>
    <w:rsid w:val="00EE33F6"/>
    <w:rsid w:val="00EE5434"/>
    <w:rsid w:val="00EE641A"/>
    <w:rsid w:val="00EF171B"/>
    <w:rsid w:val="00EF1727"/>
    <w:rsid w:val="00EF51A9"/>
    <w:rsid w:val="00EF5FBA"/>
    <w:rsid w:val="00EF7099"/>
    <w:rsid w:val="00EF7AE5"/>
    <w:rsid w:val="00F04151"/>
    <w:rsid w:val="00F058E7"/>
    <w:rsid w:val="00F10DDC"/>
    <w:rsid w:val="00F12469"/>
    <w:rsid w:val="00F13A09"/>
    <w:rsid w:val="00F1491A"/>
    <w:rsid w:val="00F14F83"/>
    <w:rsid w:val="00F20643"/>
    <w:rsid w:val="00F3663D"/>
    <w:rsid w:val="00F4562A"/>
    <w:rsid w:val="00F4685E"/>
    <w:rsid w:val="00F50AB4"/>
    <w:rsid w:val="00F52D6C"/>
    <w:rsid w:val="00F5551C"/>
    <w:rsid w:val="00F574F8"/>
    <w:rsid w:val="00F613D4"/>
    <w:rsid w:val="00F626F0"/>
    <w:rsid w:val="00F669CB"/>
    <w:rsid w:val="00F70289"/>
    <w:rsid w:val="00F705D1"/>
    <w:rsid w:val="00F808AD"/>
    <w:rsid w:val="00F81ACB"/>
    <w:rsid w:val="00F826B3"/>
    <w:rsid w:val="00F8582B"/>
    <w:rsid w:val="00F86172"/>
    <w:rsid w:val="00F8635A"/>
    <w:rsid w:val="00F94252"/>
    <w:rsid w:val="00F96B8E"/>
    <w:rsid w:val="00FA0125"/>
    <w:rsid w:val="00FA4805"/>
    <w:rsid w:val="00FA6AA0"/>
    <w:rsid w:val="00FA6FEF"/>
    <w:rsid w:val="00FB3FA5"/>
    <w:rsid w:val="00FB59E1"/>
    <w:rsid w:val="00FB7681"/>
    <w:rsid w:val="00FC2797"/>
    <w:rsid w:val="00FD1674"/>
    <w:rsid w:val="00FD2E4E"/>
    <w:rsid w:val="00FD3599"/>
    <w:rsid w:val="00FD61B2"/>
    <w:rsid w:val="00FD7250"/>
    <w:rsid w:val="00FE0B11"/>
    <w:rsid w:val="00FE31F1"/>
    <w:rsid w:val="00FE49DD"/>
    <w:rsid w:val="00FE4F87"/>
    <w:rsid w:val="00FE5454"/>
    <w:rsid w:val="00FF1A89"/>
    <w:rsid w:val="00FF2A4A"/>
    <w:rsid w:val="00FF2A56"/>
    <w:rsid w:val="00FF3E11"/>
    <w:rsid w:val="00FF4ABB"/>
    <w:rsid w:val="00FF5DCF"/>
    <w:rsid w:val="00FF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4817"/>
    <o:shapelayout v:ext="edit">
      <o:idmap v:ext="edit" data="1"/>
    </o:shapelayout>
  </w:shapeDefaults>
  <w:decimalSymbol w:val="."/>
  <w:listSeparator w:val=","/>
  <w14:docId w14:val="72D6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89"/>
    <w:rPr>
      <w:sz w:val="24"/>
      <w:szCs w:val="24"/>
    </w:rPr>
  </w:style>
  <w:style w:type="paragraph" w:styleId="Heading2">
    <w:name w:val="heading 2"/>
    <w:basedOn w:val="Normal"/>
    <w:next w:val="Normal"/>
    <w:qFormat/>
    <w:rsid w:val="00F8635A"/>
    <w:pPr>
      <w:keepNext/>
      <w:numPr>
        <w:ilvl w:val="1"/>
        <w:numId w:val="2"/>
      </w:numP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635A"/>
    <w:pPr>
      <w:ind w:left="360"/>
    </w:pPr>
  </w:style>
  <w:style w:type="paragraph" w:styleId="BodyTextIndent2">
    <w:name w:val="Body Text Indent 2"/>
    <w:basedOn w:val="Normal"/>
    <w:rsid w:val="00F8635A"/>
    <w:pPr>
      <w:tabs>
        <w:tab w:val="left" w:pos="-1440"/>
      </w:tabs>
      <w:ind w:left="1080" w:hanging="360"/>
    </w:pPr>
  </w:style>
  <w:style w:type="paragraph" w:styleId="Footer">
    <w:name w:val="footer"/>
    <w:basedOn w:val="Normal"/>
    <w:link w:val="FooterChar"/>
    <w:uiPriority w:val="99"/>
    <w:rsid w:val="00F8635A"/>
    <w:pPr>
      <w:tabs>
        <w:tab w:val="center" w:pos="4320"/>
        <w:tab w:val="right" w:pos="8640"/>
      </w:tabs>
    </w:pPr>
  </w:style>
  <w:style w:type="character" w:styleId="PageNumber">
    <w:name w:val="page number"/>
    <w:basedOn w:val="DefaultParagraphFont"/>
    <w:rsid w:val="00F8635A"/>
  </w:style>
  <w:style w:type="paragraph" w:styleId="BalloonText">
    <w:name w:val="Balloon Text"/>
    <w:basedOn w:val="Normal"/>
    <w:semiHidden/>
    <w:rsid w:val="00C27F87"/>
    <w:rPr>
      <w:rFonts w:ascii="Tahoma" w:hAnsi="Tahoma" w:cs="Tahoma"/>
      <w:sz w:val="16"/>
      <w:szCs w:val="16"/>
    </w:rPr>
  </w:style>
  <w:style w:type="table" w:styleId="TableGrid">
    <w:name w:val="Table Grid"/>
    <w:basedOn w:val="TableNormal"/>
    <w:rsid w:val="00EA1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35E4D"/>
  </w:style>
  <w:style w:type="character" w:styleId="Hyperlink">
    <w:name w:val="Hyperlink"/>
    <w:rsid w:val="00A35E4D"/>
    <w:rPr>
      <w:color w:val="0000FF"/>
      <w:u w:val="single"/>
    </w:rPr>
  </w:style>
  <w:style w:type="character" w:styleId="FollowedHyperlink">
    <w:name w:val="FollowedHyperlink"/>
    <w:rsid w:val="007F1740"/>
    <w:rPr>
      <w:color w:val="800080"/>
      <w:u w:val="single"/>
    </w:rPr>
  </w:style>
  <w:style w:type="character" w:styleId="CommentReference">
    <w:name w:val="annotation reference"/>
    <w:rsid w:val="00B42DDD"/>
    <w:rPr>
      <w:sz w:val="16"/>
      <w:szCs w:val="16"/>
    </w:rPr>
  </w:style>
  <w:style w:type="paragraph" w:styleId="CommentText">
    <w:name w:val="annotation text"/>
    <w:basedOn w:val="Normal"/>
    <w:link w:val="CommentTextChar"/>
    <w:rsid w:val="00B42DDD"/>
    <w:rPr>
      <w:sz w:val="20"/>
      <w:szCs w:val="20"/>
    </w:rPr>
  </w:style>
  <w:style w:type="character" w:customStyle="1" w:styleId="CommentTextChar">
    <w:name w:val="Comment Text Char"/>
    <w:basedOn w:val="DefaultParagraphFont"/>
    <w:link w:val="CommentText"/>
    <w:rsid w:val="00B42DDD"/>
  </w:style>
  <w:style w:type="paragraph" w:styleId="CommentSubject">
    <w:name w:val="annotation subject"/>
    <w:basedOn w:val="CommentText"/>
    <w:next w:val="CommentText"/>
    <w:link w:val="CommentSubjectChar"/>
    <w:rsid w:val="00B42DDD"/>
    <w:rPr>
      <w:b/>
      <w:bCs/>
    </w:rPr>
  </w:style>
  <w:style w:type="character" w:customStyle="1" w:styleId="CommentSubjectChar">
    <w:name w:val="Comment Subject Char"/>
    <w:link w:val="CommentSubject"/>
    <w:rsid w:val="00B42DDD"/>
    <w:rPr>
      <w:b/>
      <w:bCs/>
    </w:rPr>
  </w:style>
  <w:style w:type="paragraph" w:styleId="PlainText">
    <w:name w:val="Plain Text"/>
    <w:basedOn w:val="Normal"/>
    <w:link w:val="PlainTextChar"/>
    <w:uiPriority w:val="99"/>
    <w:unhideWhenUsed/>
    <w:rsid w:val="00C15F32"/>
    <w:rPr>
      <w:rFonts w:ascii="Consolas" w:eastAsia="Calibri" w:hAnsi="Consolas"/>
      <w:sz w:val="21"/>
      <w:szCs w:val="21"/>
    </w:rPr>
  </w:style>
  <w:style w:type="character" w:customStyle="1" w:styleId="PlainTextChar">
    <w:name w:val="Plain Text Char"/>
    <w:link w:val="PlainText"/>
    <w:uiPriority w:val="99"/>
    <w:rsid w:val="00C15F32"/>
    <w:rPr>
      <w:rFonts w:ascii="Consolas" w:eastAsia="Calibri" w:hAnsi="Consolas" w:cs="Times New Roman"/>
      <w:sz w:val="21"/>
      <w:szCs w:val="21"/>
    </w:rPr>
  </w:style>
  <w:style w:type="paragraph" w:styleId="NormalWeb">
    <w:name w:val="Normal (Web)"/>
    <w:basedOn w:val="Normal"/>
    <w:uiPriority w:val="99"/>
    <w:unhideWhenUsed/>
    <w:rsid w:val="0094629A"/>
    <w:pPr>
      <w:spacing w:before="100" w:beforeAutospacing="1" w:after="100" w:afterAutospacing="1"/>
    </w:pPr>
  </w:style>
  <w:style w:type="paragraph" w:styleId="ListParagraph">
    <w:name w:val="List Paragraph"/>
    <w:basedOn w:val="Normal"/>
    <w:uiPriority w:val="34"/>
    <w:qFormat/>
    <w:rsid w:val="002E1487"/>
    <w:pPr>
      <w:ind w:left="720"/>
      <w:contextualSpacing/>
    </w:pPr>
  </w:style>
  <w:style w:type="paragraph" w:styleId="Header">
    <w:name w:val="header"/>
    <w:basedOn w:val="Normal"/>
    <w:link w:val="HeaderChar"/>
    <w:uiPriority w:val="99"/>
    <w:rsid w:val="002E394D"/>
    <w:pPr>
      <w:tabs>
        <w:tab w:val="center" w:pos="4680"/>
        <w:tab w:val="right" w:pos="9360"/>
      </w:tabs>
    </w:pPr>
  </w:style>
  <w:style w:type="character" w:customStyle="1" w:styleId="HeaderChar">
    <w:name w:val="Header Char"/>
    <w:link w:val="Header"/>
    <w:uiPriority w:val="99"/>
    <w:rsid w:val="002E394D"/>
    <w:rPr>
      <w:sz w:val="24"/>
      <w:szCs w:val="24"/>
    </w:rPr>
  </w:style>
  <w:style w:type="character" w:customStyle="1" w:styleId="FooterChar">
    <w:name w:val="Footer Char"/>
    <w:basedOn w:val="DefaultParagraphFont"/>
    <w:link w:val="Footer"/>
    <w:uiPriority w:val="99"/>
    <w:rsid w:val="001C5B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289"/>
    <w:rPr>
      <w:sz w:val="24"/>
      <w:szCs w:val="24"/>
    </w:rPr>
  </w:style>
  <w:style w:type="paragraph" w:styleId="Heading2">
    <w:name w:val="heading 2"/>
    <w:basedOn w:val="Normal"/>
    <w:next w:val="Normal"/>
    <w:qFormat/>
    <w:rsid w:val="00F8635A"/>
    <w:pPr>
      <w:keepNext/>
      <w:numPr>
        <w:ilvl w:val="1"/>
        <w:numId w:val="2"/>
      </w:numP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635A"/>
    <w:pPr>
      <w:ind w:left="360"/>
    </w:pPr>
  </w:style>
  <w:style w:type="paragraph" w:styleId="BodyTextIndent2">
    <w:name w:val="Body Text Indent 2"/>
    <w:basedOn w:val="Normal"/>
    <w:rsid w:val="00F8635A"/>
    <w:pPr>
      <w:tabs>
        <w:tab w:val="left" w:pos="-1440"/>
      </w:tabs>
      <w:ind w:left="1080" w:hanging="360"/>
    </w:pPr>
  </w:style>
  <w:style w:type="paragraph" w:styleId="Footer">
    <w:name w:val="footer"/>
    <w:basedOn w:val="Normal"/>
    <w:link w:val="FooterChar"/>
    <w:uiPriority w:val="99"/>
    <w:rsid w:val="00F8635A"/>
    <w:pPr>
      <w:tabs>
        <w:tab w:val="center" w:pos="4320"/>
        <w:tab w:val="right" w:pos="8640"/>
      </w:tabs>
    </w:pPr>
  </w:style>
  <w:style w:type="character" w:styleId="PageNumber">
    <w:name w:val="page number"/>
    <w:basedOn w:val="DefaultParagraphFont"/>
    <w:rsid w:val="00F8635A"/>
  </w:style>
  <w:style w:type="paragraph" w:styleId="BalloonText">
    <w:name w:val="Balloon Text"/>
    <w:basedOn w:val="Normal"/>
    <w:semiHidden/>
    <w:rsid w:val="00C27F87"/>
    <w:rPr>
      <w:rFonts w:ascii="Tahoma" w:hAnsi="Tahoma" w:cs="Tahoma"/>
      <w:sz w:val="16"/>
      <w:szCs w:val="16"/>
    </w:rPr>
  </w:style>
  <w:style w:type="table" w:styleId="TableGrid">
    <w:name w:val="Table Grid"/>
    <w:basedOn w:val="TableNormal"/>
    <w:rsid w:val="00EA1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35E4D"/>
  </w:style>
  <w:style w:type="character" w:styleId="Hyperlink">
    <w:name w:val="Hyperlink"/>
    <w:rsid w:val="00A35E4D"/>
    <w:rPr>
      <w:color w:val="0000FF"/>
      <w:u w:val="single"/>
    </w:rPr>
  </w:style>
  <w:style w:type="character" w:styleId="FollowedHyperlink">
    <w:name w:val="FollowedHyperlink"/>
    <w:rsid w:val="007F1740"/>
    <w:rPr>
      <w:color w:val="800080"/>
      <w:u w:val="single"/>
    </w:rPr>
  </w:style>
  <w:style w:type="character" w:styleId="CommentReference">
    <w:name w:val="annotation reference"/>
    <w:rsid w:val="00B42DDD"/>
    <w:rPr>
      <w:sz w:val="16"/>
      <w:szCs w:val="16"/>
    </w:rPr>
  </w:style>
  <w:style w:type="paragraph" w:styleId="CommentText">
    <w:name w:val="annotation text"/>
    <w:basedOn w:val="Normal"/>
    <w:link w:val="CommentTextChar"/>
    <w:rsid w:val="00B42DDD"/>
    <w:rPr>
      <w:sz w:val="20"/>
      <w:szCs w:val="20"/>
    </w:rPr>
  </w:style>
  <w:style w:type="character" w:customStyle="1" w:styleId="CommentTextChar">
    <w:name w:val="Comment Text Char"/>
    <w:basedOn w:val="DefaultParagraphFont"/>
    <w:link w:val="CommentText"/>
    <w:rsid w:val="00B42DDD"/>
  </w:style>
  <w:style w:type="paragraph" w:styleId="CommentSubject">
    <w:name w:val="annotation subject"/>
    <w:basedOn w:val="CommentText"/>
    <w:next w:val="CommentText"/>
    <w:link w:val="CommentSubjectChar"/>
    <w:rsid w:val="00B42DDD"/>
    <w:rPr>
      <w:b/>
      <w:bCs/>
    </w:rPr>
  </w:style>
  <w:style w:type="character" w:customStyle="1" w:styleId="CommentSubjectChar">
    <w:name w:val="Comment Subject Char"/>
    <w:link w:val="CommentSubject"/>
    <w:rsid w:val="00B42DDD"/>
    <w:rPr>
      <w:b/>
      <w:bCs/>
    </w:rPr>
  </w:style>
  <w:style w:type="paragraph" w:styleId="PlainText">
    <w:name w:val="Plain Text"/>
    <w:basedOn w:val="Normal"/>
    <w:link w:val="PlainTextChar"/>
    <w:uiPriority w:val="99"/>
    <w:unhideWhenUsed/>
    <w:rsid w:val="00C15F32"/>
    <w:rPr>
      <w:rFonts w:ascii="Consolas" w:eastAsia="Calibri" w:hAnsi="Consolas"/>
      <w:sz w:val="21"/>
      <w:szCs w:val="21"/>
    </w:rPr>
  </w:style>
  <w:style w:type="character" w:customStyle="1" w:styleId="PlainTextChar">
    <w:name w:val="Plain Text Char"/>
    <w:link w:val="PlainText"/>
    <w:uiPriority w:val="99"/>
    <w:rsid w:val="00C15F32"/>
    <w:rPr>
      <w:rFonts w:ascii="Consolas" w:eastAsia="Calibri" w:hAnsi="Consolas" w:cs="Times New Roman"/>
      <w:sz w:val="21"/>
      <w:szCs w:val="21"/>
    </w:rPr>
  </w:style>
  <w:style w:type="paragraph" w:styleId="NormalWeb">
    <w:name w:val="Normal (Web)"/>
    <w:basedOn w:val="Normal"/>
    <w:uiPriority w:val="99"/>
    <w:unhideWhenUsed/>
    <w:rsid w:val="0094629A"/>
    <w:pPr>
      <w:spacing w:before="100" w:beforeAutospacing="1" w:after="100" w:afterAutospacing="1"/>
    </w:pPr>
  </w:style>
  <w:style w:type="paragraph" w:styleId="ListParagraph">
    <w:name w:val="List Paragraph"/>
    <w:basedOn w:val="Normal"/>
    <w:uiPriority w:val="34"/>
    <w:qFormat/>
    <w:rsid w:val="002E1487"/>
    <w:pPr>
      <w:ind w:left="720"/>
      <w:contextualSpacing/>
    </w:pPr>
  </w:style>
  <w:style w:type="paragraph" w:styleId="Header">
    <w:name w:val="header"/>
    <w:basedOn w:val="Normal"/>
    <w:link w:val="HeaderChar"/>
    <w:uiPriority w:val="99"/>
    <w:rsid w:val="002E394D"/>
    <w:pPr>
      <w:tabs>
        <w:tab w:val="center" w:pos="4680"/>
        <w:tab w:val="right" w:pos="9360"/>
      </w:tabs>
    </w:pPr>
  </w:style>
  <w:style w:type="character" w:customStyle="1" w:styleId="HeaderChar">
    <w:name w:val="Header Char"/>
    <w:link w:val="Header"/>
    <w:uiPriority w:val="99"/>
    <w:rsid w:val="002E394D"/>
    <w:rPr>
      <w:sz w:val="24"/>
      <w:szCs w:val="24"/>
    </w:rPr>
  </w:style>
  <w:style w:type="character" w:customStyle="1" w:styleId="FooterChar">
    <w:name w:val="Footer Char"/>
    <w:basedOn w:val="DefaultParagraphFont"/>
    <w:link w:val="Footer"/>
    <w:uiPriority w:val="99"/>
    <w:rsid w:val="001C5B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752">
      <w:bodyDiv w:val="1"/>
      <w:marLeft w:val="0"/>
      <w:marRight w:val="0"/>
      <w:marTop w:val="0"/>
      <w:marBottom w:val="0"/>
      <w:divBdr>
        <w:top w:val="none" w:sz="0" w:space="0" w:color="auto"/>
        <w:left w:val="none" w:sz="0" w:space="0" w:color="auto"/>
        <w:bottom w:val="none" w:sz="0" w:space="0" w:color="auto"/>
        <w:right w:val="none" w:sz="0" w:space="0" w:color="auto"/>
      </w:divBdr>
    </w:div>
    <w:div w:id="669213999">
      <w:bodyDiv w:val="1"/>
      <w:marLeft w:val="0"/>
      <w:marRight w:val="0"/>
      <w:marTop w:val="0"/>
      <w:marBottom w:val="0"/>
      <w:divBdr>
        <w:top w:val="none" w:sz="0" w:space="0" w:color="auto"/>
        <w:left w:val="none" w:sz="0" w:space="0" w:color="auto"/>
        <w:bottom w:val="none" w:sz="0" w:space="0" w:color="auto"/>
        <w:right w:val="none" w:sz="0" w:space="0" w:color="auto"/>
      </w:divBdr>
      <w:divsChild>
        <w:div w:id="50349946">
          <w:marLeft w:val="0"/>
          <w:marRight w:val="0"/>
          <w:marTop w:val="0"/>
          <w:marBottom w:val="0"/>
          <w:divBdr>
            <w:top w:val="none" w:sz="0" w:space="0" w:color="auto"/>
            <w:left w:val="none" w:sz="0" w:space="0" w:color="auto"/>
            <w:bottom w:val="none" w:sz="0" w:space="0" w:color="auto"/>
            <w:right w:val="none" w:sz="0" w:space="0" w:color="auto"/>
          </w:divBdr>
          <w:divsChild>
            <w:div w:id="147148417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232737666">
      <w:bodyDiv w:val="1"/>
      <w:marLeft w:val="0"/>
      <w:marRight w:val="0"/>
      <w:marTop w:val="0"/>
      <w:marBottom w:val="0"/>
      <w:divBdr>
        <w:top w:val="none" w:sz="0" w:space="0" w:color="auto"/>
        <w:left w:val="none" w:sz="0" w:space="0" w:color="auto"/>
        <w:bottom w:val="none" w:sz="0" w:space="0" w:color="auto"/>
        <w:right w:val="none" w:sz="0" w:space="0" w:color="auto"/>
      </w:divBdr>
    </w:div>
    <w:div w:id="15915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RUS_h.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9992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pdf/ecec.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hyperlink" Target="http://www.bls.gov/oes/current/naics4_212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D673-7114-4743-943B-650403DC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10795</Words>
  <Characters>61536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Supporting Statements for Reporting and Recordkeeping</vt:lpstr>
    </vt:vector>
  </TitlesOfParts>
  <Company>OSM</Company>
  <LinksUpToDate>false</LinksUpToDate>
  <CharactersWithSpaces>72187</CharactersWithSpaces>
  <SharedDoc>false</SharedDoc>
  <HLinks>
    <vt:vector size="90" baseType="variant">
      <vt:variant>
        <vt:i4>1376302</vt:i4>
      </vt:variant>
      <vt:variant>
        <vt:i4>48</vt:i4>
      </vt:variant>
      <vt:variant>
        <vt:i4>0</vt:i4>
      </vt:variant>
      <vt:variant>
        <vt:i4>5</vt:i4>
      </vt:variant>
      <vt:variant>
        <vt:lpwstr>http://www.bls.gov/oes/current/naics4_999200.htm</vt:lpwstr>
      </vt:variant>
      <vt:variant>
        <vt:lpwstr>17-0000</vt:lpwstr>
      </vt:variant>
      <vt:variant>
        <vt:i4>1114150</vt:i4>
      </vt:variant>
      <vt:variant>
        <vt:i4>45</vt:i4>
      </vt:variant>
      <vt:variant>
        <vt:i4>0</vt:i4>
      </vt:variant>
      <vt:variant>
        <vt:i4>5</vt:i4>
      </vt:variant>
      <vt:variant>
        <vt:lpwstr>http://www.bls.gov/oes/2008/may/naics4_212100.htm</vt:lpwstr>
      </vt:variant>
      <vt:variant>
        <vt:lpwstr>b43-0000</vt:lpwstr>
      </vt:variant>
      <vt:variant>
        <vt:i4>1376302</vt:i4>
      </vt:variant>
      <vt:variant>
        <vt:i4>42</vt:i4>
      </vt:variant>
      <vt:variant>
        <vt:i4>0</vt:i4>
      </vt:variant>
      <vt:variant>
        <vt:i4>5</vt:i4>
      </vt:variant>
      <vt:variant>
        <vt:lpwstr>http://www.bls.gov/oes/current/naics4_999200.htm</vt:lpwstr>
      </vt:variant>
      <vt:variant>
        <vt:lpwstr>17-0000</vt:lpwstr>
      </vt:variant>
      <vt:variant>
        <vt:i4>1114150</vt:i4>
      </vt:variant>
      <vt:variant>
        <vt:i4>39</vt:i4>
      </vt:variant>
      <vt:variant>
        <vt:i4>0</vt:i4>
      </vt:variant>
      <vt:variant>
        <vt:i4>5</vt:i4>
      </vt:variant>
      <vt:variant>
        <vt:lpwstr>http://www.bls.gov/oes/2008/may/naics4_212100.htm</vt:lpwstr>
      </vt:variant>
      <vt:variant>
        <vt:lpwstr>b43-0000</vt:lpwstr>
      </vt:variant>
      <vt:variant>
        <vt:i4>1376302</vt:i4>
      </vt:variant>
      <vt:variant>
        <vt:i4>36</vt:i4>
      </vt:variant>
      <vt:variant>
        <vt:i4>0</vt:i4>
      </vt:variant>
      <vt:variant>
        <vt:i4>5</vt:i4>
      </vt:variant>
      <vt:variant>
        <vt:lpwstr>http://www.bls.gov/oes/current/naics4_999200.htm</vt:lpwstr>
      </vt:variant>
      <vt:variant>
        <vt:lpwstr>17-0000</vt:lpwstr>
      </vt:variant>
      <vt:variant>
        <vt:i4>3866643</vt:i4>
      </vt:variant>
      <vt:variant>
        <vt:i4>33</vt:i4>
      </vt:variant>
      <vt:variant>
        <vt:i4>0</vt:i4>
      </vt:variant>
      <vt:variant>
        <vt:i4>5</vt:i4>
      </vt:variant>
      <vt:variant>
        <vt:lpwstr>http://www.opm.gov/oca/12tables/html/RUS_h.asp</vt:lpwstr>
      </vt:variant>
      <vt:variant>
        <vt:lpwstr/>
      </vt:variant>
      <vt:variant>
        <vt:i4>3866643</vt:i4>
      </vt:variant>
      <vt:variant>
        <vt:i4>30</vt:i4>
      </vt:variant>
      <vt:variant>
        <vt:i4>0</vt:i4>
      </vt:variant>
      <vt:variant>
        <vt:i4>5</vt:i4>
      </vt:variant>
      <vt:variant>
        <vt:lpwstr>http://www.opm.gov/oca/12tables/html/RUS_h.asp</vt:lpwstr>
      </vt:variant>
      <vt:variant>
        <vt:lpwstr/>
      </vt:variant>
      <vt:variant>
        <vt:i4>1376302</vt:i4>
      </vt:variant>
      <vt:variant>
        <vt:i4>27</vt:i4>
      </vt:variant>
      <vt:variant>
        <vt:i4>0</vt:i4>
      </vt:variant>
      <vt:variant>
        <vt:i4>5</vt:i4>
      </vt:variant>
      <vt:variant>
        <vt:lpwstr>http://www.bls.gov/oes/current/naics4_999200.htm</vt:lpwstr>
      </vt:variant>
      <vt:variant>
        <vt:lpwstr>17-0000</vt:lpwstr>
      </vt:variant>
      <vt:variant>
        <vt:i4>3866643</vt:i4>
      </vt:variant>
      <vt:variant>
        <vt:i4>24</vt:i4>
      </vt:variant>
      <vt:variant>
        <vt:i4>0</vt:i4>
      </vt:variant>
      <vt:variant>
        <vt:i4>5</vt:i4>
      </vt:variant>
      <vt:variant>
        <vt:lpwstr>http://www.opm.gov/oca/12tables/html/RUS_h.asp</vt:lpwstr>
      </vt:variant>
      <vt:variant>
        <vt:lpwstr/>
      </vt:variant>
      <vt:variant>
        <vt:i4>1376302</vt:i4>
      </vt:variant>
      <vt:variant>
        <vt:i4>21</vt:i4>
      </vt:variant>
      <vt:variant>
        <vt:i4>0</vt:i4>
      </vt:variant>
      <vt:variant>
        <vt:i4>5</vt:i4>
      </vt:variant>
      <vt:variant>
        <vt:lpwstr>http://www.bls.gov/oes/current/naics4_999200.htm</vt:lpwstr>
      </vt:variant>
      <vt:variant>
        <vt:lpwstr>17-0000</vt:lpwstr>
      </vt:variant>
      <vt:variant>
        <vt:i4>1376302</vt:i4>
      </vt:variant>
      <vt:variant>
        <vt:i4>18</vt:i4>
      </vt:variant>
      <vt:variant>
        <vt:i4>0</vt:i4>
      </vt:variant>
      <vt:variant>
        <vt:i4>5</vt:i4>
      </vt:variant>
      <vt:variant>
        <vt:lpwstr>http://www.bls.gov/oes/current/naics4_999200.htm</vt:lpwstr>
      </vt:variant>
      <vt:variant>
        <vt:lpwstr>17-0000</vt:lpwstr>
      </vt:variant>
      <vt:variant>
        <vt:i4>1900546</vt:i4>
      </vt:variant>
      <vt:variant>
        <vt:i4>15</vt:i4>
      </vt:variant>
      <vt:variant>
        <vt:i4>0</vt:i4>
      </vt:variant>
      <vt:variant>
        <vt:i4>5</vt:i4>
      </vt:variant>
      <vt:variant>
        <vt:lpwstr>http://www.bls.gov/news.release/pdf/ecec.pdf</vt:lpwstr>
      </vt:variant>
      <vt:variant>
        <vt:lpwstr/>
      </vt:variant>
      <vt:variant>
        <vt:i4>1114150</vt:i4>
      </vt:variant>
      <vt:variant>
        <vt:i4>12</vt:i4>
      </vt:variant>
      <vt:variant>
        <vt:i4>0</vt:i4>
      </vt:variant>
      <vt:variant>
        <vt:i4>5</vt:i4>
      </vt:variant>
      <vt:variant>
        <vt:lpwstr>http://www.bls.gov/oes/2008/may/naics4_212100.htm</vt:lpwstr>
      </vt:variant>
      <vt:variant>
        <vt:lpwstr>b43-0000</vt:lpwstr>
      </vt:variant>
      <vt:variant>
        <vt:i4>3407880</vt:i4>
      </vt:variant>
      <vt:variant>
        <vt:i4>6</vt:i4>
      </vt:variant>
      <vt:variant>
        <vt:i4>0</vt:i4>
      </vt:variant>
      <vt:variant>
        <vt:i4>5</vt:i4>
      </vt:variant>
      <vt:variant>
        <vt:lpwstr>mailto:kerrygoodballet@consolenergy.com</vt:lpwstr>
      </vt:variant>
      <vt:variant>
        <vt:lpwstr/>
      </vt:variant>
      <vt:variant>
        <vt:i4>5439606</vt:i4>
      </vt:variant>
      <vt:variant>
        <vt:i4>3</vt:i4>
      </vt:variant>
      <vt:variant>
        <vt:i4>0</vt:i4>
      </vt:variant>
      <vt:variant>
        <vt:i4>5</vt:i4>
      </vt:variant>
      <vt:variant>
        <vt:lpwstr>mailto:wplassio@pa.gov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dc:title>
  <dc:creator>Trelease</dc:creator>
  <cp:lastModifiedBy>SYSTEM</cp:lastModifiedBy>
  <cp:revision>2</cp:revision>
  <cp:lastPrinted>2018-10-29T11:50:00Z</cp:lastPrinted>
  <dcterms:created xsi:type="dcterms:W3CDTF">2018-10-30T12:40:00Z</dcterms:created>
  <dcterms:modified xsi:type="dcterms:W3CDTF">2018-10-30T12:40:00Z</dcterms:modified>
</cp:coreProperties>
</file>