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64192" w14:textId="07DB3635" w:rsidR="00561732" w:rsidRPr="00DE2AA7" w:rsidRDefault="00561732" w:rsidP="009561F8">
      <w:pPr>
        <w:rPr>
          <w:b/>
          <w:bCs/>
        </w:rPr>
      </w:pPr>
      <w:bookmarkStart w:id="0" w:name="_GoBack"/>
      <w:bookmarkEnd w:id="0"/>
      <w:r w:rsidRPr="00DE2AA7">
        <w:rPr>
          <w:b/>
          <w:bCs/>
        </w:rPr>
        <w:t>SUPPORTING STATEMENT – Part B</w:t>
      </w:r>
    </w:p>
    <w:p w14:paraId="4E1B7216" w14:textId="5734DCE6" w:rsidR="00561732" w:rsidRPr="00DE2AA7" w:rsidRDefault="00561732" w:rsidP="00DE2AA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val="0"/>
      </w:pPr>
      <w:r w:rsidRPr="00DE2AA7">
        <w:rPr>
          <w:b/>
          <w:bCs/>
        </w:rPr>
        <w:t>Collection of Information Employing Statistical Methods</w:t>
      </w:r>
    </w:p>
    <w:p w14:paraId="264E6DC2" w14:textId="77777777" w:rsidR="00561732" w:rsidRPr="00DE2AA7" w:rsidRDefault="00561732" w:rsidP="009561F8">
      <w:pPr>
        <w:rPr>
          <w:b/>
          <w:bCs/>
        </w:rPr>
      </w:pPr>
    </w:p>
    <w:p w14:paraId="29D57EA6" w14:textId="109E46F5" w:rsidR="00561732" w:rsidRPr="00DE2AA7" w:rsidRDefault="00892923" w:rsidP="009561F8">
      <w:pPr>
        <w:rPr>
          <w:b/>
          <w:bCs/>
        </w:rPr>
      </w:pPr>
      <w:r>
        <w:rPr>
          <w:b/>
          <w:bCs/>
        </w:rPr>
        <w:t>2018</w:t>
      </w:r>
      <w:r w:rsidR="00561732" w:rsidRPr="00DE2AA7">
        <w:rPr>
          <w:b/>
          <w:bCs/>
        </w:rPr>
        <w:t xml:space="preserve"> Census of Law Enforcement Training Academies (CLETA) </w:t>
      </w:r>
    </w:p>
    <w:p w14:paraId="68709A78" w14:textId="77777777" w:rsidR="00561732" w:rsidRPr="00DE2AA7" w:rsidRDefault="00561732" w:rsidP="00DE2AA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contextualSpacing w:val="0"/>
        <w:rPr>
          <w:b/>
          <w:bCs/>
        </w:rPr>
      </w:pPr>
    </w:p>
    <w:p w14:paraId="2E291C4C" w14:textId="77777777" w:rsidR="00421095" w:rsidRPr="00DE2AA7" w:rsidRDefault="00421095" w:rsidP="00956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2F66BF" w14:textId="77777777" w:rsidR="00421095" w:rsidRPr="00DE2AA7" w:rsidRDefault="00421095" w:rsidP="00DE2AA7">
      <w:pPr>
        <w:pStyle w:val="ListParagraph"/>
        <w:numPr>
          <w:ilvl w:val="0"/>
          <w:numId w:val="5"/>
        </w:numPr>
        <w:ind w:left="360"/>
        <w:contextualSpacing w:val="0"/>
        <w:rPr>
          <w:b/>
          <w:u w:val="single"/>
        </w:rPr>
      </w:pPr>
      <w:r w:rsidRPr="00DE2AA7">
        <w:rPr>
          <w:b/>
          <w:u w:val="single"/>
        </w:rPr>
        <w:t>Universe and Respondent Selection</w:t>
      </w:r>
    </w:p>
    <w:p w14:paraId="0785B71C" w14:textId="77777777" w:rsidR="00421095" w:rsidRPr="00DE2AA7" w:rsidRDefault="00421095" w:rsidP="00DE2AA7">
      <w:pPr>
        <w:pStyle w:val="SP-SglSpPara"/>
        <w:spacing w:line="240" w:lineRule="auto"/>
        <w:ind w:firstLine="0"/>
        <w:jc w:val="left"/>
        <w:rPr>
          <w:sz w:val="24"/>
          <w:szCs w:val="24"/>
        </w:rPr>
      </w:pPr>
    </w:p>
    <w:p w14:paraId="3AB2B0A2" w14:textId="77777777" w:rsidR="0014729D" w:rsidRDefault="00421095" w:rsidP="00DE2AA7">
      <w:pPr>
        <w:pStyle w:val="SP-SglSpPara"/>
        <w:spacing w:line="240" w:lineRule="auto"/>
        <w:ind w:firstLine="0"/>
        <w:jc w:val="left"/>
        <w:rPr>
          <w:sz w:val="24"/>
          <w:szCs w:val="24"/>
        </w:rPr>
      </w:pPr>
      <w:r w:rsidRPr="00DE2AA7">
        <w:rPr>
          <w:sz w:val="24"/>
          <w:szCs w:val="24"/>
        </w:rPr>
        <w:t xml:space="preserve">The </w:t>
      </w:r>
      <w:r w:rsidR="00892923">
        <w:rPr>
          <w:sz w:val="24"/>
          <w:szCs w:val="24"/>
        </w:rPr>
        <w:t>2018</w:t>
      </w:r>
      <w:r w:rsidRPr="00DE2AA7">
        <w:rPr>
          <w:sz w:val="24"/>
          <w:szCs w:val="24"/>
        </w:rPr>
        <w:t xml:space="preserve"> </w:t>
      </w:r>
      <w:r w:rsidR="008378EB" w:rsidRPr="00DE2AA7">
        <w:rPr>
          <w:sz w:val="24"/>
          <w:szCs w:val="24"/>
        </w:rPr>
        <w:t xml:space="preserve">Census of Law Enforcement Training Academies (CLETA) </w:t>
      </w:r>
      <w:r w:rsidRPr="00DE2AA7">
        <w:rPr>
          <w:sz w:val="24"/>
          <w:szCs w:val="24"/>
        </w:rPr>
        <w:t xml:space="preserve">will utilize procedures successfully employed in the prior </w:t>
      </w:r>
      <w:r w:rsidR="007518E2" w:rsidRPr="00DE2AA7">
        <w:rPr>
          <w:sz w:val="24"/>
          <w:szCs w:val="24"/>
        </w:rPr>
        <w:t xml:space="preserve">three </w:t>
      </w:r>
      <w:r w:rsidR="008378EB" w:rsidRPr="00DE2AA7">
        <w:rPr>
          <w:sz w:val="24"/>
          <w:szCs w:val="24"/>
        </w:rPr>
        <w:t xml:space="preserve">administrations of CLETA </w:t>
      </w:r>
      <w:r w:rsidRPr="00DE2AA7">
        <w:rPr>
          <w:sz w:val="24"/>
          <w:szCs w:val="24"/>
        </w:rPr>
        <w:t>to identify the universe of eligible</w:t>
      </w:r>
      <w:r w:rsidR="00CC7CB4" w:rsidRPr="00DE2AA7">
        <w:rPr>
          <w:sz w:val="24"/>
          <w:szCs w:val="24"/>
        </w:rPr>
        <w:t xml:space="preserve"> academies. The universe </w:t>
      </w:r>
      <w:r w:rsidR="00DC499A" w:rsidRPr="00DE2AA7">
        <w:rPr>
          <w:sz w:val="24"/>
          <w:szCs w:val="24"/>
        </w:rPr>
        <w:t xml:space="preserve">is defined </w:t>
      </w:r>
      <w:r w:rsidR="00792E7B" w:rsidRPr="00372210">
        <w:rPr>
          <w:sz w:val="24"/>
          <w:szCs w:val="24"/>
        </w:rPr>
        <w:t xml:space="preserve">to include </w:t>
      </w:r>
      <w:r w:rsidR="00DC499A" w:rsidRPr="00372210">
        <w:rPr>
          <w:sz w:val="24"/>
          <w:szCs w:val="24"/>
        </w:rPr>
        <w:t>any academy conducting basic law enforcement training</w:t>
      </w:r>
      <w:r w:rsidR="00892923">
        <w:rPr>
          <w:sz w:val="24"/>
          <w:szCs w:val="24"/>
        </w:rPr>
        <w:t xml:space="preserve"> in 2018</w:t>
      </w:r>
      <w:r w:rsidR="00DC499A" w:rsidRPr="00372210">
        <w:rPr>
          <w:sz w:val="24"/>
          <w:szCs w:val="24"/>
        </w:rPr>
        <w:t>.</w:t>
      </w:r>
      <w:r w:rsidR="00B4474B" w:rsidRPr="001D5736">
        <w:rPr>
          <w:sz w:val="24"/>
          <w:szCs w:val="24"/>
        </w:rPr>
        <w:t xml:space="preserve"> </w:t>
      </w:r>
    </w:p>
    <w:p w14:paraId="49D7480C" w14:textId="77777777" w:rsidR="0014729D" w:rsidRDefault="0014729D" w:rsidP="00DE2AA7">
      <w:pPr>
        <w:pStyle w:val="SP-SglSpPara"/>
        <w:spacing w:line="240" w:lineRule="auto"/>
        <w:ind w:firstLine="0"/>
        <w:jc w:val="left"/>
        <w:rPr>
          <w:sz w:val="24"/>
          <w:szCs w:val="24"/>
        </w:rPr>
      </w:pPr>
    </w:p>
    <w:p w14:paraId="60525C43" w14:textId="34CDFC67" w:rsidR="005A5236" w:rsidRDefault="0014729D" w:rsidP="008D4BE4">
      <w:pPr>
        <w:pStyle w:val="SP-SglSpPara"/>
        <w:ind w:firstLine="0"/>
        <w:jc w:val="left"/>
        <w:rPr>
          <w:sz w:val="24"/>
          <w:szCs w:val="24"/>
        </w:rPr>
      </w:pPr>
      <w:r w:rsidRPr="0014729D">
        <w:rPr>
          <w:sz w:val="24"/>
          <w:szCs w:val="24"/>
        </w:rPr>
        <w:t xml:space="preserve">The 2018 CLETA </w:t>
      </w:r>
      <w:r w:rsidR="00BD5D80">
        <w:rPr>
          <w:sz w:val="24"/>
          <w:szCs w:val="24"/>
        </w:rPr>
        <w:t xml:space="preserve">frame file will be developed from the </w:t>
      </w:r>
      <w:r w:rsidRPr="0014729D">
        <w:rPr>
          <w:sz w:val="24"/>
          <w:szCs w:val="24"/>
        </w:rPr>
        <w:t>2013</w:t>
      </w:r>
      <w:r>
        <w:rPr>
          <w:sz w:val="24"/>
          <w:szCs w:val="24"/>
        </w:rPr>
        <w:t xml:space="preserve"> </w:t>
      </w:r>
      <w:r w:rsidRPr="0014729D">
        <w:rPr>
          <w:sz w:val="24"/>
          <w:szCs w:val="24"/>
        </w:rPr>
        <w:t>CLETA universe and respondent file.</w:t>
      </w:r>
      <w:r>
        <w:rPr>
          <w:sz w:val="24"/>
          <w:szCs w:val="24"/>
        </w:rPr>
        <w:t xml:space="preserve"> </w:t>
      </w:r>
      <w:r w:rsidRPr="0014729D">
        <w:rPr>
          <w:sz w:val="24"/>
          <w:szCs w:val="24"/>
        </w:rPr>
        <w:t>Th</w:t>
      </w:r>
      <w:r>
        <w:rPr>
          <w:sz w:val="24"/>
          <w:szCs w:val="24"/>
        </w:rPr>
        <w:t>e</w:t>
      </w:r>
      <w:r w:rsidRPr="0014729D">
        <w:rPr>
          <w:sz w:val="24"/>
          <w:szCs w:val="24"/>
        </w:rPr>
        <w:t xml:space="preserve"> file contains information on 839 potentially eligible training academies; however, during the 2013 CLETA</w:t>
      </w:r>
      <w:r w:rsidR="00BA551B">
        <w:rPr>
          <w:sz w:val="24"/>
          <w:szCs w:val="24"/>
        </w:rPr>
        <w:t>,</w:t>
      </w:r>
      <w:r w:rsidRPr="0014729D">
        <w:rPr>
          <w:sz w:val="24"/>
          <w:szCs w:val="24"/>
        </w:rPr>
        <w:t xml:space="preserve"> 175 </w:t>
      </w:r>
      <w:r w:rsidR="001F48EA">
        <w:rPr>
          <w:sz w:val="24"/>
          <w:szCs w:val="24"/>
        </w:rPr>
        <w:t>academies</w:t>
      </w:r>
      <w:r w:rsidRPr="0014729D">
        <w:rPr>
          <w:sz w:val="24"/>
          <w:szCs w:val="24"/>
        </w:rPr>
        <w:t xml:space="preserve"> were deemed ineligible. </w:t>
      </w:r>
      <w:r w:rsidR="001F48EA">
        <w:rPr>
          <w:sz w:val="24"/>
          <w:szCs w:val="24"/>
        </w:rPr>
        <w:t xml:space="preserve">The frame </w:t>
      </w:r>
      <w:r w:rsidR="00BD5D80">
        <w:rPr>
          <w:sz w:val="24"/>
          <w:szCs w:val="24"/>
        </w:rPr>
        <w:t xml:space="preserve">cleaning </w:t>
      </w:r>
      <w:r w:rsidR="001F48EA">
        <w:rPr>
          <w:sz w:val="24"/>
          <w:szCs w:val="24"/>
        </w:rPr>
        <w:t xml:space="preserve">process will focus on three tasks to </w:t>
      </w:r>
      <w:r w:rsidR="00BA551B">
        <w:rPr>
          <w:sz w:val="24"/>
          <w:szCs w:val="24"/>
        </w:rPr>
        <w:t xml:space="preserve">update that frame: </w:t>
      </w:r>
      <w:r w:rsidR="001F48EA">
        <w:rPr>
          <w:sz w:val="24"/>
          <w:szCs w:val="24"/>
        </w:rPr>
        <w:t xml:space="preserve">reviewing academies </w:t>
      </w:r>
      <w:r w:rsidR="00BA551B">
        <w:rPr>
          <w:sz w:val="24"/>
          <w:szCs w:val="24"/>
        </w:rPr>
        <w:t>deemed ineligible in</w:t>
      </w:r>
      <w:r w:rsidR="001F48EA">
        <w:rPr>
          <w:sz w:val="24"/>
          <w:szCs w:val="24"/>
        </w:rPr>
        <w:t xml:space="preserve"> 2013, confirming </w:t>
      </w:r>
      <w:r w:rsidR="00BA551B">
        <w:rPr>
          <w:sz w:val="24"/>
          <w:szCs w:val="24"/>
        </w:rPr>
        <w:t xml:space="preserve">that </w:t>
      </w:r>
      <w:r w:rsidR="001F48EA">
        <w:rPr>
          <w:sz w:val="24"/>
          <w:szCs w:val="24"/>
        </w:rPr>
        <w:t xml:space="preserve">academies </w:t>
      </w:r>
      <w:r w:rsidR="00BA551B">
        <w:rPr>
          <w:sz w:val="24"/>
          <w:szCs w:val="24"/>
        </w:rPr>
        <w:t xml:space="preserve">eligible to participate in </w:t>
      </w:r>
      <w:r w:rsidR="001F48EA">
        <w:rPr>
          <w:sz w:val="24"/>
          <w:szCs w:val="24"/>
        </w:rPr>
        <w:t>2013</w:t>
      </w:r>
      <w:r w:rsidR="00BA551B">
        <w:rPr>
          <w:sz w:val="24"/>
          <w:szCs w:val="24"/>
        </w:rPr>
        <w:t xml:space="preserve"> remain so in 2018</w:t>
      </w:r>
      <w:r w:rsidR="001F48EA">
        <w:rPr>
          <w:sz w:val="24"/>
          <w:szCs w:val="24"/>
        </w:rPr>
        <w:t xml:space="preserve">, and updating the </w:t>
      </w:r>
      <w:r w:rsidR="00BA551B">
        <w:rPr>
          <w:sz w:val="24"/>
          <w:szCs w:val="24"/>
        </w:rPr>
        <w:t>frame</w:t>
      </w:r>
      <w:r w:rsidR="001F48EA">
        <w:rPr>
          <w:sz w:val="24"/>
          <w:szCs w:val="24"/>
        </w:rPr>
        <w:t xml:space="preserve"> with new academies. </w:t>
      </w:r>
      <w:r w:rsidR="008D4BE4">
        <w:rPr>
          <w:sz w:val="24"/>
          <w:szCs w:val="24"/>
        </w:rPr>
        <w:t>To complete these tasks, R</w:t>
      </w:r>
      <w:r w:rsidR="005A5236">
        <w:rPr>
          <w:sz w:val="24"/>
          <w:szCs w:val="24"/>
        </w:rPr>
        <w:t>TI</w:t>
      </w:r>
      <w:r w:rsidR="00BD5D80">
        <w:rPr>
          <w:sz w:val="24"/>
          <w:szCs w:val="24"/>
        </w:rPr>
        <w:t xml:space="preserve"> </w:t>
      </w:r>
      <w:r w:rsidR="00BD5D80" w:rsidRPr="0014729D">
        <w:rPr>
          <w:sz w:val="24"/>
          <w:szCs w:val="24"/>
        </w:rPr>
        <w:t xml:space="preserve">will search and attempt to locate state-level lists, </w:t>
      </w:r>
      <w:r w:rsidR="00D37852">
        <w:rPr>
          <w:sz w:val="24"/>
          <w:szCs w:val="24"/>
        </w:rPr>
        <w:t>2013 eligible academy</w:t>
      </w:r>
      <w:r w:rsidR="00BD5D80" w:rsidRPr="0014729D">
        <w:rPr>
          <w:sz w:val="24"/>
          <w:szCs w:val="24"/>
        </w:rPr>
        <w:t xml:space="preserve"> websites, and other academy information </w:t>
      </w:r>
      <w:r w:rsidR="00D277D2">
        <w:rPr>
          <w:sz w:val="24"/>
          <w:szCs w:val="24"/>
        </w:rPr>
        <w:t xml:space="preserve">sources </w:t>
      </w:r>
      <w:r w:rsidR="00BD5D80" w:rsidRPr="0014729D">
        <w:rPr>
          <w:sz w:val="24"/>
          <w:szCs w:val="24"/>
        </w:rPr>
        <w:t>available online.</w:t>
      </w:r>
      <w:r w:rsidR="007724E2">
        <w:rPr>
          <w:sz w:val="24"/>
          <w:szCs w:val="24"/>
        </w:rPr>
        <w:t xml:space="preserve"> </w:t>
      </w:r>
      <w:r w:rsidR="005A5236">
        <w:rPr>
          <w:sz w:val="24"/>
          <w:szCs w:val="24"/>
        </w:rPr>
        <w:t xml:space="preserve">Information found online about academies </w:t>
      </w:r>
      <w:r w:rsidR="007724E2">
        <w:rPr>
          <w:sz w:val="24"/>
          <w:szCs w:val="24"/>
        </w:rPr>
        <w:t xml:space="preserve">will be checked against the </w:t>
      </w:r>
      <w:r w:rsidR="00316268">
        <w:rPr>
          <w:sz w:val="24"/>
          <w:szCs w:val="24"/>
        </w:rPr>
        <w:t>2013</w:t>
      </w:r>
      <w:r w:rsidR="007724E2">
        <w:rPr>
          <w:sz w:val="24"/>
          <w:szCs w:val="24"/>
        </w:rPr>
        <w:t xml:space="preserve"> CLETA frame file and records will be updated where appropriate. </w:t>
      </w:r>
    </w:p>
    <w:p w14:paraId="240AE384" w14:textId="77777777" w:rsidR="00D277D2" w:rsidRDefault="00D277D2" w:rsidP="000D5DD6">
      <w:pPr>
        <w:pStyle w:val="SP-SglSpPara"/>
        <w:ind w:firstLine="0"/>
        <w:jc w:val="left"/>
        <w:rPr>
          <w:sz w:val="24"/>
          <w:szCs w:val="24"/>
        </w:rPr>
      </w:pPr>
    </w:p>
    <w:p w14:paraId="2A735656" w14:textId="4DE01CF3" w:rsidR="008D4BE4" w:rsidRDefault="008D4BE4" w:rsidP="008D4BE4">
      <w:r>
        <w:t xml:space="preserve">During the 2013 CLETA 175 cases were deemed ineligible. Based on BJS guidance, cases with the following dispositions are to be re-evaluated for eligibility in the 2018 CLETA: agency did not exist (2); has not </w:t>
      </w:r>
      <w:r w:rsidR="00BA5F1A">
        <w:t xml:space="preserve">been a </w:t>
      </w:r>
      <w:r>
        <w:t xml:space="preserve">basic academy </w:t>
      </w:r>
      <w:r w:rsidR="00BA5F1A">
        <w:t xml:space="preserve">during the </w:t>
      </w:r>
      <w:r>
        <w:t xml:space="preserve">reference period (28); reason not specified (7); listed as complete but not in data file (18); record was a non-primary duplicate (16). A random selection of 40 out of the remaining 104 cases with the disposition of “no basic academy” will be reviewed to determine eligibility. Identification of more than four </w:t>
      </w:r>
      <w:r w:rsidR="00BA5F1A">
        <w:t xml:space="preserve">randomly selected </w:t>
      </w:r>
      <w:r>
        <w:t>cases among the 40</w:t>
      </w:r>
      <w:r w:rsidR="003031DA">
        <w:t xml:space="preserve"> as having </w:t>
      </w:r>
      <w:r w:rsidR="00BA5F1A">
        <w:t xml:space="preserve">a </w:t>
      </w:r>
      <w:r w:rsidR="003031DA">
        <w:t>basic training academ</w:t>
      </w:r>
      <w:r w:rsidR="00BA5F1A">
        <w:t>y</w:t>
      </w:r>
      <w:r>
        <w:t xml:space="preserve"> </w:t>
      </w:r>
      <w:r w:rsidR="00BA5F1A">
        <w:t xml:space="preserve">will </w:t>
      </w:r>
      <w:r>
        <w:t xml:space="preserve">trigger </w:t>
      </w:r>
      <w:r w:rsidR="00BA5F1A">
        <w:t xml:space="preserve">a </w:t>
      </w:r>
      <w:r>
        <w:t xml:space="preserve">review of </w:t>
      </w:r>
      <w:r w:rsidR="00BA5F1A">
        <w:t xml:space="preserve">all </w:t>
      </w:r>
      <w:r>
        <w:t xml:space="preserve">remaining </w:t>
      </w:r>
      <w:r w:rsidR="00204F71">
        <w:t>“no basic academy</w:t>
      </w:r>
      <w:r w:rsidR="00D86B6B">
        <w:t>”</w:t>
      </w:r>
      <w:r w:rsidR="00204F71">
        <w:t xml:space="preserve"> </w:t>
      </w:r>
      <w:r>
        <w:t>cases.</w:t>
      </w:r>
    </w:p>
    <w:p w14:paraId="25C3E2BB" w14:textId="77777777" w:rsidR="008D4BE4" w:rsidRDefault="008D4BE4" w:rsidP="0045706B">
      <w:pPr>
        <w:pStyle w:val="SP-SglSpPara"/>
        <w:ind w:firstLine="0"/>
        <w:jc w:val="left"/>
        <w:rPr>
          <w:sz w:val="24"/>
          <w:szCs w:val="24"/>
        </w:rPr>
      </w:pPr>
    </w:p>
    <w:p w14:paraId="5C5186C9" w14:textId="1C668BA5" w:rsidR="00B4474B" w:rsidRDefault="00E1269B" w:rsidP="0045706B">
      <w:pPr>
        <w:pStyle w:val="SP-SglSpPara"/>
        <w:ind w:firstLine="0"/>
        <w:jc w:val="left"/>
        <w:rPr>
          <w:sz w:val="24"/>
          <w:szCs w:val="24"/>
        </w:rPr>
      </w:pPr>
      <w:r>
        <w:rPr>
          <w:sz w:val="24"/>
          <w:szCs w:val="24"/>
        </w:rPr>
        <w:t xml:space="preserve">The best source for identifying new academies will be the </w:t>
      </w:r>
      <w:r w:rsidR="003031DA">
        <w:rPr>
          <w:sz w:val="24"/>
          <w:szCs w:val="24"/>
        </w:rPr>
        <w:t>S</w:t>
      </w:r>
      <w:r w:rsidR="007724E2">
        <w:rPr>
          <w:sz w:val="24"/>
          <w:szCs w:val="24"/>
        </w:rPr>
        <w:t>tate</w:t>
      </w:r>
      <w:r w:rsidR="003031DA">
        <w:rPr>
          <w:sz w:val="24"/>
          <w:szCs w:val="24"/>
        </w:rPr>
        <w:t xml:space="preserve"> Peace Officer and Standards Training (POST) boards</w:t>
      </w:r>
      <w:r>
        <w:rPr>
          <w:sz w:val="24"/>
          <w:szCs w:val="24"/>
        </w:rPr>
        <w:t>. The POST boards</w:t>
      </w:r>
      <w:r w:rsidR="003031DA">
        <w:rPr>
          <w:sz w:val="24"/>
          <w:szCs w:val="24"/>
        </w:rPr>
        <w:t xml:space="preserve"> typically </w:t>
      </w:r>
      <w:r w:rsidR="007724E2">
        <w:rPr>
          <w:sz w:val="24"/>
          <w:szCs w:val="24"/>
        </w:rPr>
        <w:t xml:space="preserve">provide </w:t>
      </w:r>
      <w:r w:rsidR="00B5027C">
        <w:rPr>
          <w:sz w:val="24"/>
          <w:szCs w:val="24"/>
        </w:rPr>
        <w:t xml:space="preserve">state-level </w:t>
      </w:r>
      <w:r w:rsidR="007724E2">
        <w:rPr>
          <w:sz w:val="24"/>
          <w:szCs w:val="24"/>
        </w:rPr>
        <w:t>training academy lists with contact details online for the public</w:t>
      </w:r>
      <w:r w:rsidR="00204F71">
        <w:rPr>
          <w:sz w:val="24"/>
          <w:szCs w:val="24"/>
        </w:rPr>
        <w:t>. T</w:t>
      </w:r>
      <w:r w:rsidR="008D4BE4">
        <w:rPr>
          <w:sz w:val="24"/>
          <w:szCs w:val="24"/>
        </w:rPr>
        <w:t xml:space="preserve">hese </w:t>
      </w:r>
      <w:r>
        <w:rPr>
          <w:sz w:val="24"/>
          <w:szCs w:val="24"/>
        </w:rPr>
        <w:t xml:space="preserve">lists </w:t>
      </w:r>
      <w:r w:rsidR="008D4BE4">
        <w:rPr>
          <w:sz w:val="24"/>
          <w:szCs w:val="24"/>
        </w:rPr>
        <w:t xml:space="preserve">should </w:t>
      </w:r>
      <w:r>
        <w:rPr>
          <w:sz w:val="24"/>
          <w:szCs w:val="24"/>
        </w:rPr>
        <w:t xml:space="preserve">also </w:t>
      </w:r>
      <w:r w:rsidR="008D4BE4">
        <w:rPr>
          <w:sz w:val="24"/>
          <w:szCs w:val="24"/>
        </w:rPr>
        <w:t>be a quality resource for confirming eligible and ineligible academies</w:t>
      </w:r>
      <w:r w:rsidR="007724E2">
        <w:rPr>
          <w:sz w:val="24"/>
          <w:szCs w:val="24"/>
        </w:rPr>
        <w:t xml:space="preserve">. </w:t>
      </w:r>
      <w:r w:rsidR="003031DA">
        <w:rPr>
          <w:sz w:val="24"/>
          <w:szCs w:val="24"/>
        </w:rPr>
        <w:t>Most</w:t>
      </w:r>
      <w:r w:rsidR="007724E2">
        <w:rPr>
          <w:sz w:val="24"/>
          <w:szCs w:val="24"/>
        </w:rPr>
        <w:t xml:space="preserve"> academies also have website</w:t>
      </w:r>
      <w:r w:rsidR="003031DA">
        <w:rPr>
          <w:sz w:val="24"/>
          <w:szCs w:val="24"/>
        </w:rPr>
        <w:t>s</w:t>
      </w:r>
      <w:r w:rsidR="007724E2">
        <w:rPr>
          <w:sz w:val="24"/>
          <w:szCs w:val="24"/>
        </w:rPr>
        <w:t xml:space="preserve"> t</w:t>
      </w:r>
      <w:r w:rsidR="003031DA">
        <w:rPr>
          <w:sz w:val="24"/>
          <w:szCs w:val="24"/>
        </w:rPr>
        <w:t>hat provide basic contact information</w:t>
      </w:r>
      <w:r w:rsidR="007724E2">
        <w:rPr>
          <w:sz w:val="24"/>
          <w:szCs w:val="24"/>
        </w:rPr>
        <w:t xml:space="preserve">. </w:t>
      </w:r>
      <w:r w:rsidR="005A5236">
        <w:rPr>
          <w:sz w:val="24"/>
          <w:szCs w:val="24"/>
        </w:rPr>
        <w:t>Prior to OMB clearance, t</w:t>
      </w:r>
      <w:r w:rsidR="007724E2">
        <w:rPr>
          <w:sz w:val="24"/>
          <w:szCs w:val="24"/>
        </w:rPr>
        <w:t xml:space="preserve">here will be no direct contact with academies. </w:t>
      </w:r>
      <w:r w:rsidR="005A5236">
        <w:rPr>
          <w:sz w:val="24"/>
          <w:szCs w:val="24"/>
        </w:rPr>
        <w:t>O</w:t>
      </w:r>
      <w:r w:rsidR="00B4474B" w:rsidRPr="001D5736">
        <w:rPr>
          <w:sz w:val="24"/>
          <w:szCs w:val="24"/>
        </w:rPr>
        <w:t xml:space="preserve">nce OMB approval </w:t>
      </w:r>
      <w:r w:rsidR="00CC7CB4" w:rsidRPr="001D5736">
        <w:rPr>
          <w:sz w:val="24"/>
          <w:szCs w:val="24"/>
        </w:rPr>
        <w:t xml:space="preserve">of this request </w:t>
      </w:r>
      <w:r w:rsidR="008F607E">
        <w:rPr>
          <w:sz w:val="24"/>
          <w:szCs w:val="24"/>
        </w:rPr>
        <w:t xml:space="preserve">is obtained </w:t>
      </w:r>
      <w:r w:rsidR="00CC7CB4" w:rsidRPr="001D5736">
        <w:rPr>
          <w:sz w:val="24"/>
          <w:szCs w:val="24"/>
        </w:rPr>
        <w:t>academies</w:t>
      </w:r>
      <w:r w:rsidR="00B4474B" w:rsidRPr="001D5736">
        <w:rPr>
          <w:sz w:val="24"/>
          <w:szCs w:val="24"/>
        </w:rPr>
        <w:t xml:space="preserve"> that could not be verified </w:t>
      </w:r>
      <w:r w:rsidR="00CC7CB4" w:rsidRPr="001D5736">
        <w:rPr>
          <w:sz w:val="24"/>
          <w:szCs w:val="24"/>
        </w:rPr>
        <w:t>online</w:t>
      </w:r>
      <w:r w:rsidR="001D0B80">
        <w:rPr>
          <w:sz w:val="24"/>
          <w:szCs w:val="24"/>
        </w:rPr>
        <w:t xml:space="preserve"> </w:t>
      </w:r>
      <w:r w:rsidR="00CC7CB4" w:rsidRPr="001D5736">
        <w:rPr>
          <w:sz w:val="24"/>
          <w:szCs w:val="24"/>
        </w:rPr>
        <w:t xml:space="preserve">will be contacted by phone </w:t>
      </w:r>
      <w:r w:rsidR="00B4474B" w:rsidRPr="001D5736">
        <w:rPr>
          <w:sz w:val="24"/>
          <w:szCs w:val="24"/>
        </w:rPr>
        <w:t xml:space="preserve">to </w:t>
      </w:r>
      <w:r w:rsidR="00CC7CB4" w:rsidRPr="001D5736">
        <w:rPr>
          <w:sz w:val="24"/>
          <w:szCs w:val="24"/>
        </w:rPr>
        <w:t>confirm eligibility and identify a</w:t>
      </w:r>
      <w:r w:rsidR="00B4474B" w:rsidRPr="001D0B80">
        <w:rPr>
          <w:sz w:val="24"/>
          <w:szCs w:val="24"/>
        </w:rPr>
        <w:t xml:space="preserve"> point</w:t>
      </w:r>
      <w:r w:rsidR="00CC7CB4" w:rsidRPr="001D0B80">
        <w:rPr>
          <w:sz w:val="24"/>
          <w:szCs w:val="24"/>
        </w:rPr>
        <w:t>-</w:t>
      </w:r>
      <w:r w:rsidR="00B4474B" w:rsidRPr="001D0B80">
        <w:rPr>
          <w:sz w:val="24"/>
          <w:szCs w:val="24"/>
        </w:rPr>
        <w:t>of</w:t>
      </w:r>
      <w:r w:rsidR="00CC7CB4" w:rsidRPr="001D0B80">
        <w:rPr>
          <w:sz w:val="24"/>
          <w:szCs w:val="24"/>
        </w:rPr>
        <w:t>-</w:t>
      </w:r>
      <w:r w:rsidR="00B4474B" w:rsidRPr="001D0B80">
        <w:rPr>
          <w:sz w:val="24"/>
          <w:szCs w:val="24"/>
        </w:rPr>
        <w:t xml:space="preserve">contact </w:t>
      </w:r>
      <w:r w:rsidR="00CC7CB4" w:rsidRPr="001D0B80">
        <w:rPr>
          <w:sz w:val="24"/>
          <w:szCs w:val="24"/>
        </w:rPr>
        <w:t xml:space="preserve">(POC) </w:t>
      </w:r>
      <w:r w:rsidR="00B4474B" w:rsidRPr="001D0B80">
        <w:rPr>
          <w:sz w:val="24"/>
          <w:szCs w:val="24"/>
        </w:rPr>
        <w:t xml:space="preserve">for CLETA.  </w:t>
      </w:r>
    </w:p>
    <w:p w14:paraId="4248B28F" w14:textId="144726AE" w:rsidR="00421095" w:rsidRPr="00DE2AA7" w:rsidRDefault="00421095" w:rsidP="00DE2AA7">
      <w:pPr>
        <w:pStyle w:val="SP-SglSpPara"/>
        <w:spacing w:line="240" w:lineRule="auto"/>
        <w:ind w:left="720" w:firstLine="0"/>
        <w:jc w:val="left"/>
        <w:rPr>
          <w:sz w:val="24"/>
          <w:szCs w:val="24"/>
        </w:rPr>
      </w:pPr>
    </w:p>
    <w:p w14:paraId="79F6FB60" w14:textId="1234A38C" w:rsidR="005A2FFF" w:rsidRPr="001D0B80" w:rsidRDefault="005A5236" w:rsidP="009561F8">
      <w:pPr>
        <w:rPr>
          <w:color w:val="1F497D"/>
        </w:rPr>
      </w:pPr>
      <w:r>
        <w:t>The result</w:t>
      </w:r>
      <w:r w:rsidR="00316268">
        <w:t>, the 2018 CLETA frame file</w:t>
      </w:r>
      <w:r w:rsidR="003031DA">
        <w:t>,</w:t>
      </w:r>
      <w:r w:rsidR="00316268">
        <w:t xml:space="preserve"> </w:t>
      </w:r>
      <w:r>
        <w:t xml:space="preserve">will be </w:t>
      </w:r>
      <w:r w:rsidR="00421095" w:rsidRPr="004A43EC">
        <w:t xml:space="preserve">a </w:t>
      </w:r>
      <w:r w:rsidR="008378EB" w:rsidRPr="004A43EC">
        <w:t xml:space="preserve">current </w:t>
      </w:r>
      <w:r w:rsidR="00204F71">
        <w:t xml:space="preserve">and complete </w:t>
      </w:r>
      <w:r w:rsidR="00421095" w:rsidRPr="001D5736">
        <w:t xml:space="preserve">universe list of </w:t>
      </w:r>
      <w:r w:rsidR="008378EB" w:rsidRPr="001D5736">
        <w:t>all regional, state, and local law enforcement training academies</w:t>
      </w:r>
      <w:r w:rsidR="004F4A28">
        <w:t xml:space="preserve"> that provide basic training</w:t>
      </w:r>
      <w:r w:rsidR="008378EB" w:rsidRPr="001D5736">
        <w:t>.</w:t>
      </w:r>
      <w:r w:rsidR="00DC499A" w:rsidRPr="001D0B80">
        <w:t xml:space="preserve"> Any duplicates will be identified and removed by examining the file for identical or nearly identical addresses, phone numbers, or names of academy officials.</w:t>
      </w:r>
    </w:p>
    <w:p w14:paraId="13169381" w14:textId="77777777" w:rsidR="005A2FFF" w:rsidRPr="001D0B80" w:rsidRDefault="005A2FFF" w:rsidP="009561F8">
      <w:pPr>
        <w:rPr>
          <w:color w:val="1F497D"/>
        </w:rPr>
      </w:pPr>
    </w:p>
    <w:p w14:paraId="642578A1" w14:textId="47FC143A" w:rsidR="005A2FFF" w:rsidRPr="001D0B80" w:rsidRDefault="00797C04" w:rsidP="00372210">
      <w:r w:rsidRPr="001D0B80">
        <w:lastRenderedPageBreak/>
        <w:t xml:space="preserve">As in </w:t>
      </w:r>
      <w:r w:rsidR="007518E2" w:rsidRPr="001D0B80">
        <w:t>previous administrations</w:t>
      </w:r>
      <w:r w:rsidRPr="001D0B80">
        <w:t xml:space="preserve">, </w:t>
      </w:r>
      <w:r w:rsidR="00023294" w:rsidRPr="001D0B80">
        <w:t xml:space="preserve">the </w:t>
      </w:r>
      <w:r w:rsidR="00892923">
        <w:t>2018</w:t>
      </w:r>
      <w:r w:rsidR="005A2FFF" w:rsidRPr="001D0B80">
        <w:t xml:space="preserve"> CLETA </w:t>
      </w:r>
      <w:r w:rsidR="00F475C8">
        <w:t xml:space="preserve">is planned to </w:t>
      </w:r>
      <w:r w:rsidR="005A2FFF" w:rsidRPr="001D0B80">
        <w:t xml:space="preserve">be a census rather than a sample survey. </w:t>
      </w:r>
      <w:r w:rsidR="00372124" w:rsidRPr="001D0B80">
        <w:t>The reasons for this decision include:</w:t>
      </w:r>
    </w:p>
    <w:p w14:paraId="0C919E3F" w14:textId="77777777" w:rsidR="00372124" w:rsidRPr="001D0B80" w:rsidRDefault="00372124" w:rsidP="001D0B80"/>
    <w:p w14:paraId="49707DA0" w14:textId="6B6EDA43" w:rsidR="000A650C" w:rsidRPr="001D0B80" w:rsidRDefault="005A2FFF" w:rsidP="007C0DE3">
      <w:pPr>
        <w:pStyle w:val="ListParagraph"/>
        <w:numPr>
          <w:ilvl w:val="0"/>
          <w:numId w:val="22"/>
        </w:numPr>
        <w:contextualSpacing w:val="0"/>
      </w:pPr>
      <w:r w:rsidRPr="001D0B80">
        <w:t xml:space="preserve">The </w:t>
      </w:r>
      <w:r w:rsidR="00CC7CB4" w:rsidRPr="001D0B80">
        <w:t xml:space="preserve">eligible </w:t>
      </w:r>
      <w:r w:rsidRPr="001D0B80">
        <w:t xml:space="preserve">population is </w:t>
      </w:r>
      <w:r w:rsidR="00372124" w:rsidRPr="001D0B80">
        <w:t xml:space="preserve">expected to be </w:t>
      </w:r>
      <w:r w:rsidRPr="001D0B80">
        <w:t xml:space="preserve">approximately </w:t>
      </w:r>
      <w:r w:rsidR="005A5236">
        <w:t>7</w:t>
      </w:r>
      <w:r w:rsidR="004F4A28">
        <w:t>75</w:t>
      </w:r>
      <w:r w:rsidR="005A5236" w:rsidRPr="001D0B80">
        <w:t xml:space="preserve"> </w:t>
      </w:r>
      <w:r w:rsidRPr="001D0B80">
        <w:t xml:space="preserve">academies. </w:t>
      </w:r>
      <w:r w:rsidR="005A5236">
        <w:t>A</w:t>
      </w:r>
      <w:r w:rsidRPr="001D0B80">
        <w:t xml:space="preserve"> sample survey </w:t>
      </w:r>
      <w:r w:rsidR="004F4A28">
        <w:t>of</w:t>
      </w:r>
      <w:r w:rsidR="004F4A28" w:rsidRPr="001D0B80">
        <w:t xml:space="preserve"> </w:t>
      </w:r>
      <w:r w:rsidR="00EA179E" w:rsidRPr="001D0B80">
        <w:t>a universe of this size will not</w:t>
      </w:r>
      <w:r w:rsidRPr="001D0B80">
        <w:t xml:space="preserve"> result in significant cost savings</w:t>
      </w:r>
      <w:r w:rsidR="00605F88" w:rsidRPr="001D0B80">
        <w:t xml:space="preserve"> given</w:t>
      </w:r>
      <w:r w:rsidR="00597E58" w:rsidRPr="001D0B80">
        <w:t xml:space="preserve"> the stratification </w:t>
      </w:r>
      <w:r w:rsidR="00605F88" w:rsidRPr="001D0B80">
        <w:t>dimensions needed to capture critical aspects of the universe</w:t>
      </w:r>
      <w:r w:rsidR="004F4A28">
        <w:t>.</w:t>
      </w:r>
      <w:r w:rsidR="007C0DE3">
        <w:t xml:space="preserve"> </w:t>
      </w:r>
      <w:r w:rsidR="007C0DE3" w:rsidRPr="007C0DE3">
        <w:t>A census will allow BJS to produce national and state level parameters by type of academy</w:t>
      </w:r>
      <w:r w:rsidR="00605F88" w:rsidRPr="001D0B80">
        <w:t xml:space="preserve">, size, and </w:t>
      </w:r>
      <w:r w:rsidR="007C0DE3">
        <w:t xml:space="preserve">other academy </w:t>
      </w:r>
      <w:r w:rsidR="00605F88" w:rsidRPr="001D0B80">
        <w:t>characteristics.</w:t>
      </w:r>
      <w:r w:rsidR="000822E1">
        <w:t xml:space="preserve"> </w:t>
      </w:r>
    </w:p>
    <w:p w14:paraId="7B903970" w14:textId="752DA3C8" w:rsidR="005A2FFF" w:rsidRPr="001D0B80" w:rsidRDefault="00BA3119" w:rsidP="001D0B80">
      <w:pPr>
        <w:pStyle w:val="ListParagraph"/>
        <w:contextualSpacing w:val="0"/>
      </w:pPr>
      <w:r w:rsidRPr="001D0B80">
        <w:t xml:space="preserve"> </w:t>
      </w:r>
    </w:p>
    <w:p w14:paraId="4CF4E977" w14:textId="2CA0DB0D" w:rsidR="000D1D5D" w:rsidRDefault="005A2FFF" w:rsidP="009561F8">
      <w:pPr>
        <w:pStyle w:val="ListParagraph"/>
        <w:numPr>
          <w:ilvl w:val="0"/>
          <w:numId w:val="22"/>
        </w:numPr>
        <w:contextualSpacing w:val="0"/>
      </w:pPr>
      <w:r w:rsidRPr="00DE2AA7">
        <w:t xml:space="preserve">A census provides BJS </w:t>
      </w:r>
      <w:r w:rsidR="007B5215">
        <w:t>the</w:t>
      </w:r>
      <w:r w:rsidRPr="00DE2AA7">
        <w:t xml:space="preserve"> opportunity to </w:t>
      </w:r>
      <w:r w:rsidR="00204F71">
        <w:t>describe</w:t>
      </w:r>
      <w:r w:rsidR="00204F71" w:rsidRPr="00DE2AA7">
        <w:t xml:space="preserve"> </w:t>
      </w:r>
      <w:r w:rsidRPr="00DE2AA7">
        <w:t xml:space="preserve">how training academies vary across and within states. Being able to compare academies is particularly important </w:t>
      </w:r>
      <w:r w:rsidR="00CC7CB4" w:rsidRPr="00372210">
        <w:t>cons</w:t>
      </w:r>
      <w:r w:rsidR="00CC7CB4" w:rsidRPr="004A43EC">
        <w:t>idering</w:t>
      </w:r>
      <w:r w:rsidRPr="004A43EC">
        <w:t xml:space="preserve"> the variability that exists among these organizations in terms of </w:t>
      </w:r>
      <w:r w:rsidR="007C0DE3">
        <w:t xml:space="preserve">type of academy and </w:t>
      </w:r>
      <w:r w:rsidRPr="001D0B80">
        <w:t xml:space="preserve">administration, </w:t>
      </w:r>
      <w:r w:rsidR="007C0DE3">
        <w:t xml:space="preserve">agencies served, </w:t>
      </w:r>
      <w:r w:rsidRPr="001D0B80">
        <w:t>policies, curriculum, etc.</w:t>
      </w:r>
      <w:r w:rsidR="00081340">
        <w:t xml:space="preserve"> Table 3 shows the number of state and local law enforcement training academies providing basic training in 2013</w:t>
      </w:r>
      <w:r w:rsidR="0088615A">
        <w:t xml:space="preserve"> by type of academy</w:t>
      </w:r>
      <w:r w:rsidR="00081340">
        <w:t xml:space="preserve">. </w:t>
      </w:r>
      <w:r w:rsidR="0088615A">
        <w:t>Meaningful conclusions about academies in almost any of the strata would require a census within those strata, suggesting a sample survey strategy is not optimal for this universe.</w:t>
      </w:r>
    </w:p>
    <w:p w14:paraId="1451614E" w14:textId="77777777" w:rsidR="000D1D5D" w:rsidRDefault="000D1D5D" w:rsidP="000D5DD6">
      <w:pPr>
        <w:pStyle w:val="ListParagraph"/>
      </w:pPr>
    </w:p>
    <w:p w14:paraId="07944D0A" w14:textId="1F7FDEB5" w:rsidR="00081340" w:rsidRPr="000D5DD6" w:rsidRDefault="000D1D5D" w:rsidP="000D1D5D">
      <w:pPr>
        <w:pStyle w:val="ListParagraph"/>
        <w:contextualSpacing w:val="0"/>
        <w:rPr>
          <w:b/>
          <w:bCs/>
          <w:color w:val="000000"/>
          <w:sz w:val="22"/>
          <w:szCs w:val="22"/>
        </w:rPr>
      </w:pPr>
      <w:r w:rsidRPr="000D5DD6">
        <w:rPr>
          <w:b/>
          <w:bCs/>
          <w:color w:val="000000"/>
          <w:sz w:val="22"/>
          <w:szCs w:val="22"/>
        </w:rPr>
        <w:t>Table 3. Distribution of Academies by Operating Agency, 2013</w:t>
      </w:r>
    </w:p>
    <w:tbl>
      <w:tblPr>
        <w:tblW w:w="7470" w:type="dxa"/>
        <w:jc w:val="center"/>
        <w:tblLook w:val="04A0" w:firstRow="1" w:lastRow="0" w:firstColumn="1" w:lastColumn="0" w:noHBand="0" w:noVBand="1"/>
      </w:tblPr>
      <w:tblGrid>
        <w:gridCol w:w="4660"/>
        <w:gridCol w:w="1010"/>
        <w:gridCol w:w="1800"/>
      </w:tblGrid>
      <w:tr w:rsidR="000D1D5D" w:rsidRPr="000D1D5D" w14:paraId="242189F5"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3F44976A" w14:textId="77777777" w:rsidR="000D1D5D" w:rsidRPr="000D1D5D" w:rsidRDefault="000D1D5D" w:rsidP="000D1D5D">
            <w:pPr>
              <w:rPr>
                <w:b/>
                <w:bCs/>
                <w:color w:val="000000"/>
                <w:sz w:val="22"/>
                <w:szCs w:val="22"/>
              </w:rPr>
            </w:pPr>
            <w:r w:rsidRPr="000D1D5D">
              <w:rPr>
                <w:b/>
                <w:bCs/>
                <w:color w:val="000000"/>
                <w:sz w:val="22"/>
                <w:szCs w:val="22"/>
              </w:rPr>
              <w:t>Primary operating agency</w:t>
            </w:r>
          </w:p>
        </w:tc>
        <w:tc>
          <w:tcPr>
            <w:tcW w:w="1010" w:type="dxa"/>
            <w:tcBorders>
              <w:top w:val="nil"/>
              <w:left w:val="nil"/>
              <w:bottom w:val="nil"/>
              <w:right w:val="nil"/>
            </w:tcBorders>
            <w:shd w:val="clear" w:color="auto" w:fill="auto"/>
            <w:noWrap/>
            <w:vAlign w:val="bottom"/>
            <w:hideMark/>
          </w:tcPr>
          <w:p w14:paraId="45719686" w14:textId="77777777" w:rsidR="000D1D5D" w:rsidRPr="000D1D5D" w:rsidRDefault="000D1D5D" w:rsidP="000D1D5D">
            <w:pPr>
              <w:rPr>
                <w:b/>
                <w:bCs/>
                <w:color w:val="000000"/>
                <w:sz w:val="22"/>
                <w:szCs w:val="22"/>
              </w:rPr>
            </w:pPr>
            <w:r w:rsidRPr="000D1D5D">
              <w:rPr>
                <w:b/>
                <w:bCs/>
                <w:color w:val="000000"/>
                <w:sz w:val="22"/>
                <w:szCs w:val="22"/>
              </w:rPr>
              <w:t>Number</w:t>
            </w:r>
          </w:p>
        </w:tc>
        <w:tc>
          <w:tcPr>
            <w:tcW w:w="1800" w:type="dxa"/>
            <w:tcBorders>
              <w:top w:val="nil"/>
              <w:left w:val="nil"/>
              <w:bottom w:val="nil"/>
              <w:right w:val="nil"/>
            </w:tcBorders>
            <w:shd w:val="clear" w:color="auto" w:fill="auto"/>
            <w:noWrap/>
            <w:vAlign w:val="bottom"/>
            <w:hideMark/>
          </w:tcPr>
          <w:p w14:paraId="31A8646D" w14:textId="77777777" w:rsidR="000D1D5D" w:rsidRPr="000D1D5D" w:rsidRDefault="000D1D5D" w:rsidP="000D1D5D">
            <w:pPr>
              <w:rPr>
                <w:b/>
                <w:bCs/>
                <w:color w:val="000000"/>
                <w:sz w:val="22"/>
                <w:szCs w:val="22"/>
              </w:rPr>
            </w:pPr>
            <w:r w:rsidRPr="000D1D5D">
              <w:rPr>
                <w:b/>
                <w:bCs/>
                <w:color w:val="000000"/>
                <w:sz w:val="22"/>
                <w:szCs w:val="22"/>
              </w:rPr>
              <w:t>Percent of Total</w:t>
            </w:r>
          </w:p>
        </w:tc>
      </w:tr>
      <w:tr w:rsidR="000D1D5D" w:rsidRPr="000D1D5D" w14:paraId="023BDE3E"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35B6461C" w14:textId="77777777" w:rsidR="000D1D5D" w:rsidRPr="000D1D5D" w:rsidRDefault="000D1D5D" w:rsidP="000D1D5D">
            <w:pPr>
              <w:rPr>
                <w:color w:val="000000"/>
                <w:sz w:val="22"/>
                <w:szCs w:val="22"/>
              </w:rPr>
            </w:pPr>
            <w:r w:rsidRPr="000D1D5D">
              <w:rPr>
                <w:color w:val="000000"/>
                <w:sz w:val="22"/>
                <w:szCs w:val="22"/>
              </w:rPr>
              <w:t>State Peace Officer Standards and Training Board</w:t>
            </w:r>
          </w:p>
        </w:tc>
        <w:tc>
          <w:tcPr>
            <w:tcW w:w="1010" w:type="dxa"/>
            <w:tcBorders>
              <w:top w:val="nil"/>
              <w:left w:val="nil"/>
              <w:bottom w:val="nil"/>
              <w:right w:val="nil"/>
            </w:tcBorders>
            <w:shd w:val="clear" w:color="auto" w:fill="auto"/>
            <w:noWrap/>
            <w:vAlign w:val="bottom"/>
            <w:hideMark/>
          </w:tcPr>
          <w:p w14:paraId="2CAC6C4D" w14:textId="77777777" w:rsidR="000D1D5D" w:rsidRPr="000D1D5D" w:rsidRDefault="000D1D5D" w:rsidP="000D1D5D">
            <w:pPr>
              <w:jc w:val="right"/>
              <w:rPr>
                <w:color w:val="000000"/>
                <w:sz w:val="22"/>
                <w:szCs w:val="22"/>
              </w:rPr>
            </w:pPr>
            <w:r w:rsidRPr="000D1D5D">
              <w:rPr>
                <w:color w:val="000000"/>
                <w:sz w:val="22"/>
                <w:szCs w:val="22"/>
              </w:rPr>
              <w:t>30</w:t>
            </w:r>
          </w:p>
        </w:tc>
        <w:tc>
          <w:tcPr>
            <w:tcW w:w="1800" w:type="dxa"/>
            <w:tcBorders>
              <w:top w:val="nil"/>
              <w:left w:val="nil"/>
              <w:bottom w:val="nil"/>
              <w:right w:val="nil"/>
            </w:tcBorders>
            <w:shd w:val="clear" w:color="auto" w:fill="auto"/>
            <w:noWrap/>
            <w:vAlign w:val="bottom"/>
            <w:hideMark/>
          </w:tcPr>
          <w:p w14:paraId="6DC38E6D" w14:textId="77777777" w:rsidR="000D1D5D" w:rsidRPr="000D1D5D" w:rsidRDefault="000D1D5D" w:rsidP="000D1D5D">
            <w:pPr>
              <w:jc w:val="right"/>
              <w:rPr>
                <w:color w:val="000000"/>
                <w:sz w:val="22"/>
                <w:szCs w:val="22"/>
              </w:rPr>
            </w:pPr>
            <w:r w:rsidRPr="000D1D5D">
              <w:rPr>
                <w:color w:val="000000"/>
                <w:sz w:val="22"/>
                <w:szCs w:val="22"/>
              </w:rPr>
              <w:t>4.5</w:t>
            </w:r>
          </w:p>
        </w:tc>
      </w:tr>
      <w:tr w:rsidR="000D1D5D" w:rsidRPr="000D1D5D" w14:paraId="01921EFB"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4DC9A0B4" w14:textId="77777777" w:rsidR="000D1D5D" w:rsidRPr="000D1D5D" w:rsidRDefault="000D1D5D" w:rsidP="000D1D5D">
            <w:pPr>
              <w:rPr>
                <w:color w:val="000000"/>
                <w:sz w:val="22"/>
                <w:szCs w:val="22"/>
              </w:rPr>
            </w:pPr>
            <w:r w:rsidRPr="000D1D5D">
              <w:rPr>
                <w:color w:val="000000"/>
                <w:sz w:val="22"/>
                <w:szCs w:val="22"/>
              </w:rPr>
              <w:t>State police/highway patrol</w:t>
            </w:r>
          </w:p>
        </w:tc>
        <w:tc>
          <w:tcPr>
            <w:tcW w:w="1010" w:type="dxa"/>
            <w:tcBorders>
              <w:top w:val="nil"/>
              <w:left w:val="nil"/>
              <w:bottom w:val="nil"/>
              <w:right w:val="nil"/>
            </w:tcBorders>
            <w:shd w:val="clear" w:color="auto" w:fill="auto"/>
            <w:noWrap/>
            <w:vAlign w:val="bottom"/>
            <w:hideMark/>
          </w:tcPr>
          <w:p w14:paraId="4B26EB5D" w14:textId="77777777" w:rsidR="000D1D5D" w:rsidRPr="000D1D5D" w:rsidRDefault="000D1D5D" w:rsidP="000D1D5D">
            <w:pPr>
              <w:jc w:val="right"/>
              <w:rPr>
                <w:color w:val="000000"/>
                <w:sz w:val="22"/>
                <w:szCs w:val="22"/>
              </w:rPr>
            </w:pPr>
            <w:r w:rsidRPr="000D1D5D">
              <w:rPr>
                <w:color w:val="000000"/>
                <w:sz w:val="22"/>
                <w:szCs w:val="22"/>
              </w:rPr>
              <w:t>41</w:t>
            </w:r>
          </w:p>
        </w:tc>
        <w:tc>
          <w:tcPr>
            <w:tcW w:w="1800" w:type="dxa"/>
            <w:tcBorders>
              <w:top w:val="nil"/>
              <w:left w:val="nil"/>
              <w:bottom w:val="nil"/>
              <w:right w:val="nil"/>
            </w:tcBorders>
            <w:shd w:val="clear" w:color="auto" w:fill="auto"/>
            <w:noWrap/>
            <w:vAlign w:val="bottom"/>
            <w:hideMark/>
          </w:tcPr>
          <w:p w14:paraId="2F2034B0" w14:textId="77777777" w:rsidR="000D1D5D" w:rsidRPr="000D1D5D" w:rsidRDefault="000D1D5D" w:rsidP="000D1D5D">
            <w:pPr>
              <w:jc w:val="right"/>
              <w:rPr>
                <w:color w:val="000000"/>
                <w:sz w:val="22"/>
                <w:szCs w:val="22"/>
              </w:rPr>
            </w:pPr>
            <w:r w:rsidRPr="000D1D5D">
              <w:rPr>
                <w:color w:val="000000"/>
                <w:sz w:val="22"/>
                <w:szCs w:val="22"/>
              </w:rPr>
              <w:t>6.2</w:t>
            </w:r>
          </w:p>
        </w:tc>
      </w:tr>
      <w:tr w:rsidR="000D1D5D" w:rsidRPr="000D1D5D" w14:paraId="62BEF15A"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5DBB2AE5" w14:textId="77777777" w:rsidR="000D1D5D" w:rsidRPr="000D1D5D" w:rsidRDefault="000D1D5D" w:rsidP="000D1D5D">
            <w:pPr>
              <w:rPr>
                <w:color w:val="000000"/>
                <w:sz w:val="22"/>
                <w:szCs w:val="22"/>
              </w:rPr>
            </w:pPr>
            <w:r w:rsidRPr="000D1D5D">
              <w:rPr>
                <w:color w:val="000000"/>
                <w:sz w:val="22"/>
                <w:szCs w:val="22"/>
              </w:rPr>
              <w:t>Sheriff’s office</w:t>
            </w:r>
          </w:p>
        </w:tc>
        <w:tc>
          <w:tcPr>
            <w:tcW w:w="1010" w:type="dxa"/>
            <w:tcBorders>
              <w:top w:val="nil"/>
              <w:left w:val="nil"/>
              <w:bottom w:val="nil"/>
              <w:right w:val="nil"/>
            </w:tcBorders>
            <w:shd w:val="clear" w:color="auto" w:fill="auto"/>
            <w:noWrap/>
            <w:vAlign w:val="bottom"/>
            <w:hideMark/>
          </w:tcPr>
          <w:p w14:paraId="7069775E" w14:textId="77777777" w:rsidR="000D1D5D" w:rsidRPr="000D1D5D" w:rsidRDefault="000D1D5D" w:rsidP="000D1D5D">
            <w:pPr>
              <w:jc w:val="right"/>
              <w:rPr>
                <w:color w:val="000000"/>
                <w:sz w:val="22"/>
                <w:szCs w:val="22"/>
              </w:rPr>
            </w:pPr>
            <w:r w:rsidRPr="000D1D5D">
              <w:rPr>
                <w:color w:val="000000"/>
                <w:sz w:val="22"/>
                <w:szCs w:val="22"/>
              </w:rPr>
              <w:t>66</w:t>
            </w:r>
          </w:p>
        </w:tc>
        <w:tc>
          <w:tcPr>
            <w:tcW w:w="1800" w:type="dxa"/>
            <w:tcBorders>
              <w:top w:val="nil"/>
              <w:left w:val="nil"/>
              <w:bottom w:val="nil"/>
              <w:right w:val="nil"/>
            </w:tcBorders>
            <w:shd w:val="clear" w:color="auto" w:fill="auto"/>
            <w:noWrap/>
            <w:vAlign w:val="bottom"/>
            <w:hideMark/>
          </w:tcPr>
          <w:p w14:paraId="19155733" w14:textId="77777777" w:rsidR="000D1D5D" w:rsidRPr="000D1D5D" w:rsidRDefault="000D1D5D" w:rsidP="000D1D5D">
            <w:pPr>
              <w:jc w:val="right"/>
              <w:rPr>
                <w:color w:val="000000"/>
                <w:sz w:val="22"/>
                <w:szCs w:val="22"/>
              </w:rPr>
            </w:pPr>
            <w:r w:rsidRPr="000D1D5D">
              <w:rPr>
                <w:color w:val="000000"/>
                <w:sz w:val="22"/>
                <w:szCs w:val="22"/>
              </w:rPr>
              <w:t>9.9</w:t>
            </w:r>
          </w:p>
        </w:tc>
      </w:tr>
      <w:tr w:rsidR="000D1D5D" w:rsidRPr="000D1D5D" w14:paraId="78CB9765"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523E01E1" w14:textId="77777777" w:rsidR="000D1D5D" w:rsidRPr="000D1D5D" w:rsidRDefault="000D1D5D" w:rsidP="000D1D5D">
            <w:pPr>
              <w:rPr>
                <w:color w:val="000000"/>
                <w:sz w:val="22"/>
                <w:szCs w:val="22"/>
              </w:rPr>
            </w:pPr>
            <w:r w:rsidRPr="000D1D5D">
              <w:rPr>
                <w:color w:val="000000"/>
                <w:sz w:val="22"/>
                <w:szCs w:val="22"/>
              </w:rPr>
              <w:t>County police</w:t>
            </w:r>
          </w:p>
        </w:tc>
        <w:tc>
          <w:tcPr>
            <w:tcW w:w="1010" w:type="dxa"/>
            <w:tcBorders>
              <w:top w:val="nil"/>
              <w:left w:val="nil"/>
              <w:bottom w:val="nil"/>
              <w:right w:val="nil"/>
            </w:tcBorders>
            <w:shd w:val="clear" w:color="auto" w:fill="auto"/>
            <w:noWrap/>
            <w:vAlign w:val="bottom"/>
            <w:hideMark/>
          </w:tcPr>
          <w:p w14:paraId="2FDAFC11" w14:textId="77777777" w:rsidR="000D1D5D" w:rsidRPr="000D1D5D" w:rsidRDefault="000D1D5D" w:rsidP="000D1D5D">
            <w:pPr>
              <w:jc w:val="right"/>
              <w:rPr>
                <w:color w:val="000000"/>
                <w:sz w:val="22"/>
                <w:szCs w:val="22"/>
              </w:rPr>
            </w:pPr>
            <w:r w:rsidRPr="000D1D5D">
              <w:rPr>
                <w:color w:val="000000"/>
                <w:sz w:val="22"/>
                <w:szCs w:val="22"/>
              </w:rPr>
              <w:t>22</w:t>
            </w:r>
          </w:p>
        </w:tc>
        <w:tc>
          <w:tcPr>
            <w:tcW w:w="1800" w:type="dxa"/>
            <w:tcBorders>
              <w:top w:val="nil"/>
              <w:left w:val="nil"/>
              <w:bottom w:val="nil"/>
              <w:right w:val="nil"/>
            </w:tcBorders>
            <w:shd w:val="clear" w:color="auto" w:fill="auto"/>
            <w:noWrap/>
            <w:vAlign w:val="bottom"/>
            <w:hideMark/>
          </w:tcPr>
          <w:p w14:paraId="7F04DE28" w14:textId="77777777" w:rsidR="000D1D5D" w:rsidRPr="000D1D5D" w:rsidRDefault="000D1D5D" w:rsidP="000D1D5D">
            <w:pPr>
              <w:jc w:val="right"/>
              <w:rPr>
                <w:color w:val="000000"/>
                <w:sz w:val="22"/>
                <w:szCs w:val="22"/>
              </w:rPr>
            </w:pPr>
            <w:r w:rsidRPr="000D1D5D">
              <w:rPr>
                <w:color w:val="000000"/>
                <w:sz w:val="22"/>
                <w:szCs w:val="22"/>
              </w:rPr>
              <w:t>3.3</w:t>
            </w:r>
          </w:p>
        </w:tc>
      </w:tr>
      <w:tr w:rsidR="000D1D5D" w:rsidRPr="000D1D5D" w14:paraId="191A6A99"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357BE911" w14:textId="77777777" w:rsidR="000D1D5D" w:rsidRPr="000D1D5D" w:rsidRDefault="000D1D5D" w:rsidP="000D1D5D">
            <w:pPr>
              <w:rPr>
                <w:color w:val="000000"/>
                <w:sz w:val="22"/>
                <w:szCs w:val="22"/>
              </w:rPr>
            </w:pPr>
            <w:r w:rsidRPr="000D1D5D">
              <w:rPr>
                <w:color w:val="000000"/>
                <w:sz w:val="22"/>
                <w:szCs w:val="22"/>
              </w:rPr>
              <w:t xml:space="preserve">Municipal police </w:t>
            </w:r>
          </w:p>
        </w:tc>
        <w:tc>
          <w:tcPr>
            <w:tcW w:w="1010" w:type="dxa"/>
            <w:tcBorders>
              <w:top w:val="nil"/>
              <w:left w:val="nil"/>
              <w:bottom w:val="nil"/>
              <w:right w:val="nil"/>
            </w:tcBorders>
            <w:shd w:val="clear" w:color="auto" w:fill="auto"/>
            <w:noWrap/>
            <w:vAlign w:val="bottom"/>
            <w:hideMark/>
          </w:tcPr>
          <w:p w14:paraId="6DA8EFE3" w14:textId="77777777" w:rsidR="000D1D5D" w:rsidRPr="000D1D5D" w:rsidRDefault="000D1D5D" w:rsidP="000D1D5D">
            <w:pPr>
              <w:jc w:val="right"/>
              <w:rPr>
                <w:color w:val="000000"/>
                <w:sz w:val="22"/>
                <w:szCs w:val="22"/>
              </w:rPr>
            </w:pPr>
            <w:r w:rsidRPr="000D1D5D">
              <w:rPr>
                <w:color w:val="000000"/>
                <w:sz w:val="22"/>
                <w:szCs w:val="22"/>
              </w:rPr>
              <w:t>132</w:t>
            </w:r>
          </w:p>
        </w:tc>
        <w:tc>
          <w:tcPr>
            <w:tcW w:w="1800" w:type="dxa"/>
            <w:tcBorders>
              <w:top w:val="nil"/>
              <w:left w:val="nil"/>
              <w:bottom w:val="nil"/>
              <w:right w:val="nil"/>
            </w:tcBorders>
            <w:shd w:val="clear" w:color="auto" w:fill="auto"/>
            <w:noWrap/>
            <w:vAlign w:val="bottom"/>
            <w:hideMark/>
          </w:tcPr>
          <w:p w14:paraId="0507D8F2" w14:textId="77777777" w:rsidR="000D1D5D" w:rsidRPr="000D1D5D" w:rsidRDefault="000D1D5D" w:rsidP="000D1D5D">
            <w:pPr>
              <w:jc w:val="right"/>
              <w:rPr>
                <w:color w:val="000000"/>
                <w:sz w:val="22"/>
                <w:szCs w:val="22"/>
              </w:rPr>
            </w:pPr>
            <w:r w:rsidRPr="000D1D5D">
              <w:rPr>
                <w:color w:val="000000"/>
                <w:sz w:val="22"/>
                <w:szCs w:val="22"/>
              </w:rPr>
              <w:t>19.9</w:t>
            </w:r>
          </w:p>
        </w:tc>
      </w:tr>
      <w:tr w:rsidR="000D1D5D" w:rsidRPr="000D1D5D" w14:paraId="1804A3BA"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25782947" w14:textId="77777777" w:rsidR="000D1D5D" w:rsidRPr="000D1D5D" w:rsidRDefault="000D1D5D" w:rsidP="000D1D5D">
            <w:pPr>
              <w:rPr>
                <w:color w:val="000000"/>
                <w:sz w:val="22"/>
                <w:szCs w:val="22"/>
              </w:rPr>
            </w:pPr>
            <w:r w:rsidRPr="000D1D5D">
              <w:rPr>
                <w:color w:val="000000"/>
                <w:sz w:val="22"/>
                <w:szCs w:val="22"/>
              </w:rPr>
              <w:t>Four-year college/university</w:t>
            </w:r>
          </w:p>
        </w:tc>
        <w:tc>
          <w:tcPr>
            <w:tcW w:w="1010" w:type="dxa"/>
            <w:tcBorders>
              <w:top w:val="nil"/>
              <w:left w:val="nil"/>
              <w:bottom w:val="nil"/>
              <w:right w:val="nil"/>
            </w:tcBorders>
            <w:shd w:val="clear" w:color="auto" w:fill="auto"/>
            <w:noWrap/>
            <w:vAlign w:val="bottom"/>
            <w:hideMark/>
          </w:tcPr>
          <w:p w14:paraId="0DD45D64" w14:textId="77777777" w:rsidR="000D1D5D" w:rsidRPr="000D1D5D" w:rsidRDefault="000D1D5D" w:rsidP="000D1D5D">
            <w:pPr>
              <w:jc w:val="right"/>
              <w:rPr>
                <w:color w:val="000000"/>
                <w:sz w:val="22"/>
                <w:szCs w:val="22"/>
              </w:rPr>
            </w:pPr>
            <w:r w:rsidRPr="000D1D5D">
              <w:rPr>
                <w:color w:val="000000"/>
                <w:sz w:val="22"/>
                <w:szCs w:val="22"/>
              </w:rPr>
              <w:t>43</w:t>
            </w:r>
          </w:p>
        </w:tc>
        <w:tc>
          <w:tcPr>
            <w:tcW w:w="1800" w:type="dxa"/>
            <w:tcBorders>
              <w:top w:val="nil"/>
              <w:left w:val="nil"/>
              <w:bottom w:val="nil"/>
              <w:right w:val="nil"/>
            </w:tcBorders>
            <w:shd w:val="clear" w:color="auto" w:fill="auto"/>
            <w:noWrap/>
            <w:vAlign w:val="bottom"/>
            <w:hideMark/>
          </w:tcPr>
          <w:p w14:paraId="270F7B94" w14:textId="77777777" w:rsidR="000D1D5D" w:rsidRPr="000D1D5D" w:rsidRDefault="000D1D5D" w:rsidP="000D1D5D">
            <w:pPr>
              <w:jc w:val="right"/>
              <w:rPr>
                <w:color w:val="000000"/>
                <w:sz w:val="22"/>
                <w:szCs w:val="22"/>
              </w:rPr>
            </w:pPr>
            <w:r w:rsidRPr="000D1D5D">
              <w:rPr>
                <w:color w:val="000000"/>
                <w:sz w:val="22"/>
                <w:szCs w:val="22"/>
              </w:rPr>
              <w:t>6.5</w:t>
            </w:r>
          </w:p>
        </w:tc>
      </w:tr>
      <w:tr w:rsidR="000D1D5D" w:rsidRPr="000D1D5D" w14:paraId="4431BF41"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0509CA93" w14:textId="77777777" w:rsidR="000D1D5D" w:rsidRPr="000D1D5D" w:rsidRDefault="000D1D5D" w:rsidP="000D1D5D">
            <w:pPr>
              <w:rPr>
                <w:color w:val="000000"/>
                <w:sz w:val="22"/>
                <w:szCs w:val="22"/>
              </w:rPr>
            </w:pPr>
            <w:r w:rsidRPr="000D1D5D">
              <w:rPr>
                <w:color w:val="000000"/>
                <w:sz w:val="22"/>
                <w:szCs w:val="22"/>
              </w:rPr>
              <w:t>Two-year college</w:t>
            </w:r>
          </w:p>
        </w:tc>
        <w:tc>
          <w:tcPr>
            <w:tcW w:w="1010" w:type="dxa"/>
            <w:tcBorders>
              <w:top w:val="nil"/>
              <w:left w:val="nil"/>
              <w:bottom w:val="nil"/>
              <w:right w:val="nil"/>
            </w:tcBorders>
            <w:shd w:val="clear" w:color="auto" w:fill="auto"/>
            <w:noWrap/>
            <w:vAlign w:val="bottom"/>
            <w:hideMark/>
          </w:tcPr>
          <w:p w14:paraId="63AD1F20" w14:textId="77777777" w:rsidR="000D1D5D" w:rsidRPr="000D1D5D" w:rsidRDefault="000D1D5D" w:rsidP="000D1D5D">
            <w:pPr>
              <w:jc w:val="right"/>
              <w:rPr>
                <w:color w:val="000000"/>
                <w:sz w:val="22"/>
                <w:szCs w:val="22"/>
              </w:rPr>
            </w:pPr>
            <w:r w:rsidRPr="000D1D5D">
              <w:rPr>
                <w:color w:val="000000"/>
                <w:sz w:val="22"/>
                <w:szCs w:val="22"/>
              </w:rPr>
              <w:t>221</w:t>
            </w:r>
          </w:p>
        </w:tc>
        <w:tc>
          <w:tcPr>
            <w:tcW w:w="1800" w:type="dxa"/>
            <w:tcBorders>
              <w:top w:val="nil"/>
              <w:left w:val="nil"/>
              <w:bottom w:val="nil"/>
              <w:right w:val="nil"/>
            </w:tcBorders>
            <w:shd w:val="clear" w:color="auto" w:fill="auto"/>
            <w:noWrap/>
            <w:vAlign w:val="bottom"/>
            <w:hideMark/>
          </w:tcPr>
          <w:p w14:paraId="038FF189" w14:textId="77777777" w:rsidR="000D1D5D" w:rsidRPr="000D1D5D" w:rsidRDefault="000D1D5D" w:rsidP="000D1D5D">
            <w:pPr>
              <w:jc w:val="right"/>
              <w:rPr>
                <w:color w:val="000000"/>
                <w:sz w:val="22"/>
                <w:szCs w:val="22"/>
              </w:rPr>
            </w:pPr>
            <w:r w:rsidRPr="000D1D5D">
              <w:rPr>
                <w:color w:val="000000"/>
                <w:sz w:val="22"/>
                <w:szCs w:val="22"/>
              </w:rPr>
              <w:t>33.3</w:t>
            </w:r>
          </w:p>
        </w:tc>
      </w:tr>
      <w:tr w:rsidR="000D1D5D" w:rsidRPr="000D1D5D" w14:paraId="48852EDA"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4382FA14" w14:textId="77777777" w:rsidR="000D1D5D" w:rsidRPr="000D1D5D" w:rsidRDefault="000D1D5D" w:rsidP="000D1D5D">
            <w:pPr>
              <w:rPr>
                <w:color w:val="000000"/>
                <w:sz w:val="22"/>
                <w:szCs w:val="22"/>
              </w:rPr>
            </w:pPr>
            <w:r w:rsidRPr="000D1D5D">
              <w:rPr>
                <w:color w:val="000000"/>
                <w:sz w:val="22"/>
                <w:szCs w:val="22"/>
              </w:rPr>
              <w:t>Technical school</w:t>
            </w:r>
          </w:p>
        </w:tc>
        <w:tc>
          <w:tcPr>
            <w:tcW w:w="1010" w:type="dxa"/>
            <w:tcBorders>
              <w:top w:val="nil"/>
              <w:left w:val="nil"/>
              <w:bottom w:val="nil"/>
              <w:right w:val="nil"/>
            </w:tcBorders>
            <w:shd w:val="clear" w:color="auto" w:fill="auto"/>
            <w:noWrap/>
            <w:vAlign w:val="bottom"/>
            <w:hideMark/>
          </w:tcPr>
          <w:p w14:paraId="12C0A676" w14:textId="77777777" w:rsidR="000D1D5D" w:rsidRPr="000D1D5D" w:rsidRDefault="000D1D5D" w:rsidP="000D1D5D">
            <w:pPr>
              <w:jc w:val="right"/>
              <w:rPr>
                <w:color w:val="000000"/>
                <w:sz w:val="22"/>
                <w:szCs w:val="22"/>
              </w:rPr>
            </w:pPr>
            <w:r w:rsidRPr="000D1D5D">
              <w:rPr>
                <w:color w:val="000000"/>
                <w:sz w:val="22"/>
                <w:szCs w:val="22"/>
              </w:rPr>
              <w:t>43</w:t>
            </w:r>
          </w:p>
        </w:tc>
        <w:tc>
          <w:tcPr>
            <w:tcW w:w="1800" w:type="dxa"/>
            <w:tcBorders>
              <w:top w:val="nil"/>
              <w:left w:val="nil"/>
              <w:bottom w:val="nil"/>
              <w:right w:val="nil"/>
            </w:tcBorders>
            <w:shd w:val="clear" w:color="auto" w:fill="auto"/>
            <w:noWrap/>
            <w:vAlign w:val="bottom"/>
            <w:hideMark/>
          </w:tcPr>
          <w:p w14:paraId="03BEC481" w14:textId="77777777" w:rsidR="000D1D5D" w:rsidRPr="000D1D5D" w:rsidRDefault="000D1D5D" w:rsidP="000D1D5D">
            <w:pPr>
              <w:jc w:val="right"/>
              <w:rPr>
                <w:color w:val="000000"/>
                <w:sz w:val="22"/>
                <w:szCs w:val="22"/>
              </w:rPr>
            </w:pPr>
            <w:r w:rsidRPr="000D1D5D">
              <w:rPr>
                <w:color w:val="000000"/>
                <w:sz w:val="22"/>
                <w:szCs w:val="22"/>
              </w:rPr>
              <w:t>6.5</w:t>
            </w:r>
          </w:p>
        </w:tc>
      </w:tr>
      <w:tr w:rsidR="000D1D5D" w:rsidRPr="000D1D5D" w14:paraId="25AA244F" w14:textId="77777777" w:rsidTr="000D5DD6">
        <w:trPr>
          <w:trHeight w:val="300"/>
          <w:jc w:val="center"/>
        </w:trPr>
        <w:tc>
          <w:tcPr>
            <w:tcW w:w="4660" w:type="dxa"/>
            <w:tcBorders>
              <w:top w:val="nil"/>
              <w:left w:val="nil"/>
              <w:bottom w:val="nil"/>
              <w:right w:val="nil"/>
            </w:tcBorders>
            <w:shd w:val="clear" w:color="auto" w:fill="auto"/>
            <w:noWrap/>
            <w:vAlign w:val="bottom"/>
            <w:hideMark/>
          </w:tcPr>
          <w:p w14:paraId="38633E8F" w14:textId="77777777" w:rsidR="000D1D5D" w:rsidRPr="000D1D5D" w:rsidRDefault="000D1D5D" w:rsidP="000D1D5D">
            <w:pPr>
              <w:rPr>
                <w:color w:val="000000"/>
                <w:sz w:val="22"/>
                <w:szCs w:val="22"/>
              </w:rPr>
            </w:pPr>
            <w:r w:rsidRPr="000D1D5D">
              <w:rPr>
                <w:color w:val="000000"/>
                <w:sz w:val="22"/>
                <w:szCs w:val="22"/>
              </w:rPr>
              <w:t xml:space="preserve">Special jurisdiction </w:t>
            </w:r>
          </w:p>
        </w:tc>
        <w:tc>
          <w:tcPr>
            <w:tcW w:w="1010" w:type="dxa"/>
            <w:tcBorders>
              <w:top w:val="nil"/>
              <w:left w:val="nil"/>
              <w:bottom w:val="nil"/>
              <w:right w:val="nil"/>
            </w:tcBorders>
            <w:shd w:val="clear" w:color="auto" w:fill="auto"/>
            <w:noWrap/>
            <w:vAlign w:val="bottom"/>
            <w:hideMark/>
          </w:tcPr>
          <w:p w14:paraId="5263B3DD" w14:textId="77777777" w:rsidR="000D1D5D" w:rsidRPr="000D1D5D" w:rsidRDefault="000D1D5D" w:rsidP="000D1D5D">
            <w:pPr>
              <w:jc w:val="right"/>
              <w:rPr>
                <w:color w:val="000000"/>
                <w:sz w:val="22"/>
                <w:szCs w:val="22"/>
              </w:rPr>
            </w:pPr>
            <w:r w:rsidRPr="000D1D5D">
              <w:rPr>
                <w:color w:val="000000"/>
                <w:sz w:val="22"/>
                <w:szCs w:val="22"/>
              </w:rPr>
              <w:t>17</w:t>
            </w:r>
          </w:p>
        </w:tc>
        <w:tc>
          <w:tcPr>
            <w:tcW w:w="1800" w:type="dxa"/>
            <w:tcBorders>
              <w:top w:val="nil"/>
              <w:left w:val="nil"/>
              <w:bottom w:val="nil"/>
              <w:right w:val="nil"/>
            </w:tcBorders>
            <w:shd w:val="clear" w:color="auto" w:fill="auto"/>
            <w:noWrap/>
            <w:vAlign w:val="bottom"/>
            <w:hideMark/>
          </w:tcPr>
          <w:p w14:paraId="55F7FCCD" w14:textId="77777777" w:rsidR="000D1D5D" w:rsidRPr="000D1D5D" w:rsidRDefault="000D1D5D" w:rsidP="000D1D5D">
            <w:pPr>
              <w:jc w:val="right"/>
              <w:rPr>
                <w:color w:val="000000"/>
                <w:sz w:val="22"/>
                <w:szCs w:val="22"/>
              </w:rPr>
            </w:pPr>
            <w:r w:rsidRPr="000D1D5D">
              <w:rPr>
                <w:color w:val="000000"/>
                <w:sz w:val="22"/>
                <w:szCs w:val="22"/>
              </w:rPr>
              <w:t>2.6</w:t>
            </w:r>
          </w:p>
        </w:tc>
      </w:tr>
      <w:tr w:rsidR="000D1D5D" w:rsidRPr="000D1D5D" w14:paraId="506A7AB4" w14:textId="77777777" w:rsidTr="000D5DD6">
        <w:trPr>
          <w:trHeight w:val="300"/>
          <w:jc w:val="center"/>
        </w:trPr>
        <w:tc>
          <w:tcPr>
            <w:tcW w:w="4660" w:type="dxa"/>
            <w:tcBorders>
              <w:top w:val="nil"/>
              <w:left w:val="nil"/>
              <w:bottom w:val="nil"/>
              <w:right w:val="nil"/>
            </w:tcBorders>
            <w:shd w:val="clear" w:color="auto" w:fill="auto"/>
            <w:noWrap/>
            <w:vAlign w:val="bottom"/>
          </w:tcPr>
          <w:p w14:paraId="0BCAF144" w14:textId="1FF21CB1" w:rsidR="000D1D5D" w:rsidRPr="000D1D5D" w:rsidRDefault="000D1D5D" w:rsidP="000D1D5D">
            <w:pPr>
              <w:rPr>
                <w:color w:val="000000"/>
                <w:sz w:val="22"/>
                <w:szCs w:val="22"/>
              </w:rPr>
            </w:pPr>
            <w:r>
              <w:rPr>
                <w:color w:val="000000"/>
                <w:sz w:val="22"/>
                <w:szCs w:val="22"/>
              </w:rPr>
              <w:t>Multi-agency/regional</w:t>
            </w:r>
          </w:p>
        </w:tc>
        <w:tc>
          <w:tcPr>
            <w:tcW w:w="1010" w:type="dxa"/>
            <w:tcBorders>
              <w:top w:val="nil"/>
              <w:left w:val="nil"/>
              <w:bottom w:val="nil"/>
              <w:right w:val="nil"/>
            </w:tcBorders>
            <w:shd w:val="clear" w:color="auto" w:fill="auto"/>
            <w:noWrap/>
            <w:vAlign w:val="bottom"/>
          </w:tcPr>
          <w:p w14:paraId="03968125" w14:textId="34D26A5C" w:rsidR="000D1D5D" w:rsidRPr="000D1D5D" w:rsidRDefault="000D1D5D" w:rsidP="000D1D5D">
            <w:pPr>
              <w:jc w:val="right"/>
              <w:rPr>
                <w:color w:val="000000"/>
                <w:sz w:val="22"/>
                <w:szCs w:val="22"/>
              </w:rPr>
            </w:pPr>
            <w:r>
              <w:rPr>
                <w:color w:val="000000"/>
                <w:sz w:val="22"/>
                <w:szCs w:val="22"/>
              </w:rPr>
              <w:t>49</w:t>
            </w:r>
          </w:p>
        </w:tc>
        <w:tc>
          <w:tcPr>
            <w:tcW w:w="1800" w:type="dxa"/>
            <w:shd w:val="clear" w:color="auto" w:fill="auto"/>
            <w:noWrap/>
          </w:tcPr>
          <w:p w14:paraId="3FE507D6" w14:textId="074714C8" w:rsidR="000D1D5D" w:rsidRPr="000D1D5D" w:rsidRDefault="000D1D5D" w:rsidP="000D1D5D">
            <w:pPr>
              <w:jc w:val="right"/>
              <w:rPr>
                <w:color w:val="000000"/>
                <w:sz w:val="22"/>
                <w:szCs w:val="22"/>
              </w:rPr>
            </w:pPr>
            <w:r>
              <w:rPr>
                <w:color w:val="000000"/>
                <w:sz w:val="22"/>
                <w:szCs w:val="22"/>
              </w:rPr>
              <w:t>7.4</w:t>
            </w:r>
          </w:p>
        </w:tc>
      </w:tr>
    </w:tbl>
    <w:p w14:paraId="77898BB7" w14:textId="77777777" w:rsidR="00597E58" w:rsidRPr="009561F8" w:rsidRDefault="00597E58" w:rsidP="009561F8">
      <w:pPr>
        <w:pStyle w:val="ListParagraph"/>
        <w:contextualSpacing w:val="0"/>
      </w:pPr>
    </w:p>
    <w:p w14:paraId="72C1E04A" w14:textId="32003D5E" w:rsidR="00597E58" w:rsidRPr="009561F8" w:rsidRDefault="0097670C" w:rsidP="009561F8">
      <w:pPr>
        <w:pStyle w:val="ListParagraph"/>
        <w:numPr>
          <w:ilvl w:val="0"/>
          <w:numId w:val="22"/>
        </w:numPr>
        <w:contextualSpacing w:val="0"/>
      </w:pPr>
      <w:r>
        <w:t>T</w:t>
      </w:r>
      <w:r w:rsidR="00597E58" w:rsidRPr="009561F8">
        <w:t xml:space="preserve">he small increase in effort to conduct a census over a sample </w:t>
      </w:r>
      <w:r w:rsidR="00204F71">
        <w:t>will</w:t>
      </w:r>
      <w:r w:rsidR="00204F71" w:rsidRPr="009561F8">
        <w:t xml:space="preserve"> </w:t>
      </w:r>
      <w:r w:rsidR="00597E58" w:rsidRPr="00372210">
        <w:t>allow BJS to report on training academies in all 50 states</w:t>
      </w:r>
      <w:r w:rsidR="00597E58" w:rsidRPr="004A43EC">
        <w:t>.</w:t>
      </w:r>
      <w:r w:rsidR="00BA3119" w:rsidRPr="004A43EC">
        <w:t xml:space="preserve"> </w:t>
      </w:r>
      <w:r w:rsidR="00597E58" w:rsidRPr="004A43EC">
        <w:t xml:space="preserve">Having data from all academies would increase the audience for </w:t>
      </w:r>
      <w:r w:rsidR="00A74CCC">
        <w:t>publications</w:t>
      </w:r>
      <w:r w:rsidR="00597E58" w:rsidRPr="004A43EC">
        <w:t xml:space="preserve"> </w:t>
      </w:r>
      <w:r w:rsidR="00597E58" w:rsidRPr="009561F8">
        <w:t>that will be used to disseminate the information collected by this effort</w:t>
      </w:r>
      <w:r w:rsidR="005D6CDA" w:rsidRPr="009561F8">
        <w:t>.</w:t>
      </w:r>
      <w:r w:rsidR="00BA3119" w:rsidRPr="009561F8">
        <w:t xml:space="preserve"> </w:t>
      </w:r>
    </w:p>
    <w:p w14:paraId="12C67DFB" w14:textId="77777777" w:rsidR="00421095" w:rsidRPr="009561F8" w:rsidRDefault="00421095" w:rsidP="009561F8">
      <w:pPr>
        <w:pStyle w:val="SP-SglSpPara"/>
        <w:spacing w:line="240" w:lineRule="auto"/>
        <w:ind w:firstLine="0"/>
        <w:jc w:val="left"/>
        <w:rPr>
          <w:sz w:val="24"/>
          <w:szCs w:val="24"/>
        </w:rPr>
      </w:pPr>
    </w:p>
    <w:p w14:paraId="63DBCCD7" w14:textId="77777777" w:rsidR="00421095" w:rsidRPr="009561F8" w:rsidRDefault="00421095" w:rsidP="009561F8">
      <w:pPr>
        <w:pStyle w:val="ListParagraph"/>
        <w:numPr>
          <w:ilvl w:val="0"/>
          <w:numId w:val="5"/>
        </w:numPr>
        <w:ind w:left="360"/>
        <w:contextualSpacing w:val="0"/>
        <w:rPr>
          <w:b/>
          <w:u w:val="single"/>
        </w:rPr>
      </w:pPr>
      <w:r w:rsidRPr="009561F8">
        <w:rPr>
          <w:b/>
          <w:u w:val="single"/>
        </w:rPr>
        <w:t>Procedures for Collecting Information</w:t>
      </w:r>
    </w:p>
    <w:p w14:paraId="024E38F7" w14:textId="0DEA494B" w:rsidR="00421095" w:rsidRPr="009561F8" w:rsidRDefault="00421095" w:rsidP="009561F8">
      <w:pPr>
        <w:rPr>
          <w:i/>
        </w:rPr>
      </w:pPr>
    </w:p>
    <w:p w14:paraId="32E45C1B" w14:textId="574290D6" w:rsidR="0067609B" w:rsidRPr="000D5DD6" w:rsidRDefault="00E94DD9" w:rsidP="0088615A">
      <w:pPr>
        <w:ind w:firstLine="720"/>
        <w:rPr>
          <w:b/>
          <w:sz w:val="22"/>
          <w:szCs w:val="22"/>
        </w:rPr>
      </w:pPr>
      <w:r w:rsidRPr="00AF7385">
        <w:t xml:space="preserve">CLETA </w:t>
      </w:r>
      <w:r w:rsidR="00C13CA2">
        <w:t>is designed as</w:t>
      </w:r>
      <w:r w:rsidR="00451D4F" w:rsidRPr="00AF7385">
        <w:t xml:space="preserve"> </w:t>
      </w:r>
      <w:r w:rsidRPr="00AF7385">
        <w:t xml:space="preserve">a multi-mode data collection using web as the </w:t>
      </w:r>
      <w:r w:rsidR="002571A7" w:rsidRPr="00AF7385">
        <w:t>primary mode</w:t>
      </w:r>
      <w:r w:rsidRPr="00AF7385">
        <w:t xml:space="preserve"> </w:t>
      </w:r>
      <w:r w:rsidR="002571A7" w:rsidRPr="00AF7385">
        <w:t xml:space="preserve">with </w:t>
      </w:r>
      <w:r w:rsidR="00AC1780">
        <w:t xml:space="preserve">a </w:t>
      </w:r>
      <w:r w:rsidR="002571A7" w:rsidRPr="00AF7385">
        <w:t xml:space="preserve">hard copy </w:t>
      </w:r>
      <w:r w:rsidR="0088615A">
        <w:t>survey</w:t>
      </w:r>
      <w:r w:rsidR="0088615A" w:rsidRPr="00AF7385">
        <w:t xml:space="preserve"> </w:t>
      </w:r>
      <w:r w:rsidR="00AC1780">
        <w:t>instrument</w:t>
      </w:r>
      <w:r w:rsidR="00AC1780" w:rsidRPr="00AF7385">
        <w:t xml:space="preserve"> </w:t>
      </w:r>
      <w:r w:rsidR="002571A7" w:rsidRPr="00AF7385">
        <w:t>as an alternative</w:t>
      </w:r>
      <w:r w:rsidR="00CA71DD">
        <w:t xml:space="preserve"> </w:t>
      </w:r>
      <w:r w:rsidR="00D80CA2">
        <w:t>for respondents who prefer that mode</w:t>
      </w:r>
      <w:r w:rsidR="00AE6383">
        <w:t xml:space="preserve"> </w:t>
      </w:r>
      <w:r w:rsidR="00CA71DD">
        <w:t xml:space="preserve">and </w:t>
      </w:r>
      <w:r w:rsidR="00AE6383">
        <w:t xml:space="preserve">a telephone </w:t>
      </w:r>
      <w:r w:rsidR="00CA71DD">
        <w:t>option 15 weeks into the field period</w:t>
      </w:r>
      <w:r w:rsidR="00AC1780">
        <w:t xml:space="preserve">. </w:t>
      </w:r>
      <w:r w:rsidRPr="00AF7385">
        <w:t xml:space="preserve">The </w:t>
      </w:r>
      <w:r w:rsidR="00747B75" w:rsidRPr="00AF7385">
        <w:t xml:space="preserve">data collection </w:t>
      </w:r>
      <w:r w:rsidR="00002404">
        <w:t>and nonresponse follow-</w:t>
      </w:r>
      <w:r w:rsidR="00E6505A">
        <w:t xml:space="preserve">up </w:t>
      </w:r>
      <w:r w:rsidRPr="00AF7385">
        <w:t xml:space="preserve">period will last approximately six months and will </w:t>
      </w:r>
      <w:r w:rsidR="00AC1780">
        <w:t>include an</w:t>
      </w:r>
      <w:r w:rsidR="00AC1780" w:rsidRPr="00AF7385">
        <w:t xml:space="preserve"> </w:t>
      </w:r>
      <w:r w:rsidRPr="00AF7385">
        <w:t>initial invitation</w:t>
      </w:r>
      <w:r w:rsidR="00AE6383">
        <w:t xml:space="preserve"> by mail and email</w:t>
      </w:r>
      <w:r w:rsidRPr="00AF7385">
        <w:t xml:space="preserve">, </w:t>
      </w:r>
      <w:r w:rsidR="004752AE">
        <w:t>five</w:t>
      </w:r>
      <w:r w:rsidR="00AC1780">
        <w:t xml:space="preserve"> </w:t>
      </w:r>
      <w:r w:rsidRPr="00AF7385">
        <w:t>reminders</w:t>
      </w:r>
      <w:r w:rsidR="0088615A">
        <w:t xml:space="preserve"> by mail and e-mail</w:t>
      </w:r>
      <w:r w:rsidRPr="00AF7385">
        <w:t>, an end-of-study letter</w:t>
      </w:r>
      <w:r w:rsidR="00AC1780">
        <w:t>, and a thank you letter</w:t>
      </w:r>
      <w:r w:rsidRPr="00AF7385">
        <w:t xml:space="preserve">. </w:t>
      </w:r>
      <w:r w:rsidR="004752AE">
        <w:t>T</w:t>
      </w:r>
      <w:r w:rsidRPr="00AF7385">
        <w:t>here will be data quality follow-up and non-response follow-up</w:t>
      </w:r>
      <w:r w:rsidR="0088615A">
        <w:t xml:space="preserve"> by e-mail and telephone</w:t>
      </w:r>
      <w:r w:rsidRPr="00AF7385">
        <w:t>.</w:t>
      </w:r>
      <w:r w:rsidR="00D0050D">
        <w:t xml:space="preserve"> A brief description of the contacts is also provided. </w:t>
      </w:r>
    </w:p>
    <w:p w14:paraId="21517811" w14:textId="77777777" w:rsidR="0067609B" w:rsidRPr="00AF7385" w:rsidRDefault="0067609B" w:rsidP="009561F8"/>
    <w:p w14:paraId="0DEBFB94" w14:textId="33DE6D2B" w:rsidR="0029378F" w:rsidRPr="00AF7385" w:rsidRDefault="002571A7" w:rsidP="007D43B8">
      <w:pPr>
        <w:autoSpaceDE w:val="0"/>
        <w:autoSpaceDN w:val="0"/>
        <w:adjustRightInd w:val="0"/>
        <w:ind w:left="43" w:right="58" w:firstLine="720"/>
      </w:pPr>
      <w:r w:rsidRPr="00AF7385">
        <w:rPr>
          <w:b/>
        </w:rPr>
        <w:t>P</w:t>
      </w:r>
      <w:r w:rsidR="00470EDF" w:rsidRPr="00AF7385">
        <w:rPr>
          <w:b/>
        </w:rPr>
        <w:t xml:space="preserve">re-notification letter. </w:t>
      </w:r>
      <w:r w:rsidR="008E488A" w:rsidRPr="00AF7385">
        <w:rPr>
          <w:b/>
        </w:rPr>
        <w:t xml:space="preserve"> </w:t>
      </w:r>
      <w:r w:rsidRPr="00AF7385">
        <w:t>The letter (</w:t>
      </w:r>
      <w:r w:rsidRPr="00380B68">
        <w:rPr>
          <w:b/>
        </w:rPr>
        <w:t xml:space="preserve">Attachment </w:t>
      </w:r>
      <w:r w:rsidR="004D1A17" w:rsidRPr="00380B68">
        <w:rPr>
          <w:b/>
        </w:rPr>
        <w:t>5</w:t>
      </w:r>
      <w:r w:rsidRPr="00AF7385">
        <w:t xml:space="preserve">), on BJS letterhead, </w:t>
      </w:r>
      <w:r w:rsidR="00470EDF" w:rsidRPr="00AF7385">
        <w:t xml:space="preserve">will </w:t>
      </w:r>
      <w:r w:rsidRPr="00AF7385">
        <w:t xml:space="preserve">be sent to </w:t>
      </w:r>
      <w:r w:rsidR="008E488A" w:rsidRPr="00AF7385">
        <w:t>a</w:t>
      </w:r>
      <w:r w:rsidR="0089327F">
        <w:t>ll</w:t>
      </w:r>
      <w:r w:rsidR="008E488A" w:rsidRPr="00AF7385">
        <w:t xml:space="preserve"> </w:t>
      </w:r>
      <w:r w:rsidR="007D43B8">
        <w:t xml:space="preserve">respondents and </w:t>
      </w:r>
      <w:r w:rsidR="00470EDF" w:rsidRPr="00AF7385">
        <w:t>h</w:t>
      </w:r>
      <w:r w:rsidR="0029378F" w:rsidRPr="00AF7385">
        <w:t xml:space="preserve">ighlight the importance of the </w:t>
      </w:r>
      <w:r w:rsidR="00892923">
        <w:t>2018</w:t>
      </w:r>
      <w:r w:rsidR="0029378F" w:rsidRPr="00AF7385">
        <w:t xml:space="preserve"> CLETA and encourage participation</w:t>
      </w:r>
      <w:r w:rsidR="00DE4BBB" w:rsidRPr="00AF7385">
        <w:t xml:space="preserve">. </w:t>
      </w:r>
      <w:r w:rsidR="00967556" w:rsidRPr="00AF7385">
        <w:t xml:space="preserve">It </w:t>
      </w:r>
      <w:r w:rsidR="0029378F" w:rsidRPr="00AF7385">
        <w:t>also provide</w:t>
      </w:r>
      <w:r w:rsidR="00A80BCC">
        <w:t>s</w:t>
      </w:r>
      <w:r w:rsidR="0029378F" w:rsidRPr="00AF7385">
        <w:t xml:space="preserve"> contact information </w:t>
      </w:r>
      <w:r w:rsidR="00967556" w:rsidRPr="00AF7385">
        <w:t xml:space="preserve">that can be used to obtain </w:t>
      </w:r>
      <w:r w:rsidR="0029378F" w:rsidRPr="00AF7385">
        <w:t>additional information</w:t>
      </w:r>
      <w:r w:rsidR="00A80BCC">
        <w:t xml:space="preserve"> about the 2018 CLETA or get assistance to complete the questionnaire</w:t>
      </w:r>
      <w:r w:rsidR="0029378F" w:rsidRPr="00AF7385">
        <w:t>.</w:t>
      </w:r>
    </w:p>
    <w:p w14:paraId="311F17D0" w14:textId="77777777" w:rsidR="00470EDF" w:rsidRPr="00AF7385" w:rsidRDefault="00470EDF" w:rsidP="009561F8">
      <w:pPr>
        <w:autoSpaceDE w:val="0"/>
        <w:autoSpaceDN w:val="0"/>
        <w:adjustRightInd w:val="0"/>
        <w:spacing w:before="81"/>
        <w:ind w:left="40" w:right="58" w:firstLine="720"/>
        <w:jc w:val="both"/>
      </w:pPr>
    </w:p>
    <w:p w14:paraId="577486E6" w14:textId="3711903C" w:rsidR="0076474F" w:rsidRDefault="00967556" w:rsidP="009561F8">
      <w:pPr>
        <w:autoSpaceDE w:val="0"/>
        <w:autoSpaceDN w:val="0"/>
        <w:adjustRightInd w:val="0"/>
        <w:ind w:left="43" w:right="58" w:firstLine="720"/>
      </w:pPr>
      <w:r w:rsidRPr="00380B68">
        <w:rPr>
          <w:b/>
        </w:rPr>
        <w:t>I</w:t>
      </w:r>
      <w:r w:rsidR="0029378F" w:rsidRPr="00380B68">
        <w:rPr>
          <w:b/>
        </w:rPr>
        <w:t xml:space="preserve">nvitation </w:t>
      </w:r>
      <w:r w:rsidR="00F6276F">
        <w:rPr>
          <w:b/>
        </w:rPr>
        <w:t>package</w:t>
      </w:r>
      <w:r w:rsidR="00F6276F" w:rsidRPr="00380B68">
        <w:rPr>
          <w:b/>
        </w:rPr>
        <w:t xml:space="preserve"> </w:t>
      </w:r>
      <w:r w:rsidR="00A03BFC" w:rsidRPr="00380B68">
        <w:rPr>
          <w:b/>
        </w:rPr>
        <w:t>and email</w:t>
      </w:r>
      <w:r w:rsidRPr="00380B68">
        <w:rPr>
          <w:b/>
        </w:rPr>
        <w:t xml:space="preserve"> message</w:t>
      </w:r>
      <w:r w:rsidR="0029378F" w:rsidRPr="00380B68">
        <w:rPr>
          <w:b/>
        </w:rPr>
        <w:t>.</w:t>
      </w:r>
      <w:r w:rsidR="0029378F" w:rsidRPr="00AF7385">
        <w:t xml:space="preserve"> </w:t>
      </w:r>
      <w:r w:rsidR="00050157" w:rsidRPr="00AF7385">
        <w:t xml:space="preserve">Two weeks after the pre-notification letter is sent, </w:t>
      </w:r>
      <w:r w:rsidRPr="00AF7385">
        <w:t>RTI</w:t>
      </w:r>
      <w:r w:rsidR="00050157" w:rsidRPr="00AF7385">
        <w:t xml:space="preserve"> will mail an</w:t>
      </w:r>
      <w:r w:rsidR="00A03BFC" w:rsidRPr="00AF7385">
        <w:t xml:space="preserve"> </w:t>
      </w:r>
      <w:r w:rsidR="0029378F" w:rsidRPr="00AF7385">
        <w:t>invitation cover letter</w:t>
      </w:r>
      <w:r w:rsidR="00866401" w:rsidRPr="00AF7385">
        <w:t xml:space="preserve"> </w:t>
      </w:r>
      <w:r w:rsidR="00873656" w:rsidRPr="00AF7385">
        <w:t>(</w:t>
      </w:r>
      <w:r w:rsidR="00563991" w:rsidRPr="0076474F">
        <w:rPr>
          <w:b/>
        </w:rPr>
        <w:t>Attachment</w:t>
      </w:r>
      <w:r w:rsidR="00F744CB" w:rsidRPr="0076474F">
        <w:rPr>
          <w:rFonts w:eastAsiaTheme="minorHAnsi"/>
          <w:b/>
          <w:spacing w:val="-6"/>
        </w:rPr>
        <w:t xml:space="preserve"> </w:t>
      </w:r>
      <w:r w:rsidR="00E638C2">
        <w:rPr>
          <w:rFonts w:eastAsiaTheme="minorHAnsi"/>
          <w:b/>
          <w:spacing w:val="-6"/>
        </w:rPr>
        <w:t>6</w:t>
      </w:r>
      <w:r w:rsidR="00873656" w:rsidRPr="009561F8">
        <w:rPr>
          <w:rFonts w:eastAsiaTheme="minorHAnsi"/>
          <w:spacing w:val="-6"/>
        </w:rPr>
        <w:t xml:space="preserve">) </w:t>
      </w:r>
      <w:r w:rsidRPr="009561F8">
        <w:rPr>
          <w:rFonts w:eastAsiaTheme="minorHAnsi"/>
          <w:spacing w:val="-6"/>
        </w:rPr>
        <w:t>to the director/designee</w:t>
      </w:r>
      <w:r w:rsidR="00A80BCC">
        <w:rPr>
          <w:rFonts w:eastAsiaTheme="minorHAnsi"/>
          <w:spacing w:val="-6"/>
        </w:rPr>
        <w:t xml:space="preserve"> of all eligible academies</w:t>
      </w:r>
      <w:r w:rsidR="0029378F" w:rsidRPr="009561F8">
        <w:rPr>
          <w:rFonts w:eastAsiaTheme="minorHAnsi"/>
          <w:spacing w:val="-6"/>
        </w:rPr>
        <w:t>. The letter stress</w:t>
      </w:r>
      <w:r w:rsidR="00A80BCC">
        <w:rPr>
          <w:rFonts w:eastAsiaTheme="minorHAnsi"/>
          <w:spacing w:val="-6"/>
        </w:rPr>
        <w:t>es</w:t>
      </w:r>
      <w:r w:rsidR="0029378F" w:rsidRPr="009561F8">
        <w:rPr>
          <w:rFonts w:eastAsiaTheme="minorHAnsi"/>
          <w:spacing w:val="-6"/>
        </w:rPr>
        <w:t xml:space="preserve"> the purpose and importance of CLETA and the need for cooperation. </w:t>
      </w:r>
      <w:r w:rsidR="00A80BCC">
        <w:rPr>
          <w:rFonts w:eastAsiaTheme="minorHAnsi"/>
          <w:spacing w:val="-6"/>
        </w:rPr>
        <w:t>I</w:t>
      </w:r>
      <w:r w:rsidRPr="009561F8">
        <w:rPr>
          <w:rFonts w:eastAsiaTheme="minorHAnsi"/>
          <w:spacing w:val="-6"/>
        </w:rPr>
        <w:t xml:space="preserve">t </w:t>
      </w:r>
      <w:r w:rsidR="00A80BCC">
        <w:rPr>
          <w:rFonts w:eastAsiaTheme="minorHAnsi"/>
          <w:spacing w:val="-6"/>
        </w:rPr>
        <w:t xml:space="preserve">also </w:t>
      </w:r>
      <w:r w:rsidR="00A80BCC" w:rsidRPr="009561F8">
        <w:rPr>
          <w:rFonts w:eastAsiaTheme="minorHAnsi"/>
          <w:spacing w:val="-6"/>
        </w:rPr>
        <w:t>notif</w:t>
      </w:r>
      <w:r w:rsidR="00A80BCC">
        <w:rPr>
          <w:rFonts w:eastAsiaTheme="minorHAnsi"/>
          <w:spacing w:val="-6"/>
        </w:rPr>
        <w:t>ies</w:t>
      </w:r>
      <w:r w:rsidR="00A80BCC" w:rsidRPr="009561F8">
        <w:rPr>
          <w:rFonts w:eastAsiaTheme="minorHAnsi"/>
          <w:spacing w:val="-6"/>
        </w:rPr>
        <w:t xml:space="preserve"> </w:t>
      </w:r>
      <w:r w:rsidRPr="009561F8">
        <w:rPr>
          <w:rFonts w:eastAsiaTheme="minorHAnsi"/>
          <w:spacing w:val="-6"/>
        </w:rPr>
        <w:t>the recipient of the survey due date,</w:t>
      </w:r>
      <w:r w:rsidR="0029378F" w:rsidRPr="009561F8">
        <w:rPr>
          <w:rFonts w:eastAsiaTheme="minorHAnsi"/>
          <w:spacing w:val="-6"/>
        </w:rPr>
        <w:t xml:space="preserve"> </w:t>
      </w:r>
      <w:r w:rsidRPr="009561F8">
        <w:rPr>
          <w:rFonts w:eastAsiaTheme="minorHAnsi"/>
          <w:spacing w:val="-6"/>
        </w:rPr>
        <w:t>provide</w:t>
      </w:r>
      <w:r w:rsidR="00002404">
        <w:rPr>
          <w:rFonts w:eastAsiaTheme="minorHAnsi"/>
          <w:spacing w:val="-6"/>
        </w:rPr>
        <w:t>s</w:t>
      </w:r>
      <w:r w:rsidRPr="009561F8">
        <w:rPr>
          <w:rFonts w:eastAsiaTheme="minorHAnsi"/>
          <w:spacing w:val="-6"/>
        </w:rPr>
        <w:t xml:space="preserve"> instructions </w:t>
      </w:r>
      <w:r w:rsidR="00135A72">
        <w:rPr>
          <w:rFonts w:eastAsiaTheme="minorHAnsi"/>
          <w:spacing w:val="-6"/>
        </w:rPr>
        <w:t xml:space="preserve">(including the web address and the academy password) </w:t>
      </w:r>
      <w:r w:rsidRPr="009561F8">
        <w:rPr>
          <w:rFonts w:eastAsiaTheme="minorHAnsi"/>
          <w:spacing w:val="-6"/>
        </w:rPr>
        <w:t xml:space="preserve">for </w:t>
      </w:r>
      <w:r w:rsidR="0029378F" w:rsidRPr="009561F8">
        <w:rPr>
          <w:rFonts w:eastAsiaTheme="minorHAnsi"/>
          <w:spacing w:val="-6"/>
        </w:rPr>
        <w:t>submit</w:t>
      </w:r>
      <w:r w:rsidRPr="009561F8">
        <w:rPr>
          <w:rFonts w:eastAsiaTheme="minorHAnsi"/>
          <w:spacing w:val="-6"/>
        </w:rPr>
        <w:t>ting</w:t>
      </w:r>
      <w:r w:rsidR="0029378F" w:rsidRPr="009561F8">
        <w:rPr>
          <w:rFonts w:eastAsiaTheme="minorHAnsi"/>
          <w:spacing w:val="-6"/>
        </w:rPr>
        <w:t xml:space="preserve"> the survey online, and </w:t>
      </w:r>
      <w:r w:rsidR="00002404">
        <w:rPr>
          <w:rFonts w:eastAsiaTheme="minorHAnsi"/>
          <w:spacing w:val="-6"/>
        </w:rPr>
        <w:t>provides an</w:t>
      </w:r>
      <w:r w:rsidR="008E488A" w:rsidRPr="009561F8">
        <w:rPr>
          <w:rFonts w:eastAsiaTheme="minorHAnsi"/>
          <w:spacing w:val="-6"/>
        </w:rPr>
        <w:t xml:space="preserve"> RTI</w:t>
      </w:r>
      <w:r w:rsidR="00002404">
        <w:rPr>
          <w:rFonts w:eastAsiaTheme="minorHAnsi"/>
          <w:spacing w:val="-6"/>
        </w:rPr>
        <w:t xml:space="preserve"> contact if they have</w:t>
      </w:r>
      <w:r w:rsidR="0029378F" w:rsidRPr="009561F8">
        <w:rPr>
          <w:rFonts w:eastAsiaTheme="minorHAnsi"/>
          <w:spacing w:val="-6"/>
        </w:rPr>
        <w:t xml:space="preserve"> any questions or comments.</w:t>
      </w:r>
      <w:r w:rsidR="00F6276F">
        <w:rPr>
          <w:rFonts w:eastAsiaTheme="minorHAnsi"/>
          <w:spacing w:val="-6"/>
        </w:rPr>
        <w:t xml:space="preserve"> The invitation package include</w:t>
      </w:r>
      <w:r w:rsidR="00002404">
        <w:rPr>
          <w:rFonts w:eastAsiaTheme="minorHAnsi"/>
          <w:spacing w:val="-6"/>
        </w:rPr>
        <w:t>s</w:t>
      </w:r>
      <w:r w:rsidR="00F6276F">
        <w:rPr>
          <w:rFonts w:eastAsiaTheme="minorHAnsi"/>
          <w:spacing w:val="-6"/>
        </w:rPr>
        <w:t xml:space="preserve"> </w:t>
      </w:r>
      <w:r w:rsidR="00B71B39">
        <w:rPr>
          <w:rFonts w:eastAsiaTheme="minorHAnsi"/>
          <w:spacing w:val="-6"/>
        </w:rPr>
        <w:t>a flyer providing a brief history of the CLETA</w:t>
      </w:r>
      <w:r w:rsidR="005E086D">
        <w:rPr>
          <w:rFonts w:eastAsiaTheme="minorHAnsi"/>
          <w:spacing w:val="-6"/>
        </w:rPr>
        <w:t xml:space="preserve"> (</w:t>
      </w:r>
      <w:r w:rsidR="005E086D" w:rsidRPr="0076474F">
        <w:rPr>
          <w:rFonts w:eastAsiaTheme="minorHAnsi"/>
          <w:b/>
          <w:spacing w:val="-6"/>
        </w:rPr>
        <w:t xml:space="preserve">Attachment </w:t>
      </w:r>
      <w:r w:rsidR="00E638C2">
        <w:rPr>
          <w:rFonts w:eastAsiaTheme="minorHAnsi"/>
          <w:b/>
          <w:spacing w:val="-6"/>
        </w:rPr>
        <w:t>7</w:t>
      </w:r>
      <w:r w:rsidR="00B96919">
        <w:rPr>
          <w:rFonts w:eastAsiaTheme="minorHAnsi"/>
          <w:spacing w:val="-6"/>
        </w:rPr>
        <w:t>)</w:t>
      </w:r>
      <w:r w:rsidR="00B71B39">
        <w:rPr>
          <w:rFonts w:eastAsiaTheme="minorHAnsi"/>
          <w:spacing w:val="-6"/>
        </w:rPr>
        <w:t xml:space="preserve">, </w:t>
      </w:r>
      <w:r w:rsidR="00135A72">
        <w:rPr>
          <w:rFonts w:eastAsiaTheme="minorHAnsi"/>
          <w:spacing w:val="-6"/>
        </w:rPr>
        <w:t xml:space="preserve">a summary </w:t>
      </w:r>
      <w:r w:rsidR="00B71B39">
        <w:rPr>
          <w:rFonts w:eastAsiaTheme="minorHAnsi"/>
          <w:spacing w:val="-6"/>
        </w:rPr>
        <w:t>of the information collected,</w:t>
      </w:r>
      <w:r w:rsidR="00126880">
        <w:rPr>
          <w:rFonts w:eastAsiaTheme="minorHAnsi"/>
          <w:spacing w:val="-6"/>
        </w:rPr>
        <w:t xml:space="preserve"> </w:t>
      </w:r>
      <w:r w:rsidR="00135A72">
        <w:rPr>
          <w:rFonts w:eastAsiaTheme="minorHAnsi"/>
          <w:spacing w:val="-6"/>
        </w:rPr>
        <w:t xml:space="preserve">the </w:t>
      </w:r>
      <w:r w:rsidR="00126880">
        <w:rPr>
          <w:rFonts w:eastAsiaTheme="minorHAnsi"/>
          <w:spacing w:val="-6"/>
        </w:rPr>
        <w:t xml:space="preserve">survey schedule, and contacts for additional information. </w:t>
      </w:r>
      <w:r w:rsidR="00135A72">
        <w:rPr>
          <w:rFonts w:eastAsiaTheme="minorHAnsi"/>
          <w:spacing w:val="-6"/>
        </w:rPr>
        <w:t xml:space="preserve">An </w:t>
      </w:r>
      <w:r w:rsidR="00F6276F">
        <w:rPr>
          <w:rFonts w:eastAsiaTheme="minorHAnsi"/>
          <w:spacing w:val="-6"/>
        </w:rPr>
        <w:t>endorsement letter</w:t>
      </w:r>
      <w:r w:rsidR="00126880">
        <w:rPr>
          <w:rFonts w:eastAsiaTheme="minorHAnsi"/>
          <w:spacing w:val="-6"/>
        </w:rPr>
        <w:t xml:space="preserve"> from t</w:t>
      </w:r>
      <w:r w:rsidR="00126880" w:rsidRPr="009561F8">
        <w:t xml:space="preserve">he International Association of Directors of Law Enforcement Standards and Training (IADLEST) </w:t>
      </w:r>
      <w:r w:rsidR="00B96919">
        <w:t>(</w:t>
      </w:r>
      <w:r w:rsidR="00B96919" w:rsidRPr="0076474F">
        <w:rPr>
          <w:b/>
        </w:rPr>
        <w:t xml:space="preserve">Attachment </w:t>
      </w:r>
      <w:r w:rsidR="00E638C2">
        <w:rPr>
          <w:b/>
        </w:rPr>
        <w:t>8</w:t>
      </w:r>
      <w:r w:rsidR="00B96919">
        <w:t xml:space="preserve">) </w:t>
      </w:r>
      <w:r w:rsidR="00126880">
        <w:t xml:space="preserve">will </w:t>
      </w:r>
      <w:r w:rsidR="00135A72">
        <w:t xml:space="preserve">also </w:t>
      </w:r>
      <w:r w:rsidR="00126880">
        <w:t>be included in the information package.</w:t>
      </w:r>
    </w:p>
    <w:p w14:paraId="10E15624" w14:textId="2C67FD39" w:rsidR="0029378F" w:rsidRPr="009561F8" w:rsidRDefault="00126880" w:rsidP="009561F8">
      <w:pPr>
        <w:autoSpaceDE w:val="0"/>
        <w:autoSpaceDN w:val="0"/>
        <w:adjustRightInd w:val="0"/>
        <w:ind w:left="43" w:right="58" w:firstLine="720"/>
        <w:rPr>
          <w:rFonts w:eastAsiaTheme="minorHAnsi"/>
          <w:spacing w:val="-6"/>
        </w:rPr>
      </w:pPr>
      <w:r>
        <w:t xml:space="preserve"> </w:t>
      </w:r>
      <w:r w:rsidR="0029378F" w:rsidRPr="009561F8">
        <w:rPr>
          <w:rFonts w:eastAsiaTheme="minorHAnsi"/>
          <w:spacing w:val="-6"/>
        </w:rPr>
        <w:t xml:space="preserve"> </w:t>
      </w:r>
    </w:p>
    <w:p w14:paraId="0AF09624" w14:textId="512A2BA4" w:rsidR="00A03BFC" w:rsidRPr="009561F8" w:rsidRDefault="00A03BFC" w:rsidP="009561F8">
      <w:pPr>
        <w:autoSpaceDE w:val="0"/>
        <w:autoSpaceDN w:val="0"/>
        <w:adjustRightInd w:val="0"/>
        <w:ind w:left="43" w:right="58" w:firstLine="720"/>
        <w:rPr>
          <w:rFonts w:eastAsiaTheme="minorHAnsi"/>
          <w:spacing w:val="-6"/>
        </w:rPr>
      </w:pPr>
      <w:r w:rsidRPr="009561F8">
        <w:rPr>
          <w:rFonts w:eastAsiaTheme="minorHAnsi"/>
          <w:spacing w:val="-6"/>
        </w:rPr>
        <w:t xml:space="preserve">In addition, an email invitation </w:t>
      </w:r>
      <w:r w:rsidR="00967556" w:rsidRPr="009561F8">
        <w:rPr>
          <w:rFonts w:eastAsiaTheme="minorHAnsi"/>
          <w:spacing w:val="-6"/>
        </w:rPr>
        <w:t>(</w:t>
      </w:r>
      <w:r w:rsidR="00967556" w:rsidRPr="0076474F">
        <w:rPr>
          <w:rFonts w:eastAsiaTheme="minorHAnsi"/>
          <w:b/>
          <w:spacing w:val="-6"/>
        </w:rPr>
        <w:t xml:space="preserve">Attachment </w:t>
      </w:r>
      <w:r w:rsidR="00E638C2">
        <w:rPr>
          <w:rFonts w:eastAsiaTheme="minorHAnsi"/>
          <w:b/>
          <w:spacing w:val="-6"/>
        </w:rPr>
        <w:t>9</w:t>
      </w:r>
      <w:r w:rsidR="00967556" w:rsidRPr="009561F8">
        <w:rPr>
          <w:rFonts w:eastAsiaTheme="minorHAnsi"/>
          <w:spacing w:val="-6"/>
        </w:rPr>
        <w:t xml:space="preserve">) </w:t>
      </w:r>
      <w:r w:rsidRPr="009561F8">
        <w:rPr>
          <w:rFonts w:eastAsiaTheme="minorHAnsi"/>
          <w:spacing w:val="-6"/>
        </w:rPr>
        <w:t>will be sent to those</w:t>
      </w:r>
      <w:r w:rsidR="00E636FE" w:rsidRPr="009561F8">
        <w:rPr>
          <w:rFonts w:eastAsiaTheme="minorHAnsi"/>
          <w:spacing w:val="-6"/>
        </w:rPr>
        <w:t xml:space="preserve"> </w:t>
      </w:r>
      <w:r w:rsidR="00967556" w:rsidRPr="009561F8">
        <w:rPr>
          <w:rFonts w:eastAsiaTheme="minorHAnsi"/>
          <w:spacing w:val="-6"/>
        </w:rPr>
        <w:t xml:space="preserve">directors/designees for whom an </w:t>
      </w:r>
      <w:r w:rsidRPr="009561F8">
        <w:rPr>
          <w:rFonts w:eastAsiaTheme="minorHAnsi"/>
          <w:spacing w:val="-6"/>
        </w:rPr>
        <w:t>email address</w:t>
      </w:r>
      <w:r w:rsidR="00967556" w:rsidRPr="009561F8">
        <w:rPr>
          <w:rFonts w:eastAsiaTheme="minorHAnsi"/>
          <w:spacing w:val="-6"/>
        </w:rPr>
        <w:t xml:space="preserve"> is available</w:t>
      </w:r>
      <w:r w:rsidR="00CA71DD" w:rsidRPr="00CA71DD">
        <w:rPr>
          <w:rFonts w:eastAsiaTheme="minorHAnsi"/>
          <w:spacing w:val="-6"/>
        </w:rPr>
        <w:t xml:space="preserve"> </w:t>
      </w:r>
      <w:r w:rsidR="00CA71DD">
        <w:rPr>
          <w:rFonts w:eastAsiaTheme="minorHAnsi"/>
          <w:spacing w:val="-6"/>
        </w:rPr>
        <w:t xml:space="preserve">less than </w:t>
      </w:r>
      <w:r w:rsidR="00CA71DD" w:rsidRPr="009561F8">
        <w:rPr>
          <w:rFonts w:eastAsiaTheme="minorHAnsi"/>
          <w:spacing w:val="-6"/>
        </w:rPr>
        <w:t>one week after the mailed invitation letter is sent</w:t>
      </w:r>
      <w:r w:rsidRPr="009561F8">
        <w:rPr>
          <w:rFonts w:eastAsiaTheme="minorHAnsi"/>
          <w:spacing w:val="-6"/>
        </w:rPr>
        <w:t xml:space="preserve">.  </w:t>
      </w:r>
      <w:r w:rsidR="00135A72">
        <w:rPr>
          <w:rFonts w:eastAsiaTheme="minorHAnsi"/>
          <w:spacing w:val="-6"/>
        </w:rPr>
        <w:t xml:space="preserve">The email is </w:t>
      </w:r>
      <w:r w:rsidRPr="009561F8">
        <w:rPr>
          <w:rFonts w:eastAsiaTheme="minorHAnsi"/>
          <w:spacing w:val="-6"/>
        </w:rPr>
        <w:t>align</w:t>
      </w:r>
      <w:r w:rsidR="00135A72">
        <w:rPr>
          <w:rFonts w:eastAsiaTheme="minorHAnsi"/>
          <w:spacing w:val="-6"/>
        </w:rPr>
        <w:t>ed</w:t>
      </w:r>
      <w:r w:rsidRPr="009561F8">
        <w:rPr>
          <w:rFonts w:eastAsiaTheme="minorHAnsi"/>
          <w:spacing w:val="-6"/>
        </w:rPr>
        <w:t xml:space="preserve"> </w:t>
      </w:r>
      <w:r w:rsidR="00135A72">
        <w:rPr>
          <w:rFonts w:eastAsiaTheme="minorHAnsi"/>
          <w:spacing w:val="-6"/>
        </w:rPr>
        <w:t xml:space="preserve">with </w:t>
      </w:r>
      <w:r w:rsidRPr="009561F8">
        <w:rPr>
          <w:rFonts w:eastAsiaTheme="minorHAnsi"/>
          <w:spacing w:val="-6"/>
        </w:rPr>
        <w:t xml:space="preserve">the mailed invitation letter </w:t>
      </w:r>
      <w:r w:rsidR="00135A72">
        <w:rPr>
          <w:rFonts w:eastAsiaTheme="minorHAnsi"/>
          <w:spacing w:val="-6"/>
        </w:rPr>
        <w:t>and</w:t>
      </w:r>
      <w:r w:rsidR="00135A72" w:rsidRPr="009561F8">
        <w:rPr>
          <w:rFonts w:eastAsiaTheme="minorHAnsi"/>
          <w:spacing w:val="-6"/>
        </w:rPr>
        <w:t xml:space="preserve"> </w:t>
      </w:r>
      <w:r w:rsidRPr="009561F8">
        <w:rPr>
          <w:rFonts w:eastAsiaTheme="minorHAnsi"/>
          <w:spacing w:val="-6"/>
        </w:rPr>
        <w:t>contain</w:t>
      </w:r>
      <w:r w:rsidR="00135A72">
        <w:rPr>
          <w:rFonts w:eastAsiaTheme="minorHAnsi"/>
          <w:spacing w:val="-6"/>
        </w:rPr>
        <w:t>s</w:t>
      </w:r>
      <w:r w:rsidRPr="009561F8">
        <w:rPr>
          <w:rFonts w:eastAsiaTheme="minorHAnsi"/>
          <w:spacing w:val="-6"/>
        </w:rPr>
        <w:t xml:space="preserve"> a </w:t>
      </w:r>
      <w:r w:rsidR="0015008F" w:rsidRPr="009561F8">
        <w:rPr>
          <w:rFonts w:eastAsiaTheme="minorHAnsi"/>
          <w:spacing w:val="-6"/>
        </w:rPr>
        <w:t>hyper</w:t>
      </w:r>
      <w:r w:rsidRPr="009561F8">
        <w:rPr>
          <w:rFonts w:eastAsiaTheme="minorHAnsi"/>
          <w:spacing w:val="-6"/>
        </w:rPr>
        <w:t xml:space="preserve">link to the </w:t>
      </w:r>
      <w:r w:rsidR="0015008F" w:rsidRPr="009561F8">
        <w:rPr>
          <w:rFonts w:eastAsiaTheme="minorHAnsi"/>
          <w:spacing w:val="-6"/>
        </w:rPr>
        <w:t xml:space="preserve">web </w:t>
      </w:r>
      <w:r w:rsidRPr="009561F8">
        <w:rPr>
          <w:rFonts w:eastAsiaTheme="minorHAnsi"/>
          <w:spacing w:val="-6"/>
        </w:rPr>
        <w:t>survey</w:t>
      </w:r>
      <w:r w:rsidR="00AF5A4A">
        <w:rPr>
          <w:rFonts w:eastAsiaTheme="minorHAnsi"/>
          <w:spacing w:val="-6"/>
        </w:rPr>
        <w:t xml:space="preserve">, which makes it easier for a respondent to just click the link and get to the survey, </w:t>
      </w:r>
      <w:r w:rsidR="00135A72">
        <w:rPr>
          <w:rFonts w:eastAsiaTheme="minorHAnsi"/>
          <w:spacing w:val="-6"/>
        </w:rPr>
        <w:t>as well as instructions for submitting the survey online</w:t>
      </w:r>
      <w:r w:rsidRPr="009561F8">
        <w:rPr>
          <w:rFonts w:eastAsiaTheme="minorHAnsi"/>
          <w:spacing w:val="-6"/>
        </w:rPr>
        <w:t xml:space="preserve">. </w:t>
      </w:r>
    </w:p>
    <w:p w14:paraId="2FB252CF" w14:textId="77777777" w:rsidR="00DE4BBB" w:rsidRPr="009561F8" w:rsidRDefault="00DE4BBB" w:rsidP="009561F8">
      <w:pPr>
        <w:autoSpaceDE w:val="0"/>
        <w:autoSpaceDN w:val="0"/>
        <w:adjustRightInd w:val="0"/>
        <w:ind w:left="43" w:right="58" w:firstLine="720"/>
        <w:rPr>
          <w:rFonts w:eastAsiaTheme="minorHAnsi"/>
        </w:rPr>
      </w:pPr>
    </w:p>
    <w:p w14:paraId="7C77C6CA" w14:textId="4A59912F" w:rsidR="0025383E" w:rsidRPr="009561F8" w:rsidRDefault="00F514BF" w:rsidP="009561F8">
      <w:pPr>
        <w:autoSpaceDE w:val="0"/>
        <w:autoSpaceDN w:val="0"/>
        <w:adjustRightInd w:val="0"/>
        <w:spacing w:before="31"/>
        <w:ind w:left="120" w:right="59" w:firstLine="720"/>
        <w:rPr>
          <w:rFonts w:eastAsiaTheme="minorHAnsi"/>
        </w:rPr>
      </w:pPr>
      <w:r w:rsidRPr="009561F8">
        <w:rPr>
          <w:rFonts w:eastAsiaTheme="minorHAnsi"/>
          <w:b/>
          <w:bCs/>
        </w:rPr>
        <w:t xml:space="preserve">Mail and email reminders. </w:t>
      </w:r>
      <w:r w:rsidR="00126880">
        <w:rPr>
          <w:rFonts w:eastAsiaTheme="minorHAnsi"/>
          <w:bCs/>
        </w:rPr>
        <w:t xml:space="preserve">Ten days </w:t>
      </w:r>
      <w:r w:rsidR="00902FB6" w:rsidRPr="009561F8">
        <w:rPr>
          <w:rFonts w:eastAsiaTheme="minorHAnsi"/>
          <w:bCs/>
        </w:rPr>
        <w:t xml:space="preserve">after the email invitation is sent, we will mail the first reminder </w:t>
      </w:r>
      <w:r w:rsidR="00B96919">
        <w:rPr>
          <w:rFonts w:eastAsiaTheme="minorHAnsi"/>
          <w:bCs/>
        </w:rPr>
        <w:t>(</w:t>
      </w:r>
      <w:r w:rsidR="00B96919" w:rsidRPr="0076474F">
        <w:rPr>
          <w:rFonts w:eastAsiaTheme="minorHAnsi"/>
          <w:b/>
          <w:bCs/>
        </w:rPr>
        <w:t xml:space="preserve">Attachment </w:t>
      </w:r>
      <w:r w:rsidR="005E448D">
        <w:rPr>
          <w:rFonts w:eastAsiaTheme="minorHAnsi"/>
          <w:b/>
          <w:bCs/>
        </w:rPr>
        <w:t>10</w:t>
      </w:r>
      <w:r w:rsidR="00B96919">
        <w:rPr>
          <w:rFonts w:eastAsiaTheme="minorHAnsi"/>
          <w:bCs/>
        </w:rPr>
        <w:t xml:space="preserve">) </w:t>
      </w:r>
      <w:r w:rsidR="00902FB6" w:rsidRPr="009561F8">
        <w:rPr>
          <w:rFonts w:eastAsiaTheme="minorHAnsi"/>
          <w:bCs/>
        </w:rPr>
        <w:t>to nonresponde</w:t>
      </w:r>
      <w:r w:rsidR="003764E3" w:rsidRPr="009561F8">
        <w:rPr>
          <w:rFonts w:eastAsiaTheme="minorHAnsi"/>
          <w:bCs/>
        </w:rPr>
        <w:t>nts</w:t>
      </w:r>
      <w:r w:rsidR="00610CCB" w:rsidRPr="00610CCB">
        <w:rPr>
          <w:rFonts w:eastAsiaTheme="minorHAnsi"/>
          <w:bCs/>
        </w:rPr>
        <w:t xml:space="preserve"> </w:t>
      </w:r>
      <w:r w:rsidR="00610CCB">
        <w:rPr>
          <w:rFonts w:eastAsiaTheme="minorHAnsi"/>
          <w:bCs/>
        </w:rPr>
        <w:t>using the United States Postal Service (USPS)</w:t>
      </w:r>
      <w:r w:rsidR="00902FB6" w:rsidRPr="009561F8">
        <w:rPr>
          <w:rFonts w:eastAsiaTheme="minorHAnsi"/>
          <w:bCs/>
        </w:rPr>
        <w:t xml:space="preserve">. Over the course of approximately three months, a total of </w:t>
      </w:r>
      <w:r w:rsidR="00E638C2">
        <w:rPr>
          <w:rFonts w:eastAsiaTheme="minorHAnsi"/>
          <w:bCs/>
        </w:rPr>
        <w:t>two</w:t>
      </w:r>
      <w:r w:rsidR="00E638C2" w:rsidRPr="009561F8">
        <w:rPr>
          <w:rFonts w:eastAsiaTheme="minorHAnsi"/>
          <w:bCs/>
        </w:rPr>
        <w:t xml:space="preserve"> </w:t>
      </w:r>
      <w:r w:rsidR="00610CCB">
        <w:rPr>
          <w:rFonts w:eastAsiaTheme="minorHAnsi"/>
          <w:bCs/>
        </w:rPr>
        <w:t xml:space="preserve">USPS </w:t>
      </w:r>
      <w:r w:rsidR="00CA35A2" w:rsidRPr="009561F8">
        <w:rPr>
          <w:rFonts w:eastAsiaTheme="minorHAnsi"/>
          <w:bCs/>
        </w:rPr>
        <w:t>mail</w:t>
      </w:r>
      <w:r w:rsidR="00610CCB">
        <w:rPr>
          <w:rFonts w:eastAsiaTheme="minorHAnsi"/>
          <w:bCs/>
        </w:rPr>
        <w:t>ed letters</w:t>
      </w:r>
      <w:r w:rsidR="00CA35A2" w:rsidRPr="009561F8">
        <w:rPr>
          <w:rFonts w:eastAsiaTheme="minorHAnsi"/>
          <w:bCs/>
        </w:rPr>
        <w:t xml:space="preserve"> and </w:t>
      </w:r>
      <w:r w:rsidR="00E638C2">
        <w:rPr>
          <w:rFonts w:eastAsiaTheme="minorHAnsi"/>
          <w:bCs/>
        </w:rPr>
        <w:t>one</w:t>
      </w:r>
      <w:r w:rsidR="00E638C2" w:rsidRPr="009561F8">
        <w:rPr>
          <w:rFonts w:eastAsiaTheme="minorHAnsi"/>
          <w:bCs/>
        </w:rPr>
        <w:t xml:space="preserve"> </w:t>
      </w:r>
      <w:r w:rsidR="00CA35A2" w:rsidRPr="009561F8">
        <w:rPr>
          <w:rFonts w:eastAsiaTheme="minorHAnsi"/>
          <w:bCs/>
        </w:rPr>
        <w:t xml:space="preserve">email reminders </w:t>
      </w:r>
      <w:r w:rsidR="00B96919">
        <w:rPr>
          <w:rFonts w:eastAsiaTheme="minorHAnsi"/>
          <w:bCs/>
        </w:rPr>
        <w:t>(</w:t>
      </w:r>
      <w:r w:rsidR="00B96919" w:rsidRPr="0076474F">
        <w:rPr>
          <w:rFonts w:eastAsiaTheme="minorHAnsi"/>
          <w:b/>
          <w:bCs/>
        </w:rPr>
        <w:t xml:space="preserve">Attachments </w:t>
      </w:r>
      <w:r w:rsidR="00E638C2">
        <w:rPr>
          <w:rFonts w:eastAsiaTheme="minorHAnsi"/>
          <w:b/>
          <w:bCs/>
        </w:rPr>
        <w:t>11</w:t>
      </w:r>
      <w:r w:rsidR="00F065B0" w:rsidRPr="0076474F">
        <w:rPr>
          <w:rFonts w:eastAsiaTheme="minorHAnsi"/>
          <w:b/>
          <w:bCs/>
        </w:rPr>
        <w:t>-</w:t>
      </w:r>
      <w:r w:rsidR="00E638C2">
        <w:rPr>
          <w:rFonts w:eastAsiaTheme="minorHAnsi"/>
          <w:b/>
          <w:bCs/>
        </w:rPr>
        <w:t>13</w:t>
      </w:r>
      <w:r w:rsidR="00B96919">
        <w:rPr>
          <w:rFonts w:eastAsiaTheme="minorHAnsi"/>
          <w:bCs/>
        </w:rPr>
        <w:t xml:space="preserve">) </w:t>
      </w:r>
      <w:r w:rsidR="00CA35A2" w:rsidRPr="009561F8">
        <w:rPr>
          <w:rFonts w:eastAsiaTheme="minorHAnsi"/>
          <w:bCs/>
        </w:rPr>
        <w:t>will be</w:t>
      </w:r>
      <w:r w:rsidR="00CA35A2" w:rsidRPr="009561F8">
        <w:rPr>
          <w:rFonts w:eastAsiaTheme="minorHAnsi"/>
          <w:b/>
          <w:bCs/>
        </w:rPr>
        <w:t xml:space="preserve"> </w:t>
      </w:r>
      <w:r w:rsidR="00E94DD9" w:rsidRPr="009561F8">
        <w:rPr>
          <w:rFonts w:eastAsiaTheme="minorHAnsi"/>
          <w:bCs/>
        </w:rPr>
        <w:t xml:space="preserve">sent to </w:t>
      </w:r>
      <w:r w:rsidR="003764E3" w:rsidRPr="009561F8">
        <w:rPr>
          <w:rFonts w:eastAsiaTheme="minorHAnsi"/>
          <w:bCs/>
        </w:rPr>
        <w:t xml:space="preserve">those </w:t>
      </w:r>
      <w:r w:rsidR="00E94DD9" w:rsidRPr="009561F8">
        <w:rPr>
          <w:rFonts w:eastAsiaTheme="minorHAnsi"/>
          <w:bCs/>
        </w:rPr>
        <w:t>who have not yet responded</w:t>
      </w:r>
      <w:r w:rsidR="00902FB6" w:rsidRPr="009561F8">
        <w:rPr>
          <w:rFonts w:eastAsiaTheme="minorHAnsi"/>
          <w:bCs/>
        </w:rPr>
        <w:t xml:space="preserve">. Both the mail and email reminders contain information for completing the web </w:t>
      </w:r>
      <w:r w:rsidR="003764E3" w:rsidRPr="009561F8">
        <w:rPr>
          <w:rFonts w:eastAsiaTheme="minorHAnsi"/>
          <w:bCs/>
        </w:rPr>
        <w:t>survey</w:t>
      </w:r>
      <w:r w:rsidR="00902FB6" w:rsidRPr="009561F8">
        <w:rPr>
          <w:rFonts w:eastAsiaTheme="minorHAnsi"/>
          <w:bCs/>
        </w:rPr>
        <w:t xml:space="preserve">. However, as we anticipate some </w:t>
      </w:r>
      <w:r w:rsidR="003764E3" w:rsidRPr="009561F8">
        <w:rPr>
          <w:rFonts w:eastAsiaTheme="minorHAnsi"/>
          <w:bCs/>
        </w:rPr>
        <w:t xml:space="preserve">might </w:t>
      </w:r>
      <w:r w:rsidR="00902FB6" w:rsidRPr="009561F8">
        <w:rPr>
          <w:rFonts w:eastAsiaTheme="minorHAnsi"/>
          <w:bCs/>
        </w:rPr>
        <w:t xml:space="preserve">prefer </w:t>
      </w:r>
      <w:r w:rsidR="003764E3" w:rsidRPr="009561F8">
        <w:rPr>
          <w:rFonts w:eastAsiaTheme="minorHAnsi"/>
          <w:bCs/>
        </w:rPr>
        <w:t>to respond using a hard copy</w:t>
      </w:r>
      <w:r w:rsidR="00902FB6" w:rsidRPr="009561F8">
        <w:rPr>
          <w:rFonts w:eastAsiaTheme="minorHAnsi"/>
          <w:bCs/>
        </w:rPr>
        <w:t xml:space="preserve"> questionnaire, </w:t>
      </w:r>
      <w:r w:rsidR="00610CCB">
        <w:rPr>
          <w:rFonts w:eastAsiaTheme="minorHAnsi"/>
          <w:bCs/>
        </w:rPr>
        <w:t>the fourth</w:t>
      </w:r>
      <w:r w:rsidR="00610CCB" w:rsidRPr="009561F8">
        <w:rPr>
          <w:rFonts w:eastAsiaTheme="minorHAnsi"/>
          <w:bCs/>
        </w:rPr>
        <w:t xml:space="preserve"> </w:t>
      </w:r>
      <w:r w:rsidR="00902FB6" w:rsidRPr="009561F8">
        <w:rPr>
          <w:rFonts w:eastAsiaTheme="minorHAnsi"/>
          <w:bCs/>
        </w:rPr>
        <w:t xml:space="preserve">mailed reminder will contain a paper questionnaire and a business reply envelope for easy return. </w:t>
      </w:r>
    </w:p>
    <w:p w14:paraId="1F727856" w14:textId="48EB0FBC" w:rsidR="00F514BF" w:rsidRPr="009561F8" w:rsidRDefault="00F514BF" w:rsidP="009561F8">
      <w:pPr>
        <w:autoSpaceDE w:val="0"/>
        <w:autoSpaceDN w:val="0"/>
        <w:adjustRightInd w:val="0"/>
        <w:spacing w:before="31"/>
        <w:ind w:right="59"/>
        <w:rPr>
          <w:rFonts w:eastAsiaTheme="minorHAnsi"/>
        </w:rPr>
      </w:pPr>
    </w:p>
    <w:p w14:paraId="00184201" w14:textId="69238DCA" w:rsidR="00F514BF" w:rsidRPr="009561F8" w:rsidRDefault="003764E3" w:rsidP="009561F8">
      <w:pPr>
        <w:autoSpaceDE w:val="0"/>
        <w:autoSpaceDN w:val="0"/>
        <w:adjustRightInd w:val="0"/>
        <w:spacing w:before="31"/>
        <w:ind w:left="120" w:right="59" w:firstLine="720"/>
        <w:rPr>
          <w:rFonts w:eastAsiaTheme="minorHAnsi"/>
        </w:rPr>
      </w:pPr>
      <w:r w:rsidRPr="009561F8">
        <w:rPr>
          <w:rFonts w:eastAsiaTheme="minorHAnsi"/>
          <w:b/>
        </w:rPr>
        <w:t>T</w:t>
      </w:r>
      <w:r w:rsidR="00F514BF" w:rsidRPr="009561F8">
        <w:rPr>
          <w:rFonts w:eastAsiaTheme="minorHAnsi"/>
          <w:b/>
        </w:rPr>
        <w:t>elephone and email data quality follow-up</w:t>
      </w:r>
      <w:r w:rsidR="00A631F2" w:rsidRPr="009561F8">
        <w:rPr>
          <w:rFonts w:eastAsiaTheme="minorHAnsi"/>
          <w:b/>
        </w:rPr>
        <w:t xml:space="preserve">. </w:t>
      </w:r>
      <w:r w:rsidRPr="009561F8">
        <w:rPr>
          <w:rFonts w:eastAsiaTheme="minorHAnsi"/>
        </w:rPr>
        <w:t>Within two weeks of receiving a completed survey, RTI will begin data review.</w:t>
      </w:r>
      <w:r w:rsidR="006019B8" w:rsidRPr="009561F8">
        <w:rPr>
          <w:rFonts w:eastAsiaTheme="minorHAnsi"/>
        </w:rPr>
        <w:t xml:space="preserve"> </w:t>
      </w:r>
      <w:r w:rsidR="00610CCB">
        <w:rPr>
          <w:rFonts w:eastAsiaTheme="minorHAnsi"/>
        </w:rPr>
        <w:t>During review, if</w:t>
      </w:r>
      <w:r w:rsidR="00610CCB" w:rsidRPr="009561F8">
        <w:rPr>
          <w:rFonts w:eastAsiaTheme="minorHAnsi"/>
        </w:rPr>
        <w:t xml:space="preserve"> </w:t>
      </w:r>
      <w:r w:rsidR="006019B8" w:rsidRPr="009561F8">
        <w:rPr>
          <w:rFonts w:eastAsiaTheme="minorHAnsi"/>
        </w:rPr>
        <w:t xml:space="preserve">data discrepancies or missing data values are discovered, RTI staff will follow up with respondents </w:t>
      </w:r>
      <w:r w:rsidR="00C14257">
        <w:rPr>
          <w:rFonts w:eastAsiaTheme="minorHAnsi"/>
          <w:bCs/>
        </w:rPr>
        <w:t>(</w:t>
      </w:r>
      <w:r w:rsidR="00C14257" w:rsidRPr="0076474F">
        <w:rPr>
          <w:rFonts w:eastAsiaTheme="minorHAnsi"/>
          <w:b/>
          <w:bCs/>
        </w:rPr>
        <w:t xml:space="preserve">Attachment </w:t>
      </w:r>
      <w:r w:rsidR="005E448D">
        <w:rPr>
          <w:rFonts w:eastAsiaTheme="minorHAnsi"/>
          <w:b/>
          <w:bCs/>
        </w:rPr>
        <w:t>1</w:t>
      </w:r>
      <w:r w:rsidR="00E638C2">
        <w:rPr>
          <w:rFonts w:eastAsiaTheme="minorHAnsi"/>
          <w:b/>
          <w:bCs/>
        </w:rPr>
        <w:t>4</w:t>
      </w:r>
      <w:r w:rsidR="00C14257">
        <w:rPr>
          <w:rFonts w:eastAsiaTheme="minorHAnsi"/>
          <w:bCs/>
        </w:rPr>
        <w:t xml:space="preserve">) </w:t>
      </w:r>
      <w:r w:rsidR="008633F7" w:rsidRPr="009561F8">
        <w:rPr>
          <w:rFonts w:eastAsiaTheme="minorHAnsi"/>
        </w:rPr>
        <w:t xml:space="preserve">via telephone or email </w:t>
      </w:r>
      <w:r w:rsidR="006019B8" w:rsidRPr="009561F8">
        <w:rPr>
          <w:rFonts w:eastAsiaTheme="minorHAnsi"/>
        </w:rPr>
        <w:t xml:space="preserve">to clarify </w:t>
      </w:r>
      <w:r w:rsidRPr="009561F8">
        <w:rPr>
          <w:rFonts w:eastAsiaTheme="minorHAnsi"/>
        </w:rPr>
        <w:t xml:space="preserve">responses </w:t>
      </w:r>
      <w:r w:rsidR="008633F7" w:rsidRPr="009561F8">
        <w:rPr>
          <w:rFonts w:eastAsiaTheme="minorHAnsi"/>
        </w:rPr>
        <w:t xml:space="preserve">or </w:t>
      </w:r>
      <w:r w:rsidRPr="009561F8">
        <w:rPr>
          <w:rFonts w:eastAsiaTheme="minorHAnsi"/>
        </w:rPr>
        <w:t>obtain</w:t>
      </w:r>
      <w:r w:rsidR="008633F7" w:rsidRPr="009561F8">
        <w:rPr>
          <w:rFonts w:eastAsiaTheme="minorHAnsi"/>
        </w:rPr>
        <w:t xml:space="preserve"> missing information. </w:t>
      </w:r>
    </w:p>
    <w:p w14:paraId="42F2A9D5" w14:textId="77777777" w:rsidR="00470EDF" w:rsidRPr="009561F8" w:rsidRDefault="00470EDF" w:rsidP="009561F8">
      <w:pPr>
        <w:autoSpaceDE w:val="0"/>
        <w:autoSpaceDN w:val="0"/>
        <w:adjustRightInd w:val="0"/>
        <w:spacing w:before="31"/>
        <w:ind w:left="120" w:right="59" w:firstLine="720"/>
        <w:rPr>
          <w:rFonts w:eastAsiaTheme="minorHAnsi"/>
        </w:rPr>
      </w:pPr>
    </w:p>
    <w:p w14:paraId="726A323C" w14:textId="5969D911" w:rsidR="0029378F" w:rsidRPr="00AF7385" w:rsidRDefault="003764E3" w:rsidP="009561F8">
      <w:pPr>
        <w:autoSpaceDE w:val="0"/>
        <w:autoSpaceDN w:val="0"/>
        <w:adjustRightInd w:val="0"/>
        <w:spacing w:before="3"/>
        <w:ind w:left="120" w:right="58" w:firstLine="720"/>
        <w:rPr>
          <w:rFonts w:eastAsiaTheme="minorHAnsi"/>
          <w:bCs/>
        </w:rPr>
      </w:pPr>
      <w:r w:rsidRPr="009561F8">
        <w:rPr>
          <w:rFonts w:eastAsiaTheme="minorHAnsi"/>
          <w:b/>
          <w:bCs/>
        </w:rPr>
        <w:t>T</w:t>
      </w:r>
      <w:r w:rsidR="00A03BFC" w:rsidRPr="009561F8">
        <w:rPr>
          <w:rFonts w:eastAsiaTheme="minorHAnsi"/>
          <w:b/>
          <w:bCs/>
        </w:rPr>
        <w:t>elephone and nonresponse follow-up.</w:t>
      </w:r>
      <w:r w:rsidR="0029378F" w:rsidRPr="009561F8">
        <w:rPr>
          <w:rFonts w:eastAsiaTheme="minorHAnsi"/>
          <w:spacing w:val="9"/>
        </w:rPr>
        <w:t xml:space="preserve"> </w:t>
      </w:r>
      <w:r w:rsidR="00610CCB">
        <w:rPr>
          <w:rFonts w:eastAsiaTheme="minorHAnsi"/>
          <w:spacing w:val="9"/>
        </w:rPr>
        <w:t>In week 15 of the data collection period</w:t>
      </w:r>
      <w:r w:rsidRPr="00AF7385">
        <w:rPr>
          <w:rFonts w:eastAsiaTheme="minorHAnsi"/>
          <w:bCs/>
        </w:rPr>
        <w:t xml:space="preserve">, phone follow-up with nonrespondents </w:t>
      </w:r>
      <w:r w:rsidR="00AE7F3A">
        <w:rPr>
          <w:rFonts w:eastAsiaTheme="minorHAnsi"/>
          <w:bCs/>
        </w:rPr>
        <w:t>(</w:t>
      </w:r>
      <w:r w:rsidR="00AE7F3A" w:rsidRPr="0076474F">
        <w:rPr>
          <w:rFonts w:eastAsiaTheme="minorHAnsi"/>
          <w:b/>
          <w:bCs/>
        </w:rPr>
        <w:t xml:space="preserve">Attachment </w:t>
      </w:r>
      <w:r w:rsidR="005E448D">
        <w:rPr>
          <w:rFonts w:eastAsiaTheme="minorHAnsi"/>
          <w:b/>
          <w:bCs/>
        </w:rPr>
        <w:t>15</w:t>
      </w:r>
      <w:r w:rsidR="00AE7F3A">
        <w:rPr>
          <w:rFonts w:eastAsiaTheme="minorHAnsi"/>
          <w:bCs/>
        </w:rPr>
        <w:t xml:space="preserve">) </w:t>
      </w:r>
      <w:r w:rsidRPr="00AF7385">
        <w:rPr>
          <w:rFonts w:eastAsiaTheme="minorHAnsi"/>
          <w:bCs/>
        </w:rPr>
        <w:t xml:space="preserve">will begin. </w:t>
      </w:r>
      <w:r w:rsidR="00D12407" w:rsidRPr="00D12407">
        <w:rPr>
          <w:rFonts w:eastAsiaTheme="minorHAnsi"/>
          <w:bCs/>
        </w:rPr>
        <w:t xml:space="preserve">Up to five call attempts will be made for each academy before the case is coded as “Maximum call attempts reached.” An attempt is defined as a call where an interviewer talks to a person at the academy or leaves a message on the academy’s answering machine. </w:t>
      </w:r>
      <w:r w:rsidR="00D12407">
        <w:rPr>
          <w:rFonts w:eastAsiaTheme="minorHAnsi"/>
          <w:bCs/>
        </w:rPr>
        <w:t xml:space="preserve">If a contact attempt is successful, the respondent </w:t>
      </w:r>
      <w:r w:rsidR="0029378F" w:rsidRPr="00AF7385">
        <w:rPr>
          <w:rFonts w:eastAsiaTheme="minorHAnsi"/>
          <w:bCs/>
        </w:rPr>
        <w:t xml:space="preserve">will be reminded of the purpose and importance of the survey and informed of </w:t>
      </w:r>
      <w:r w:rsidR="00A03BFC" w:rsidRPr="00AF7385">
        <w:rPr>
          <w:rFonts w:eastAsiaTheme="minorHAnsi"/>
          <w:bCs/>
        </w:rPr>
        <w:t xml:space="preserve">the </w:t>
      </w:r>
      <w:r w:rsidR="0029378F" w:rsidRPr="00AF7385">
        <w:rPr>
          <w:rFonts w:eastAsiaTheme="minorHAnsi"/>
          <w:bCs/>
        </w:rPr>
        <w:t xml:space="preserve">goal of receiving a completed survey from each academy. </w:t>
      </w:r>
      <w:r w:rsidR="00AF5A4A">
        <w:rPr>
          <w:rFonts w:eastAsiaTheme="minorHAnsi"/>
          <w:bCs/>
        </w:rPr>
        <w:t xml:space="preserve">The telephone interviewer </w:t>
      </w:r>
      <w:r w:rsidR="00AF5A4A" w:rsidRPr="00AF7385">
        <w:rPr>
          <w:rFonts w:eastAsiaTheme="minorHAnsi"/>
          <w:bCs/>
        </w:rPr>
        <w:t>will reference the most recent communication (e.g., reminder letters, reminder emails, etc.)</w:t>
      </w:r>
      <w:r w:rsidR="00AF5A4A">
        <w:rPr>
          <w:rFonts w:eastAsiaTheme="minorHAnsi"/>
          <w:bCs/>
        </w:rPr>
        <w:t xml:space="preserve"> in the introduction of the phone call</w:t>
      </w:r>
      <w:r w:rsidR="00D12407">
        <w:rPr>
          <w:rFonts w:eastAsiaTheme="minorHAnsi"/>
          <w:bCs/>
        </w:rPr>
        <w:t xml:space="preserve"> to determine if they have received any of the communications sent to them</w:t>
      </w:r>
      <w:r w:rsidR="00AF5A4A" w:rsidRPr="00AF7385">
        <w:rPr>
          <w:rFonts w:eastAsiaTheme="minorHAnsi"/>
          <w:bCs/>
        </w:rPr>
        <w:t>.</w:t>
      </w:r>
      <w:r w:rsidR="00D12407">
        <w:rPr>
          <w:rFonts w:eastAsiaTheme="minorHAnsi"/>
          <w:bCs/>
        </w:rPr>
        <w:t xml:space="preserve"> Those who did not receive any of the messages or the questionnaire packet will be assisted by the interviewer in getting the information they need to complete the survey. For those who received the communications or the questionnaire packet, the interviewer will determine why they have not yet completed the survey and try to gain cooperation and offer assistance. </w:t>
      </w:r>
      <w:r w:rsidR="0089647E">
        <w:rPr>
          <w:rFonts w:eastAsiaTheme="minorHAnsi"/>
          <w:bCs/>
        </w:rPr>
        <w:t>Respondents</w:t>
      </w:r>
      <w:r w:rsidR="0089647E" w:rsidRPr="00AF7385">
        <w:rPr>
          <w:rFonts w:eastAsiaTheme="minorHAnsi"/>
          <w:bCs/>
        </w:rPr>
        <w:t xml:space="preserve"> </w:t>
      </w:r>
      <w:r w:rsidR="00D12407">
        <w:rPr>
          <w:rFonts w:eastAsiaTheme="minorHAnsi"/>
          <w:bCs/>
        </w:rPr>
        <w:t xml:space="preserve">who agree to complete the full survey </w:t>
      </w:r>
      <w:r w:rsidR="0029378F" w:rsidRPr="00AF7385">
        <w:rPr>
          <w:rFonts w:eastAsiaTheme="minorHAnsi"/>
          <w:bCs/>
        </w:rPr>
        <w:t xml:space="preserve">will be asked to submit the survey </w:t>
      </w:r>
      <w:r w:rsidR="00C03D85" w:rsidRPr="00AF7385">
        <w:rPr>
          <w:rFonts w:eastAsiaTheme="minorHAnsi"/>
          <w:bCs/>
        </w:rPr>
        <w:t>online but</w:t>
      </w:r>
      <w:r w:rsidR="0029378F" w:rsidRPr="00AF7385">
        <w:rPr>
          <w:rFonts w:eastAsiaTheme="minorHAnsi"/>
          <w:bCs/>
        </w:rPr>
        <w:t xml:space="preserve"> will be sent another </w:t>
      </w:r>
      <w:r w:rsidR="00F31385" w:rsidRPr="00AF7385">
        <w:rPr>
          <w:rFonts w:eastAsiaTheme="minorHAnsi"/>
          <w:bCs/>
        </w:rPr>
        <w:t>hard</w:t>
      </w:r>
      <w:r w:rsidRPr="00AF7385">
        <w:rPr>
          <w:rFonts w:eastAsiaTheme="minorHAnsi"/>
          <w:bCs/>
        </w:rPr>
        <w:t xml:space="preserve"> </w:t>
      </w:r>
      <w:r w:rsidR="0029378F" w:rsidRPr="00AF7385">
        <w:rPr>
          <w:rFonts w:eastAsiaTheme="minorHAnsi"/>
          <w:bCs/>
        </w:rPr>
        <w:t xml:space="preserve">copy </w:t>
      </w:r>
      <w:r w:rsidR="00F31385" w:rsidRPr="00AF7385">
        <w:rPr>
          <w:rFonts w:eastAsiaTheme="minorHAnsi"/>
          <w:bCs/>
        </w:rPr>
        <w:t xml:space="preserve">version </w:t>
      </w:r>
      <w:r w:rsidR="0029378F" w:rsidRPr="00AF7385">
        <w:rPr>
          <w:rFonts w:eastAsiaTheme="minorHAnsi"/>
          <w:bCs/>
        </w:rPr>
        <w:t>of the survey if request</w:t>
      </w:r>
      <w:r w:rsidRPr="00AF7385">
        <w:rPr>
          <w:rFonts w:eastAsiaTheme="minorHAnsi"/>
          <w:bCs/>
        </w:rPr>
        <w:t>ed</w:t>
      </w:r>
      <w:r w:rsidR="0029378F" w:rsidRPr="00AF7385">
        <w:rPr>
          <w:rFonts w:eastAsiaTheme="minorHAnsi"/>
          <w:bCs/>
        </w:rPr>
        <w:t>.</w:t>
      </w:r>
      <w:r w:rsidR="00D12407">
        <w:rPr>
          <w:rFonts w:eastAsiaTheme="minorHAnsi"/>
          <w:bCs/>
        </w:rPr>
        <w:t xml:space="preserve"> Those who are hesitant will be asked to consider </w:t>
      </w:r>
      <w:r w:rsidR="00CC47B1">
        <w:rPr>
          <w:rFonts w:eastAsiaTheme="minorHAnsi"/>
          <w:bCs/>
        </w:rPr>
        <w:t xml:space="preserve">providing responses to the most critical items. The interviewers will be prepared to collect responses to the critical items during the phone call or to schedule for a more convenient time. </w:t>
      </w:r>
      <w:r w:rsidR="005E448D">
        <w:rPr>
          <w:rFonts w:eastAsiaTheme="minorHAnsi"/>
          <w:bCs/>
        </w:rPr>
        <w:t>Critical item nonresponse follow-up will also include one follow by USPS mail for those with non-P</w:t>
      </w:r>
      <w:r w:rsidR="007D43B8">
        <w:rPr>
          <w:rFonts w:eastAsiaTheme="minorHAnsi"/>
          <w:bCs/>
        </w:rPr>
        <w:t>.</w:t>
      </w:r>
      <w:r w:rsidR="005E448D">
        <w:rPr>
          <w:rFonts w:eastAsiaTheme="minorHAnsi"/>
          <w:bCs/>
        </w:rPr>
        <w:t>O</w:t>
      </w:r>
      <w:r w:rsidR="007D43B8">
        <w:rPr>
          <w:rFonts w:eastAsiaTheme="minorHAnsi"/>
          <w:bCs/>
        </w:rPr>
        <w:t>.</w:t>
      </w:r>
      <w:r w:rsidR="005E448D">
        <w:rPr>
          <w:rFonts w:eastAsiaTheme="minorHAnsi"/>
          <w:bCs/>
        </w:rPr>
        <w:t xml:space="preserve"> Box address or email for those with only a P</w:t>
      </w:r>
      <w:r w:rsidR="007D43B8">
        <w:rPr>
          <w:rFonts w:eastAsiaTheme="minorHAnsi"/>
          <w:bCs/>
        </w:rPr>
        <w:t>.</w:t>
      </w:r>
      <w:r w:rsidR="005E448D">
        <w:rPr>
          <w:rFonts w:eastAsiaTheme="minorHAnsi"/>
          <w:bCs/>
        </w:rPr>
        <w:t>O</w:t>
      </w:r>
      <w:r w:rsidR="007D43B8">
        <w:rPr>
          <w:rFonts w:eastAsiaTheme="minorHAnsi"/>
          <w:bCs/>
        </w:rPr>
        <w:t>.</w:t>
      </w:r>
      <w:r w:rsidR="005E448D">
        <w:rPr>
          <w:rFonts w:eastAsiaTheme="minorHAnsi"/>
          <w:bCs/>
        </w:rPr>
        <w:t xml:space="preserve"> Box address (</w:t>
      </w:r>
      <w:r w:rsidR="005E448D" w:rsidRPr="00E638C2">
        <w:rPr>
          <w:rFonts w:eastAsiaTheme="minorHAnsi"/>
          <w:b/>
          <w:bCs/>
        </w:rPr>
        <w:t>Attachments</w:t>
      </w:r>
      <w:r w:rsidR="00E638C2" w:rsidRPr="00E638C2">
        <w:rPr>
          <w:rFonts w:eastAsiaTheme="minorHAnsi"/>
          <w:b/>
          <w:bCs/>
        </w:rPr>
        <w:t xml:space="preserve"> 16-17</w:t>
      </w:r>
      <w:r w:rsidR="00E638C2">
        <w:rPr>
          <w:rFonts w:eastAsiaTheme="minorHAnsi"/>
          <w:bCs/>
        </w:rPr>
        <w:t>)</w:t>
      </w:r>
      <w:r w:rsidR="00375750">
        <w:rPr>
          <w:rFonts w:eastAsiaTheme="minorHAnsi"/>
          <w:bCs/>
        </w:rPr>
        <w:t xml:space="preserve">. </w:t>
      </w:r>
      <w:r w:rsidR="00F1711A">
        <w:rPr>
          <w:rFonts w:eastAsiaTheme="minorHAnsi"/>
          <w:bCs/>
        </w:rPr>
        <w:t xml:space="preserve">The </w:t>
      </w:r>
      <w:r w:rsidR="00375750">
        <w:rPr>
          <w:rFonts w:eastAsiaTheme="minorHAnsi"/>
          <w:bCs/>
        </w:rPr>
        <w:t xml:space="preserve">2018 CLETA critical items </w:t>
      </w:r>
      <w:r w:rsidR="00F1711A">
        <w:rPr>
          <w:rFonts w:eastAsiaTheme="minorHAnsi"/>
          <w:bCs/>
        </w:rPr>
        <w:t xml:space="preserve">are highlighted in </w:t>
      </w:r>
      <w:r w:rsidR="00375750" w:rsidRPr="006F37A9">
        <w:rPr>
          <w:rFonts w:eastAsiaTheme="minorHAnsi"/>
          <w:b/>
          <w:bCs/>
        </w:rPr>
        <w:t xml:space="preserve">Attachment </w:t>
      </w:r>
      <w:r w:rsidR="00F1711A">
        <w:rPr>
          <w:rFonts w:eastAsiaTheme="minorHAnsi"/>
          <w:b/>
          <w:bCs/>
        </w:rPr>
        <w:t>1.</w:t>
      </w:r>
      <w:r w:rsidR="00F1711A">
        <w:rPr>
          <w:rStyle w:val="CommentReference"/>
          <w:szCs w:val="20"/>
        </w:rPr>
        <w:t xml:space="preserve"> </w:t>
      </w:r>
      <w:r w:rsidR="00BA3119" w:rsidRPr="00AF7385">
        <w:rPr>
          <w:rFonts w:eastAsiaTheme="minorHAnsi"/>
          <w:bCs/>
        </w:rPr>
        <w:t xml:space="preserve"> </w:t>
      </w:r>
    </w:p>
    <w:p w14:paraId="6F160A2D" w14:textId="77777777" w:rsidR="00E73CDF" w:rsidRPr="00AF7385" w:rsidRDefault="00E73CDF" w:rsidP="009561F8">
      <w:pPr>
        <w:autoSpaceDE w:val="0"/>
        <w:autoSpaceDN w:val="0"/>
        <w:adjustRightInd w:val="0"/>
        <w:spacing w:before="3"/>
        <w:ind w:left="120" w:right="58" w:firstLine="720"/>
        <w:rPr>
          <w:rFonts w:eastAsiaTheme="minorHAnsi"/>
          <w:bCs/>
        </w:rPr>
      </w:pPr>
    </w:p>
    <w:p w14:paraId="414C97E7" w14:textId="79FA1009" w:rsidR="00CD2FA8" w:rsidRDefault="00CD2FA8" w:rsidP="009561F8">
      <w:pPr>
        <w:autoSpaceDE w:val="0"/>
        <w:autoSpaceDN w:val="0"/>
        <w:adjustRightInd w:val="0"/>
        <w:spacing w:before="75"/>
        <w:ind w:left="43" w:right="58" w:firstLine="720"/>
        <w:rPr>
          <w:rFonts w:eastAsiaTheme="minorHAnsi"/>
        </w:rPr>
      </w:pPr>
      <w:r w:rsidRPr="009561F8">
        <w:rPr>
          <w:rFonts w:eastAsiaTheme="minorHAnsi"/>
          <w:b/>
        </w:rPr>
        <w:t>Mail end-of-study notification.</w:t>
      </w:r>
      <w:r w:rsidRPr="009561F8">
        <w:rPr>
          <w:rFonts w:eastAsiaTheme="minorHAnsi"/>
        </w:rPr>
        <w:t xml:space="preserve"> </w:t>
      </w:r>
      <w:r w:rsidR="00C81679">
        <w:rPr>
          <w:rFonts w:eastAsiaTheme="minorHAnsi"/>
        </w:rPr>
        <w:t>We</w:t>
      </w:r>
      <w:r w:rsidR="00C81679" w:rsidRPr="009561F8">
        <w:rPr>
          <w:rFonts w:eastAsiaTheme="minorHAnsi"/>
        </w:rPr>
        <w:t xml:space="preserve"> </w:t>
      </w:r>
      <w:r w:rsidR="00CE72C2" w:rsidRPr="009561F8">
        <w:rPr>
          <w:rFonts w:eastAsiaTheme="minorHAnsi"/>
        </w:rPr>
        <w:t xml:space="preserve">will send </w:t>
      </w:r>
      <w:r w:rsidR="00C81679">
        <w:rPr>
          <w:rFonts w:eastAsiaTheme="minorHAnsi"/>
        </w:rPr>
        <w:t>an</w:t>
      </w:r>
      <w:r w:rsidR="00C81679" w:rsidRPr="009561F8">
        <w:rPr>
          <w:rFonts w:eastAsiaTheme="minorHAnsi"/>
        </w:rPr>
        <w:t xml:space="preserve"> </w:t>
      </w:r>
      <w:r w:rsidR="00CE72C2" w:rsidRPr="009561F8">
        <w:rPr>
          <w:rFonts w:eastAsiaTheme="minorHAnsi"/>
        </w:rPr>
        <w:t xml:space="preserve">end-of-study notification </w:t>
      </w:r>
      <w:r w:rsidR="00E012B7">
        <w:rPr>
          <w:rFonts w:eastAsiaTheme="minorHAnsi"/>
        </w:rPr>
        <w:t>by</w:t>
      </w:r>
      <w:r w:rsidR="00CE72C2" w:rsidRPr="009561F8">
        <w:rPr>
          <w:rFonts w:eastAsiaTheme="minorHAnsi"/>
        </w:rPr>
        <w:t xml:space="preserve"> mail</w:t>
      </w:r>
      <w:r w:rsidR="00CA71DD">
        <w:rPr>
          <w:rFonts w:eastAsiaTheme="minorHAnsi"/>
        </w:rPr>
        <w:t xml:space="preserve"> </w:t>
      </w:r>
      <w:r w:rsidR="00B96919">
        <w:rPr>
          <w:rFonts w:eastAsiaTheme="minorHAnsi"/>
        </w:rPr>
        <w:t>(</w:t>
      </w:r>
      <w:r w:rsidR="00B96919" w:rsidRPr="0076474F">
        <w:rPr>
          <w:rFonts w:eastAsiaTheme="minorHAnsi"/>
          <w:b/>
        </w:rPr>
        <w:t xml:space="preserve">Attachment </w:t>
      </w:r>
      <w:r w:rsidR="00D24F77">
        <w:rPr>
          <w:rFonts w:eastAsiaTheme="minorHAnsi"/>
          <w:b/>
        </w:rPr>
        <w:t>18</w:t>
      </w:r>
      <w:r w:rsidR="00B96919">
        <w:rPr>
          <w:rFonts w:eastAsiaTheme="minorHAnsi"/>
        </w:rPr>
        <w:t xml:space="preserve">) </w:t>
      </w:r>
      <w:r w:rsidR="00C81679">
        <w:rPr>
          <w:rFonts w:eastAsiaTheme="minorHAnsi"/>
        </w:rPr>
        <w:t xml:space="preserve">via USPS </w:t>
      </w:r>
      <w:r w:rsidR="00CE72C2" w:rsidRPr="009561F8">
        <w:rPr>
          <w:rFonts w:eastAsiaTheme="minorHAnsi"/>
        </w:rPr>
        <w:t xml:space="preserve">to notify nonrespondents that the study is coming to an end and that their response is </w:t>
      </w:r>
      <w:r w:rsidR="001756B1" w:rsidRPr="009561F8">
        <w:rPr>
          <w:rFonts w:eastAsiaTheme="minorHAnsi"/>
        </w:rPr>
        <w:t>needed within two weeks</w:t>
      </w:r>
      <w:r w:rsidR="00E555FB" w:rsidRPr="009561F8">
        <w:rPr>
          <w:rFonts w:eastAsiaTheme="minorHAnsi"/>
        </w:rPr>
        <w:t>.</w:t>
      </w:r>
      <w:r w:rsidR="00CE72C2" w:rsidRPr="009561F8">
        <w:rPr>
          <w:rFonts w:eastAsiaTheme="minorHAnsi"/>
        </w:rPr>
        <w:t xml:space="preserve"> </w:t>
      </w:r>
      <w:r w:rsidR="00F514BF" w:rsidRPr="009561F8">
        <w:rPr>
          <w:rFonts w:eastAsiaTheme="minorHAnsi"/>
        </w:rPr>
        <w:t xml:space="preserve">Data collection will continue for approximately three more weeks to allow for receipt of </w:t>
      </w:r>
      <w:r w:rsidR="00C81679">
        <w:rPr>
          <w:rFonts w:eastAsiaTheme="minorHAnsi"/>
        </w:rPr>
        <w:t>any</w:t>
      </w:r>
      <w:r w:rsidR="00C81679" w:rsidRPr="009561F8">
        <w:rPr>
          <w:rFonts w:eastAsiaTheme="minorHAnsi"/>
        </w:rPr>
        <w:t xml:space="preserve"> </w:t>
      </w:r>
      <w:r w:rsidR="00F514BF" w:rsidRPr="009561F8">
        <w:rPr>
          <w:rFonts w:eastAsiaTheme="minorHAnsi"/>
        </w:rPr>
        <w:t xml:space="preserve">remaining questionnaires. </w:t>
      </w:r>
      <w:r w:rsidR="00CE72C2" w:rsidRPr="009561F8">
        <w:rPr>
          <w:rFonts w:eastAsiaTheme="minorHAnsi"/>
        </w:rPr>
        <w:t xml:space="preserve"> </w:t>
      </w:r>
    </w:p>
    <w:p w14:paraId="6A7F1F28" w14:textId="77777777" w:rsidR="00D6513D" w:rsidRDefault="00D6513D" w:rsidP="009561F8">
      <w:pPr>
        <w:autoSpaceDE w:val="0"/>
        <w:autoSpaceDN w:val="0"/>
        <w:adjustRightInd w:val="0"/>
        <w:spacing w:before="75"/>
        <w:ind w:left="43" w:right="58" w:firstLine="720"/>
        <w:rPr>
          <w:rFonts w:eastAsiaTheme="minorHAnsi"/>
        </w:rPr>
      </w:pPr>
    </w:p>
    <w:p w14:paraId="5AA6A447" w14:textId="09461A7D" w:rsidR="00D6513D" w:rsidRDefault="00D6513D" w:rsidP="009561F8">
      <w:pPr>
        <w:autoSpaceDE w:val="0"/>
        <w:autoSpaceDN w:val="0"/>
        <w:adjustRightInd w:val="0"/>
        <w:spacing w:before="75"/>
        <w:ind w:left="43" w:right="58" w:firstLine="720"/>
        <w:rPr>
          <w:rFonts w:eastAsiaTheme="minorHAnsi"/>
        </w:rPr>
      </w:pPr>
      <w:r w:rsidRPr="00D6513D">
        <w:rPr>
          <w:rFonts w:eastAsiaTheme="minorHAnsi"/>
          <w:b/>
        </w:rPr>
        <w:t>Mail letter of appreciation.</w:t>
      </w:r>
      <w:r>
        <w:rPr>
          <w:rFonts w:eastAsiaTheme="minorHAnsi"/>
        </w:rPr>
        <w:t xml:space="preserve"> </w:t>
      </w:r>
      <w:r w:rsidR="00C81679">
        <w:rPr>
          <w:rFonts w:eastAsiaTheme="minorHAnsi"/>
        </w:rPr>
        <w:t>We</w:t>
      </w:r>
      <w:r>
        <w:rPr>
          <w:rFonts w:eastAsiaTheme="minorHAnsi"/>
        </w:rPr>
        <w:t xml:space="preserve"> will send a thank you letter (</w:t>
      </w:r>
      <w:r w:rsidRPr="0076474F">
        <w:rPr>
          <w:rFonts w:eastAsiaTheme="minorHAnsi"/>
          <w:b/>
        </w:rPr>
        <w:t xml:space="preserve">Attachment </w:t>
      </w:r>
      <w:r w:rsidR="00D24F77">
        <w:rPr>
          <w:rFonts w:eastAsiaTheme="minorHAnsi"/>
          <w:b/>
        </w:rPr>
        <w:t>19</w:t>
      </w:r>
      <w:r>
        <w:rPr>
          <w:rFonts w:eastAsiaTheme="minorHAnsi"/>
        </w:rPr>
        <w:t xml:space="preserve">) by mail </w:t>
      </w:r>
      <w:r w:rsidR="00C81679">
        <w:rPr>
          <w:rFonts w:eastAsiaTheme="minorHAnsi"/>
        </w:rPr>
        <w:t xml:space="preserve">via USPS </w:t>
      </w:r>
      <w:r>
        <w:rPr>
          <w:rFonts w:eastAsiaTheme="minorHAnsi"/>
        </w:rPr>
        <w:t xml:space="preserve">to all respondents who complete the survey. The letter will be sent shortly after the completed survey is received indicating the responses have been received and are being processed. The letter also informs the respondent that they may be contacted again by RTI to confirm or clarify responses. </w:t>
      </w:r>
    </w:p>
    <w:p w14:paraId="69866FFA" w14:textId="77777777" w:rsidR="00860CE0" w:rsidRDefault="00860CE0" w:rsidP="009561F8">
      <w:pPr>
        <w:autoSpaceDE w:val="0"/>
        <w:autoSpaceDN w:val="0"/>
        <w:adjustRightInd w:val="0"/>
        <w:spacing w:before="75"/>
        <w:ind w:left="43" w:right="58" w:firstLine="720"/>
        <w:rPr>
          <w:rFonts w:eastAsiaTheme="minorHAnsi"/>
        </w:rPr>
      </w:pPr>
    </w:p>
    <w:p w14:paraId="71E04839" w14:textId="02EC27E5" w:rsidR="00860CE0" w:rsidRDefault="00860CE0" w:rsidP="007D43B8">
      <w:pPr>
        <w:autoSpaceDE w:val="0"/>
        <w:autoSpaceDN w:val="0"/>
        <w:adjustRightInd w:val="0"/>
        <w:spacing w:before="75"/>
        <w:ind w:right="58" w:firstLine="720"/>
        <w:rPr>
          <w:rFonts w:eastAsiaTheme="minorHAnsi"/>
          <w:b/>
          <w:sz w:val="22"/>
        </w:rPr>
      </w:pPr>
      <w:r w:rsidRPr="00860CE0">
        <w:rPr>
          <w:rFonts w:eastAsiaTheme="minorHAnsi"/>
          <w:b/>
          <w:sz w:val="22"/>
        </w:rPr>
        <w:t>Table 4. 2018 CLETA Contact Schedule</w:t>
      </w:r>
    </w:p>
    <w:tbl>
      <w:tblPr>
        <w:tblW w:w="7842" w:type="dxa"/>
        <w:jc w:val="center"/>
        <w:tblLook w:val="04A0" w:firstRow="1" w:lastRow="0" w:firstColumn="1" w:lastColumn="0" w:noHBand="0" w:noVBand="1"/>
      </w:tblPr>
      <w:tblGrid>
        <w:gridCol w:w="754"/>
        <w:gridCol w:w="5760"/>
        <w:gridCol w:w="1328"/>
      </w:tblGrid>
      <w:tr w:rsidR="00D24F77" w14:paraId="3E62D4C1" w14:textId="77777777" w:rsidTr="007D43B8">
        <w:trPr>
          <w:trHeight w:val="300"/>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32CD" w14:textId="77777777" w:rsidR="00D24F77" w:rsidRPr="007D43B8" w:rsidRDefault="00D24F77" w:rsidP="007D43B8">
            <w:pPr>
              <w:rPr>
                <w:b/>
                <w:bCs/>
                <w:color w:val="000000"/>
                <w:sz w:val="22"/>
                <w:szCs w:val="22"/>
              </w:rPr>
            </w:pPr>
            <w:r w:rsidRPr="007D43B8">
              <w:rPr>
                <w:b/>
                <w:bCs/>
                <w:color w:val="000000"/>
                <w:sz w:val="22"/>
                <w:szCs w:val="22"/>
              </w:rPr>
              <w:t>Week</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24B2C3CE" w14:textId="77777777" w:rsidR="00D24F77" w:rsidRPr="007D43B8" w:rsidRDefault="00D24F77" w:rsidP="007D43B8">
            <w:pPr>
              <w:rPr>
                <w:b/>
                <w:bCs/>
                <w:color w:val="000000"/>
                <w:sz w:val="22"/>
                <w:szCs w:val="22"/>
              </w:rPr>
            </w:pPr>
            <w:r w:rsidRPr="007D43B8">
              <w:rPr>
                <w:b/>
                <w:bCs/>
                <w:color w:val="000000"/>
                <w:sz w:val="22"/>
                <w:szCs w:val="22"/>
              </w:rPr>
              <w:t>Contact description</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790E8DCC" w14:textId="77777777" w:rsidR="00D24F77" w:rsidRPr="007D43B8" w:rsidRDefault="00D24F77" w:rsidP="007D43B8">
            <w:pPr>
              <w:rPr>
                <w:b/>
                <w:bCs/>
                <w:color w:val="000000"/>
                <w:sz w:val="22"/>
                <w:szCs w:val="22"/>
              </w:rPr>
            </w:pPr>
            <w:r w:rsidRPr="007D43B8">
              <w:rPr>
                <w:b/>
                <w:bCs/>
                <w:color w:val="000000"/>
                <w:sz w:val="22"/>
                <w:szCs w:val="22"/>
              </w:rPr>
              <w:t>Attachment</w:t>
            </w:r>
          </w:p>
        </w:tc>
      </w:tr>
      <w:tr w:rsidR="00D24F77" w14:paraId="273FCBB5"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7088BD83" w14:textId="77777777" w:rsidR="00D24F77" w:rsidRPr="007D43B8" w:rsidRDefault="00D24F77" w:rsidP="007D43B8">
            <w:pPr>
              <w:rPr>
                <w:bCs/>
                <w:color w:val="000000"/>
                <w:sz w:val="22"/>
                <w:szCs w:val="22"/>
              </w:rPr>
            </w:pPr>
            <w:r w:rsidRPr="007D43B8">
              <w:rPr>
                <w:bCs/>
                <w:color w:val="000000"/>
                <w:sz w:val="22"/>
                <w:szCs w:val="22"/>
              </w:rPr>
              <w:t>1</w:t>
            </w:r>
          </w:p>
        </w:tc>
        <w:tc>
          <w:tcPr>
            <w:tcW w:w="5760" w:type="dxa"/>
            <w:tcBorders>
              <w:top w:val="nil"/>
              <w:left w:val="nil"/>
              <w:bottom w:val="single" w:sz="4" w:space="0" w:color="auto"/>
              <w:right w:val="single" w:sz="4" w:space="0" w:color="auto"/>
            </w:tcBorders>
            <w:shd w:val="clear" w:color="auto" w:fill="auto"/>
            <w:noWrap/>
            <w:vAlign w:val="bottom"/>
            <w:hideMark/>
          </w:tcPr>
          <w:p w14:paraId="48DB3CC8" w14:textId="6172F291" w:rsidR="00D24F77" w:rsidRPr="007D43B8" w:rsidRDefault="00D24F77" w:rsidP="007D43B8">
            <w:pPr>
              <w:rPr>
                <w:bCs/>
                <w:color w:val="000000"/>
                <w:sz w:val="22"/>
                <w:szCs w:val="22"/>
              </w:rPr>
            </w:pPr>
            <w:r w:rsidRPr="007D43B8">
              <w:rPr>
                <w:bCs/>
                <w:color w:val="000000"/>
                <w:sz w:val="22"/>
                <w:szCs w:val="22"/>
              </w:rPr>
              <w:t>Mail pre-notification</w:t>
            </w:r>
          </w:p>
        </w:tc>
        <w:tc>
          <w:tcPr>
            <w:tcW w:w="1328" w:type="dxa"/>
            <w:tcBorders>
              <w:top w:val="nil"/>
              <w:left w:val="nil"/>
              <w:bottom w:val="single" w:sz="4" w:space="0" w:color="auto"/>
              <w:right w:val="single" w:sz="4" w:space="0" w:color="auto"/>
            </w:tcBorders>
            <w:shd w:val="clear" w:color="auto" w:fill="auto"/>
            <w:noWrap/>
            <w:vAlign w:val="bottom"/>
            <w:hideMark/>
          </w:tcPr>
          <w:p w14:paraId="1DB7979B" w14:textId="77777777" w:rsidR="00D24F77" w:rsidRPr="007D43B8" w:rsidRDefault="00D24F77" w:rsidP="007D43B8">
            <w:pPr>
              <w:rPr>
                <w:bCs/>
                <w:color w:val="000000"/>
                <w:sz w:val="22"/>
                <w:szCs w:val="22"/>
              </w:rPr>
            </w:pPr>
            <w:r w:rsidRPr="007D43B8">
              <w:rPr>
                <w:bCs/>
                <w:color w:val="000000"/>
                <w:sz w:val="22"/>
                <w:szCs w:val="22"/>
              </w:rPr>
              <w:t>5</w:t>
            </w:r>
          </w:p>
        </w:tc>
      </w:tr>
      <w:tr w:rsidR="00D24F77" w14:paraId="2D50E930"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576B3A6" w14:textId="77777777" w:rsidR="00D24F77" w:rsidRPr="007D43B8" w:rsidRDefault="00D24F77" w:rsidP="007D43B8">
            <w:pPr>
              <w:rPr>
                <w:bCs/>
                <w:color w:val="000000"/>
                <w:sz w:val="22"/>
                <w:szCs w:val="22"/>
              </w:rPr>
            </w:pPr>
            <w:r w:rsidRPr="007D43B8">
              <w:rPr>
                <w:bCs/>
                <w:color w:val="000000"/>
                <w:sz w:val="22"/>
                <w:szCs w:val="22"/>
              </w:rPr>
              <w:t>3</w:t>
            </w:r>
          </w:p>
        </w:tc>
        <w:tc>
          <w:tcPr>
            <w:tcW w:w="5760" w:type="dxa"/>
            <w:tcBorders>
              <w:top w:val="nil"/>
              <w:left w:val="nil"/>
              <w:bottom w:val="single" w:sz="4" w:space="0" w:color="auto"/>
              <w:right w:val="single" w:sz="4" w:space="0" w:color="auto"/>
            </w:tcBorders>
            <w:shd w:val="clear" w:color="auto" w:fill="auto"/>
            <w:noWrap/>
            <w:vAlign w:val="bottom"/>
            <w:hideMark/>
          </w:tcPr>
          <w:p w14:paraId="45D6B96D" w14:textId="77777777" w:rsidR="00D24F77" w:rsidRPr="007D43B8" w:rsidRDefault="00D24F77" w:rsidP="007D43B8">
            <w:pPr>
              <w:rPr>
                <w:bCs/>
                <w:color w:val="000000"/>
                <w:sz w:val="22"/>
                <w:szCs w:val="22"/>
              </w:rPr>
            </w:pPr>
            <w:r w:rsidRPr="007D43B8">
              <w:rPr>
                <w:bCs/>
                <w:color w:val="000000"/>
                <w:sz w:val="22"/>
                <w:szCs w:val="22"/>
              </w:rPr>
              <w:t>Mail survey invitation, flyer, and endorsement letter</w:t>
            </w:r>
          </w:p>
        </w:tc>
        <w:tc>
          <w:tcPr>
            <w:tcW w:w="1328" w:type="dxa"/>
            <w:tcBorders>
              <w:top w:val="nil"/>
              <w:left w:val="nil"/>
              <w:bottom w:val="single" w:sz="4" w:space="0" w:color="auto"/>
              <w:right w:val="single" w:sz="4" w:space="0" w:color="auto"/>
            </w:tcBorders>
            <w:shd w:val="clear" w:color="auto" w:fill="auto"/>
            <w:noWrap/>
            <w:vAlign w:val="bottom"/>
            <w:hideMark/>
          </w:tcPr>
          <w:p w14:paraId="5994676F" w14:textId="77777777" w:rsidR="00D24F77" w:rsidRPr="007D43B8" w:rsidRDefault="00D24F77" w:rsidP="007D43B8">
            <w:pPr>
              <w:rPr>
                <w:bCs/>
                <w:color w:val="000000"/>
                <w:sz w:val="22"/>
                <w:szCs w:val="22"/>
              </w:rPr>
            </w:pPr>
            <w:r w:rsidRPr="007D43B8">
              <w:rPr>
                <w:bCs/>
                <w:color w:val="000000"/>
                <w:sz w:val="22"/>
                <w:szCs w:val="22"/>
              </w:rPr>
              <w:t>6,7,8</w:t>
            </w:r>
          </w:p>
        </w:tc>
      </w:tr>
      <w:tr w:rsidR="00D24F77" w14:paraId="4999A4F3"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140EA471" w14:textId="77777777" w:rsidR="00D24F77" w:rsidRPr="007D43B8" w:rsidRDefault="00D24F77" w:rsidP="007D43B8">
            <w:pPr>
              <w:rPr>
                <w:bCs/>
                <w:color w:val="000000"/>
                <w:sz w:val="22"/>
                <w:szCs w:val="22"/>
              </w:rPr>
            </w:pPr>
            <w:r w:rsidRPr="007D43B8">
              <w:rPr>
                <w:bCs/>
                <w:color w:val="000000"/>
                <w:sz w:val="22"/>
                <w:szCs w:val="22"/>
              </w:rPr>
              <w:t>4</w:t>
            </w:r>
          </w:p>
        </w:tc>
        <w:tc>
          <w:tcPr>
            <w:tcW w:w="5760" w:type="dxa"/>
            <w:tcBorders>
              <w:top w:val="nil"/>
              <w:left w:val="nil"/>
              <w:bottom w:val="single" w:sz="4" w:space="0" w:color="auto"/>
              <w:right w:val="single" w:sz="4" w:space="0" w:color="auto"/>
            </w:tcBorders>
            <w:shd w:val="clear" w:color="auto" w:fill="auto"/>
            <w:noWrap/>
            <w:vAlign w:val="bottom"/>
            <w:hideMark/>
          </w:tcPr>
          <w:p w14:paraId="10C739E7" w14:textId="779C172F" w:rsidR="00D24F77" w:rsidRPr="007D43B8" w:rsidRDefault="00D24F77" w:rsidP="007D43B8">
            <w:pPr>
              <w:rPr>
                <w:bCs/>
                <w:color w:val="000000"/>
                <w:sz w:val="22"/>
                <w:szCs w:val="22"/>
              </w:rPr>
            </w:pPr>
            <w:r w:rsidRPr="007D43B8">
              <w:rPr>
                <w:bCs/>
                <w:color w:val="000000"/>
                <w:sz w:val="22"/>
                <w:szCs w:val="22"/>
              </w:rPr>
              <w:t xml:space="preserve">Email survey invitation </w:t>
            </w:r>
          </w:p>
        </w:tc>
        <w:tc>
          <w:tcPr>
            <w:tcW w:w="1328" w:type="dxa"/>
            <w:tcBorders>
              <w:top w:val="nil"/>
              <w:left w:val="nil"/>
              <w:bottom w:val="single" w:sz="4" w:space="0" w:color="auto"/>
              <w:right w:val="single" w:sz="4" w:space="0" w:color="auto"/>
            </w:tcBorders>
            <w:shd w:val="clear" w:color="auto" w:fill="auto"/>
            <w:noWrap/>
            <w:vAlign w:val="bottom"/>
            <w:hideMark/>
          </w:tcPr>
          <w:p w14:paraId="460504E5" w14:textId="77777777" w:rsidR="00D24F77" w:rsidRPr="007D43B8" w:rsidRDefault="00D24F77" w:rsidP="007D43B8">
            <w:pPr>
              <w:rPr>
                <w:bCs/>
                <w:color w:val="000000"/>
                <w:sz w:val="22"/>
                <w:szCs w:val="22"/>
              </w:rPr>
            </w:pPr>
            <w:r w:rsidRPr="007D43B8">
              <w:rPr>
                <w:bCs/>
                <w:color w:val="000000"/>
                <w:sz w:val="22"/>
                <w:szCs w:val="22"/>
              </w:rPr>
              <w:t>9</w:t>
            </w:r>
          </w:p>
        </w:tc>
      </w:tr>
      <w:tr w:rsidR="00D24F77" w14:paraId="365DD261"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659DD5D" w14:textId="77777777" w:rsidR="00D24F77" w:rsidRPr="007D43B8" w:rsidRDefault="00D24F77" w:rsidP="007D43B8">
            <w:pPr>
              <w:rPr>
                <w:bCs/>
                <w:color w:val="000000"/>
                <w:sz w:val="22"/>
                <w:szCs w:val="22"/>
              </w:rPr>
            </w:pPr>
            <w:r w:rsidRPr="007D43B8">
              <w:rPr>
                <w:bCs/>
                <w:color w:val="000000"/>
                <w:sz w:val="22"/>
                <w:szCs w:val="22"/>
              </w:rPr>
              <w:t>5</w:t>
            </w:r>
          </w:p>
        </w:tc>
        <w:tc>
          <w:tcPr>
            <w:tcW w:w="5760" w:type="dxa"/>
            <w:tcBorders>
              <w:top w:val="nil"/>
              <w:left w:val="nil"/>
              <w:bottom w:val="single" w:sz="4" w:space="0" w:color="auto"/>
              <w:right w:val="single" w:sz="4" w:space="0" w:color="auto"/>
            </w:tcBorders>
            <w:shd w:val="clear" w:color="auto" w:fill="auto"/>
            <w:noWrap/>
            <w:vAlign w:val="bottom"/>
            <w:hideMark/>
          </w:tcPr>
          <w:p w14:paraId="608DFF84" w14:textId="77777777" w:rsidR="00D24F77" w:rsidRPr="007D43B8" w:rsidRDefault="00D24F77" w:rsidP="007D43B8">
            <w:pPr>
              <w:rPr>
                <w:bCs/>
                <w:color w:val="000000"/>
                <w:sz w:val="22"/>
                <w:szCs w:val="22"/>
              </w:rPr>
            </w:pPr>
            <w:r w:rsidRPr="007D43B8">
              <w:rPr>
                <w:bCs/>
                <w:color w:val="000000"/>
                <w:sz w:val="22"/>
                <w:szCs w:val="22"/>
              </w:rPr>
              <w:t>Mail 1st reminder</w:t>
            </w:r>
          </w:p>
        </w:tc>
        <w:tc>
          <w:tcPr>
            <w:tcW w:w="1328" w:type="dxa"/>
            <w:tcBorders>
              <w:top w:val="nil"/>
              <w:left w:val="nil"/>
              <w:bottom w:val="single" w:sz="4" w:space="0" w:color="auto"/>
              <w:right w:val="single" w:sz="4" w:space="0" w:color="auto"/>
            </w:tcBorders>
            <w:shd w:val="clear" w:color="auto" w:fill="auto"/>
            <w:noWrap/>
            <w:vAlign w:val="bottom"/>
            <w:hideMark/>
          </w:tcPr>
          <w:p w14:paraId="429056C6" w14:textId="77777777" w:rsidR="00D24F77" w:rsidRPr="007D43B8" w:rsidRDefault="00D24F77" w:rsidP="007D43B8">
            <w:pPr>
              <w:rPr>
                <w:bCs/>
                <w:color w:val="000000"/>
                <w:sz w:val="22"/>
                <w:szCs w:val="22"/>
              </w:rPr>
            </w:pPr>
            <w:r w:rsidRPr="007D43B8">
              <w:rPr>
                <w:bCs/>
                <w:color w:val="000000"/>
                <w:sz w:val="22"/>
                <w:szCs w:val="22"/>
              </w:rPr>
              <w:t>10</w:t>
            </w:r>
          </w:p>
        </w:tc>
      </w:tr>
      <w:tr w:rsidR="00D24F77" w14:paraId="1C49727D"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485CB505" w14:textId="77777777" w:rsidR="00D24F77" w:rsidRPr="007D43B8" w:rsidRDefault="00D24F77" w:rsidP="007D43B8">
            <w:pPr>
              <w:rPr>
                <w:bCs/>
                <w:color w:val="000000"/>
                <w:sz w:val="22"/>
                <w:szCs w:val="22"/>
              </w:rPr>
            </w:pPr>
            <w:r w:rsidRPr="007D43B8">
              <w:rPr>
                <w:bCs/>
                <w:color w:val="000000"/>
                <w:sz w:val="22"/>
                <w:szCs w:val="22"/>
              </w:rPr>
              <w:t>9</w:t>
            </w:r>
          </w:p>
        </w:tc>
        <w:tc>
          <w:tcPr>
            <w:tcW w:w="5760" w:type="dxa"/>
            <w:tcBorders>
              <w:top w:val="nil"/>
              <w:left w:val="nil"/>
              <w:bottom w:val="single" w:sz="4" w:space="0" w:color="auto"/>
              <w:right w:val="single" w:sz="4" w:space="0" w:color="auto"/>
            </w:tcBorders>
            <w:shd w:val="clear" w:color="auto" w:fill="auto"/>
            <w:noWrap/>
            <w:vAlign w:val="bottom"/>
            <w:hideMark/>
          </w:tcPr>
          <w:p w14:paraId="27995C3B" w14:textId="77777777" w:rsidR="00D24F77" w:rsidRPr="007D43B8" w:rsidRDefault="00D24F77" w:rsidP="007D43B8">
            <w:pPr>
              <w:rPr>
                <w:bCs/>
                <w:color w:val="000000"/>
                <w:sz w:val="22"/>
                <w:szCs w:val="22"/>
              </w:rPr>
            </w:pPr>
            <w:r w:rsidRPr="007D43B8">
              <w:rPr>
                <w:bCs/>
                <w:color w:val="000000"/>
                <w:sz w:val="22"/>
                <w:szCs w:val="22"/>
              </w:rPr>
              <w:t>Mail 2nd reminder</w:t>
            </w:r>
          </w:p>
        </w:tc>
        <w:tc>
          <w:tcPr>
            <w:tcW w:w="1328" w:type="dxa"/>
            <w:tcBorders>
              <w:top w:val="nil"/>
              <w:left w:val="nil"/>
              <w:bottom w:val="single" w:sz="4" w:space="0" w:color="auto"/>
              <w:right w:val="single" w:sz="4" w:space="0" w:color="auto"/>
            </w:tcBorders>
            <w:shd w:val="clear" w:color="auto" w:fill="auto"/>
            <w:noWrap/>
            <w:vAlign w:val="bottom"/>
            <w:hideMark/>
          </w:tcPr>
          <w:p w14:paraId="41740DFD" w14:textId="77777777" w:rsidR="00D24F77" w:rsidRPr="007D43B8" w:rsidRDefault="00D24F77" w:rsidP="007D43B8">
            <w:pPr>
              <w:rPr>
                <w:bCs/>
                <w:color w:val="000000"/>
                <w:sz w:val="22"/>
                <w:szCs w:val="22"/>
              </w:rPr>
            </w:pPr>
            <w:r w:rsidRPr="007D43B8">
              <w:rPr>
                <w:bCs/>
                <w:color w:val="000000"/>
                <w:sz w:val="22"/>
                <w:szCs w:val="22"/>
              </w:rPr>
              <w:t>11</w:t>
            </w:r>
          </w:p>
        </w:tc>
      </w:tr>
      <w:tr w:rsidR="00D24F77" w14:paraId="357125E5"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48B9D524" w14:textId="77777777" w:rsidR="00D24F77" w:rsidRPr="007D43B8" w:rsidRDefault="00D24F77" w:rsidP="007D43B8">
            <w:pPr>
              <w:rPr>
                <w:bCs/>
                <w:color w:val="000000"/>
                <w:sz w:val="22"/>
                <w:szCs w:val="22"/>
              </w:rPr>
            </w:pPr>
            <w:r w:rsidRPr="007D43B8">
              <w:rPr>
                <w:bCs/>
                <w:color w:val="000000"/>
                <w:sz w:val="22"/>
                <w:szCs w:val="22"/>
              </w:rPr>
              <w:t>11</w:t>
            </w:r>
          </w:p>
        </w:tc>
        <w:tc>
          <w:tcPr>
            <w:tcW w:w="5760" w:type="dxa"/>
            <w:tcBorders>
              <w:top w:val="nil"/>
              <w:left w:val="nil"/>
              <w:bottom w:val="single" w:sz="4" w:space="0" w:color="auto"/>
              <w:right w:val="single" w:sz="4" w:space="0" w:color="auto"/>
            </w:tcBorders>
            <w:shd w:val="clear" w:color="auto" w:fill="auto"/>
            <w:noWrap/>
            <w:vAlign w:val="bottom"/>
            <w:hideMark/>
          </w:tcPr>
          <w:p w14:paraId="1C32949B" w14:textId="77777777" w:rsidR="00D24F77" w:rsidRPr="007D43B8" w:rsidRDefault="00D24F77" w:rsidP="007D43B8">
            <w:pPr>
              <w:rPr>
                <w:bCs/>
                <w:color w:val="000000"/>
                <w:sz w:val="22"/>
                <w:szCs w:val="22"/>
              </w:rPr>
            </w:pPr>
            <w:r w:rsidRPr="007D43B8">
              <w:rPr>
                <w:bCs/>
                <w:color w:val="000000"/>
                <w:sz w:val="22"/>
                <w:szCs w:val="22"/>
              </w:rPr>
              <w:t>Email 3rd reminder</w:t>
            </w:r>
          </w:p>
        </w:tc>
        <w:tc>
          <w:tcPr>
            <w:tcW w:w="1328" w:type="dxa"/>
            <w:tcBorders>
              <w:top w:val="nil"/>
              <w:left w:val="nil"/>
              <w:bottom w:val="single" w:sz="4" w:space="0" w:color="auto"/>
              <w:right w:val="single" w:sz="4" w:space="0" w:color="auto"/>
            </w:tcBorders>
            <w:shd w:val="clear" w:color="auto" w:fill="auto"/>
            <w:noWrap/>
            <w:vAlign w:val="bottom"/>
            <w:hideMark/>
          </w:tcPr>
          <w:p w14:paraId="5B7BBF92" w14:textId="77777777" w:rsidR="00D24F77" w:rsidRPr="007D43B8" w:rsidRDefault="00D24F77" w:rsidP="007D43B8">
            <w:pPr>
              <w:rPr>
                <w:bCs/>
                <w:color w:val="000000"/>
                <w:sz w:val="22"/>
                <w:szCs w:val="22"/>
              </w:rPr>
            </w:pPr>
            <w:r w:rsidRPr="007D43B8">
              <w:rPr>
                <w:bCs/>
                <w:color w:val="000000"/>
                <w:sz w:val="22"/>
                <w:szCs w:val="22"/>
              </w:rPr>
              <w:t>12</w:t>
            </w:r>
          </w:p>
        </w:tc>
      </w:tr>
      <w:tr w:rsidR="00D24F77" w14:paraId="4E8D3EDF"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0C7A492" w14:textId="77777777" w:rsidR="00D24F77" w:rsidRPr="007D43B8" w:rsidRDefault="00D24F77" w:rsidP="007D43B8">
            <w:pPr>
              <w:rPr>
                <w:bCs/>
                <w:color w:val="000000"/>
                <w:sz w:val="22"/>
                <w:szCs w:val="22"/>
              </w:rPr>
            </w:pPr>
            <w:r w:rsidRPr="007D43B8">
              <w:rPr>
                <w:bCs/>
                <w:color w:val="000000"/>
                <w:sz w:val="22"/>
                <w:szCs w:val="22"/>
              </w:rPr>
              <w:t>12</w:t>
            </w:r>
          </w:p>
        </w:tc>
        <w:tc>
          <w:tcPr>
            <w:tcW w:w="5760" w:type="dxa"/>
            <w:tcBorders>
              <w:top w:val="nil"/>
              <w:left w:val="nil"/>
              <w:bottom w:val="single" w:sz="4" w:space="0" w:color="auto"/>
              <w:right w:val="single" w:sz="4" w:space="0" w:color="auto"/>
            </w:tcBorders>
            <w:shd w:val="clear" w:color="auto" w:fill="auto"/>
            <w:noWrap/>
            <w:vAlign w:val="bottom"/>
            <w:hideMark/>
          </w:tcPr>
          <w:p w14:paraId="160161D6" w14:textId="11D0979E" w:rsidR="00D24F77" w:rsidRPr="007D43B8" w:rsidRDefault="00D24F77" w:rsidP="007D43B8">
            <w:pPr>
              <w:rPr>
                <w:bCs/>
                <w:color w:val="000000"/>
                <w:sz w:val="22"/>
                <w:szCs w:val="22"/>
              </w:rPr>
            </w:pPr>
            <w:r w:rsidRPr="007D43B8">
              <w:rPr>
                <w:bCs/>
                <w:color w:val="000000"/>
                <w:sz w:val="22"/>
                <w:szCs w:val="22"/>
              </w:rPr>
              <w:t xml:space="preserve">Mail 4th reminder, with questionnaire and </w:t>
            </w:r>
            <w:r w:rsidR="007D43B8">
              <w:rPr>
                <w:bCs/>
                <w:color w:val="000000"/>
                <w:sz w:val="22"/>
                <w:szCs w:val="22"/>
              </w:rPr>
              <w:t>business reply envelope</w:t>
            </w:r>
          </w:p>
        </w:tc>
        <w:tc>
          <w:tcPr>
            <w:tcW w:w="1328" w:type="dxa"/>
            <w:tcBorders>
              <w:top w:val="nil"/>
              <w:left w:val="nil"/>
              <w:bottom w:val="single" w:sz="4" w:space="0" w:color="auto"/>
              <w:right w:val="single" w:sz="4" w:space="0" w:color="auto"/>
            </w:tcBorders>
            <w:shd w:val="clear" w:color="auto" w:fill="auto"/>
            <w:noWrap/>
            <w:vAlign w:val="bottom"/>
            <w:hideMark/>
          </w:tcPr>
          <w:p w14:paraId="4E131EB1" w14:textId="77777777" w:rsidR="00D24F77" w:rsidRPr="007D43B8" w:rsidRDefault="00D24F77" w:rsidP="007D43B8">
            <w:pPr>
              <w:rPr>
                <w:bCs/>
                <w:color w:val="000000"/>
                <w:sz w:val="22"/>
                <w:szCs w:val="22"/>
              </w:rPr>
            </w:pPr>
            <w:r w:rsidRPr="007D43B8">
              <w:rPr>
                <w:bCs/>
                <w:color w:val="000000"/>
                <w:sz w:val="22"/>
                <w:szCs w:val="22"/>
              </w:rPr>
              <w:t>13</w:t>
            </w:r>
          </w:p>
        </w:tc>
      </w:tr>
      <w:tr w:rsidR="00D24F77" w14:paraId="4C71734C"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1BB1D14C" w14:textId="77777777" w:rsidR="00D24F77" w:rsidRPr="007D43B8" w:rsidRDefault="00D24F77" w:rsidP="007D43B8">
            <w:pPr>
              <w:rPr>
                <w:bCs/>
                <w:color w:val="000000"/>
                <w:sz w:val="22"/>
                <w:szCs w:val="22"/>
              </w:rPr>
            </w:pPr>
            <w:r w:rsidRPr="007D43B8">
              <w:rPr>
                <w:bCs/>
                <w:color w:val="000000"/>
                <w:sz w:val="22"/>
                <w:szCs w:val="22"/>
              </w:rPr>
              <w:t> </w:t>
            </w:r>
          </w:p>
        </w:tc>
        <w:tc>
          <w:tcPr>
            <w:tcW w:w="5760" w:type="dxa"/>
            <w:tcBorders>
              <w:top w:val="nil"/>
              <w:left w:val="nil"/>
              <w:bottom w:val="single" w:sz="4" w:space="0" w:color="auto"/>
              <w:right w:val="single" w:sz="4" w:space="0" w:color="auto"/>
            </w:tcBorders>
            <w:shd w:val="clear" w:color="auto" w:fill="auto"/>
            <w:noWrap/>
            <w:vAlign w:val="bottom"/>
            <w:hideMark/>
          </w:tcPr>
          <w:p w14:paraId="0FB713C0" w14:textId="77777777" w:rsidR="00D24F77" w:rsidRPr="007D43B8" w:rsidRDefault="00D24F77" w:rsidP="007D43B8">
            <w:pPr>
              <w:rPr>
                <w:bCs/>
                <w:color w:val="000000"/>
                <w:sz w:val="22"/>
                <w:szCs w:val="22"/>
              </w:rPr>
            </w:pPr>
            <w:r w:rsidRPr="007D43B8">
              <w:rPr>
                <w:bCs/>
                <w:color w:val="000000"/>
                <w:sz w:val="22"/>
                <w:szCs w:val="22"/>
              </w:rPr>
              <w:t>Start telephone/email data quality follow-up</w:t>
            </w:r>
          </w:p>
        </w:tc>
        <w:tc>
          <w:tcPr>
            <w:tcW w:w="1328" w:type="dxa"/>
            <w:tcBorders>
              <w:top w:val="nil"/>
              <w:left w:val="nil"/>
              <w:bottom w:val="single" w:sz="4" w:space="0" w:color="auto"/>
              <w:right w:val="single" w:sz="4" w:space="0" w:color="auto"/>
            </w:tcBorders>
            <w:shd w:val="clear" w:color="auto" w:fill="auto"/>
            <w:noWrap/>
            <w:vAlign w:val="bottom"/>
            <w:hideMark/>
          </w:tcPr>
          <w:p w14:paraId="7D7D56A2" w14:textId="77777777" w:rsidR="00D24F77" w:rsidRPr="007D43B8" w:rsidRDefault="00D24F77" w:rsidP="007D43B8">
            <w:pPr>
              <w:rPr>
                <w:bCs/>
                <w:color w:val="000000"/>
                <w:sz w:val="22"/>
                <w:szCs w:val="22"/>
              </w:rPr>
            </w:pPr>
            <w:r w:rsidRPr="007D43B8">
              <w:rPr>
                <w:bCs/>
                <w:color w:val="000000"/>
                <w:sz w:val="22"/>
                <w:szCs w:val="22"/>
              </w:rPr>
              <w:t>14</w:t>
            </w:r>
          </w:p>
        </w:tc>
      </w:tr>
      <w:tr w:rsidR="00D24F77" w14:paraId="11FBCF16"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3760FA8F" w14:textId="77777777" w:rsidR="00D24F77" w:rsidRPr="007D43B8" w:rsidRDefault="00D24F77" w:rsidP="007D43B8">
            <w:pPr>
              <w:rPr>
                <w:bCs/>
                <w:color w:val="000000"/>
                <w:sz w:val="22"/>
                <w:szCs w:val="22"/>
              </w:rPr>
            </w:pPr>
            <w:r w:rsidRPr="007D43B8">
              <w:rPr>
                <w:bCs/>
                <w:color w:val="000000"/>
                <w:sz w:val="22"/>
                <w:szCs w:val="22"/>
              </w:rPr>
              <w:t>15</w:t>
            </w:r>
          </w:p>
        </w:tc>
        <w:tc>
          <w:tcPr>
            <w:tcW w:w="5760" w:type="dxa"/>
            <w:tcBorders>
              <w:top w:val="nil"/>
              <w:left w:val="nil"/>
              <w:bottom w:val="single" w:sz="4" w:space="0" w:color="auto"/>
              <w:right w:val="single" w:sz="4" w:space="0" w:color="auto"/>
            </w:tcBorders>
            <w:shd w:val="clear" w:color="auto" w:fill="auto"/>
            <w:noWrap/>
            <w:vAlign w:val="bottom"/>
            <w:hideMark/>
          </w:tcPr>
          <w:p w14:paraId="1E791286" w14:textId="77777777" w:rsidR="00D24F77" w:rsidRPr="007D43B8" w:rsidRDefault="00D24F77" w:rsidP="007D43B8">
            <w:pPr>
              <w:rPr>
                <w:bCs/>
                <w:color w:val="000000"/>
                <w:sz w:val="22"/>
                <w:szCs w:val="22"/>
              </w:rPr>
            </w:pPr>
            <w:r w:rsidRPr="007D43B8">
              <w:rPr>
                <w:bCs/>
                <w:color w:val="000000"/>
                <w:sz w:val="22"/>
                <w:szCs w:val="22"/>
              </w:rPr>
              <w:t>Start telephone/email non-response follow-up</w:t>
            </w:r>
          </w:p>
        </w:tc>
        <w:tc>
          <w:tcPr>
            <w:tcW w:w="1328" w:type="dxa"/>
            <w:tcBorders>
              <w:top w:val="nil"/>
              <w:left w:val="nil"/>
              <w:bottom w:val="single" w:sz="4" w:space="0" w:color="auto"/>
              <w:right w:val="single" w:sz="4" w:space="0" w:color="auto"/>
            </w:tcBorders>
            <w:shd w:val="clear" w:color="auto" w:fill="auto"/>
            <w:noWrap/>
            <w:vAlign w:val="bottom"/>
            <w:hideMark/>
          </w:tcPr>
          <w:p w14:paraId="25C8589A" w14:textId="77777777" w:rsidR="00D24F77" w:rsidRPr="007D43B8" w:rsidRDefault="00D24F77" w:rsidP="007D43B8">
            <w:pPr>
              <w:rPr>
                <w:bCs/>
                <w:color w:val="000000"/>
                <w:sz w:val="22"/>
                <w:szCs w:val="22"/>
              </w:rPr>
            </w:pPr>
            <w:r w:rsidRPr="007D43B8">
              <w:rPr>
                <w:bCs/>
                <w:color w:val="000000"/>
                <w:sz w:val="22"/>
                <w:szCs w:val="22"/>
              </w:rPr>
              <w:t>15</w:t>
            </w:r>
          </w:p>
        </w:tc>
      </w:tr>
      <w:tr w:rsidR="00D24F77" w14:paraId="45AFDDFD"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044428E2" w14:textId="77777777" w:rsidR="00D24F77" w:rsidRPr="007D43B8" w:rsidRDefault="00D24F77" w:rsidP="007D43B8">
            <w:pPr>
              <w:rPr>
                <w:bCs/>
                <w:color w:val="000000"/>
                <w:sz w:val="22"/>
                <w:szCs w:val="22"/>
              </w:rPr>
            </w:pPr>
            <w:r w:rsidRPr="007D43B8">
              <w:rPr>
                <w:bCs/>
                <w:color w:val="000000"/>
                <w:sz w:val="22"/>
                <w:szCs w:val="22"/>
              </w:rPr>
              <w:t>17</w:t>
            </w:r>
          </w:p>
        </w:tc>
        <w:tc>
          <w:tcPr>
            <w:tcW w:w="5760" w:type="dxa"/>
            <w:tcBorders>
              <w:top w:val="nil"/>
              <w:left w:val="nil"/>
              <w:bottom w:val="single" w:sz="4" w:space="0" w:color="auto"/>
              <w:right w:val="single" w:sz="4" w:space="0" w:color="auto"/>
            </w:tcBorders>
            <w:shd w:val="clear" w:color="auto" w:fill="auto"/>
            <w:vAlign w:val="bottom"/>
            <w:hideMark/>
          </w:tcPr>
          <w:p w14:paraId="45E107D2" w14:textId="2D8640FF" w:rsidR="00D24F77" w:rsidRPr="007D43B8" w:rsidRDefault="00D24F77" w:rsidP="007D43B8">
            <w:pPr>
              <w:rPr>
                <w:bCs/>
                <w:color w:val="000000"/>
                <w:sz w:val="22"/>
                <w:szCs w:val="22"/>
              </w:rPr>
            </w:pPr>
            <w:r w:rsidRPr="007D43B8">
              <w:rPr>
                <w:bCs/>
                <w:color w:val="000000"/>
                <w:sz w:val="22"/>
                <w:szCs w:val="22"/>
              </w:rPr>
              <w:t>Mail 5th reminder via UPS – non-P</w:t>
            </w:r>
            <w:r w:rsidR="007D43B8">
              <w:rPr>
                <w:bCs/>
                <w:color w:val="000000"/>
                <w:sz w:val="22"/>
                <w:szCs w:val="22"/>
              </w:rPr>
              <w:t>.</w:t>
            </w:r>
            <w:r w:rsidRPr="007D43B8">
              <w:rPr>
                <w:bCs/>
                <w:color w:val="000000"/>
                <w:sz w:val="22"/>
                <w:szCs w:val="22"/>
              </w:rPr>
              <w:t>O</w:t>
            </w:r>
            <w:r w:rsidR="007D43B8">
              <w:rPr>
                <w:bCs/>
                <w:color w:val="000000"/>
                <w:sz w:val="22"/>
                <w:szCs w:val="22"/>
              </w:rPr>
              <w:t>.</w:t>
            </w:r>
            <w:r w:rsidRPr="007D43B8">
              <w:rPr>
                <w:bCs/>
                <w:color w:val="000000"/>
                <w:sz w:val="22"/>
                <w:szCs w:val="22"/>
              </w:rPr>
              <w:t xml:space="preserve"> Box addresses </w:t>
            </w:r>
          </w:p>
        </w:tc>
        <w:tc>
          <w:tcPr>
            <w:tcW w:w="1328" w:type="dxa"/>
            <w:tcBorders>
              <w:top w:val="nil"/>
              <w:left w:val="nil"/>
              <w:bottom w:val="single" w:sz="4" w:space="0" w:color="auto"/>
              <w:right w:val="single" w:sz="4" w:space="0" w:color="auto"/>
            </w:tcBorders>
            <w:shd w:val="clear" w:color="auto" w:fill="auto"/>
            <w:noWrap/>
            <w:vAlign w:val="bottom"/>
            <w:hideMark/>
          </w:tcPr>
          <w:p w14:paraId="64F5D316" w14:textId="77777777" w:rsidR="00D24F77" w:rsidRPr="007D43B8" w:rsidRDefault="00D24F77" w:rsidP="007D43B8">
            <w:pPr>
              <w:rPr>
                <w:bCs/>
                <w:color w:val="000000"/>
                <w:sz w:val="22"/>
                <w:szCs w:val="22"/>
              </w:rPr>
            </w:pPr>
            <w:r w:rsidRPr="007D43B8">
              <w:rPr>
                <w:bCs/>
                <w:color w:val="000000"/>
                <w:sz w:val="22"/>
                <w:szCs w:val="22"/>
              </w:rPr>
              <w:t>16</w:t>
            </w:r>
          </w:p>
        </w:tc>
      </w:tr>
      <w:tr w:rsidR="00D24F77" w14:paraId="2B44E32B"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06E41B70" w14:textId="77777777" w:rsidR="00D24F77" w:rsidRPr="007D43B8" w:rsidRDefault="00D24F77" w:rsidP="007D43B8">
            <w:pPr>
              <w:rPr>
                <w:bCs/>
                <w:color w:val="000000"/>
                <w:sz w:val="22"/>
                <w:szCs w:val="22"/>
              </w:rPr>
            </w:pPr>
            <w:r w:rsidRPr="007D43B8">
              <w:rPr>
                <w:bCs/>
                <w:color w:val="000000"/>
                <w:sz w:val="22"/>
                <w:szCs w:val="22"/>
              </w:rPr>
              <w:t>17</w:t>
            </w:r>
          </w:p>
        </w:tc>
        <w:tc>
          <w:tcPr>
            <w:tcW w:w="5760" w:type="dxa"/>
            <w:tcBorders>
              <w:top w:val="nil"/>
              <w:left w:val="nil"/>
              <w:bottom w:val="single" w:sz="4" w:space="0" w:color="auto"/>
              <w:right w:val="single" w:sz="4" w:space="0" w:color="auto"/>
            </w:tcBorders>
            <w:shd w:val="clear" w:color="auto" w:fill="auto"/>
            <w:vAlign w:val="bottom"/>
            <w:hideMark/>
          </w:tcPr>
          <w:p w14:paraId="77FD5A12" w14:textId="2BEAF30C" w:rsidR="00D24F77" w:rsidRPr="007D43B8" w:rsidRDefault="00D24F77" w:rsidP="007D43B8">
            <w:pPr>
              <w:rPr>
                <w:bCs/>
                <w:color w:val="000000"/>
                <w:sz w:val="22"/>
                <w:szCs w:val="22"/>
              </w:rPr>
            </w:pPr>
            <w:r w:rsidRPr="007D43B8">
              <w:rPr>
                <w:bCs/>
                <w:color w:val="000000"/>
                <w:sz w:val="22"/>
                <w:szCs w:val="22"/>
              </w:rPr>
              <w:t>Email 5th reminder to those with only P</w:t>
            </w:r>
            <w:r w:rsidR="007D43B8">
              <w:rPr>
                <w:bCs/>
                <w:color w:val="000000"/>
                <w:sz w:val="22"/>
                <w:szCs w:val="22"/>
              </w:rPr>
              <w:t>.</w:t>
            </w:r>
            <w:r w:rsidRPr="007D43B8">
              <w:rPr>
                <w:bCs/>
                <w:color w:val="000000"/>
                <w:sz w:val="22"/>
                <w:szCs w:val="22"/>
              </w:rPr>
              <w:t>O</w:t>
            </w:r>
            <w:r w:rsidR="007D43B8">
              <w:rPr>
                <w:bCs/>
                <w:color w:val="000000"/>
                <w:sz w:val="22"/>
                <w:szCs w:val="22"/>
              </w:rPr>
              <w:t>.</w:t>
            </w:r>
            <w:r w:rsidRPr="007D43B8">
              <w:rPr>
                <w:bCs/>
                <w:color w:val="000000"/>
                <w:sz w:val="22"/>
                <w:szCs w:val="22"/>
              </w:rPr>
              <w:t xml:space="preserve"> Box address</w:t>
            </w:r>
          </w:p>
        </w:tc>
        <w:tc>
          <w:tcPr>
            <w:tcW w:w="1328" w:type="dxa"/>
            <w:tcBorders>
              <w:top w:val="nil"/>
              <w:left w:val="nil"/>
              <w:bottom w:val="single" w:sz="4" w:space="0" w:color="auto"/>
              <w:right w:val="single" w:sz="4" w:space="0" w:color="auto"/>
            </w:tcBorders>
            <w:shd w:val="clear" w:color="auto" w:fill="auto"/>
            <w:noWrap/>
            <w:vAlign w:val="bottom"/>
            <w:hideMark/>
          </w:tcPr>
          <w:p w14:paraId="4D756231" w14:textId="77777777" w:rsidR="00D24F77" w:rsidRPr="007D43B8" w:rsidRDefault="00D24F77" w:rsidP="007D43B8">
            <w:pPr>
              <w:rPr>
                <w:bCs/>
                <w:color w:val="000000"/>
                <w:sz w:val="22"/>
                <w:szCs w:val="22"/>
              </w:rPr>
            </w:pPr>
            <w:r w:rsidRPr="007D43B8">
              <w:rPr>
                <w:bCs/>
                <w:color w:val="000000"/>
                <w:sz w:val="22"/>
                <w:szCs w:val="22"/>
              </w:rPr>
              <w:t>17</w:t>
            </w:r>
          </w:p>
        </w:tc>
      </w:tr>
      <w:tr w:rsidR="00D24F77" w14:paraId="6935B59A"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0CCBBBA5" w14:textId="77777777" w:rsidR="00D24F77" w:rsidRPr="007D43B8" w:rsidRDefault="00D24F77" w:rsidP="007D43B8">
            <w:pPr>
              <w:rPr>
                <w:bCs/>
                <w:color w:val="000000"/>
                <w:sz w:val="22"/>
                <w:szCs w:val="22"/>
              </w:rPr>
            </w:pPr>
            <w:r w:rsidRPr="007D43B8">
              <w:rPr>
                <w:bCs/>
                <w:color w:val="000000"/>
                <w:sz w:val="22"/>
                <w:szCs w:val="22"/>
              </w:rPr>
              <w:t>20</w:t>
            </w:r>
          </w:p>
        </w:tc>
        <w:tc>
          <w:tcPr>
            <w:tcW w:w="5760" w:type="dxa"/>
            <w:tcBorders>
              <w:top w:val="nil"/>
              <w:left w:val="nil"/>
              <w:bottom w:val="single" w:sz="4" w:space="0" w:color="auto"/>
              <w:right w:val="single" w:sz="4" w:space="0" w:color="auto"/>
            </w:tcBorders>
            <w:shd w:val="clear" w:color="auto" w:fill="auto"/>
            <w:noWrap/>
            <w:vAlign w:val="bottom"/>
            <w:hideMark/>
          </w:tcPr>
          <w:p w14:paraId="7EEA664E" w14:textId="09DB679F" w:rsidR="00D24F77" w:rsidRPr="007D43B8" w:rsidRDefault="00D24F77" w:rsidP="00E1269B">
            <w:pPr>
              <w:rPr>
                <w:bCs/>
                <w:color w:val="000000"/>
                <w:sz w:val="22"/>
                <w:szCs w:val="22"/>
              </w:rPr>
            </w:pPr>
            <w:r w:rsidRPr="007D43B8">
              <w:rPr>
                <w:bCs/>
                <w:color w:val="000000"/>
                <w:sz w:val="22"/>
                <w:szCs w:val="22"/>
              </w:rPr>
              <w:t>Mail end-of-study notification</w:t>
            </w:r>
          </w:p>
        </w:tc>
        <w:tc>
          <w:tcPr>
            <w:tcW w:w="1328" w:type="dxa"/>
            <w:tcBorders>
              <w:top w:val="nil"/>
              <w:left w:val="nil"/>
              <w:bottom w:val="single" w:sz="4" w:space="0" w:color="auto"/>
              <w:right w:val="single" w:sz="4" w:space="0" w:color="auto"/>
            </w:tcBorders>
            <w:shd w:val="clear" w:color="auto" w:fill="auto"/>
            <w:noWrap/>
            <w:vAlign w:val="bottom"/>
            <w:hideMark/>
          </w:tcPr>
          <w:p w14:paraId="0163B57A" w14:textId="77777777" w:rsidR="00D24F77" w:rsidRPr="007D43B8" w:rsidRDefault="00D24F77" w:rsidP="007D43B8">
            <w:pPr>
              <w:rPr>
                <w:bCs/>
                <w:color w:val="000000"/>
                <w:sz w:val="22"/>
                <w:szCs w:val="22"/>
              </w:rPr>
            </w:pPr>
            <w:r w:rsidRPr="007D43B8">
              <w:rPr>
                <w:bCs/>
                <w:color w:val="000000"/>
                <w:sz w:val="22"/>
                <w:szCs w:val="22"/>
              </w:rPr>
              <w:t>18</w:t>
            </w:r>
          </w:p>
        </w:tc>
      </w:tr>
      <w:tr w:rsidR="00D24F77" w14:paraId="2F6E0B18" w14:textId="77777777" w:rsidTr="007D43B8">
        <w:trPr>
          <w:trHeight w:val="300"/>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4C84BC32" w14:textId="77777777" w:rsidR="00D24F77" w:rsidRPr="007D43B8" w:rsidRDefault="00D24F77" w:rsidP="007D43B8">
            <w:pPr>
              <w:rPr>
                <w:bCs/>
                <w:color w:val="000000"/>
                <w:sz w:val="22"/>
                <w:szCs w:val="22"/>
              </w:rPr>
            </w:pPr>
            <w:r w:rsidRPr="007D43B8">
              <w:rPr>
                <w:bCs/>
                <w:color w:val="000000"/>
                <w:sz w:val="22"/>
                <w:szCs w:val="22"/>
              </w:rPr>
              <w:t> </w:t>
            </w:r>
          </w:p>
        </w:tc>
        <w:tc>
          <w:tcPr>
            <w:tcW w:w="5760" w:type="dxa"/>
            <w:tcBorders>
              <w:top w:val="nil"/>
              <w:left w:val="nil"/>
              <w:bottom w:val="single" w:sz="4" w:space="0" w:color="auto"/>
              <w:right w:val="single" w:sz="4" w:space="0" w:color="auto"/>
            </w:tcBorders>
            <w:shd w:val="clear" w:color="auto" w:fill="auto"/>
            <w:noWrap/>
            <w:vAlign w:val="bottom"/>
            <w:hideMark/>
          </w:tcPr>
          <w:p w14:paraId="1B34BB02" w14:textId="5F307F2C" w:rsidR="00D24F77" w:rsidRPr="007D43B8" w:rsidRDefault="00D24F77" w:rsidP="007D43B8">
            <w:pPr>
              <w:rPr>
                <w:bCs/>
                <w:color w:val="000000"/>
                <w:sz w:val="22"/>
                <w:szCs w:val="22"/>
              </w:rPr>
            </w:pPr>
            <w:r w:rsidRPr="007D43B8">
              <w:rPr>
                <w:bCs/>
                <w:color w:val="000000"/>
                <w:sz w:val="22"/>
                <w:szCs w:val="22"/>
              </w:rPr>
              <w:t>Thank you</w:t>
            </w:r>
            <w:r w:rsidR="007D43B8">
              <w:rPr>
                <w:bCs/>
                <w:color w:val="000000"/>
                <w:sz w:val="22"/>
                <w:szCs w:val="22"/>
              </w:rPr>
              <w:t xml:space="preserve"> letter</w:t>
            </w:r>
          </w:p>
        </w:tc>
        <w:tc>
          <w:tcPr>
            <w:tcW w:w="1328" w:type="dxa"/>
            <w:tcBorders>
              <w:top w:val="nil"/>
              <w:left w:val="nil"/>
              <w:bottom w:val="single" w:sz="4" w:space="0" w:color="auto"/>
              <w:right w:val="single" w:sz="4" w:space="0" w:color="auto"/>
            </w:tcBorders>
            <w:shd w:val="clear" w:color="auto" w:fill="auto"/>
            <w:noWrap/>
            <w:vAlign w:val="bottom"/>
            <w:hideMark/>
          </w:tcPr>
          <w:p w14:paraId="50F70455" w14:textId="77777777" w:rsidR="00D24F77" w:rsidRPr="007D43B8" w:rsidRDefault="00D24F77" w:rsidP="007D43B8">
            <w:pPr>
              <w:rPr>
                <w:bCs/>
                <w:color w:val="000000"/>
                <w:sz w:val="22"/>
                <w:szCs w:val="22"/>
              </w:rPr>
            </w:pPr>
            <w:r w:rsidRPr="007D43B8">
              <w:rPr>
                <w:bCs/>
                <w:color w:val="000000"/>
                <w:sz w:val="22"/>
                <w:szCs w:val="22"/>
              </w:rPr>
              <w:t>19</w:t>
            </w:r>
          </w:p>
        </w:tc>
      </w:tr>
    </w:tbl>
    <w:p w14:paraId="4A7115F7" w14:textId="77777777" w:rsidR="0029378F" w:rsidRPr="009561F8" w:rsidRDefault="0029378F" w:rsidP="009561F8">
      <w:pPr>
        <w:autoSpaceDE w:val="0"/>
        <w:autoSpaceDN w:val="0"/>
        <w:adjustRightInd w:val="0"/>
        <w:spacing w:before="3"/>
        <w:ind w:left="40" w:right="59" w:firstLine="775"/>
        <w:rPr>
          <w:rFonts w:eastAsiaTheme="minorHAnsi"/>
        </w:rPr>
      </w:pPr>
    </w:p>
    <w:p w14:paraId="6968E226" w14:textId="5979500E" w:rsidR="00E012B7" w:rsidRPr="002A55FF" w:rsidRDefault="00E012B7" w:rsidP="00E012B7">
      <w:pPr>
        <w:pStyle w:val="ListParagraph"/>
        <w:ind w:left="0"/>
      </w:pPr>
      <w:r w:rsidRPr="007476A7">
        <w:rPr>
          <w:b/>
        </w:rPr>
        <w:t>Data Editing.</w:t>
      </w:r>
      <w:r>
        <w:t xml:space="preserve"> </w:t>
      </w:r>
      <w:r w:rsidR="004A1194">
        <w:t xml:space="preserve">As part of the data quality follow-up, </w:t>
      </w:r>
      <w:r w:rsidRPr="002A55FF">
        <w:t>RTI will attempt to reconcile missing or erroneous data through automated and manual edits of each questionnaire</w:t>
      </w:r>
      <w:r w:rsidR="004A1194">
        <w:t xml:space="preserve"> within two weeks </w:t>
      </w:r>
      <w:r w:rsidR="003009F3">
        <w:t>of</w:t>
      </w:r>
      <w:r w:rsidR="004A1194">
        <w:t xml:space="preserve"> completion</w:t>
      </w:r>
      <w:r w:rsidRPr="002A55FF">
        <w:t xml:space="preserve">. In collaboration with BJS, RTI will develop a </w:t>
      </w:r>
      <w:r w:rsidR="00C81679">
        <w:t>set</w:t>
      </w:r>
      <w:r w:rsidR="00C81679" w:rsidRPr="002A55FF">
        <w:t xml:space="preserve"> </w:t>
      </w:r>
      <w:r w:rsidRPr="002A55FF">
        <w:t xml:space="preserve">of edits that </w:t>
      </w:r>
      <w:r w:rsidR="00C81679">
        <w:t>will use</w:t>
      </w:r>
      <w:r w:rsidRPr="002A55FF">
        <w:t xml:space="preserve"> other data provided by the respondent on the survey instrument</w:t>
      </w:r>
      <w:r w:rsidR="004A1194">
        <w:t xml:space="preserve"> to confirm acceptable responses or identify possible errors due to missing or inconsistent data elements</w:t>
      </w:r>
      <w:r w:rsidRPr="002A55FF">
        <w:t xml:space="preserve">. </w:t>
      </w:r>
      <w:r w:rsidRPr="007476A7">
        <w:t xml:space="preserve">For example, if a screening question was left blank, but the follow-up questions were completed, a manual edit </w:t>
      </w:r>
      <w:r w:rsidR="004A1194">
        <w:t>w</w:t>
      </w:r>
      <w:r w:rsidRPr="007476A7">
        <w:t>ould be made to indicate the intended positive response to the screening question.</w:t>
      </w:r>
      <w:r>
        <w:t xml:space="preserve"> </w:t>
      </w:r>
      <w:r w:rsidRPr="002A55FF">
        <w:t xml:space="preserve">Through this process, RTI can quickly identify which hard copy </w:t>
      </w:r>
      <w:r w:rsidR="00C81679">
        <w:t xml:space="preserve">questionnaires </w:t>
      </w:r>
      <w:r w:rsidRPr="002A55FF">
        <w:t>require follow-up and indicate the items that need clarification or retrieval from the respondent.</w:t>
      </w:r>
    </w:p>
    <w:p w14:paraId="77B8C110" w14:textId="77777777" w:rsidR="00E012B7" w:rsidRDefault="00E012B7" w:rsidP="00E012B7">
      <w:pPr>
        <w:pStyle w:val="ListParagraph"/>
        <w:keepNext/>
        <w:keepLines/>
        <w:ind w:left="0"/>
      </w:pPr>
    </w:p>
    <w:p w14:paraId="05D38D49" w14:textId="2866E96F" w:rsidR="00E012B7" w:rsidRPr="002A55FF" w:rsidRDefault="00E012B7" w:rsidP="00E012B7">
      <w:pPr>
        <w:pStyle w:val="ListParagraph"/>
        <w:keepNext/>
        <w:keepLines/>
        <w:ind w:left="0"/>
      </w:pPr>
      <w:r w:rsidRPr="007476A7">
        <w:rPr>
          <w:b/>
        </w:rPr>
        <w:t>Data Retrieval.</w:t>
      </w:r>
      <w:r>
        <w:t xml:space="preserve"> </w:t>
      </w:r>
      <w:r w:rsidR="00F046E0">
        <w:t xml:space="preserve">When errors due to missing or inconsistent data elements are found during data review and editing, attempts to verify or collect the correct information </w:t>
      </w:r>
      <w:r w:rsidR="004A1194">
        <w:t>with the respondent</w:t>
      </w:r>
      <w:r w:rsidR="00F046E0">
        <w:t xml:space="preserve"> will occur</w:t>
      </w:r>
      <w:r w:rsidR="004A1194">
        <w:t xml:space="preserve">. </w:t>
      </w:r>
      <w:r w:rsidRPr="002A55FF">
        <w:t>When it is determined that data retrieval is needed, an Agency Liaison (AL) will contact the respondent for clarification. Throughout the data retrieval process, RTI will document the questions needing retrieval (e.g. missing or inconsistent data elements)</w:t>
      </w:r>
      <w:r w:rsidR="007F4B03">
        <w:t xml:space="preserve"> then</w:t>
      </w:r>
      <w:r w:rsidRPr="002A55FF">
        <w:t xml:space="preserve"> request clarification on the provided information, obtain values for missing data elements, and </w:t>
      </w:r>
      <w:r w:rsidR="007F4B03">
        <w:t>discuss</w:t>
      </w:r>
      <w:r w:rsidR="007F4B03" w:rsidRPr="002A55FF">
        <w:t xml:space="preserve"> </w:t>
      </w:r>
      <w:r w:rsidRPr="002A55FF">
        <w:t xml:space="preserve">any other issues related to the respondent’s submission. </w:t>
      </w:r>
    </w:p>
    <w:p w14:paraId="1FDFD069" w14:textId="77777777" w:rsidR="00E012B7" w:rsidRPr="002A55FF" w:rsidRDefault="00E012B7" w:rsidP="00E012B7">
      <w:pPr>
        <w:pStyle w:val="ListParagraph"/>
        <w:keepNext/>
        <w:keepLines/>
        <w:ind w:left="0"/>
      </w:pPr>
    </w:p>
    <w:p w14:paraId="684B0A08" w14:textId="5C66A8F5" w:rsidR="00E012B7" w:rsidRPr="002A55FF" w:rsidRDefault="00E012B7" w:rsidP="00E012B7">
      <w:pPr>
        <w:pStyle w:val="ListParagraph"/>
        <w:keepNext/>
        <w:keepLines/>
        <w:ind w:left="0"/>
      </w:pPr>
      <w:r w:rsidRPr="0075165F">
        <w:rPr>
          <w:b/>
        </w:rPr>
        <w:t>Data Entry.</w:t>
      </w:r>
      <w:r w:rsidRPr="0075165F">
        <w:t xml:space="preserve"> Respondents completing the survey via the web instrument will enter their responses directly into the online instrument. For those respondents returning the survey via hardcopy (mail or fax), </w:t>
      </w:r>
      <w:r w:rsidR="004062B0">
        <w:t>the survey</w:t>
      </w:r>
      <w:r w:rsidR="004062B0" w:rsidRPr="0075165F">
        <w:t xml:space="preserve"> </w:t>
      </w:r>
      <w:r w:rsidRPr="0075165F">
        <w:t xml:space="preserve">will </w:t>
      </w:r>
      <w:r>
        <w:t>be scanned in once</w:t>
      </w:r>
      <w:r w:rsidRPr="0075165F">
        <w:t xml:space="preserve"> received</w:t>
      </w:r>
      <w:r w:rsidR="003009F3">
        <w:t xml:space="preserve"> and the data will be extracted from the TeleForm</w:t>
      </w:r>
      <w:r w:rsidRPr="0075165F">
        <w:t xml:space="preserve">. </w:t>
      </w:r>
      <w:r w:rsidRPr="002A55FF">
        <w:t xml:space="preserve">To confirm that editing rules are being followed, RTI will review frequencies for the entered data after the first 10 percent of cases are received. Any </w:t>
      </w:r>
      <w:r w:rsidR="00F046E0">
        <w:t>anomalies, inconsistencies, or unexpected values</w:t>
      </w:r>
      <w:r w:rsidR="00F046E0" w:rsidRPr="002A55FF">
        <w:t xml:space="preserve"> </w:t>
      </w:r>
      <w:r w:rsidRPr="002A55FF">
        <w:t xml:space="preserve">will be investigated and resolved. Throughout the remainder of the data collection period, RTI </w:t>
      </w:r>
      <w:r w:rsidR="00E36C31">
        <w:t xml:space="preserve">and BJS </w:t>
      </w:r>
      <w:r w:rsidRPr="002A55FF">
        <w:t>staff will conduct regular data frequency reviews to evaluate the quality and completeness of data captured in both the web and hard copy modes.</w:t>
      </w:r>
      <w:r w:rsidR="00F046E0" w:rsidRPr="00F046E0">
        <w:t xml:space="preserve"> </w:t>
      </w:r>
      <w:r w:rsidR="00E36C31">
        <w:t xml:space="preserve">Data files </w:t>
      </w:r>
      <w:r w:rsidR="00F046E0" w:rsidRPr="0075165F">
        <w:t>will be made available to BJS via an SFTP site</w:t>
      </w:r>
      <w:r w:rsidR="00F046E0">
        <w:t xml:space="preserve"> when response rates reach 50%, 75%, and 90%</w:t>
      </w:r>
      <w:r w:rsidR="00F046E0" w:rsidRPr="0075165F">
        <w:t>.</w:t>
      </w:r>
    </w:p>
    <w:p w14:paraId="6F648A2E" w14:textId="77777777" w:rsidR="00421095" w:rsidRPr="009561F8" w:rsidRDefault="00421095" w:rsidP="009561F8">
      <w:pPr>
        <w:pStyle w:val="Default"/>
        <w:rPr>
          <w:rFonts w:ascii="Times New Roman" w:hAnsi="Times New Roman" w:cs="Times New Roman"/>
        </w:rPr>
      </w:pPr>
    </w:p>
    <w:p w14:paraId="7F1604A9" w14:textId="77777777" w:rsidR="00421095" w:rsidRPr="009561F8" w:rsidRDefault="00421095" w:rsidP="009561F8">
      <w:pPr>
        <w:pStyle w:val="ListParagraph"/>
        <w:numPr>
          <w:ilvl w:val="0"/>
          <w:numId w:val="5"/>
        </w:numPr>
        <w:ind w:left="360"/>
        <w:contextualSpacing w:val="0"/>
        <w:rPr>
          <w:b/>
          <w:u w:val="single"/>
        </w:rPr>
      </w:pPr>
      <w:r w:rsidRPr="009561F8">
        <w:rPr>
          <w:b/>
          <w:u w:val="single"/>
        </w:rPr>
        <w:t>Methods to Maximize Response Rates</w:t>
      </w:r>
    </w:p>
    <w:p w14:paraId="0ABDD4A3" w14:textId="77777777" w:rsidR="00421095" w:rsidRPr="009561F8" w:rsidRDefault="00421095" w:rsidP="009561F8">
      <w:pPr>
        <w:rPr>
          <w:highlight w:val="yellow"/>
        </w:rPr>
      </w:pPr>
    </w:p>
    <w:p w14:paraId="2F9333D4" w14:textId="6F9F1298" w:rsidR="003B3F4F" w:rsidRPr="009561F8" w:rsidRDefault="00421095" w:rsidP="009561F8">
      <w:r w:rsidRPr="009561F8">
        <w:t xml:space="preserve">The previous </w:t>
      </w:r>
      <w:r w:rsidR="00795B4C" w:rsidRPr="009561F8">
        <w:t>iterations</w:t>
      </w:r>
      <w:r w:rsidRPr="009561F8">
        <w:t xml:space="preserve"> of </w:t>
      </w:r>
      <w:r w:rsidR="00795B4C" w:rsidRPr="009561F8">
        <w:t>CLETA</w:t>
      </w:r>
      <w:r w:rsidRPr="009561F8">
        <w:t xml:space="preserve"> have achieved </w:t>
      </w:r>
      <w:r w:rsidR="00634474" w:rsidRPr="009561F8">
        <w:t xml:space="preserve">very </w:t>
      </w:r>
      <w:r w:rsidRPr="009561F8">
        <w:t>high rates of survey response</w:t>
      </w:r>
      <w:r w:rsidR="00634474" w:rsidRPr="009561F8">
        <w:t xml:space="preserve"> (</w:t>
      </w:r>
      <w:r w:rsidR="00C406FB" w:rsidRPr="009561F8">
        <w:t xml:space="preserve">between 90% and </w:t>
      </w:r>
      <w:r w:rsidR="00DA7A77" w:rsidRPr="009561F8">
        <w:t>100%</w:t>
      </w:r>
      <w:r w:rsidR="00634474" w:rsidRPr="009561F8">
        <w:t>)</w:t>
      </w:r>
      <w:r w:rsidRPr="009561F8">
        <w:t xml:space="preserve">. </w:t>
      </w:r>
      <w:r w:rsidR="00E36C31">
        <w:t xml:space="preserve">As described in the previous section, </w:t>
      </w:r>
      <w:r w:rsidRPr="009561F8">
        <w:t xml:space="preserve">BJS </w:t>
      </w:r>
      <w:r w:rsidR="00D91DDC" w:rsidRPr="009561F8">
        <w:t xml:space="preserve">and RTI </w:t>
      </w:r>
      <w:r w:rsidRPr="009561F8">
        <w:t xml:space="preserve">will undertake various </w:t>
      </w:r>
      <w:r w:rsidR="00D91DDC" w:rsidRPr="009561F8">
        <w:t xml:space="preserve">activities </w:t>
      </w:r>
      <w:r w:rsidRPr="009561F8">
        <w:t xml:space="preserve">to ensure that high response rates are again achieved for the </w:t>
      </w:r>
      <w:r w:rsidR="00892923">
        <w:t>2018</w:t>
      </w:r>
      <w:r w:rsidRPr="009561F8">
        <w:t xml:space="preserve"> </w:t>
      </w:r>
      <w:r w:rsidR="00795B4C" w:rsidRPr="009561F8">
        <w:t>C</w:t>
      </w:r>
      <w:r w:rsidRPr="009561F8">
        <w:t>LE</w:t>
      </w:r>
      <w:r w:rsidR="00795B4C" w:rsidRPr="009561F8">
        <w:t>TA</w:t>
      </w:r>
      <w:r w:rsidRPr="009561F8">
        <w:t>.</w:t>
      </w:r>
      <w:r w:rsidR="003B3F4F" w:rsidRPr="009561F8">
        <w:t xml:space="preserve"> </w:t>
      </w:r>
    </w:p>
    <w:p w14:paraId="3D3811D9" w14:textId="77777777" w:rsidR="003B3F4F" w:rsidRPr="009561F8" w:rsidRDefault="003B3F4F" w:rsidP="009561F8"/>
    <w:p w14:paraId="521D6180" w14:textId="47078AD7" w:rsidR="00B4474B" w:rsidRPr="009561F8" w:rsidRDefault="003B3F4F" w:rsidP="009561F8">
      <w:r w:rsidRPr="009561F8">
        <w:t xml:space="preserve">Prior CLETA administrations enjoyed widespread support among national law enforcement professional associations, and this continues to be case for </w:t>
      </w:r>
      <w:r w:rsidR="00892923">
        <w:t>2018</w:t>
      </w:r>
      <w:r w:rsidRPr="009561F8">
        <w:t xml:space="preserve"> project</w:t>
      </w:r>
      <w:r w:rsidR="00014A75">
        <w:t xml:space="preserve">. </w:t>
      </w:r>
      <w:r w:rsidRPr="009561F8">
        <w:t>IADLEST</w:t>
      </w:r>
      <w:r w:rsidR="003009F3">
        <w:t>, which has supported previous CLETA administrations,</w:t>
      </w:r>
      <w:r w:rsidRPr="009561F8">
        <w:t xml:space="preserve"> </w:t>
      </w:r>
      <w:r w:rsidR="00E36C31">
        <w:t>is</w:t>
      </w:r>
      <w:r w:rsidR="00E36C31" w:rsidRPr="009561F8">
        <w:t xml:space="preserve"> </w:t>
      </w:r>
      <w:r w:rsidR="00E36C31">
        <w:t xml:space="preserve">endorsing the data collection and </w:t>
      </w:r>
      <w:r w:rsidRPr="009561F8">
        <w:t xml:space="preserve">strongly </w:t>
      </w:r>
      <w:r w:rsidR="00E36C31" w:rsidRPr="009561F8">
        <w:t>encourag</w:t>
      </w:r>
      <w:r w:rsidR="00E36C31">
        <w:t>ing</w:t>
      </w:r>
      <w:r w:rsidR="00E36C31" w:rsidRPr="009561F8">
        <w:t xml:space="preserve"> </w:t>
      </w:r>
      <w:r w:rsidRPr="009561F8">
        <w:t>participation of its membership</w:t>
      </w:r>
      <w:r w:rsidR="00DA7A77" w:rsidRPr="009561F8">
        <w:t>.</w:t>
      </w:r>
    </w:p>
    <w:p w14:paraId="415E37F9" w14:textId="77777777" w:rsidR="00B4474B" w:rsidRPr="009561F8" w:rsidRDefault="00B4474B" w:rsidP="009561F8"/>
    <w:p w14:paraId="5CD18404" w14:textId="2303F5E4" w:rsidR="003B3F4F" w:rsidRPr="009561F8" w:rsidRDefault="00B4474B" w:rsidP="009561F8">
      <w:r w:rsidRPr="009561F8">
        <w:t xml:space="preserve">The survey instrument was reviewed to ensure </w:t>
      </w:r>
      <w:r w:rsidR="00D91DDC" w:rsidRPr="009561F8">
        <w:t>the collection of</w:t>
      </w:r>
      <w:r w:rsidRPr="009561F8">
        <w:t xml:space="preserve"> the most pertinent information, removing any unnecessary questions to reduce burden.</w:t>
      </w:r>
      <w:r w:rsidR="00796CE4">
        <w:t xml:space="preserve"> </w:t>
      </w:r>
      <w:r w:rsidR="0035062C">
        <w:t>BJS staff conducted a</w:t>
      </w:r>
      <w:r w:rsidR="00796CE4">
        <w:t xml:space="preserve"> r</w:t>
      </w:r>
      <w:r w:rsidRPr="009561F8">
        <w:t xml:space="preserve">eview of the open-ended responses </w:t>
      </w:r>
      <w:r w:rsidR="0035062C">
        <w:t>to</w:t>
      </w:r>
      <w:r w:rsidR="0035062C" w:rsidRPr="009561F8">
        <w:t xml:space="preserve"> “other</w:t>
      </w:r>
      <w:r w:rsidR="0035062C">
        <w:t>,</w:t>
      </w:r>
      <w:r w:rsidR="0035062C" w:rsidRPr="009561F8">
        <w:t xml:space="preserve"> specify” fields </w:t>
      </w:r>
      <w:r w:rsidRPr="009561F8">
        <w:t xml:space="preserve">in the 2013 data to determine </w:t>
      </w:r>
      <w:r w:rsidR="006B644E">
        <w:t xml:space="preserve">if the option could be removed </w:t>
      </w:r>
      <w:r w:rsidRPr="009561F8">
        <w:t xml:space="preserve">to reduce burden . </w:t>
      </w:r>
      <w:r w:rsidR="006B644E">
        <w:t>The result was the removal of the “other, specify” options</w:t>
      </w:r>
      <w:r w:rsidR="007117E1">
        <w:t xml:space="preserve"> from six items</w:t>
      </w:r>
      <w:r w:rsidR="006B644E">
        <w:t>.</w:t>
      </w:r>
      <w:r w:rsidR="007117E1">
        <w:t xml:space="preserve"> </w:t>
      </w:r>
      <w:r w:rsidR="00796CE4">
        <w:t>As discussed</w:t>
      </w:r>
      <w:r w:rsidRPr="009561F8">
        <w:t xml:space="preserve">, the questionnaire was </w:t>
      </w:r>
      <w:r w:rsidR="00796CE4">
        <w:t xml:space="preserve">also </w:t>
      </w:r>
      <w:r w:rsidRPr="009561F8">
        <w:t>reviewed</w:t>
      </w:r>
      <w:r w:rsidR="007117E1">
        <w:t xml:space="preserve"> by BJS and RTI staff</w:t>
      </w:r>
      <w:r w:rsidRPr="009561F8">
        <w:t xml:space="preserve"> for ease of use, flow, and additional survey methodology best practices to ensure ease in administration. </w:t>
      </w:r>
    </w:p>
    <w:p w14:paraId="6CC26ABD" w14:textId="77777777" w:rsidR="00634474" w:rsidRPr="009561F8" w:rsidRDefault="00634474" w:rsidP="009561F8"/>
    <w:p w14:paraId="5234E76B" w14:textId="293BB06F" w:rsidR="00014A75" w:rsidRDefault="00D91DDC" w:rsidP="009561F8">
      <w:r w:rsidRPr="009561F8">
        <w:t>T</w:t>
      </w:r>
      <w:r w:rsidR="00421095" w:rsidRPr="009561F8">
        <w:t>o promote 100% item completion</w:t>
      </w:r>
      <w:r w:rsidRPr="009561F8">
        <w:t xml:space="preserve"> by respondents</w:t>
      </w:r>
      <w:r w:rsidR="00421095" w:rsidRPr="009561F8">
        <w:t xml:space="preserve">, </w:t>
      </w:r>
      <w:r w:rsidR="008E488A" w:rsidRPr="009561F8">
        <w:t>RTI</w:t>
      </w:r>
      <w:r w:rsidR="00B948CD" w:rsidRPr="009561F8">
        <w:t xml:space="preserve"> will</w:t>
      </w:r>
      <w:r w:rsidR="00421095" w:rsidRPr="009561F8">
        <w:t xml:space="preserve"> monitor item response</w:t>
      </w:r>
      <w:r w:rsidRPr="009561F8">
        <w:t xml:space="preserve"> rate</w:t>
      </w:r>
      <w:r w:rsidR="00421095" w:rsidRPr="009561F8">
        <w:t xml:space="preserve">s </w:t>
      </w:r>
      <w:r w:rsidRPr="009561F8">
        <w:t>as surveys are submitted</w:t>
      </w:r>
      <w:r w:rsidR="00421095" w:rsidRPr="009561F8">
        <w:t>.</w:t>
      </w:r>
      <w:r w:rsidR="008E488A" w:rsidRPr="009561F8">
        <w:t xml:space="preserve"> RTI</w:t>
      </w:r>
      <w:r w:rsidR="00421095" w:rsidRPr="009561F8">
        <w:t xml:space="preserve"> </w:t>
      </w:r>
      <w:r w:rsidR="00796CE4">
        <w:t>uses</w:t>
      </w:r>
      <w:r w:rsidR="00421095" w:rsidRPr="009561F8">
        <w:t xml:space="preserve"> a </w:t>
      </w:r>
      <w:r w:rsidRPr="009561F8">
        <w:t xml:space="preserve">survey </w:t>
      </w:r>
      <w:r w:rsidR="00421095" w:rsidRPr="009561F8">
        <w:t xml:space="preserve">management system linked to the web-based </w:t>
      </w:r>
      <w:r w:rsidRPr="009561F8">
        <w:t>application</w:t>
      </w:r>
      <w:r w:rsidR="00421095" w:rsidRPr="009561F8">
        <w:t xml:space="preserve"> that flag</w:t>
      </w:r>
      <w:r w:rsidR="00796CE4">
        <w:t>s</w:t>
      </w:r>
      <w:r w:rsidR="00421095" w:rsidRPr="009561F8">
        <w:t xml:space="preserve"> </w:t>
      </w:r>
      <w:r w:rsidRPr="009561F8">
        <w:t>missing</w:t>
      </w:r>
      <w:r w:rsidR="00421095" w:rsidRPr="009561F8">
        <w:t xml:space="preserve"> items and invalid responses.</w:t>
      </w:r>
      <w:r w:rsidR="00F6199F" w:rsidRPr="009561F8">
        <w:t xml:space="preserve"> </w:t>
      </w:r>
      <w:r w:rsidR="008E488A" w:rsidRPr="009561F8">
        <w:t>RTI</w:t>
      </w:r>
      <w:r w:rsidR="00A10D6D" w:rsidRPr="009561F8">
        <w:t xml:space="preserve"> </w:t>
      </w:r>
      <w:r w:rsidR="00421095" w:rsidRPr="009561F8">
        <w:t>also flag</w:t>
      </w:r>
      <w:r w:rsidR="00796CE4">
        <w:t>s</w:t>
      </w:r>
      <w:r w:rsidR="00421095" w:rsidRPr="009561F8">
        <w:t xml:space="preserve"> </w:t>
      </w:r>
      <w:r w:rsidRPr="009561F8">
        <w:t>missing items</w:t>
      </w:r>
      <w:r w:rsidR="00421095" w:rsidRPr="009561F8">
        <w:t xml:space="preserve"> on hard copy submissions on a </w:t>
      </w:r>
      <w:r w:rsidRPr="009561F8">
        <w:t xml:space="preserve">flow </w:t>
      </w:r>
      <w:r w:rsidR="00421095" w:rsidRPr="009561F8">
        <w:t>basis.</w:t>
      </w:r>
      <w:r w:rsidR="00BA3119" w:rsidRPr="009561F8">
        <w:t xml:space="preserve"> </w:t>
      </w:r>
      <w:r w:rsidR="00421095" w:rsidRPr="009561F8">
        <w:t>The data collection manager oversee</w:t>
      </w:r>
      <w:r w:rsidR="00796CE4">
        <w:t>s</w:t>
      </w:r>
      <w:r w:rsidR="00421095" w:rsidRPr="009561F8">
        <w:t xml:space="preserve"> phone </w:t>
      </w:r>
      <w:r w:rsidRPr="009561F8">
        <w:t>and</w:t>
      </w:r>
      <w:r w:rsidR="00421095" w:rsidRPr="009561F8">
        <w:t xml:space="preserve"> e</w:t>
      </w:r>
      <w:r w:rsidR="003009F3">
        <w:t>-</w:t>
      </w:r>
      <w:r w:rsidR="00421095" w:rsidRPr="009561F8">
        <w:t xml:space="preserve">mail </w:t>
      </w:r>
      <w:r w:rsidRPr="009561F8">
        <w:t>outreach to</w:t>
      </w:r>
      <w:r w:rsidR="00421095" w:rsidRPr="009561F8">
        <w:t xml:space="preserve"> respondents to clarify missing or invalid responses and to take corrective action. </w:t>
      </w:r>
      <w:r w:rsidR="00796CE4">
        <w:t>Any c</w:t>
      </w:r>
      <w:r w:rsidR="00421095" w:rsidRPr="009561F8">
        <w:t xml:space="preserve">hanges </w:t>
      </w:r>
      <w:r w:rsidRPr="009561F8">
        <w:t xml:space="preserve">to survey responses obtained through this follow-up effort </w:t>
      </w:r>
      <w:r w:rsidR="00421095" w:rsidRPr="009561F8">
        <w:t>will be tracke</w:t>
      </w:r>
      <w:r w:rsidR="00F6199F" w:rsidRPr="009561F8">
        <w:t>d</w:t>
      </w:r>
      <w:r w:rsidR="009561F8">
        <w:t xml:space="preserve"> and entered in the data collection database.</w:t>
      </w:r>
    </w:p>
    <w:p w14:paraId="30693AC0" w14:textId="77777777" w:rsidR="00014A75" w:rsidRDefault="00014A75" w:rsidP="009561F8"/>
    <w:p w14:paraId="01D11907" w14:textId="77777777" w:rsidR="00421095" w:rsidRPr="009561F8" w:rsidRDefault="00421095" w:rsidP="009561F8">
      <w:pPr>
        <w:pStyle w:val="ListParagraph"/>
        <w:numPr>
          <w:ilvl w:val="0"/>
          <w:numId w:val="5"/>
        </w:numPr>
        <w:ind w:left="360"/>
        <w:contextualSpacing w:val="0"/>
        <w:rPr>
          <w:b/>
          <w:u w:val="single"/>
        </w:rPr>
      </w:pPr>
      <w:r w:rsidRPr="009561F8">
        <w:rPr>
          <w:b/>
          <w:u w:val="single"/>
        </w:rPr>
        <w:t>Final Testing of Procedures</w:t>
      </w:r>
    </w:p>
    <w:p w14:paraId="4DB9E5E1" w14:textId="77777777" w:rsidR="00421095" w:rsidRPr="009561F8" w:rsidRDefault="00421095" w:rsidP="009561F8">
      <w:pPr>
        <w:pStyle w:val="ListParagraph"/>
        <w:ind w:left="360"/>
        <w:contextualSpacing w:val="0"/>
        <w:rPr>
          <w:highlight w:val="yellow"/>
          <w:u w:val="single"/>
        </w:rPr>
      </w:pPr>
    </w:p>
    <w:p w14:paraId="646B4362" w14:textId="1132F028" w:rsidR="0079053B" w:rsidRDefault="008D0673" w:rsidP="009561F8">
      <w:r w:rsidRPr="009561F8">
        <w:t xml:space="preserve">The proposed questions in the </w:t>
      </w:r>
      <w:r w:rsidR="00892923">
        <w:t>2018</w:t>
      </w:r>
      <w:r w:rsidRPr="009561F8">
        <w:t xml:space="preserve"> CLETA data collection instrument </w:t>
      </w:r>
      <w:r w:rsidR="005D385F">
        <w:t xml:space="preserve">were all </w:t>
      </w:r>
      <w:r w:rsidR="005D385F" w:rsidRPr="009561F8">
        <w:t xml:space="preserve">retained from </w:t>
      </w:r>
      <w:r w:rsidR="009249DB">
        <w:t xml:space="preserve">the </w:t>
      </w:r>
      <w:r w:rsidR="005D385F" w:rsidRPr="009561F8">
        <w:t>2013</w:t>
      </w:r>
      <w:r w:rsidR="009249DB">
        <w:t xml:space="preserve"> version</w:t>
      </w:r>
      <w:r w:rsidR="005D385F">
        <w:t xml:space="preserve">. </w:t>
      </w:r>
      <w:r w:rsidR="009249DB">
        <w:t>R</w:t>
      </w:r>
      <w:r w:rsidRPr="009561F8">
        <w:t>evisions made were reviewed by BJS and RTI staff</w:t>
      </w:r>
      <w:r w:rsidR="009561F8">
        <w:t>,</w:t>
      </w:r>
      <w:r w:rsidRPr="009561F8">
        <w:t xml:space="preserve"> and cognitively tested.</w:t>
      </w:r>
    </w:p>
    <w:p w14:paraId="47F5D738" w14:textId="2D801A22" w:rsidR="009249DB" w:rsidRDefault="0079053B" w:rsidP="0079053B">
      <w:r>
        <w:t xml:space="preserve">The cognitive interviews </w:t>
      </w:r>
      <w:r w:rsidR="007117E1">
        <w:t xml:space="preserve">included five participating academies and </w:t>
      </w:r>
      <w:r>
        <w:t>were conducted in June 2018 by two trained cognitive interviewers from RTI. The purpose of the cognitive interviews was to identify potential problems and improvements to the 2018 CLETA</w:t>
      </w:r>
      <w:r w:rsidR="009249DB">
        <w:t xml:space="preserve"> </w:t>
      </w:r>
      <w:r>
        <w:t>questionnaire.</w:t>
      </w:r>
      <w:r w:rsidR="008D0673" w:rsidRPr="009561F8">
        <w:t xml:space="preserve"> </w:t>
      </w:r>
      <w:r w:rsidR="009249DB">
        <w:t>In July of 2018, RTI provided the Cognitive Interviewing Findings and Recommendations report (</w:t>
      </w:r>
      <w:r w:rsidR="00BF6A7E">
        <w:rPr>
          <w:b/>
        </w:rPr>
        <w:t>Attachment</w:t>
      </w:r>
      <w:r w:rsidR="009249DB" w:rsidRPr="009249DB">
        <w:rPr>
          <w:b/>
        </w:rPr>
        <w:t xml:space="preserve"> 2</w:t>
      </w:r>
      <w:r w:rsidR="00DC35FA">
        <w:rPr>
          <w:b/>
        </w:rPr>
        <w:t>0</w:t>
      </w:r>
      <w:r w:rsidR="009249DB">
        <w:t xml:space="preserve">). </w:t>
      </w:r>
    </w:p>
    <w:p w14:paraId="04CE0E93" w14:textId="77777777" w:rsidR="009249DB" w:rsidRDefault="009249DB" w:rsidP="0079053B"/>
    <w:p w14:paraId="7A967899" w14:textId="3D4E6D90" w:rsidR="008D0673" w:rsidRPr="009561F8" w:rsidRDefault="008D0673" w:rsidP="0079053B">
      <w:r w:rsidRPr="009561F8">
        <w:t xml:space="preserve">In addition, RTI has conducted thorough testing of the web-based survey administration system through systematic user testing, including testing skip patterns, attempting to “break” the instrument, and back-end data checks on entered responses.  </w:t>
      </w:r>
    </w:p>
    <w:p w14:paraId="2CA9302E" w14:textId="77777777" w:rsidR="008D0673" w:rsidRPr="009561F8" w:rsidRDefault="008D0673" w:rsidP="009561F8"/>
    <w:p w14:paraId="6FB4B564" w14:textId="17B9AF53" w:rsidR="00421095" w:rsidRPr="009561F8" w:rsidRDefault="00421095" w:rsidP="009561F8">
      <w:r w:rsidRPr="009561F8">
        <w:t xml:space="preserve">The </w:t>
      </w:r>
      <w:r w:rsidR="00892923">
        <w:t>2018</w:t>
      </w:r>
      <w:r w:rsidR="0014205B" w:rsidRPr="009561F8">
        <w:t xml:space="preserve"> CLETA </w:t>
      </w:r>
      <w:r w:rsidRPr="009561F8">
        <w:t>maintain</w:t>
      </w:r>
      <w:r w:rsidR="009249DB">
        <w:t>s</w:t>
      </w:r>
      <w:r w:rsidRPr="009561F8">
        <w:t xml:space="preserve"> similar respondent recruitment and support procedures as previous </w:t>
      </w:r>
      <w:r w:rsidR="0014205B" w:rsidRPr="009561F8">
        <w:t>CLETA iterations</w:t>
      </w:r>
      <w:r w:rsidRPr="009561F8">
        <w:t>, which have been field tested and successfully employed</w:t>
      </w:r>
      <w:r w:rsidR="0014205B" w:rsidRPr="009561F8">
        <w:t xml:space="preserve">. </w:t>
      </w:r>
      <w:r w:rsidRPr="009561F8">
        <w:t xml:space="preserve">As noted above, response rates for previous iterations of </w:t>
      </w:r>
      <w:r w:rsidR="00B948CD" w:rsidRPr="009561F8">
        <w:t xml:space="preserve">CLETA </w:t>
      </w:r>
      <w:r w:rsidR="0014205B" w:rsidRPr="009561F8">
        <w:t>have typically approached 10</w:t>
      </w:r>
      <w:r w:rsidRPr="009561F8">
        <w:t>0%.</w:t>
      </w:r>
      <w:r w:rsidR="00BA3119" w:rsidRPr="009561F8">
        <w:t xml:space="preserve"> </w:t>
      </w:r>
      <w:r w:rsidR="009249DB">
        <w:t xml:space="preserve">BJS and RTI will work diligently to maintain high </w:t>
      </w:r>
      <w:r w:rsidRPr="009561F8">
        <w:t xml:space="preserve">response rates for the </w:t>
      </w:r>
      <w:r w:rsidR="00892923">
        <w:t>2018</w:t>
      </w:r>
      <w:r w:rsidRPr="009561F8">
        <w:t xml:space="preserve"> </w:t>
      </w:r>
      <w:r w:rsidR="00B948CD" w:rsidRPr="009561F8">
        <w:t>CLETA</w:t>
      </w:r>
      <w:r w:rsidRPr="009561F8">
        <w:t xml:space="preserve">. </w:t>
      </w:r>
    </w:p>
    <w:p w14:paraId="029FA735" w14:textId="77777777" w:rsidR="00421095" w:rsidRPr="009561F8" w:rsidRDefault="00421095" w:rsidP="009561F8"/>
    <w:p w14:paraId="41DE42B1" w14:textId="15F6FB54" w:rsidR="00421095" w:rsidRPr="009561F8" w:rsidRDefault="008E488A" w:rsidP="009561F8">
      <w:r w:rsidRPr="009561F8">
        <w:t>RTI</w:t>
      </w:r>
      <w:r w:rsidR="0014205B" w:rsidRPr="009561F8">
        <w:t xml:space="preserve"> has </w:t>
      </w:r>
      <w:r w:rsidR="00421095" w:rsidRPr="009561F8">
        <w:t xml:space="preserve">utilized web-based survey instruments that are substantially similar to the format in design for the </w:t>
      </w:r>
      <w:r w:rsidR="00892923">
        <w:t>2018</w:t>
      </w:r>
      <w:r w:rsidR="00421095" w:rsidRPr="009561F8">
        <w:t xml:space="preserve"> </w:t>
      </w:r>
      <w:r w:rsidR="0014205B" w:rsidRPr="009561F8">
        <w:t>CLETA</w:t>
      </w:r>
      <w:r w:rsidR="00DA7A77" w:rsidRPr="009561F8">
        <w:t xml:space="preserve"> </w:t>
      </w:r>
      <w:r w:rsidR="00105880">
        <w:t xml:space="preserve">in the </w:t>
      </w:r>
      <w:r w:rsidR="00DA7A77" w:rsidRPr="009561F8">
        <w:t>recent LEMAS and CSLLEA administrations</w:t>
      </w:r>
      <w:r w:rsidR="0014205B" w:rsidRPr="009561F8">
        <w:t xml:space="preserve">. </w:t>
      </w:r>
      <w:r w:rsidR="00421095" w:rsidRPr="009561F8">
        <w:t xml:space="preserve">The web-based survey administration procedures successfully employed in </w:t>
      </w:r>
      <w:r w:rsidR="008D4883" w:rsidRPr="009561F8">
        <w:t xml:space="preserve">the LEMAS and CSLLEA </w:t>
      </w:r>
      <w:r w:rsidR="00105880">
        <w:t>information collections</w:t>
      </w:r>
      <w:r w:rsidR="00421095" w:rsidRPr="009561F8">
        <w:t xml:space="preserve"> </w:t>
      </w:r>
      <w:r w:rsidR="009249DB">
        <w:t>are</w:t>
      </w:r>
      <w:r w:rsidR="0014205B" w:rsidRPr="009561F8">
        <w:t xml:space="preserve"> </w:t>
      </w:r>
      <w:r w:rsidR="00105880">
        <w:t>followed</w:t>
      </w:r>
      <w:r w:rsidR="0014205B" w:rsidRPr="009561F8">
        <w:t xml:space="preserve"> </w:t>
      </w:r>
      <w:r w:rsidR="00421095" w:rsidRPr="009561F8">
        <w:t xml:space="preserve">to </w:t>
      </w:r>
      <w:r w:rsidR="00105880">
        <w:t>ensure</w:t>
      </w:r>
      <w:r w:rsidR="00105880" w:rsidRPr="009561F8">
        <w:t xml:space="preserve"> </w:t>
      </w:r>
      <w:r w:rsidR="00421095" w:rsidRPr="009561F8">
        <w:t>the</w:t>
      </w:r>
      <w:r w:rsidR="00105880">
        <w:t xml:space="preserve"> successful administration of the</w:t>
      </w:r>
      <w:r w:rsidR="00421095" w:rsidRPr="009561F8">
        <w:t xml:space="preserve"> </w:t>
      </w:r>
      <w:r w:rsidR="00892923">
        <w:t>2018</w:t>
      </w:r>
      <w:r w:rsidR="00421095" w:rsidRPr="00AF7385">
        <w:t xml:space="preserve"> </w:t>
      </w:r>
      <w:r w:rsidR="0014205B" w:rsidRPr="00AF7385">
        <w:t>C</w:t>
      </w:r>
      <w:r w:rsidR="00421095" w:rsidRPr="00AF7385">
        <w:t>LE</w:t>
      </w:r>
      <w:r w:rsidR="0014205B" w:rsidRPr="00AF7385">
        <w:t>TA</w:t>
      </w:r>
      <w:r w:rsidR="00421095" w:rsidRPr="00AF7385">
        <w:t xml:space="preserve"> </w:t>
      </w:r>
      <w:r w:rsidR="00105880">
        <w:t>information collection</w:t>
      </w:r>
      <w:r w:rsidR="00421095" w:rsidRPr="00AF7385">
        <w:t>.</w:t>
      </w:r>
      <w:r w:rsidR="00BA3119" w:rsidRPr="00AF7385">
        <w:t xml:space="preserve"> </w:t>
      </w:r>
    </w:p>
    <w:p w14:paraId="06B1611D" w14:textId="77777777" w:rsidR="00421095" w:rsidRPr="009561F8" w:rsidRDefault="00421095" w:rsidP="009561F8"/>
    <w:p w14:paraId="05D5CDA9" w14:textId="77777777" w:rsidR="00E73CDF" w:rsidRPr="009561F8" w:rsidRDefault="00E73CDF" w:rsidP="009561F8">
      <w:pPr>
        <w:pStyle w:val="ListParagraph"/>
        <w:numPr>
          <w:ilvl w:val="0"/>
          <w:numId w:val="5"/>
        </w:numPr>
        <w:ind w:left="360"/>
        <w:contextualSpacing w:val="0"/>
        <w:rPr>
          <w:b/>
          <w:u w:val="single"/>
        </w:rPr>
      </w:pPr>
      <w:r w:rsidRPr="009561F8">
        <w:rPr>
          <w:b/>
          <w:u w:val="single"/>
        </w:rPr>
        <w:t>Contacts for Statistical Aspects and Data Collection</w:t>
      </w:r>
    </w:p>
    <w:p w14:paraId="763F6CFC" w14:textId="77777777" w:rsidR="00E73CDF" w:rsidRPr="009561F8" w:rsidRDefault="00E73CDF" w:rsidP="009561F8"/>
    <w:p w14:paraId="7A450045" w14:textId="77777777" w:rsidR="00E73CDF" w:rsidRPr="009561F8" w:rsidRDefault="00E73CDF" w:rsidP="009561F8">
      <w:pPr>
        <w:pStyle w:val="ListParagraph"/>
        <w:numPr>
          <w:ilvl w:val="0"/>
          <w:numId w:val="6"/>
        </w:numPr>
        <w:tabs>
          <w:tab w:val="left" w:pos="360"/>
        </w:tabs>
        <w:ind w:left="0" w:firstLine="0"/>
        <w:contextualSpacing w:val="0"/>
      </w:pPr>
      <w:r w:rsidRPr="009561F8">
        <w:t>BJS contacts include:</w:t>
      </w:r>
    </w:p>
    <w:p w14:paraId="442859AB" w14:textId="77777777" w:rsidR="00E73CDF" w:rsidRPr="009561F8" w:rsidRDefault="00E73CDF" w:rsidP="009561F8">
      <w:pPr>
        <w:pStyle w:val="ListParagraph"/>
        <w:tabs>
          <w:tab w:val="left" w:pos="360"/>
        </w:tabs>
        <w:ind w:left="0"/>
        <w:contextualSpacing w:val="0"/>
      </w:pPr>
      <w:r w:rsidRPr="009561F8">
        <w:t xml:space="preserve"> </w:t>
      </w:r>
    </w:p>
    <w:p w14:paraId="1A279D99" w14:textId="77777777" w:rsidR="00B90578" w:rsidRDefault="00B90578" w:rsidP="00B90578">
      <w:pPr>
        <w:ind w:left="720"/>
      </w:pPr>
      <w:r>
        <w:t>Shelley S. Hyland, Ph.D.</w:t>
      </w:r>
    </w:p>
    <w:p w14:paraId="7CD5B212" w14:textId="77777777" w:rsidR="00B90578" w:rsidRDefault="00B90578" w:rsidP="00B90578">
      <w:pPr>
        <w:ind w:left="720"/>
      </w:pPr>
      <w:r>
        <w:t xml:space="preserve">Statistician </w:t>
      </w:r>
    </w:p>
    <w:p w14:paraId="2D1D6549" w14:textId="77777777" w:rsidR="00B90578" w:rsidRDefault="00B90578" w:rsidP="00B90578">
      <w:pPr>
        <w:ind w:left="720"/>
      </w:pPr>
      <w:r>
        <w:t>Bureau of Justice Statistics</w:t>
      </w:r>
    </w:p>
    <w:p w14:paraId="5BC36807" w14:textId="77777777" w:rsidR="00B90578" w:rsidRDefault="00B90578" w:rsidP="00B90578">
      <w:pPr>
        <w:ind w:left="720"/>
      </w:pPr>
      <w:r>
        <w:t>202-305-5552</w:t>
      </w:r>
    </w:p>
    <w:p w14:paraId="727AAB75" w14:textId="77777777" w:rsidR="00B90578" w:rsidRDefault="00B90578" w:rsidP="00B90578">
      <w:pPr>
        <w:ind w:left="720"/>
      </w:pPr>
      <w:r>
        <w:t>Shelley.Hyland@usdoj.gov</w:t>
      </w:r>
    </w:p>
    <w:p w14:paraId="67109C51" w14:textId="77777777" w:rsidR="00B90578" w:rsidRDefault="00B90578" w:rsidP="00B90578">
      <w:pPr>
        <w:ind w:left="720"/>
      </w:pPr>
    </w:p>
    <w:p w14:paraId="0349B02A" w14:textId="77777777" w:rsidR="00B90578" w:rsidRDefault="00B90578" w:rsidP="00B90578">
      <w:pPr>
        <w:ind w:left="720"/>
      </w:pPr>
      <w:r>
        <w:t>Kevin M. Scott, Ph.D.</w:t>
      </w:r>
    </w:p>
    <w:p w14:paraId="3CF7DB7A" w14:textId="77777777" w:rsidR="00B90578" w:rsidRDefault="00B90578" w:rsidP="00B90578">
      <w:pPr>
        <w:ind w:left="720"/>
      </w:pPr>
      <w:r>
        <w:t>Law Enforcement Statistics Unit Chief</w:t>
      </w:r>
    </w:p>
    <w:p w14:paraId="0BABB536" w14:textId="77777777" w:rsidR="00B90578" w:rsidRDefault="00B90578" w:rsidP="00B90578">
      <w:pPr>
        <w:ind w:left="720"/>
      </w:pPr>
      <w:r>
        <w:t>Bureau of Justice Statistics</w:t>
      </w:r>
    </w:p>
    <w:p w14:paraId="55539396" w14:textId="77777777" w:rsidR="00B90578" w:rsidRDefault="00B90578" w:rsidP="00B90578">
      <w:pPr>
        <w:ind w:left="720"/>
      </w:pPr>
      <w:r>
        <w:t>202-616-3615</w:t>
      </w:r>
    </w:p>
    <w:p w14:paraId="0D6FF8CD" w14:textId="0251B976" w:rsidR="00B90578" w:rsidRDefault="00B90578" w:rsidP="00B90578">
      <w:pPr>
        <w:ind w:left="720"/>
      </w:pPr>
      <w:r>
        <w:t>Kevin.M.Scott@usdoj.gov</w:t>
      </w:r>
    </w:p>
    <w:p w14:paraId="10568DAD" w14:textId="77777777" w:rsidR="00E73CDF" w:rsidRPr="009561F8" w:rsidRDefault="00E73CDF" w:rsidP="009561F8">
      <w:pPr>
        <w:pStyle w:val="ListParagraph"/>
        <w:numPr>
          <w:ilvl w:val="0"/>
          <w:numId w:val="6"/>
        </w:numPr>
        <w:tabs>
          <w:tab w:val="left" w:pos="360"/>
        </w:tabs>
        <w:ind w:left="0" w:firstLine="0"/>
        <w:contextualSpacing w:val="0"/>
      </w:pPr>
      <w:r w:rsidRPr="009561F8">
        <w:t>Persons consulted on statistical methodology:</w:t>
      </w:r>
    </w:p>
    <w:p w14:paraId="6385EA2E" w14:textId="77777777" w:rsidR="00E73CDF" w:rsidRPr="009561F8" w:rsidRDefault="00E73CDF" w:rsidP="009561F8">
      <w:pPr>
        <w:tabs>
          <w:tab w:val="left" w:pos="360"/>
        </w:tabs>
      </w:pPr>
    </w:p>
    <w:p w14:paraId="7B94D807" w14:textId="1A0A1D8E" w:rsidR="001D7A84" w:rsidRPr="009561F8" w:rsidRDefault="001D7A84" w:rsidP="009561F8">
      <w:pPr>
        <w:ind w:left="720"/>
      </w:pPr>
      <w:r w:rsidRPr="009561F8">
        <w:t xml:space="preserve">Denise Bell, </w:t>
      </w:r>
      <w:r w:rsidR="00881132" w:rsidRPr="009561F8">
        <w:t>BSPH</w:t>
      </w:r>
    </w:p>
    <w:p w14:paraId="18307264" w14:textId="31689C14" w:rsidR="001D7A84" w:rsidRPr="009561F8" w:rsidRDefault="00881132" w:rsidP="009561F8">
      <w:pPr>
        <w:ind w:left="720"/>
      </w:pPr>
      <w:r w:rsidRPr="009561F8">
        <w:t>Research Statistician</w:t>
      </w:r>
    </w:p>
    <w:p w14:paraId="15A124E5" w14:textId="2789244D" w:rsidR="001D7A84" w:rsidRPr="009561F8" w:rsidRDefault="00881132" w:rsidP="009561F8">
      <w:pPr>
        <w:ind w:left="720"/>
      </w:pPr>
      <w:r w:rsidRPr="009561F8">
        <w:t>RTI International</w:t>
      </w:r>
    </w:p>
    <w:p w14:paraId="6211325E" w14:textId="5C3F9138" w:rsidR="001D7A84" w:rsidRPr="009561F8" w:rsidRDefault="00881132" w:rsidP="009561F8">
      <w:pPr>
        <w:ind w:left="720"/>
      </w:pPr>
      <w:r w:rsidRPr="009561F8">
        <w:t>rhatigan</w:t>
      </w:r>
      <w:r w:rsidR="001D7A84" w:rsidRPr="009561F8">
        <w:t>@rti.org</w:t>
      </w:r>
    </w:p>
    <w:p w14:paraId="1FC628C5" w14:textId="3885C57F" w:rsidR="001D7A84" w:rsidRPr="009561F8" w:rsidRDefault="001D7A84" w:rsidP="009561F8">
      <w:pPr>
        <w:ind w:left="720"/>
      </w:pPr>
      <w:r w:rsidRPr="009561F8">
        <w:t>919.</w:t>
      </w:r>
      <w:r w:rsidR="00881132" w:rsidRPr="009561F8">
        <w:t>341.7064</w:t>
      </w:r>
    </w:p>
    <w:p w14:paraId="0951316B" w14:textId="77777777" w:rsidR="00E73CDF" w:rsidRPr="009561F8" w:rsidRDefault="00E73CDF" w:rsidP="009561F8">
      <w:pPr>
        <w:pStyle w:val="ListParagraph"/>
        <w:contextualSpacing w:val="0"/>
      </w:pPr>
    </w:p>
    <w:p w14:paraId="0AE19AA9" w14:textId="77777777" w:rsidR="00E73CDF" w:rsidRPr="009561F8" w:rsidRDefault="00E73CDF" w:rsidP="009561F8">
      <w:pPr>
        <w:pStyle w:val="ListParagraph"/>
        <w:numPr>
          <w:ilvl w:val="0"/>
          <w:numId w:val="6"/>
        </w:numPr>
        <w:tabs>
          <w:tab w:val="left" w:pos="360"/>
        </w:tabs>
        <w:ind w:left="0" w:firstLine="0"/>
        <w:contextualSpacing w:val="0"/>
      </w:pPr>
      <w:r w:rsidRPr="009561F8">
        <w:t>Persons consulted on data collection and analysis:</w:t>
      </w:r>
    </w:p>
    <w:p w14:paraId="0BF6EF22" w14:textId="77777777" w:rsidR="00E73CDF" w:rsidRPr="009561F8" w:rsidRDefault="00E73CDF" w:rsidP="009561F8">
      <w:pPr>
        <w:pStyle w:val="ListParagraph"/>
        <w:tabs>
          <w:tab w:val="left" w:pos="360"/>
        </w:tabs>
        <w:ind w:left="0"/>
        <w:contextualSpacing w:val="0"/>
      </w:pPr>
    </w:p>
    <w:p w14:paraId="4F3FE9AD" w14:textId="77777777" w:rsidR="001D7A84" w:rsidRPr="009561F8" w:rsidRDefault="001D7A84" w:rsidP="009561F8">
      <w:pPr>
        <w:ind w:left="720"/>
      </w:pPr>
      <w:r w:rsidRPr="009561F8">
        <w:t>Travis Taniguchi, PhD</w:t>
      </w:r>
    </w:p>
    <w:p w14:paraId="61F47919" w14:textId="724DAAEF" w:rsidR="001D7A84" w:rsidRPr="009561F8" w:rsidRDefault="00E555FB" w:rsidP="009561F8">
      <w:pPr>
        <w:ind w:left="720"/>
      </w:pPr>
      <w:r w:rsidRPr="009561F8">
        <w:t>Research Criminologist</w:t>
      </w:r>
    </w:p>
    <w:p w14:paraId="7AD69975" w14:textId="77777777" w:rsidR="001D7A84" w:rsidRPr="009561F8" w:rsidRDefault="001D7A84" w:rsidP="009561F8">
      <w:pPr>
        <w:ind w:left="720"/>
      </w:pPr>
      <w:r w:rsidRPr="009561F8">
        <w:t>RTI International, Policing Research Program</w:t>
      </w:r>
    </w:p>
    <w:p w14:paraId="15CA147E" w14:textId="77777777" w:rsidR="001D7A84" w:rsidRPr="009561F8" w:rsidRDefault="001D7A84" w:rsidP="009561F8">
      <w:pPr>
        <w:ind w:left="720"/>
      </w:pPr>
      <w:r w:rsidRPr="009561F8">
        <w:t>taniguchi@rti.org</w:t>
      </w:r>
    </w:p>
    <w:p w14:paraId="0480EA56" w14:textId="77777777" w:rsidR="001D7A84" w:rsidRPr="009561F8" w:rsidRDefault="001D7A84" w:rsidP="009561F8">
      <w:pPr>
        <w:ind w:left="720"/>
      </w:pPr>
      <w:r w:rsidRPr="009561F8">
        <w:t>919.428.8501</w:t>
      </w:r>
    </w:p>
    <w:p w14:paraId="60AAA06F" w14:textId="77777777" w:rsidR="001D7A84" w:rsidRPr="009561F8" w:rsidRDefault="001D7A84" w:rsidP="009561F8">
      <w:pPr>
        <w:ind w:left="720"/>
      </w:pPr>
    </w:p>
    <w:p w14:paraId="0CD9AF33" w14:textId="77777777" w:rsidR="001D7A84" w:rsidRPr="009561F8" w:rsidRDefault="001D7A84" w:rsidP="009561F8">
      <w:pPr>
        <w:ind w:left="720"/>
      </w:pPr>
      <w:r w:rsidRPr="009561F8">
        <w:t>Timothy Smith, MA</w:t>
      </w:r>
    </w:p>
    <w:p w14:paraId="1622E815" w14:textId="77777777" w:rsidR="001D7A84" w:rsidRPr="009561F8" w:rsidRDefault="001D7A84" w:rsidP="009561F8">
      <w:pPr>
        <w:ind w:left="720"/>
      </w:pPr>
      <w:r w:rsidRPr="009561F8">
        <w:t>Director, Security and Resilience Program</w:t>
      </w:r>
    </w:p>
    <w:p w14:paraId="542E3C14" w14:textId="77777777" w:rsidR="001D7A84" w:rsidRPr="009561F8" w:rsidRDefault="001D7A84" w:rsidP="009561F8">
      <w:pPr>
        <w:ind w:left="720"/>
      </w:pPr>
      <w:r w:rsidRPr="009561F8">
        <w:t>RTI International, Survey Research Division</w:t>
      </w:r>
    </w:p>
    <w:p w14:paraId="0CC3ABED" w14:textId="77777777" w:rsidR="001D7A84" w:rsidRPr="009561F8" w:rsidRDefault="001D7A84" w:rsidP="009561F8">
      <w:pPr>
        <w:ind w:left="720"/>
      </w:pPr>
      <w:r w:rsidRPr="009561F8">
        <w:t>tksmith@rti.org</w:t>
      </w:r>
    </w:p>
    <w:p w14:paraId="49A762B6" w14:textId="77777777" w:rsidR="001D7A84" w:rsidRPr="009561F8" w:rsidRDefault="001D7A84" w:rsidP="009561F8">
      <w:pPr>
        <w:ind w:left="720"/>
      </w:pPr>
      <w:r w:rsidRPr="009561F8">
        <w:t>919.316.3988</w:t>
      </w:r>
    </w:p>
    <w:p w14:paraId="3582C220" w14:textId="77777777" w:rsidR="001D7A84" w:rsidRPr="009561F8" w:rsidRDefault="001D7A84" w:rsidP="009561F8">
      <w:pPr>
        <w:ind w:left="720"/>
      </w:pPr>
    </w:p>
    <w:p w14:paraId="745E0F94" w14:textId="77777777" w:rsidR="001D7A84" w:rsidRPr="009561F8" w:rsidRDefault="001D7A84" w:rsidP="009561F8">
      <w:pPr>
        <w:ind w:left="720"/>
      </w:pPr>
      <w:r w:rsidRPr="009561F8">
        <w:t>Ashley Griggs, MS</w:t>
      </w:r>
    </w:p>
    <w:p w14:paraId="57888551" w14:textId="77777777" w:rsidR="001D7A84" w:rsidRPr="009561F8" w:rsidRDefault="001D7A84" w:rsidP="009561F8">
      <w:pPr>
        <w:ind w:left="720"/>
      </w:pPr>
      <w:r w:rsidRPr="009561F8">
        <w:t>Survey Methodologist</w:t>
      </w:r>
    </w:p>
    <w:p w14:paraId="2B6F6BA3" w14:textId="77777777" w:rsidR="001D7A84" w:rsidRPr="009561F8" w:rsidRDefault="001D7A84" w:rsidP="009561F8">
      <w:pPr>
        <w:ind w:left="720"/>
      </w:pPr>
      <w:r w:rsidRPr="009561F8">
        <w:t>RTI International, Survey Research Division</w:t>
      </w:r>
    </w:p>
    <w:p w14:paraId="6C8125AD" w14:textId="77777777" w:rsidR="001D7A84" w:rsidRPr="009561F8" w:rsidRDefault="001D7A84" w:rsidP="009561F8">
      <w:pPr>
        <w:ind w:left="720"/>
      </w:pPr>
      <w:r w:rsidRPr="009561F8">
        <w:t>agriggs@rti.org</w:t>
      </w:r>
    </w:p>
    <w:p w14:paraId="318F5968" w14:textId="77777777" w:rsidR="001D7A84" w:rsidRPr="009561F8" w:rsidRDefault="001D7A84" w:rsidP="009561F8">
      <w:pPr>
        <w:ind w:left="720"/>
      </w:pPr>
      <w:r w:rsidRPr="009561F8">
        <w:t>919.541.8050</w:t>
      </w:r>
    </w:p>
    <w:p w14:paraId="6365B27C" w14:textId="77777777" w:rsidR="001D7A84" w:rsidRPr="009561F8" w:rsidRDefault="001D7A84" w:rsidP="009561F8">
      <w:pPr>
        <w:ind w:left="720"/>
      </w:pPr>
    </w:p>
    <w:p w14:paraId="4F7D38BB" w14:textId="77777777" w:rsidR="001D7A84" w:rsidRPr="009561F8" w:rsidRDefault="001D7A84" w:rsidP="009561F8">
      <w:pPr>
        <w:ind w:left="720"/>
      </w:pPr>
      <w:r w:rsidRPr="009561F8">
        <w:t>Alicia Frasier, MPH</w:t>
      </w:r>
    </w:p>
    <w:p w14:paraId="11F6372D" w14:textId="77777777" w:rsidR="001D7A84" w:rsidRPr="009561F8" w:rsidRDefault="001D7A84" w:rsidP="009561F8">
      <w:pPr>
        <w:ind w:left="720"/>
      </w:pPr>
      <w:r w:rsidRPr="009561F8">
        <w:t>Senior Survey Director</w:t>
      </w:r>
    </w:p>
    <w:p w14:paraId="2DAF79A3" w14:textId="77777777" w:rsidR="001D7A84" w:rsidRPr="009561F8" w:rsidRDefault="001D7A84" w:rsidP="009561F8">
      <w:pPr>
        <w:ind w:left="720"/>
      </w:pPr>
      <w:r w:rsidRPr="009561F8">
        <w:t>RTI International, Survey Research Division</w:t>
      </w:r>
    </w:p>
    <w:p w14:paraId="3FDA3636" w14:textId="77777777" w:rsidR="001D7A84" w:rsidRPr="009561F8" w:rsidRDefault="001D7A84" w:rsidP="009561F8">
      <w:pPr>
        <w:ind w:left="720"/>
      </w:pPr>
      <w:r w:rsidRPr="009561F8">
        <w:t>afrasier@rti.org</w:t>
      </w:r>
    </w:p>
    <w:p w14:paraId="315E80D9" w14:textId="77777777" w:rsidR="001D7A84" w:rsidRPr="009561F8" w:rsidRDefault="001D7A84" w:rsidP="009561F8">
      <w:pPr>
        <w:ind w:left="720"/>
      </w:pPr>
      <w:r w:rsidRPr="009561F8">
        <w:t>312.759.5214</w:t>
      </w:r>
    </w:p>
    <w:p w14:paraId="692F2F9B" w14:textId="14812C69" w:rsidR="00797C04" w:rsidRPr="009561F8" w:rsidRDefault="00797C04" w:rsidP="009561F8">
      <w:pPr>
        <w:pStyle w:val="ListParagraph"/>
        <w:contextualSpacing w:val="0"/>
      </w:pPr>
    </w:p>
    <w:tbl>
      <w:tblPr>
        <w:tblW w:w="4750" w:type="pct"/>
        <w:tblCellSpacing w:w="0" w:type="dxa"/>
        <w:tblCellMar>
          <w:left w:w="0" w:type="dxa"/>
          <w:right w:w="0" w:type="dxa"/>
        </w:tblCellMar>
        <w:tblLook w:val="04A0" w:firstRow="1" w:lastRow="0" w:firstColumn="1" w:lastColumn="0" w:noHBand="0" w:noVBand="1"/>
      </w:tblPr>
      <w:tblGrid>
        <w:gridCol w:w="8892"/>
      </w:tblGrid>
      <w:tr w:rsidR="00E73CDF" w:rsidRPr="009561F8" w14:paraId="514BD2CD" w14:textId="77777777" w:rsidTr="00CA35A2">
        <w:trPr>
          <w:tblCellSpacing w:w="0" w:type="dxa"/>
        </w:trPr>
        <w:tc>
          <w:tcPr>
            <w:tcW w:w="0" w:type="auto"/>
            <w:vAlign w:val="center"/>
            <w:hideMark/>
          </w:tcPr>
          <w:p w14:paraId="5242372E" w14:textId="77777777" w:rsidR="004C3B1A" w:rsidRPr="009561F8" w:rsidRDefault="00E73CDF" w:rsidP="009561F8">
            <w:pPr>
              <w:spacing w:before="100" w:beforeAutospacing="1" w:after="100" w:afterAutospacing="1"/>
            </w:pPr>
            <w:r w:rsidRPr="009561F8">
              <w:rPr>
                <w:b/>
                <w:sz w:val="28"/>
                <w:szCs w:val="28"/>
                <w:u w:val="single"/>
              </w:rPr>
              <w:br w:type="column"/>
            </w:r>
          </w:p>
        </w:tc>
      </w:tr>
    </w:tbl>
    <w:p w14:paraId="64E2DC4F" w14:textId="77777777" w:rsidR="00E73CDF" w:rsidRPr="009561F8" w:rsidRDefault="00E73CDF" w:rsidP="009561F8">
      <w:pPr>
        <w:spacing w:after="120"/>
        <w:rPr>
          <w:b/>
          <w:sz w:val="28"/>
          <w:szCs w:val="28"/>
          <w:u w:val="single"/>
        </w:rPr>
      </w:pPr>
      <w:r w:rsidRPr="009561F8">
        <w:rPr>
          <w:b/>
          <w:sz w:val="28"/>
          <w:szCs w:val="28"/>
          <w:u w:val="single"/>
        </w:rPr>
        <w:t>Attachments:</w:t>
      </w:r>
    </w:p>
    <w:p w14:paraId="6E48667A" w14:textId="77777777" w:rsidR="003B3D30" w:rsidRPr="003B3D30" w:rsidRDefault="003B3D30" w:rsidP="003B3D30">
      <w:pPr>
        <w:pStyle w:val="ListParagraph"/>
        <w:numPr>
          <w:ilvl w:val="0"/>
          <w:numId w:val="19"/>
        </w:numPr>
        <w:spacing w:after="120"/>
        <w:contextualSpacing w:val="0"/>
      </w:pPr>
      <w:r w:rsidRPr="003B3D30">
        <w:t>2018 CLETA draft paper questionnaire</w:t>
      </w:r>
    </w:p>
    <w:p w14:paraId="6A904AAF" w14:textId="77777777" w:rsidR="003B3D30" w:rsidRPr="003B3D30" w:rsidRDefault="003B3D30" w:rsidP="003B3D30">
      <w:pPr>
        <w:pStyle w:val="ListParagraph"/>
        <w:numPr>
          <w:ilvl w:val="0"/>
          <w:numId w:val="19"/>
        </w:numPr>
        <w:spacing w:after="120"/>
        <w:contextualSpacing w:val="0"/>
      </w:pPr>
      <w:r w:rsidRPr="003B3D30">
        <w:t>2018 CLETA web screen shots</w:t>
      </w:r>
    </w:p>
    <w:p w14:paraId="3C8DF8DC" w14:textId="365970A1" w:rsidR="003B3D30" w:rsidRPr="003B3D30" w:rsidRDefault="003B3D30" w:rsidP="003B3D30">
      <w:pPr>
        <w:pStyle w:val="ListParagraph"/>
        <w:numPr>
          <w:ilvl w:val="0"/>
          <w:numId w:val="19"/>
        </w:numPr>
        <w:spacing w:after="120"/>
        <w:contextualSpacing w:val="0"/>
      </w:pPr>
      <w:r>
        <w:t>60-day notice</w:t>
      </w:r>
    </w:p>
    <w:p w14:paraId="2D90EF3B" w14:textId="130849EF" w:rsidR="003B3D30" w:rsidRPr="003B3D30" w:rsidRDefault="003B3D30" w:rsidP="003B3D30">
      <w:pPr>
        <w:pStyle w:val="ListParagraph"/>
        <w:numPr>
          <w:ilvl w:val="0"/>
          <w:numId w:val="19"/>
        </w:numPr>
        <w:spacing w:after="120"/>
        <w:contextualSpacing w:val="0"/>
      </w:pPr>
      <w:r>
        <w:t>30-day notice</w:t>
      </w:r>
    </w:p>
    <w:p w14:paraId="2C368613" w14:textId="77777777" w:rsidR="003B3D30" w:rsidRPr="003B3D30" w:rsidRDefault="003B3D30" w:rsidP="003B3D30">
      <w:pPr>
        <w:pStyle w:val="ListParagraph"/>
        <w:numPr>
          <w:ilvl w:val="0"/>
          <w:numId w:val="19"/>
        </w:numPr>
        <w:spacing w:after="120"/>
        <w:contextualSpacing w:val="0"/>
      </w:pPr>
      <w:r w:rsidRPr="003B3D30">
        <w:t>Pre-notification letter</w:t>
      </w:r>
    </w:p>
    <w:p w14:paraId="311E0336" w14:textId="77777777" w:rsidR="003B3D30" w:rsidRPr="003B3D30" w:rsidRDefault="003B3D30" w:rsidP="003B3D30">
      <w:pPr>
        <w:pStyle w:val="ListParagraph"/>
        <w:numPr>
          <w:ilvl w:val="0"/>
          <w:numId w:val="19"/>
        </w:numPr>
        <w:spacing w:after="120"/>
        <w:contextualSpacing w:val="0"/>
      </w:pPr>
      <w:r w:rsidRPr="003B3D30">
        <w:t>Survey invitation letter (mail)</w:t>
      </w:r>
    </w:p>
    <w:p w14:paraId="676E05D5" w14:textId="77777777" w:rsidR="003B3D30" w:rsidRPr="003B3D30" w:rsidRDefault="003B3D30" w:rsidP="003B3D30">
      <w:pPr>
        <w:pStyle w:val="ListParagraph"/>
        <w:numPr>
          <w:ilvl w:val="0"/>
          <w:numId w:val="19"/>
        </w:numPr>
        <w:spacing w:after="120"/>
        <w:contextualSpacing w:val="0"/>
      </w:pPr>
      <w:r w:rsidRPr="003B3D30">
        <w:t>2018 CLETA flyer</w:t>
      </w:r>
    </w:p>
    <w:p w14:paraId="02E2A6B5" w14:textId="77777777" w:rsidR="003B3D30" w:rsidRPr="003B3D30" w:rsidRDefault="003B3D30" w:rsidP="003B3D30">
      <w:pPr>
        <w:pStyle w:val="ListParagraph"/>
        <w:numPr>
          <w:ilvl w:val="0"/>
          <w:numId w:val="19"/>
        </w:numPr>
        <w:spacing w:after="120"/>
        <w:contextualSpacing w:val="0"/>
      </w:pPr>
      <w:r w:rsidRPr="003B3D30">
        <w:t>IADLEST letter of support</w:t>
      </w:r>
    </w:p>
    <w:p w14:paraId="4C221790" w14:textId="77777777" w:rsidR="003B3D30" w:rsidRPr="003B3D30" w:rsidRDefault="003B3D30" w:rsidP="003B3D30">
      <w:pPr>
        <w:pStyle w:val="ListParagraph"/>
        <w:numPr>
          <w:ilvl w:val="0"/>
          <w:numId w:val="19"/>
        </w:numPr>
        <w:spacing w:after="120"/>
        <w:contextualSpacing w:val="0"/>
      </w:pPr>
      <w:r w:rsidRPr="003B3D30">
        <w:t>Survey invitation letter (email)</w:t>
      </w:r>
    </w:p>
    <w:p w14:paraId="52EED6CA" w14:textId="77777777" w:rsidR="003B3D30" w:rsidRPr="003B3D30" w:rsidRDefault="003B3D30" w:rsidP="003B3D30">
      <w:pPr>
        <w:pStyle w:val="ListParagraph"/>
        <w:numPr>
          <w:ilvl w:val="0"/>
          <w:numId w:val="19"/>
        </w:numPr>
        <w:spacing w:after="120"/>
        <w:contextualSpacing w:val="0"/>
      </w:pPr>
      <w:r w:rsidRPr="003B3D30">
        <w:t>First reminder (mail)</w:t>
      </w:r>
    </w:p>
    <w:p w14:paraId="2FB2EE4F" w14:textId="3C8A2E92" w:rsidR="003B3D30" w:rsidRPr="003B3D30" w:rsidRDefault="003B3D30" w:rsidP="003B3D30">
      <w:pPr>
        <w:pStyle w:val="ListParagraph"/>
        <w:numPr>
          <w:ilvl w:val="0"/>
          <w:numId w:val="19"/>
        </w:numPr>
        <w:spacing w:after="120"/>
        <w:contextualSpacing w:val="0"/>
      </w:pPr>
      <w:r w:rsidRPr="003B3D30">
        <w:t>Second reminder (</w:t>
      </w:r>
      <w:r w:rsidR="001D4283">
        <w:t>e</w:t>
      </w:r>
      <w:r w:rsidRPr="003B3D30">
        <w:t>mail)</w:t>
      </w:r>
    </w:p>
    <w:p w14:paraId="7E6D07E4" w14:textId="77777777" w:rsidR="003B3D30" w:rsidRPr="003B3D30" w:rsidRDefault="003B3D30" w:rsidP="003B3D30">
      <w:pPr>
        <w:pStyle w:val="ListParagraph"/>
        <w:numPr>
          <w:ilvl w:val="0"/>
          <w:numId w:val="19"/>
        </w:numPr>
        <w:spacing w:after="120"/>
        <w:contextualSpacing w:val="0"/>
      </w:pPr>
      <w:r w:rsidRPr="003B3D30">
        <w:t>Third reminder (email)</w:t>
      </w:r>
    </w:p>
    <w:p w14:paraId="37D4A2B3" w14:textId="77777777" w:rsidR="003B3D30" w:rsidRPr="003B3D30" w:rsidRDefault="003B3D30" w:rsidP="003B3D30">
      <w:pPr>
        <w:pStyle w:val="ListParagraph"/>
        <w:numPr>
          <w:ilvl w:val="0"/>
          <w:numId w:val="19"/>
        </w:numPr>
        <w:spacing w:after="120"/>
        <w:contextualSpacing w:val="0"/>
      </w:pPr>
      <w:r w:rsidRPr="003B3D30">
        <w:t>Fourth reminder (mail)</w:t>
      </w:r>
    </w:p>
    <w:p w14:paraId="0F7237E6" w14:textId="77777777" w:rsidR="003138B2" w:rsidRDefault="003138B2" w:rsidP="003138B2">
      <w:pPr>
        <w:pStyle w:val="ListParagraph"/>
        <w:numPr>
          <w:ilvl w:val="0"/>
          <w:numId w:val="19"/>
        </w:numPr>
        <w:spacing w:after="120"/>
        <w:contextualSpacing w:val="0"/>
      </w:pPr>
      <w:r>
        <w:t>Telephone Data Quality Follow Up script</w:t>
      </w:r>
    </w:p>
    <w:p w14:paraId="0ACDE760" w14:textId="77777777" w:rsidR="003138B2" w:rsidRPr="003B3D30" w:rsidRDefault="003138B2" w:rsidP="003138B2">
      <w:pPr>
        <w:pStyle w:val="ListParagraph"/>
        <w:numPr>
          <w:ilvl w:val="0"/>
          <w:numId w:val="19"/>
        </w:numPr>
        <w:spacing w:after="120"/>
        <w:contextualSpacing w:val="0"/>
      </w:pPr>
      <w:r w:rsidRPr="003B3D30">
        <w:t>Telephone N</w:t>
      </w:r>
      <w:r>
        <w:t xml:space="preserve">on </w:t>
      </w:r>
      <w:r w:rsidRPr="003B3D30">
        <w:t>R</w:t>
      </w:r>
      <w:r>
        <w:t xml:space="preserve">esponse </w:t>
      </w:r>
      <w:r w:rsidRPr="003B3D30">
        <w:t>F</w:t>
      </w:r>
      <w:r>
        <w:t xml:space="preserve">ollow </w:t>
      </w:r>
      <w:r w:rsidRPr="003B3D30">
        <w:t>U</w:t>
      </w:r>
      <w:r>
        <w:t>p</w:t>
      </w:r>
      <w:r w:rsidRPr="003B3D30">
        <w:t xml:space="preserve"> script</w:t>
      </w:r>
    </w:p>
    <w:p w14:paraId="2B02B71B" w14:textId="781B5A32" w:rsidR="003138B2" w:rsidRPr="003B3D30" w:rsidRDefault="003138B2" w:rsidP="003138B2">
      <w:pPr>
        <w:pStyle w:val="ListParagraph"/>
        <w:numPr>
          <w:ilvl w:val="0"/>
          <w:numId w:val="19"/>
        </w:numPr>
        <w:spacing w:after="120"/>
        <w:contextualSpacing w:val="0"/>
      </w:pPr>
      <w:r>
        <w:t>Fifth</w:t>
      </w:r>
      <w:r w:rsidRPr="003B3D30">
        <w:t xml:space="preserve"> reminder (mail)</w:t>
      </w:r>
    </w:p>
    <w:p w14:paraId="73728404" w14:textId="77777777" w:rsidR="003B3D30" w:rsidRPr="003B3D30" w:rsidRDefault="003B3D30" w:rsidP="003B3D30">
      <w:pPr>
        <w:pStyle w:val="ListParagraph"/>
        <w:numPr>
          <w:ilvl w:val="0"/>
          <w:numId w:val="19"/>
        </w:numPr>
        <w:spacing w:after="120"/>
        <w:contextualSpacing w:val="0"/>
      </w:pPr>
      <w:r w:rsidRPr="003B3D30">
        <w:t>Fifth reminder (email)</w:t>
      </w:r>
    </w:p>
    <w:p w14:paraId="246D663C" w14:textId="77777777" w:rsidR="003B3D30" w:rsidRDefault="003B3D30" w:rsidP="003B3D30">
      <w:pPr>
        <w:pStyle w:val="ListParagraph"/>
        <w:numPr>
          <w:ilvl w:val="0"/>
          <w:numId w:val="19"/>
        </w:numPr>
        <w:spacing w:after="120"/>
        <w:contextualSpacing w:val="0"/>
      </w:pPr>
      <w:r w:rsidRPr="003B3D30">
        <w:t>End-of-study reminder (mail)</w:t>
      </w:r>
    </w:p>
    <w:p w14:paraId="28466C97" w14:textId="671A56CA" w:rsidR="00052297" w:rsidRDefault="00052297" w:rsidP="003B3D30">
      <w:pPr>
        <w:pStyle w:val="ListParagraph"/>
        <w:numPr>
          <w:ilvl w:val="0"/>
          <w:numId w:val="19"/>
        </w:numPr>
        <w:spacing w:after="120"/>
        <w:contextualSpacing w:val="0"/>
      </w:pPr>
      <w:r>
        <w:t xml:space="preserve">Thank you letter (mail) </w:t>
      </w:r>
    </w:p>
    <w:p w14:paraId="411D15D9" w14:textId="13DC013F" w:rsidR="00483065" w:rsidRPr="003B3D30" w:rsidRDefault="00483065" w:rsidP="003B3D30">
      <w:pPr>
        <w:pStyle w:val="ListParagraph"/>
        <w:numPr>
          <w:ilvl w:val="0"/>
          <w:numId w:val="19"/>
        </w:numPr>
        <w:spacing w:after="120"/>
        <w:contextualSpacing w:val="0"/>
      </w:pPr>
      <w:r>
        <w:t>Cognitive Interview Report</w:t>
      </w:r>
    </w:p>
    <w:p w14:paraId="3553E4F6" w14:textId="3050DC15" w:rsidR="0067742B" w:rsidRPr="009561F8" w:rsidRDefault="0067742B" w:rsidP="0076474F">
      <w:pPr>
        <w:pStyle w:val="ListParagraph"/>
        <w:spacing w:after="120"/>
        <w:ind w:left="360"/>
        <w:contextualSpacing w:val="0"/>
      </w:pPr>
    </w:p>
    <w:sectPr w:rsidR="0067742B" w:rsidRPr="009561F8" w:rsidSect="002A780B">
      <w:footerReference w:type="default" r:id="rId9"/>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4D4AE5" w16cid:durableId="1E4CE497"/>
  <w16cid:commentId w16cid:paraId="2C0F3C25" w16cid:durableId="1E6CE75F"/>
  <w16cid:commentId w16cid:paraId="101B4E3C" w16cid:durableId="1E63EA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D7FB5" w14:textId="77777777" w:rsidR="006B644E" w:rsidRDefault="006B644E" w:rsidP="00421095">
      <w:r>
        <w:separator/>
      </w:r>
    </w:p>
  </w:endnote>
  <w:endnote w:type="continuationSeparator" w:id="0">
    <w:p w14:paraId="56D8F47B" w14:textId="77777777" w:rsidR="006B644E" w:rsidRDefault="006B644E" w:rsidP="0042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7FC84" w14:textId="51C137D2" w:rsidR="006B644E" w:rsidRDefault="006B644E">
    <w:pPr>
      <w:pStyle w:val="Footer"/>
      <w:jc w:val="center"/>
    </w:pPr>
    <w:r>
      <w:fldChar w:fldCharType="begin"/>
    </w:r>
    <w:r>
      <w:instrText xml:space="preserve"> PAGE   \* MERGEFORMAT </w:instrText>
    </w:r>
    <w:r>
      <w:fldChar w:fldCharType="separate"/>
    </w:r>
    <w:r w:rsidR="003A6884">
      <w:rPr>
        <w:noProof/>
      </w:rPr>
      <w:t>1</w:t>
    </w:r>
    <w:r>
      <w:rPr>
        <w:noProof/>
      </w:rPr>
      <w:fldChar w:fldCharType="end"/>
    </w:r>
  </w:p>
  <w:p w14:paraId="015F4254" w14:textId="77777777" w:rsidR="006B644E" w:rsidRDefault="006B6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D53DD" w14:textId="77777777" w:rsidR="006B644E" w:rsidRDefault="006B644E" w:rsidP="00421095">
      <w:r>
        <w:separator/>
      </w:r>
    </w:p>
  </w:footnote>
  <w:footnote w:type="continuationSeparator" w:id="0">
    <w:p w14:paraId="47946F4C" w14:textId="77777777" w:rsidR="006B644E" w:rsidRDefault="006B644E" w:rsidP="00421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5">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30003"/>
    <w:multiLevelType w:val="hybridMultilevel"/>
    <w:tmpl w:val="B780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23869"/>
    <w:multiLevelType w:val="hybridMultilevel"/>
    <w:tmpl w:val="A5D69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E6EC9"/>
    <w:multiLevelType w:val="hybridMultilevel"/>
    <w:tmpl w:val="BD76C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050B2"/>
    <w:multiLevelType w:val="hybridMultilevel"/>
    <w:tmpl w:val="E60E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3DB255F"/>
    <w:multiLevelType w:val="hybridMultilevel"/>
    <w:tmpl w:val="4C7EF74E"/>
    <w:lvl w:ilvl="0" w:tplc="C168574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3"/>
  </w:num>
  <w:num w:numId="7">
    <w:abstractNumId w:val="5"/>
  </w:num>
  <w:num w:numId="8">
    <w:abstractNumId w:val="16"/>
  </w:num>
  <w:num w:numId="9">
    <w:abstractNumId w:val="4"/>
  </w:num>
  <w:num w:numId="10">
    <w:abstractNumId w:val="23"/>
  </w:num>
  <w:num w:numId="11">
    <w:abstractNumId w:val="14"/>
  </w:num>
  <w:num w:numId="12">
    <w:abstractNumId w:val="0"/>
  </w:num>
  <w:num w:numId="13">
    <w:abstractNumId w:val="21"/>
  </w:num>
  <w:num w:numId="14">
    <w:abstractNumId w:val="15"/>
  </w:num>
  <w:num w:numId="15">
    <w:abstractNumId w:val="2"/>
  </w:num>
  <w:num w:numId="16">
    <w:abstractNumId w:val="12"/>
  </w:num>
  <w:num w:numId="17">
    <w:abstractNumId w:val="1"/>
  </w:num>
  <w:num w:numId="18">
    <w:abstractNumId w:val="19"/>
  </w:num>
  <w:num w:numId="19">
    <w:abstractNumId w:val="20"/>
  </w:num>
  <w:num w:numId="20">
    <w:abstractNumId w:val="13"/>
  </w:num>
  <w:num w:numId="21">
    <w:abstractNumId w:val="7"/>
  </w:num>
  <w:num w:numId="22">
    <w:abstractNumId w:val="9"/>
  </w:num>
  <w:num w:numId="23">
    <w:abstractNumId w:val="18"/>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95"/>
    <w:rsid w:val="00002404"/>
    <w:rsid w:val="00014A75"/>
    <w:rsid w:val="00016213"/>
    <w:rsid w:val="00023294"/>
    <w:rsid w:val="00033F8F"/>
    <w:rsid w:val="00050157"/>
    <w:rsid w:val="00052297"/>
    <w:rsid w:val="00054646"/>
    <w:rsid w:val="0007040A"/>
    <w:rsid w:val="00080B7B"/>
    <w:rsid w:val="00081340"/>
    <w:rsid w:val="000822E1"/>
    <w:rsid w:val="00085720"/>
    <w:rsid w:val="000926FE"/>
    <w:rsid w:val="000A4419"/>
    <w:rsid w:val="000A650C"/>
    <w:rsid w:val="000D1D5D"/>
    <w:rsid w:val="000D5DD6"/>
    <w:rsid w:val="000D6E27"/>
    <w:rsid w:val="000E0900"/>
    <w:rsid w:val="000F096E"/>
    <w:rsid w:val="000F5BD5"/>
    <w:rsid w:val="00105880"/>
    <w:rsid w:val="001127A0"/>
    <w:rsid w:val="00125224"/>
    <w:rsid w:val="00126880"/>
    <w:rsid w:val="00135A72"/>
    <w:rsid w:val="0014205B"/>
    <w:rsid w:val="00142812"/>
    <w:rsid w:val="0014729D"/>
    <w:rsid w:val="0015008F"/>
    <w:rsid w:val="001756B1"/>
    <w:rsid w:val="00184F74"/>
    <w:rsid w:val="00195506"/>
    <w:rsid w:val="001B2FDB"/>
    <w:rsid w:val="001D0069"/>
    <w:rsid w:val="001D0B80"/>
    <w:rsid w:val="001D2403"/>
    <w:rsid w:val="001D4283"/>
    <w:rsid w:val="001D5736"/>
    <w:rsid w:val="001D7A84"/>
    <w:rsid w:val="001F48EA"/>
    <w:rsid w:val="00204F71"/>
    <w:rsid w:val="0021346F"/>
    <w:rsid w:val="002529F3"/>
    <w:rsid w:val="0025383E"/>
    <w:rsid w:val="002571A7"/>
    <w:rsid w:val="0028322C"/>
    <w:rsid w:val="002934A5"/>
    <w:rsid w:val="0029378F"/>
    <w:rsid w:val="0029771E"/>
    <w:rsid w:val="002A6115"/>
    <w:rsid w:val="002A780B"/>
    <w:rsid w:val="002B40A1"/>
    <w:rsid w:val="002C1195"/>
    <w:rsid w:val="003009F3"/>
    <w:rsid w:val="003031DA"/>
    <w:rsid w:val="003138B2"/>
    <w:rsid w:val="003143E4"/>
    <w:rsid w:val="00316268"/>
    <w:rsid w:val="003436E1"/>
    <w:rsid w:val="0035062C"/>
    <w:rsid w:val="00372124"/>
    <w:rsid w:val="00372210"/>
    <w:rsid w:val="003737A5"/>
    <w:rsid w:val="00375750"/>
    <w:rsid w:val="003764E3"/>
    <w:rsid w:val="00380B68"/>
    <w:rsid w:val="0038287B"/>
    <w:rsid w:val="003A6884"/>
    <w:rsid w:val="003B3D30"/>
    <w:rsid w:val="003B3F4F"/>
    <w:rsid w:val="003D761B"/>
    <w:rsid w:val="004062B0"/>
    <w:rsid w:val="00421095"/>
    <w:rsid w:val="00451D4F"/>
    <w:rsid w:val="0045706B"/>
    <w:rsid w:val="00470EDF"/>
    <w:rsid w:val="00474FAF"/>
    <w:rsid w:val="004752AE"/>
    <w:rsid w:val="00483065"/>
    <w:rsid w:val="00486047"/>
    <w:rsid w:val="004A1194"/>
    <w:rsid w:val="004A43EC"/>
    <w:rsid w:val="004C04D7"/>
    <w:rsid w:val="004C3B1A"/>
    <w:rsid w:val="004C7B82"/>
    <w:rsid w:val="004D1A17"/>
    <w:rsid w:val="004E712F"/>
    <w:rsid w:val="004F4A28"/>
    <w:rsid w:val="005176EA"/>
    <w:rsid w:val="00522972"/>
    <w:rsid w:val="00540B32"/>
    <w:rsid w:val="00551425"/>
    <w:rsid w:val="00561732"/>
    <w:rsid w:val="00563991"/>
    <w:rsid w:val="00576D0F"/>
    <w:rsid w:val="00580CAD"/>
    <w:rsid w:val="00597314"/>
    <w:rsid w:val="00597E58"/>
    <w:rsid w:val="005A2FFF"/>
    <w:rsid w:val="005A5236"/>
    <w:rsid w:val="005A74C1"/>
    <w:rsid w:val="005D385F"/>
    <w:rsid w:val="005D6CDA"/>
    <w:rsid w:val="005E086D"/>
    <w:rsid w:val="005E448D"/>
    <w:rsid w:val="005E4BE4"/>
    <w:rsid w:val="005F5A48"/>
    <w:rsid w:val="006019B8"/>
    <w:rsid w:val="00605F88"/>
    <w:rsid w:val="00610CCB"/>
    <w:rsid w:val="00634474"/>
    <w:rsid w:val="00634813"/>
    <w:rsid w:val="00634B4A"/>
    <w:rsid w:val="00645FE4"/>
    <w:rsid w:val="00653917"/>
    <w:rsid w:val="00653DFC"/>
    <w:rsid w:val="00654F27"/>
    <w:rsid w:val="0067609B"/>
    <w:rsid w:val="0067742B"/>
    <w:rsid w:val="00692D30"/>
    <w:rsid w:val="006B644E"/>
    <w:rsid w:val="006C6576"/>
    <w:rsid w:val="006E0274"/>
    <w:rsid w:val="006E3648"/>
    <w:rsid w:val="006F37A9"/>
    <w:rsid w:val="006F5109"/>
    <w:rsid w:val="007117E1"/>
    <w:rsid w:val="00720E79"/>
    <w:rsid w:val="00730FD5"/>
    <w:rsid w:val="00732182"/>
    <w:rsid w:val="00747B75"/>
    <w:rsid w:val="007518E2"/>
    <w:rsid w:val="0076474F"/>
    <w:rsid w:val="00765C10"/>
    <w:rsid w:val="007724E2"/>
    <w:rsid w:val="00776267"/>
    <w:rsid w:val="0079053B"/>
    <w:rsid w:val="00792E7B"/>
    <w:rsid w:val="00795B4C"/>
    <w:rsid w:val="00796CE4"/>
    <w:rsid w:val="00797C04"/>
    <w:rsid w:val="007A50F4"/>
    <w:rsid w:val="007B5215"/>
    <w:rsid w:val="007C0DE3"/>
    <w:rsid w:val="007D2796"/>
    <w:rsid w:val="007D2F86"/>
    <w:rsid w:val="007D43B8"/>
    <w:rsid w:val="007E7C47"/>
    <w:rsid w:val="007F4B03"/>
    <w:rsid w:val="008378EB"/>
    <w:rsid w:val="00854ACC"/>
    <w:rsid w:val="00860CE0"/>
    <w:rsid w:val="008633F7"/>
    <w:rsid w:val="00866401"/>
    <w:rsid w:val="00873656"/>
    <w:rsid w:val="0087770F"/>
    <w:rsid w:val="00881132"/>
    <w:rsid w:val="0088615A"/>
    <w:rsid w:val="00892923"/>
    <w:rsid w:val="0089327F"/>
    <w:rsid w:val="0089647E"/>
    <w:rsid w:val="008B66B9"/>
    <w:rsid w:val="008C5B49"/>
    <w:rsid w:val="008D0673"/>
    <w:rsid w:val="008D4883"/>
    <w:rsid w:val="008D4BE4"/>
    <w:rsid w:val="008D7A43"/>
    <w:rsid w:val="008E488A"/>
    <w:rsid w:val="008F607E"/>
    <w:rsid w:val="00902FB6"/>
    <w:rsid w:val="009047C8"/>
    <w:rsid w:val="009065C7"/>
    <w:rsid w:val="00907513"/>
    <w:rsid w:val="009249DB"/>
    <w:rsid w:val="00935BF2"/>
    <w:rsid w:val="00936175"/>
    <w:rsid w:val="009561F8"/>
    <w:rsid w:val="00961A19"/>
    <w:rsid w:val="00962657"/>
    <w:rsid w:val="00965177"/>
    <w:rsid w:val="00967556"/>
    <w:rsid w:val="0097670C"/>
    <w:rsid w:val="009D4CDB"/>
    <w:rsid w:val="009F1CA6"/>
    <w:rsid w:val="00A03BFC"/>
    <w:rsid w:val="00A04ED7"/>
    <w:rsid w:val="00A10D6D"/>
    <w:rsid w:val="00A251E6"/>
    <w:rsid w:val="00A631F2"/>
    <w:rsid w:val="00A664C6"/>
    <w:rsid w:val="00A74CCC"/>
    <w:rsid w:val="00A80BCC"/>
    <w:rsid w:val="00A877BF"/>
    <w:rsid w:val="00AA43A0"/>
    <w:rsid w:val="00AA4A60"/>
    <w:rsid w:val="00AC1780"/>
    <w:rsid w:val="00AC4640"/>
    <w:rsid w:val="00AE6383"/>
    <w:rsid w:val="00AE7F3A"/>
    <w:rsid w:val="00AF5A4A"/>
    <w:rsid w:val="00AF7385"/>
    <w:rsid w:val="00B30A3C"/>
    <w:rsid w:val="00B42DC5"/>
    <w:rsid w:val="00B4474B"/>
    <w:rsid w:val="00B46342"/>
    <w:rsid w:val="00B5027C"/>
    <w:rsid w:val="00B6669C"/>
    <w:rsid w:val="00B71B39"/>
    <w:rsid w:val="00B90578"/>
    <w:rsid w:val="00B9193D"/>
    <w:rsid w:val="00B948CD"/>
    <w:rsid w:val="00B96919"/>
    <w:rsid w:val="00BA3119"/>
    <w:rsid w:val="00BA38BB"/>
    <w:rsid w:val="00BA551B"/>
    <w:rsid w:val="00BA5F1A"/>
    <w:rsid w:val="00BA760A"/>
    <w:rsid w:val="00BB1B5F"/>
    <w:rsid w:val="00BD5D80"/>
    <w:rsid w:val="00BF6A7E"/>
    <w:rsid w:val="00C03D85"/>
    <w:rsid w:val="00C13CA2"/>
    <w:rsid w:val="00C14257"/>
    <w:rsid w:val="00C406FB"/>
    <w:rsid w:val="00C46F7B"/>
    <w:rsid w:val="00C75265"/>
    <w:rsid w:val="00C7554E"/>
    <w:rsid w:val="00C81679"/>
    <w:rsid w:val="00CA35A2"/>
    <w:rsid w:val="00CA71DD"/>
    <w:rsid w:val="00CC47B1"/>
    <w:rsid w:val="00CC7CB4"/>
    <w:rsid w:val="00CD2DCA"/>
    <w:rsid w:val="00CD2FA8"/>
    <w:rsid w:val="00CE57B6"/>
    <w:rsid w:val="00CE72C2"/>
    <w:rsid w:val="00D0050D"/>
    <w:rsid w:val="00D07046"/>
    <w:rsid w:val="00D12407"/>
    <w:rsid w:val="00D24F77"/>
    <w:rsid w:val="00D277D2"/>
    <w:rsid w:val="00D37852"/>
    <w:rsid w:val="00D441BA"/>
    <w:rsid w:val="00D6513D"/>
    <w:rsid w:val="00D80CA2"/>
    <w:rsid w:val="00D86B6B"/>
    <w:rsid w:val="00D91DDC"/>
    <w:rsid w:val="00DA1338"/>
    <w:rsid w:val="00DA7A77"/>
    <w:rsid w:val="00DC2E20"/>
    <w:rsid w:val="00DC35FA"/>
    <w:rsid w:val="00DC499A"/>
    <w:rsid w:val="00DE2AA7"/>
    <w:rsid w:val="00DE4BBB"/>
    <w:rsid w:val="00E012B7"/>
    <w:rsid w:val="00E1269B"/>
    <w:rsid w:val="00E253B2"/>
    <w:rsid w:val="00E36C31"/>
    <w:rsid w:val="00E505CC"/>
    <w:rsid w:val="00E555FB"/>
    <w:rsid w:val="00E636FE"/>
    <w:rsid w:val="00E638C2"/>
    <w:rsid w:val="00E6505A"/>
    <w:rsid w:val="00E703D2"/>
    <w:rsid w:val="00E73CDF"/>
    <w:rsid w:val="00E87E54"/>
    <w:rsid w:val="00E94DD9"/>
    <w:rsid w:val="00EA093C"/>
    <w:rsid w:val="00EA179E"/>
    <w:rsid w:val="00EC7CC2"/>
    <w:rsid w:val="00ED7214"/>
    <w:rsid w:val="00F046E0"/>
    <w:rsid w:val="00F065B0"/>
    <w:rsid w:val="00F12A88"/>
    <w:rsid w:val="00F1711A"/>
    <w:rsid w:val="00F1799B"/>
    <w:rsid w:val="00F258A6"/>
    <w:rsid w:val="00F31385"/>
    <w:rsid w:val="00F475C8"/>
    <w:rsid w:val="00F514BF"/>
    <w:rsid w:val="00F5381D"/>
    <w:rsid w:val="00F572D8"/>
    <w:rsid w:val="00F6199F"/>
    <w:rsid w:val="00F6276F"/>
    <w:rsid w:val="00F744CB"/>
    <w:rsid w:val="00FB4C4B"/>
    <w:rsid w:val="00FC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48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uiPriority w:val="99"/>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5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character" w:customStyle="1" w:styleId="UnresolvedMention">
    <w:name w:val="Unresolved Mention"/>
    <w:basedOn w:val="DefaultParagraphFont"/>
    <w:uiPriority w:val="99"/>
    <w:semiHidden/>
    <w:unhideWhenUsed/>
    <w:rsid w:val="003436E1"/>
    <w:rPr>
      <w:color w:val="808080"/>
      <w:shd w:val="clear" w:color="auto" w:fill="E6E6E6"/>
    </w:rPr>
  </w:style>
  <w:style w:type="character" w:customStyle="1" w:styleId="Heading1Char">
    <w:name w:val="Heading 1 Char"/>
    <w:basedOn w:val="DefaultParagraphFont"/>
    <w:link w:val="Heading1"/>
    <w:uiPriority w:val="9"/>
    <w:rsid w:val="0063481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48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uiPriority w:val="99"/>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5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character" w:customStyle="1" w:styleId="UnresolvedMention">
    <w:name w:val="Unresolved Mention"/>
    <w:basedOn w:val="DefaultParagraphFont"/>
    <w:uiPriority w:val="99"/>
    <w:semiHidden/>
    <w:unhideWhenUsed/>
    <w:rsid w:val="003436E1"/>
    <w:rPr>
      <w:color w:val="808080"/>
      <w:shd w:val="clear" w:color="auto" w:fill="E6E6E6"/>
    </w:rPr>
  </w:style>
  <w:style w:type="character" w:customStyle="1" w:styleId="Heading1Char">
    <w:name w:val="Heading 1 Char"/>
    <w:basedOn w:val="DefaultParagraphFont"/>
    <w:link w:val="Heading1"/>
    <w:uiPriority w:val="9"/>
    <w:rsid w:val="006348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6382">
      <w:bodyDiv w:val="1"/>
      <w:marLeft w:val="0"/>
      <w:marRight w:val="0"/>
      <w:marTop w:val="0"/>
      <w:marBottom w:val="0"/>
      <w:divBdr>
        <w:top w:val="none" w:sz="0" w:space="0" w:color="auto"/>
        <w:left w:val="none" w:sz="0" w:space="0" w:color="auto"/>
        <w:bottom w:val="none" w:sz="0" w:space="0" w:color="auto"/>
        <w:right w:val="none" w:sz="0" w:space="0" w:color="auto"/>
      </w:divBdr>
    </w:div>
    <w:div w:id="577792749">
      <w:bodyDiv w:val="1"/>
      <w:marLeft w:val="0"/>
      <w:marRight w:val="0"/>
      <w:marTop w:val="0"/>
      <w:marBottom w:val="0"/>
      <w:divBdr>
        <w:top w:val="none" w:sz="0" w:space="0" w:color="auto"/>
        <w:left w:val="none" w:sz="0" w:space="0" w:color="auto"/>
        <w:bottom w:val="none" w:sz="0" w:space="0" w:color="auto"/>
        <w:right w:val="none" w:sz="0" w:space="0" w:color="auto"/>
      </w:divBdr>
    </w:div>
    <w:div w:id="649138288">
      <w:bodyDiv w:val="1"/>
      <w:marLeft w:val="0"/>
      <w:marRight w:val="0"/>
      <w:marTop w:val="0"/>
      <w:marBottom w:val="0"/>
      <w:divBdr>
        <w:top w:val="none" w:sz="0" w:space="0" w:color="auto"/>
        <w:left w:val="none" w:sz="0" w:space="0" w:color="auto"/>
        <w:bottom w:val="none" w:sz="0" w:space="0" w:color="auto"/>
        <w:right w:val="none" w:sz="0" w:space="0" w:color="auto"/>
      </w:divBdr>
    </w:div>
    <w:div w:id="853306297">
      <w:bodyDiv w:val="1"/>
      <w:marLeft w:val="0"/>
      <w:marRight w:val="0"/>
      <w:marTop w:val="0"/>
      <w:marBottom w:val="0"/>
      <w:divBdr>
        <w:top w:val="none" w:sz="0" w:space="0" w:color="auto"/>
        <w:left w:val="none" w:sz="0" w:space="0" w:color="auto"/>
        <w:bottom w:val="none" w:sz="0" w:space="0" w:color="auto"/>
        <w:right w:val="none" w:sz="0" w:space="0" w:color="auto"/>
      </w:divBdr>
    </w:div>
    <w:div w:id="1052385162">
      <w:bodyDiv w:val="1"/>
      <w:marLeft w:val="0"/>
      <w:marRight w:val="0"/>
      <w:marTop w:val="0"/>
      <w:marBottom w:val="0"/>
      <w:divBdr>
        <w:top w:val="none" w:sz="0" w:space="0" w:color="auto"/>
        <w:left w:val="none" w:sz="0" w:space="0" w:color="auto"/>
        <w:bottom w:val="none" w:sz="0" w:space="0" w:color="auto"/>
        <w:right w:val="none" w:sz="0" w:space="0" w:color="auto"/>
      </w:divBdr>
    </w:div>
    <w:div w:id="1115055009">
      <w:bodyDiv w:val="1"/>
      <w:marLeft w:val="0"/>
      <w:marRight w:val="0"/>
      <w:marTop w:val="0"/>
      <w:marBottom w:val="0"/>
      <w:divBdr>
        <w:top w:val="none" w:sz="0" w:space="0" w:color="auto"/>
        <w:left w:val="none" w:sz="0" w:space="0" w:color="auto"/>
        <w:bottom w:val="none" w:sz="0" w:space="0" w:color="auto"/>
        <w:right w:val="none" w:sz="0" w:space="0" w:color="auto"/>
      </w:divBdr>
    </w:div>
    <w:div w:id="1790128838">
      <w:bodyDiv w:val="1"/>
      <w:marLeft w:val="0"/>
      <w:marRight w:val="0"/>
      <w:marTop w:val="0"/>
      <w:marBottom w:val="0"/>
      <w:divBdr>
        <w:top w:val="none" w:sz="0" w:space="0" w:color="auto"/>
        <w:left w:val="none" w:sz="0" w:space="0" w:color="auto"/>
        <w:bottom w:val="none" w:sz="0" w:space="0" w:color="auto"/>
        <w:right w:val="none" w:sz="0" w:space="0" w:color="auto"/>
      </w:divBdr>
    </w:div>
    <w:div w:id="1823035403">
      <w:bodyDiv w:val="1"/>
      <w:marLeft w:val="0"/>
      <w:marRight w:val="0"/>
      <w:marTop w:val="0"/>
      <w:marBottom w:val="0"/>
      <w:divBdr>
        <w:top w:val="none" w:sz="0" w:space="0" w:color="auto"/>
        <w:left w:val="none" w:sz="0" w:space="0" w:color="auto"/>
        <w:bottom w:val="none" w:sz="0" w:space="0" w:color="auto"/>
        <w:right w:val="none" w:sz="0" w:space="0" w:color="auto"/>
      </w:divBdr>
    </w:div>
    <w:div w:id="1848130855">
      <w:bodyDiv w:val="1"/>
      <w:marLeft w:val="0"/>
      <w:marRight w:val="0"/>
      <w:marTop w:val="0"/>
      <w:marBottom w:val="0"/>
      <w:divBdr>
        <w:top w:val="none" w:sz="0" w:space="0" w:color="auto"/>
        <w:left w:val="none" w:sz="0" w:space="0" w:color="auto"/>
        <w:bottom w:val="none" w:sz="0" w:space="0" w:color="auto"/>
        <w:right w:val="none" w:sz="0" w:space="0" w:color="auto"/>
      </w:divBdr>
    </w:div>
    <w:div w:id="1991640596">
      <w:bodyDiv w:val="1"/>
      <w:marLeft w:val="0"/>
      <w:marRight w:val="0"/>
      <w:marTop w:val="0"/>
      <w:marBottom w:val="0"/>
      <w:divBdr>
        <w:top w:val="none" w:sz="0" w:space="0" w:color="auto"/>
        <w:left w:val="none" w:sz="0" w:space="0" w:color="auto"/>
        <w:bottom w:val="none" w:sz="0" w:space="0" w:color="auto"/>
        <w:right w:val="none" w:sz="0" w:space="0" w:color="auto"/>
      </w:divBdr>
    </w:div>
    <w:div w:id="1996882416">
      <w:bodyDiv w:val="1"/>
      <w:marLeft w:val="0"/>
      <w:marRight w:val="0"/>
      <w:marTop w:val="0"/>
      <w:marBottom w:val="0"/>
      <w:divBdr>
        <w:top w:val="none" w:sz="0" w:space="0" w:color="auto"/>
        <w:left w:val="none" w:sz="0" w:space="0" w:color="auto"/>
        <w:bottom w:val="none" w:sz="0" w:space="0" w:color="auto"/>
        <w:right w:val="none" w:sz="0" w:space="0" w:color="auto"/>
      </w:divBdr>
    </w:div>
    <w:div w:id="20368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CA6-C9F9-4D1F-A622-2085F32F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SYSTEM</cp:lastModifiedBy>
  <cp:revision>2</cp:revision>
  <cp:lastPrinted>2018-10-09T13:06:00Z</cp:lastPrinted>
  <dcterms:created xsi:type="dcterms:W3CDTF">2018-10-19T13:18:00Z</dcterms:created>
  <dcterms:modified xsi:type="dcterms:W3CDTF">2018-10-19T13:18:00Z</dcterms:modified>
</cp:coreProperties>
</file>