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4AEDD" w14:textId="77777777" w:rsidR="000A27F4" w:rsidRPr="00561C5B" w:rsidRDefault="000A27F4" w:rsidP="000A27F4">
      <w:pPr>
        <w:spacing w:after="0" w:line="240" w:lineRule="auto"/>
        <w:rPr>
          <w:rFonts w:ascii="Times New Roman" w:hAnsi="Times New Roman" w:cs="Times New Roman"/>
          <w:b/>
          <w:sz w:val="24"/>
          <w:szCs w:val="24"/>
        </w:rPr>
      </w:pPr>
      <w:bookmarkStart w:id="0" w:name="_GoBack"/>
      <w:bookmarkEnd w:id="0"/>
      <w:r w:rsidRPr="00561C5B">
        <w:rPr>
          <w:rFonts w:ascii="Times New Roman" w:hAnsi="Times New Roman" w:cs="Times New Roman"/>
          <w:b/>
          <w:sz w:val="24"/>
          <w:szCs w:val="24"/>
        </w:rPr>
        <w:t>SUPPORTING STATEMENT</w:t>
      </w:r>
      <w:r w:rsidR="00F34900">
        <w:rPr>
          <w:rFonts w:ascii="Times New Roman" w:hAnsi="Times New Roman" w:cs="Times New Roman"/>
          <w:b/>
          <w:sz w:val="24"/>
          <w:szCs w:val="24"/>
        </w:rPr>
        <w:t xml:space="preserve"> (Part A)</w:t>
      </w:r>
    </w:p>
    <w:p w14:paraId="1E9541E8" w14:textId="03DCFE9C" w:rsidR="000A27F4" w:rsidRPr="00561C5B" w:rsidRDefault="000A27F4" w:rsidP="000A27F4">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Survey of </w:t>
      </w:r>
      <w:r w:rsidR="002678D5">
        <w:rPr>
          <w:rFonts w:ascii="Times New Roman" w:hAnsi="Times New Roman" w:cs="Times New Roman"/>
          <w:b/>
          <w:sz w:val="24"/>
          <w:szCs w:val="24"/>
        </w:rPr>
        <w:t>State Attorneys General Offices</w:t>
      </w:r>
      <w:r w:rsidR="00295C9A">
        <w:rPr>
          <w:rFonts w:ascii="Times New Roman" w:hAnsi="Times New Roman" w:cs="Times New Roman"/>
          <w:b/>
          <w:sz w:val="24"/>
          <w:szCs w:val="24"/>
        </w:rPr>
        <w:t>-</w:t>
      </w:r>
      <w:r w:rsidR="009A529C">
        <w:rPr>
          <w:rFonts w:ascii="Times New Roman" w:hAnsi="Times New Roman" w:cs="Times New Roman"/>
          <w:b/>
          <w:sz w:val="24"/>
          <w:szCs w:val="24"/>
        </w:rPr>
        <w:t>Human Trafficking</w:t>
      </w:r>
      <w:r w:rsidR="00295C9A">
        <w:rPr>
          <w:rFonts w:ascii="Times New Roman" w:hAnsi="Times New Roman" w:cs="Times New Roman"/>
          <w:b/>
          <w:sz w:val="24"/>
          <w:szCs w:val="24"/>
        </w:rPr>
        <w:t>, 201</w:t>
      </w:r>
      <w:r w:rsidR="009A529C">
        <w:rPr>
          <w:rFonts w:ascii="Times New Roman" w:hAnsi="Times New Roman" w:cs="Times New Roman"/>
          <w:b/>
          <w:sz w:val="24"/>
          <w:szCs w:val="24"/>
        </w:rPr>
        <w:t>8</w:t>
      </w:r>
    </w:p>
    <w:p w14:paraId="5F0E3127" w14:textId="77777777" w:rsidR="000A27F4" w:rsidRDefault="000A27F4" w:rsidP="000A27F4">
      <w:pPr>
        <w:spacing w:after="0" w:line="240" w:lineRule="auto"/>
        <w:rPr>
          <w:rFonts w:ascii="Times New Roman" w:hAnsi="Times New Roman" w:cs="Times New Roman"/>
          <w:sz w:val="24"/>
          <w:szCs w:val="24"/>
        </w:rPr>
      </w:pPr>
    </w:p>
    <w:p w14:paraId="3E809722" w14:textId="4B70E165" w:rsidR="00F52183"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Bureau of Justice Statistics (BJS) </w:t>
      </w:r>
      <w:r w:rsidR="004F24CF">
        <w:rPr>
          <w:rFonts w:ascii="Times New Roman" w:hAnsi="Times New Roman" w:cs="Times New Roman"/>
          <w:sz w:val="24"/>
          <w:szCs w:val="24"/>
        </w:rPr>
        <w:t>is establishing</w:t>
      </w:r>
      <w:r w:rsidR="001108D6">
        <w:rPr>
          <w:rFonts w:ascii="Times New Roman" w:hAnsi="Times New Roman" w:cs="Times New Roman"/>
          <w:sz w:val="24"/>
          <w:szCs w:val="24"/>
        </w:rPr>
        <w:t xml:space="preserve"> a new data collection program designed to conduct </w:t>
      </w:r>
      <w:r w:rsidR="004F24CF">
        <w:rPr>
          <w:rFonts w:ascii="Times New Roman" w:hAnsi="Times New Roman" w:cs="Times New Roman"/>
          <w:sz w:val="24"/>
          <w:szCs w:val="24"/>
        </w:rPr>
        <w:t>regular</w:t>
      </w:r>
      <w:r w:rsidR="00051E63">
        <w:rPr>
          <w:rFonts w:ascii="Times New Roman" w:hAnsi="Times New Roman" w:cs="Times New Roman"/>
          <w:sz w:val="24"/>
          <w:szCs w:val="24"/>
        </w:rPr>
        <w:t xml:space="preserve"> surveys of </w:t>
      </w:r>
      <w:r w:rsidR="002678D5">
        <w:rPr>
          <w:rFonts w:ascii="Times New Roman" w:hAnsi="Times New Roman" w:cs="Times New Roman"/>
          <w:sz w:val="24"/>
          <w:szCs w:val="24"/>
        </w:rPr>
        <w:t>state attorneys general offices</w:t>
      </w:r>
      <w:r w:rsidR="00051E63">
        <w:rPr>
          <w:rFonts w:ascii="Times New Roman" w:hAnsi="Times New Roman" w:cs="Times New Roman"/>
          <w:sz w:val="24"/>
          <w:szCs w:val="24"/>
        </w:rPr>
        <w:t xml:space="preserve"> entitled </w:t>
      </w:r>
      <w:r w:rsidRPr="00EB5382">
        <w:rPr>
          <w:rFonts w:ascii="Times New Roman" w:hAnsi="Times New Roman" w:cs="Times New Roman"/>
          <w:i/>
          <w:sz w:val="24"/>
          <w:szCs w:val="24"/>
        </w:rPr>
        <w:t xml:space="preserve">Survey of </w:t>
      </w:r>
      <w:r w:rsidR="002678D5">
        <w:rPr>
          <w:rFonts w:ascii="Times New Roman" w:hAnsi="Times New Roman" w:cs="Times New Roman"/>
          <w:i/>
          <w:sz w:val="24"/>
          <w:szCs w:val="24"/>
        </w:rPr>
        <w:t>State Attorneys General Offices</w:t>
      </w:r>
      <w:r w:rsidR="00051E63">
        <w:rPr>
          <w:rFonts w:ascii="Times New Roman" w:hAnsi="Times New Roman" w:cs="Times New Roman"/>
          <w:sz w:val="24"/>
          <w:szCs w:val="24"/>
        </w:rPr>
        <w:t xml:space="preserve"> (SSAGO). </w:t>
      </w:r>
      <w:r w:rsidR="004F24CF">
        <w:rPr>
          <w:rFonts w:ascii="Times New Roman" w:hAnsi="Times New Roman" w:cs="Times New Roman"/>
          <w:sz w:val="24"/>
          <w:szCs w:val="24"/>
        </w:rPr>
        <w:t>BJS routinely survey</w:t>
      </w:r>
      <w:r w:rsidR="007B1987">
        <w:rPr>
          <w:rFonts w:ascii="Times New Roman" w:hAnsi="Times New Roman" w:cs="Times New Roman"/>
          <w:sz w:val="24"/>
          <w:szCs w:val="24"/>
        </w:rPr>
        <w:t>s</w:t>
      </w:r>
      <w:r w:rsidR="004F24CF">
        <w:rPr>
          <w:rFonts w:ascii="Times New Roman" w:hAnsi="Times New Roman" w:cs="Times New Roman"/>
          <w:sz w:val="24"/>
          <w:szCs w:val="24"/>
        </w:rPr>
        <w:t xml:space="preserve"> law enforcement agencies, corrections agencies, state and local prosecutor offices, and indigent defense offices; however, </w:t>
      </w:r>
      <w:r w:rsidR="00FA3E51">
        <w:rPr>
          <w:rFonts w:ascii="Times New Roman" w:hAnsi="Times New Roman" w:cs="Times New Roman"/>
          <w:sz w:val="24"/>
          <w:szCs w:val="24"/>
        </w:rPr>
        <w:t xml:space="preserve">the lack of </w:t>
      </w:r>
      <w:r w:rsidR="00145F05">
        <w:rPr>
          <w:rFonts w:ascii="Times New Roman" w:hAnsi="Times New Roman" w:cs="Times New Roman"/>
          <w:sz w:val="24"/>
          <w:szCs w:val="24"/>
        </w:rPr>
        <w:t>data on</w:t>
      </w:r>
      <w:r w:rsidR="004F24CF">
        <w:rPr>
          <w:rFonts w:ascii="Times New Roman" w:hAnsi="Times New Roman" w:cs="Times New Roman"/>
          <w:sz w:val="24"/>
          <w:szCs w:val="24"/>
        </w:rPr>
        <w:t xml:space="preserve"> </w:t>
      </w:r>
      <w:r w:rsidR="002678D5">
        <w:rPr>
          <w:rFonts w:ascii="Times New Roman" w:hAnsi="Times New Roman" w:cs="Times New Roman"/>
          <w:sz w:val="24"/>
          <w:szCs w:val="24"/>
        </w:rPr>
        <w:t>state attorneys general offices</w:t>
      </w:r>
      <w:r w:rsidR="004F24CF">
        <w:rPr>
          <w:rFonts w:ascii="Times New Roman" w:hAnsi="Times New Roman" w:cs="Times New Roman"/>
          <w:sz w:val="24"/>
          <w:szCs w:val="24"/>
        </w:rPr>
        <w:t xml:space="preserve"> is </w:t>
      </w:r>
      <w:r w:rsidR="00145F05">
        <w:rPr>
          <w:rFonts w:ascii="Times New Roman" w:hAnsi="Times New Roman" w:cs="Times New Roman"/>
          <w:sz w:val="24"/>
          <w:szCs w:val="24"/>
        </w:rPr>
        <w:t xml:space="preserve">a </w:t>
      </w:r>
      <w:r w:rsidR="00A63ADC">
        <w:rPr>
          <w:rFonts w:ascii="Times New Roman" w:hAnsi="Times New Roman" w:cs="Times New Roman"/>
          <w:sz w:val="24"/>
          <w:szCs w:val="24"/>
        </w:rPr>
        <w:t xml:space="preserve">significant </w:t>
      </w:r>
      <w:r w:rsidR="00145F05">
        <w:rPr>
          <w:rFonts w:ascii="Times New Roman" w:hAnsi="Times New Roman" w:cs="Times New Roman"/>
          <w:sz w:val="24"/>
          <w:szCs w:val="24"/>
        </w:rPr>
        <w:t>gap</w:t>
      </w:r>
      <w:r w:rsidR="004F24CF">
        <w:rPr>
          <w:rFonts w:ascii="Times New Roman" w:hAnsi="Times New Roman" w:cs="Times New Roman"/>
          <w:sz w:val="24"/>
          <w:szCs w:val="24"/>
        </w:rPr>
        <w:t>. State attorneys general play an important role in the criminal and civil justice systems</w:t>
      </w:r>
      <w:r w:rsidR="007B1987">
        <w:rPr>
          <w:rFonts w:ascii="Times New Roman" w:hAnsi="Times New Roman" w:cs="Times New Roman"/>
          <w:sz w:val="24"/>
          <w:szCs w:val="24"/>
        </w:rPr>
        <w:t xml:space="preserve"> since they</w:t>
      </w:r>
      <w:r w:rsidR="004F24CF">
        <w:rPr>
          <w:rFonts w:ascii="Times New Roman" w:hAnsi="Times New Roman" w:cs="Times New Roman"/>
          <w:sz w:val="24"/>
          <w:szCs w:val="24"/>
        </w:rPr>
        <w:t xml:space="preserve"> are the chief legal officers of their state</w:t>
      </w:r>
      <w:r w:rsidR="00FB60DB">
        <w:rPr>
          <w:rFonts w:ascii="Times New Roman" w:hAnsi="Times New Roman" w:cs="Times New Roman"/>
          <w:sz w:val="24"/>
          <w:szCs w:val="24"/>
        </w:rPr>
        <w:t>s</w:t>
      </w:r>
      <w:r w:rsidR="004F24CF">
        <w:rPr>
          <w:rFonts w:ascii="Times New Roman" w:hAnsi="Times New Roman" w:cs="Times New Roman"/>
          <w:sz w:val="24"/>
          <w:szCs w:val="24"/>
        </w:rPr>
        <w:t xml:space="preserve"> and often represent the</w:t>
      </w:r>
      <w:r w:rsidR="00FB60DB">
        <w:rPr>
          <w:rFonts w:ascii="Times New Roman" w:hAnsi="Times New Roman" w:cs="Times New Roman"/>
          <w:sz w:val="24"/>
          <w:szCs w:val="24"/>
        </w:rPr>
        <w:t>ir</w:t>
      </w:r>
      <w:r w:rsidR="004F24CF">
        <w:rPr>
          <w:rFonts w:ascii="Times New Roman" w:hAnsi="Times New Roman" w:cs="Times New Roman"/>
          <w:sz w:val="24"/>
          <w:szCs w:val="24"/>
        </w:rPr>
        <w:t xml:space="preserve"> state in antitrust actions, consumer protections, criminal appeals</w:t>
      </w:r>
      <w:r w:rsidR="00FA3E51">
        <w:rPr>
          <w:rFonts w:ascii="Times New Roman" w:hAnsi="Times New Roman" w:cs="Times New Roman"/>
          <w:sz w:val="24"/>
          <w:szCs w:val="24"/>
        </w:rPr>
        <w:t>,</w:t>
      </w:r>
      <w:r w:rsidR="004F24CF">
        <w:rPr>
          <w:rFonts w:ascii="Times New Roman" w:hAnsi="Times New Roman" w:cs="Times New Roman"/>
          <w:sz w:val="24"/>
          <w:szCs w:val="24"/>
        </w:rPr>
        <w:t xml:space="preserve"> and serious statewide prosecutions.</w:t>
      </w:r>
      <w:r w:rsidR="004F24CF">
        <w:rPr>
          <w:rStyle w:val="FootnoteReference"/>
          <w:rFonts w:ascii="Times New Roman" w:hAnsi="Times New Roman" w:cs="Times New Roman"/>
          <w:sz w:val="24"/>
          <w:szCs w:val="24"/>
        </w:rPr>
        <w:footnoteReference w:id="2"/>
      </w:r>
      <w:r w:rsidR="004F24CF">
        <w:rPr>
          <w:rFonts w:ascii="Times New Roman" w:hAnsi="Times New Roman" w:cs="Times New Roman"/>
          <w:sz w:val="24"/>
          <w:szCs w:val="24"/>
        </w:rPr>
        <w:t xml:space="preserve"> </w:t>
      </w:r>
    </w:p>
    <w:p w14:paraId="6632D7C1" w14:textId="77777777" w:rsidR="00F52183" w:rsidRDefault="00F52183" w:rsidP="000A27F4">
      <w:pPr>
        <w:spacing w:after="0" w:line="240" w:lineRule="auto"/>
        <w:rPr>
          <w:rFonts w:ascii="Times New Roman" w:hAnsi="Times New Roman" w:cs="Times New Roman"/>
          <w:sz w:val="24"/>
          <w:szCs w:val="24"/>
        </w:rPr>
      </w:pPr>
    </w:p>
    <w:p w14:paraId="4F9BFE62" w14:textId="46760D95" w:rsidR="00ED3F3E" w:rsidRDefault="00ED3F3E"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BJS first surveyed state attorneys general in 2014, with a collection called the State and Local White Collar Crime Program (SLWCCP)</w:t>
      </w:r>
      <w:r w:rsidR="009F4092">
        <w:rPr>
          <w:rFonts w:ascii="Times New Roman" w:hAnsi="Times New Roman" w:cs="Times New Roman"/>
          <w:sz w:val="24"/>
          <w:szCs w:val="24"/>
        </w:rPr>
        <w:t xml:space="preserve"> (OMB Control # 1121-0348, expired Oct. 31, 2017)</w:t>
      </w:r>
      <w:r>
        <w:rPr>
          <w:rFonts w:ascii="Times New Roman" w:hAnsi="Times New Roman" w:cs="Times New Roman"/>
          <w:sz w:val="24"/>
          <w:szCs w:val="24"/>
        </w:rPr>
        <w:t>. That collection surveyed state attorneys general</w:t>
      </w:r>
      <w:r w:rsidR="00035862">
        <w:rPr>
          <w:rFonts w:ascii="Times New Roman" w:hAnsi="Times New Roman" w:cs="Times New Roman"/>
          <w:sz w:val="24"/>
          <w:szCs w:val="24"/>
        </w:rPr>
        <w:t xml:space="preserve"> offices</w:t>
      </w:r>
      <w:r>
        <w:rPr>
          <w:rFonts w:ascii="Times New Roman" w:hAnsi="Times New Roman" w:cs="Times New Roman"/>
          <w:sz w:val="24"/>
          <w:szCs w:val="24"/>
        </w:rPr>
        <w:t xml:space="preserve"> about the prosecution and civil enforcement of white collar crime, such as consumer fraud, bank fraud, and environmental infractions. </w:t>
      </w:r>
      <w:r w:rsidR="00E97A70">
        <w:rPr>
          <w:rFonts w:ascii="Times New Roman" w:hAnsi="Times New Roman" w:cs="Times New Roman"/>
          <w:sz w:val="24"/>
          <w:szCs w:val="24"/>
        </w:rPr>
        <w:t xml:space="preserve">BJS plans to release a </w:t>
      </w:r>
      <w:r>
        <w:rPr>
          <w:rFonts w:ascii="Times New Roman" w:hAnsi="Times New Roman" w:cs="Times New Roman"/>
          <w:sz w:val="24"/>
          <w:szCs w:val="24"/>
        </w:rPr>
        <w:t xml:space="preserve">report from the SLWCCP in </w:t>
      </w:r>
      <w:r w:rsidR="00E97A70">
        <w:rPr>
          <w:rFonts w:ascii="Times New Roman" w:hAnsi="Times New Roman" w:cs="Times New Roman"/>
          <w:sz w:val="24"/>
          <w:szCs w:val="24"/>
        </w:rPr>
        <w:t xml:space="preserve">the </w:t>
      </w:r>
      <w:r w:rsidR="00CB5A0C">
        <w:rPr>
          <w:rFonts w:ascii="Times New Roman" w:hAnsi="Times New Roman" w:cs="Times New Roman"/>
          <w:sz w:val="24"/>
          <w:szCs w:val="24"/>
        </w:rPr>
        <w:t xml:space="preserve">winter </w:t>
      </w:r>
      <w:r>
        <w:rPr>
          <w:rFonts w:ascii="Times New Roman" w:hAnsi="Times New Roman" w:cs="Times New Roman"/>
          <w:sz w:val="24"/>
          <w:szCs w:val="24"/>
        </w:rPr>
        <w:t>of 201</w:t>
      </w:r>
      <w:r w:rsidR="00CB5A0C">
        <w:rPr>
          <w:rFonts w:ascii="Times New Roman" w:hAnsi="Times New Roman" w:cs="Times New Roman"/>
          <w:sz w:val="24"/>
          <w:szCs w:val="24"/>
        </w:rPr>
        <w:t>9</w:t>
      </w:r>
      <w:r>
        <w:rPr>
          <w:rFonts w:ascii="Times New Roman" w:hAnsi="Times New Roman" w:cs="Times New Roman"/>
          <w:sz w:val="24"/>
          <w:szCs w:val="24"/>
        </w:rPr>
        <w:t xml:space="preserve">. BJS achieved an 86% response rate with that survey, and is </w:t>
      </w:r>
      <w:r w:rsidR="00CB5A0C">
        <w:rPr>
          <w:rFonts w:ascii="Times New Roman" w:hAnsi="Times New Roman" w:cs="Times New Roman"/>
          <w:sz w:val="24"/>
          <w:szCs w:val="24"/>
        </w:rPr>
        <w:t xml:space="preserve">now </w:t>
      </w:r>
      <w:r>
        <w:rPr>
          <w:rFonts w:ascii="Times New Roman" w:hAnsi="Times New Roman" w:cs="Times New Roman"/>
          <w:sz w:val="24"/>
          <w:szCs w:val="24"/>
        </w:rPr>
        <w:t>prepared to survey state attorneys general on new topics.</w:t>
      </w:r>
    </w:p>
    <w:p w14:paraId="376F5F7E" w14:textId="77777777" w:rsidR="00ED3F3E" w:rsidRDefault="00ED3F3E" w:rsidP="000A27F4">
      <w:pPr>
        <w:spacing w:after="0" w:line="240" w:lineRule="auto"/>
        <w:rPr>
          <w:rFonts w:ascii="Times New Roman" w:hAnsi="Times New Roman" w:cs="Times New Roman"/>
          <w:sz w:val="24"/>
          <w:szCs w:val="24"/>
        </w:rPr>
      </w:pPr>
    </w:p>
    <w:p w14:paraId="478BF03D" w14:textId="5E2CBB8A" w:rsidR="00F52183" w:rsidRDefault="00E97A70"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Following the success of the </w:t>
      </w:r>
      <w:r w:rsidR="00CB5A0C">
        <w:rPr>
          <w:rFonts w:ascii="Times New Roman" w:hAnsi="Times New Roman" w:cs="Times New Roman"/>
          <w:sz w:val="24"/>
          <w:szCs w:val="24"/>
        </w:rPr>
        <w:t>White-Collar Crime survey</w:t>
      </w:r>
      <w:r>
        <w:rPr>
          <w:rFonts w:ascii="Times New Roman" w:hAnsi="Times New Roman" w:cs="Times New Roman"/>
          <w:sz w:val="24"/>
          <w:szCs w:val="24"/>
        </w:rPr>
        <w:t xml:space="preserve">, </w:t>
      </w:r>
      <w:r w:rsidR="00145F05">
        <w:rPr>
          <w:rFonts w:ascii="Times New Roman" w:hAnsi="Times New Roman" w:cs="Times New Roman"/>
          <w:sz w:val="24"/>
          <w:szCs w:val="24"/>
        </w:rPr>
        <w:t xml:space="preserve">BJS is planning a series of three </w:t>
      </w:r>
      <w:r>
        <w:rPr>
          <w:rFonts w:ascii="Times New Roman" w:hAnsi="Times New Roman" w:cs="Times New Roman"/>
          <w:sz w:val="24"/>
          <w:szCs w:val="24"/>
        </w:rPr>
        <w:t>surveys of</w:t>
      </w:r>
      <w:r w:rsidR="00145F05">
        <w:rPr>
          <w:rFonts w:ascii="Times New Roman" w:hAnsi="Times New Roman" w:cs="Times New Roman"/>
          <w:sz w:val="24"/>
          <w:szCs w:val="24"/>
        </w:rPr>
        <w:t xml:space="preserve"> </w:t>
      </w:r>
      <w:r w:rsidR="002678D5">
        <w:rPr>
          <w:rFonts w:ascii="Times New Roman" w:hAnsi="Times New Roman" w:cs="Times New Roman"/>
          <w:sz w:val="24"/>
          <w:szCs w:val="24"/>
        </w:rPr>
        <w:t>state attorneys general offices</w:t>
      </w:r>
      <w:r w:rsidR="00145F05">
        <w:rPr>
          <w:rFonts w:ascii="Times New Roman" w:hAnsi="Times New Roman" w:cs="Times New Roman"/>
          <w:sz w:val="24"/>
          <w:szCs w:val="24"/>
        </w:rPr>
        <w:t>.</w:t>
      </w:r>
      <w:r>
        <w:rPr>
          <w:rFonts w:ascii="Times New Roman" w:hAnsi="Times New Roman" w:cs="Times New Roman"/>
          <w:sz w:val="24"/>
          <w:szCs w:val="24"/>
        </w:rPr>
        <w:t xml:space="preserve"> </w:t>
      </w:r>
      <w:r w:rsidR="00051E63">
        <w:rPr>
          <w:rFonts w:ascii="Times New Roman" w:hAnsi="Times New Roman" w:cs="Times New Roman"/>
          <w:sz w:val="24"/>
          <w:szCs w:val="24"/>
        </w:rPr>
        <w:t>Th</w:t>
      </w:r>
      <w:r w:rsidR="00145F05">
        <w:rPr>
          <w:rFonts w:ascii="Times New Roman" w:hAnsi="Times New Roman" w:cs="Times New Roman"/>
          <w:sz w:val="24"/>
          <w:szCs w:val="24"/>
        </w:rPr>
        <w:t>e</w:t>
      </w:r>
      <w:r w:rsidR="00051E63">
        <w:rPr>
          <w:rFonts w:ascii="Times New Roman" w:hAnsi="Times New Roman" w:cs="Times New Roman"/>
          <w:sz w:val="24"/>
          <w:szCs w:val="24"/>
        </w:rPr>
        <w:t xml:space="preserve"> first </w:t>
      </w:r>
      <w:r w:rsidR="004D12F2">
        <w:rPr>
          <w:rFonts w:ascii="Times New Roman" w:hAnsi="Times New Roman" w:cs="Times New Roman"/>
          <w:sz w:val="24"/>
          <w:szCs w:val="24"/>
        </w:rPr>
        <w:t>survey</w:t>
      </w:r>
      <w:r w:rsidR="00051E63">
        <w:rPr>
          <w:rFonts w:ascii="Times New Roman" w:hAnsi="Times New Roman" w:cs="Times New Roman"/>
          <w:sz w:val="24"/>
          <w:szCs w:val="24"/>
        </w:rPr>
        <w:t xml:space="preserve"> will focus</w:t>
      </w:r>
      <w:r w:rsidR="000A27F4">
        <w:rPr>
          <w:rFonts w:ascii="Times New Roman" w:hAnsi="Times New Roman" w:cs="Times New Roman"/>
          <w:sz w:val="24"/>
          <w:szCs w:val="24"/>
        </w:rPr>
        <w:t xml:space="preserve"> on </w:t>
      </w:r>
      <w:r w:rsidR="009A529C">
        <w:rPr>
          <w:rFonts w:ascii="Times New Roman" w:hAnsi="Times New Roman" w:cs="Times New Roman"/>
          <w:sz w:val="24"/>
          <w:szCs w:val="24"/>
        </w:rPr>
        <w:t>human trafficking</w:t>
      </w:r>
      <w:r w:rsidR="000A27F4">
        <w:rPr>
          <w:rFonts w:ascii="Times New Roman" w:hAnsi="Times New Roman" w:cs="Times New Roman"/>
          <w:sz w:val="24"/>
          <w:szCs w:val="24"/>
        </w:rPr>
        <w:t xml:space="preserve"> (</w:t>
      </w:r>
      <w:r w:rsidR="001F7BD6">
        <w:rPr>
          <w:rFonts w:ascii="Times New Roman" w:hAnsi="Times New Roman" w:cs="Times New Roman"/>
          <w:sz w:val="24"/>
          <w:szCs w:val="24"/>
        </w:rPr>
        <w:t>SSAGO-</w:t>
      </w:r>
      <w:r w:rsidR="009A529C">
        <w:rPr>
          <w:rFonts w:ascii="Times New Roman" w:hAnsi="Times New Roman" w:cs="Times New Roman"/>
          <w:sz w:val="24"/>
          <w:szCs w:val="24"/>
        </w:rPr>
        <w:t>HT</w:t>
      </w:r>
      <w:r w:rsidR="000A27F4">
        <w:rPr>
          <w:rFonts w:ascii="Times New Roman" w:hAnsi="Times New Roman" w:cs="Times New Roman"/>
          <w:sz w:val="24"/>
          <w:szCs w:val="24"/>
        </w:rPr>
        <w:t>)</w:t>
      </w:r>
      <w:r w:rsidR="009A092F">
        <w:rPr>
          <w:rFonts w:ascii="Times New Roman" w:hAnsi="Times New Roman" w:cs="Times New Roman"/>
          <w:sz w:val="24"/>
          <w:szCs w:val="24"/>
        </w:rPr>
        <w:t xml:space="preserve">, and is the </w:t>
      </w:r>
      <w:r w:rsidR="00CB5A0C">
        <w:rPr>
          <w:rFonts w:ascii="Times New Roman" w:hAnsi="Times New Roman" w:cs="Times New Roman"/>
          <w:sz w:val="24"/>
          <w:szCs w:val="24"/>
        </w:rPr>
        <w:t xml:space="preserve">topic </w:t>
      </w:r>
      <w:r w:rsidR="009A092F">
        <w:rPr>
          <w:rFonts w:ascii="Times New Roman" w:hAnsi="Times New Roman" w:cs="Times New Roman"/>
          <w:sz w:val="24"/>
          <w:szCs w:val="24"/>
        </w:rPr>
        <w:t>of this clearance request. Th</w:t>
      </w:r>
      <w:r w:rsidR="009A529C">
        <w:rPr>
          <w:rFonts w:ascii="Times New Roman" w:hAnsi="Times New Roman" w:cs="Times New Roman"/>
          <w:sz w:val="24"/>
          <w:szCs w:val="24"/>
        </w:rPr>
        <w:t xml:space="preserve">e second </w:t>
      </w:r>
      <w:r w:rsidR="004D12F2">
        <w:rPr>
          <w:rFonts w:ascii="Times New Roman" w:hAnsi="Times New Roman" w:cs="Times New Roman"/>
          <w:sz w:val="24"/>
          <w:szCs w:val="24"/>
        </w:rPr>
        <w:t xml:space="preserve">survey </w:t>
      </w:r>
      <w:r w:rsidR="009A092F">
        <w:rPr>
          <w:rFonts w:ascii="Times New Roman" w:hAnsi="Times New Roman" w:cs="Times New Roman"/>
          <w:sz w:val="24"/>
          <w:szCs w:val="24"/>
        </w:rPr>
        <w:t>will focus on the opioid crisis</w:t>
      </w:r>
      <w:r w:rsidR="009A529C">
        <w:rPr>
          <w:rFonts w:ascii="Times New Roman" w:hAnsi="Times New Roman" w:cs="Times New Roman"/>
          <w:sz w:val="24"/>
          <w:szCs w:val="24"/>
        </w:rPr>
        <w:t>,</w:t>
      </w:r>
      <w:r w:rsidR="004F24CF">
        <w:rPr>
          <w:rFonts w:ascii="Times New Roman" w:hAnsi="Times New Roman" w:cs="Times New Roman"/>
          <w:sz w:val="24"/>
          <w:szCs w:val="24"/>
        </w:rPr>
        <w:t xml:space="preserve"> </w:t>
      </w:r>
      <w:r w:rsidR="009A092F">
        <w:rPr>
          <w:rFonts w:ascii="Times New Roman" w:hAnsi="Times New Roman" w:cs="Times New Roman"/>
          <w:sz w:val="24"/>
          <w:szCs w:val="24"/>
        </w:rPr>
        <w:t>and the third will focus on</w:t>
      </w:r>
      <w:r w:rsidR="00115304">
        <w:rPr>
          <w:rFonts w:ascii="Times New Roman" w:hAnsi="Times New Roman" w:cs="Times New Roman"/>
          <w:sz w:val="24"/>
          <w:szCs w:val="24"/>
        </w:rPr>
        <w:t xml:space="preserve"> </w:t>
      </w:r>
      <w:r w:rsidR="009A529C">
        <w:rPr>
          <w:rFonts w:ascii="Times New Roman" w:hAnsi="Times New Roman" w:cs="Times New Roman"/>
          <w:sz w:val="24"/>
          <w:szCs w:val="24"/>
        </w:rPr>
        <w:t>cybercrime</w:t>
      </w:r>
      <w:r w:rsidR="009A092F">
        <w:rPr>
          <w:rFonts w:ascii="Times New Roman" w:hAnsi="Times New Roman" w:cs="Times New Roman"/>
          <w:sz w:val="24"/>
          <w:szCs w:val="24"/>
        </w:rPr>
        <w:t>.</w:t>
      </w:r>
      <w:r w:rsidR="00145F05">
        <w:rPr>
          <w:rFonts w:ascii="Times New Roman" w:hAnsi="Times New Roman" w:cs="Times New Roman"/>
          <w:sz w:val="24"/>
          <w:szCs w:val="24"/>
        </w:rPr>
        <w:t xml:space="preserve"> The SSAGO is designed to be a</w:t>
      </w:r>
      <w:r w:rsidR="007E4A46">
        <w:rPr>
          <w:rFonts w:ascii="Times New Roman" w:hAnsi="Times New Roman" w:cs="Times New Roman"/>
          <w:sz w:val="24"/>
          <w:szCs w:val="24"/>
        </w:rPr>
        <w:t xml:space="preserve"> series of</w:t>
      </w:r>
      <w:r w:rsidR="00145F05">
        <w:rPr>
          <w:rFonts w:ascii="Times New Roman" w:hAnsi="Times New Roman" w:cs="Times New Roman"/>
          <w:sz w:val="24"/>
          <w:szCs w:val="24"/>
        </w:rPr>
        <w:t xml:space="preserve"> short, focused survey</w:t>
      </w:r>
      <w:r w:rsidR="007E4A46">
        <w:rPr>
          <w:rFonts w:ascii="Times New Roman" w:hAnsi="Times New Roman" w:cs="Times New Roman"/>
          <w:sz w:val="24"/>
          <w:szCs w:val="24"/>
        </w:rPr>
        <w:t>s</w:t>
      </w:r>
      <w:r w:rsidR="00145F05">
        <w:rPr>
          <w:rFonts w:ascii="Times New Roman" w:hAnsi="Times New Roman" w:cs="Times New Roman"/>
          <w:sz w:val="24"/>
          <w:szCs w:val="24"/>
        </w:rPr>
        <w:t xml:space="preserve"> on topic</w:t>
      </w:r>
      <w:r w:rsidR="007E4A46">
        <w:rPr>
          <w:rFonts w:ascii="Times New Roman" w:hAnsi="Times New Roman" w:cs="Times New Roman"/>
          <w:sz w:val="24"/>
          <w:szCs w:val="24"/>
        </w:rPr>
        <w:t>s</w:t>
      </w:r>
      <w:r w:rsidR="00145F05">
        <w:rPr>
          <w:rFonts w:ascii="Times New Roman" w:hAnsi="Times New Roman" w:cs="Times New Roman"/>
          <w:sz w:val="24"/>
          <w:szCs w:val="24"/>
        </w:rPr>
        <w:t xml:space="preserve"> of interest to the nation and to the state attorney</w:t>
      </w:r>
      <w:r w:rsidR="00FB60DB">
        <w:rPr>
          <w:rFonts w:ascii="Times New Roman" w:hAnsi="Times New Roman" w:cs="Times New Roman"/>
          <w:sz w:val="24"/>
          <w:szCs w:val="24"/>
        </w:rPr>
        <w:t>s</w:t>
      </w:r>
      <w:r w:rsidR="00145F05">
        <w:rPr>
          <w:rFonts w:ascii="Times New Roman" w:hAnsi="Times New Roman" w:cs="Times New Roman"/>
          <w:sz w:val="24"/>
          <w:szCs w:val="24"/>
        </w:rPr>
        <w:t xml:space="preserve"> general offices themselves.</w:t>
      </w:r>
    </w:p>
    <w:p w14:paraId="5E8C27EE" w14:textId="77777777" w:rsidR="00460A05" w:rsidRDefault="00460A05" w:rsidP="000A27F4">
      <w:pPr>
        <w:spacing w:after="0" w:line="240" w:lineRule="auto"/>
        <w:rPr>
          <w:rFonts w:ascii="Times New Roman" w:hAnsi="Times New Roman" w:cs="Times New Roman"/>
          <w:sz w:val="24"/>
          <w:szCs w:val="24"/>
        </w:rPr>
      </w:pPr>
    </w:p>
    <w:p w14:paraId="41E4B226" w14:textId="067E31E9" w:rsidR="000A27F4" w:rsidRDefault="00145F05"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1F7BD6">
        <w:rPr>
          <w:rFonts w:ascii="Times New Roman" w:hAnsi="Times New Roman" w:cs="Times New Roman"/>
          <w:sz w:val="24"/>
          <w:szCs w:val="24"/>
        </w:rPr>
        <w:t>SSAGO-</w:t>
      </w:r>
      <w:r w:rsidR="009A529C">
        <w:rPr>
          <w:rFonts w:ascii="Times New Roman" w:hAnsi="Times New Roman" w:cs="Times New Roman"/>
          <w:sz w:val="24"/>
          <w:szCs w:val="24"/>
        </w:rPr>
        <w:t xml:space="preserve">HT </w:t>
      </w:r>
      <w:r w:rsidR="007F5D7A">
        <w:rPr>
          <w:rFonts w:ascii="Times New Roman" w:hAnsi="Times New Roman" w:cs="Times New Roman"/>
          <w:sz w:val="24"/>
          <w:szCs w:val="24"/>
        </w:rPr>
        <w:t xml:space="preserve">will collect </w:t>
      </w:r>
      <w:r w:rsidR="000A27F4">
        <w:rPr>
          <w:rFonts w:ascii="Times New Roman" w:hAnsi="Times New Roman" w:cs="Times New Roman"/>
          <w:sz w:val="24"/>
          <w:szCs w:val="24"/>
        </w:rPr>
        <w:t xml:space="preserve">data on criminal and civil </w:t>
      </w:r>
      <w:r w:rsidR="009A529C">
        <w:rPr>
          <w:rFonts w:ascii="Times New Roman" w:hAnsi="Times New Roman" w:cs="Times New Roman"/>
          <w:sz w:val="24"/>
          <w:szCs w:val="24"/>
        </w:rPr>
        <w:t>human trafficking</w:t>
      </w:r>
      <w:r w:rsidR="00051E63">
        <w:rPr>
          <w:rFonts w:ascii="Times New Roman" w:hAnsi="Times New Roman" w:cs="Times New Roman"/>
          <w:sz w:val="24"/>
          <w:szCs w:val="24"/>
        </w:rPr>
        <w:t xml:space="preserve"> </w:t>
      </w:r>
      <w:r w:rsidR="00C16455">
        <w:rPr>
          <w:rFonts w:ascii="Times New Roman" w:hAnsi="Times New Roman" w:cs="Times New Roman"/>
          <w:sz w:val="24"/>
          <w:szCs w:val="24"/>
        </w:rPr>
        <w:t>offenses</w:t>
      </w:r>
      <w:r w:rsidR="009A529C">
        <w:rPr>
          <w:rFonts w:ascii="Times New Roman" w:hAnsi="Times New Roman" w:cs="Times New Roman"/>
          <w:sz w:val="24"/>
          <w:szCs w:val="24"/>
        </w:rPr>
        <w:t xml:space="preserve"> </w:t>
      </w:r>
      <w:r w:rsidR="000A27F4">
        <w:rPr>
          <w:rFonts w:ascii="Times New Roman" w:hAnsi="Times New Roman" w:cs="Times New Roman"/>
          <w:sz w:val="24"/>
          <w:szCs w:val="24"/>
        </w:rPr>
        <w:t xml:space="preserve">handled by </w:t>
      </w:r>
      <w:r w:rsidR="002678D5">
        <w:rPr>
          <w:rFonts w:ascii="Times New Roman" w:hAnsi="Times New Roman" w:cs="Times New Roman"/>
          <w:sz w:val="24"/>
          <w:szCs w:val="24"/>
        </w:rPr>
        <w:t>state attorneys general offices</w:t>
      </w:r>
      <w:r w:rsidR="000A27F4">
        <w:rPr>
          <w:rFonts w:ascii="Times New Roman" w:hAnsi="Times New Roman" w:cs="Times New Roman"/>
          <w:sz w:val="24"/>
          <w:szCs w:val="24"/>
        </w:rPr>
        <w:t xml:space="preserve">, along with information on interagency cooperation and training related to </w:t>
      </w:r>
      <w:r w:rsidR="009A529C">
        <w:rPr>
          <w:rFonts w:ascii="Times New Roman" w:hAnsi="Times New Roman" w:cs="Times New Roman"/>
          <w:sz w:val="24"/>
          <w:szCs w:val="24"/>
        </w:rPr>
        <w:t>human trafficking</w:t>
      </w:r>
      <w:r w:rsidR="000A27F4">
        <w:rPr>
          <w:rFonts w:ascii="Times New Roman" w:hAnsi="Times New Roman" w:cs="Times New Roman"/>
          <w:sz w:val="24"/>
          <w:szCs w:val="24"/>
        </w:rPr>
        <w:t xml:space="preserve">. </w:t>
      </w:r>
      <w:r w:rsidR="00CB5A0C">
        <w:rPr>
          <w:rFonts w:ascii="Times New Roman" w:hAnsi="Times New Roman" w:cs="Times New Roman"/>
          <w:sz w:val="24"/>
          <w:szCs w:val="24"/>
        </w:rPr>
        <w:t>This</w:t>
      </w:r>
      <w:r w:rsidR="009A529C">
        <w:rPr>
          <w:rFonts w:ascii="Times New Roman" w:hAnsi="Times New Roman" w:cs="Times New Roman"/>
          <w:sz w:val="24"/>
          <w:szCs w:val="24"/>
        </w:rPr>
        <w:t xml:space="preserve"> </w:t>
      </w:r>
      <w:r>
        <w:rPr>
          <w:rFonts w:ascii="Times New Roman" w:hAnsi="Times New Roman" w:cs="Times New Roman"/>
          <w:sz w:val="24"/>
          <w:szCs w:val="24"/>
        </w:rPr>
        <w:t>will be</w:t>
      </w:r>
      <w:r w:rsidR="000A27F4">
        <w:rPr>
          <w:rFonts w:ascii="Times New Roman" w:hAnsi="Times New Roman" w:cs="Times New Roman"/>
          <w:sz w:val="24"/>
          <w:szCs w:val="24"/>
        </w:rPr>
        <w:t xml:space="preserve"> the first BJS collection to examine </w:t>
      </w:r>
      <w:r w:rsidR="00051E63">
        <w:rPr>
          <w:rFonts w:ascii="Times New Roman" w:hAnsi="Times New Roman" w:cs="Times New Roman"/>
          <w:sz w:val="24"/>
          <w:szCs w:val="24"/>
        </w:rPr>
        <w:t xml:space="preserve">the </w:t>
      </w:r>
      <w:r w:rsidR="000A27F4">
        <w:rPr>
          <w:rFonts w:ascii="Times New Roman" w:hAnsi="Times New Roman" w:cs="Times New Roman"/>
          <w:sz w:val="24"/>
          <w:szCs w:val="24"/>
        </w:rPr>
        <w:t xml:space="preserve">handling of criminal and civil </w:t>
      </w:r>
      <w:r w:rsidR="009A529C">
        <w:rPr>
          <w:rFonts w:ascii="Times New Roman" w:hAnsi="Times New Roman" w:cs="Times New Roman"/>
          <w:sz w:val="24"/>
          <w:szCs w:val="24"/>
        </w:rPr>
        <w:t xml:space="preserve">human trafficking </w:t>
      </w:r>
      <w:r w:rsidR="00051E63">
        <w:rPr>
          <w:rFonts w:ascii="Times New Roman" w:hAnsi="Times New Roman" w:cs="Times New Roman"/>
          <w:sz w:val="24"/>
          <w:szCs w:val="24"/>
        </w:rPr>
        <w:t xml:space="preserve">by </w:t>
      </w:r>
      <w:r w:rsidR="002678D5">
        <w:rPr>
          <w:rFonts w:ascii="Times New Roman" w:hAnsi="Times New Roman" w:cs="Times New Roman"/>
          <w:sz w:val="24"/>
          <w:szCs w:val="24"/>
        </w:rPr>
        <w:t>state attorneys general offices</w:t>
      </w:r>
      <w:r w:rsidR="000A27F4">
        <w:rPr>
          <w:rFonts w:ascii="Times New Roman" w:hAnsi="Times New Roman" w:cs="Times New Roman"/>
          <w:sz w:val="24"/>
          <w:szCs w:val="24"/>
        </w:rPr>
        <w:t xml:space="preserve">.  </w:t>
      </w:r>
    </w:p>
    <w:p w14:paraId="7D9329BA" w14:textId="77777777" w:rsidR="001B4483" w:rsidRDefault="001B4483" w:rsidP="000A27F4">
      <w:pPr>
        <w:spacing w:after="0" w:line="240" w:lineRule="auto"/>
        <w:rPr>
          <w:rFonts w:ascii="Times New Roman" w:hAnsi="Times New Roman" w:cs="Times New Roman"/>
          <w:sz w:val="24"/>
          <w:szCs w:val="24"/>
        </w:rPr>
      </w:pPr>
    </w:p>
    <w:p w14:paraId="11B4C12E" w14:textId="27CA7073" w:rsidR="001B4483" w:rsidRDefault="001B4483"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Prior to the development of the SSAGO-HT, BJS reviewed the state attorneys general offices websites for the 50 states, </w:t>
      </w:r>
      <w:r w:rsidR="002907DB">
        <w:rPr>
          <w:rFonts w:ascii="Times New Roman" w:hAnsi="Times New Roman" w:cs="Times New Roman"/>
          <w:sz w:val="24"/>
          <w:szCs w:val="24"/>
        </w:rPr>
        <w:t xml:space="preserve">the </w:t>
      </w:r>
      <w:r>
        <w:rPr>
          <w:rFonts w:ascii="Times New Roman" w:hAnsi="Times New Roman" w:cs="Times New Roman"/>
          <w:sz w:val="24"/>
          <w:szCs w:val="24"/>
        </w:rPr>
        <w:t xml:space="preserve">District of Columbia, and the </w:t>
      </w:r>
      <w:r w:rsidR="00C97308">
        <w:rPr>
          <w:rFonts w:ascii="Times New Roman" w:hAnsi="Times New Roman" w:cs="Times New Roman"/>
          <w:sz w:val="24"/>
          <w:szCs w:val="24"/>
        </w:rPr>
        <w:t>five</w:t>
      </w:r>
      <w:r>
        <w:rPr>
          <w:rFonts w:ascii="Times New Roman" w:hAnsi="Times New Roman" w:cs="Times New Roman"/>
          <w:sz w:val="24"/>
          <w:szCs w:val="24"/>
        </w:rPr>
        <w:t xml:space="preserve"> U.S. territories</w:t>
      </w:r>
      <w:r w:rsidR="006419AA">
        <w:rPr>
          <w:rFonts w:ascii="Times New Roman" w:hAnsi="Times New Roman" w:cs="Times New Roman"/>
          <w:sz w:val="24"/>
          <w:szCs w:val="24"/>
        </w:rPr>
        <w:t xml:space="preserve"> to make an initial determination of the importance of the issue to those offices </w:t>
      </w:r>
      <w:r w:rsidR="001E2E47">
        <w:rPr>
          <w:rFonts w:ascii="Times New Roman" w:hAnsi="Times New Roman" w:cs="Times New Roman"/>
          <w:sz w:val="24"/>
          <w:szCs w:val="24"/>
        </w:rPr>
        <w:t>(</w:t>
      </w:r>
      <w:r w:rsidR="001E2E47">
        <w:rPr>
          <w:rFonts w:ascii="Times New Roman" w:hAnsi="Times New Roman" w:cs="Times New Roman"/>
          <w:b/>
          <w:sz w:val="24"/>
          <w:szCs w:val="24"/>
        </w:rPr>
        <w:t>Attachment 1</w:t>
      </w:r>
      <w:r w:rsidR="001E2E47" w:rsidRPr="00FF64E3">
        <w:rPr>
          <w:rFonts w:ascii="Times New Roman" w:hAnsi="Times New Roman" w:cs="Times New Roman"/>
          <w:sz w:val="24"/>
          <w:szCs w:val="24"/>
        </w:rPr>
        <w:t>)</w:t>
      </w:r>
      <w:r>
        <w:rPr>
          <w:rFonts w:ascii="Times New Roman" w:hAnsi="Times New Roman" w:cs="Times New Roman"/>
          <w:sz w:val="24"/>
          <w:szCs w:val="24"/>
        </w:rPr>
        <w:t>. Forty-four state</w:t>
      </w:r>
      <w:r w:rsidR="001E2E47">
        <w:rPr>
          <w:rFonts w:ascii="Times New Roman" w:hAnsi="Times New Roman" w:cs="Times New Roman"/>
          <w:sz w:val="24"/>
          <w:szCs w:val="24"/>
        </w:rPr>
        <w:t xml:space="preserve"> attorney</w:t>
      </w:r>
      <w:r>
        <w:rPr>
          <w:rFonts w:ascii="Times New Roman" w:hAnsi="Times New Roman" w:cs="Times New Roman"/>
          <w:sz w:val="24"/>
          <w:szCs w:val="24"/>
        </w:rPr>
        <w:t>s</w:t>
      </w:r>
      <w:r w:rsidR="001E2E47">
        <w:rPr>
          <w:rFonts w:ascii="Times New Roman" w:hAnsi="Times New Roman" w:cs="Times New Roman"/>
          <w:sz w:val="24"/>
          <w:szCs w:val="24"/>
        </w:rPr>
        <w:t xml:space="preserve"> general offices</w:t>
      </w:r>
      <w:r>
        <w:rPr>
          <w:rFonts w:ascii="Times New Roman" w:hAnsi="Times New Roman" w:cs="Times New Roman"/>
          <w:sz w:val="24"/>
          <w:szCs w:val="24"/>
        </w:rPr>
        <w:t xml:space="preserve"> mentioned human trafficking initiatives, education, task force</w:t>
      </w:r>
      <w:r w:rsidR="001E2E47">
        <w:rPr>
          <w:rFonts w:ascii="Times New Roman" w:hAnsi="Times New Roman" w:cs="Times New Roman"/>
          <w:sz w:val="24"/>
          <w:szCs w:val="24"/>
        </w:rPr>
        <w:t>s</w:t>
      </w:r>
      <w:r>
        <w:rPr>
          <w:rFonts w:ascii="Times New Roman" w:hAnsi="Times New Roman" w:cs="Times New Roman"/>
          <w:sz w:val="24"/>
          <w:szCs w:val="24"/>
        </w:rPr>
        <w:t xml:space="preserve">, hotlines, or victims services information. BJS also </w:t>
      </w:r>
      <w:r w:rsidR="00CB5A0C">
        <w:rPr>
          <w:rFonts w:ascii="Times New Roman" w:hAnsi="Times New Roman" w:cs="Times New Roman"/>
          <w:sz w:val="24"/>
          <w:szCs w:val="24"/>
        </w:rPr>
        <w:t xml:space="preserve">used </w:t>
      </w:r>
      <w:r>
        <w:rPr>
          <w:rFonts w:ascii="Times New Roman" w:hAnsi="Times New Roman" w:cs="Times New Roman"/>
          <w:sz w:val="24"/>
          <w:szCs w:val="24"/>
        </w:rPr>
        <w:t>a review of state human trafficking laws</w:t>
      </w:r>
      <w:r w:rsidR="001E2E47">
        <w:rPr>
          <w:rFonts w:ascii="Times New Roman" w:hAnsi="Times New Roman" w:cs="Times New Roman"/>
          <w:sz w:val="24"/>
          <w:szCs w:val="24"/>
        </w:rPr>
        <w:t xml:space="preserve"> conducted by the National Conference of State Legislatures for 2015-2017</w:t>
      </w:r>
      <w:r w:rsidR="006419AA">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00CB5A0C">
        <w:rPr>
          <w:rFonts w:ascii="Times New Roman" w:hAnsi="Times New Roman" w:cs="Times New Roman"/>
          <w:sz w:val="24"/>
          <w:szCs w:val="24"/>
        </w:rPr>
        <w:t xml:space="preserve">to </w:t>
      </w:r>
      <w:r w:rsidR="006419AA">
        <w:rPr>
          <w:rFonts w:ascii="Times New Roman" w:hAnsi="Times New Roman" w:cs="Times New Roman"/>
          <w:sz w:val="24"/>
          <w:szCs w:val="24"/>
        </w:rPr>
        <w:t>determine that t</w:t>
      </w:r>
      <w:r>
        <w:rPr>
          <w:rFonts w:ascii="Times New Roman" w:hAnsi="Times New Roman" w:cs="Times New Roman"/>
          <w:sz w:val="24"/>
          <w:szCs w:val="24"/>
        </w:rPr>
        <w:t>hirty-nine states had at least one statute that criminalized human trafficking</w:t>
      </w:r>
      <w:r w:rsidR="007A0379">
        <w:rPr>
          <w:rFonts w:ascii="Times New Roman" w:hAnsi="Times New Roman" w:cs="Times New Roman"/>
          <w:sz w:val="24"/>
          <w:szCs w:val="24"/>
        </w:rPr>
        <w:t>,</w:t>
      </w:r>
      <w:r>
        <w:rPr>
          <w:rFonts w:ascii="Times New Roman" w:hAnsi="Times New Roman" w:cs="Times New Roman"/>
          <w:sz w:val="24"/>
          <w:szCs w:val="24"/>
        </w:rPr>
        <w:t xml:space="preserve"> increased the </w:t>
      </w:r>
      <w:r w:rsidR="00E97A70">
        <w:rPr>
          <w:rFonts w:ascii="Times New Roman" w:hAnsi="Times New Roman" w:cs="Times New Roman"/>
          <w:sz w:val="24"/>
          <w:szCs w:val="24"/>
        </w:rPr>
        <w:t xml:space="preserve">length of </w:t>
      </w:r>
      <w:r w:rsidR="00FF64E3">
        <w:rPr>
          <w:rFonts w:ascii="Times New Roman" w:hAnsi="Times New Roman" w:cs="Times New Roman"/>
          <w:sz w:val="24"/>
          <w:szCs w:val="24"/>
        </w:rPr>
        <w:t xml:space="preserve">incarceration or </w:t>
      </w:r>
      <w:r w:rsidR="00E97A70">
        <w:rPr>
          <w:rFonts w:ascii="Times New Roman" w:hAnsi="Times New Roman" w:cs="Times New Roman"/>
          <w:sz w:val="24"/>
          <w:szCs w:val="24"/>
        </w:rPr>
        <w:t xml:space="preserve">amount of </w:t>
      </w:r>
      <w:r w:rsidR="00FF64E3">
        <w:rPr>
          <w:rFonts w:ascii="Times New Roman" w:hAnsi="Times New Roman" w:cs="Times New Roman"/>
          <w:sz w:val="24"/>
          <w:szCs w:val="24"/>
        </w:rPr>
        <w:t xml:space="preserve">fined </w:t>
      </w:r>
      <w:r>
        <w:rPr>
          <w:rFonts w:ascii="Times New Roman" w:hAnsi="Times New Roman" w:cs="Times New Roman"/>
          <w:sz w:val="24"/>
          <w:szCs w:val="24"/>
        </w:rPr>
        <w:t>penalties for that crime</w:t>
      </w:r>
      <w:r w:rsidR="00CB5A0C">
        <w:rPr>
          <w:rFonts w:ascii="Times New Roman" w:hAnsi="Times New Roman" w:cs="Times New Roman"/>
          <w:sz w:val="24"/>
          <w:szCs w:val="24"/>
        </w:rPr>
        <w:t>, or both</w:t>
      </w:r>
      <w:r>
        <w:rPr>
          <w:rFonts w:ascii="Times New Roman" w:hAnsi="Times New Roman" w:cs="Times New Roman"/>
          <w:sz w:val="24"/>
          <w:szCs w:val="24"/>
        </w:rPr>
        <w:t xml:space="preserve">. </w:t>
      </w:r>
      <w:r w:rsidR="00CB5A0C">
        <w:rPr>
          <w:rFonts w:ascii="Times New Roman" w:hAnsi="Times New Roman" w:cs="Times New Roman"/>
          <w:sz w:val="24"/>
          <w:szCs w:val="24"/>
        </w:rPr>
        <w:t>From this research, i</w:t>
      </w:r>
      <w:r w:rsidR="001E2E47">
        <w:rPr>
          <w:rFonts w:ascii="Times New Roman" w:hAnsi="Times New Roman" w:cs="Times New Roman"/>
          <w:sz w:val="24"/>
          <w:szCs w:val="24"/>
        </w:rPr>
        <w:t>t is clear that state attorneys general offices are invested in the prosecution of human traffick</w:t>
      </w:r>
      <w:r w:rsidR="00FF64E3">
        <w:rPr>
          <w:rFonts w:ascii="Times New Roman" w:hAnsi="Times New Roman" w:cs="Times New Roman"/>
          <w:sz w:val="24"/>
          <w:szCs w:val="24"/>
        </w:rPr>
        <w:t>ers</w:t>
      </w:r>
      <w:r w:rsidR="001E2E47">
        <w:rPr>
          <w:rFonts w:ascii="Times New Roman" w:hAnsi="Times New Roman" w:cs="Times New Roman"/>
          <w:sz w:val="24"/>
          <w:szCs w:val="24"/>
        </w:rPr>
        <w:t>.</w:t>
      </w:r>
    </w:p>
    <w:p w14:paraId="5E63B7E2" w14:textId="77777777" w:rsidR="000A27F4" w:rsidRDefault="000A27F4" w:rsidP="000A27F4">
      <w:pPr>
        <w:spacing w:after="0" w:line="240" w:lineRule="auto"/>
        <w:rPr>
          <w:rFonts w:ascii="Times New Roman" w:hAnsi="Times New Roman" w:cs="Times New Roman"/>
          <w:sz w:val="24"/>
          <w:szCs w:val="24"/>
        </w:rPr>
      </w:pPr>
    </w:p>
    <w:p w14:paraId="2334B8C7" w14:textId="77777777" w:rsidR="00867E16" w:rsidRDefault="00867E16" w:rsidP="000A27F4">
      <w:pPr>
        <w:spacing w:after="0" w:line="240" w:lineRule="auto"/>
        <w:rPr>
          <w:rFonts w:ascii="Times New Roman" w:hAnsi="Times New Roman" w:cs="Times New Roman"/>
          <w:sz w:val="24"/>
          <w:szCs w:val="24"/>
        </w:rPr>
      </w:pPr>
    </w:p>
    <w:p w14:paraId="32923F74" w14:textId="77777777" w:rsidR="000A27F4" w:rsidRPr="00901813" w:rsidRDefault="000A27F4" w:rsidP="000A27F4">
      <w:pPr>
        <w:pStyle w:val="ListParagraph"/>
        <w:numPr>
          <w:ilvl w:val="0"/>
          <w:numId w:val="1"/>
        </w:numPr>
        <w:spacing w:after="0" w:line="240" w:lineRule="auto"/>
        <w:contextualSpacing w:val="0"/>
        <w:rPr>
          <w:rFonts w:ascii="Times New Roman" w:hAnsi="Times New Roman" w:cs="Times New Roman"/>
          <w:sz w:val="24"/>
          <w:szCs w:val="24"/>
        </w:rPr>
      </w:pPr>
      <w:r w:rsidRPr="00561C5B">
        <w:rPr>
          <w:rFonts w:ascii="Times New Roman" w:hAnsi="Times New Roman" w:cs="Times New Roman"/>
          <w:b/>
          <w:sz w:val="24"/>
          <w:szCs w:val="24"/>
        </w:rPr>
        <w:t>Justification</w:t>
      </w:r>
    </w:p>
    <w:p w14:paraId="2F9923A0" w14:textId="77777777" w:rsidR="000A27F4" w:rsidRPr="00561C5B" w:rsidRDefault="000A27F4" w:rsidP="000A27F4">
      <w:pPr>
        <w:pStyle w:val="ListParagraph"/>
        <w:spacing w:after="0" w:line="240" w:lineRule="auto"/>
        <w:ind w:left="360"/>
        <w:contextualSpacing w:val="0"/>
        <w:rPr>
          <w:rFonts w:ascii="Times New Roman" w:hAnsi="Times New Roman" w:cs="Times New Roman"/>
          <w:sz w:val="24"/>
          <w:szCs w:val="24"/>
        </w:rPr>
      </w:pPr>
    </w:p>
    <w:p w14:paraId="20F88CD7" w14:textId="77777777" w:rsidR="000A27F4" w:rsidRPr="00561C5B" w:rsidRDefault="000A27F4" w:rsidP="000A27F4">
      <w:pPr>
        <w:pStyle w:val="ListParagraph"/>
        <w:numPr>
          <w:ilvl w:val="0"/>
          <w:numId w:val="2"/>
        </w:numPr>
        <w:spacing w:after="0" w:line="240" w:lineRule="auto"/>
        <w:contextualSpacing w:val="0"/>
        <w:rPr>
          <w:rFonts w:ascii="Times New Roman" w:hAnsi="Times New Roman" w:cs="Times New Roman"/>
          <w:sz w:val="24"/>
          <w:szCs w:val="24"/>
        </w:rPr>
      </w:pPr>
      <w:r w:rsidRPr="00561C5B">
        <w:rPr>
          <w:rFonts w:ascii="Times New Roman" w:hAnsi="Times New Roman" w:cs="Times New Roman"/>
          <w:sz w:val="24"/>
          <w:szCs w:val="24"/>
          <w:u w:val="single"/>
        </w:rPr>
        <w:t>Necessity of Information Collection</w:t>
      </w:r>
    </w:p>
    <w:p w14:paraId="7A3FD42A" w14:textId="73C317CB" w:rsidR="001C5D9B" w:rsidRDefault="001C5D9B"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State attorney</w:t>
      </w:r>
      <w:r w:rsidR="002678D5">
        <w:rPr>
          <w:rFonts w:ascii="Times New Roman" w:hAnsi="Times New Roman" w:cs="Times New Roman"/>
          <w:sz w:val="24"/>
          <w:szCs w:val="24"/>
        </w:rPr>
        <w:t>s</w:t>
      </w:r>
      <w:r>
        <w:rPr>
          <w:rFonts w:ascii="Times New Roman" w:hAnsi="Times New Roman" w:cs="Times New Roman"/>
          <w:sz w:val="24"/>
          <w:szCs w:val="24"/>
        </w:rPr>
        <w:t xml:space="preserve"> general offices play an important role in criminal and civil prosecution for their states. </w:t>
      </w:r>
      <w:r w:rsidR="00EF3B2A">
        <w:rPr>
          <w:rFonts w:ascii="Times New Roman" w:hAnsi="Times New Roman" w:cs="Times New Roman"/>
          <w:sz w:val="24"/>
          <w:szCs w:val="24"/>
        </w:rPr>
        <w:t>Attorney</w:t>
      </w:r>
      <w:r w:rsidR="0044266B">
        <w:rPr>
          <w:rFonts w:ascii="Times New Roman" w:hAnsi="Times New Roman" w:cs="Times New Roman"/>
          <w:sz w:val="24"/>
          <w:szCs w:val="24"/>
        </w:rPr>
        <w:t>s</w:t>
      </w:r>
      <w:r w:rsidR="00EF3B2A">
        <w:rPr>
          <w:rFonts w:ascii="Times New Roman" w:hAnsi="Times New Roman" w:cs="Times New Roman"/>
          <w:sz w:val="24"/>
          <w:szCs w:val="24"/>
        </w:rPr>
        <w:t xml:space="preserve"> general offices typically handle complex cases, such as antitrust, statewide prosecutions, human trafficking</w:t>
      </w:r>
      <w:r w:rsidR="003356C6">
        <w:rPr>
          <w:rFonts w:ascii="Times New Roman" w:hAnsi="Times New Roman" w:cs="Times New Roman"/>
          <w:sz w:val="24"/>
          <w:szCs w:val="24"/>
        </w:rPr>
        <w:t>, and cybercrime</w:t>
      </w:r>
      <w:r w:rsidR="00EF3B2A">
        <w:rPr>
          <w:rFonts w:ascii="Times New Roman" w:hAnsi="Times New Roman" w:cs="Times New Roman"/>
          <w:sz w:val="24"/>
          <w:szCs w:val="24"/>
        </w:rPr>
        <w:t>,</w:t>
      </w:r>
      <w:r w:rsidR="00D03695">
        <w:rPr>
          <w:rFonts w:ascii="Times New Roman" w:hAnsi="Times New Roman" w:cs="Times New Roman"/>
          <w:sz w:val="24"/>
          <w:szCs w:val="24"/>
        </w:rPr>
        <w:t xml:space="preserve"> many of</w:t>
      </w:r>
      <w:r w:rsidR="00EF3B2A">
        <w:rPr>
          <w:rFonts w:ascii="Times New Roman" w:hAnsi="Times New Roman" w:cs="Times New Roman"/>
          <w:sz w:val="24"/>
          <w:szCs w:val="24"/>
        </w:rPr>
        <w:t xml:space="preserve"> which do not </w:t>
      </w:r>
      <w:r>
        <w:rPr>
          <w:rFonts w:ascii="Times New Roman" w:hAnsi="Times New Roman" w:cs="Times New Roman"/>
          <w:sz w:val="24"/>
          <w:szCs w:val="24"/>
        </w:rPr>
        <w:t xml:space="preserve">fall neatly within a specific division within </w:t>
      </w:r>
      <w:r w:rsidR="00CB5A0C">
        <w:rPr>
          <w:rFonts w:ascii="Times New Roman" w:hAnsi="Times New Roman" w:cs="Times New Roman"/>
          <w:sz w:val="24"/>
          <w:szCs w:val="24"/>
        </w:rPr>
        <w:t xml:space="preserve">an </w:t>
      </w:r>
      <w:r>
        <w:rPr>
          <w:rFonts w:ascii="Times New Roman" w:hAnsi="Times New Roman" w:cs="Times New Roman"/>
          <w:sz w:val="24"/>
          <w:szCs w:val="24"/>
        </w:rPr>
        <w:t>attorney general’s office</w:t>
      </w:r>
      <w:r w:rsidR="00EF3B2A">
        <w:rPr>
          <w:rFonts w:ascii="Times New Roman" w:hAnsi="Times New Roman" w:cs="Times New Roman"/>
          <w:sz w:val="24"/>
          <w:szCs w:val="24"/>
        </w:rPr>
        <w:t xml:space="preserve">. For example, a </w:t>
      </w:r>
      <w:r w:rsidR="008D342A">
        <w:rPr>
          <w:rFonts w:ascii="Times New Roman" w:hAnsi="Times New Roman" w:cs="Times New Roman"/>
          <w:sz w:val="24"/>
          <w:szCs w:val="24"/>
        </w:rPr>
        <w:t>human trafficking</w:t>
      </w:r>
      <w:r w:rsidR="00EF3B2A">
        <w:rPr>
          <w:rFonts w:ascii="Times New Roman" w:hAnsi="Times New Roman" w:cs="Times New Roman"/>
          <w:sz w:val="24"/>
          <w:szCs w:val="24"/>
        </w:rPr>
        <w:t xml:space="preserve"> </w:t>
      </w:r>
      <w:r w:rsidR="00F464E6">
        <w:rPr>
          <w:rFonts w:ascii="Times New Roman" w:hAnsi="Times New Roman" w:cs="Times New Roman"/>
          <w:sz w:val="24"/>
          <w:szCs w:val="24"/>
        </w:rPr>
        <w:t xml:space="preserve">case </w:t>
      </w:r>
      <w:r w:rsidR="008D342A">
        <w:rPr>
          <w:rFonts w:ascii="Times New Roman" w:hAnsi="Times New Roman" w:cs="Times New Roman"/>
          <w:sz w:val="24"/>
          <w:szCs w:val="24"/>
        </w:rPr>
        <w:t>ma</w:t>
      </w:r>
      <w:r w:rsidR="00EF3B2A">
        <w:rPr>
          <w:rFonts w:ascii="Times New Roman" w:hAnsi="Times New Roman" w:cs="Times New Roman"/>
          <w:sz w:val="24"/>
          <w:szCs w:val="24"/>
        </w:rPr>
        <w:t>y involve a cyber</w:t>
      </w:r>
      <w:r w:rsidR="00115304">
        <w:rPr>
          <w:rFonts w:ascii="Times New Roman" w:hAnsi="Times New Roman" w:cs="Times New Roman"/>
          <w:sz w:val="24"/>
          <w:szCs w:val="24"/>
        </w:rPr>
        <w:t>crime unit</w:t>
      </w:r>
      <w:r w:rsidR="00EF3B2A">
        <w:rPr>
          <w:rFonts w:ascii="Times New Roman" w:hAnsi="Times New Roman" w:cs="Times New Roman"/>
          <w:sz w:val="24"/>
          <w:szCs w:val="24"/>
        </w:rPr>
        <w:t xml:space="preserve"> (if the Internet is involved) as well as a criminal unit</w:t>
      </w:r>
      <w:r w:rsidR="007E4A46">
        <w:rPr>
          <w:rFonts w:ascii="Times New Roman" w:hAnsi="Times New Roman" w:cs="Times New Roman"/>
          <w:sz w:val="24"/>
          <w:szCs w:val="24"/>
        </w:rPr>
        <w:t xml:space="preserve">, or multiple </w:t>
      </w:r>
      <w:r w:rsidR="00E97A70">
        <w:rPr>
          <w:rFonts w:ascii="Times New Roman" w:hAnsi="Times New Roman" w:cs="Times New Roman"/>
          <w:sz w:val="24"/>
          <w:szCs w:val="24"/>
        </w:rPr>
        <w:t xml:space="preserve">sections </w:t>
      </w:r>
      <w:r w:rsidR="007E4A46">
        <w:rPr>
          <w:rFonts w:ascii="Times New Roman" w:hAnsi="Times New Roman" w:cs="Times New Roman"/>
          <w:sz w:val="24"/>
          <w:szCs w:val="24"/>
        </w:rPr>
        <w:t xml:space="preserve">within </w:t>
      </w:r>
      <w:r w:rsidR="00CB5A0C">
        <w:rPr>
          <w:rFonts w:ascii="Times New Roman" w:hAnsi="Times New Roman" w:cs="Times New Roman"/>
          <w:sz w:val="24"/>
          <w:szCs w:val="24"/>
        </w:rPr>
        <w:t xml:space="preserve">a </w:t>
      </w:r>
      <w:r w:rsidR="007E4A46">
        <w:rPr>
          <w:rFonts w:ascii="Times New Roman" w:hAnsi="Times New Roman" w:cs="Times New Roman"/>
          <w:sz w:val="24"/>
          <w:szCs w:val="24"/>
        </w:rPr>
        <w:t>criminal unit</w:t>
      </w:r>
      <w:r w:rsidR="00EF3B2A">
        <w:rPr>
          <w:rFonts w:ascii="Times New Roman" w:hAnsi="Times New Roman" w:cs="Times New Roman"/>
          <w:sz w:val="24"/>
          <w:szCs w:val="24"/>
        </w:rPr>
        <w:t>.</w:t>
      </w:r>
      <w:r w:rsidR="00FF64E3">
        <w:rPr>
          <w:rFonts w:ascii="Times New Roman" w:hAnsi="Times New Roman" w:cs="Times New Roman"/>
          <w:sz w:val="24"/>
          <w:szCs w:val="24"/>
        </w:rPr>
        <w:t xml:space="preserve"> A case against a prescription drug manufacturer could involve multiple states, as well as a fraud unit and a criminal unit.</w:t>
      </w:r>
      <w:r w:rsidR="00EF3B2A">
        <w:rPr>
          <w:rFonts w:ascii="Times New Roman" w:hAnsi="Times New Roman" w:cs="Times New Roman"/>
          <w:sz w:val="24"/>
          <w:szCs w:val="24"/>
        </w:rPr>
        <w:t xml:space="preserve"> </w:t>
      </w:r>
      <w:r>
        <w:rPr>
          <w:rFonts w:ascii="Times New Roman" w:hAnsi="Times New Roman" w:cs="Times New Roman"/>
          <w:sz w:val="24"/>
          <w:szCs w:val="24"/>
        </w:rPr>
        <w:t>Currently, there is no central data source that captures how attorney</w:t>
      </w:r>
      <w:r w:rsidR="001321CA">
        <w:rPr>
          <w:rFonts w:ascii="Times New Roman" w:hAnsi="Times New Roman" w:cs="Times New Roman"/>
          <w:sz w:val="24"/>
          <w:szCs w:val="24"/>
        </w:rPr>
        <w:t>s</w:t>
      </w:r>
      <w:r>
        <w:rPr>
          <w:rFonts w:ascii="Times New Roman" w:hAnsi="Times New Roman" w:cs="Times New Roman"/>
          <w:sz w:val="24"/>
          <w:szCs w:val="24"/>
        </w:rPr>
        <w:t xml:space="preserve"> general offices handle and respond to criminal matters. The collection of systematic information regarding the organization, structure, activities</w:t>
      </w:r>
      <w:r w:rsidR="001321CA">
        <w:rPr>
          <w:rFonts w:ascii="Times New Roman" w:hAnsi="Times New Roman" w:cs="Times New Roman"/>
          <w:sz w:val="24"/>
          <w:szCs w:val="24"/>
        </w:rPr>
        <w:t>,</w:t>
      </w:r>
      <w:r>
        <w:rPr>
          <w:rFonts w:ascii="Times New Roman" w:hAnsi="Times New Roman" w:cs="Times New Roman"/>
          <w:sz w:val="24"/>
          <w:szCs w:val="24"/>
        </w:rPr>
        <w:t xml:space="preserve"> and types of cases handled by </w:t>
      </w:r>
      <w:r w:rsidR="002678D5">
        <w:rPr>
          <w:rFonts w:ascii="Times New Roman" w:hAnsi="Times New Roman" w:cs="Times New Roman"/>
          <w:sz w:val="24"/>
          <w:szCs w:val="24"/>
        </w:rPr>
        <w:t>state attorneys general offices</w:t>
      </w:r>
      <w:r>
        <w:rPr>
          <w:rFonts w:ascii="Times New Roman" w:hAnsi="Times New Roman" w:cs="Times New Roman"/>
          <w:sz w:val="24"/>
          <w:szCs w:val="24"/>
        </w:rPr>
        <w:t xml:space="preserve"> would increase BJS’</w:t>
      </w:r>
      <w:r w:rsidR="008A3F2A">
        <w:rPr>
          <w:rFonts w:ascii="Times New Roman" w:hAnsi="Times New Roman" w:cs="Times New Roman"/>
          <w:sz w:val="24"/>
          <w:szCs w:val="24"/>
        </w:rPr>
        <w:t>s</w:t>
      </w:r>
      <w:r>
        <w:rPr>
          <w:rFonts w:ascii="Times New Roman" w:hAnsi="Times New Roman" w:cs="Times New Roman"/>
          <w:sz w:val="24"/>
          <w:szCs w:val="24"/>
        </w:rPr>
        <w:t xml:space="preserve"> understanding of state criminal justice systems</w:t>
      </w:r>
      <w:r w:rsidR="00A61442">
        <w:rPr>
          <w:rFonts w:ascii="Times New Roman" w:hAnsi="Times New Roman" w:cs="Times New Roman"/>
          <w:sz w:val="24"/>
          <w:szCs w:val="24"/>
        </w:rPr>
        <w:t xml:space="preserve"> and</w:t>
      </w:r>
      <w:r>
        <w:rPr>
          <w:rFonts w:ascii="Times New Roman" w:hAnsi="Times New Roman" w:cs="Times New Roman"/>
          <w:sz w:val="24"/>
          <w:szCs w:val="24"/>
        </w:rPr>
        <w:t xml:space="preserve"> document the important work done by </w:t>
      </w:r>
      <w:r w:rsidR="002678D5">
        <w:rPr>
          <w:rFonts w:ascii="Times New Roman" w:hAnsi="Times New Roman" w:cs="Times New Roman"/>
          <w:sz w:val="24"/>
          <w:szCs w:val="24"/>
        </w:rPr>
        <w:t>state attorneys general offices</w:t>
      </w:r>
      <w:r>
        <w:rPr>
          <w:rFonts w:ascii="Times New Roman" w:hAnsi="Times New Roman" w:cs="Times New Roman"/>
          <w:sz w:val="24"/>
          <w:szCs w:val="24"/>
        </w:rPr>
        <w:t xml:space="preserve"> that is not captured elsewhere in BJS collections</w:t>
      </w:r>
      <w:r w:rsidR="00CB5A0C">
        <w:rPr>
          <w:rFonts w:ascii="Times New Roman" w:hAnsi="Times New Roman" w:cs="Times New Roman"/>
          <w:sz w:val="24"/>
          <w:szCs w:val="24"/>
        </w:rPr>
        <w:t>, or by other federal data collections</w:t>
      </w:r>
      <w:r>
        <w:rPr>
          <w:rFonts w:ascii="Times New Roman" w:hAnsi="Times New Roman" w:cs="Times New Roman"/>
          <w:sz w:val="24"/>
          <w:szCs w:val="24"/>
        </w:rPr>
        <w:t>.</w:t>
      </w:r>
      <w:r w:rsidR="0086463A">
        <w:rPr>
          <w:rFonts w:ascii="Times New Roman" w:hAnsi="Times New Roman" w:cs="Times New Roman"/>
          <w:sz w:val="24"/>
          <w:szCs w:val="24"/>
        </w:rPr>
        <w:t xml:space="preserve"> For example, a recent National Academy of Sciences report noted that “there are some offenses such as fraud against the government (e.g., fraudulent medical benefit claims) in which state attorneys general or inspectors general may be the only potential, viable source</w:t>
      </w:r>
      <w:r w:rsidR="007A0379">
        <w:rPr>
          <w:rFonts w:ascii="Times New Roman" w:hAnsi="Times New Roman" w:cs="Times New Roman"/>
          <w:sz w:val="24"/>
          <w:szCs w:val="24"/>
        </w:rPr>
        <w:t>—</w:t>
      </w:r>
      <w:r w:rsidR="0086463A">
        <w:rPr>
          <w:rFonts w:ascii="Times New Roman" w:hAnsi="Times New Roman" w:cs="Times New Roman"/>
          <w:sz w:val="24"/>
          <w:szCs w:val="24"/>
        </w:rPr>
        <w:t>likewise for highly state-differing policies on gambling or alcohol enforcement.”</w:t>
      </w:r>
      <w:r w:rsidR="0086463A">
        <w:rPr>
          <w:rStyle w:val="FootnoteReference"/>
          <w:rFonts w:ascii="Times New Roman" w:hAnsi="Times New Roman" w:cs="Times New Roman"/>
          <w:sz w:val="24"/>
          <w:szCs w:val="24"/>
        </w:rPr>
        <w:footnoteReference w:id="4"/>
      </w:r>
    </w:p>
    <w:p w14:paraId="7DBB5B12" w14:textId="77777777" w:rsidR="001C5D9B" w:rsidRDefault="001C5D9B" w:rsidP="000A27F4">
      <w:pPr>
        <w:spacing w:after="0" w:line="240" w:lineRule="auto"/>
        <w:rPr>
          <w:rFonts w:ascii="Times New Roman" w:hAnsi="Times New Roman" w:cs="Times New Roman"/>
          <w:sz w:val="24"/>
          <w:szCs w:val="24"/>
        </w:rPr>
      </w:pPr>
    </w:p>
    <w:p w14:paraId="17A1BFA5" w14:textId="7FDBF736" w:rsidR="001C5D9B" w:rsidRDefault="002678D5"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State attorneys general offices</w:t>
      </w:r>
      <w:r w:rsidR="001C5D9B">
        <w:rPr>
          <w:rFonts w:ascii="Times New Roman" w:hAnsi="Times New Roman" w:cs="Times New Roman"/>
          <w:sz w:val="24"/>
          <w:szCs w:val="24"/>
        </w:rPr>
        <w:t xml:space="preserve"> </w:t>
      </w:r>
      <w:r w:rsidR="00CB5A0C">
        <w:rPr>
          <w:rFonts w:ascii="Times New Roman" w:hAnsi="Times New Roman" w:cs="Times New Roman"/>
          <w:sz w:val="24"/>
          <w:szCs w:val="24"/>
        </w:rPr>
        <w:t>c</w:t>
      </w:r>
      <w:r w:rsidR="001321CA">
        <w:rPr>
          <w:rFonts w:ascii="Times New Roman" w:hAnsi="Times New Roman" w:cs="Times New Roman"/>
          <w:sz w:val="24"/>
          <w:szCs w:val="24"/>
        </w:rPr>
        <w:t xml:space="preserve">ould </w:t>
      </w:r>
      <w:r w:rsidR="001C5D9B">
        <w:rPr>
          <w:rFonts w:ascii="Times New Roman" w:hAnsi="Times New Roman" w:cs="Times New Roman"/>
          <w:sz w:val="24"/>
          <w:szCs w:val="24"/>
        </w:rPr>
        <w:t>also benefit from th</w:t>
      </w:r>
      <w:r w:rsidR="00FF64E3">
        <w:rPr>
          <w:rFonts w:ascii="Times New Roman" w:hAnsi="Times New Roman" w:cs="Times New Roman"/>
          <w:sz w:val="24"/>
          <w:szCs w:val="24"/>
        </w:rPr>
        <w:t>ese</w:t>
      </w:r>
      <w:r w:rsidR="001C5D9B">
        <w:rPr>
          <w:rFonts w:ascii="Times New Roman" w:hAnsi="Times New Roman" w:cs="Times New Roman"/>
          <w:sz w:val="24"/>
          <w:szCs w:val="24"/>
        </w:rPr>
        <w:t xml:space="preserve"> data collection</w:t>
      </w:r>
      <w:r w:rsidR="00FF64E3">
        <w:rPr>
          <w:rFonts w:ascii="Times New Roman" w:hAnsi="Times New Roman" w:cs="Times New Roman"/>
          <w:sz w:val="24"/>
          <w:szCs w:val="24"/>
        </w:rPr>
        <w:t>s</w:t>
      </w:r>
      <w:r w:rsidR="001C5D9B">
        <w:rPr>
          <w:rFonts w:ascii="Times New Roman" w:hAnsi="Times New Roman" w:cs="Times New Roman"/>
          <w:sz w:val="24"/>
          <w:szCs w:val="24"/>
        </w:rPr>
        <w:t xml:space="preserve">. </w:t>
      </w:r>
      <w:r w:rsidR="00EF3B2A">
        <w:rPr>
          <w:rFonts w:ascii="Times New Roman" w:hAnsi="Times New Roman" w:cs="Times New Roman"/>
          <w:sz w:val="24"/>
          <w:szCs w:val="24"/>
        </w:rPr>
        <w:t>The</w:t>
      </w:r>
      <w:r w:rsidR="00FF64E3">
        <w:rPr>
          <w:rFonts w:ascii="Times New Roman" w:hAnsi="Times New Roman" w:cs="Times New Roman"/>
          <w:sz w:val="24"/>
          <w:szCs w:val="24"/>
        </w:rPr>
        <w:t xml:space="preserve"> collections</w:t>
      </w:r>
      <w:r w:rsidR="00EF3B2A">
        <w:rPr>
          <w:rFonts w:ascii="Times New Roman" w:hAnsi="Times New Roman" w:cs="Times New Roman"/>
          <w:sz w:val="24"/>
          <w:szCs w:val="24"/>
        </w:rPr>
        <w:t xml:space="preserve"> </w:t>
      </w:r>
      <w:r w:rsidR="00CB5A0C">
        <w:rPr>
          <w:rFonts w:ascii="Times New Roman" w:hAnsi="Times New Roman" w:cs="Times New Roman"/>
          <w:sz w:val="24"/>
          <w:szCs w:val="24"/>
        </w:rPr>
        <w:t>c</w:t>
      </w:r>
      <w:r w:rsidR="00EF3B2A">
        <w:rPr>
          <w:rFonts w:ascii="Times New Roman" w:hAnsi="Times New Roman" w:cs="Times New Roman"/>
          <w:sz w:val="24"/>
          <w:szCs w:val="24"/>
        </w:rPr>
        <w:t xml:space="preserve">ould allow </w:t>
      </w:r>
      <w:r>
        <w:rPr>
          <w:rFonts w:ascii="Times New Roman" w:hAnsi="Times New Roman" w:cs="Times New Roman"/>
          <w:sz w:val="24"/>
          <w:szCs w:val="24"/>
        </w:rPr>
        <w:t>state attorneys general offices</w:t>
      </w:r>
      <w:r w:rsidR="00EF3B2A">
        <w:rPr>
          <w:rFonts w:ascii="Times New Roman" w:hAnsi="Times New Roman" w:cs="Times New Roman"/>
          <w:sz w:val="24"/>
          <w:szCs w:val="24"/>
        </w:rPr>
        <w:t xml:space="preserve"> to </w:t>
      </w:r>
      <w:r w:rsidR="00E97A70">
        <w:rPr>
          <w:rFonts w:ascii="Times New Roman" w:hAnsi="Times New Roman" w:cs="Times New Roman"/>
          <w:sz w:val="24"/>
          <w:szCs w:val="24"/>
        </w:rPr>
        <w:t xml:space="preserve">compare </w:t>
      </w:r>
      <w:r w:rsidR="00EF3B2A">
        <w:rPr>
          <w:rFonts w:ascii="Times New Roman" w:hAnsi="Times New Roman" w:cs="Times New Roman"/>
          <w:sz w:val="24"/>
          <w:szCs w:val="24"/>
        </w:rPr>
        <w:t xml:space="preserve">their own caseloads, staffing, </w:t>
      </w:r>
      <w:r w:rsidR="00FF64E3">
        <w:rPr>
          <w:rFonts w:ascii="Times New Roman" w:hAnsi="Times New Roman" w:cs="Times New Roman"/>
          <w:sz w:val="24"/>
          <w:szCs w:val="24"/>
        </w:rPr>
        <w:t xml:space="preserve">and resources for human trafficking </w:t>
      </w:r>
      <w:r w:rsidR="00D03695">
        <w:rPr>
          <w:rFonts w:ascii="Times New Roman" w:hAnsi="Times New Roman" w:cs="Times New Roman"/>
          <w:sz w:val="24"/>
          <w:szCs w:val="24"/>
        </w:rPr>
        <w:t>to</w:t>
      </w:r>
      <w:r w:rsidR="00EF3B2A">
        <w:rPr>
          <w:rFonts w:ascii="Times New Roman" w:hAnsi="Times New Roman" w:cs="Times New Roman"/>
          <w:sz w:val="24"/>
          <w:szCs w:val="24"/>
        </w:rPr>
        <w:t xml:space="preserve"> those </w:t>
      </w:r>
      <w:r w:rsidR="00D03695">
        <w:rPr>
          <w:rFonts w:ascii="Times New Roman" w:hAnsi="Times New Roman" w:cs="Times New Roman"/>
          <w:sz w:val="24"/>
          <w:szCs w:val="24"/>
        </w:rPr>
        <w:t>of</w:t>
      </w:r>
      <w:r w:rsidR="00EF3B2A">
        <w:rPr>
          <w:rFonts w:ascii="Times New Roman" w:hAnsi="Times New Roman" w:cs="Times New Roman"/>
          <w:sz w:val="24"/>
          <w:szCs w:val="24"/>
        </w:rPr>
        <w:t xml:space="preserve"> their colleagues</w:t>
      </w:r>
      <w:r w:rsidR="00FF64E3">
        <w:rPr>
          <w:rFonts w:ascii="Times New Roman" w:hAnsi="Times New Roman" w:cs="Times New Roman"/>
          <w:sz w:val="24"/>
          <w:szCs w:val="24"/>
        </w:rPr>
        <w:t xml:space="preserve"> in other states</w:t>
      </w:r>
      <w:r w:rsidR="00EF3B2A">
        <w:rPr>
          <w:rFonts w:ascii="Times New Roman" w:hAnsi="Times New Roman" w:cs="Times New Roman"/>
          <w:sz w:val="24"/>
          <w:szCs w:val="24"/>
        </w:rPr>
        <w:t xml:space="preserve">. </w:t>
      </w:r>
    </w:p>
    <w:p w14:paraId="3341EB64" w14:textId="77777777" w:rsidR="00145F05" w:rsidRDefault="00145F05" w:rsidP="000A27F4">
      <w:pPr>
        <w:spacing w:after="0" w:line="240" w:lineRule="auto"/>
        <w:rPr>
          <w:rFonts w:ascii="Times New Roman" w:hAnsi="Times New Roman" w:cs="Times New Roman"/>
          <w:sz w:val="24"/>
          <w:szCs w:val="24"/>
        </w:rPr>
      </w:pPr>
    </w:p>
    <w:p w14:paraId="30CBAEB1" w14:textId="77777777" w:rsidR="00E5486A" w:rsidRPr="00E5486A" w:rsidRDefault="00E5486A" w:rsidP="000A27F4">
      <w:pPr>
        <w:spacing w:after="0" w:line="240" w:lineRule="auto"/>
        <w:rPr>
          <w:rFonts w:ascii="Times New Roman" w:hAnsi="Times New Roman" w:cs="Times New Roman"/>
          <w:i/>
          <w:sz w:val="24"/>
          <w:szCs w:val="24"/>
        </w:rPr>
      </w:pPr>
      <w:r>
        <w:rPr>
          <w:rFonts w:ascii="Times New Roman" w:hAnsi="Times New Roman" w:cs="Times New Roman"/>
          <w:i/>
          <w:sz w:val="24"/>
          <w:szCs w:val="24"/>
        </w:rPr>
        <w:t>Human Trafficking</w:t>
      </w:r>
    </w:p>
    <w:p w14:paraId="0E8FD39A" w14:textId="77777777" w:rsidR="000B3379" w:rsidRDefault="000B3379" w:rsidP="000A27F4">
      <w:pPr>
        <w:spacing w:after="0" w:line="240" w:lineRule="auto"/>
        <w:rPr>
          <w:rFonts w:ascii="Times New Roman" w:hAnsi="Times New Roman" w:cs="Times New Roman"/>
          <w:sz w:val="24"/>
          <w:szCs w:val="24"/>
        </w:rPr>
      </w:pPr>
    </w:p>
    <w:p w14:paraId="05CD86BD" w14:textId="34A7D7B1" w:rsidR="00256805" w:rsidRDefault="001337C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431A48">
        <w:rPr>
          <w:rFonts w:ascii="Times New Roman" w:hAnsi="Times New Roman" w:cs="Times New Roman"/>
          <w:sz w:val="24"/>
          <w:szCs w:val="24"/>
        </w:rPr>
        <w:t xml:space="preserve"> Trafficking Victims </w:t>
      </w:r>
      <w:r w:rsidR="00FC2EE1">
        <w:rPr>
          <w:rFonts w:ascii="Times New Roman" w:hAnsi="Times New Roman" w:cs="Times New Roman"/>
          <w:sz w:val="24"/>
          <w:szCs w:val="24"/>
        </w:rPr>
        <w:t xml:space="preserve">Protection </w:t>
      </w:r>
      <w:r w:rsidR="00431A48">
        <w:rPr>
          <w:rFonts w:ascii="Times New Roman" w:hAnsi="Times New Roman" w:cs="Times New Roman"/>
          <w:sz w:val="24"/>
          <w:szCs w:val="24"/>
        </w:rPr>
        <w:t xml:space="preserve">Act (TVPA, 2000, </w:t>
      </w:r>
      <w:r w:rsidR="00930087" w:rsidRPr="00930087">
        <w:rPr>
          <w:rFonts w:ascii="Times New Roman" w:hAnsi="Times New Roman" w:cs="Times New Roman"/>
          <w:sz w:val="24"/>
          <w:szCs w:val="24"/>
        </w:rPr>
        <w:t>22 USC § 7102</w:t>
      </w:r>
      <w:r>
        <w:rPr>
          <w:rFonts w:ascii="Times New Roman" w:hAnsi="Times New Roman" w:cs="Times New Roman"/>
          <w:sz w:val="24"/>
          <w:szCs w:val="24"/>
        </w:rPr>
        <w:t xml:space="preserve">, </w:t>
      </w:r>
      <w:r w:rsidR="00431A48">
        <w:rPr>
          <w:rFonts w:ascii="Times New Roman" w:hAnsi="Times New Roman" w:cs="Times New Roman"/>
          <w:sz w:val="24"/>
          <w:szCs w:val="24"/>
        </w:rPr>
        <w:t>reauthorized</w:t>
      </w:r>
      <w:r w:rsidR="00930087" w:rsidRPr="00930087">
        <w:rPr>
          <w:rFonts w:ascii="Times New Roman" w:hAnsi="Times New Roman" w:cs="Times New Roman"/>
          <w:sz w:val="24"/>
          <w:szCs w:val="24"/>
        </w:rPr>
        <w:t xml:space="preserve"> through the Trafficking Victims Protection Reauthorization Act</w:t>
      </w:r>
      <w:r w:rsidR="00E97A70">
        <w:rPr>
          <w:rFonts w:ascii="Times New Roman" w:hAnsi="Times New Roman" w:cs="Times New Roman"/>
          <w:sz w:val="24"/>
          <w:szCs w:val="24"/>
        </w:rPr>
        <w:t>s</w:t>
      </w:r>
      <w:r w:rsidR="00930087" w:rsidRPr="00930087">
        <w:rPr>
          <w:rFonts w:ascii="Times New Roman" w:hAnsi="Times New Roman" w:cs="Times New Roman"/>
          <w:sz w:val="24"/>
          <w:szCs w:val="24"/>
        </w:rPr>
        <w:t xml:space="preserve"> (TVPRA) of</w:t>
      </w:r>
      <w:r w:rsidR="00431A48">
        <w:rPr>
          <w:rFonts w:ascii="Times New Roman" w:hAnsi="Times New Roman" w:cs="Times New Roman"/>
          <w:sz w:val="24"/>
          <w:szCs w:val="24"/>
        </w:rPr>
        <w:t xml:space="preserve"> 2003, 2005, 2008, and 2013) serves as the model law for trafficking. </w:t>
      </w:r>
      <w:r w:rsidR="00431A48" w:rsidRPr="00137337">
        <w:rPr>
          <w:rFonts w:ascii="Times New Roman" w:hAnsi="Times New Roman" w:cs="Times New Roman"/>
          <w:sz w:val="24"/>
          <w:szCs w:val="24"/>
        </w:rPr>
        <w:t xml:space="preserve">The act defines </w:t>
      </w:r>
      <w:r w:rsidR="00137337">
        <w:rPr>
          <w:rFonts w:ascii="Times New Roman" w:hAnsi="Times New Roman" w:cs="Times New Roman"/>
          <w:sz w:val="24"/>
          <w:szCs w:val="24"/>
        </w:rPr>
        <w:t>“</w:t>
      </w:r>
      <w:r w:rsidR="00431A48" w:rsidRPr="00137337">
        <w:rPr>
          <w:rFonts w:ascii="Times New Roman" w:hAnsi="Times New Roman" w:cs="Times New Roman"/>
          <w:sz w:val="24"/>
          <w:szCs w:val="24"/>
        </w:rPr>
        <w:t>trafficking</w:t>
      </w:r>
      <w:r w:rsidRPr="00137337">
        <w:rPr>
          <w:rFonts w:ascii="Times New Roman" w:hAnsi="Times New Roman" w:cs="Times New Roman"/>
          <w:sz w:val="24"/>
          <w:szCs w:val="24"/>
        </w:rPr>
        <w:t xml:space="preserve"> in persons</w:t>
      </w:r>
      <w:r w:rsidR="00137337">
        <w:rPr>
          <w:rFonts w:ascii="Times New Roman" w:hAnsi="Times New Roman" w:cs="Times New Roman"/>
          <w:sz w:val="24"/>
          <w:szCs w:val="24"/>
        </w:rPr>
        <w:t>”</w:t>
      </w:r>
      <w:r w:rsidR="00431A48" w:rsidRPr="00137337">
        <w:rPr>
          <w:rFonts w:ascii="Times New Roman" w:hAnsi="Times New Roman" w:cs="Times New Roman"/>
          <w:sz w:val="24"/>
          <w:szCs w:val="24"/>
        </w:rPr>
        <w:t xml:space="preserve"> as</w:t>
      </w:r>
      <w:r w:rsidR="00102A67" w:rsidRPr="00137337">
        <w:rPr>
          <w:rFonts w:ascii="Times New Roman" w:hAnsi="Times New Roman" w:cs="Times New Roman"/>
          <w:sz w:val="24"/>
          <w:szCs w:val="24"/>
        </w:rPr>
        <w:t>:</w:t>
      </w:r>
      <w:r w:rsidR="00431A48" w:rsidRPr="00137337">
        <w:rPr>
          <w:rFonts w:ascii="Times New Roman" w:hAnsi="Times New Roman" w:cs="Times New Roman"/>
          <w:sz w:val="24"/>
          <w:szCs w:val="24"/>
        </w:rPr>
        <w:t xml:space="preserve"> “</w:t>
      </w:r>
      <w:r w:rsidRPr="00137337">
        <w:rPr>
          <w:rFonts w:ascii="Times New Roman" w:hAnsi="Times New Roman" w:cs="Times New Roman"/>
          <w:sz w:val="24"/>
          <w:szCs w:val="24"/>
        </w:rPr>
        <w:t>(</w:t>
      </w:r>
      <w:r w:rsidR="00102A67" w:rsidRPr="00137337">
        <w:rPr>
          <w:rFonts w:ascii="Times New Roman" w:hAnsi="Times New Roman" w:cs="Times New Roman"/>
          <w:sz w:val="24"/>
          <w:szCs w:val="24"/>
        </w:rPr>
        <w:t>A</w:t>
      </w:r>
      <w:r w:rsidRPr="00137337">
        <w:rPr>
          <w:rFonts w:ascii="Times New Roman" w:hAnsi="Times New Roman" w:cs="Times New Roman"/>
          <w:sz w:val="24"/>
          <w:szCs w:val="24"/>
        </w:rPr>
        <w:t>)</w:t>
      </w:r>
      <w:r>
        <w:rPr>
          <w:rFonts w:ascii="Times New Roman" w:hAnsi="Times New Roman" w:cs="Times New Roman"/>
          <w:sz w:val="24"/>
          <w:szCs w:val="24"/>
        </w:rPr>
        <w:t xml:space="preserve"> sex trafficking in which a commercial sex act is induced by force, fraud, or coercion, or in which the person induced to perform such act has not attained 18 years of age; or (</w:t>
      </w:r>
      <w:r w:rsidR="00102A67">
        <w:rPr>
          <w:rFonts w:ascii="Times New Roman" w:hAnsi="Times New Roman" w:cs="Times New Roman"/>
          <w:sz w:val="24"/>
          <w:szCs w:val="24"/>
        </w:rPr>
        <w:t>B</w:t>
      </w:r>
      <w:r>
        <w:rPr>
          <w:rFonts w:ascii="Times New Roman" w:hAnsi="Times New Roman" w:cs="Times New Roman"/>
          <w:sz w:val="24"/>
          <w:szCs w:val="24"/>
        </w:rPr>
        <w:t xml:space="preserve">) the recruitment, harboring, transportation, provision, or obtaining of a person for labor or services, through the use of force, fraud, or coercion for the purpose of subjection to involuntary servitude, peonage, debt bondage, or slavery.” </w:t>
      </w:r>
      <w:r w:rsidR="007E4A46">
        <w:rPr>
          <w:rFonts w:ascii="Times New Roman" w:hAnsi="Times New Roman" w:cs="Times New Roman"/>
          <w:sz w:val="24"/>
          <w:szCs w:val="24"/>
        </w:rPr>
        <w:t>The TVPA notes that human trafficking crosses several offense categories, potentially including kidna</w:t>
      </w:r>
      <w:r w:rsidR="00E97A70">
        <w:rPr>
          <w:rFonts w:ascii="Times New Roman" w:hAnsi="Times New Roman" w:cs="Times New Roman"/>
          <w:sz w:val="24"/>
          <w:szCs w:val="24"/>
        </w:rPr>
        <w:t>p</w:t>
      </w:r>
      <w:r w:rsidR="007E4A46">
        <w:rPr>
          <w:rFonts w:ascii="Times New Roman" w:hAnsi="Times New Roman" w:cs="Times New Roman"/>
          <w:sz w:val="24"/>
          <w:szCs w:val="24"/>
        </w:rPr>
        <w:t>ping, false imprisonment, assault, fraud, extortion, and potentially immigration codes if the victims are transported internationally. The TVPA also recognizes that trafficking is likely to involve mult</w:t>
      </w:r>
      <w:r w:rsidR="00775B85">
        <w:rPr>
          <w:rFonts w:ascii="Times New Roman" w:hAnsi="Times New Roman" w:cs="Times New Roman"/>
          <w:sz w:val="24"/>
          <w:szCs w:val="24"/>
        </w:rPr>
        <w:t xml:space="preserve">iple states, or include an international component, making U.S. Attorneys and </w:t>
      </w:r>
      <w:r w:rsidR="002678D5">
        <w:rPr>
          <w:rFonts w:ascii="Times New Roman" w:hAnsi="Times New Roman" w:cs="Times New Roman"/>
          <w:sz w:val="24"/>
          <w:szCs w:val="24"/>
        </w:rPr>
        <w:t>state attorneys general offices</w:t>
      </w:r>
      <w:r w:rsidR="00775B85">
        <w:rPr>
          <w:rFonts w:ascii="Times New Roman" w:hAnsi="Times New Roman" w:cs="Times New Roman"/>
          <w:sz w:val="24"/>
          <w:szCs w:val="24"/>
        </w:rPr>
        <w:t xml:space="preserve"> the likely prosecution sources.</w:t>
      </w:r>
    </w:p>
    <w:p w14:paraId="38B6A5C0" w14:textId="77777777" w:rsidR="00775B85" w:rsidRDefault="00775B85" w:rsidP="000A27F4">
      <w:pPr>
        <w:spacing w:after="0" w:line="240" w:lineRule="auto"/>
        <w:rPr>
          <w:rFonts w:ascii="Times New Roman" w:hAnsi="Times New Roman" w:cs="Times New Roman"/>
          <w:sz w:val="24"/>
          <w:szCs w:val="24"/>
        </w:rPr>
      </w:pPr>
    </w:p>
    <w:p w14:paraId="4747C8C0" w14:textId="127C3E87" w:rsidR="00DC1370" w:rsidRDefault="0045757E" w:rsidP="00DC137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On</w:t>
      </w:r>
      <w:r w:rsidR="000B4D11">
        <w:rPr>
          <w:rFonts w:ascii="Times New Roman" w:hAnsi="Times New Roman" w:cs="Times New Roman"/>
          <w:sz w:val="24"/>
          <w:szCs w:val="24"/>
        </w:rPr>
        <w:t xml:space="preserve"> </w:t>
      </w:r>
      <w:r w:rsidR="006F2681">
        <w:rPr>
          <w:rFonts w:ascii="Times New Roman" w:hAnsi="Times New Roman" w:cs="Times New Roman"/>
          <w:sz w:val="24"/>
          <w:szCs w:val="24"/>
        </w:rPr>
        <w:t xml:space="preserve">April 11, </w:t>
      </w:r>
      <w:r w:rsidR="000B4D11">
        <w:rPr>
          <w:rFonts w:ascii="Times New Roman" w:hAnsi="Times New Roman" w:cs="Times New Roman"/>
          <w:sz w:val="24"/>
          <w:szCs w:val="24"/>
        </w:rPr>
        <w:t xml:space="preserve">2018, the President signed </w:t>
      </w:r>
      <w:r w:rsidR="00EB52AD">
        <w:rPr>
          <w:rFonts w:ascii="Times New Roman" w:hAnsi="Times New Roman" w:cs="Times New Roman"/>
          <w:sz w:val="24"/>
          <w:szCs w:val="24"/>
        </w:rPr>
        <w:t xml:space="preserve">into law </w:t>
      </w:r>
      <w:r w:rsidR="000B4D11">
        <w:rPr>
          <w:rFonts w:ascii="Times New Roman" w:hAnsi="Times New Roman" w:cs="Times New Roman"/>
          <w:sz w:val="24"/>
          <w:szCs w:val="24"/>
        </w:rPr>
        <w:t xml:space="preserve">the Allow States and Victims to Fight Online Sex Trafficking Act (FOSTA), allowing victims and state attorneys general to file lawsuits against websites that </w:t>
      </w:r>
      <w:r w:rsidR="00E17858">
        <w:rPr>
          <w:rFonts w:ascii="Times New Roman" w:hAnsi="Times New Roman" w:cs="Times New Roman"/>
          <w:sz w:val="24"/>
          <w:szCs w:val="24"/>
        </w:rPr>
        <w:t xml:space="preserve">promote </w:t>
      </w:r>
      <w:r w:rsidR="000B4D11">
        <w:rPr>
          <w:rFonts w:ascii="Times New Roman" w:hAnsi="Times New Roman" w:cs="Times New Roman"/>
          <w:sz w:val="24"/>
          <w:szCs w:val="24"/>
        </w:rPr>
        <w:t>or enable sex trafficking.</w:t>
      </w:r>
    </w:p>
    <w:p w14:paraId="559B151F" w14:textId="77777777" w:rsidR="00DC1370" w:rsidRDefault="00DC1370" w:rsidP="00DC1370">
      <w:pPr>
        <w:spacing w:after="0" w:line="240" w:lineRule="auto"/>
        <w:rPr>
          <w:rFonts w:ascii="Times New Roman" w:hAnsi="Times New Roman" w:cs="Times New Roman"/>
          <w:sz w:val="24"/>
          <w:szCs w:val="24"/>
        </w:rPr>
      </w:pPr>
    </w:p>
    <w:p w14:paraId="5216F15A" w14:textId="260A6B8E" w:rsidR="0001426F" w:rsidRDefault="00DC1370" w:rsidP="00DC13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Neither the TVPA nor FOSTA provide mechanisms for reporting on the amount of human trafficking encountered by law enforcement or prosecuted under state law. In the absence of any such reporting requirement, those interested in the number of people prosecuted for human trafficking offenses must resort to data collection directly from prosecutors. Given the role that state attorneys general offices play in investigation and prosecution of suspected offenders, this data collection </w:t>
      </w:r>
      <w:r w:rsidR="00CB5A0C">
        <w:rPr>
          <w:rFonts w:ascii="Times New Roman" w:hAnsi="Times New Roman" w:cs="Times New Roman"/>
          <w:sz w:val="24"/>
          <w:szCs w:val="24"/>
        </w:rPr>
        <w:t xml:space="preserve">will </w:t>
      </w:r>
      <w:r>
        <w:rPr>
          <w:rFonts w:ascii="Times New Roman" w:hAnsi="Times New Roman" w:cs="Times New Roman"/>
          <w:sz w:val="24"/>
          <w:szCs w:val="24"/>
        </w:rPr>
        <w:t xml:space="preserve">play a significant role in articulating a complete picture of the justice system response to human trafficking. </w:t>
      </w:r>
      <w:r w:rsidR="000B4D11">
        <w:rPr>
          <w:rFonts w:ascii="Times New Roman" w:hAnsi="Times New Roman" w:cs="Times New Roman"/>
          <w:sz w:val="24"/>
          <w:szCs w:val="24"/>
        </w:rPr>
        <w:t xml:space="preserve"> </w:t>
      </w:r>
    </w:p>
    <w:p w14:paraId="3E71F2E6" w14:textId="77777777" w:rsidR="000A27F4" w:rsidRDefault="000A27F4" w:rsidP="000A27F4">
      <w:pPr>
        <w:spacing w:after="0" w:line="240" w:lineRule="auto"/>
        <w:rPr>
          <w:rFonts w:ascii="Times New Roman" w:hAnsi="Times New Roman" w:cs="Times New Roman"/>
          <w:sz w:val="24"/>
          <w:szCs w:val="24"/>
        </w:rPr>
      </w:pPr>
    </w:p>
    <w:p w14:paraId="34803553" w14:textId="5D44B3CB" w:rsidR="000A27F4" w:rsidRDefault="000A27F4" w:rsidP="000A27F4">
      <w:pPr>
        <w:spacing w:after="0" w:line="240" w:lineRule="auto"/>
        <w:rPr>
          <w:rFonts w:ascii="Times New Roman" w:hAnsi="Times New Roman" w:cs="Times New Roman"/>
          <w:sz w:val="24"/>
          <w:szCs w:val="24"/>
        </w:rPr>
      </w:pPr>
      <w:r w:rsidRPr="00217F54">
        <w:rPr>
          <w:rFonts w:ascii="Times New Roman" w:hAnsi="Times New Roman" w:cs="Times New Roman"/>
          <w:sz w:val="24"/>
          <w:szCs w:val="24"/>
        </w:rPr>
        <w:t xml:space="preserve">Under Title </w:t>
      </w:r>
      <w:r w:rsidR="00A971F1">
        <w:rPr>
          <w:rFonts w:ascii="Times New Roman" w:hAnsi="Times New Roman" w:cs="Times New Roman"/>
          <w:sz w:val="24"/>
          <w:szCs w:val="24"/>
        </w:rPr>
        <w:t>34</w:t>
      </w:r>
      <w:r w:rsidRPr="00217F54">
        <w:rPr>
          <w:rFonts w:ascii="Times New Roman" w:hAnsi="Times New Roman" w:cs="Times New Roman"/>
          <w:sz w:val="24"/>
          <w:szCs w:val="24"/>
        </w:rPr>
        <w:t xml:space="preserve"> </w:t>
      </w:r>
      <w:r w:rsidR="001D17F2" w:rsidRPr="00930087">
        <w:rPr>
          <w:rFonts w:ascii="Times New Roman" w:hAnsi="Times New Roman" w:cs="Times New Roman"/>
          <w:sz w:val="24"/>
          <w:szCs w:val="24"/>
        </w:rPr>
        <w:t>USC §</w:t>
      </w:r>
      <w:r w:rsidR="001D17F2">
        <w:rPr>
          <w:rFonts w:ascii="Times New Roman" w:hAnsi="Times New Roman" w:cs="Times New Roman"/>
          <w:sz w:val="24"/>
          <w:szCs w:val="24"/>
        </w:rPr>
        <w:t xml:space="preserve"> </w:t>
      </w:r>
      <w:r w:rsidR="00A971F1">
        <w:rPr>
          <w:rFonts w:ascii="Times New Roman" w:hAnsi="Times New Roman" w:cs="Times New Roman"/>
          <w:sz w:val="24"/>
          <w:szCs w:val="24"/>
        </w:rPr>
        <w:t>10132 (</w:t>
      </w:r>
      <w:r w:rsidR="00FD0249">
        <w:rPr>
          <w:rFonts w:ascii="Times New Roman" w:hAnsi="Times New Roman" w:cs="Times New Roman"/>
          <w:b/>
          <w:sz w:val="24"/>
          <w:szCs w:val="24"/>
        </w:rPr>
        <w:t xml:space="preserve">Attachment </w:t>
      </w:r>
      <w:r w:rsidR="001E2E47">
        <w:rPr>
          <w:rFonts w:ascii="Times New Roman" w:hAnsi="Times New Roman" w:cs="Times New Roman"/>
          <w:b/>
          <w:sz w:val="24"/>
          <w:szCs w:val="24"/>
        </w:rPr>
        <w:t>2</w:t>
      </w:r>
      <w:r w:rsidRPr="00217F54">
        <w:rPr>
          <w:rFonts w:ascii="Times New Roman" w:hAnsi="Times New Roman" w:cs="Times New Roman"/>
          <w:sz w:val="24"/>
          <w:szCs w:val="24"/>
        </w:rPr>
        <w:t xml:space="preserve">), BJS is directed to collect and analyze statistical information concerning the operation of both the criminal and civil justice system at the federal, state, </w:t>
      </w:r>
      <w:r w:rsidR="00D90133">
        <w:rPr>
          <w:rFonts w:ascii="Times New Roman" w:hAnsi="Times New Roman" w:cs="Times New Roman"/>
          <w:sz w:val="24"/>
          <w:szCs w:val="24"/>
        </w:rPr>
        <w:t xml:space="preserve">and </w:t>
      </w:r>
      <w:r w:rsidRPr="00217F54">
        <w:rPr>
          <w:rFonts w:ascii="Times New Roman" w:hAnsi="Times New Roman" w:cs="Times New Roman"/>
          <w:sz w:val="24"/>
          <w:szCs w:val="24"/>
        </w:rPr>
        <w:t>local levels</w:t>
      </w:r>
      <w:r>
        <w:rPr>
          <w:rFonts w:ascii="Times New Roman" w:hAnsi="Times New Roman" w:cs="Times New Roman"/>
          <w:sz w:val="24"/>
          <w:szCs w:val="24"/>
        </w:rPr>
        <w:t xml:space="preserve">. </w:t>
      </w:r>
      <w:r w:rsidR="00397765">
        <w:rPr>
          <w:rFonts w:ascii="Times New Roman" w:hAnsi="Times New Roman" w:cs="Times New Roman"/>
          <w:sz w:val="24"/>
          <w:szCs w:val="24"/>
        </w:rPr>
        <w:t>D</w:t>
      </w:r>
      <w:r w:rsidRPr="00217F54">
        <w:rPr>
          <w:rFonts w:ascii="Times New Roman" w:hAnsi="Times New Roman" w:cs="Times New Roman"/>
          <w:sz w:val="24"/>
          <w:szCs w:val="24"/>
        </w:rPr>
        <w:t>ata</w:t>
      </w:r>
      <w:r w:rsidR="00397765">
        <w:rPr>
          <w:rFonts w:ascii="Times New Roman" w:hAnsi="Times New Roman" w:cs="Times New Roman"/>
          <w:sz w:val="24"/>
          <w:szCs w:val="24"/>
        </w:rPr>
        <w:t xml:space="preserve"> on </w:t>
      </w:r>
      <w:r w:rsidR="000F5EE5">
        <w:rPr>
          <w:rFonts w:ascii="Times New Roman" w:hAnsi="Times New Roman" w:cs="Times New Roman"/>
          <w:sz w:val="24"/>
          <w:szCs w:val="24"/>
        </w:rPr>
        <w:t xml:space="preserve">human trafficking </w:t>
      </w:r>
      <w:r w:rsidRPr="00217F54">
        <w:rPr>
          <w:rFonts w:ascii="Times New Roman" w:hAnsi="Times New Roman" w:cs="Times New Roman"/>
          <w:sz w:val="24"/>
          <w:szCs w:val="24"/>
        </w:rPr>
        <w:t>are needed to address the following types of questions:</w:t>
      </w:r>
    </w:p>
    <w:p w14:paraId="358A8DD7" w14:textId="77777777" w:rsidR="006E71A2" w:rsidRPr="00217F54" w:rsidRDefault="006E71A2" w:rsidP="000A27F4">
      <w:pPr>
        <w:spacing w:after="0" w:line="240" w:lineRule="auto"/>
        <w:rPr>
          <w:rFonts w:ascii="Times New Roman" w:hAnsi="Times New Roman" w:cs="Times New Roman"/>
          <w:sz w:val="24"/>
          <w:szCs w:val="24"/>
        </w:rPr>
      </w:pPr>
    </w:p>
    <w:p w14:paraId="1F703F09" w14:textId="77777777" w:rsidR="000A27F4" w:rsidRPr="00217F54" w:rsidRDefault="000A27F4" w:rsidP="000A27F4">
      <w:pPr>
        <w:pStyle w:val="ListParagraph"/>
        <w:numPr>
          <w:ilvl w:val="0"/>
          <w:numId w:val="3"/>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What types of</w:t>
      </w:r>
      <w:r w:rsidRPr="00217F54">
        <w:rPr>
          <w:rFonts w:ascii="Times New Roman" w:hAnsi="Times New Roman" w:cs="Times New Roman"/>
          <w:sz w:val="24"/>
          <w:szCs w:val="24"/>
        </w:rPr>
        <w:t xml:space="preserve"> </w:t>
      </w:r>
      <w:r w:rsidR="000F5EE5">
        <w:rPr>
          <w:rFonts w:ascii="Times New Roman" w:hAnsi="Times New Roman" w:cs="Times New Roman"/>
          <w:sz w:val="24"/>
          <w:szCs w:val="24"/>
        </w:rPr>
        <w:t>human trafficking cases</w:t>
      </w:r>
      <w:r w:rsidRPr="00217F54">
        <w:rPr>
          <w:rFonts w:ascii="Times New Roman" w:hAnsi="Times New Roman" w:cs="Times New Roman"/>
          <w:sz w:val="24"/>
          <w:szCs w:val="24"/>
        </w:rPr>
        <w:t xml:space="preserve"> are </w:t>
      </w:r>
      <w:r>
        <w:rPr>
          <w:rFonts w:ascii="Times New Roman" w:hAnsi="Times New Roman" w:cs="Times New Roman"/>
          <w:sz w:val="24"/>
          <w:szCs w:val="24"/>
        </w:rPr>
        <w:t>prosecuted</w:t>
      </w:r>
      <w:r w:rsidR="00AD1608">
        <w:rPr>
          <w:rFonts w:ascii="Times New Roman" w:hAnsi="Times New Roman" w:cs="Times New Roman"/>
          <w:sz w:val="24"/>
          <w:szCs w:val="24"/>
        </w:rPr>
        <w:t xml:space="preserve"> by </w:t>
      </w:r>
      <w:r w:rsidR="002678D5">
        <w:rPr>
          <w:rFonts w:ascii="Times New Roman" w:hAnsi="Times New Roman" w:cs="Times New Roman"/>
          <w:sz w:val="24"/>
          <w:szCs w:val="24"/>
        </w:rPr>
        <w:t>state attorneys general offices</w:t>
      </w:r>
      <w:r>
        <w:rPr>
          <w:rFonts w:ascii="Times New Roman" w:hAnsi="Times New Roman" w:cs="Times New Roman"/>
          <w:sz w:val="24"/>
          <w:szCs w:val="24"/>
        </w:rPr>
        <w:t xml:space="preserve"> in the U.S.</w:t>
      </w:r>
      <w:r w:rsidRPr="00217F54">
        <w:rPr>
          <w:rFonts w:ascii="Times New Roman" w:hAnsi="Times New Roman" w:cs="Times New Roman"/>
          <w:sz w:val="24"/>
          <w:szCs w:val="24"/>
        </w:rPr>
        <w:t xml:space="preserve">?  </w:t>
      </w:r>
    </w:p>
    <w:p w14:paraId="302EEC26" w14:textId="77777777" w:rsidR="000A27F4" w:rsidRPr="00217F54" w:rsidRDefault="000A27F4" w:rsidP="000A27F4">
      <w:pPr>
        <w:pStyle w:val="ListParagraph"/>
        <w:numPr>
          <w:ilvl w:val="0"/>
          <w:numId w:val="3"/>
        </w:numPr>
        <w:spacing w:after="0" w:line="240" w:lineRule="auto"/>
        <w:contextualSpacing w:val="0"/>
        <w:rPr>
          <w:rFonts w:ascii="Times New Roman" w:hAnsi="Times New Roman" w:cs="Times New Roman"/>
          <w:sz w:val="24"/>
          <w:szCs w:val="24"/>
        </w:rPr>
      </w:pPr>
      <w:r w:rsidRPr="00217F54">
        <w:rPr>
          <w:rFonts w:ascii="Times New Roman" w:hAnsi="Times New Roman" w:cs="Times New Roman"/>
          <w:sz w:val="24"/>
          <w:szCs w:val="24"/>
        </w:rPr>
        <w:t xml:space="preserve">How </w:t>
      </w:r>
      <w:r>
        <w:rPr>
          <w:rFonts w:ascii="Times New Roman" w:hAnsi="Times New Roman" w:cs="Times New Roman"/>
          <w:sz w:val="24"/>
          <w:szCs w:val="24"/>
        </w:rPr>
        <w:t xml:space="preserve">are civil and criminal </w:t>
      </w:r>
      <w:r w:rsidR="000F5EE5">
        <w:rPr>
          <w:rFonts w:ascii="Times New Roman" w:hAnsi="Times New Roman" w:cs="Times New Roman"/>
          <w:sz w:val="24"/>
          <w:szCs w:val="24"/>
        </w:rPr>
        <w:t>human trafficking</w:t>
      </w:r>
      <w:r>
        <w:rPr>
          <w:rFonts w:ascii="Times New Roman" w:hAnsi="Times New Roman" w:cs="Times New Roman"/>
          <w:sz w:val="24"/>
          <w:szCs w:val="24"/>
        </w:rPr>
        <w:t xml:space="preserve"> cases </w:t>
      </w:r>
      <w:r w:rsidRPr="00217F54">
        <w:rPr>
          <w:rFonts w:ascii="Times New Roman" w:hAnsi="Times New Roman" w:cs="Times New Roman"/>
          <w:sz w:val="24"/>
          <w:szCs w:val="24"/>
        </w:rPr>
        <w:t xml:space="preserve">processed through the justice system? </w:t>
      </w:r>
    </w:p>
    <w:p w14:paraId="13264A45" w14:textId="77777777" w:rsidR="000A27F4" w:rsidRPr="00217F54" w:rsidRDefault="00D341C6" w:rsidP="000A27F4">
      <w:pPr>
        <w:pStyle w:val="ListParagraph"/>
        <w:numPr>
          <w:ilvl w:val="0"/>
          <w:numId w:val="3"/>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Who are the victims of </w:t>
      </w:r>
      <w:r w:rsidR="000F5EE5">
        <w:rPr>
          <w:rFonts w:ascii="Times New Roman" w:hAnsi="Times New Roman" w:cs="Times New Roman"/>
          <w:sz w:val="24"/>
          <w:szCs w:val="24"/>
        </w:rPr>
        <w:t>human trafficking</w:t>
      </w:r>
      <w:r>
        <w:rPr>
          <w:rFonts w:ascii="Times New Roman" w:hAnsi="Times New Roman" w:cs="Times New Roman"/>
          <w:sz w:val="24"/>
          <w:szCs w:val="24"/>
        </w:rPr>
        <w:t>?</w:t>
      </w:r>
      <w:r w:rsidR="000A27F4" w:rsidRPr="00217F54">
        <w:rPr>
          <w:rFonts w:ascii="Times New Roman" w:hAnsi="Times New Roman" w:cs="Times New Roman"/>
          <w:sz w:val="24"/>
          <w:szCs w:val="24"/>
        </w:rPr>
        <w:t xml:space="preserve">  </w:t>
      </w:r>
    </w:p>
    <w:p w14:paraId="3EFBF216" w14:textId="77777777" w:rsidR="000A27F4" w:rsidRDefault="006773B4" w:rsidP="000A27F4">
      <w:pPr>
        <w:pStyle w:val="ListParagraph"/>
        <w:numPr>
          <w:ilvl w:val="0"/>
          <w:numId w:val="3"/>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What resources are necessary for </w:t>
      </w:r>
      <w:r w:rsidR="002678D5">
        <w:rPr>
          <w:rFonts w:ascii="Times New Roman" w:hAnsi="Times New Roman" w:cs="Times New Roman"/>
          <w:sz w:val="24"/>
          <w:szCs w:val="24"/>
        </w:rPr>
        <w:t>state attorneys general offices</w:t>
      </w:r>
      <w:r>
        <w:rPr>
          <w:rFonts w:ascii="Times New Roman" w:hAnsi="Times New Roman" w:cs="Times New Roman"/>
          <w:sz w:val="24"/>
          <w:szCs w:val="24"/>
        </w:rPr>
        <w:t xml:space="preserve"> to prosecute </w:t>
      </w:r>
      <w:r w:rsidR="000F5EE5">
        <w:rPr>
          <w:rFonts w:ascii="Times New Roman" w:hAnsi="Times New Roman" w:cs="Times New Roman"/>
          <w:sz w:val="24"/>
          <w:szCs w:val="24"/>
        </w:rPr>
        <w:t>human trafficking</w:t>
      </w:r>
      <w:r w:rsidR="000A27F4" w:rsidRPr="00217F54">
        <w:rPr>
          <w:rFonts w:ascii="Times New Roman" w:hAnsi="Times New Roman" w:cs="Times New Roman"/>
          <w:sz w:val="24"/>
          <w:szCs w:val="24"/>
        </w:rPr>
        <w:t>?</w:t>
      </w:r>
    </w:p>
    <w:p w14:paraId="62831899" w14:textId="77777777" w:rsidR="000F5EE5" w:rsidRDefault="000F5EE5" w:rsidP="000A27F4">
      <w:pPr>
        <w:pStyle w:val="ListParagraph"/>
        <w:numPr>
          <w:ilvl w:val="0"/>
          <w:numId w:val="3"/>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What other services are provided to human trafficking victims?</w:t>
      </w:r>
    </w:p>
    <w:p w14:paraId="363D3CE2" w14:textId="77777777" w:rsidR="000A27F4" w:rsidRPr="00217F54" w:rsidRDefault="000A27F4" w:rsidP="000A27F4">
      <w:pPr>
        <w:pStyle w:val="ListParagraph"/>
        <w:spacing w:after="0" w:line="240" w:lineRule="auto"/>
        <w:contextualSpacing w:val="0"/>
        <w:rPr>
          <w:rFonts w:ascii="Times New Roman" w:hAnsi="Times New Roman" w:cs="Times New Roman"/>
          <w:sz w:val="24"/>
          <w:szCs w:val="24"/>
        </w:rPr>
      </w:pPr>
    </w:p>
    <w:p w14:paraId="665577CD" w14:textId="78CD00A6" w:rsidR="000A27F4" w:rsidRDefault="00397765"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Data from the U.S. </w:t>
      </w:r>
      <w:r w:rsidR="002678D5">
        <w:rPr>
          <w:rFonts w:ascii="Times New Roman" w:hAnsi="Times New Roman" w:cs="Times New Roman"/>
          <w:sz w:val="24"/>
          <w:szCs w:val="24"/>
        </w:rPr>
        <w:t>state attorneys general offices</w:t>
      </w:r>
      <w:r>
        <w:rPr>
          <w:rFonts w:ascii="Times New Roman" w:hAnsi="Times New Roman" w:cs="Times New Roman"/>
          <w:sz w:val="24"/>
          <w:szCs w:val="24"/>
        </w:rPr>
        <w:t xml:space="preserve"> can help to answer some of these questions. </w:t>
      </w:r>
      <w:r w:rsidR="000A27F4">
        <w:rPr>
          <w:rFonts w:ascii="Times New Roman" w:hAnsi="Times New Roman" w:cs="Times New Roman"/>
          <w:sz w:val="24"/>
          <w:szCs w:val="24"/>
        </w:rPr>
        <w:t>Through th</w:t>
      </w:r>
      <w:r w:rsidR="006F38F6">
        <w:rPr>
          <w:rFonts w:ascii="Times New Roman" w:hAnsi="Times New Roman" w:cs="Times New Roman"/>
          <w:sz w:val="24"/>
          <w:szCs w:val="24"/>
        </w:rPr>
        <w:t>is</w:t>
      </w:r>
      <w:r w:rsidR="000A27F4">
        <w:rPr>
          <w:rFonts w:ascii="Times New Roman" w:hAnsi="Times New Roman" w:cs="Times New Roman"/>
          <w:sz w:val="24"/>
          <w:szCs w:val="24"/>
        </w:rPr>
        <w:t xml:space="preserve"> proposed collection, BJS will </w:t>
      </w:r>
      <w:r w:rsidR="00CB5A0C">
        <w:rPr>
          <w:rFonts w:ascii="Times New Roman" w:hAnsi="Times New Roman" w:cs="Times New Roman"/>
          <w:sz w:val="24"/>
          <w:szCs w:val="24"/>
        </w:rPr>
        <w:t xml:space="preserve">collect </w:t>
      </w:r>
      <w:r w:rsidR="000A27F4">
        <w:rPr>
          <w:rFonts w:ascii="Times New Roman" w:hAnsi="Times New Roman" w:cs="Times New Roman"/>
          <w:sz w:val="24"/>
          <w:szCs w:val="24"/>
        </w:rPr>
        <w:t>d</w:t>
      </w:r>
      <w:r w:rsidR="000A27F4" w:rsidRPr="00217F54">
        <w:rPr>
          <w:rFonts w:ascii="Times New Roman" w:hAnsi="Times New Roman" w:cs="Times New Roman"/>
          <w:sz w:val="24"/>
          <w:szCs w:val="24"/>
        </w:rPr>
        <w:t xml:space="preserve">ata on </w:t>
      </w:r>
      <w:r w:rsidR="00974E6F">
        <w:rPr>
          <w:rFonts w:ascii="Times New Roman" w:hAnsi="Times New Roman" w:cs="Times New Roman"/>
          <w:sz w:val="24"/>
          <w:szCs w:val="24"/>
        </w:rPr>
        <w:t xml:space="preserve">human trafficking cases </w:t>
      </w:r>
      <w:r w:rsidR="000A27F4">
        <w:rPr>
          <w:rFonts w:ascii="Times New Roman" w:hAnsi="Times New Roman" w:cs="Times New Roman"/>
          <w:sz w:val="24"/>
          <w:szCs w:val="24"/>
        </w:rPr>
        <w:t>prosecuted criminally by</w:t>
      </w:r>
      <w:r w:rsidR="000A27F4" w:rsidRPr="00217F54">
        <w:rPr>
          <w:rFonts w:ascii="Times New Roman" w:hAnsi="Times New Roman" w:cs="Times New Roman"/>
          <w:sz w:val="24"/>
          <w:szCs w:val="24"/>
        </w:rPr>
        <w:t xml:space="preserve"> </w:t>
      </w:r>
      <w:r w:rsidR="000A27F4">
        <w:rPr>
          <w:rFonts w:ascii="Times New Roman" w:hAnsi="Times New Roman" w:cs="Times New Roman"/>
          <w:sz w:val="24"/>
          <w:szCs w:val="24"/>
        </w:rPr>
        <w:t xml:space="preserve">state and territory </w:t>
      </w:r>
      <w:r w:rsidR="005D0B0B">
        <w:rPr>
          <w:rFonts w:ascii="Times New Roman" w:hAnsi="Times New Roman" w:cs="Times New Roman"/>
          <w:sz w:val="24"/>
          <w:szCs w:val="24"/>
        </w:rPr>
        <w:t>attorneys general</w:t>
      </w:r>
      <w:r w:rsidR="00923DA0">
        <w:rPr>
          <w:rFonts w:ascii="Times New Roman" w:hAnsi="Times New Roman" w:cs="Times New Roman"/>
          <w:sz w:val="24"/>
          <w:szCs w:val="24"/>
        </w:rPr>
        <w:t>;</w:t>
      </w:r>
      <w:r w:rsidR="000A27F4" w:rsidRPr="00217F54">
        <w:rPr>
          <w:rFonts w:ascii="Times New Roman" w:hAnsi="Times New Roman" w:cs="Times New Roman"/>
          <w:sz w:val="24"/>
          <w:szCs w:val="24"/>
        </w:rPr>
        <w:t xml:space="preserve"> BJS will </w:t>
      </w:r>
      <w:r w:rsidR="000A27F4">
        <w:rPr>
          <w:rFonts w:ascii="Times New Roman" w:hAnsi="Times New Roman" w:cs="Times New Roman"/>
          <w:sz w:val="24"/>
          <w:szCs w:val="24"/>
        </w:rPr>
        <w:t xml:space="preserve">also </w:t>
      </w:r>
      <w:r w:rsidR="00D90133">
        <w:rPr>
          <w:rFonts w:ascii="Times New Roman" w:hAnsi="Times New Roman" w:cs="Times New Roman"/>
          <w:sz w:val="24"/>
          <w:szCs w:val="24"/>
        </w:rPr>
        <w:t>ask about</w:t>
      </w:r>
      <w:r w:rsidR="000A27F4">
        <w:rPr>
          <w:rFonts w:ascii="Times New Roman" w:hAnsi="Times New Roman" w:cs="Times New Roman"/>
          <w:sz w:val="24"/>
          <w:szCs w:val="24"/>
        </w:rPr>
        <w:t xml:space="preserve"> </w:t>
      </w:r>
      <w:r w:rsidR="00974E6F">
        <w:rPr>
          <w:rFonts w:ascii="Times New Roman" w:hAnsi="Times New Roman" w:cs="Times New Roman"/>
          <w:sz w:val="24"/>
          <w:szCs w:val="24"/>
        </w:rPr>
        <w:t xml:space="preserve">the civil </w:t>
      </w:r>
      <w:r w:rsidR="000A27F4">
        <w:rPr>
          <w:rFonts w:ascii="Times New Roman" w:hAnsi="Times New Roman" w:cs="Times New Roman"/>
          <w:sz w:val="24"/>
          <w:szCs w:val="24"/>
        </w:rPr>
        <w:t>cases</w:t>
      </w:r>
      <w:r w:rsidR="00974E6F">
        <w:rPr>
          <w:rFonts w:ascii="Times New Roman" w:hAnsi="Times New Roman" w:cs="Times New Roman"/>
          <w:sz w:val="24"/>
          <w:szCs w:val="24"/>
        </w:rPr>
        <w:t xml:space="preserve"> filed against human traffickers. BJS </w:t>
      </w:r>
      <w:r w:rsidR="009F4092">
        <w:rPr>
          <w:rFonts w:ascii="Times New Roman" w:hAnsi="Times New Roman" w:cs="Times New Roman"/>
          <w:sz w:val="24"/>
          <w:szCs w:val="24"/>
        </w:rPr>
        <w:t>currently plans to administer</w:t>
      </w:r>
      <w:r w:rsidR="00974E6F">
        <w:rPr>
          <w:rFonts w:ascii="Times New Roman" w:hAnsi="Times New Roman" w:cs="Times New Roman"/>
          <w:sz w:val="24"/>
          <w:szCs w:val="24"/>
        </w:rPr>
        <w:t xml:space="preserve"> its National Survey of Prosecutors</w:t>
      </w:r>
      <w:r w:rsidR="009F4092">
        <w:rPr>
          <w:rFonts w:ascii="Times New Roman" w:hAnsi="Times New Roman" w:cs="Times New Roman"/>
          <w:sz w:val="24"/>
          <w:szCs w:val="24"/>
        </w:rPr>
        <w:t xml:space="preserve"> (NSP) (OMB Control # 1121-0149, expired Sept. 30, 2017) in 2019 or 2020 and </w:t>
      </w:r>
      <w:r w:rsidR="009B36A9">
        <w:rPr>
          <w:rFonts w:ascii="Times New Roman" w:hAnsi="Times New Roman" w:cs="Times New Roman"/>
          <w:sz w:val="24"/>
          <w:szCs w:val="24"/>
        </w:rPr>
        <w:t>include</w:t>
      </w:r>
      <w:r w:rsidR="006F38F6">
        <w:rPr>
          <w:rFonts w:ascii="Times New Roman" w:hAnsi="Times New Roman" w:cs="Times New Roman"/>
          <w:sz w:val="24"/>
          <w:szCs w:val="24"/>
        </w:rPr>
        <w:t xml:space="preserve"> </w:t>
      </w:r>
      <w:r w:rsidR="009F4092">
        <w:rPr>
          <w:rFonts w:ascii="Times New Roman" w:hAnsi="Times New Roman" w:cs="Times New Roman"/>
          <w:sz w:val="24"/>
          <w:szCs w:val="24"/>
        </w:rPr>
        <w:t xml:space="preserve">questions on that survey about </w:t>
      </w:r>
      <w:r w:rsidR="006F38F6">
        <w:rPr>
          <w:rFonts w:ascii="Times New Roman" w:hAnsi="Times New Roman" w:cs="Times New Roman"/>
          <w:sz w:val="24"/>
          <w:szCs w:val="24"/>
        </w:rPr>
        <w:t>human trafficking</w:t>
      </w:r>
      <w:r w:rsidR="009B36A9">
        <w:rPr>
          <w:rFonts w:ascii="Times New Roman" w:hAnsi="Times New Roman" w:cs="Times New Roman"/>
          <w:sz w:val="24"/>
          <w:szCs w:val="24"/>
        </w:rPr>
        <w:t xml:space="preserve">. </w:t>
      </w:r>
      <w:r w:rsidR="009F4092">
        <w:rPr>
          <w:rFonts w:ascii="Times New Roman" w:hAnsi="Times New Roman" w:cs="Times New Roman"/>
          <w:sz w:val="24"/>
          <w:szCs w:val="24"/>
        </w:rPr>
        <w:t xml:space="preserve">Information collected from the NSP could then be combined with the data collected in this survey to provide </w:t>
      </w:r>
      <w:r w:rsidR="009A092F">
        <w:rPr>
          <w:rFonts w:ascii="Times New Roman" w:hAnsi="Times New Roman" w:cs="Times New Roman"/>
          <w:sz w:val="24"/>
          <w:szCs w:val="24"/>
        </w:rPr>
        <w:t>a more complete understanding of how different states are handling these crimes.</w:t>
      </w:r>
    </w:p>
    <w:p w14:paraId="77E1DB2C" w14:textId="77777777" w:rsidR="000A27F4" w:rsidRDefault="000A27F4" w:rsidP="000A27F4">
      <w:pPr>
        <w:spacing w:after="0" w:line="240" w:lineRule="auto"/>
        <w:rPr>
          <w:rFonts w:ascii="Times New Roman" w:hAnsi="Times New Roman" w:cs="Times New Roman"/>
          <w:sz w:val="24"/>
          <w:szCs w:val="24"/>
        </w:rPr>
      </w:pPr>
    </w:p>
    <w:p w14:paraId="2EA20FCF" w14:textId="77777777" w:rsidR="000A27F4" w:rsidRPr="00217F54" w:rsidRDefault="000A27F4" w:rsidP="000A27F4">
      <w:pPr>
        <w:pStyle w:val="ListParagraph"/>
        <w:numPr>
          <w:ilvl w:val="0"/>
          <w:numId w:val="2"/>
        </w:numPr>
        <w:spacing w:after="0" w:line="240" w:lineRule="auto"/>
        <w:contextualSpacing w:val="0"/>
        <w:rPr>
          <w:rFonts w:ascii="Times New Roman" w:hAnsi="Times New Roman" w:cs="Times New Roman"/>
          <w:sz w:val="24"/>
          <w:szCs w:val="24"/>
        </w:rPr>
      </w:pPr>
      <w:r w:rsidRPr="00217F54">
        <w:rPr>
          <w:rFonts w:ascii="Times New Roman" w:hAnsi="Times New Roman" w:cs="Times New Roman"/>
          <w:sz w:val="24"/>
          <w:szCs w:val="24"/>
          <w:u w:val="single"/>
        </w:rPr>
        <w:t>Needs and Uses</w:t>
      </w:r>
    </w:p>
    <w:p w14:paraId="1A455689" w14:textId="77777777" w:rsidR="000A27F4" w:rsidRDefault="000A27F4" w:rsidP="000A27F4">
      <w:pPr>
        <w:spacing w:after="0" w:line="240" w:lineRule="auto"/>
        <w:rPr>
          <w:rFonts w:ascii="Times New Roman" w:hAnsi="Times New Roman" w:cs="Times New Roman"/>
          <w:i/>
          <w:sz w:val="24"/>
          <w:szCs w:val="24"/>
        </w:rPr>
      </w:pPr>
    </w:p>
    <w:p w14:paraId="63CA2A2A" w14:textId="0A531961" w:rsidR="000A27F4" w:rsidRDefault="009F4092"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Human trafficking is a topic of ongoing interest at all levels of the criminal justice system. At the state level, t</w:t>
      </w:r>
      <w:r w:rsidR="000A27F4">
        <w:rPr>
          <w:rFonts w:ascii="Times New Roman" w:hAnsi="Times New Roman" w:cs="Times New Roman"/>
          <w:sz w:val="24"/>
          <w:szCs w:val="24"/>
        </w:rPr>
        <w:t xml:space="preserve">he annual meetings of </w:t>
      </w:r>
      <w:r w:rsidR="00862297">
        <w:rPr>
          <w:rFonts w:ascii="Times New Roman" w:hAnsi="Times New Roman" w:cs="Times New Roman"/>
          <w:sz w:val="24"/>
          <w:szCs w:val="24"/>
        </w:rPr>
        <w:t xml:space="preserve">the </w:t>
      </w:r>
      <w:hyperlink r:id="rId9" w:history="1">
        <w:r w:rsidR="000A27F4" w:rsidRPr="00862297">
          <w:rPr>
            <w:rStyle w:val="Hyperlink"/>
            <w:rFonts w:ascii="Times New Roman" w:hAnsi="Times New Roman" w:cs="Times New Roman"/>
            <w:sz w:val="24"/>
            <w:szCs w:val="24"/>
          </w:rPr>
          <w:t>National Association of Attorneys General</w:t>
        </w:r>
      </w:hyperlink>
      <w:r w:rsidR="000A27F4">
        <w:rPr>
          <w:rFonts w:ascii="Times New Roman" w:hAnsi="Times New Roman" w:cs="Times New Roman"/>
          <w:sz w:val="24"/>
          <w:szCs w:val="24"/>
        </w:rPr>
        <w:t xml:space="preserve"> (NAAG) have focused on </w:t>
      </w:r>
      <w:r w:rsidR="00974E6F">
        <w:rPr>
          <w:rFonts w:ascii="Times New Roman" w:hAnsi="Times New Roman" w:cs="Times New Roman"/>
          <w:sz w:val="24"/>
          <w:szCs w:val="24"/>
        </w:rPr>
        <w:t xml:space="preserve">human trafficking </w:t>
      </w:r>
      <w:r w:rsidR="000B3379">
        <w:rPr>
          <w:rFonts w:ascii="Times New Roman" w:hAnsi="Times New Roman" w:cs="Times New Roman"/>
          <w:sz w:val="24"/>
          <w:szCs w:val="24"/>
        </w:rPr>
        <w:t>as a priority</w:t>
      </w:r>
      <w:r w:rsidR="000A27F4">
        <w:rPr>
          <w:rFonts w:ascii="Times New Roman" w:hAnsi="Times New Roman" w:cs="Times New Roman"/>
          <w:sz w:val="24"/>
          <w:szCs w:val="24"/>
        </w:rPr>
        <w:t xml:space="preserve"> for state </w:t>
      </w:r>
      <w:r w:rsidR="00D67D70">
        <w:rPr>
          <w:rFonts w:ascii="Times New Roman" w:hAnsi="Times New Roman" w:cs="Times New Roman"/>
          <w:sz w:val="24"/>
          <w:szCs w:val="24"/>
        </w:rPr>
        <w:t>attorneys general</w:t>
      </w:r>
      <w:r w:rsidR="000A27F4">
        <w:rPr>
          <w:rFonts w:ascii="Times New Roman" w:hAnsi="Times New Roman" w:cs="Times New Roman"/>
          <w:sz w:val="24"/>
          <w:szCs w:val="24"/>
        </w:rPr>
        <w:t>.</w:t>
      </w:r>
      <w:r w:rsidR="000A27F4" w:rsidDel="00E517A6">
        <w:rPr>
          <w:rFonts w:ascii="Times New Roman" w:hAnsi="Times New Roman" w:cs="Times New Roman"/>
          <w:sz w:val="24"/>
          <w:szCs w:val="24"/>
        </w:rPr>
        <w:t xml:space="preserve"> </w:t>
      </w:r>
      <w:r w:rsidR="000A27F4">
        <w:rPr>
          <w:rFonts w:ascii="Times New Roman" w:hAnsi="Times New Roman" w:cs="Times New Roman"/>
          <w:sz w:val="24"/>
          <w:szCs w:val="24"/>
        </w:rPr>
        <w:t xml:space="preserve">NAAG also hosts the </w:t>
      </w:r>
      <w:hyperlink r:id="rId10" w:history="1">
        <w:r w:rsidR="000A27F4" w:rsidRPr="00862297">
          <w:rPr>
            <w:rStyle w:val="Hyperlink"/>
            <w:rFonts w:ascii="Times New Roman" w:hAnsi="Times New Roman" w:cs="Times New Roman"/>
            <w:sz w:val="24"/>
            <w:szCs w:val="24"/>
          </w:rPr>
          <w:t>National Attorneys General Training &amp; Research Institute</w:t>
        </w:r>
      </w:hyperlink>
      <w:r w:rsidR="000A27F4">
        <w:rPr>
          <w:rFonts w:ascii="Times New Roman" w:hAnsi="Times New Roman" w:cs="Times New Roman"/>
          <w:sz w:val="24"/>
          <w:szCs w:val="24"/>
        </w:rPr>
        <w:t xml:space="preserve"> (NAGTRI)</w:t>
      </w:r>
      <w:r>
        <w:rPr>
          <w:rFonts w:ascii="Times New Roman" w:hAnsi="Times New Roman" w:cs="Times New Roman"/>
          <w:sz w:val="24"/>
          <w:szCs w:val="24"/>
        </w:rPr>
        <w:t>, which offers</w:t>
      </w:r>
      <w:r w:rsidR="000A27F4">
        <w:rPr>
          <w:rFonts w:ascii="Times New Roman" w:hAnsi="Times New Roman" w:cs="Times New Roman"/>
          <w:sz w:val="24"/>
          <w:szCs w:val="24"/>
        </w:rPr>
        <w:t xml:space="preserve"> training</w:t>
      </w:r>
      <w:r w:rsidR="00974E6F">
        <w:rPr>
          <w:rFonts w:ascii="Times New Roman" w:hAnsi="Times New Roman" w:cs="Times New Roman"/>
          <w:sz w:val="24"/>
          <w:szCs w:val="24"/>
        </w:rPr>
        <w:t xml:space="preserve"> and newsletters</w:t>
      </w:r>
      <w:r w:rsidR="000A27F4">
        <w:rPr>
          <w:rFonts w:ascii="Times New Roman" w:hAnsi="Times New Roman" w:cs="Times New Roman"/>
          <w:sz w:val="24"/>
          <w:szCs w:val="24"/>
        </w:rPr>
        <w:t xml:space="preserve"> </w:t>
      </w:r>
      <w:r>
        <w:rPr>
          <w:rFonts w:ascii="Times New Roman" w:hAnsi="Times New Roman" w:cs="Times New Roman"/>
          <w:sz w:val="24"/>
          <w:szCs w:val="24"/>
        </w:rPr>
        <w:t xml:space="preserve">on </w:t>
      </w:r>
      <w:r w:rsidR="000A27F4">
        <w:rPr>
          <w:rFonts w:ascii="Times New Roman" w:hAnsi="Times New Roman" w:cs="Times New Roman"/>
          <w:sz w:val="24"/>
          <w:szCs w:val="24"/>
        </w:rPr>
        <w:t>human traffickin</w:t>
      </w:r>
      <w:r w:rsidR="0024689F">
        <w:rPr>
          <w:rFonts w:ascii="Times New Roman" w:hAnsi="Times New Roman" w:cs="Times New Roman"/>
          <w:sz w:val="24"/>
          <w:szCs w:val="24"/>
        </w:rPr>
        <w:t>g</w:t>
      </w:r>
      <w:r w:rsidR="000A27F4">
        <w:rPr>
          <w:rFonts w:ascii="Times New Roman" w:hAnsi="Times New Roman" w:cs="Times New Roman"/>
          <w:sz w:val="24"/>
          <w:szCs w:val="24"/>
        </w:rPr>
        <w:t xml:space="preserve">, </w:t>
      </w:r>
      <w:r>
        <w:rPr>
          <w:rFonts w:ascii="Times New Roman" w:hAnsi="Times New Roman" w:cs="Times New Roman"/>
          <w:sz w:val="24"/>
          <w:szCs w:val="24"/>
        </w:rPr>
        <w:t>demonstrating</w:t>
      </w:r>
      <w:r w:rsidR="008E5C24">
        <w:rPr>
          <w:rFonts w:ascii="Times New Roman" w:hAnsi="Times New Roman" w:cs="Times New Roman"/>
          <w:sz w:val="24"/>
          <w:szCs w:val="24"/>
        </w:rPr>
        <w:t xml:space="preserve"> </w:t>
      </w:r>
      <w:r w:rsidR="000A27F4">
        <w:rPr>
          <w:rFonts w:ascii="Times New Roman" w:hAnsi="Times New Roman" w:cs="Times New Roman"/>
          <w:sz w:val="24"/>
          <w:szCs w:val="24"/>
        </w:rPr>
        <w:t xml:space="preserve">that state </w:t>
      </w:r>
      <w:r w:rsidR="00D67D70">
        <w:rPr>
          <w:rFonts w:ascii="Times New Roman" w:hAnsi="Times New Roman" w:cs="Times New Roman"/>
          <w:sz w:val="24"/>
          <w:szCs w:val="24"/>
        </w:rPr>
        <w:t xml:space="preserve">attorneys general </w:t>
      </w:r>
      <w:r w:rsidR="000A27F4">
        <w:rPr>
          <w:rFonts w:ascii="Times New Roman" w:hAnsi="Times New Roman" w:cs="Times New Roman"/>
          <w:sz w:val="24"/>
          <w:szCs w:val="24"/>
        </w:rPr>
        <w:t xml:space="preserve">are concerned with </w:t>
      </w:r>
      <w:r w:rsidR="00974E6F">
        <w:rPr>
          <w:rFonts w:ascii="Times New Roman" w:hAnsi="Times New Roman" w:cs="Times New Roman"/>
          <w:sz w:val="24"/>
          <w:szCs w:val="24"/>
        </w:rPr>
        <w:t>human trafficking</w:t>
      </w:r>
      <w:r w:rsidR="000A27F4">
        <w:rPr>
          <w:rFonts w:ascii="Times New Roman" w:hAnsi="Times New Roman" w:cs="Times New Roman"/>
          <w:sz w:val="24"/>
          <w:szCs w:val="24"/>
        </w:rPr>
        <w:t xml:space="preserve">.  </w:t>
      </w:r>
    </w:p>
    <w:p w14:paraId="5DC07209" w14:textId="77777777" w:rsidR="000B14DE" w:rsidRDefault="000B14DE" w:rsidP="000A27F4">
      <w:pPr>
        <w:spacing w:after="0" w:line="240" w:lineRule="auto"/>
        <w:rPr>
          <w:rFonts w:ascii="Times New Roman" w:hAnsi="Times New Roman" w:cs="Times New Roman"/>
          <w:sz w:val="24"/>
          <w:szCs w:val="24"/>
        </w:rPr>
      </w:pPr>
    </w:p>
    <w:p w14:paraId="3AE3A8DF" w14:textId="1C12DADC" w:rsidR="00D75222" w:rsidRDefault="009F4092" w:rsidP="000B14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 the federal level, </w:t>
      </w:r>
      <w:r w:rsidR="00101283">
        <w:rPr>
          <w:rFonts w:ascii="Times New Roman" w:hAnsi="Times New Roman" w:cs="Times New Roman"/>
          <w:sz w:val="24"/>
          <w:szCs w:val="24"/>
        </w:rPr>
        <w:t xml:space="preserve">DOJ </w:t>
      </w:r>
      <w:r w:rsidR="008366DE" w:rsidRPr="008366DE">
        <w:rPr>
          <w:rFonts w:ascii="Times New Roman" w:hAnsi="Times New Roman" w:cs="Times New Roman"/>
          <w:sz w:val="24"/>
          <w:szCs w:val="24"/>
        </w:rPr>
        <w:t xml:space="preserve">published a </w:t>
      </w:r>
      <w:hyperlink r:id="rId11" w:history="1">
        <w:r w:rsidR="008366DE" w:rsidRPr="008366DE">
          <w:rPr>
            <w:rStyle w:val="Hyperlink"/>
            <w:rFonts w:ascii="Times New Roman" w:hAnsi="Times New Roman" w:cs="Times New Roman"/>
            <w:sz w:val="24"/>
            <w:szCs w:val="24"/>
          </w:rPr>
          <w:t>National Strategy to Combat Human Trafficking</w:t>
        </w:r>
      </w:hyperlink>
      <w:r w:rsidRPr="0045757E">
        <w:rPr>
          <w:rStyle w:val="Hyperlink"/>
          <w:rFonts w:ascii="Times New Roman" w:hAnsi="Times New Roman" w:cs="Times New Roman"/>
          <w:color w:val="auto"/>
          <w:sz w:val="24"/>
          <w:szCs w:val="24"/>
          <w:u w:val="none"/>
        </w:rPr>
        <w:t xml:space="preserve"> in 2017</w:t>
      </w:r>
      <w:r w:rsidR="008366DE" w:rsidRPr="008366DE">
        <w:rPr>
          <w:rFonts w:ascii="Times New Roman" w:hAnsi="Times New Roman" w:cs="Times New Roman"/>
          <w:sz w:val="24"/>
          <w:szCs w:val="24"/>
        </w:rPr>
        <w:t xml:space="preserve">. </w:t>
      </w:r>
      <w:r w:rsidR="008366DE">
        <w:rPr>
          <w:rFonts w:ascii="Times New Roman" w:hAnsi="Times New Roman" w:cs="Times New Roman"/>
          <w:sz w:val="24"/>
          <w:szCs w:val="24"/>
        </w:rPr>
        <w:t xml:space="preserve">The plan addresses the federal government’s plan to increase communication across agencies to stop human trafficking, as well as DOJ’s plans to encourage cooperation </w:t>
      </w:r>
      <w:r w:rsidR="006F38F6">
        <w:rPr>
          <w:rFonts w:ascii="Times New Roman" w:hAnsi="Times New Roman" w:cs="Times New Roman"/>
          <w:sz w:val="24"/>
          <w:szCs w:val="24"/>
        </w:rPr>
        <w:t xml:space="preserve">among </w:t>
      </w:r>
      <w:r w:rsidR="008366DE">
        <w:rPr>
          <w:rFonts w:ascii="Times New Roman" w:hAnsi="Times New Roman" w:cs="Times New Roman"/>
          <w:sz w:val="24"/>
          <w:szCs w:val="24"/>
        </w:rPr>
        <w:t xml:space="preserve">non-profit agencies, state agencies, and the federal government to address </w:t>
      </w:r>
      <w:r w:rsidR="003375D2">
        <w:rPr>
          <w:rFonts w:ascii="Times New Roman" w:hAnsi="Times New Roman" w:cs="Times New Roman"/>
          <w:sz w:val="24"/>
          <w:szCs w:val="24"/>
        </w:rPr>
        <w:t>labor and sex</w:t>
      </w:r>
      <w:r w:rsidR="008366DE">
        <w:rPr>
          <w:rFonts w:ascii="Times New Roman" w:hAnsi="Times New Roman" w:cs="Times New Roman"/>
          <w:sz w:val="24"/>
          <w:szCs w:val="24"/>
        </w:rPr>
        <w:t xml:space="preserve"> trafficking</w:t>
      </w:r>
      <w:r w:rsidR="003375D2">
        <w:rPr>
          <w:rFonts w:ascii="Times New Roman" w:hAnsi="Times New Roman" w:cs="Times New Roman"/>
          <w:sz w:val="24"/>
          <w:szCs w:val="24"/>
        </w:rPr>
        <w:t xml:space="preserve">. In terms of federal support for state and non-profit agencies, the strategy stated that it will work to engage the National Governors Association and the National District Attorneys Association to provide human trafficking training. </w:t>
      </w:r>
    </w:p>
    <w:p w14:paraId="233E5CFC" w14:textId="77777777" w:rsidR="000A27F4" w:rsidRDefault="000A27F4" w:rsidP="000A27F4">
      <w:pPr>
        <w:spacing w:after="0" w:line="240" w:lineRule="auto"/>
        <w:rPr>
          <w:rFonts w:ascii="Times New Roman" w:hAnsi="Times New Roman" w:cs="Times New Roman"/>
          <w:sz w:val="24"/>
          <w:szCs w:val="24"/>
        </w:rPr>
      </w:pPr>
    </w:p>
    <w:p w14:paraId="2A81EB7E" w14:textId="6198FA64" w:rsidR="00691F98" w:rsidRDefault="006F38F6" w:rsidP="002655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BJS recently published a report on the federal prosecution of human trafficking cases, but </w:t>
      </w:r>
      <w:r w:rsidR="009F4092">
        <w:rPr>
          <w:rFonts w:ascii="Times New Roman" w:hAnsi="Times New Roman" w:cs="Times New Roman"/>
          <w:sz w:val="24"/>
          <w:szCs w:val="24"/>
        </w:rPr>
        <w:t>there is</w:t>
      </w:r>
      <w:r>
        <w:rPr>
          <w:rFonts w:ascii="Times New Roman" w:hAnsi="Times New Roman" w:cs="Times New Roman"/>
          <w:sz w:val="24"/>
          <w:szCs w:val="24"/>
        </w:rPr>
        <w:t xml:space="preserve"> very little knowledge about how state attorneys general offices or local prosecutor offices handle human trafficking. </w:t>
      </w:r>
      <w:r w:rsidR="0046492A">
        <w:rPr>
          <w:rFonts w:ascii="Times New Roman" w:hAnsi="Times New Roman" w:cs="Times New Roman"/>
          <w:sz w:val="24"/>
          <w:szCs w:val="24"/>
        </w:rPr>
        <w:t xml:space="preserve">The lack of state-level information on </w:t>
      </w:r>
      <w:r w:rsidR="009A092F">
        <w:rPr>
          <w:rFonts w:ascii="Times New Roman" w:hAnsi="Times New Roman" w:cs="Times New Roman"/>
          <w:sz w:val="24"/>
          <w:szCs w:val="24"/>
        </w:rPr>
        <w:t xml:space="preserve">human trafficking </w:t>
      </w:r>
      <w:r w:rsidR="0046492A">
        <w:rPr>
          <w:rFonts w:ascii="Times New Roman" w:hAnsi="Times New Roman" w:cs="Times New Roman"/>
          <w:sz w:val="24"/>
          <w:szCs w:val="24"/>
        </w:rPr>
        <w:t xml:space="preserve">crimes is a major gap in </w:t>
      </w:r>
      <w:r>
        <w:rPr>
          <w:rFonts w:ascii="Times New Roman" w:hAnsi="Times New Roman" w:cs="Times New Roman"/>
          <w:sz w:val="24"/>
          <w:szCs w:val="24"/>
        </w:rPr>
        <w:t xml:space="preserve">the nation’s </w:t>
      </w:r>
      <w:r w:rsidR="0046492A">
        <w:rPr>
          <w:rFonts w:ascii="Times New Roman" w:hAnsi="Times New Roman" w:cs="Times New Roman"/>
          <w:sz w:val="24"/>
          <w:szCs w:val="24"/>
        </w:rPr>
        <w:t xml:space="preserve">criminal justice data infrastructure. </w:t>
      </w:r>
      <w:r w:rsidR="002655C2" w:rsidRPr="00483FC4">
        <w:rPr>
          <w:rFonts w:ascii="Times New Roman" w:hAnsi="Times New Roman" w:cs="Times New Roman"/>
          <w:sz w:val="24"/>
          <w:szCs w:val="24"/>
        </w:rPr>
        <w:t xml:space="preserve">State </w:t>
      </w:r>
      <w:r w:rsidR="002655C2">
        <w:rPr>
          <w:rFonts w:ascii="Times New Roman" w:hAnsi="Times New Roman" w:cs="Times New Roman"/>
          <w:sz w:val="24"/>
          <w:szCs w:val="24"/>
        </w:rPr>
        <w:t>attorneys general</w:t>
      </w:r>
      <w:r w:rsidR="002655C2" w:rsidRPr="00483FC4">
        <w:rPr>
          <w:rFonts w:ascii="Times New Roman" w:hAnsi="Times New Roman" w:cs="Times New Roman"/>
          <w:sz w:val="24"/>
          <w:szCs w:val="24"/>
        </w:rPr>
        <w:t xml:space="preserve"> are an important component of </w:t>
      </w:r>
      <w:r w:rsidR="002655C2">
        <w:rPr>
          <w:rFonts w:ascii="Times New Roman" w:hAnsi="Times New Roman" w:cs="Times New Roman"/>
          <w:sz w:val="24"/>
          <w:szCs w:val="24"/>
        </w:rPr>
        <w:t xml:space="preserve">a state justice system’s response to </w:t>
      </w:r>
      <w:r w:rsidR="00D75222">
        <w:rPr>
          <w:rFonts w:ascii="Times New Roman" w:hAnsi="Times New Roman" w:cs="Times New Roman"/>
          <w:sz w:val="24"/>
          <w:szCs w:val="24"/>
        </w:rPr>
        <w:t>human trafficking</w:t>
      </w:r>
      <w:r w:rsidR="002655C2">
        <w:rPr>
          <w:rFonts w:ascii="Times New Roman" w:hAnsi="Times New Roman" w:cs="Times New Roman"/>
          <w:sz w:val="24"/>
          <w:szCs w:val="24"/>
        </w:rPr>
        <w:t>. While there is currently limited empirical information, s</w:t>
      </w:r>
      <w:r w:rsidR="002655C2" w:rsidRPr="00483FC4">
        <w:rPr>
          <w:rFonts w:ascii="Times New Roman" w:hAnsi="Times New Roman" w:cs="Times New Roman"/>
          <w:sz w:val="24"/>
          <w:szCs w:val="24"/>
        </w:rPr>
        <w:t xml:space="preserve">tate </w:t>
      </w:r>
      <w:r w:rsidR="002655C2">
        <w:rPr>
          <w:rFonts w:ascii="Times New Roman" w:hAnsi="Times New Roman" w:cs="Times New Roman"/>
          <w:sz w:val="24"/>
          <w:szCs w:val="24"/>
        </w:rPr>
        <w:t>attorneys general</w:t>
      </w:r>
      <w:r w:rsidR="002655C2" w:rsidRPr="00483FC4">
        <w:rPr>
          <w:rFonts w:ascii="Times New Roman" w:hAnsi="Times New Roman" w:cs="Times New Roman"/>
          <w:sz w:val="24"/>
          <w:szCs w:val="24"/>
        </w:rPr>
        <w:t xml:space="preserve"> </w:t>
      </w:r>
      <w:r w:rsidR="00862297">
        <w:rPr>
          <w:rFonts w:ascii="Times New Roman" w:hAnsi="Times New Roman" w:cs="Times New Roman"/>
          <w:sz w:val="24"/>
          <w:szCs w:val="24"/>
        </w:rPr>
        <w:t xml:space="preserve">likely </w:t>
      </w:r>
      <w:r w:rsidR="0042793F">
        <w:rPr>
          <w:rFonts w:ascii="Times New Roman" w:hAnsi="Times New Roman" w:cs="Times New Roman"/>
          <w:sz w:val="24"/>
          <w:szCs w:val="24"/>
        </w:rPr>
        <w:t>participate on task forces</w:t>
      </w:r>
      <w:r w:rsidR="002655C2" w:rsidRPr="00483FC4">
        <w:rPr>
          <w:rFonts w:ascii="Times New Roman" w:hAnsi="Times New Roman" w:cs="Times New Roman"/>
          <w:sz w:val="24"/>
          <w:szCs w:val="24"/>
        </w:rPr>
        <w:t xml:space="preserve"> </w:t>
      </w:r>
      <w:r w:rsidR="00862297">
        <w:rPr>
          <w:rFonts w:ascii="Times New Roman" w:hAnsi="Times New Roman" w:cs="Times New Roman"/>
          <w:sz w:val="24"/>
          <w:szCs w:val="24"/>
        </w:rPr>
        <w:t xml:space="preserve">with other state </w:t>
      </w:r>
      <w:r w:rsidR="00D75222">
        <w:rPr>
          <w:rFonts w:ascii="Times New Roman" w:hAnsi="Times New Roman" w:cs="Times New Roman"/>
          <w:sz w:val="24"/>
          <w:szCs w:val="24"/>
        </w:rPr>
        <w:t xml:space="preserve">law enforcement </w:t>
      </w:r>
      <w:r w:rsidR="00862297">
        <w:rPr>
          <w:rFonts w:ascii="Times New Roman" w:hAnsi="Times New Roman" w:cs="Times New Roman"/>
          <w:sz w:val="24"/>
          <w:szCs w:val="24"/>
        </w:rPr>
        <w:t>agencies</w:t>
      </w:r>
      <w:r>
        <w:rPr>
          <w:rFonts w:ascii="Times New Roman" w:hAnsi="Times New Roman" w:cs="Times New Roman"/>
          <w:sz w:val="24"/>
          <w:szCs w:val="24"/>
        </w:rPr>
        <w:t>,</w:t>
      </w:r>
      <w:r w:rsidR="00862297">
        <w:rPr>
          <w:rFonts w:ascii="Times New Roman" w:hAnsi="Times New Roman" w:cs="Times New Roman"/>
          <w:sz w:val="24"/>
          <w:szCs w:val="24"/>
        </w:rPr>
        <w:t xml:space="preserve"> with the federal government</w:t>
      </w:r>
      <w:r w:rsidR="000B14DE">
        <w:rPr>
          <w:rFonts w:ascii="Times New Roman" w:hAnsi="Times New Roman" w:cs="Times New Roman"/>
          <w:sz w:val="24"/>
          <w:szCs w:val="24"/>
        </w:rPr>
        <w:t xml:space="preserve">, </w:t>
      </w:r>
      <w:r>
        <w:rPr>
          <w:rFonts w:ascii="Times New Roman" w:hAnsi="Times New Roman" w:cs="Times New Roman"/>
          <w:sz w:val="24"/>
          <w:szCs w:val="24"/>
        </w:rPr>
        <w:t>or with local prosecutor offices. Additionally, state attorneys general offices</w:t>
      </w:r>
      <w:r w:rsidR="000B14DE">
        <w:rPr>
          <w:rFonts w:ascii="Times New Roman" w:hAnsi="Times New Roman" w:cs="Times New Roman"/>
          <w:sz w:val="24"/>
          <w:szCs w:val="24"/>
        </w:rPr>
        <w:t xml:space="preserve"> </w:t>
      </w:r>
      <w:r w:rsidR="002655C2">
        <w:rPr>
          <w:rFonts w:ascii="Times New Roman" w:hAnsi="Times New Roman" w:cs="Times New Roman"/>
          <w:sz w:val="24"/>
          <w:szCs w:val="24"/>
        </w:rPr>
        <w:t>investigate and prosecute</w:t>
      </w:r>
      <w:r w:rsidR="002655C2" w:rsidRPr="00483FC4">
        <w:rPr>
          <w:rFonts w:ascii="Times New Roman" w:hAnsi="Times New Roman" w:cs="Times New Roman"/>
          <w:sz w:val="24"/>
          <w:szCs w:val="24"/>
        </w:rPr>
        <w:t xml:space="preserve"> complex, major cases that </w:t>
      </w:r>
      <w:r w:rsidR="002655C2">
        <w:rPr>
          <w:rFonts w:ascii="Times New Roman" w:hAnsi="Times New Roman" w:cs="Times New Roman"/>
          <w:sz w:val="24"/>
          <w:szCs w:val="24"/>
        </w:rPr>
        <w:t xml:space="preserve">have </w:t>
      </w:r>
      <w:r w:rsidR="002655C2" w:rsidRPr="00483FC4">
        <w:rPr>
          <w:rFonts w:ascii="Times New Roman" w:hAnsi="Times New Roman" w:cs="Times New Roman"/>
          <w:sz w:val="24"/>
          <w:szCs w:val="24"/>
        </w:rPr>
        <w:t>cause</w:t>
      </w:r>
      <w:r w:rsidR="002655C2">
        <w:rPr>
          <w:rFonts w:ascii="Times New Roman" w:hAnsi="Times New Roman" w:cs="Times New Roman"/>
          <w:sz w:val="24"/>
          <w:szCs w:val="24"/>
        </w:rPr>
        <w:t>d</w:t>
      </w:r>
      <w:r w:rsidR="002655C2" w:rsidRPr="00483FC4">
        <w:rPr>
          <w:rFonts w:ascii="Times New Roman" w:hAnsi="Times New Roman" w:cs="Times New Roman"/>
          <w:sz w:val="24"/>
          <w:szCs w:val="24"/>
        </w:rPr>
        <w:t xml:space="preserve"> substantial harm </w:t>
      </w:r>
      <w:r w:rsidR="002655C2">
        <w:rPr>
          <w:rFonts w:ascii="Times New Roman" w:hAnsi="Times New Roman" w:cs="Times New Roman"/>
          <w:sz w:val="24"/>
          <w:szCs w:val="24"/>
        </w:rPr>
        <w:t xml:space="preserve">and </w:t>
      </w:r>
      <w:r w:rsidR="002655C2" w:rsidRPr="00483FC4">
        <w:rPr>
          <w:rFonts w:ascii="Times New Roman" w:hAnsi="Times New Roman" w:cs="Times New Roman"/>
          <w:sz w:val="24"/>
          <w:szCs w:val="24"/>
        </w:rPr>
        <w:t xml:space="preserve">that require coordination with other </w:t>
      </w:r>
      <w:r w:rsidR="002655C2">
        <w:rPr>
          <w:rFonts w:ascii="Times New Roman" w:hAnsi="Times New Roman" w:cs="Times New Roman"/>
          <w:sz w:val="24"/>
          <w:szCs w:val="24"/>
        </w:rPr>
        <w:t xml:space="preserve">in-state </w:t>
      </w:r>
      <w:r w:rsidR="002655C2" w:rsidRPr="00483FC4">
        <w:rPr>
          <w:rFonts w:ascii="Times New Roman" w:hAnsi="Times New Roman" w:cs="Times New Roman"/>
          <w:sz w:val="24"/>
          <w:szCs w:val="24"/>
        </w:rPr>
        <w:t xml:space="preserve">agencies. </w:t>
      </w:r>
      <w:r w:rsidR="002655C2">
        <w:rPr>
          <w:rFonts w:ascii="Times New Roman" w:hAnsi="Times New Roman" w:cs="Times New Roman"/>
          <w:sz w:val="24"/>
          <w:szCs w:val="24"/>
        </w:rPr>
        <w:t xml:space="preserve">The </w:t>
      </w:r>
      <w:r w:rsidR="001F7BD6">
        <w:rPr>
          <w:rFonts w:ascii="Times New Roman" w:hAnsi="Times New Roman" w:cs="Times New Roman"/>
          <w:sz w:val="24"/>
          <w:szCs w:val="24"/>
        </w:rPr>
        <w:t>SSAGO-</w:t>
      </w:r>
      <w:r w:rsidR="00D75222">
        <w:rPr>
          <w:rFonts w:ascii="Times New Roman" w:hAnsi="Times New Roman" w:cs="Times New Roman"/>
          <w:sz w:val="24"/>
          <w:szCs w:val="24"/>
        </w:rPr>
        <w:t xml:space="preserve">HT </w:t>
      </w:r>
      <w:r w:rsidR="002655C2">
        <w:rPr>
          <w:rFonts w:ascii="Times New Roman" w:hAnsi="Times New Roman" w:cs="Times New Roman"/>
          <w:sz w:val="24"/>
          <w:szCs w:val="24"/>
        </w:rPr>
        <w:t xml:space="preserve">will capture task force participation and cooperation with federal and local agencies, which is an important component of the prosecution of </w:t>
      </w:r>
      <w:r w:rsidR="00D75222">
        <w:rPr>
          <w:rFonts w:ascii="Times New Roman" w:hAnsi="Times New Roman" w:cs="Times New Roman"/>
          <w:sz w:val="24"/>
          <w:szCs w:val="24"/>
        </w:rPr>
        <w:t>human trafficking</w:t>
      </w:r>
      <w:r w:rsidR="002655C2">
        <w:rPr>
          <w:rFonts w:ascii="Times New Roman" w:hAnsi="Times New Roman" w:cs="Times New Roman"/>
          <w:sz w:val="24"/>
          <w:szCs w:val="24"/>
        </w:rPr>
        <w:t>.</w:t>
      </w:r>
      <w:r w:rsidR="002655C2" w:rsidRPr="00483FC4">
        <w:rPr>
          <w:rFonts w:ascii="Times New Roman" w:hAnsi="Times New Roman" w:cs="Times New Roman"/>
          <w:sz w:val="24"/>
          <w:szCs w:val="24"/>
        </w:rPr>
        <w:t xml:space="preserve"> </w:t>
      </w:r>
    </w:p>
    <w:p w14:paraId="5534173D" w14:textId="6CAE299C" w:rsidR="002655C2" w:rsidRPr="00483FC4" w:rsidRDefault="002655C2" w:rsidP="002655C2">
      <w:pPr>
        <w:spacing w:after="0" w:line="240" w:lineRule="auto"/>
        <w:rPr>
          <w:rFonts w:ascii="Times New Roman" w:hAnsi="Times New Roman" w:cs="Times New Roman"/>
          <w:sz w:val="24"/>
          <w:szCs w:val="24"/>
        </w:rPr>
      </w:pPr>
      <w:r w:rsidRPr="00483FC4">
        <w:rPr>
          <w:rFonts w:ascii="Times New Roman" w:hAnsi="Times New Roman" w:cs="Times New Roman"/>
          <w:sz w:val="24"/>
          <w:szCs w:val="24"/>
        </w:rPr>
        <w:t xml:space="preserve">  </w:t>
      </w:r>
    </w:p>
    <w:p w14:paraId="3D25BE10" w14:textId="24159A91" w:rsidR="000A27F4" w:rsidRPr="006D4802" w:rsidRDefault="00CB5A0C"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Other</w:t>
      </w:r>
      <w:r w:rsidR="000A27F4" w:rsidRPr="006D4802">
        <w:rPr>
          <w:rFonts w:ascii="Times New Roman" w:hAnsi="Times New Roman" w:cs="Times New Roman"/>
          <w:sz w:val="24"/>
          <w:szCs w:val="24"/>
        </w:rPr>
        <w:t xml:space="preserve"> users are expected to have an interest in the data from the </w:t>
      </w:r>
      <w:r w:rsidR="001F7BD6">
        <w:rPr>
          <w:rFonts w:ascii="Times New Roman" w:hAnsi="Times New Roman" w:cs="Times New Roman"/>
          <w:sz w:val="24"/>
          <w:szCs w:val="24"/>
        </w:rPr>
        <w:t>SSAGO-</w:t>
      </w:r>
      <w:r w:rsidR="003375D2">
        <w:rPr>
          <w:rFonts w:ascii="Times New Roman" w:hAnsi="Times New Roman" w:cs="Times New Roman"/>
          <w:sz w:val="24"/>
          <w:szCs w:val="24"/>
        </w:rPr>
        <w:t>HT</w:t>
      </w:r>
      <w:r>
        <w:rPr>
          <w:rFonts w:ascii="Times New Roman" w:hAnsi="Times New Roman" w:cs="Times New Roman"/>
          <w:sz w:val="24"/>
          <w:szCs w:val="24"/>
        </w:rPr>
        <w:t>, such as</w:t>
      </w:r>
      <w:r w:rsidR="000A27F4" w:rsidRPr="006D4802">
        <w:rPr>
          <w:rFonts w:ascii="Times New Roman" w:hAnsi="Times New Roman" w:cs="Times New Roman"/>
          <w:sz w:val="24"/>
          <w:szCs w:val="24"/>
        </w:rPr>
        <w:t>:</w:t>
      </w:r>
    </w:p>
    <w:p w14:paraId="566D5845" w14:textId="77777777" w:rsidR="003375D2" w:rsidRDefault="003375D2" w:rsidP="009A092F">
      <w:pPr>
        <w:pStyle w:val="ListParagraph"/>
        <w:numPr>
          <w:ilvl w:val="1"/>
          <w:numId w:val="4"/>
        </w:numPr>
        <w:spacing w:after="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 xml:space="preserve">The Bureau of Justice Assistance (BJA) has established the Anti-Human Trafficking Task Force Initiative, which develops training for law enforcement personnel to identify trafficking victims, and support and fund collaborative state law enforcement, victim services providers, and federal agency task forces. </w:t>
      </w:r>
    </w:p>
    <w:p w14:paraId="3BE021B6" w14:textId="159386F0" w:rsidR="000A27F4" w:rsidRDefault="003375D2" w:rsidP="009A092F">
      <w:pPr>
        <w:pStyle w:val="ListParagraph"/>
        <w:numPr>
          <w:ilvl w:val="1"/>
          <w:numId w:val="4"/>
        </w:numPr>
        <w:spacing w:after="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 xml:space="preserve">The Office for Victims of Crime (OVC) supports </w:t>
      </w:r>
      <w:r w:rsidR="003A04E5">
        <w:rPr>
          <w:rFonts w:ascii="Times New Roman" w:hAnsi="Times New Roman" w:cs="Times New Roman"/>
          <w:sz w:val="24"/>
          <w:szCs w:val="24"/>
        </w:rPr>
        <w:t xml:space="preserve">146 </w:t>
      </w:r>
      <w:r>
        <w:rPr>
          <w:rFonts w:ascii="Times New Roman" w:hAnsi="Times New Roman" w:cs="Times New Roman"/>
          <w:sz w:val="24"/>
          <w:szCs w:val="24"/>
        </w:rPr>
        <w:t>programs</w:t>
      </w:r>
      <w:r w:rsidR="00550D2A">
        <w:rPr>
          <w:rFonts w:ascii="Times New Roman" w:hAnsi="Times New Roman" w:cs="Times New Roman"/>
          <w:sz w:val="24"/>
          <w:szCs w:val="24"/>
        </w:rPr>
        <w:t xml:space="preserve"> in 34 states, the District of Columbia, and the Northern Mariana Islands</w:t>
      </w:r>
      <w:r>
        <w:rPr>
          <w:rFonts w:ascii="Times New Roman" w:hAnsi="Times New Roman" w:cs="Times New Roman"/>
          <w:sz w:val="24"/>
          <w:szCs w:val="24"/>
        </w:rPr>
        <w:t xml:space="preserve"> under the OVC-Funded Grantee Programs to Help Victims of Trafficking</w:t>
      </w:r>
      <w:r w:rsidR="00550D2A">
        <w:rPr>
          <w:rFonts w:ascii="Times New Roman" w:hAnsi="Times New Roman" w:cs="Times New Roman"/>
          <w:sz w:val="24"/>
          <w:szCs w:val="24"/>
        </w:rPr>
        <w:t>.</w:t>
      </w:r>
    </w:p>
    <w:p w14:paraId="207A2A5F" w14:textId="379F4955" w:rsidR="003A04E5" w:rsidRDefault="003A04E5" w:rsidP="009A092F">
      <w:pPr>
        <w:pStyle w:val="ListParagraph"/>
        <w:numPr>
          <w:ilvl w:val="1"/>
          <w:numId w:val="4"/>
        </w:numPr>
        <w:spacing w:after="0" w:line="240" w:lineRule="auto"/>
        <w:ind w:left="720"/>
        <w:contextualSpacing w:val="0"/>
        <w:rPr>
          <w:rFonts w:ascii="Times New Roman" w:hAnsi="Times New Roman" w:cs="Times New Roman"/>
          <w:sz w:val="24"/>
          <w:szCs w:val="24"/>
        </w:rPr>
      </w:pPr>
      <w:r>
        <w:rPr>
          <w:rFonts w:ascii="Times New Roman" w:hAnsi="Times New Roman" w:cs="Times New Roman"/>
          <w:sz w:val="24"/>
          <w:szCs w:val="24"/>
        </w:rPr>
        <w:t xml:space="preserve">The National Institute of Justice (NIJ) awarded </w:t>
      </w:r>
      <w:r w:rsidR="006D2C05">
        <w:rPr>
          <w:rFonts w:ascii="Times New Roman" w:hAnsi="Times New Roman" w:cs="Times New Roman"/>
          <w:sz w:val="24"/>
          <w:szCs w:val="24"/>
        </w:rPr>
        <w:t>three</w:t>
      </w:r>
      <w:r>
        <w:rPr>
          <w:rFonts w:ascii="Times New Roman" w:hAnsi="Times New Roman" w:cs="Times New Roman"/>
          <w:sz w:val="24"/>
          <w:szCs w:val="24"/>
        </w:rPr>
        <w:t xml:space="preserve"> grants directly related to human trafficking in FY2017. These grants supported research regarding indicators of online sex trafficking, evaluations of collaborative models to combat human trafficking, and examinations of labor trafficking.</w:t>
      </w:r>
    </w:p>
    <w:p w14:paraId="1EB657F2" w14:textId="4350CA28" w:rsidR="000A27F4" w:rsidRPr="006C5284" w:rsidRDefault="000A27F4" w:rsidP="009A092F">
      <w:pPr>
        <w:pStyle w:val="ListParagraph"/>
        <w:numPr>
          <w:ilvl w:val="0"/>
          <w:numId w:val="10"/>
        </w:numPr>
        <w:spacing w:after="0" w:line="240" w:lineRule="auto"/>
        <w:contextualSpacing w:val="0"/>
        <w:rPr>
          <w:rFonts w:ascii="Times New Roman" w:hAnsi="Times New Roman" w:cs="Times New Roman"/>
          <w:sz w:val="24"/>
          <w:szCs w:val="24"/>
        </w:rPr>
      </w:pPr>
      <w:r w:rsidRPr="006C5284">
        <w:rPr>
          <w:rFonts w:ascii="Times New Roman" w:hAnsi="Times New Roman" w:cs="Times New Roman"/>
          <w:sz w:val="24"/>
          <w:szCs w:val="24"/>
        </w:rPr>
        <w:t>State and local agencies,</w:t>
      </w:r>
      <w:r w:rsidR="00FC7FCD">
        <w:rPr>
          <w:rFonts w:ascii="Times New Roman" w:hAnsi="Times New Roman" w:cs="Times New Roman"/>
          <w:sz w:val="24"/>
          <w:szCs w:val="24"/>
        </w:rPr>
        <w:t xml:space="preserve"> such as prosecutor offices, victim service providers, and courts</w:t>
      </w:r>
      <w:r w:rsidRPr="006C5284">
        <w:rPr>
          <w:rFonts w:ascii="Times New Roman" w:hAnsi="Times New Roman" w:cs="Times New Roman"/>
          <w:sz w:val="24"/>
          <w:szCs w:val="24"/>
        </w:rPr>
        <w:t xml:space="preserve">, </w:t>
      </w:r>
      <w:r w:rsidR="008E5C24">
        <w:rPr>
          <w:rFonts w:ascii="Times New Roman" w:hAnsi="Times New Roman" w:cs="Times New Roman"/>
          <w:sz w:val="24"/>
          <w:szCs w:val="24"/>
        </w:rPr>
        <w:t>are</w:t>
      </w:r>
      <w:r w:rsidRPr="006C5284">
        <w:rPr>
          <w:rFonts w:ascii="Times New Roman" w:hAnsi="Times New Roman" w:cs="Times New Roman"/>
          <w:sz w:val="24"/>
          <w:szCs w:val="24"/>
        </w:rPr>
        <w:t xml:space="preserve"> interested in the structure</w:t>
      </w:r>
      <w:r>
        <w:rPr>
          <w:rFonts w:ascii="Times New Roman" w:hAnsi="Times New Roman" w:cs="Times New Roman"/>
          <w:sz w:val="24"/>
          <w:szCs w:val="24"/>
        </w:rPr>
        <w:t>,</w:t>
      </w:r>
      <w:r w:rsidRPr="006C5284">
        <w:rPr>
          <w:rFonts w:ascii="Times New Roman" w:hAnsi="Times New Roman" w:cs="Times New Roman"/>
          <w:sz w:val="24"/>
          <w:szCs w:val="24"/>
        </w:rPr>
        <w:t xml:space="preserve"> operations</w:t>
      </w:r>
      <w:r w:rsidR="006D2C05">
        <w:rPr>
          <w:rFonts w:ascii="Times New Roman" w:hAnsi="Times New Roman" w:cs="Times New Roman"/>
          <w:sz w:val="24"/>
          <w:szCs w:val="24"/>
        </w:rPr>
        <w:t>,</w:t>
      </w:r>
      <w:r w:rsidRPr="006C5284">
        <w:rPr>
          <w:rFonts w:ascii="Times New Roman" w:hAnsi="Times New Roman" w:cs="Times New Roman"/>
          <w:sz w:val="24"/>
          <w:szCs w:val="24"/>
        </w:rPr>
        <w:t xml:space="preserve"> </w:t>
      </w:r>
      <w:r>
        <w:rPr>
          <w:rFonts w:ascii="Times New Roman" w:hAnsi="Times New Roman" w:cs="Times New Roman"/>
          <w:sz w:val="24"/>
          <w:szCs w:val="24"/>
        </w:rPr>
        <w:t xml:space="preserve">and caseloads </w:t>
      </w:r>
      <w:r w:rsidR="006F38F6">
        <w:rPr>
          <w:rFonts w:ascii="Times New Roman" w:hAnsi="Times New Roman" w:cs="Times New Roman"/>
          <w:sz w:val="24"/>
          <w:szCs w:val="24"/>
        </w:rPr>
        <w:t xml:space="preserve">of </w:t>
      </w:r>
      <w:r w:rsidR="00FC7FCD">
        <w:rPr>
          <w:rFonts w:ascii="Times New Roman" w:hAnsi="Times New Roman" w:cs="Times New Roman"/>
          <w:sz w:val="24"/>
          <w:szCs w:val="24"/>
        </w:rPr>
        <w:t>human trafficking</w:t>
      </w:r>
      <w:r w:rsidRPr="006C5284">
        <w:rPr>
          <w:rFonts w:ascii="Times New Roman" w:hAnsi="Times New Roman" w:cs="Times New Roman"/>
          <w:sz w:val="24"/>
          <w:szCs w:val="24"/>
        </w:rPr>
        <w:t xml:space="preserve">. They </w:t>
      </w:r>
      <w:r w:rsidR="00CB5A0C">
        <w:rPr>
          <w:rFonts w:ascii="Times New Roman" w:hAnsi="Times New Roman" w:cs="Times New Roman"/>
          <w:sz w:val="24"/>
          <w:szCs w:val="24"/>
        </w:rPr>
        <w:t>could</w:t>
      </w:r>
      <w:r w:rsidR="00CB5A0C" w:rsidRPr="006C5284">
        <w:rPr>
          <w:rFonts w:ascii="Times New Roman" w:hAnsi="Times New Roman" w:cs="Times New Roman"/>
          <w:sz w:val="24"/>
          <w:szCs w:val="24"/>
        </w:rPr>
        <w:t xml:space="preserve"> </w:t>
      </w:r>
      <w:r w:rsidRPr="006C5284">
        <w:rPr>
          <w:rFonts w:ascii="Times New Roman" w:hAnsi="Times New Roman" w:cs="Times New Roman"/>
          <w:sz w:val="24"/>
          <w:szCs w:val="24"/>
        </w:rPr>
        <w:t xml:space="preserve">also use the </w:t>
      </w:r>
      <w:r w:rsidR="00925341">
        <w:rPr>
          <w:rFonts w:ascii="Times New Roman" w:hAnsi="Times New Roman" w:cs="Times New Roman"/>
          <w:sz w:val="24"/>
          <w:szCs w:val="24"/>
        </w:rPr>
        <w:t>SSAGO</w:t>
      </w:r>
      <w:r w:rsidR="00925341" w:rsidRPr="006C5284">
        <w:rPr>
          <w:rFonts w:ascii="Times New Roman" w:hAnsi="Times New Roman" w:cs="Times New Roman"/>
          <w:sz w:val="24"/>
          <w:szCs w:val="24"/>
        </w:rPr>
        <w:t xml:space="preserve"> </w:t>
      </w:r>
      <w:r w:rsidRPr="006C5284">
        <w:rPr>
          <w:rFonts w:ascii="Times New Roman" w:hAnsi="Times New Roman" w:cs="Times New Roman"/>
          <w:sz w:val="24"/>
          <w:szCs w:val="24"/>
        </w:rPr>
        <w:t xml:space="preserve">data in combination with </w:t>
      </w:r>
      <w:r>
        <w:rPr>
          <w:rFonts w:ascii="Times New Roman" w:hAnsi="Times New Roman" w:cs="Times New Roman"/>
          <w:sz w:val="24"/>
          <w:szCs w:val="24"/>
        </w:rPr>
        <w:t>their own data</w:t>
      </w:r>
      <w:r w:rsidRPr="006C5284">
        <w:rPr>
          <w:rFonts w:ascii="Times New Roman" w:hAnsi="Times New Roman" w:cs="Times New Roman"/>
          <w:sz w:val="24"/>
          <w:szCs w:val="24"/>
        </w:rPr>
        <w:t xml:space="preserve"> to analyze their state’s overall response to </w:t>
      </w:r>
      <w:r w:rsidR="00FC7FCD">
        <w:rPr>
          <w:rFonts w:ascii="Times New Roman" w:hAnsi="Times New Roman" w:cs="Times New Roman"/>
          <w:sz w:val="24"/>
          <w:szCs w:val="24"/>
        </w:rPr>
        <w:t>human trafficking</w:t>
      </w:r>
      <w:r w:rsidRPr="006C5284">
        <w:rPr>
          <w:rFonts w:ascii="Times New Roman" w:hAnsi="Times New Roman" w:cs="Times New Roman"/>
          <w:sz w:val="24"/>
          <w:szCs w:val="24"/>
        </w:rPr>
        <w:t>.</w:t>
      </w:r>
    </w:p>
    <w:p w14:paraId="5458B1DC" w14:textId="77777777" w:rsidR="000A27F4" w:rsidRDefault="000A27F4" w:rsidP="009A092F">
      <w:pPr>
        <w:pStyle w:val="ListParagraph"/>
        <w:numPr>
          <w:ilvl w:val="0"/>
          <w:numId w:val="10"/>
        </w:numPr>
        <w:spacing w:after="0" w:line="240" w:lineRule="auto"/>
        <w:contextualSpacing w:val="0"/>
        <w:rPr>
          <w:rFonts w:ascii="Times New Roman" w:hAnsi="Times New Roman" w:cs="Times New Roman"/>
          <w:sz w:val="24"/>
          <w:szCs w:val="24"/>
        </w:rPr>
      </w:pPr>
      <w:r w:rsidRPr="006C5284">
        <w:rPr>
          <w:rFonts w:ascii="Times New Roman" w:hAnsi="Times New Roman" w:cs="Times New Roman"/>
          <w:sz w:val="24"/>
          <w:szCs w:val="24"/>
        </w:rPr>
        <w:t xml:space="preserve">Academic researchers and nonprofits </w:t>
      </w:r>
      <w:r w:rsidR="00BF408E">
        <w:rPr>
          <w:rFonts w:ascii="Times New Roman" w:hAnsi="Times New Roman" w:cs="Times New Roman"/>
          <w:sz w:val="24"/>
          <w:szCs w:val="24"/>
        </w:rPr>
        <w:t>will be able to</w:t>
      </w:r>
      <w:r w:rsidRPr="006C5284">
        <w:rPr>
          <w:rFonts w:ascii="Times New Roman" w:hAnsi="Times New Roman" w:cs="Times New Roman"/>
          <w:sz w:val="24"/>
          <w:szCs w:val="24"/>
        </w:rPr>
        <w:t xml:space="preserve"> use the data for their own research.</w:t>
      </w:r>
    </w:p>
    <w:p w14:paraId="707F2A13" w14:textId="77777777" w:rsidR="00471FA2" w:rsidRPr="004E47E1" w:rsidRDefault="00471FA2" w:rsidP="004E47E1">
      <w:pPr>
        <w:spacing w:after="0" w:line="240" w:lineRule="auto"/>
        <w:rPr>
          <w:rFonts w:ascii="Times New Roman" w:hAnsi="Times New Roman"/>
          <w:sz w:val="24"/>
        </w:rPr>
      </w:pPr>
    </w:p>
    <w:p w14:paraId="2B9FB14B" w14:textId="77777777" w:rsidR="00471FA2" w:rsidRDefault="00471FA2" w:rsidP="00471FA2">
      <w:pPr>
        <w:spacing w:after="0" w:line="240" w:lineRule="auto"/>
        <w:rPr>
          <w:rFonts w:ascii="Times New Roman" w:hAnsi="Times New Roman" w:cs="Times New Roman"/>
          <w:sz w:val="24"/>
          <w:szCs w:val="24"/>
        </w:rPr>
      </w:pPr>
      <w:r>
        <w:rPr>
          <w:rFonts w:ascii="Times New Roman" w:hAnsi="Times New Roman" w:cs="Times New Roman"/>
          <w:sz w:val="24"/>
          <w:szCs w:val="24"/>
        </w:rPr>
        <w:t>To address these data needs, the data collection instrument for the SSAGO-HT contains the following sets of questions:</w:t>
      </w:r>
    </w:p>
    <w:p w14:paraId="267AAEF0" w14:textId="77777777" w:rsidR="00DE2E3D" w:rsidRDefault="00DE2E3D" w:rsidP="00471FA2">
      <w:pPr>
        <w:spacing w:after="0" w:line="240" w:lineRule="auto"/>
        <w:rPr>
          <w:rFonts w:ascii="Times New Roman" w:hAnsi="Times New Roman" w:cs="Times New Roman"/>
          <w:sz w:val="24"/>
          <w:szCs w:val="24"/>
        </w:rPr>
      </w:pPr>
    </w:p>
    <w:p w14:paraId="28614F55" w14:textId="77777777" w:rsidR="00471FA2" w:rsidRDefault="00471FA2" w:rsidP="00471FA2">
      <w:pPr>
        <w:spacing w:after="0" w:line="240" w:lineRule="auto"/>
        <w:rPr>
          <w:rFonts w:ascii="Times New Roman" w:hAnsi="Times New Roman" w:cs="Times New Roman"/>
          <w:sz w:val="24"/>
          <w:szCs w:val="24"/>
        </w:rPr>
      </w:pPr>
      <w:r>
        <w:rPr>
          <w:rFonts w:ascii="Times New Roman" w:hAnsi="Times New Roman" w:cs="Times New Roman"/>
          <w:sz w:val="24"/>
          <w:szCs w:val="24"/>
        </w:rPr>
        <w:t>Criminal prosecutions:</w:t>
      </w:r>
    </w:p>
    <w:p w14:paraId="382D357D" w14:textId="0D682DC9" w:rsidR="00471FA2" w:rsidRDefault="00471FA2" w:rsidP="00471FA2">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i/>
          <w:sz w:val="24"/>
          <w:szCs w:val="24"/>
        </w:rPr>
        <w:t>Number of criminal prosecutions</w:t>
      </w:r>
      <w:r>
        <w:rPr>
          <w:rFonts w:ascii="Times New Roman" w:hAnsi="Times New Roman" w:cs="Times New Roman"/>
          <w:sz w:val="24"/>
          <w:szCs w:val="24"/>
        </w:rPr>
        <w:t xml:space="preserve">: BJS will </w:t>
      </w:r>
      <w:r w:rsidR="00CB5A0C">
        <w:rPr>
          <w:rFonts w:ascii="Times New Roman" w:hAnsi="Times New Roman" w:cs="Times New Roman"/>
          <w:sz w:val="24"/>
          <w:szCs w:val="24"/>
        </w:rPr>
        <w:t xml:space="preserve">collect </w:t>
      </w:r>
      <w:r>
        <w:rPr>
          <w:rFonts w:ascii="Times New Roman" w:hAnsi="Times New Roman" w:cs="Times New Roman"/>
          <w:sz w:val="24"/>
          <w:szCs w:val="24"/>
        </w:rPr>
        <w:t>information on the number of open criminal human trafficking cases prosecuted in 2018 by each state attorney</w:t>
      </w:r>
      <w:r w:rsidR="002B79CB">
        <w:rPr>
          <w:rFonts w:ascii="Times New Roman" w:hAnsi="Times New Roman" w:cs="Times New Roman"/>
          <w:sz w:val="24"/>
          <w:szCs w:val="24"/>
        </w:rPr>
        <w:t>s</w:t>
      </w:r>
      <w:r>
        <w:rPr>
          <w:rFonts w:ascii="Times New Roman" w:hAnsi="Times New Roman" w:cs="Times New Roman"/>
          <w:sz w:val="24"/>
          <w:szCs w:val="24"/>
        </w:rPr>
        <w:t xml:space="preserve"> general office. BJS will also ask about the number of sex trafficking prosecutions and the number of labor trafficking prosecutions. Last</w:t>
      </w:r>
      <w:r w:rsidR="001368F3">
        <w:rPr>
          <w:rFonts w:ascii="Times New Roman" w:hAnsi="Times New Roman" w:cs="Times New Roman"/>
          <w:sz w:val="24"/>
          <w:szCs w:val="24"/>
        </w:rPr>
        <w:t>ly</w:t>
      </w:r>
      <w:r>
        <w:rPr>
          <w:rFonts w:ascii="Times New Roman" w:hAnsi="Times New Roman" w:cs="Times New Roman"/>
          <w:sz w:val="24"/>
          <w:szCs w:val="24"/>
        </w:rPr>
        <w:t>, BJS will ask about how many cases involved adults or minors.</w:t>
      </w:r>
    </w:p>
    <w:p w14:paraId="3A7D7B9C" w14:textId="70B135E8" w:rsidR="00471FA2" w:rsidRDefault="00702C08" w:rsidP="00471FA2">
      <w:pPr>
        <w:pStyle w:val="ListParagraph"/>
        <w:numPr>
          <w:ilvl w:val="0"/>
          <w:numId w:val="11"/>
        </w:numPr>
        <w:spacing w:after="0" w:line="240" w:lineRule="auto"/>
        <w:rPr>
          <w:rFonts w:ascii="Times New Roman" w:hAnsi="Times New Roman" w:cs="Times New Roman"/>
          <w:sz w:val="24"/>
          <w:szCs w:val="24"/>
        </w:rPr>
      </w:pPr>
      <w:r w:rsidRPr="00702C08">
        <w:rPr>
          <w:rFonts w:ascii="Times New Roman" w:hAnsi="Times New Roman" w:cs="Times New Roman"/>
          <w:i/>
          <w:sz w:val="24"/>
          <w:szCs w:val="24"/>
        </w:rPr>
        <w:t>How cases were closed</w:t>
      </w:r>
      <w:r w:rsidRPr="00702C08">
        <w:rPr>
          <w:rFonts w:ascii="Times New Roman" w:hAnsi="Times New Roman" w:cs="Times New Roman"/>
          <w:sz w:val="24"/>
          <w:szCs w:val="24"/>
        </w:rPr>
        <w:t xml:space="preserve">: </w:t>
      </w:r>
      <w:r>
        <w:rPr>
          <w:rFonts w:ascii="Times New Roman" w:hAnsi="Times New Roman" w:cs="Times New Roman"/>
          <w:sz w:val="24"/>
          <w:szCs w:val="24"/>
        </w:rPr>
        <w:t xml:space="preserve">BJS </w:t>
      </w:r>
      <w:r w:rsidR="00CB5A0C">
        <w:rPr>
          <w:rFonts w:ascii="Times New Roman" w:hAnsi="Times New Roman" w:cs="Times New Roman"/>
          <w:sz w:val="24"/>
          <w:szCs w:val="24"/>
        </w:rPr>
        <w:t xml:space="preserve">will </w:t>
      </w:r>
      <w:r>
        <w:rPr>
          <w:rFonts w:ascii="Times New Roman" w:hAnsi="Times New Roman" w:cs="Times New Roman"/>
          <w:sz w:val="24"/>
          <w:szCs w:val="24"/>
        </w:rPr>
        <w:t>ask how many criminal trafficking cases were closed by guilty finding, dismissal, not guilty findings, or other findings.</w:t>
      </w:r>
    </w:p>
    <w:p w14:paraId="709024AF" w14:textId="77777777" w:rsidR="00702C08" w:rsidRPr="00702C08" w:rsidRDefault="00702C08" w:rsidP="00702C08">
      <w:pPr>
        <w:pStyle w:val="ListParagraph"/>
        <w:spacing w:after="0" w:line="240" w:lineRule="auto"/>
        <w:rPr>
          <w:rFonts w:ascii="Times New Roman" w:hAnsi="Times New Roman" w:cs="Times New Roman"/>
          <w:sz w:val="24"/>
          <w:szCs w:val="24"/>
        </w:rPr>
      </w:pPr>
    </w:p>
    <w:p w14:paraId="04A02F2E" w14:textId="1A201B1F" w:rsidR="00471FA2" w:rsidRDefault="00471FA2" w:rsidP="00471FA2">
      <w:pPr>
        <w:spacing w:after="0" w:line="240" w:lineRule="auto"/>
        <w:rPr>
          <w:rFonts w:ascii="Times New Roman" w:hAnsi="Times New Roman" w:cs="Times New Roman"/>
          <w:sz w:val="24"/>
          <w:szCs w:val="24"/>
        </w:rPr>
      </w:pPr>
      <w:r>
        <w:rPr>
          <w:rFonts w:ascii="Times New Roman" w:hAnsi="Times New Roman" w:cs="Times New Roman"/>
          <w:sz w:val="24"/>
          <w:szCs w:val="24"/>
        </w:rPr>
        <w:t>Civil cases:</w:t>
      </w:r>
    </w:p>
    <w:p w14:paraId="6748B0BB" w14:textId="6D08F577" w:rsidR="00702C08" w:rsidRDefault="00702C08" w:rsidP="00702C08">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i/>
          <w:sz w:val="24"/>
          <w:szCs w:val="24"/>
        </w:rPr>
        <w:t>Number of civil complaints</w:t>
      </w:r>
      <w:r>
        <w:rPr>
          <w:rFonts w:ascii="Times New Roman" w:hAnsi="Times New Roman" w:cs="Times New Roman"/>
          <w:sz w:val="24"/>
          <w:szCs w:val="24"/>
        </w:rPr>
        <w:t xml:space="preserve">: BJS will </w:t>
      </w:r>
      <w:r w:rsidR="00CB5A0C">
        <w:rPr>
          <w:rFonts w:ascii="Times New Roman" w:hAnsi="Times New Roman" w:cs="Times New Roman"/>
          <w:sz w:val="24"/>
          <w:szCs w:val="24"/>
        </w:rPr>
        <w:t xml:space="preserve">collect </w:t>
      </w:r>
      <w:r>
        <w:rPr>
          <w:rFonts w:ascii="Times New Roman" w:hAnsi="Times New Roman" w:cs="Times New Roman"/>
          <w:sz w:val="24"/>
          <w:szCs w:val="24"/>
        </w:rPr>
        <w:t xml:space="preserve">information on the number of open civil human trafficking complaints prosecuted in 2018 by each state attorney general office. BJS will also ask about the number of sex trafficking complaints and the number of labor trafficking complaints. </w:t>
      </w:r>
      <w:r w:rsidR="007A0379">
        <w:rPr>
          <w:rFonts w:ascii="Times New Roman" w:hAnsi="Times New Roman" w:cs="Times New Roman"/>
          <w:sz w:val="24"/>
          <w:szCs w:val="24"/>
        </w:rPr>
        <w:t>Finally</w:t>
      </w:r>
      <w:r>
        <w:rPr>
          <w:rFonts w:ascii="Times New Roman" w:hAnsi="Times New Roman" w:cs="Times New Roman"/>
          <w:sz w:val="24"/>
          <w:szCs w:val="24"/>
        </w:rPr>
        <w:t>, BJS will ask about how many cases involved adults or minors.</w:t>
      </w:r>
    </w:p>
    <w:p w14:paraId="7868399C" w14:textId="0BBDB924" w:rsidR="00702C08" w:rsidRDefault="00702C08" w:rsidP="00702C08">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i/>
          <w:sz w:val="24"/>
          <w:szCs w:val="24"/>
        </w:rPr>
        <w:t>How cases were closed</w:t>
      </w:r>
      <w:r w:rsidRPr="00702C08">
        <w:rPr>
          <w:rFonts w:ascii="Times New Roman" w:hAnsi="Times New Roman" w:cs="Times New Roman"/>
          <w:sz w:val="24"/>
          <w:szCs w:val="24"/>
        </w:rPr>
        <w:t>:</w:t>
      </w:r>
      <w:r>
        <w:rPr>
          <w:rFonts w:ascii="Times New Roman" w:hAnsi="Times New Roman" w:cs="Times New Roman"/>
          <w:sz w:val="24"/>
          <w:szCs w:val="24"/>
        </w:rPr>
        <w:t xml:space="preserve"> BJS </w:t>
      </w:r>
      <w:r w:rsidR="00CB5A0C">
        <w:rPr>
          <w:rFonts w:ascii="Times New Roman" w:hAnsi="Times New Roman" w:cs="Times New Roman"/>
          <w:sz w:val="24"/>
          <w:szCs w:val="24"/>
        </w:rPr>
        <w:t xml:space="preserve">will </w:t>
      </w:r>
      <w:r>
        <w:rPr>
          <w:rFonts w:ascii="Times New Roman" w:hAnsi="Times New Roman" w:cs="Times New Roman"/>
          <w:sz w:val="24"/>
          <w:szCs w:val="24"/>
        </w:rPr>
        <w:t xml:space="preserve">ask how many civil trafficking cases were closed by </w:t>
      </w:r>
      <w:r w:rsidR="00F8743C">
        <w:rPr>
          <w:rFonts w:ascii="Times New Roman" w:hAnsi="Times New Roman" w:cs="Times New Roman"/>
          <w:sz w:val="24"/>
          <w:szCs w:val="24"/>
        </w:rPr>
        <w:t>judgment against the defendant, judgment for the defendant, dismissal, or by settlement agreement between the two parties</w:t>
      </w:r>
      <w:r>
        <w:rPr>
          <w:rFonts w:ascii="Times New Roman" w:hAnsi="Times New Roman" w:cs="Times New Roman"/>
          <w:sz w:val="24"/>
          <w:szCs w:val="24"/>
        </w:rPr>
        <w:t>.</w:t>
      </w:r>
    </w:p>
    <w:p w14:paraId="2F630509" w14:textId="77777777" w:rsidR="00702C08" w:rsidRDefault="00702C08" w:rsidP="00702C08">
      <w:pPr>
        <w:spacing w:after="0" w:line="240" w:lineRule="auto"/>
        <w:rPr>
          <w:rFonts w:ascii="Times New Roman" w:hAnsi="Times New Roman" w:cs="Times New Roman"/>
          <w:sz w:val="24"/>
          <w:szCs w:val="24"/>
        </w:rPr>
      </w:pPr>
    </w:p>
    <w:p w14:paraId="04C4E5EB" w14:textId="0C98C0ED" w:rsidR="00702C08" w:rsidRDefault="00702C08" w:rsidP="00702C08">
      <w:pPr>
        <w:spacing w:after="0" w:line="240" w:lineRule="auto"/>
        <w:rPr>
          <w:rFonts w:ascii="Times New Roman" w:hAnsi="Times New Roman" w:cs="Times New Roman"/>
          <w:sz w:val="24"/>
          <w:szCs w:val="24"/>
        </w:rPr>
      </w:pPr>
      <w:r>
        <w:rPr>
          <w:rFonts w:ascii="Times New Roman" w:hAnsi="Times New Roman" w:cs="Times New Roman"/>
          <w:sz w:val="24"/>
          <w:szCs w:val="24"/>
        </w:rPr>
        <w:t>Criminal and civil cases:</w:t>
      </w:r>
    </w:p>
    <w:p w14:paraId="0C20E3DB" w14:textId="6ED5BD81" w:rsidR="00702C08" w:rsidRDefault="00702C08" w:rsidP="00702C08">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i/>
          <w:sz w:val="24"/>
          <w:szCs w:val="24"/>
        </w:rPr>
        <w:t>Statutes involved in prosecutions</w:t>
      </w:r>
      <w:r>
        <w:rPr>
          <w:rFonts w:ascii="Times New Roman" w:hAnsi="Times New Roman" w:cs="Times New Roman"/>
          <w:sz w:val="24"/>
          <w:szCs w:val="24"/>
        </w:rPr>
        <w:t xml:space="preserve">: </w:t>
      </w:r>
      <w:r w:rsidR="0001236B">
        <w:rPr>
          <w:rFonts w:ascii="Times New Roman" w:hAnsi="Times New Roman" w:cs="Times New Roman"/>
          <w:sz w:val="24"/>
          <w:szCs w:val="24"/>
        </w:rPr>
        <w:t>Some s</w:t>
      </w:r>
      <w:r>
        <w:rPr>
          <w:rFonts w:ascii="Times New Roman" w:hAnsi="Times New Roman" w:cs="Times New Roman"/>
          <w:sz w:val="24"/>
          <w:szCs w:val="24"/>
        </w:rPr>
        <w:t xml:space="preserve">tates </w:t>
      </w:r>
      <w:r w:rsidR="0001236B">
        <w:rPr>
          <w:rFonts w:ascii="Times New Roman" w:hAnsi="Times New Roman" w:cs="Times New Roman"/>
          <w:sz w:val="24"/>
          <w:szCs w:val="24"/>
        </w:rPr>
        <w:t>do</w:t>
      </w:r>
      <w:r>
        <w:rPr>
          <w:rFonts w:ascii="Times New Roman" w:hAnsi="Times New Roman" w:cs="Times New Roman"/>
          <w:sz w:val="24"/>
          <w:szCs w:val="24"/>
        </w:rPr>
        <w:t xml:space="preserve"> not have </w:t>
      </w:r>
      <w:r w:rsidR="0001236B">
        <w:rPr>
          <w:rFonts w:ascii="Times New Roman" w:hAnsi="Times New Roman" w:cs="Times New Roman"/>
          <w:sz w:val="24"/>
          <w:szCs w:val="24"/>
        </w:rPr>
        <w:t xml:space="preserve">specific </w:t>
      </w:r>
      <w:r>
        <w:rPr>
          <w:rFonts w:ascii="Times New Roman" w:hAnsi="Times New Roman" w:cs="Times New Roman"/>
          <w:sz w:val="24"/>
          <w:szCs w:val="24"/>
        </w:rPr>
        <w:t>statutes regarding labor trafficking.</w:t>
      </w:r>
      <w:r w:rsidR="007A0379">
        <w:rPr>
          <w:rFonts w:ascii="Times New Roman" w:hAnsi="Times New Roman" w:cs="Times New Roman"/>
          <w:sz w:val="24"/>
          <w:szCs w:val="24"/>
        </w:rPr>
        <w:t xml:space="preserve"> </w:t>
      </w:r>
      <w:r w:rsidR="001368F3">
        <w:rPr>
          <w:rFonts w:ascii="Times New Roman" w:hAnsi="Times New Roman" w:cs="Times New Roman"/>
          <w:sz w:val="24"/>
          <w:szCs w:val="24"/>
        </w:rPr>
        <w:t>A</w:t>
      </w:r>
      <w:r>
        <w:rPr>
          <w:rFonts w:ascii="Times New Roman" w:hAnsi="Times New Roman" w:cs="Times New Roman"/>
          <w:sz w:val="24"/>
          <w:szCs w:val="24"/>
        </w:rPr>
        <w:t xml:space="preserve">ttorneys general may charge </w:t>
      </w:r>
      <w:r w:rsidR="001368F3">
        <w:rPr>
          <w:rFonts w:ascii="Times New Roman" w:hAnsi="Times New Roman" w:cs="Times New Roman"/>
          <w:sz w:val="24"/>
          <w:szCs w:val="24"/>
        </w:rPr>
        <w:t xml:space="preserve">other </w:t>
      </w:r>
      <w:r>
        <w:rPr>
          <w:rFonts w:ascii="Times New Roman" w:hAnsi="Times New Roman" w:cs="Times New Roman"/>
          <w:sz w:val="24"/>
          <w:szCs w:val="24"/>
        </w:rPr>
        <w:t>statutes in addition to any defined sex trafficking or labor trafficking statutes. BJS will ask the proportion of cases that were charged only with a specific trafficking statute, a trafficking statute with additional state statutes, or only with state statutes other than trafficking. These questions are broken down by sex and labor trafficking and include general descriptions of offenses that may be charged in addition to sex or labor trafficking (e.g., kidnapping, prostitution, and money laundering).</w:t>
      </w:r>
    </w:p>
    <w:p w14:paraId="05615326" w14:textId="18D3EE09" w:rsidR="00702C08" w:rsidRDefault="00702C08" w:rsidP="00702C08">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i/>
          <w:sz w:val="24"/>
          <w:szCs w:val="24"/>
        </w:rPr>
        <w:t>Types of venues involved</w:t>
      </w:r>
      <w:r w:rsidRPr="00702C08">
        <w:rPr>
          <w:rFonts w:ascii="Times New Roman" w:hAnsi="Times New Roman" w:cs="Times New Roman"/>
          <w:sz w:val="24"/>
          <w:szCs w:val="24"/>
        </w:rPr>
        <w:t>:</w:t>
      </w:r>
      <w:r>
        <w:rPr>
          <w:rFonts w:ascii="Times New Roman" w:hAnsi="Times New Roman" w:cs="Times New Roman"/>
          <w:sz w:val="24"/>
          <w:szCs w:val="24"/>
        </w:rPr>
        <w:t xml:space="preserve"> Civil and criminal sex and labor trafficking are more likely to occur in certain types of professions or businesses, such as massage parlors, escort services, commercial cleaning services, or landscaping. BJS will collect information </w:t>
      </w:r>
      <w:r w:rsidR="001368F3">
        <w:rPr>
          <w:rFonts w:ascii="Times New Roman" w:hAnsi="Times New Roman" w:cs="Times New Roman"/>
          <w:sz w:val="24"/>
          <w:szCs w:val="24"/>
        </w:rPr>
        <w:t>on</w:t>
      </w:r>
      <w:r>
        <w:rPr>
          <w:rFonts w:ascii="Times New Roman" w:hAnsi="Times New Roman" w:cs="Times New Roman"/>
          <w:sz w:val="24"/>
          <w:szCs w:val="24"/>
        </w:rPr>
        <w:t xml:space="preserve"> whether these typical locations were sources for civil or criminal sex or labor trafficking cases.</w:t>
      </w:r>
    </w:p>
    <w:p w14:paraId="48FBD317" w14:textId="699FF478" w:rsidR="00702C08" w:rsidRDefault="00702C08" w:rsidP="00702C08">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i/>
          <w:sz w:val="24"/>
          <w:szCs w:val="24"/>
        </w:rPr>
        <w:t>Sources of referral</w:t>
      </w:r>
      <w:r w:rsidRPr="00471FA2">
        <w:rPr>
          <w:rFonts w:ascii="Times New Roman" w:hAnsi="Times New Roman" w:cs="Times New Roman"/>
          <w:sz w:val="24"/>
          <w:szCs w:val="24"/>
        </w:rPr>
        <w:t>:</w:t>
      </w:r>
      <w:r>
        <w:rPr>
          <w:rFonts w:ascii="Times New Roman" w:hAnsi="Times New Roman" w:cs="Times New Roman"/>
          <w:sz w:val="24"/>
          <w:szCs w:val="24"/>
        </w:rPr>
        <w:t xml:space="preserve"> BJS will collect information on the sources of referral of civil and criminal sex and labor trafficking cases, including health care, law enforcement, and nongovernmental organizations.</w:t>
      </w:r>
    </w:p>
    <w:p w14:paraId="3B11F484" w14:textId="09E59023" w:rsidR="00702C08" w:rsidRDefault="00702C08" w:rsidP="00702C08">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i/>
          <w:sz w:val="24"/>
          <w:szCs w:val="24"/>
        </w:rPr>
        <w:t>Characteristics of offenders</w:t>
      </w:r>
      <w:r>
        <w:rPr>
          <w:rFonts w:ascii="Times New Roman" w:hAnsi="Times New Roman" w:cs="Times New Roman"/>
          <w:sz w:val="24"/>
          <w:szCs w:val="24"/>
        </w:rPr>
        <w:t>:</w:t>
      </w:r>
      <w:r w:rsidR="002B79CB">
        <w:rPr>
          <w:rFonts w:ascii="Times New Roman" w:hAnsi="Times New Roman" w:cs="Times New Roman"/>
          <w:sz w:val="24"/>
          <w:szCs w:val="24"/>
        </w:rPr>
        <w:t xml:space="preserve"> The survey </w:t>
      </w:r>
      <w:r w:rsidR="001368F3">
        <w:rPr>
          <w:rFonts w:ascii="Times New Roman" w:hAnsi="Times New Roman" w:cs="Times New Roman"/>
          <w:sz w:val="24"/>
          <w:szCs w:val="24"/>
        </w:rPr>
        <w:t xml:space="preserve">will </w:t>
      </w:r>
      <w:r w:rsidR="002B79CB">
        <w:rPr>
          <w:rFonts w:ascii="Times New Roman" w:hAnsi="Times New Roman" w:cs="Times New Roman"/>
          <w:sz w:val="24"/>
          <w:szCs w:val="24"/>
        </w:rPr>
        <w:t xml:space="preserve">ask </w:t>
      </w:r>
      <w:r w:rsidR="001368F3">
        <w:rPr>
          <w:rFonts w:ascii="Times New Roman" w:hAnsi="Times New Roman" w:cs="Times New Roman"/>
          <w:sz w:val="24"/>
          <w:szCs w:val="24"/>
        </w:rPr>
        <w:t>about</w:t>
      </w:r>
      <w:r w:rsidR="002B79CB">
        <w:rPr>
          <w:rFonts w:ascii="Times New Roman" w:hAnsi="Times New Roman" w:cs="Times New Roman"/>
          <w:sz w:val="24"/>
          <w:szCs w:val="24"/>
        </w:rPr>
        <w:t xml:space="preserve"> the types of offenders of criminal and civil human trafficking cases, including individual, businesses (not online), groups of individuals (including organized crime), online website or provider, or subcontractors. The survey </w:t>
      </w:r>
      <w:r w:rsidR="001368F3">
        <w:rPr>
          <w:rFonts w:ascii="Times New Roman" w:hAnsi="Times New Roman" w:cs="Times New Roman"/>
          <w:sz w:val="24"/>
          <w:szCs w:val="24"/>
        </w:rPr>
        <w:t xml:space="preserve">will also </w:t>
      </w:r>
      <w:r w:rsidR="002B79CB">
        <w:rPr>
          <w:rFonts w:ascii="Times New Roman" w:hAnsi="Times New Roman" w:cs="Times New Roman"/>
          <w:sz w:val="24"/>
          <w:szCs w:val="24"/>
        </w:rPr>
        <w:t>ask the state attorneys general offices to identify the most common type of offender in the past 12 months.</w:t>
      </w:r>
    </w:p>
    <w:p w14:paraId="3ADE2CC4" w14:textId="05E69DEC" w:rsidR="00702C08" w:rsidRDefault="00702C08" w:rsidP="00702C08">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i/>
          <w:sz w:val="24"/>
          <w:szCs w:val="24"/>
        </w:rPr>
        <w:t>Characteristics of victims</w:t>
      </w:r>
      <w:r w:rsidRPr="00471FA2">
        <w:rPr>
          <w:rFonts w:ascii="Times New Roman" w:hAnsi="Times New Roman" w:cs="Times New Roman"/>
          <w:sz w:val="24"/>
          <w:szCs w:val="24"/>
        </w:rPr>
        <w:t>:</w:t>
      </w:r>
      <w:r>
        <w:rPr>
          <w:rFonts w:ascii="Times New Roman" w:hAnsi="Times New Roman" w:cs="Times New Roman"/>
          <w:sz w:val="24"/>
          <w:szCs w:val="24"/>
        </w:rPr>
        <w:t xml:space="preserve"> BJS </w:t>
      </w:r>
      <w:r w:rsidR="001368F3">
        <w:rPr>
          <w:rFonts w:ascii="Times New Roman" w:hAnsi="Times New Roman" w:cs="Times New Roman"/>
          <w:sz w:val="24"/>
          <w:szCs w:val="24"/>
        </w:rPr>
        <w:t xml:space="preserve">will </w:t>
      </w:r>
      <w:r>
        <w:rPr>
          <w:rFonts w:ascii="Times New Roman" w:hAnsi="Times New Roman" w:cs="Times New Roman"/>
          <w:sz w:val="24"/>
          <w:szCs w:val="24"/>
        </w:rPr>
        <w:t xml:space="preserve">ask whether the office handled adult or minor victims of sex and labor trafficking in the past 12 months. The survey </w:t>
      </w:r>
      <w:r w:rsidR="001368F3">
        <w:rPr>
          <w:rFonts w:ascii="Times New Roman" w:hAnsi="Times New Roman" w:cs="Times New Roman"/>
          <w:sz w:val="24"/>
          <w:szCs w:val="24"/>
        </w:rPr>
        <w:t xml:space="preserve">will </w:t>
      </w:r>
      <w:r>
        <w:rPr>
          <w:rFonts w:ascii="Times New Roman" w:hAnsi="Times New Roman" w:cs="Times New Roman"/>
          <w:sz w:val="24"/>
          <w:szCs w:val="24"/>
        </w:rPr>
        <w:t xml:space="preserve">also ask the office to identify the most common type of victim (adult victim of labor trafficking, adult victim of sex trafficking, child victim of labor trafficking, or child victim of sex trafficking). </w:t>
      </w:r>
      <w:r w:rsidR="002B79CB">
        <w:rPr>
          <w:rFonts w:ascii="Times New Roman" w:hAnsi="Times New Roman" w:cs="Times New Roman"/>
          <w:sz w:val="24"/>
          <w:szCs w:val="24"/>
        </w:rPr>
        <w:t>Last</w:t>
      </w:r>
      <w:r w:rsidR="001368F3">
        <w:rPr>
          <w:rFonts w:ascii="Times New Roman" w:hAnsi="Times New Roman" w:cs="Times New Roman"/>
          <w:sz w:val="24"/>
          <w:szCs w:val="24"/>
        </w:rPr>
        <w:t>ly</w:t>
      </w:r>
      <w:r w:rsidR="002B79CB">
        <w:rPr>
          <w:rFonts w:ascii="Times New Roman" w:hAnsi="Times New Roman" w:cs="Times New Roman"/>
          <w:sz w:val="24"/>
          <w:szCs w:val="24"/>
        </w:rPr>
        <w:t xml:space="preserve">, BJS asks the types of support services made available to victims of trafficking, including counseling, </w:t>
      </w:r>
      <w:r w:rsidR="00F8743C">
        <w:rPr>
          <w:rFonts w:ascii="Times New Roman" w:hAnsi="Times New Roman" w:cs="Times New Roman"/>
          <w:sz w:val="24"/>
          <w:szCs w:val="24"/>
        </w:rPr>
        <w:t xml:space="preserve">drug treatment, </w:t>
      </w:r>
      <w:r w:rsidR="002B79CB">
        <w:rPr>
          <w:rFonts w:ascii="Times New Roman" w:hAnsi="Times New Roman" w:cs="Times New Roman"/>
          <w:sz w:val="24"/>
          <w:szCs w:val="24"/>
        </w:rPr>
        <w:t>housing, and legal services.</w:t>
      </w:r>
    </w:p>
    <w:p w14:paraId="10B50BF7" w14:textId="78627B71" w:rsidR="00702C08" w:rsidRDefault="002B79CB" w:rsidP="00702C08">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i/>
          <w:sz w:val="24"/>
          <w:szCs w:val="24"/>
        </w:rPr>
        <w:t>Personnel</w:t>
      </w:r>
      <w:r w:rsidR="00702C08" w:rsidRPr="00702C08">
        <w:rPr>
          <w:rFonts w:ascii="Times New Roman" w:hAnsi="Times New Roman" w:cs="Times New Roman"/>
          <w:sz w:val="24"/>
          <w:szCs w:val="24"/>
        </w:rPr>
        <w:t xml:space="preserve">: </w:t>
      </w:r>
      <w:r>
        <w:rPr>
          <w:rFonts w:ascii="Times New Roman" w:hAnsi="Times New Roman" w:cs="Times New Roman"/>
          <w:sz w:val="24"/>
          <w:szCs w:val="24"/>
        </w:rPr>
        <w:t xml:space="preserve">The survey </w:t>
      </w:r>
      <w:r w:rsidR="001368F3">
        <w:rPr>
          <w:rFonts w:ascii="Times New Roman" w:hAnsi="Times New Roman" w:cs="Times New Roman"/>
          <w:sz w:val="24"/>
          <w:szCs w:val="24"/>
        </w:rPr>
        <w:t xml:space="preserve">will </w:t>
      </w:r>
      <w:r>
        <w:rPr>
          <w:rFonts w:ascii="Times New Roman" w:hAnsi="Times New Roman" w:cs="Times New Roman"/>
          <w:sz w:val="24"/>
          <w:szCs w:val="24"/>
        </w:rPr>
        <w:t xml:space="preserve">ask </w:t>
      </w:r>
      <w:r w:rsidR="001368F3">
        <w:rPr>
          <w:rFonts w:ascii="Times New Roman" w:hAnsi="Times New Roman" w:cs="Times New Roman"/>
          <w:sz w:val="24"/>
          <w:szCs w:val="24"/>
        </w:rPr>
        <w:t>about</w:t>
      </w:r>
      <w:r>
        <w:rPr>
          <w:rFonts w:ascii="Times New Roman" w:hAnsi="Times New Roman" w:cs="Times New Roman"/>
          <w:sz w:val="24"/>
          <w:szCs w:val="24"/>
        </w:rPr>
        <w:t xml:space="preserve"> the number of attorneys on staff, </w:t>
      </w:r>
      <w:r w:rsidR="001368F3">
        <w:rPr>
          <w:rFonts w:ascii="Times New Roman" w:hAnsi="Times New Roman" w:cs="Times New Roman"/>
          <w:sz w:val="24"/>
          <w:szCs w:val="24"/>
        </w:rPr>
        <w:t>and</w:t>
      </w:r>
      <w:r>
        <w:rPr>
          <w:rFonts w:ascii="Times New Roman" w:hAnsi="Times New Roman" w:cs="Times New Roman"/>
          <w:sz w:val="24"/>
          <w:szCs w:val="24"/>
        </w:rPr>
        <w:t xml:space="preserve"> the number of attorneys who work on human trafficking cases. Additionally, </w:t>
      </w:r>
      <w:r w:rsidR="001368F3">
        <w:rPr>
          <w:rFonts w:ascii="Times New Roman" w:hAnsi="Times New Roman" w:cs="Times New Roman"/>
          <w:sz w:val="24"/>
          <w:szCs w:val="24"/>
        </w:rPr>
        <w:t>they will be asked</w:t>
      </w:r>
      <w:r>
        <w:rPr>
          <w:rFonts w:ascii="Times New Roman" w:hAnsi="Times New Roman" w:cs="Times New Roman"/>
          <w:sz w:val="24"/>
          <w:szCs w:val="24"/>
        </w:rPr>
        <w:t xml:space="preserve"> to identify whether they have specialists on staff or available as consultants that could assist in human trafficking prosecutions, such as computer forensic analysts, crime analysts, victim service providers, or witness experts.</w:t>
      </w:r>
    </w:p>
    <w:p w14:paraId="0857F943" w14:textId="38D50850" w:rsidR="002B79CB" w:rsidRPr="00702C08" w:rsidRDefault="002B79CB" w:rsidP="00702C08">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i/>
          <w:sz w:val="24"/>
          <w:szCs w:val="24"/>
        </w:rPr>
        <w:t>Task forces and training</w:t>
      </w:r>
      <w:r w:rsidRPr="002B79CB">
        <w:rPr>
          <w:rFonts w:ascii="Times New Roman" w:hAnsi="Times New Roman" w:cs="Times New Roman"/>
          <w:sz w:val="24"/>
          <w:szCs w:val="24"/>
        </w:rPr>
        <w:t>:</w:t>
      </w:r>
      <w:r>
        <w:rPr>
          <w:rFonts w:ascii="Times New Roman" w:hAnsi="Times New Roman" w:cs="Times New Roman"/>
          <w:sz w:val="24"/>
          <w:szCs w:val="24"/>
        </w:rPr>
        <w:t xml:space="preserve"> </w:t>
      </w:r>
      <w:r w:rsidR="001368F3">
        <w:rPr>
          <w:rFonts w:ascii="Times New Roman" w:hAnsi="Times New Roman" w:cs="Times New Roman"/>
          <w:sz w:val="24"/>
          <w:szCs w:val="24"/>
        </w:rPr>
        <w:t>The</w:t>
      </w:r>
      <w:r>
        <w:rPr>
          <w:rFonts w:ascii="Times New Roman" w:hAnsi="Times New Roman" w:cs="Times New Roman"/>
          <w:sz w:val="24"/>
          <w:szCs w:val="24"/>
        </w:rPr>
        <w:t xml:space="preserve"> survey</w:t>
      </w:r>
      <w:r w:rsidR="001368F3">
        <w:rPr>
          <w:rFonts w:ascii="Times New Roman" w:hAnsi="Times New Roman" w:cs="Times New Roman"/>
          <w:sz w:val="24"/>
          <w:szCs w:val="24"/>
        </w:rPr>
        <w:t xml:space="preserve"> will</w:t>
      </w:r>
      <w:r>
        <w:rPr>
          <w:rFonts w:ascii="Times New Roman" w:hAnsi="Times New Roman" w:cs="Times New Roman"/>
          <w:sz w:val="24"/>
          <w:szCs w:val="24"/>
        </w:rPr>
        <w:t xml:space="preserve"> ask </w:t>
      </w:r>
      <w:r w:rsidR="001368F3">
        <w:rPr>
          <w:rFonts w:ascii="Times New Roman" w:hAnsi="Times New Roman" w:cs="Times New Roman"/>
          <w:sz w:val="24"/>
          <w:szCs w:val="24"/>
        </w:rPr>
        <w:t>about</w:t>
      </w:r>
      <w:r>
        <w:rPr>
          <w:rFonts w:ascii="Times New Roman" w:hAnsi="Times New Roman" w:cs="Times New Roman"/>
          <w:sz w:val="24"/>
          <w:szCs w:val="24"/>
        </w:rPr>
        <w:t xml:space="preserve"> staff training on human trafficking in the past 12 months, or if their office participated in a state, regional, or federal task force regarding any aspect of human trafficking.</w:t>
      </w:r>
    </w:p>
    <w:p w14:paraId="69AC21AE" w14:textId="77777777" w:rsidR="000A27F4" w:rsidRDefault="000A27F4" w:rsidP="000A27F4">
      <w:pPr>
        <w:pStyle w:val="ListParagraph"/>
        <w:spacing w:after="0" w:line="240" w:lineRule="auto"/>
        <w:contextualSpacing w:val="0"/>
        <w:rPr>
          <w:rFonts w:ascii="Times New Roman" w:hAnsi="Times New Roman" w:cs="Times New Roman"/>
          <w:sz w:val="24"/>
          <w:szCs w:val="24"/>
          <w:highlight w:val="yellow"/>
        </w:rPr>
      </w:pPr>
    </w:p>
    <w:p w14:paraId="38A171DA" w14:textId="77777777" w:rsidR="00867E16" w:rsidRDefault="00867E16" w:rsidP="000A27F4">
      <w:pPr>
        <w:pStyle w:val="ListParagraph"/>
        <w:spacing w:after="0" w:line="240" w:lineRule="auto"/>
        <w:contextualSpacing w:val="0"/>
        <w:rPr>
          <w:rFonts w:ascii="Times New Roman" w:hAnsi="Times New Roman" w:cs="Times New Roman"/>
          <w:sz w:val="24"/>
          <w:szCs w:val="24"/>
          <w:highlight w:val="yellow"/>
        </w:rPr>
      </w:pPr>
    </w:p>
    <w:p w14:paraId="24997D95" w14:textId="77777777" w:rsidR="00867E16" w:rsidRPr="00E50184" w:rsidRDefault="00867E16" w:rsidP="000A27F4">
      <w:pPr>
        <w:pStyle w:val="ListParagraph"/>
        <w:spacing w:after="0" w:line="240" w:lineRule="auto"/>
        <w:contextualSpacing w:val="0"/>
        <w:rPr>
          <w:rFonts w:ascii="Times New Roman" w:hAnsi="Times New Roman" w:cs="Times New Roman"/>
          <w:sz w:val="24"/>
          <w:szCs w:val="24"/>
          <w:highlight w:val="yellow"/>
        </w:rPr>
      </w:pPr>
    </w:p>
    <w:p w14:paraId="0B950B79" w14:textId="77777777" w:rsidR="000A27F4" w:rsidRPr="006C5284" w:rsidRDefault="000A27F4" w:rsidP="000A27F4">
      <w:pPr>
        <w:pStyle w:val="ListParagraph"/>
        <w:numPr>
          <w:ilvl w:val="0"/>
          <w:numId w:val="2"/>
        </w:numPr>
        <w:spacing w:after="0" w:line="240" w:lineRule="auto"/>
        <w:contextualSpacing w:val="0"/>
        <w:rPr>
          <w:rFonts w:ascii="Times New Roman" w:hAnsi="Times New Roman" w:cs="Times New Roman"/>
          <w:sz w:val="24"/>
          <w:szCs w:val="24"/>
        </w:rPr>
      </w:pPr>
      <w:r w:rsidRPr="006C5284">
        <w:rPr>
          <w:rFonts w:ascii="Times New Roman" w:hAnsi="Times New Roman" w:cs="Times New Roman"/>
          <w:sz w:val="24"/>
          <w:szCs w:val="24"/>
          <w:u w:val="single"/>
        </w:rPr>
        <w:t>Use of Information Technology</w:t>
      </w:r>
    </w:p>
    <w:p w14:paraId="6FE5CCB6" w14:textId="2D83E52A" w:rsidR="000A27F4" w:rsidRDefault="00BF408E"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Due to the small number of respondents (56) and being mindful of cost efficiencies, t</w:t>
      </w:r>
      <w:r w:rsidR="000A27F4" w:rsidRPr="006C5284">
        <w:rPr>
          <w:rFonts w:ascii="Times New Roman" w:hAnsi="Times New Roman" w:cs="Times New Roman"/>
          <w:sz w:val="24"/>
          <w:szCs w:val="24"/>
        </w:rPr>
        <w:t xml:space="preserve">he </w:t>
      </w:r>
      <w:r w:rsidR="001F7BD6">
        <w:rPr>
          <w:rFonts w:ascii="Times New Roman" w:hAnsi="Times New Roman" w:cs="Times New Roman"/>
          <w:sz w:val="24"/>
          <w:szCs w:val="24"/>
        </w:rPr>
        <w:t>SSAGO-</w:t>
      </w:r>
      <w:r w:rsidR="00FC7FCD">
        <w:rPr>
          <w:rFonts w:ascii="Times New Roman" w:hAnsi="Times New Roman" w:cs="Times New Roman"/>
          <w:sz w:val="24"/>
          <w:szCs w:val="24"/>
        </w:rPr>
        <w:t xml:space="preserve">HT </w:t>
      </w:r>
      <w:r w:rsidR="000A27F4" w:rsidRPr="006C5284">
        <w:rPr>
          <w:rFonts w:ascii="Times New Roman" w:hAnsi="Times New Roman" w:cs="Times New Roman"/>
          <w:sz w:val="24"/>
          <w:szCs w:val="24"/>
        </w:rPr>
        <w:t>questionnaire</w:t>
      </w:r>
      <w:r w:rsidR="00FC7FCD">
        <w:rPr>
          <w:rFonts w:ascii="Times New Roman" w:hAnsi="Times New Roman" w:cs="Times New Roman"/>
          <w:sz w:val="24"/>
          <w:szCs w:val="24"/>
        </w:rPr>
        <w:t>s</w:t>
      </w:r>
      <w:r w:rsidR="000A27F4" w:rsidRPr="006C5284">
        <w:rPr>
          <w:rFonts w:ascii="Times New Roman" w:hAnsi="Times New Roman" w:cs="Times New Roman"/>
          <w:sz w:val="24"/>
          <w:szCs w:val="24"/>
        </w:rPr>
        <w:t xml:space="preserve"> will be designed </w:t>
      </w:r>
      <w:r w:rsidR="000A27F4">
        <w:rPr>
          <w:rFonts w:ascii="Times New Roman" w:hAnsi="Times New Roman" w:cs="Times New Roman"/>
          <w:sz w:val="24"/>
          <w:szCs w:val="24"/>
        </w:rPr>
        <w:t>as a fillable PDF file</w:t>
      </w:r>
      <w:r w:rsidR="000A27F4" w:rsidRPr="006C5284">
        <w:rPr>
          <w:rFonts w:ascii="Times New Roman" w:hAnsi="Times New Roman" w:cs="Times New Roman"/>
          <w:sz w:val="24"/>
          <w:szCs w:val="24"/>
        </w:rPr>
        <w:t xml:space="preserve">. This allows </w:t>
      </w:r>
      <w:r w:rsidR="000A27F4">
        <w:rPr>
          <w:rFonts w:ascii="Times New Roman" w:hAnsi="Times New Roman" w:cs="Times New Roman"/>
          <w:sz w:val="24"/>
          <w:szCs w:val="24"/>
        </w:rPr>
        <w:t>flexibility for the respondent to complete and return the survey by hand, pass it along to others within the office to complete some sections, and return by mail or fax; or the respondent can complete the fillable PDF, save a copy on their computer and email it back to the Urban Institute for processing. The Urban Institute</w:t>
      </w:r>
      <w:r w:rsidR="001368F3">
        <w:rPr>
          <w:rFonts w:ascii="Times New Roman" w:hAnsi="Times New Roman" w:cs="Times New Roman"/>
          <w:sz w:val="24"/>
          <w:szCs w:val="24"/>
        </w:rPr>
        <w:t xml:space="preserve"> is the BJS data collection agent with </w:t>
      </w:r>
      <w:r w:rsidR="000A27F4" w:rsidRPr="006C5284">
        <w:rPr>
          <w:rFonts w:ascii="Times New Roman" w:hAnsi="Times New Roman" w:cs="Times New Roman"/>
          <w:sz w:val="24"/>
          <w:szCs w:val="24"/>
        </w:rPr>
        <w:t xml:space="preserve">primary responsibility for administering the survey and monitoring the progress of respondents. </w:t>
      </w:r>
      <w:r w:rsidRPr="00B05667">
        <w:rPr>
          <w:rFonts w:ascii="Times New Roman" w:hAnsi="Times New Roman" w:cs="Times New Roman"/>
          <w:sz w:val="24"/>
          <w:szCs w:val="24"/>
        </w:rPr>
        <w:t xml:space="preserve">The </w:t>
      </w:r>
      <w:r w:rsidR="00FC7FCD" w:rsidRPr="00B05667">
        <w:rPr>
          <w:rFonts w:ascii="Times New Roman" w:hAnsi="Times New Roman" w:cs="Times New Roman"/>
          <w:sz w:val="24"/>
          <w:szCs w:val="24"/>
        </w:rPr>
        <w:t>cognitive</w:t>
      </w:r>
      <w:r w:rsidRPr="00B05667">
        <w:rPr>
          <w:rFonts w:ascii="Times New Roman" w:hAnsi="Times New Roman" w:cs="Times New Roman"/>
          <w:sz w:val="24"/>
          <w:szCs w:val="24"/>
        </w:rPr>
        <w:t xml:space="preserve"> test respondents</w:t>
      </w:r>
      <w:r w:rsidR="00FC7FCD" w:rsidRPr="00B05667">
        <w:rPr>
          <w:rFonts w:ascii="Times New Roman" w:hAnsi="Times New Roman" w:cs="Times New Roman"/>
          <w:sz w:val="24"/>
          <w:szCs w:val="24"/>
        </w:rPr>
        <w:t xml:space="preserve"> for the SSAGO-HT</w:t>
      </w:r>
      <w:r w:rsidRPr="00B05667">
        <w:rPr>
          <w:rFonts w:ascii="Times New Roman" w:hAnsi="Times New Roman" w:cs="Times New Roman"/>
          <w:sz w:val="24"/>
          <w:szCs w:val="24"/>
        </w:rPr>
        <w:t xml:space="preserve"> reported that they would prefer to co</w:t>
      </w:r>
      <w:r w:rsidR="000A27F4" w:rsidRPr="00B05667">
        <w:rPr>
          <w:rFonts w:ascii="Times New Roman" w:hAnsi="Times New Roman" w:cs="Times New Roman"/>
          <w:sz w:val="24"/>
          <w:szCs w:val="24"/>
        </w:rPr>
        <w:t xml:space="preserve">mplete </w:t>
      </w:r>
      <w:r w:rsidR="004E47E1" w:rsidRPr="00B05667">
        <w:rPr>
          <w:rFonts w:ascii="Times New Roman" w:hAnsi="Times New Roman" w:cs="Times New Roman"/>
          <w:sz w:val="24"/>
          <w:szCs w:val="24"/>
        </w:rPr>
        <w:t xml:space="preserve">survey using </w:t>
      </w:r>
      <w:r w:rsidR="00F8743C">
        <w:rPr>
          <w:rFonts w:ascii="Times New Roman" w:hAnsi="Times New Roman" w:cs="Times New Roman"/>
          <w:sz w:val="24"/>
          <w:szCs w:val="24"/>
        </w:rPr>
        <w:t>the fillable PDF rather than a web-based or hardcopy mailed version of the survey</w:t>
      </w:r>
      <w:r w:rsidR="000A27F4" w:rsidRPr="00B05667">
        <w:rPr>
          <w:rFonts w:ascii="Times New Roman" w:hAnsi="Times New Roman" w:cs="Times New Roman"/>
          <w:sz w:val="24"/>
          <w:szCs w:val="24"/>
        </w:rPr>
        <w:t>.</w:t>
      </w:r>
    </w:p>
    <w:p w14:paraId="5DEB6551" w14:textId="77777777" w:rsidR="000A27F4" w:rsidRPr="006C5284" w:rsidRDefault="000A27F4" w:rsidP="000A27F4">
      <w:pPr>
        <w:spacing w:after="0" w:line="240" w:lineRule="auto"/>
        <w:rPr>
          <w:rFonts w:ascii="Times New Roman" w:hAnsi="Times New Roman" w:cs="Times New Roman"/>
          <w:sz w:val="24"/>
          <w:szCs w:val="24"/>
        </w:rPr>
      </w:pPr>
    </w:p>
    <w:p w14:paraId="2A9AB05D" w14:textId="77777777" w:rsidR="000A27F4" w:rsidRPr="00CA2B16" w:rsidRDefault="000A27F4" w:rsidP="000A27F4">
      <w:pPr>
        <w:pStyle w:val="ListParagraph"/>
        <w:numPr>
          <w:ilvl w:val="0"/>
          <w:numId w:val="2"/>
        </w:numPr>
        <w:spacing w:after="0" w:line="240" w:lineRule="auto"/>
        <w:contextualSpacing w:val="0"/>
        <w:rPr>
          <w:rFonts w:ascii="Times New Roman" w:hAnsi="Times New Roman" w:cs="Times New Roman"/>
          <w:sz w:val="24"/>
          <w:szCs w:val="24"/>
        </w:rPr>
      </w:pPr>
      <w:r w:rsidRPr="00CA2B16">
        <w:rPr>
          <w:rFonts w:ascii="Times New Roman" w:hAnsi="Times New Roman" w:cs="Times New Roman"/>
          <w:sz w:val="24"/>
          <w:szCs w:val="24"/>
          <w:u w:val="single"/>
        </w:rPr>
        <w:t>Efforts to Identify Duplication</w:t>
      </w:r>
    </w:p>
    <w:p w14:paraId="0B6CB4C2" w14:textId="2311DAFF" w:rsidR="000A27F4" w:rsidRDefault="000A27F4" w:rsidP="000A27F4">
      <w:pPr>
        <w:spacing w:after="0" w:line="240" w:lineRule="auto"/>
        <w:rPr>
          <w:rFonts w:ascii="Times New Roman" w:hAnsi="Times New Roman" w:cs="Times New Roman"/>
          <w:sz w:val="24"/>
          <w:szCs w:val="24"/>
        </w:rPr>
      </w:pPr>
      <w:r w:rsidRPr="00CA2B16">
        <w:rPr>
          <w:rFonts w:ascii="Times New Roman" w:hAnsi="Times New Roman" w:cs="Times New Roman"/>
          <w:sz w:val="24"/>
          <w:szCs w:val="24"/>
        </w:rPr>
        <w:t xml:space="preserve">BJS staff </w:t>
      </w:r>
      <w:r w:rsidR="00B74477">
        <w:rPr>
          <w:rFonts w:ascii="Times New Roman" w:hAnsi="Times New Roman" w:cs="Times New Roman"/>
          <w:sz w:val="24"/>
          <w:szCs w:val="24"/>
        </w:rPr>
        <w:t>reviewed</w:t>
      </w:r>
      <w:r w:rsidRPr="00CA2B16">
        <w:rPr>
          <w:rFonts w:ascii="Times New Roman" w:hAnsi="Times New Roman" w:cs="Times New Roman"/>
          <w:sz w:val="24"/>
          <w:szCs w:val="24"/>
        </w:rPr>
        <w:t xml:space="preserve"> </w:t>
      </w:r>
      <w:r w:rsidR="00B74477">
        <w:rPr>
          <w:rFonts w:ascii="Times New Roman" w:hAnsi="Times New Roman" w:cs="Times New Roman"/>
          <w:sz w:val="24"/>
          <w:szCs w:val="24"/>
        </w:rPr>
        <w:t xml:space="preserve">other data collections and </w:t>
      </w:r>
      <w:r w:rsidRPr="00CA2B16">
        <w:rPr>
          <w:rFonts w:ascii="Times New Roman" w:hAnsi="Times New Roman" w:cs="Times New Roman"/>
          <w:sz w:val="24"/>
          <w:szCs w:val="24"/>
        </w:rPr>
        <w:t>the literature to</w:t>
      </w:r>
      <w:r w:rsidR="00B74477">
        <w:rPr>
          <w:rFonts w:ascii="Times New Roman" w:hAnsi="Times New Roman" w:cs="Times New Roman"/>
          <w:sz w:val="24"/>
          <w:szCs w:val="24"/>
        </w:rPr>
        <w:t xml:space="preserve"> identify duplication. Based on this review, BJS </w:t>
      </w:r>
      <w:r w:rsidRPr="00CA2B16">
        <w:rPr>
          <w:rFonts w:ascii="Times New Roman" w:hAnsi="Times New Roman" w:cs="Times New Roman"/>
          <w:sz w:val="24"/>
          <w:szCs w:val="24"/>
        </w:rPr>
        <w:t>conclude</w:t>
      </w:r>
      <w:r w:rsidR="00B74477">
        <w:rPr>
          <w:rFonts w:ascii="Times New Roman" w:hAnsi="Times New Roman" w:cs="Times New Roman"/>
          <w:sz w:val="24"/>
          <w:szCs w:val="24"/>
        </w:rPr>
        <w:t>s</w:t>
      </w:r>
      <w:r w:rsidRPr="00CA2B16">
        <w:rPr>
          <w:rFonts w:ascii="Times New Roman" w:hAnsi="Times New Roman" w:cs="Times New Roman"/>
          <w:sz w:val="24"/>
          <w:szCs w:val="24"/>
        </w:rPr>
        <w:t xml:space="preserve"> that the </w:t>
      </w:r>
      <w:r w:rsidR="001F7BD6">
        <w:rPr>
          <w:rFonts w:ascii="Times New Roman" w:hAnsi="Times New Roman" w:cs="Times New Roman"/>
          <w:sz w:val="24"/>
          <w:szCs w:val="24"/>
        </w:rPr>
        <w:t>SSAGO-</w:t>
      </w:r>
      <w:r w:rsidR="00FC7FCD">
        <w:rPr>
          <w:rFonts w:ascii="Times New Roman" w:hAnsi="Times New Roman" w:cs="Times New Roman"/>
          <w:sz w:val="24"/>
          <w:szCs w:val="24"/>
        </w:rPr>
        <w:t xml:space="preserve">HT </w:t>
      </w:r>
      <w:r w:rsidRPr="00CA2B16">
        <w:rPr>
          <w:rFonts w:ascii="Times New Roman" w:hAnsi="Times New Roman" w:cs="Times New Roman"/>
          <w:sz w:val="24"/>
          <w:szCs w:val="24"/>
        </w:rPr>
        <w:t xml:space="preserve">will provide information that is not </w:t>
      </w:r>
      <w:r w:rsidR="008E5C24">
        <w:rPr>
          <w:rFonts w:ascii="Times New Roman" w:hAnsi="Times New Roman" w:cs="Times New Roman"/>
          <w:sz w:val="24"/>
          <w:szCs w:val="24"/>
        </w:rPr>
        <w:t>available</w:t>
      </w:r>
      <w:r w:rsidR="008E5C24" w:rsidRPr="00CA2B16">
        <w:rPr>
          <w:rFonts w:ascii="Times New Roman" w:hAnsi="Times New Roman" w:cs="Times New Roman"/>
          <w:sz w:val="24"/>
          <w:szCs w:val="24"/>
        </w:rPr>
        <w:t xml:space="preserve"> </w:t>
      </w:r>
      <w:r w:rsidRPr="00CA2B16">
        <w:rPr>
          <w:rFonts w:ascii="Times New Roman" w:hAnsi="Times New Roman" w:cs="Times New Roman"/>
          <w:sz w:val="24"/>
          <w:szCs w:val="24"/>
        </w:rPr>
        <w:t xml:space="preserve">elsewhere. </w:t>
      </w:r>
    </w:p>
    <w:p w14:paraId="645F2933" w14:textId="77777777" w:rsidR="000A27F4" w:rsidRPr="00CA2B16" w:rsidRDefault="000A27F4" w:rsidP="000A27F4">
      <w:pPr>
        <w:spacing w:after="0" w:line="240" w:lineRule="auto"/>
        <w:rPr>
          <w:rFonts w:ascii="Times New Roman" w:hAnsi="Times New Roman" w:cs="Times New Roman"/>
          <w:sz w:val="24"/>
          <w:szCs w:val="24"/>
        </w:rPr>
      </w:pPr>
    </w:p>
    <w:p w14:paraId="31BC889B" w14:textId="77777777" w:rsidR="000A27F4" w:rsidRPr="00CA2B16" w:rsidRDefault="000A27F4" w:rsidP="000A27F4">
      <w:pPr>
        <w:spacing w:after="0" w:line="240" w:lineRule="auto"/>
        <w:rPr>
          <w:rFonts w:ascii="Times New Roman" w:hAnsi="Times New Roman" w:cs="Times New Roman"/>
          <w:i/>
          <w:sz w:val="24"/>
          <w:szCs w:val="24"/>
        </w:rPr>
      </w:pPr>
      <w:r w:rsidRPr="00CA2B16">
        <w:rPr>
          <w:rFonts w:ascii="Times New Roman" w:hAnsi="Times New Roman" w:cs="Times New Roman"/>
          <w:i/>
          <w:sz w:val="24"/>
          <w:szCs w:val="24"/>
        </w:rPr>
        <w:t>Related BJS Projects</w:t>
      </w:r>
    </w:p>
    <w:p w14:paraId="28D17E8C" w14:textId="1EC4DCBE" w:rsidR="00FC7FCD" w:rsidRDefault="00FC7FCD"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BJS has published </w:t>
      </w:r>
      <w:r w:rsidR="001368F3">
        <w:rPr>
          <w:rFonts w:ascii="Times New Roman" w:hAnsi="Times New Roman" w:cs="Times New Roman"/>
          <w:sz w:val="24"/>
          <w:szCs w:val="24"/>
        </w:rPr>
        <w:t xml:space="preserve">four </w:t>
      </w:r>
      <w:r>
        <w:rPr>
          <w:rFonts w:ascii="Times New Roman" w:hAnsi="Times New Roman" w:cs="Times New Roman"/>
          <w:sz w:val="24"/>
          <w:szCs w:val="24"/>
        </w:rPr>
        <w:t>reports regarding human trafficking, including one report on the federal government’s prosecution of human trafficking cases 2001-2005</w:t>
      </w:r>
      <w:r w:rsidR="009A092F">
        <w:rPr>
          <w:rFonts w:ascii="Times New Roman" w:hAnsi="Times New Roman" w:cs="Times New Roman"/>
          <w:sz w:val="24"/>
          <w:szCs w:val="24"/>
        </w:rPr>
        <w:t xml:space="preserve"> and again </w:t>
      </w:r>
      <w:r w:rsidR="007C61E8">
        <w:rPr>
          <w:rFonts w:ascii="Times New Roman" w:hAnsi="Times New Roman" w:cs="Times New Roman"/>
          <w:sz w:val="24"/>
          <w:szCs w:val="24"/>
        </w:rPr>
        <w:t>in 2015</w:t>
      </w:r>
      <w:r>
        <w:rPr>
          <w:rFonts w:ascii="Times New Roman" w:hAnsi="Times New Roman" w:cs="Times New Roman"/>
          <w:sz w:val="24"/>
          <w:szCs w:val="24"/>
        </w:rPr>
        <w:t xml:space="preserve">, and two reports examining the characteristics of human trafficking suspects and victims through the Human Trafficking Reporting System (HTRS), which was designed to measure the activities of federally funded task forces to address human trafficking. BJS </w:t>
      </w:r>
      <w:r w:rsidR="006F38F6">
        <w:rPr>
          <w:rFonts w:ascii="Times New Roman" w:hAnsi="Times New Roman" w:cs="Times New Roman"/>
          <w:sz w:val="24"/>
          <w:szCs w:val="24"/>
        </w:rPr>
        <w:t>recently published a report on the federal</w:t>
      </w:r>
      <w:r>
        <w:rPr>
          <w:rFonts w:ascii="Times New Roman" w:hAnsi="Times New Roman" w:cs="Times New Roman"/>
          <w:sz w:val="24"/>
          <w:szCs w:val="24"/>
        </w:rPr>
        <w:t xml:space="preserve"> prosecution of human trafficking</w:t>
      </w:r>
      <w:r w:rsidR="007E7918">
        <w:rPr>
          <w:rFonts w:ascii="Times New Roman" w:hAnsi="Times New Roman" w:cs="Times New Roman"/>
          <w:sz w:val="24"/>
          <w:szCs w:val="24"/>
        </w:rPr>
        <w:t xml:space="preserve">, although </w:t>
      </w:r>
      <w:r w:rsidR="006F38F6">
        <w:rPr>
          <w:rFonts w:ascii="Times New Roman" w:hAnsi="Times New Roman" w:cs="Times New Roman"/>
          <w:sz w:val="24"/>
          <w:szCs w:val="24"/>
        </w:rPr>
        <w:t>the report only</w:t>
      </w:r>
      <w:r w:rsidR="007E7918">
        <w:rPr>
          <w:rFonts w:ascii="Times New Roman" w:hAnsi="Times New Roman" w:cs="Times New Roman"/>
          <w:sz w:val="24"/>
          <w:szCs w:val="24"/>
        </w:rPr>
        <w:t xml:space="preserve"> examine</w:t>
      </w:r>
      <w:r w:rsidR="006F38F6">
        <w:rPr>
          <w:rFonts w:ascii="Times New Roman" w:hAnsi="Times New Roman" w:cs="Times New Roman"/>
          <w:sz w:val="24"/>
          <w:szCs w:val="24"/>
        </w:rPr>
        <w:t>d</w:t>
      </w:r>
      <w:r w:rsidR="007E7918">
        <w:rPr>
          <w:rFonts w:ascii="Times New Roman" w:hAnsi="Times New Roman" w:cs="Times New Roman"/>
          <w:sz w:val="24"/>
          <w:szCs w:val="24"/>
        </w:rPr>
        <w:t xml:space="preserve"> cases that include</w:t>
      </w:r>
      <w:r w:rsidR="006F38F6">
        <w:rPr>
          <w:rFonts w:ascii="Times New Roman" w:hAnsi="Times New Roman" w:cs="Times New Roman"/>
          <w:sz w:val="24"/>
          <w:szCs w:val="24"/>
        </w:rPr>
        <w:t>d</w:t>
      </w:r>
      <w:r w:rsidR="007E7918">
        <w:rPr>
          <w:rFonts w:ascii="Times New Roman" w:hAnsi="Times New Roman" w:cs="Times New Roman"/>
          <w:sz w:val="24"/>
          <w:szCs w:val="24"/>
        </w:rPr>
        <w:t xml:space="preserve"> charges </w:t>
      </w:r>
      <w:r w:rsidR="006F38F6">
        <w:rPr>
          <w:rFonts w:ascii="Times New Roman" w:hAnsi="Times New Roman" w:cs="Times New Roman"/>
          <w:sz w:val="24"/>
          <w:szCs w:val="24"/>
        </w:rPr>
        <w:t>under</w:t>
      </w:r>
      <w:r w:rsidR="007E7918">
        <w:rPr>
          <w:rFonts w:ascii="Times New Roman" w:hAnsi="Times New Roman" w:cs="Times New Roman"/>
          <w:sz w:val="24"/>
          <w:szCs w:val="24"/>
        </w:rPr>
        <w:t xml:space="preserve"> human trafficking</w:t>
      </w:r>
      <w:r w:rsidR="006F38F6">
        <w:rPr>
          <w:rFonts w:ascii="Times New Roman" w:hAnsi="Times New Roman" w:cs="Times New Roman"/>
          <w:sz w:val="24"/>
          <w:szCs w:val="24"/>
        </w:rPr>
        <w:t xml:space="preserve"> statutes</w:t>
      </w:r>
      <w:r w:rsidR="007E7918">
        <w:rPr>
          <w:rFonts w:ascii="Times New Roman" w:hAnsi="Times New Roman" w:cs="Times New Roman"/>
          <w:sz w:val="24"/>
          <w:szCs w:val="24"/>
        </w:rPr>
        <w:t xml:space="preserve">; if federal prosecutors chose to use other statutes, such as prostitution or racketeering, BJS </w:t>
      </w:r>
      <w:r w:rsidR="001368F3">
        <w:rPr>
          <w:rFonts w:ascii="Times New Roman" w:hAnsi="Times New Roman" w:cs="Times New Roman"/>
          <w:sz w:val="24"/>
          <w:szCs w:val="24"/>
        </w:rPr>
        <w:t xml:space="preserve">did </w:t>
      </w:r>
      <w:r w:rsidR="007E7918">
        <w:rPr>
          <w:rFonts w:ascii="Times New Roman" w:hAnsi="Times New Roman" w:cs="Times New Roman"/>
          <w:sz w:val="24"/>
          <w:szCs w:val="24"/>
        </w:rPr>
        <w:t>not identify those cases as human trafficking cases.</w:t>
      </w:r>
    </w:p>
    <w:p w14:paraId="07F08B58" w14:textId="77777777" w:rsidR="00FC7FCD" w:rsidRDefault="00FC7FCD" w:rsidP="000A27F4">
      <w:pPr>
        <w:spacing w:after="0" w:line="240" w:lineRule="auto"/>
        <w:rPr>
          <w:rFonts w:ascii="Times New Roman" w:hAnsi="Times New Roman" w:cs="Times New Roman"/>
          <w:sz w:val="24"/>
          <w:szCs w:val="24"/>
        </w:rPr>
      </w:pPr>
    </w:p>
    <w:p w14:paraId="3828DF88" w14:textId="77777777" w:rsidR="000A27F4" w:rsidRPr="00E67735" w:rsidRDefault="000A27F4" w:rsidP="000A27F4">
      <w:pPr>
        <w:spacing w:after="0" w:line="240" w:lineRule="auto"/>
        <w:rPr>
          <w:rFonts w:ascii="Times New Roman" w:hAnsi="Times New Roman" w:cs="Times New Roman"/>
          <w:sz w:val="24"/>
          <w:szCs w:val="24"/>
        </w:rPr>
      </w:pPr>
      <w:r w:rsidRPr="00E67735">
        <w:rPr>
          <w:rFonts w:ascii="Times New Roman" w:hAnsi="Times New Roman" w:cs="Times New Roman"/>
          <w:i/>
          <w:sz w:val="24"/>
          <w:szCs w:val="24"/>
        </w:rPr>
        <w:t>Non-BJS Studies and Related Projects</w:t>
      </w:r>
    </w:p>
    <w:p w14:paraId="13142932" w14:textId="01553474" w:rsidR="000A27F4" w:rsidRPr="00C7202C" w:rsidRDefault="00691F98" w:rsidP="000A27F4">
      <w:pPr>
        <w:spacing w:after="0" w:line="240" w:lineRule="auto"/>
        <w:rPr>
          <w:rFonts w:ascii="Times New Roman" w:hAnsi="Times New Roman" w:cs="Times New Roman"/>
          <w:sz w:val="24"/>
          <w:szCs w:val="24"/>
        </w:rPr>
      </w:pPr>
      <w:r w:rsidRPr="001E2E47">
        <w:rPr>
          <w:rFonts w:ascii="Times New Roman" w:hAnsi="Times New Roman" w:cs="Times New Roman"/>
          <w:sz w:val="24"/>
          <w:szCs w:val="24"/>
        </w:rPr>
        <w:t xml:space="preserve">For law enforcement, the FBI’s Uniform Crime Reporting (UCR) Program </w:t>
      </w:r>
      <w:r w:rsidR="003653E3" w:rsidRPr="001E2E47">
        <w:rPr>
          <w:rFonts w:ascii="Times New Roman" w:hAnsi="Times New Roman" w:cs="Times New Roman"/>
          <w:sz w:val="24"/>
          <w:szCs w:val="24"/>
        </w:rPr>
        <w:t xml:space="preserve">is transitioning </w:t>
      </w:r>
      <w:r w:rsidRPr="001E2E47">
        <w:rPr>
          <w:rFonts w:ascii="Times New Roman" w:hAnsi="Times New Roman" w:cs="Times New Roman"/>
          <w:sz w:val="24"/>
          <w:szCs w:val="24"/>
        </w:rPr>
        <w:t xml:space="preserve">from the </w:t>
      </w:r>
      <w:r w:rsidR="00E04AB0">
        <w:rPr>
          <w:rFonts w:ascii="Times New Roman" w:hAnsi="Times New Roman" w:cs="Times New Roman"/>
          <w:sz w:val="24"/>
          <w:szCs w:val="24"/>
        </w:rPr>
        <w:t xml:space="preserve">Summary Reporting System (SRS) </w:t>
      </w:r>
      <w:r w:rsidRPr="001E2E47">
        <w:rPr>
          <w:rFonts w:ascii="Times New Roman" w:hAnsi="Times New Roman" w:cs="Times New Roman"/>
          <w:sz w:val="24"/>
          <w:szCs w:val="24"/>
        </w:rPr>
        <w:t xml:space="preserve">to the </w:t>
      </w:r>
      <w:r w:rsidRPr="001E2E47">
        <w:rPr>
          <w:rFonts w:ascii="Times New Roman" w:hAnsi="Times New Roman" w:cs="Times New Roman"/>
          <w:color w:val="000000"/>
          <w:sz w:val="24"/>
          <w:szCs w:val="24"/>
        </w:rPr>
        <w:t>National Incident-Based Reporting Program</w:t>
      </w:r>
      <w:r w:rsidRPr="001E2E47">
        <w:rPr>
          <w:rFonts w:ascii="Times New Roman" w:hAnsi="Times New Roman" w:cs="Times New Roman"/>
          <w:sz w:val="24"/>
          <w:szCs w:val="24"/>
        </w:rPr>
        <w:t xml:space="preserve"> (NIBRS). </w:t>
      </w:r>
      <w:r w:rsidR="00550D2A">
        <w:rPr>
          <w:rFonts w:ascii="Times New Roman" w:hAnsi="Times New Roman" w:cs="Times New Roman"/>
          <w:sz w:val="24"/>
          <w:szCs w:val="24"/>
        </w:rPr>
        <w:t xml:space="preserve">The SRS and </w:t>
      </w:r>
      <w:r w:rsidRPr="001E2E47">
        <w:rPr>
          <w:rFonts w:ascii="Times New Roman" w:hAnsi="Times New Roman" w:cs="Times New Roman"/>
          <w:sz w:val="24"/>
          <w:szCs w:val="24"/>
        </w:rPr>
        <w:t xml:space="preserve">NIBRS </w:t>
      </w:r>
      <w:r w:rsidR="00550D2A">
        <w:rPr>
          <w:rFonts w:ascii="Times New Roman" w:hAnsi="Times New Roman" w:cs="Times New Roman"/>
          <w:sz w:val="24"/>
          <w:szCs w:val="24"/>
        </w:rPr>
        <w:t xml:space="preserve">collect the offense and arrest information on two human trafficking </w:t>
      </w:r>
      <w:r w:rsidR="002E7ABF">
        <w:rPr>
          <w:rFonts w:ascii="Times New Roman" w:hAnsi="Times New Roman" w:cs="Times New Roman"/>
          <w:sz w:val="24"/>
          <w:szCs w:val="24"/>
        </w:rPr>
        <w:t>offenses</w:t>
      </w:r>
      <w:r w:rsidR="00550D2A">
        <w:rPr>
          <w:rFonts w:ascii="Times New Roman" w:hAnsi="Times New Roman" w:cs="Times New Roman"/>
          <w:sz w:val="24"/>
          <w:szCs w:val="24"/>
        </w:rPr>
        <w:t xml:space="preserve">: human trafficking for commercial sex acts and human trafficking for purposes of involuntary servitude. The UCR added these codes in 2013, but agencies have not been consistent in reporting data for </w:t>
      </w:r>
      <w:r w:rsidR="001368F3">
        <w:rPr>
          <w:rFonts w:ascii="Times New Roman" w:hAnsi="Times New Roman" w:cs="Times New Roman"/>
          <w:sz w:val="24"/>
          <w:szCs w:val="24"/>
        </w:rPr>
        <w:t>them</w:t>
      </w:r>
      <w:r w:rsidR="00550D2A">
        <w:rPr>
          <w:rFonts w:ascii="Times New Roman" w:hAnsi="Times New Roman" w:cs="Times New Roman"/>
          <w:sz w:val="24"/>
          <w:szCs w:val="24"/>
        </w:rPr>
        <w:t xml:space="preserve">. </w:t>
      </w:r>
      <w:r w:rsidRPr="001E2E47">
        <w:rPr>
          <w:rFonts w:ascii="Times New Roman" w:hAnsi="Times New Roman" w:cs="Times New Roman"/>
          <w:sz w:val="24"/>
          <w:szCs w:val="24"/>
        </w:rPr>
        <w:t xml:space="preserve">With the </w:t>
      </w:r>
      <w:r w:rsidR="00007473">
        <w:rPr>
          <w:rFonts w:ascii="Times New Roman" w:hAnsi="Times New Roman" w:cs="Times New Roman"/>
          <w:sz w:val="24"/>
          <w:szCs w:val="24"/>
        </w:rPr>
        <w:t xml:space="preserve">FBI mandating </w:t>
      </w:r>
      <w:r w:rsidRPr="001E2E47">
        <w:rPr>
          <w:rFonts w:ascii="Times New Roman" w:hAnsi="Times New Roman" w:cs="Times New Roman"/>
          <w:sz w:val="24"/>
          <w:szCs w:val="24"/>
        </w:rPr>
        <w:t xml:space="preserve">transition to NIBRS by 2021, measures of </w:t>
      </w:r>
      <w:r w:rsidR="00550D2A">
        <w:rPr>
          <w:rFonts w:ascii="Times New Roman" w:hAnsi="Times New Roman" w:cs="Times New Roman"/>
          <w:sz w:val="24"/>
          <w:szCs w:val="24"/>
        </w:rPr>
        <w:t xml:space="preserve">human trafficking </w:t>
      </w:r>
      <w:r w:rsidRPr="001E2E47">
        <w:rPr>
          <w:rFonts w:ascii="Times New Roman" w:hAnsi="Times New Roman" w:cs="Times New Roman"/>
          <w:sz w:val="24"/>
          <w:szCs w:val="24"/>
        </w:rPr>
        <w:t>known to federal, state</w:t>
      </w:r>
      <w:r w:rsidR="00DF4893">
        <w:rPr>
          <w:rFonts w:ascii="Times New Roman" w:hAnsi="Times New Roman" w:cs="Times New Roman"/>
          <w:sz w:val="24"/>
          <w:szCs w:val="24"/>
        </w:rPr>
        <w:t>,</w:t>
      </w:r>
      <w:r w:rsidRPr="001E2E47">
        <w:rPr>
          <w:rFonts w:ascii="Times New Roman" w:hAnsi="Times New Roman" w:cs="Times New Roman"/>
          <w:sz w:val="24"/>
          <w:szCs w:val="24"/>
        </w:rPr>
        <w:t xml:space="preserve"> and local law enforcement agencies could be available. </w:t>
      </w:r>
      <w:r w:rsidR="00E04AB0">
        <w:rPr>
          <w:rFonts w:ascii="Times New Roman" w:hAnsi="Times New Roman" w:cs="Times New Roman"/>
          <w:sz w:val="24"/>
          <w:szCs w:val="24"/>
        </w:rPr>
        <w:t>However, NIBRS, by definition, does not collect information on civil offenses.</w:t>
      </w:r>
    </w:p>
    <w:p w14:paraId="077D0CE7" w14:textId="77777777" w:rsidR="0024689F" w:rsidRPr="00E50184" w:rsidRDefault="0024689F" w:rsidP="000A27F4">
      <w:pPr>
        <w:spacing w:after="0" w:line="240" w:lineRule="auto"/>
        <w:rPr>
          <w:rFonts w:ascii="Times New Roman" w:hAnsi="Times New Roman" w:cs="Times New Roman"/>
          <w:sz w:val="24"/>
          <w:szCs w:val="24"/>
          <w:highlight w:val="yellow"/>
        </w:rPr>
      </w:pPr>
    </w:p>
    <w:p w14:paraId="6364B40F" w14:textId="77777777" w:rsidR="000A27F4" w:rsidRPr="00C7202C" w:rsidRDefault="000A27F4" w:rsidP="000A27F4">
      <w:pPr>
        <w:pStyle w:val="ListParagraph"/>
        <w:numPr>
          <w:ilvl w:val="0"/>
          <w:numId w:val="2"/>
        </w:numPr>
        <w:spacing w:after="0" w:line="240" w:lineRule="auto"/>
        <w:contextualSpacing w:val="0"/>
        <w:rPr>
          <w:rFonts w:ascii="Times New Roman" w:hAnsi="Times New Roman" w:cs="Times New Roman"/>
          <w:sz w:val="24"/>
          <w:szCs w:val="24"/>
        </w:rPr>
      </w:pPr>
      <w:r w:rsidRPr="00C7202C">
        <w:rPr>
          <w:rFonts w:ascii="Times New Roman" w:hAnsi="Times New Roman" w:cs="Times New Roman"/>
          <w:sz w:val="24"/>
          <w:szCs w:val="24"/>
          <w:u w:val="single"/>
        </w:rPr>
        <w:t>Efforts to Minimize Burden</w:t>
      </w:r>
    </w:p>
    <w:p w14:paraId="295CA1DB" w14:textId="4BC4EAD5" w:rsidR="000A27F4" w:rsidRDefault="00691F98"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 </w:t>
      </w:r>
      <w:r w:rsidR="000A27F4" w:rsidRPr="00C7202C">
        <w:rPr>
          <w:rFonts w:ascii="Times New Roman" w:hAnsi="Times New Roman" w:cs="Times New Roman"/>
          <w:sz w:val="24"/>
          <w:szCs w:val="24"/>
        </w:rPr>
        <w:t xml:space="preserve">create data collection forms that </w:t>
      </w:r>
      <w:r w:rsidR="00DB756C">
        <w:rPr>
          <w:rFonts w:ascii="Times New Roman" w:hAnsi="Times New Roman" w:cs="Times New Roman"/>
          <w:sz w:val="24"/>
          <w:szCs w:val="24"/>
        </w:rPr>
        <w:t>collect</w:t>
      </w:r>
      <w:r w:rsidR="00DB756C" w:rsidRPr="00C7202C">
        <w:rPr>
          <w:rFonts w:ascii="Times New Roman" w:hAnsi="Times New Roman" w:cs="Times New Roman"/>
          <w:sz w:val="24"/>
          <w:szCs w:val="24"/>
        </w:rPr>
        <w:t xml:space="preserve"> </w:t>
      </w:r>
      <w:r w:rsidR="000A27F4" w:rsidRPr="00C7202C">
        <w:rPr>
          <w:rFonts w:ascii="Times New Roman" w:hAnsi="Times New Roman" w:cs="Times New Roman"/>
          <w:sz w:val="24"/>
          <w:szCs w:val="24"/>
        </w:rPr>
        <w:t>accurate</w:t>
      </w:r>
      <w:r w:rsidR="00DB756C">
        <w:rPr>
          <w:rFonts w:ascii="Times New Roman" w:hAnsi="Times New Roman" w:cs="Times New Roman"/>
          <w:sz w:val="24"/>
          <w:szCs w:val="24"/>
        </w:rPr>
        <w:t xml:space="preserve"> data</w:t>
      </w:r>
      <w:r w:rsidR="000A27F4" w:rsidRPr="00C7202C">
        <w:rPr>
          <w:rFonts w:ascii="Times New Roman" w:hAnsi="Times New Roman" w:cs="Times New Roman"/>
          <w:sz w:val="24"/>
          <w:szCs w:val="24"/>
        </w:rPr>
        <w:t>,</w:t>
      </w:r>
      <w:r w:rsidR="00DB756C">
        <w:rPr>
          <w:rFonts w:ascii="Times New Roman" w:hAnsi="Times New Roman" w:cs="Times New Roman"/>
          <w:sz w:val="24"/>
          <w:szCs w:val="24"/>
        </w:rPr>
        <w:t xml:space="preserve"> are</w:t>
      </w:r>
      <w:r w:rsidR="000A27F4" w:rsidRPr="00C7202C">
        <w:rPr>
          <w:rFonts w:ascii="Times New Roman" w:hAnsi="Times New Roman" w:cs="Times New Roman"/>
          <w:sz w:val="24"/>
          <w:szCs w:val="24"/>
        </w:rPr>
        <w:t xml:space="preserve"> easy to understand, and impose the least possible burden on respondents, BJS and The Urban Institute sought feedback from experts</w:t>
      </w:r>
      <w:r w:rsidR="0001236B">
        <w:rPr>
          <w:rFonts w:ascii="Times New Roman" w:hAnsi="Times New Roman" w:cs="Times New Roman"/>
          <w:sz w:val="24"/>
          <w:szCs w:val="24"/>
        </w:rPr>
        <w:t>, comprised of consultants and deputy attorneys general</w:t>
      </w:r>
      <w:r w:rsidR="00764AB5">
        <w:rPr>
          <w:rFonts w:ascii="Times New Roman" w:hAnsi="Times New Roman" w:cs="Times New Roman"/>
          <w:sz w:val="24"/>
          <w:szCs w:val="24"/>
        </w:rPr>
        <w:t xml:space="preserve"> from Colorado, Massachusetts, and Texas</w:t>
      </w:r>
      <w:r w:rsidR="0001236B">
        <w:rPr>
          <w:rFonts w:ascii="Times New Roman" w:hAnsi="Times New Roman" w:cs="Times New Roman"/>
          <w:sz w:val="24"/>
          <w:szCs w:val="24"/>
        </w:rPr>
        <w:t>,</w:t>
      </w:r>
      <w:r w:rsidR="000A27F4" w:rsidRPr="00C7202C">
        <w:rPr>
          <w:rFonts w:ascii="Times New Roman" w:hAnsi="Times New Roman" w:cs="Times New Roman"/>
          <w:sz w:val="24"/>
          <w:szCs w:val="24"/>
        </w:rPr>
        <w:t xml:space="preserve"> with experience in </w:t>
      </w:r>
      <w:r w:rsidR="007E7918">
        <w:rPr>
          <w:rFonts w:ascii="Times New Roman" w:hAnsi="Times New Roman" w:cs="Times New Roman"/>
          <w:sz w:val="24"/>
          <w:szCs w:val="24"/>
        </w:rPr>
        <w:t>human trafficking</w:t>
      </w:r>
      <w:r w:rsidR="00FD0249">
        <w:rPr>
          <w:rFonts w:ascii="Times New Roman" w:hAnsi="Times New Roman" w:cs="Times New Roman"/>
          <w:sz w:val="24"/>
          <w:szCs w:val="24"/>
        </w:rPr>
        <w:t xml:space="preserve"> </w:t>
      </w:r>
      <w:r w:rsidR="000A27F4" w:rsidRPr="00C7202C">
        <w:rPr>
          <w:rFonts w:ascii="Times New Roman" w:hAnsi="Times New Roman" w:cs="Times New Roman"/>
          <w:sz w:val="24"/>
          <w:szCs w:val="24"/>
        </w:rPr>
        <w:t xml:space="preserve">research, prosecution, and survey design </w:t>
      </w:r>
      <w:r w:rsidR="00DB756C">
        <w:rPr>
          <w:rFonts w:ascii="Times New Roman" w:hAnsi="Times New Roman" w:cs="Times New Roman"/>
          <w:sz w:val="24"/>
          <w:szCs w:val="24"/>
        </w:rPr>
        <w:t>during</w:t>
      </w:r>
      <w:r w:rsidR="000A27F4" w:rsidRPr="00C7202C">
        <w:rPr>
          <w:rFonts w:ascii="Times New Roman" w:hAnsi="Times New Roman" w:cs="Times New Roman"/>
          <w:sz w:val="24"/>
          <w:szCs w:val="24"/>
        </w:rPr>
        <w:t xml:space="preserve"> </w:t>
      </w:r>
      <w:r w:rsidR="00F4015B">
        <w:rPr>
          <w:rFonts w:ascii="Times New Roman" w:hAnsi="Times New Roman" w:cs="Times New Roman"/>
          <w:sz w:val="24"/>
          <w:szCs w:val="24"/>
        </w:rPr>
        <w:t>multiple</w:t>
      </w:r>
      <w:r w:rsidR="00F4015B" w:rsidRPr="00C7202C">
        <w:rPr>
          <w:rFonts w:ascii="Times New Roman" w:hAnsi="Times New Roman" w:cs="Times New Roman"/>
          <w:sz w:val="24"/>
          <w:szCs w:val="24"/>
        </w:rPr>
        <w:t xml:space="preserve"> </w:t>
      </w:r>
      <w:r w:rsidR="000A27F4" w:rsidRPr="00C7202C">
        <w:rPr>
          <w:rFonts w:ascii="Times New Roman" w:hAnsi="Times New Roman" w:cs="Times New Roman"/>
          <w:sz w:val="24"/>
          <w:szCs w:val="24"/>
        </w:rPr>
        <w:t>teleconference</w:t>
      </w:r>
      <w:r w:rsidR="00F4015B">
        <w:rPr>
          <w:rFonts w:ascii="Times New Roman" w:hAnsi="Times New Roman" w:cs="Times New Roman"/>
          <w:sz w:val="24"/>
          <w:szCs w:val="24"/>
        </w:rPr>
        <w:t>s</w:t>
      </w:r>
      <w:r w:rsidR="000A27F4" w:rsidRPr="00C7202C">
        <w:rPr>
          <w:rFonts w:ascii="Times New Roman" w:hAnsi="Times New Roman" w:cs="Times New Roman"/>
          <w:sz w:val="24"/>
          <w:szCs w:val="24"/>
        </w:rPr>
        <w:t xml:space="preserve">. </w:t>
      </w:r>
      <w:r w:rsidR="00F4015B">
        <w:rPr>
          <w:rFonts w:ascii="Times New Roman" w:hAnsi="Times New Roman" w:cs="Times New Roman"/>
          <w:sz w:val="24"/>
          <w:szCs w:val="24"/>
        </w:rPr>
        <w:t xml:space="preserve">The first teleconference developed a typology of human trafficking with the </w:t>
      </w:r>
      <w:r w:rsidR="00CA5E85">
        <w:rPr>
          <w:rFonts w:ascii="Times New Roman" w:hAnsi="Times New Roman" w:cs="Times New Roman"/>
          <w:sz w:val="24"/>
          <w:szCs w:val="24"/>
        </w:rPr>
        <w:t>consultants</w:t>
      </w:r>
      <w:r w:rsidR="00F4015B">
        <w:rPr>
          <w:rFonts w:ascii="Times New Roman" w:hAnsi="Times New Roman" w:cs="Times New Roman"/>
          <w:sz w:val="24"/>
          <w:szCs w:val="24"/>
        </w:rPr>
        <w:t xml:space="preserve">, which was later reviewed by deputy state attorneys general during a second teleconference. </w:t>
      </w:r>
      <w:r w:rsidR="00A954A3">
        <w:rPr>
          <w:rFonts w:ascii="Times New Roman" w:hAnsi="Times New Roman" w:cs="Times New Roman"/>
          <w:sz w:val="24"/>
          <w:szCs w:val="24"/>
        </w:rPr>
        <w:t>BJS and the Urban Institute developed a draft survey instrument b</w:t>
      </w:r>
      <w:r w:rsidR="000A27F4">
        <w:rPr>
          <w:rFonts w:ascii="Times New Roman" w:hAnsi="Times New Roman" w:cs="Times New Roman"/>
          <w:sz w:val="24"/>
          <w:szCs w:val="24"/>
        </w:rPr>
        <w:t>ased on the teleconference</w:t>
      </w:r>
      <w:r w:rsidR="00715A33">
        <w:rPr>
          <w:rFonts w:ascii="Times New Roman" w:hAnsi="Times New Roman" w:cs="Times New Roman"/>
          <w:sz w:val="24"/>
          <w:szCs w:val="24"/>
        </w:rPr>
        <w:t>s</w:t>
      </w:r>
      <w:r w:rsidR="00FD0249">
        <w:rPr>
          <w:rFonts w:ascii="Times New Roman" w:hAnsi="Times New Roman" w:cs="Times New Roman"/>
          <w:sz w:val="24"/>
          <w:szCs w:val="24"/>
        </w:rPr>
        <w:t>.</w:t>
      </w:r>
      <w:r>
        <w:rPr>
          <w:rFonts w:ascii="Times New Roman" w:hAnsi="Times New Roman" w:cs="Times New Roman"/>
          <w:sz w:val="24"/>
          <w:szCs w:val="24"/>
        </w:rPr>
        <w:t xml:space="preserve"> </w:t>
      </w:r>
      <w:r w:rsidR="00F4015B">
        <w:rPr>
          <w:rFonts w:ascii="Times New Roman" w:hAnsi="Times New Roman" w:cs="Times New Roman"/>
          <w:sz w:val="24"/>
          <w:szCs w:val="24"/>
        </w:rPr>
        <w:t xml:space="preserve">The </w:t>
      </w:r>
      <w:r w:rsidR="00CA5E85">
        <w:rPr>
          <w:rFonts w:ascii="Times New Roman" w:hAnsi="Times New Roman" w:cs="Times New Roman"/>
          <w:sz w:val="24"/>
          <w:szCs w:val="24"/>
        </w:rPr>
        <w:t>consultants</w:t>
      </w:r>
      <w:r w:rsidR="00F4015B">
        <w:rPr>
          <w:rFonts w:ascii="Times New Roman" w:hAnsi="Times New Roman" w:cs="Times New Roman"/>
          <w:sz w:val="24"/>
          <w:szCs w:val="24"/>
        </w:rPr>
        <w:t xml:space="preserve"> then reviewed the draft instrument and provided feedback at a final teleconference. </w:t>
      </w:r>
      <w:r w:rsidR="00764AB5">
        <w:rPr>
          <w:rFonts w:ascii="Times New Roman" w:hAnsi="Times New Roman" w:cs="Times New Roman"/>
          <w:sz w:val="24"/>
          <w:szCs w:val="24"/>
        </w:rPr>
        <w:t>The deputy attorneys general from the three states</w:t>
      </w:r>
      <w:r w:rsidR="00856A21">
        <w:rPr>
          <w:rFonts w:ascii="Times New Roman" w:hAnsi="Times New Roman" w:cs="Times New Roman"/>
          <w:sz w:val="24"/>
          <w:szCs w:val="24"/>
        </w:rPr>
        <w:t xml:space="preserve"> </w:t>
      </w:r>
      <w:r w:rsidR="004E47E1">
        <w:rPr>
          <w:rFonts w:ascii="Times New Roman" w:hAnsi="Times New Roman" w:cs="Times New Roman"/>
          <w:sz w:val="24"/>
          <w:szCs w:val="24"/>
        </w:rPr>
        <w:t>provided feedback on</w:t>
      </w:r>
      <w:r w:rsidR="000A27F4" w:rsidRPr="001E2E47">
        <w:rPr>
          <w:rFonts w:ascii="Times New Roman" w:hAnsi="Times New Roman" w:cs="Times New Roman"/>
          <w:sz w:val="24"/>
          <w:szCs w:val="24"/>
        </w:rPr>
        <w:t xml:space="preserve"> the questions</w:t>
      </w:r>
      <w:r w:rsidR="00DB756C" w:rsidRPr="001E2E47">
        <w:rPr>
          <w:rFonts w:ascii="Times New Roman" w:hAnsi="Times New Roman" w:cs="Times New Roman"/>
          <w:sz w:val="24"/>
          <w:szCs w:val="24"/>
        </w:rPr>
        <w:t>,</w:t>
      </w:r>
      <w:r w:rsidR="000A27F4" w:rsidRPr="001E2E47">
        <w:rPr>
          <w:rFonts w:ascii="Times New Roman" w:hAnsi="Times New Roman" w:cs="Times New Roman"/>
          <w:sz w:val="24"/>
          <w:szCs w:val="24"/>
        </w:rPr>
        <w:t xml:space="preserve"> and the length of time it took to answer (</w:t>
      </w:r>
      <w:r w:rsidR="00FD0249" w:rsidRPr="001E2E47">
        <w:rPr>
          <w:rFonts w:ascii="Times New Roman" w:hAnsi="Times New Roman" w:cs="Times New Roman"/>
          <w:b/>
          <w:sz w:val="24"/>
          <w:szCs w:val="24"/>
        </w:rPr>
        <w:t>A</w:t>
      </w:r>
      <w:r w:rsidR="000A27F4" w:rsidRPr="001E2E47">
        <w:rPr>
          <w:rFonts w:ascii="Times New Roman" w:hAnsi="Times New Roman" w:cs="Times New Roman"/>
          <w:b/>
          <w:sz w:val="24"/>
          <w:szCs w:val="24"/>
        </w:rPr>
        <w:t>ttachment</w:t>
      </w:r>
      <w:r w:rsidR="000A27F4" w:rsidRPr="001E2E47">
        <w:rPr>
          <w:rFonts w:ascii="Times New Roman" w:hAnsi="Times New Roman" w:cs="Times New Roman"/>
          <w:sz w:val="24"/>
          <w:szCs w:val="24"/>
        </w:rPr>
        <w:t xml:space="preserve"> </w:t>
      </w:r>
      <w:r w:rsidR="001E2E47" w:rsidRPr="001E2E47">
        <w:rPr>
          <w:rFonts w:ascii="Times New Roman" w:hAnsi="Times New Roman" w:cs="Times New Roman"/>
          <w:b/>
          <w:sz w:val="24"/>
          <w:szCs w:val="24"/>
        </w:rPr>
        <w:t>3</w:t>
      </w:r>
      <w:r w:rsidR="000A27F4" w:rsidRPr="001E2E47">
        <w:rPr>
          <w:rFonts w:ascii="Times New Roman" w:hAnsi="Times New Roman" w:cs="Times New Roman"/>
          <w:sz w:val="24"/>
          <w:szCs w:val="24"/>
        </w:rPr>
        <w:t>).</w:t>
      </w:r>
      <w:r w:rsidR="00B05667">
        <w:rPr>
          <w:rFonts w:ascii="Times New Roman" w:hAnsi="Times New Roman" w:cs="Times New Roman"/>
          <w:sz w:val="24"/>
          <w:szCs w:val="24"/>
        </w:rPr>
        <w:t xml:space="preserve"> One territorial attorney general office (Guam) </w:t>
      </w:r>
      <w:r w:rsidR="00F8743C">
        <w:rPr>
          <w:rFonts w:ascii="Times New Roman" w:hAnsi="Times New Roman" w:cs="Times New Roman"/>
          <w:sz w:val="24"/>
          <w:szCs w:val="24"/>
        </w:rPr>
        <w:t>agreed to complete</w:t>
      </w:r>
      <w:r w:rsidR="00B05667">
        <w:rPr>
          <w:rFonts w:ascii="Times New Roman" w:hAnsi="Times New Roman" w:cs="Times New Roman"/>
          <w:sz w:val="24"/>
          <w:szCs w:val="24"/>
        </w:rPr>
        <w:t xml:space="preserve"> the survey</w:t>
      </w:r>
      <w:r w:rsidR="00F8743C">
        <w:rPr>
          <w:rFonts w:ascii="Times New Roman" w:hAnsi="Times New Roman" w:cs="Times New Roman"/>
          <w:sz w:val="24"/>
          <w:szCs w:val="24"/>
        </w:rPr>
        <w:t xml:space="preserve"> and provide</w:t>
      </w:r>
      <w:r w:rsidR="00F8196C">
        <w:rPr>
          <w:rFonts w:ascii="Times New Roman" w:hAnsi="Times New Roman" w:cs="Times New Roman"/>
          <w:sz w:val="24"/>
          <w:szCs w:val="24"/>
        </w:rPr>
        <w:t>d</w:t>
      </w:r>
      <w:r w:rsidR="00F8743C">
        <w:rPr>
          <w:rFonts w:ascii="Times New Roman" w:hAnsi="Times New Roman" w:cs="Times New Roman"/>
          <w:sz w:val="24"/>
          <w:szCs w:val="24"/>
        </w:rPr>
        <w:t xml:space="preserve"> feedback</w:t>
      </w:r>
      <w:r w:rsidR="005C1082">
        <w:rPr>
          <w:rFonts w:ascii="Times New Roman" w:hAnsi="Times New Roman" w:cs="Times New Roman"/>
          <w:sz w:val="24"/>
          <w:szCs w:val="24"/>
        </w:rPr>
        <w:t>, although the deputy attorney general could not provide feedback in time for inclusion in the pilot report. He did report in September 2018 that Guam had not had any human trafficking cases filed with the territory attorney general for the past 2 years, and as such, the survey only took 10 minutes to complete.</w:t>
      </w:r>
    </w:p>
    <w:p w14:paraId="240F3C61" w14:textId="77777777" w:rsidR="00223208" w:rsidRDefault="00223208" w:rsidP="000A27F4">
      <w:pPr>
        <w:spacing w:after="0" w:line="240" w:lineRule="auto"/>
        <w:rPr>
          <w:rFonts w:ascii="Times New Roman" w:hAnsi="Times New Roman" w:cs="Times New Roman"/>
          <w:sz w:val="24"/>
          <w:szCs w:val="24"/>
        </w:rPr>
      </w:pPr>
    </w:p>
    <w:p w14:paraId="7F94E49D" w14:textId="61052A99" w:rsidR="00223208" w:rsidRDefault="00223208" w:rsidP="00223208">
      <w:pPr>
        <w:spacing w:after="0" w:line="240" w:lineRule="auto"/>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Feedback from the three pilot sites along with the Urban Institute’s recommendations for changes based on </w:t>
      </w:r>
      <w:r w:rsidR="00F4015B">
        <w:rPr>
          <w:rFonts w:ascii="Times New Roman" w:eastAsiaTheme="minorEastAsia" w:hAnsi="Times New Roman" w:cs="Times New Roman"/>
          <w:iCs/>
          <w:sz w:val="24"/>
          <w:szCs w:val="24"/>
        </w:rPr>
        <w:t xml:space="preserve">the </w:t>
      </w:r>
      <w:r>
        <w:rPr>
          <w:rFonts w:ascii="Times New Roman" w:eastAsiaTheme="minorEastAsia" w:hAnsi="Times New Roman" w:cs="Times New Roman"/>
          <w:iCs/>
          <w:sz w:val="24"/>
          <w:szCs w:val="24"/>
        </w:rPr>
        <w:t xml:space="preserve">cognitive test results resulted in modifications to the survey. BJS and the Urban Institute reached agreement on the final modifications to the questionnaire, resulting in a </w:t>
      </w:r>
      <w:r w:rsidR="0043581A">
        <w:rPr>
          <w:rFonts w:ascii="Times New Roman" w:eastAsiaTheme="minorEastAsia" w:hAnsi="Times New Roman" w:cs="Times New Roman"/>
          <w:iCs/>
          <w:sz w:val="24"/>
          <w:szCs w:val="24"/>
        </w:rPr>
        <w:t xml:space="preserve">revised </w:t>
      </w:r>
      <w:r>
        <w:rPr>
          <w:rFonts w:ascii="Times New Roman" w:eastAsiaTheme="minorEastAsia" w:hAnsi="Times New Roman" w:cs="Times New Roman"/>
          <w:iCs/>
          <w:sz w:val="24"/>
          <w:szCs w:val="24"/>
        </w:rPr>
        <w:t>SSAGO-HT instrument (</w:t>
      </w:r>
      <w:r>
        <w:rPr>
          <w:rFonts w:ascii="Times New Roman" w:eastAsiaTheme="minorEastAsia" w:hAnsi="Times New Roman" w:cs="Times New Roman"/>
          <w:b/>
          <w:iCs/>
          <w:sz w:val="24"/>
          <w:szCs w:val="24"/>
        </w:rPr>
        <w:t>Attachment 4)</w:t>
      </w:r>
      <w:r>
        <w:rPr>
          <w:rFonts w:ascii="Times New Roman" w:eastAsiaTheme="minorEastAsia" w:hAnsi="Times New Roman" w:cs="Times New Roman"/>
          <w:iCs/>
          <w:sz w:val="24"/>
          <w:szCs w:val="24"/>
        </w:rPr>
        <w:t>. The following changes to the survey instrument were implemented:</w:t>
      </w:r>
    </w:p>
    <w:p w14:paraId="0E134E34" w14:textId="77777777" w:rsidR="00223208" w:rsidRDefault="00223208" w:rsidP="00223208">
      <w:pPr>
        <w:spacing w:after="0" w:line="240" w:lineRule="auto"/>
        <w:rPr>
          <w:rFonts w:ascii="Times New Roman" w:eastAsiaTheme="minorEastAsia" w:hAnsi="Times New Roman" w:cs="Times New Roman"/>
          <w:iCs/>
          <w:sz w:val="24"/>
          <w:szCs w:val="24"/>
        </w:rPr>
      </w:pPr>
    </w:p>
    <w:p w14:paraId="0D6D429C" w14:textId="3A8644F3" w:rsidR="00D9717F" w:rsidRDefault="00D9717F" w:rsidP="00223208">
      <w:pPr>
        <w:pStyle w:val="BodyText"/>
        <w:numPr>
          <w:ilvl w:val="0"/>
          <w:numId w:val="14"/>
        </w:numPr>
        <w:rPr>
          <w:rFonts w:ascii="Times New Roman" w:hAnsi="Times New Roman"/>
          <w:sz w:val="24"/>
          <w:szCs w:val="24"/>
        </w:rPr>
      </w:pPr>
      <w:r>
        <w:rPr>
          <w:rFonts w:ascii="Times New Roman" w:hAnsi="Times New Roman"/>
          <w:sz w:val="24"/>
          <w:szCs w:val="24"/>
        </w:rPr>
        <w:t>Include calendar year (January 1, 2018-December 31, 2018) rather than “in the past 12 months.”</w:t>
      </w:r>
    </w:p>
    <w:p w14:paraId="15ABDB6A" w14:textId="77777777" w:rsidR="00223208" w:rsidRDefault="00223208" w:rsidP="00223208">
      <w:pPr>
        <w:pStyle w:val="BodyText"/>
        <w:numPr>
          <w:ilvl w:val="0"/>
          <w:numId w:val="14"/>
        </w:numPr>
        <w:rPr>
          <w:rFonts w:ascii="Times New Roman" w:hAnsi="Times New Roman"/>
          <w:sz w:val="24"/>
          <w:szCs w:val="24"/>
        </w:rPr>
      </w:pPr>
      <w:r>
        <w:rPr>
          <w:rFonts w:ascii="Times New Roman" w:hAnsi="Times New Roman"/>
          <w:sz w:val="24"/>
          <w:szCs w:val="24"/>
        </w:rPr>
        <w:t xml:space="preserve">Question 3: </w:t>
      </w:r>
    </w:p>
    <w:p w14:paraId="7D0D1FA9" w14:textId="77777777" w:rsidR="00223208" w:rsidRDefault="00223208" w:rsidP="00223208">
      <w:pPr>
        <w:pStyle w:val="BodyText"/>
        <w:numPr>
          <w:ilvl w:val="1"/>
          <w:numId w:val="14"/>
        </w:numPr>
        <w:rPr>
          <w:rFonts w:ascii="Times New Roman" w:hAnsi="Times New Roman"/>
          <w:sz w:val="24"/>
          <w:szCs w:val="24"/>
        </w:rPr>
      </w:pPr>
      <w:r>
        <w:rPr>
          <w:rFonts w:ascii="Times New Roman" w:hAnsi="Times New Roman"/>
          <w:sz w:val="24"/>
          <w:szCs w:val="24"/>
        </w:rPr>
        <w:t>Change the third response option to “</w:t>
      </w:r>
      <w:r>
        <w:rPr>
          <w:rFonts w:ascii="Times New Roman" w:hAnsi="Times New Roman"/>
          <w:b/>
          <w:sz w:val="24"/>
          <w:szCs w:val="24"/>
        </w:rPr>
        <w:t>Victim advocates</w:t>
      </w:r>
      <w:r>
        <w:rPr>
          <w:rFonts w:ascii="Times New Roman" w:hAnsi="Times New Roman"/>
          <w:sz w:val="24"/>
          <w:szCs w:val="24"/>
        </w:rPr>
        <w:t>”</w:t>
      </w:r>
    </w:p>
    <w:p w14:paraId="7B849266" w14:textId="77777777" w:rsidR="00223208" w:rsidRDefault="00223208" w:rsidP="00223208">
      <w:pPr>
        <w:pStyle w:val="BodyText"/>
        <w:numPr>
          <w:ilvl w:val="1"/>
          <w:numId w:val="14"/>
        </w:numPr>
        <w:rPr>
          <w:rFonts w:ascii="Times New Roman" w:hAnsi="Times New Roman"/>
          <w:sz w:val="24"/>
          <w:szCs w:val="24"/>
        </w:rPr>
      </w:pPr>
      <w:r>
        <w:rPr>
          <w:rFonts w:ascii="Times New Roman" w:hAnsi="Times New Roman"/>
          <w:sz w:val="24"/>
          <w:szCs w:val="24"/>
        </w:rPr>
        <w:t>Change the fourth response option to “</w:t>
      </w:r>
      <w:r>
        <w:rPr>
          <w:rFonts w:ascii="Times New Roman" w:hAnsi="Times New Roman"/>
          <w:b/>
          <w:sz w:val="24"/>
          <w:szCs w:val="24"/>
        </w:rPr>
        <w:t>Witness experts”</w:t>
      </w:r>
    </w:p>
    <w:p w14:paraId="27F14493" w14:textId="77777777" w:rsidR="00223208" w:rsidRDefault="00223208" w:rsidP="00223208">
      <w:pPr>
        <w:pStyle w:val="BodyText"/>
        <w:numPr>
          <w:ilvl w:val="0"/>
          <w:numId w:val="14"/>
        </w:numPr>
        <w:rPr>
          <w:rFonts w:ascii="Times New Roman" w:hAnsi="Times New Roman"/>
          <w:sz w:val="24"/>
          <w:szCs w:val="24"/>
        </w:rPr>
      </w:pPr>
      <w:r>
        <w:rPr>
          <w:rFonts w:ascii="Times New Roman" w:hAnsi="Times New Roman"/>
          <w:sz w:val="24"/>
          <w:szCs w:val="24"/>
        </w:rPr>
        <w:t>Eliminate Question 4</w:t>
      </w:r>
    </w:p>
    <w:p w14:paraId="6DE07612" w14:textId="77777777" w:rsidR="00223208" w:rsidRDefault="00223208" w:rsidP="00223208">
      <w:pPr>
        <w:pStyle w:val="BodyText"/>
        <w:numPr>
          <w:ilvl w:val="0"/>
          <w:numId w:val="14"/>
        </w:numPr>
        <w:rPr>
          <w:rFonts w:ascii="Times New Roman" w:hAnsi="Times New Roman"/>
          <w:sz w:val="24"/>
          <w:szCs w:val="24"/>
        </w:rPr>
      </w:pPr>
      <w:r>
        <w:rPr>
          <w:rFonts w:ascii="Times New Roman" w:hAnsi="Times New Roman"/>
          <w:sz w:val="24"/>
          <w:szCs w:val="24"/>
        </w:rPr>
        <w:t xml:space="preserve">Divide Question 5 into two separate questions: the first asking about jurisdictional authority for </w:t>
      </w:r>
      <w:r>
        <w:rPr>
          <w:rFonts w:ascii="Times New Roman" w:hAnsi="Times New Roman"/>
          <w:sz w:val="24"/>
          <w:szCs w:val="24"/>
          <w:u w:val="single"/>
        </w:rPr>
        <w:t>sex trafficking</w:t>
      </w:r>
      <w:r>
        <w:rPr>
          <w:rFonts w:ascii="Times New Roman" w:hAnsi="Times New Roman"/>
          <w:sz w:val="24"/>
          <w:szCs w:val="24"/>
        </w:rPr>
        <w:t xml:space="preserve"> cases, and the other asking about jurisdictional authority for</w:t>
      </w:r>
      <w:r>
        <w:rPr>
          <w:rFonts w:ascii="Times New Roman" w:hAnsi="Times New Roman"/>
          <w:sz w:val="24"/>
          <w:szCs w:val="24"/>
          <w:u w:val="single"/>
        </w:rPr>
        <w:t xml:space="preserve"> labor trafficking</w:t>
      </w:r>
      <w:r>
        <w:rPr>
          <w:rFonts w:ascii="Times New Roman" w:hAnsi="Times New Roman"/>
          <w:sz w:val="24"/>
          <w:szCs w:val="24"/>
        </w:rPr>
        <w:t xml:space="preserve"> cases.</w:t>
      </w:r>
    </w:p>
    <w:p w14:paraId="571E72FE" w14:textId="77777777" w:rsidR="00223208" w:rsidRDefault="00223208" w:rsidP="00223208">
      <w:pPr>
        <w:pStyle w:val="BodyText"/>
        <w:numPr>
          <w:ilvl w:val="1"/>
          <w:numId w:val="14"/>
        </w:numPr>
        <w:rPr>
          <w:rFonts w:ascii="Times New Roman" w:hAnsi="Times New Roman"/>
          <w:b/>
          <w:sz w:val="24"/>
          <w:szCs w:val="24"/>
        </w:rPr>
      </w:pPr>
      <w:r>
        <w:rPr>
          <w:rFonts w:ascii="Times New Roman" w:hAnsi="Times New Roman"/>
          <w:sz w:val="24"/>
          <w:szCs w:val="24"/>
        </w:rPr>
        <w:t>Also, for these two questions, expand the response category (</w:t>
      </w:r>
      <w:r>
        <w:rPr>
          <w:rFonts w:ascii="Times New Roman" w:hAnsi="Times New Roman"/>
          <w:b/>
          <w:sz w:val="24"/>
          <w:szCs w:val="24"/>
        </w:rPr>
        <w:t xml:space="preserve">“Jurisdiction for criminal cases”) </w:t>
      </w:r>
      <w:r>
        <w:rPr>
          <w:rFonts w:ascii="Times New Roman" w:hAnsi="Times New Roman"/>
          <w:sz w:val="24"/>
          <w:szCs w:val="24"/>
        </w:rPr>
        <w:t>into the following three response categories:</w:t>
      </w:r>
    </w:p>
    <w:p w14:paraId="462E6E30" w14:textId="77777777" w:rsidR="00223208" w:rsidRDefault="00223208" w:rsidP="00223208">
      <w:pPr>
        <w:pStyle w:val="BodyText"/>
        <w:numPr>
          <w:ilvl w:val="2"/>
          <w:numId w:val="14"/>
        </w:numPr>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Original jurisdiction for criminal cases</w:t>
      </w:r>
      <w:r>
        <w:rPr>
          <w:rFonts w:ascii="Times New Roman" w:hAnsi="Times New Roman"/>
          <w:sz w:val="24"/>
          <w:szCs w:val="24"/>
        </w:rPr>
        <w:t xml:space="preserve">” </w:t>
      </w:r>
    </w:p>
    <w:p w14:paraId="7E460133" w14:textId="77777777" w:rsidR="00223208" w:rsidRDefault="00223208" w:rsidP="00223208">
      <w:pPr>
        <w:pStyle w:val="BodyText"/>
        <w:numPr>
          <w:ilvl w:val="2"/>
          <w:numId w:val="14"/>
        </w:numPr>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Concurrent jurisdiction for criminal cases</w:t>
      </w:r>
      <w:r>
        <w:rPr>
          <w:rFonts w:ascii="Times New Roman" w:hAnsi="Times New Roman"/>
          <w:sz w:val="24"/>
          <w:szCs w:val="24"/>
        </w:rPr>
        <w:t xml:space="preserve">” </w:t>
      </w:r>
    </w:p>
    <w:p w14:paraId="5EA8F298" w14:textId="77777777" w:rsidR="00223208" w:rsidRPr="00B97123" w:rsidRDefault="00223208" w:rsidP="00223208">
      <w:pPr>
        <w:pStyle w:val="BodyText"/>
        <w:numPr>
          <w:ilvl w:val="2"/>
          <w:numId w:val="14"/>
        </w:numPr>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Jurisdiction (by invitation or permission of local DAs) for criminal cases”</w:t>
      </w:r>
      <w:r>
        <w:rPr>
          <w:rFonts w:ascii="Times New Roman" w:hAnsi="Times New Roman"/>
          <w:sz w:val="24"/>
          <w:szCs w:val="24"/>
        </w:rPr>
        <w:t xml:space="preserve"> </w:t>
      </w:r>
    </w:p>
    <w:p w14:paraId="76C54EA6" w14:textId="64ADC61E" w:rsidR="00B97123" w:rsidRDefault="00B97123" w:rsidP="00B97123">
      <w:pPr>
        <w:pStyle w:val="BodyText"/>
        <w:numPr>
          <w:ilvl w:val="0"/>
          <w:numId w:val="14"/>
        </w:numPr>
        <w:rPr>
          <w:rFonts w:ascii="Times New Roman" w:hAnsi="Times New Roman"/>
          <w:b/>
          <w:sz w:val="24"/>
          <w:szCs w:val="24"/>
        </w:rPr>
      </w:pPr>
      <w:r>
        <w:rPr>
          <w:rFonts w:ascii="Times New Roman" w:hAnsi="Times New Roman"/>
          <w:sz w:val="24"/>
          <w:szCs w:val="24"/>
        </w:rPr>
        <w:t>For Question 9, reworded the question to ask respondents about the importance of the resources for handling human trafficking cases rather than whether there were any needs for the resources.</w:t>
      </w:r>
    </w:p>
    <w:p w14:paraId="126F8ECF" w14:textId="77777777" w:rsidR="00223208" w:rsidRDefault="00223208" w:rsidP="00223208">
      <w:pPr>
        <w:pStyle w:val="BodyText"/>
        <w:numPr>
          <w:ilvl w:val="0"/>
          <w:numId w:val="14"/>
        </w:numPr>
        <w:rPr>
          <w:rFonts w:ascii="Times New Roman" w:hAnsi="Times New Roman"/>
          <w:sz w:val="24"/>
          <w:szCs w:val="24"/>
        </w:rPr>
      </w:pPr>
      <w:r>
        <w:rPr>
          <w:rFonts w:ascii="Times New Roman" w:hAnsi="Times New Roman"/>
          <w:sz w:val="24"/>
          <w:szCs w:val="24"/>
        </w:rPr>
        <w:t xml:space="preserve">For Questions 11, 12, 13, 15, 16, and 17, change the words “cases filed” to “cases opened” </w:t>
      </w:r>
    </w:p>
    <w:p w14:paraId="5CC649A7" w14:textId="77777777" w:rsidR="00223208" w:rsidRDefault="00223208" w:rsidP="00223208">
      <w:pPr>
        <w:pStyle w:val="BodyText"/>
        <w:numPr>
          <w:ilvl w:val="0"/>
          <w:numId w:val="15"/>
        </w:numPr>
        <w:rPr>
          <w:rFonts w:ascii="Times New Roman" w:hAnsi="Times New Roman"/>
          <w:sz w:val="24"/>
          <w:szCs w:val="24"/>
        </w:rPr>
      </w:pPr>
      <w:r>
        <w:rPr>
          <w:rFonts w:ascii="Times New Roman" w:hAnsi="Times New Roman"/>
          <w:sz w:val="24"/>
          <w:szCs w:val="24"/>
        </w:rPr>
        <w:t>For Question 19:</w:t>
      </w:r>
    </w:p>
    <w:p w14:paraId="3E047D2F" w14:textId="2D495E07" w:rsidR="00223208" w:rsidRDefault="00223208" w:rsidP="00223208">
      <w:pPr>
        <w:pStyle w:val="BodyText"/>
        <w:numPr>
          <w:ilvl w:val="1"/>
          <w:numId w:val="15"/>
        </w:numPr>
        <w:rPr>
          <w:rFonts w:ascii="Times New Roman" w:hAnsi="Times New Roman"/>
          <w:sz w:val="24"/>
          <w:szCs w:val="24"/>
        </w:rPr>
      </w:pPr>
      <w:r>
        <w:rPr>
          <w:rFonts w:ascii="Times New Roman" w:hAnsi="Times New Roman"/>
          <w:sz w:val="24"/>
          <w:szCs w:val="24"/>
        </w:rPr>
        <w:t>Modify the response category “</w:t>
      </w:r>
      <w:r>
        <w:rPr>
          <w:rFonts w:ascii="Times New Roman" w:hAnsi="Times New Roman"/>
          <w:b/>
          <w:sz w:val="24"/>
          <w:szCs w:val="24"/>
        </w:rPr>
        <w:t>Promoting or compelling prostitution</w:t>
      </w:r>
      <w:r>
        <w:rPr>
          <w:rFonts w:ascii="Times New Roman" w:hAnsi="Times New Roman"/>
          <w:sz w:val="24"/>
          <w:szCs w:val="24"/>
        </w:rPr>
        <w:t>” to “</w:t>
      </w:r>
      <w:r>
        <w:rPr>
          <w:rFonts w:ascii="Times New Roman" w:hAnsi="Times New Roman"/>
          <w:b/>
          <w:sz w:val="24"/>
          <w:szCs w:val="24"/>
        </w:rPr>
        <w:t>Promoting o</w:t>
      </w:r>
      <w:r w:rsidR="00165434">
        <w:rPr>
          <w:rFonts w:ascii="Times New Roman" w:hAnsi="Times New Roman"/>
          <w:b/>
          <w:sz w:val="24"/>
          <w:szCs w:val="24"/>
        </w:rPr>
        <w:t>r</w:t>
      </w:r>
      <w:r>
        <w:rPr>
          <w:rFonts w:ascii="Times New Roman" w:hAnsi="Times New Roman"/>
          <w:b/>
          <w:sz w:val="24"/>
          <w:szCs w:val="24"/>
        </w:rPr>
        <w:t xml:space="preserve"> compelling prostitution/pimping</w:t>
      </w:r>
      <w:r>
        <w:rPr>
          <w:rFonts w:ascii="Times New Roman" w:hAnsi="Times New Roman"/>
          <w:sz w:val="24"/>
          <w:szCs w:val="24"/>
        </w:rPr>
        <w:t>”</w:t>
      </w:r>
    </w:p>
    <w:p w14:paraId="4D435508" w14:textId="77777777" w:rsidR="00223208" w:rsidRDefault="00223208" w:rsidP="00223208">
      <w:pPr>
        <w:pStyle w:val="BodyText"/>
        <w:numPr>
          <w:ilvl w:val="1"/>
          <w:numId w:val="15"/>
        </w:numPr>
        <w:rPr>
          <w:rFonts w:ascii="Times New Roman" w:hAnsi="Times New Roman"/>
          <w:sz w:val="24"/>
          <w:szCs w:val="24"/>
        </w:rPr>
      </w:pPr>
      <w:r>
        <w:rPr>
          <w:rFonts w:ascii="Times New Roman" w:hAnsi="Times New Roman"/>
          <w:sz w:val="24"/>
          <w:szCs w:val="24"/>
        </w:rPr>
        <w:t xml:space="preserve">Add the following two response categories: </w:t>
      </w:r>
    </w:p>
    <w:p w14:paraId="2B21EF65" w14:textId="77777777" w:rsidR="00223208" w:rsidRDefault="00223208" w:rsidP="00223208">
      <w:pPr>
        <w:pStyle w:val="BodyText"/>
        <w:numPr>
          <w:ilvl w:val="2"/>
          <w:numId w:val="15"/>
        </w:numPr>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Conspiracy</w:t>
      </w:r>
      <w:r>
        <w:rPr>
          <w:rFonts w:ascii="Times New Roman" w:hAnsi="Times New Roman"/>
          <w:sz w:val="24"/>
          <w:szCs w:val="24"/>
        </w:rPr>
        <w:t>”</w:t>
      </w:r>
    </w:p>
    <w:p w14:paraId="4FE9C736" w14:textId="77777777" w:rsidR="00223208" w:rsidRDefault="00223208" w:rsidP="00223208">
      <w:pPr>
        <w:pStyle w:val="BodyText"/>
        <w:numPr>
          <w:ilvl w:val="2"/>
          <w:numId w:val="15"/>
        </w:numPr>
        <w:rPr>
          <w:rFonts w:ascii="Times New Roman" w:hAnsi="Times New Roman"/>
          <w:b/>
          <w:sz w:val="24"/>
          <w:szCs w:val="24"/>
        </w:rPr>
      </w:pPr>
      <w:r>
        <w:rPr>
          <w:rFonts w:ascii="Times New Roman" w:hAnsi="Times New Roman"/>
          <w:b/>
          <w:sz w:val="24"/>
          <w:szCs w:val="24"/>
        </w:rPr>
        <w:t xml:space="preserve">“Contributing to the delinquency of a child” </w:t>
      </w:r>
    </w:p>
    <w:p w14:paraId="568C546F" w14:textId="77777777" w:rsidR="00223208" w:rsidRDefault="00223208" w:rsidP="00223208">
      <w:pPr>
        <w:pStyle w:val="BodyText"/>
        <w:numPr>
          <w:ilvl w:val="0"/>
          <w:numId w:val="15"/>
        </w:numPr>
        <w:rPr>
          <w:rFonts w:ascii="Times New Roman" w:hAnsi="Times New Roman"/>
          <w:sz w:val="24"/>
          <w:szCs w:val="24"/>
        </w:rPr>
      </w:pPr>
      <w:r>
        <w:rPr>
          <w:rFonts w:ascii="Times New Roman" w:hAnsi="Times New Roman"/>
          <w:sz w:val="24"/>
          <w:szCs w:val="24"/>
        </w:rPr>
        <w:t xml:space="preserve">Question 21: </w:t>
      </w:r>
    </w:p>
    <w:p w14:paraId="608FFCCA" w14:textId="77777777" w:rsidR="00223208" w:rsidRDefault="00223208" w:rsidP="00223208">
      <w:pPr>
        <w:pStyle w:val="BodyText"/>
        <w:numPr>
          <w:ilvl w:val="1"/>
          <w:numId w:val="15"/>
        </w:numPr>
        <w:rPr>
          <w:rFonts w:ascii="Times New Roman" w:hAnsi="Times New Roman"/>
          <w:sz w:val="24"/>
          <w:szCs w:val="24"/>
        </w:rPr>
      </w:pPr>
      <w:r>
        <w:rPr>
          <w:rFonts w:ascii="Times New Roman" w:hAnsi="Times New Roman"/>
          <w:sz w:val="24"/>
          <w:szCs w:val="24"/>
        </w:rPr>
        <w:t>Change the wording of the question from “</w:t>
      </w:r>
      <w:r>
        <w:rPr>
          <w:rFonts w:ascii="Times New Roman" w:hAnsi="Times New Roman"/>
          <w:b/>
          <w:sz w:val="24"/>
          <w:szCs w:val="24"/>
        </w:rPr>
        <w:t>What services are available through your office for victims of labor and sex trafficking?</w:t>
      </w:r>
      <w:r>
        <w:rPr>
          <w:rFonts w:ascii="Times New Roman" w:hAnsi="Times New Roman"/>
          <w:sz w:val="24"/>
          <w:szCs w:val="24"/>
        </w:rPr>
        <w:t>” to “</w:t>
      </w:r>
      <w:r>
        <w:rPr>
          <w:rFonts w:ascii="Times New Roman" w:hAnsi="Times New Roman"/>
          <w:b/>
          <w:sz w:val="24"/>
          <w:szCs w:val="24"/>
        </w:rPr>
        <w:t xml:space="preserve">What services are available </w:t>
      </w:r>
      <w:r>
        <w:rPr>
          <w:rFonts w:ascii="Times New Roman" w:hAnsi="Times New Roman"/>
          <w:b/>
          <w:sz w:val="24"/>
          <w:szCs w:val="24"/>
          <w:u w:val="single"/>
        </w:rPr>
        <w:t>or can be arranged</w:t>
      </w:r>
      <w:r>
        <w:rPr>
          <w:rFonts w:ascii="Times New Roman" w:hAnsi="Times New Roman"/>
          <w:b/>
          <w:sz w:val="24"/>
          <w:szCs w:val="24"/>
        </w:rPr>
        <w:t xml:space="preserve"> through your office for victims of labor and sex trafficking?</w:t>
      </w:r>
      <w:r>
        <w:rPr>
          <w:rFonts w:ascii="Times New Roman" w:hAnsi="Times New Roman"/>
          <w:sz w:val="24"/>
          <w:szCs w:val="24"/>
        </w:rPr>
        <w:t>”</w:t>
      </w:r>
    </w:p>
    <w:p w14:paraId="0EE1C2C1" w14:textId="77777777" w:rsidR="00223208" w:rsidRDefault="00223208" w:rsidP="00223208">
      <w:pPr>
        <w:pStyle w:val="BodyText"/>
        <w:numPr>
          <w:ilvl w:val="1"/>
          <w:numId w:val="15"/>
        </w:numPr>
        <w:rPr>
          <w:rFonts w:ascii="Times New Roman" w:hAnsi="Times New Roman"/>
          <w:sz w:val="24"/>
          <w:szCs w:val="24"/>
        </w:rPr>
      </w:pPr>
      <w:r>
        <w:rPr>
          <w:rFonts w:ascii="Times New Roman" w:hAnsi="Times New Roman"/>
          <w:sz w:val="24"/>
          <w:szCs w:val="24"/>
        </w:rPr>
        <w:t>Add the response category “</w:t>
      </w:r>
      <w:r>
        <w:rPr>
          <w:rFonts w:ascii="Times New Roman" w:hAnsi="Times New Roman"/>
          <w:b/>
          <w:sz w:val="24"/>
          <w:szCs w:val="24"/>
        </w:rPr>
        <w:t>Drug treatment centers</w:t>
      </w:r>
      <w:r>
        <w:rPr>
          <w:rFonts w:ascii="Times New Roman" w:hAnsi="Times New Roman"/>
          <w:sz w:val="24"/>
          <w:szCs w:val="24"/>
        </w:rPr>
        <w:t>”</w:t>
      </w:r>
    </w:p>
    <w:p w14:paraId="05F912C6" w14:textId="77777777" w:rsidR="00223208" w:rsidRDefault="00223208" w:rsidP="00223208">
      <w:pPr>
        <w:pStyle w:val="BodyText"/>
        <w:numPr>
          <w:ilvl w:val="0"/>
          <w:numId w:val="15"/>
        </w:numPr>
        <w:rPr>
          <w:rFonts w:ascii="Times New Roman" w:hAnsi="Times New Roman"/>
          <w:sz w:val="24"/>
          <w:szCs w:val="24"/>
        </w:rPr>
      </w:pPr>
      <w:r>
        <w:rPr>
          <w:rFonts w:ascii="Times New Roman" w:hAnsi="Times New Roman"/>
          <w:sz w:val="24"/>
          <w:szCs w:val="24"/>
        </w:rPr>
        <w:t xml:space="preserve">Question 22: </w:t>
      </w:r>
    </w:p>
    <w:p w14:paraId="3F51F34C" w14:textId="77777777" w:rsidR="00223208" w:rsidRDefault="00223208" w:rsidP="00223208">
      <w:pPr>
        <w:pStyle w:val="BodyText"/>
        <w:numPr>
          <w:ilvl w:val="1"/>
          <w:numId w:val="15"/>
        </w:numPr>
        <w:rPr>
          <w:rFonts w:ascii="Times New Roman" w:hAnsi="Times New Roman"/>
          <w:sz w:val="24"/>
          <w:szCs w:val="24"/>
        </w:rPr>
      </w:pPr>
      <w:r>
        <w:rPr>
          <w:rFonts w:ascii="Times New Roman" w:hAnsi="Times New Roman"/>
          <w:sz w:val="24"/>
          <w:szCs w:val="24"/>
        </w:rPr>
        <w:t>Modify the response category “</w:t>
      </w:r>
      <w:r>
        <w:rPr>
          <w:rFonts w:ascii="Times New Roman" w:hAnsi="Times New Roman"/>
          <w:b/>
          <w:sz w:val="24"/>
          <w:szCs w:val="24"/>
        </w:rPr>
        <w:t>Businesses (not online)</w:t>
      </w:r>
      <w:r>
        <w:rPr>
          <w:rFonts w:ascii="Times New Roman" w:hAnsi="Times New Roman"/>
          <w:sz w:val="24"/>
          <w:szCs w:val="24"/>
        </w:rPr>
        <w:t>” to “</w:t>
      </w:r>
      <w:r>
        <w:rPr>
          <w:rFonts w:ascii="Times New Roman" w:hAnsi="Times New Roman"/>
          <w:b/>
          <w:sz w:val="24"/>
          <w:szCs w:val="24"/>
        </w:rPr>
        <w:t>Businesses (not online, excludes subcontractors)</w:t>
      </w:r>
      <w:r>
        <w:rPr>
          <w:rFonts w:ascii="Times New Roman" w:hAnsi="Times New Roman"/>
          <w:sz w:val="24"/>
          <w:szCs w:val="24"/>
        </w:rPr>
        <w:t>”</w:t>
      </w:r>
    </w:p>
    <w:p w14:paraId="45EF7B62" w14:textId="77777777" w:rsidR="00223208" w:rsidRDefault="00223208" w:rsidP="00223208">
      <w:pPr>
        <w:pStyle w:val="BodyText"/>
        <w:numPr>
          <w:ilvl w:val="0"/>
          <w:numId w:val="15"/>
        </w:numPr>
        <w:rPr>
          <w:rFonts w:ascii="Times New Roman" w:hAnsi="Times New Roman"/>
          <w:sz w:val="24"/>
          <w:szCs w:val="24"/>
        </w:rPr>
      </w:pPr>
      <w:r>
        <w:rPr>
          <w:rFonts w:ascii="Times New Roman" w:hAnsi="Times New Roman"/>
          <w:sz w:val="24"/>
          <w:szCs w:val="24"/>
        </w:rPr>
        <w:t>Questions 24 and 25:</w:t>
      </w:r>
    </w:p>
    <w:p w14:paraId="0F5D311A" w14:textId="77777777" w:rsidR="00223208" w:rsidRDefault="00223208" w:rsidP="00223208">
      <w:pPr>
        <w:pStyle w:val="BodyText"/>
        <w:numPr>
          <w:ilvl w:val="1"/>
          <w:numId w:val="15"/>
        </w:numPr>
        <w:rPr>
          <w:rFonts w:ascii="Times New Roman" w:hAnsi="Times New Roman"/>
          <w:sz w:val="24"/>
          <w:szCs w:val="24"/>
        </w:rPr>
      </w:pPr>
      <w:r>
        <w:rPr>
          <w:rFonts w:ascii="Times New Roman" w:hAnsi="Times New Roman"/>
          <w:sz w:val="24"/>
          <w:szCs w:val="24"/>
        </w:rPr>
        <w:t>Add the response category “</w:t>
      </w:r>
      <w:r>
        <w:rPr>
          <w:rFonts w:ascii="Times New Roman" w:hAnsi="Times New Roman"/>
          <w:b/>
          <w:sz w:val="24"/>
          <w:szCs w:val="24"/>
        </w:rPr>
        <w:t>Not applicable (no labor trafficking cases were opened)”</w:t>
      </w:r>
    </w:p>
    <w:p w14:paraId="05316567" w14:textId="77777777" w:rsidR="00223208" w:rsidRDefault="00223208" w:rsidP="00223208">
      <w:pPr>
        <w:pStyle w:val="BodyText"/>
        <w:numPr>
          <w:ilvl w:val="0"/>
          <w:numId w:val="15"/>
        </w:numPr>
        <w:rPr>
          <w:rFonts w:ascii="Times New Roman" w:hAnsi="Times New Roman"/>
          <w:sz w:val="24"/>
          <w:szCs w:val="24"/>
        </w:rPr>
      </w:pPr>
      <w:r>
        <w:rPr>
          <w:rFonts w:ascii="Times New Roman" w:hAnsi="Times New Roman"/>
          <w:sz w:val="24"/>
          <w:szCs w:val="24"/>
        </w:rPr>
        <w:t xml:space="preserve">For Questions 27 and 29, modify the response categories as follows: </w:t>
      </w:r>
    </w:p>
    <w:p w14:paraId="530BC150" w14:textId="77777777" w:rsidR="00223208" w:rsidRDefault="00223208" w:rsidP="00223208">
      <w:pPr>
        <w:pStyle w:val="BodyText"/>
        <w:numPr>
          <w:ilvl w:val="1"/>
          <w:numId w:val="15"/>
        </w:numPr>
        <w:rPr>
          <w:rFonts w:ascii="Times New Roman" w:hAnsi="Times New Roman"/>
          <w:sz w:val="24"/>
          <w:szCs w:val="24"/>
        </w:rPr>
      </w:pPr>
      <w:r>
        <w:rPr>
          <w:rFonts w:ascii="Times New Roman" w:hAnsi="Times New Roman"/>
          <w:sz w:val="24"/>
          <w:szCs w:val="24"/>
        </w:rPr>
        <w:t>Change “</w:t>
      </w:r>
      <w:r>
        <w:rPr>
          <w:rFonts w:ascii="Times New Roman" w:hAnsi="Times New Roman"/>
          <w:b/>
          <w:sz w:val="24"/>
          <w:szCs w:val="24"/>
        </w:rPr>
        <w:t>Dismissed</w:t>
      </w:r>
      <w:r>
        <w:rPr>
          <w:rFonts w:ascii="Times New Roman" w:hAnsi="Times New Roman"/>
          <w:sz w:val="24"/>
          <w:szCs w:val="24"/>
        </w:rPr>
        <w:t>” to “</w:t>
      </w:r>
      <w:r>
        <w:rPr>
          <w:rFonts w:ascii="Times New Roman" w:hAnsi="Times New Roman"/>
          <w:b/>
          <w:sz w:val="24"/>
          <w:szCs w:val="24"/>
        </w:rPr>
        <w:t>Case Dismissed</w:t>
      </w:r>
      <w:r>
        <w:rPr>
          <w:rFonts w:ascii="Times New Roman" w:hAnsi="Times New Roman"/>
          <w:sz w:val="24"/>
          <w:szCs w:val="24"/>
        </w:rPr>
        <w:t>”</w:t>
      </w:r>
    </w:p>
    <w:p w14:paraId="0503E9F1" w14:textId="77777777" w:rsidR="00223208" w:rsidRDefault="00223208" w:rsidP="00223208">
      <w:pPr>
        <w:pStyle w:val="BodyText"/>
        <w:numPr>
          <w:ilvl w:val="1"/>
          <w:numId w:val="15"/>
        </w:numPr>
        <w:rPr>
          <w:rFonts w:ascii="Times New Roman" w:hAnsi="Times New Roman"/>
          <w:sz w:val="24"/>
          <w:szCs w:val="24"/>
        </w:rPr>
      </w:pPr>
      <w:r>
        <w:rPr>
          <w:rFonts w:ascii="Times New Roman" w:hAnsi="Times New Roman"/>
          <w:sz w:val="24"/>
          <w:szCs w:val="24"/>
        </w:rPr>
        <w:t>Change “</w:t>
      </w:r>
      <w:r>
        <w:rPr>
          <w:rFonts w:ascii="Times New Roman" w:hAnsi="Times New Roman"/>
          <w:b/>
          <w:sz w:val="24"/>
          <w:szCs w:val="24"/>
        </w:rPr>
        <w:t>Guilty finding</w:t>
      </w:r>
      <w:r>
        <w:rPr>
          <w:rFonts w:ascii="Times New Roman" w:hAnsi="Times New Roman"/>
          <w:sz w:val="24"/>
          <w:szCs w:val="24"/>
        </w:rPr>
        <w:t>” to “</w:t>
      </w:r>
      <w:r>
        <w:rPr>
          <w:rFonts w:ascii="Times New Roman" w:hAnsi="Times New Roman"/>
          <w:b/>
          <w:sz w:val="24"/>
          <w:szCs w:val="24"/>
        </w:rPr>
        <w:t>Guilty finding on any charge</w:t>
      </w:r>
      <w:r>
        <w:rPr>
          <w:rFonts w:ascii="Times New Roman" w:hAnsi="Times New Roman"/>
          <w:sz w:val="24"/>
          <w:szCs w:val="24"/>
        </w:rPr>
        <w:t>”</w:t>
      </w:r>
    </w:p>
    <w:p w14:paraId="62C494C9" w14:textId="60BEDBD8" w:rsidR="00223208" w:rsidRPr="00223208" w:rsidRDefault="00223208" w:rsidP="00223208">
      <w:pPr>
        <w:pStyle w:val="BodyText"/>
        <w:numPr>
          <w:ilvl w:val="1"/>
          <w:numId w:val="15"/>
        </w:numPr>
        <w:rPr>
          <w:rFonts w:ascii="Times New Roman" w:hAnsi="Times New Roman"/>
          <w:sz w:val="24"/>
          <w:szCs w:val="24"/>
        </w:rPr>
      </w:pPr>
      <w:r>
        <w:rPr>
          <w:rFonts w:ascii="Times New Roman" w:hAnsi="Times New Roman"/>
          <w:sz w:val="24"/>
          <w:szCs w:val="24"/>
        </w:rPr>
        <w:t>Change “</w:t>
      </w:r>
      <w:r>
        <w:rPr>
          <w:rFonts w:ascii="Times New Roman" w:hAnsi="Times New Roman"/>
          <w:b/>
          <w:sz w:val="24"/>
          <w:szCs w:val="24"/>
        </w:rPr>
        <w:t>Not</w:t>
      </w:r>
      <w:r>
        <w:rPr>
          <w:rFonts w:ascii="Times New Roman" w:hAnsi="Times New Roman"/>
          <w:sz w:val="24"/>
          <w:szCs w:val="24"/>
        </w:rPr>
        <w:t xml:space="preserve"> </w:t>
      </w:r>
      <w:r>
        <w:rPr>
          <w:rFonts w:ascii="Times New Roman" w:hAnsi="Times New Roman"/>
          <w:b/>
          <w:sz w:val="24"/>
          <w:szCs w:val="24"/>
        </w:rPr>
        <w:t>guilty finding</w:t>
      </w:r>
      <w:r>
        <w:rPr>
          <w:rFonts w:ascii="Times New Roman" w:hAnsi="Times New Roman"/>
          <w:sz w:val="24"/>
          <w:szCs w:val="24"/>
        </w:rPr>
        <w:t>” to “</w:t>
      </w:r>
      <w:r>
        <w:rPr>
          <w:rFonts w:ascii="Times New Roman" w:hAnsi="Times New Roman"/>
          <w:b/>
          <w:sz w:val="24"/>
          <w:szCs w:val="24"/>
        </w:rPr>
        <w:t>Not Guilty finding on all charges</w:t>
      </w:r>
      <w:r>
        <w:rPr>
          <w:rFonts w:ascii="Times New Roman" w:hAnsi="Times New Roman"/>
          <w:sz w:val="24"/>
          <w:szCs w:val="24"/>
        </w:rPr>
        <w:t>”</w:t>
      </w:r>
    </w:p>
    <w:p w14:paraId="2A8CCC26" w14:textId="77777777" w:rsidR="00223208" w:rsidRDefault="00223208" w:rsidP="00223208">
      <w:pPr>
        <w:pStyle w:val="BodyText"/>
        <w:numPr>
          <w:ilvl w:val="0"/>
          <w:numId w:val="15"/>
        </w:numPr>
        <w:rPr>
          <w:rFonts w:ascii="Times New Roman" w:hAnsi="Times New Roman"/>
          <w:sz w:val="24"/>
          <w:szCs w:val="24"/>
        </w:rPr>
      </w:pPr>
      <w:r>
        <w:rPr>
          <w:rFonts w:ascii="Times New Roman" w:hAnsi="Times New Roman"/>
          <w:sz w:val="24"/>
          <w:szCs w:val="24"/>
        </w:rPr>
        <w:t>For Questions 28 and 30, modify the response category “</w:t>
      </w:r>
      <w:r>
        <w:rPr>
          <w:rFonts w:ascii="Times New Roman" w:hAnsi="Times New Roman"/>
          <w:b/>
          <w:sz w:val="24"/>
          <w:szCs w:val="24"/>
        </w:rPr>
        <w:t>Dismissed</w:t>
      </w:r>
      <w:r>
        <w:rPr>
          <w:rFonts w:ascii="Times New Roman" w:hAnsi="Times New Roman"/>
          <w:sz w:val="24"/>
          <w:szCs w:val="24"/>
        </w:rPr>
        <w:t>” to “</w:t>
      </w:r>
      <w:r>
        <w:rPr>
          <w:rFonts w:ascii="Times New Roman" w:hAnsi="Times New Roman"/>
          <w:b/>
          <w:sz w:val="24"/>
          <w:szCs w:val="24"/>
        </w:rPr>
        <w:t>Case Dismissed</w:t>
      </w:r>
      <w:r>
        <w:rPr>
          <w:rFonts w:ascii="Times New Roman" w:hAnsi="Times New Roman"/>
          <w:sz w:val="24"/>
          <w:szCs w:val="24"/>
        </w:rPr>
        <w:t>”</w:t>
      </w:r>
    </w:p>
    <w:p w14:paraId="7EA3BB2F" w14:textId="74C9A4D4" w:rsidR="00B97123" w:rsidRDefault="00B97123" w:rsidP="00223208">
      <w:pPr>
        <w:pStyle w:val="BodyText"/>
        <w:numPr>
          <w:ilvl w:val="0"/>
          <w:numId w:val="15"/>
        </w:numPr>
        <w:rPr>
          <w:rFonts w:ascii="Times New Roman" w:hAnsi="Times New Roman"/>
          <w:sz w:val="24"/>
          <w:szCs w:val="24"/>
        </w:rPr>
      </w:pPr>
      <w:r>
        <w:rPr>
          <w:rFonts w:ascii="Times New Roman" w:hAnsi="Times New Roman"/>
          <w:sz w:val="24"/>
          <w:szCs w:val="24"/>
        </w:rPr>
        <w:t>For Questions 31 and 32, dropped the “</w:t>
      </w:r>
      <w:r>
        <w:rPr>
          <w:rFonts w:ascii="Times New Roman" w:hAnsi="Times New Roman"/>
          <w:b/>
          <w:sz w:val="24"/>
          <w:szCs w:val="24"/>
        </w:rPr>
        <w:t>Top Three</w:t>
      </w:r>
      <w:r>
        <w:rPr>
          <w:rFonts w:ascii="Times New Roman" w:hAnsi="Times New Roman"/>
          <w:sz w:val="24"/>
          <w:szCs w:val="24"/>
        </w:rPr>
        <w:t>” most common outcomes of referrals that were not filed as cases.</w:t>
      </w:r>
    </w:p>
    <w:p w14:paraId="76809236" w14:textId="77777777" w:rsidR="00223208" w:rsidRDefault="00223208" w:rsidP="00223208">
      <w:pPr>
        <w:pStyle w:val="BodyText"/>
        <w:numPr>
          <w:ilvl w:val="0"/>
          <w:numId w:val="15"/>
        </w:numPr>
        <w:rPr>
          <w:rFonts w:ascii="Times New Roman" w:hAnsi="Times New Roman"/>
          <w:sz w:val="24"/>
          <w:szCs w:val="24"/>
        </w:rPr>
      </w:pPr>
      <w:r>
        <w:rPr>
          <w:rFonts w:ascii="Times New Roman" w:hAnsi="Times New Roman"/>
          <w:sz w:val="24"/>
          <w:szCs w:val="24"/>
        </w:rPr>
        <w:t xml:space="preserve">Add the following new, open-ended question (which becomes Question 33), and provide a text box for the response: </w:t>
      </w:r>
    </w:p>
    <w:p w14:paraId="3D761B9A" w14:textId="77777777" w:rsidR="00223208" w:rsidRDefault="00223208" w:rsidP="00223208">
      <w:pPr>
        <w:pStyle w:val="BodyText"/>
        <w:numPr>
          <w:ilvl w:val="1"/>
          <w:numId w:val="15"/>
        </w:numPr>
        <w:rPr>
          <w:b/>
          <w:sz w:val="22"/>
          <w:szCs w:val="22"/>
        </w:rPr>
      </w:pPr>
      <w:r>
        <w:rPr>
          <w:rFonts w:ascii="Times New Roman" w:hAnsi="Times New Roman"/>
          <w:b/>
          <w:sz w:val="24"/>
          <w:szCs w:val="24"/>
        </w:rPr>
        <w:t>33. “What are the biggest challenges to successfully prosecuting human trafficking cases in your jurisdiction</w:t>
      </w:r>
      <w:r>
        <w:rPr>
          <w:b/>
          <w:sz w:val="22"/>
          <w:szCs w:val="22"/>
        </w:rPr>
        <w:t>?"</w:t>
      </w:r>
    </w:p>
    <w:p w14:paraId="6C5460FE" w14:textId="77777777" w:rsidR="00FD0249" w:rsidRDefault="00FD0249" w:rsidP="000A27F4">
      <w:pPr>
        <w:spacing w:after="0" w:line="240" w:lineRule="auto"/>
        <w:rPr>
          <w:rFonts w:ascii="Times New Roman" w:hAnsi="Times New Roman" w:cs="Times New Roman"/>
          <w:sz w:val="24"/>
          <w:szCs w:val="24"/>
        </w:rPr>
      </w:pPr>
    </w:p>
    <w:p w14:paraId="0AAA8FCC" w14:textId="77777777" w:rsidR="000A27F4" w:rsidRPr="00C7202C" w:rsidRDefault="000A27F4" w:rsidP="000A27F4">
      <w:pPr>
        <w:pStyle w:val="ListParagraph"/>
        <w:numPr>
          <w:ilvl w:val="0"/>
          <w:numId w:val="2"/>
        </w:numPr>
        <w:spacing w:after="0" w:line="240" w:lineRule="auto"/>
        <w:contextualSpacing w:val="0"/>
        <w:rPr>
          <w:rFonts w:ascii="Times New Roman" w:hAnsi="Times New Roman" w:cs="Times New Roman"/>
          <w:sz w:val="24"/>
          <w:szCs w:val="24"/>
        </w:rPr>
      </w:pPr>
      <w:r w:rsidRPr="00C7202C">
        <w:rPr>
          <w:rFonts w:ascii="Times New Roman" w:hAnsi="Times New Roman" w:cs="Times New Roman"/>
          <w:sz w:val="24"/>
          <w:szCs w:val="24"/>
          <w:u w:val="single"/>
        </w:rPr>
        <w:t>Consequences of Less Frequent Collection</w:t>
      </w:r>
    </w:p>
    <w:p w14:paraId="4C5B36B6" w14:textId="19DF0A03" w:rsidR="000A27F4" w:rsidRPr="00C7202C" w:rsidRDefault="00D153FF"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The SSAGO-</w:t>
      </w:r>
      <w:r w:rsidR="00FD0249">
        <w:rPr>
          <w:rFonts w:ascii="Times New Roman" w:hAnsi="Times New Roman" w:cs="Times New Roman"/>
          <w:sz w:val="24"/>
          <w:szCs w:val="24"/>
        </w:rPr>
        <w:t>HT</w:t>
      </w:r>
      <w:r>
        <w:rPr>
          <w:rFonts w:ascii="Times New Roman" w:hAnsi="Times New Roman" w:cs="Times New Roman"/>
          <w:sz w:val="24"/>
          <w:szCs w:val="24"/>
        </w:rPr>
        <w:t xml:space="preserve"> is </w:t>
      </w:r>
      <w:r w:rsidR="000A27F4">
        <w:rPr>
          <w:rFonts w:ascii="Times New Roman" w:hAnsi="Times New Roman" w:cs="Times New Roman"/>
          <w:sz w:val="24"/>
          <w:szCs w:val="24"/>
        </w:rPr>
        <w:t xml:space="preserve">BJS’s first attempt to </w:t>
      </w:r>
      <w:r w:rsidR="000A27F4" w:rsidRPr="00C7202C">
        <w:rPr>
          <w:rFonts w:ascii="Times New Roman" w:hAnsi="Times New Roman" w:cs="Times New Roman"/>
          <w:sz w:val="24"/>
          <w:szCs w:val="24"/>
        </w:rPr>
        <w:t xml:space="preserve">gather data on the nature and handling of </w:t>
      </w:r>
      <w:r w:rsidR="00FD0249">
        <w:rPr>
          <w:rFonts w:ascii="Times New Roman" w:hAnsi="Times New Roman" w:cs="Times New Roman"/>
          <w:sz w:val="24"/>
          <w:szCs w:val="24"/>
        </w:rPr>
        <w:t>human trafficking</w:t>
      </w:r>
      <w:r w:rsidR="000A27F4" w:rsidRPr="00C7202C">
        <w:rPr>
          <w:rFonts w:ascii="Times New Roman" w:hAnsi="Times New Roman" w:cs="Times New Roman"/>
          <w:sz w:val="24"/>
          <w:szCs w:val="24"/>
        </w:rPr>
        <w:t xml:space="preserve"> offenses and offenders by state</w:t>
      </w:r>
      <w:r w:rsidR="00952688">
        <w:rPr>
          <w:rFonts w:ascii="Times New Roman" w:hAnsi="Times New Roman" w:cs="Times New Roman"/>
          <w:sz w:val="24"/>
          <w:szCs w:val="24"/>
        </w:rPr>
        <w:t xml:space="preserve"> systems</w:t>
      </w:r>
      <w:r w:rsidR="000A27F4">
        <w:rPr>
          <w:rFonts w:ascii="Times New Roman" w:hAnsi="Times New Roman" w:cs="Times New Roman"/>
          <w:sz w:val="24"/>
          <w:szCs w:val="24"/>
        </w:rPr>
        <w:t>.</w:t>
      </w:r>
      <w:r w:rsidR="00CA5E85">
        <w:rPr>
          <w:rFonts w:ascii="Times New Roman" w:hAnsi="Times New Roman" w:cs="Times New Roman"/>
          <w:sz w:val="24"/>
          <w:szCs w:val="24"/>
        </w:rPr>
        <w:t xml:space="preserve"> Assuming a successful data collection,</w:t>
      </w:r>
      <w:r w:rsidR="000A27F4">
        <w:rPr>
          <w:rFonts w:ascii="Times New Roman" w:hAnsi="Times New Roman" w:cs="Times New Roman"/>
          <w:sz w:val="24"/>
          <w:szCs w:val="24"/>
        </w:rPr>
        <w:t xml:space="preserve"> </w:t>
      </w:r>
      <w:r w:rsidR="00AF155E">
        <w:rPr>
          <w:rFonts w:ascii="Times New Roman" w:hAnsi="Times New Roman" w:cs="Times New Roman"/>
          <w:sz w:val="24"/>
          <w:szCs w:val="24"/>
        </w:rPr>
        <w:t xml:space="preserve">BJS </w:t>
      </w:r>
      <w:r w:rsidR="00CA5E85">
        <w:rPr>
          <w:rFonts w:ascii="Times New Roman" w:hAnsi="Times New Roman" w:cs="Times New Roman"/>
          <w:sz w:val="24"/>
          <w:szCs w:val="24"/>
        </w:rPr>
        <w:t xml:space="preserve">plans to </w:t>
      </w:r>
      <w:r w:rsidR="00AF155E">
        <w:rPr>
          <w:rFonts w:ascii="Times New Roman" w:hAnsi="Times New Roman" w:cs="Times New Roman"/>
          <w:sz w:val="24"/>
          <w:szCs w:val="24"/>
        </w:rPr>
        <w:t>field the SSAGO-</w:t>
      </w:r>
      <w:r w:rsidR="00FD0249">
        <w:rPr>
          <w:rFonts w:ascii="Times New Roman" w:hAnsi="Times New Roman" w:cs="Times New Roman"/>
          <w:sz w:val="24"/>
          <w:szCs w:val="24"/>
        </w:rPr>
        <w:t xml:space="preserve">HT </w:t>
      </w:r>
      <w:r w:rsidR="00DB756C">
        <w:rPr>
          <w:rFonts w:ascii="Times New Roman" w:hAnsi="Times New Roman" w:cs="Times New Roman"/>
          <w:sz w:val="24"/>
          <w:szCs w:val="24"/>
        </w:rPr>
        <w:t xml:space="preserve">on a periodic basis (e.g., every </w:t>
      </w:r>
      <w:r w:rsidR="00D0073B">
        <w:rPr>
          <w:rFonts w:ascii="Times New Roman" w:hAnsi="Times New Roman" w:cs="Times New Roman"/>
          <w:sz w:val="24"/>
          <w:szCs w:val="24"/>
        </w:rPr>
        <w:t>five</w:t>
      </w:r>
      <w:r w:rsidR="00DB756C">
        <w:rPr>
          <w:rFonts w:ascii="Times New Roman" w:hAnsi="Times New Roman" w:cs="Times New Roman"/>
          <w:sz w:val="24"/>
          <w:szCs w:val="24"/>
        </w:rPr>
        <w:t xml:space="preserve"> years)</w:t>
      </w:r>
      <w:r w:rsidR="00AF155E">
        <w:rPr>
          <w:rFonts w:ascii="Times New Roman" w:hAnsi="Times New Roman" w:cs="Times New Roman"/>
          <w:sz w:val="24"/>
          <w:szCs w:val="24"/>
        </w:rPr>
        <w:t xml:space="preserve">, to provide trends in the prosecution of </w:t>
      </w:r>
      <w:r w:rsidR="00FD0249">
        <w:rPr>
          <w:rFonts w:ascii="Times New Roman" w:hAnsi="Times New Roman" w:cs="Times New Roman"/>
          <w:sz w:val="24"/>
          <w:szCs w:val="24"/>
        </w:rPr>
        <w:t xml:space="preserve">human trafficking </w:t>
      </w:r>
      <w:r w:rsidR="00AF155E">
        <w:rPr>
          <w:rFonts w:ascii="Times New Roman" w:hAnsi="Times New Roman" w:cs="Times New Roman"/>
          <w:sz w:val="24"/>
          <w:szCs w:val="24"/>
        </w:rPr>
        <w:t xml:space="preserve">over time. </w:t>
      </w:r>
    </w:p>
    <w:p w14:paraId="624EC765" w14:textId="77777777" w:rsidR="000A27F4" w:rsidRPr="00E50184" w:rsidRDefault="000A27F4" w:rsidP="000A27F4">
      <w:pPr>
        <w:spacing w:after="0" w:line="240" w:lineRule="auto"/>
        <w:rPr>
          <w:rFonts w:ascii="Times New Roman" w:hAnsi="Times New Roman" w:cs="Times New Roman"/>
          <w:sz w:val="24"/>
          <w:szCs w:val="24"/>
          <w:highlight w:val="yellow"/>
        </w:rPr>
      </w:pPr>
    </w:p>
    <w:p w14:paraId="03446162" w14:textId="77777777" w:rsidR="000A27F4" w:rsidRPr="00C7202C" w:rsidRDefault="000A27F4" w:rsidP="000A27F4">
      <w:pPr>
        <w:pStyle w:val="ListParagraph"/>
        <w:numPr>
          <w:ilvl w:val="0"/>
          <w:numId w:val="2"/>
        </w:numPr>
        <w:spacing w:after="0" w:line="240" w:lineRule="auto"/>
        <w:contextualSpacing w:val="0"/>
        <w:rPr>
          <w:rFonts w:ascii="Times New Roman" w:hAnsi="Times New Roman" w:cs="Times New Roman"/>
          <w:sz w:val="24"/>
          <w:szCs w:val="24"/>
        </w:rPr>
      </w:pPr>
      <w:r w:rsidRPr="00C7202C">
        <w:rPr>
          <w:rFonts w:ascii="Times New Roman" w:hAnsi="Times New Roman" w:cs="Times New Roman"/>
          <w:sz w:val="24"/>
          <w:szCs w:val="24"/>
          <w:u w:val="single"/>
        </w:rPr>
        <w:t>Special Circumstances</w:t>
      </w:r>
    </w:p>
    <w:p w14:paraId="7158B175" w14:textId="77777777" w:rsidR="000A27F4" w:rsidRPr="00C7202C" w:rsidRDefault="000A27F4" w:rsidP="000A27F4">
      <w:pPr>
        <w:spacing w:after="0" w:line="240" w:lineRule="auto"/>
        <w:rPr>
          <w:rFonts w:ascii="Times New Roman" w:hAnsi="Times New Roman" w:cs="Times New Roman"/>
          <w:sz w:val="24"/>
          <w:szCs w:val="24"/>
        </w:rPr>
      </w:pPr>
      <w:r w:rsidRPr="00C7202C">
        <w:rPr>
          <w:rFonts w:ascii="Times New Roman" w:hAnsi="Times New Roman" w:cs="Times New Roman"/>
          <w:sz w:val="24"/>
          <w:szCs w:val="24"/>
        </w:rPr>
        <w:t xml:space="preserve">No special circumstances have been identified for this project.  </w:t>
      </w:r>
    </w:p>
    <w:p w14:paraId="729CD2EF" w14:textId="77777777" w:rsidR="000A27F4" w:rsidRPr="00E50184" w:rsidRDefault="000A27F4" w:rsidP="000A27F4">
      <w:pPr>
        <w:spacing w:after="0" w:line="240" w:lineRule="auto"/>
        <w:rPr>
          <w:rFonts w:ascii="Times New Roman" w:hAnsi="Times New Roman" w:cs="Times New Roman"/>
          <w:sz w:val="24"/>
          <w:szCs w:val="24"/>
          <w:highlight w:val="yellow"/>
        </w:rPr>
      </w:pPr>
    </w:p>
    <w:p w14:paraId="05550E4B" w14:textId="77777777" w:rsidR="000A27F4" w:rsidRPr="00081BF4" w:rsidRDefault="000A27F4" w:rsidP="000A27F4">
      <w:pPr>
        <w:pStyle w:val="ListParagraph"/>
        <w:numPr>
          <w:ilvl w:val="0"/>
          <w:numId w:val="2"/>
        </w:numPr>
        <w:spacing w:after="0" w:line="240" w:lineRule="auto"/>
        <w:contextualSpacing w:val="0"/>
        <w:rPr>
          <w:rFonts w:ascii="Times New Roman" w:hAnsi="Times New Roman" w:cs="Times New Roman"/>
          <w:sz w:val="24"/>
          <w:szCs w:val="24"/>
        </w:rPr>
      </w:pPr>
      <w:r w:rsidRPr="00081BF4">
        <w:rPr>
          <w:rFonts w:ascii="Times New Roman" w:hAnsi="Times New Roman" w:cs="Times New Roman"/>
          <w:sz w:val="24"/>
          <w:szCs w:val="24"/>
          <w:u w:val="single"/>
        </w:rPr>
        <w:t>Adherence to 5 CFR 1320.8(d) and Outside Consultations</w:t>
      </w:r>
    </w:p>
    <w:p w14:paraId="2B120347" w14:textId="1C8FD53B" w:rsidR="001035D0" w:rsidRPr="001035D0" w:rsidRDefault="001035D0" w:rsidP="001035D0">
      <w:pPr>
        <w:spacing w:after="0" w:line="240" w:lineRule="auto"/>
        <w:rPr>
          <w:rFonts w:ascii="Times New Roman" w:hAnsi="Times New Roman" w:cs="Times New Roman"/>
          <w:sz w:val="24"/>
          <w:szCs w:val="24"/>
        </w:rPr>
      </w:pPr>
      <w:r w:rsidRPr="001035D0">
        <w:rPr>
          <w:rFonts w:ascii="Times New Roman" w:hAnsi="Times New Roman" w:cs="Times New Roman"/>
          <w:sz w:val="24"/>
          <w:szCs w:val="24"/>
        </w:rPr>
        <w:t>In the design and development phase of the SSAGO-</w:t>
      </w:r>
      <w:r w:rsidR="00353577">
        <w:rPr>
          <w:rFonts w:ascii="Times New Roman" w:hAnsi="Times New Roman" w:cs="Times New Roman"/>
          <w:sz w:val="24"/>
          <w:szCs w:val="24"/>
        </w:rPr>
        <w:t>HT</w:t>
      </w:r>
      <w:r w:rsidR="000F5EE5">
        <w:rPr>
          <w:rFonts w:ascii="Times New Roman" w:hAnsi="Times New Roman" w:cs="Times New Roman"/>
          <w:sz w:val="24"/>
          <w:szCs w:val="24"/>
        </w:rPr>
        <w:t xml:space="preserve"> </w:t>
      </w:r>
      <w:r w:rsidRPr="001035D0">
        <w:rPr>
          <w:rFonts w:ascii="Times New Roman" w:hAnsi="Times New Roman" w:cs="Times New Roman"/>
          <w:sz w:val="24"/>
          <w:szCs w:val="24"/>
        </w:rPr>
        <w:t xml:space="preserve">project, BJS and The Urban Institute consulted with substantive experts and prosecutors, including state deputy attorneys general, and academic researchers. These discussions resulted in a consensus on how to define </w:t>
      </w:r>
      <w:r w:rsidR="00ED3F3E">
        <w:rPr>
          <w:rFonts w:ascii="Times New Roman" w:hAnsi="Times New Roman" w:cs="Times New Roman"/>
          <w:sz w:val="24"/>
          <w:szCs w:val="24"/>
        </w:rPr>
        <w:t>human trafficking</w:t>
      </w:r>
      <w:r w:rsidRPr="001035D0">
        <w:rPr>
          <w:rFonts w:ascii="Times New Roman" w:hAnsi="Times New Roman" w:cs="Times New Roman"/>
          <w:sz w:val="24"/>
          <w:szCs w:val="24"/>
        </w:rPr>
        <w:t>, what questions are important to state officials, researchers</w:t>
      </w:r>
      <w:r w:rsidR="00D0073B">
        <w:rPr>
          <w:rFonts w:ascii="Times New Roman" w:hAnsi="Times New Roman" w:cs="Times New Roman"/>
          <w:sz w:val="24"/>
          <w:szCs w:val="24"/>
        </w:rPr>
        <w:t>,</w:t>
      </w:r>
      <w:r w:rsidRPr="001035D0">
        <w:rPr>
          <w:rFonts w:ascii="Times New Roman" w:hAnsi="Times New Roman" w:cs="Times New Roman"/>
          <w:sz w:val="24"/>
          <w:szCs w:val="24"/>
        </w:rPr>
        <w:t xml:space="preserve"> and BJS, and the language and terminology that </w:t>
      </w:r>
      <w:r w:rsidR="00CA5E85">
        <w:rPr>
          <w:rFonts w:ascii="Times New Roman" w:hAnsi="Times New Roman" w:cs="Times New Roman"/>
          <w:sz w:val="24"/>
          <w:szCs w:val="24"/>
        </w:rPr>
        <w:t>could</w:t>
      </w:r>
      <w:r w:rsidR="00CA5E85" w:rsidRPr="001035D0">
        <w:rPr>
          <w:rFonts w:ascii="Times New Roman" w:hAnsi="Times New Roman" w:cs="Times New Roman"/>
          <w:sz w:val="24"/>
          <w:szCs w:val="24"/>
        </w:rPr>
        <w:t xml:space="preserve"> </w:t>
      </w:r>
      <w:r w:rsidRPr="001035D0">
        <w:rPr>
          <w:rFonts w:ascii="Times New Roman" w:hAnsi="Times New Roman" w:cs="Times New Roman"/>
          <w:sz w:val="24"/>
          <w:szCs w:val="24"/>
        </w:rPr>
        <w:t xml:space="preserve">be understood by respondents.  </w:t>
      </w:r>
    </w:p>
    <w:p w14:paraId="6D147ED3" w14:textId="77777777" w:rsidR="001035D0" w:rsidRPr="001035D0" w:rsidRDefault="001035D0" w:rsidP="001035D0">
      <w:pPr>
        <w:pStyle w:val="ListParagraph"/>
        <w:spacing w:after="0" w:line="240" w:lineRule="auto"/>
        <w:ind w:left="360"/>
        <w:rPr>
          <w:rFonts w:ascii="Times New Roman" w:hAnsi="Times New Roman" w:cs="Times New Roman"/>
          <w:sz w:val="24"/>
          <w:szCs w:val="24"/>
        </w:rPr>
      </w:pPr>
    </w:p>
    <w:p w14:paraId="46526228" w14:textId="77777777" w:rsidR="001035D0" w:rsidRPr="001035D0" w:rsidRDefault="001035D0" w:rsidP="001035D0">
      <w:pPr>
        <w:spacing w:after="0" w:line="240" w:lineRule="auto"/>
        <w:rPr>
          <w:rFonts w:ascii="Times New Roman" w:hAnsi="Times New Roman" w:cs="Times New Roman"/>
          <w:sz w:val="24"/>
          <w:szCs w:val="24"/>
        </w:rPr>
      </w:pPr>
      <w:r w:rsidRPr="001035D0">
        <w:rPr>
          <w:rFonts w:ascii="Times New Roman" w:hAnsi="Times New Roman" w:cs="Times New Roman"/>
          <w:sz w:val="24"/>
          <w:szCs w:val="24"/>
        </w:rPr>
        <w:t xml:space="preserve">The following individuals provided valuable information and comments on the content and design of the data collection instrument –  </w:t>
      </w:r>
    </w:p>
    <w:p w14:paraId="618C7BF6" w14:textId="77777777" w:rsidR="001035D0" w:rsidRPr="001035D0" w:rsidRDefault="001035D0" w:rsidP="001035D0">
      <w:pPr>
        <w:pStyle w:val="ListParagraph"/>
        <w:spacing w:after="0" w:line="240" w:lineRule="auto"/>
        <w:ind w:left="360"/>
        <w:rPr>
          <w:rFonts w:ascii="Times New Roman" w:hAnsi="Times New Roman" w:cs="Times New Roman"/>
          <w:sz w:val="24"/>
          <w:szCs w:val="24"/>
        </w:rPr>
      </w:pPr>
    </w:p>
    <w:tbl>
      <w:tblPr>
        <w:tblStyle w:val="GridTableLight"/>
        <w:tblW w:w="0" w:type="auto"/>
        <w:tblLook w:val="04A0" w:firstRow="1" w:lastRow="0" w:firstColumn="1" w:lastColumn="0" w:noHBand="0" w:noVBand="1"/>
      </w:tblPr>
      <w:tblGrid>
        <w:gridCol w:w="4675"/>
        <w:gridCol w:w="4675"/>
      </w:tblGrid>
      <w:tr w:rsidR="00537141" w14:paraId="70A06E77" w14:textId="77777777" w:rsidTr="00681E5B">
        <w:tc>
          <w:tcPr>
            <w:tcW w:w="9350" w:type="dxa"/>
            <w:gridSpan w:val="2"/>
          </w:tcPr>
          <w:p w14:paraId="657C67A1" w14:textId="77777777" w:rsidR="00537141" w:rsidRDefault="00537141" w:rsidP="00537141">
            <w:pPr>
              <w:spacing w:after="0" w:line="240" w:lineRule="auto"/>
              <w:jc w:val="center"/>
              <w:rPr>
                <w:rFonts w:ascii="Times New Roman" w:hAnsi="Times New Roman" w:cs="Times New Roman"/>
                <w:snapToGrid w:val="0"/>
                <w:sz w:val="24"/>
                <w:szCs w:val="24"/>
              </w:rPr>
            </w:pPr>
            <w:r w:rsidRPr="00DB756C">
              <w:rPr>
                <w:rFonts w:ascii="Times New Roman" w:hAnsi="Times New Roman" w:cs="Times New Roman"/>
                <w:b/>
                <w:snapToGrid w:val="0"/>
                <w:sz w:val="24"/>
                <w:szCs w:val="24"/>
              </w:rPr>
              <w:t>Consultants:</w:t>
            </w:r>
          </w:p>
        </w:tc>
      </w:tr>
      <w:tr w:rsidR="00E51C43" w14:paraId="16E5943A" w14:textId="77777777" w:rsidTr="00042690">
        <w:tc>
          <w:tcPr>
            <w:tcW w:w="4675" w:type="dxa"/>
          </w:tcPr>
          <w:p w14:paraId="55BAC969" w14:textId="77777777" w:rsidR="00537141" w:rsidRDefault="00537141" w:rsidP="00537141">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Dr. Meredith Dank</w:t>
            </w:r>
          </w:p>
          <w:p w14:paraId="79CD967C" w14:textId="77777777" w:rsidR="00537141" w:rsidRDefault="00537141" w:rsidP="00537141">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Research Professor</w:t>
            </w:r>
          </w:p>
          <w:p w14:paraId="5F130EFA" w14:textId="77777777" w:rsidR="00E51C43" w:rsidRDefault="00537141" w:rsidP="00537141">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John Jay College of Criminal Justice</w:t>
            </w:r>
          </w:p>
        </w:tc>
        <w:tc>
          <w:tcPr>
            <w:tcW w:w="4675" w:type="dxa"/>
          </w:tcPr>
          <w:p w14:paraId="79327771" w14:textId="77777777" w:rsidR="00E51C43" w:rsidRDefault="00537141" w:rsidP="00DB756C">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Ms. Colleen Owens</w:t>
            </w:r>
          </w:p>
          <w:p w14:paraId="201D161A" w14:textId="6B4C62B3" w:rsidR="00537141" w:rsidRDefault="00223208" w:rsidP="00DB756C">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Founder and CEO of The Why: Expert Consultant on Human Trafficking Research</w:t>
            </w:r>
          </w:p>
        </w:tc>
      </w:tr>
      <w:tr w:rsidR="00DB756C" w14:paraId="7E7DA2FF" w14:textId="77777777" w:rsidTr="00042690">
        <w:tc>
          <w:tcPr>
            <w:tcW w:w="4675" w:type="dxa"/>
          </w:tcPr>
          <w:p w14:paraId="00743211" w14:textId="77777777" w:rsidR="00537141" w:rsidRPr="00E22FF1" w:rsidRDefault="00537141" w:rsidP="00537141">
            <w:pPr>
              <w:spacing w:after="0" w:line="240" w:lineRule="auto"/>
              <w:rPr>
                <w:rFonts w:ascii="Times New Roman" w:hAnsi="Times New Roman" w:cs="Times New Roman"/>
                <w:snapToGrid w:val="0"/>
                <w:sz w:val="24"/>
                <w:szCs w:val="24"/>
              </w:rPr>
            </w:pPr>
            <w:r w:rsidRPr="00E22FF1">
              <w:rPr>
                <w:rFonts w:ascii="Times New Roman" w:hAnsi="Times New Roman" w:cs="Times New Roman"/>
                <w:snapToGrid w:val="0"/>
                <w:sz w:val="24"/>
                <w:szCs w:val="24"/>
              </w:rPr>
              <w:t>Cindy Lott</w:t>
            </w:r>
          </w:p>
          <w:p w14:paraId="04B1641C" w14:textId="77777777" w:rsidR="00537141" w:rsidRPr="00E22FF1" w:rsidRDefault="00537141" w:rsidP="00537141">
            <w:pPr>
              <w:spacing w:after="0" w:line="240" w:lineRule="auto"/>
              <w:rPr>
                <w:rFonts w:ascii="Times New Roman" w:hAnsi="Times New Roman" w:cs="Times New Roman"/>
                <w:snapToGrid w:val="0"/>
                <w:sz w:val="24"/>
                <w:szCs w:val="24"/>
              </w:rPr>
            </w:pPr>
            <w:r w:rsidRPr="00E22FF1">
              <w:rPr>
                <w:rFonts w:ascii="Times New Roman" w:hAnsi="Times New Roman" w:cs="Times New Roman"/>
                <w:snapToGrid w:val="0"/>
                <w:sz w:val="24"/>
                <w:szCs w:val="24"/>
              </w:rPr>
              <w:t>Columbia Law School</w:t>
            </w:r>
          </w:p>
          <w:p w14:paraId="245A46EA" w14:textId="6C065C77" w:rsidR="00537141" w:rsidRDefault="00537141" w:rsidP="00537141">
            <w:pPr>
              <w:spacing w:after="0" w:line="240" w:lineRule="auto"/>
              <w:rPr>
                <w:rFonts w:ascii="Times New Roman" w:hAnsi="Times New Roman" w:cs="Times New Roman"/>
                <w:snapToGrid w:val="0"/>
                <w:sz w:val="24"/>
                <w:szCs w:val="24"/>
              </w:rPr>
            </w:pPr>
            <w:r w:rsidRPr="00E22FF1">
              <w:rPr>
                <w:rFonts w:ascii="Times New Roman" w:hAnsi="Times New Roman" w:cs="Times New Roman"/>
                <w:snapToGrid w:val="0"/>
                <w:sz w:val="24"/>
                <w:szCs w:val="24"/>
              </w:rPr>
              <w:t>Executive Director and Senior Counsel National State Attorneys General Program</w:t>
            </w:r>
          </w:p>
        </w:tc>
        <w:tc>
          <w:tcPr>
            <w:tcW w:w="4675" w:type="dxa"/>
          </w:tcPr>
          <w:p w14:paraId="365F3B95" w14:textId="77777777" w:rsidR="00DB756C" w:rsidRDefault="00DB756C" w:rsidP="00537141">
            <w:pPr>
              <w:spacing w:after="0" w:line="240" w:lineRule="auto"/>
              <w:rPr>
                <w:rFonts w:ascii="Times New Roman" w:hAnsi="Times New Roman" w:cs="Times New Roman"/>
                <w:snapToGrid w:val="0"/>
                <w:sz w:val="24"/>
                <w:szCs w:val="24"/>
              </w:rPr>
            </w:pPr>
          </w:p>
        </w:tc>
      </w:tr>
      <w:tr w:rsidR="00537141" w14:paraId="0582BFDC" w14:textId="77777777" w:rsidTr="00681E5B">
        <w:trPr>
          <w:trHeight w:val="377"/>
        </w:trPr>
        <w:tc>
          <w:tcPr>
            <w:tcW w:w="9350" w:type="dxa"/>
            <w:gridSpan w:val="2"/>
          </w:tcPr>
          <w:p w14:paraId="34E30D52" w14:textId="77777777" w:rsidR="00537141" w:rsidRDefault="00537141" w:rsidP="00537141">
            <w:pPr>
              <w:spacing w:after="0" w:line="240" w:lineRule="auto"/>
              <w:jc w:val="center"/>
              <w:rPr>
                <w:rFonts w:ascii="Times New Roman" w:hAnsi="Times New Roman" w:cs="Times New Roman"/>
                <w:snapToGrid w:val="0"/>
                <w:sz w:val="24"/>
                <w:szCs w:val="24"/>
              </w:rPr>
            </w:pPr>
            <w:r w:rsidRPr="00DB756C">
              <w:rPr>
                <w:rFonts w:ascii="Times New Roman" w:hAnsi="Times New Roman" w:cs="Times New Roman"/>
                <w:b/>
                <w:snapToGrid w:val="0"/>
                <w:sz w:val="24"/>
                <w:szCs w:val="24"/>
              </w:rPr>
              <w:t>Deputy state attorneys general</w:t>
            </w:r>
            <w:r>
              <w:rPr>
                <w:rFonts w:ascii="Times New Roman" w:hAnsi="Times New Roman" w:cs="Times New Roman"/>
                <w:b/>
                <w:snapToGrid w:val="0"/>
                <w:sz w:val="24"/>
                <w:szCs w:val="24"/>
              </w:rPr>
              <w:t>:</w:t>
            </w:r>
          </w:p>
        </w:tc>
      </w:tr>
      <w:tr w:rsidR="006773B4" w14:paraId="771FAB4F" w14:textId="77777777" w:rsidTr="00042690">
        <w:tc>
          <w:tcPr>
            <w:tcW w:w="4675" w:type="dxa"/>
          </w:tcPr>
          <w:p w14:paraId="04070FD3" w14:textId="77777777" w:rsidR="006773B4" w:rsidRDefault="00537141" w:rsidP="006773B4">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Janet Drake</w:t>
            </w:r>
          </w:p>
          <w:p w14:paraId="1DF6CE46" w14:textId="77777777" w:rsidR="00537141" w:rsidRDefault="00537141" w:rsidP="006773B4">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Senior Assistant Attorney General</w:t>
            </w:r>
          </w:p>
          <w:p w14:paraId="205404E2" w14:textId="77777777" w:rsidR="00537141" w:rsidRDefault="00537141" w:rsidP="006773B4">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Special Prosecutions Unit</w:t>
            </w:r>
          </w:p>
          <w:p w14:paraId="524C2772" w14:textId="77777777" w:rsidR="00537141" w:rsidRDefault="00537141" w:rsidP="006773B4">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Office of the Colorado Attorney General</w:t>
            </w:r>
          </w:p>
        </w:tc>
        <w:tc>
          <w:tcPr>
            <w:tcW w:w="4675" w:type="dxa"/>
          </w:tcPr>
          <w:p w14:paraId="4E9215FB" w14:textId="73C88916" w:rsidR="006773B4" w:rsidRDefault="00033A8D" w:rsidP="006773B4">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Melissa Holman</w:t>
            </w:r>
          </w:p>
          <w:p w14:paraId="52B95030" w14:textId="77777777" w:rsidR="00033A8D" w:rsidRDefault="00033A8D" w:rsidP="006773B4">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Assistant Attorney General</w:t>
            </w:r>
          </w:p>
          <w:p w14:paraId="556228A8" w14:textId="20FA5315" w:rsidR="00537141" w:rsidRDefault="00537141" w:rsidP="006773B4">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Human Trafficking and Transnational/Organized Crime Unit</w:t>
            </w:r>
          </w:p>
          <w:p w14:paraId="31BE9324" w14:textId="77777777" w:rsidR="00537141" w:rsidRDefault="00537141" w:rsidP="006773B4">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Office of the Texas Attorney General</w:t>
            </w:r>
          </w:p>
        </w:tc>
      </w:tr>
      <w:tr w:rsidR="006773B4" w14:paraId="297176F6" w14:textId="77777777" w:rsidTr="00042690">
        <w:tc>
          <w:tcPr>
            <w:tcW w:w="4675" w:type="dxa"/>
          </w:tcPr>
          <w:p w14:paraId="14FBF0BC" w14:textId="2A461F19" w:rsidR="006773B4" w:rsidRDefault="00537141" w:rsidP="006773B4">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Elizabeth Embry</w:t>
            </w:r>
          </w:p>
          <w:p w14:paraId="204F19AA" w14:textId="77777777" w:rsidR="00537141" w:rsidRDefault="00537141" w:rsidP="006773B4">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Chief of the Criminal Division</w:t>
            </w:r>
          </w:p>
          <w:p w14:paraId="15985F89" w14:textId="77777777" w:rsidR="00537141" w:rsidRDefault="00537141" w:rsidP="006773B4">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Office of the Maryland Attorney General</w:t>
            </w:r>
          </w:p>
        </w:tc>
        <w:tc>
          <w:tcPr>
            <w:tcW w:w="4675" w:type="dxa"/>
          </w:tcPr>
          <w:p w14:paraId="1195B6E8" w14:textId="72B3CB2D" w:rsidR="006773B4" w:rsidRDefault="00033A8D" w:rsidP="006773B4">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Mallory Myers</w:t>
            </w:r>
          </w:p>
          <w:p w14:paraId="4ED230D5" w14:textId="77777777" w:rsidR="00033A8D" w:rsidRDefault="00033A8D" w:rsidP="00033A8D">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Assistant Attorney General</w:t>
            </w:r>
          </w:p>
          <w:p w14:paraId="70A844BA" w14:textId="77777777" w:rsidR="00033A8D" w:rsidRDefault="00033A8D" w:rsidP="00033A8D">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Human Trafficking and Transnational/Organized Crime Unit</w:t>
            </w:r>
          </w:p>
          <w:p w14:paraId="26E7E60E" w14:textId="77777777" w:rsidR="00537141" w:rsidRDefault="00537141" w:rsidP="006773B4">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Office of the Texas Attorney General</w:t>
            </w:r>
          </w:p>
        </w:tc>
      </w:tr>
      <w:tr w:rsidR="006773B4" w14:paraId="48CCD60B" w14:textId="77777777" w:rsidTr="00042690">
        <w:tc>
          <w:tcPr>
            <w:tcW w:w="4675" w:type="dxa"/>
          </w:tcPr>
          <w:p w14:paraId="00ED86F9" w14:textId="77777777" w:rsidR="006773B4" w:rsidRDefault="00537141" w:rsidP="006773B4">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Beth Keely</w:t>
            </w:r>
          </w:p>
          <w:p w14:paraId="335FBC80" w14:textId="77777777" w:rsidR="00537141" w:rsidRDefault="00537141" w:rsidP="006773B4">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Chief of the Human Trafficking Division</w:t>
            </w:r>
          </w:p>
          <w:p w14:paraId="7ACF3D42" w14:textId="77777777" w:rsidR="00537141" w:rsidRDefault="00537141" w:rsidP="006773B4">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Office of the Massachusetts Attorney General</w:t>
            </w:r>
          </w:p>
        </w:tc>
        <w:tc>
          <w:tcPr>
            <w:tcW w:w="4675" w:type="dxa"/>
          </w:tcPr>
          <w:p w14:paraId="6C735759" w14:textId="77777777" w:rsidR="006773B4" w:rsidRDefault="00223208" w:rsidP="006773B4">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Kirsta Melton</w:t>
            </w:r>
          </w:p>
          <w:p w14:paraId="11D0F713" w14:textId="77777777" w:rsidR="00223208" w:rsidRDefault="00223208" w:rsidP="006773B4">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Deputy Criminal Chief</w:t>
            </w:r>
          </w:p>
          <w:p w14:paraId="14371DC3" w14:textId="77777777" w:rsidR="00223208" w:rsidRDefault="00223208" w:rsidP="00223208">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Human Trafficking and Transnational/Organized Crime Unit</w:t>
            </w:r>
          </w:p>
          <w:p w14:paraId="7B6E129C" w14:textId="68D60A62" w:rsidR="00223208" w:rsidRDefault="00223208" w:rsidP="00223208">
            <w:pPr>
              <w:spacing w:after="0" w:line="240" w:lineRule="auto"/>
              <w:rPr>
                <w:rFonts w:ascii="Times New Roman" w:hAnsi="Times New Roman" w:cs="Times New Roman"/>
                <w:snapToGrid w:val="0"/>
                <w:sz w:val="24"/>
                <w:szCs w:val="24"/>
              </w:rPr>
            </w:pPr>
            <w:r>
              <w:rPr>
                <w:rFonts w:ascii="Times New Roman" w:hAnsi="Times New Roman" w:cs="Times New Roman"/>
                <w:snapToGrid w:val="0"/>
                <w:sz w:val="24"/>
                <w:szCs w:val="24"/>
              </w:rPr>
              <w:t>Office of the Texas Attorney General</w:t>
            </w:r>
          </w:p>
        </w:tc>
      </w:tr>
    </w:tbl>
    <w:p w14:paraId="753C4912" w14:textId="18A3444F" w:rsidR="001035D0" w:rsidRPr="001035D0" w:rsidRDefault="001035D0" w:rsidP="001035D0">
      <w:pPr>
        <w:pStyle w:val="ListParagraph"/>
        <w:numPr>
          <w:ilvl w:val="0"/>
          <w:numId w:val="2"/>
        </w:numPr>
        <w:spacing w:after="0" w:line="240" w:lineRule="auto"/>
        <w:rPr>
          <w:rFonts w:ascii="Times New Roman" w:hAnsi="Times New Roman" w:cs="Times New Roman"/>
          <w:sz w:val="24"/>
          <w:szCs w:val="24"/>
          <w:highlight w:val="yellow"/>
        </w:rPr>
        <w:sectPr w:rsidR="001035D0" w:rsidRPr="001035D0" w:rsidSect="0043271D">
          <w:headerReference w:type="default" r:id="rId12"/>
          <w:footerReference w:type="default" r:id="rId13"/>
          <w:type w:val="continuous"/>
          <w:pgSz w:w="12240" w:h="15840"/>
          <w:pgMar w:top="1440" w:right="1440" w:bottom="1440" w:left="1440" w:header="720" w:footer="720" w:gutter="0"/>
          <w:cols w:space="720"/>
          <w:docGrid w:linePitch="360"/>
        </w:sectPr>
      </w:pPr>
    </w:p>
    <w:p w14:paraId="4F332A35" w14:textId="454BB2C7" w:rsidR="00A92D11" w:rsidRDefault="000A27F4" w:rsidP="00D0083B">
      <w:pPr>
        <w:autoSpaceDE w:val="0"/>
        <w:autoSpaceDN w:val="0"/>
        <w:adjustRightInd w:val="0"/>
        <w:spacing w:after="0" w:line="240" w:lineRule="auto"/>
        <w:rPr>
          <w:rFonts w:ascii="Times New Roman" w:hAnsi="Times New Roman" w:cs="Times New Roman"/>
          <w:sz w:val="24"/>
          <w:szCs w:val="24"/>
        </w:rPr>
      </w:pPr>
      <w:r w:rsidRPr="00081BF4">
        <w:rPr>
          <w:rFonts w:ascii="Times New Roman" w:hAnsi="Times New Roman" w:cs="Times New Roman"/>
          <w:sz w:val="24"/>
          <w:szCs w:val="24"/>
        </w:rPr>
        <w:t xml:space="preserve">The research under this clearance is consistent with the guidelines in 5 CFR 1320.6. </w:t>
      </w:r>
      <w:r w:rsidRPr="00544417">
        <w:rPr>
          <w:rFonts w:ascii="Times New Roman" w:hAnsi="Times New Roman" w:cs="Times New Roman"/>
          <w:sz w:val="24"/>
          <w:szCs w:val="24"/>
        </w:rPr>
        <w:t xml:space="preserve">The </w:t>
      </w:r>
      <w:r w:rsidR="00FF6C5F" w:rsidRPr="008C6C7E">
        <w:rPr>
          <w:rFonts w:ascii="Times New Roman" w:hAnsi="Times New Roman" w:cs="Times New Roman"/>
          <w:sz w:val="24"/>
          <w:szCs w:val="24"/>
        </w:rPr>
        <w:t xml:space="preserve">first </w:t>
      </w:r>
      <w:r w:rsidRPr="008C6C7E">
        <w:rPr>
          <w:rFonts w:ascii="Times New Roman" w:hAnsi="Times New Roman" w:cs="Times New Roman"/>
          <w:sz w:val="24"/>
          <w:szCs w:val="24"/>
        </w:rPr>
        <w:t xml:space="preserve">60-day notice for public commentary was published in the Federal Register, Volume </w:t>
      </w:r>
      <w:r w:rsidR="008C6C7E">
        <w:rPr>
          <w:rFonts w:ascii="Times New Roman" w:hAnsi="Times New Roman" w:cs="Times New Roman"/>
          <w:sz w:val="24"/>
          <w:szCs w:val="24"/>
        </w:rPr>
        <w:t>83</w:t>
      </w:r>
      <w:r w:rsidR="00544417" w:rsidRPr="008C6C7E">
        <w:rPr>
          <w:rFonts w:ascii="Times New Roman" w:hAnsi="Times New Roman" w:cs="Times New Roman"/>
          <w:sz w:val="24"/>
          <w:szCs w:val="24"/>
        </w:rPr>
        <w:t xml:space="preserve">, Number </w:t>
      </w:r>
      <w:r w:rsidR="008C6C7E">
        <w:rPr>
          <w:rFonts w:ascii="Times New Roman" w:hAnsi="Times New Roman" w:cs="Times New Roman"/>
          <w:sz w:val="24"/>
          <w:szCs w:val="24"/>
        </w:rPr>
        <w:t>151</w:t>
      </w:r>
      <w:r w:rsidR="00544417" w:rsidRPr="008C6C7E">
        <w:rPr>
          <w:rFonts w:ascii="Times New Roman" w:hAnsi="Times New Roman" w:cs="Times New Roman"/>
          <w:sz w:val="24"/>
          <w:szCs w:val="24"/>
        </w:rPr>
        <w:t xml:space="preserve">, pages </w:t>
      </w:r>
      <w:r w:rsidR="008C6C7E">
        <w:rPr>
          <w:rFonts w:ascii="Times New Roman" w:hAnsi="Times New Roman" w:cs="Times New Roman"/>
          <w:sz w:val="24"/>
          <w:szCs w:val="24"/>
        </w:rPr>
        <w:t>38,325-38,326</w:t>
      </w:r>
      <w:r w:rsidRPr="008C6C7E">
        <w:rPr>
          <w:rFonts w:ascii="Times New Roman" w:hAnsi="Times New Roman" w:cs="Times New Roman"/>
          <w:sz w:val="24"/>
          <w:szCs w:val="24"/>
        </w:rPr>
        <w:t xml:space="preserve"> on </w:t>
      </w:r>
      <w:r w:rsidR="008C6C7E" w:rsidRPr="008C6C7E">
        <w:rPr>
          <w:rFonts w:ascii="Times New Roman" w:hAnsi="Times New Roman" w:cs="Times New Roman"/>
          <w:sz w:val="24"/>
          <w:szCs w:val="24"/>
        </w:rPr>
        <w:t>August 6,</w:t>
      </w:r>
      <w:r w:rsidR="00D0083B" w:rsidRPr="008C6C7E">
        <w:rPr>
          <w:rFonts w:ascii="Times New Roman" w:hAnsi="Times New Roman" w:cs="Times New Roman"/>
          <w:sz w:val="24"/>
          <w:szCs w:val="24"/>
        </w:rPr>
        <w:t xml:space="preserve"> 2018</w:t>
      </w:r>
      <w:r w:rsidR="0056488E">
        <w:rPr>
          <w:rFonts w:ascii="Times New Roman" w:hAnsi="Times New Roman" w:cs="Times New Roman"/>
          <w:sz w:val="24"/>
          <w:szCs w:val="24"/>
        </w:rPr>
        <w:t xml:space="preserve"> (</w:t>
      </w:r>
      <w:r w:rsidR="0056488E">
        <w:rPr>
          <w:rFonts w:ascii="Times New Roman" w:hAnsi="Times New Roman" w:cs="Times New Roman"/>
          <w:b/>
          <w:sz w:val="24"/>
          <w:szCs w:val="24"/>
        </w:rPr>
        <w:t>Attachment 5</w:t>
      </w:r>
      <w:r w:rsidR="0056488E" w:rsidRPr="00F8196C">
        <w:rPr>
          <w:rFonts w:ascii="Times New Roman" w:hAnsi="Times New Roman" w:cs="Times New Roman"/>
          <w:b/>
          <w:sz w:val="24"/>
          <w:szCs w:val="24"/>
        </w:rPr>
        <w:t>)</w:t>
      </w:r>
      <w:r w:rsidR="00544417" w:rsidRPr="00F8196C">
        <w:rPr>
          <w:rFonts w:ascii="Times New Roman" w:hAnsi="Times New Roman" w:cs="Times New Roman"/>
          <w:sz w:val="24"/>
          <w:szCs w:val="24"/>
        </w:rPr>
        <w:t>.</w:t>
      </w:r>
      <w:r w:rsidRPr="00F8196C">
        <w:rPr>
          <w:rFonts w:ascii="Times New Roman" w:hAnsi="Times New Roman" w:cs="Times New Roman"/>
          <w:sz w:val="24"/>
          <w:szCs w:val="24"/>
        </w:rPr>
        <w:t xml:space="preserve"> </w:t>
      </w:r>
      <w:r w:rsidR="00343336">
        <w:rPr>
          <w:rFonts w:ascii="Times New Roman" w:hAnsi="Times New Roman" w:cs="Times New Roman"/>
          <w:sz w:val="24"/>
          <w:szCs w:val="24"/>
        </w:rPr>
        <w:t>Six</w:t>
      </w:r>
      <w:r w:rsidR="00E831C4" w:rsidRPr="00F8196C">
        <w:rPr>
          <w:rFonts w:ascii="Times New Roman" w:hAnsi="Times New Roman" w:cs="Times New Roman"/>
          <w:sz w:val="24"/>
          <w:szCs w:val="24"/>
        </w:rPr>
        <w:t xml:space="preserve"> public comments were received from the</w:t>
      </w:r>
      <w:r w:rsidRPr="00F8196C">
        <w:rPr>
          <w:rFonts w:ascii="Times New Roman" w:hAnsi="Times New Roman" w:cs="Times New Roman"/>
          <w:sz w:val="24"/>
          <w:szCs w:val="24"/>
        </w:rPr>
        <w:t xml:space="preserve"> 60-day</w:t>
      </w:r>
      <w:r w:rsidR="00E831C4" w:rsidRPr="00F8196C">
        <w:rPr>
          <w:rFonts w:ascii="Times New Roman" w:hAnsi="Times New Roman" w:cs="Times New Roman"/>
          <w:sz w:val="24"/>
          <w:szCs w:val="24"/>
        </w:rPr>
        <w:t xml:space="preserve"> notice</w:t>
      </w:r>
      <w:r w:rsidR="00F8196C">
        <w:rPr>
          <w:rFonts w:ascii="Times New Roman" w:hAnsi="Times New Roman" w:cs="Times New Roman"/>
          <w:sz w:val="24"/>
          <w:szCs w:val="24"/>
        </w:rPr>
        <w:t xml:space="preserve">. </w:t>
      </w:r>
    </w:p>
    <w:p w14:paraId="5380BCCB" w14:textId="77777777" w:rsidR="00A92D11" w:rsidRDefault="00A92D11" w:rsidP="00D0083B">
      <w:pPr>
        <w:autoSpaceDE w:val="0"/>
        <w:autoSpaceDN w:val="0"/>
        <w:adjustRightInd w:val="0"/>
        <w:spacing w:after="0" w:line="240" w:lineRule="auto"/>
        <w:rPr>
          <w:rFonts w:ascii="Times New Roman" w:hAnsi="Times New Roman" w:cs="Times New Roman"/>
          <w:sz w:val="24"/>
          <w:szCs w:val="24"/>
        </w:rPr>
      </w:pPr>
    </w:p>
    <w:p w14:paraId="037BE86F" w14:textId="2B9390D7" w:rsidR="00A92D11" w:rsidRDefault="00F8196C" w:rsidP="00A92D11">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A92D11">
        <w:rPr>
          <w:rFonts w:ascii="Times New Roman" w:hAnsi="Times New Roman" w:cs="Times New Roman"/>
          <w:sz w:val="24"/>
          <w:szCs w:val="24"/>
        </w:rPr>
        <w:t xml:space="preserve">The first comment was to clarify the process of submitting comments, but the </w:t>
      </w:r>
      <w:r w:rsidR="00A92D11">
        <w:rPr>
          <w:rFonts w:ascii="Times New Roman" w:hAnsi="Times New Roman" w:cs="Times New Roman"/>
          <w:sz w:val="24"/>
          <w:szCs w:val="24"/>
        </w:rPr>
        <w:t>commenter</w:t>
      </w:r>
      <w:r w:rsidRPr="00A92D11">
        <w:rPr>
          <w:rFonts w:ascii="Times New Roman" w:hAnsi="Times New Roman" w:cs="Times New Roman"/>
          <w:sz w:val="24"/>
          <w:szCs w:val="24"/>
        </w:rPr>
        <w:t xml:space="preserve"> did not </w:t>
      </w:r>
      <w:r w:rsidR="00A92D11">
        <w:rPr>
          <w:rFonts w:ascii="Times New Roman" w:hAnsi="Times New Roman" w:cs="Times New Roman"/>
          <w:sz w:val="24"/>
          <w:szCs w:val="24"/>
        </w:rPr>
        <w:t>respond or provide</w:t>
      </w:r>
      <w:r w:rsidRPr="00A92D11">
        <w:rPr>
          <w:rFonts w:ascii="Times New Roman" w:hAnsi="Times New Roman" w:cs="Times New Roman"/>
          <w:sz w:val="24"/>
          <w:szCs w:val="24"/>
        </w:rPr>
        <w:t xml:space="preserve"> any comments. </w:t>
      </w:r>
    </w:p>
    <w:p w14:paraId="1F5733D2" w14:textId="77777777" w:rsidR="00A92D11" w:rsidRDefault="00F8196C" w:rsidP="00A92D11">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A92D11">
        <w:rPr>
          <w:rFonts w:ascii="Times New Roman" w:hAnsi="Times New Roman" w:cs="Times New Roman"/>
          <w:sz w:val="24"/>
          <w:szCs w:val="24"/>
        </w:rPr>
        <w:t xml:space="preserve">The second comment was a request from the office of the Ohio attorney general to review a copy of the survey. The revised survey was sent, but no comments were received in response. </w:t>
      </w:r>
    </w:p>
    <w:p w14:paraId="6CD3F30A" w14:textId="004ACD6B" w:rsidR="00AF155E" w:rsidRDefault="00F8196C" w:rsidP="00A92D11">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sidRPr="00A92D11">
        <w:rPr>
          <w:rFonts w:ascii="Times New Roman" w:hAnsi="Times New Roman" w:cs="Times New Roman"/>
          <w:sz w:val="24"/>
          <w:szCs w:val="24"/>
        </w:rPr>
        <w:t xml:space="preserve">The </w:t>
      </w:r>
      <w:r w:rsidR="00D32253">
        <w:rPr>
          <w:rFonts w:ascii="Times New Roman" w:hAnsi="Times New Roman" w:cs="Times New Roman"/>
          <w:sz w:val="24"/>
          <w:szCs w:val="24"/>
        </w:rPr>
        <w:t>third</w:t>
      </w:r>
      <w:r w:rsidRPr="00A92D11">
        <w:rPr>
          <w:rFonts w:ascii="Times New Roman" w:hAnsi="Times New Roman" w:cs="Times New Roman"/>
          <w:sz w:val="24"/>
          <w:szCs w:val="24"/>
        </w:rPr>
        <w:t xml:space="preserve"> comment was from a member of the Indiana Department of Correction’s human trafficking advisory committee. The </w:t>
      </w:r>
      <w:r w:rsidR="00A92D11" w:rsidRPr="00A92D11">
        <w:rPr>
          <w:rFonts w:ascii="Times New Roman" w:hAnsi="Times New Roman" w:cs="Times New Roman"/>
          <w:sz w:val="24"/>
          <w:szCs w:val="24"/>
        </w:rPr>
        <w:t>commenter</w:t>
      </w:r>
      <w:r w:rsidRPr="00A92D11">
        <w:rPr>
          <w:rFonts w:ascii="Times New Roman" w:hAnsi="Times New Roman" w:cs="Times New Roman"/>
          <w:sz w:val="24"/>
          <w:szCs w:val="24"/>
        </w:rPr>
        <w:t xml:space="preserve"> wanted to know if the survey addressed the amount of services available for victims and whether or not these services had waitlists. I provided the </w:t>
      </w:r>
      <w:r w:rsidR="00A92D11" w:rsidRPr="00A92D11">
        <w:rPr>
          <w:rFonts w:ascii="Times New Roman" w:hAnsi="Times New Roman" w:cs="Times New Roman"/>
          <w:sz w:val="24"/>
          <w:szCs w:val="24"/>
        </w:rPr>
        <w:t>commenter</w:t>
      </w:r>
      <w:r w:rsidRPr="00A92D11">
        <w:rPr>
          <w:rFonts w:ascii="Times New Roman" w:hAnsi="Times New Roman" w:cs="Times New Roman"/>
          <w:sz w:val="24"/>
          <w:szCs w:val="24"/>
        </w:rPr>
        <w:t xml:space="preserve"> the questions on the survey that involved victim services (questions 3, 9, </w:t>
      </w:r>
      <w:r w:rsidR="00A92D11" w:rsidRPr="00A92D11">
        <w:rPr>
          <w:rFonts w:ascii="Times New Roman" w:hAnsi="Times New Roman" w:cs="Times New Roman"/>
          <w:sz w:val="24"/>
          <w:szCs w:val="24"/>
        </w:rPr>
        <w:t>22, 22a, 23, and 33) and referred her to my colleague in charge of the National Survey of Victims Services Providers.</w:t>
      </w:r>
      <w:r w:rsidRPr="00A92D11">
        <w:rPr>
          <w:rFonts w:ascii="Times New Roman" w:hAnsi="Times New Roman" w:cs="Times New Roman"/>
          <w:sz w:val="24"/>
          <w:szCs w:val="24"/>
        </w:rPr>
        <w:t xml:space="preserve"> </w:t>
      </w:r>
      <w:r w:rsidR="00A92D11" w:rsidRPr="00A92D11">
        <w:rPr>
          <w:rFonts w:ascii="Times New Roman" w:hAnsi="Times New Roman" w:cs="Times New Roman"/>
          <w:sz w:val="24"/>
          <w:szCs w:val="24"/>
        </w:rPr>
        <w:t>The commenter did not respond.</w:t>
      </w:r>
    </w:p>
    <w:p w14:paraId="50B725E9" w14:textId="45CDFDAA" w:rsidR="00D32253" w:rsidRDefault="00D32253" w:rsidP="00A92D11">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fourth comment stated support for the survey.</w:t>
      </w:r>
    </w:p>
    <w:p w14:paraId="1D3643A6" w14:textId="4B5FC85A" w:rsidR="00D32253" w:rsidRDefault="00D32253" w:rsidP="00A92D11">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fifth comment stated support for the survey, as long as the survey collected data for the purposes of providing services to victims and not to serve political agendas.</w:t>
      </w:r>
    </w:p>
    <w:p w14:paraId="04165E27" w14:textId="70531C5F" w:rsidR="00343336" w:rsidRPr="00A92D11" w:rsidRDefault="00343336" w:rsidP="00A92D11">
      <w:pPr>
        <w:pStyle w:val="ListParagraph"/>
        <w:numPr>
          <w:ilvl w:val="0"/>
          <w:numId w:val="1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final public comment stated support for the survey, and requested that DOJ and their state work together to “address the serious problems in our current systems regarding child victim witness protection.”</w:t>
      </w:r>
    </w:p>
    <w:p w14:paraId="1A1FA7BE" w14:textId="77777777" w:rsidR="001035D0" w:rsidRDefault="001035D0" w:rsidP="001035D0">
      <w:pPr>
        <w:autoSpaceDE w:val="0"/>
        <w:autoSpaceDN w:val="0"/>
        <w:adjustRightInd w:val="0"/>
        <w:spacing w:after="0" w:line="240" w:lineRule="auto"/>
        <w:ind w:left="360"/>
        <w:rPr>
          <w:rFonts w:ascii="Times New Roman" w:hAnsi="Times New Roman" w:cs="Times New Roman"/>
          <w:sz w:val="24"/>
          <w:szCs w:val="24"/>
        </w:rPr>
      </w:pPr>
    </w:p>
    <w:p w14:paraId="4B72E715" w14:textId="3F746498" w:rsidR="00E831C4" w:rsidRDefault="00A92D11" w:rsidP="00E831C4">
      <w:pPr>
        <w:autoSpaceDE w:val="0"/>
        <w:autoSpaceDN w:val="0"/>
        <w:adjustRightInd w:val="0"/>
        <w:spacing w:after="0" w:line="240" w:lineRule="auto"/>
        <w:rPr>
          <w:rFonts w:ascii="Times New Roman" w:hAnsi="Times New Roman" w:cs="Times New Roman"/>
          <w:sz w:val="24"/>
          <w:szCs w:val="24"/>
        </w:rPr>
      </w:pPr>
      <w:r w:rsidRPr="00A92D11">
        <w:rPr>
          <w:rFonts w:ascii="Times New Roman" w:hAnsi="Times New Roman" w:cs="Times New Roman"/>
          <w:sz w:val="24"/>
          <w:szCs w:val="24"/>
        </w:rPr>
        <w:t>No</w:t>
      </w:r>
      <w:r w:rsidR="00E831C4" w:rsidRPr="00A92D11">
        <w:rPr>
          <w:rFonts w:ascii="Times New Roman" w:hAnsi="Times New Roman" w:cs="Times New Roman"/>
          <w:sz w:val="24"/>
          <w:szCs w:val="24"/>
        </w:rPr>
        <w:t xml:space="preserve"> changes were made to the </w:t>
      </w:r>
      <w:r w:rsidR="00343336">
        <w:rPr>
          <w:rFonts w:ascii="Times New Roman" w:hAnsi="Times New Roman" w:cs="Times New Roman"/>
          <w:sz w:val="24"/>
          <w:szCs w:val="24"/>
        </w:rPr>
        <w:t xml:space="preserve">clearance request or </w:t>
      </w:r>
      <w:r w:rsidR="00E831C4" w:rsidRPr="00A92D11">
        <w:rPr>
          <w:rFonts w:ascii="Times New Roman" w:hAnsi="Times New Roman" w:cs="Times New Roman"/>
          <w:sz w:val="24"/>
          <w:szCs w:val="24"/>
        </w:rPr>
        <w:t>instrument based on th</w:t>
      </w:r>
      <w:r w:rsidR="0048675D" w:rsidRPr="00A92D11">
        <w:rPr>
          <w:rFonts w:ascii="Times New Roman" w:hAnsi="Times New Roman" w:cs="Times New Roman"/>
          <w:sz w:val="24"/>
          <w:szCs w:val="24"/>
        </w:rPr>
        <w:t>e feedback received from the</w:t>
      </w:r>
      <w:r w:rsidR="00FF6C5F" w:rsidRPr="00A92D11">
        <w:rPr>
          <w:rFonts w:ascii="Times New Roman" w:hAnsi="Times New Roman" w:cs="Times New Roman"/>
          <w:sz w:val="24"/>
          <w:szCs w:val="24"/>
        </w:rPr>
        <w:t xml:space="preserve"> </w:t>
      </w:r>
      <w:r w:rsidR="0048675D" w:rsidRPr="00A92D11">
        <w:rPr>
          <w:rFonts w:ascii="Times New Roman" w:hAnsi="Times New Roman" w:cs="Times New Roman"/>
          <w:sz w:val="24"/>
          <w:szCs w:val="24"/>
        </w:rPr>
        <w:t>60-</w:t>
      </w:r>
      <w:r w:rsidR="00E831C4" w:rsidRPr="00A92D11">
        <w:rPr>
          <w:rFonts w:ascii="Times New Roman" w:hAnsi="Times New Roman" w:cs="Times New Roman"/>
          <w:sz w:val="24"/>
          <w:szCs w:val="24"/>
        </w:rPr>
        <w:t>day notice.</w:t>
      </w:r>
      <w:r w:rsidR="00E831C4">
        <w:rPr>
          <w:rFonts w:ascii="Times New Roman" w:hAnsi="Times New Roman" w:cs="Times New Roman"/>
          <w:sz w:val="24"/>
          <w:szCs w:val="24"/>
        </w:rPr>
        <w:t xml:space="preserve"> </w:t>
      </w:r>
    </w:p>
    <w:p w14:paraId="12180046" w14:textId="77777777" w:rsidR="00FF6C5F" w:rsidRDefault="00FF6C5F" w:rsidP="00E831C4">
      <w:pPr>
        <w:autoSpaceDE w:val="0"/>
        <w:autoSpaceDN w:val="0"/>
        <w:adjustRightInd w:val="0"/>
        <w:spacing w:after="0" w:line="240" w:lineRule="auto"/>
        <w:rPr>
          <w:rFonts w:ascii="Times New Roman" w:hAnsi="Times New Roman" w:cs="Times New Roman"/>
          <w:sz w:val="24"/>
          <w:szCs w:val="24"/>
        </w:rPr>
      </w:pPr>
    </w:p>
    <w:p w14:paraId="3DCF49A2" w14:textId="67ABAF26" w:rsidR="000A27F4" w:rsidRPr="0024250A" w:rsidRDefault="00E831C4" w:rsidP="00E831C4">
      <w:pPr>
        <w:autoSpaceDE w:val="0"/>
        <w:autoSpaceDN w:val="0"/>
        <w:adjustRightInd w:val="0"/>
        <w:spacing w:after="0" w:line="240" w:lineRule="auto"/>
        <w:rPr>
          <w:rFonts w:ascii="Times New Roman" w:hAnsi="Times New Roman" w:cs="Times New Roman"/>
          <w:sz w:val="24"/>
          <w:szCs w:val="24"/>
        </w:rPr>
      </w:pPr>
      <w:r w:rsidRPr="0024250A">
        <w:rPr>
          <w:rFonts w:ascii="Times New Roman" w:hAnsi="Times New Roman" w:cs="Times New Roman"/>
          <w:sz w:val="24"/>
          <w:szCs w:val="24"/>
        </w:rPr>
        <w:t xml:space="preserve">The 30-day notice for public commentary was published in the Federal Register, Volume </w:t>
      </w:r>
      <w:r w:rsidR="0024250A">
        <w:rPr>
          <w:rFonts w:ascii="Times New Roman" w:hAnsi="Times New Roman" w:cs="Times New Roman"/>
          <w:sz w:val="24"/>
          <w:szCs w:val="24"/>
        </w:rPr>
        <w:t>83</w:t>
      </w:r>
      <w:r w:rsidRPr="0024250A">
        <w:rPr>
          <w:rFonts w:ascii="Times New Roman" w:hAnsi="Times New Roman" w:cs="Times New Roman"/>
          <w:sz w:val="24"/>
          <w:szCs w:val="24"/>
        </w:rPr>
        <w:t xml:space="preserve">, Number </w:t>
      </w:r>
      <w:r w:rsidR="0024250A">
        <w:rPr>
          <w:rFonts w:ascii="Times New Roman" w:hAnsi="Times New Roman" w:cs="Times New Roman"/>
          <w:sz w:val="24"/>
          <w:szCs w:val="24"/>
        </w:rPr>
        <w:t>203</w:t>
      </w:r>
      <w:r w:rsidRPr="0024250A">
        <w:rPr>
          <w:rFonts w:ascii="Times New Roman" w:hAnsi="Times New Roman" w:cs="Times New Roman"/>
          <w:sz w:val="24"/>
          <w:szCs w:val="24"/>
        </w:rPr>
        <w:t xml:space="preserve">, pages </w:t>
      </w:r>
      <w:r w:rsidR="0024250A">
        <w:rPr>
          <w:rFonts w:ascii="Times New Roman" w:hAnsi="Times New Roman" w:cs="Times New Roman"/>
          <w:sz w:val="24"/>
          <w:szCs w:val="24"/>
        </w:rPr>
        <w:t>53110</w:t>
      </w:r>
      <w:r w:rsidRPr="0024250A">
        <w:rPr>
          <w:rFonts w:ascii="Times New Roman" w:hAnsi="Times New Roman" w:cs="Times New Roman"/>
          <w:sz w:val="24"/>
          <w:szCs w:val="24"/>
        </w:rPr>
        <w:t>-</w:t>
      </w:r>
      <w:r w:rsidR="0024250A">
        <w:rPr>
          <w:rFonts w:ascii="Times New Roman" w:hAnsi="Times New Roman" w:cs="Times New Roman"/>
          <w:sz w:val="24"/>
          <w:szCs w:val="24"/>
        </w:rPr>
        <w:t>53111</w:t>
      </w:r>
      <w:r w:rsidRPr="0024250A">
        <w:rPr>
          <w:rFonts w:ascii="Times New Roman" w:hAnsi="Times New Roman" w:cs="Times New Roman"/>
          <w:sz w:val="24"/>
          <w:szCs w:val="24"/>
        </w:rPr>
        <w:t xml:space="preserve">, on </w:t>
      </w:r>
      <w:r w:rsidR="0024250A">
        <w:rPr>
          <w:rFonts w:ascii="Times New Roman" w:hAnsi="Times New Roman" w:cs="Times New Roman"/>
          <w:sz w:val="24"/>
          <w:szCs w:val="24"/>
        </w:rPr>
        <w:t>October 19</w:t>
      </w:r>
      <w:r w:rsidR="00D0083B" w:rsidRPr="0024250A">
        <w:rPr>
          <w:rFonts w:ascii="Times New Roman" w:hAnsi="Times New Roman" w:cs="Times New Roman"/>
          <w:sz w:val="24"/>
          <w:szCs w:val="24"/>
        </w:rPr>
        <w:t>, 2018</w:t>
      </w:r>
      <w:r w:rsidR="0056488E" w:rsidRPr="0024250A">
        <w:rPr>
          <w:rFonts w:ascii="Times New Roman" w:hAnsi="Times New Roman" w:cs="Times New Roman"/>
          <w:sz w:val="24"/>
          <w:szCs w:val="24"/>
        </w:rPr>
        <w:t xml:space="preserve"> (</w:t>
      </w:r>
      <w:r w:rsidR="0056488E" w:rsidRPr="0024250A">
        <w:rPr>
          <w:rFonts w:ascii="Times New Roman" w:hAnsi="Times New Roman" w:cs="Times New Roman"/>
          <w:b/>
          <w:sz w:val="24"/>
          <w:szCs w:val="24"/>
        </w:rPr>
        <w:t>Attachment 6</w:t>
      </w:r>
      <w:r w:rsidR="0056488E" w:rsidRPr="0024250A">
        <w:rPr>
          <w:rFonts w:ascii="Times New Roman" w:hAnsi="Times New Roman" w:cs="Times New Roman"/>
          <w:sz w:val="24"/>
          <w:szCs w:val="24"/>
        </w:rPr>
        <w:t>)</w:t>
      </w:r>
      <w:r w:rsidRPr="0024250A">
        <w:rPr>
          <w:rFonts w:ascii="Times New Roman" w:hAnsi="Times New Roman" w:cs="Times New Roman"/>
          <w:sz w:val="24"/>
          <w:szCs w:val="24"/>
        </w:rPr>
        <w:t>.</w:t>
      </w:r>
    </w:p>
    <w:p w14:paraId="54489B46" w14:textId="77777777" w:rsidR="00D0083B" w:rsidRDefault="00D0083B" w:rsidP="00E831C4">
      <w:pPr>
        <w:autoSpaceDE w:val="0"/>
        <w:autoSpaceDN w:val="0"/>
        <w:adjustRightInd w:val="0"/>
        <w:spacing w:after="0" w:line="240" w:lineRule="auto"/>
        <w:rPr>
          <w:rFonts w:ascii="Times New Roman" w:hAnsi="Times New Roman" w:cs="Times New Roman"/>
          <w:sz w:val="24"/>
          <w:szCs w:val="24"/>
          <w:highlight w:val="yellow"/>
        </w:rPr>
      </w:pPr>
    </w:p>
    <w:p w14:paraId="4F7E33E0" w14:textId="77777777" w:rsidR="00D0083B" w:rsidRDefault="00D0083B" w:rsidP="000A27F4">
      <w:pPr>
        <w:spacing w:after="0" w:line="240" w:lineRule="auto"/>
        <w:rPr>
          <w:rFonts w:ascii="Times New Roman" w:hAnsi="Times New Roman" w:cs="Times New Roman"/>
          <w:sz w:val="24"/>
          <w:szCs w:val="24"/>
          <w:highlight w:val="yellow"/>
        </w:rPr>
        <w:sectPr w:rsidR="00D0083B" w:rsidSect="00D65DDD">
          <w:footerReference w:type="default" r:id="rId14"/>
          <w:type w:val="continuous"/>
          <w:pgSz w:w="12240" w:h="15840"/>
          <w:pgMar w:top="1440" w:right="1440" w:bottom="1440" w:left="1440" w:header="720" w:footer="720" w:gutter="0"/>
          <w:cols w:space="720"/>
          <w:docGrid w:linePitch="360"/>
        </w:sectPr>
      </w:pPr>
    </w:p>
    <w:p w14:paraId="3798E660" w14:textId="77777777" w:rsidR="000A27F4" w:rsidRPr="004779C7" w:rsidRDefault="000A27F4" w:rsidP="000A27F4">
      <w:pPr>
        <w:pStyle w:val="ListParagraph"/>
        <w:numPr>
          <w:ilvl w:val="0"/>
          <w:numId w:val="2"/>
        </w:numPr>
        <w:spacing w:after="0" w:line="240" w:lineRule="auto"/>
        <w:contextualSpacing w:val="0"/>
        <w:rPr>
          <w:rFonts w:ascii="Times New Roman" w:hAnsi="Times New Roman" w:cs="Times New Roman"/>
          <w:sz w:val="24"/>
          <w:szCs w:val="24"/>
        </w:rPr>
      </w:pPr>
      <w:r w:rsidRPr="004779C7">
        <w:rPr>
          <w:rFonts w:ascii="Times New Roman" w:hAnsi="Times New Roman" w:cs="Times New Roman"/>
          <w:sz w:val="24"/>
          <w:szCs w:val="24"/>
          <w:u w:val="single"/>
        </w:rPr>
        <w:t>Paying Respondents</w:t>
      </w:r>
    </w:p>
    <w:p w14:paraId="7FCACE15" w14:textId="77777777" w:rsidR="000A27F4" w:rsidRPr="004779C7" w:rsidRDefault="001035D0"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No</w:t>
      </w:r>
      <w:r w:rsidR="000A27F4" w:rsidRPr="004779C7">
        <w:rPr>
          <w:rFonts w:ascii="Times New Roman" w:hAnsi="Times New Roman" w:cs="Times New Roman"/>
          <w:sz w:val="24"/>
          <w:szCs w:val="24"/>
        </w:rPr>
        <w:t xml:space="preserve"> payment or gift of any type</w:t>
      </w:r>
      <w:r>
        <w:rPr>
          <w:rFonts w:ascii="Times New Roman" w:hAnsi="Times New Roman" w:cs="Times New Roman"/>
          <w:sz w:val="24"/>
          <w:szCs w:val="24"/>
        </w:rPr>
        <w:t xml:space="preserve"> will be provided</w:t>
      </w:r>
      <w:r w:rsidR="000A27F4" w:rsidRPr="004779C7">
        <w:rPr>
          <w:rFonts w:ascii="Times New Roman" w:hAnsi="Times New Roman" w:cs="Times New Roman"/>
          <w:sz w:val="24"/>
          <w:szCs w:val="24"/>
        </w:rPr>
        <w:t xml:space="preserve"> to respondents. </w:t>
      </w:r>
    </w:p>
    <w:p w14:paraId="2250FA56" w14:textId="77777777" w:rsidR="000A27F4" w:rsidRPr="004779C7" w:rsidRDefault="000A27F4" w:rsidP="000A27F4">
      <w:pPr>
        <w:spacing w:after="0" w:line="240" w:lineRule="auto"/>
        <w:rPr>
          <w:rFonts w:ascii="Times New Roman" w:hAnsi="Times New Roman" w:cs="Times New Roman"/>
          <w:sz w:val="24"/>
          <w:szCs w:val="24"/>
        </w:rPr>
      </w:pPr>
    </w:p>
    <w:p w14:paraId="17A06EB7" w14:textId="77777777" w:rsidR="000A27F4" w:rsidRPr="004779C7" w:rsidRDefault="000A27F4" w:rsidP="000A27F4">
      <w:pPr>
        <w:pStyle w:val="ListParagraph"/>
        <w:numPr>
          <w:ilvl w:val="0"/>
          <w:numId w:val="2"/>
        </w:numPr>
        <w:spacing w:after="0" w:line="240" w:lineRule="auto"/>
        <w:contextualSpacing w:val="0"/>
        <w:rPr>
          <w:rFonts w:ascii="Times New Roman" w:hAnsi="Times New Roman" w:cs="Times New Roman"/>
          <w:sz w:val="24"/>
          <w:szCs w:val="24"/>
        </w:rPr>
      </w:pPr>
      <w:r w:rsidRPr="004779C7">
        <w:rPr>
          <w:rFonts w:ascii="Times New Roman" w:hAnsi="Times New Roman" w:cs="Times New Roman"/>
          <w:sz w:val="24"/>
          <w:szCs w:val="24"/>
          <w:u w:val="single"/>
        </w:rPr>
        <w:t>Assurance of Confidentiality</w:t>
      </w:r>
    </w:p>
    <w:p w14:paraId="00C4222C" w14:textId="54F3FE7E" w:rsidR="000A27F4" w:rsidRPr="004779C7" w:rsidRDefault="000A27F4" w:rsidP="000A27F4">
      <w:pPr>
        <w:spacing w:after="0" w:line="240" w:lineRule="auto"/>
        <w:rPr>
          <w:rFonts w:ascii="Times New Roman" w:hAnsi="Times New Roman" w:cs="Times New Roman"/>
          <w:sz w:val="24"/>
          <w:szCs w:val="24"/>
        </w:rPr>
      </w:pPr>
      <w:r w:rsidRPr="004779C7">
        <w:rPr>
          <w:rFonts w:ascii="Times New Roman" w:hAnsi="Times New Roman" w:cs="Times New Roman"/>
          <w:sz w:val="24"/>
          <w:szCs w:val="24"/>
        </w:rPr>
        <w:t xml:space="preserve">According to </w:t>
      </w:r>
      <w:r w:rsidR="00C37B72">
        <w:rPr>
          <w:rFonts w:ascii="Times New Roman" w:hAnsi="Times New Roman" w:cs="Times New Roman"/>
          <w:sz w:val="24"/>
          <w:szCs w:val="24"/>
        </w:rPr>
        <w:t>34</w:t>
      </w:r>
      <w:r w:rsidR="00C37B72" w:rsidRPr="004779C7">
        <w:rPr>
          <w:rFonts w:ascii="Times New Roman" w:hAnsi="Times New Roman" w:cs="Times New Roman"/>
          <w:sz w:val="24"/>
          <w:szCs w:val="24"/>
        </w:rPr>
        <w:t xml:space="preserve"> </w:t>
      </w:r>
      <w:r w:rsidRPr="004779C7">
        <w:rPr>
          <w:rFonts w:ascii="Times New Roman" w:hAnsi="Times New Roman" w:cs="Times New Roman"/>
          <w:sz w:val="24"/>
          <w:szCs w:val="24"/>
        </w:rPr>
        <w:t xml:space="preserve">U.S.C. </w:t>
      </w:r>
      <w:r w:rsidR="00C37B72">
        <w:rPr>
          <w:rFonts w:ascii="Times New Roman" w:hAnsi="Times New Roman" w:cs="Times New Roman"/>
          <w:sz w:val="24"/>
          <w:szCs w:val="24"/>
        </w:rPr>
        <w:t>10134</w:t>
      </w:r>
      <w:r w:rsidRPr="004779C7">
        <w:rPr>
          <w:rFonts w:ascii="Times New Roman" w:hAnsi="Times New Roman" w:cs="Times New Roman"/>
          <w:sz w:val="24"/>
          <w:szCs w:val="24"/>
        </w:rPr>
        <w:t xml:space="preserve">, the information gathered in this data collection shall be used only for statistical or research purposes, and shall be gathered in a manner that precludes their use for law enforcement or any purpose relating to a particular individual other than statistical or research purposes. The data collected through the </w:t>
      </w:r>
      <w:r w:rsidR="001F7BD6">
        <w:rPr>
          <w:rFonts w:ascii="Times New Roman" w:hAnsi="Times New Roman" w:cs="Times New Roman"/>
          <w:sz w:val="24"/>
          <w:szCs w:val="24"/>
        </w:rPr>
        <w:t>SSAGO-</w:t>
      </w:r>
      <w:r w:rsidR="00D0083B">
        <w:rPr>
          <w:rFonts w:ascii="Times New Roman" w:hAnsi="Times New Roman" w:cs="Times New Roman"/>
          <w:sz w:val="24"/>
          <w:szCs w:val="24"/>
        </w:rPr>
        <w:t>HT</w:t>
      </w:r>
      <w:r w:rsidRPr="004779C7">
        <w:rPr>
          <w:rFonts w:ascii="Times New Roman" w:hAnsi="Times New Roman" w:cs="Times New Roman"/>
          <w:sz w:val="24"/>
          <w:szCs w:val="24"/>
        </w:rPr>
        <w:t xml:space="preserve"> represent institutional characteristics </w:t>
      </w:r>
      <w:r w:rsidR="001F7BD6">
        <w:rPr>
          <w:rFonts w:ascii="Times New Roman" w:hAnsi="Times New Roman" w:cs="Times New Roman"/>
          <w:sz w:val="24"/>
          <w:szCs w:val="24"/>
        </w:rPr>
        <w:t xml:space="preserve">of </w:t>
      </w:r>
      <w:r w:rsidR="002678D5">
        <w:rPr>
          <w:rFonts w:ascii="Times New Roman" w:hAnsi="Times New Roman" w:cs="Times New Roman"/>
          <w:sz w:val="24"/>
          <w:szCs w:val="24"/>
        </w:rPr>
        <w:t>state attorneys general offices</w:t>
      </w:r>
      <w:r w:rsidRPr="004779C7">
        <w:rPr>
          <w:rFonts w:ascii="Times New Roman" w:hAnsi="Times New Roman" w:cs="Times New Roman"/>
          <w:sz w:val="24"/>
          <w:szCs w:val="24"/>
        </w:rPr>
        <w:t xml:space="preserve"> and counts of offenses handled by those offices. </w:t>
      </w:r>
    </w:p>
    <w:p w14:paraId="7F5FB498" w14:textId="77777777" w:rsidR="000A27F4" w:rsidRPr="00E50184" w:rsidRDefault="000A27F4" w:rsidP="000A27F4">
      <w:pPr>
        <w:spacing w:after="0" w:line="240" w:lineRule="auto"/>
        <w:rPr>
          <w:rFonts w:ascii="Times New Roman" w:hAnsi="Times New Roman" w:cs="Times New Roman"/>
          <w:sz w:val="24"/>
          <w:szCs w:val="24"/>
          <w:highlight w:val="yellow"/>
        </w:rPr>
      </w:pPr>
    </w:p>
    <w:p w14:paraId="15A0176B" w14:textId="6A12B575" w:rsidR="000A27F4" w:rsidRPr="004779C7" w:rsidRDefault="000A27F4" w:rsidP="000A27F4">
      <w:pPr>
        <w:spacing w:after="0" w:line="240" w:lineRule="auto"/>
        <w:rPr>
          <w:rFonts w:ascii="Times New Roman" w:hAnsi="Times New Roman" w:cs="Times New Roman"/>
          <w:sz w:val="24"/>
          <w:szCs w:val="24"/>
        </w:rPr>
      </w:pPr>
      <w:r w:rsidRPr="004779C7">
        <w:rPr>
          <w:rFonts w:ascii="Times New Roman" w:hAnsi="Times New Roman" w:cs="Times New Roman"/>
          <w:sz w:val="24"/>
          <w:szCs w:val="24"/>
        </w:rPr>
        <w:t>Although BJS’</w:t>
      </w:r>
      <w:r w:rsidR="00C37B72">
        <w:rPr>
          <w:rFonts w:ascii="Times New Roman" w:hAnsi="Times New Roman" w:cs="Times New Roman"/>
          <w:sz w:val="24"/>
          <w:szCs w:val="24"/>
        </w:rPr>
        <w:t>s</w:t>
      </w:r>
      <w:r w:rsidRPr="004779C7">
        <w:rPr>
          <w:rFonts w:ascii="Times New Roman" w:hAnsi="Times New Roman" w:cs="Times New Roman"/>
          <w:sz w:val="24"/>
          <w:szCs w:val="24"/>
        </w:rPr>
        <w:t xml:space="preserve"> confidentiality statute (</w:t>
      </w:r>
      <w:r w:rsidR="00C37B72">
        <w:rPr>
          <w:rFonts w:ascii="Times New Roman" w:hAnsi="Times New Roman" w:cs="Times New Roman"/>
          <w:sz w:val="24"/>
          <w:szCs w:val="24"/>
        </w:rPr>
        <w:t>34</w:t>
      </w:r>
      <w:r w:rsidR="00C37B72" w:rsidRPr="004779C7">
        <w:rPr>
          <w:rFonts w:ascii="Times New Roman" w:hAnsi="Times New Roman" w:cs="Times New Roman"/>
          <w:sz w:val="24"/>
          <w:szCs w:val="24"/>
        </w:rPr>
        <w:t xml:space="preserve"> </w:t>
      </w:r>
      <w:r w:rsidRPr="004779C7">
        <w:rPr>
          <w:rFonts w:ascii="Times New Roman" w:hAnsi="Times New Roman" w:cs="Times New Roman"/>
          <w:sz w:val="24"/>
          <w:szCs w:val="24"/>
        </w:rPr>
        <w:t xml:space="preserve">U.S.C. </w:t>
      </w:r>
      <w:r w:rsidR="00C37B72">
        <w:rPr>
          <w:rFonts w:ascii="Times New Roman" w:hAnsi="Times New Roman" w:cs="Times New Roman"/>
          <w:sz w:val="24"/>
          <w:szCs w:val="24"/>
        </w:rPr>
        <w:t>10231</w:t>
      </w:r>
      <w:r w:rsidRPr="004779C7">
        <w:rPr>
          <w:rFonts w:ascii="Times New Roman" w:hAnsi="Times New Roman" w:cs="Times New Roman"/>
          <w:sz w:val="24"/>
          <w:szCs w:val="24"/>
        </w:rPr>
        <w:t xml:space="preserve">) is not being invoked for this collection, the names of the respondents who completed the data collection instrument will be kept confidential. BJS and The Urban Institute will take all precautions to ensure that individuals completing the survey will not be identified. </w:t>
      </w:r>
    </w:p>
    <w:p w14:paraId="39AF2DFA" w14:textId="77777777" w:rsidR="000A27F4" w:rsidRPr="00E50184" w:rsidRDefault="000A27F4" w:rsidP="000A27F4">
      <w:pPr>
        <w:spacing w:after="0" w:line="240" w:lineRule="auto"/>
        <w:rPr>
          <w:rFonts w:ascii="Times New Roman" w:hAnsi="Times New Roman" w:cs="Times New Roman"/>
          <w:sz w:val="24"/>
          <w:szCs w:val="24"/>
          <w:highlight w:val="yellow"/>
        </w:rPr>
      </w:pPr>
    </w:p>
    <w:p w14:paraId="10839BF3" w14:textId="77777777" w:rsidR="000A27F4" w:rsidRPr="004779C7" w:rsidRDefault="000A27F4" w:rsidP="000A27F4">
      <w:pPr>
        <w:pStyle w:val="ListParagraph"/>
        <w:numPr>
          <w:ilvl w:val="0"/>
          <w:numId w:val="2"/>
        </w:numPr>
        <w:spacing w:after="0" w:line="240" w:lineRule="auto"/>
        <w:contextualSpacing w:val="0"/>
        <w:rPr>
          <w:rFonts w:ascii="Times New Roman" w:hAnsi="Times New Roman" w:cs="Times New Roman"/>
          <w:sz w:val="24"/>
          <w:szCs w:val="24"/>
        </w:rPr>
      </w:pPr>
      <w:r w:rsidRPr="004779C7">
        <w:rPr>
          <w:rFonts w:ascii="Times New Roman" w:hAnsi="Times New Roman" w:cs="Times New Roman"/>
          <w:sz w:val="24"/>
          <w:szCs w:val="24"/>
          <w:u w:val="single"/>
        </w:rPr>
        <w:t>Justification for Sensitive Questions</w:t>
      </w:r>
    </w:p>
    <w:p w14:paraId="240281BC" w14:textId="77777777" w:rsidR="000A27F4" w:rsidRPr="004779C7" w:rsidRDefault="000A27F4" w:rsidP="000A27F4">
      <w:pPr>
        <w:spacing w:after="0" w:line="240" w:lineRule="auto"/>
        <w:rPr>
          <w:rFonts w:ascii="Times New Roman" w:hAnsi="Times New Roman" w:cs="Times New Roman"/>
          <w:sz w:val="24"/>
          <w:szCs w:val="24"/>
        </w:rPr>
      </w:pPr>
      <w:r w:rsidRPr="004779C7">
        <w:rPr>
          <w:rFonts w:ascii="Times New Roman" w:hAnsi="Times New Roman" w:cs="Times New Roman"/>
          <w:sz w:val="24"/>
          <w:szCs w:val="24"/>
        </w:rPr>
        <w:t xml:space="preserve">No personally identifiable information or questions of a sensitive nature will be asked. </w:t>
      </w:r>
    </w:p>
    <w:p w14:paraId="0F37D594" w14:textId="77777777" w:rsidR="000A27F4" w:rsidRPr="00E50184" w:rsidRDefault="000A27F4" w:rsidP="000A27F4">
      <w:pPr>
        <w:spacing w:after="0" w:line="240" w:lineRule="auto"/>
        <w:rPr>
          <w:rFonts w:ascii="Times New Roman" w:hAnsi="Times New Roman" w:cs="Times New Roman"/>
          <w:sz w:val="24"/>
          <w:szCs w:val="24"/>
          <w:highlight w:val="yellow"/>
        </w:rPr>
      </w:pPr>
    </w:p>
    <w:p w14:paraId="6C093ECB" w14:textId="77777777" w:rsidR="000A27F4" w:rsidRPr="001035D0" w:rsidRDefault="000A27F4" w:rsidP="000A27F4">
      <w:pPr>
        <w:pStyle w:val="ListParagraph"/>
        <w:numPr>
          <w:ilvl w:val="0"/>
          <w:numId w:val="2"/>
        </w:numPr>
        <w:spacing w:after="0" w:line="240" w:lineRule="auto"/>
        <w:contextualSpacing w:val="0"/>
        <w:rPr>
          <w:rFonts w:ascii="Times New Roman" w:hAnsi="Times New Roman" w:cs="Times New Roman"/>
          <w:sz w:val="24"/>
          <w:szCs w:val="24"/>
        </w:rPr>
      </w:pPr>
      <w:r w:rsidRPr="004779C7">
        <w:rPr>
          <w:rFonts w:ascii="Times New Roman" w:hAnsi="Times New Roman" w:cs="Times New Roman"/>
          <w:sz w:val="24"/>
          <w:szCs w:val="24"/>
          <w:u w:val="single"/>
        </w:rPr>
        <w:t>Estimate of Respondent Burden</w:t>
      </w:r>
      <w:r w:rsidRPr="001035D0">
        <w:rPr>
          <w:rFonts w:ascii="Times New Roman" w:hAnsi="Times New Roman" w:cs="Times New Roman"/>
          <w:sz w:val="24"/>
          <w:szCs w:val="24"/>
          <w:highlight w:val="yellow"/>
        </w:rPr>
        <w:t xml:space="preserve">  </w:t>
      </w:r>
    </w:p>
    <w:p w14:paraId="39BADC25" w14:textId="74028611" w:rsidR="00C24F53" w:rsidRDefault="000A27F4" w:rsidP="000A27F4">
      <w:pPr>
        <w:spacing w:after="0" w:line="240" w:lineRule="auto"/>
        <w:rPr>
          <w:rFonts w:ascii="Times New Roman" w:hAnsi="Times New Roman" w:cs="Times New Roman"/>
          <w:sz w:val="24"/>
          <w:szCs w:val="24"/>
        </w:rPr>
      </w:pPr>
      <w:r w:rsidRPr="004779C7">
        <w:rPr>
          <w:rFonts w:ascii="Times New Roman" w:hAnsi="Times New Roman" w:cs="Times New Roman"/>
          <w:sz w:val="24"/>
          <w:szCs w:val="24"/>
        </w:rPr>
        <w:t>BJS expects that all 56 respondents will complete the survey</w:t>
      </w:r>
      <w:r w:rsidR="00AC6B26">
        <w:rPr>
          <w:rFonts w:ascii="Times New Roman" w:hAnsi="Times New Roman" w:cs="Times New Roman"/>
          <w:sz w:val="24"/>
          <w:szCs w:val="24"/>
        </w:rPr>
        <w:t xml:space="preserve">. The territory attorneys general </w:t>
      </w:r>
      <w:r w:rsidR="00CA5E85">
        <w:rPr>
          <w:rFonts w:ascii="Times New Roman" w:hAnsi="Times New Roman" w:cs="Times New Roman"/>
          <w:sz w:val="24"/>
          <w:szCs w:val="24"/>
        </w:rPr>
        <w:t>are</w:t>
      </w:r>
      <w:r w:rsidR="00AC6B26">
        <w:rPr>
          <w:rFonts w:ascii="Times New Roman" w:hAnsi="Times New Roman" w:cs="Times New Roman"/>
          <w:sz w:val="24"/>
          <w:szCs w:val="24"/>
        </w:rPr>
        <w:t xml:space="preserve"> included in the SSAGO-</w:t>
      </w:r>
      <w:r w:rsidR="00D0083B">
        <w:rPr>
          <w:rFonts w:ascii="Times New Roman" w:hAnsi="Times New Roman" w:cs="Times New Roman"/>
          <w:sz w:val="24"/>
          <w:szCs w:val="24"/>
        </w:rPr>
        <w:t>HT</w:t>
      </w:r>
      <w:r w:rsidR="00CA5E85">
        <w:rPr>
          <w:rFonts w:ascii="Times New Roman" w:hAnsi="Times New Roman" w:cs="Times New Roman"/>
          <w:sz w:val="24"/>
          <w:szCs w:val="24"/>
        </w:rPr>
        <w:t>.</w:t>
      </w:r>
      <w:r w:rsidR="00AC6B26">
        <w:rPr>
          <w:rFonts w:ascii="Times New Roman" w:hAnsi="Times New Roman" w:cs="Times New Roman"/>
          <w:sz w:val="24"/>
          <w:szCs w:val="24"/>
        </w:rPr>
        <w:t xml:space="preserve"> </w:t>
      </w:r>
      <w:r w:rsidR="00CA5E85">
        <w:rPr>
          <w:rFonts w:ascii="Times New Roman" w:hAnsi="Times New Roman" w:cs="Times New Roman"/>
          <w:sz w:val="24"/>
          <w:szCs w:val="24"/>
        </w:rPr>
        <w:t xml:space="preserve">If </w:t>
      </w:r>
      <w:r w:rsidR="00AC6B26">
        <w:rPr>
          <w:rFonts w:ascii="Times New Roman" w:hAnsi="Times New Roman" w:cs="Times New Roman"/>
          <w:sz w:val="24"/>
          <w:szCs w:val="24"/>
        </w:rPr>
        <w:t xml:space="preserve">the territory attorneys general indicate they </w:t>
      </w:r>
      <w:r w:rsidR="00CA5E85">
        <w:rPr>
          <w:rFonts w:ascii="Times New Roman" w:hAnsi="Times New Roman" w:cs="Times New Roman"/>
          <w:sz w:val="24"/>
          <w:szCs w:val="24"/>
        </w:rPr>
        <w:t>do not maintain the data necessary to complete the survey, they will be excluded</w:t>
      </w:r>
      <w:r w:rsidR="00AC6B26">
        <w:rPr>
          <w:rFonts w:ascii="Times New Roman" w:hAnsi="Times New Roman" w:cs="Times New Roman"/>
          <w:sz w:val="24"/>
          <w:szCs w:val="24"/>
        </w:rPr>
        <w:t>. T</w:t>
      </w:r>
      <w:r w:rsidR="00D153FF">
        <w:rPr>
          <w:rFonts w:ascii="Times New Roman" w:hAnsi="Times New Roman" w:cs="Times New Roman"/>
          <w:sz w:val="24"/>
          <w:szCs w:val="24"/>
        </w:rPr>
        <w:t xml:space="preserve">erritory attorney general offices were excluded from </w:t>
      </w:r>
      <w:r w:rsidRPr="004779C7">
        <w:rPr>
          <w:rFonts w:ascii="Times New Roman" w:hAnsi="Times New Roman" w:cs="Times New Roman"/>
          <w:sz w:val="24"/>
          <w:szCs w:val="24"/>
        </w:rPr>
        <w:t>the State and Local White Collar Crime Program</w:t>
      </w:r>
      <w:r w:rsidR="00D153FF">
        <w:rPr>
          <w:rFonts w:ascii="Times New Roman" w:hAnsi="Times New Roman" w:cs="Times New Roman"/>
          <w:sz w:val="24"/>
          <w:szCs w:val="24"/>
        </w:rPr>
        <w:t xml:space="preserve"> because they</w:t>
      </w:r>
      <w:r w:rsidRPr="004779C7">
        <w:rPr>
          <w:rFonts w:ascii="Times New Roman" w:hAnsi="Times New Roman" w:cs="Times New Roman"/>
          <w:sz w:val="24"/>
          <w:szCs w:val="24"/>
        </w:rPr>
        <w:t xml:space="preserve"> indicated they did not maintain the data necessary to complete the survey</w:t>
      </w:r>
      <w:r w:rsidR="00D153FF">
        <w:rPr>
          <w:rFonts w:ascii="Times New Roman" w:hAnsi="Times New Roman" w:cs="Times New Roman"/>
          <w:sz w:val="24"/>
          <w:szCs w:val="24"/>
        </w:rPr>
        <w:t xml:space="preserve"> during the pilot phase of the project</w:t>
      </w:r>
      <w:r w:rsidRPr="004779C7">
        <w:rPr>
          <w:rFonts w:ascii="Times New Roman" w:hAnsi="Times New Roman" w:cs="Times New Roman"/>
          <w:sz w:val="24"/>
          <w:szCs w:val="24"/>
        </w:rPr>
        <w:t>.</w:t>
      </w:r>
      <w:r w:rsidR="00C24F53">
        <w:rPr>
          <w:rFonts w:ascii="Times New Roman" w:hAnsi="Times New Roman" w:cs="Times New Roman"/>
          <w:sz w:val="24"/>
          <w:szCs w:val="24"/>
        </w:rPr>
        <w:t xml:space="preserve"> </w:t>
      </w:r>
    </w:p>
    <w:p w14:paraId="509C4E95" w14:textId="77777777" w:rsidR="00C24F53" w:rsidRDefault="00C24F53" w:rsidP="000A27F4">
      <w:pPr>
        <w:spacing w:after="0" w:line="240" w:lineRule="auto"/>
        <w:rPr>
          <w:rFonts w:ascii="Times New Roman" w:hAnsi="Times New Roman" w:cs="Times New Roman"/>
          <w:sz w:val="24"/>
          <w:szCs w:val="24"/>
        </w:rPr>
      </w:pPr>
    </w:p>
    <w:p w14:paraId="177F8D7D" w14:textId="7EADE15A" w:rsidR="000A27F4" w:rsidRDefault="002E7ABF"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Prior to conducting the cognitive test, the Urban Institute applied for and received Institutiona</w:t>
      </w:r>
      <w:r w:rsidR="00B10E2F">
        <w:rPr>
          <w:rFonts w:ascii="Times New Roman" w:hAnsi="Times New Roman" w:cs="Times New Roman"/>
          <w:sz w:val="24"/>
          <w:szCs w:val="24"/>
        </w:rPr>
        <w:t>l</w:t>
      </w:r>
      <w:r>
        <w:rPr>
          <w:rFonts w:ascii="Times New Roman" w:hAnsi="Times New Roman" w:cs="Times New Roman"/>
          <w:sz w:val="24"/>
          <w:szCs w:val="24"/>
        </w:rPr>
        <w:t xml:space="preserve"> Review Board (IRB) approval for the survey (</w:t>
      </w:r>
      <w:r w:rsidR="00B10E2F" w:rsidRPr="0086463A">
        <w:rPr>
          <w:rFonts w:ascii="Times New Roman" w:hAnsi="Times New Roman" w:cs="Times New Roman"/>
          <w:b/>
          <w:sz w:val="24"/>
          <w:szCs w:val="24"/>
        </w:rPr>
        <w:t>A</w:t>
      </w:r>
      <w:r w:rsidRPr="0086463A">
        <w:rPr>
          <w:rFonts w:ascii="Times New Roman" w:hAnsi="Times New Roman" w:cs="Times New Roman"/>
          <w:b/>
          <w:sz w:val="24"/>
          <w:szCs w:val="24"/>
        </w:rPr>
        <w:t>ttachment 5</w:t>
      </w:r>
      <w:r>
        <w:rPr>
          <w:rFonts w:ascii="Times New Roman" w:hAnsi="Times New Roman" w:cs="Times New Roman"/>
          <w:sz w:val="24"/>
          <w:szCs w:val="24"/>
        </w:rPr>
        <w:t xml:space="preserve">). </w:t>
      </w:r>
      <w:r w:rsidR="00D0083B">
        <w:rPr>
          <w:rFonts w:ascii="Times New Roman" w:hAnsi="Times New Roman" w:cs="Times New Roman"/>
          <w:sz w:val="24"/>
          <w:szCs w:val="24"/>
        </w:rPr>
        <w:t xml:space="preserve">The </w:t>
      </w:r>
      <w:r w:rsidR="008C6C7E">
        <w:rPr>
          <w:rFonts w:ascii="Times New Roman" w:hAnsi="Times New Roman" w:cs="Times New Roman"/>
          <w:sz w:val="24"/>
          <w:szCs w:val="24"/>
        </w:rPr>
        <w:t>three</w:t>
      </w:r>
      <w:r w:rsidR="00D0083B">
        <w:rPr>
          <w:rFonts w:ascii="Times New Roman" w:hAnsi="Times New Roman" w:cs="Times New Roman"/>
          <w:sz w:val="24"/>
          <w:szCs w:val="24"/>
        </w:rPr>
        <w:t xml:space="preserve"> re</w:t>
      </w:r>
      <w:r w:rsidR="000A27F4">
        <w:rPr>
          <w:rFonts w:ascii="Times New Roman" w:hAnsi="Times New Roman" w:cs="Times New Roman"/>
          <w:sz w:val="24"/>
          <w:szCs w:val="24"/>
        </w:rPr>
        <w:t xml:space="preserve">spondents to the </w:t>
      </w:r>
      <w:r w:rsidR="00FF6C5F">
        <w:rPr>
          <w:rFonts w:ascii="Times New Roman" w:hAnsi="Times New Roman" w:cs="Times New Roman"/>
          <w:sz w:val="24"/>
          <w:szCs w:val="24"/>
        </w:rPr>
        <w:t xml:space="preserve">initial </w:t>
      </w:r>
      <w:r w:rsidR="00D0083B">
        <w:rPr>
          <w:rFonts w:ascii="Times New Roman" w:hAnsi="Times New Roman" w:cs="Times New Roman"/>
          <w:sz w:val="24"/>
          <w:szCs w:val="24"/>
        </w:rPr>
        <w:t>cognitive test for the SSAGO-HT</w:t>
      </w:r>
      <w:r w:rsidR="000A27F4">
        <w:rPr>
          <w:rFonts w:ascii="Times New Roman" w:hAnsi="Times New Roman" w:cs="Times New Roman"/>
          <w:sz w:val="24"/>
          <w:szCs w:val="24"/>
        </w:rPr>
        <w:t xml:space="preserve"> survey reported a bur</w:t>
      </w:r>
      <w:r w:rsidR="000A27F4" w:rsidRPr="004F2D02">
        <w:rPr>
          <w:rFonts w:ascii="Times New Roman" w:hAnsi="Times New Roman" w:cs="Times New Roman"/>
          <w:sz w:val="24"/>
          <w:szCs w:val="24"/>
        </w:rPr>
        <w:t xml:space="preserve">den of </w:t>
      </w:r>
      <w:r w:rsidR="004E47E1">
        <w:rPr>
          <w:rFonts w:ascii="Times New Roman" w:hAnsi="Times New Roman" w:cs="Times New Roman"/>
          <w:sz w:val="24"/>
          <w:szCs w:val="24"/>
        </w:rPr>
        <w:t>1</w:t>
      </w:r>
      <w:r w:rsidR="005C1082">
        <w:rPr>
          <w:rFonts w:ascii="Times New Roman" w:hAnsi="Times New Roman" w:cs="Times New Roman"/>
          <w:sz w:val="24"/>
          <w:szCs w:val="24"/>
        </w:rPr>
        <w:t>0</w:t>
      </w:r>
      <w:r w:rsidR="004E47E1">
        <w:rPr>
          <w:rFonts w:ascii="Times New Roman" w:hAnsi="Times New Roman" w:cs="Times New Roman"/>
          <w:sz w:val="24"/>
          <w:szCs w:val="24"/>
        </w:rPr>
        <w:t xml:space="preserve"> to 35</w:t>
      </w:r>
      <w:r w:rsidR="00D0083B">
        <w:rPr>
          <w:rFonts w:ascii="Times New Roman" w:hAnsi="Times New Roman" w:cs="Times New Roman"/>
          <w:sz w:val="24"/>
          <w:szCs w:val="24"/>
        </w:rPr>
        <w:t xml:space="preserve"> </w:t>
      </w:r>
      <w:r w:rsidR="000A27F4" w:rsidRPr="004F2D02">
        <w:rPr>
          <w:rFonts w:ascii="Times New Roman" w:hAnsi="Times New Roman" w:cs="Times New Roman"/>
          <w:sz w:val="24"/>
          <w:szCs w:val="24"/>
        </w:rPr>
        <w:t>minutes to comp</w:t>
      </w:r>
      <w:r w:rsidR="0048675D">
        <w:rPr>
          <w:rFonts w:ascii="Times New Roman" w:hAnsi="Times New Roman" w:cs="Times New Roman"/>
          <w:sz w:val="24"/>
          <w:szCs w:val="24"/>
        </w:rPr>
        <w:t>lete the surv</w:t>
      </w:r>
      <w:r w:rsidR="00D0083B">
        <w:rPr>
          <w:rFonts w:ascii="Times New Roman" w:hAnsi="Times New Roman" w:cs="Times New Roman"/>
          <w:sz w:val="24"/>
          <w:szCs w:val="24"/>
        </w:rPr>
        <w:t xml:space="preserve">ey, for an average burden of </w:t>
      </w:r>
      <w:r w:rsidR="004E47E1">
        <w:rPr>
          <w:rFonts w:ascii="Times New Roman" w:hAnsi="Times New Roman" w:cs="Times New Roman"/>
          <w:sz w:val="24"/>
          <w:szCs w:val="24"/>
        </w:rPr>
        <w:t>25</w:t>
      </w:r>
      <w:r w:rsidR="00D0083B">
        <w:rPr>
          <w:rFonts w:ascii="Times New Roman" w:hAnsi="Times New Roman" w:cs="Times New Roman"/>
          <w:sz w:val="24"/>
          <w:szCs w:val="24"/>
        </w:rPr>
        <w:t xml:space="preserve"> minutes</w:t>
      </w:r>
      <w:r w:rsidR="00FF6C5F">
        <w:rPr>
          <w:rFonts w:ascii="Times New Roman" w:hAnsi="Times New Roman" w:cs="Times New Roman"/>
          <w:sz w:val="24"/>
          <w:szCs w:val="24"/>
        </w:rPr>
        <w:t xml:space="preserve">. </w:t>
      </w:r>
      <w:r w:rsidR="00D153FF">
        <w:rPr>
          <w:rFonts w:ascii="Times New Roman" w:hAnsi="Times New Roman" w:cs="Times New Roman"/>
          <w:sz w:val="24"/>
          <w:szCs w:val="24"/>
        </w:rPr>
        <w:t>The estimated burden hours a</w:t>
      </w:r>
      <w:r w:rsidR="000A27F4" w:rsidRPr="00433519">
        <w:rPr>
          <w:rFonts w:ascii="Times New Roman" w:hAnsi="Times New Roman" w:cs="Times New Roman"/>
          <w:sz w:val="24"/>
          <w:szCs w:val="24"/>
        </w:rPr>
        <w:t>re calculated as follows</w:t>
      </w:r>
      <w:r w:rsidR="000A27F4">
        <w:rPr>
          <w:rFonts w:ascii="Times New Roman" w:hAnsi="Times New Roman" w:cs="Times New Roman"/>
          <w:sz w:val="24"/>
          <w:szCs w:val="24"/>
        </w:rPr>
        <w:t>:</w:t>
      </w:r>
    </w:p>
    <w:p w14:paraId="1363A258" w14:textId="77777777" w:rsidR="000A27F4" w:rsidRDefault="000A27F4" w:rsidP="000A27F4">
      <w:pPr>
        <w:tabs>
          <w:tab w:val="left" w:pos="-720"/>
        </w:tabs>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555"/>
        <w:gridCol w:w="1795"/>
      </w:tblGrid>
      <w:tr w:rsidR="000A27F4" w14:paraId="2252AC1B" w14:textId="77777777" w:rsidTr="004F2D02">
        <w:trPr>
          <w:trHeight w:val="296"/>
        </w:trPr>
        <w:tc>
          <w:tcPr>
            <w:tcW w:w="7555" w:type="dxa"/>
            <w:vAlign w:val="bottom"/>
          </w:tcPr>
          <w:p w14:paraId="7057CAB4" w14:textId="77777777" w:rsidR="000A27F4" w:rsidRPr="00D0083B" w:rsidRDefault="000A27F4" w:rsidP="006E71A2">
            <w:pPr>
              <w:tabs>
                <w:tab w:val="left" w:pos="-720"/>
              </w:tabs>
              <w:autoSpaceDE w:val="0"/>
              <w:autoSpaceDN w:val="0"/>
              <w:adjustRightInd w:val="0"/>
              <w:spacing w:after="0" w:line="240" w:lineRule="auto"/>
              <w:rPr>
                <w:rFonts w:ascii="Times New Roman" w:hAnsi="Times New Roman"/>
                <w:b/>
                <w:sz w:val="24"/>
                <w:szCs w:val="24"/>
              </w:rPr>
            </w:pPr>
            <w:r w:rsidRPr="00D0083B">
              <w:rPr>
                <w:rFonts w:ascii="Times New Roman" w:hAnsi="Times New Roman"/>
                <w:b/>
                <w:sz w:val="24"/>
                <w:szCs w:val="24"/>
              </w:rPr>
              <w:t xml:space="preserve">Number of respondents </w:t>
            </w:r>
            <w:r w:rsidR="00D0083B" w:rsidRPr="00D0083B">
              <w:rPr>
                <w:rFonts w:ascii="Times New Roman" w:hAnsi="Times New Roman"/>
                <w:b/>
                <w:sz w:val="24"/>
                <w:szCs w:val="24"/>
              </w:rPr>
              <w:t>for the SSAGO-HT</w:t>
            </w:r>
          </w:p>
        </w:tc>
        <w:tc>
          <w:tcPr>
            <w:tcW w:w="1795" w:type="dxa"/>
            <w:vAlign w:val="bottom"/>
          </w:tcPr>
          <w:p w14:paraId="73085931" w14:textId="77777777" w:rsidR="000A27F4" w:rsidRPr="004F2D02" w:rsidRDefault="000A27F4" w:rsidP="006E71A2">
            <w:pPr>
              <w:tabs>
                <w:tab w:val="left" w:pos="-720"/>
              </w:tabs>
              <w:autoSpaceDE w:val="0"/>
              <w:autoSpaceDN w:val="0"/>
              <w:adjustRightInd w:val="0"/>
              <w:spacing w:after="0" w:line="240" w:lineRule="auto"/>
              <w:jc w:val="center"/>
              <w:rPr>
                <w:rFonts w:ascii="Times New Roman" w:hAnsi="Times New Roman"/>
                <w:sz w:val="24"/>
                <w:szCs w:val="24"/>
              </w:rPr>
            </w:pPr>
            <w:r w:rsidRPr="004F2D02">
              <w:rPr>
                <w:rFonts w:ascii="Times New Roman" w:hAnsi="Times New Roman"/>
                <w:sz w:val="24"/>
                <w:szCs w:val="24"/>
              </w:rPr>
              <w:t>56 offices</w:t>
            </w:r>
          </w:p>
        </w:tc>
      </w:tr>
      <w:tr w:rsidR="000A27F4" w14:paraId="03790C15" w14:textId="77777777" w:rsidTr="004F2D02">
        <w:tc>
          <w:tcPr>
            <w:tcW w:w="7555" w:type="dxa"/>
            <w:vAlign w:val="bottom"/>
          </w:tcPr>
          <w:p w14:paraId="58A152A9" w14:textId="77777777" w:rsidR="000A27F4" w:rsidRPr="004F2D02" w:rsidRDefault="000A27F4" w:rsidP="006E71A2">
            <w:pPr>
              <w:tabs>
                <w:tab w:val="left" w:pos="-720"/>
              </w:tabs>
              <w:autoSpaceDE w:val="0"/>
              <w:autoSpaceDN w:val="0"/>
              <w:adjustRightInd w:val="0"/>
              <w:spacing w:after="0" w:line="240" w:lineRule="auto"/>
              <w:rPr>
                <w:rFonts w:ascii="Times New Roman" w:hAnsi="Times New Roman"/>
                <w:sz w:val="24"/>
                <w:szCs w:val="24"/>
              </w:rPr>
            </w:pPr>
            <w:r w:rsidRPr="004F2D02">
              <w:rPr>
                <w:rFonts w:ascii="Times New Roman" w:hAnsi="Times New Roman"/>
                <w:sz w:val="24"/>
                <w:szCs w:val="24"/>
              </w:rPr>
              <w:t>Time to complete the survey instrument by each respondent</w:t>
            </w:r>
          </w:p>
        </w:tc>
        <w:tc>
          <w:tcPr>
            <w:tcW w:w="1795" w:type="dxa"/>
            <w:vAlign w:val="bottom"/>
          </w:tcPr>
          <w:p w14:paraId="3FED08D8" w14:textId="0FC33BFC" w:rsidR="000A27F4" w:rsidRPr="004F2D02" w:rsidRDefault="004E47E1" w:rsidP="006E71A2">
            <w:pPr>
              <w:tabs>
                <w:tab w:val="left" w:pos="-72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25</w:t>
            </w:r>
            <w:r w:rsidR="000A27F4" w:rsidRPr="004F2D02">
              <w:rPr>
                <w:rFonts w:ascii="Times New Roman" w:hAnsi="Times New Roman"/>
                <w:sz w:val="24"/>
                <w:szCs w:val="24"/>
              </w:rPr>
              <w:t xml:space="preserve"> minutes</w:t>
            </w:r>
          </w:p>
        </w:tc>
      </w:tr>
      <w:tr w:rsidR="000A27F4" w14:paraId="6368FE65" w14:textId="77777777" w:rsidTr="004F2D02">
        <w:tc>
          <w:tcPr>
            <w:tcW w:w="7555" w:type="dxa"/>
          </w:tcPr>
          <w:p w14:paraId="55D12B4A" w14:textId="77777777" w:rsidR="000A27F4" w:rsidRPr="004F2D02" w:rsidRDefault="000A27F4" w:rsidP="00FF6C5F">
            <w:pPr>
              <w:tabs>
                <w:tab w:val="left" w:pos="-720"/>
              </w:tabs>
              <w:autoSpaceDE w:val="0"/>
              <w:autoSpaceDN w:val="0"/>
              <w:adjustRightInd w:val="0"/>
              <w:spacing w:after="0" w:line="240" w:lineRule="auto"/>
              <w:rPr>
                <w:rFonts w:ascii="Times New Roman" w:hAnsi="Times New Roman"/>
                <w:sz w:val="24"/>
                <w:szCs w:val="24"/>
              </w:rPr>
            </w:pPr>
            <w:r w:rsidRPr="004F2D02">
              <w:rPr>
                <w:rFonts w:ascii="Times New Roman" w:hAnsi="Times New Roman"/>
                <w:sz w:val="24"/>
                <w:szCs w:val="24"/>
              </w:rPr>
              <w:t xml:space="preserve">Time for </w:t>
            </w:r>
            <w:r w:rsidR="00FF6C5F">
              <w:rPr>
                <w:rFonts w:ascii="Times New Roman" w:hAnsi="Times New Roman"/>
                <w:sz w:val="24"/>
                <w:szCs w:val="24"/>
              </w:rPr>
              <w:t>respondent to confer with colleagues about survey</w:t>
            </w:r>
            <w:r w:rsidRPr="004F2D02">
              <w:rPr>
                <w:rFonts w:ascii="Times New Roman" w:hAnsi="Times New Roman"/>
                <w:sz w:val="24"/>
                <w:szCs w:val="24"/>
              </w:rPr>
              <w:t xml:space="preserve"> </w:t>
            </w:r>
          </w:p>
        </w:tc>
        <w:tc>
          <w:tcPr>
            <w:tcW w:w="1795" w:type="dxa"/>
            <w:vAlign w:val="bottom"/>
          </w:tcPr>
          <w:p w14:paraId="54768F6C" w14:textId="2DBFF3C5" w:rsidR="000A27F4" w:rsidRPr="004F2D02" w:rsidRDefault="004E47E1" w:rsidP="006E71A2">
            <w:pPr>
              <w:tabs>
                <w:tab w:val="left" w:pos="-72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5 </w:t>
            </w:r>
            <w:r w:rsidR="000A27F4" w:rsidRPr="004F2D02">
              <w:rPr>
                <w:rFonts w:ascii="Times New Roman" w:hAnsi="Times New Roman"/>
                <w:sz w:val="24"/>
                <w:szCs w:val="24"/>
              </w:rPr>
              <w:t>minutes</w:t>
            </w:r>
          </w:p>
        </w:tc>
      </w:tr>
      <w:tr w:rsidR="000A27F4" w14:paraId="5A0FB641" w14:textId="77777777" w:rsidTr="004F2D02">
        <w:tc>
          <w:tcPr>
            <w:tcW w:w="7555" w:type="dxa"/>
          </w:tcPr>
          <w:p w14:paraId="4DF45291" w14:textId="77777777" w:rsidR="000A27F4" w:rsidRPr="004F2D02" w:rsidRDefault="000A27F4" w:rsidP="006E71A2">
            <w:pPr>
              <w:tabs>
                <w:tab w:val="left" w:pos="-720"/>
              </w:tabs>
              <w:autoSpaceDE w:val="0"/>
              <w:autoSpaceDN w:val="0"/>
              <w:adjustRightInd w:val="0"/>
              <w:spacing w:after="0" w:line="240" w:lineRule="auto"/>
              <w:rPr>
                <w:rFonts w:ascii="Times New Roman" w:hAnsi="Times New Roman"/>
                <w:sz w:val="24"/>
                <w:szCs w:val="24"/>
              </w:rPr>
            </w:pPr>
            <w:r w:rsidRPr="004F2D02">
              <w:rPr>
                <w:rFonts w:ascii="Times New Roman" w:hAnsi="Times New Roman"/>
                <w:sz w:val="24"/>
                <w:szCs w:val="24"/>
              </w:rPr>
              <w:t>Total average burden per respondent</w:t>
            </w:r>
          </w:p>
        </w:tc>
        <w:tc>
          <w:tcPr>
            <w:tcW w:w="1795" w:type="dxa"/>
            <w:vAlign w:val="bottom"/>
          </w:tcPr>
          <w:p w14:paraId="31105167" w14:textId="23CF5E56" w:rsidR="000A27F4" w:rsidRPr="004F2D02" w:rsidRDefault="004E47E1" w:rsidP="00FF6C5F">
            <w:pPr>
              <w:tabs>
                <w:tab w:val="left" w:pos="-72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30</w:t>
            </w:r>
            <w:r w:rsidR="000A27F4" w:rsidRPr="004F2D02">
              <w:rPr>
                <w:rFonts w:ascii="Times New Roman" w:hAnsi="Times New Roman"/>
                <w:sz w:val="24"/>
                <w:szCs w:val="24"/>
              </w:rPr>
              <w:t xml:space="preserve"> minutes</w:t>
            </w:r>
          </w:p>
        </w:tc>
      </w:tr>
      <w:tr w:rsidR="000A27F4" w14:paraId="2F455AE4" w14:textId="77777777" w:rsidTr="004F2D02">
        <w:tc>
          <w:tcPr>
            <w:tcW w:w="7555" w:type="dxa"/>
          </w:tcPr>
          <w:p w14:paraId="27CFD3A6" w14:textId="11B6538C" w:rsidR="000A27F4" w:rsidRPr="004F2D02" w:rsidRDefault="000A27F4" w:rsidP="004E47E1">
            <w:pPr>
              <w:tabs>
                <w:tab w:val="left" w:pos="-720"/>
              </w:tabs>
              <w:autoSpaceDE w:val="0"/>
              <w:autoSpaceDN w:val="0"/>
              <w:adjustRightInd w:val="0"/>
              <w:spacing w:after="0" w:line="240" w:lineRule="auto"/>
              <w:rPr>
                <w:rFonts w:ascii="Times New Roman" w:hAnsi="Times New Roman"/>
                <w:sz w:val="24"/>
                <w:szCs w:val="24"/>
              </w:rPr>
            </w:pPr>
            <w:r w:rsidRPr="004F2D02">
              <w:rPr>
                <w:rFonts w:ascii="Times New Roman" w:hAnsi="Times New Roman"/>
                <w:sz w:val="24"/>
                <w:szCs w:val="24"/>
              </w:rPr>
              <w:t>Total burden for all respondents (</w:t>
            </w:r>
            <w:r w:rsidR="004E47E1">
              <w:rPr>
                <w:rFonts w:ascii="Times New Roman" w:hAnsi="Times New Roman"/>
                <w:sz w:val="24"/>
                <w:szCs w:val="24"/>
              </w:rPr>
              <w:t>30</w:t>
            </w:r>
            <w:r w:rsidRPr="004F2D02">
              <w:rPr>
                <w:rFonts w:ascii="Times New Roman" w:hAnsi="Times New Roman"/>
                <w:sz w:val="24"/>
                <w:szCs w:val="24"/>
              </w:rPr>
              <w:t xml:space="preserve"> minutes * 56 respondents)</w:t>
            </w:r>
            <w:r w:rsidR="004F2D02" w:rsidRPr="004F2D02">
              <w:rPr>
                <w:rFonts w:ascii="Times New Roman" w:hAnsi="Times New Roman"/>
                <w:sz w:val="24"/>
                <w:szCs w:val="24"/>
              </w:rPr>
              <w:t>/</w:t>
            </w:r>
            <w:r w:rsidR="004E47E1">
              <w:rPr>
                <w:rFonts w:ascii="Times New Roman" w:hAnsi="Times New Roman"/>
                <w:sz w:val="24"/>
                <w:szCs w:val="24"/>
              </w:rPr>
              <w:t>60</w:t>
            </w:r>
            <w:r w:rsidR="004F2D02" w:rsidRPr="004F2D02">
              <w:rPr>
                <w:rFonts w:ascii="Times New Roman" w:hAnsi="Times New Roman"/>
                <w:sz w:val="24"/>
                <w:szCs w:val="24"/>
              </w:rPr>
              <w:t xml:space="preserve"> minutes</w:t>
            </w:r>
          </w:p>
        </w:tc>
        <w:tc>
          <w:tcPr>
            <w:tcW w:w="1795" w:type="dxa"/>
            <w:vAlign w:val="bottom"/>
          </w:tcPr>
          <w:p w14:paraId="6AF760B1" w14:textId="05472183" w:rsidR="000A27F4" w:rsidRPr="004F2D02" w:rsidRDefault="004E47E1" w:rsidP="006E71A2">
            <w:pPr>
              <w:tabs>
                <w:tab w:val="left" w:pos="-720"/>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28</w:t>
            </w:r>
            <w:r w:rsidR="001B2F55">
              <w:rPr>
                <w:rFonts w:ascii="Times New Roman" w:hAnsi="Times New Roman"/>
                <w:sz w:val="24"/>
                <w:szCs w:val="24"/>
              </w:rPr>
              <w:t xml:space="preserve"> </w:t>
            </w:r>
            <w:r w:rsidR="000A27F4" w:rsidRPr="004F2D02">
              <w:rPr>
                <w:rFonts w:ascii="Times New Roman" w:hAnsi="Times New Roman"/>
                <w:sz w:val="24"/>
                <w:szCs w:val="24"/>
              </w:rPr>
              <w:t>hours</w:t>
            </w:r>
          </w:p>
        </w:tc>
      </w:tr>
    </w:tbl>
    <w:p w14:paraId="12BCA895" w14:textId="77777777" w:rsidR="000A27F4" w:rsidRDefault="000A27F4" w:rsidP="000A27F4">
      <w:pPr>
        <w:spacing w:after="0" w:line="240" w:lineRule="auto"/>
        <w:rPr>
          <w:rFonts w:ascii="Times New Roman" w:hAnsi="Times New Roman" w:cs="Times New Roman"/>
          <w:sz w:val="24"/>
          <w:szCs w:val="24"/>
        </w:rPr>
      </w:pPr>
    </w:p>
    <w:p w14:paraId="03A31463" w14:textId="77777777" w:rsidR="000A27F4" w:rsidRPr="0038125C" w:rsidRDefault="000A27F4" w:rsidP="000A27F4">
      <w:pPr>
        <w:pStyle w:val="ListParagraph"/>
        <w:numPr>
          <w:ilvl w:val="0"/>
          <w:numId w:val="2"/>
        </w:numPr>
        <w:spacing w:after="0" w:line="240" w:lineRule="auto"/>
        <w:contextualSpacing w:val="0"/>
        <w:rPr>
          <w:rFonts w:ascii="Times New Roman" w:hAnsi="Times New Roman" w:cs="Times New Roman"/>
          <w:sz w:val="24"/>
          <w:szCs w:val="24"/>
        </w:rPr>
      </w:pPr>
      <w:r w:rsidRPr="0038125C">
        <w:rPr>
          <w:rFonts w:ascii="Times New Roman" w:hAnsi="Times New Roman" w:cs="Times New Roman"/>
          <w:sz w:val="24"/>
          <w:szCs w:val="24"/>
          <w:u w:val="single"/>
        </w:rPr>
        <w:t>Estimate of Respondent’s Cost Burden</w:t>
      </w:r>
    </w:p>
    <w:p w14:paraId="2251DDDA" w14:textId="29DEF158" w:rsidR="00D05AB8" w:rsidRPr="0038125C" w:rsidRDefault="00D153FF"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R</w:t>
      </w:r>
      <w:r w:rsidR="000A27F4" w:rsidRPr="0038125C">
        <w:rPr>
          <w:rFonts w:ascii="Times New Roman" w:hAnsi="Times New Roman" w:cs="Times New Roman"/>
          <w:sz w:val="24"/>
          <w:szCs w:val="24"/>
        </w:rPr>
        <w:t>espondents</w:t>
      </w:r>
      <w:r>
        <w:rPr>
          <w:rFonts w:ascii="Times New Roman" w:hAnsi="Times New Roman" w:cs="Times New Roman"/>
          <w:sz w:val="24"/>
          <w:szCs w:val="24"/>
        </w:rPr>
        <w:t xml:space="preserve"> are expected</w:t>
      </w:r>
      <w:r w:rsidR="000A27F4" w:rsidRPr="0038125C">
        <w:rPr>
          <w:rFonts w:ascii="Times New Roman" w:hAnsi="Times New Roman" w:cs="Times New Roman"/>
          <w:sz w:val="24"/>
          <w:szCs w:val="24"/>
        </w:rPr>
        <w:t xml:space="preserve"> to</w:t>
      </w:r>
      <w:r>
        <w:rPr>
          <w:rFonts w:ascii="Times New Roman" w:hAnsi="Times New Roman" w:cs="Times New Roman"/>
          <w:sz w:val="24"/>
          <w:szCs w:val="24"/>
        </w:rPr>
        <w:t xml:space="preserve"> incur cos</w:t>
      </w:r>
      <w:r w:rsidR="000A27F4" w:rsidRPr="0038125C">
        <w:rPr>
          <w:rFonts w:ascii="Times New Roman" w:hAnsi="Times New Roman" w:cs="Times New Roman"/>
          <w:sz w:val="24"/>
          <w:szCs w:val="24"/>
        </w:rPr>
        <w:t xml:space="preserve">ts </w:t>
      </w:r>
      <w:r>
        <w:rPr>
          <w:rFonts w:ascii="Times New Roman" w:hAnsi="Times New Roman" w:cs="Times New Roman"/>
          <w:sz w:val="24"/>
          <w:szCs w:val="24"/>
        </w:rPr>
        <w:t>for their time to</w:t>
      </w:r>
      <w:r w:rsidR="000A27F4" w:rsidRPr="0038125C">
        <w:rPr>
          <w:rFonts w:ascii="Times New Roman" w:hAnsi="Times New Roman" w:cs="Times New Roman"/>
          <w:sz w:val="24"/>
          <w:szCs w:val="24"/>
        </w:rPr>
        <w:t xml:space="preserve"> respond. </w:t>
      </w:r>
      <w:r>
        <w:rPr>
          <w:rFonts w:ascii="Times New Roman" w:hAnsi="Times New Roman" w:cs="Times New Roman"/>
          <w:sz w:val="24"/>
          <w:szCs w:val="24"/>
        </w:rPr>
        <w:t>BJS anticipates that one</w:t>
      </w:r>
      <w:r w:rsidR="00D05AB8">
        <w:rPr>
          <w:rFonts w:ascii="Times New Roman" w:hAnsi="Times New Roman" w:cs="Times New Roman"/>
          <w:sz w:val="24"/>
          <w:szCs w:val="24"/>
        </w:rPr>
        <w:t xml:space="preserve"> full-time e</w:t>
      </w:r>
      <w:r>
        <w:rPr>
          <w:rFonts w:ascii="Times New Roman" w:hAnsi="Times New Roman" w:cs="Times New Roman"/>
          <w:sz w:val="24"/>
          <w:szCs w:val="24"/>
        </w:rPr>
        <w:t>quivalent</w:t>
      </w:r>
      <w:r w:rsidR="00D05AB8">
        <w:rPr>
          <w:rFonts w:ascii="Times New Roman" w:hAnsi="Times New Roman" w:cs="Times New Roman"/>
          <w:sz w:val="24"/>
          <w:szCs w:val="24"/>
        </w:rPr>
        <w:t xml:space="preserve"> per state attorney general survey will complete the instrument, with pay approximately equivalent to the base GS-15/01 level ($</w:t>
      </w:r>
      <w:r w:rsidR="00FF6C5F">
        <w:rPr>
          <w:rFonts w:ascii="Times New Roman" w:hAnsi="Times New Roman" w:cs="Times New Roman"/>
          <w:sz w:val="24"/>
          <w:szCs w:val="24"/>
        </w:rPr>
        <w:t>105,123</w:t>
      </w:r>
      <w:r w:rsidR="00D05AB8">
        <w:rPr>
          <w:rFonts w:ascii="Times New Roman" w:hAnsi="Times New Roman" w:cs="Times New Roman"/>
          <w:sz w:val="24"/>
          <w:szCs w:val="24"/>
        </w:rPr>
        <w:t xml:space="preserve">). Based on this </w:t>
      </w:r>
      <w:r>
        <w:rPr>
          <w:rFonts w:ascii="Times New Roman" w:hAnsi="Times New Roman" w:cs="Times New Roman"/>
          <w:sz w:val="24"/>
          <w:szCs w:val="24"/>
        </w:rPr>
        <w:t>assumption</w:t>
      </w:r>
      <w:r w:rsidR="00D05AB8">
        <w:rPr>
          <w:rFonts w:ascii="Times New Roman" w:hAnsi="Times New Roman" w:cs="Times New Roman"/>
          <w:sz w:val="24"/>
          <w:szCs w:val="24"/>
        </w:rPr>
        <w:t>, the office cost of employee time would be approximately $</w:t>
      </w:r>
      <w:r w:rsidR="00FF6C5F">
        <w:rPr>
          <w:rFonts w:ascii="Times New Roman" w:hAnsi="Times New Roman" w:cs="Times New Roman"/>
          <w:sz w:val="24"/>
          <w:szCs w:val="24"/>
        </w:rPr>
        <w:t>50</w:t>
      </w:r>
      <w:r w:rsidR="00D05AB8">
        <w:rPr>
          <w:rFonts w:ascii="Times New Roman" w:hAnsi="Times New Roman" w:cs="Times New Roman"/>
          <w:sz w:val="24"/>
          <w:szCs w:val="24"/>
        </w:rPr>
        <w:t>.</w:t>
      </w:r>
      <w:r w:rsidR="00FF6C5F">
        <w:rPr>
          <w:rFonts w:ascii="Times New Roman" w:hAnsi="Times New Roman" w:cs="Times New Roman"/>
          <w:sz w:val="24"/>
          <w:szCs w:val="24"/>
        </w:rPr>
        <w:t>54</w:t>
      </w:r>
      <w:r w:rsidR="00D05AB8">
        <w:rPr>
          <w:rFonts w:ascii="Times New Roman" w:hAnsi="Times New Roman" w:cs="Times New Roman"/>
          <w:sz w:val="24"/>
          <w:szCs w:val="24"/>
        </w:rPr>
        <w:t xml:space="preserve"> per hour. </w:t>
      </w:r>
      <w:r w:rsidR="004C26A9">
        <w:rPr>
          <w:rFonts w:ascii="Times New Roman" w:hAnsi="Times New Roman" w:cs="Times New Roman"/>
          <w:sz w:val="24"/>
          <w:szCs w:val="24"/>
        </w:rPr>
        <w:t xml:space="preserve">The </w:t>
      </w:r>
      <w:r>
        <w:rPr>
          <w:rFonts w:ascii="Times New Roman" w:hAnsi="Times New Roman" w:cs="Times New Roman"/>
          <w:sz w:val="24"/>
          <w:szCs w:val="24"/>
        </w:rPr>
        <w:t xml:space="preserve">total respondent employee </w:t>
      </w:r>
      <w:r w:rsidR="004C26A9">
        <w:rPr>
          <w:rFonts w:ascii="Times New Roman" w:hAnsi="Times New Roman" w:cs="Times New Roman"/>
          <w:sz w:val="24"/>
          <w:szCs w:val="24"/>
        </w:rPr>
        <w:t>cost burden is estimated at $</w:t>
      </w:r>
      <w:r w:rsidR="00FF6C5F">
        <w:rPr>
          <w:rFonts w:ascii="Times New Roman" w:hAnsi="Times New Roman" w:cs="Times New Roman"/>
          <w:sz w:val="24"/>
          <w:szCs w:val="24"/>
        </w:rPr>
        <w:t>1,</w:t>
      </w:r>
      <w:r w:rsidR="004E47E1">
        <w:rPr>
          <w:rFonts w:ascii="Times New Roman" w:hAnsi="Times New Roman" w:cs="Times New Roman"/>
          <w:sz w:val="24"/>
          <w:szCs w:val="24"/>
        </w:rPr>
        <w:t>415</w:t>
      </w:r>
      <w:r w:rsidR="00FF6C5F">
        <w:rPr>
          <w:rFonts w:ascii="Times New Roman" w:hAnsi="Times New Roman" w:cs="Times New Roman"/>
          <w:sz w:val="24"/>
          <w:szCs w:val="24"/>
        </w:rPr>
        <w:t>.</w:t>
      </w:r>
      <w:r w:rsidR="004E47E1">
        <w:rPr>
          <w:rFonts w:ascii="Times New Roman" w:hAnsi="Times New Roman" w:cs="Times New Roman"/>
          <w:sz w:val="24"/>
          <w:szCs w:val="24"/>
        </w:rPr>
        <w:t>1</w:t>
      </w:r>
      <w:r w:rsidR="00FF6C5F">
        <w:rPr>
          <w:rFonts w:ascii="Times New Roman" w:hAnsi="Times New Roman" w:cs="Times New Roman"/>
          <w:sz w:val="24"/>
          <w:szCs w:val="24"/>
        </w:rPr>
        <w:t>2</w:t>
      </w:r>
      <w:r>
        <w:rPr>
          <w:rFonts w:ascii="Times New Roman" w:hAnsi="Times New Roman" w:cs="Times New Roman"/>
          <w:sz w:val="24"/>
          <w:szCs w:val="24"/>
        </w:rPr>
        <w:t xml:space="preserve"> for the </w:t>
      </w:r>
      <w:r w:rsidR="004E47E1">
        <w:rPr>
          <w:rFonts w:ascii="Times New Roman" w:hAnsi="Times New Roman" w:cs="Times New Roman"/>
          <w:sz w:val="24"/>
          <w:szCs w:val="24"/>
        </w:rPr>
        <w:t>28</w:t>
      </w:r>
      <w:r w:rsidR="004C26A9">
        <w:rPr>
          <w:rFonts w:ascii="Times New Roman" w:hAnsi="Times New Roman" w:cs="Times New Roman"/>
          <w:sz w:val="24"/>
          <w:szCs w:val="24"/>
        </w:rPr>
        <w:t xml:space="preserve"> total burden hours. Fringe benefits costs are estimated to average 46% of the base cost, at $</w:t>
      </w:r>
      <w:r w:rsidR="004E47E1">
        <w:rPr>
          <w:rFonts w:ascii="Times New Roman" w:hAnsi="Times New Roman" w:cs="Times New Roman"/>
          <w:sz w:val="24"/>
          <w:szCs w:val="24"/>
        </w:rPr>
        <w:t>650</w:t>
      </w:r>
      <w:r w:rsidR="00FF6C5F">
        <w:rPr>
          <w:rFonts w:ascii="Times New Roman" w:hAnsi="Times New Roman" w:cs="Times New Roman"/>
          <w:sz w:val="24"/>
          <w:szCs w:val="24"/>
        </w:rPr>
        <w:t>.</w:t>
      </w:r>
      <w:r w:rsidR="004E47E1">
        <w:rPr>
          <w:rFonts w:ascii="Times New Roman" w:hAnsi="Times New Roman" w:cs="Times New Roman"/>
          <w:sz w:val="24"/>
          <w:szCs w:val="24"/>
        </w:rPr>
        <w:t>96</w:t>
      </w:r>
      <w:r w:rsidR="004C26A9">
        <w:rPr>
          <w:rFonts w:ascii="Times New Roman" w:hAnsi="Times New Roman" w:cs="Times New Roman"/>
          <w:sz w:val="24"/>
          <w:szCs w:val="24"/>
        </w:rPr>
        <w:t>, resulting in a total salary and benefits cost of $</w:t>
      </w:r>
      <w:r w:rsidR="00FF6C5F">
        <w:rPr>
          <w:rFonts w:ascii="Times New Roman" w:hAnsi="Times New Roman" w:cs="Times New Roman"/>
          <w:sz w:val="24"/>
          <w:szCs w:val="24"/>
        </w:rPr>
        <w:t>2,</w:t>
      </w:r>
      <w:r w:rsidR="004E47E1">
        <w:rPr>
          <w:rFonts w:ascii="Times New Roman" w:hAnsi="Times New Roman" w:cs="Times New Roman"/>
          <w:sz w:val="24"/>
          <w:szCs w:val="24"/>
        </w:rPr>
        <w:t>066</w:t>
      </w:r>
      <w:r w:rsidR="00FF6C5F">
        <w:rPr>
          <w:rFonts w:ascii="Times New Roman" w:hAnsi="Times New Roman" w:cs="Times New Roman"/>
          <w:sz w:val="24"/>
          <w:szCs w:val="24"/>
        </w:rPr>
        <w:t>.</w:t>
      </w:r>
      <w:r w:rsidR="004E47E1">
        <w:rPr>
          <w:rFonts w:ascii="Times New Roman" w:hAnsi="Times New Roman" w:cs="Times New Roman"/>
          <w:sz w:val="24"/>
          <w:szCs w:val="24"/>
        </w:rPr>
        <w:t>0</w:t>
      </w:r>
      <w:r w:rsidR="00FF6C5F">
        <w:rPr>
          <w:rFonts w:ascii="Times New Roman" w:hAnsi="Times New Roman" w:cs="Times New Roman"/>
          <w:sz w:val="24"/>
          <w:szCs w:val="24"/>
        </w:rPr>
        <w:t>8</w:t>
      </w:r>
      <w:r w:rsidR="004C26A9">
        <w:rPr>
          <w:rFonts w:ascii="Times New Roman" w:hAnsi="Times New Roman" w:cs="Times New Roman"/>
          <w:sz w:val="24"/>
          <w:szCs w:val="24"/>
        </w:rPr>
        <w:t>. Indirect costs are estimated to average 37% of the salary and benefits total, or $</w:t>
      </w:r>
      <w:r w:rsidR="004E47E1">
        <w:rPr>
          <w:rFonts w:ascii="Times New Roman" w:hAnsi="Times New Roman" w:cs="Times New Roman"/>
          <w:sz w:val="24"/>
          <w:szCs w:val="24"/>
        </w:rPr>
        <w:t>764</w:t>
      </w:r>
      <w:r w:rsidR="00FF6C5F">
        <w:rPr>
          <w:rFonts w:ascii="Times New Roman" w:hAnsi="Times New Roman" w:cs="Times New Roman"/>
          <w:sz w:val="24"/>
          <w:szCs w:val="24"/>
        </w:rPr>
        <w:t>.</w:t>
      </w:r>
      <w:r w:rsidR="004E47E1">
        <w:rPr>
          <w:rFonts w:ascii="Times New Roman" w:hAnsi="Times New Roman" w:cs="Times New Roman"/>
          <w:sz w:val="24"/>
          <w:szCs w:val="24"/>
        </w:rPr>
        <w:t>45</w:t>
      </w:r>
      <w:r w:rsidR="004C26A9">
        <w:rPr>
          <w:rFonts w:ascii="Times New Roman" w:hAnsi="Times New Roman" w:cs="Times New Roman"/>
          <w:sz w:val="24"/>
          <w:szCs w:val="24"/>
        </w:rPr>
        <w:t>, for an overall total respondent cost burden of $</w:t>
      </w:r>
      <w:r w:rsidR="004E47E1">
        <w:rPr>
          <w:rFonts w:ascii="Times New Roman" w:hAnsi="Times New Roman" w:cs="Times New Roman"/>
          <w:sz w:val="24"/>
          <w:szCs w:val="24"/>
        </w:rPr>
        <w:t>2</w:t>
      </w:r>
      <w:r w:rsidR="00FF6C5F">
        <w:rPr>
          <w:rFonts w:ascii="Times New Roman" w:hAnsi="Times New Roman" w:cs="Times New Roman"/>
          <w:sz w:val="24"/>
          <w:szCs w:val="24"/>
        </w:rPr>
        <w:t>,</w:t>
      </w:r>
      <w:r w:rsidR="004E47E1">
        <w:rPr>
          <w:rFonts w:ascii="Times New Roman" w:hAnsi="Times New Roman" w:cs="Times New Roman"/>
          <w:sz w:val="24"/>
          <w:szCs w:val="24"/>
        </w:rPr>
        <w:t>830</w:t>
      </w:r>
      <w:r w:rsidR="00FF6C5F">
        <w:rPr>
          <w:rFonts w:ascii="Times New Roman" w:hAnsi="Times New Roman" w:cs="Times New Roman"/>
          <w:sz w:val="24"/>
          <w:szCs w:val="24"/>
        </w:rPr>
        <w:t>.</w:t>
      </w:r>
      <w:r w:rsidR="004E47E1">
        <w:rPr>
          <w:rFonts w:ascii="Times New Roman" w:hAnsi="Times New Roman" w:cs="Times New Roman"/>
          <w:sz w:val="24"/>
          <w:szCs w:val="24"/>
        </w:rPr>
        <w:t>53</w:t>
      </w:r>
      <w:r w:rsidR="004C26A9">
        <w:rPr>
          <w:rFonts w:ascii="Times New Roman" w:hAnsi="Times New Roman" w:cs="Times New Roman"/>
          <w:sz w:val="24"/>
          <w:szCs w:val="24"/>
        </w:rPr>
        <w:t>.</w:t>
      </w:r>
    </w:p>
    <w:p w14:paraId="39B8BD67" w14:textId="77777777" w:rsidR="000A27F4" w:rsidRDefault="000A27F4" w:rsidP="000A27F4">
      <w:pPr>
        <w:spacing w:after="0" w:line="240" w:lineRule="auto"/>
        <w:rPr>
          <w:rFonts w:ascii="Times New Roman" w:hAnsi="Times New Roman" w:cs="Times New Roman"/>
          <w:sz w:val="24"/>
          <w:szCs w:val="24"/>
          <w:highlight w:val="yellow"/>
        </w:rPr>
      </w:pPr>
    </w:p>
    <w:p w14:paraId="2F737840" w14:textId="77777777" w:rsidR="00867E16" w:rsidRPr="00E50184" w:rsidRDefault="00867E16" w:rsidP="000A27F4">
      <w:pPr>
        <w:spacing w:after="0" w:line="240" w:lineRule="auto"/>
        <w:rPr>
          <w:rFonts w:ascii="Times New Roman" w:hAnsi="Times New Roman" w:cs="Times New Roman"/>
          <w:sz w:val="24"/>
          <w:szCs w:val="24"/>
          <w:highlight w:val="yellow"/>
        </w:rPr>
      </w:pPr>
    </w:p>
    <w:p w14:paraId="7F46DDA6" w14:textId="77777777" w:rsidR="000A27F4" w:rsidRPr="0038125C" w:rsidRDefault="000A27F4" w:rsidP="000A27F4">
      <w:pPr>
        <w:pStyle w:val="ListParagraph"/>
        <w:numPr>
          <w:ilvl w:val="0"/>
          <w:numId w:val="2"/>
        </w:numPr>
        <w:spacing w:after="0" w:line="240" w:lineRule="auto"/>
        <w:contextualSpacing w:val="0"/>
        <w:rPr>
          <w:rFonts w:ascii="Times New Roman" w:hAnsi="Times New Roman" w:cs="Times New Roman"/>
          <w:sz w:val="24"/>
          <w:szCs w:val="24"/>
        </w:rPr>
      </w:pPr>
      <w:r w:rsidRPr="0038125C">
        <w:rPr>
          <w:rFonts w:ascii="Times New Roman" w:hAnsi="Times New Roman" w:cs="Times New Roman"/>
          <w:sz w:val="24"/>
          <w:szCs w:val="24"/>
          <w:u w:val="single"/>
        </w:rPr>
        <w:t>Costs to Federal Government</w:t>
      </w:r>
    </w:p>
    <w:p w14:paraId="5CB22336" w14:textId="4AA24681" w:rsidR="000A27F4" w:rsidRPr="0038125C" w:rsidRDefault="000A27F4" w:rsidP="000A27F4">
      <w:pPr>
        <w:spacing w:after="0" w:line="240" w:lineRule="auto"/>
        <w:rPr>
          <w:rFonts w:ascii="Times New Roman" w:hAnsi="Times New Roman" w:cs="Times New Roman"/>
          <w:sz w:val="24"/>
          <w:szCs w:val="24"/>
        </w:rPr>
      </w:pPr>
      <w:r w:rsidRPr="0038125C">
        <w:rPr>
          <w:rFonts w:ascii="Times New Roman" w:hAnsi="Times New Roman" w:cs="Times New Roman"/>
          <w:sz w:val="24"/>
          <w:szCs w:val="24"/>
        </w:rPr>
        <w:t xml:space="preserve">The total expected cost to the </w:t>
      </w:r>
      <w:r w:rsidR="00ED3F3E">
        <w:rPr>
          <w:rFonts w:ascii="Times New Roman" w:hAnsi="Times New Roman" w:cs="Times New Roman"/>
          <w:sz w:val="24"/>
          <w:szCs w:val="24"/>
        </w:rPr>
        <w:t>f</w:t>
      </w:r>
      <w:r w:rsidRPr="0038125C">
        <w:rPr>
          <w:rFonts w:ascii="Times New Roman" w:hAnsi="Times New Roman" w:cs="Times New Roman"/>
          <w:sz w:val="24"/>
          <w:szCs w:val="24"/>
        </w:rPr>
        <w:t xml:space="preserve">ederal </w:t>
      </w:r>
      <w:r w:rsidR="00ED3F3E">
        <w:rPr>
          <w:rFonts w:ascii="Times New Roman" w:hAnsi="Times New Roman" w:cs="Times New Roman"/>
          <w:sz w:val="24"/>
          <w:szCs w:val="24"/>
        </w:rPr>
        <w:t>g</w:t>
      </w:r>
      <w:r w:rsidRPr="0038125C">
        <w:rPr>
          <w:rFonts w:ascii="Times New Roman" w:hAnsi="Times New Roman" w:cs="Times New Roman"/>
          <w:sz w:val="24"/>
          <w:szCs w:val="24"/>
        </w:rPr>
        <w:t>overnment for th</w:t>
      </w:r>
      <w:r w:rsidR="003E73CA">
        <w:rPr>
          <w:rFonts w:ascii="Times New Roman" w:hAnsi="Times New Roman" w:cs="Times New Roman"/>
          <w:sz w:val="24"/>
          <w:szCs w:val="24"/>
        </w:rPr>
        <w:t>e survey</w:t>
      </w:r>
      <w:r w:rsidR="002E7ABF">
        <w:rPr>
          <w:rFonts w:ascii="Times New Roman" w:hAnsi="Times New Roman" w:cs="Times New Roman"/>
          <w:sz w:val="24"/>
          <w:szCs w:val="24"/>
        </w:rPr>
        <w:t xml:space="preserve"> is</w:t>
      </w:r>
      <w:r w:rsidR="003E73CA">
        <w:rPr>
          <w:rFonts w:ascii="Times New Roman" w:hAnsi="Times New Roman" w:cs="Times New Roman"/>
          <w:sz w:val="24"/>
          <w:szCs w:val="24"/>
        </w:rPr>
        <w:t xml:space="preserve"> </w:t>
      </w:r>
      <w:r w:rsidRPr="00D9717F">
        <w:rPr>
          <w:rFonts w:ascii="Times New Roman" w:hAnsi="Times New Roman" w:cs="Times New Roman"/>
          <w:sz w:val="24"/>
          <w:szCs w:val="24"/>
        </w:rPr>
        <w:t>$</w:t>
      </w:r>
      <w:r w:rsidR="00952688" w:rsidRPr="00D9717F">
        <w:rPr>
          <w:rFonts w:ascii="Times New Roman" w:hAnsi="Times New Roman" w:cs="Times New Roman"/>
          <w:sz w:val="24"/>
          <w:szCs w:val="24"/>
        </w:rPr>
        <w:t>124,401</w:t>
      </w:r>
      <w:r>
        <w:rPr>
          <w:rFonts w:ascii="Times New Roman" w:hAnsi="Times New Roman" w:cs="Times New Roman"/>
          <w:sz w:val="24"/>
          <w:szCs w:val="24"/>
        </w:rPr>
        <w:t xml:space="preserve"> </w:t>
      </w:r>
      <w:r w:rsidRPr="0038125C">
        <w:rPr>
          <w:rFonts w:ascii="Times New Roman" w:hAnsi="Times New Roman" w:cs="Times New Roman"/>
          <w:sz w:val="24"/>
          <w:szCs w:val="24"/>
        </w:rPr>
        <w:t>borne</w:t>
      </w:r>
      <w:r w:rsidR="00D153FF">
        <w:rPr>
          <w:rFonts w:ascii="Times New Roman" w:hAnsi="Times New Roman" w:cs="Times New Roman"/>
          <w:sz w:val="24"/>
          <w:szCs w:val="24"/>
        </w:rPr>
        <w:t xml:space="preserve"> entirely</w:t>
      </w:r>
      <w:r w:rsidRPr="0038125C">
        <w:rPr>
          <w:rFonts w:ascii="Times New Roman" w:hAnsi="Times New Roman" w:cs="Times New Roman"/>
          <w:sz w:val="24"/>
          <w:szCs w:val="24"/>
        </w:rPr>
        <w:t xml:space="preserve"> by BJS. This work consists of planning, developing the </w:t>
      </w:r>
      <w:r>
        <w:rPr>
          <w:rFonts w:ascii="Times New Roman" w:hAnsi="Times New Roman" w:cs="Times New Roman"/>
          <w:sz w:val="24"/>
          <w:szCs w:val="24"/>
        </w:rPr>
        <w:t>survey instrument</w:t>
      </w:r>
      <w:r w:rsidR="00D153FF">
        <w:rPr>
          <w:rFonts w:ascii="Times New Roman" w:hAnsi="Times New Roman" w:cs="Times New Roman"/>
          <w:sz w:val="24"/>
          <w:szCs w:val="24"/>
        </w:rPr>
        <w:t>, preparing</w:t>
      </w:r>
      <w:r w:rsidRPr="0038125C">
        <w:rPr>
          <w:rFonts w:ascii="Times New Roman" w:hAnsi="Times New Roman" w:cs="Times New Roman"/>
          <w:sz w:val="24"/>
          <w:szCs w:val="24"/>
        </w:rPr>
        <w:t xml:space="preserve"> materials, collecting the data, evaluating the results, and generating reports. A BJS GS-13 statistician will</w:t>
      </w:r>
      <w:r>
        <w:rPr>
          <w:rFonts w:ascii="Times New Roman" w:hAnsi="Times New Roman" w:cs="Times New Roman"/>
          <w:sz w:val="24"/>
          <w:szCs w:val="24"/>
        </w:rPr>
        <w:t xml:space="preserve"> be responsible for overseeing The Urban Institute</w:t>
      </w:r>
      <w:r w:rsidRPr="0038125C">
        <w:rPr>
          <w:rFonts w:ascii="Times New Roman" w:hAnsi="Times New Roman" w:cs="Times New Roman"/>
          <w:sz w:val="24"/>
          <w:szCs w:val="24"/>
        </w:rPr>
        <w:t>’s work on this project. The budget for the project is shown below.</w:t>
      </w:r>
    </w:p>
    <w:p w14:paraId="38FDBCD6" w14:textId="77777777" w:rsidR="000A27F4" w:rsidRDefault="000A27F4" w:rsidP="000A27F4">
      <w:pPr>
        <w:spacing w:after="0" w:line="240" w:lineRule="auto"/>
        <w:rPr>
          <w:rFonts w:ascii="Times New Roman" w:hAnsi="Times New Roman" w:cs="Times New Roman"/>
          <w:sz w:val="24"/>
          <w:szCs w:val="24"/>
          <w:highlight w:val="yellow"/>
        </w:rPr>
      </w:pPr>
    </w:p>
    <w:tbl>
      <w:tblPr>
        <w:tblStyle w:val="TableGrid"/>
        <w:tblW w:w="0" w:type="auto"/>
        <w:tblLook w:val="04A0" w:firstRow="1" w:lastRow="0" w:firstColumn="1" w:lastColumn="0" w:noHBand="0" w:noVBand="1"/>
      </w:tblPr>
      <w:tblGrid>
        <w:gridCol w:w="1255"/>
        <w:gridCol w:w="5940"/>
        <w:gridCol w:w="336"/>
        <w:gridCol w:w="1554"/>
      </w:tblGrid>
      <w:tr w:rsidR="000A27F4" w14:paraId="7D77B3FE" w14:textId="77777777" w:rsidTr="00356944">
        <w:trPr>
          <w:trHeight w:val="350"/>
        </w:trPr>
        <w:tc>
          <w:tcPr>
            <w:tcW w:w="9085" w:type="dxa"/>
            <w:gridSpan w:val="4"/>
            <w:shd w:val="clear" w:color="auto" w:fill="auto"/>
          </w:tcPr>
          <w:p w14:paraId="79423EFF" w14:textId="1AE66790" w:rsidR="000A27F4" w:rsidRPr="0063446D" w:rsidRDefault="000A27F4" w:rsidP="00952688">
            <w:pPr>
              <w:spacing w:after="0" w:line="240" w:lineRule="auto"/>
              <w:rPr>
                <w:rFonts w:ascii="Times New Roman" w:hAnsi="Times New Roman" w:cs="Times New Roman"/>
                <w:b/>
                <w:sz w:val="24"/>
                <w:szCs w:val="24"/>
                <w:highlight w:val="yellow"/>
              </w:rPr>
            </w:pPr>
            <w:r w:rsidRPr="00356944">
              <w:rPr>
                <w:rFonts w:ascii="Times New Roman" w:hAnsi="Times New Roman" w:cs="Times New Roman"/>
                <w:b/>
                <w:sz w:val="24"/>
                <w:szCs w:val="24"/>
              </w:rPr>
              <w:t>Estimated costs for the Survey of State Attorney</w:t>
            </w:r>
            <w:r w:rsidR="00E46868" w:rsidRPr="00356944">
              <w:rPr>
                <w:rFonts w:ascii="Times New Roman" w:hAnsi="Times New Roman" w:cs="Times New Roman"/>
                <w:b/>
                <w:sz w:val="24"/>
                <w:szCs w:val="24"/>
              </w:rPr>
              <w:t>s</w:t>
            </w:r>
            <w:r w:rsidRPr="00356944">
              <w:rPr>
                <w:rFonts w:ascii="Times New Roman" w:hAnsi="Times New Roman" w:cs="Times New Roman"/>
                <w:b/>
                <w:sz w:val="24"/>
                <w:szCs w:val="24"/>
              </w:rPr>
              <w:t xml:space="preserve"> General-</w:t>
            </w:r>
            <w:r w:rsidR="00ED3F3E" w:rsidRPr="00356944">
              <w:rPr>
                <w:rFonts w:ascii="Times New Roman" w:hAnsi="Times New Roman" w:cs="Times New Roman"/>
                <w:b/>
                <w:sz w:val="24"/>
                <w:szCs w:val="24"/>
              </w:rPr>
              <w:t xml:space="preserve">Human Trafficking </w:t>
            </w:r>
          </w:p>
        </w:tc>
      </w:tr>
      <w:tr w:rsidR="000A27F4" w:rsidRPr="00593BBE" w14:paraId="7E167DA0" w14:textId="77777777" w:rsidTr="000A27F4">
        <w:trPr>
          <w:trHeight w:val="350"/>
        </w:trPr>
        <w:tc>
          <w:tcPr>
            <w:tcW w:w="1255" w:type="dxa"/>
          </w:tcPr>
          <w:p w14:paraId="7441251C" w14:textId="77777777" w:rsidR="000A27F4" w:rsidRPr="00593BBE" w:rsidRDefault="000A27F4" w:rsidP="000A27F4">
            <w:pPr>
              <w:spacing w:after="0" w:line="240" w:lineRule="auto"/>
              <w:rPr>
                <w:rFonts w:ascii="Times New Roman" w:hAnsi="Times New Roman" w:cs="Times New Roman"/>
                <w:b/>
                <w:sz w:val="24"/>
                <w:szCs w:val="24"/>
              </w:rPr>
            </w:pPr>
            <w:r w:rsidRPr="00593BBE">
              <w:rPr>
                <w:rFonts w:ascii="Times New Roman" w:hAnsi="Times New Roman" w:cs="Times New Roman"/>
                <w:b/>
                <w:sz w:val="24"/>
                <w:szCs w:val="24"/>
              </w:rPr>
              <w:t>BJS costs</w:t>
            </w:r>
          </w:p>
        </w:tc>
        <w:tc>
          <w:tcPr>
            <w:tcW w:w="5940" w:type="dxa"/>
          </w:tcPr>
          <w:p w14:paraId="02399D89" w14:textId="77777777" w:rsidR="000A27F4" w:rsidRPr="00593BBE" w:rsidRDefault="000A27F4" w:rsidP="000A27F4">
            <w:pPr>
              <w:spacing w:after="0" w:line="240" w:lineRule="auto"/>
              <w:rPr>
                <w:rFonts w:ascii="Times New Roman" w:hAnsi="Times New Roman" w:cs="Times New Roman"/>
                <w:sz w:val="24"/>
                <w:szCs w:val="24"/>
              </w:rPr>
            </w:pPr>
          </w:p>
        </w:tc>
        <w:tc>
          <w:tcPr>
            <w:tcW w:w="336" w:type="dxa"/>
          </w:tcPr>
          <w:p w14:paraId="775D35B5" w14:textId="77777777" w:rsidR="000A27F4" w:rsidRPr="00593BBE" w:rsidRDefault="000A27F4" w:rsidP="000A27F4">
            <w:pPr>
              <w:spacing w:after="0" w:line="240" w:lineRule="auto"/>
              <w:rPr>
                <w:rFonts w:ascii="Times New Roman" w:hAnsi="Times New Roman" w:cs="Times New Roman"/>
                <w:sz w:val="24"/>
                <w:szCs w:val="24"/>
              </w:rPr>
            </w:pPr>
          </w:p>
        </w:tc>
        <w:tc>
          <w:tcPr>
            <w:tcW w:w="1554" w:type="dxa"/>
          </w:tcPr>
          <w:p w14:paraId="4DE24FA6" w14:textId="77777777" w:rsidR="000A27F4" w:rsidRPr="00593BBE" w:rsidRDefault="000A27F4" w:rsidP="000A27F4">
            <w:pPr>
              <w:spacing w:after="0" w:line="240" w:lineRule="auto"/>
              <w:jc w:val="right"/>
              <w:rPr>
                <w:rFonts w:ascii="Times New Roman" w:hAnsi="Times New Roman" w:cs="Times New Roman"/>
                <w:sz w:val="24"/>
                <w:szCs w:val="24"/>
              </w:rPr>
            </w:pPr>
          </w:p>
        </w:tc>
      </w:tr>
      <w:tr w:rsidR="000A27F4" w:rsidRPr="00593BBE" w14:paraId="62E64C14" w14:textId="77777777" w:rsidTr="000A27F4">
        <w:trPr>
          <w:trHeight w:val="260"/>
        </w:trPr>
        <w:tc>
          <w:tcPr>
            <w:tcW w:w="1255" w:type="dxa"/>
          </w:tcPr>
          <w:p w14:paraId="3FDE59A9" w14:textId="77777777" w:rsidR="000A27F4" w:rsidRPr="00593BBE" w:rsidRDefault="000A27F4" w:rsidP="000A27F4">
            <w:pPr>
              <w:spacing w:after="0" w:line="240" w:lineRule="auto"/>
              <w:rPr>
                <w:rFonts w:ascii="Times New Roman" w:hAnsi="Times New Roman" w:cs="Times New Roman"/>
                <w:sz w:val="24"/>
                <w:szCs w:val="24"/>
              </w:rPr>
            </w:pPr>
          </w:p>
        </w:tc>
        <w:tc>
          <w:tcPr>
            <w:tcW w:w="5940" w:type="dxa"/>
          </w:tcPr>
          <w:p w14:paraId="50229005" w14:textId="77777777" w:rsidR="000A27F4" w:rsidRPr="00593BBE" w:rsidRDefault="000A27F4" w:rsidP="000A27F4">
            <w:pPr>
              <w:spacing w:after="0" w:line="240" w:lineRule="auto"/>
              <w:rPr>
                <w:rFonts w:ascii="Times New Roman" w:hAnsi="Times New Roman" w:cs="Times New Roman"/>
                <w:b/>
                <w:sz w:val="24"/>
                <w:szCs w:val="24"/>
              </w:rPr>
            </w:pPr>
            <w:r w:rsidRPr="00593BBE">
              <w:rPr>
                <w:rFonts w:ascii="Times New Roman" w:hAnsi="Times New Roman" w:cs="Times New Roman"/>
                <w:b/>
                <w:sz w:val="24"/>
                <w:szCs w:val="24"/>
              </w:rPr>
              <w:t>Staff salaries</w:t>
            </w:r>
          </w:p>
        </w:tc>
        <w:tc>
          <w:tcPr>
            <w:tcW w:w="336" w:type="dxa"/>
          </w:tcPr>
          <w:p w14:paraId="58FBF1AC" w14:textId="77777777" w:rsidR="000A27F4" w:rsidRPr="00593BBE" w:rsidRDefault="000A27F4" w:rsidP="000A27F4">
            <w:pPr>
              <w:spacing w:after="0" w:line="240" w:lineRule="auto"/>
              <w:rPr>
                <w:rFonts w:ascii="Times New Roman" w:hAnsi="Times New Roman" w:cs="Times New Roman"/>
                <w:sz w:val="24"/>
                <w:szCs w:val="24"/>
              </w:rPr>
            </w:pPr>
          </w:p>
        </w:tc>
        <w:tc>
          <w:tcPr>
            <w:tcW w:w="1554" w:type="dxa"/>
          </w:tcPr>
          <w:p w14:paraId="547335DD" w14:textId="77777777" w:rsidR="000A27F4" w:rsidRPr="00593BBE" w:rsidRDefault="000A27F4" w:rsidP="000A27F4">
            <w:pPr>
              <w:spacing w:after="0" w:line="240" w:lineRule="auto"/>
              <w:jc w:val="right"/>
              <w:rPr>
                <w:rFonts w:ascii="Times New Roman" w:hAnsi="Times New Roman" w:cs="Times New Roman"/>
                <w:sz w:val="24"/>
                <w:szCs w:val="24"/>
              </w:rPr>
            </w:pPr>
          </w:p>
        </w:tc>
      </w:tr>
      <w:tr w:rsidR="000A27F4" w:rsidRPr="00593BBE" w14:paraId="7F4276F5" w14:textId="77777777" w:rsidTr="000A27F4">
        <w:trPr>
          <w:trHeight w:val="242"/>
        </w:trPr>
        <w:tc>
          <w:tcPr>
            <w:tcW w:w="1255" w:type="dxa"/>
          </w:tcPr>
          <w:p w14:paraId="38019194" w14:textId="77777777" w:rsidR="000A27F4" w:rsidRPr="00593BBE" w:rsidRDefault="000A27F4" w:rsidP="000A27F4">
            <w:pPr>
              <w:spacing w:after="0" w:line="240" w:lineRule="auto"/>
              <w:rPr>
                <w:rFonts w:ascii="Times New Roman" w:hAnsi="Times New Roman" w:cs="Times New Roman"/>
                <w:sz w:val="24"/>
                <w:szCs w:val="24"/>
              </w:rPr>
            </w:pPr>
          </w:p>
        </w:tc>
        <w:tc>
          <w:tcPr>
            <w:tcW w:w="5940" w:type="dxa"/>
          </w:tcPr>
          <w:p w14:paraId="2F3AAD57"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GS-13 Statistician (15%)</w:t>
            </w:r>
          </w:p>
        </w:tc>
        <w:tc>
          <w:tcPr>
            <w:tcW w:w="336" w:type="dxa"/>
          </w:tcPr>
          <w:p w14:paraId="79189C86"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54" w:type="dxa"/>
          </w:tcPr>
          <w:p w14:paraId="4039AA2E" w14:textId="77777777" w:rsidR="000A27F4" w:rsidRPr="00593BBE" w:rsidRDefault="000A27F4" w:rsidP="000A27F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14,219</w:t>
            </w:r>
          </w:p>
        </w:tc>
      </w:tr>
      <w:tr w:rsidR="000A27F4" w:rsidRPr="00593BBE" w14:paraId="04A1AFED" w14:textId="77777777" w:rsidTr="000A27F4">
        <w:trPr>
          <w:trHeight w:val="314"/>
        </w:trPr>
        <w:tc>
          <w:tcPr>
            <w:tcW w:w="1255" w:type="dxa"/>
          </w:tcPr>
          <w:p w14:paraId="33DA8373" w14:textId="77777777" w:rsidR="000A27F4" w:rsidRPr="00593BBE" w:rsidRDefault="000A27F4" w:rsidP="000A27F4">
            <w:pPr>
              <w:spacing w:after="0" w:line="240" w:lineRule="auto"/>
              <w:rPr>
                <w:rFonts w:ascii="Times New Roman" w:hAnsi="Times New Roman" w:cs="Times New Roman"/>
                <w:sz w:val="24"/>
                <w:szCs w:val="24"/>
              </w:rPr>
            </w:pPr>
          </w:p>
        </w:tc>
        <w:tc>
          <w:tcPr>
            <w:tcW w:w="5940" w:type="dxa"/>
          </w:tcPr>
          <w:p w14:paraId="60F1A2B9"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Senior BJS Management (2%)</w:t>
            </w:r>
          </w:p>
        </w:tc>
        <w:tc>
          <w:tcPr>
            <w:tcW w:w="336" w:type="dxa"/>
          </w:tcPr>
          <w:p w14:paraId="30FC8C24"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54" w:type="dxa"/>
          </w:tcPr>
          <w:p w14:paraId="6399215C" w14:textId="77777777" w:rsidR="000A27F4" w:rsidRPr="00593BBE" w:rsidRDefault="003B76D2" w:rsidP="000A27F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2,696</w:t>
            </w:r>
          </w:p>
        </w:tc>
      </w:tr>
      <w:tr w:rsidR="000A27F4" w:rsidRPr="00593BBE" w14:paraId="64B5267A" w14:textId="77777777" w:rsidTr="000A27F4">
        <w:trPr>
          <w:trHeight w:val="260"/>
        </w:trPr>
        <w:tc>
          <w:tcPr>
            <w:tcW w:w="1255" w:type="dxa"/>
          </w:tcPr>
          <w:p w14:paraId="49E6C0FB" w14:textId="77777777" w:rsidR="000A27F4" w:rsidRPr="00593BBE" w:rsidRDefault="000A27F4" w:rsidP="000A27F4">
            <w:pPr>
              <w:spacing w:after="0" w:line="240" w:lineRule="auto"/>
              <w:rPr>
                <w:rFonts w:ascii="Times New Roman" w:hAnsi="Times New Roman" w:cs="Times New Roman"/>
                <w:sz w:val="24"/>
                <w:szCs w:val="24"/>
              </w:rPr>
            </w:pPr>
          </w:p>
        </w:tc>
        <w:tc>
          <w:tcPr>
            <w:tcW w:w="5940" w:type="dxa"/>
          </w:tcPr>
          <w:p w14:paraId="34864BA1"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GS-13 Editor (5%)</w:t>
            </w:r>
          </w:p>
        </w:tc>
        <w:tc>
          <w:tcPr>
            <w:tcW w:w="336" w:type="dxa"/>
          </w:tcPr>
          <w:p w14:paraId="1F102F4A"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54" w:type="dxa"/>
          </w:tcPr>
          <w:p w14:paraId="4AF2EE84" w14:textId="77777777" w:rsidR="000A27F4" w:rsidRPr="00593BBE" w:rsidRDefault="000A27F4" w:rsidP="000A27F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4,740</w:t>
            </w:r>
          </w:p>
        </w:tc>
      </w:tr>
      <w:tr w:rsidR="000A27F4" w:rsidRPr="00593BBE" w14:paraId="3BC149AD" w14:textId="77777777" w:rsidTr="000A27F4">
        <w:trPr>
          <w:trHeight w:val="251"/>
        </w:trPr>
        <w:tc>
          <w:tcPr>
            <w:tcW w:w="1255" w:type="dxa"/>
          </w:tcPr>
          <w:p w14:paraId="1491FF13" w14:textId="77777777" w:rsidR="000A27F4" w:rsidRPr="00593BBE" w:rsidRDefault="000A27F4" w:rsidP="000A27F4">
            <w:pPr>
              <w:spacing w:after="0" w:line="240" w:lineRule="auto"/>
              <w:rPr>
                <w:rFonts w:ascii="Times New Roman" w:hAnsi="Times New Roman" w:cs="Times New Roman"/>
                <w:sz w:val="24"/>
                <w:szCs w:val="24"/>
              </w:rPr>
            </w:pPr>
          </w:p>
        </w:tc>
        <w:tc>
          <w:tcPr>
            <w:tcW w:w="5940" w:type="dxa"/>
          </w:tcPr>
          <w:p w14:paraId="3FF32CD5"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Other Editorial Staff</w:t>
            </w:r>
          </w:p>
        </w:tc>
        <w:tc>
          <w:tcPr>
            <w:tcW w:w="336" w:type="dxa"/>
          </w:tcPr>
          <w:p w14:paraId="6F0BB24E"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54" w:type="dxa"/>
          </w:tcPr>
          <w:p w14:paraId="2EC44CC1" w14:textId="77777777" w:rsidR="000A27F4" w:rsidRPr="00593BBE" w:rsidRDefault="000A27F4" w:rsidP="000A27F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500</w:t>
            </w:r>
          </w:p>
        </w:tc>
      </w:tr>
      <w:tr w:rsidR="000A27F4" w:rsidRPr="00593BBE" w14:paraId="1B75F26D" w14:textId="77777777" w:rsidTr="000A27F4">
        <w:trPr>
          <w:trHeight w:val="323"/>
        </w:trPr>
        <w:tc>
          <w:tcPr>
            <w:tcW w:w="1255" w:type="dxa"/>
          </w:tcPr>
          <w:p w14:paraId="01344938" w14:textId="77777777" w:rsidR="000A27F4" w:rsidRPr="00593BBE" w:rsidRDefault="000A27F4" w:rsidP="000A27F4">
            <w:pPr>
              <w:spacing w:after="0" w:line="240" w:lineRule="auto"/>
              <w:rPr>
                <w:rFonts w:ascii="Times New Roman" w:hAnsi="Times New Roman" w:cs="Times New Roman"/>
                <w:sz w:val="24"/>
                <w:szCs w:val="24"/>
              </w:rPr>
            </w:pPr>
          </w:p>
        </w:tc>
        <w:tc>
          <w:tcPr>
            <w:tcW w:w="5940" w:type="dxa"/>
          </w:tcPr>
          <w:p w14:paraId="4DE994E0"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Senior BJS Management</w:t>
            </w:r>
            <w:r w:rsidR="003B76D2">
              <w:rPr>
                <w:rFonts w:ascii="Times New Roman" w:hAnsi="Times New Roman" w:cs="Times New Roman"/>
                <w:sz w:val="24"/>
                <w:szCs w:val="24"/>
              </w:rPr>
              <w:t xml:space="preserve"> review of report</w:t>
            </w:r>
          </w:p>
        </w:tc>
        <w:tc>
          <w:tcPr>
            <w:tcW w:w="336" w:type="dxa"/>
          </w:tcPr>
          <w:p w14:paraId="150143AC"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54" w:type="dxa"/>
          </w:tcPr>
          <w:p w14:paraId="6C8DEACF" w14:textId="77777777" w:rsidR="000A27F4" w:rsidRPr="00593BBE" w:rsidRDefault="000A27F4" w:rsidP="000A27F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1,500</w:t>
            </w:r>
          </w:p>
        </w:tc>
      </w:tr>
      <w:tr w:rsidR="000A27F4" w:rsidRPr="00593BBE" w14:paraId="7CDCFCCB" w14:textId="77777777" w:rsidTr="000A27F4">
        <w:trPr>
          <w:trHeight w:val="260"/>
        </w:trPr>
        <w:tc>
          <w:tcPr>
            <w:tcW w:w="1255" w:type="dxa"/>
          </w:tcPr>
          <w:p w14:paraId="16E1F061" w14:textId="77777777" w:rsidR="000A27F4" w:rsidRPr="00593BBE" w:rsidRDefault="000A27F4" w:rsidP="000A27F4">
            <w:pPr>
              <w:spacing w:after="0" w:line="240" w:lineRule="auto"/>
              <w:rPr>
                <w:rFonts w:ascii="Times New Roman" w:hAnsi="Times New Roman" w:cs="Times New Roman"/>
                <w:sz w:val="24"/>
                <w:szCs w:val="24"/>
              </w:rPr>
            </w:pPr>
          </w:p>
        </w:tc>
        <w:tc>
          <w:tcPr>
            <w:tcW w:w="5940" w:type="dxa"/>
          </w:tcPr>
          <w:p w14:paraId="74CF763A" w14:textId="77777777" w:rsidR="000A27F4" w:rsidRPr="00AF6C8D" w:rsidRDefault="000A27F4" w:rsidP="000A27F4">
            <w:pPr>
              <w:spacing w:after="0" w:line="240" w:lineRule="auto"/>
              <w:rPr>
                <w:rFonts w:ascii="Times New Roman" w:hAnsi="Times New Roman" w:cs="Times New Roman"/>
                <w:i/>
                <w:sz w:val="24"/>
                <w:szCs w:val="24"/>
              </w:rPr>
            </w:pPr>
            <w:r w:rsidRPr="00AF6C8D">
              <w:rPr>
                <w:rFonts w:ascii="Times New Roman" w:hAnsi="Times New Roman" w:cs="Times New Roman"/>
                <w:i/>
                <w:sz w:val="24"/>
                <w:szCs w:val="24"/>
              </w:rPr>
              <w:t>Subtotal salaries</w:t>
            </w:r>
          </w:p>
        </w:tc>
        <w:tc>
          <w:tcPr>
            <w:tcW w:w="336" w:type="dxa"/>
          </w:tcPr>
          <w:p w14:paraId="55F789BA"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54" w:type="dxa"/>
          </w:tcPr>
          <w:p w14:paraId="146B8BC0" w14:textId="77777777" w:rsidR="000A27F4" w:rsidRPr="00593BBE" w:rsidRDefault="003B76D2" w:rsidP="000A27F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23,655</w:t>
            </w:r>
          </w:p>
        </w:tc>
      </w:tr>
      <w:tr w:rsidR="000A27F4" w:rsidRPr="00593BBE" w14:paraId="714E9C32" w14:textId="77777777" w:rsidTr="000A27F4">
        <w:trPr>
          <w:trHeight w:val="242"/>
        </w:trPr>
        <w:tc>
          <w:tcPr>
            <w:tcW w:w="1255" w:type="dxa"/>
          </w:tcPr>
          <w:p w14:paraId="44DAF2DA" w14:textId="77777777" w:rsidR="000A27F4" w:rsidRPr="00593BBE" w:rsidRDefault="000A27F4" w:rsidP="000A27F4">
            <w:pPr>
              <w:spacing w:after="0" w:line="240" w:lineRule="auto"/>
              <w:rPr>
                <w:rFonts w:ascii="Times New Roman" w:hAnsi="Times New Roman" w:cs="Times New Roman"/>
                <w:sz w:val="24"/>
                <w:szCs w:val="24"/>
              </w:rPr>
            </w:pPr>
          </w:p>
        </w:tc>
        <w:tc>
          <w:tcPr>
            <w:tcW w:w="5940" w:type="dxa"/>
          </w:tcPr>
          <w:p w14:paraId="1EA37FD2"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Fringe benefits (28%) of salaries</w:t>
            </w:r>
          </w:p>
        </w:tc>
        <w:tc>
          <w:tcPr>
            <w:tcW w:w="336" w:type="dxa"/>
          </w:tcPr>
          <w:p w14:paraId="016B60FA"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54" w:type="dxa"/>
          </w:tcPr>
          <w:p w14:paraId="0F740774" w14:textId="77777777" w:rsidR="000A27F4" w:rsidRPr="00593BBE" w:rsidRDefault="003B76D2" w:rsidP="000A27F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6,623</w:t>
            </w:r>
          </w:p>
        </w:tc>
      </w:tr>
      <w:tr w:rsidR="000A27F4" w:rsidRPr="00593BBE" w14:paraId="47974922" w14:textId="77777777" w:rsidTr="000A27F4">
        <w:trPr>
          <w:trHeight w:val="314"/>
        </w:trPr>
        <w:tc>
          <w:tcPr>
            <w:tcW w:w="1255" w:type="dxa"/>
          </w:tcPr>
          <w:p w14:paraId="6FCB1233" w14:textId="77777777" w:rsidR="000A27F4" w:rsidRPr="00593BBE" w:rsidRDefault="000A27F4" w:rsidP="000A27F4">
            <w:pPr>
              <w:spacing w:after="0" w:line="240" w:lineRule="auto"/>
              <w:rPr>
                <w:rFonts w:ascii="Times New Roman" w:hAnsi="Times New Roman" w:cs="Times New Roman"/>
                <w:sz w:val="24"/>
                <w:szCs w:val="24"/>
              </w:rPr>
            </w:pPr>
          </w:p>
        </w:tc>
        <w:tc>
          <w:tcPr>
            <w:tcW w:w="5940" w:type="dxa"/>
          </w:tcPr>
          <w:p w14:paraId="5C8623A4" w14:textId="77777777" w:rsidR="000A27F4" w:rsidRPr="00AF6C8D" w:rsidRDefault="000A27F4" w:rsidP="000A27F4">
            <w:pPr>
              <w:spacing w:after="0" w:line="240" w:lineRule="auto"/>
              <w:rPr>
                <w:rFonts w:ascii="Times New Roman" w:hAnsi="Times New Roman" w:cs="Times New Roman"/>
                <w:i/>
                <w:sz w:val="24"/>
                <w:szCs w:val="24"/>
              </w:rPr>
            </w:pPr>
            <w:r w:rsidRPr="00AF6C8D">
              <w:rPr>
                <w:rFonts w:ascii="Times New Roman" w:hAnsi="Times New Roman" w:cs="Times New Roman"/>
                <w:i/>
                <w:sz w:val="24"/>
                <w:szCs w:val="24"/>
              </w:rPr>
              <w:t>Subtotal: Salary and fringe</w:t>
            </w:r>
          </w:p>
        </w:tc>
        <w:tc>
          <w:tcPr>
            <w:tcW w:w="336" w:type="dxa"/>
          </w:tcPr>
          <w:p w14:paraId="211220D3"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54" w:type="dxa"/>
          </w:tcPr>
          <w:p w14:paraId="4F81F4C0" w14:textId="77777777" w:rsidR="000A27F4" w:rsidRPr="00593BBE" w:rsidRDefault="003B76D2" w:rsidP="000A27F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30,278</w:t>
            </w:r>
          </w:p>
        </w:tc>
      </w:tr>
      <w:tr w:rsidR="000A27F4" w:rsidRPr="00593BBE" w14:paraId="6F3F829D" w14:textId="77777777" w:rsidTr="000A27F4">
        <w:trPr>
          <w:trHeight w:val="260"/>
        </w:trPr>
        <w:tc>
          <w:tcPr>
            <w:tcW w:w="1255" w:type="dxa"/>
          </w:tcPr>
          <w:p w14:paraId="11DD7FF6" w14:textId="77777777" w:rsidR="000A27F4" w:rsidRPr="00593BBE" w:rsidRDefault="000A27F4" w:rsidP="000A27F4">
            <w:pPr>
              <w:spacing w:after="0" w:line="240" w:lineRule="auto"/>
              <w:rPr>
                <w:rFonts w:ascii="Times New Roman" w:hAnsi="Times New Roman" w:cs="Times New Roman"/>
                <w:sz w:val="24"/>
                <w:szCs w:val="24"/>
              </w:rPr>
            </w:pPr>
          </w:p>
        </w:tc>
        <w:tc>
          <w:tcPr>
            <w:tcW w:w="5940" w:type="dxa"/>
          </w:tcPr>
          <w:p w14:paraId="7982B557"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Other administrative costs (15%)</w:t>
            </w:r>
          </w:p>
        </w:tc>
        <w:tc>
          <w:tcPr>
            <w:tcW w:w="336" w:type="dxa"/>
          </w:tcPr>
          <w:p w14:paraId="2673B48E"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54" w:type="dxa"/>
          </w:tcPr>
          <w:p w14:paraId="3FE27F6E" w14:textId="77777777" w:rsidR="000A27F4" w:rsidRPr="00593BBE" w:rsidRDefault="003B76D2" w:rsidP="000A27F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4,542</w:t>
            </w:r>
          </w:p>
        </w:tc>
      </w:tr>
      <w:tr w:rsidR="000A27F4" w:rsidRPr="00593BBE" w14:paraId="1E124DA1" w14:textId="77777777" w:rsidTr="000A27F4">
        <w:trPr>
          <w:trHeight w:val="260"/>
        </w:trPr>
        <w:tc>
          <w:tcPr>
            <w:tcW w:w="1255" w:type="dxa"/>
          </w:tcPr>
          <w:p w14:paraId="7282B133" w14:textId="77777777" w:rsidR="000A27F4" w:rsidRPr="00593BBE" w:rsidRDefault="000A27F4" w:rsidP="000A27F4">
            <w:pPr>
              <w:spacing w:after="0" w:line="240" w:lineRule="auto"/>
              <w:rPr>
                <w:rFonts w:ascii="Times New Roman" w:hAnsi="Times New Roman" w:cs="Times New Roman"/>
                <w:sz w:val="24"/>
                <w:szCs w:val="24"/>
              </w:rPr>
            </w:pPr>
          </w:p>
        </w:tc>
        <w:tc>
          <w:tcPr>
            <w:tcW w:w="5940" w:type="dxa"/>
          </w:tcPr>
          <w:p w14:paraId="1AD4EE96" w14:textId="77777777" w:rsidR="000A27F4" w:rsidRPr="00803841" w:rsidRDefault="000A27F4" w:rsidP="000A27F4">
            <w:pPr>
              <w:spacing w:after="0" w:line="240" w:lineRule="auto"/>
              <w:rPr>
                <w:rFonts w:ascii="Times New Roman" w:hAnsi="Times New Roman" w:cs="Times New Roman"/>
                <w:b/>
                <w:sz w:val="24"/>
                <w:szCs w:val="24"/>
              </w:rPr>
            </w:pPr>
            <w:r>
              <w:rPr>
                <w:rFonts w:ascii="Times New Roman" w:hAnsi="Times New Roman" w:cs="Times New Roman"/>
                <w:b/>
                <w:sz w:val="24"/>
                <w:szCs w:val="24"/>
              </w:rPr>
              <w:t>Subtotal: BJS costs</w:t>
            </w:r>
          </w:p>
        </w:tc>
        <w:tc>
          <w:tcPr>
            <w:tcW w:w="336" w:type="dxa"/>
          </w:tcPr>
          <w:p w14:paraId="75D1AA1C"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54" w:type="dxa"/>
          </w:tcPr>
          <w:p w14:paraId="0777E82A" w14:textId="77777777" w:rsidR="000A27F4" w:rsidRPr="00593BBE" w:rsidRDefault="003B76D2" w:rsidP="000A27F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34,820</w:t>
            </w:r>
          </w:p>
        </w:tc>
      </w:tr>
      <w:tr w:rsidR="000A27F4" w:rsidRPr="00593BBE" w14:paraId="74C18C71" w14:textId="77777777" w:rsidTr="000A27F4">
        <w:trPr>
          <w:trHeight w:val="152"/>
        </w:trPr>
        <w:tc>
          <w:tcPr>
            <w:tcW w:w="1255" w:type="dxa"/>
          </w:tcPr>
          <w:p w14:paraId="3F38E012" w14:textId="77777777" w:rsidR="000A27F4" w:rsidRPr="00593BBE" w:rsidRDefault="000A27F4" w:rsidP="000A27F4">
            <w:pPr>
              <w:spacing w:after="0" w:line="240" w:lineRule="auto"/>
              <w:rPr>
                <w:rFonts w:ascii="Times New Roman" w:hAnsi="Times New Roman" w:cs="Times New Roman"/>
                <w:sz w:val="24"/>
                <w:szCs w:val="24"/>
              </w:rPr>
            </w:pPr>
          </w:p>
        </w:tc>
        <w:tc>
          <w:tcPr>
            <w:tcW w:w="5940" w:type="dxa"/>
          </w:tcPr>
          <w:p w14:paraId="03F8F06E" w14:textId="77777777" w:rsidR="000A27F4" w:rsidRPr="00593BBE" w:rsidRDefault="000A27F4" w:rsidP="000A27F4">
            <w:pPr>
              <w:spacing w:after="0" w:line="240" w:lineRule="auto"/>
              <w:rPr>
                <w:rFonts w:ascii="Times New Roman" w:hAnsi="Times New Roman" w:cs="Times New Roman"/>
                <w:sz w:val="24"/>
                <w:szCs w:val="24"/>
              </w:rPr>
            </w:pPr>
          </w:p>
        </w:tc>
        <w:tc>
          <w:tcPr>
            <w:tcW w:w="336" w:type="dxa"/>
          </w:tcPr>
          <w:p w14:paraId="002C4FEE" w14:textId="77777777" w:rsidR="000A27F4" w:rsidRPr="00593BBE" w:rsidRDefault="000A27F4" w:rsidP="000A27F4">
            <w:pPr>
              <w:spacing w:after="0" w:line="240" w:lineRule="auto"/>
              <w:rPr>
                <w:rFonts w:ascii="Times New Roman" w:hAnsi="Times New Roman" w:cs="Times New Roman"/>
                <w:sz w:val="24"/>
                <w:szCs w:val="24"/>
              </w:rPr>
            </w:pPr>
          </w:p>
        </w:tc>
        <w:tc>
          <w:tcPr>
            <w:tcW w:w="1554" w:type="dxa"/>
          </w:tcPr>
          <w:p w14:paraId="3F031821" w14:textId="77777777" w:rsidR="000A27F4" w:rsidRPr="00593BBE" w:rsidRDefault="000A27F4" w:rsidP="000A27F4">
            <w:pPr>
              <w:spacing w:after="0" w:line="240" w:lineRule="auto"/>
              <w:jc w:val="right"/>
              <w:rPr>
                <w:rFonts w:ascii="Times New Roman" w:hAnsi="Times New Roman" w:cs="Times New Roman"/>
                <w:sz w:val="24"/>
                <w:szCs w:val="24"/>
              </w:rPr>
            </w:pPr>
          </w:p>
        </w:tc>
      </w:tr>
      <w:tr w:rsidR="000A27F4" w:rsidRPr="00593BBE" w14:paraId="01489591" w14:textId="77777777" w:rsidTr="000A27F4">
        <w:trPr>
          <w:trHeight w:val="314"/>
        </w:trPr>
        <w:tc>
          <w:tcPr>
            <w:tcW w:w="1255" w:type="dxa"/>
          </w:tcPr>
          <w:p w14:paraId="4035CD34" w14:textId="77777777" w:rsidR="000A27F4" w:rsidRPr="00593BBE" w:rsidRDefault="000A27F4" w:rsidP="000A27F4">
            <w:pPr>
              <w:spacing w:after="0" w:line="240" w:lineRule="auto"/>
              <w:rPr>
                <w:rFonts w:ascii="Times New Roman" w:hAnsi="Times New Roman" w:cs="Times New Roman"/>
                <w:sz w:val="24"/>
                <w:szCs w:val="24"/>
              </w:rPr>
            </w:pPr>
          </w:p>
        </w:tc>
        <w:tc>
          <w:tcPr>
            <w:tcW w:w="5940" w:type="dxa"/>
          </w:tcPr>
          <w:p w14:paraId="6B0E0AFF" w14:textId="77777777" w:rsidR="000A27F4" w:rsidRPr="00AF6C8D" w:rsidRDefault="000A27F4" w:rsidP="000A27F4">
            <w:pPr>
              <w:spacing w:after="0" w:line="240" w:lineRule="auto"/>
              <w:rPr>
                <w:rFonts w:ascii="Times New Roman" w:hAnsi="Times New Roman" w:cs="Times New Roman"/>
                <w:b/>
                <w:sz w:val="24"/>
                <w:szCs w:val="24"/>
              </w:rPr>
            </w:pPr>
            <w:r>
              <w:rPr>
                <w:rFonts w:ascii="Times New Roman" w:hAnsi="Times New Roman" w:cs="Times New Roman"/>
                <w:b/>
                <w:sz w:val="24"/>
                <w:szCs w:val="24"/>
              </w:rPr>
              <w:t>Data collector (The Urban Institute)</w:t>
            </w:r>
          </w:p>
        </w:tc>
        <w:tc>
          <w:tcPr>
            <w:tcW w:w="336" w:type="dxa"/>
          </w:tcPr>
          <w:p w14:paraId="14C8C0F1" w14:textId="77777777" w:rsidR="000A27F4" w:rsidRPr="00593BBE" w:rsidRDefault="000A27F4" w:rsidP="000A27F4">
            <w:pPr>
              <w:spacing w:after="0" w:line="240" w:lineRule="auto"/>
              <w:rPr>
                <w:rFonts w:ascii="Times New Roman" w:hAnsi="Times New Roman" w:cs="Times New Roman"/>
                <w:sz w:val="24"/>
                <w:szCs w:val="24"/>
              </w:rPr>
            </w:pPr>
          </w:p>
        </w:tc>
        <w:tc>
          <w:tcPr>
            <w:tcW w:w="1554" w:type="dxa"/>
          </w:tcPr>
          <w:p w14:paraId="749E8B08" w14:textId="77777777" w:rsidR="000A27F4" w:rsidRPr="00593BBE" w:rsidRDefault="000A27F4" w:rsidP="000A27F4">
            <w:pPr>
              <w:spacing w:after="0" w:line="240" w:lineRule="auto"/>
              <w:jc w:val="right"/>
              <w:rPr>
                <w:rFonts w:ascii="Times New Roman" w:hAnsi="Times New Roman" w:cs="Times New Roman"/>
                <w:sz w:val="24"/>
                <w:szCs w:val="24"/>
              </w:rPr>
            </w:pPr>
          </w:p>
        </w:tc>
      </w:tr>
      <w:tr w:rsidR="000A27F4" w:rsidRPr="00593BBE" w14:paraId="50A2CD95" w14:textId="77777777" w:rsidTr="000A27F4">
        <w:trPr>
          <w:trHeight w:val="260"/>
        </w:trPr>
        <w:tc>
          <w:tcPr>
            <w:tcW w:w="1255" w:type="dxa"/>
          </w:tcPr>
          <w:p w14:paraId="589E7F44" w14:textId="77777777" w:rsidR="000A27F4" w:rsidRPr="00593BBE" w:rsidRDefault="000A27F4" w:rsidP="000A27F4">
            <w:pPr>
              <w:spacing w:after="0" w:line="240" w:lineRule="auto"/>
              <w:rPr>
                <w:rFonts w:ascii="Times New Roman" w:hAnsi="Times New Roman" w:cs="Times New Roman"/>
                <w:sz w:val="24"/>
                <w:szCs w:val="24"/>
              </w:rPr>
            </w:pPr>
          </w:p>
        </w:tc>
        <w:tc>
          <w:tcPr>
            <w:tcW w:w="5940" w:type="dxa"/>
          </w:tcPr>
          <w:p w14:paraId="53853842"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Personnel</w:t>
            </w:r>
          </w:p>
        </w:tc>
        <w:tc>
          <w:tcPr>
            <w:tcW w:w="336" w:type="dxa"/>
          </w:tcPr>
          <w:p w14:paraId="38CC1824"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54" w:type="dxa"/>
          </w:tcPr>
          <w:p w14:paraId="08C6E098" w14:textId="326D9492" w:rsidR="000A27F4" w:rsidRPr="00593BBE" w:rsidRDefault="00952688" w:rsidP="000A27F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25,084</w:t>
            </w:r>
          </w:p>
        </w:tc>
      </w:tr>
      <w:tr w:rsidR="000A27F4" w:rsidRPr="00593BBE" w14:paraId="75CF672A" w14:textId="77777777" w:rsidTr="000A27F4">
        <w:trPr>
          <w:trHeight w:val="260"/>
        </w:trPr>
        <w:tc>
          <w:tcPr>
            <w:tcW w:w="1255" w:type="dxa"/>
          </w:tcPr>
          <w:p w14:paraId="10B5A6F9" w14:textId="77777777" w:rsidR="000A27F4" w:rsidRPr="00593BBE" w:rsidRDefault="000A27F4" w:rsidP="000A27F4">
            <w:pPr>
              <w:spacing w:after="0" w:line="240" w:lineRule="auto"/>
              <w:rPr>
                <w:rFonts w:ascii="Times New Roman" w:hAnsi="Times New Roman" w:cs="Times New Roman"/>
                <w:sz w:val="24"/>
                <w:szCs w:val="24"/>
              </w:rPr>
            </w:pPr>
          </w:p>
        </w:tc>
        <w:tc>
          <w:tcPr>
            <w:tcW w:w="5940" w:type="dxa"/>
          </w:tcPr>
          <w:p w14:paraId="23D349C5"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Fringe benefits </w:t>
            </w:r>
          </w:p>
        </w:tc>
        <w:tc>
          <w:tcPr>
            <w:tcW w:w="336" w:type="dxa"/>
          </w:tcPr>
          <w:p w14:paraId="7BC1BD97"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54" w:type="dxa"/>
          </w:tcPr>
          <w:p w14:paraId="52933E71" w14:textId="09987278" w:rsidR="000A27F4" w:rsidRPr="00593BBE" w:rsidRDefault="00952688" w:rsidP="00BD3F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10,613</w:t>
            </w:r>
          </w:p>
        </w:tc>
      </w:tr>
      <w:tr w:rsidR="000A27F4" w:rsidRPr="00593BBE" w14:paraId="5734BC40" w14:textId="77777777" w:rsidTr="000A27F4">
        <w:trPr>
          <w:trHeight w:val="260"/>
        </w:trPr>
        <w:tc>
          <w:tcPr>
            <w:tcW w:w="1255" w:type="dxa"/>
          </w:tcPr>
          <w:p w14:paraId="30B5A89A" w14:textId="77777777" w:rsidR="000A27F4" w:rsidRPr="00593BBE" w:rsidRDefault="000A27F4" w:rsidP="000A27F4">
            <w:pPr>
              <w:spacing w:after="0" w:line="240" w:lineRule="auto"/>
              <w:rPr>
                <w:rFonts w:ascii="Times New Roman" w:hAnsi="Times New Roman" w:cs="Times New Roman"/>
                <w:sz w:val="24"/>
                <w:szCs w:val="24"/>
              </w:rPr>
            </w:pPr>
          </w:p>
        </w:tc>
        <w:tc>
          <w:tcPr>
            <w:tcW w:w="5940" w:type="dxa"/>
          </w:tcPr>
          <w:p w14:paraId="4411D69D"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Travel</w:t>
            </w:r>
          </w:p>
        </w:tc>
        <w:tc>
          <w:tcPr>
            <w:tcW w:w="336" w:type="dxa"/>
          </w:tcPr>
          <w:p w14:paraId="7B63277D"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54" w:type="dxa"/>
          </w:tcPr>
          <w:p w14:paraId="25EEDA2D" w14:textId="4EB43D79" w:rsidR="000A27F4" w:rsidRPr="00593BBE" w:rsidRDefault="00952688" w:rsidP="000A27F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0A27F4" w:rsidRPr="00593BBE" w14:paraId="600F8695" w14:textId="77777777" w:rsidTr="000A27F4">
        <w:trPr>
          <w:trHeight w:val="260"/>
        </w:trPr>
        <w:tc>
          <w:tcPr>
            <w:tcW w:w="1255" w:type="dxa"/>
          </w:tcPr>
          <w:p w14:paraId="1D26BD2B" w14:textId="77777777" w:rsidR="000A27F4" w:rsidRPr="00593BBE" w:rsidRDefault="000A27F4" w:rsidP="000A27F4">
            <w:pPr>
              <w:spacing w:after="0" w:line="240" w:lineRule="auto"/>
              <w:rPr>
                <w:rFonts w:ascii="Times New Roman" w:hAnsi="Times New Roman" w:cs="Times New Roman"/>
                <w:sz w:val="24"/>
                <w:szCs w:val="24"/>
              </w:rPr>
            </w:pPr>
          </w:p>
        </w:tc>
        <w:tc>
          <w:tcPr>
            <w:tcW w:w="5940" w:type="dxa"/>
          </w:tcPr>
          <w:p w14:paraId="7233CCE5"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Consultants</w:t>
            </w:r>
          </w:p>
        </w:tc>
        <w:tc>
          <w:tcPr>
            <w:tcW w:w="336" w:type="dxa"/>
          </w:tcPr>
          <w:p w14:paraId="484868D3"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54" w:type="dxa"/>
          </w:tcPr>
          <w:p w14:paraId="1CEA3568" w14:textId="06B1196A" w:rsidR="000A27F4" w:rsidRPr="00593BBE" w:rsidRDefault="00952688" w:rsidP="00BD3FE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18,647</w:t>
            </w:r>
          </w:p>
        </w:tc>
      </w:tr>
      <w:tr w:rsidR="000A27F4" w:rsidRPr="00593BBE" w14:paraId="14909DB2" w14:textId="77777777" w:rsidTr="000A27F4">
        <w:trPr>
          <w:trHeight w:val="260"/>
        </w:trPr>
        <w:tc>
          <w:tcPr>
            <w:tcW w:w="1255" w:type="dxa"/>
          </w:tcPr>
          <w:p w14:paraId="4EAAFDFC" w14:textId="77777777" w:rsidR="000A27F4" w:rsidRPr="00593BBE" w:rsidRDefault="000A27F4" w:rsidP="000A27F4">
            <w:pPr>
              <w:spacing w:after="0" w:line="240" w:lineRule="auto"/>
              <w:rPr>
                <w:rFonts w:ascii="Times New Roman" w:hAnsi="Times New Roman" w:cs="Times New Roman"/>
                <w:sz w:val="24"/>
                <w:szCs w:val="24"/>
              </w:rPr>
            </w:pPr>
          </w:p>
        </w:tc>
        <w:tc>
          <w:tcPr>
            <w:tcW w:w="5940" w:type="dxa"/>
          </w:tcPr>
          <w:p w14:paraId="10DE900E"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Supplies</w:t>
            </w:r>
          </w:p>
        </w:tc>
        <w:tc>
          <w:tcPr>
            <w:tcW w:w="336" w:type="dxa"/>
          </w:tcPr>
          <w:p w14:paraId="454924F4"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54" w:type="dxa"/>
          </w:tcPr>
          <w:p w14:paraId="221B8381" w14:textId="2A794AB6" w:rsidR="000A27F4" w:rsidRPr="00593BBE" w:rsidRDefault="00952688" w:rsidP="000A27F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70</w:t>
            </w:r>
          </w:p>
        </w:tc>
      </w:tr>
      <w:tr w:rsidR="000A27F4" w:rsidRPr="00593BBE" w14:paraId="479B9C9B" w14:textId="77777777" w:rsidTr="000A27F4">
        <w:trPr>
          <w:trHeight w:val="269"/>
        </w:trPr>
        <w:tc>
          <w:tcPr>
            <w:tcW w:w="1255" w:type="dxa"/>
          </w:tcPr>
          <w:p w14:paraId="0AFE6120" w14:textId="77777777" w:rsidR="000A27F4" w:rsidRPr="00593BBE" w:rsidRDefault="000A27F4" w:rsidP="000A27F4">
            <w:pPr>
              <w:spacing w:after="0" w:line="240" w:lineRule="auto"/>
              <w:rPr>
                <w:rFonts w:ascii="Times New Roman" w:hAnsi="Times New Roman" w:cs="Times New Roman"/>
                <w:sz w:val="24"/>
                <w:szCs w:val="24"/>
              </w:rPr>
            </w:pPr>
          </w:p>
        </w:tc>
        <w:tc>
          <w:tcPr>
            <w:tcW w:w="5940" w:type="dxa"/>
          </w:tcPr>
          <w:p w14:paraId="5BE0C996"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Other</w:t>
            </w:r>
          </w:p>
        </w:tc>
        <w:tc>
          <w:tcPr>
            <w:tcW w:w="336" w:type="dxa"/>
          </w:tcPr>
          <w:p w14:paraId="59A26BD6"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54" w:type="dxa"/>
          </w:tcPr>
          <w:p w14:paraId="470FE39B" w14:textId="67EF1F9D" w:rsidR="000A27F4" w:rsidRPr="00593BBE" w:rsidRDefault="00952688" w:rsidP="000A27F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2,440</w:t>
            </w:r>
          </w:p>
        </w:tc>
      </w:tr>
      <w:tr w:rsidR="000A27F4" w:rsidRPr="00593BBE" w14:paraId="01729464" w14:textId="77777777" w:rsidTr="000A27F4">
        <w:trPr>
          <w:trHeight w:val="251"/>
        </w:trPr>
        <w:tc>
          <w:tcPr>
            <w:tcW w:w="1255" w:type="dxa"/>
          </w:tcPr>
          <w:p w14:paraId="37D3C458" w14:textId="77777777" w:rsidR="000A27F4" w:rsidRPr="00593BBE" w:rsidRDefault="000A27F4" w:rsidP="000A27F4">
            <w:pPr>
              <w:spacing w:after="0" w:line="240" w:lineRule="auto"/>
              <w:rPr>
                <w:rFonts w:ascii="Times New Roman" w:hAnsi="Times New Roman" w:cs="Times New Roman"/>
                <w:sz w:val="24"/>
                <w:szCs w:val="24"/>
              </w:rPr>
            </w:pPr>
          </w:p>
        </w:tc>
        <w:tc>
          <w:tcPr>
            <w:tcW w:w="5940" w:type="dxa"/>
          </w:tcPr>
          <w:p w14:paraId="52203C3C"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Total Indirect</w:t>
            </w:r>
          </w:p>
        </w:tc>
        <w:tc>
          <w:tcPr>
            <w:tcW w:w="336" w:type="dxa"/>
          </w:tcPr>
          <w:p w14:paraId="39B3A296"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54" w:type="dxa"/>
          </w:tcPr>
          <w:p w14:paraId="3B7137B3" w14:textId="76AB8ADE" w:rsidR="000A27F4" w:rsidRPr="00593BBE" w:rsidRDefault="00952688" w:rsidP="000A27F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32,727</w:t>
            </w:r>
          </w:p>
        </w:tc>
      </w:tr>
      <w:tr w:rsidR="000A27F4" w:rsidRPr="00593BBE" w14:paraId="7608F01B" w14:textId="77777777" w:rsidTr="000A27F4">
        <w:trPr>
          <w:trHeight w:val="251"/>
        </w:trPr>
        <w:tc>
          <w:tcPr>
            <w:tcW w:w="1255" w:type="dxa"/>
          </w:tcPr>
          <w:p w14:paraId="23B362F2" w14:textId="77777777" w:rsidR="000A27F4" w:rsidRPr="00593BBE" w:rsidRDefault="000A27F4" w:rsidP="000A27F4">
            <w:pPr>
              <w:spacing w:after="0" w:line="240" w:lineRule="auto"/>
              <w:rPr>
                <w:rFonts w:ascii="Times New Roman" w:hAnsi="Times New Roman" w:cs="Times New Roman"/>
                <w:sz w:val="24"/>
                <w:szCs w:val="24"/>
              </w:rPr>
            </w:pPr>
          </w:p>
        </w:tc>
        <w:tc>
          <w:tcPr>
            <w:tcW w:w="5940" w:type="dxa"/>
          </w:tcPr>
          <w:p w14:paraId="33E7B49C"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Subtotal Data Collection Agent</w:t>
            </w:r>
          </w:p>
        </w:tc>
        <w:tc>
          <w:tcPr>
            <w:tcW w:w="336" w:type="dxa"/>
          </w:tcPr>
          <w:p w14:paraId="5B0889B8"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54" w:type="dxa"/>
          </w:tcPr>
          <w:p w14:paraId="71982D26" w14:textId="2F686A68" w:rsidR="000A27F4" w:rsidRPr="00593BBE" w:rsidRDefault="00952688" w:rsidP="000A27F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89,581</w:t>
            </w:r>
          </w:p>
        </w:tc>
      </w:tr>
      <w:tr w:rsidR="000A27F4" w:rsidRPr="00593BBE" w14:paraId="41111AA6" w14:textId="77777777" w:rsidTr="0063446D">
        <w:trPr>
          <w:trHeight w:val="341"/>
        </w:trPr>
        <w:tc>
          <w:tcPr>
            <w:tcW w:w="1255" w:type="dxa"/>
          </w:tcPr>
          <w:p w14:paraId="4FF02BD3" w14:textId="77777777" w:rsidR="000A27F4" w:rsidRPr="00593BBE" w:rsidRDefault="000A27F4" w:rsidP="000A27F4">
            <w:pPr>
              <w:spacing w:after="0" w:line="240" w:lineRule="auto"/>
              <w:rPr>
                <w:rFonts w:ascii="Times New Roman" w:hAnsi="Times New Roman" w:cs="Times New Roman"/>
                <w:sz w:val="24"/>
                <w:szCs w:val="24"/>
              </w:rPr>
            </w:pPr>
          </w:p>
        </w:tc>
        <w:tc>
          <w:tcPr>
            <w:tcW w:w="5940" w:type="dxa"/>
          </w:tcPr>
          <w:p w14:paraId="4BCE2CC5" w14:textId="77777777" w:rsidR="000A27F4" w:rsidRPr="00AF6C8D" w:rsidRDefault="000A27F4" w:rsidP="000A27F4">
            <w:pPr>
              <w:spacing w:after="0" w:line="240" w:lineRule="auto"/>
              <w:rPr>
                <w:rFonts w:ascii="Times New Roman" w:hAnsi="Times New Roman" w:cs="Times New Roman"/>
                <w:b/>
                <w:sz w:val="24"/>
                <w:szCs w:val="24"/>
              </w:rPr>
            </w:pPr>
            <w:r>
              <w:rPr>
                <w:rFonts w:ascii="Times New Roman" w:hAnsi="Times New Roman" w:cs="Times New Roman"/>
                <w:b/>
                <w:sz w:val="24"/>
                <w:szCs w:val="24"/>
              </w:rPr>
              <w:t>TOTAL ESTIMATED COSTS</w:t>
            </w:r>
          </w:p>
        </w:tc>
        <w:tc>
          <w:tcPr>
            <w:tcW w:w="336" w:type="dxa"/>
          </w:tcPr>
          <w:p w14:paraId="3F9869B8" w14:textId="77777777" w:rsidR="000A27F4" w:rsidRPr="00593BBE" w:rsidRDefault="000A27F4"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554" w:type="dxa"/>
          </w:tcPr>
          <w:p w14:paraId="551C7DC0" w14:textId="46F98AB0" w:rsidR="000A27F4" w:rsidRPr="00AF6C8D" w:rsidRDefault="00952688" w:rsidP="000A27F4">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124,401</w:t>
            </w:r>
          </w:p>
        </w:tc>
      </w:tr>
    </w:tbl>
    <w:p w14:paraId="48381B5C" w14:textId="77777777" w:rsidR="007524CB" w:rsidRDefault="007524CB"/>
    <w:p w14:paraId="2B7E7615" w14:textId="77777777" w:rsidR="000A27F4" w:rsidRPr="00F63530" w:rsidRDefault="000A27F4" w:rsidP="000A27F4">
      <w:pPr>
        <w:pStyle w:val="ListParagraph"/>
        <w:numPr>
          <w:ilvl w:val="0"/>
          <w:numId w:val="2"/>
        </w:numPr>
        <w:spacing w:after="0" w:line="240" w:lineRule="auto"/>
        <w:contextualSpacing w:val="0"/>
        <w:rPr>
          <w:rFonts w:ascii="Times New Roman" w:hAnsi="Times New Roman" w:cs="Times New Roman"/>
          <w:sz w:val="24"/>
          <w:szCs w:val="24"/>
        </w:rPr>
      </w:pPr>
      <w:r w:rsidRPr="00F63530">
        <w:rPr>
          <w:rFonts w:ascii="Times New Roman" w:hAnsi="Times New Roman" w:cs="Times New Roman"/>
          <w:sz w:val="24"/>
          <w:szCs w:val="24"/>
          <w:u w:val="single"/>
        </w:rPr>
        <w:t>Reason for Change in Burden</w:t>
      </w:r>
    </w:p>
    <w:p w14:paraId="2D84DF6B" w14:textId="77777777" w:rsidR="000A27F4" w:rsidRPr="00F63530" w:rsidRDefault="001035D0" w:rsidP="000A27F4">
      <w:pPr>
        <w:spacing w:after="0" w:line="240" w:lineRule="auto"/>
        <w:rPr>
          <w:rFonts w:ascii="Times New Roman" w:hAnsi="Times New Roman" w:cs="Times New Roman"/>
          <w:sz w:val="24"/>
          <w:szCs w:val="24"/>
        </w:rPr>
      </w:pPr>
      <w:r>
        <w:rPr>
          <w:rFonts w:ascii="Times New Roman" w:hAnsi="Times New Roman" w:cs="Times New Roman"/>
          <w:sz w:val="24"/>
          <w:szCs w:val="24"/>
        </w:rPr>
        <w:t>This is a new collection, so there is no change in burden</w:t>
      </w:r>
      <w:r w:rsidR="000A27F4" w:rsidRPr="00F63530">
        <w:rPr>
          <w:rFonts w:ascii="Times New Roman" w:hAnsi="Times New Roman" w:cs="Times New Roman"/>
          <w:sz w:val="24"/>
          <w:szCs w:val="24"/>
        </w:rPr>
        <w:t>.</w:t>
      </w:r>
    </w:p>
    <w:p w14:paraId="5D7BD2E7" w14:textId="77777777" w:rsidR="000A27F4" w:rsidRPr="00E50184" w:rsidRDefault="000A27F4" w:rsidP="000A27F4">
      <w:pPr>
        <w:pStyle w:val="ListParagraph"/>
        <w:spacing w:after="0" w:line="240" w:lineRule="auto"/>
        <w:ind w:left="360"/>
        <w:contextualSpacing w:val="0"/>
        <w:rPr>
          <w:rFonts w:ascii="Times New Roman" w:hAnsi="Times New Roman" w:cs="Times New Roman"/>
          <w:sz w:val="24"/>
          <w:szCs w:val="24"/>
          <w:highlight w:val="yellow"/>
        </w:rPr>
      </w:pPr>
    </w:p>
    <w:p w14:paraId="7256C93F" w14:textId="77777777" w:rsidR="000A27F4" w:rsidRPr="00F63530" w:rsidRDefault="000A27F4" w:rsidP="000A27F4">
      <w:pPr>
        <w:pStyle w:val="ListParagraph"/>
        <w:numPr>
          <w:ilvl w:val="0"/>
          <w:numId w:val="2"/>
        </w:numPr>
        <w:spacing w:after="0" w:line="240" w:lineRule="auto"/>
        <w:contextualSpacing w:val="0"/>
        <w:rPr>
          <w:rFonts w:ascii="Times New Roman" w:hAnsi="Times New Roman" w:cs="Times New Roman"/>
          <w:sz w:val="24"/>
          <w:szCs w:val="24"/>
        </w:rPr>
      </w:pPr>
      <w:r w:rsidRPr="00F63530">
        <w:rPr>
          <w:rFonts w:ascii="Times New Roman" w:hAnsi="Times New Roman" w:cs="Times New Roman"/>
          <w:sz w:val="24"/>
          <w:szCs w:val="24"/>
          <w:u w:val="single"/>
        </w:rPr>
        <w:t>Project Schedule</w:t>
      </w:r>
    </w:p>
    <w:p w14:paraId="06737438" w14:textId="110BBD00" w:rsidR="000A27F4" w:rsidRPr="001B4483" w:rsidRDefault="000A27F4" w:rsidP="000A27F4">
      <w:pPr>
        <w:tabs>
          <w:tab w:val="left" w:pos="-720"/>
        </w:tabs>
        <w:autoSpaceDE w:val="0"/>
        <w:autoSpaceDN w:val="0"/>
        <w:adjustRightInd w:val="0"/>
        <w:spacing w:after="0" w:line="240" w:lineRule="auto"/>
        <w:rPr>
          <w:rFonts w:ascii="Times New Roman" w:hAnsi="Times New Roman" w:cs="Times New Roman"/>
          <w:b/>
          <w:sz w:val="24"/>
          <w:szCs w:val="24"/>
        </w:rPr>
      </w:pPr>
      <w:r w:rsidRPr="00711D0B">
        <w:rPr>
          <w:rFonts w:ascii="Times New Roman" w:hAnsi="Times New Roman" w:cs="Times New Roman"/>
          <w:sz w:val="24"/>
          <w:szCs w:val="24"/>
        </w:rPr>
        <w:t>Pending OMB approval, the 201</w:t>
      </w:r>
      <w:r w:rsidR="001B4483">
        <w:rPr>
          <w:rFonts w:ascii="Times New Roman" w:hAnsi="Times New Roman" w:cs="Times New Roman"/>
          <w:sz w:val="24"/>
          <w:szCs w:val="24"/>
        </w:rPr>
        <w:t>8</w:t>
      </w:r>
      <w:r w:rsidRPr="00711D0B">
        <w:rPr>
          <w:rFonts w:ascii="Times New Roman" w:hAnsi="Times New Roman" w:cs="Times New Roman"/>
          <w:sz w:val="24"/>
          <w:szCs w:val="24"/>
        </w:rPr>
        <w:t xml:space="preserve"> </w:t>
      </w:r>
      <w:r w:rsidR="001F7BD6">
        <w:rPr>
          <w:rFonts w:ascii="Times New Roman" w:eastAsia="Times New Roman" w:hAnsi="Times New Roman" w:cs="Times New Roman"/>
          <w:sz w:val="24"/>
          <w:szCs w:val="24"/>
        </w:rPr>
        <w:t>SSAGO-</w:t>
      </w:r>
      <w:r w:rsidR="001B4483">
        <w:rPr>
          <w:rFonts w:ascii="Times New Roman" w:eastAsia="Times New Roman" w:hAnsi="Times New Roman" w:cs="Times New Roman"/>
          <w:sz w:val="24"/>
          <w:szCs w:val="24"/>
        </w:rPr>
        <w:t>HT</w:t>
      </w:r>
      <w:r w:rsidRPr="00711D0B">
        <w:rPr>
          <w:rFonts w:ascii="Times New Roman" w:hAnsi="Times New Roman" w:cs="Times New Roman"/>
          <w:sz w:val="24"/>
          <w:szCs w:val="24"/>
        </w:rPr>
        <w:t xml:space="preserve"> data collection is slated to be</w:t>
      </w:r>
      <w:r w:rsidR="00D153FF">
        <w:rPr>
          <w:rFonts w:ascii="Times New Roman" w:hAnsi="Times New Roman" w:cs="Times New Roman"/>
          <w:sz w:val="24"/>
          <w:szCs w:val="24"/>
        </w:rPr>
        <w:t>gin</w:t>
      </w:r>
      <w:r w:rsidRPr="00711D0B">
        <w:rPr>
          <w:rFonts w:ascii="Times New Roman" w:hAnsi="Times New Roman" w:cs="Times New Roman"/>
          <w:sz w:val="24"/>
          <w:szCs w:val="24"/>
        </w:rPr>
        <w:t xml:space="preserve"> in </w:t>
      </w:r>
      <w:r w:rsidR="001B4483" w:rsidRPr="004E47E1">
        <w:rPr>
          <w:rFonts w:ascii="Times New Roman" w:hAnsi="Times New Roman" w:cs="Times New Roman"/>
          <w:sz w:val="24"/>
          <w:szCs w:val="24"/>
        </w:rPr>
        <w:t>January</w:t>
      </w:r>
      <w:r w:rsidR="009070D1" w:rsidRPr="004E47E1">
        <w:rPr>
          <w:rFonts w:ascii="Times New Roman" w:hAnsi="Times New Roman" w:cs="Times New Roman"/>
          <w:sz w:val="24"/>
          <w:szCs w:val="24"/>
        </w:rPr>
        <w:t xml:space="preserve"> 201</w:t>
      </w:r>
      <w:r w:rsidR="001B4483" w:rsidRPr="004E47E1">
        <w:rPr>
          <w:rFonts w:ascii="Times New Roman" w:hAnsi="Times New Roman" w:cs="Times New Roman"/>
          <w:sz w:val="24"/>
          <w:szCs w:val="24"/>
        </w:rPr>
        <w:t>9</w:t>
      </w:r>
      <w:r w:rsidR="00D153FF">
        <w:rPr>
          <w:rFonts w:ascii="Times New Roman" w:hAnsi="Times New Roman" w:cs="Times New Roman"/>
          <w:sz w:val="24"/>
          <w:szCs w:val="24"/>
        </w:rPr>
        <w:t xml:space="preserve"> and</w:t>
      </w:r>
      <w:r w:rsidRPr="00711D0B">
        <w:rPr>
          <w:rFonts w:ascii="Times New Roman" w:hAnsi="Times New Roman" w:cs="Times New Roman"/>
          <w:sz w:val="24"/>
          <w:szCs w:val="24"/>
        </w:rPr>
        <w:t xml:space="preserve"> </w:t>
      </w:r>
      <w:r w:rsidRPr="004E47E1">
        <w:rPr>
          <w:rFonts w:ascii="Times New Roman" w:hAnsi="Times New Roman" w:cs="Times New Roman"/>
          <w:sz w:val="24"/>
          <w:szCs w:val="24"/>
        </w:rPr>
        <w:t xml:space="preserve">end </w:t>
      </w:r>
      <w:r w:rsidR="004E47E1">
        <w:rPr>
          <w:rFonts w:ascii="Times New Roman" w:hAnsi="Times New Roman" w:cs="Times New Roman"/>
          <w:sz w:val="24"/>
          <w:szCs w:val="24"/>
        </w:rPr>
        <w:t>April</w:t>
      </w:r>
      <w:r w:rsidR="006E71A2" w:rsidRPr="004E47E1">
        <w:rPr>
          <w:rFonts w:ascii="Times New Roman" w:hAnsi="Times New Roman" w:cs="Times New Roman"/>
          <w:sz w:val="24"/>
          <w:szCs w:val="24"/>
        </w:rPr>
        <w:t xml:space="preserve"> 201</w:t>
      </w:r>
      <w:r w:rsidR="001B4483" w:rsidRPr="004E47E1">
        <w:rPr>
          <w:rFonts w:ascii="Times New Roman" w:hAnsi="Times New Roman" w:cs="Times New Roman"/>
          <w:sz w:val="24"/>
          <w:szCs w:val="24"/>
        </w:rPr>
        <w:t>9</w:t>
      </w:r>
      <w:r w:rsidRPr="00711D0B">
        <w:rPr>
          <w:rFonts w:ascii="Times New Roman" w:hAnsi="Times New Roman" w:cs="Times New Roman"/>
          <w:sz w:val="24"/>
          <w:szCs w:val="24"/>
        </w:rPr>
        <w:t>. Once all data are collected, processed and cleaned, final analytical work will begin with plans to issue a BJS report</w:t>
      </w:r>
      <w:r w:rsidR="00D153FF">
        <w:rPr>
          <w:rFonts w:ascii="Times New Roman" w:hAnsi="Times New Roman" w:cs="Times New Roman"/>
          <w:sz w:val="24"/>
          <w:szCs w:val="24"/>
        </w:rPr>
        <w:t xml:space="preserve"> (working title)</w:t>
      </w:r>
      <w:r w:rsidRPr="00711D0B">
        <w:rPr>
          <w:rFonts w:ascii="Times New Roman" w:hAnsi="Times New Roman" w:cs="Times New Roman"/>
          <w:sz w:val="24"/>
          <w:szCs w:val="24"/>
        </w:rPr>
        <w:t xml:space="preserve">: </w:t>
      </w:r>
      <w:r>
        <w:rPr>
          <w:rFonts w:ascii="Times New Roman" w:hAnsi="Times New Roman" w:cs="Times New Roman"/>
          <w:b/>
          <w:sz w:val="24"/>
          <w:szCs w:val="24"/>
        </w:rPr>
        <w:t>State Attorney General Offices</w:t>
      </w:r>
      <w:r w:rsidR="00962D17">
        <w:rPr>
          <w:rFonts w:ascii="Times New Roman" w:hAnsi="Times New Roman" w:cs="Times New Roman"/>
          <w:b/>
          <w:sz w:val="24"/>
          <w:szCs w:val="24"/>
        </w:rPr>
        <w:t>’</w:t>
      </w:r>
      <w:r>
        <w:rPr>
          <w:rFonts w:ascii="Times New Roman" w:hAnsi="Times New Roman" w:cs="Times New Roman"/>
          <w:b/>
          <w:sz w:val="24"/>
          <w:szCs w:val="24"/>
        </w:rPr>
        <w:t xml:space="preserve"> Responses to </w:t>
      </w:r>
      <w:r w:rsidR="001B4483">
        <w:rPr>
          <w:rFonts w:ascii="Times New Roman" w:hAnsi="Times New Roman" w:cs="Times New Roman"/>
          <w:b/>
          <w:sz w:val="24"/>
          <w:szCs w:val="24"/>
        </w:rPr>
        <w:t>Human Trafficking, 2018</w:t>
      </w:r>
      <w:r w:rsidRPr="00711D0B">
        <w:rPr>
          <w:rFonts w:ascii="Times New Roman" w:hAnsi="Times New Roman" w:cs="Times New Roman"/>
          <w:b/>
          <w:sz w:val="24"/>
          <w:szCs w:val="24"/>
        </w:rPr>
        <w:t xml:space="preserve"> </w:t>
      </w:r>
      <w:r w:rsidR="00B10E2F">
        <w:rPr>
          <w:rFonts w:ascii="Times New Roman" w:hAnsi="Times New Roman" w:cs="Times New Roman"/>
          <w:sz w:val="24"/>
          <w:szCs w:val="24"/>
        </w:rPr>
        <w:t xml:space="preserve">in </w:t>
      </w:r>
      <w:r w:rsidRPr="00711D0B">
        <w:rPr>
          <w:rFonts w:ascii="Times New Roman" w:hAnsi="Times New Roman" w:cs="Times New Roman"/>
          <w:sz w:val="24"/>
          <w:szCs w:val="24"/>
        </w:rPr>
        <w:t>201</w:t>
      </w:r>
      <w:r w:rsidR="009070D1">
        <w:rPr>
          <w:rFonts w:ascii="Times New Roman" w:hAnsi="Times New Roman" w:cs="Times New Roman"/>
          <w:sz w:val="24"/>
          <w:szCs w:val="24"/>
        </w:rPr>
        <w:t>9</w:t>
      </w:r>
      <w:r w:rsidRPr="00711D0B">
        <w:rPr>
          <w:rFonts w:ascii="Times New Roman" w:hAnsi="Times New Roman" w:cs="Times New Roman"/>
          <w:sz w:val="24"/>
          <w:szCs w:val="24"/>
        </w:rPr>
        <w:t>.</w:t>
      </w:r>
      <w:r w:rsidR="001B4483">
        <w:rPr>
          <w:rFonts w:ascii="Times New Roman" w:hAnsi="Times New Roman" w:cs="Times New Roman"/>
          <w:sz w:val="24"/>
          <w:szCs w:val="24"/>
        </w:rPr>
        <w:t xml:space="preserve"> </w:t>
      </w:r>
    </w:p>
    <w:p w14:paraId="163E456A" w14:textId="77777777" w:rsidR="000A27F4" w:rsidRPr="00711D0B" w:rsidRDefault="000A27F4" w:rsidP="000A27F4">
      <w:pPr>
        <w:pStyle w:val="ListParagraph"/>
        <w:tabs>
          <w:tab w:val="left" w:pos="-720"/>
        </w:tabs>
        <w:autoSpaceDE w:val="0"/>
        <w:autoSpaceDN w:val="0"/>
        <w:adjustRightInd w:val="0"/>
        <w:spacing w:after="0" w:line="240" w:lineRule="auto"/>
        <w:ind w:left="360"/>
        <w:rPr>
          <w:rFonts w:ascii="Times New Roman" w:hAnsi="Times New Roman" w:cs="Times New Roman"/>
          <w:sz w:val="24"/>
          <w:szCs w:val="24"/>
        </w:rPr>
      </w:pPr>
    </w:p>
    <w:p w14:paraId="6DF9A868" w14:textId="6AEC0BED" w:rsidR="00D65DDD" w:rsidRDefault="000A27F4" w:rsidP="001B2F55">
      <w:pPr>
        <w:tabs>
          <w:tab w:val="left" w:pos="-7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project schedule</w:t>
      </w:r>
      <w:r w:rsidR="001B4483">
        <w:rPr>
          <w:rFonts w:ascii="Times New Roman" w:hAnsi="Times New Roman" w:cs="Times New Roman"/>
          <w:sz w:val="24"/>
          <w:szCs w:val="24"/>
        </w:rPr>
        <w:t xml:space="preserve"> for the SSAGO-HT </w:t>
      </w:r>
      <w:r w:rsidR="004C26A9">
        <w:rPr>
          <w:rFonts w:ascii="Times New Roman" w:hAnsi="Times New Roman" w:cs="Times New Roman"/>
          <w:sz w:val="24"/>
          <w:szCs w:val="24"/>
        </w:rPr>
        <w:t>is outlined below</w:t>
      </w:r>
      <w:r w:rsidR="001B4483">
        <w:rPr>
          <w:rFonts w:ascii="Times New Roman" w:hAnsi="Times New Roman" w:cs="Times New Roman"/>
          <w:sz w:val="24"/>
          <w:szCs w:val="24"/>
        </w:rPr>
        <w:t>.</w:t>
      </w:r>
      <w:r>
        <w:rPr>
          <w:rFonts w:ascii="Times New Roman" w:hAnsi="Times New Roman" w:cs="Times New Roman"/>
          <w:sz w:val="24"/>
          <w:szCs w:val="24"/>
        </w:rPr>
        <w:t xml:space="preserve"> </w:t>
      </w:r>
    </w:p>
    <w:p w14:paraId="1DBE80C4" w14:textId="77777777" w:rsidR="00526720" w:rsidRPr="00524695" w:rsidRDefault="00526720" w:rsidP="000A27F4">
      <w:pPr>
        <w:tabs>
          <w:tab w:val="left" w:pos="-720"/>
        </w:tabs>
        <w:autoSpaceDE w:val="0"/>
        <w:autoSpaceDN w:val="0"/>
        <w:adjustRightInd w:val="0"/>
        <w:spacing w:after="0" w:line="240" w:lineRule="auto"/>
        <w:rPr>
          <w:rFonts w:ascii="Times New Roman" w:hAnsi="Times New Roman" w:cs="Times New Roman"/>
          <w:sz w:val="24"/>
          <w:szCs w:val="24"/>
        </w:rPr>
      </w:pPr>
    </w:p>
    <w:tbl>
      <w:tblPr>
        <w:tblStyle w:val="TableGrid"/>
        <w:tblW w:w="10165" w:type="dxa"/>
        <w:tblLook w:val="04A0" w:firstRow="1" w:lastRow="0" w:firstColumn="1" w:lastColumn="0" w:noHBand="0" w:noVBand="1"/>
      </w:tblPr>
      <w:tblGrid>
        <w:gridCol w:w="1615"/>
        <w:gridCol w:w="3240"/>
        <w:gridCol w:w="3240"/>
        <w:gridCol w:w="2070"/>
      </w:tblGrid>
      <w:tr w:rsidR="00043FB2" w14:paraId="1BC5AB2C" w14:textId="77777777" w:rsidTr="00043FB2">
        <w:trPr>
          <w:trHeight w:val="287"/>
        </w:trPr>
        <w:tc>
          <w:tcPr>
            <w:tcW w:w="10165" w:type="dxa"/>
            <w:gridSpan w:val="4"/>
          </w:tcPr>
          <w:p w14:paraId="677C0481" w14:textId="6E4766A1" w:rsidR="00043FB2" w:rsidRPr="00043FB2" w:rsidRDefault="00043FB2"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b/>
                <w:sz w:val="24"/>
                <w:szCs w:val="24"/>
              </w:rPr>
            </w:pPr>
            <w:r w:rsidRPr="00043FB2">
              <w:rPr>
                <w:rFonts w:ascii="Times New Roman" w:hAnsi="Times New Roman"/>
                <w:b/>
                <w:sz w:val="24"/>
                <w:szCs w:val="24"/>
              </w:rPr>
              <w:t>Proposed project schedule for data collection</w:t>
            </w:r>
          </w:p>
        </w:tc>
      </w:tr>
      <w:tr w:rsidR="00043FB2" w14:paraId="6E570EF6" w14:textId="77777777" w:rsidTr="00043FB2">
        <w:trPr>
          <w:trHeight w:val="287"/>
        </w:trPr>
        <w:tc>
          <w:tcPr>
            <w:tcW w:w="1615" w:type="dxa"/>
          </w:tcPr>
          <w:p w14:paraId="681824BA" w14:textId="5AEB8598" w:rsidR="00043FB2" w:rsidRPr="00043FB2" w:rsidRDefault="00043FB2"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b/>
                <w:sz w:val="24"/>
                <w:szCs w:val="24"/>
              </w:rPr>
            </w:pPr>
            <w:r w:rsidRPr="00043FB2">
              <w:rPr>
                <w:rFonts w:ascii="Times New Roman" w:hAnsi="Times New Roman"/>
                <w:b/>
                <w:sz w:val="24"/>
                <w:szCs w:val="24"/>
              </w:rPr>
              <w:t>Date</w:t>
            </w:r>
          </w:p>
        </w:tc>
        <w:tc>
          <w:tcPr>
            <w:tcW w:w="3240" w:type="dxa"/>
          </w:tcPr>
          <w:p w14:paraId="0145D222" w14:textId="7C836C77" w:rsidR="00043FB2" w:rsidRPr="00043FB2" w:rsidRDefault="00043FB2"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b/>
                <w:sz w:val="24"/>
                <w:szCs w:val="24"/>
              </w:rPr>
            </w:pPr>
            <w:r w:rsidRPr="00043FB2">
              <w:rPr>
                <w:rFonts w:ascii="Times New Roman" w:hAnsi="Times New Roman"/>
                <w:b/>
                <w:sz w:val="24"/>
                <w:szCs w:val="24"/>
              </w:rPr>
              <w:t>Stage</w:t>
            </w:r>
          </w:p>
        </w:tc>
        <w:tc>
          <w:tcPr>
            <w:tcW w:w="3240" w:type="dxa"/>
          </w:tcPr>
          <w:p w14:paraId="6E9B1EAB" w14:textId="3BB8657B" w:rsidR="00043FB2" w:rsidRPr="00043FB2" w:rsidRDefault="00043FB2"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b/>
                <w:sz w:val="24"/>
                <w:szCs w:val="24"/>
              </w:rPr>
            </w:pPr>
            <w:r w:rsidRPr="00043FB2">
              <w:rPr>
                <w:rFonts w:ascii="Times New Roman" w:hAnsi="Times New Roman"/>
                <w:b/>
                <w:sz w:val="24"/>
                <w:szCs w:val="24"/>
              </w:rPr>
              <w:t>Method of Contact</w:t>
            </w:r>
          </w:p>
        </w:tc>
        <w:tc>
          <w:tcPr>
            <w:tcW w:w="2070" w:type="dxa"/>
          </w:tcPr>
          <w:p w14:paraId="4FF4686D" w14:textId="44392686" w:rsidR="00043FB2" w:rsidRPr="00043FB2" w:rsidRDefault="00043FB2"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b/>
                <w:sz w:val="24"/>
                <w:szCs w:val="24"/>
              </w:rPr>
            </w:pPr>
            <w:r w:rsidRPr="00043FB2">
              <w:rPr>
                <w:rFonts w:ascii="Times New Roman" w:hAnsi="Times New Roman"/>
                <w:b/>
                <w:sz w:val="24"/>
                <w:szCs w:val="24"/>
              </w:rPr>
              <w:t>Attachment</w:t>
            </w:r>
            <w:r>
              <w:rPr>
                <w:rFonts w:ascii="Times New Roman" w:hAnsi="Times New Roman"/>
                <w:b/>
                <w:sz w:val="24"/>
                <w:szCs w:val="24"/>
              </w:rPr>
              <w:t>(s)</w:t>
            </w:r>
          </w:p>
        </w:tc>
      </w:tr>
      <w:tr w:rsidR="00043FB2" w14:paraId="5D0A7F46" w14:textId="72B9E2A8" w:rsidTr="00043FB2">
        <w:trPr>
          <w:trHeight w:val="287"/>
        </w:trPr>
        <w:tc>
          <w:tcPr>
            <w:tcW w:w="1615" w:type="dxa"/>
          </w:tcPr>
          <w:p w14:paraId="18873739" w14:textId="77777777" w:rsidR="00043FB2" w:rsidRDefault="00043FB2"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Week 1</w:t>
            </w:r>
          </w:p>
        </w:tc>
        <w:tc>
          <w:tcPr>
            <w:tcW w:w="3240" w:type="dxa"/>
          </w:tcPr>
          <w:p w14:paraId="165E57AE" w14:textId="580DE565" w:rsidR="00043FB2" w:rsidRDefault="00043FB2"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Initial contact</w:t>
            </w:r>
            <w:r w:rsidR="00C969A6">
              <w:rPr>
                <w:rFonts w:ascii="Times New Roman" w:hAnsi="Times New Roman"/>
                <w:sz w:val="24"/>
                <w:szCs w:val="24"/>
              </w:rPr>
              <w:t xml:space="preserve"> announcing the survey</w:t>
            </w:r>
          </w:p>
        </w:tc>
        <w:tc>
          <w:tcPr>
            <w:tcW w:w="3240" w:type="dxa"/>
          </w:tcPr>
          <w:p w14:paraId="3C567D1C" w14:textId="4F899176" w:rsidR="00043FB2" w:rsidRDefault="00043FB2" w:rsidP="00043F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 xml:space="preserve">Mail </w:t>
            </w:r>
          </w:p>
        </w:tc>
        <w:tc>
          <w:tcPr>
            <w:tcW w:w="2070" w:type="dxa"/>
          </w:tcPr>
          <w:p w14:paraId="60394848" w14:textId="7C926267" w:rsidR="00043FB2" w:rsidRDefault="00C969A6"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8</w:t>
            </w:r>
          </w:p>
        </w:tc>
      </w:tr>
      <w:tr w:rsidR="00043FB2" w14:paraId="40EB0C84" w14:textId="1096D8BC" w:rsidTr="00043FB2">
        <w:trPr>
          <w:trHeight w:val="325"/>
        </w:trPr>
        <w:tc>
          <w:tcPr>
            <w:tcW w:w="1615" w:type="dxa"/>
          </w:tcPr>
          <w:p w14:paraId="76C1940B" w14:textId="77777777" w:rsidR="00043FB2" w:rsidRDefault="00043FB2"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Week 2</w:t>
            </w:r>
          </w:p>
        </w:tc>
        <w:tc>
          <w:tcPr>
            <w:tcW w:w="3240" w:type="dxa"/>
          </w:tcPr>
          <w:p w14:paraId="7B594E3F" w14:textId="77777777" w:rsidR="00043FB2" w:rsidRDefault="00043FB2"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Invitation with fillable .PDF (email) or hard copy (mail) packets</w:t>
            </w:r>
          </w:p>
        </w:tc>
        <w:tc>
          <w:tcPr>
            <w:tcW w:w="3240" w:type="dxa"/>
          </w:tcPr>
          <w:p w14:paraId="2C1BC897" w14:textId="683A4AF5" w:rsidR="00043FB2" w:rsidRDefault="00043FB2" w:rsidP="006B24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 xml:space="preserve">Email to those </w:t>
            </w:r>
            <w:r w:rsidR="006B2404">
              <w:rPr>
                <w:rFonts w:ascii="Times New Roman" w:hAnsi="Times New Roman"/>
                <w:sz w:val="24"/>
                <w:szCs w:val="24"/>
              </w:rPr>
              <w:t xml:space="preserve">for </w:t>
            </w:r>
            <w:r>
              <w:rPr>
                <w:rFonts w:ascii="Times New Roman" w:hAnsi="Times New Roman"/>
                <w:sz w:val="24"/>
                <w:szCs w:val="24"/>
              </w:rPr>
              <w:t>who</w:t>
            </w:r>
            <w:r w:rsidR="006B2404">
              <w:rPr>
                <w:rFonts w:ascii="Times New Roman" w:hAnsi="Times New Roman"/>
                <w:sz w:val="24"/>
                <w:szCs w:val="24"/>
              </w:rPr>
              <w:t>m</w:t>
            </w:r>
            <w:r>
              <w:rPr>
                <w:rFonts w:ascii="Times New Roman" w:hAnsi="Times New Roman"/>
                <w:sz w:val="24"/>
                <w:szCs w:val="24"/>
              </w:rPr>
              <w:t xml:space="preserve"> </w:t>
            </w:r>
            <w:r w:rsidR="006B2404">
              <w:rPr>
                <w:rFonts w:ascii="Times New Roman" w:hAnsi="Times New Roman"/>
                <w:sz w:val="24"/>
                <w:szCs w:val="24"/>
              </w:rPr>
              <w:t>Ms. Lott has addresses</w:t>
            </w:r>
            <w:r>
              <w:rPr>
                <w:rFonts w:ascii="Times New Roman" w:hAnsi="Times New Roman"/>
                <w:sz w:val="24"/>
                <w:szCs w:val="24"/>
              </w:rPr>
              <w:t xml:space="preserve">; mail to those </w:t>
            </w:r>
            <w:r w:rsidR="006B2404">
              <w:rPr>
                <w:rFonts w:ascii="Times New Roman" w:hAnsi="Times New Roman"/>
                <w:sz w:val="24"/>
                <w:szCs w:val="24"/>
              </w:rPr>
              <w:t>for whom Ms. Lott does not have email addresses</w:t>
            </w:r>
            <w:r>
              <w:rPr>
                <w:rFonts w:ascii="Times New Roman" w:hAnsi="Times New Roman"/>
                <w:sz w:val="24"/>
                <w:szCs w:val="24"/>
              </w:rPr>
              <w:t xml:space="preserve"> </w:t>
            </w:r>
          </w:p>
        </w:tc>
        <w:tc>
          <w:tcPr>
            <w:tcW w:w="2070" w:type="dxa"/>
          </w:tcPr>
          <w:p w14:paraId="06057154" w14:textId="6B9E3CAC" w:rsidR="00043FB2" w:rsidRDefault="00043FB2"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4, 9</w:t>
            </w:r>
          </w:p>
        </w:tc>
      </w:tr>
      <w:tr w:rsidR="00043FB2" w14:paraId="70883ACB" w14:textId="19D94C81" w:rsidTr="00043FB2">
        <w:trPr>
          <w:trHeight w:val="325"/>
        </w:trPr>
        <w:tc>
          <w:tcPr>
            <w:tcW w:w="1615" w:type="dxa"/>
          </w:tcPr>
          <w:p w14:paraId="144BFE9F" w14:textId="77777777" w:rsidR="00043FB2" w:rsidRDefault="00043FB2"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Week 4</w:t>
            </w:r>
          </w:p>
        </w:tc>
        <w:tc>
          <w:tcPr>
            <w:tcW w:w="3240" w:type="dxa"/>
          </w:tcPr>
          <w:p w14:paraId="4273C4FF" w14:textId="77777777" w:rsidR="00043FB2" w:rsidRDefault="00043FB2"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Initial follow-up</w:t>
            </w:r>
          </w:p>
        </w:tc>
        <w:tc>
          <w:tcPr>
            <w:tcW w:w="3240" w:type="dxa"/>
          </w:tcPr>
          <w:p w14:paraId="6E593D0E" w14:textId="4D52D0E5" w:rsidR="00043FB2" w:rsidRDefault="00043FB2" w:rsidP="00043FB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 xml:space="preserve">Email to nonresponders </w:t>
            </w:r>
          </w:p>
        </w:tc>
        <w:tc>
          <w:tcPr>
            <w:tcW w:w="2070" w:type="dxa"/>
          </w:tcPr>
          <w:p w14:paraId="4058B20D" w14:textId="7D24B2DC" w:rsidR="00043FB2" w:rsidRDefault="00043FB2" w:rsidP="00ED3F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10</w:t>
            </w:r>
          </w:p>
        </w:tc>
      </w:tr>
      <w:tr w:rsidR="00043FB2" w14:paraId="0B3CCC4F" w14:textId="25B3779D" w:rsidTr="00043FB2">
        <w:trPr>
          <w:trHeight w:val="325"/>
        </w:trPr>
        <w:tc>
          <w:tcPr>
            <w:tcW w:w="1615" w:type="dxa"/>
          </w:tcPr>
          <w:p w14:paraId="35446F90" w14:textId="77777777" w:rsidR="00043FB2" w:rsidRDefault="00043FB2" w:rsidP="004F2D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 xml:space="preserve">Week 6 </w:t>
            </w:r>
          </w:p>
        </w:tc>
        <w:tc>
          <w:tcPr>
            <w:tcW w:w="3240" w:type="dxa"/>
          </w:tcPr>
          <w:p w14:paraId="1D78BDDB" w14:textId="77777777" w:rsidR="00043FB2" w:rsidRDefault="00043FB2"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Telephone follow-up</w:t>
            </w:r>
          </w:p>
        </w:tc>
        <w:tc>
          <w:tcPr>
            <w:tcW w:w="3240" w:type="dxa"/>
          </w:tcPr>
          <w:p w14:paraId="3C184C88" w14:textId="053821DD" w:rsidR="00043FB2" w:rsidRDefault="00043FB2" w:rsidP="00ED3F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Telephone to nonresponders</w:t>
            </w:r>
          </w:p>
        </w:tc>
        <w:tc>
          <w:tcPr>
            <w:tcW w:w="2070" w:type="dxa"/>
          </w:tcPr>
          <w:p w14:paraId="7100822C" w14:textId="03EEA1AE" w:rsidR="00043FB2" w:rsidRDefault="00043FB2" w:rsidP="00ED3F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11</w:t>
            </w:r>
          </w:p>
        </w:tc>
      </w:tr>
      <w:tr w:rsidR="00043FB2" w14:paraId="6F3F8E42" w14:textId="3B8EBE68" w:rsidTr="00043FB2">
        <w:trPr>
          <w:trHeight w:val="325"/>
        </w:trPr>
        <w:tc>
          <w:tcPr>
            <w:tcW w:w="1615" w:type="dxa"/>
          </w:tcPr>
          <w:p w14:paraId="3676B071" w14:textId="77777777" w:rsidR="00043FB2" w:rsidRDefault="00043FB2" w:rsidP="004F2D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Weeks 7-9</w:t>
            </w:r>
          </w:p>
        </w:tc>
        <w:tc>
          <w:tcPr>
            <w:tcW w:w="3240" w:type="dxa"/>
          </w:tcPr>
          <w:p w14:paraId="025BAC4E" w14:textId="77777777" w:rsidR="00043FB2" w:rsidRDefault="00043FB2"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Targeted follow-up</w:t>
            </w:r>
          </w:p>
        </w:tc>
        <w:tc>
          <w:tcPr>
            <w:tcW w:w="3240" w:type="dxa"/>
          </w:tcPr>
          <w:p w14:paraId="11EDEA3B" w14:textId="5577D3EE" w:rsidR="00043FB2" w:rsidRDefault="00043FB2" w:rsidP="00ED3F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Email, telephone to nonresponders</w:t>
            </w:r>
          </w:p>
        </w:tc>
        <w:tc>
          <w:tcPr>
            <w:tcW w:w="2070" w:type="dxa"/>
          </w:tcPr>
          <w:p w14:paraId="6E2B6F53" w14:textId="74BD3825" w:rsidR="00043FB2" w:rsidRDefault="00043FB2" w:rsidP="00ED3F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12</w:t>
            </w:r>
          </w:p>
        </w:tc>
      </w:tr>
      <w:tr w:rsidR="00043FB2" w14:paraId="48A4B493" w14:textId="135AB14D" w:rsidTr="00043FB2">
        <w:trPr>
          <w:trHeight w:val="325"/>
        </w:trPr>
        <w:tc>
          <w:tcPr>
            <w:tcW w:w="1615" w:type="dxa"/>
          </w:tcPr>
          <w:p w14:paraId="74416CFD" w14:textId="77777777" w:rsidR="00043FB2" w:rsidRDefault="00043FB2"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Week 9</w:t>
            </w:r>
          </w:p>
        </w:tc>
        <w:tc>
          <w:tcPr>
            <w:tcW w:w="3240" w:type="dxa"/>
          </w:tcPr>
          <w:p w14:paraId="0CFF1F39" w14:textId="77777777" w:rsidR="00043FB2" w:rsidRDefault="00043FB2"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BJS follow-up</w:t>
            </w:r>
          </w:p>
        </w:tc>
        <w:tc>
          <w:tcPr>
            <w:tcW w:w="3240" w:type="dxa"/>
          </w:tcPr>
          <w:p w14:paraId="325D842E" w14:textId="710A3796" w:rsidR="00043FB2" w:rsidRDefault="00043FB2" w:rsidP="00ED3F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Mail, e-mail to nonresponders</w:t>
            </w:r>
          </w:p>
        </w:tc>
        <w:tc>
          <w:tcPr>
            <w:tcW w:w="2070" w:type="dxa"/>
          </w:tcPr>
          <w:p w14:paraId="19508B0D" w14:textId="1A1FDC87" w:rsidR="00043FB2" w:rsidRDefault="00043FB2" w:rsidP="00ED3F3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13</w:t>
            </w:r>
          </w:p>
        </w:tc>
      </w:tr>
      <w:tr w:rsidR="00043FB2" w14:paraId="35B785C6" w14:textId="41F32E6A" w:rsidTr="00043FB2">
        <w:trPr>
          <w:trHeight w:val="325"/>
        </w:trPr>
        <w:tc>
          <w:tcPr>
            <w:tcW w:w="1615" w:type="dxa"/>
          </w:tcPr>
          <w:p w14:paraId="71B03966" w14:textId="344F9598" w:rsidR="00043FB2" w:rsidRDefault="00043FB2" w:rsidP="008646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Weeks 10-16 (Month 4)</w:t>
            </w:r>
          </w:p>
        </w:tc>
        <w:tc>
          <w:tcPr>
            <w:tcW w:w="3240" w:type="dxa"/>
          </w:tcPr>
          <w:p w14:paraId="109701A2" w14:textId="77777777" w:rsidR="00043FB2" w:rsidRDefault="00043FB2"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Targeted item follow-up</w:t>
            </w:r>
          </w:p>
        </w:tc>
        <w:tc>
          <w:tcPr>
            <w:tcW w:w="3240" w:type="dxa"/>
          </w:tcPr>
          <w:p w14:paraId="0C2655D5" w14:textId="77777777" w:rsidR="00043FB2" w:rsidRDefault="00043FB2"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Telephone to incomplete responders</w:t>
            </w:r>
          </w:p>
        </w:tc>
        <w:tc>
          <w:tcPr>
            <w:tcW w:w="2070" w:type="dxa"/>
          </w:tcPr>
          <w:p w14:paraId="2948774B" w14:textId="535BEEE6" w:rsidR="00043FB2" w:rsidRDefault="00043FB2"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14</w:t>
            </w:r>
          </w:p>
        </w:tc>
      </w:tr>
      <w:tr w:rsidR="00043FB2" w14:paraId="4C1743A4" w14:textId="5C154978" w:rsidTr="00043FB2">
        <w:trPr>
          <w:trHeight w:val="325"/>
        </w:trPr>
        <w:tc>
          <w:tcPr>
            <w:tcW w:w="1615" w:type="dxa"/>
          </w:tcPr>
          <w:p w14:paraId="5C93DC03" w14:textId="77777777" w:rsidR="00043FB2" w:rsidRDefault="00043FB2" w:rsidP="004F2D0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Week 12</w:t>
            </w:r>
          </w:p>
        </w:tc>
        <w:tc>
          <w:tcPr>
            <w:tcW w:w="3240" w:type="dxa"/>
          </w:tcPr>
          <w:p w14:paraId="2F6C4C30" w14:textId="77777777" w:rsidR="00043FB2" w:rsidRDefault="00043FB2"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Last chance packet</w:t>
            </w:r>
          </w:p>
        </w:tc>
        <w:tc>
          <w:tcPr>
            <w:tcW w:w="3240" w:type="dxa"/>
          </w:tcPr>
          <w:p w14:paraId="68B392E5" w14:textId="2E9C7478" w:rsidR="00043FB2" w:rsidRDefault="00043FB2"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Email to nonresponders</w:t>
            </w:r>
          </w:p>
        </w:tc>
        <w:tc>
          <w:tcPr>
            <w:tcW w:w="2070" w:type="dxa"/>
          </w:tcPr>
          <w:p w14:paraId="37B0568A" w14:textId="08E8CED1" w:rsidR="00043FB2" w:rsidRDefault="00043FB2"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15</w:t>
            </w:r>
          </w:p>
        </w:tc>
      </w:tr>
      <w:tr w:rsidR="00043FB2" w14:paraId="0720DF43" w14:textId="02F4ACBA" w:rsidTr="00043FB2">
        <w:trPr>
          <w:trHeight w:val="629"/>
        </w:trPr>
        <w:tc>
          <w:tcPr>
            <w:tcW w:w="1615" w:type="dxa"/>
          </w:tcPr>
          <w:p w14:paraId="338ACC5C" w14:textId="77777777" w:rsidR="00043FB2" w:rsidRDefault="00043FB2" w:rsidP="001B448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Week 14 (Month 3.5)</w:t>
            </w:r>
          </w:p>
        </w:tc>
        <w:tc>
          <w:tcPr>
            <w:tcW w:w="3240" w:type="dxa"/>
          </w:tcPr>
          <w:p w14:paraId="6ECEC0D5" w14:textId="625F5AB5" w:rsidR="00043FB2" w:rsidRDefault="00043FB2"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Data collection closes</w:t>
            </w:r>
          </w:p>
        </w:tc>
        <w:tc>
          <w:tcPr>
            <w:tcW w:w="3240" w:type="dxa"/>
          </w:tcPr>
          <w:p w14:paraId="0CC89C4D" w14:textId="77777777" w:rsidR="00043FB2" w:rsidRDefault="00043FB2"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n/a</w:t>
            </w:r>
          </w:p>
        </w:tc>
        <w:tc>
          <w:tcPr>
            <w:tcW w:w="2070" w:type="dxa"/>
          </w:tcPr>
          <w:p w14:paraId="7F92FEB5" w14:textId="12649F5A" w:rsidR="00043FB2" w:rsidRDefault="00043FB2"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n/a</w:t>
            </w:r>
          </w:p>
        </w:tc>
      </w:tr>
      <w:tr w:rsidR="00043FB2" w14:paraId="73AC5DA2" w14:textId="45426D3A" w:rsidTr="00043FB2">
        <w:trPr>
          <w:trHeight w:val="629"/>
        </w:trPr>
        <w:tc>
          <w:tcPr>
            <w:tcW w:w="1615" w:type="dxa"/>
          </w:tcPr>
          <w:p w14:paraId="0FC29EC9" w14:textId="3C304FFB" w:rsidR="00043FB2" w:rsidRDefault="00043FB2" w:rsidP="008646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Weeks 4-16</w:t>
            </w:r>
          </w:p>
        </w:tc>
        <w:tc>
          <w:tcPr>
            <w:tcW w:w="3240" w:type="dxa"/>
          </w:tcPr>
          <w:p w14:paraId="385235B9" w14:textId="24791AE4" w:rsidR="00043FB2" w:rsidRDefault="00043FB2"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Thank you, after all data validated and incorporated into the file</w:t>
            </w:r>
          </w:p>
        </w:tc>
        <w:tc>
          <w:tcPr>
            <w:tcW w:w="3240" w:type="dxa"/>
          </w:tcPr>
          <w:p w14:paraId="44E3D698" w14:textId="550953F9" w:rsidR="00043FB2" w:rsidRDefault="00043FB2"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Email to all responders</w:t>
            </w:r>
          </w:p>
        </w:tc>
        <w:tc>
          <w:tcPr>
            <w:tcW w:w="2070" w:type="dxa"/>
          </w:tcPr>
          <w:p w14:paraId="20652436" w14:textId="6652D28F" w:rsidR="00043FB2" w:rsidRDefault="00043FB2" w:rsidP="006E71A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16</w:t>
            </w:r>
          </w:p>
        </w:tc>
      </w:tr>
      <w:tr w:rsidR="00043FB2" w14:paraId="5A8DC066" w14:textId="632AF2CC" w:rsidTr="00043FB2">
        <w:trPr>
          <w:trHeight w:val="325"/>
        </w:trPr>
        <w:tc>
          <w:tcPr>
            <w:tcW w:w="1615" w:type="dxa"/>
          </w:tcPr>
          <w:p w14:paraId="1321C40A" w14:textId="77777777" w:rsidR="00043FB2" w:rsidRDefault="00043FB2" w:rsidP="00DB58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Weeks 6-20 (end Month 5)</w:t>
            </w:r>
          </w:p>
        </w:tc>
        <w:tc>
          <w:tcPr>
            <w:tcW w:w="3240" w:type="dxa"/>
          </w:tcPr>
          <w:p w14:paraId="116A7E0A" w14:textId="77777777" w:rsidR="00043FB2" w:rsidRDefault="00043FB2" w:rsidP="00DB58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Data processing and analysis</w:t>
            </w:r>
          </w:p>
        </w:tc>
        <w:tc>
          <w:tcPr>
            <w:tcW w:w="3240" w:type="dxa"/>
          </w:tcPr>
          <w:p w14:paraId="3D720745" w14:textId="77777777" w:rsidR="00043FB2" w:rsidRDefault="00043FB2" w:rsidP="00DB58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n/a</w:t>
            </w:r>
          </w:p>
        </w:tc>
        <w:tc>
          <w:tcPr>
            <w:tcW w:w="2070" w:type="dxa"/>
          </w:tcPr>
          <w:p w14:paraId="01B16B62" w14:textId="39420CA6" w:rsidR="00043FB2" w:rsidRDefault="00043FB2" w:rsidP="00DB58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n/a</w:t>
            </w:r>
          </w:p>
        </w:tc>
      </w:tr>
      <w:tr w:rsidR="00043FB2" w14:paraId="5357893E" w14:textId="0E7137F7" w:rsidTr="00043FB2">
        <w:trPr>
          <w:trHeight w:val="325"/>
        </w:trPr>
        <w:tc>
          <w:tcPr>
            <w:tcW w:w="1615" w:type="dxa"/>
          </w:tcPr>
          <w:p w14:paraId="0B1AFD32" w14:textId="77777777" w:rsidR="00043FB2" w:rsidRDefault="00043FB2" w:rsidP="00DB58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Months 6-7</w:t>
            </w:r>
          </w:p>
        </w:tc>
        <w:tc>
          <w:tcPr>
            <w:tcW w:w="3240" w:type="dxa"/>
          </w:tcPr>
          <w:p w14:paraId="25702F79" w14:textId="77777777" w:rsidR="00043FB2" w:rsidRDefault="00043FB2" w:rsidP="00DB58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Data documentation and delivery</w:t>
            </w:r>
          </w:p>
        </w:tc>
        <w:tc>
          <w:tcPr>
            <w:tcW w:w="3240" w:type="dxa"/>
          </w:tcPr>
          <w:p w14:paraId="5BD9F34C" w14:textId="77777777" w:rsidR="00043FB2" w:rsidRDefault="00043FB2" w:rsidP="00DB58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n/a</w:t>
            </w:r>
          </w:p>
        </w:tc>
        <w:tc>
          <w:tcPr>
            <w:tcW w:w="2070" w:type="dxa"/>
          </w:tcPr>
          <w:p w14:paraId="287CBC67" w14:textId="35EC04B0" w:rsidR="00043FB2" w:rsidRDefault="00043FB2" w:rsidP="00DB58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n/a</w:t>
            </w:r>
          </w:p>
        </w:tc>
      </w:tr>
      <w:tr w:rsidR="00043FB2" w14:paraId="19278D34" w14:textId="54547257" w:rsidTr="00043FB2">
        <w:trPr>
          <w:trHeight w:val="325"/>
        </w:trPr>
        <w:tc>
          <w:tcPr>
            <w:tcW w:w="1615" w:type="dxa"/>
          </w:tcPr>
          <w:p w14:paraId="6038F92C" w14:textId="77777777" w:rsidR="00043FB2" w:rsidRDefault="00043FB2" w:rsidP="00DB58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Months 6-9</w:t>
            </w:r>
          </w:p>
        </w:tc>
        <w:tc>
          <w:tcPr>
            <w:tcW w:w="3240" w:type="dxa"/>
          </w:tcPr>
          <w:p w14:paraId="04BBEB2C" w14:textId="77777777" w:rsidR="00043FB2" w:rsidRDefault="00043FB2" w:rsidP="00DB58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Reports and data delivered to archives</w:t>
            </w:r>
          </w:p>
        </w:tc>
        <w:tc>
          <w:tcPr>
            <w:tcW w:w="3240" w:type="dxa"/>
          </w:tcPr>
          <w:p w14:paraId="3839B6D3" w14:textId="77777777" w:rsidR="00043FB2" w:rsidRDefault="00043FB2" w:rsidP="00DB58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n/a</w:t>
            </w:r>
          </w:p>
        </w:tc>
        <w:tc>
          <w:tcPr>
            <w:tcW w:w="2070" w:type="dxa"/>
          </w:tcPr>
          <w:p w14:paraId="46B352EA" w14:textId="3A7C993F" w:rsidR="00043FB2" w:rsidRDefault="00043FB2" w:rsidP="00DB58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sz w:val="24"/>
                <w:szCs w:val="24"/>
              </w:rPr>
            </w:pPr>
            <w:r>
              <w:rPr>
                <w:rFonts w:ascii="Times New Roman" w:hAnsi="Times New Roman"/>
                <w:sz w:val="24"/>
                <w:szCs w:val="24"/>
              </w:rPr>
              <w:t>n/a</w:t>
            </w:r>
          </w:p>
        </w:tc>
      </w:tr>
    </w:tbl>
    <w:p w14:paraId="1D60C17C" w14:textId="77777777" w:rsidR="00526720" w:rsidRPr="00526720" w:rsidRDefault="00526720" w:rsidP="00526720">
      <w:pPr>
        <w:pStyle w:val="ListParagraph"/>
        <w:spacing w:after="0" w:line="240" w:lineRule="auto"/>
        <w:ind w:left="360"/>
        <w:contextualSpacing w:val="0"/>
        <w:rPr>
          <w:rFonts w:ascii="Times New Roman" w:hAnsi="Times New Roman" w:cs="Times New Roman"/>
          <w:sz w:val="24"/>
          <w:szCs w:val="24"/>
        </w:rPr>
      </w:pPr>
    </w:p>
    <w:p w14:paraId="23EB715D" w14:textId="77777777" w:rsidR="000A27F4" w:rsidRPr="00A96210" w:rsidRDefault="000A27F4" w:rsidP="000A27F4">
      <w:pPr>
        <w:pStyle w:val="ListParagraph"/>
        <w:numPr>
          <w:ilvl w:val="0"/>
          <w:numId w:val="2"/>
        </w:numPr>
        <w:spacing w:after="0" w:line="240" w:lineRule="auto"/>
        <w:contextualSpacing w:val="0"/>
        <w:rPr>
          <w:rFonts w:ascii="Times New Roman" w:hAnsi="Times New Roman" w:cs="Times New Roman"/>
          <w:sz w:val="24"/>
          <w:szCs w:val="24"/>
        </w:rPr>
      </w:pPr>
      <w:r w:rsidRPr="00A96210">
        <w:rPr>
          <w:rFonts w:ascii="Times New Roman" w:hAnsi="Times New Roman" w:cs="Times New Roman"/>
          <w:sz w:val="24"/>
          <w:szCs w:val="24"/>
          <w:u w:val="single"/>
        </w:rPr>
        <w:t xml:space="preserve">Display of </w:t>
      </w:r>
      <w:r w:rsidR="00AC6B26">
        <w:rPr>
          <w:rFonts w:ascii="Times New Roman" w:hAnsi="Times New Roman" w:cs="Times New Roman"/>
          <w:sz w:val="24"/>
          <w:szCs w:val="24"/>
          <w:u w:val="single"/>
        </w:rPr>
        <w:t xml:space="preserve">OMB number and </w:t>
      </w:r>
      <w:r w:rsidRPr="00A96210">
        <w:rPr>
          <w:rFonts w:ascii="Times New Roman" w:hAnsi="Times New Roman" w:cs="Times New Roman"/>
          <w:sz w:val="24"/>
          <w:szCs w:val="24"/>
          <w:u w:val="single"/>
        </w:rPr>
        <w:t>Expiration Date</w:t>
      </w:r>
    </w:p>
    <w:p w14:paraId="1A68C2EC" w14:textId="77777777" w:rsidR="000A27F4" w:rsidRPr="00A96210" w:rsidRDefault="000A27F4" w:rsidP="000A27F4">
      <w:pPr>
        <w:spacing w:after="0" w:line="240" w:lineRule="auto"/>
        <w:rPr>
          <w:rFonts w:ascii="Times New Roman" w:hAnsi="Times New Roman" w:cs="Times New Roman"/>
          <w:sz w:val="24"/>
          <w:szCs w:val="24"/>
        </w:rPr>
      </w:pPr>
      <w:r w:rsidRPr="00A96210">
        <w:rPr>
          <w:rFonts w:ascii="Times New Roman" w:hAnsi="Times New Roman" w:cs="Times New Roman"/>
          <w:sz w:val="24"/>
          <w:szCs w:val="24"/>
        </w:rPr>
        <w:t xml:space="preserve">The </w:t>
      </w:r>
      <w:r w:rsidR="00AC6B26">
        <w:rPr>
          <w:rFonts w:ascii="Times New Roman" w:hAnsi="Times New Roman" w:cs="Times New Roman"/>
          <w:sz w:val="24"/>
          <w:szCs w:val="24"/>
        </w:rPr>
        <w:t xml:space="preserve">OMB number and </w:t>
      </w:r>
      <w:r w:rsidRPr="00A96210">
        <w:rPr>
          <w:rFonts w:ascii="Times New Roman" w:hAnsi="Times New Roman" w:cs="Times New Roman"/>
          <w:sz w:val="24"/>
          <w:szCs w:val="24"/>
        </w:rPr>
        <w:t>expiration date will be shown on the survey form.</w:t>
      </w:r>
    </w:p>
    <w:p w14:paraId="400A8BCF" w14:textId="77777777" w:rsidR="000A27F4" w:rsidRPr="00A96210" w:rsidRDefault="000A27F4" w:rsidP="000A27F4">
      <w:pPr>
        <w:spacing w:after="0" w:line="240" w:lineRule="auto"/>
        <w:rPr>
          <w:rFonts w:ascii="Times New Roman" w:hAnsi="Times New Roman" w:cs="Times New Roman"/>
          <w:sz w:val="24"/>
          <w:szCs w:val="24"/>
        </w:rPr>
      </w:pPr>
    </w:p>
    <w:p w14:paraId="6FA26740" w14:textId="77777777" w:rsidR="000A27F4" w:rsidRPr="00A96210" w:rsidRDefault="000A27F4" w:rsidP="000A27F4">
      <w:pPr>
        <w:pStyle w:val="ListParagraph"/>
        <w:numPr>
          <w:ilvl w:val="0"/>
          <w:numId w:val="2"/>
        </w:numPr>
        <w:spacing w:after="0" w:line="240" w:lineRule="auto"/>
        <w:contextualSpacing w:val="0"/>
        <w:rPr>
          <w:rFonts w:ascii="Times New Roman" w:hAnsi="Times New Roman" w:cs="Times New Roman"/>
          <w:sz w:val="24"/>
          <w:szCs w:val="24"/>
        </w:rPr>
      </w:pPr>
      <w:r w:rsidRPr="00A96210">
        <w:rPr>
          <w:rFonts w:ascii="Times New Roman" w:hAnsi="Times New Roman" w:cs="Times New Roman"/>
          <w:sz w:val="24"/>
          <w:szCs w:val="24"/>
          <w:u w:val="single"/>
        </w:rPr>
        <w:t>Exception to the Certificate Statement</w:t>
      </w:r>
    </w:p>
    <w:p w14:paraId="44600766" w14:textId="77777777" w:rsidR="000A27F4" w:rsidRPr="00A96210" w:rsidRDefault="000A27F4" w:rsidP="000A27F4">
      <w:pPr>
        <w:spacing w:after="0" w:line="240" w:lineRule="auto"/>
        <w:rPr>
          <w:rFonts w:ascii="Times New Roman" w:hAnsi="Times New Roman" w:cs="Times New Roman"/>
          <w:sz w:val="24"/>
          <w:szCs w:val="24"/>
        </w:rPr>
      </w:pPr>
      <w:r w:rsidRPr="00A96210">
        <w:rPr>
          <w:rFonts w:ascii="Times New Roman" w:hAnsi="Times New Roman" w:cs="Times New Roman"/>
          <w:sz w:val="24"/>
          <w:szCs w:val="24"/>
        </w:rPr>
        <w:t>Not applicable. This is a new data collection.</w:t>
      </w:r>
    </w:p>
    <w:p w14:paraId="3308A55A" w14:textId="77777777" w:rsidR="000A27F4" w:rsidRDefault="000A27F4" w:rsidP="000A27F4">
      <w:pPr>
        <w:spacing w:after="0" w:line="240" w:lineRule="auto"/>
        <w:rPr>
          <w:rFonts w:ascii="Times New Roman" w:hAnsi="Times New Roman" w:cs="Times New Roman"/>
          <w:sz w:val="24"/>
          <w:szCs w:val="24"/>
          <w:highlight w:val="yellow"/>
        </w:rPr>
      </w:pPr>
    </w:p>
    <w:p w14:paraId="1D8CCF2E" w14:textId="42546C91" w:rsidR="00D9717F" w:rsidRDefault="00D9717F" w:rsidP="000A27F4">
      <w:pPr>
        <w:spacing w:after="0" w:line="240" w:lineRule="auto"/>
        <w:rPr>
          <w:rFonts w:ascii="Times New Roman" w:hAnsi="Times New Roman" w:cs="Times New Roman"/>
          <w:sz w:val="24"/>
          <w:szCs w:val="24"/>
        </w:rPr>
      </w:pPr>
    </w:p>
    <w:p w14:paraId="3DF4D48E" w14:textId="3BD5CDAB" w:rsidR="00D9717F" w:rsidRDefault="00D9717F" w:rsidP="000A27F4">
      <w:pPr>
        <w:spacing w:after="0" w:line="240" w:lineRule="auto"/>
        <w:rPr>
          <w:rFonts w:ascii="Times New Roman" w:hAnsi="Times New Roman" w:cs="Times New Roman"/>
          <w:sz w:val="24"/>
          <w:szCs w:val="24"/>
        </w:rPr>
      </w:pPr>
    </w:p>
    <w:p w14:paraId="72A90CC1" w14:textId="77777777" w:rsidR="00165434" w:rsidRDefault="00165434" w:rsidP="000A27F4">
      <w:pPr>
        <w:spacing w:after="0" w:line="240" w:lineRule="auto"/>
        <w:rPr>
          <w:rFonts w:ascii="Times New Roman" w:hAnsi="Times New Roman" w:cs="Times New Roman"/>
          <w:sz w:val="24"/>
          <w:szCs w:val="24"/>
        </w:rPr>
      </w:pPr>
    </w:p>
    <w:p w14:paraId="748B28F2" w14:textId="77777777" w:rsidR="00D9717F" w:rsidRDefault="00D9717F" w:rsidP="000A27F4">
      <w:pPr>
        <w:spacing w:after="0" w:line="240" w:lineRule="auto"/>
        <w:rPr>
          <w:rFonts w:ascii="Times New Roman" w:hAnsi="Times New Roman" w:cs="Times New Roman"/>
          <w:sz w:val="24"/>
          <w:szCs w:val="24"/>
        </w:rPr>
      </w:pPr>
    </w:p>
    <w:p w14:paraId="6FBEE685" w14:textId="77777777" w:rsidR="000A27F4" w:rsidRDefault="000A27F4" w:rsidP="000A27F4">
      <w:pPr>
        <w:spacing w:after="0" w:line="240" w:lineRule="auto"/>
        <w:rPr>
          <w:rFonts w:ascii="Times New Roman" w:hAnsi="Times New Roman" w:cs="Times New Roman"/>
          <w:sz w:val="24"/>
          <w:szCs w:val="24"/>
        </w:rPr>
      </w:pPr>
      <w:r w:rsidRPr="00524695">
        <w:rPr>
          <w:rFonts w:ascii="Times New Roman" w:hAnsi="Times New Roman" w:cs="Times New Roman"/>
          <w:sz w:val="24"/>
          <w:szCs w:val="24"/>
        </w:rPr>
        <w:t>Attachments:</w:t>
      </w:r>
    </w:p>
    <w:p w14:paraId="099E7687" w14:textId="1F4E042B" w:rsidR="00027B0A" w:rsidRPr="0000080F" w:rsidRDefault="000F511F" w:rsidP="004E47E1">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State A</w:t>
      </w:r>
      <w:r w:rsidR="00027B0A" w:rsidRPr="0000080F">
        <w:rPr>
          <w:rFonts w:ascii="Times New Roman" w:hAnsi="Times New Roman" w:cs="Times New Roman"/>
          <w:sz w:val="24"/>
          <w:szCs w:val="24"/>
        </w:rPr>
        <w:t>ttorney</w:t>
      </w:r>
      <w:r w:rsidR="0000080F" w:rsidRPr="0000080F">
        <w:rPr>
          <w:rFonts w:ascii="Times New Roman" w:hAnsi="Times New Roman" w:cs="Times New Roman"/>
          <w:sz w:val="24"/>
          <w:szCs w:val="24"/>
        </w:rPr>
        <w:t>s</w:t>
      </w:r>
      <w:r w:rsidR="00027B0A" w:rsidRPr="0000080F">
        <w:rPr>
          <w:rFonts w:ascii="Times New Roman" w:hAnsi="Times New Roman" w:cs="Times New Roman"/>
          <w:sz w:val="24"/>
          <w:szCs w:val="24"/>
        </w:rPr>
        <w:t xml:space="preserve"> </w:t>
      </w:r>
      <w:r>
        <w:rPr>
          <w:rFonts w:ascii="Times New Roman" w:hAnsi="Times New Roman" w:cs="Times New Roman"/>
          <w:sz w:val="24"/>
          <w:szCs w:val="24"/>
        </w:rPr>
        <w:t>G</w:t>
      </w:r>
      <w:r w:rsidR="00027B0A" w:rsidRPr="0000080F">
        <w:rPr>
          <w:rFonts w:ascii="Times New Roman" w:hAnsi="Times New Roman" w:cs="Times New Roman"/>
          <w:sz w:val="24"/>
          <w:szCs w:val="24"/>
        </w:rPr>
        <w:t xml:space="preserve">eneral </w:t>
      </w:r>
      <w:r>
        <w:rPr>
          <w:rFonts w:ascii="Times New Roman" w:hAnsi="Times New Roman" w:cs="Times New Roman"/>
          <w:sz w:val="24"/>
          <w:szCs w:val="24"/>
        </w:rPr>
        <w:t>O</w:t>
      </w:r>
      <w:r w:rsidR="0000080F" w:rsidRPr="0000080F">
        <w:rPr>
          <w:rFonts w:ascii="Times New Roman" w:hAnsi="Times New Roman" w:cs="Times New Roman"/>
          <w:sz w:val="24"/>
          <w:szCs w:val="24"/>
        </w:rPr>
        <w:t xml:space="preserve">ffices </w:t>
      </w:r>
      <w:r>
        <w:rPr>
          <w:rFonts w:ascii="Times New Roman" w:hAnsi="Times New Roman" w:cs="Times New Roman"/>
          <w:sz w:val="24"/>
          <w:szCs w:val="24"/>
        </w:rPr>
        <w:t>W</w:t>
      </w:r>
      <w:r w:rsidR="00027B0A" w:rsidRPr="0000080F">
        <w:rPr>
          <w:rFonts w:ascii="Times New Roman" w:hAnsi="Times New Roman" w:cs="Times New Roman"/>
          <w:sz w:val="24"/>
          <w:szCs w:val="24"/>
        </w:rPr>
        <w:t xml:space="preserve">ebsite </w:t>
      </w:r>
      <w:r>
        <w:rPr>
          <w:rFonts w:ascii="Times New Roman" w:hAnsi="Times New Roman" w:cs="Times New Roman"/>
          <w:sz w:val="24"/>
          <w:szCs w:val="24"/>
        </w:rPr>
        <w:t>R</w:t>
      </w:r>
      <w:r w:rsidR="00027B0A" w:rsidRPr="0000080F">
        <w:rPr>
          <w:rFonts w:ascii="Times New Roman" w:hAnsi="Times New Roman" w:cs="Times New Roman"/>
          <w:sz w:val="24"/>
          <w:szCs w:val="24"/>
        </w:rPr>
        <w:t>eview</w:t>
      </w:r>
    </w:p>
    <w:p w14:paraId="1F35D669" w14:textId="216E8F82" w:rsidR="009070D1" w:rsidRPr="0000080F" w:rsidRDefault="009070D1" w:rsidP="004E47E1">
      <w:pPr>
        <w:pStyle w:val="ListParagraph"/>
        <w:numPr>
          <w:ilvl w:val="0"/>
          <w:numId w:val="13"/>
        </w:numPr>
        <w:spacing w:after="0" w:line="240" w:lineRule="auto"/>
        <w:rPr>
          <w:rFonts w:ascii="Times New Roman" w:hAnsi="Times New Roman" w:cs="Times New Roman"/>
          <w:sz w:val="24"/>
          <w:szCs w:val="24"/>
        </w:rPr>
      </w:pPr>
      <w:r w:rsidRPr="0000080F">
        <w:rPr>
          <w:rFonts w:ascii="Times New Roman" w:hAnsi="Times New Roman" w:cs="Times New Roman"/>
          <w:sz w:val="24"/>
          <w:szCs w:val="24"/>
        </w:rPr>
        <w:t>Title 34</w:t>
      </w:r>
      <w:r w:rsidR="00333BEA" w:rsidRPr="0000080F">
        <w:rPr>
          <w:rFonts w:ascii="Times New Roman" w:hAnsi="Times New Roman" w:cs="Times New Roman"/>
          <w:sz w:val="24"/>
          <w:szCs w:val="24"/>
        </w:rPr>
        <w:t xml:space="preserve"> USC §</w:t>
      </w:r>
      <w:r w:rsidRPr="0000080F">
        <w:rPr>
          <w:rFonts w:ascii="Times New Roman" w:hAnsi="Times New Roman" w:cs="Times New Roman"/>
          <w:sz w:val="24"/>
          <w:szCs w:val="24"/>
        </w:rPr>
        <w:t xml:space="preserve"> 10132 </w:t>
      </w:r>
    </w:p>
    <w:p w14:paraId="6F6F4AEA" w14:textId="4ABF9990" w:rsidR="000A27F4" w:rsidRPr="0000080F" w:rsidRDefault="001F7BD6" w:rsidP="004E47E1">
      <w:pPr>
        <w:pStyle w:val="ListParagraph"/>
        <w:numPr>
          <w:ilvl w:val="0"/>
          <w:numId w:val="13"/>
        </w:numPr>
        <w:spacing w:after="0" w:line="240" w:lineRule="auto"/>
        <w:rPr>
          <w:rFonts w:ascii="Times New Roman" w:hAnsi="Times New Roman" w:cs="Times New Roman"/>
          <w:sz w:val="24"/>
          <w:szCs w:val="24"/>
        </w:rPr>
      </w:pPr>
      <w:r w:rsidRPr="0000080F">
        <w:rPr>
          <w:rFonts w:ascii="Times New Roman" w:hAnsi="Times New Roman" w:cs="Times New Roman"/>
          <w:sz w:val="24"/>
          <w:szCs w:val="24"/>
        </w:rPr>
        <w:t>SSAGO-</w:t>
      </w:r>
      <w:r w:rsidR="001A4E80" w:rsidRPr="0000080F">
        <w:rPr>
          <w:rFonts w:ascii="Times New Roman" w:hAnsi="Times New Roman" w:cs="Times New Roman"/>
          <w:sz w:val="24"/>
          <w:szCs w:val="24"/>
        </w:rPr>
        <w:t xml:space="preserve">HT </w:t>
      </w:r>
      <w:r w:rsidR="000F511F">
        <w:rPr>
          <w:rFonts w:ascii="Times New Roman" w:hAnsi="Times New Roman" w:cs="Times New Roman"/>
          <w:sz w:val="24"/>
          <w:szCs w:val="24"/>
        </w:rPr>
        <w:t>Cognitive Report with Draft I</w:t>
      </w:r>
      <w:r w:rsidR="007405C9" w:rsidRPr="0000080F">
        <w:rPr>
          <w:rFonts w:ascii="Times New Roman" w:hAnsi="Times New Roman" w:cs="Times New Roman"/>
          <w:sz w:val="24"/>
          <w:szCs w:val="24"/>
        </w:rPr>
        <w:t>nstrument</w:t>
      </w:r>
    </w:p>
    <w:p w14:paraId="1B99EBDF" w14:textId="42AEFDAF" w:rsidR="000A27F4" w:rsidRDefault="001F7BD6" w:rsidP="004E47E1">
      <w:pPr>
        <w:pStyle w:val="ListParagraph"/>
        <w:numPr>
          <w:ilvl w:val="0"/>
          <w:numId w:val="13"/>
        </w:numPr>
        <w:spacing w:after="0" w:line="240" w:lineRule="auto"/>
        <w:rPr>
          <w:rFonts w:ascii="Times New Roman" w:hAnsi="Times New Roman" w:cs="Times New Roman"/>
          <w:sz w:val="24"/>
          <w:szCs w:val="24"/>
        </w:rPr>
      </w:pPr>
      <w:r w:rsidRPr="0000080F">
        <w:rPr>
          <w:rFonts w:ascii="Times New Roman" w:hAnsi="Times New Roman" w:cs="Times New Roman"/>
          <w:sz w:val="24"/>
          <w:szCs w:val="24"/>
        </w:rPr>
        <w:t>SSAGO-</w:t>
      </w:r>
      <w:r w:rsidR="001A4E80" w:rsidRPr="0000080F">
        <w:rPr>
          <w:rFonts w:ascii="Times New Roman" w:hAnsi="Times New Roman" w:cs="Times New Roman"/>
          <w:sz w:val="24"/>
          <w:szCs w:val="24"/>
        </w:rPr>
        <w:t>H</w:t>
      </w:r>
      <w:r w:rsidR="000F511F">
        <w:rPr>
          <w:rFonts w:ascii="Times New Roman" w:hAnsi="Times New Roman" w:cs="Times New Roman"/>
          <w:sz w:val="24"/>
          <w:szCs w:val="24"/>
        </w:rPr>
        <w:t>T Revised I</w:t>
      </w:r>
      <w:r w:rsidR="007405C9" w:rsidRPr="0000080F">
        <w:rPr>
          <w:rFonts w:ascii="Times New Roman" w:hAnsi="Times New Roman" w:cs="Times New Roman"/>
          <w:sz w:val="24"/>
          <w:szCs w:val="24"/>
        </w:rPr>
        <w:t>nstrument</w:t>
      </w:r>
    </w:p>
    <w:p w14:paraId="193CF5C9" w14:textId="2D218EC2" w:rsidR="0056488E" w:rsidRDefault="000F511F" w:rsidP="004E47E1">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60 Day N</w:t>
      </w:r>
      <w:r w:rsidR="0056488E">
        <w:rPr>
          <w:rFonts w:ascii="Times New Roman" w:hAnsi="Times New Roman" w:cs="Times New Roman"/>
          <w:sz w:val="24"/>
          <w:szCs w:val="24"/>
        </w:rPr>
        <w:t>otice</w:t>
      </w:r>
    </w:p>
    <w:p w14:paraId="52ADD511" w14:textId="5B0B97D8" w:rsidR="0056488E" w:rsidRDefault="0056488E" w:rsidP="004E47E1">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30</w:t>
      </w:r>
      <w:r w:rsidR="000F511F">
        <w:rPr>
          <w:rFonts w:ascii="Times New Roman" w:hAnsi="Times New Roman" w:cs="Times New Roman"/>
          <w:sz w:val="24"/>
          <w:szCs w:val="24"/>
        </w:rPr>
        <w:t xml:space="preserve"> Day N</w:t>
      </w:r>
      <w:r>
        <w:rPr>
          <w:rFonts w:ascii="Times New Roman" w:hAnsi="Times New Roman" w:cs="Times New Roman"/>
          <w:sz w:val="24"/>
          <w:szCs w:val="24"/>
        </w:rPr>
        <w:t>otice</w:t>
      </w:r>
    </w:p>
    <w:p w14:paraId="5152D974" w14:textId="66983648" w:rsidR="00594A5D" w:rsidRPr="0000080F" w:rsidRDefault="000F511F" w:rsidP="004E47E1">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IRB A</w:t>
      </w:r>
      <w:r w:rsidR="00594A5D">
        <w:rPr>
          <w:rFonts w:ascii="Times New Roman" w:hAnsi="Times New Roman" w:cs="Times New Roman"/>
          <w:sz w:val="24"/>
          <w:szCs w:val="24"/>
        </w:rPr>
        <w:t>pproval</w:t>
      </w:r>
    </w:p>
    <w:p w14:paraId="387133A8" w14:textId="70B1A390" w:rsidR="00182153" w:rsidRPr="001F17C5" w:rsidRDefault="00C969A6" w:rsidP="00182153">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Survey Announcement </w:t>
      </w:r>
      <w:r w:rsidR="00182153" w:rsidRPr="001F17C5">
        <w:rPr>
          <w:rFonts w:ascii="Times New Roman" w:hAnsi="Times New Roman" w:cs="Times New Roman"/>
          <w:sz w:val="24"/>
          <w:szCs w:val="24"/>
        </w:rPr>
        <w:t>Letter</w:t>
      </w:r>
    </w:p>
    <w:p w14:paraId="69D791D7" w14:textId="629450DC" w:rsidR="00182153" w:rsidRPr="001F17C5" w:rsidRDefault="00182153" w:rsidP="00182153">
      <w:pPr>
        <w:pStyle w:val="ListParagraph"/>
        <w:numPr>
          <w:ilvl w:val="0"/>
          <w:numId w:val="13"/>
        </w:numPr>
        <w:spacing w:after="0" w:line="240" w:lineRule="auto"/>
        <w:rPr>
          <w:rFonts w:ascii="Times New Roman" w:hAnsi="Times New Roman" w:cs="Times New Roman"/>
          <w:sz w:val="24"/>
          <w:szCs w:val="24"/>
        </w:rPr>
      </w:pPr>
      <w:r w:rsidRPr="00182153">
        <w:rPr>
          <w:rFonts w:ascii="Times New Roman" w:hAnsi="Times New Roman" w:cs="Times New Roman"/>
          <w:sz w:val="24"/>
          <w:szCs w:val="24"/>
        </w:rPr>
        <w:t>Initial Survey Cover Letter</w:t>
      </w:r>
    </w:p>
    <w:p w14:paraId="1CC5802C" w14:textId="5FD8CAAC" w:rsidR="00182153" w:rsidRDefault="00182153" w:rsidP="00182153">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Reminder Email Text</w:t>
      </w:r>
    </w:p>
    <w:p w14:paraId="5FD2D3B3" w14:textId="1AE403AD" w:rsidR="00182153" w:rsidRDefault="00182153" w:rsidP="00182153">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Telephone Contacting and Voicemail Script </w:t>
      </w:r>
    </w:p>
    <w:p w14:paraId="2FD7EA7F" w14:textId="64721912" w:rsidR="00182153" w:rsidRDefault="00182153" w:rsidP="00182153">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Targeted Telephone Contacting and Voicemail Script</w:t>
      </w:r>
    </w:p>
    <w:p w14:paraId="094BDB36" w14:textId="0838C2E0" w:rsidR="00182153" w:rsidRDefault="00182153" w:rsidP="00182153">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BJS Outreach Letter </w:t>
      </w:r>
    </w:p>
    <w:p w14:paraId="3E256EA0" w14:textId="0498BE1B" w:rsidR="00182153" w:rsidRDefault="00182153" w:rsidP="00182153">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Telephone Retrieval Script</w:t>
      </w:r>
    </w:p>
    <w:p w14:paraId="3D11B8F5" w14:textId="72C1C428" w:rsidR="00182153" w:rsidRDefault="00182153" w:rsidP="00182153">
      <w:pPr>
        <w:pStyle w:val="ListParagraph"/>
        <w:numPr>
          <w:ilvl w:val="0"/>
          <w:numId w:val="13"/>
        </w:numPr>
        <w:spacing w:after="0" w:line="240" w:lineRule="auto"/>
        <w:rPr>
          <w:rFonts w:ascii="Times New Roman" w:hAnsi="Times New Roman" w:cs="Times New Roman"/>
          <w:sz w:val="24"/>
          <w:szCs w:val="24"/>
        </w:rPr>
      </w:pPr>
      <w:r w:rsidRPr="00182153">
        <w:rPr>
          <w:rFonts w:ascii="Times New Roman" w:hAnsi="Times New Roman" w:cs="Times New Roman"/>
          <w:sz w:val="24"/>
          <w:szCs w:val="24"/>
        </w:rPr>
        <w:t>Last Chance Email</w:t>
      </w:r>
    </w:p>
    <w:p w14:paraId="6BF157C2" w14:textId="0E8F3522" w:rsidR="00182153" w:rsidRDefault="00182153" w:rsidP="00182153">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Thank</w:t>
      </w:r>
      <w:r w:rsidRPr="001F17C5">
        <w:rPr>
          <w:rFonts w:ascii="Times New Roman" w:hAnsi="Times New Roman" w:cs="Times New Roman"/>
          <w:sz w:val="24"/>
          <w:szCs w:val="24"/>
        </w:rPr>
        <w:t xml:space="preserve"> You </w:t>
      </w:r>
      <w:r>
        <w:rPr>
          <w:rFonts w:ascii="Times New Roman" w:hAnsi="Times New Roman" w:cs="Times New Roman"/>
          <w:sz w:val="24"/>
          <w:szCs w:val="24"/>
        </w:rPr>
        <w:t xml:space="preserve">Email </w:t>
      </w:r>
    </w:p>
    <w:p w14:paraId="769BB6DB" w14:textId="77777777" w:rsidR="000A27F4" w:rsidRPr="00356944" w:rsidRDefault="000A27F4" w:rsidP="00356944">
      <w:pPr>
        <w:spacing w:after="0" w:line="240" w:lineRule="auto"/>
        <w:ind w:left="360"/>
        <w:rPr>
          <w:rFonts w:ascii="Times New Roman" w:hAnsi="Times New Roman"/>
          <w:sz w:val="24"/>
        </w:rPr>
      </w:pPr>
    </w:p>
    <w:sectPr w:rsidR="000A27F4" w:rsidRPr="00356944" w:rsidSect="00D65DD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F7F42" w14:textId="77777777" w:rsidR="00B97123" w:rsidRDefault="00B97123" w:rsidP="000A27F4">
      <w:pPr>
        <w:spacing w:after="0" w:line="240" w:lineRule="auto"/>
      </w:pPr>
      <w:r>
        <w:separator/>
      </w:r>
    </w:p>
  </w:endnote>
  <w:endnote w:type="continuationSeparator" w:id="0">
    <w:p w14:paraId="54CCB12D" w14:textId="77777777" w:rsidR="00B97123" w:rsidRDefault="00B97123" w:rsidP="000A27F4">
      <w:pPr>
        <w:spacing w:after="0" w:line="240" w:lineRule="auto"/>
      </w:pPr>
      <w:r>
        <w:continuationSeparator/>
      </w:r>
    </w:p>
  </w:endnote>
  <w:endnote w:type="continuationNotice" w:id="1">
    <w:p w14:paraId="01CF2F2E" w14:textId="77777777" w:rsidR="00B97123" w:rsidRDefault="00B971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ato">
    <w:altName w:val="Calibri"/>
    <w:charset w:val="00"/>
    <w:family w:val="swiss"/>
    <w:pitch w:val="variable"/>
    <w:sig w:usb0="00000001" w:usb1="5000604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873832"/>
      <w:docPartObj>
        <w:docPartGallery w:val="Page Numbers (Bottom of Page)"/>
        <w:docPartUnique/>
      </w:docPartObj>
    </w:sdtPr>
    <w:sdtEndPr>
      <w:rPr>
        <w:noProof/>
      </w:rPr>
    </w:sdtEndPr>
    <w:sdtContent>
      <w:p w14:paraId="18002D45" w14:textId="77777777" w:rsidR="00B97123" w:rsidRDefault="00B97123">
        <w:pPr>
          <w:pStyle w:val="Footer"/>
          <w:jc w:val="right"/>
        </w:pPr>
        <w:r>
          <w:fldChar w:fldCharType="begin"/>
        </w:r>
        <w:r>
          <w:instrText xml:space="preserve"> PAGE   \* MERGEFORMAT </w:instrText>
        </w:r>
        <w:r>
          <w:fldChar w:fldCharType="separate"/>
        </w:r>
        <w:r w:rsidR="008337E6">
          <w:rPr>
            <w:noProof/>
          </w:rPr>
          <w:t>1</w:t>
        </w:r>
        <w:r>
          <w:rPr>
            <w:noProof/>
          </w:rPr>
          <w:fldChar w:fldCharType="end"/>
        </w:r>
      </w:p>
    </w:sdtContent>
  </w:sdt>
  <w:p w14:paraId="59D55B86" w14:textId="77777777" w:rsidR="00B97123" w:rsidRDefault="00B971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549792"/>
      <w:docPartObj>
        <w:docPartGallery w:val="Page Numbers (Bottom of Page)"/>
        <w:docPartUnique/>
      </w:docPartObj>
    </w:sdtPr>
    <w:sdtEndPr>
      <w:rPr>
        <w:noProof/>
      </w:rPr>
    </w:sdtEndPr>
    <w:sdtContent>
      <w:p w14:paraId="4D2411B6" w14:textId="77777777" w:rsidR="00B97123" w:rsidRDefault="00B97123">
        <w:pPr>
          <w:pStyle w:val="Footer"/>
          <w:jc w:val="right"/>
        </w:pPr>
        <w:r>
          <w:fldChar w:fldCharType="begin"/>
        </w:r>
        <w:r>
          <w:instrText xml:space="preserve"> PAGE   \* MERGEFORMAT </w:instrText>
        </w:r>
        <w:r>
          <w:fldChar w:fldCharType="separate"/>
        </w:r>
        <w:r w:rsidR="0024250A">
          <w:rPr>
            <w:noProof/>
          </w:rPr>
          <w:t>13</w:t>
        </w:r>
        <w:r>
          <w:rPr>
            <w:noProof/>
          </w:rPr>
          <w:fldChar w:fldCharType="end"/>
        </w:r>
      </w:p>
    </w:sdtContent>
  </w:sdt>
  <w:p w14:paraId="7BC83F9E" w14:textId="77777777" w:rsidR="00B97123" w:rsidRDefault="00B971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ACD49" w14:textId="77777777" w:rsidR="00B97123" w:rsidRDefault="00B97123" w:rsidP="000A27F4">
      <w:pPr>
        <w:spacing w:after="0" w:line="240" w:lineRule="auto"/>
      </w:pPr>
      <w:r>
        <w:separator/>
      </w:r>
    </w:p>
  </w:footnote>
  <w:footnote w:type="continuationSeparator" w:id="0">
    <w:p w14:paraId="76F0A78B" w14:textId="77777777" w:rsidR="00B97123" w:rsidRDefault="00B97123" w:rsidP="000A27F4">
      <w:pPr>
        <w:spacing w:after="0" w:line="240" w:lineRule="auto"/>
      </w:pPr>
      <w:r>
        <w:continuationSeparator/>
      </w:r>
    </w:p>
  </w:footnote>
  <w:footnote w:type="continuationNotice" w:id="1">
    <w:p w14:paraId="5104FFF8" w14:textId="77777777" w:rsidR="00B97123" w:rsidRDefault="00B97123">
      <w:pPr>
        <w:spacing w:after="0" w:line="240" w:lineRule="auto"/>
      </w:pPr>
    </w:p>
  </w:footnote>
  <w:footnote w:id="2">
    <w:p w14:paraId="5C15604B" w14:textId="77777777" w:rsidR="00B97123" w:rsidRDefault="00B97123">
      <w:pPr>
        <w:pStyle w:val="FootnoteText"/>
      </w:pPr>
      <w:r>
        <w:rPr>
          <w:rStyle w:val="FootnoteReference"/>
        </w:rPr>
        <w:footnoteRef/>
      </w:r>
      <w:r>
        <w:t xml:space="preserve"> </w:t>
      </w:r>
      <w:r w:rsidRPr="004F24CF">
        <w:rPr>
          <w:rFonts w:ascii="Times New Roman" w:hAnsi="Times New Roman" w:cs="Times New Roman"/>
        </w:rPr>
        <w:t xml:space="preserve">Summary drawn from </w:t>
      </w:r>
      <w:hyperlink r:id="rId1" w:history="1">
        <w:r w:rsidRPr="00B04BB2">
          <w:rPr>
            <w:rStyle w:val="Hyperlink"/>
            <w:rFonts w:ascii="Times New Roman" w:hAnsi="Times New Roman" w:cs="Times New Roman"/>
          </w:rPr>
          <w:t>http://naag.org/naag/about_naag/faq/what_does_an_attorney_general_do.php</w:t>
        </w:r>
      </w:hyperlink>
      <w:r>
        <w:rPr>
          <w:rFonts w:ascii="Times New Roman" w:hAnsi="Times New Roman" w:cs="Times New Roman"/>
        </w:rPr>
        <w:t xml:space="preserve"> </w:t>
      </w:r>
    </w:p>
  </w:footnote>
  <w:footnote w:id="3">
    <w:p w14:paraId="3B1BF630" w14:textId="77777777" w:rsidR="00B97123" w:rsidRDefault="00B97123">
      <w:pPr>
        <w:pStyle w:val="FootnoteText"/>
      </w:pPr>
      <w:r>
        <w:rPr>
          <w:rStyle w:val="FootnoteReference"/>
        </w:rPr>
        <w:footnoteRef/>
      </w:r>
      <w:r>
        <w:t xml:space="preserve"> </w:t>
      </w:r>
      <w:r w:rsidRPr="001E2E47">
        <w:rPr>
          <w:rFonts w:ascii="Times New Roman" w:hAnsi="Times New Roman" w:cs="Times New Roman"/>
        </w:rPr>
        <w:t xml:space="preserve">State human trafficking laws </w:t>
      </w:r>
      <w:hyperlink r:id="rId2" w:history="1">
        <w:r w:rsidRPr="001E2E47">
          <w:rPr>
            <w:rStyle w:val="Hyperlink"/>
            <w:rFonts w:ascii="Times New Roman" w:hAnsi="Times New Roman" w:cs="Times New Roman"/>
          </w:rPr>
          <w:t>http://www.ncsl.org/research/civil-and-criminal-justice/human-trafficking-laws-in-the-states-updated-nov.aspx</w:t>
        </w:r>
      </w:hyperlink>
      <w:r w:rsidRPr="001E2E47">
        <w:rPr>
          <w:rFonts w:ascii="Times New Roman" w:hAnsi="Times New Roman" w:cs="Times New Roman"/>
        </w:rPr>
        <w:t>, retrieved November 2017</w:t>
      </w:r>
      <w:r>
        <w:t xml:space="preserve"> </w:t>
      </w:r>
    </w:p>
  </w:footnote>
  <w:footnote w:id="4">
    <w:p w14:paraId="18616019" w14:textId="31ABD8AE" w:rsidR="00B97123" w:rsidRPr="0086463A" w:rsidRDefault="00B97123">
      <w:pPr>
        <w:pStyle w:val="FootnoteText"/>
        <w:rPr>
          <w:rFonts w:ascii="Times New Roman" w:hAnsi="Times New Roman" w:cs="Times New Roman"/>
        </w:rPr>
      </w:pPr>
      <w:r w:rsidRPr="0086463A">
        <w:rPr>
          <w:rStyle w:val="FootnoteReference"/>
          <w:rFonts w:ascii="Times New Roman" w:hAnsi="Times New Roman" w:cs="Times New Roman"/>
        </w:rPr>
        <w:footnoteRef/>
      </w:r>
      <w:r w:rsidRPr="0086463A">
        <w:rPr>
          <w:rFonts w:ascii="Times New Roman" w:hAnsi="Times New Roman" w:cs="Times New Roman"/>
        </w:rPr>
        <w:t xml:space="preserve"> Lauritsen, Janet L. and Daniel L. Cork, eds. 2018. </w:t>
      </w:r>
      <w:r w:rsidRPr="0086463A">
        <w:rPr>
          <w:rFonts w:ascii="Times New Roman" w:hAnsi="Times New Roman" w:cs="Times New Roman"/>
          <w:i/>
        </w:rPr>
        <w:t xml:space="preserve">Modernizing Crime Statistics, Report 2-New Systems for Measuring Crime. </w:t>
      </w:r>
      <w:r w:rsidRPr="0086463A">
        <w:rPr>
          <w:rFonts w:ascii="Times New Roman" w:hAnsi="Times New Roman" w:cs="Times New Roman"/>
        </w:rPr>
        <w:t>National Academies Press: pp 64-65.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C80C9" w14:textId="77777777" w:rsidR="00B97123" w:rsidRDefault="00B971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45A5"/>
    <w:multiLevelType w:val="hybridMultilevel"/>
    <w:tmpl w:val="05DAD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51470"/>
    <w:multiLevelType w:val="hybridMultilevel"/>
    <w:tmpl w:val="7C986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132A0E"/>
    <w:multiLevelType w:val="hybridMultilevel"/>
    <w:tmpl w:val="1E8E73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D33E8"/>
    <w:multiLevelType w:val="hybridMultilevel"/>
    <w:tmpl w:val="DEE6D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6135D0D"/>
    <w:multiLevelType w:val="hybridMultilevel"/>
    <w:tmpl w:val="0AE09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7D727D1"/>
    <w:multiLevelType w:val="hybridMultilevel"/>
    <w:tmpl w:val="9F4CC8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ECC036D"/>
    <w:multiLevelType w:val="hybridMultilevel"/>
    <w:tmpl w:val="1988B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186F86"/>
    <w:multiLevelType w:val="hybridMultilevel"/>
    <w:tmpl w:val="611E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526F27"/>
    <w:multiLevelType w:val="hybridMultilevel"/>
    <w:tmpl w:val="B9B4A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D8715A"/>
    <w:multiLevelType w:val="hybridMultilevel"/>
    <w:tmpl w:val="23E2D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BC6275"/>
    <w:multiLevelType w:val="hybridMultilevel"/>
    <w:tmpl w:val="CC5C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DB255F"/>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88B6EBF"/>
    <w:multiLevelType w:val="hybridMultilevel"/>
    <w:tmpl w:val="B7BC29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953F32"/>
    <w:multiLevelType w:val="hybridMultilevel"/>
    <w:tmpl w:val="0A326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8B66DB"/>
    <w:multiLevelType w:val="hybridMultilevel"/>
    <w:tmpl w:val="23C22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785E88"/>
    <w:multiLevelType w:val="hybridMultilevel"/>
    <w:tmpl w:val="4A8C7454"/>
    <w:lvl w:ilvl="0" w:tplc="C79A0B7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5"/>
  </w:num>
  <w:num w:numId="3">
    <w:abstractNumId w:val="13"/>
  </w:num>
  <w:num w:numId="4">
    <w:abstractNumId w:val="1"/>
  </w:num>
  <w:num w:numId="5">
    <w:abstractNumId w:val="8"/>
  </w:num>
  <w:num w:numId="6">
    <w:abstractNumId w:val="2"/>
  </w:num>
  <w:num w:numId="7">
    <w:abstractNumId w:val="11"/>
  </w:num>
  <w:num w:numId="8">
    <w:abstractNumId w:val="0"/>
  </w:num>
  <w:num w:numId="9">
    <w:abstractNumId w:val="9"/>
  </w:num>
  <w:num w:numId="10">
    <w:abstractNumId w:val="12"/>
  </w:num>
  <w:num w:numId="11">
    <w:abstractNumId w:val="7"/>
  </w:num>
  <w:num w:numId="12">
    <w:abstractNumId w:val="10"/>
  </w:num>
  <w:num w:numId="13">
    <w:abstractNumId w:val="6"/>
  </w:num>
  <w:num w:numId="14">
    <w:abstractNumId w:val="4"/>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7F4"/>
    <w:rsid w:val="0000080F"/>
    <w:rsid w:val="00007473"/>
    <w:rsid w:val="0001236B"/>
    <w:rsid w:val="0001426F"/>
    <w:rsid w:val="00026882"/>
    <w:rsid w:val="00027B0A"/>
    <w:rsid w:val="00033A8D"/>
    <w:rsid w:val="00035862"/>
    <w:rsid w:val="00042690"/>
    <w:rsid w:val="00043FB2"/>
    <w:rsid w:val="00051E63"/>
    <w:rsid w:val="00054ABC"/>
    <w:rsid w:val="00061021"/>
    <w:rsid w:val="0009568C"/>
    <w:rsid w:val="000A27F4"/>
    <w:rsid w:val="000B088E"/>
    <w:rsid w:val="000B14DE"/>
    <w:rsid w:val="000B3379"/>
    <w:rsid w:val="000B4D11"/>
    <w:rsid w:val="000B63D7"/>
    <w:rsid w:val="000B6479"/>
    <w:rsid w:val="000C2F3C"/>
    <w:rsid w:val="000C55D6"/>
    <w:rsid w:val="000D00F2"/>
    <w:rsid w:val="000D743A"/>
    <w:rsid w:val="000D7DF6"/>
    <w:rsid w:val="000F4EB7"/>
    <w:rsid w:val="000F511F"/>
    <w:rsid w:val="000F5EE5"/>
    <w:rsid w:val="00101283"/>
    <w:rsid w:val="00102A67"/>
    <w:rsid w:val="001035D0"/>
    <w:rsid w:val="00105941"/>
    <w:rsid w:val="001108D6"/>
    <w:rsid w:val="00114D16"/>
    <w:rsid w:val="00115304"/>
    <w:rsid w:val="001321CA"/>
    <w:rsid w:val="0013308C"/>
    <w:rsid w:val="001337C4"/>
    <w:rsid w:val="00133812"/>
    <w:rsid w:val="001368F3"/>
    <w:rsid w:val="00137337"/>
    <w:rsid w:val="00145F05"/>
    <w:rsid w:val="00154F39"/>
    <w:rsid w:val="001604BD"/>
    <w:rsid w:val="00165434"/>
    <w:rsid w:val="00182153"/>
    <w:rsid w:val="001831D2"/>
    <w:rsid w:val="001910EB"/>
    <w:rsid w:val="00196AE4"/>
    <w:rsid w:val="001A4E80"/>
    <w:rsid w:val="001B2F55"/>
    <w:rsid w:val="001B4483"/>
    <w:rsid w:val="001C36AD"/>
    <w:rsid w:val="001C5D9B"/>
    <w:rsid w:val="001D17F2"/>
    <w:rsid w:val="001E2E47"/>
    <w:rsid w:val="001F7BD6"/>
    <w:rsid w:val="00223208"/>
    <w:rsid w:val="00236117"/>
    <w:rsid w:val="0024250A"/>
    <w:rsid w:val="0024582B"/>
    <w:rsid w:val="0024689F"/>
    <w:rsid w:val="00256315"/>
    <w:rsid w:val="00256805"/>
    <w:rsid w:val="00256887"/>
    <w:rsid w:val="002655C2"/>
    <w:rsid w:val="00265E52"/>
    <w:rsid w:val="002678D5"/>
    <w:rsid w:val="002907DB"/>
    <w:rsid w:val="00295C9A"/>
    <w:rsid w:val="002A2B57"/>
    <w:rsid w:val="002B2544"/>
    <w:rsid w:val="002B3203"/>
    <w:rsid w:val="002B79CB"/>
    <w:rsid w:val="002E723A"/>
    <w:rsid w:val="002E7ABF"/>
    <w:rsid w:val="003332F5"/>
    <w:rsid w:val="00333BEA"/>
    <w:rsid w:val="00334BE3"/>
    <w:rsid w:val="003356C6"/>
    <w:rsid w:val="003375D2"/>
    <w:rsid w:val="003426ED"/>
    <w:rsid w:val="00343336"/>
    <w:rsid w:val="00346206"/>
    <w:rsid w:val="00353577"/>
    <w:rsid w:val="00356944"/>
    <w:rsid w:val="00362148"/>
    <w:rsid w:val="003653E3"/>
    <w:rsid w:val="003829E0"/>
    <w:rsid w:val="00397765"/>
    <w:rsid w:val="003A04E5"/>
    <w:rsid w:val="003B40F1"/>
    <w:rsid w:val="003B76D2"/>
    <w:rsid w:val="003C04B8"/>
    <w:rsid w:val="003D14AC"/>
    <w:rsid w:val="003D14DF"/>
    <w:rsid w:val="003D2D49"/>
    <w:rsid w:val="003D5394"/>
    <w:rsid w:val="003E2882"/>
    <w:rsid w:val="003E7048"/>
    <w:rsid w:val="003E73CA"/>
    <w:rsid w:val="003F7FAF"/>
    <w:rsid w:val="00406BA9"/>
    <w:rsid w:val="0040769B"/>
    <w:rsid w:val="0042793F"/>
    <w:rsid w:val="00431A48"/>
    <w:rsid w:val="0043271D"/>
    <w:rsid w:val="00432BE5"/>
    <w:rsid w:val="0043581A"/>
    <w:rsid w:val="0044266B"/>
    <w:rsid w:val="00447E96"/>
    <w:rsid w:val="0045757E"/>
    <w:rsid w:val="00460A05"/>
    <w:rsid w:val="0046492A"/>
    <w:rsid w:val="00471FA2"/>
    <w:rsid w:val="004770C6"/>
    <w:rsid w:val="0048675D"/>
    <w:rsid w:val="004C26A9"/>
    <w:rsid w:val="004C4C27"/>
    <w:rsid w:val="004D12F2"/>
    <w:rsid w:val="004D3112"/>
    <w:rsid w:val="004E47E1"/>
    <w:rsid w:val="004F24CF"/>
    <w:rsid w:val="004F2D02"/>
    <w:rsid w:val="00507702"/>
    <w:rsid w:val="005171B0"/>
    <w:rsid w:val="00522CAB"/>
    <w:rsid w:val="00526720"/>
    <w:rsid w:val="00535C7D"/>
    <w:rsid w:val="00537141"/>
    <w:rsid w:val="00544417"/>
    <w:rsid w:val="00550D2A"/>
    <w:rsid w:val="0056488E"/>
    <w:rsid w:val="00594A5D"/>
    <w:rsid w:val="005A1780"/>
    <w:rsid w:val="005B0650"/>
    <w:rsid w:val="005C1082"/>
    <w:rsid w:val="005C3F67"/>
    <w:rsid w:val="005D0B0B"/>
    <w:rsid w:val="005D4827"/>
    <w:rsid w:val="005E7BC6"/>
    <w:rsid w:val="00612BAC"/>
    <w:rsid w:val="0063446D"/>
    <w:rsid w:val="006419AA"/>
    <w:rsid w:val="0066117B"/>
    <w:rsid w:val="006773B4"/>
    <w:rsid w:val="00681E5B"/>
    <w:rsid w:val="00691DEF"/>
    <w:rsid w:val="00691F98"/>
    <w:rsid w:val="00696BCB"/>
    <w:rsid w:val="006A2F86"/>
    <w:rsid w:val="006B2095"/>
    <w:rsid w:val="006B2404"/>
    <w:rsid w:val="006B334A"/>
    <w:rsid w:val="006B347F"/>
    <w:rsid w:val="006B386A"/>
    <w:rsid w:val="006D12F6"/>
    <w:rsid w:val="006D2247"/>
    <w:rsid w:val="006D2C05"/>
    <w:rsid w:val="006E71A2"/>
    <w:rsid w:val="006F2681"/>
    <w:rsid w:val="006F38F6"/>
    <w:rsid w:val="00701F2B"/>
    <w:rsid w:val="00702C08"/>
    <w:rsid w:val="00705D6B"/>
    <w:rsid w:val="00715A33"/>
    <w:rsid w:val="0072352D"/>
    <w:rsid w:val="007405C9"/>
    <w:rsid w:val="00746FC7"/>
    <w:rsid w:val="007524CB"/>
    <w:rsid w:val="00762324"/>
    <w:rsid w:val="00764AB5"/>
    <w:rsid w:val="00773618"/>
    <w:rsid w:val="00775B85"/>
    <w:rsid w:val="007801C8"/>
    <w:rsid w:val="0078210F"/>
    <w:rsid w:val="00785825"/>
    <w:rsid w:val="00794BE6"/>
    <w:rsid w:val="007A0379"/>
    <w:rsid w:val="007A782E"/>
    <w:rsid w:val="007B1987"/>
    <w:rsid w:val="007C61E8"/>
    <w:rsid w:val="007D444D"/>
    <w:rsid w:val="007E4A46"/>
    <w:rsid w:val="007E73E4"/>
    <w:rsid w:val="007E7918"/>
    <w:rsid w:val="007F5D7A"/>
    <w:rsid w:val="00801E46"/>
    <w:rsid w:val="00803D5A"/>
    <w:rsid w:val="00816D1C"/>
    <w:rsid w:val="008337E6"/>
    <w:rsid w:val="00835528"/>
    <w:rsid w:val="008366DE"/>
    <w:rsid w:val="00842289"/>
    <w:rsid w:val="00856A21"/>
    <w:rsid w:val="00857156"/>
    <w:rsid w:val="00862297"/>
    <w:rsid w:val="0086463A"/>
    <w:rsid w:val="00867E16"/>
    <w:rsid w:val="008A3F2A"/>
    <w:rsid w:val="008C6C7E"/>
    <w:rsid w:val="008D342A"/>
    <w:rsid w:val="008E5C24"/>
    <w:rsid w:val="008F6B49"/>
    <w:rsid w:val="009070D1"/>
    <w:rsid w:val="00921C15"/>
    <w:rsid w:val="00923DA0"/>
    <w:rsid w:val="00924C77"/>
    <w:rsid w:val="00925341"/>
    <w:rsid w:val="00926A8B"/>
    <w:rsid w:val="00930087"/>
    <w:rsid w:val="0094155F"/>
    <w:rsid w:val="009515F0"/>
    <w:rsid w:val="00951B84"/>
    <w:rsid w:val="00952688"/>
    <w:rsid w:val="009530C1"/>
    <w:rsid w:val="00962D17"/>
    <w:rsid w:val="00974E6F"/>
    <w:rsid w:val="00980718"/>
    <w:rsid w:val="009838A8"/>
    <w:rsid w:val="009A092F"/>
    <w:rsid w:val="009A0C88"/>
    <w:rsid w:val="009A529C"/>
    <w:rsid w:val="009B36A9"/>
    <w:rsid w:val="009B3CC2"/>
    <w:rsid w:val="009C11D5"/>
    <w:rsid w:val="009E600C"/>
    <w:rsid w:val="009F4092"/>
    <w:rsid w:val="00A17864"/>
    <w:rsid w:val="00A46521"/>
    <w:rsid w:val="00A61442"/>
    <w:rsid w:val="00A63ADC"/>
    <w:rsid w:val="00A92D11"/>
    <w:rsid w:val="00A954A3"/>
    <w:rsid w:val="00A971F1"/>
    <w:rsid w:val="00AC6B26"/>
    <w:rsid w:val="00AD1530"/>
    <w:rsid w:val="00AD1608"/>
    <w:rsid w:val="00AD439C"/>
    <w:rsid w:val="00AD6D18"/>
    <w:rsid w:val="00AF155E"/>
    <w:rsid w:val="00B05667"/>
    <w:rsid w:val="00B10E2F"/>
    <w:rsid w:val="00B20C9B"/>
    <w:rsid w:val="00B45178"/>
    <w:rsid w:val="00B74477"/>
    <w:rsid w:val="00B8224D"/>
    <w:rsid w:val="00B84796"/>
    <w:rsid w:val="00B94D2C"/>
    <w:rsid w:val="00B97123"/>
    <w:rsid w:val="00BA0772"/>
    <w:rsid w:val="00BB468C"/>
    <w:rsid w:val="00BD3FE9"/>
    <w:rsid w:val="00BF408E"/>
    <w:rsid w:val="00C16455"/>
    <w:rsid w:val="00C24F53"/>
    <w:rsid w:val="00C37B72"/>
    <w:rsid w:val="00C412BA"/>
    <w:rsid w:val="00C42C27"/>
    <w:rsid w:val="00C435CA"/>
    <w:rsid w:val="00C46ACC"/>
    <w:rsid w:val="00C56A2F"/>
    <w:rsid w:val="00C73D94"/>
    <w:rsid w:val="00C76ABD"/>
    <w:rsid w:val="00C91DB4"/>
    <w:rsid w:val="00C969A6"/>
    <w:rsid w:val="00C97308"/>
    <w:rsid w:val="00CA5E85"/>
    <w:rsid w:val="00CB5A0C"/>
    <w:rsid w:val="00CD240F"/>
    <w:rsid w:val="00D0073B"/>
    <w:rsid w:val="00D0083B"/>
    <w:rsid w:val="00D03695"/>
    <w:rsid w:val="00D05AB8"/>
    <w:rsid w:val="00D05FA2"/>
    <w:rsid w:val="00D0687F"/>
    <w:rsid w:val="00D153FF"/>
    <w:rsid w:val="00D32253"/>
    <w:rsid w:val="00D341C6"/>
    <w:rsid w:val="00D65DDD"/>
    <w:rsid w:val="00D67D70"/>
    <w:rsid w:val="00D75222"/>
    <w:rsid w:val="00D75853"/>
    <w:rsid w:val="00D824F9"/>
    <w:rsid w:val="00D841D9"/>
    <w:rsid w:val="00D90133"/>
    <w:rsid w:val="00D9717F"/>
    <w:rsid w:val="00DB5892"/>
    <w:rsid w:val="00DB756C"/>
    <w:rsid w:val="00DC1370"/>
    <w:rsid w:val="00DD12B0"/>
    <w:rsid w:val="00DD426F"/>
    <w:rsid w:val="00DE2E3D"/>
    <w:rsid w:val="00DF4893"/>
    <w:rsid w:val="00E04AB0"/>
    <w:rsid w:val="00E14A51"/>
    <w:rsid w:val="00E17858"/>
    <w:rsid w:val="00E3294C"/>
    <w:rsid w:val="00E46868"/>
    <w:rsid w:val="00E51C43"/>
    <w:rsid w:val="00E5486A"/>
    <w:rsid w:val="00E831C4"/>
    <w:rsid w:val="00E83D3B"/>
    <w:rsid w:val="00E845D3"/>
    <w:rsid w:val="00E97A70"/>
    <w:rsid w:val="00EB52AD"/>
    <w:rsid w:val="00EB5382"/>
    <w:rsid w:val="00EC5172"/>
    <w:rsid w:val="00EC548F"/>
    <w:rsid w:val="00ED3F3E"/>
    <w:rsid w:val="00EE4A13"/>
    <w:rsid w:val="00EF36FD"/>
    <w:rsid w:val="00EF3B2A"/>
    <w:rsid w:val="00F065C0"/>
    <w:rsid w:val="00F12601"/>
    <w:rsid w:val="00F17F9B"/>
    <w:rsid w:val="00F212C1"/>
    <w:rsid w:val="00F26A35"/>
    <w:rsid w:val="00F3203D"/>
    <w:rsid w:val="00F341E5"/>
    <w:rsid w:val="00F34900"/>
    <w:rsid w:val="00F4015B"/>
    <w:rsid w:val="00F464E6"/>
    <w:rsid w:val="00F52183"/>
    <w:rsid w:val="00F73342"/>
    <w:rsid w:val="00F8196C"/>
    <w:rsid w:val="00F8743C"/>
    <w:rsid w:val="00F93B28"/>
    <w:rsid w:val="00FA2341"/>
    <w:rsid w:val="00FA3E51"/>
    <w:rsid w:val="00FA5262"/>
    <w:rsid w:val="00FB60DB"/>
    <w:rsid w:val="00FC2EE1"/>
    <w:rsid w:val="00FC7FCD"/>
    <w:rsid w:val="00FD0249"/>
    <w:rsid w:val="00FD11C7"/>
    <w:rsid w:val="00FD4B77"/>
    <w:rsid w:val="00FE14FC"/>
    <w:rsid w:val="00FF64E3"/>
    <w:rsid w:val="00FF6C5F"/>
    <w:rsid w:val="00FF6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C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7F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7F4"/>
    <w:pPr>
      <w:ind w:left="720"/>
      <w:contextualSpacing/>
    </w:pPr>
  </w:style>
  <w:style w:type="paragraph" w:styleId="FootnoteText">
    <w:name w:val="footnote text"/>
    <w:basedOn w:val="Normal"/>
    <w:link w:val="FootnoteTextChar"/>
    <w:uiPriority w:val="99"/>
    <w:semiHidden/>
    <w:unhideWhenUsed/>
    <w:rsid w:val="000A27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7F4"/>
    <w:rPr>
      <w:sz w:val="20"/>
      <w:szCs w:val="20"/>
    </w:rPr>
  </w:style>
  <w:style w:type="character" w:styleId="FootnoteReference">
    <w:name w:val="footnote reference"/>
    <w:basedOn w:val="DefaultParagraphFont"/>
    <w:uiPriority w:val="99"/>
    <w:semiHidden/>
    <w:unhideWhenUsed/>
    <w:rsid w:val="000A27F4"/>
    <w:rPr>
      <w:vertAlign w:val="superscript"/>
    </w:rPr>
  </w:style>
  <w:style w:type="table" w:styleId="TableGrid">
    <w:name w:val="Table Grid"/>
    <w:basedOn w:val="TableNormal"/>
    <w:uiPriority w:val="59"/>
    <w:rsid w:val="000A2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27F4"/>
    <w:rPr>
      <w:color w:val="0563C1" w:themeColor="hyperlink"/>
      <w:u w:val="single"/>
    </w:rPr>
  </w:style>
  <w:style w:type="character" w:styleId="CommentReference">
    <w:name w:val="annotation reference"/>
    <w:basedOn w:val="DefaultParagraphFont"/>
    <w:uiPriority w:val="99"/>
    <w:semiHidden/>
    <w:unhideWhenUsed/>
    <w:rsid w:val="000A27F4"/>
    <w:rPr>
      <w:sz w:val="16"/>
      <w:szCs w:val="16"/>
    </w:rPr>
  </w:style>
  <w:style w:type="paragraph" w:styleId="CommentText">
    <w:name w:val="annotation text"/>
    <w:basedOn w:val="Normal"/>
    <w:link w:val="CommentTextChar"/>
    <w:uiPriority w:val="99"/>
    <w:unhideWhenUsed/>
    <w:rsid w:val="000A27F4"/>
    <w:pPr>
      <w:spacing w:line="240" w:lineRule="auto"/>
    </w:pPr>
    <w:rPr>
      <w:sz w:val="20"/>
      <w:szCs w:val="20"/>
    </w:rPr>
  </w:style>
  <w:style w:type="character" w:customStyle="1" w:styleId="CommentTextChar">
    <w:name w:val="Comment Text Char"/>
    <w:basedOn w:val="DefaultParagraphFont"/>
    <w:link w:val="CommentText"/>
    <w:uiPriority w:val="99"/>
    <w:rsid w:val="000A27F4"/>
    <w:rPr>
      <w:sz w:val="20"/>
      <w:szCs w:val="20"/>
    </w:rPr>
  </w:style>
  <w:style w:type="paragraph" w:styleId="BalloonText">
    <w:name w:val="Balloon Text"/>
    <w:basedOn w:val="Normal"/>
    <w:link w:val="BalloonTextChar"/>
    <w:uiPriority w:val="99"/>
    <w:semiHidden/>
    <w:unhideWhenUsed/>
    <w:rsid w:val="000A2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7F4"/>
    <w:rPr>
      <w:rFonts w:ascii="Segoe UI" w:hAnsi="Segoe UI" w:cs="Segoe UI"/>
      <w:sz w:val="18"/>
      <w:szCs w:val="18"/>
    </w:rPr>
  </w:style>
  <w:style w:type="paragraph" w:styleId="Header">
    <w:name w:val="header"/>
    <w:basedOn w:val="Normal"/>
    <w:link w:val="HeaderChar"/>
    <w:uiPriority w:val="99"/>
    <w:unhideWhenUsed/>
    <w:rsid w:val="00407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69B"/>
  </w:style>
  <w:style w:type="paragraph" w:styleId="Footer">
    <w:name w:val="footer"/>
    <w:basedOn w:val="Normal"/>
    <w:link w:val="FooterChar"/>
    <w:uiPriority w:val="99"/>
    <w:unhideWhenUsed/>
    <w:rsid w:val="00407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69B"/>
  </w:style>
  <w:style w:type="paragraph" w:styleId="CommentSubject">
    <w:name w:val="annotation subject"/>
    <w:basedOn w:val="CommentText"/>
    <w:next w:val="CommentText"/>
    <w:link w:val="CommentSubjectChar"/>
    <w:uiPriority w:val="99"/>
    <w:semiHidden/>
    <w:unhideWhenUsed/>
    <w:rsid w:val="006B2095"/>
    <w:rPr>
      <w:b/>
      <w:bCs/>
    </w:rPr>
  </w:style>
  <w:style w:type="character" w:customStyle="1" w:styleId="CommentSubjectChar">
    <w:name w:val="Comment Subject Char"/>
    <w:basedOn w:val="CommentTextChar"/>
    <w:link w:val="CommentSubject"/>
    <w:uiPriority w:val="99"/>
    <w:semiHidden/>
    <w:rsid w:val="006B2095"/>
    <w:rPr>
      <w:b/>
      <w:bCs/>
      <w:sz w:val="20"/>
      <w:szCs w:val="20"/>
    </w:rPr>
  </w:style>
  <w:style w:type="table" w:customStyle="1" w:styleId="GridTableLight">
    <w:name w:val="Grid Table Light"/>
    <w:basedOn w:val="TableNormal"/>
    <w:uiPriority w:val="40"/>
    <w:rsid w:val="004327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1B4483"/>
    <w:rPr>
      <w:color w:val="954F72" w:themeColor="followedHyperlink"/>
      <w:u w:val="single"/>
    </w:rPr>
  </w:style>
  <w:style w:type="paragraph" w:styleId="BodyText">
    <w:name w:val="Body Text"/>
    <w:basedOn w:val="Normal"/>
    <w:link w:val="BodyTextChar"/>
    <w:uiPriority w:val="1"/>
    <w:semiHidden/>
    <w:unhideWhenUsed/>
    <w:qFormat/>
    <w:rsid w:val="00223208"/>
    <w:pPr>
      <w:spacing w:after="180" w:line="300" w:lineRule="exact"/>
    </w:pPr>
    <w:rPr>
      <w:rFonts w:ascii="Lato" w:eastAsia="Times New Roman" w:hAnsi="Lato" w:cs="Times New Roman"/>
      <w:bCs/>
      <w:sz w:val="20"/>
      <w:szCs w:val="20"/>
    </w:rPr>
  </w:style>
  <w:style w:type="character" w:customStyle="1" w:styleId="BodyTextChar">
    <w:name w:val="Body Text Char"/>
    <w:basedOn w:val="DefaultParagraphFont"/>
    <w:link w:val="BodyText"/>
    <w:uiPriority w:val="1"/>
    <w:semiHidden/>
    <w:rsid w:val="00223208"/>
    <w:rPr>
      <w:rFonts w:ascii="Lato" w:eastAsia="Times New Roman" w:hAnsi="Lato" w:cs="Times New Roman"/>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7F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7F4"/>
    <w:pPr>
      <w:ind w:left="720"/>
      <w:contextualSpacing/>
    </w:pPr>
  </w:style>
  <w:style w:type="paragraph" w:styleId="FootnoteText">
    <w:name w:val="footnote text"/>
    <w:basedOn w:val="Normal"/>
    <w:link w:val="FootnoteTextChar"/>
    <w:uiPriority w:val="99"/>
    <w:semiHidden/>
    <w:unhideWhenUsed/>
    <w:rsid w:val="000A27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27F4"/>
    <w:rPr>
      <w:sz w:val="20"/>
      <w:szCs w:val="20"/>
    </w:rPr>
  </w:style>
  <w:style w:type="character" w:styleId="FootnoteReference">
    <w:name w:val="footnote reference"/>
    <w:basedOn w:val="DefaultParagraphFont"/>
    <w:uiPriority w:val="99"/>
    <w:semiHidden/>
    <w:unhideWhenUsed/>
    <w:rsid w:val="000A27F4"/>
    <w:rPr>
      <w:vertAlign w:val="superscript"/>
    </w:rPr>
  </w:style>
  <w:style w:type="table" w:styleId="TableGrid">
    <w:name w:val="Table Grid"/>
    <w:basedOn w:val="TableNormal"/>
    <w:uiPriority w:val="59"/>
    <w:rsid w:val="000A2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27F4"/>
    <w:rPr>
      <w:color w:val="0563C1" w:themeColor="hyperlink"/>
      <w:u w:val="single"/>
    </w:rPr>
  </w:style>
  <w:style w:type="character" w:styleId="CommentReference">
    <w:name w:val="annotation reference"/>
    <w:basedOn w:val="DefaultParagraphFont"/>
    <w:uiPriority w:val="99"/>
    <w:semiHidden/>
    <w:unhideWhenUsed/>
    <w:rsid w:val="000A27F4"/>
    <w:rPr>
      <w:sz w:val="16"/>
      <w:szCs w:val="16"/>
    </w:rPr>
  </w:style>
  <w:style w:type="paragraph" w:styleId="CommentText">
    <w:name w:val="annotation text"/>
    <w:basedOn w:val="Normal"/>
    <w:link w:val="CommentTextChar"/>
    <w:uiPriority w:val="99"/>
    <w:unhideWhenUsed/>
    <w:rsid w:val="000A27F4"/>
    <w:pPr>
      <w:spacing w:line="240" w:lineRule="auto"/>
    </w:pPr>
    <w:rPr>
      <w:sz w:val="20"/>
      <w:szCs w:val="20"/>
    </w:rPr>
  </w:style>
  <w:style w:type="character" w:customStyle="1" w:styleId="CommentTextChar">
    <w:name w:val="Comment Text Char"/>
    <w:basedOn w:val="DefaultParagraphFont"/>
    <w:link w:val="CommentText"/>
    <w:uiPriority w:val="99"/>
    <w:rsid w:val="000A27F4"/>
    <w:rPr>
      <w:sz w:val="20"/>
      <w:szCs w:val="20"/>
    </w:rPr>
  </w:style>
  <w:style w:type="paragraph" w:styleId="BalloonText">
    <w:name w:val="Balloon Text"/>
    <w:basedOn w:val="Normal"/>
    <w:link w:val="BalloonTextChar"/>
    <w:uiPriority w:val="99"/>
    <w:semiHidden/>
    <w:unhideWhenUsed/>
    <w:rsid w:val="000A2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7F4"/>
    <w:rPr>
      <w:rFonts w:ascii="Segoe UI" w:hAnsi="Segoe UI" w:cs="Segoe UI"/>
      <w:sz w:val="18"/>
      <w:szCs w:val="18"/>
    </w:rPr>
  </w:style>
  <w:style w:type="paragraph" w:styleId="Header">
    <w:name w:val="header"/>
    <w:basedOn w:val="Normal"/>
    <w:link w:val="HeaderChar"/>
    <w:uiPriority w:val="99"/>
    <w:unhideWhenUsed/>
    <w:rsid w:val="00407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69B"/>
  </w:style>
  <w:style w:type="paragraph" w:styleId="Footer">
    <w:name w:val="footer"/>
    <w:basedOn w:val="Normal"/>
    <w:link w:val="FooterChar"/>
    <w:uiPriority w:val="99"/>
    <w:unhideWhenUsed/>
    <w:rsid w:val="00407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69B"/>
  </w:style>
  <w:style w:type="paragraph" w:styleId="CommentSubject">
    <w:name w:val="annotation subject"/>
    <w:basedOn w:val="CommentText"/>
    <w:next w:val="CommentText"/>
    <w:link w:val="CommentSubjectChar"/>
    <w:uiPriority w:val="99"/>
    <w:semiHidden/>
    <w:unhideWhenUsed/>
    <w:rsid w:val="006B2095"/>
    <w:rPr>
      <w:b/>
      <w:bCs/>
    </w:rPr>
  </w:style>
  <w:style w:type="character" w:customStyle="1" w:styleId="CommentSubjectChar">
    <w:name w:val="Comment Subject Char"/>
    <w:basedOn w:val="CommentTextChar"/>
    <w:link w:val="CommentSubject"/>
    <w:uiPriority w:val="99"/>
    <w:semiHidden/>
    <w:rsid w:val="006B2095"/>
    <w:rPr>
      <w:b/>
      <w:bCs/>
      <w:sz w:val="20"/>
      <w:szCs w:val="20"/>
    </w:rPr>
  </w:style>
  <w:style w:type="table" w:customStyle="1" w:styleId="GridTableLight">
    <w:name w:val="Grid Table Light"/>
    <w:basedOn w:val="TableNormal"/>
    <w:uiPriority w:val="40"/>
    <w:rsid w:val="004327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1B4483"/>
    <w:rPr>
      <w:color w:val="954F72" w:themeColor="followedHyperlink"/>
      <w:u w:val="single"/>
    </w:rPr>
  </w:style>
  <w:style w:type="paragraph" w:styleId="BodyText">
    <w:name w:val="Body Text"/>
    <w:basedOn w:val="Normal"/>
    <w:link w:val="BodyTextChar"/>
    <w:uiPriority w:val="1"/>
    <w:semiHidden/>
    <w:unhideWhenUsed/>
    <w:qFormat/>
    <w:rsid w:val="00223208"/>
    <w:pPr>
      <w:spacing w:after="180" w:line="300" w:lineRule="exact"/>
    </w:pPr>
    <w:rPr>
      <w:rFonts w:ascii="Lato" w:eastAsia="Times New Roman" w:hAnsi="Lato" w:cs="Times New Roman"/>
      <w:bCs/>
      <w:sz w:val="20"/>
      <w:szCs w:val="20"/>
    </w:rPr>
  </w:style>
  <w:style w:type="character" w:customStyle="1" w:styleId="BodyTextChar">
    <w:name w:val="Body Text Char"/>
    <w:basedOn w:val="DefaultParagraphFont"/>
    <w:link w:val="BodyText"/>
    <w:uiPriority w:val="1"/>
    <w:semiHidden/>
    <w:rsid w:val="00223208"/>
    <w:rPr>
      <w:rFonts w:ascii="Lato" w:eastAsia="Times New Roman" w:hAnsi="Lato" w:cs="Times New Roma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00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ustice.gov/humantrafficking/page/file/922791/downloa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aag.org/nagtri.php" TargetMode="External"/><Relationship Id="rId4" Type="http://schemas.microsoft.com/office/2007/relationships/stylesWithEffects" Target="stylesWithEffects.xml"/><Relationship Id="rId9" Type="http://schemas.openxmlformats.org/officeDocument/2006/relationships/hyperlink" Target="http://www.naag.org/"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ncsl.org/research/civil-and-criminal-justice/human-trafficking-laws-in-the-states-updated-nov.aspx" TargetMode="External"/><Relationship Id="rId1" Type="http://schemas.openxmlformats.org/officeDocument/2006/relationships/hyperlink" Target="http://naag.org/naag/about_naag/faq/what_does_an_attorney_general_do.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BA23E-5AD2-4E9D-8500-04CD6CAE2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4950</Words>
  <Characters>28218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Strong, Suzanne</dc:creator>
  <cp:keywords/>
  <dc:description/>
  <cp:lastModifiedBy>SYSTEM</cp:lastModifiedBy>
  <cp:revision>2</cp:revision>
  <dcterms:created xsi:type="dcterms:W3CDTF">2018-10-19T13:32:00Z</dcterms:created>
  <dcterms:modified xsi:type="dcterms:W3CDTF">2018-10-19T13:32:00Z</dcterms:modified>
</cp:coreProperties>
</file>