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69" w:rsidRDefault="00652FEE">
      <w:pPr>
        <w:spacing w:before="79"/>
        <w:ind w:left="651"/>
        <w:rPr>
          <w:b/>
          <w:sz w:val="24"/>
        </w:rPr>
      </w:pPr>
      <w:bookmarkStart w:id="0" w:name="_GoBack"/>
      <w:bookmarkEnd w:id="0"/>
      <w:r>
        <w:rPr>
          <w:b/>
          <w:sz w:val="24"/>
          <w:u w:val="thick"/>
        </w:rPr>
        <w:t>Supplemental Document: Justification for a no material/non-substantive change</w:t>
      </w:r>
    </w:p>
    <w:p w:rsidR="00790869" w:rsidRDefault="00790869">
      <w:pPr>
        <w:pStyle w:val="BodyText"/>
        <w:spacing w:before="9"/>
        <w:rPr>
          <w:b/>
          <w:sz w:val="38"/>
        </w:rPr>
      </w:pPr>
    </w:p>
    <w:p w:rsidR="00EB490B" w:rsidRDefault="00EB490B" w:rsidP="00EB490B">
      <w:pPr>
        <w:spacing w:line="259" w:lineRule="auto"/>
        <w:ind w:left="100" w:right="747"/>
        <w:rPr>
          <w:sz w:val="24"/>
          <w:szCs w:val="24"/>
        </w:rPr>
      </w:pPr>
      <w:r w:rsidRPr="00EB490B">
        <w:rPr>
          <w:sz w:val="24"/>
          <w:szCs w:val="24"/>
        </w:rPr>
        <w:t>ATF requests the following 2 changes to ATF Form 7(5310.12)/7CR(5310.16), collection 1140- 0018, due to the fact ATF changed the bank that processes our applications:</w:t>
      </w:r>
    </w:p>
    <w:p w:rsidR="00EB490B" w:rsidRDefault="00EB490B" w:rsidP="00EB490B">
      <w:pPr>
        <w:spacing w:line="259" w:lineRule="auto"/>
        <w:ind w:left="100" w:right="747"/>
        <w:rPr>
          <w:sz w:val="24"/>
          <w:szCs w:val="24"/>
        </w:rPr>
      </w:pPr>
    </w:p>
    <w:p w:rsidR="00EB490B" w:rsidRDefault="00EB490B" w:rsidP="00EB490B">
      <w:pPr>
        <w:pStyle w:val="BodyText"/>
        <w:spacing w:before="9"/>
        <w:rPr>
          <w:sz w:val="25"/>
        </w:rPr>
      </w:pPr>
    </w:p>
    <w:p w:rsidR="00EB490B" w:rsidRPr="00A549B0" w:rsidRDefault="00EB490B" w:rsidP="00EB490B">
      <w:pPr>
        <w:pStyle w:val="ListParagraph"/>
        <w:numPr>
          <w:ilvl w:val="0"/>
          <w:numId w:val="2"/>
        </w:numPr>
        <w:tabs>
          <w:tab w:val="left" w:pos="842"/>
        </w:tabs>
        <w:spacing w:before="0"/>
        <w:jc w:val="left"/>
        <w:rPr>
          <w:sz w:val="24"/>
          <w:highlight w:val="yellow"/>
        </w:rPr>
      </w:pPr>
      <w:r w:rsidRPr="00A549B0">
        <w:rPr>
          <w:sz w:val="24"/>
          <w:highlight w:val="yellow"/>
        </w:rPr>
        <w:t>Page 4, large instruction box – delete old bank address and replace with new</w:t>
      </w:r>
      <w:r w:rsidRPr="00A549B0">
        <w:rPr>
          <w:spacing w:val="-9"/>
          <w:sz w:val="24"/>
          <w:highlight w:val="yellow"/>
        </w:rPr>
        <w:t xml:space="preserve"> </w:t>
      </w:r>
      <w:r w:rsidRPr="00A549B0">
        <w:rPr>
          <w:sz w:val="24"/>
          <w:highlight w:val="yellow"/>
        </w:rPr>
        <w:t>address</w:t>
      </w:r>
    </w:p>
    <w:p w:rsidR="00EB490B" w:rsidRDefault="00EB490B" w:rsidP="00EB490B">
      <w:pPr>
        <w:spacing w:line="259" w:lineRule="auto"/>
        <w:ind w:left="100" w:right="747"/>
        <w:rPr>
          <w:sz w:val="24"/>
          <w:szCs w:val="24"/>
        </w:rPr>
      </w:pPr>
    </w:p>
    <w:p w:rsidR="00EB490B" w:rsidRPr="00EB490B" w:rsidRDefault="00EB490B" w:rsidP="00EB490B">
      <w:pPr>
        <w:spacing w:line="259" w:lineRule="auto"/>
        <w:ind w:left="100" w:right="747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59ACB068" wp14:editId="50F8671D">
            <wp:simplePos x="0" y="0"/>
            <wp:positionH relativeFrom="page">
              <wp:posOffset>850900</wp:posOffset>
            </wp:positionH>
            <wp:positionV relativeFrom="paragraph">
              <wp:posOffset>180975</wp:posOffset>
            </wp:positionV>
            <wp:extent cx="5792554" cy="1466088"/>
            <wp:effectExtent l="19050" t="19050" r="0" b="127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554" cy="146608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EB490B" w:rsidRPr="00A549B0" w:rsidRDefault="00EB490B" w:rsidP="00EB490B">
      <w:pPr>
        <w:pStyle w:val="ListParagraph"/>
        <w:numPr>
          <w:ilvl w:val="0"/>
          <w:numId w:val="2"/>
        </w:numPr>
        <w:tabs>
          <w:tab w:val="left" w:pos="942"/>
        </w:tabs>
        <w:spacing w:before="212"/>
        <w:ind w:left="941"/>
        <w:jc w:val="left"/>
        <w:rPr>
          <w:sz w:val="24"/>
          <w:highlight w:val="yellow"/>
        </w:rPr>
      </w:pPr>
      <w:r w:rsidRPr="00A549B0">
        <w:rPr>
          <w:sz w:val="24"/>
          <w:highlight w:val="yellow"/>
        </w:rPr>
        <w:t>Instructions page, #14 – delete old bank address and replace with new</w:t>
      </w:r>
      <w:r w:rsidRPr="00A549B0">
        <w:rPr>
          <w:spacing w:val="-5"/>
          <w:sz w:val="24"/>
          <w:highlight w:val="yellow"/>
        </w:rPr>
        <w:t xml:space="preserve"> </w:t>
      </w:r>
      <w:r w:rsidRPr="00A549B0">
        <w:rPr>
          <w:sz w:val="24"/>
          <w:highlight w:val="yellow"/>
        </w:rPr>
        <w:t>address</w:t>
      </w:r>
    </w:p>
    <w:p w:rsidR="00EB490B" w:rsidRPr="00EB490B" w:rsidRDefault="00EB490B" w:rsidP="00EB490B">
      <w:pPr>
        <w:tabs>
          <w:tab w:val="left" w:pos="942"/>
        </w:tabs>
        <w:spacing w:before="212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64989B80" wp14:editId="4D9260C8">
            <wp:simplePos x="0" y="0"/>
            <wp:positionH relativeFrom="page">
              <wp:posOffset>850900</wp:posOffset>
            </wp:positionH>
            <wp:positionV relativeFrom="paragraph">
              <wp:posOffset>304165</wp:posOffset>
            </wp:positionV>
            <wp:extent cx="5792554" cy="1466088"/>
            <wp:effectExtent l="19050" t="19050" r="0" b="127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554" cy="146608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B490B" w:rsidRDefault="00EB490B">
      <w:pPr>
        <w:pStyle w:val="BodyText"/>
        <w:spacing w:line="259" w:lineRule="auto"/>
        <w:ind w:left="100"/>
      </w:pPr>
    </w:p>
    <w:p w:rsidR="00EB490B" w:rsidRDefault="00EB490B">
      <w:pPr>
        <w:pStyle w:val="BodyText"/>
        <w:spacing w:line="259" w:lineRule="auto"/>
        <w:ind w:left="100"/>
      </w:pPr>
    </w:p>
    <w:p w:rsidR="00790869" w:rsidRDefault="00652FEE">
      <w:pPr>
        <w:pStyle w:val="BodyText"/>
        <w:spacing w:line="259" w:lineRule="auto"/>
        <w:ind w:left="100"/>
      </w:pPr>
      <w:r>
        <w:t>ATF requests the following 2 changes to the Part B Supplement for ATF Form 7(5310.12)/7CR(5310.16), collection 1140-0018, due to the fact ATF changed the bank that processes our applications:</w:t>
      </w:r>
    </w:p>
    <w:p w:rsidR="00790869" w:rsidRDefault="00790869">
      <w:pPr>
        <w:pStyle w:val="BodyText"/>
        <w:spacing w:before="7"/>
        <w:rPr>
          <w:sz w:val="27"/>
        </w:rPr>
      </w:pPr>
    </w:p>
    <w:p w:rsidR="00790869" w:rsidRPr="00A549B0" w:rsidRDefault="00652FEE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highlight w:val="yellow"/>
        </w:rPr>
      </w:pPr>
      <w:r w:rsidRPr="00A549B0">
        <w:rPr>
          <w:sz w:val="24"/>
          <w:highlight w:val="yellow"/>
          <w:shd w:val="clear" w:color="auto" w:fill="FFFF00"/>
        </w:rPr>
        <w:t>Page 2, large instruction box – delete old bank address and replace with new</w:t>
      </w:r>
      <w:r w:rsidRPr="00A549B0">
        <w:rPr>
          <w:spacing w:val="-4"/>
          <w:sz w:val="24"/>
          <w:highlight w:val="yellow"/>
          <w:shd w:val="clear" w:color="auto" w:fill="FFFF00"/>
        </w:rPr>
        <w:t xml:space="preserve"> </w:t>
      </w:r>
      <w:r w:rsidRPr="00A549B0">
        <w:rPr>
          <w:sz w:val="24"/>
          <w:highlight w:val="yellow"/>
          <w:shd w:val="clear" w:color="auto" w:fill="FFFF00"/>
        </w:rPr>
        <w:t>address</w:t>
      </w:r>
    </w:p>
    <w:p w:rsidR="00790869" w:rsidRDefault="00790869">
      <w:pPr>
        <w:pStyle w:val="BodyText"/>
        <w:rPr>
          <w:sz w:val="20"/>
        </w:rPr>
      </w:pPr>
    </w:p>
    <w:p w:rsidR="00790869" w:rsidRDefault="00652FEE">
      <w:pPr>
        <w:pStyle w:val="BodyText"/>
        <w:spacing w:before="10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97A5FC" wp14:editId="6BC77967">
            <wp:simplePos x="0" y="0"/>
            <wp:positionH relativeFrom="page">
              <wp:posOffset>1227706</wp:posOffset>
            </wp:positionH>
            <wp:positionV relativeFrom="paragraph">
              <wp:posOffset>191977</wp:posOffset>
            </wp:positionV>
            <wp:extent cx="5816051" cy="1248155"/>
            <wp:effectExtent l="19050" t="19050" r="0" b="9525"/>
            <wp:wrapTopAndBottom/>
            <wp:docPr id="1" name="image1.jpeg" descr="Image showing first proposed form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051" cy="12481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790869" w:rsidRDefault="00790869">
      <w:pPr>
        <w:pStyle w:val="BodyText"/>
        <w:rPr>
          <w:sz w:val="26"/>
        </w:rPr>
      </w:pPr>
    </w:p>
    <w:p w:rsidR="00790869" w:rsidRDefault="00790869">
      <w:pPr>
        <w:pStyle w:val="BodyText"/>
        <w:rPr>
          <w:sz w:val="26"/>
        </w:rPr>
      </w:pPr>
    </w:p>
    <w:p w:rsidR="00790869" w:rsidRDefault="00790869">
      <w:pPr>
        <w:pStyle w:val="BodyText"/>
        <w:rPr>
          <w:sz w:val="26"/>
        </w:rPr>
      </w:pPr>
    </w:p>
    <w:p w:rsidR="00790869" w:rsidRDefault="00790869">
      <w:pPr>
        <w:pStyle w:val="BodyText"/>
        <w:rPr>
          <w:sz w:val="26"/>
        </w:rPr>
      </w:pPr>
    </w:p>
    <w:p w:rsidR="00790869" w:rsidRPr="00A549B0" w:rsidRDefault="00652FEE">
      <w:pPr>
        <w:pStyle w:val="ListParagraph"/>
        <w:numPr>
          <w:ilvl w:val="0"/>
          <w:numId w:val="1"/>
        </w:numPr>
        <w:tabs>
          <w:tab w:val="left" w:pos="820"/>
        </w:tabs>
        <w:spacing w:before="205"/>
        <w:ind w:left="819"/>
        <w:rPr>
          <w:sz w:val="24"/>
        </w:rPr>
      </w:pPr>
      <w:r w:rsidRPr="00A549B0">
        <w:rPr>
          <w:spacing w:val="-3"/>
          <w:sz w:val="24"/>
          <w:shd w:val="clear" w:color="auto" w:fill="FFFF00"/>
        </w:rPr>
        <w:t xml:space="preserve">Page </w:t>
      </w:r>
      <w:r w:rsidRPr="00A549B0">
        <w:rPr>
          <w:sz w:val="24"/>
          <w:shd w:val="clear" w:color="auto" w:fill="FFFF00"/>
        </w:rPr>
        <w:t>4, instruction #14 – delete old bank address and replace with new</w:t>
      </w:r>
      <w:r w:rsidRPr="00A549B0">
        <w:rPr>
          <w:spacing w:val="-3"/>
          <w:sz w:val="24"/>
          <w:shd w:val="clear" w:color="auto" w:fill="FFFF00"/>
        </w:rPr>
        <w:t xml:space="preserve"> </w:t>
      </w:r>
      <w:r w:rsidRPr="00A549B0">
        <w:rPr>
          <w:sz w:val="24"/>
          <w:shd w:val="clear" w:color="auto" w:fill="FFFF00"/>
        </w:rPr>
        <w:t>addres</w:t>
      </w:r>
      <w:r w:rsidRPr="00A549B0">
        <w:rPr>
          <w:sz w:val="24"/>
        </w:rPr>
        <w:t>s</w:t>
      </w:r>
    </w:p>
    <w:p w:rsidR="00790869" w:rsidRDefault="00EB490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5E8961D9" wp14:editId="577B9E38">
            <wp:simplePos x="0" y="0"/>
            <wp:positionH relativeFrom="page">
              <wp:posOffset>1208405</wp:posOffset>
            </wp:positionH>
            <wp:positionV relativeFrom="paragraph">
              <wp:posOffset>188595</wp:posOffset>
            </wp:positionV>
            <wp:extent cx="5699573" cy="1322832"/>
            <wp:effectExtent l="19050" t="19050" r="0" b="0"/>
            <wp:wrapTopAndBottom/>
            <wp:docPr id="3" name="image2.jpeg" descr="Image showing second proposed form chan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73" cy="132283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EB490B" w:rsidRDefault="00EB490B" w:rsidP="00EB490B">
      <w:pPr>
        <w:spacing w:line="259" w:lineRule="auto"/>
        <w:ind w:left="100" w:right="747"/>
        <w:rPr>
          <w:sz w:val="24"/>
          <w:szCs w:val="24"/>
        </w:rPr>
      </w:pPr>
    </w:p>
    <w:p w:rsidR="00790869" w:rsidRDefault="00790869" w:rsidP="00EB490B">
      <w:pPr>
        <w:pStyle w:val="BodyText"/>
        <w:spacing w:before="4"/>
        <w:rPr>
          <w:sz w:val="23"/>
        </w:rPr>
      </w:pPr>
    </w:p>
    <w:sectPr w:rsidR="00790869">
      <w:type w:val="continuous"/>
      <w:pgSz w:w="12240" w:h="15840"/>
      <w:pgMar w:top="64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0B" w:rsidRDefault="00EB490B" w:rsidP="00EB490B">
      <w:r>
        <w:separator/>
      </w:r>
    </w:p>
  </w:endnote>
  <w:endnote w:type="continuationSeparator" w:id="0">
    <w:p w:rsidR="00EB490B" w:rsidRDefault="00EB490B" w:rsidP="00EB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0B" w:rsidRDefault="00EB490B" w:rsidP="00EB490B">
      <w:r>
        <w:separator/>
      </w:r>
    </w:p>
  </w:footnote>
  <w:footnote w:type="continuationSeparator" w:id="0">
    <w:p w:rsidR="00EB490B" w:rsidRDefault="00EB490B" w:rsidP="00EB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2B3"/>
    <w:multiLevelType w:val="hybridMultilevel"/>
    <w:tmpl w:val="6CC88D6C"/>
    <w:lvl w:ilvl="0" w:tplc="5F6A041E">
      <w:start w:val="1"/>
      <w:numFmt w:val="decimal"/>
      <w:lvlText w:val="%1."/>
      <w:lvlJc w:val="left"/>
      <w:pPr>
        <w:ind w:left="841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453205A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F4A058C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600E5B6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6E0E6EE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9A0C36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66CC392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7" w:tplc="78501C3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en-US"/>
      </w:rPr>
    </w:lvl>
    <w:lvl w:ilvl="8" w:tplc="34CE4A74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en-US"/>
      </w:rPr>
    </w:lvl>
  </w:abstractNum>
  <w:abstractNum w:abstractNumId="1">
    <w:nsid w:val="15EB0947"/>
    <w:multiLevelType w:val="hybridMultilevel"/>
    <w:tmpl w:val="3B70B148"/>
    <w:lvl w:ilvl="0" w:tplc="C81EB16C">
      <w:start w:val="1"/>
      <w:numFmt w:val="decimal"/>
      <w:lvlText w:val="%1."/>
      <w:lvlJc w:val="left"/>
      <w:pPr>
        <w:ind w:left="820" w:hanging="360"/>
      </w:pPr>
      <w:rPr>
        <w:rFonts w:hint="default"/>
        <w:spacing w:val="-2"/>
        <w:w w:val="99"/>
        <w:highlight w:val="yellow"/>
        <w:lang w:val="en-US" w:eastAsia="en-US" w:bidi="en-US"/>
      </w:rPr>
    </w:lvl>
    <w:lvl w:ilvl="1" w:tplc="FC14459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2" w:tplc="0BE8387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A5902B3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en-US"/>
      </w:rPr>
    </w:lvl>
    <w:lvl w:ilvl="4" w:tplc="DD6034E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en-US"/>
      </w:rPr>
    </w:lvl>
    <w:lvl w:ilvl="5" w:tplc="8632B0C0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en-US"/>
      </w:rPr>
    </w:lvl>
    <w:lvl w:ilvl="6" w:tplc="361AF0A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7" w:tplc="67243032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en-US"/>
      </w:rPr>
    </w:lvl>
    <w:lvl w:ilvl="8" w:tplc="3DD0E1C0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en-US"/>
      </w:rPr>
    </w:lvl>
  </w:abstractNum>
  <w:abstractNum w:abstractNumId="2">
    <w:nsid w:val="79686BD8"/>
    <w:multiLevelType w:val="hybridMultilevel"/>
    <w:tmpl w:val="5706DC28"/>
    <w:lvl w:ilvl="0" w:tplc="0409000F">
      <w:start w:val="1"/>
      <w:numFmt w:val="decimal"/>
      <w:lvlText w:val="%1."/>
      <w:lvlJc w:val="left"/>
      <w:pPr>
        <w:ind w:left="841" w:hanging="360"/>
        <w:jc w:val="right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453205A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F4A058C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600E5B6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6E0E6EE4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9A0C36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66CC392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7" w:tplc="78501C3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en-US"/>
      </w:rPr>
    </w:lvl>
    <w:lvl w:ilvl="8" w:tplc="34CE4A74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69"/>
    <w:rsid w:val="00652FEE"/>
    <w:rsid w:val="00790869"/>
    <w:rsid w:val="008E1ACA"/>
    <w:rsid w:val="00A549B0"/>
    <w:rsid w:val="00E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90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90B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90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90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a no material/non-substantive change for ATF Form 7(5310.12)/7CR(5310.16)</vt:lpstr>
    </vt:vector>
  </TitlesOfParts>
  <Company>Bureau of Alcohol, Tobacco, Firearms and Explosives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a no material/non-substantive change for ATF Form 7(5310.12)/7CR(5310.16)</dc:title>
  <dc:subject>Justification for a no material/non-substantive change for ATF Form 7(5310.12)/7CR(5310.16)</dc:subject>
  <dc:creator>FESD-FFLC</dc:creator>
  <cp:keywords>Justification, no material change, non-substantive change, ATF Form 7(5310.12)/7CR(5310.16), OMB collection 1140-0018</cp:keywords>
  <cp:lastModifiedBy>SYSTEM</cp:lastModifiedBy>
  <cp:revision>2</cp:revision>
  <dcterms:created xsi:type="dcterms:W3CDTF">2018-11-07T18:44:00Z</dcterms:created>
  <dcterms:modified xsi:type="dcterms:W3CDTF">2018-11-07T18:44:00Z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2018-10-16T00:00:00Z</vt:filetime>
  </property>
</Properties>
</file>