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94" w:rsidRPr="001F2F67" w:rsidRDefault="003F401E" w:rsidP="002D7494">
      <w:pPr>
        <w:pStyle w:val="Default"/>
        <w:rPr>
          <w:b/>
          <w:sz w:val="22"/>
          <w:szCs w:val="22"/>
        </w:rPr>
      </w:pPr>
      <w:r>
        <w:rPr>
          <w:b/>
          <w:sz w:val="22"/>
          <w:szCs w:val="22"/>
        </w:rPr>
        <w:t>August 6</w:t>
      </w:r>
      <w:r w:rsidR="001F2F67" w:rsidRPr="001F2F67">
        <w:rPr>
          <w:b/>
          <w:sz w:val="22"/>
          <w:szCs w:val="22"/>
        </w:rPr>
        <w:t>, 2015</w:t>
      </w:r>
    </w:p>
    <w:p w:rsidR="002D7494" w:rsidRDefault="002D7494" w:rsidP="002D7494">
      <w:pPr>
        <w:pStyle w:val="Default"/>
        <w:rPr>
          <w:b/>
          <w:bCs/>
          <w:i/>
          <w:iCs/>
          <w:sz w:val="22"/>
          <w:szCs w:val="22"/>
        </w:rPr>
      </w:pPr>
      <w:r>
        <w:rPr>
          <w:b/>
          <w:bCs/>
          <w:sz w:val="22"/>
          <w:szCs w:val="22"/>
        </w:rPr>
        <w:t xml:space="preserve">Participant Incentivization POV: </w:t>
      </w:r>
      <w:r>
        <w:rPr>
          <w:b/>
          <w:bCs/>
          <w:i/>
          <w:iCs/>
          <w:sz w:val="22"/>
          <w:szCs w:val="22"/>
        </w:rPr>
        <w:t>Ready PSA Campaign Creative Testing Research</w:t>
      </w:r>
    </w:p>
    <w:p w:rsidR="002D7494" w:rsidRDefault="002D7494" w:rsidP="002D7494">
      <w:pPr>
        <w:pStyle w:val="Default"/>
        <w:rPr>
          <w:sz w:val="22"/>
          <w:szCs w:val="22"/>
        </w:rPr>
      </w:pPr>
      <w:r>
        <w:rPr>
          <w:b/>
          <w:bCs/>
          <w:i/>
          <w:iCs/>
          <w:sz w:val="22"/>
          <w:szCs w:val="22"/>
        </w:rPr>
        <w:t xml:space="preserve"> </w:t>
      </w:r>
    </w:p>
    <w:p w:rsidR="002D7494" w:rsidRDefault="002D7494" w:rsidP="002D7494">
      <w:pPr>
        <w:pStyle w:val="Default"/>
        <w:rPr>
          <w:sz w:val="22"/>
          <w:szCs w:val="22"/>
        </w:rPr>
      </w:pPr>
      <w:r>
        <w:rPr>
          <w:sz w:val="22"/>
          <w:szCs w:val="22"/>
        </w:rPr>
        <w:t xml:space="preserve">Industry standards recommend </w:t>
      </w:r>
      <w:r w:rsidR="00D11930">
        <w:rPr>
          <w:sz w:val="22"/>
          <w:szCs w:val="22"/>
        </w:rPr>
        <w:t xml:space="preserve">at least </w:t>
      </w:r>
      <w:r>
        <w:rPr>
          <w:sz w:val="22"/>
          <w:szCs w:val="22"/>
        </w:rPr>
        <w:t>$50-$100 for in-person research, such as focus groups, in order to appropriately motivate participation, ensure that a sufficient number of participants arrive and actively participate in the qualitative sessions, and to adequately compensate participants for lost wages from participating.</w:t>
      </w:r>
      <w:r w:rsidR="00751757">
        <w:rPr>
          <w:rStyle w:val="EndnoteReference"/>
          <w:sz w:val="22"/>
          <w:szCs w:val="22"/>
        </w:rPr>
        <w:endnoteReference w:id="1"/>
      </w:r>
      <w:r w:rsidR="00144875">
        <w:rPr>
          <w:sz w:val="22"/>
          <w:szCs w:val="22"/>
        </w:rPr>
        <w:t>,</w:t>
      </w:r>
      <w:r w:rsidR="00751757">
        <w:rPr>
          <w:rStyle w:val="EndnoteReference"/>
          <w:sz w:val="22"/>
          <w:szCs w:val="22"/>
        </w:rPr>
        <w:endnoteReference w:id="2"/>
      </w:r>
      <w:r w:rsidR="00144875">
        <w:rPr>
          <w:sz w:val="22"/>
          <w:szCs w:val="22"/>
        </w:rPr>
        <w:t>,</w:t>
      </w:r>
      <w:r w:rsidR="000C2612">
        <w:rPr>
          <w:rStyle w:val="EndnoteReference"/>
          <w:sz w:val="22"/>
          <w:szCs w:val="22"/>
        </w:rPr>
        <w:endnoteReference w:id="3"/>
      </w:r>
      <w:r w:rsidR="00144875">
        <w:rPr>
          <w:sz w:val="22"/>
          <w:szCs w:val="22"/>
        </w:rPr>
        <w:t>,</w:t>
      </w:r>
      <w:r w:rsidR="000C2612">
        <w:rPr>
          <w:rStyle w:val="EndnoteReference"/>
          <w:sz w:val="22"/>
          <w:szCs w:val="22"/>
        </w:rPr>
        <w:endnoteReference w:id="4"/>
      </w:r>
      <w:r w:rsidR="00144875">
        <w:rPr>
          <w:sz w:val="22"/>
          <w:szCs w:val="22"/>
        </w:rPr>
        <w:t xml:space="preserve"> </w:t>
      </w:r>
      <w:r w:rsidR="00FB0EF8">
        <w:rPr>
          <w:sz w:val="22"/>
          <w:szCs w:val="22"/>
        </w:rPr>
        <w:t xml:space="preserve"> Providing an incentive avoids </w:t>
      </w:r>
      <w:r w:rsidR="00FB0EF8" w:rsidRPr="00124598">
        <w:rPr>
          <w:sz w:val="22"/>
          <w:szCs w:val="22"/>
        </w:rPr>
        <w:t>bias of receiving responses only from individuals generally predisposed to be helpful</w:t>
      </w:r>
      <w:r w:rsidR="00FB0EF8">
        <w:rPr>
          <w:sz w:val="22"/>
          <w:szCs w:val="22"/>
        </w:rPr>
        <w:t>.</w:t>
      </w:r>
      <w:r w:rsidR="00ED4D85">
        <w:rPr>
          <w:sz w:val="22"/>
          <w:szCs w:val="22"/>
        </w:rPr>
        <w:t xml:space="preserve"> </w:t>
      </w:r>
      <w:r w:rsidR="00FB0EF8">
        <w:rPr>
          <w:sz w:val="22"/>
          <w:szCs w:val="22"/>
        </w:rPr>
        <w:t xml:space="preserve">  </w:t>
      </w:r>
      <w:r>
        <w:rPr>
          <w:sz w:val="22"/>
          <w:szCs w:val="22"/>
        </w:rPr>
        <w:t xml:space="preserve">Our </w:t>
      </w:r>
      <w:proofErr w:type="spellStart"/>
      <w:r>
        <w:rPr>
          <w:sz w:val="22"/>
          <w:szCs w:val="22"/>
        </w:rPr>
        <w:t>incentivization</w:t>
      </w:r>
      <w:proofErr w:type="spellEnd"/>
      <w:r>
        <w:rPr>
          <w:sz w:val="22"/>
          <w:szCs w:val="22"/>
        </w:rPr>
        <w:t xml:space="preserve"> r</w:t>
      </w:r>
      <w:r w:rsidR="005B291A">
        <w:rPr>
          <w:sz w:val="22"/>
          <w:szCs w:val="22"/>
        </w:rPr>
        <w:t>ecommendation ($75</w:t>
      </w:r>
      <w:r w:rsidR="009F5CEC">
        <w:rPr>
          <w:sz w:val="22"/>
          <w:szCs w:val="22"/>
        </w:rPr>
        <w:t xml:space="preserve">) </w:t>
      </w:r>
      <w:r>
        <w:rPr>
          <w:sz w:val="22"/>
          <w:szCs w:val="22"/>
        </w:rPr>
        <w:t>was selected in order to ensure respondents are incentivized for wages lost</w:t>
      </w:r>
      <w:r w:rsidR="00D11930">
        <w:rPr>
          <w:sz w:val="22"/>
          <w:szCs w:val="22"/>
        </w:rPr>
        <w:t xml:space="preserve"> and to </w:t>
      </w:r>
      <w:r>
        <w:rPr>
          <w:sz w:val="22"/>
          <w:szCs w:val="22"/>
        </w:rPr>
        <w:t>motivate respondents</w:t>
      </w:r>
      <w:r w:rsidR="00D11930">
        <w:rPr>
          <w:sz w:val="22"/>
          <w:szCs w:val="22"/>
        </w:rPr>
        <w:t xml:space="preserve"> (working and homemaker parents)</w:t>
      </w:r>
      <w:r>
        <w:rPr>
          <w:sz w:val="22"/>
          <w:szCs w:val="22"/>
        </w:rPr>
        <w:t xml:space="preserve"> to keep their commitment to take time out of their busy schedules to attend a focus group session.</w:t>
      </w:r>
      <w:r w:rsidR="00354F30">
        <w:rPr>
          <w:sz w:val="22"/>
          <w:szCs w:val="22"/>
        </w:rPr>
        <w:t xml:space="preserve"> </w:t>
      </w:r>
      <w:r w:rsidR="00213654" w:rsidRPr="00213654">
        <w:rPr>
          <w:sz w:val="22"/>
          <w:szCs w:val="22"/>
        </w:rPr>
        <w:t xml:space="preserve">The participation is in-person (rather than by telephone), at a </w:t>
      </w:r>
      <w:r w:rsidR="00213654">
        <w:rPr>
          <w:sz w:val="22"/>
          <w:szCs w:val="22"/>
        </w:rPr>
        <w:t>common location to accommodate g</w:t>
      </w:r>
      <w:r w:rsidR="00213654" w:rsidRPr="00213654">
        <w:rPr>
          <w:sz w:val="22"/>
          <w:szCs w:val="22"/>
        </w:rPr>
        <w:t>roup interaction and disc</w:t>
      </w:r>
      <w:r w:rsidR="00213654">
        <w:rPr>
          <w:sz w:val="22"/>
          <w:szCs w:val="22"/>
        </w:rPr>
        <w:t>ussion,</w:t>
      </w:r>
      <w:r w:rsidR="00213654" w:rsidRPr="00213654">
        <w:rPr>
          <w:sz w:val="22"/>
          <w:szCs w:val="22"/>
        </w:rPr>
        <w:t xml:space="preserve"> which involves greater level of effort and analysis than many typical types of polling or audience testing</w:t>
      </w:r>
      <w:r w:rsidR="00213654">
        <w:rPr>
          <w:sz w:val="22"/>
          <w:szCs w:val="22"/>
        </w:rPr>
        <w:t>.</w:t>
      </w:r>
      <w:r w:rsidR="00433524">
        <w:rPr>
          <w:sz w:val="22"/>
          <w:szCs w:val="22"/>
        </w:rPr>
        <w:t xml:space="preserve">  </w:t>
      </w:r>
    </w:p>
    <w:p w:rsidR="002D7494" w:rsidRDefault="002D7494" w:rsidP="002D7494">
      <w:pPr>
        <w:pStyle w:val="Default"/>
        <w:rPr>
          <w:sz w:val="22"/>
          <w:szCs w:val="22"/>
        </w:rPr>
      </w:pPr>
    </w:p>
    <w:p w:rsidR="005B291A" w:rsidRDefault="002D7494" w:rsidP="00D11930">
      <w:pPr>
        <w:pStyle w:val="Default"/>
        <w:rPr>
          <w:sz w:val="22"/>
          <w:szCs w:val="22"/>
        </w:rPr>
      </w:pPr>
      <w:r>
        <w:rPr>
          <w:sz w:val="22"/>
          <w:szCs w:val="22"/>
        </w:rPr>
        <w:t xml:space="preserve">The average minimum cost of participation is estimated, as follows: </w:t>
      </w:r>
      <w:r w:rsidR="00D11930">
        <w:rPr>
          <w:sz w:val="22"/>
          <w:szCs w:val="22"/>
        </w:rPr>
        <w:t xml:space="preserve"> </w:t>
      </w:r>
    </w:p>
    <w:p w:rsidR="00354F30" w:rsidRPr="005B291A" w:rsidRDefault="005B291A" w:rsidP="00354F30">
      <w:pPr>
        <w:pStyle w:val="Default"/>
        <w:numPr>
          <w:ilvl w:val="0"/>
          <w:numId w:val="2"/>
        </w:numPr>
        <w:adjustRightInd/>
        <w:rPr>
          <w:rFonts w:asciiTheme="minorHAnsi" w:hAnsiTheme="minorHAnsi" w:cs="Arial"/>
          <w:iCs/>
          <w:color w:val="000000" w:themeColor="text1"/>
          <w:sz w:val="22"/>
          <w:szCs w:val="20"/>
        </w:rPr>
      </w:pPr>
      <w:r w:rsidRPr="005B291A">
        <w:rPr>
          <w:sz w:val="22"/>
          <w:szCs w:val="22"/>
          <w:u w:val="single"/>
        </w:rPr>
        <w:t>Lost Wages:</w:t>
      </w:r>
      <w:r>
        <w:rPr>
          <w:sz w:val="22"/>
          <w:szCs w:val="22"/>
        </w:rPr>
        <w:t xml:space="preserve"> </w:t>
      </w:r>
      <w:r w:rsidR="002D7494" w:rsidRPr="002D7494">
        <w:rPr>
          <w:sz w:val="22"/>
          <w:szCs w:val="22"/>
        </w:rPr>
        <w:t>According to the U.S. Department of Labor, Bureau of Labor Statistics</w:t>
      </w:r>
      <w:r w:rsidR="000C2612">
        <w:rPr>
          <w:rStyle w:val="EndnoteReference"/>
          <w:sz w:val="22"/>
          <w:szCs w:val="22"/>
        </w:rPr>
        <w:endnoteReference w:id="5"/>
      </w:r>
      <w:r w:rsidR="002D7494" w:rsidRPr="002D7494">
        <w:rPr>
          <w:sz w:val="22"/>
          <w:szCs w:val="22"/>
        </w:rPr>
        <w:t xml:space="preserve"> website (www.bls.gov) the wage rate category for all o</w:t>
      </w:r>
      <w:r w:rsidR="001C3292">
        <w:rPr>
          <w:sz w:val="22"/>
          <w:szCs w:val="22"/>
        </w:rPr>
        <w:t>ccupations is estimated to average $22</w:t>
      </w:r>
      <w:r w:rsidR="002D7494" w:rsidRPr="002D7494">
        <w:rPr>
          <w:sz w:val="22"/>
          <w:szCs w:val="22"/>
        </w:rPr>
        <w:t>.</w:t>
      </w:r>
      <w:r w:rsidR="001C3292">
        <w:rPr>
          <w:sz w:val="22"/>
          <w:szCs w:val="22"/>
        </w:rPr>
        <w:t>33</w:t>
      </w:r>
      <w:r w:rsidR="002D7494" w:rsidRPr="002D7494">
        <w:rPr>
          <w:sz w:val="22"/>
          <w:szCs w:val="22"/>
        </w:rPr>
        <w:t xml:space="preserve"> per hour </w:t>
      </w:r>
      <w:r w:rsidR="001C3292">
        <w:rPr>
          <w:sz w:val="22"/>
          <w:szCs w:val="22"/>
        </w:rPr>
        <w:t xml:space="preserve">and </w:t>
      </w:r>
      <w:r w:rsidR="002D7494" w:rsidRPr="002D7494">
        <w:rPr>
          <w:sz w:val="22"/>
          <w:szCs w:val="22"/>
        </w:rPr>
        <w:t xml:space="preserve">including the </w:t>
      </w:r>
      <w:r w:rsidR="001C3292">
        <w:rPr>
          <w:sz w:val="22"/>
          <w:szCs w:val="22"/>
        </w:rPr>
        <w:t xml:space="preserve">fully loaded </w:t>
      </w:r>
      <w:r w:rsidR="002D7494" w:rsidRPr="002D7494">
        <w:rPr>
          <w:sz w:val="22"/>
          <w:szCs w:val="22"/>
        </w:rPr>
        <w:t xml:space="preserve">wage rate multiplier </w:t>
      </w:r>
      <w:r w:rsidR="001C3292">
        <w:rPr>
          <w:sz w:val="22"/>
          <w:szCs w:val="22"/>
        </w:rPr>
        <w:t>(</w:t>
      </w:r>
      <w:r w:rsidR="00242512">
        <w:rPr>
          <w:sz w:val="22"/>
          <w:szCs w:val="22"/>
        </w:rPr>
        <w:t xml:space="preserve">x1.4) </w:t>
      </w:r>
      <w:r w:rsidR="002D7494" w:rsidRPr="002D7494">
        <w:rPr>
          <w:sz w:val="22"/>
          <w:szCs w:val="22"/>
        </w:rPr>
        <w:t>and factoring in our 75 minute group session</w:t>
      </w:r>
      <w:r w:rsidR="00242512">
        <w:rPr>
          <w:sz w:val="22"/>
          <w:szCs w:val="22"/>
        </w:rPr>
        <w:t xml:space="preserve"> and 10 minute screening call, it is anticipated that respondents may warrant wage compensation of nearly $45</w:t>
      </w:r>
      <w:r w:rsidR="002D7494" w:rsidRPr="002D7494">
        <w:rPr>
          <w:sz w:val="22"/>
          <w:szCs w:val="22"/>
        </w:rPr>
        <w:t>.</w:t>
      </w:r>
      <w:r w:rsidR="002D7494">
        <w:rPr>
          <w:sz w:val="22"/>
          <w:szCs w:val="22"/>
        </w:rPr>
        <w:t xml:space="preserve"> </w:t>
      </w:r>
      <w:r w:rsidR="00354F30">
        <w:rPr>
          <w:sz w:val="22"/>
          <w:szCs w:val="22"/>
        </w:rPr>
        <w:t>This estimate may be low as we</w:t>
      </w:r>
      <w:r w:rsidR="00354F30" w:rsidRPr="00433524">
        <w:rPr>
          <w:sz w:val="22"/>
          <w:szCs w:val="22"/>
        </w:rPr>
        <w:t xml:space="preserve"> frequently seek participation by those in urban areas where the cost of living and cost of transportation is higher than the standard, and </w:t>
      </w:r>
      <w:r w:rsidR="00354F30">
        <w:rPr>
          <w:sz w:val="22"/>
          <w:szCs w:val="22"/>
        </w:rPr>
        <w:t xml:space="preserve">respondents may need to </w:t>
      </w:r>
      <w:r w:rsidR="00C50063">
        <w:rPr>
          <w:sz w:val="22"/>
          <w:szCs w:val="22"/>
        </w:rPr>
        <w:t>commute</w:t>
      </w:r>
      <w:r w:rsidR="00354F30">
        <w:rPr>
          <w:sz w:val="22"/>
          <w:szCs w:val="22"/>
        </w:rPr>
        <w:t xml:space="preserve"> to the facility.</w:t>
      </w:r>
    </w:p>
    <w:p w:rsidR="002D7494" w:rsidRDefault="002D7494" w:rsidP="00354F30">
      <w:pPr>
        <w:pStyle w:val="Default"/>
        <w:ind w:left="765"/>
        <w:rPr>
          <w:sz w:val="22"/>
          <w:szCs w:val="22"/>
        </w:rPr>
      </w:pPr>
    </w:p>
    <w:p w:rsidR="005B291A" w:rsidRDefault="005B291A" w:rsidP="005B291A">
      <w:pPr>
        <w:pStyle w:val="Default"/>
        <w:numPr>
          <w:ilvl w:val="0"/>
          <w:numId w:val="2"/>
        </w:numPr>
        <w:adjustRightInd/>
        <w:rPr>
          <w:rFonts w:asciiTheme="minorHAnsi" w:hAnsiTheme="minorHAnsi" w:cs="Arial"/>
          <w:iCs/>
          <w:color w:val="000000" w:themeColor="text1"/>
          <w:sz w:val="22"/>
          <w:szCs w:val="20"/>
        </w:rPr>
      </w:pPr>
      <w:r w:rsidRPr="00245091">
        <w:rPr>
          <w:rFonts w:asciiTheme="minorHAnsi" w:hAnsiTheme="minorHAnsi" w:cs="Arial"/>
          <w:iCs/>
          <w:color w:val="000000" w:themeColor="text1"/>
          <w:sz w:val="22"/>
          <w:szCs w:val="20"/>
          <w:u w:val="single"/>
        </w:rPr>
        <w:t>Child Care:</w:t>
      </w:r>
      <w:r w:rsidRPr="00245091">
        <w:rPr>
          <w:rFonts w:asciiTheme="minorHAnsi" w:hAnsiTheme="minorHAnsi" w:cs="Arial"/>
          <w:iCs/>
          <w:color w:val="000000" w:themeColor="text1"/>
          <w:sz w:val="22"/>
          <w:szCs w:val="20"/>
        </w:rPr>
        <w:t xml:space="preserve"> Child care will likely need to be arranged in order for members of our demographic target to participate.</w:t>
      </w:r>
      <w:r w:rsidRPr="00245091">
        <w:rPr>
          <w:rStyle w:val="EndnoteReference"/>
          <w:rFonts w:asciiTheme="minorHAnsi" w:hAnsiTheme="minorHAnsi" w:cs="Arial"/>
          <w:iCs/>
          <w:color w:val="000000" w:themeColor="text1"/>
          <w:sz w:val="22"/>
          <w:szCs w:val="20"/>
        </w:rPr>
        <w:endnoteReference w:id="6"/>
      </w:r>
      <w:r w:rsidRPr="00245091">
        <w:rPr>
          <w:rFonts w:asciiTheme="minorHAnsi" w:hAnsiTheme="minorHAnsi" w:cs="Arial"/>
          <w:iCs/>
          <w:color w:val="000000" w:themeColor="text1"/>
          <w:sz w:val="22"/>
          <w:szCs w:val="20"/>
        </w:rPr>
        <w:t xml:space="preserve">  </w:t>
      </w:r>
      <w:r w:rsidR="00213654">
        <w:rPr>
          <w:rFonts w:asciiTheme="minorHAnsi" w:hAnsiTheme="minorHAnsi" w:cs="Arial"/>
          <w:iCs/>
          <w:color w:val="000000" w:themeColor="text1"/>
          <w:sz w:val="22"/>
          <w:szCs w:val="20"/>
        </w:rPr>
        <w:t>We</w:t>
      </w:r>
      <w:r w:rsidRPr="005B291A">
        <w:rPr>
          <w:rFonts w:asciiTheme="minorHAnsi" w:hAnsiTheme="minorHAnsi" w:cs="Arial"/>
          <w:iCs/>
          <w:color w:val="000000" w:themeColor="text1"/>
          <w:sz w:val="22"/>
          <w:szCs w:val="20"/>
        </w:rPr>
        <w:t xml:space="preserve"> are seeking specialized participants who are parents of children </w:t>
      </w:r>
      <w:r w:rsidR="00CC7625">
        <w:rPr>
          <w:rFonts w:asciiTheme="minorHAnsi" w:hAnsiTheme="minorHAnsi" w:cs="Arial"/>
          <w:iCs/>
          <w:color w:val="000000" w:themeColor="text1"/>
          <w:sz w:val="22"/>
          <w:szCs w:val="20"/>
        </w:rPr>
        <w:t>age 6-17</w:t>
      </w:r>
      <w:r w:rsidRPr="005B291A">
        <w:rPr>
          <w:rFonts w:asciiTheme="minorHAnsi" w:hAnsiTheme="minorHAnsi" w:cs="Arial"/>
          <w:iCs/>
          <w:color w:val="000000" w:themeColor="text1"/>
          <w:sz w:val="22"/>
          <w:szCs w:val="20"/>
        </w:rPr>
        <w:t xml:space="preserve"> and/or caregivers who will </w:t>
      </w:r>
      <w:r w:rsidR="00B5393A">
        <w:rPr>
          <w:rFonts w:asciiTheme="minorHAnsi" w:hAnsiTheme="minorHAnsi" w:cs="Arial"/>
          <w:iCs/>
          <w:color w:val="000000" w:themeColor="text1"/>
          <w:sz w:val="22"/>
          <w:szCs w:val="20"/>
        </w:rPr>
        <w:t>need to take time on a week</w:t>
      </w:r>
      <w:r w:rsidRPr="005B291A">
        <w:rPr>
          <w:rFonts w:asciiTheme="minorHAnsi" w:hAnsiTheme="minorHAnsi" w:cs="Arial"/>
          <w:iCs/>
          <w:color w:val="000000" w:themeColor="text1"/>
          <w:sz w:val="22"/>
          <w:szCs w:val="20"/>
        </w:rPr>
        <w:t xml:space="preserve"> night, so their cost of participation is different and may, for example, involve hiring of baby sitters, rather than singles who typically volunteer for focus groups and do not incur those additional expenses/financial burdens.  So, this incentive serves as a reimbursement for their time and their overhead costs, as well. </w:t>
      </w:r>
      <w:r w:rsidRPr="00245091">
        <w:rPr>
          <w:rFonts w:asciiTheme="minorHAnsi" w:hAnsiTheme="minorHAnsi" w:cs="Arial"/>
          <w:iCs/>
          <w:color w:val="000000" w:themeColor="text1"/>
          <w:sz w:val="22"/>
          <w:szCs w:val="20"/>
        </w:rPr>
        <w:t xml:space="preserve">Assuming that childcare can be acquired at a rate equal to that of </w:t>
      </w:r>
      <w:r w:rsidR="00CC7625">
        <w:rPr>
          <w:rFonts w:asciiTheme="minorHAnsi" w:hAnsiTheme="minorHAnsi" w:cs="Arial"/>
          <w:iCs/>
          <w:color w:val="000000" w:themeColor="text1"/>
          <w:sz w:val="22"/>
          <w:szCs w:val="20"/>
        </w:rPr>
        <w:t>minimum wage (~$7.</w:t>
      </w:r>
      <w:r w:rsidR="00C50063">
        <w:rPr>
          <w:rFonts w:asciiTheme="minorHAnsi" w:hAnsiTheme="minorHAnsi" w:cs="Arial"/>
          <w:iCs/>
          <w:color w:val="000000" w:themeColor="text1"/>
          <w:sz w:val="22"/>
          <w:szCs w:val="20"/>
        </w:rPr>
        <w:t>25</w:t>
      </w:r>
      <w:r w:rsidRPr="00245091">
        <w:rPr>
          <w:rStyle w:val="EndnoteReference"/>
          <w:rFonts w:asciiTheme="minorHAnsi" w:hAnsiTheme="minorHAnsi" w:cs="Arial"/>
          <w:iCs/>
          <w:color w:val="000000" w:themeColor="text1"/>
          <w:sz w:val="22"/>
          <w:szCs w:val="20"/>
        </w:rPr>
        <w:endnoteReference w:id="7"/>
      </w:r>
      <w:r w:rsidRPr="00245091">
        <w:rPr>
          <w:rFonts w:asciiTheme="minorHAnsi" w:hAnsiTheme="minorHAnsi" w:cs="Arial"/>
          <w:iCs/>
          <w:color w:val="000000" w:themeColor="text1"/>
          <w:sz w:val="22"/>
          <w:szCs w:val="20"/>
        </w:rPr>
        <w:t>), it is expected that members of our target may</w:t>
      </w:r>
      <w:r w:rsidR="00806C38">
        <w:rPr>
          <w:rFonts w:asciiTheme="minorHAnsi" w:hAnsiTheme="minorHAnsi" w:cs="Arial"/>
          <w:iCs/>
          <w:color w:val="000000" w:themeColor="text1"/>
          <w:sz w:val="22"/>
          <w:szCs w:val="20"/>
        </w:rPr>
        <w:t xml:space="preserve"> require </w:t>
      </w:r>
      <w:r w:rsidR="00581842">
        <w:rPr>
          <w:rFonts w:asciiTheme="minorHAnsi" w:hAnsiTheme="minorHAnsi" w:cs="Arial"/>
          <w:iCs/>
          <w:color w:val="000000" w:themeColor="text1"/>
          <w:sz w:val="22"/>
          <w:szCs w:val="20"/>
        </w:rPr>
        <w:t>a</w:t>
      </w:r>
      <w:r w:rsidRPr="00245091">
        <w:rPr>
          <w:rFonts w:asciiTheme="minorHAnsi" w:hAnsiTheme="minorHAnsi" w:cs="Arial"/>
          <w:iCs/>
          <w:color w:val="000000" w:themeColor="text1"/>
          <w:sz w:val="22"/>
          <w:szCs w:val="20"/>
        </w:rPr>
        <w:t>dditional $</w:t>
      </w:r>
      <w:r w:rsidR="000B6D76">
        <w:rPr>
          <w:rFonts w:asciiTheme="minorHAnsi" w:hAnsiTheme="minorHAnsi" w:cs="Arial"/>
          <w:iCs/>
          <w:color w:val="000000" w:themeColor="text1"/>
          <w:sz w:val="22"/>
          <w:szCs w:val="20"/>
        </w:rPr>
        <w:t>9.06</w:t>
      </w:r>
      <w:r w:rsidR="004516C4">
        <w:rPr>
          <w:rFonts w:asciiTheme="minorHAnsi" w:hAnsiTheme="minorHAnsi" w:cs="Arial"/>
          <w:iCs/>
          <w:color w:val="000000" w:themeColor="text1"/>
          <w:sz w:val="22"/>
          <w:szCs w:val="20"/>
        </w:rPr>
        <w:t xml:space="preserve"> compensation</w:t>
      </w:r>
      <w:r w:rsidR="002B0EBE">
        <w:rPr>
          <w:rFonts w:asciiTheme="minorHAnsi" w:hAnsiTheme="minorHAnsi" w:cs="Arial"/>
          <w:iCs/>
          <w:color w:val="000000" w:themeColor="text1"/>
          <w:sz w:val="22"/>
          <w:szCs w:val="20"/>
        </w:rPr>
        <w:t>, at a minimum</w:t>
      </w:r>
      <w:r w:rsidR="004516C4">
        <w:rPr>
          <w:rFonts w:asciiTheme="minorHAnsi" w:hAnsiTheme="minorHAnsi" w:cs="Arial"/>
          <w:iCs/>
          <w:color w:val="000000" w:themeColor="text1"/>
          <w:sz w:val="22"/>
          <w:szCs w:val="20"/>
        </w:rPr>
        <w:t xml:space="preserve">.  </w:t>
      </w:r>
      <w:r w:rsidR="00C913A9">
        <w:rPr>
          <w:rFonts w:asciiTheme="minorHAnsi" w:hAnsiTheme="minorHAnsi" w:cs="Arial"/>
          <w:iCs/>
          <w:color w:val="000000" w:themeColor="text1"/>
          <w:sz w:val="22"/>
          <w:szCs w:val="20"/>
        </w:rPr>
        <w:t>Twenty-nine</w:t>
      </w:r>
      <w:r w:rsidR="001E5663">
        <w:rPr>
          <w:rFonts w:asciiTheme="minorHAnsi" w:hAnsiTheme="minorHAnsi" w:cs="Arial"/>
          <w:iCs/>
          <w:color w:val="000000" w:themeColor="text1"/>
          <w:sz w:val="22"/>
          <w:szCs w:val="20"/>
        </w:rPr>
        <w:t xml:space="preserve"> states and DC</w:t>
      </w:r>
      <w:r w:rsidR="00C50063">
        <w:rPr>
          <w:rFonts w:asciiTheme="minorHAnsi" w:hAnsiTheme="minorHAnsi" w:cs="Arial"/>
          <w:iCs/>
          <w:color w:val="000000" w:themeColor="text1"/>
          <w:sz w:val="22"/>
          <w:szCs w:val="20"/>
        </w:rPr>
        <w:t xml:space="preserve"> have minimum wages above the federal rate.  </w:t>
      </w:r>
    </w:p>
    <w:p w:rsidR="002D7494" w:rsidRDefault="002D7494" w:rsidP="002D7494">
      <w:pPr>
        <w:pStyle w:val="Default"/>
        <w:rPr>
          <w:sz w:val="22"/>
          <w:szCs w:val="22"/>
        </w:rPr>
      </w:pPr>
    </w:p>
    <w:p w:rsidR="002D7494" w:rsidRDefault="002D7494" w:rsidP="002D7494">
      <w:pPr>
        <w:pStyle w:val="Default"/>
        <w:rPr>
          <w:sz w:val="22"/>
          <w:szCs w:val="22"/>
        </w:rPr>
      </w:pPr>
      <w:r>
        <w:rPr>
          <w:sz w:val="22"/>
          <w:szCs w:val="22"/>
        </w:rPr>
        <w:t xml:space="preserve">In addition to simply covering reasonable costs of participation, focus group incentives must encourage potential participants to agree to allocate their time to the qualitative research session and maintain that commitment on the day of the research.  Because the Ready campaign seeks to motivate behavior change among those who are not currently performing recommended behaviors – and thus not already committed to the campaign issue -- adequate investment must be made to ensure active participation among individuals who may not already </w:t>
      </w:r>
      <w:r w:rsidR="00242512">
        <w:rPr>
          <w:sz w:val="22"/>
          <w:szCs w:val="22"/>
        </w:rPr>
        <w:t>be attuned to emergency preparedness topics</w:t>
      </w:r>
      <w:r w:rsidR="000C2612">
        <w:rPr>
          <w:rStyle w:val="EndnoteReference"/>
          <w:sz w:val="22"/>
          <w:szCs w:val="22"/>
        </w:rPr>
        <w:endnoteReference w:id="8"/>
      </w:r>
      <w:r>
        <w:rPr>
          <w:sz w:val="22"/>
          <w:szCs w:val="22"/>
        </w:rPr>
        <w:t>. Furthermore, t</w:t>
      </w:r>
      <w:r w:rsidR="00242512">
        <w:rPr>
          <w:sz w:val="22"/>
          <w:szCs w:val="22"/>
        </w:rPr>
        <w:t>h</w:t>
      </w:r>
      <w:r w:rsidR="003F5D73">
        <w:rPr>
          <w:sz w:val="22"/>
          <w:szCs w:val="22"/>
        </w:rPr>
        <w:t xml:space="preserve">e higher </w:t>
      </w:r>
      <w:proofErr w:type="spellStart"/>
      <w:r w:rsidR="003F5D73">
        <w:rPr>
          <w:sz w:val="22"/>
          <w:szCs w:val="22"/>
        </w:rPr>
        <w:t>incentivization</w:t>
      </w:r>
      <w:proofErr w:type="spellEnd"/>
      <w:r w:rsidR="003F5D73">
        <w:rPr>
          <w:sz w:val="22"/>
          <w:szCs w:val="22"/>
        </w:rPr>
        <w:t xml:space="preserve"> of $</w:t>
      </w:r>
      <w:r w:rsidR="005B291A">
        <w:rPr>
          <w:sz w:val="22"/>
          <w:szCs w:val="22"/>
        </w:rPr>
        <w:t>75</w:t>
      </w:r>
      <w:r>
        <w:rPr>
          <w:sz w:val="22"/>
          <w:szCs w:val="22"/>
        </w:rPr>
        <w:t xml:space="preserve"> </w:t>
      </w:r>
      <w:r w:rsidR="009F5CEC" w:rsidRPr="009F5CEC">
        <w:rPr>
          <w:sz w:val="22"/>
          <w:szCs w:val="22"/>
        </w:rPr>
        <w:t>will help to ensure recruitment of a diverse sample and that our communication materials resonate with a variety of socio-economic and ethnic backgrounds.</w:t>
      </w:r>
    </w:p>
    <w:p w:rsidR="003A1BAD" w:rsidRDefault="003A1BAD" w:rsidP="002D7494">
      <w:pPr>
        <w:pStyle w:val="Default"/>
        <w:rPr>
          <w:sz w:val="22"/>
          <w:szCs w:val="22"/>
        </w:rPr>
      </w:pPr>
      <w:bookmarkStart w:id="0" w:name="_GoBack"/>
      <w:bookmarkEnd w:id="0"/>
    </w:p>
    <w:p w:rsidR="002D7494" w:rsidRDefault="002D7494" w:rsidP="002D7494">
      <w:pPr>
        <w:pStyle w:val="Default"/>
        <w:rPr>
          <w:sz w:val="22"/>
          <w:szCs w:val="22"/>
        </w:rPr>
      </w:pPr>
      <w:r>
        <w:rPr>
          <w:sz w:val="22"/>
          <w:szCs w:val="22"/>
        </w:rPr>
        <w:t>With the above considerations in mind, our incentives must surpass the minimum costs our respondents may incur as a result of their participation and provide some motivation to participate. Should our study fail to offer appropriate compensation to participants,</w:t>
      </w:r>
      <w:r w:rsidR="00242512">
        <w:rPr>
          <w:sz w:val="22"/>
          <w:szCs w:val="22"/>
        </w:rPr>
        <w:t xml:space="preserve"> </w:t>
      </w:r>
      <w:r>
        <w:rPr>
          <w:sz w:val="22"/>
          <w:szCs w:val="22"/>
        </w:rPr>
        <w:t xml:space="preserve">participants </w:t>
      </w:r>
      <w:r w:rsidR="00242512">
        <w:rPr>
          <w:sz w:val="22"/>
          <w:szCs w:val="22"/>
        </w:rPr>
        <w:t xml:space="preserve">may </w:t>
      </w:r>
      <w:r>
        <w:rPr>
          <w:sz w:val="22"/>
          <w:szCs w:val="22"/>
        </w:rPr>
        <w:t>not be motivated to</w:t>
      </w:r>
      <w:r w:rsidR="00242512">
        <w:rPr>
          <w:sz w:val="22"/>
          <w:szCs w:val="22"/>
        </w:rPr>
        <w:t xml:space="preserve"> keep their committed timeslot; thus, </w:t>
      </w:r>
      <w:r>
        <w:rPr>
          <w:sz w:val="22"/>
          <w:szCs w:val="22"/>
        </w:rPr>
        <w:t xml:space="preserve">focus groups may </w:t>
      </w:r>
      <w:r w:rsidR="00242512">
        <w:rPr>
          <w:sz w:val="22"/>
          <w:szCs w:val="22"/>
        </w:rPr>
        <w:t xml:space="preserve">need </w:t>
      </w:r>
      <w:r>
        <w:rPr>
          <w:sz w:val="22"/>
          <w:szCs w:val="22"/>
        </w:rPr>
        <w:t xml:space="preserve">to be re-scheduled, further burdening those participants who have agreed to take part. </w:t>
      </w:r>
    </w:p>
    <w:p w:rsidR="00242512" w:rsidRDefault="00242512" w:rsidP="002D7494">
      <w:pPr>
        <w:pStyle w:val="Default"/>
        <w:rPr>
          <w:sz w:val="22"/>
          <w:szCs w:val="22"/>
        </w:rPr>
      </w:pPr>
    </w:p>
    <w:p w:rsidR="002D7494" w:rsidRDefault="002D7494" w:rsidP="002D7494">
      <w:pPr>
        <w:pStyle w:val="Default"/>
        <w:rPr>
          <w:sz w:val="22"/>
          <w:szCs w:val="22"/>
        </w:rPr>
      </w:pPr>
      <w:r>
        <w:rPr>
          <w:sz w:val="22"/>
          <w:szCs w:val="22"/>
        </w:rPr>
        <w:t>Because focus groups are unique from other data collection methods, in terms of the time investments made by participants, as well as the barriers to participation (e.g. loss of wages</w:t>
      </w:r>
      <w:r w:rsidR="00354F30">
        <w:rPr>
          <w:sz w:val="22"/>
          <w:szCs w:val="22"/>
        </w:rPr>
        <w:t>, childcare, etc.</w:t>
      </w:r>
      <w:r w:rsidR="000C2612">
        <w:rPr>
          <w:sz w:val="22"/>
          <w:szCs w:val="22"/>
        </w:rPr>
        <w:t>),</w:t>
      </w:r>
      <w:r>
        <w:rPr>
          <w:sz w:val="22"/>
          <w:szCs w:val="22"/>
        </w:rPr>
        <w:t xml:space="preserve"> the industry-</w:t>
      </w:r>
      <w:r w:rsidR="00751757">
        <w:rPr>
          <w:sz w:val="22"/>
          <w:szCs w:val="22"/>
        </w:rPr>
        <w:t>s</w:t>
      </w:r>
      <w:r w:rsidR="005B291A">
        <w:rPr>
          <w:sz w:val="22"/>
          <w:szCs w:val="22"/>
        </w:rPr>
        <w:t xml:space="preserve">upported </w:t>
      </w:r>
      <w:proofErr w:type="spellStart"/>
      <w:r w:rsidR="005B291A">
        <w:rPr>
          <w:sz w:val="22"/>
          <w:szCs w:val="22"/>
        </w:rPr>
        <w:t>incentivization</w:t>
      </w:r>
      <w:proofErr w:type="spellEnd"/>
      <w:r w:rsidR="005B291A">
        <w:rPr>
          <w:sz w:val="22"/>
          <w:szCs w:val="22"/>
        </w:rPr>
        <w:t xml:space="preserve"> of $75</w:t>
      </w:r>
      <w:r w:rsidR="001C73A6">
        <w:rPr>
          <w:sz w:val="22"/>
          <w:szCs w:val="22"/>
        </w:rPr>
        <w:t xml:space="preserve"> </w:t>
      </w:r>
      <w:r>
        <w:rPr>
          <w:sz w:val="22"/>
          <w:szCs w:val="22"/>
        </w:rPr>
        <w:t xml:space="preserve">is warranted by the </w:t>
      </w:r>
      <w:r w:rsidR="00751757">
        <w:rPr>
          <w:sz w:val="22"/>
          <w:szCs w:val="22"/>
        </w:rPr>
        <w:t xml:space="preserve">Ready PSA Campaign Creative Testing Research. </w:t>
      </w:r>
    </w:p>
    <w:sectPr w:rsidR="002D74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57" w:rsidRDefault="00751757" w:rsidP="00751757">
      <w:pPr>
        <w:spacing w:after="0" w:line="240" w:lineRule="auto"/>
      </w:pPr>
      <w:r>
        <w:separator/>
      </w:r>
    </w:p>
  </w:endnote>
  <w:endnote w:type="continuationSeparator" w:id="0">
    <w:p w:rsidR="00751757" w:rsidRDefault="00751757" w:rsidP="00751757">
      <w:pPr>
        <w:spacing w:after="0" w:line="240" w:lineRule="auto"/>
      </w:pPr>
      <w:r>
        <w:continuationSeparator/>
      </w:r>
    </w:p>
  </w:endnote>
  <w:endnote w:id="1">
    <w:p w:rsidR="00751757" w:rsidRPr="00A5490D" w:rsidRDefault="00751757">
      <w:pPr>
        <w:pStyle w:val="EndnoteText"/>
        <w:rPr>
          <w:sz w:val="16"/>
          <w:szCs w:val="16"/>
        </w:rPr>
      </w:pPr>
      <w:r>
        <w:rPr>
          <w:rStyle w:val="EndnoteReference"/>
        </w:rPr>
        <w:endnoteRef/>
      </w:r>
      <w:r>
        <w:t xml:space="preserve"> </w:t>
      </w:r>
      <w:r w:rsidRPr="00A5490D">
        <w:rPr>
          <w:sz w:val="16"/>
          <w:szCs w:val="16"/>
        </w:rPr>
        <w:t xml:space="preserve">Kelley, S. 2014. How much is enough: Understanding participant incentives. </w:t>
      </w:r>
      <w:proofErr w:type="spellStart"/>
      <w:r w:rsidRPr="00A5490D">
        <w:rPr>
          <w:sz w:val="16"/>
          <w:szCs w:val="16"/>
        </w:rPr>
        <w:t>Mediabarn</w:t>
      </w:r>
      <w:proofErr w:type="spellEnd"/>
      <w:r w:rsidRPr="00A5490D">
        <w:rPr>
          <w:sz w:val="16"/>
          <w:szCs w:val="16"/>
        </w:rPr>
        <w:t>, Inc. http://www.mediabarninc.com/blog/2014/participantincentives/</w:t>
      </w:r>
    </w:p>
  </w:endnote>
  <w:endnote w:id="2">
    <w:p w:rsidR="00751757" w:rsidRPr="000B6D76" w:rsidRDefault="00751757" w:rsidP="000C2612">
      <w:pPr>
        <w:pStyle w:val="Default"/>
        <w:rPr>
          <w:sz w:val="16"/>
          <w:szCs w:val="16"/>
        </w:rPr>
      </w:pPr>
      <w:r w:rsidRPr="00A5490D">
        <w:rPr>
          <w:rStyle w:val="EndnoteReference"/>
          <w:sz w:val="16"/>
          <w:szCs w:val="16"/>
        </w:rPr>
        <w:endnoteRef/>
      </w:r>
      <w:r w:rsidRPr="00A5490D">
        <w:rPr>
          <w:sz w:val="16"/>
          <w:szCs w:val="16"/>
        </w:rPr>
        <w:t xml:space="preserve"> Jeff Anderson Consulting. 2014. What you can expect from your focus group investment. AH! Advertising. http</w:t>
      </w:r>
      <w:r w:rsidRPr="000B6D76">
        <w:rPr>
          <w:sz w:val="16"/>
          <w:szCs w:val="16"/>
        </w:rPr>
        <w:t>://www.jeffandersonconsulting.com/marketing-research.php</w:t>
      </w:r>
      <w:r w:rsidR="000C2612" w:rsidRPr="000B6D76">
        <w:rPr>
          <w:sz w:val="16"/>
          <w:szCs w:val="16"/>
        </w:rPr>
        <w:t xml:space="preserve">/focus-group/focus-group-costs </w:t>
      </w:r>
    </w:p>
  </w:endnote>
  <w:endnote w:id="3">
    <w:p w:rsidR="000C2612" w:rsidRPr="000B6D76" w:rsidRDefault="000C2612">
      <w:pPr>
        <w:pStyle w:val="EndnoteText"/>
        <w:rPr>
          <w:sz w:val="16"/>
          <w:szCs w:val="16"/>
        </w:rPr>
      </w:pPr>
      <w:r w:rsidRPr="000B6D76">
        <w:rPr>
          <w:rStyle w:val="EndnoteReference"/>
          <w:sz w:val="16"/>
          <w:szCs w:val="16"/>
        </w:rPr>
        <w:endnoteRef/>
      </w:r>
      <w:r w:rsidRPr="000B6D76">
        <w:rPr>
          <w:sz w:val="16"/>
          <w:szCs w:val="16"/>
        </w:rPr>
        <w:t xml:space="preserve"> Wagner, M. 2009. Planning successful focus groups. Promotions West, Inc. http://promotionswest.com/Welcome_files/Planning_Successful_Focus_Groups.pdf</w:t>
      </w:r>
    </w:p>
  </w:endnote>
  <w:endnote w:id="4">
    <w:p w:rsidR="000C2612" w:rsidRPr="000B6D76" w:rsidRDefault="000C2612">
      <w:pPr>
        <w:pStyle w:val="EndnoteText"/>
        <w:rPr>
          <w:sz w:val="16"/>
          <w:szCs w:val="16"/>
        </w:rPr>
      </w:pPr>
      <w:r w:rsidRPr="000B6D76">
        <w:rPr>
          <w:rStyle w:val="EndnoteReference"/>
          <w:sz w:val="16"/>
          <w:szCs w:val="16"/>
        </w:rPr>
        <w:endnoteRef/>
      </w:r>
      <w:r w:rsidRPr="000B6D76">
        <w:rPr>
          <w:sz w:val="16"/>
          <w:szCs w:val="16"/>
        </w:rPr>
        <w:t xml:space="preserve"> Krueger, RA and Casey, MA. (2009). Focus Groups: A practical guide for applied research. Fourth Ed.</w:t>
      </w:r>
    </w:p>
  </w:endnote>
  <w:endnote w:id="5">
    <w:p w:rsidR="000C2612" w:rsidRPr="000B6D76" w:rsidRDefault="000C2612" w:rsidP="000C2612">
      <w:pPr>
        <w:pStyle w:val="Default"/>
        <w:rPr>
          <w:sz w:val="16"/>
          <w:szCs w:val="16"/>
        </w:rPr>
      </w:pPr>
      <w:r w:rsidRPr="000B6D76">
        <w:rPr>
          <w:rStyle w:val="EndnoteReference"/>
          <w:sz w:val="16"/>
          <w:szCs w:val="16"/>
        </w:rPr>
        <w:endnoteRef/>
      </w:r>
      <w:r w:rsidRPr="000B6D76">
        <w:rPr>
          <w:sz w:val="16"/>
          <w:szCs w:val="16"/>
        </w:rPr>
        <w:t xml:space="preserve"> Bureau of Labor Statistics. 2014. May 2013 National Occupational Employment and Wage Estimates </w:t>
      </w:r>
    </w:p>
    <w:p w:rsidR="000C2612" w:rsidRPr="000B6D76" w:rsidRDefault="000C2612" w:rsidP="000C2612">
      <w:pPr>
        <w:pStyle w:val="EndnoteText"/>
        <w:rPr>
          <w:sz w:val="16"/>
          <w:szCs w:val="16"/>
        </w:rPr>
      </w:pPr>
      <w:r w:rsidRPr="000B6D76">
        <w:rPr>
          <w:sz w:val="16"/>
          <w:szCs w:val="16"/>
        </w:rPr>
        <w:t>United States. United States Department of Labor. http://www.bls.gov/OES/current/oes_nat.htm#00-0000</w:t>
      </w:r>
    </w:p>
  </w:endnote>
  <w:endnote w:id="6">
    <w:p w:rsidR="005B291A" w:rsidRPr="000B6D76" w:rsidRDefault="005B291A" w:rsidP="005B291A">
      <w:pPr>
        <w:pStyle w:val="EndnoteText"/>
        <w:rPr>
          <w:rFonts w:cs="Arial"/>
          <w:sz w:val="16"/>
          <w:szCs w:val="16"/>
        </w:rPr>
      </w:pPr>
      <w:r w:rsidRPr="000B6D76">
        <w:rPr>
          <w:rStyle w:val="EndnoteReference"/>
          <w:rFonts w:cs="Arial"/>
          <w:sz w:val="16"/>
          <w:szCs w:val="16"/>
        </w:rPr>
        <w:endnoteRef/>
      </w:r>
      <w:r w:rsidRPr="000B6D76">
        <w:rPr>
          <w:rFonts w:cs="Arial"/>
          <w:sz w:val="16"/>
          <w:szCs w:val="16"/>
        </w:rPr>
        <w:t xml:space="preserve"> Laughlin, L. 2013. Who’s minding the kids? Child care arrangements. United States Census Bureau. </w:t>
      </w:r>
      <w:hyperlink r:id="rId1" w:history="1">
        <w:r w:rsidRPr="000B6D76">
          <w:rPr>
            <w:rStyle w:val="Hyperlink"/>
            <w:rFonts w:cs="Arial"/>
            <w:sz w:val="16"/>
            <w:szCs w:val="16"/>
          </w:rPr>
          <w:t>http://www.census.gov/prod/2013pubs/p70-135.pdf</w:t>
        </w:r>
      </w:hyperlink>
      <w:r w:rsidRPr="000B6D76">
        <w:rPr>
          <w:rFonts w:cs="Arial"/>
          <w:sz w:val="16"/>
          <w:szCs w:val="16"/>
        </w:rPr>
        <w:t xml:space="preserve"> </w:t>
      </w:r>
    </w:p>
  </w:endnote>
  <w:endnote w:id="7">
    <w:p w:rsidR="000B6D76" w:rsidRPr="000B6D76" w:rsidRDefault="005B291A" w:rsidP="005B291A">
      <w:pPr>
        <w:pStyle w:val="EndnoteText"/>
        <w:rPr>
          <w:rFonts w:cs="Arial"/>
          <w:sz w:val="16"/>
          <w:szCs w:val="16"/>
        </w:rPr>
      </w:pPr>
      <w:r w:rsidRPr="000B6D76">
        <w:rPr>
          <w:rStyle w:val="EndnoteReference"/>
          <w:rFonts w:cs="Arial"/>
          <w:sz w:val="16"/>
          <w:szCs w:val="16"/>
        </w:rPr>
        <w:endnoteRef/>
      </w:r>
      <w:r w:rsidR="000B6D76">
        <w:rPr>
          <w:rFonts w:cs="Arial"/>
          <w:sz w:val="16"/>
          <w:szCs w:val="16"/>
        </w:rPr>
        <w:t xml:space="preserve"> State minimum wages. 2015</w:t>
      </w:r>
      <w:r w:rsidRPr="000B6D76">
        <w:rPr>
          <w:rFonts w:cs="Arial"/>
          <w:sz w:val="16"/>
          <w:szCs w:val="16"/>
        </w:rPr>
        <w:t xml:space="preserve">. National Conference of State Legislatures. </w:t>
      </w:r>
      <w:hyperlink r:id="rId2" w:history="1">
        <w:r w:rsidR="000A52CD" w:rsidRPr="00B018E1">
          <w:rPr>
            <w:rStyle w:val="Hyperlink"/>
            <w:rFonts w:cs="Arial"/>
            <w:sz w:val="16"/>
            <w:szCs w:val="16"/>
          </w:rPr>
          <w:t>http://www.ncsl.org/research/labor-and-employment/state-minimum-wage-chart.aspx#1</w:t>
        </w:r>
      </w:hyperlink>
      <w:r w:rsidR="000A52CD">
        <w:rPr>
          <w:rFonts w:cs="Arial"/>
          <w:sz w:val="16"/>
          <w:szCs w:val="16"/>
        </w:rPr>
        <w:t>. Accessed August 6, 2015.</w:t>
      </w:r>
    </w:p>
  </w:endnote>
  <w:endnote w:id="8">
    <w:p w:rsidR="000C2612" w:rsidRPr="000B6D76" w:rsidRDefault="000C2612" w:rsidP="000C2612">
      <w:pPr>
        <w:pStyle w:val="Default"/>
        <w:rPr>
          <w:sz w:val="16"/>
          <w:szCs w:val="16"/>
        </w:rPr>
      </w:pPr>
      <w:r w:rsidRPr="000B6D76">
        <w:rPr>
          <w:rStyle w:val="EndnoteReference"/>
          <w:sz w:val="16"/>
          <w:szCs w:val="16"/>
        </w:rPr>
        <w:endnoteRef/>
      </w:r>
      <w:r w:rsidRPr="000B6D76">
        <w:rPr>
          <w:sz w:val="16"/>
          <w:szCs w:val="16"/>
        </w:rPr>
        <w:t xml:space="preserve"> Krueger, RA and Casey, MA. (2009). Focus Groups: A practical guide for applied research. Fourth Ed. Sage Publications. </w:t>
      </w:r>
    </w:p>
    <w:p w:rsidR="000C2612" w:rsidRPr="000B6D76" w:rsidRDefault="000C2612">
      <w:pPr>
        <w:pStyle w:val="EndnoteText"/>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57" w:rsidRDefault="00751757" w:rsidP="00751757">
      <w:pPr>
        <w:spacing w:after="0" w:line="240" w:lineRule="auto"/>
      </w:pPr>
      <w:r>
        <w:separator/>
      </w:r>
    </w:p>
  </w:footnote>
  <w:footnote w:type="continuationSeparator" w:id="0">
    <w:p w:rsidR="00751757" w:rsidRDefault="00751757" w:rsidP="00751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59B2"/>
    <w:multiLevelType w:val="hybridMultilevel"/>
    <w:tmpl w:val="EFDC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505385"/>
    <w:multiLevelType w:val="hybridMultilevel"/>
    <w:tmpl w:val="BB9E23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63933F4A"/>
    <w:multiLevelType w:val="hybridMultilevel"/>
    <w:tmpl w:val="66CE4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94"/>
    <w:rsid w:val="000A4885"/>
    <w:rsid w:val="000A52CD"/>
    <w:rsid w:val="000B6D76"/>
    <w:rsid w:val="000C2612"/>
    <w:rsid w:val="00124598"/>
    <w:rsid w:val="00144875"/>
    <w:rsid w:val="001751B5"/>
    <w:rsid w:val="001C3292"/>
    <w:rsid w:val="001C73A6"/>
    <w:rsid w:val="001E5663"/>
    <w:rsid w:val="001F2F67"/>
    <w:rsid w:val="00213654"/>
    <w:rsid w:val="00242512"/>
    <w:rsid w:val="002B0EBE"/>
    <w:rsid w:val="002D7494"/>
    <w:rsid w:val="00354F30"/>
    <w:rsid w:val="003A1BAD"/>
    <w:rsid w:val="003F401E"/>
    <w:rsid w:val="003F5D73"/>
    <w:rsid w:val="00433524"/>
    <w:rsid w:val="004516C4"/>
    <w:rsid w:val="00581842"/>
    <w:rsid w:val="005B291A"/>
    <w:rsid w:val="00603B87"/>
    <w:rsid w:val="00751757"/>
    <w:rsid w:val="00753B39"/>
    <w:rsid w:val="00806C38"/>
    <w:rsid w:val="008232A7"/>
    <w:rsid w:val="00870FCC"/>
    <w:rsid w:val="008F1FA1"/>
    <w:rsid w:val="009F5CEC"/>
    <w:rsid w:val="00A5490D"/>
    <w:rsid w:val="00B5393A"/>
    <w:rsid w:val="00C50063"/>
    <w:rsid w:val="00C913A9"/>
    <w:rsid w:val="00CC7625"/>
    <w:rsid w:val="00CF3ACD"/>
    <w:rsid w:val="00D11930"/>
    <w:rsid w:val="00ED4D85"/>
    <w:rsid w:val="00FB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7494"/>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nhideWhenUsed/>
    <w:rsid w:val="00751757"/>
    <w:pPr>
      <w:spacing w:after="0" w:line="240" w:lineRule="auto"/>
    </w:pPr>
    <w:rPr>
      <w:sz w:val="20"/>
      <w:szCs w:val="20"/>
    </w:rPr>
  </w:style>
  <w:style w:type="character" w:customStyle="1" w:styleId="EndnoteTextChar">
    <w:name w:val="Endnote Text Char"/>
    <w:basedOn w:val="DefaultParagraphFont"/>
    <w:link w:val="EndnoteText"/>
    <w:rsid w:val="00751757"/>
    <w:rPr>
      <w:sz w:val="20"/>
      <w:szCs w:val="20"/>
    </w:rPr>
  </w:style>
  <w:style w:type="character" w:styleId="EndnoteReference">
    <w:name w:val="endnote reference"/>
    <w:basedOn w:val="DefaultParagraphFont"/>
    <w:unhideWhenUsed/>
    <w:rsid w:val="00751757"/>
    <w:rPr>
      <w:vertAlign w:val="superscript"/>
    </w:rPr>
  </w:style>
  <w:style w:type="paragraph" w:styleId="FootnoteText">
    <w:name w:val="footnote text"/>
    <w:basedOn w:val="Normal"/>
    <w:link w:val="FootnoteTextChar"/>
    <w:uiPriority w:val="99"/>
    <w:semiHidden/>
    <w:unhideWhenUsed/>
    <w:rsid w:val="000C26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612"/>
    <w:rPr>
      <w:sz w:val="20"/>
      <w:szCs w:val="20"/>
    </w:rPr>
  </w:style>
  <w:style w:type="character" w:styleId="FootnoteReference">
    <w:name w:val="footnote reference"/>
    <w:basedOn w:val="DefaultParagraphFont"/>
    <w:uiPriority w:val="99"/>
    <w:semiHidden/>
    <w:unhideWhenUsed/>
    <w:rsid w:val="000C2612"/>
    <w:rPr>
      <w:vertAlign w:val="superscript"/>
    </w:rPr>
  </w:style>
  <w:style w:type="character" w:styleId="Hyperlink">
    <w:name w:val="Hyperlink"/>
    <w:basedOn w:val="DefaultParagraphFont"/>
    <w:rsid w:val="005B29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7494"/>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nhideWhenUsed/>
    <w:rsid w:val="00751757"/>
    <w:pPr>
      <w:spacing w:after="0" w:line="240" w:lineRule="auto"/>
    </w:pPr>
    <w:rPr>
      <w:sz w:val="20"/>
      <w:szCs w:val="20"/>
    </w:rPr>
  </w:style>
  <w:style w:type="character" w:customStyle="1" w:styleId="EndnoteTextChar">
    <w:name w:val="Endnote Text Char"/>
    <w:basedOn w:val="DefaultParagraphFont"/>
    <w:link w:val="EndnoteText"/>
    <w:rsid w:val="00751757"/>
    <w:rPr>
      <w:sz w:val="20"/>
      <w:szCs w:val="20"/>
    </w:rPr>
  </w:style>
  <w:style w:type="character" w:styleId="EndnoteReference">
    <w:name w:val="endnote reference"/>
    <w:basedOn w:val="DefaultParagraphFont"/>
    <w:unhideWhenUsed/>
    <w:rsid w:val="00751757"/>
    <w:rPr>
      <w:vertAlign w:val="superscript"/>
    </w:rPr>
  </w:style>
  <w:style w:type="paragraph" w:styleId="FootnoteText">
    <w:name w:val="footnote text"/>
    <w:basedOn w:val="Normal"/>
    <w:link w:val="FootnoteTextChar"/>
    <w:uiPriority w:val="99"/>
    <w:semiHidden/>
    <w:unhideWhenUsed/>
    <w:rsid w:val="000C26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612"/>
    <w:rPr>
      <w:sz w:val="20"/>
      <w:szCs w:val="20"/>
    </w:rPr>
  </w:style>
  <w:style w:type="character" w:styleId="FootnoteReference">
    <w:name w:val="footnote reference"/>
    <w:basedOn w:val="DefaultParagraphFont"/>
    <w:uiPriority w:val="99"/>
    <w:semiHidden/>
    <w:unhideWhenUsed/>
    <w:rsid w:val="000C2612"/>
    <w:rPr>
      <w:vertAlign w:val="superscript"/>
    </w:rPr>
  </w:style>
  <w:style w:type="character" w:styleId="Hyperlink">
    <w:name w:val="Hyperlink"/>
    <w:basedOn w:val="DefaultParagraphFont"/>
    <w:rsid w:val="005B29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ncsl.org/research/labor-and-employment/state-minimum-wage-chart.aspx#1" TargetMode="External"/><Relationship Id="rId1" Type="http://schemas.openxmlformats.org/officeDocument/2006/relationships/hyperlink" Target="http://www.census.gov/prod/2013pubs/p70-1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92B91-60E6-4516-B0DB-BA8103FF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Regan Hill</cp:lastModifiedBy>
  <cp:revision>17</cp:revision>
  <dcterms:created xsi:type="dcterms:W3CDTF">2015-08-07T02:55:00Z</dcterms:created>
  <dcterms:modified xsi:type="dcterms:W3CDTF">2015-08-07T03:45:00Z</dcterms:modified>
</cp:coreProperties>
</file>