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98868A6" w14:textId="77777777" w:rsidR="004962EC" w:rsidRPr="0058339E" w:rsidRDefault="004962EC" w:rsidP="004962EC">
      <w:pPr>
        <w:tabs>
          <w:tab w:val="center" w:pos="4680"/>
        </w:tabs>
        <w:jc w:val="center"/>
        <w:rPr>
          <w:b/>
          <w:bCs/>
        </w:rPr>
      </w:pPr>
      <w:r w:rsidRPr="0058339E">
        <w:rPr>
          <w:b/>
          <w:bCs/>
        </w:rPr>
        <w:fldChar w:fldCharType="begin"/>
      </w:r>
      <w:r w:rsidRPr="0058339E">
        <w:rPr>
          <w:b/>
          <w:bCs/>
        </w:rPr>
        <w:instrText>tc \l2 "SF</w:instrText>
      </w:r>
      <w:r w:rsidRPr="0058339E">
        <w:rPr>
          <w:b/>
          <w:bCs/>
        </w:rPr>
        <w:fldChar w:fldCharType="end"/>
      </w:r>
      <w:r w:rsidRPr="0058339E">
        <w:rPr>
          <w:b/>
          <w:bCs/>
        </w:rPr>
        <w:t>SUPPORTING STATEMENT</w:t>
      </w:r>
    </w:p>
    <w:p w14:paraId="71237AF3" w14:textId="77777777" w:rsidR="004962EC" w:rsidRPr="0058339E" w:rsidRDefault="004962EC" w:rsidP="004962EC">
      <w:pPr>
        <w:tabs>
          <w:tab w:val="center" w:pos="4680"/>
        </w:tabs>
        <w:outlineLvl w:val="0"/>
      </w:pPr>
      <w:r w:rsidRPr="0058339E">
        <w:rPr>
          <w:b/>
          <w:bCs/>
        </w:rPr>
        <w:tab/>
        <w:t>ENVIRONMENTAL PROTECTION AGENCY</w:t>
      </w:r>
    </w:p>
    <w:p w14:paraId="7930A386" w14:textId="77777777" w:rsidR="004962EC" w:rsidRPr="0058339E" w:rsidRDefault="004962EC" w:rsidP="004962EC">
      <w:pPr>
        <w:tabs>
          <w:tab w:val="center" w:pos="4680"/>
        </w:tabs>
      </w:pPr>
      <w:r w:rsidRPr="0058339E">
        <w:tab/>
      </w:r>
    </w:p>
    <w:p w14:paraId="59FE5792" w14:textId="0EC8935C" w:rsidR="004962EC" w:rsidRPr="003201BC" w:rsidRDefault="004962EC" w:rsidP="004962EC">
      <w:r w:rsidRPr="003201BC">
        <w:rPr>
          <w:b/>
        </w:rPr>
        <w:t xml:space="preserve">NESHAP for </w:t>
      </w:r>
      <w:r w:rsidR="00264789" w:rsidRPr="00CB12E2">
        <w:rPr>
          <w:b/>
          <w:bCs/>
        </w:rPr>
        <w:t xml:space="preserve">Chemical Recovery Combustion Sources at Kraft, Soda, Sulfite, and </w:t>
      </w:r>
      <w:r w:rsidR="006F2D09">
        <w:rPr>
          <w:b/>
          <w:bCs/>
        </w:rPr>
        <w:t xml:space="preserve">     </w:t>
      </w:r>
      <w:r w:rsidR="00264789" w:rsidRPr="00CB12E2">
        <w:rPr>
          <w:b/>
          <w:bCs/>
        </w:rPr>
        <w:t>Stand-Alone Semichemical Pulp Mill</w:t>
      </w:r>
      <w:r w:rsidR="00264789" w:rsidRPr="003201BC">
        <w:rPr>
          <w:b/>
        </w:rPr>
        <w:t xml:space="preserve"> </w:t>
      </w:r>
      <w:r w:rsidRPr="003201BC">
        <w:rPr>
          <w:b/>
        </w:rPr>
        <w:t xml:space="preserve">(40 CFR Part 63, Subpart </w:t>
      </w:r>
      <w:r w:rsidR="00264789">
        <w:rPr>
          <w:b/>
        </w:rPr>
        <w:t>MM</w:t>
      </w:r>
      <w:r w:rsidRPr="003201BC">
        <w:rPr>
          <w:b/>
        </w:rPr>
        <w:t>)</w:t>
      </w:r>
      <w:r>
        <w:rPr>
          <w:b/>
        </w:rPr>
        <w:t xml:space="preserve"> </w:t>
      </w:r>
      <w:r w:rsidRPr="003201BC">
        <w:rPr>
          <w:b/>
        </w:rPr>
        <w:t>(Renewal)</w:t>
      </w:r>
    </w:p>
    <w:p w14:paraId="0D725AAD" w14:textId="77777777" w:rsidR="004962EC" w:rsidRPr="003201BC" w:rsidRDefault="004962EC" w:rsidP="004962EC"/>
    <w:p w14:paraId="770D6221" w14:textId="77777777" w:rsidR="004962EC" w:rsidRPr="003201BC" w:rsidRDefault="004962EC" w:rsidP="004962EC">
      <w:pPr>
        <w:outlineLvl w:val="0"/>
        <w:rPr>
          <w:b/>
          <w:bCs/>
        </w:rPr>
      </w:pPr>
      <w:r w:rsidRPr="003201BC">
        <w:rPr>
          <w:b/>
          <w:bCs/>
        </w:rPr>
        <w:t>1.  Identification of the Information Collection</w:t>
      </w:r>
    </w:p>
    <w:p w14:paraId="577A9089" w14:textId="77777777" w:rsidR="004962EC" w:rsidRPr="003201BC" w:rsidRDefault="004962EC" w:rsidP="004962EC">
      <w:pPr>
        <w:rPr>
          <w:b/>
          <w:bCs/>
        </w:rPr>
      </w:pPr>
    </w:p>
    <w:p w14:paraId="1407BE0D" w14:textId="77777777" w:rsidR="004962EC" w:rsidRPr="003201BC" w:rsidRDefault="004962EC" w:rsidP="004962EC">
      <w:pPr>
        <w:ind w:firstLine="720"/>
        <w:rPr>
          <w:b/>
          <w:bCs/>
        </w:rPr>
      </w:pPr>
      <w:r w:rsidRPr="003201BC">
        <w:rPr>
          <w:b/>
          <w:bCs/>
        </w:rPr>
        <w:t>1(a)  Title of the Information Collection</w:t>
      </w:r>
    </w:p>
    <w:p w14:paraId="0812A9E1" w14:textId="77777777" w:rsidR="004962EC" w:rsidRPr="003201BC" w:rsidRDefault="004962EC" w:rsidP="004962EC">
      <w:pPr>
        <w:rPr>
          <w:b/>
          <w:bCs/>
        </w:rPr>
      </w:pPr>
    </w:p>
    <w:p w14:paraId="4F0BD635" w14:textId="23319D26" w:rsidR="004962EC" w:rsidRPr="003201BC" w:rsidRDefault="004962EC" w:rsidP="004962EC">
      <w:pPr>
        <w:rPr>
          <w:bCs/>
        </w:rPr>
      </w:pPr>
      <w:r w:rsidRPr="003201BC">
        <w:rPr>
          <w:bCs/>
        </w:rPr>
        <w:t xml:space="preserve">NESHAP </w:t>
      </w:r>
      <w:r w:rsidRPr="00264789">
        <w:rPr>
          <w:bCs/>
        </w:rPr>
        <w:t xml:space="preserve">for </w:t>
      </w:r>
      <w:r w:rsidR="00264789" w:rsidRPr="00264789">
        <w:rPr>
          <w:bCs/>
        </w:rPr>
        <w:t>Chemical Recovery Combustion Sources at Kraft, Soda, Sulfite, and Stand-Alone Semichemical Pulp Mill</w:t>
      </w:r>
      <w:r w:rsidRPr="003201BC">
        <w:rPr>
          <w:bCs/>
        </w:rPr>
        <w:t xml:space="preserve"> (40 CFR Part 63, Subpart </w:t>
      </w:r>
      <w:r w:rsidR="00264789">
        <w:rPr>
          <w:bCs/>
        </w:rPr>
        <w:t>MM</w:t>
      </w:r>
      <w:r w:rsidRPr="003201BC">
        <w:rPr>
          <w:bCs/>
        </w:rPr>
        <w:t>)</w:t>
      </w:r>
      <w:r w:rsidRPr="003201BC" w:rsidDel="001F35B3">
        <w:rPr>
          <w:bCs/>
        </w:rPr>
        <w:t xml:space="preserve"> </w:t>
      </w:r>
      <w:r w:rsidRPr="003201BC">
        <w:rPr>
          <w:bCs/>
        </w:rPr>
        <w:t xml:space="preserve">(Renewal), EPA ICR Number </w:t>
      </w:r>
      <w:r w:rsidR="00264789">
        <w:rPr>
          <w:bCs/>
        </w:rPr>
        <w:t>1805.10</w:t>
      </w:r>
      <w:r w:rsidRPr="003201BC">
        <w:rPr>
          <w:bCs/>
        </w:rPr>
        <w:t xml:space="preserve">, OMB Control Number </w:t>
      </w:r>
      <w:r w:rsidR="00264789">
        <w:rPr>
          <w:bCs/>
        </w:rPr>
        <w:t>2060-0377</w:t>
      </w:r>
      <w:r w:rsidRPr="003201BC">
        <w:rPr>
          <w:bCs/>
        </w:rPr>
        <w:t xml:space="preserve">. </w:t>
      </w:r>
    </w:p>
    <w:p w14:paraId="1425954F" w14:textId="77777777" w:rsidR="004962EC" w:rsidRPr="003201BC" w:rsidRDefault="004962EC" w:rsidP="004962EC">
      <w:pPr>
        <w:rPr>
          <w:b/>
          <w:bCs/>
        </w:rPr>
      </w:pPr>
    </w:p>
    <w:p w14:paraId="00DDBA51" w14:textId="77777777" w:rsidR="004962EC" w:rsidRPr="003201BC" w:rsidRDefault="004962EC" w:rsidP="004962EC">
      <w:pPr>
        <w:ind w:firstLine="720"/>
      </w:pPr>
      <w:r w:rsidRPr="003201BC">
        <w:rPr>
          <w:b/>
          <w:bCs/>
        </w:rPr>
        <w:t>1(b)  Short Characterization/Abstract</w:t>
      </w:r>
    </w:p>
    <w:p w14:paraId="554154E5" w14:textId="77777777" w:rsidR="004962EC" w:rsidRPr="003201BC" w:rsidRDefault="004962EC" w:rsidP="004962EC">
      <w:pPr>
        <w:ind w:firstLine="720"/>
      </w:pPr>
    </w:p>
    <w:p w14:paraId="4662BA1F" w14:textId="02D5CC4D" w:rsidR="004962EC" w:rsidRPr="003201BC" w:rsidRDefault="004962EC" w:rsidP="004962EC">
      <w:pPr>
        <w:ind w:firstLine="720"/>
      </w:pPr>
      <w:r w:rsidRPr="003201BC">
        <w:t xml:space="preserve">The National Emission Standards for Hazardous Air Pollutants (NESHAP) for </w:t>
      </w:r>
      <w:r w:rsidR="00264789">
        <w:t>Chemical Recovery Combustion Sources at Kraft, Soda, Sulfite, and Stand-Alone Semichemical Pulp Mills</w:t>
      </w:r>
      <w:r w:rsidRPr="003201BC">
        <w:t xml:space="preserve"> were proposed on </w:t>
      </w:r>
      <w:r w:rsidR="00264789" w:rsidRPr="00424775">
        <w:t>April 15, 1998,</w:t>
      </w:r>
      <w:r w:rsidR="00264789">
        <w:t xml:space="preserve"> promulgated on January 12, 2001,</w:t>
      </w:r>
      <w:r w:rsidR="00264789" w:rsidRPr="00264789">
        <w:t xml:space="preserve"> </w:t>
      </w:r>
      <w:r w:rsidR="00264789">
        <w:t>amended on April 20, 2006, and more recently</w:t>
      </w:r>
      <w:r w:rsidR="00221107">
        <w:t>-</w:t>
      </w:r>
      <w:r w:rsidR="00264789">
        <w:t>amended on October 11, 2017 (82</w:t>
      </w:r>
      <w:r w:rsidR="00264789" w:rsidRPr="005F5896">
        <w:rPr>
          <w:i/>
        </w:rPr>
        <w:t xml:space="preserve"> FR </w:t>
      </w:r>
      <w:r w:rsidR="00264789">
        <w:t xml:space="preserve">47328) </w:t>
      </w:r>
      <w:r w:rsidR="00264789" w:rsidRPr="00AA6CE8">
        <w:t>as a result of the residual risk and technol</w:t>
      </w:r>
      <w:r w:rsidR="00264789">
        <w:t>ogy review (RTR) required under</w:t>
      </w:r>
      <w:r w:rsidR="00264789" w:rsidRPr="00AA6CE8">
        <w:t xml:space="preserve"> the Clean Air Act </w:t>
      </w:r>
      <w:r w:rsidR="00264789">
        <w:t>(CAA)</w:t>
      </w:r>
      <w:r w:rsidR="00D64CD1">
        <w:t xml:space="preserve">. </w:t>
      </w:r>
      <w:r w:rsidR="00264789">
        <w:t xml:space="preserve">The October 11, 2017 </w:t>
      </w:r>
      <w:r w:rsidR="00264789" w:rsidRPr="00381A88">
        <w:t>amendments eliminate</w:t>
      </w:r>
      <w:r w:rsidR="00264789">
        <w:t>d</w:t>
      </w:r>
      <w:r w:rsidR="00264789" w:rsidRPr="00381A88">
        <w:t xml:space="preserve"> the startup, shutdown, and malfunction (SSM) exemption</w:t>
      </w:r>
      <w:r w:rsidR="00264789">
        <w:t>;</w:t>
      </w:r>
      <w:r w:rsidR="00264789" w:rsidRPr="00381A88">
        <w:t xml:space="preserve"> remove</w:t>
      </w:r>
      <w:r w:rsidR="00264789">
        <w:t>d</w:t>
      </w:r>
      <w:r w:rsidR="00264789" w:rsidRPr="00381A88">
        <w:t xml:space="preserve"> the SSM plan requirement</w:t>
      </w:r>
      <w:r w:rsidR="00264789">
        <w:t xml:space="preserve">; </w:t>
      </w:r>
      <w:r w:rsidR="00264789" w:rsidRPr="00381A88">
        <w:t>add</w:t>
      </w:r>
      <w:r w:rsidR="00264789">
        <w:t>ed</w:t>
      </w:r>
      <w:r w:rsidR="00264789" w:rsidRPr="00381A88">
        <w:t xml:space="preserve"> </w:t>
      </w:r>
      <w:r w:rsidR="00264789">
        <w:t>periodic</w:t>
      </w:r>
      <w:r w:rsidR="00264789" w:rsidRPr="00381A88">
        <w:t xml:space="preserve"> emissions testing</w:t>
      </w:r>
      <w:r w:rsidR="00264789">
        <w:t>;</w:t>
      </w:r>
      <w:r w:rsidR="00264789" w:rsidRPr="00381A88">
        <w:t xml:space="preserve"> </w:t>
      </w:r>
      <w:r w:rsidR="00264789">
        <w:t xml:space="preserve">revised the opacity monitoring allowances; </w:t>
      </w:r>
      <w:r w:rsidR="00264789" w:rsidRPr="00381A88">
        <w:t>add</w:t>
      </w:r>
      <w:r w:rsidR="00264789">
        <w:t>ed</w:t>
      </w:r>
      <w:r w:rsidR="00264789" w:rsidRPr="00381A88">
        <w:t xml:space="preserve"> </w:t>
      </w:r>
      <w:r w:rsidR="00264789">
        <w:t xml:space="preserve">a </w:t>
      </w:r>
      <w:r w:rsidR="00264789" w:rsidRPr="00542B59">
        <w:t xml:space="preserve">requirement to maintain proper operation of the </w:t>
      </w:r>
      <w:r w:rsidR="00264789">
        <w:t xml:space="preserve">electrostatic precipitator (ESP) </w:t>
      </w:r>
      <w:r w:rsidR="00264789" w:rsidRPr="00542B59">
        <w:t xml:space="preserve">automatic voltage control (AVC) </w:t>
      </w:r>
      <w:r w:rsidR="00264789" w:rsidRPr="00381A88">
        <w:t xml:space="preserve">for </w:t>
      </w:r>
      <w:r w:rsidR="00264789">
        <w:t xml:space="preserve">recovery furnaces and lime kilns equipped with </w:t>
      </w:r>
      <w:r w:rsidR="00264789" w:rsidRPr="00381A88">
        <w:t>ESPs</w:t>
      </w:r>
      <w:r w:rsidR="00264789">
        <w:t>;</w:t>
      </w:r>
      <w:r w:rsidR="00264789" w:rsidRPr="00381A88">
        <w:t xml:space="preserve"> </w:t>
      </w:r>
      <w:r w:rsidR="00264789">
        <w:t xml:space="preserve">added </w:t>
      </w:r>
      <w:r w:rsidR="00264789" w:rsidRPr="00381A88">
        <w:t xml:space="preserve">electronic submittal of </w:t>
      </w:r>
      <w:r w:rsidR="00264789">
        <w:t>selected notifications</w:t>
      </w:r>
      <w:r w:rsidR="009457E9">
        <w:t xml:space="preserve"> and reports;</w:t>
      </w:r>
      <w:r w:rsidR="00264789">
        <w:t xml:space="preserve"> </w:t>
      </w:r>
      <w:r w:rsidR="00686C9D">
        <w:rPr>
          <w:color w:val="000000"/>
        </w:rPr>
        <w:t>decreased the frequency of excess emissions reporting from quarterly to semiannually</w:t>
      </w:r>
      <w:r w:rsidR="00264789">
        <w:t>;</w:t>
      </w:r>
      <w:r w:rsidR="00264789" w:rsidRPr="00381A88">
        <w:t xml:space="preserve"> and ma</w:t>
      </w:r>
      <w:r w:rsidR="00264789">
        <w:t>de</w:t>
      </w:r>
      <w:r w:rsidR="00264789" w:rsidRPr="00381A88">
        <w:t xml:space="preserve"> technical and editorial changes.</w:t>
      </w:r>
      <w:r w:rsidR="00264789">
        <w:t xml:space="preserve"> </w:t>
      </w:r>
      <w:r w:rsidRPr="003201BC">
        <w:t>The</w:t>
      </w:r>
      <w:r w:rsidR="008F7C6F">
        <w:t xml:space="preserve">se regulations </w:t>
      </w:r>
      <w:r w:rsidRPr="003201BC">
        <w:t>appl</w:t>
      </w:r>
      <w:r w:rsidR="008F7C6F">
        <w:t>y</w:t>
      </w:r>
      <w:r w:rsidRPr="003201BC">
        <w:t xml:space="preserve"> to </w:t>
      </w:r>
      <w:r w:rsidR="00264789">
        <w:t xml:space="preserve">new and existing </w:t>
      </w:r>
      <w:r w:rsidR="008F7C6F" w:rsidRPr="00424775">
        <w:t xml:space="preserve">chemical recovery combustion sources </w:t>
      </w:r>
      <w:r w:rsidR="00264789">
        <w:t xml:space="preserve">at </w:t>
      </w:r>
      <w:r w:rsidR="00264789" w:rsidRPr="00424775">
        <w:t>kraft, soda, sulfite, and stand-alone semichemical pulp mills</w:t>
      </w:r>
      <w:r w:rsidR="008F7C6F">
        <w:t xml:space="preserve">, for which the </w:t>
      </w:r>
      <w:r w:rsidR="00264789">
        <w:t xml:space="preserve">chemical recovery combustion sources emit greater than or equal to 10 tons per year (tpy) of any one </w:t>
      </w:r>
      <w:r w:rsidR="00264789" w:rsidRPr="00424775">
        <w:t>hazardou</w:t>
      </w:r>
      <w:r w:rsidR="00264789">
        <w:t>s air pollutant (HAP) or greater than or equal to 25 tpy of any combination of HAPs</w:t>
      </w:r>
      <w:r w:rsidR="00264789" w:rsidRPr="00FA7D77">
        <w:t xml:space="preserve">. New </w:t>
      </w:r>
      <w:r w:rsidR="00264789">
        <w:t xml:space="preserve">affected </w:t>
      </w:r>
      <w:r w:rsidR="008F7C6F">
        <w:t>facilities</w:t>
      </w:r>
      <w:r w:rsidR="00264789">
        <w:t xml:space="preserve"> </w:t>
      </w:r>
      <w:r w:rsidR="00264789" w:rsidRPr="00FA7D77">
        <w:t xml:space="preserve">include those that commenced construction or reconstruction after </w:t>
      </w:r>
      <w:r w:rsidR="008F7C6F">
        <w:t xml:space="preserve">the </w:t>
      </w:r>
      <w:r w:rsidR="00264789">
        <w:t xml:space="preserve">April 15, 1998 </w:t>
      </w:r>
      <w:r w:rsidR="00264789" w:rsidRPr="00FA7D77">
        <w:t xml:space="preserve">proposal. </w:t>
      </w:r>
      <w:r w:rsidRPr="003201BC">
        <w:t xml:space="preserve">This information is being collected to assure compliance with 40 CFR Part 63, </w:t>
      </w:r>
      <w:r w:rsidR="00264789">
        <w:t>Subpart MM</w:t>
      </w:r>
      <w:r w:rsidRPr="003201BC">
        <w:t>.</w:t>
      </w:r>
    </w:p>
    <w:p w14:paraId="548B0FE7" w14:textId="77777777" w:rsidR="004962EC" w:rsidRPr="003201BC" w:rsidRDefault="004962EC" w:rsidP="004962EC"/>
    <w:p w14:paraId="75EDE62F" w14:textId="7B845246" w:rsidR="004962EC" w:rsidRPr="003201BC" w:rsidRDefault="004962EC" w:rsidP="004962EC">
      <w:pPr>
        <w:ind w:firstLine="720"/>
      </w:pPr>
      <w:r w:rsidRPr="003201BC">
        <w:t>In general, all NESHAP standards require initial notifications, performance tests, and periodic reports by the owners/operators of the affected facilities</w:t>
      </w:r>
      <w:r w:rsidR="00D64CD1">
        <w:t xml:space="preserve">. </w:t>
      </w:r>
      <w:r w:rsidRPr="003201BC">
        <w:t xml:space="preserve">They are also required to maintain records of </w:t>
      </w:r>
      <w:r w:rsidR="00D97C4C" w:rsidRPr="00567F1F">
        <w:t>any failures to meet applicable standard</w:t>
      </w:r>
      <w:r w:rsidR="00D97C4C">
        <w:t>s</w:t>
      </w:r>
      <w:r w:rsidR="00D97C4C" w:rsidRPr="00FA7D77">
        <w:t xml:space="preserve">, or any period during which the monitoring system is inoperative. </w:t>
      </w:r>
      <w:r w:rsidRPr="003201BC">
        <w:t>These notifications, reports, and records are essential in determining compliance, and are required of all affected facilities subject to NESHAP.</w:t>
      </w:r>
    </w:p>
    <w:p w14:paraId="42A48E0A" w14:textId="77777777" w:rsidR="004962EC" w:rsidRPr="003201BC" w:rsidRDefault="004962EC" w:rsidP="004962EC"/>
    <w:p w14:paraId="3DE9DDF0" w14:textId="1EC54A51"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 xml:space="preserve">Any owner/operator subject to the provisions of </w:t>
      </w:r>
      <w:r w:rsidR="00D64CD1" w:rsidRPr="003201BC">
        <w:rPr>
          <w:bCs/>
        </w:rPr>
        <w:t>40 CFR Part 63</w:t>
      </w:r>
      <w:r w:rsidR="008F7C6F">
        <w:rPr>
          <w:bCs/>
        </w:rPr>
        <w:t xml:space="preserve"> </w:t>
      </w:r>
      <w:r w:rsidRPr="003201BC">
        <w:t>shall maintain a file</w:t>
      </w:r>
      <w:r w:rsidR="00E72A78">
        <w:t xml:space="preserve"> containing</w:t>
      </w:r>
      <w:r w:rsidR="00E72A78" w:rsidRPr="00146F35">
        <w:t xml:space="preserve"> these </w:t>
      </w:r>
      <w:r w:rsidR="00E72A78">
        <w:t>documents</w:t>
      </w:r>
      <w:r w:rsidRPr="003201BC">
        <w:t xml:space="preserve"> and retain the file for at least five years following the date of such reports and records</w:t>
      </w:r>
      <w:r w:rsidR="00D64CD1">
        <w:t xml:space="preserve">. </w:t>
      </w:r>
      <w:r w:rsidRPr="003201BC">
        <w:t>All reports are sent to the delegated state or local authority</w:t>
      </w:r>
      <w:r w:rsidR="00D64CD1">
        <w:t xml:space="preserve">. </w:t>
      </w:r>
      <w:r w:rsidRPr="003201BC">
        <w:t>I</w:t>
      </w:r>
      <w:r w:rsidR="00221107">
        <w:t xml:space="preserve">f </w:t>
      </w:r>
      <w:r w:rsidRPr="003201BC">
        <w:t>there is no such delegated authority, the reports are sent directly to the U</w:t>
      </w:r>
      <w:r w:rsidR="00221107">
        <w:t>.</w:t>
      </w:r>
      <w:r w:rsidRPr="003201BC">
        <w:t>S</w:t>
      </w:r>
      <w:r w:rsidR="00221107">
        <w:t>.</w:t>
      </w:r>
      <w:r w:rsidRPr="003201BC">
        <w:t xml:space="preserve"> Environmental Protection Agency (EPA)</w:t>
      </w:r>
      <w:r w:rsidR="00221107">
        <w:t>’s</w:t>
      </w:r>
      <w:r w:rsidRPr="003201BC">
        <w:t xml:space="preserve"> regional office.</w:t>
      </w:r>
    </w:p>
    <w:p w14:paraId="4FF424E4"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4045A323" w14:textId="407F5DC3" w:rsidR="004962EC" w:rsidRDefault="00E72A78" w:rsidP="004962EC">
      <w:pPr>
        <w:pBdr>
          <w:top w:val="single" w:sz="6" w:space="0" w:color="FFFFFF"/>
          <w:left w:val="single" w:sz="6" w:space="0" w:color="FFFFFF"/>
          <w:bottom w:val="single" w:sz="6" w:space="0" w:color="FFFFFF"/>
          <w:right w:val="single" w:sz="6" w:space="0" w:color="FFFFFF"/>
        </w:pBdr>
        <w:ind w:firstLine="720"/>
      </w:pPr>
      <w:r w:rsidRPr="00C22415">
        <w:lastRenderedPageBreak/>
        <w:t xml:space="preserve">The “Affected Public” </w:t>
      </w:r>
      <w:r>
        <w:t>includes</w:t>
      </w:r>
      <w:r w:rsidRPr="00C22415">
        <w:t xml:space="preserve"> </w:t>
      </w:r>
      <w:r>
        <w:t>owners and operators of</w:t>
      </w:r>
      <w:r w:rsidRPr="00E72A78">
        <w:t xml:space="preserve"> </w:t>
      </w:r>
      <w:r w:rsidR="008F7C6F">
        <w:t xml:space="preserve">affected facilities at </w:t>
      </w:r>
      <w:r w:rsidR="008F7C6F" w:rsidRPr="008F7C6F">
        <w:t>kraft, soda, sulfite, and stand-alone semichemical pulp mills</w:t>
      </w:r>
      <w:r>
        <w:t xml:space="preserve">. </w:t>
      </w:r>
      <w:r w:rsidR="004962EC" w:rsidRPr="003201BC">
        <w:t xml:space="preserve">The </w:t>
      </w:r>
      <w:r w:rsidR="00221107">
        <w:t>“</w:t>
      </w:r>
      <w:r w:rsidR="004962EC" w:rsidRPr="003201BC">
        <w:t>burden</w:t>
      </w:r>
      <w:r w:rsidR="00221107">
        <w:t>”</w:t>
      </w:r>
      <w:r w:rsidR="004962EC" w:rsidRPr="003201BC">
        <w:t xml:space="preserve"> to the Affected Public may be found</w:t>
      </w:r>
      <w:r w:rsidR="00221107">
        <w:t xml:space="preserve"> below</w:t>
      </w:r>
      <w:r w:rsidR="004962EC" w:rsidRPr="003201BC">
        <w:t xml:space="preserve"> in Table 1: Annual Respondent Burden and Cost – NESHAP for </w:t>
      </w:r>
      <w:r w:rsidR="00264789">
        <w:t>Chemical Recovery Combustion Sources at Kraft, Soda, Sulfite, and Stand-Alone Semichemical Pulp Mills</w:t>
      </w:r>
      <w:r w:rsidR="004962EC" w:rsidRPr="003201BC">
        <w:rPr>
          <w:bCs/>
        </w:rPr>
        <w:t xml:space="preserve"> (40 CFR Part 63, </w:t>
      </w:r>
      <w:r w:rsidR="00264789">
        <w:rPr>
          <w:bCs/>
        </w:rPr>
        <w:t>Subpart MM</w:t>
      </w:r>
      <w:r w:rsidR="004962EC" w:rsidRPr="003201BC">
        <w:t xml:space="preserve">) (Renewal). The </w:t>
      </w:r>
      <w:r w:rsidR="00221107">
        <w:t>“</w:t>
      </w:r>
      <w:r w:rsidR="004962EC" w:rsidRPr="003201BC">
        <w:t>burden</w:t>
      </w:r>
      <w:r w:rsidR="00221107">
        <w:t>”</w:t>
      </w:r>
      <w:r w:rsidR="004962EC" w:rsidRPr="003201BC">
        <w:t xml:space="preserve"> to the Federal Government is attributed entirely to work performed by </w:t>
      </w:r>
      <w:r w:rsidR="00221107">
        <w:t>either F</w:t>
      </w:r>
      <w:r w:rsidR="004962EC" w:rsidRPr="003201BC">
        <w:t xml:space="preserve">ederal employees or government contractors and </w:t>
      </w:r>
      <w:r w:rsidR="00BD3B06">
        <w:t>may</w:t>
      </w:r>
      <w:r w:rsidR="004962EC" w:rsidRPr="003201BC">
        <w:t xml:space="preserve"> be found</w:t>
      </w:r>
      <w:r w:rsidR="00221107">
        <w:t xml:space="preserve"> below</w:t>
      </w:r>
      <w:r w:rsidR="004962EC" w:rsidRPr="003201BC">
        <w:t xml:space="preserve"> in Table 2: Average Annual EPA Burden and Cost – NESHAP for </w:t>
      </w:r>
      <w:r w:rsidR="00264789">
        <w:t>Chemical Recovery Combustion Sources at Kraft, Soda, Sulfite, and Stand-Alone Semichemical Pulp Mills</w:t>
      </w:r>
      <w:r w:rsidR="004962EC" w:rsidRPr="003201BC">
        <w:rPr>
          <w:bCs/>
        </w:rPr>
        <w:t xml:space="preserve"> (40 CFR Part 63, </w:t>
      </w:r>
      <w:r w:rsidR="00264789">
        <w:rPr>
          <w:bCs/>
        </w:rPr>
        <w:t>Subpart MM</w:t>
      </w:r>
      <w:r w:rsidR="004962EC" w:rsidRPr="003201BC">
        <w:t>) (Renewal).</w:t>
      </w:r>
      <w:r w:rsidRPr="00E72A78">
        <w:t xml:space="preserve"> </w:t>
      </w:r>
      <w:r w:rsidRPr="003201BC">
        <w:t xml:space="preserve">All the </w:t>
      </w:r>
      <w:r w:rsidR="008F7C6F" w:rsidRPr="008F7C6F">
        <w:t>chemical recovery combustion sources at kraft, soda, sulfite, and stand-alone semichemical pulp mills</w:t>
      </w:r>
      <w:r w:rsidR="008F7C6F" w:rsidRPr="003201BC">
        <w:t xml:space="preserve"> </w:t>
      </w:r>
      <w:r w:rsidRPr="003201BC">
        <w:t xml:space="preserve">facilities in the United States are owned and operated by the </w:t>
      </w:r>
      <w:r w:rsidR="00972AB6" w:rsidRPr="008F7C6F">
        <w:t>kraft, soda, sulfite, and stand-alone semichemical pulp mills</w:t>
      </w:r>
      <w:r w:rsidR="00972AB6" w:rsidRPr="003201BC">
        <w:t xml:space="preserve"> </w:t>
      </w:r>
      <w:r w:rsidRPr="003201BC">
        <w:t xml:space="preserve">industry. None of the facilities in the United States are owned by </w:t>
      </w:r>
      <w:r w:rsidR="00221107">
        <w:t xml:space="preserve">either </w:t>
      </w:r>
      <w:r w:rsidRPr="003201BC">
        <w:t>state, local, tribal or the Federal government. They are privately-owned, for-profit businesses.</w:t>
      </w:r>
    </w:p>
    <w:p w14:paraId="4A905BEB"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1F2316EC" w14:textId="713CDC6D"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 xml:space="preserve">Over the next three years, </w:t>
      </w:r>
      <w:r>
        <w:t xml:space="preserve">approximately </w:t>
      </w:r>
      <w:r w:rsidR="00972AB6">
        <w:t>107</w:t>
      </w:r>
      <w:r w:rsidR="000C6F03" w:rsidRPr="003201BC">
        <w:t xml:space="preserve"> </w:t>
      </w:r>
      <w:r w:rsidR="00972AB6">
        <w:t xml:space="preserve">existing </w:t>
      </w:r>
      <w:r w:rsidRPr="003201BC">
        <w:t>respondents per year will be subject to the</w:t>
      </w:r>
      <w:r w:rsidR="00221107">
        <w:t>se</w:t>
      </w:r>
      <w:r w:rsidRPr="003201BC">
        <w:t xml:space="preserve"> standard</w:t>
      </w:r>
      <w:r w:rsidR="00221107">
        <w:t>s</w:t>
      </w:r>
      <w:r w:rsidR="00972AB6">
        <w:t xml:space="preserve">. In addition, one existing respondent on average per year is expected </w:t>
      </w:r>
      <w:r w:rsidR="00221107">
        <w:t xml:space="preserve"> </w:t>
      </w:r>
      <w:r w:rsidR="00972AB6">
        <w:t xml:space="preserve">to construct new process units that will be subject to </w:t>
      </w:r>
      <w:r w:rsidR="003C6DEE">
        <w:t xml:space="preserve">this NESHAP over the 3-year period of this ICR, and </w:t>
      </w:r>
      <w:r w:rsidR="00972AB6">
        <w:t>one</w:t>
      </w:r>
      <w:r w:rsidR="00972AB6" w:rsidRPr="001E25DC">
        <w:t xml:space="preserve"> new major source facilit</w:t>
      </w:r>
      <w:r w:rsidR="00972AB6">
        <w:t xml:space="preserve">y </w:t>
      </w:r>
      <w:r w:rsidR="004D7A58">
        <w:t xml:space="preserve">is expected to be </w:t>
      </w:r>
      <w:r w:rsidR="003C6DEE">
        <w:t xml:space="preserve">built </w:t>
      </w:r>
      <w:r w:rsidR="00972AB6">
        <w:t xml:space="preserve">in the </w:t>
      </w:r>
      <w:r w:rsidR="003C6DEE">
        <w:t xml:space="preserve">third year of </w:t>
      </w:r>
      <w:r w:rsidR="00972AB6">
        <w:t>this ICR</w:t>
      </w:r>
      <w:r w:rsidR="00972AB6">
        <w:rPr>
          <w:color w:val="000000"/>
        </w:rPr>
        <w:t xml:space="preserve">. </w:t>
      </w:r>
      <w:r w:rsidR="00221107">
        <w:rPr>
          <w:color w:val="000000"/>
        </w:rPr>
        <w:t xml:space="preserve">  </w:t>
      </w:r>
      <w:r w:rsidR="00972AB6" w:rsidRPr="00DE4FC8">
        <w:rPr>
          <w:color w:val="000000"/>
        </w:rPr>
        <w:t xml:space="preserve">Mills </w:t>
      </w:r>
      <w:r w:rsidR="00972AB6">
        <w:rPr>
          <w:color w:val="000000"/>
        </w:rPr>
        <w:t xml:space="preserve">can </w:t>
      </w:r>
      <w:r w:rsidR="00972AB6" w:rsidRPr="00DE4FC8">
        <w:rPr>
          <w:color w:val="000000"/>
        </w:rPr>
        <w:t>have more than one</w:t>
      </w:r>
      <w:r w:rsidR="00972AB6">
        <w:rPr>
          <w:color w:val="000000"/>
        </w:rPr>
        <w:t xml:space="preserve"> </w:t>
      </w:r>
      <w:r w:rsidR="004D7A58">
        <w:rPr>
          <w:color w:val="000000"/>
        </w:rPr>
        <w:t xml:space="preserve">affected facility </w:t>
      </w:r>
      <w:r w:rsidR="00221107">
        <w:rPr>
          <w:color w:val="000000"/>
        </w:rPr>
        <w:t xml:space="preserve">onsite </w:t>
      </w:r>
      <w:r w:rsidR="00972AB6">
        <w:rPr>
          <w:color w:val="000000"/>
        </w:rPr>
        <w:t xml:space="preserve">(e.g., </w:t>
      </w:r>
      <w:r w:rsidR="00972AB6" w:rsidRPr="00DE4FC8">
        <w:rPr>
          <w:color w:val="000000"/>
        </w:rPr>
        <w:t xml:space="preserve">recovery furnace, </w:t>
      </w:r>
      <w:r w:rsidR="004D7A58" w:rsidRPr="00FA1041">
        <w:t>smelt dissolving tanks</w:t>
      </w:r>
      <w:r w:rsidR="00972AB6" w:rsidRPr="00DE4FC8">
        <w:rPr>
          <w:color w:val="000000"/>
        </w:rPr>
        <w:t>, lime kiln).</w:t>
      </w:r>
      <w:r w:rsidR="00972AB6">
        <w:rPr>
          <w:color w:val="000000"/>
        </w:rPr>
        <w:t xml:space="preserve"> </w:t>
      </w:r>
      <w:r w:rsidR="00972AB6" w:rsidRPr="00A92F1C">
        <w:rPr>
          <w:color w:val="000000"/>
        </w:rPr>
        <w:t xml:space="preserve">Based on current industry trends, </w:t>
      </w:r>
      <w:r w:rsidR="00972AB6">
        <w:rPr>
          <w:color w:val="000000"/>
        </w:rPr>
        <w:t>any</w:t>
      </w:r>
      <w:r w:rsidR="00972AB6" w:rsidRPr="00A92F1C">
        <w:rPr>
          <w:color w:val="000000"/>
        </w:rPr>
        <w:t xml:space="preserve"> new furnace </w:t>
      </w:r>
      <w:r w:rsidR="00972AB6">
        <w:rPr>
          <w:color w:val="000000"/>
        </w:rPr>
        <w:t>is</w:t>
      </w:r>
      <w:r w:rsidR="00972AB6" w:rsidRPr="00A92F1C">
        <w:rPr>
          <w:color w:val="000000"/>
        </w:rPr>
        <w:t xml:space="preserve"> expected to be a </w:t>
      </w:r>
      <w:r w:rsidR="00972AB6">
        <w:rPr>
          <w:color w:val="000000"/>
        </w:rPr>
        <w:t>non-direct contact evaporator (</w:t>
      </w:r>
      <w:r w:rsidR="00972AB6" w:rsidRPr="00A92F1C">
        <w:rPr>
          <w:color w:val="000000"/>
        </w:rPr>
        <w:t>NDCE</w:t>
      </w:r>
      <w:r w:rsidR="00972AB6">
        <w:rPr>
          <w:color w:val="000000"/>
        </w:rPr>
        <w:t>)</w:t>
      </w:r>
      <w:r w:rsidR="00972AB6" w:rsidRPr="00A92F1C">
        <w:rPr>
          <w:color w:val="000000"/>
        </w:rPr>
        <w:t xml:space="preserve"> recovery furnace equipped with a dry ESP system.</w:t>
      </w:r>
      <w:r w:rsidR="00972AB6">
        <w:rPr>
          <w:color w:val="000000"/>
        </w:rPr>
        <w:t xml:space="preserve"> </w:t>
      </w:r>
      <w:r>
        <w:t xml:space="preserve">The respondent universe and growth rate are based </w:t>
      </w:r>
      <w:r w:rsidR="00D64CD1">
        <w:t xml:space="preserve">on </w:t>
      </w:r>
      <w:r w:rsidR="00972AB6" w:rsidRPr="001E25DC">
        <w:t>research condu</w:t>
      </w:r>
      <w:r w:rsidR="00972AB6">
        <w:t>cted by the EPA for the October 11, 2017 rule amendments</w:t>
      </w:r>
      <w:r w:rsidR="00972AB6" w:rsidRPr="001E25DC">
        <w:t>, an information collection request (ICR) conducted by EPA’s Office of Air Quality Planning and Standards (OAQPS) in 2011</w:t>
      </w:r>
      <w:r w:rsidR="008D5991">
        <w:t xml:space="preserve">, and </w:t>
      </w:r>
      <w:r w:rsidR="008D5991" w:rsidRPr="001E25DC">
        <w:t>consultation with the industry</w:t>
      </w:r>
      <w:r w:rsidR="008D5991">
        <w:t xml:space="preserve"> as discussed in section 3(c)</w:t>
      </w:r>
      <w:r w:rsidR="00972AB6" w:rsidRPr="001E25DC">
        <w:t>.</w:t>
      </w:r>
      <w:r>
        <w:t xml:space="preserve"> </w:t>
      </w:r>
    </w:p>
    <w:p w14:paraId="20331954"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65A6DA64" w14:textId="2F624153" w:rsidR="009E755E" w:rsidRDefault="009E755E" w:rsidP="009E755E">
      <w:pPr>
        <w:pBdr>
          <w:top w:val="single" w:sz="6" w:space="0" w:color="FFFFFF"/>
          <w:left w:val="single" w:sz="6" w:space="0" w:color="FFFFFF"/>
          <w:bottom w:val="single" w:sz="6" w:space="0" w:color="FFFFFF"/>
          <w:right w:val="single" w:sz="6" w:space="0" w:color="FFFFFF"/>
        </w:pBdr>
        <w:ind w:firstLine="720"/>
      </w:pPr>
      <w:r>
        <w:rPr>
          <w:bCs/>
        </w:rPr>
        <w:t xml:space="preserve">This ICR </w:t>
      </w:r>
      <w:r>
        <w:t>is a new information collection</w:t>
      </w:r>
      <w:r w:rsidRPr="007F732B">
        <w:t xml:space="preserve">. </w:t>
      </w:r>
    </w:p>
    <w:p w14:paraId="5E923383" w14:textId="77777777" w:rsidR="004962EC" w:rsidRPr="003201BC" w:rsidRDefault="004962EC" w:rsidP="004962EC"/>
    <w:p w14:paraId="29CF0308"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outlineLvl w:val="0"/>
      </w:pPr>
      <w:r w:rsidRPr="003201BC">
        <w:rPr>
          <w:b/>
          <w:bCs/>
        </w:rPr>
        <w:t>2.  Need for and Use of the Collection</w:t>
      </w:r>
    </w:p>
    <w:p w14:paraId="05B4069A"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666DFA5D"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rPr>
          <w:b/>
          <w:bCs/>
        </w:rPr>
      </w:pPr>
      <w:r w:rsidRPr="003201BC">
        <w:rPr>
          <w:b/>
          <w:bCs/>
        </w:rPr>
        <w:t>2(a)  Need/Authority for the Collection</w:t>
      </w:r>
    </w:p>
    <w:p w14:paraId="242AB95F"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16164775" w14:textId="36319E0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The EPA is charged under Section 112 of the Clean Air Act, as amended, to establish standards of performance for each category or subcategory of major sources and area sources of hazardous air pollutants</w:t>
      </w:r>
      <w:r w:rsidR="00D64CD1">
        <w:t xml:space="preserve">. </w:t>
      </w:r>
      <w:r w:rsidRPr="003201BC">
        <w:t xml:space="preserve">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14:paraId="6FC01417"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36CFA639"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left="1440" w:right="1440"/>
      </w:pPr>
      <w:r w:rsidRPr="003201BC">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w:t>
      </w:r>
      <w:r w:rsidRPr="003201BC">
        <w:lastRenderedPageBreak/>
        <w:t>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5728B9E3"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507029DB" w14:textId="1C2497C1" w:rsidR="004962EC" w:rsidRPr="003201BC" w:rsidRDefault="003C6DEE" w:rsidP="004962EC">
      <w:pPr>
        <w:pBdr>
          <w:top w:val="single" w:sz="6" w:space="0" w:color="FFFFFF"/>
          <w:left w:val="single" w:sz="6" w:space="0" w:color="FFFFFF"/>
          <w:bottom w:val="single" w:sz="6" w:space="0" w:color="FFFFFF"/>
          <w:right w:val="single" w:sz="6" w:space="0" w:color="FFFFFF"/>
        </w:pBdr>
        <w:ind w:firstLine="720"/>
      </w:pPr>
      <w:r w:rsidRPr="004B1024">
        <w:t xml:space="preserve">In the Administrator's judgment, </w:t>
      </w:r>
      <w:r w:rsidRPr="00D51EAA">
        <w:t>HAP emissions, including acetaldehyde, benzene</w:t>
      </w:r>
      <w:r>
        <w:t xml:space="preserve">, formaldehyde, </w:t>
      </w:r>
      <w:r w:rsidRPr="00D51EAA">
        <w:t xml:space="preserve">methanol, </w:t>
      </w:r>
      <w:r>
        <w:t>methyl isobutyl ketone, phenol, styrene,</w:t>
      </w:r>
      <w:r w:rsidRPr="00D51EAA">
        <w:t xml:space="preserve"> toluene</w:t>
      </w:r>
      <w:r>
        <w:t>, and xylenes,</w:t>
      </w:r>
      <w:r w:rsidRPr="00D51EAA">
        <w:t xml:space="preserve"> from chemical recovery combustion sources at kraft, soda, sulfite, and stand-alo</w:t>
      </w:r>
      <w:r>
        <w:t>ne semichemical pulp mills</w:t>
      </w:r>
      <w:r w:rsidR="00221107">
        <w:t xml:space="preserve"> either</w:t>
      </w:r>
      <w:r>
        <w:rPr>
          <w:color w:val="FF0000"/>
        </w:rPr>
        <w:t xml:space="preserve"> </w:t>
      </w:r>
      <w:r>
        <w:rPr>
          <w:color w:val="000000"/>
        </w:rPr>
        <w:t xml:space="preserve">cause or contribute to air pollution that may reasonably be anticipated to endanger public health </w:t>
      </w:r>
      <w:r w:rsidR="00221107">
        <w:rPr>
          <w:color w:val="000000"/>
        </w:rPr>
        <w:t>and/</w:t>
      </w:r>
      <w:r>
        <w:rPr>
          <w:color w:val="000000"/>
        </w:rPr>
        <w:t xml:space="preserve">or welfare. </w:t>
      </w:r>
      <w:r w:rsidR="004962EC" w:rsidRPr="003201BC">
        <w:t>Therefore, the NESHAP standards were promulgated for this source category at 40 CFR Part 63,</w:t>
      </w:r>
      <w:r w:rsidR="004962EC" w:rsidRPr="003201BC">
        <w:rPr>
          <w:b/>
          <w:bCs/>
          <w:i/>
          <w:iCs/>
        </w:rPr>
        <w:t xml:space="preserve"> </w:t>
      </w:r>
      <w:r w:rsidR="00264789">
        <w:t>Subpart MM</w:t>
      </w:r>
      <w:r w:rsidR="004962EC" w:rsidRPr="003201BC">
        <w:t>.</w:t>
      </w:r>
    </w:p>
    <w:p w14:paraId="7A02A214"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5210CC34"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2(b)  Practical Utility/Users of the Data</w:t>
      </w:r>
    </w:p>
    <w:p w14:paraId="6976D94E"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0F7B6D31" w14:textId="5C6E8E04"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The recordkeeping and reporting requirements in the</w:t>
      </w:r>
      <w:r w:rsidR="00221107">
        <w:t>se</w:t>
      </w:r>
      <w:r w:rsidRPr="003201BC">
        <w:t xml:space="preserve"> standard</w:t>
      </w:r>
      <w:r w:rsidR="00221107">
        <w:t>s</w:t>
      </w:r>
      <w:r w:rsidRPr="003201BC">
        <w:t xml:space="preserve"> ensure compliance with the applicable regulations</w:t>
      </w:r>
      <w:r w:rsidR="00221107">
        <w:t>,</w:t>
      </w:r>
      <w:r w:rsidRPr="003201BC">
        <w:t xml:space="preserve"> which were promulgated in accordance with the Clean Air Act</w:t>
      </w:r>
      <w:r w:rsidR="00D64CD1">
        <w:t xml:space="preserve">. </w:t>
      </w:r>
      <w:r w:rsidRPr="003201BC">
        <w:t>The collected information is also used for targeting inspections and as evidence in legal proceedings.</w:t>
      </w:r>
    </w:p>
    <w:p w14:paraId="0D189AD7"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03F8D9C4" w14:textId="173FAD5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 xml:space="preserve">Performance tests are required in order to determine an affected facility’s initial </w:t>
      </w:r>
      <w:r w:rsidR="00DC36D4">
        <w:t xml:space="preserve">and ongoing </w:t>
      </w:r>
      <w:r w:rsidRPr="003201BC">
        <w:t>capability to comply with the emission standard. During performance test</w:t>
      </w:r>
      <w:r w:rsidR="00C537C7">
        <w:t>s</w:t>
      </w:r>
      <w:r w:rsidRPr="003201BC">
        <w:t xml:space="preserve"> a record of the operating parameters under which compliance was achieved </w:t>
      </w:r>
      <w:r w:rsidR="00DC36D4">
        <w:t xml:space="preserve">is </w:t>
      </w:r>
      <w:r w:rsidRPr="003201BC">
        <w:t xml:space="preserve">recorded and used </w:t>
      </w:r>
      <w:r w:rsidR="005F5896">
        <w:t xml:space="preserve">on a continuous basis </w:t>
      </w:r>
      <w:r w:rsidRPr="003201BC">
        <w:t>to determine compliance.</w:t>
      </w:r>
    </w:p>
    <w:p w14:paraId="7CC6D565"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72F56F6F" w14:textId="6026ECEA"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The notifications required in the</w:t>
      </w:r>
      <w:r w:rsidR="00221107">
        <w:t>se</w:t>
      </w:r>
      <w:r w:rsidRPr="003201BC">
        <w:t xml:space="preserve"> standard</w:t>
      </w:r>
      <w:r w:rsidR="00221107">
        <w:t>s</w:t>
      </w:r>
      <w:r w:rsidRPr="003201BC">
        <w:t xml:space="preserve"> are used to inform the Agency or delegated authority when a source becomes subject to the requirements of the regulations</w:t>
      </w:r>
      <w:r w:rsidR="00D64CD1">
        <w:t xml:space="preserve">. </w:t>
      </w:r>
      <w:r w:rsidRPr="003201BC">
        <w:t>The reviewing authority may then inspect the source to check if the pollution control devices are properly installed and operated, leaks are being detected and repaired, and the standard are being met</w:t>
      </w:r>
      <w:r w:rsidR="00D64CD1">
        <w:t xml:space="preserve">. </w:t>
      </w:r>
      <w:r w:rsidR="00221107">
        <w:t xml:space="preserve"> </w:t>
      </w:r>
      <w:r w:rsidRPr="003201BC">
        <w:t>The performance test may also be observed.</w:t>
      </w:r>
    </w:p>
    <w:p w14:paraId="4CC0FD52"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p>
    <w:p w14:paraId="22C30058"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The required semiannual reports are used to determine periods of excess emissions, identify problems at the facility, verify operation/maintenance procedures and for compliance determinations.</w:t>
      </w:r>
    </w:p>
    <w:p w14:paraId="2DF0E35F"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0D4F7E38" w14:textId="792ED5DB" w:rsidR="004962EC" w:rsidRPr="003201BC" w:rsidRDefault="004962EC" w:rsidP="004962EC">
      <w:pPr>
        <w:pBdr>
          <w:top w:val="single" w:sz="6" w:space="0" w:color="FFFFFF"/>
          <w:left w:val="single" w:sz="6" w:space="0" w:color="FFFFFF"/>
          <w:bottom w:val="single" w:sz="6" w:space="0" w:color="FFFFFF"/>
          <w:right w:val="single" w:sz="6" w:space="0" w:color="FFFFFF"/>
        </w:pBdr>
        <w:outlineLvl w:val="0"/>
        <w:rPr>
          <w:b/>
          <w:bCs/>
        </w:rPr>
      </w:pPr>
      <w:r w:rsidRPr="003201BC">
        <w:rPr>
          <w:b/>
          <w:bCs/>
        </w:rPr>
        <w:t>3.  Non</w:t>
      </w:r>
      <w:r w:rsidR="00221107">
        <w:rPr>
          <w:b/>
          <w:bCs/>
        </w:rPr>
        <w:t>-</w:t>
      </w:r>
      <w:r w:rsidRPr="003201BC">
        <w:rPr>
          <w:b/>
          <w:bCs/>
        </w:rPr>
        <w:t>duplication, Consultations, and Other Collection Criteria</w:t>
      </w:r>
    </w:p>
    <w:p w14:paraId="3DA9E17E"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rPr>
          <w:b/>
          <w:bCs/>
        </w:rPr>
      </w:pPr>
    </w:p>
    <w:p w14:paraId="393C6CA0" w14:textId="1D9BB685"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rPr>
          <w:b/>
          <w:bCs/>
        </w:rPr>
      </w:pPr>
      <w:r w:rsidRPr="003201BC">
        <w:t xml:space="preserve">The requested recordkeeping and reporting are required under 40 CFR Part 63, </w:t>
      </w:r>
      <w:r w:rsidR="00264789">
        <w:t>Subpart MM</w:t>
      </w:r>
      <w:r w:rsidRPr="003201BC">
        <w:t>.</w:t>
      </w:r>
    </w:p>
    <w:p w14:paraId="5E200566"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rPr>
          <w:b/>
          <w:bCs/>
        </w:rPr>
      </w:pPr>
    </w:p>
    <w:p w14:paraId="0D7BFAA4" w14:textId="2B6AD8BD"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3(a)  Non</w:t>
      </w:r>
      <w:r w:rsidR="00221107">
        <w:rPr>
          <w:b/>
          <w:bCs/>
        </w:rPr>
        <w:t>-</w:t>
      </w:r>
      <w:r w:rsidRPr="003201BC">
        <w:rPr>
          <w:b/>
          <w:bCs/>
        </w:rPr>
        <w:t>duplication</w:t>
      </w:r>
    </w:p>
    <w:p w14:paraId="684B1E39"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24D356D6" w14:textId="4A166DAF" w:rsidR="004962EC" w:rsidRDefault="004962EC" w:rsidP="004962EC">
      <w:pPr>
        <w:pBdr>
          <w:top w:val="single" w:sz="6" w:space="0" w:color="FFFFFF"/>
          <w:left w:val="single" w:sz="6" w:space="0" w:color="FFFFFF"/>
          <w:bottom w:val="single" w:sz="6" w:space="0" w:color="FFFFFF"/>
          <w:right w:val="single" w:sz="6" w:space="0" w:color="FFFFFF"/>
        </w:pBdr>
        <w:ind w:firstLine="720"/>
      </w:pPr>
      <w:r w:rsidRPr="003201BC">
        <w:t xml:space="preserve"> If the subject standards have not been delegated, the information is sent directly to the appropriate EPA regional office</w:t>
      </w:r>
      <w:r w:rsidR="00D64CD1">
        <w:t xml:space="preserve">. </w:t>
      </w:r>
      <w:r w:rsidRPr="003201BC">
        <w:t>Otherwise, the information is sent directly to the delegated state or local agency</w:t>
      </w:r>
      <w:r w:rsidR="00D64CD1">
        <w:t xml:space="preserve">. </w:t>
      </w:r>
      <w:r w:rsidRPr="003201BC">
        <w:t>If a state or local agency has adopted its own similar standards to implement the Federal standards, a copy of the report submitted to the state or local agency can be sent to the Administrator in lieu of the report required by the Federal standards</w:t>
      </w:r>
      <w:r w:rsidR="00D64CD1">
        <w:t xml:space="preserve">. </w:t>
      </w:r>
      <w:r w:rsidRPr="003201BC">
        <w:t xml:space="preserve">Therefore, duplication </w:t>
      </w:r>
      <w:r w:rsidR="00221107">
        <w:t xml:space="preserve">does not </w:t>
      </w:r>
      <w:r w:rsidRPr="003201BC">
        <w:t>exist.</w:t>
      </w:r>
    </w:p>
    <w:p w14:paraId="5AB71952"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3D5346DD"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3(b)  Public Notice Required Prior to ICR Submission to OMB</w:t>
      </w:r>
    </w:p>
    <w:p w14:paraId="3ED27197"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2A5C7783" w14:textId="6E874A11"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 xml:space="preserve">An announcement of a public comment period for the renewal of this ICR was published in the </w:t>
      </w:r>
      <w:r w:rsidRPr="005F5896">
        <w:rPr>
          <w:i/>
        </w:rPr>
        <w:t>Federal Register</w:t>
      </w:r>
      <w:r w:rsidRPr="003201BC">
        <w:t xml:space="preserve"> (</w:t>
      </w:r>
      <w:r w:rsidR="00775674">
        <w:t>8</w:t>
      </w:r>
      <w:r w:rsidR="005F5896">
        <w:t>2</w:t>
      </w:r>
      <w:r w:rsidR="00775674">
        <w:t xml:space="preserve"> </w:t>
      </w:r>
      <w:r w:rsidRPr="005F5896">
        <w:rPr>
          <w:i/>
        </w:rPr>
        <w:t>FR</w:t>
      </w:r>
      <w:r w:rsidR="00775674">
        <w:rPr>
          <w:i/>
        </w:rPr>
        <w:t xml:space="preserve"> </w:t>
      </w:r>
      <w:r w:rsidR="00775674" w:rsidRPr="002301D2">
        <w:t>2</w:t>
      </w:r>
      <w:r w:rsidR="005F5896">
        <w:t>9552</w:t>
      </w:r>
      <w:r w:rsidRPr="003201BC">
        <w:t>) on</w:t>
      </w:r>
      <w:r w:rsidR="00FA3E43">
        <w:t xml:space="preserve"> </w:t>
      </w:r>
      <w:r w:rsidR="005F5896">
        <w:t>June 29</w:t>
      </w:r>
      <w:r w:rsidR="00FA3E43">
        <w:t>, 201</w:t>
      </w:r>
      <w:r w:rsidR="005F5896">
        <w:t>7</w:t>
      </w:r>
      <w:r w:rsidR="00D64CD1">
        <w:t xml:space="preserve">. </w:t>
      </w:r>
      <w:r w:rsidRPr="003201BC">
        <w:t xml:space="preserve">No comments were received on the burden published in the </w:t>
      </w:r>
      <w:r w:rsidRPr="005F5896">
        <w:rPr>
          <w:i/>
        </w:rPr>
        <w:t>Federal Register</w:t>
      </w:r>
      <w:r w:rsidR="00775674" w:rsidRPr="00775674">
        <w:t xml:space="preserve"> </w:t>
      </w:r>
      <w:r w:rsidR="00775674">
        <w:t>for this renewal</w:t>
      </w:r>
      <w:r w:rsidRPr="003201BC">
        <w:t xml:space="preserve">. </w:t>
      </w:r>
    </w:p>
    <w:p w14:paraId="3861A545"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150E2940"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3(c)  Consultations</w:t>
      </w:r>
    </w:p>
    <w:p w14:paraId="5B514647"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7B14C743" w14:textId="0153CC34" w:rsidR="004962EC" w:rsidRDefault="004962EC" w:rsidP="00D74704">
      <w:pPr>
        <w:widowControl/>
        <w:ind w:firstLine="720"/>
      </w:pPr>
      <w:r w:rsidRPr="003201BC">
        <w:t>The Agency has consulted i</w:t>
      </w:r>
      <w:r w:rsidRPr="003201BC">
        <w:rPr>
          <w:bCs/>
        </w:rPr>
        <w:t>ndustry experts and internal data sources to project the number of affected facilities and industry growth over the next three years</w:t>
      </w:r>
      <w:r w:rsidR="00D64CD1">
        <w:rPr>
          <w:bCs/>
        </w:rPr>
        <w:t xml:space="preserve">. </w:t>
      </w:r>
      <w:r w:rsidRPr="003201BC">
        <w:t xml:space="preserve">The primary source of information as reported by industry, in compliance with the recordkeeping and reporting provisions in the standard, is </w:t>
      </w:r>
      <w:r w:rsidR="00FA3E43" w:rsidRPr="00630380">
        <w:t>the Integrated Compliance Information System (ICIS). ICIS is EPA’s database for the collection, maintenance, and retrieval of compliance data for industrial and government-owned facilities</w:t>
      </w:r>
      <w:r w:rsidR="00D64CD1">
        <w:t xml:space="preserve">. </w:t>
      </w:r>
      <w:r w:rsidR="00C96BAD">
        <w:t xml:space="preserve">In addition, the EPA conducted an ICR in 2011 to gather data from the industry to update the burden estimates. </w:t>
      </w:r>
      <w:r w:rsidR="00C96BAD" w:rsidRPr="003201BC">
        <w:t>The</w:t>
      </w:r>
      <w:r w:rsidRPr="003201BC">
        <w:t xml:space="preserve"> growth rate for the industry is based on our consultations with the Agency’s internal industry experts</w:t>
      </w:r>
      <w:r w:rsidR="00D74704">
        <w:t>. Approximately 107 respondents will be subject to the</w:t>
      </w:r>
      <w:r w:rsidR="00221107">
        <w:t>se</w:t>
      </w:r>
      <w:r w:rsidR="00D74704">
        <w:t xml:space="preserve"> standard</w:t>
      </w:r>
      <w:r w:rsidR="00221107">
        <w:t>s</w:t>
      </w:r>
      <w:r w:rsidR="00D74704">
        <w:t xml:space="preserve"> over the three-year period covered by this ICR.</w:t>
      </w:r>
    </w:p>
    <w:p w14:paraId="5B0F5FA0" w14:textId="77D4650C" w:rsidR="00D74704" w:rsidRDefault="00D74704" w:rsidP="00C96BAD">
      <w:pPr>
        <w:widowControl/>
        <w:ind w:firstLine="720"/>
      </w:pPr>
    </w:p>
    <w:p w14:paraId="2A357B17" w14:textId="113631D7" w:rsidR="00D74704" w:rsidRPr="008D5991" w:rsidDel="006F6808" w:rsidRDefault="00D74704" w:rsidP="002725EF">
      <w:pPr>
        <w:ind w:firstLine="720"/>
      </w:pPr>
      <w:r w:rsidRPr="001A4B1C">
        <w:t>Industry trade association(s) and other interested parties were provided an opportunity to comment on the burden associated with the</w:t>
      </w:r>
      <w:r w:rsidR="00221107">
        <w:t>se</w:t>
      </w:r>
      <w:r w:rsidRPr="001A4B1C">
        <w:t xml:space="preserve"> standard</w:t>
      </w:r>
      <w:r w:rsidR="00221107">
        <w:t>s</w:t>
      </w:r>
      <w:r w:rsidRPr="001A4B1C">
        <w:t xml:space="preserve"> as </w:t>
      </w:r>
      <w:r w:rsidR="00221107">
        <w:t xml:space="preserve">they were </w:t>
      </w:r>
      <w:r w:rsidRPr="001A4B1C">
        <w:t>being developed and the</w:t>
      </w:r>
      <w:r w:rsidR="00221107">
        <w:t>se same</w:t>
      </w:r>
      <w:r w:rsidRPr="001A4B1C">
        <w:t xml:space="preserve"> standard</w:t>
      </w:r>
      <w:r w:rsidR="00221107">
        <w:t>s</w:t>
      </w:r>
      <w:r w:rsidRPr="001A4B1C">
        <w:t xml:space="preserve"> ha</w:t>
      </w:r>
      <w:r w:rsidR="00221107">
        <w:t>ve</w:t>
      </w:r>
      <w:r w:rsidRPr="001A4B1C">
        <w:t xml:space="preserve"> been reviewed </w:t>
      </w:r>
      <w:r w:rsidR="00221107" w:rsidRPr="00221107">
        <w:t xml:space="preserve">previously </w:t>
      </w:r>
      <w:r w:rsidRPr="001A4B1C">
        <w:t xml:space="preserve">to determine the minimum information needed for compliance purposes. </w:t>
      </w:r>
      <w:r w:rsidRPr="00593255">
        <w:t>In developing this ICR, we contacted both the American Forest and Paper Association (AF&amp;PA)</w:t>
      </w:r>
      <w:r w:rsidR="00221107">
        <w:t>,</w:t>
      </w:r>
      <w:r w:rsidRPr="00593255">
        <w:t xml:space="preserve"> at 202-463-2700</w:t>
      </w:r>
      <w:r w:rsidR="00221107">
        <w:t>,</w:t>
      </w:r>
      <w:r w:rsidRPr="00593255">
        <w:t xml:space="preserve"> and the </w:t>
      </w:r>
      <w:r w:rsidRPr="00B97B63">
        <w:t>National Council for Air and Stream Improvement (NCASI)</w:t>
      </w:r>
      <w:r w:rsidR="00221107">
        <w:t>,</w:t>
      </w:r>
      <w:r w:rsidRPr="00B97B63">
        <w:t xml:space="preserve"> at 919-941-6400</w:t>
      </w:r>
      <w:r w:rsidRPr="008D5991">
        <w:t>.</w:t>
      </w:r>
      <w:r w:rsidR="005115CA" w:rsidRPr="008D5991">
        <w:t xml:space="preserve"> Comments from the AF&amp;PA indicated that </w:t>
      </w:r>
      <w:r w:rsidR="00387E8B" w:rsidRPr="008D5991">
        <w:t xml:space="preserve">a dissolving pulp mill </w:t>
      </w:r>
      <w:r w:rsidR="00AA34D6" w:rsidRPr="008D5991">
        <w:t xml:space="preserve">is estimated to startup operation in </w:t>
      </w:r>
      <w:r w:rsidR="00387E8B" w:rsidRPr="008D5991">
        <w:t xml:space="preserve">Arkansas in </w:t>
      </w:r>
      <w:r w:rsidR="00AA34D6" w:rsidRPr="008D5991">
        <w:t>2020 or 2021.</w:t>
      </w:r>
      <w:r w:rsidR="008D5991">
        <w:t xml:space="preserve"> This new facility is in addition to the one new respondent per year that is an existing facility constructing new process units.</w:t>
      </w:r>
    </w:p>
    <w:p w14:paraId="672D559D" w14:textId="77777777" w:rsidR="004962EC" w:rsidRPr="00593255" w:rsidRDefault="004962EC" w:rsidP="004962EC"/>
    <w:p w14:paraId="513A670A" w14:textId="6BE75526" w:rsidR="004962EC" w:rsidRPr="003201BC" w:rsidRDefault="004962EC" w:rsidP="004962EC">
      <w:pPr>
        <w:widowControl/>
        <w:ind w:firstLine="720"/>
      </w:pPr>
      <w:r w:rsidRPr="003201BC">
        <w:rPr>
          <w:bCs/>
        </w:rPr>
        <w:t>It is our policy to respond after a thorough review of comments received since the last ICR renewal</w:t>
      </w:r>
      <w:r w:rsidR="00221107">
        <w:rPr>
          <w:bCs/>
        </w:rPr>
        <w:t>,</w:t>
      </w:r>
      <w:r w:rsidRPr="003201BC">
        <w:rPr>
          <w:bCs/>
        </w:rPr>
        <w:t xml:space="preserve"> as well as those submitted in response to the first </w:t>
      </w:r>
      <w:r w:rsidRPr="00D64CD1">
        <w:rPr>
          <w:bCs/>
          <w:i/>
        </w:rPr>
        <w:t>Federal Register</w:t>
      </w:r>
      <w:r w:rsidRPr="003201BC">
        <w:rPr>
          <w:bCs/>
        </w:rPr>
        <w:t xml:space="preserve"> notice. </w:t>
      </w:r>
      <w:r w:rsidRPr="003201BC">
        <w:t>In this case, no comments were received.</w:t>
      </w:r>
    </w:p>
    <w:p w14:paraId="488FBFE7"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4DC1CF84" w14:textId="6722C072"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3(d)  Effects of Less</w:t>
      </w:r>
      <w:r w:rsidR="00221107">
        <w:rPr>
          <w:b/>
          <w:bCs/>
        </w:rPr>
        <w:t>-</w:t>
      </w:r>
      <w:r w:rsidRPr="003201BC">
        <w:rPr>
          <w:b/>
          <w:bCs/>
        </w:rPr>
        <w:t>Frequent Collection</w:t>
      </w:r>
    </w:p>
    <w:p w14:paraId="1F42E98D"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65067D98" w14:textId="3B3DD039"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Less</w:t>
      </w:r>
      <w:r w:rsidR="00221107">
        <w:t>-</w:t>
      </w:r>
      <w:r w:rsidRPr="003201BC">
        <w:t>frequent information collection would decrease the margin of assurance that facilities are continuing to meet the</w:t>
      </w:r>
      <w:r w:rsidR="00221107">
        <w:t>se</w:t>
      </w:r>
      <w:r w:rsidRPr="003201BC">
        <w:t xml:space="preserve"> standards</w:t>
      </w:r>
      <w:r w:rsidR="00D64CD1">
        <w:t xml:space="preserve">. </w:t>
      </w:r>
      <w:r w:rsidRPr="003201BC">
        <w:t>Requirements for information gathering and recordkeeping are useful techniques to ensure that good operation and maintenance practices are applied and emission limitations are met</w:t>
      </w:r>
      <w:r w:rsidR="00D64CD1">
        <w:t xml:space="preserve">. </w:t>
      </w:r>
      <w:r w:rsidRPr="003201BC">
        <w:t>If the information required by these standards was collected less frequently, the proper operation and maintenance of control equipment and the possibility of detecting violations would be less likely.</w:t>
      </w:r>
    </w:p>
    <w:p w14:paraId="450D12F9"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219DC3BC"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3(e)  General Guidelines</w:t>
      </w:r>
    </w:p>
    <w:p w14:paraId="3C6ABEA4"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31922AD4" w14:textId="77777777" w:rsidR="00175150" w:rsidRDefault="004962EC" w:rsidP="004962EC">
      <w:pPr>
        <w:pBdr>
          <w:top w:val="single" w:sz="6" w:space="0" w:color="FFFFFF"/>
          <w:left w:val="single" w:sz="6" w:space="0" w:color="FFFFFF"/>
          <w:bottom w:val="single" w:sz="6" w:space="0" w:color="FFFFFF"/>
          <w:right w:val="single" w:sz="6" w:space="0" w:color="FFFFFF"/>
        </w:pBdr>
        <w:ind w:firstLine="720"/>
      </w:pPr>
      <w:r w:rsidRPr="003201BC">
        <w:t>These reporting or recordkeeping requirements do not violate any of the regulations promulgated by OMB under 5 CFR Part 1320, Section 1320.5.</w:t>
      </w:r>
      <w:r w:rsidR="00F4098C">
        <w:t xml:space="preserve"> </w:t>
      </w:r>
    </w:p>
    <w:p w14:paraId="42F5763E" w14:textId="77777777" w:rsidR="00175150" w:rsidRDefault="00175150" w:rsidP="004962EC">
      <w:pPr>
        <w:pBdr>
          <w:top w:val="single" w:sz="6" w:space="0" w:color="FFFFFF"/>
          <w:left w:val="single" w:sz="6" w:space="0" w:color="FFFFFF"/>
          <w:bottom w:val="single" w:sz="6" w:space="0" w:color="FFFFFF"/>
          <w:right w:val="single" w:sz="6" w:space="0" w:color="FFFFFF"/>
        </w:pBdr>
        <w:ind w:firstLine="720"/>
      </w:pPr>
    </w:p>
    <w:p w14:paraId="2A8C62C2" w14:textId="58E0BE65"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These standards require the respondents to maintain all records, including reports and notifications for at least five years</w:t>
      </w:r>
      <w:r w:rsidR="00D64CD1">
        <w:t xml:space="preserve">. </w:t>
      </w:r>
      <w:r w:rsidRPr="003201BC">
        <w:t>This is consistent with the General Provisions as applied to the</w:t>
      </w:r>
      <w:r w:rsidR="00221107">
        <w:t>se same</w:t>
      </w:r>
      <w:r w:rsidRPr="003201BC">
        <w:t xml:space="preserve"> standards</w:t>
      </w:r>
      <w:r w:rsidR="00D64CD1">
        <w:t xml:space="preserve">. </w:t>
      </w:r>
      <w:r w:rsidR="001B705C">
        <w:t xml:space="preserve">The </w:t>
      </w:r>
      <w:r w:rsidRPr="003201BC">
        <w:t>EPA believes that the five</w:t>
      </w:r>
      <w:r w:rsidR="003155FE">
        <w:t>-</w:t>
      </w:r>
      <w:r w:rsidRPr="003201BC">
        <w:t>year records retention requirement is consistent with the Part 70 permit program and the five</w:t>
      </w:r>
      <w:r w:rsidR="003155FE">
        <w:t>-</w:t>
      </w:r>
      <w:r w:rsidRPr="003201BC">
        <w:t>year statute of limitations on which the permit program is based</w:t>
      </w:r>
      <w:r w:rsidR="00D64CD1">
        <w:t xml:space="preserve">. </w:t>
      </w:r>
      <w:r w:rsidRPr="003201BC">
        <w:t xml:space="preserve">The retention of records for five years allows </w:t>
      </w:r>
      <w:r w:rsidR="001B705C">
        <w:t xml:space="preserve">the </w:t>
      </w:r>
      <w:r w:rsidRPr="003201BC">
        <w:t>EPA to establish the compliance history of a source, any pattern of non-compliance and to determine the appropriate level of enforcement action</w:t>
      </w:r>
      <w:r w:rsidR="00D64CD1">
        <w:t xml:space="preserve">. </w:t>
      </w:r>
      <w:r w:rsidR="001B705C">
        <w:t xml:space="preserve">The </w:t>
      </w:r>
      <w:r w:rsidRPr="003201BC">
        <w:t>EPA has found that the most flagrant violators have violations extending beyond five years</w:t>
      </w:r>
      <w:r w:rsidR="00D64CD1">
        <w:t xml:space="preserve">. </w:t>
      </w:r>
      <w:r w:rsidRPr="003201BC">
        <w:t xml:space="preserve">In addition, </w:t>
      </w:r>
      <w:r w:rsidR="001B705C">
        <w:t xml:space="preserve">the </w:t>
      </w:r>
      <w:r w:rsidRPr="003201BC">
        <w:t>EPA would be prevented from pursuing the violators due to the destruction or nonexistence of essential records.</w:t>
      </w:r>
    </w:p>
    <w:p w14:paraId="66B58617"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5CE6037C"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3(f)  Confidentiality</w:t>
      </w:r>
    </w:p>
    <w:p w14:paraId="7F2091CC"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1F863294" w14:textId="4ACD5C5F"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 xml:space="preserve">Any information submitted to the Agency for which a claim of confidentiality is made will be safeguarded according to the Agency policies set forth in Title 40, chapter 1, part 2, subpart B - Confidentiality of Business Information </w:t>
      </w:r>
      <w:r w:rsidR="00221107">
        <w:t xml:space="preserve">(CBI) </w:t>
      </w:r>
      <w:r w:rsidRPr="003201BC">
        <w:t xml:space="preserve">(see 40 CFR 2; 41 </w:t>
      </w:r>
      <w:r w:rsidRPr="00D64CD1">
        <w:rPr>
          <w:i/>
        </w:rPr>
        <w:t>FR</w:t>
      </w:r>
      <w:r w:rsidRPr="003201BC">
        <w:t xml:space="preserve"> 36902, September 1, 1976; amended by 43 </w:t>
      </w:r>
      <w:r w:rsidRPr="00D64CD1">
        <w:rPr>
          <w:i/>
        </w:rPr>
        <w:t>FR</w:t>
      </w:r>
      <w:r w:rsidRPr="003201BC">
        <w:t xml:space="preserve"> 40000, September 8, 1978; 43 </w:t>
      </w:r>
      <w:r w:rsidRPr="00D64CD1">
        <w:rPr>
          <w:i/>
        </w:rPr>
        <w:t>FR</w:t>
      </w:r>
      <w:r w:rsidRPr="003201BC">
        <w:t xml:space="preserve"> 42251, September 20, 1978; 44 </w:t>
      </w:r>
      <w:r w:rsidRPr="00D64CD1">
        <w:rPr>
          <w:i/>
        </w:rPr>
        <w:t>FR</w:t>
      </w:r>
      <w:r w:rsidRPr="003201BC">
        <w:t xml:space="preserve"> 17674, March 23, 1979).</w:t>
      </w:r>
    </w:p>
    <w:p w14:paraId="7A4F07CB"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44EAE125"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3(g)  Sensitive Questions</w:t>
      </w:r>
    </w:p>
    <w:p w14:paraId="01CC1F96"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0EE47A7D"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The reporting or recordkeeping requirements in the standard do not include sensitive questions.</w:t>
      </w:r>
    </w:p>
    <w:p w14:paraId="6E3BBB57"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048EF6B7"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outlineLvl w:val="0"/>
        <w:rPr>
          <w:b/>
          <w:bCs/>
        </w:rPr>
      </w:pPr>
      <w:r w:rsidRPr="003201BC">
        <w:rPr>
          <w:b/>
          <w:bCs/>
        </w:rPr>
        <w:t>4.  The Respondents and the Information Requested</w:t>
      </w:r>
    </w:p>
    <w:p w14:paraId="7B9B7290"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rPr>
          <w:b/>
          <w:bCs/>
        </w:rPr>
      </w:pPr>
    </w:p>
    <w:p w14:paraId="15870556"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4(a)  Respondents/SIC Codes</w:t>
      </w:r>
    </w:p>
    <w:p w14:paraId="77E47401"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575A2570" w14:textId="4D69E962" w:rsidR="00054572" w:rsidRPr="003F1AFC" w:rsidRDefault="00054572" w:rsidP="00054572">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00C537C7">
        <w:rPr>
          <w:color w:val="000000"/>
        </w:rPr>
        <w:t xml:space="preserve">owners or operators of </w:t>
      </w:r>
      <w:r>
        <w:t>chemical recovery combustion sources at kraft, soda, sulfite, and stand-alone semichemical pulp mill</w:t>
      </w:r>
      <w:r w:rsidR="00C537C7">
        <w:t>s</w:t>
      </w:r>
      <w:r>
        <w:rPr>
          <w:color w:val="000000"/>
        </w:rPr>
        <w:t>. The United States Standard Industrial Classification (SIC) codes for the respondents affected by the standards and the corresp</w:t>
      </w:r>
      <w:r w:rsidRPr="00FA7D77">
        <w:t xml:space="preserve">onding North American Industry Classification System (NAICS) </w:t>
      </w:r>
      <w:r>
        <w:t xml:space="preserve">codes </w:t>
      </w:r>
      <w:r w:rsidRPr="00FA7D77">
        <w:t>are listed in the table below</w:t>
      </w:r>
      <w:r w:rsidR="00221107">
        <w:rPr>
          <w:color w:val="000000"/>
        </w:rPr>
        <w:t>:</w:t>
      </w:r>
      <w:r>
        <w:rPr>
          <w:color w:val="000000"/>
        </w:rPr>
        <w:t xml:space="preserve"> </w:t>
      </w:r>
    </w:p>
    <w:p w14:paraId="385B1BEB" w14:textId="77777777" w:rsidR="00054572" w:rsidRDefault="00054572" w:rsidP="00054572">
      <w:pPr>
        <w:pBdr>
          <w:top w:val="single" w:sz="6" w:space="0" w:color="FFFFFF"/>
          <w:left w:val="single" w:sz="6" w:space="0" w:color="FFFFFF"/>
          <w:bottom w:val="single" w:sz="6" w:space="0" w:color="FFFFFF"/>
          <w:right w:val="single" w:sz="6" w:space="0" w:color="FFFFFF"/>
        </w:pBdr>
        <w:rPr>
          <w:color w:val="00000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000" w:firstRow="0" w:lastRow="0" w:firstColumn="0" w:lastColumn="0" w:noHBand="0" w:noVBand="0"/>
      </w:tblPr>
      <w:tblGrid>
        <w:gridCol w:w="4680"/>
        <w:gridCol w:w="2250"/>
        <w:gridCol w:w="2430"/>
      </w:tblGrid>
      <w:tr w:rsidR="00054572" w14:paraId="3C1181C2" w14:textId="77777777" w:rsidTr="008D5991">
        <w:tc>
          <w:tcPr>
            <w:tcW w:w="4680" w:type="dxa"/>
          </w:tcPr>
          <w:p w14:paraId="1A4AE53C" w14:textId="77777777" w:rsidR="00054572" w:rsidRDefault="00054572" w:rsidP="00932658">
            <w:pPr>
              <w:spacing w:line="120" w:lineRule="exact"/>
              <w:jc w:val="center"/>
              <w:rPr>
                <w:color w:val="000000"/>
              </w:rPr>
            </w:pPr>
          </w:p>
          <w:p w14:paraId="4648E0A0" w14:textId="77777777" w:rsidR="00054572" w:rsidRDefault="00054572" w:rsidP="00932658">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Standard (</w:t>
            </w:r>
            <w:r w:rsidRPr="000906B7">
              <w:rPr>
                <w:b/>
                <w:bCs/>
                <w:color w:val="000000"/>
              </w:rPr>
              <w:t>40 CFR Part 6</w:t>
            </w:r>
            <w:r>
              <w:rPr>
                <w:b/>
                <w:bCs/>
                <w:color w:val="000000"/>
              </w:rPr>
              <w:t>3</w:t>
            </w:r>
            <w:r w:rsidRPr="000906B7">
              <w:rPr>
                <w:b/>
                <w:bCs/>
                <w:color w:val="000000"/>
              </w:rPr>
              <w:t>, Subpart M</w:t>
            </w:r>
            <w:r>
              <w:rPr>
                <w:b/>
                <w:bCs/>
                <w:color w:val="000000"/>
              </w:rPr>
              <w:t>M)</w:t>
            </w:r>
          </w:p>
        </w:tc>
        <w:tc>
          <w:tcPr>
            <w:tcW w:w="2250" w:type="dxa"/>
          </w:tcPr>
          <w:p w14:paraId="74DE2BF2" w14:textId="77777777" w:rsidR="00054572" w:rsidRDefault="00054572" w:rsidP="00932658">
            <w:pPr>
              <w:spacing w:line="120" w:lineRule="exact"/>
              <w:jc w:val="center"/>
              <w:rPr>
                <w:b/>
                <w:bCs/>
                <w:color w:val="000000"/>
              </w:rPr>
            </w:pPr>
          </w:p>
          <w:p w14:paraId="0A48CA3E" w14:textId="77777777" w:rsidR="00054572" w:rsidRDefault="00054572" w:rsidP="00932658">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2430" w:type="dxa"/>
          </w:tcPr>
          <w:p w14:paraId="25837295" w14:textId="77777777" w:rsidR="00054572" w:rsidRDefault="00054572" w:rsidP="00932658">
            <w:pPr>
              <w:spacing w:line="120" w:lineRule="exact"/>
              <w:jc w:val="center"/>
              <w:rPr>
                <w:b/>
                <w:bCs/>
                <w:color w:val="000000"/>
              </w:rPr>
            </w:pPr>
          </w:p>
          <w:p w14:paraId="3ECF9199" w14:textId="77777777" w:rsidR="00054572" w:rsidRDefault="00054572" w:rsidP="00932658">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054572" w14:paraId="2FC18E8D" w14:textId="77777777" w:rsidTr="008D5991">
        <w:tc>
          <w:tcPr>
            <w:tcW w:w="4680" w:type="dxa"/>
          </w:tcPr>
          <w:p w14:paraId="06ABCDE4" w14:textId="77777777" w:rsidR="00054572" w:rsidRDefault="00054572" w:rsidP="00932658">
            <w:pPr>
              <w:pBdr>
                <w:top w:val="single" w:sz="6" w:space="0" w:color="FFFFFF"/>
                <w:left w:val="single" w:sz="6" w:space="0" w:color="FFFFFF"/>
                <w:bottom w:val="single" w:sz="6" w:space="0" w:color="FFFFFF"/>
                <w:right w:val="single" w:sz="6" w:space="0" w:color="FFFFFF"/>
              </w:pBdr>
              <w:spacing w:after="54"/>
              <w:rPr>
                <w:color w:val="000000"/>
              </w:rPr>
            </w:pPr>
            <w:r>
              <w:t>Pulp Mills</w:t>
            </w:r>
          </w:p>
        </w:tc>
        <w:tc>
          <w:tcPr>
            <w:tcW w:w="2250" w:type="dxa"/>
          </w:tcPr>
          <w:p w14:paraId="08065236" w14:textId="77777777" w:rsidR="00054572" w:rsidRDefault="00054572" w:rsidP="00932658">
            <w:pPr>
              <w:pBdr>
                <w:top w:val="single" w:sz="6" w:space="0" w:color="FFFFFF"/>
                <w:left w:val="single" w:sz="6" w:space="0" w:color="FFFFFF"/>
                <w:bottom w:val="single" w:sz="6" w:space="0" w:color="FFFFFF"/>
                <w:right w:val="single" w:sz="6" w:space="0" w:color="FFFFFF"/>
              </w:pBdr>
              <w:spacing w:after="54"/>
              <w:jc w:val="center"/>
              <w:rPr>
                <w:color w:val="000000"/>
              </w:rPr>
            </w:pPr>
            <w:r>
              <w:t>2611</w:t>
            </w:r>
          </w:p>
        </w:tc>
        <w:tc>
          <w:tcPr>
            <w:tcW w:w="2430" w:type="dxa"/>
          </w:tcPr>
          <w:p w14:paraId="758CA5CD" w14:textId="77777777" w:rsidR="00054572" w:rsidRDefault="00054572" w:rsidP="00932658">
            <w:pPr>
              <w:pBdr>
                <w:top w:val="single" w:sz="6" w:space="0" w:color="FFFFFF"/>
                <w:left w:val="single" w:sz="6" w:space="0" w:color="FFFFFF"/>
                <w:bottom w:val="single" w:sz="6" w:space="0" w:color="FFFFFF"/>
                <w:right w:val="single" w:sz="6" w:space="0" w:color="FFFFFF"/>
              </w:pBdr>
              <w:spacing w:after="54"/>
              <w:jc w:val="center"/>
              <w:rPr>
                <w:color w:val="000000"/>
              </w:rPr>
            </w:pPr>
            <w:r>
              <w:t>32211</w:t>
            </w:r>
          </w:p>
        </w:tc>
      </w:tr>
      <w:tr w:rsidR="00054572" w14:paraId="70B0348F" w14:textId="77777777" w:rsidTr="008D5991">
        <w:tc>
          <w:tcPr>
            <w:tcW w:w="4680" w:type="dxa"/>
          </w:tcPr>
          <w:p w14:paraId="2F869269" w14:textId="77777777" w:rsidR="00054572" w:rsidRDefault="00054572" w:rsidP="00932658">
            <w:pPr>
              <w:pBdr>
                <w:top w:val="single" w:sz="6" w:space="0" w:color="FFFFFF"/>
                <w:left w:val="single" w:sz="6" w:space="0" w:color="FFFFFF"/>
                <w:bottom w:val="single" w:sz="6" w:space="0" w:color="FFFFFF"/>
                <w:right w:val="single" w:sz="6" w:space="0" w:color="FFFFFF"/>
              </w:pBdr>
              <w:spacing w:after="54"/>
              <w:rPr>
                <w:color w:val="000000"/>
              </w:rPr>
            </w:pPr>
            <w:r>
              <w:t>Paper Mills</w:t>
            </w:r>
          </w:p>
        </w:tc>
        <w:tc>
          <w:tcPr>
            <w:tcW w:w="2250" w:type="dxa"/>
          </w:tcPr>
          <w:p w14:paraId="58ABA228" w14:textId="77777777" w:rsidR="00054572" w:rsidRDefault="00054572" w:rsidP="00932658">
            <w:pPr>
              <w:pBdr>
                <w:top w:val="single" w:sz="6" w:space="0" w:color="FFFFFF"/>
                <w:left w:val="single" w:sz="6" w:space="0" w:color="FFFFFF"/>
                <w:bottom w:val="single" w:sz="6" w:space="0" w:color="FFFFFF"/>
                <w:right w:val="single" w:sz="6" w:space="0" w:color="FFFFFF"/>
              </w:pBdr>
              <w:spacing w:after="54"/>
              <w:jc w:val="center"/>
              <w:rPr>
                <w:color w:val="000000"/>
              </w:rPr>
            </w:pPr>
            <w:r>
              <w:t>2621</w:t>
            </w:r>
          </w:p>
        </w:tc>
        <w:tc>
          <w:tcPr>
            <w:tcW w:w="2430" w:type="dxa"/>
          </w:tcPr>
          <w:p w14:paraId="4B78B478" w14:textId="77777777" w:rsidR="00054572" w:rsidRDefault="00054572" w:rsidP="00932658">
            <w:pPr>
              <w:pBdr>
                <w:top w:val="single" w:sz="6" w:space="0" w:color="FFFFFF"/>
                <w:left w:val="single" w:sz="6" w:space="0" w:color="FFFFFF"/>
                <w:bottom w:val="single" w:sz="6" w:space="0" w:color="FFFFFF"/>
                <w:right w:val="single" w:sz="6" w:space="0" w:color="FFFFFF"/>
              </w:pBdr>
              <w:spacing w:after="54"/>
              <w:jc w:val="center"/>
              <w:rPr>
                <w:color w:val="000000"/>
              </w:rPr>
            </w:pPr>
            <w:r>
              <w:t>32212</w:t>
            </w:r>
          </w:p>
        </w:tc>
      </w:tr>
      <w:tr w:rsidR="00054572" w14:paraId="141E963A" w14:textId="77777777" w:rsidTr="008D5991">
        <w:tc>
          <w:tcPr>
            <w:tcW w:w="4680" w:type="dxa"/>
          </w:tcPr>
          <w:p w14:paraId="32DD5167" w14:textId="77777777" w:rsidR="00054572" w:rsidRDefault="00054572" w:rsidP="00932658">
            <w:pPr>
              <w:pBdr>
                <w:top w:val="single" w:sz="6" w:space="0" w:color="FFFFFF"/>
                <w:left w:val="single" w:sz="6" w:space="0" w:color="FFFFFF"/>
                <w:bottom w:val="single" w:sz="6" w:space="0" w:color="FFFFFF"/>
                <w:right w:val="single" w:sz="6" w:space="0" w:color="FFFFFF"/>
              </w:pBdr>
              <w:spacing w:after="54"/>
              <w:rPr>
                <w:color w:val="000000"/>
              </w:rPr>
            </w:pPr>
            <w:r>
              <w:t>Paperboard Mills</w:t>
            </w:r>
          </w:p>
        </w:tc>
        <w:tc>
          <w:tcPr>
            <w:tcW w:w="2250" w:type="dxa"/>
          </w:tcPr>
          <w:p w14:paraId="6F88B535" w14:textId="77777777" w:rsidR="00054572" w:rsidRDefault="00054572" w:rsidP="00932658">
            <w:pPr>
              <w:pBdr>
                <w:top w:val="single" w:sz="6" w:space="0" w:color="FFFFFF"/>
                <w:left w:val="single" w:sz="6" w:space="0" w:color="FFFFFF"/>
                <w:bottom w:val="single" w:sz="6" w:space="0" w:color="FFFFFF"/>
                <w:right w:val="single" w:sz="6" w:space="0" w:color="FFFFFF"/>
              </w:pBdr>
              <w:spacing w:after="54"/>
              <w:jc w:val="center"/>
              <w:rPr>
                <w:color w:val="000000"/>
              </w:rPr>
            </w:pPr>
            <w:r>
              <w:t>2631</w:t>
            </w:r>
          </w:p>
        </w:tc>
        <w:tc>
          <w:tcPr>
            <w:tcW w:w="2430" w:type="dxa"/>
          </w:tcPr>
          <w:p w14:paraId="6A9C9575" w14:textId="77777777" w:rsidR="00054572" w:rsidRDefault="00054572" w:rsidP="00932658">
            <w:pPr>
              <w:pBdr>
                <w:top w:val="single" w:sz="6" w:space="0" w:color="FFFFFF"/>
                <w:left w:val="single" w:sz="6" w:space="0" w:color="FFFFFF"/>
                <w:bottom w:val="single" w:sz="6" w:space="0" w:color="FFFFFF"/>
                <w:right w:val="single" w:sz="6" w:space="0" w:color="FFFFFF"/>
              </w:pBdr>
              <w:spacing w:after="54"/>
              <w:jc w:val="center"/>
              <w:rPr>
                <w:color w:val="000000"/>
              </w:rPr>
            </w:pPr>
            <w:r>
              <w:t>32213</w:t>
            </w:r>
          </w:p>
        </w:tc>
      </w:tr>
    </w:tbl>
    <w:p w14:paraId="7475F80C" w14:textId="77777777" w:rsidR="00054572" w:rsidRDefault="00054572" w:rsidP="00054572">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14:paraId="76E5746C"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4(b)  Information Requested</w:t>
      </w:r>
    </w:p>
    <w:p w14:paraId="5BB05589"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16CE3DD1"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1440"/>
        <w:outlineLvl w:val="0"/>
      </w:pPr>
      <w:r w:rsidRPr="003201BC">
        <w:rPr>
          <w:b/>
          <w:bCs/>
        </w:rPr>
        <w:t>(i)  Data Items</w:t>
      </w:r>
    </w:p>
    <w:p w14:paraId="012634A0"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31BD8C5B" w14:textId="1D498740"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 xml:space="preserve">In this ICR, all the data that </w:t>
      </w:r>
      <w:r w:rsidR="000C5A2D">
        <w:t>are</w:t>
      </w:r>
      <w:r w:rsidR="000C5A2D" w:rsidRPr="003201BC">
        <w:t xml:space="preserve"> </w:t>
      </w:r>
      <w:r w:rsidRPr="003201BC">
        <w:t>recorded or reported is required by</w:t>
      </w:r>
      <w:r>
        <w:t xml:space="preserve"> the</w:t>
      </w:r>
      <w:r w:rsidRPr="003201BC">
        <w:t xml:space="preserve"> NESHAP for </w:t>
      </w:r>
      <w:r w:rsidR="00264789">
        <w:t>Chemical Recovery Combustion Sources at Kraft, Soda, Sulfite, and Stand-Alone Semichemical Pulp Mills</w:t>
      </w:r>
      <w:r w:rsidRPr="003201BC">
        <w:t xml:space="preserve"> (40 CFR Part 63, </w:t>
      </w:r>
      <w:r w:rsidR="00264789">
        <w:t>Subpart MM</w:t>
      </w:r>
      <w:r w:rsidRPr="003201BC">
        <w:t>).</w:t>
      </w:r>
    </w:p>
    <w:p w14:paraId="4FBE5BAC"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54CFA7F1" w14:textId="12A01C5A"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 xml:space="preserve">A source must make the following </w:t>
      </w:r>
      <w:r w:rsidR="0047713F">
        <w:t xml:space="preserve">notifications and </w:t>
      </w:r>
      <w:r w:rsidRPr="003201BC">
        <w:t>reports:</w:t>
      </w:r>
    </w:p>
    <w:p w14:paraId="3D6AB19A"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6561"/>
        <w:gridCol w:w="2799"/>
      </w:tblGrid>
      <w:tr w:rsidR="00054572" w:rsidRPr="001479A4" w14:paraId="45705861" w14:textId="77777777" w:rsidTr="00932658">
        <w:trPr>
          <w:trHeight w:val="63"/>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5CD3D3C7" w14:textId="47646298"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jc w:val="center"/>
              <w:rPr>
                <w:b/>
                <w:sz w:val="22"/>
                <w:szCs w:val="22"/>
              </w:rPr>
            </w:pPr>
            <w:r w:rsidRPr="001479A4">
              <w:rPr>
                <w:b/>
                <w:sz w:val="22"/>
                <w:szCs w:val="22"/>
              </w:rPr>
              <w:t>Notifications</w:t>
            </w:r>
          </w:p>
        </w:tc>
      </w:tr>
      <w:tr w:rsidR="00054572" w:rsidRPr="001479A4" w14:paraId="77B5D649" w14:textId="77777777" w:rsidTr="00932658">
        <w:trPr>
          <w:jc w:val="center"/>
        </w:trPr>
        <w:tc>
          <w:tcPr>
            <w:tcW w:w="6561" w:type="dxa"/>
            <w:tcBorders>
              <w:top w:val="single" w:sz="7" w:space="0" w:color="000000"/>
              <w:left w:val="single" w:sz="7" w:space="0" w:color="000000"/>
              <w:bottom w:val="single" w:sz="7" w:space="0" w:color="000000"/>
              <w:right w:val="single" w:sz="7" w:space="0" w:color="000000"/>
            </w:tcBorders>
            <w:vAlign w:val="bottom"/>
          </w:tcPr>
          <w:p w14:paraId="01FB47FA"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b/>
                <w:sz w:val="22"/>
                <w:szCs w:val="22"/>
              </w:rPr>
            </w:pPr>
            <w:r w:rsidRPr="001479A4">
              <w:rPr>
                <w:b/>
                <w:sz w:val="22"/>
                <w:szCs w:val="22"/>
              </w:rPr>
              <w:t>Requirement</w:t>
            </w:r>
          </w:p>
        </w:tc>
        <w:tc>
          <w:tcPr>
            <w:tcW w:w="2799" w:type="dxa"/>
            <w:tcBorders>
              <w:top w:val="single" w:sz="7" w:space="0" w:color="000000"/>
              <w:left w:val="single" w:sz="7" w:space="0" w:color="000000"/>
              <w:bottom w:val="single" w:sz="7" w:space="0" w:color="000000"/>
              <w:right w:val="single" w:sz="7" w:space="0" w:color="000000"/>
            </w:tcBorders>
            <w:vAlign w:val="bottom"/>
          </w:tcPr>
          <w:p w14:paraId="2004E0EB" w14:textId="77777777" w:rsidR="00054572" w:rsidRPr="001479A4" w:rsidRDefault="00054572" w:rsidP="00932658">
            <w:pPr>
              <w:rPr>
                <w:b/>
                <w:sz w:val="22"/>
                <w:szCs w:val="22"/>
              </w:rPr>
            </w:pPr>
            <w:r w:rsidRPr="001479A4">
              <w:rPr>
                <w:b/>
                <w:sz w:val="22"/>
                <w:szCs w:val="22"/>
              </w:rPr>
              <w:t>Regulation Reference</w:t>
            </w:r>
          </w:p>
          <w:p w14:paraId="76355975" w14:textId="77777777" w:rsidR="00054572" w:rsidRPr="001479A4" w:rsidRDefault="00054572" w:rsidP="00932658">
            <w:pPr>
              <w:spacing w:after="58"/>
              <w:rPr>
                <w:b/>
                <w:sz w:val="22"/>
                <w:szCs w:val="22"/>
              </w:rPr>
            </w:pPr>
            <w:r w:rsidRPr="001479A4">
              <w:rPr>
                <w:b/>
                <w:sz w:val="22"/>
                <w:szCs w:val="22"/>
              </w:rPr>
              <w:t>(40 CFR Part 63)</w:t>
            </w:r>
          </w:p>
        </w:tc>
      </w:tr>
      <w:tr w:rsidR="00054572" w:rsidRPr="001479A4" w14:paraId="339ED3EF" w14:textId="77777777" w:rsidTr="00932658">
        <w:trPr>
          <w:jc w:val="center"/>
        </w:trPr>
        <w:tc>
          <w:tcPr>
            <w:tcW w:w="6561" w:type="dxa"/>
            <w:tcBorders>
              <w:top w:val="single" w:sz="7" w:space="0" w:color="000000"/>
              <w:left w:val="single" w:sz="7" w:space="0" w:color="000000"/>
              <w:bottom w:val="single" w:sz="7" w:space="0" w:color="000000"/>
              <w:right w:val="single" w:sz="7" w:space="0" w:color="000000"/>
            </w:tcBorders>
          </w:tcPr>
          <w:p w14:paraId="15EAA73B" w14:textId="77777777" w:rsidR="00054572" w:rsidRPr="0047713F"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47713F">
              <w:rPr>
                <w:sz w:val="22"/>
                <w:szCs w:val="22"/>
              </w:rPr>
              <w:t>Construction/reconstruction</w:t>
            </w:r>
          </w:p>
        </w:tc>
        <w:tc>
          <w:tcPr>
            <w:tcW w:w="2799" w:type="dxa"/>
            <w:tcBorders>
              <w:top w:val="single" w:sz="7" w:space="0" w:color="000000"/>
              <w:left w:val="single" w:sz="7" w:space="0" w:color="000000"/>
              <w:bottom w:val="single" w:sz="7" w:space="0" w:color="000000"/>
              <w:right w:val="single" w:sz="7" w:space="0" w:color="000000"/>
            </w:tcBorders>
          </w:tcPr>
          <w:p w14:paraId="661E4DE2" w14:textId="77777777" w:rsidR="00054572" w:rsidRPr="001479A4" w:rsidRDefault="00054572" w:rsidP="00932658">
            <w:pPr>
              <w:spacing w:after="58"/>
              <w:rPr>
                <w:sz w:val="22"/>
                <w:szCs w:val="22"/>
              </w:rPr>
            </w:pPr>
            <w:r w:rsidRPr="00CD03DA">
              <w:t>§</w:t>
            </w:r>
            <w:r>
              <w:t xml:space="preserve"> </w:t>
            </w:r>
            <w:r w:rsidRPr="001479A4">
              <w:rPr>
                <w:sz w:val="22"/>
                <w:szCs w:val="22"/>
              </w:rPr>
              <w:t>63.5(d)</w:t>
            </w:r>
          </w:p>
        </w:tc>
      </w:tr>
      <w:tr w:rsidR="00054572" w:rsidRPr="001479A4" w14:paraId="795C46FF" w14:textId="77777777" w:rsidTr="00932658">
        <w:trPr>
          <w:jc w:val="center"/>
        </w:trPr>
        <w:tc>
          <w:tcPr>
            <w:tcW w:w="6561" w:type="dxa"/>
            <w:tcBorders>
              <w:top w:val="single" w:sz="7" w:space="0" w:color="000000"/>
              <w:left w:val="single" w:sz="7" w:space="0" w:color="000000"/>
              <w:bottom w:val="single" w:sz="7" w:space="0" w:color="000000"/>
              <w:right w:val="single" w:sz="7" w:space="0" w:color="000000"/>
            </w:tcBorders>
          </w:tcPr>
          <w:p w14:paraId="6F3542D3" w14:textId="77777777" w:rsidR="00054572" w:rsidRPr="0047713F"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47713F">
              <w:rPr>
                <w:sz w:val="22"/>
                <w:szCs w:val="22"/>
              </w:rPr>
              <w:t>Actual startup</w:t>
            </w:r>
          </w:p>
        </w:tc>
        <w:tc>
          <w:tcPr>
            <w:tcW w:w="2799" w:type="dxa"/>
            <w:tcBorders>
              <w:top w:val="single" w:sz="7" w:space="0" w:color="000000"/>
              <w:left w:val="single" w:sz="7" w:space="0" w:color="000000"/>
              <w:bottom w:val="single" w:sz="7" w:space="0" w:color="000000"/>
              <w:right w:val="single" w:sz="7" w:space="0" w:color="000000"/>
            </w:tcBorders>
          </w:tcPr>
          <w:p w14:paraId="69519209" w14:textId="77777777" w:rsidR="00054572" w:rsidRPr="001479A4" w:rsidRDefault="00054572" w:rsidP="00932658">
            <w:pPr>
              <w:spacing w:after="58"/>
              <w:rPr>
                <w:sz w:val="22"/>
                <w:szCs w:val="22"/>
              </w:rPr>
            </w:pPr>
            <w:r w:rsidRPr="00CD03DA">
              <w:t>§</w:t>
            </w:r>
            <w:r>
              <w:t xml:space="preserve"> </w:t>
            </w:r>
            <w:r w:rsidRPr="001479A4">
              <w:rPr>
                <w:sz w:val="22"/>
                <w:szCs w:val="22"/>
              </w:rPr>
              <w:t>63.9(b)(4)(v)</w:t>
            </w:r>
          </w:p>
        </w:tc>
      </w:tr>
      <w:tr w:rsidR="00054572" w:rsidRPr="001479A4" w14:paraId="262B67A8" w14:textId="77777777" w:rsidTr="00932658">
        <w:trPr>
          <w:jc w:val="center"/>
        </w:trPr>
        <w:tc>
          <w:tcPr>
            <w:tcW w:w="6561" w:type="dxa"/>
            <w:tcBorders>
              <w:top w:val="single" w:sz="7" w:space="0" w:color="000000"/>
              <w:left w:val="single" w:sz="7" w:space="0" w:color="000000"/>
              <w:bottom w:val="single" w:sz="7" w:space="0" w:color="000000"/>
              <w:right w:val="single" w:sz="7" w:space="0" w:color="000000"/>
            </w:tcBorders>
          </w:tcPr>
          <w:p w14:paraId="641C9BC5" w14:textId="77777777" w:rsidR="00054572" w:rsidRPr="0047713F"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47713F">
              <w:rPr>
                <w:sz w:val="22"/>
                <w:szCs w:val="22"/>
              </w:rPr>
              <w:t>Applicability of standard</w:t>
            </w:r>
          </w:p>
        </w:tc>
        <w:tc>
          <w:tcPr>
            <w:tcW w:w="2799" w:type="dxa"/>
            <w:tcBorders>
              <w:top w:val="single" w:sz="7" w:space="0" w:color="000000"/>
              <w:left w:val="single" w:sz="7" w:space="0" w:color="000000"/>
              <w:bottom w:val="single" w:sz="7" w:space="0" w:color="000000"/>
              <w:right w:val="single" w:sz="7" w:space="0" w:color="000000"/>
            </w:tcBorders>
          </w:tcPr>
          <w:p w14:paraId="3890CD94" w14:textId="77777777" w:rsidR="00054572" w:rsidRPr="001479A4" w:rsidRDefault="00054572" w:rsidP="00932658">
            <w:pPr>
              <w:spacing w:after="58"/>
              <w:rPr>
                <w:sz w:val="22"/>
                <w:szCs w:val="22"/>
              </w:rPr>
            </w:pPr>
            <w:r w:rsidRPr="00CD03DA">
              <w:t>§</w:t>
            </w:r>
            <w:r>
              <w:t xml:space="preserve"> </w:t>
            </w:r>
            <w:r w:rsidRPr="001479A4">
              <w:rPr>
                <w:sz w:val="22"/>
                <w:szCs w:val="22"/>
              </w:rPr>
              <w:t>63.9(b)(2)</w:t>
            </w:r>
          </w:p>
        </w:tc>
      </w:tr>
      <w:tr w:rsidR="00054572" w:rsidRPr="001479A4" w14:paraId="0AFC831C" w14:textId="77777777" w:rsidTr="00932658">
        <w:trPr>
          <w:jc w:val="center"/>
        </w:trPr>
        <w:tc>
          <w:tcPr>
            <w:tcW w:w="6561" w:type="dxa"/>
            <w:tcBorders>
              <w:top w:val="single" w:sz="7" w:space="0" w:color="000000"/>
              <w:left w:val="single" w:sz="7" w:space="0" w:color="000000"/>
              <w:bottom w:val="single" w:sz="7" w:space="0" w:color="000000"/>
              <w:right w:val="single" w:sz="7" w:space="0" w:color="000000"/>
            </w:tcBorders>
          </w:tcPr>
          <w:p w14:paraId="6A34570B" w14:textId="77777777" w:rsidR="00054572" w:rsidRPr="0047713F"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47713F">
              <w:rPr>
                <w:sz w:val="22"/>
                <w:szCs w:val="22"/>
              </w:rPr>
              <w:t>Performance test</w:t>
            </w:r>
          </w:p>
        </w:tc>
        <w:tc>
          <w:tcPr>
            <w:tcW w:w="2799" w:type="dxa"/>
            <w:tcBorders>
              <w:top w:val="single" w:sz="7" w:space="0" w:color="000000"/>
              <w:left w:val="single" w:sz="7" w:space="0" w:color="000000"/>
              <w:bottom w:val="single" w:sz="7" w:space="0" w:color="000000"/>
              <w:right w:val="single" w:sz="7" w:space="0" w:color="000000"/>
            </w:tcBorders>
          </w:tcPr>
          <w:p w14:paraId="74FC37FB"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CD03DA">
              <w:t>§§</w:t>
            </w:r>
            <w:r>
              <w:t xml:space="preserve"> </w:t>
            </w:r>
            <w:r w:rsidRPr="001479A4">
              <w:rPr>
                <w:sz w:val="22"/>
                <w:szCs w:val="22"/>
              </w:rPr>
              <w:t>63.7(b), 63.9(e)</w:t>
            </w:r>
          </w:p>
        </w:tc>
      </w:tr>
      <w:tr w:rsidR="00054572" w:rsidRPr="001479A4" w14:paraId="148367BB" w14:textId="77777777" w:rsidTr="00932658">
        <w:trPr>
          <w:jc w:val="center"/>
        </w:trPr>
        <w:tc>
          <w:tcPr>
            <w:tcW w:w="6561" w:type="dxa"/>
            <w:tcBorders>
              <w:top w:val="single" w:sz="7" w:space="0" w:color="000000"/>
              <w:left w:val="single" w:sz="7" w:space="0" w:color="000000"/>
              <w:bottom w:val="single" w:sz="7" w:space="0" w:color="000000"/>
              <w:right w:val="single" w:sz="7" w:space="0" w:color="000000"/>
            </w:tcBorders>
          </w:tcPr>
          <w:p w14:paraId="75E024AB" w14:textId="77777777" w:rsidR="00054572" w:rsidRPr="0047713F"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47713F">
              <w:rPr>
                <w:sz w:val="22"/>
                <w:szCs w:val="22"/>
              </w:rPr>
              <w:t>Performance evaluation</w:t>
            </w:r>
          </w:p>
        </w:tc>
        <w:tc>
          <w:tcPr>
            <w:tcW w:w="2799" w:type="dxa"/>
            <w:tcBorders>
              <w:top w:val="single" w:sz="7" w:space="0" w:color="000000"/>
              <w:left w:val="single" w:sz="7" w:space="0" w:color="000000"/>
              <w:bottom w:val="single" w:sz="7" w:space="0" w:color="000000"/>
              <w:right w:val="single" w:sz="7" w:space="0" w:color="000000"/>
            </w:tcBorders>
          </w:tcPr>
          <w:p w14:paraId="32EBA0C5"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CD03DA">
              <w:t>§</w:t>
            </w:r>
            <w:r>
              <w:t xml:space="preserve"> </w:t>
            </w:r>
            <w:r w:rsidRPr="001479A4">
              <w:rPr>
                <w:sz w:val="22"/>
                <w:szCs w:val="22"/>
              </w:rPr>
              <w:t>63.9(g)</w:t>
            </w:r>
          </w:p>
        </w:tc>
      </w:tr>
      <w:tr w:rsidR="00054572" w:rsidRPr="001479A4" w14:paraId="2799C8BF" w14:textId="77777777" w:rsidTr="00932658">
        <w:trPr>
          <w:jc w:val="center"/>
        </w:trPr>
        <w:tc>
          <w:tcPr>
            <w:tcW w:w="6561" w:type="dxa"/>
            <w:tcBorders>
              <w:top w:val="single" w:sz="7" w:space="0" w:color="000000"/>
              <w:left w:val="single" w:sz="7" w:space="0" w:color="000000"/>
              <w:bottom w:val="single" w:sz="7" w:space="0" w:color="000000"/>
              <w:right w:val="single" w:sz="7" w:space="0" w:color="000000"/>
            </w:tcBorders>
          </w:tcPr>
          <w:p w14:paraId="7A685200" w14:textId="77777777" w:rsidR="00054572" w:rsidRPr="0047713F"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47713F">
              <w:rPr>
                <w:sz w:val="22"/>
                <w:szCs w:val="22"/>
              </w:rPr>
              <w:t>Compliance status</w:t>
            </w:r>
          </w:p>
        </w:tc>
        <w:tc>
          <w:tcPr>
            <w:tcW w:w="2799" w:type="dxa"/>
            <w:tcBorders>
              <w:top w:val="single" w:sz="7" w:space="0" w:color="000000"/>
              <w:left w:val="single" w:sz="7" w:space="0" w:color="000000"/>
              <w:bottom w:val="single" w:sz="7" w:space="0" w:color="000000"/>
              <w:right w:val="single" w:sz="7" w:space="0" w:color="000000"/>
            </w:tcBorders>
          </w:tcPr>
          <w:p w14:paraId="0F1EB1DB"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CD03DA">
              <w:t>§§</w:t>
            </w:r>
            <w:r>
              <w:t xml:space="preserve"> </w:t>
            </w:r>
            <w:r w:rsidRPr="001479A4">
              <w:rPr>
                <w:sz w:val="22"/>
                <w:szCs w:val="22"/>
              </w:rPr>
              <w:t>63.9(h), 63.867(b)(1)-(2)</w:t>
            </w:r>
          </w:p>
        </w:tc>
      </w:tr>
    </w:tbl>
    <w:p w14:paraId="4B549101" w14:textId="7C5FD2F2" w:rsidR="004962EC" w:rsidRDefault="004962EC" w:rsidP="004962EC">
      <w:pPr>
        <w:pBdr>
          <w:top w:val="single" w:sz="6" w:space="0" w:color="FFFFFF"/>
          <w:left w:val="single" w:sz="6" w:space="0" w:color="FFFFFF"/>
          <w:bottom w:val="single" w:sz="6" w:space="0" w:color="FFFFFF"/>
          <w:right w:val="single" w:sz="6" w:space="0" w:color="FFFFFF"/>
        </w:pBdr>
        <w:ind w:firstLine="720"/>
      </w:pPr>
    </w:p>
    <w:p w14:paraId="032C7BD7" w14:textId="5C978633" w:rsidR="00A55BD0" w:rsidRDefault="00A55BD0" w:rsidP="004962EC">
      <w:pPr>
        <w:pBdr>
          <w:top w:val="single" w:sz="6" w:space="0" w:color="FFFFFF"/>
          <w:left w:val="single" w:sz="6" w:space="0" w:color="FFFFFF"/>
          <w:bottom w:val="single" w:sz="6" w:space="0" w:color="FFFFFF"/>
          <w:right w:val="single" w:sz="6" w:space="0" w:color="FFFFFF"/>
        </w:pBdr>
        <w:ind w:firstLine="720"/>
      </w:pPr>
    </w:p>
    <w:tbl>
      <w:tblPr>
        <w:tblStyle w:val="TableGrid"/>
        <w:tblW w:w="0" w:type="auto"/>
        <w:tblLook w:val="04A0" w:firstRow="1" w:lastRow="0" w:firstColumn="1" w:lastColumn="0" w:noHBand="0" w:noVBand="1"/>
      </w:tblPr>
      <w:tblGrid>
        <w:gridCol w:w="6565"/>
        <w:gridCol w:w="2785"/>
      </w:tblGrid>
      <w:tr w:rsidR="00A55BD0" w14:paraId="28B17C70" w14:textId="77777777" w:rsidTr="00BD3B06">
        <w:tc>
          <w:tcPr>
            <w:tcW w:w="9350" w:type="dxa"/>
            <w:gridSpan w:val="2"/>
          </w:tcPr>
          <w:p w14:paraId="02DB0DEA" w14:textId="71274C37" w:rsidR="00A55BD0" w:rsidRDefault="00A55BD0" w:rsidP="002725EF">
            <w:pPr>
              <w:keepNext/>
              <w:jc w:val="center"/>
            </w:pPr>
            <w:r w:rsidRPr="001479A4">
              <w:rPr>
                <w:b/>
                <w:sz w:val="22"/>
                <w:szCs w:val="22"/>
              </w:rPr>
              <w:t>Reports</w:t>
            </w:r>
          </w:p>
        </w:tc>
      </w:tr>
      <w:tr w:rsidR="00A55BD0" w14:paraId="4FEF6A27" w14:textId="77777777" w:rsidTr="0047713F">
        <w:tc>
          <w:tcPr>
            <w:tcW w:w="6565" w:type="dxa"/>
          </w:tcPr>
          <w:p w14:paraId="6B82673F" w14:textId="13118ECD" w:rsidR="00A55BD0" w:rsidRDefault="00EC0095" w:rsidP="002725EF">
            <w:pPr>
              <w:keepNext/>
            </w:pPr>
            <w:r>
              <w:rPr>
                <w:sz w:val="22"/>
                <w:szCs w:val="22"/>
              </w:rPr>
              <w:t>Results of performance test</w:t>
            </w:r>
          </w:p>
        </w:tc>
        <w:tc>
          <w:tcPr>
            <w:tcW w:w="2785" w:type="dxa"/>
          </w:tcPr>
          <w:p w14:paraId="04BFDF8A" w14:textId="04626137" w:rsidR="00A55BD0" w:rsidRDefault="0047713F" w:rsidP="002725EF">
            <w:pPr>
              <w:keepNext/>
            </w:pPr>
            <w:r w:rsidRPr="00CD03DA">
              <w:t>§</w:t>
            </w:r>
            <w:r>
              <w:t xml:space="preserve"> </w:t>
            </w:r>
            <w:r w:rsidRPr="001479A4">
              <w:rPr>
                <w:sz w:val="22"/>
                <w:szCs w:val="22"/>
              </w:rPr>
              <w:t>63.10(d)(2)</w:t>
            </w:r>
          </w:p>
        </w:tc>
      </w:tr>
      <w:tr w:rsidR="00A55BD0" w14:paraId="1D1741A7" w14:textId="77777777" w:rsidTr="0047713F">
        <w:tc>
          <w:tcPr>
            <w:tcW w:w="6565" w:type="dxa"/>
          </w:tcPr>
          <w:p w14:paraId="2EC83CC6" w14:textId="6213D173" w:rsidR="00A55BD0" w:rsidRDefault="00A55BD0" w:rsidP="002725EF">
            <w:pPr>
              <w:keepNext/>
            </w:pPr>
            <w:r w:rsidRPr="001479A4">
              <w:rPr>
                <w:sz w:val="22"/>
                <w:szCs w:val="22"/>
              </w:rPr>
              <w:t>Results of performance evaluation</w:t>
            </w:r>
          </w:p>
        </w:tc>
        <w:tc>
          <w:tcPr>
            <w:tcW w:w="2785" w:type="dxa"/>
          </w:tcPr>
          <w:p w14:paraId="52D05344" w14:textId="1253F9C2" w:rsidR="00A55BD0" w:rsidRDefault="00A55BD0" w:rsidP="002725EF">
            <w:pPr>
              <w:keepNext/>
            </w:pPr>
            <w:r w:rsidRPr="00CD03DA">
              <w:t>§</w:t>
            </w:r>
            <w:r>
              <w:t xml:space="preserve"> </w:t>
            </w:r>
            <w:r w:rsidRPr="001479A4">
              <w:rPr>
                <w:sz w:val="22"/>
                <w:szCs w:val="22"/>
              </w:rPr>
              <w:t>63.10(e)(2)</w:t>
            </w:r>
          </w:p>
        </w:tc>
      </w:tr>
      <w:tr w:rsidR="00A55BD0" w14:paraId="24FE26E9" w14:textId="77777777" w:rsidTr="0047713F">
        <w:tc>
          <w:tcPr>
            <w:tcW w:w="6565" w:type="dxa"/>
          </w:tcPr>
          <w:p w14:paraId="203E775D" w14:textId="0052229A" w:rsidR="00A55BD0" w:rsidRDefault="00EC0095" w:rsidP="002725EF">
            <w:pPr>
              <w:keepNext/>
            </w:pPr>
            <w:r>
              <w:rPr>
                <w:sz w:val="22"/>
                <w:szCs w:val="22"/>
              </w:rPr>
              <w:t xml:space="preserve">Semiannual </w:t>
            </w:r>
            <w:r w:rsidR="00257B80">
              <w:rPr>
                <w:sz w:val="22"/>
                <w:szCs w:val="22"/>
              </w:rPr>
              <w:t>excess emission</w:t>
            </w:r>
            <w:r w:rsidR="00D81C93">
              <w:rPr>
                <w:sz w:val="22"/>
                <w:szCs w:val="22"/>
              </w:rPr>
              <w:t xml:space="preserve"> reports and summary </w:t>
            </w:r>
            <w:r>
              <w:rPr>
                <w:sz w:val="22"/>
                <w:szCs w:val="22"/>
              </w:rPr>
              <w:t>report</w:t>
            </w:r>
            <w:r w:rsidR="00D81C93">
              <w:rPr>
                <w:sz w:val="22"/>
                <w:szCs w:val="22"/>
              </w:rPr>
              <w:t>s</w:t>
            </w:r>
          </w:p>
        </w:tc>
        <w:tc>
          <w:tcPr>
            <w:tcW w:w="2785" w:type="dxa"/>
          </w:tcPr>
          <w:p w14:paraId="17760082" w14:textId="3AE3668D" w:rsidR="00A55BD0" w:rsidRDefault="00A55BD0" w:rsidP="002725EF">
            <w:pPr>
              <w:keepNext/>
            </w:pPr>
            <w:r w:rsidRPr="00CD03DA">
              <w:t>§§</w:t>
            </w:r>
            <w:r>
              <w:t xml:space="preserve"> </w:t>
            </w:r>
            <w:r w:rsidRPr="001479A4">
              <w:rPr>
                <w:sz w:val="22"/>
                <w:szCs w:val="22"/>
              </w:rPr>
              <w:t>63.10(e)(3)</w:t>
            </w:r>
            <w:r w:rsidR="00D81C93">
              <w:rPr>
                <w:sz w:val="22"/>
                <w:szCs w:val="22"/>
              </w:rPr>
              <w:t>(v)</w:t>
            </w:r>
            <w:r w:rsidRPr="001479A4">
              <w:rPr>
                <w:sz w:val="22"/>
                <w:szCs w:val="22"/>
              </w:rPr>
              <w:t>, 63.867(c)</w:t>
            </w:r>
          </w:p>
        </w:tc>
      </w:tr>
    </w:tbl>
    <w:p w14:paraId="3C043AFB" w14:textId="77777777" w:rsidR="00A55BD0" w:rsidRPr="003201BC" w:rsidRDefault="00A55BD0" w:rsidP="004962EC">
      <w:pPr>
        <w:pBdr>
          <w:top w:val="single" w:sz="6" w:space="0" w:color="FFFFFF"/>
          <w:left w:val="single" w:sz="6" w:space="0" w:color="FFFFFF"/>
          <w:bottom w:val="single" w:sz="6" w:space="0" w:color="FFFFFF"/>
          <w:right w:val="single" w:sz="6" w:space="0" w:color="FFFFFF"/>
        </w:pBdr>
        <w:ind w:firstLine="720"/>
      </w:pPr>
    </w:p>
    <w:p w14:paraId="064BBF30" w14:textId="5D1F9E12" w:rsidR="004962EC" w:rsidRDefault="004962EC" w:rsidP="004962EC">
      <w:pPr>
        <w:pBdr>
          <w:top w:val="single" w:sz="6" w:space="0" w:color="FFFFFF"/>
          <w:left w:val="single" w:sz="6" w:space="0" w:color="FFFFFF"/>
          <w:bottom w:val="single" w:sz="6" w:space="0" w:color="FFFFFF"/>
          <w:right w:val="single" w:sz="6" w:space="0" w:color="FFFFFF"/>
        </w:pBdr>
        <w:ind w:firstLine="720"/>
      </w:pPr>
      <w:r w:rsidRPr="003201BC">
        <w:t>A source must keep the following records:</w:t>
      </w:r>
    </w:p>
    <w:p w14:paraId="21000E54" w14:textId="77777777" w:rsidR="00054572" w:rsidRPr="003201BC" w:rsidRDefault="00054572" w:rsidP="004962EC">
      <w:pPr>
        <w:pBdr>
          <w:top w:val="single" w:sz="6" w:space="0" w:color="FFFFFF"/>
          <w:left w:val="single" w:sz="6" w:space="0" w:color="FFFFFF"/>
          <w:bottom w:val="single" w:sz="6" w:space="0" w:color="FFFFFF"/>
          <w:right w:val="single" w:sz="6" w:space="0" w:color="FFFFFF"/>
        </w:pBdr>
        <w:ind w:firstLine="720"/>
      </w:pPr>
    </w:p>
    <w:tbl>
      <w:tblPr>
        <w:tblW w:w="9360" w:type="dxa"/>
        <w:jc w:val="center"/>
        <w:tblLayout w:type="fixed"/>
        <w:tblCellMar>
          <w:left w:w="120" w:type="dxa"/>
          <w:right w:w="120" w:type="dxa"/>
        </w:tblCellMar>
        <w:tblLook w:val="0000" w:firstRow="0" w:lastRow="0" w:firstColumn="0" w:lastColumn="0" w:noHBand="0" w:noVBand="0"/>
      </w:tblPr>
      <w:tblGrid>
        <w:gridCol w:w="6561"/>
        <w:gridCol w:w="2799"/>
      </w:tblGrid>
      <w:tr w:rsidR="00054572" w:rsidRPr="001479A4" w14:paraId="00744E2E" w14:textId="77777777" w:rsidTr="0093265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0146493D" w14:textId="77777777" w:rsidR="00054572" w:rsidRPr="001479A4" w:rsidRDefault="00054572" w:rsidP="00932658">
            <w:pPr>
              <w:keepNext/>
              <w:keepLines/>
              <w:widowControl/>
              <w:pBdr>
                <w:top w:val="single" w:sz="6" w:space="0" w:color="FFFFFF"/>
                <w:left w:val="single" w:sz="6" w:space="0" w:color="FFFFFF"/>
                <w:bottom w:val="single" w:sz="6" w:space="0" w:color="FFFFFF"/>
                <w:right w:val="single" w:sz="6" w:space="0" w:color="FFFFFF"/>
              </w:pBdr>
              <w:spacing w:after="58"/>
              <w:jc w:val="center"/>
              <w:rPr>
                <w:b/>
                <w:sz w:val="22"/>
                <w:szCs w:val="22"/>
              </w:rPr>
            </w:pPr>
            <w:r w:rsidRPr="001479A4">
              <w:rPr>
                <w:b/>
                <w:sz w:val="22"/>
                <w:szCs w:val="22"/>
              </w:rPr>
              <w:t>Recordkeeping</w:t>
            </w:r>
          </w:p>
        </w:tc>
      </w:tr>
      <w:tr w:rsidR="00054572" w:rsidRPr="001479A4" w14:paraId="1AFD8874" w14:textId="77777777" w:rsidTr="00932658">
        <w:trPr>
          <w:jc w:val="center"/>
        </w:trPr>
        <w:tc>
          <w:tcPr>
            <w:tcW w:w="6561" w:type="dxa"/>
            <w:tcBorders>
              <w:top w:val="single" w:sz="7" w:space="0" w:color="000000"/>
              <w:left w:val="single" w:sz="7" w:space="0" w:color="000000"/>
              <w:bottom w:val="single" w:sz="7" w:space="0" w:color="000000"/>
              <w:right w:val="single" w:sz="7" w:space="0" w:color="000000"/>
            </w:tcBorders>
            <w:vAlign w:val="bottom"/>
          </w:tcPr>
          <w:p w14:paraId="08E7E3DA" w14:textId="77777777" w:rsidR="00054572" w:rsidRPr="001479A4" w:rsidRDefault="00054572" w:rsidP="00932658">
            <w:pPr>
              <w:keepNext/>
              <w:keepLines/>
              <w:widowControl/>
              <w:pBdr>
                <w:top w:val="single" w:sz="6" w:space="0" w:color="FFFFFF"/>
                <w:left w:val="single" w:sz="6" w:space="0" w:color="FFFFFF"/>
                <w:bottom w:val="single" w:sz="6" w:space="0" w:color="FFFFFF"/>
                <w:right w:val="single" w:sz="6" w:space="0" w:color="FFFFFF"/>
              </w:pBdr>
              <w:spacing w:after="58"/>
              <w:rPr>
                <w:b/>
                <w:sz w:val="22"/>
                <w:szCs w:val="22"/>
              </w:rPr>
            </w:pPr>
            <w:r w:rsidRPr="001479A4">
              <w:rPr>
                <w:b/>
                <w:sz w:val="22"/>
                <w:szCs w:val="22"/>
              </w:rPr>
              <w:t>Requirement</w:t>
            </w:r>
          </w:p>
        </w:tc>
        <w:tc>
          <w:tcPr>
            <w:tcW w:w="2799" w:type="dxa"/>
            <w:tcBorders>
              <w:top w:val="single" w:sz="7" w:space="0" w:color="000000"/>
              <w:left w:val="single" w:sz="7" w:space="0" w:color="000000"/>
              <w:bottom w:val="single" w:sz="7" w:space="0" w:color="000000"/>
              <w:right w:val="single" w:sz="7" w:space="0" w:color="000000"/>
            </w:tcBorders>
            <w:vAlign w:val="bottom"/>
          </w:tcPr>
          <w:p w14:paraId="431CD675" w14:textId="77777777" w:rsidR="00054572" w:rsidRPr="001479A4" w:rsidRDefault="00054572" w:rsidP="00932658">
            <w:pPr>
              <w:keepNext/>
              <w:keepLines/>
              <w:widowControl/>
              <w:pBdr>
                <w:top w:val="single" w:sz="6" w:space="0" w:color="FFFFFF"/>
                <w:left w:val="single" w:sz="6" w:space="0" w:color="FFFFFF"/>
                <w:bottom w:val="single" w:sz="6" w:space="0" w:color="FFFFFF"/>
                <w:right w:val="single" w:sz="6" w:space="0" w:color="FFFFFF"/>
              </w:pBdr>
              <w:rPr>
                <w:b/>
                <w:sz w:val="22"/>
                <w:szCs w:val="22"/>
              </w:rPr>
            </w:pPr>
            <w:r w:rsidRPr="001479A4">
              <w:rPr>
                <w:b/>
                <w:sz w:val="22"/>
                <w:szCs w:val="22"/>
              </w:rPr>
              <w:t>Regulation Reference</w:t>
            </w:r>
          </w:p>
          <w:p w14:paraId="445C10CE" w14:textId="77777777" w:rsidR="00054572" w:rsidRPr="001479A4" w:rsidRDefault="00054572" w:rsidP="00932658">
            <w:pPr>
              <w:keepNext/>
              <w:keepLines/>
              <w:widowControl/>
              <w:pBdr>
                <w:top w:val="single" w:sz="6" w:space="0" w:color="FFFFFF"/>
                <w:left w:val="single" w:sz="6" w:space="0" w:color="FFFFFF"/>
                <w:bottom w:val="single" w:sz="6" w:space="0" w:color="FFFFFF"/>
                <w:right w:val="single" w:sz="6" w:space="0" w:color="FFFFFF"/>
              </w:pBdr>
              <w:spacing w:after="58"/>
              <w:rPr>
                <w:b/>
                <w:sz w:val="22"/>
                <w:szCs w:val="22"/>
              </w:rPr>
            </w:pPr>
            <w:r w:rsidRPr="001479A4">
              <w:rPr>
                <w:b/>
                <w:sz w:val="22"/>
                <w:szCs w:val="22"/>
              </w:rPr>
              <w:t>(40 CFR Part 63)</w:t>
            </w:r>
          </w:p>
        </w:tc>
      </w:tr>
      <w:tr w:rsidR="00054572" w:rsidRPr="001479A4" w14:paraId="289A1E5F" w14:textId="77777777" w:rsidTr="00932658">
        <w:trPr>
          <w:jc w:val="center"/>
        </w:trPr>
        <w:tc>
          <w:tcPr>
            <w:tcW w:w="6561" w:type="dxa"/>
            <w:tcBorders>
              <w:top w:val="single" w:sz="7" w:space="0" w:color="000000"/>
              <w:left w:val="single" w:sz="7" w:space="0" w:color="000000"/>
              <w:bottom w:val="single" w:sz="7" w:space="0" w:color="000000"/>
              <w:right w:val="single" w:sz="7" w:space="0" w:color="000000"/>
            </w:tcBorders>
          </w:tcPr>
          <w:p w14:paraId="0B6886E9" w14:textId="77777777" w:rsidR="00054572" w:rsidRPr="001479A4" w:rsidRDefault="00054572" w:rsidP="00932658">
            <w:pPr>
              <w:keepNext/>
              <w:keepLines/>
              <w:widowControl/>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5 years retention of records</w:t>
            </w:r>
          </w:p>
        </w:tc>
        <w:tc>
          <w:tcPr>
            <w:tcW w:w="2799" w:type="dxa"/>
            <w:tcBorders>
              <w:top w:val="single" w:sz="7" w:space="0" w:color="000000"/>
              <w:left w:val="single" w:sz="7" w:space="0" w:color="000000"/>
              <w:bottom w:val="single" w:sz="7" w:space="0" w:color="000000"/>
              <w:right w:val="single" w:sz="7" w:space="0" w:color="000000"/>
            </w:tcBorders>
          </w:tcPr>
          <w:p w14:paraId="440C5809" w14:textId="77777777" w:rsidR="00054572" w:rsidRPr="001479A4" w:rsidRDefault="00054572" w:rsidP="00932658">
            <w:pPr>
              <w:keepNext/>
              <w:keepLines/>
              <w:widowControl/>
              <w:pBdr>
                <w:top w:val="single" w:sz="6" w:space="0" w:color="FFFFFF"/>
                <w:left w:val="single" w:sz="6" w:space="0" w:color="FFFFFF"/>
                <w:bottom w:val="single" w:sz="6" w:space="0" w:color="FFFFFF"/>
                <w:right w:val="single" w:sz="6" w:space="0" w:color="FFFFFF"/>
              </w:pBdr>
              <w:spacing w:after="58"/>
              <w:rPr>
                <w:sz w:val="22"/>
                <w:szCs w:val="22"/>
              </w:rPr>
            </w:pPr>
            <w:r w:rsidRPr="00CD03DA">
              <w:t>§</w:t>
            </w:r>
            <w:r>
              <w:t xml:space="preserve"> </w:t>
            </w:r>
            <w:r w:rsidRPr="001479A4">
              <w:rPr>
                <w:sz w:val="22"/>
                <w:szCs w:val="22"/>
              </w:rPr>
              <w:t xml:space="preserve">63.10(b)(1) </w:t>
            </w:r>
          </w:p>
        </w:tc>
      </w:tr>
      <w:tr w:rsidR="00054572" w:rsidRPr="001479A4" w14:paraId="3A44B0AD" w14:textId="77777777" w:rsidTr="00932658">
        <w:trPr>
          <w:jc w:val="center"/>
        </w:trPr>
        <w:tc>
          <w:tcPr>
            <w:tcW w:w="6561" w:type="dxa"/>
            <w:tcBorders>
              <w:top w:val="single" w:sz="7" w:space="0" w:color="000000"/>
              <w:left w:val="single" w:sz="7" w:space="0" w:color="000000"/>
              <w:bottom w:val="single" w:sz="7" w:space="0" w:color="000000"/>
              <w:right w:val="single" w:sz="7" w:space="0" w:color="000000"/>
            </w:tcBorders>
          </w:tcPr>
          <w:p w14:paraId="3B8BF8D4"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Records of performance tests</w:t>
            </w:r>
          </w:p>
        </w:tc>
        <w:tc>
          <w:tcPr>
            <w:tcW w:w="2799" w:type="dxa"/>
            <w:tcBorders>
              <w:top w:val="single" w:sz="7" w:space="0" w:color="000000"/>
              <w:left w:val="single" w:sz="7" w:space="0" w:color="000000"/>
              <w:bottom w:val="single" w:sz="7" w:space="0" w:color="000000"/>
              <w:right w:val="single" w:sz="7" w:space="0" w:color="000000"/>
            </w:tcBorders>
          </w:tcPr>
          <w:p w14:paraId="03D5C073"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CD03DA">
              <w:t>§</w:t>
            </w:r>
            <w:r>
              <w:t xml:space="preserve"> </w:t>
            </w:r>
            <w:r w:rsidRPr="001479A4">
              <w:rPr>
                <w:sz w:val="22"/>
                <w:szCs w:val="22"/>
              </w:rPr>
              <w:t>63.10(b)(2)(viii)</w:t>
            </w:r>
          </w:p>
        </w:tc>
      </w:tr>
      <w:tr w:rsidR="00054572" w:rsidRPr="001479A4" w14:paraId="5FAC63B8" w14:textId="77777777" w:rsidTr="00932658">
        <w:trPr>
          <w:jc w:val="center"/>
        </w:trPr>
        <w:tc>
          <w:tcPr>
            <w:tcW w:w="6561" w:type="dxa"/>
            <w:tcBorders>
              <w:top w:val="single" w:sz="7" w:space="0" w:color="000000"/>
              <w:left w:val="single" w:sz="7" w:space="0" w:color="000000"/>
              <w:bottom w:val="single" w:sz="7" w:space="0" w:color="000000"/>
              <w:right w:val="single" w:sz="7" w:space="0" w:color="000000"/>
            </w:tcBorders>
          </w:tcPr>
          <w:p w14:paraId="783ABFD3"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Documentation supporting initial notifications and notification of compliance status</w:t>
            </w:r>
          </w:p>
        </w:tc>
        <w:tc>
          <w:tcPr>
            <w:tcW w:w="2799" w:type="dxa"/>
            <w:tcBorders>
              <w:top w:val="single" w:sz="7" w:space="0" w:color="000000"/>
              <w:left w:val="single" w:sz="7" w:space="0" w:color="000000"/>
              <w:bottom w:val="single" w:sz="7" w:space="0" w:color="000000"/>
              <w:right w:val="single" w:sz="7" w:space="0" w:color="000000"/>
            </w:tcBorders>
          </w:tcPr>
          <w:p w14:paraId="00DDFFD6"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CD03DA">
              <w:t>§</w:t>
            </w:r>
            <w:r>
              <w:t xml:space="preserve"> </w:t>
            </w:r>
            <w:r w:rsidRPr="001479A4">
              <w:rPr>
                <w:sz w:val="22"/>
                <w:szCs w:val="22"/>
              </w:rPr>
              <w:t>63.10(b)(2)(xiv)</w:t>
            </w:r>
          </w:p>
        </w:tc>
      </w:tr>
      <w:tr w:rsidR="00054572" w:rsidRPr="001479A4" w14:paraId="27F404E5" w14:textId="77777777" w:rsidTr="00932658">
        <w:trPr>
          <w:jc w:val="center"/>
        </w:trPr>
        <w:tc>
          <w:tcPr>
            <w:tcW w:w="6561" w:type="dxa"/>
            <w:tcBorders>
              <w:top w:val="single" w:sz="7" w:space="0" w:color="000000"/>
              <w:left w:val="single" w:sz="7" w:space="0" w:color="000000"/>
              <w:bottom w:val="single" w:sz="7" w:space="0" w:color="000000"/>
              <w:right w:val="single" w:sz="7" w:space="0" w:color="000000"/>
            </w:tcBorders>
          </w:tcPr>
          <w:p w14:paraId="737A85C6"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Exceedances under section 63.864(k) requiring corrective action and violations</w:t>
            </w:r>
          </w:p>
        </w:tc>
        <w:tc>
          <w:tcPr>
            <w:tcW w:w="2799" w:type="dxa"/>
            <w:tcBorders>
              <w:top w:val="single" w:sz="7" w:space="0" w:color="000000"/>
              <w:left w:val="single" w:sz="7" w:space="0" w:color="000000"/>
              <w:bottom w:val="single" w:sz="7" w:space="0" w:color="000000"/>
              <w:right w:val="single" w:sz="7" w:space="0" w:color="000000"/>
            </w:tcBorders>
          </w:tcPr>
          <w:p w14:paraId="3E6AF2DE"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CD03DA">
              <w:t>§</w:t>
            </w:r>
            <w:r>
              <w:t xml:space="preserve"> </w:t>
            </w:r>
            <w:r w:rsidRPr="001479A4">
              <w:rPr>
                <w:sz w:val="22"/>
                <w:szCs w:val="22"/>
              </w:rPr>
              <w:t>63.866(b)</w:t>
            </w:r>
          </w:p>
        </w:tc>
      </w:tr>
      <w:tr w:rsidR="00054572" w:rsidRPr="001479A4" w14:paraId="014B0450" w14:textId="77777777" w:rsidTr="00932658">
        <w:trPr>
          <w:jc w:val="center"/>
        </w:trPr>
        <w:tc>
          <w:tcPr>
            <w:tcW w:w="6561" w:type="dxa"/>
            <w:tcBorders>
              <w:top w:val="single" w:sz="7" w:space="0" w:color="000000"/>
              <w:left w:val="single" w:sz="7" w:space="0" w:color="000000"/>
              <w:bottom w:val="single" w:sz="7" w:space="0" w:color="000000"/>
              <w:right w:val="single" w:sz="7" w:space="0" w:color="000000"/>
            </w:tcBorders>
          </w:tcPr>
          <w:p w14:paraId="576C7B4A" w14:textId="77777777" w:rsidR="00054572" w:rsidRPr="001479A4" w:rsidRDefault="00054572" w:rsidP="00932658">
            <w:pPr>
              <w:keepNext/>
              <w:widowControl/>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Black liquor solids firing rates for all recovery furnaces and semichemical combustion units</w:t>
            </w:r>
          </w:p>
        </w:tc>
        <w:tc>
          <w:tcPr>
            <w:tcW w:w="2799" w:type="dxa"/>
            <w:tcBorders>
              <w:top w:val="single" w:sz="7" w:space="0" w:color="000000"/>
              <w:left w:val="single" w:sz="7" w:space="0" w:color="000000"/>
              <w:bottom w:val="single" w:sz="7" w:space="0" w:color="000000"/>
              <w:right w:val="single" w:sz="7" w:space="0" w:color="000000"/>
            </w:tcBorders>
          </w:tcPr>
          <w:p w14:paraId="77C2A543" w14:textId="77777777" w:rsidR="00054572" w:rsidRPr="001479A4" w:rsidRDefault="00054572" w:rsidP="00932658">
            <w:pPr>
              <w:keepNext/>
              <w:widowControl/>
              <w:pBdr>
                <w:top w:val="single" w:sz="6" w:space="0" w:color="FFFFFF"/>
                <w:left w:val="single" w:sz="6" w:space="0" w:color="FFFFFF"/>
                <w:bottom w:val="single" w:sz="6" w:space="0" w:color="FFFFFF"/>
                <w:right w:val="single" w:sz="6" w:space="0" w:color="FFFFFF"/>
              </w:pBdr>
              <w:spacing w:after="58"/>
              <w:rPr>
                <w:sz w:val="22"/>
                <w:szCs w:val="22"/>
              </w:rPr>
            </w:pPr>
            <w:r w:rsidRPr="00CD03DA">
              <w:t>§</w:t>
            </w:r>
            <w:r>
              <w:t xml:space="preserve"> </w:t>
            </w:r>
            <w:r w:rsidRPr="001479A4">
              <w:rPr>
                <w:sz w:val="22"/>
                <w:szCs w:val="22"/>
              </w:rPr>
              <w:t>63.866(c)(1)</w:t>
            </w:r>
          </w:p>
        </w:tc>
      </w:tr>
      <w:tr w:rsidR="00054572" w:rsidRPr="001479A4" w14:paraId="4A9A7081" w14:textId="77777777" w:rsidTr="00932658">
        <w:trPr>
          <w:jc w:val="center"/>
        </w:trPr>
        <w:tc>
          <w:tcPr>
            <w:tcW w:w="6561" w:type="dxa"/>
            <w:tcBorders>
              <w:top w:val="single" w:sz="7" w:space="0" w:color="000000"/>
              <w:left w:val="single" w:sz="7" w:space="0" w:color="000000"/>
              <w:bottom w:val="single" w:sz="7" w:space="0" w:color="000000"/>
              <w:right w:val="single" w:sz="7" w:space="0" w:color="000000"/>
            </w:tcBorders>
          </w:tcPr>
          <w:p w14:paraId="35F1260A"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Lime production rates for all lime kilns</w:t>
            </w:r>
          </w:p>
        </w:tc>
        <w:tc>
          <w:tcPr>
            <w:tcW w:w="2799" w:type="dxa"/>
            <w:tcBorders>
              <w:top w:val="single" w:sz="7" w:space="0" w:color="000000"/>
              <w:left w:val="single" w:sz="7" w:space="0" w:color="000000"/>
              <w:bottom w:val="single" w:sz="7" w:space="0" w:color="000000"/>
              <w:right w:val="single" w:sz="7" w:space="0" w:color="000000"/>
            </w:tcBorders>
          </w:tcPr>
          <w:p w14:paraId="7F4D1137"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CD03DA">
              <w:t>§</w:t>
            </w:r>
            <w:r>
              <w:t xml:space="preserve"> </w:t>
            </w:r>
            <w:r w:rsidRPr="001479A4">
              <w:rPr>
                <w:sz w:val="22"/>
                <w:szCs w:val="22"/>
              </w:rPr>
              <w:t>63.866(c)(2)</w:t>
            </w:r>
          </w:p>
        </w:tc>
      </w:tr>
      <w:tr w:rsidR="00054572" w:rsidRPr="001479A4" w14:paraId="41621DB2" w14:textId="77777777" w:rsidTr="00932658">
        <w:trPr>
          <w:jc w:val="center"/>
        </w:trPr>
        <w:tc>
          <w:tcPr>
            <w:tcW w:w="6561" w:type="dxa"/>
            <w:tcBorders>
              <w:top w:val="single" w:sz="7" w:space="0" w:color="000000"/>
              <w:left w:val="single" w:sz="7" w:space="0" w:color="000000"/>
              <w:bottom w:val="single" w:sz="7" w:space="0" w:color="000000"/>
              <w:right w:val="single" w:sz="7" w:space="0" w:color="000000"/>
            </w:tcBorders>
          </w:tcPr>
          <w:p w14:paraId="21DAD2B7"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All parameter monitoring data required in section 63.864</w:t>
            </w:r>
          </w:p>
        </w:tc>
        <w:tc>
          <w:tcPr>
            <w:tcW w:w="2799" w:type="dxa"/>
            <w:tcBorders>
              <w:top w:val="single" w:sz="7" w:space="0" w:color="000000"/>
              <w:left w:val="single" w:sz="7" w:space="0" w:color="000000"/>
              <w:bottom w:val="single" w:sz="7" w:space="0" w:color="000000"/>
              <w:right w:val="single" w:sz="7" w:space="0" w:color="000000"/>
            </w:tcBorders>
          </w:tcPr>
          <w:p w14:paraId="62D285C1"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CD03DA">
              <w:t>§</w:t>
            </w:r>
            <w:r>
              <w:t xml:space="preserve"> </w:t>
            </w:r>
            <w:r w:rsidRPr="001479A4">
              <w:rPr>
                <w:sz w:val="22"/>
                <w:szCs w:val="22"/>
              </w:rPr>
              <w:t>63.866(c)(3)</w:t>
            </w:r>
          </w:p>
        </w:tc>
      </w:tr>
      <w:tr w:rsidR="00054572" w:rsidRPr="001479A4" w14:paraId="42F680B1" w14:textId="77777777" w:rsidTr="00932658">
        <w:trPr>
          <w:jc w:val="center"/>
        </w:trPr>
        <w:tc>
          <w:tcPr>
            <w:tcW w:w="6561" w:type="dxa"/>
            <w:tcBorders>
              <w:top w:val="single" w:sz="7" w:space="0" w:color="000000"/>
              <w:left w:val="single" w:sz="7" w:space="0" w:color="000000"/>
              <w:bottom w:val="single" w:sz="7" w:space="0" w:color="000000"/>
              <w:right w:val="single" w:sz="7" w:space="0" w:color="000000"/>
            </w:tcBorders>
          </w:tcPr>
          <w:p w14:paraId="6C1A14AC"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Supporting calculations for compliance determinations made under section 63.865(a) through (d)</w:t>
            </w:r>
          </w:p>
        </w:tc>
        <w:tc>
          <w:tcPr>
            <w:tcW w:w="2799" w:type="dxa"/>
            <w:tcBorders>
              <w:top w:val="single" w:sz="7" w:space="0" w:color="000000"/>
              <w:left w:val="single" w:sz="7" w:space="0" w:color="000000"/>
              <w:bottom w:val="single" w:sz="7" w:space="0" w:color="000000"/>
              <w:right w:val="single" w:sz="7" w:space="0" w:color="000000"/>
            </w:tcBorders>
          </w:tcPr>
          <w:p w14:paraId="3F97F09D"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CD03DA">
              <w:t>§</w:t>
            </w:r>
            <w:r>
              <w:t xml:space="preserve"> </w:t>
            </w:r>
            <w:r w:rsidRPr="001479A4">
              <w:rPr>
                <w:sz w:val="22"/>
                <w:szCs w:val="22"/>
              </w:rPr>
              <w:t>63.866(c)(4)</w:t>
            </w:r>
          </w:p>
        </w:tc>
      </w:tr>
      <w:tr w:rsidR="00054572" w:rsidRPr="001479A4" w14:paraId="6669642D" w14:textId="77777777" w:rsidTr="00932658">
        <w:trPr>
          <w:jc w:val="center"/>
        </w:trPr>
        <w:tc>
          <w:tcPr>
            <w:tcW w:w="6561" w:type="dxa"/>
            <w:tcBorders>
              <w:top w:val="single" w:sz="7" w:space="0" w:color="000000"/>
              <w:left w:val="single" w:sz="7" w:space="0" w:color="000000"/>
              <w:bottom w:val="single" w:sz="7" w:space="0" w:color="000000"/>
              <w:right w:val="single" w:sz="7" w:space="0" w:color="000000"/>
            </w:tcBorders>
          </w:tcPr>
          <w:p w14:paraId="05B3CEFC"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Compliant parameter operating limits established for each affected source or process unit</w:t>
            </w:r>
          </w:p>
        </w:tc>
        <w:tc>
          <w:tcPr>
            <w:tcW w:w="2799" w:type="dxa"/>
            <w:tcBorders>
              <w:top w:val="single" w:sz="7" w:space="0" w:color="000000"/>
              <w:left w:val="single" w:sz="7" w:space="0" w:color="000000"/>
              <w:bottom w:val="single" w:sz="7" w:space="0" w:color="000000"/>
              <w:right w:val="single" w:sz="7" w:space="0" w:color="000000"/>
            </w:tcBorders>
          </w:tcPr>
          <w:p w14:paraId="5E18545D"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CD03DA">
              <w:t>§</w:t>
            </w:r>
            <w:r>
              <w:t xml:space="preserve"> </w:t>
            </w:r>
            <w:r w:rsidRPr="001479A4">
              <w:rPr>
                <w:sz w:val="22"/>
                <w:szCs w:val="22"/>
              </w:rPr>
              <w:t>63.866(c)(5)</w:t>
            </w:r>
          </w:p>
        </w:tc>
      </w:tr>
      <w:tr w:rsidR="00054572" w:rsidRPr="001479A4" w14:paraId="767B0CE8" w14:textId="77777777" w:rsidTr="00932658">
        <w:trPr>
          <w:jc w:val="center"/>
        </w:trPr>
        <w:tc>
          <w:tcPr>
            <w:tcW w:w="6561" w:type="dxa"/>
            <w:tcBorders>
              <w:top w:val="single" w:sz="7" w:space="0" w:color="000000"/>
              <w:left w:val="single" w:sz="7" w:space="0" w:color="000000"/>
              <w:bottom w:val="single" w:sz="7" w:space="0" w:color="000000"/>
              <w:right w:val="single" w:sz="7" w:space="0" w:color="000000"/>
            </w:tcBorders>
          </w:tcPr>
          <w:p w14:paraId="7434FDDE"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Certification that an NDCE recovery furnace equipped with a dry ESP system is used to comply with the gaseous organic HAP standard in section 63.862(c)(1)</w:t>
            </w:r>
          </w:p>
        </w:tc>
        <w:tc>
          <w:tcPr>
            <w:tcW w:w="2799" w:type="dxa"/>
            <w:tcBorders>
              <w:top w:val="single" w:sz="7" w:space="0" w:color="000000"/>
              <w:left w:val="single" w:sz="7" w:space="0" w:color="000000"/>
              <w:bottom w:val="single" w:sz="7" w:space="0" w:color="000000"/>
              <w:right w:val="single" w:sz="7" w:space="0" w:color="000000"/>
            </w:tcBorders>
          </w:tcPr>
          <w:p w14:paraId="2FFC2097"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CD03DA">
              <w:t>§</w:t>
            </w:r>
            <w:r>
              <w:t xml:space="preserve"> </w:t>
            </w:r>
            <w:r w:rsidRPr="001479A4">
              <w:rPr>
                <w:sz w:val="22"/>
                <w:szCs w:val="22"/>
              </w:rPr>
              <w:t>63.866(c)(6)</w:t>
            </w:r>
          </w:p>
        </w:tc>
      </w:tr>
      <w:tr w:rsidR="00054572" w:rsidRPr="001479A4" w14:paraId="4D51EB82" w14:textId="77777777" w:rsidTr="00932658">
        <w:trPr>
          <w:jc w:val="center"/>
        </w:trPr>
        <w:tc>
          <w:tcPr>
            <w:tcW w:w="6561" w:type="dxa"/>
            <w:tcBorders>
              <w:top w:val="single" w:sz="7" w:space="0" w:color="000000"/>
              <w:left w:val="single" w:sz="7" w:space="0" w:color="000000"/>
              <w:bottom w:val="single" w:sz="7" w:space="0" w:color="000000"/>
              <w:right w:val="single" w:sz="7" w:space="0" w:color="000000"/>
            </w:tcBorders>
          </w:tcPr>
          <w:p w14:paraId="69AB0821"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Bag leak detection system alarms and corrective actions</w:t>
            </w:r>
          </w:p>
        </w:tc>
        <w:tc>
          <w:tcPr>
            <w:tcW w:w="2799" w:type="dxa"/>
            <w:tcBorders>
              <w:top w:val="single" w:sz="7" w:space="0" w:color="000000"/>
              <w:left w:val="single" w:sz="7" w:space="0" w:color="000000"/>
              <w:bottom w:val="single" w:sz="7" w:space="0" w:color="000000"/>
              <w:right w:val="single" w:sz="7" w:space="0" w:color="000000"/>
            </w:tcBorders>
          </w:tcPr>
          <w:p w14:paraId="6163D0E6"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CD03DA">
              <w:t>§</w:t>
            </w:r>
            <w:r>
              <w:t xml:space="preserve"> </w:t>
            </w:r>
            <w:r w:rsidRPr="001479A4">
              <w:rPr>
                <w:sz w:val="22"/>
                <w:szCs w:val="22"/>
              </w:rPr>
              <w:t>63.866(c)(7)</w:t>
            </w:r>
          </w:p>
        </w:tc>
      </w:tr>
      <w:tr w:rsidR="00054572" w:rsidRPr="001479A4" w14:paraId="105AD5F3" w14:textId="77777777" w:rsidTr="00932658">
        <w:trPr>
          <w:jc w:val="center"/>
        </w:trPr>
        <w:tc>
          <w:tcPr>
            <w:tcW w:w="6561" w:type="dxa"/>
            <w:tcBorders>
              <w:top w:val="single" w:sz="7" w:space="0" w:color="000000"/>
              <w:left w:val="single" w:sz="7" w:space="0" w:color="000000"/>
              <w:bottom w:val="single" w:sz="7" w:space="0" w:color="000000"/>
              <w:right w:val="single" w:sz="7" w:space="0" w:color="000000"/>
            </w:tcBorders>
          </w:tcPr>
          <w:p w14:paraId="5AC4BFE7"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Compliance with requirement to maintain proper operation of ESP’s AVC</w:t>
            </w:r>
          </w:p>
        </w:tc>
        <w:tc>
          <w:tcPr>
            <w:tcW w:w="2799" w:type="dxa"/>
            <w:tcBorders>
              <w:top w:val="single" w:sz="7" w:space="0" w:color="000000"/>
              <w:left w:val="single" w:sz="7" w:space="0" w:color="000000"/>
              <w:bottom w:val="single" w:sz="7" w:space="0" w:color="000000"/>
              <w:right w:val="single" w:sz="7" w:space="0" w:color="000000"/>
            </w:tcBorders>
          </w:tcPr>
          <w:p w14:paraId="4902ED6A"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CD03DA">
              <w:t>§</w:t>
            </w:r>
            <w:r>
              <w:t xml:space="preserve"> </w:t>
            </w:r>
            <w:r w:rsidRPr="001479A4">
              <w:rPr>
                <w:sz w:val="22"/>
                <w:szCs w:val="22"/>
              </w:rPr>
              <w:t>63.866(c)(8)</w:t>
            </w:r>
          </w:p>
        </w:tc>
      </w:tr>
      <w:tr w:rsidR="00054572" w:rsidRPr="001479A4" w14:paraId="3D5E6FF6" w14:textId="77777777" w:rsidTr="00932658">
        <w:trPr>
          <w:jc w:val="center"/>
        </w:trPr>
        <w:tc>
          <w:tcPr>
            <w:tcW w:w="6561" w:type="dxa"/>
            <w:tcBorders>
              <w:top w:val="single" w:sz="7" w:space="0" w:color="000000"/>
              <w:left w:val="single" w:sz="7" w:space="0" w:color="000000"/>
              <w:bottom w:val="single" w:sz="7" w:space="0" w:color="000000"/>
              <w:right w:val="single" w:sz="7" w:space="0" w:color="000000"/>
            </w:tcBorders>
          </w:tcPr>
          <w:p w14:paraId="07CE87F9"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Number, timing, and duration of failures to meet applicable standards</w:t>
            </w:r>
          </w:p>
        </w:tc>
        <w:tc>
          <w:tcPr>
            <w:tcW w:w="2799" w:type="dxa"/>
            <w:tcBorders>
              <w:top w:val="single" w:sz="7" w:space="0" w:color="000000"/>
              <w:left w:val="single" w:sz="7" w:space="0" w:color="000000"/>
              <w:bottom w:val="single" w:sz="7" w:space="0" w:color="000000"/>
              <w:right w:val="single" w:sz="7" w:space="0" w:color="000000"/>
            </w:tcBorders>
          </w:tcPr>
          <w:p w14:paraId="194313E1"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CD03DA">
              <w:t>§</w:t>
            </w:r>
            <w:r>
              <w:t xml:space="preserve"> </w:t>
            </w:r>
            <w:r w:rsidRPr="001479A4">
              <w:rPr>
                <w:sz w:val="22"/>
                <w:szCs w:val="22"/>
              </w:rPr>
              <w:t>63.866(d)(1)</w:t>
            </w:r>
          </w:p>
        </w:tc>
      </w:tr>
      <w:tr w:rsidR="00054572" w:rsidRPr="001479A4" w14:paraId="2DED2F53" w14:textId="77777777" w:rsidTr="00932658">
        <w:trPr>
          <w:jc w:val="center"/>
        </w:trPr>
        <w:tc>
          <w:tcPr>
            <w:tcW w:w="6561" w:type="dxa"/>
            <w:tcBorders>
              <w:top w:val="single" w:sz="7" w:space="0" w:color="000000"/>
              <w:left w:val="single" w:sz="7" w:space="0" w:color="000000"/>
              <w:bottom w:val="single" w:sz="7" w:space="0" w:color="000000"/>
              <w:right w:val="single" w:sz="7" w:space="0" w:color="000000"/>
            </w:tcBorders>
          </w:tcPr>
          <w:p w14:paraId="6AFA064F"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For each failure, a list of affected sources or equipment, noncompliant emissions estimates, and method used to estimate emissions</w:t>
            </w:r>
          </w:p>
        </w:tc>
        <w:tc>
          <w:tcPr>
            <w:tcW w:w="2799" w:type="dxa"/>
            <w:tcBorders>
              <w:top w:val="single" w:sz="7" w:space="0" w:color="000000"/>
              <w:left w:val="single" w:sz="7" w:space="0" w:color="000000"/>
              <w:bottom w:val="single" w:sz="7" w:space="0" w:color="000000"/>
              <w:right w:val="single" w:sz="7" w:space="0" w:color="000000"/>
            </w:tcBorders>
          </w:tcPr>
          <w:p w14:paraId="14D0EBA7"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CD03DA">
              <w:t>§</w:t>
            </w:r>
            <w:r>
              <w:t xml:space="preserve"> </w:t>
            </w:r>
            <w:r w:rsidRPr="001479A4">
              <w:rPr>
                <w:sz w:val="22"/>
                <w:szCs w:val="22"/>
              </w:rPr>
              <w:t>63.866(d)(2)</w:t>
            </w:r>
          </w:p>
        </w:tc>
      </w:tr>
      <w:tr w:rsidR="00054572" w:rsidRPr="001479A4" w14:paraId="3D2F5D6B" w14:textId="77777777" w:rsidTr="00932658">
        <w:trPr>
          <w:jc w:val="center"/>
        </w:trPr>
        <w:tc>
          <w:tcPr>
            <w:tcW w:w="6561" w:type="dxa"/>
            <w:tcBorders>
              <w:top w:val="single" w:sz="7" w:space="0" w:color="000000"/>
              <w:left w:val="single" w:sz="7" w:space="0" w:color="000000"/>
              <w:bottom w:val="single" w:sz="7" w:space="0" w:color="000000"/>
              <w:right w:val="single" w:sz="7" w:space="0" w:color="000000"/>
            </w:tcBorders>
          </w:tcPr>
          <w:p w14:paraId="7F3D4BD4"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Actions taken to minimize emissions and corrective actions taken to return affected unit to normal operation</w:t>
            </w:r>
          </w:p>
        </w:tc>
        <w:tc>
          <w:tcPr>
            <w:tcW w:w="2799" w:type="dxa"/>
            <w:tcBorders>
              <w:top w:val="single" w:sz="7" w:space="0" w:color="000000"/>
              <w:left w:val="single" w:sz="7" w:space="0" w:color="000000"/>
              <w:bottom w:val="single" w:sz="7" w:space="0" w:color="000000"/>
              <w:right w:val="single" w:sz="7" w:space="0" w:color="000000"/>
            </w:tcBorders>
          </w:tcPr>
          <w:p w14:paraId="6D930B8F" w14:textId="77777777" w:rsidR="00054572" w:rsidRPr="001479A4" w:rsidRDefault="00054572" w:rsidP="00932658">
            <w:pPr>
              <w:pBdr>
                <w:top w:val="single" w:sz="6" w:space="0" w:color="FFFFFF"/>
                <w:left w:val="single" w:sz="6" w:space="0" w:color="FFFFFF"/>
                <w:bottom w:val="single" w:sz="6" w:space="0" w:color="FFFFFF"/>
                <w:right w:val="single" w:sz="6" w:space="0" w:color="FFFFFF"/>
              </w:pBdr>
              <w:spacing w:after="58"/>
              <w:rPr>
                <w:sz w:val="22"/>
                <w:szCs w:val="22"/>
              </w:rPr>
            </w:pPr>
            <w:r w:rsidRPr="00CD03DA">
              <w:t>§</w:t>
            </w:r>
            <w:r>
              <w:t xml:space="preserve"> </w:t>
            </w:r>
            <w:r w:rsidRPr="001479A4">
              <w:rPr>
                <w:sz w:val="22"/>
                <w:szCs w:val="22"/>
              </w:rPr>
              <w:t>63.866(d)(3)</w:t>
            </w:r>
          </w:p>
        </w:tc>
      </w:tr>
    </w:tbl>
    <w:p w14:paraId="13929FA4"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7B0311B1"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outlineLvl w:val="0"/>
      </w:pPr>
      <w:r w:rsidRPr="003201BC">
        <w:rPr>
          <w:u w:val="single"/>
        </w:rPr>
        <w:t>Electronic Reporting</w:t>
      </w:r>
    </w:p>
    <w:p w14:paraId="3FCABF91"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6023F8B6" w14:textId="5515B8D3" w:rsidR="004962EC" w:rsidRPr="003201BC" w:rsidRDefault="00AC2AF6" w:rsidP="004962EC">
      <w:pPr>
        <w:pBdr>
          <w:top w:val="single" w:sz="6" w:space="0" w:color="FFFFFF"/>
          <w:left w:val="single" w:sz="6" w:space="0" w:color="FFFFFF"/>
          <w:bottom w:val="single" w:sz="6" w:space="0" w:color="FFFFFF"/>
          <w:right w:val="single" w:sz="6" w:space="0" w:color="FFFFFF"/>
        </w:pBdr>
        <w:ind w:firstLine="720"/>
      </w:pPr>
      <w:r>
        <w:rPr>
          <w:color w:val="000000"/>
        </w:rPr>
        <w:t xml:space="preserve">Currently, </w:t>
      </w:r>
      <w:r w:rsidR="00C537C7">
        <w:rPr>
          <w:color w:val="000000"/>
        </w:rPr>
        <w:t>affected facilities</w:t>
      </w:r>
      <w:r>
        <w:rPr>
          <w:color w:val="000000"/>
        </w:rPr>
        <w:t xml:space="preserve"> are using monitoring equipment that provides automated parameter data (e.g., continuous opacity or control device parameter monitoring). Although personnel at the facilities still need to evaluate the data, this type of monitoring equipment has significantly reduced the burden associated with monitoring and recordkeeping. </w:t>
      </w:r>
      <w:r w:rsidRPr="00322276">
        <w:rPr>
          <w:color w:val="000000"/>
        </w:rPr>
        <w:t>Modern pulp and paper facilities employ distributive controls on their manufacturing process and</w:t>
      </w:r>
      <w:r>
        <w:rPr>
          <w:color w:val="000000"/>
        </w:rPr>
        <w:t xml:space="preserve"> </w:t>
      </w:r>
      <w:r w:rsidRPr="00322276">
        <w:rPr>
          <w:color w:val="000000"/>
        </w:rPr>
        <w:t>have integrated many of the compliance recordkeeping and reporting requirements into their</w:t>
      </w:r>
      <w:r>
        <w:rPr>
          <w:color w:val="000000"/>
        </w:rPr>
        <w:t xml:space="preserve"> </w:t>
      </w:r>
      <w:r w:rsidRPr="00322276">
        <w:rPr>
          <w:color w:val="000000"/>
        </w:rPr>
        <w:t>systems.</w:t>
      </w:r>
      <w:r>
        <w:rPr>
          <w:color w:val="000000"/>
        </w:rPr>
        <w:t xml:space="preserve"> </w:t>
      </w:r>
      <w:r w:rsidRPr="00322276">
        <w:rPr>
          <w:color w:val="000000"/>
        </w:rPr>
        <w:t xml:space="preserve">In addition, some </w:t>
      </w:r>
      <w:r>
        <w:rPr>
          <w:color w:val="000000"/>
        </w:rPr>
        <w:t xml:space="preserve">regulatory agencies are setting up electronic reporting systems to allow sources to report electronically, which is reducing the reporting burden. The </w:t>
      </w:r>
      <w:r>
        <w:t xml:space="preserve">October 11, 2017 </w:t>
      </w:r>
      <w:r>
        <w:rPr>
          <w:color w:val="000000"/>
        </w:rPr>
        <w:t xml:space="preserve">amendments to the NESHAP added a requirement that respondents submit performance test results to the EPA </w:t>
      </w:r>
      <w:r>
        <w:t xml:space="preserve">through the EPA’s </w:t>
      </w:r>
      <w:r w:rsidRPr="00F955D9">
        <w:t xml:space="preserve">Compliance and Emissions Data Reporting Interface </w:t>
      </w:r>
      <w:r>
        <w:t xml:space="preserve">(CEDRI). The performance test data must be submitted </w:t>
      </w:r>
      <w:r w:rsidRPr="00C9437D">
        <w:t>in a file format generated through the use of the EPA’s ERT</w:t>
      </w:r>
      <w:r>
        <w:t xml:space="preserve"> or an alternate</w:t>
      </w:r>
      <w:r w:rsidRPr="00244D51">
        <w:t xml:space="preserve"> electronic file format consistent with the extensible markup language (XML) schema listed on the EPA’s ERT Web site</w:t>
      </w:r>
      <w:r>
        <w:t>.</w:t>
      </w:r>
      <w:r w:rsidRPr="00C9437D">
        <w:t xml:space="preserve"> </w:t>
      </w:r>
      <w:r>
        <w:t>Respondents are also required to submit selected notifications and semiannual reports through the EPA’s CEDRI.</w:t>
      </w:r>
      <w:r w:rsidR="004962EC" w:rsidRPr="003201BC">
        <w:t xml:space="preserve"> </w:t>
      </w:r>
    </w:p>
    <w:p w14:paraId="5F09528E"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03B0F5C5"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1440"/>
        <w:outlineLvl w:val="0"/>
        <w:rPr>
          <w:b/>
          <w:bCs/>
        </w:rPr>
      </w:pPr>
      <w:r w:rsidRPr="003201BC">
        <w:rPr>
          <w:b/>
          <w:bCs/>
        </w:rPr>
        <w:t>(ii)  Respondent Activities</w:t>
      </w:r>
      <w:r w:rsidRPr="003201BC">
        <w:rPr>
          <w:b/>
          <w:bCs/>
        </w:rPr>
        <w:tab/>
      </w:r>
    </w:p>
    <w:p w14:paraId="36D1346C"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AC2AF6" w:rsidRPr="001479A4" w14:paraId="2987EE1E" w14:textId="77777777" w:rsidTr="00932658">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49930DDF" w14:textId="77777777" w:rsidR="00AC2AF6" w:rsidRPr="00F669F1" w:rsidRDefault="00AC2AF6" w:rsidP="00932658">
            <w:pPr>
              <w:pBdr>
                <w:top w:val="single" w:sz="6" w:space="0" w:color="FFFFFF"/>
                <w:left w:val="single" w:sz="6" w:space="0" w:color="FFFFFF"/>
                <w:bottom w:val="single" w:sz="6" w:space="0" w:color="FFFFFF"/>
                <w:right w:val="single" w:sz="6" w:space="0" w:color="FFFFFF"/>
              </w:pBdr>
              <w:spacing w:after="55"/>
              <w:jc w:val="center"/>
              <w:rPr>
                <w:b/>
                <w:bCs/>
                <w:color w:val="000000"/>
              </w:rPr>
            </w:pPr>
            <w:r w:rsidRPr="00F669F1">
              <w:rPr>
                <w:b/>
                <w:bCs/>
                <w:color w:val="000000"/>
              </w:rPr>
              <w:t>Respondent Activities</w:t>
            </w:r>
          </w:p>
        </w:tc>
      </w:tr>
      <w:tr w:rsidR="00AC2AF6" w:rsidRPr="001479A4" w14:paraId="09E7F201" w14:textId="77777777" w:rsidTr="00932658">
        <w:trPr>
          <w:jc w:val="center"/>
        </w:trPr>
        <w:tc>
          <w:tcPr>
            <w:tcW w:w="9360" w:type="dxa"/>
            <w:tcBorders>
              <w:top w:val="single" w:sz="7" w:space="0" w:color="000000"/>
              <w:left w:val="single" w:sz="7" w:space="0" w:color="000000"/>
              <w:bottom w:val="single" w:sz="6" w:space="0" w:color="FFFFFF"/>
              <w:right w:val="single" w:sz="7" w:space="0" w:color="000000"/>
            </w:tcBorders>
          </w:tcPr>
          <w:p w14:paraId="5EC6C106" w14:textId="6778F6B4" w:rsidR="00AC2AF6" w:rsidRPr="00F669F1" w:rsidRDefault="00AC2AF6" w:rsidP="00932658">
            <w:pPr>
              <w:pBdr>
                <w:top w:val="single" w:sz="6" w:space="0" w:color="FFFFFF"/>
                <w:left w:val="single" w:sz="6" w:space="0" w:color="FFFFFF"/>
                <w:bottom w:val="single" w:sz="6" w:space="0" w:color="FFFFFF"/>
                <w:right w:val="single" w:sz="6" w:space="0" w:color="FFFFFF"/>
              </w:pBdr>
              <w:spacing w:after="55"/>
              <w:rPr>
                <w:color w:val="000000"/>
              </w:rPr>
            </w:pPr>
            <w:r w:rsidRPr="00F669F1">
              <w:rPr>
                <w:color w:val="000000"/>
              </w:rPr>
              <w:t>Familiarization with the regulatory requirements.</w:t>
            </w:r>
          </w:p>
        </w:tc>
      </w:tr>
      <w:tr w:rsidR="00AC2AF6" w:rsidRPr="001479A4" w14:paraId="67CC982F" w14:textId="77777777" w:rsidTr="00932658">
        <w:trPr>
          <w:jc w:val="center"/>
        </w:trPr>
        <w:tc>
          <w:tcPr>
            <w:tcW w:w="9360" w:type="dxa"/>
            <w:tcBorders>
              <w:top w:val="single" w:sz="7" w:space="0" w:color="000000"/>
              <w:left w:val="single" w:sz="7" w:space="0" w:color="000000"/>
              <w:bottom w:val="single" w:sz="6" w:space="0" w:color="FFFFFF"/>
              <w:right w:val="single" w:sz="7" w:space="0" w:color="000000"/>
            </w:tcBorders>
          </w:tcPr>
          <w:p w14:paraId="223BB647" w14:textId="57AD9355" w:rsidR="00AC2AF6" w:rsidRPr="00F669F1" w:rsidRDefault="00AC2AF6" w:rsidP="00932658">
            <w:pPr>
              <w:pBdr>
                <w:top w:val="single" w:sz="6" w:space="0" w:color="FFFFFF"/>
                <w:left w:val="single" w:sz="6" w:space="0" w:color="FFFFFF"/>
                <w:bottom w:val="single" w:sz="6" w:space="0" w:color="FFFFFF"/>
                <w:right w:val="single" w:sz="6" w:space="0" w:color="FFFFFF"/>
              </w:pBdr>
              <w:spacing w:after="55"/>
              <w:rPr>
                <w:color w:val="000000"/>
              </w:rPr>
            </w:pPr>
            <w:r w:rsidRPr="00F669F1">
              <w:rPr>
                <w:color w:val="000000"/>
              </w:rPr>
              <w:t>Install, calibrate, maintain, and operate CMS</w:t>
            </w:r>
            <w:r w:rsidR="00175150">
              <w:rPr>
                <w:color w:val="000000"/>
              </w:rPr>
              <w:t xml:space="preserve"> for opacity</w:t>
            </w:r>
            <w:r w:rsidR="00133A1D">
              <w:rPr>
                <w:color w:val="000000"/>
              </w:rPr>
              <w:t xml:space="preserve"> and </w:t>
            </w:r>
            <w:r w:rsidR="00175150">
              <w:rPr>
                <w:color w:val="000000"/>
              </w:rPr>
              <w:t>automatic voltage control, pressure dr</w:t>
            </w:r>
            <w:r w:rsidR="00133A1D">
              <w:rPr>
                <w:color w:val="000000"/>
              </w:rPr>
              <w:t>op, liquid flow rate, or fan amperage for each ESP and wet scrubber, temperature for each RTO, or leak detection for fabric filter systems</w:t>
            </w:r>
            <w:r w:rsidRPr="00F669F1">
              <w:t>.</w:t>
            </w:r>
          </w:p>
        </w:tc>
      </w:tr>
      <w:tr w:rsidR="00AC2AF6" w:rsidRPr="001479A4" w14:paraId="5B985219" w14:textId="77777777" w:rsidTr="00932658">
        <w:trPr>
          <w:jc w:val="center"/>
        </w:trPr>
        <w:tc>
          <w:tcPr>
            <w:tcW w:w="9360" w:type="dxa"/>
            <w:tcBorders>
              <w:top w:val="single" w:sz="7" w:space="0" w:color="000000"/>
              <w:left w:val="single" w:sz="7" w:space="0" w:color="000000"/>
              <w:bottom w:val="single" w:sz="6" w:space="0" w:color="FFFFFF"/>
              <w:right w:val="single" w:sz="7" w:space="0" w:color="000000"/>
            </w:tcBorders>
          </w:tcPr>
          <w:p w14:paraId="2EF72D79" w14:textId="07243CC3" w:rsidR="00AC2AF6" w:rsidRPr="00F669F1" w:rsidRDefault="00133A1D" w:rsidP="00932658">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and periodic p</w:t>
            </w:r>
            <w:r w:rsidR="00AC2AF6" w:rsidRPr="00F669F1">
              <w:rPr>
                <w:color w:val="000000"/>
              </w:rPr>
              <w:t>erformance tests using EPA Reference Methods 1, 1A, 2, 2A, 2C, 2D, 2F, 2G, 3, 3A, 3B, 4, 5, 17, 25A, 29, or 308, and repeat performance tests if necessary.</w:t>
            </w:r>
          </w:p>
        </w:tc>
      </w:tr>
      <w:tr w:rsidR="00AC2AF6" w:rsidRPr="001479A4" w14:paraId="7556D8FB" w14:textId="77777777" w:rsidTr="00932658">
        <w:trPr>
          <w:jc w:val="center"/>
        </w:trPr>
        <w:tc>
          <w:tcPr>
            <w:tcW w:w="9360" w:type="dxa"/>
            <w:tcBorders>
              <w:top w:val="single" w:sz="7" w:space="0" w:color="000000"/>
              <w:left w:val="single" w:sz="7" w:space="0" w:color="000000"/>
              <w:bottom w:val="single" w:sz="6" w:space="0" w:color="FFFFFF"/>
              <w:right w:val="single" w:sz="7" w:space="0" w:color="000000"/>
            </w:tcBorders>
          </w:tcPr>
          <w:p w14:paraId="7D926C6F" w14:textId="77777777" w:rsidR="00AC2AF6" w:rsidRPr="00F669F1" w:rsidRDefault="00AC2AF6" w:rsidP="00932658">
            <w:pPr>
              <w:pBdr>
                <w:top w:val="single" w:sz="6" w:space="0" w:color="FFFFFF"/>
                <w:left w:val="single" w:sz="6" w:space="0" w:color="FFFFFF"/>
                <w:bottom w:val="single" w:sz="6" w:space="0" w:color="FFFFFF"/>
                <w:right w:val="single" w:sz="6" w:space="0" w:color="FFFFFF"/>
              </w:pBdr>
              <w:spacing w:after="55"/>
              <w:rPr>
                <w:color w:val="000000"/>
              </w:rPr>
            </w:pPr>
            <w:r w:rsidRPr="00F669F1">
              <w:rPr>
                <w:color w:val="000000"/>
              </w:rPr>
              <w:t>Write the notifications and reports listed above.</w:t>
            </w:r>
          </w:p>
        </w:tc>
      </w:tr>
      <w:tr w:rsidR="00AC2AF6" w:rsidRPr="001479A4" w14:paraId="233CC4B4" w14:textId="77777777" w:rsidTr="00932658">
        <w:trPr>
          <w:jc w:val="center"/>
        </w:trPr>
        <w:tc>
          <w:tcPr>
            <w:tcW w:w="9360" w:type="dxa"/>
            <w:tcBorders>
              <w:top w:val="single" w:sz="7" w:space="0" w:color="000000"/>
              <w:left w:val="single" w:sz="7" w:space="0" w:color="000000"/>
              <w:bottom w:val="single" w:sz="6" w:space="0" w:color="FFFFFF"/>
              <w:right w:val="single" w:sz="7" w:space="0" w:color="000000"/>
            </w:tcBorders>
          </w:tcPr>
          <w:p w14:paraId="363826FF" w14:textId="77777777" w:rsidR="00AC2AF6" w:rsidRPr="00F669F1" w:rsidRDefault="00AC2AF6" w:rsidP="00932658">
            <w:pPr>
              <w:pBdr>
                <w:top w:val="single" w:sz="6" w:space="0" w:color="FFFFFF"/>
                <w:left w:val="single" w:sz="6" w:space="0" w:color="FFFFFF"/>
                <w:bottom w:val="single" w:sz="6" w:space="0" w:color="FFFFFF"/>
                <w:right w:val="single" w:sz="6" w:space="0" w:color="FFFFFF"/>
              </w:pBdr>
              <w:spacing w:after="55"/>
              <w:rPr>
                <w:color w:val="000000"/>
              </w:rPr>
            </w:pPr>
            <w:r w:rsidRPr="00F669F1">
              <w:rPr>
                <w:color w:val="000000"/>
              </w:rPr>
              <w:t>Enter information required to be recorded above.</w:t>
            </w:r>
          </w:p>
        </w:tc>
      </w:tr>
      <w:tr w:rsidR="00AC2AF6" w:rsidRPr="001479A4" w14:paraId="21470247" w14:textId="77777777" w:rsidTr="00932658">
        <w:trPr>
          <w:jc w:val="center"/>
        </w:trPr>
        <w:tc>
          <w:tcPr>
            <w:tcW w:w="9360" w:type="dxa"/>
            <w:tcBorders>
              <w:top w:val="single" w:sz="7" w:space="0" w:color="000000"/>
              <w:left w:val="single" w:sz="7" w:space="0" w:color="000000"/>
              <w:bottom w:val="single" w:sz="6" w:space="0" w:color="FFFFFF"/>
              <w:right w:val="single" w:sz="7" w:space="0" w:color="000000"/>
            </w:tcBorders>
          </w:tcPr>
          <w:p w14:paraId="6D52EC7A" w14:textId="77777777" w:rsidR="00AC2AF6" w:rsidRPr="00F669F1" w:rsidRDefault="00AC2AF6" w:rsidP="00932658">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notifications and reports.</w:t>
            </w:r>
          </w:p>
        </w:tc>
      </w:tr>
      <w:tr w:rsidR="00133A1D" w:rsidRPr="001479A4" w14:paraId="1A813331" w14:textId="77777777" w:rsidTr="00932658">
        <w:trPr>
          <w:jc w:val="center"/>
        </w:trPr>
        <w:tc>
          <w:tcPr>
            <w:tcW w:w="9360" w:type="dxa"/>
            <w:tcBorders>
              <w:top w:val="single" w:sz="7" w:space="0" w:color="000000"/>
              <w:left w:val="single" w:sz="7" w:space="0" w:color="000000"/>
              <w:bottom w:val="single" w:sz="6" w:space="0" w:color="FFFFFF"/>
              <w:right w:val="single" w:sz="7" w:space="0" w:color="000000"/>
            </w:tcBorders>
          </w:tcPr>
          <w:p w14:paraId="25560A2F" w14:textId="77777777" w:rsidR="00133A1D" w:rsidRDefault="00133A1D" w:rsidP="00133A1D">
            <w:pPr>
              <w:spacing w:line="120" w:lineRule="exact"/>
              <w:rPr>
                <w:color w:val="000000"/>
              </w:rPr>
            </w:pPr>
          </w:p>
          <w:p w14:paraId="4EB1EA95" w14:textId="70D185A3" w:rsidR="00133A1D" w:rsidRPr="00F669F1" w:rsidRDefault="00133A1D" w:rsidP="00133A1D">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133A1D" w:rsidRPr="001479A4" w14:paraId="2D8917E4" w14:textId="77777777" w:rsidTr="00932658">
        <w:trPr>
          <w:jc w:val="center"/>
        </w:trPr>
        <w:tc>
          <w:tcPr>
            <w:tcW w:w="9360" w:type="dxa"/>
            <w:tcBorders>
              <w:top w:val="single" w:sz="7" w:space="0" w:color="000000"/>
              <w:left w:val="single" w:sz="7" w:space="0" w:color="000000"/>
              <w:bottom w:val="single" w:sz="6" w:space="0" w:color="FFFFFF"/>
              <w:right w:val="single" w:sz="7" w:space="0" w:color="000000"/>
            </w:tcBorders>
          </w:tcPr>
          <w:p w14:paraId="3100B2E1" w14:textId="77777777" w:rsidR="00133A1D" w:rsidRDefault="00133A1D" w:rsidP="00133A1D">
            <w:pPr>
              <w:spacing w:line="120" w:lineRule="exact"/>
              <w:rPr>
                <w:color w:val="000000"/>
              </w:rPr>
            </w:pPr>
          </w:p>
          <w:p w14:paraId="6995A934" w14:textId="02DB348A" w:rsidR="00133A1D" w:rsidRPr="00F669F1" w:rsidRDefault="00133A1D" w:rsidP="00133A1D">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AC2AF6" w:rsidRPr="001479A4" w14:paraId="76AA7F3C" w14:textId="77777777" w:rsidTr="00932658">
        <w:trPr>
          <w:jc w:val="center"/>
        </w:trPr>
        <w:tc>
          <w:tcPr>
            <w:tcW w:w="9360" w:type="dxa"/>
            <w:tcBorders>
              <w:top w:val="single" w:sz="7" w:space="0" w:color="000000"/>
              <w:left w:val="single" w:sz="7" w:space="0" w:color="000000"/>
              <w:bottom w:val="single" w:sz="6" w:space="0" w:color="FFFFFF"/>
              <w:right w:val="single" w:sz="7" w:space="0" w:color="000000"/>
            </w:tcBorders>
          </w:tcPr>
          <w:p w14:paraId="3C2F1E4F" w14:textId="77777777" w:rsidR="00AC2AF6" w:rsidRPr="00F669F1" w:rsidRDefault="00AC2AF6" w:rsidP="00932658">
            <w:pPr>
              <w:pBdr>
                <w:top w:val="single" w:sz="6" w:space="0" w:color="FFFFFF"/>
                <w:left w:val="single" w:sz="6" w:space="0" w:color="FFFFFF"/>
                <w:bottom w:val="single" w:sz="6" w:space="0" w:color="FFFFFF"/>
                <w:right w:val="single" w:sz="6" w:space="0" w:color="FFFFFF"/>
              </w:pBdr>
              <w:spacing w:after="55"/>
              <w:rPr>
                <w:color w:val="000000"/>
              </w:rPr>
            </w:pPr>
            <w:r w:rsidRPr="00F669F1">
              <w:rPr>
                <w:color w:val="000000"/>
              </w:rPr>
              <w:t>Train personnel to be able to respond to a collection of information.</w:t>
            </w:r>
          </w:p>
        </w:tc>
      </w:tr>
      <w:tr w:rsidR="00AC2AF6" w:rsidRPr="001479A4" w14:paraId="7E53FD4D" w14:textId="77777777" w:rsidTr="00932658">
        <w:trPr>
          <w:jc w:val="center"/>
        </w:trPr>
        <w:tc>
          <w:tcPr>
            <w:tcW w:w="9360" w:type="dxa"/>
            <w:tcBorders>
              <w:top w:val="single" w:sz="7" w:space="0" w:color="000000"/>
              <w:left w:val="single" w:sz="7" w:space="0" w:color="000000"/>
              <w:bottom w:val="single" w:sz="7" w:space="0" w:color="000000"/>
              <w:right w:val="single" w:sz="7" w:space="0" w:color="000000"/>
            </w:tcBorders>
          </w:tcPr>
          <w:p w14:paraId="05E00607" w14:textId="77777777" w:rsidR="00AC2AF6" w:rsidRPr="00F669F1" w:rsidRDefault="00AC2AF6" w:rsidP="00932658">
            <w:pPr>
              <w:pBdr>
                <w:top w:val="single" w:sz="6" w:space="0" w:color="FFFFFF"/>
                <w:left w:val="single" w:sz="6" w:space="0" w:color="FFFFFF"/>
                <w:bottom w:val="single" w:sz="6" w:space="0" w:color="FFFFFF"/>
                <w:right w:val="single" w:sz="6" w:space="0" w:color="FFFFFF"/>
              </w:pBdr>
              <w:spacing w:after="74"/>
              <w:rPr>
                <w:color w:val="000000"/>
              </w:rPr>
            </w:pPr>
            <w:r w:rsidRPr="00F669F1">
              <w:rPr>
                <w:color w:val="000000"/>
              </w:rPr>
              <w:t>Transmit, or otherwise disclose the information.</w:t>
            </w:r>
          </w:p>
        </w:tc>
      </w:tr>
      <w:tr w:rsidR="00AC2AF6" w:rsidRPr="001479A4" w14:paraId="0B4B81A6" w14:textId="77777777" w:rsidTr="00932658">
        <w:trPr>
          <w:jc w:val="center"/>
        </w:trPr>
        <w:tc>
          <w:tcPr>
            <w:tcW w:w="9360" w:type="dxa"/>
            <w:tcBorders>
              <w:top w:val="single" w:sz="7" w:space="0" w:color="000000"/>
              <w:left w:val="single" w:sz="7" w:space="0" w:color="000000"/>
              <w:bottom w:val="single" w:sz="7" w:space="0" w:color="000000"/>
              <w:right w:val="single" w:sz="7" w:space="0" w:color="000000"/>
            </w:tcBorders>
          </w:tcPr>
          <w:p w14:paraId="77296D1A" w14:textId="45947019" w:rsidR="00AC2AF6" w:rsidRPr="00F669F1" w:rsidRDefault="00AC2AF6" w:rsidP="00932658">
            <w:pPr>
              <w:pBdr>
                <w:top w:val="single" w:sz="6" w:space="0" w:color="FFFFFF"/>
                <w:left w:val="single" w:sz="6" w:space="0" w:color="FFFFFF"/>
                <w:bottom w:val="single" w:sz="6" w:space="0" w:color="FFFFFF"/>
                <w:right w:val="single" w:sz="6" w:space="0" w:color="FFFFFF"/>
              </w:pBdr>
              <w:spacing w:after="74"/>
              <w:rPr>
                <w:color w:val="000000"/>
              </w:rPr>
            </w:pPr>
            <w:r w:rsidRPr="00F669F1">
              <w:t>Adjust existing</w:t>
            </w:r>
            <w:r w:rsidR="0014177B" w:rsidRPr="0014177B">
              <w:t xml:space="preserve"> data acquisition </w:t>
            </w:r>
            <w:r w:rsidR="0014177B">
              <w:t xml:space="preserve">and reporting </w:t>
            </w:r>
            <w:r w:rsidR="0014177B" w:rsidRPr="0014177B">
              <w:t>systems</w:t>
            </w:r>
            <w:r w:rsidR="0014177B">
              <w:t xml:space="preserve"> </w:t>
            </w:r>
            <w:r w:rsidRPr="00F669F1">
              <w:t>to comply with</w:t>
            </w:r>
            <w:r w:rsidR="0014177B">
              <w:t xml:space="preserve"> October 11, 2017 RTR amendments to the NESHAP</w:t>
            </w:r>
            <w:r w:rsidRPr="00F669F1">
              <w:t>.</w:t>
            </w:r>
          </w:p>
        </w:tc>
      </w:tr>
    </w:tbl>
    <w:p w14:paraId="6844B53F"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rPr>
          <w:b/>
          <w:bCs/>
        </w:rPr>
      </w:pPr>
    </w:p>
    <w:p w14:paraId="2EEA1551"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outlineLvl w:val="0"/>
        <w:rPr>
          <w:b/>
          <w:bCs/>
        </w:rPr>
      </w:pPr>
      <w:r w:rsidRPr="003201BC">
        <w:rPr>
          <w:b/>
          <w:bCs/>
        </w:rPr>
        <w:t>5.  The Information Collected:  Agency Activities, Collection Methodology, and Information Management</w:t>
      </w:r>
    </w:p>
    <w:p w14:paraId="65409FB0"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rPr>
          <w:b/>
          <w:bCs/>
        </w:rPr>
      </w:pPr>
    </w:p>
    <w:p w14:paraId="7B3B05EA"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5(a)  Agency Activities</w:t>
      </w:r>
    </w:p>
    <w:p w14:paraId="225EE030"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2CCB66C8" w14:textId="732B23CC" w:rsidR="004962EC" w:rsidRPr="003201BC" w:rsidRDefault="001B705C" w:rsidP="004962EC">
      <w:pPr>
        <w:pBdr>
          <w:top w:val="single" w:sz="6" w:space="0" w:color="FFFFFF"/>
          <w:left w:val="single" w:sz="6" w:space="0" w:color="FFFFFF"/>
          <w:bottom w:val="single" w:sz="6" w:space="0" w:color="FFFFFF"/>
          <w:right w:val="single" w:sz="6" w:space="0" w:color="FFFFFF"/>
        </w:pBdr>
        <w:ind w:firstLine="720"/>
      </w:pPr>
      <w:r>
        <w:t xml:space="preserve">The </w:t>
      </w:r>
      <w:r w:rsidR="004962EC" w:rsidRPr="003201BC">
        <w:t>EPA conducts the following activities in connection with the acquisition, analysis, storage, and distribution of the required information</w:t>
      </w:r>
      <w:r w:rsidR="00326FDF">
        <w:t>:</w:t>
      </w:r>
    </w:p>
    <w:p w14:paraId="1232DC3A"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tbl>
      <w:tblPr>
        <w:tblW w:w="93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360"/>
      </w:tblGrid>
      <w:tr w:rsidR="00AC2AF6" w:rsidRPr="001479A4" w14:paraId="505A228F" w14:textId="77777777" w:rsidTr="00932658">
        <w:trPr>
          <w:tblHeader/>
        </w:trPr>
        <w:tc>
          <w:tcPr>
            <w:tcW w:w="9360" w:type="dxa"/>
          </w:tcPr>
          <w:p w14:paraId="5BA47CF1" w14:textId="77777777" w:rsidR="00AC2AF6" w:rsidRPr="00F669F1" w:rsidRDefault="00AC2AF6" w:rsidP="00932658">
            <w:pPr>
              <w:pBdr>
                <w:top w:val="single" w:sz="6" w:space="0" w:color="FFFFFF"/>
                <w:left w:val="single" w:sz="6" w:space="0" w:color="FFFFFF"/>
                <w:bottom w:val="single" w:sz="6" w:space="0" w:color="FFFFFF"/>
                <w:right w:val="single" w:sz="6" w:space="0" w:color="FFFFFF"/>
              </w:pBdr>
              <w:spacing w:after="52"/>
              <w:jc w:val="center"/>
              <w:rPr>
                <w:b/>
                <w:bCs/>
                <w:color w:val="000000"/>
              </w:rPr>
            </w:pPr>
            <w:r w:rsidRPr="00F669F1">
              <w:rPr>
                <w:b/>
                <w:bCs/>
                <w:color w:val="000000"/>
              </w:rPr>
              <w:t>Agency Activities</w:t>
            </w:r>
          </w:p>
        </w:tc>
      </w:tr>
      <w:tr w:rsidR="00AC2AF6" w:rsidRPr="001479A4" w14:paraId="0F0A1CE9" w14:textId="77777777" w:rsidTr="00932658">
        <w:tc>
          <w:tcPr>
            <w:tcW w:w="9360" w:type="dxa"/>
          </w:tcPr>
          <w:p w14:paraId="2CECAF34" w14:textId="77777777" w:rsidR="00AC2AF6" w:rsidRPr="00F669F1" w:rsidRDefault="00AC2AF6" w:rsidP="00932658">
            <w:pPr>
              <w:pBdr>
                <w:top w:val="single" w:sz="6" w:space="0" w:color="FFFFFF"/>
                <w:left w:val="single" w:sz="6" w:space="0" w:color="FFFFFF"/>
                <w:bottom w:val="single" w:sz="6" w:space="0" w:color="FFFFFF"/>
                <w:right w:val="single" w:sz="6" w:space="0" w:color="FFFFFF"/>
              </w:pBdr>
              <w:spacing w:after="52"/>
              <w:rPr>
                <w:color w:val="000000"/>
              </w:rPr>
            </w:pPr>
            <w:r w:rsidRPr="00F669F1">
              <w:rPr>
                <w:color w:val="000000"/>
              </w:rPr>
              <w:t>Observe initial and periodic performance tests and retests.</w:t>
            </w:r>
          </w:p>
        </w:tc>
      </w:tr>
      <w:tr w:rsidR="00AC2AF6" w:rsidRPr="001479A4" w14:paraId="350C48D7" w14:textId="77777777" w:rsidTr="00932658">
        <w:tc>
          <w:tcPr>
            <w:tcW w:w="9360" w:type="dxa"/>
          </w:tcPr>
          <w:p w14:paraId="1203C0E8" w14:textId="6B9F283C" w:rsidR="00AC2AF6" w:rsidRPr="00F669F1" w:rsidRDefault="00AC2AF6" w:rsidP="00932658">
            <w:pPr>
              <w:pBdr>
                <w:top w:val="single" w:sz="6" w:space="0" w:color="FFFFFF"/>
                <w:left w:val="single" w:sz="6" w:space="0" w:color="FFFFFF"/>
                <w:bottom w:val="single" w:sz="6" w:space="0" w:color="FFFFFF"/>
                <w:right w:val="single" w:sz="6" w:space="0" w:color="FFFFFF"/>
              </w:pBdr>
              <w:spacing w:after="52"/>
              <w:rPr>
                <w:color w:val="000000"/>
              </w:rPr>
            </w:pPr>
            <w:r w:rsidRPr="00F669F1">
              <w:rPr>
                <w:color w:val="000000"/>
              </w:rPr>
              <w:t xml:space="preserve">Review </w:t>
            </w:r>
            <w:r w:rsidR="00133A1D">
              <w:rPr>
                <w:color w:val="000000"/>
              </w:rPr>
              <w:t xml:space="preserve">notifications and </w:t>
            </w:r>
            <w:r w:rsidRPr="00F669F1">
              <w:rPr>
                <w:color w:val="000000"/>
              </w:rPr>
              <w:t>reports, including performance test reports</w:t>
            </w:r>
            <w:r w:rsidR="00133A1D">
              <w:rPr>
                <w:color w:val="000000"/>
              </w:rPr>
              <w:t>,</w:t>
            </w:r>
            <w:r w:rsidRPr="00F669F1">
              <w:rPr>
                <w:color w:val="000000"/>
              </w:rPr>
              <w:t xml:space="preserve"> and excess emissions reports, required to be submitted by industry.</w:t>
            </w:r>
          </w:p>
        </w:tc>
      </w:tr>
      <w:tr w:rsidR="00AC2AF6" w:rsidRPr="001479A4" w14:paraId="4A3CB236" w14:textId="77777777" w:rsidTr="00932658">
        <w:tc>
          <w:tcPr>
            <w:tcW w:w="9360" w:type="dxa"/>
            <w:vAlign w:val="center"/>
          </w:tcPr>
          <w:p w14:paraId="67D7509E" w14:textId="77777777" w:rsidR="00AC2AF6" w:rsidRPr="00F669F1" w:rsidRDefault="00AC2AF6" w:rsidP="00932658">
            <w:pPr>
              <w:pBdr>
                <w:top w:val="single" w:sz="6" w:space="0" w:color="FFFFFF"/>
                <w:left w:val="single" w:sz="6" w:space="0" w:color="FFFFFF"/>
                <w:bottom w:val="single" w:sz="6" w:space="0" w:color="FFFFFF"/>
                <w:right w:val="single" w:sz="6" w:space="0" w:color="FFFFFF"/>
              </w:pBdr>
              <w:spacing w:after="52"/>
            </w:pPr>
            <w:r w:rsidRPr="00F669F1">
              <w:rPr>
                <w:color w:val="000000"/>
              </w:rPr>
              <w:t>Audit facility records.</w:t>
            </w:r>
          </w:p>
        </w:tc>
      </w:tr>
      <w:tr w:rsidR="00133A1D" w:rsidRPr="001479A4" w14:paraId="11DB38F8" w14:textId="77777777" w:rsidTr="00932658">
        <w:tc>
          <w:tcPr>
            <w:tcW w:w="9360" w:type="dxa"/>
            <w:vAlign w:val="center"/>
          </w:tcPr>
          <w:p w14:paraId="7DCBE348" w14:textId="0B14563A" w:rsidR="00133A1D" w:rsidRPr="00F669F1" w:rsidRDefault="00133A1D" w:rsidP="00932658">
            <w:pPr>
              <w:pBdr>
                <w:top w:val="single" w:sz="6" w:space="0" w:color="FFFFFF"/>
                <w:left w:val="single" w:sz="6" w:space="0" w:color="FFFFFF"/>
                <w:bottom w:val="single" w:sz="6" w:space="0" w:color="FFFFFF"/>
                <w:right w:val="single" w:sz="6" w:space="0" w:color="FFFFFF"/>
              </w:pBdr>
              <w:spacing w:after="52"/>
              <w:rPr>
                <w:color w:val="000000"/>
              </w:rPr>
            </w:pPr>
            <w:r w:rsidRPr="00D91C34">
              <w:t xml:space="preserve">Input, analyze, and maintain data in </w:t>
            </w:r>
            <w:r>
              <w:t xml:space="preserve">the </w:t>
            </w:r>
            <w:r w:rsidRPr="00D91C34">
              <w:t>Enforcement and Compliance History Online (ECHO) and ICIS.</w:t>
            </w:r>
          </w:p>
        </w:tc>
      </w:tr>
    </w:tbl>
    <w:p w14:paraId="4718D52C"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5(b)  Collection Methodology and Management</w:t>
      </w:r>
    </w:p>
    <w:p w14:paraId="1EB6C1D1"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643637AE" w14:textId="7EAAB09B"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w:t>
      </w:r>
      <w:r w:rsidR="00326FDF">
        <w:t>s</w:t>
      </w:r>
      <w:r w:rsidRPr="003201BC">
        <w:t>. Data and records maintained by the respondents are tabulated and published for use in compliance and enforcement programs</w:t>
      </w:r>
      <w:r w:rsidR="00D64CD1">
        <w:t xml:space="preserve">. </w:t>
      </w:r>
      <w:r w:rsidRPr="003201BC">
        <w:t>The semiannual reports are used for problem identification, as a check on source operation and maintenance, and for compliance determinations.</w:t>
      </w:r>
    </w:p>
    <w:p w14:paraId="0F02F65D"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7FB213B1" w14:textId="59094916"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Information contained in the reports is reported by state and local governments in the ICIS Air database which is operated and maintained by EPA's Office of Compliance</w:t>
      </w:r>
      <w:r w:rsidR="00D64CD1">
        <w:t xml:space="preserve">. </w:t>
      </w:r>
      <w:r w:rsidRPr="003201BC">
        <w:t>ICIS is EPA’s database for the collection, maintenance, and retrieval of compliance data for industrial and government-owned facilities</w:t>
      </w:r>
      <w:r w:rsidR="00D64CD1">
        <w:t xml:space="preserve">. </w:t>
      </w:r>
      <w:r w:rsidR="001B705C">
        <w:t xml:space="preserve">The </w:t>
      </w:r>
      <w:r w:rsidRPr="003201BC">
        <w:t>EPA uses ICIS for tracking air pollution compliance and enforcement by local and state regulatory agencies, EPA regional offices and EPA headquarters</w:t>
      </w:r>
      <w:r w:rsidR="00D64CD1">
        <w:t xml:space="preserve">. </w:t>
      </w:r>
      <w:r w:rsidR="001B705C">
        <w:t xml:space="preserve">The </w:t>
      </w:r>
      <w:r w:rsidRPr="003201BC">
        <w:t>EPA and its delegated Authorities can edit, store, retrieve and analyze th</w:t>
      </w:r>
      <w:r w:rsidR="00326FDF">
        <w:t>is</w:t>
      </w:r>
      <w:r w:rsidRPr="003201BC">
        <w:t xml:space="preserve"> data.</w:t>
      </w:r>
    </w:p>
    <w:p w14:paraId="6DAA5932"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3B2CC295"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 xml:space="preserve"> The records required by this regulation must be retained by the owner/operator for five years.</w:t>
      </w:r>
    </w:p>
    <w:p w14:paraId="3F31ABDD"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6F9B200A"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5(c)  Small Entity Flexibility</w:t>
      </w:r>
    </w:p>
    <w:p w14:paraId="2D2908E9"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1A478E11" w14:textId="6220B040" w:rsidR="004962EC" w:rsidRPr="003201BC" w:rsidRDefault="00AC2AF6" w:rsidP="004962EC">
      <w:pPr>
        <w:pBdr>
          <w:top w:val="single" w:sz="6" w:space="0" w:color="FFFFFF"/>
          <w:left w:val="single" w:sz="6" w:space="0" w:color="FFFFFF"/>
          <w:bottom w:val="single" w:sz="6" w:space="0" w:color="FFFFFF"/>
          <w:right w:val="single" w:sz="6" w:space="0" w:color="FFFFFF"/>
        </w:pBdr>
        <w:ind w:firstLine="720"/>
      </w:pPr>
      <w:r>
        <w:t>Most</w:t>
      </w:r>
      <w:r w:rsidR="004962EC" w:rsidRPr="003201BC">
        <w:t xml:space="preserve"> of the respondents are large entities (i.e., large businesses)</w:t>
      </w:r>
      <w:r w:rsidR="00D64CD1">
        <w:t xml:space="preserve">. </w:t>
      </w:r>
      <w:r w:rsidR="004962EC" w:rsidRPr="003201BC">
        <w:t xml:space="preserve">However, the impact </w:t>
      </w:r>
      <w:r w:rsidR="00326FDF">
        <w:t xml:space="preserve">  </w:t>
      </w:r>
      <w:r w:rsidR="004962EC" w:rsidRPr="003201BC">
        <w:t xml:space="preserve">on small entities (i.e., small businesses) was taken into consideration during the development </w:t>
      </w:r>
      <w:r w:rsidR="00326FDF">
        <w:t xml:space="preserve">   </w:t>
      </w:r>
      <w:r w:rsidR="004962EC" w:rsidRPr="003201BC">
        <w:t>of the regulation</w:t>
      </w:r>
      <w:r w:rsidR="00D64CD1">
        <w:t xml:space="preserve">. </w:t>
      </w:r>
      <w:r>
        <w:t xml:space="preserve">Three small entities are anticipated to be minimally affected by the RTR amendments. </w:t>
      </w:r>
      <w:r w:rsidR="004962EC" w:rsidRPr="003201BC">
        <w:t>Due to technical considerations involving the process operations and the types of control equipment employed, the recordkeeping and reporting requirements are the same for both small and large entities</w:t>
      </w:r>
      <w:r w:rsidR="00D64CD1">
        <w:t xml:space="preserve">. </w:t>
      </w:r>
      <w:r w:rsidR="004962EC" w:rsidRPr="003201BC">
        <w:t>The Agency considers these to be the minimum requirements needed to ensure compliance and, therefore, cannot reduce them further for small entities</w:t>
      </w:r>
      <w:r w:rsidR="00D64CD1">
        <w:t xml:space="preserve">. </w:t>
      </w:r>
      <w:r w:rsidR="004962EC" w:rsidRPr="003201BC">
        <w:t>To the extent that larger businesses can use economies of scale to reduce their burden, the overall burden will be reduced.</w:t>
      </w:r>
    </w:p>
    <w:p w14:paraId="4621D73A"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rPr>
          <w:b/>
          <w:bCs/>
        </w:rPr>
      </w:pPr>
    </w:p>
    <w:p w14:paraId="1B4A96A0"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rPr>
          <w:b/>
          <w:bCs/>
        </w:rPr>
        <w:t>5(d)  Collection Schedule</w:t>
      </w:r>
    </w:p>
    <w:p w14:paraId="178147B4"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55A8741E" w14:textId="111BEF04"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rPr>
          <w:b/>
          <w:bCs/>
        </w:rPr>
      </w:pPr>
      <w:r w:rsidRPr="003201BC">
        <w:t>The specific frequency for each information collection activity within this request is shown below</w:t>
      </w:r>
      <w:r w:rsidR="00326FDF">
        <w:t xml:space="preserve"> in </w:t>
      </w:r>
      <w:r w:rsidRPr="003201BC">
        <w:t xml:space="preserve">Table 1: Annual Respondent Burden and Cost – NESHAP for </w:t>
      </w:r>
      <w:r w:rsidR="00264789">
        <w:t>Chemical Recovery Combustion Sources at Kraft, Soda, Sulfite, and Stand-Alone Semichemical Pulp Mills</w:t>
      </w:r>
      <w:r w:rsidRPr="003201BC">
        <w:rPr>
          <w:bCs/>
        </w:rPr>
        <w:t xml:space="preserve"> (40 CFR Part 63, </w:t>
      </w:r>
      <w:r w:rsidR="00264789">
        <w:rPr>
          <w:bCs/>
        </w:rPr>
        <w:t>Subpart MM</w:t>
      </w:r>
      <w:r w:rsidRPr="003201BC">
        <w:t>) (Renewal).</w:t>
      </w:r>
    </w:p>
    <w:p w14:paraId="3A7B97CA"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rPr>
          <w:b/>
          <w:bCs/>
        </w:rPr>
      </w:pPr>
    </w:p>
    <w:p w14:paraId="327AE1A6" w14:textId="77777777" w:rsidR="004962EC" w:rsidRPr="003201BC" w:rsidRDefault="004962EC" w:rsidP="004962EC">
      <w:pPr>
        <w:pBdr>
          <w:top w:val="single" w:sz="6" w:space="1" w:color="FFFFFF"/>
          <w:left w:val="single" w:sz="6" w:space="0" w:color="FFFFFF"/>
          <w:bottom w:val="single" w:sz="6" w:space="0" w:color="FFFFFF"/>
          <w:right w:val="single" w:sz="6" w:space="0" w:color="FFFFFF"/>
        </w:pBdr>
        <w:outlineLvl w:val="0"/>
        <w:rPr>
          <w:b/>
          <w:bCs/>
        </w:rPr>
      </w:pPr>
      <w:r w:rsidRPr="003201BC">
        <w:rPr>
          <w:b/>
          <w:bCs/>
        </w:rPr>
        <w:t>6.  Estimating the Burden and Cost of the Collection</w:t>
      </w:r>
    </w:p>
    <w:p w14:paraId="2F2F58CD" w14:textId="77777777" w:rsidR="004962EC" w:rsidRPr="003201BC" w:rsidRDefault="004962EC" w:rsidP="004962EC">
      <w:pPr>
        <w:pBdr>
          <w:top w:val="single" w:sz="6" w:space="1" w:color="FFFFFF"/>
          <w:left w:val="single" w:sz="6" w:space="0" w:color="FFFFFF"/>
          <w:bottom w:val="single" w:sz="6" w:space="0" w:color="FFFFFF"/>
          <w:right w:val="single" w:sz="6" w:space="0" w:color="FFFFFF"/>
        </w:pBdr>
        <w:rPr>
          <w:b/>
          <w:bCs/>
        </w:rPr>
      </w:pPr>
    </w:p>
    <w:p w14:paraId="466E6C7D" w14:textId="77AD398D" w:rsidR="004962EC" w:rsidRPr="003201BC" w:rsidRDefault="004962EC" w:rsidP="004962EC">
      <w:pPr>
        <w:pBdr>
          <w:top w:val="single" w:sz="6" w:space="1" w:color="FFFFFF"/>
          <w:left w:val="single" w:sz="6" w:space="0" w:color="FFFFFF"/>
          <w:bottom w:val="single" w:sz="6" w:space="0" w:color="FFFFFF"/>
          <w:right w:val="single" w:sz="6" w:space="0" w:color="FFFFFF"/>
        </w:pBdr>
        <w:ind w:firstLine="720"/>
      </w:pPr>
      <w:r w:rsidRPr="003201BC">
        <w:t>Table 1 documents the computation of individual burdens for the recordkeeping and reporting requirements applicable to the industry for the subpart included in this ICR</w:t>
      </w:r>
      <w:r w:rsidR="00D64CD1">
        <w:t xml:space="preserve">. </w:t>
      </w:r>
      <w:r w:rsidRPr="003201BC">
        <w:t xml:space="preserve">The individual burdens are expressed under standardized headings believed to be consistent with the concept of </w:t>
      </w:r>
      <w:r w:rsidR="00326FDF">
        <w:t>“B</w:t>
      </w:r>
      <w:r w:rsidRPr="003201BC">
        <w:t>urden</w:t>
      </w:r>
      <w:r w:rsidR="00326FDF">
        <w:t>”</w:t>
      </w:r>
      <w:r w:rsidRPr="003201BC">
        <w:t xml:space="preserve"> under the Paperwork Reduction Act</w:t>
      </w:r>
      <w:r w:rsidR="00D64CD1">
        <w:t xml:space="preserve">. </w:t>
      </w:r>
      <w:r w:rsidRPr="003201BC">
        <w:t>Where appropriate, specific tasks and major assumptions have been identified</w:t>
      </w:r>
      <w:r w:rsidR="00D64CD1">
        <w:t xml:space="preserve">. </w:t>
      </w:r>
      <w:r w:rsidRPr="003201BC">
        <w:t>Responses to this information collection are mandatory.</w:t>
      </w:r>
    </w:p>
    <w:p w14:paraId="1544E435" w14:textId="77777777" w:rsidR="004962EC" w:rsidRPr="003201BC" w:rsidRDefault="004962EC" w:rsidP="004962EC">
      <w:pPr>
        <w:pBdr>
          <w:top w:val="single" w:sz="6" w:space="1" w:color="FFFFFF"/>
          <w:left w:val="single" w:sz="6" w:space="0" w:color="FFFFFF"/>
          <w:bottom w:val="single" w:sz="6" w:space="0" w:color="FFFFFF"/>
          <w:right w:val="single" w:sz="6" w:space="0" w:color="FFFFFF"/>
        </w:pBdr>
      </w:pPr>
    </w:p>
    <w:p w14:paraId="0EF39535" w14:textId="4B85D2E7" w:rsidR="004962EC" w:rsidRPr="003201BC" w:rsidRDefault="004962EC" w:rsidP="004962EC">
      <w:pPr>
        <w:pBdr>
          <w:top w:val="single" w:sz="6" w:space="1" w:color="FFFFFF"/>
          <w:left w:val="single" w:sz="6" w:space="0" w:color="FFFFFF"/>
          <w:bottom w:val="single" w:sz="6" w:space="0" w:color="FFFFFF"/>
          <w:right w:val="single" w:sz="6" w:space="0" w:color="FFFFFF"/>
        </w:pBdr>
        <w:ind w:firstLine="720"/>
      </w:pPr>
      <w:r w:rsidRPr="003201BC">
        <w:t>The Agency may n</w:t>
      </w:r>
      <w:r w:rsidR="00326FDF">
        <w:t>either</w:t>
      </w:r>
      <w:r w:rsidRPr="003201BC">
        <w:t xml:space="preserve"> conduct </w:t>
      </w:r>
      <w:r w:rsidR="00326FDF">
        <w:t>n</w:t>
      </w:r>
      <w:r w:rsidRPr="003201BC">
        <w:t>or sponsor, and a person is not required to respond to, a collection of information unless it displays a currently valid OMB Control Number.</w:t>
      </w:r>
    </w:p>
    <w:p w14:paraId="31AFBE76" w14:textId="77777777" w:rsidR="004962EC" w:rsidRDefault="004962EC" w:rsidP="004962EC">
      <w:pPr>
        <w:pBdr>
          <w:top w:val="single" w:sz="6" w:space="1" w:color="FFFFFF"/>
          <w:left w:val="single" w:sz="6" w:space="0" w:color="FFFFFF"/>
          <w:bottom w:val="single" w:sz="6" w:space="0" w:color="FFFFFF"/>
          <w:right w:val="single" w:sz="6" w:space="0" w:color="FFFFFF"/>
        </w:pBdr>
        <w:rPr>
          <w:color w:val="000000"/>
        </w:rPr>
      </w:pPr>
    </w:p>
    <w:p w14:paraId="3E2A9527" w14:textId="77777777" w:rsidR="004962EC" w:rsidRDefault="004962EC" w:rsidP="004962EC">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14:paraId="02A8BC4F" w14:textId="77777777" w:rsidR="004962EC" w:rsidRDefault="004962EC" w:rsidP="004962EC">
      <w:pPr>
        <w:pBdr>
          <w:top w:val="single" w:sz="6" w:space="1" w:color="FFFFFF"/>
          <w:left w:val="single" w:sz="6" w:space="0" w:color="FFFFFF"/>
          <w:bottom w:val="single" w:sz="6" w:space="0" w:color="FFFFFF"/>
          <w:right w:val="single" w:sz="6" w:space="0" w:color="FFFFFF"/>
        </w:pBdr>
        <w:rPr>
          <w:color w:val="000000"/>
        </w:rPr>
      </w:pPr>
    </w:p>
    <w:p w14:paraId="1E4CCC96" w14:textId="67F8CB58" w:rsidR="004962EC" w:rsidRPr="003201BC" w:rsidRDefault="004962EC" w:rsidP="004962EC">
      <w:pPr>
        <w:pBdr>
          <w:top w:val="single" w:sz="6" w:space="1" w:color="FFFFFF"/>
          <w:left w:val="single" w:sz="6" w:space="0" w:color="FFFFFF"/>
          <w:bottom w:val="single" w:sz="6" w:space="0" w:color="FFFFFF"/>
          <w:right w:val="single" w:sz="6" w:space="0" w:color="FFFFFF"/>
        </w:pBdr>
        <w:ind w:firstLine="720"/>
      </w:pPr>
      <w:r>
        <w:rPr>
          <w:color w:val="000000"/>
        </w:rPr>
        <w:t xml:space="preserve">The average annual burden to industry over the next three years from these recordkeeping and reporting requirements is estimated to be </w:t>
      </w:r>
      <w:r w:rsidR="007E07CF" w:rsidRPr="00566A26">
        <w:rPr>
          <w:color w:val="000000"/>
        </w:rPr>
        <w:t>12</w:t>
      </w:r>
      <w:r w:rsidR="00AC2AF6" w:rsidRPr="00566A26">
        <w:rPr>
          <w:color w:val="000000"/>
        </w:rPr>
        <w:t>2</w:t>
      </w:r>
      <w:r w:rsidR="007E07CF" w:rsidRPr="00566A26">
        <w:rPr>
          <w:color w:val="000000"/>
        </w:rPr>
        <w:t>,000</w:t>
      </w:r>
      <w:r>
        <w:rPr>
          <w:color w:val="000000"/>
        </w:rPr>
        <w:t xml:space="preserve"> </w:t>
      </w:r>
      <w:r w:rsidR="00326FDF">
        <w:rPr>
          <w:color w:val="000000"/>
        </w:rPr>
        <w:t xml:space="preserve">hours </w:t>
      </w:r>
      <w:r>
        <w:rPr>
          <w:color w:val="000000"/>
        </w:rPr>
        <w:t>(Total Labor Hours from Table 1</w:t>
      </w:r>
      <w:r w:rsidR="00326FDF">
        <w:rPr>
          <w:color w:val="000000"/>
        </w:rPr>
        <w:t xml:space="preserve"> below</w:t>
      </w:r>
      <w:r>
        <w:rPr>
          <w:color w:val="000000"/>
        </w:rPr>
        <w:t xml:space="preserve">). These hours are based on Agency studies and background documents from the development of the regulation, </w:t>
      </w:r>
      <w:r w:rsidR="00DA1760" w:rsidRPr="003155FE">
        <w:t xml:space="preserve">the </w:t>
      </w:r>
      <w:r w:rsidR="00DA1760" w:rsidRPr="002301D2">
        <w:t xml:space="preserve">EPA’s recent reevaluation of the source category inventory, </w:t>
      </w:r>
      <w:r w:rsidRPr="002301D2">
        <w:t xml:space="preserve">Agency knowledge and experience </w:t>
      </w:r>
      <w:r w:rsidRPr="003155FE">
        <w:t>with the NESHAP program, the previously</w:t>
      </w:r>
      <w:r w:rsidR="00326FDF">
        <w:t>-</w:t>
      </w:r>
      <w:r w:rsidRPr="003155FE">
        <w:t xml:space="preserve">approved ICR, and any </w:t>
      </w:r>
      <w:r w:rsidRPr="003201BC">
        <w:t>comments received.</w:t>
      </w:r>
    </w:p>
    <w:p w14:paraId="03515E94" w14:textId="77777777" w:rsidR="004962EC" w:rsidRPr="003201BC" w:rsidRDefault="004962EC" w:rsidP="004962EC">
      <w:pPr>
        <w:pBdr>
          <w:top w:val="single" w:sz="6" w:space="1" w:color="FFFFFF"/>
          <w:left w:val="single" w:sz="6" w:space="0" w:color="FFFFFF"/>
          <w:bottom w:val="single" w:sz="6" w:space="0" w:color="FFFFFF"/>
          <w:right w:val="single" w:sz="6" w:space="0" w:color="FFFFFF"/>
        </w:pBdr>
      </w:pPr>
    </w:p>
    <w:p w14:paraId="63A61434" w14:textId="77777777" w:rsidR="004962EC" w:rsidRPr="003201BC" w:rsidRDefault="004962EC" w:rsidP="004962EC">
      <w:pPr>
        <w:pBdr>
          <w:top w:val="single" w:sz="6" w:space="1" w:color="FFFFFF"/>
          <w:left w:val="single" w:sz="6" w:space="0" w:color="FFFFFF"/>
          <w:bottom w:val="single" w:sz="6" w:space="0" w:color="FFFFFF"/>
          <w:right w:val="single" w:sz="6" w:space="0" w:color="FFFFFF"/>
        </w:pBdr>
        <w:ind w:firstLine="720"/>
        <w:rPr>
          <w:b/>
          <w:bCs/>
        </w:rPr>
      </w:pPr>
      <w:r w:rsidRPr="003201BC">
        <w:rPr>
          <w:b/>
          <w:bCs/>
        </w:rPr>
        <w:t>6(b)  Estimating Respondent Costs</w:t>
      </w:r>
    </w:p>
    <w:p w14:paraId="7561F0D2" w14:textId="77777777" w:rsidR="004962EC" w:rsidRPr="003201BC" w:rsidRDefault="004962EC" w:rsidP="004962EC">
      <w:pPr>
        <w:pBdr>
          <w:top w:val="single" w:sz="6" w:space="1" w:color="FFFFFF"/>
          <w:left w:val="single" w:sz="6" w:space="0" w:color="FFFFFF"/>
          <w:bottom w:val="single" w:sz="6" w:space="0" w:color="FFFFFF"/>
          <w:right w:val="single" w:sz="6" w:space="0" w:color="FFFFFF"/>
        </w:pBdr>
        <w:rPr>
          <w:b/>
          <w:bCs/>
        </w:rPr>
      </w:pPr>
    </w:p>
    <w:p w14:paraId="4960A8A4" w14:textId="77777777" w:rsidR="004962EC" w:rsidRPr="003201BC" w:rsidRDefault="004962EC" w:rsidP="004962EC">
      <w:pPr>
        <w:pBdr>
          <w:top w:val="single" w:sz="6" w:space="1" w:color="FFFFFF"/>
          <w:left w:val="single" w:sz="6" w:space="0" w:color="FFFFFF"/>
          <w:bottom w:val="single" w:sz="6" w:space="0" w:color="FFFFFF"/>
          <w:right w:val="single" w:sz="6" w:space="0" w:color="FFFFFF"/>
        </w:pBdr>
        <w:ind w:firstLine="1440"/>
        <w:outlineLvl w:val="0"/>
      </w:pPr>
      <w:r w:rsidRPr="003201BC">
        <w:rPr>
          <w:b/>
          <w:bCs/>
        </w:rPr>
        <w:t>(i)  Estimating Labor Costs</w:t>
      </w:r>
      <w:r w:rsidRPr="003201BC">
        <w:t xml:space="preserve"> </w:t>
      </w:r>
    </w:p>
    <w:p w14:paraId="1C327B44" w14:textId="77777777" w:rsidR="004962EC" w:rsidRPr="003201BC" w:rsidRDefault="004962EC" w:rsidP="004962EC">
      <w:pPr>
        <w:pBdr>
          <w:top w:val="single" w:sz="6" w:space="1" w:color="FFFFFF"/>
          <w:left w:val="single" w:sz="6" w:space="0" w:color="FFFFFF"/>
          <w:bottom w:val="single" w:sz="6" w:space="0" w:color="FFFFFF"/>
          <w:right w:val="single" w:sz="6" w:space="0" w:color="FFFFFF"/>
        </w:pBdr>
      </w:pPr>
      <w:r w:rsidRPr="003201BC">
        <w:t xml:space="preserve"> </w:t>
      </w:r>
    </w:p>
    <w:p w14:paraId="1E7CB49C" w14:textId="77777777" w:rsidR="00AC2AF6" w:rsidRPr="00A347B0" w:rsidRDefault="004962EC" w:rsidP="00AC2AF6">
      <w:pPr>
        <w:pBdr>
          <w:top w:val="single" w:sz="6" w:space="1" w:color="FFFFFF"/>
          <w:left w:val="single" w:sz="6" w:space="0" w:color="FFFFFF"/>
          <w:bottom w:val="single" w:sz="6" w:space="0" w:color="FFFFFF"/>
          <w:right w:val="single" w:sz="6" w:space="0" w:color="FFFFFF"/>
        </w:pBdr>
        <w:ind w:firstLine="720"/>
        <w:rPr>
          <w:color w:val="000000"/>
        </w:rPr>
      </w:pPr>
      <w:r w:rsidRPr="003201BC">
        <w:t xml:space="preserve">This ICR uses the following labor rates: </w:t>
      </w:r>
    </w:p>
    <w:p w14:paraId="31298230" w14:textId="77777777" w:rsidR="00AC2AF6" w:rsidRPr="00A347B0" w:rsidRDefault="00AC2AF6" w:rsidP="00AC2AF6">
      <w:pPr>
        <w:pBdr>
          <w:top w:val="single" w:sz="6" w:space="1" w:color="FFFFFF"/>
          <w:left w:val="single" w:sz="6" w:space="0" w:color="FFFFFF"/>
          <w:bottom w:val="single" w:sz="6" w:space="0" w:color="FFFFFF"/>
          <w:right w:val="single" w:sz="6" w:space="0" w:color="FFFFFF"/>
        </w:pBdr>
        <w:rPr>
          <w:color w:val="000000"/>
        </w:rPr>
      </w:pPr>
    </w:p>
    <w:p w14:paraId="20744A26" w14:textId="77777777" w:rsidR="00AC2AF6" w:rsidRPr="00A347B0" w:rsidRDefault="00AC2AF6" w:rsidP="00AC2AF6">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A347B0">
        <w:rPr>
          <w:color w:val="000000"/>
        </w:rPr>
        <w:t>Managerial</w:t>
      </w:r>
      <w:r w:rsidRPr="00A347B0">
        <w:rPr>
          <w:color w:val="000000"/>
        </w:rPr>
        <w:tab/>
        <w:t>$14</w:t>
      </w:r>
      <w:r>
        <w:rPr>
          <w:color w:val="000000"/>
        </w:rPr>
        <w:t>7</w:t>
      </w:r>
      <w:r w:rsidRPr="00A347B0">
        <w:rPr>
          <w:color w:val="000000"/>
        </w:rPr>
        <w:t>.</w:t>
      </w:r>
      <w:r>
        <w:rPr>
          <w:color w:val="000000"/>
        </w:rPr>
        <w:t>40</w:t>
      </w:r>
      <w:r w:rsidRPr="00A347B0">
        <w:rPr>
          <w:color w:val="000000"/>
        </w:rPr>
        <w:t xml:space="preserve"> ($7</w:t>
      </w:r>
      <w:r>
        <w:rPr>
          <w:color w:val="000000"/>
        </w:rPr>
        <w:t xml:space="preserve">0.19 </w:t>
      </w:r>
      <w:r w:rsidRPr="00A347B0">
        <w:rPr>
          <w:color w:val="000000"/>
        </w:rPr>
        <w:t xml:space="preserve">+ 110%)    </w:t>
      </w:r>
    </w:p>
    <w:p w14:paraId="284D5E0F" w14:textId="77777777" w:rsidR="00AC2AF6" w:rsidRPr="00A347B0" w:rsidRDefault="00AC2AF6" w:rsidP="00AC2AF6">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A347B0">
        <w:rPr>
          <w:color w:val="000000"/>
        </w:rPr>
        <w:t>Technical</w:t>
      </w:r>
      <w:r w:rsidRPr="00A347B0">
        <w:rPr>
          <w:color w:val="000000"/>
        </w:rPr>
        <w:tab/>
        <w:t>$11</w:t>
      </w:r>
      <w:r>
        <w:rPr>
          <w:color w:val="000000"/>
        </w:rPr>
        <w:t>7</w:t>
      </w:r>
      <w:r w:rsidRPr="00A347B0">
        <w:rPr>
          <w:color w:val="000000"/>
        </w:rPr>
        <w:t>.9</w:t>
      </w:r>
      <w:r>
        <w:rPr>
          <w:color w:val="000000"/>
        </w:rPr>
        <w:t>2</w:t>
      </w:r>
      <w:r w:rsidRPr="00A347B0">
        <w:rPr>
          <w:color w:val="000000"/>
        </w:rPr>
        <w:t xml:space="preserve"> ($5</w:t>
      </w:r>
      <w:r>
        <w:rPr>
          <w:color w:val="000000"/>
        </w:rPr>
        <w:t>6.15</w:t>
      </w:r>
      <w:r w:rsidRPr="00A347B0">
        <w:rPr>
          <w:color w:val="000000"/>
        </w:rPr>
        <w:t xml:space="preserve"> + 110%)</w:t>
      </w:r>
    </w:p>
    <w:p w14:paraId="3B1E3F83" w14:textId="77777777" w:rsidR="00AC2AF6" w:rsidRDefault="00AC2AF6" w:rsidP="00AC2AF6">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A347B0">
        <w:rPr>
          <w:color w:val="000000"/>
        </w:rPr>
        <w:t>Clerical</w:t>
      </w:r>
      <w:r w:rsidRPr="00A347B0">
        <w:rPr>
          <w:color w:val="000000"/>
        </w:rPr>
        <w:tab/>
        <w:t>$5</w:t>
      </w:r>
      <w:r>
        <w:rPr>
          <w:color w:val="000000"/>
        </w:rPr>
        <w:t>7.02</w:t>
      </w:r>
      <w:r w:rsidRPr="00A347B0">
        <w:rPr>
          <w:color w:val="000000"/>
        </w:rPr>
        <w:t xml:space="preserve"> ($</w:t>
      </w:r>
      <w:r>
        <w:rPr>
          <w:color w:val="000000"/>
        </w:rPr>
        <w:t>27.15</w:t>
      </w:r>
      <w:r w:rsidRPr="00A347B0">
        <w:rPr>
          <w:color w:val="000000"/>
        </w:rPr>
        <w:t xml:space="preserve"> + 110%)</w:t>
      </w:r>
    </w:p>
    <w:p w14:paraId="12776B2B" w14:textId="77777777" w:rsidR="00AC2AF6" w:rsidRDefault="00AC2AF6" w:rsidP="00AC2AF6">
      <w:pPr>
        <w:pBdr>
          <w:top w:val="single" w:sz="6" w:space="1" w:color="FFFFFF"/>
          <w:left w:val="single" w:sz="6" w:space="0" w:color="FFFFFF"/>
          <w:bottom w:val="single" w:sz="6" w:space="0" w:color="FFFFFF"/>
          <w:right w:val="single" w:sz="6" w:space="0" w:color="FFFFFF"/>
        </w:pBdr>
        <w:ind w:firstLine="720"/>
        <w:rPr>
          <w:color w:val="000000"/>
        </w:rPr>
      </w:pPr>
    </w:p>
    <w:p w14:paraId="7396842F" w14:textId="4E9DF098" w:rsidR="004962EC" w:rsidRPr="003201BC" w:rsidRDefault="004962EC" w:rsidP="00AC2AF6">
      <w:pPr>
        <w:pBdr>
          <w:top w:val="single" w:sz="6" w:space="1" w:color="FFFFFF"/>
          <w:left w:val="single" w:sz="6" w:space="0" w:color="FFFFFF"/>
          <w:bottom w:val="single" w:sz="6" w:space="0" w:color="FFFFFF"/>
          <w:right w:val="single" w:sz="6" w:space="0" w:color="FFFFFF"/>
        </w:pBdr>
        <w:ind w:firstLine="720"/>
      </w:pPr>
      <w:r w:rsidRPr="003201BC">
        <w:t xml:space="preserve">These rates are from the United States Department of Labor, Bureau of Labor Statistics, June </w:t>
      </w:r>
      <w:r w:rsidR="00EE5A91">
        <w:t>201</w:t>
      </w:r>
      <w:r w:rsidR="00AC2AF6">
        <w:t>8</w:t>
      </w:r>
      <w:r w:rsidRPr="003201BC">
        <w:t>, “Table 2. Civilian Workers, by occupational and industry group.”  The rates are from column 1, “Total compensation.” The</w:t>
      </w:r>
      <w:r w:rsidR="00326FDF">
        <w:t>se</w:t>
      </w:r>
      <w:r w:rsidRPr="003201BC">
        <w:t xml:space="preserve"> rates have been increased by 110 percent to account for the benefit packages available to those employed by private industry.</w:t>
      </w:r>
    </w:p>
    <w:p w14:paraId="7059E8F2"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444A7F14" w14:textId="77777777" w:rsidR="004962EC" w:rsidRDefault="004962EC" w:rsidP="004962EC">
      <w:pPr>
        <w:pBdr>
          <w:top w:val="single" w:sz="6" w:space="0" w:color="FFFFFF"/>
          <w:left w:val="single" w:sz="6" w:space="0" w:color="FFFFFF"/>
          <w:bottom w:val="single" w:sz="6" w:space="0" w:color="FFFFFF"/>
          <w:right w:val="single" w:sz="6" w:space="0" w:color="FFFFFF"/>
        </w:pBdr>
        <w:ind w:firstLine="1440"/>
        <w:outlineLvl w:val="0"/>
        <w:rPr>
          <w:b/>
          <w:bCs/>
        </w:rPr>
      </w:pPr>
      <w:r w:rsidRPr="003201BC">
        <w:rPr>
          <w:b/>
          <w:bCs/>
        </w:rPr>
        <w:t>(ii)  Estimating Capital/Startup and Operation and Maintenance Costs</w:t>
      </w:r>
    </w:p>
    <w:p w14:paraId="78FA0325"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ind w:firstLine="1440"/>
        <w:outlineLvl w:val="0"/>
      </w:pPr>
    </w:p>
    <w:p w14:paraId="2A579D53" w14:textId="5136A803" w:rsidR="004962EC" w:rsidRPr="003201BC" w:rsidRDefault="004962EC" w:rsidP="004962EC">
      <w:pPr>
        <w:pBdr>
          <w:top w:val="single" w:sz="6" w:space="0" w:color="FFFFFF"/>
          <w:left w:val="single" w:sz="6" w:space="0" w:color="FFFFFF"/>
          <w:bottom w:val="single" w:sz="6" w:space="0" w:color="FFFFFF"/>
          <w:right w:val="single" w:sz="6" w:space="0" w:color="FFFFFF"/>
        </w:pBdr>
        <w:ind w:firstLine="720"/>
      </w:pPr>
      <w:r w:rsidRPr="003201BC">
        <w:t>The type of industry costs associated with the information collection activities in the subject standard</w:t>
      </w:r>
      <w:r w:rsidR="00326FDF">
        <w:t>s</w:t>
      </w:r>
      <w:r w:rsidRPr="003201BC">
        <w:t xml:space="preserve"> are both labor costs which are addressed elsewhere in this ICR and the costs associated with continuous monitoring</w:t>
      </w:r>
      <w:r w:rsidR="00AC2AF6">
        <w:t>, performance testing, and other compliance activities</w:t>
      </w:r>
      <w:r w:rsidR="00AC2AF6" w:rsidRPr="00FA7D77">
        <w:t>.</w:t>
      </w:r>
      <w:r w:rsidR="00D64CD1">
        <w:t xml:space="preserve"> </w:t>
      </w:r>
      <w:r w:rsidR="00326FDF">
        <w:t xml:space="preserve"> </w:t>
      </w:r>
      <w:r w:rsidRPr="003201BC">
        <w:t>Th</w:t>
      </w:r>
      <w:r>
        <w:t>e capital/startup costs are one-</w:t>
      </w:r>
      <w:r w:rsidRPr="003201BC">
        <w:t>time costs when a facility becomes subject to the regulation</w:t>
      </w:r>
      <w:r w:rsidR="00AC2AF6" w:rsidRPr="00AC2AF6">
        <w:t xml:space="preserve"> </w:t>
      </w:r>
      <w:r w:rsidR="00AC2AF6">
        <w:t>and include startup cost for continuous monitoring systems (CMS) and the purchase of stack testing services</w:t>
      </w:r>
      <w:r w:rsidR="00D64CD1">
        <w:t xml:space="preserve">. </w:t>
      </w:r>
      <w:r w:rsidRPr="003201BC">
        <w:t>The annual operation and maintenance costs are the ongoing costs to maintain the monitor</w:t>
      </w:r>
      <w:r w:rsidR="00AC2AF6">
        <w:t>s</w:t>
      </w:r>
      <w:r w:rsidRPr="003201BC">
        <w:t>.</w:t>
      </w:r>
    </w:p>
    <w:p w14:paraId="7E3B4ECB" w14:textId="77777777" w:rsidR="004962EC" w:rsidRPr="003201BC" w:rsidRDefault="004962EC" w:rsidP="004962EC">
      <w:pPr>
        <w:pBdr>
          <w:top w:val="single" w:sz="6" w:space="0" w:color="FFFFFF"/>
          <w:left w:val="single" w:sz="6" w:space="0" w:color="FFFFFF"/>
          <w:bottom w:val="single" w:sz="6" w:space="0" w:color="FFFFFF"/>
          <w:right w:val="single" w:sz="6" w:space="0" w:color="FFFFFF"/>
        </w:pBdr>
      </w:pPr>
    </w:p>
    <w:p w14:paraId="5E6EA752" w14:textId="77777777" w:rsidR="00326FDF" w:rsidRDefault="00326FDF" w:rsidP="004962EC">
      <w:pPr>
        <w:pBdr>
          <w:top w:val="single" w:sz="6" w:space="0" w:color="FFFFFF"/>
          <w:left w:val="single" w:sz="6" w:space="0" w:color="FFFFFF"/>
          <w:bottom w:val="single" w:sz="6" w:space="0" w:color="FFFFFF"/>
          <w:right w:val="single" w:sz="6" w:space="0" w:color="FFFFFF"/>
        </w:pBdr>
        <w:ind w:firstLine="1440"/>
        <w:outlineLvl w:val="0"/>
        <w:rPr>
          <w:b/>
          <w:bCs/>
        </w:rPr>
      </w:pPr>
    </w:p>
    <w:p w14:paraId="218EFBA1" w14:textId="77777777" w:rsidR="00326FDF" w:rsidRDefault="00326FDF" w:rsidP="004962EC">
      <w:pPr>
        <w:pBdr>
          <w:top w:val="single" w:sz="6" w:space="0" w:color="FFFFFF"/>
          <w:left w:val="single" w:sz="6" w:space="0" w:color="FFFFFF"/>
          <w:bottom w:val="single" w:sz="6" w:space="0" w:color="FFFFFF"/>
          <w:right w:val="single" w:sz="6" w:space="0" w:color="FFFFFF"/>
        </w:pBdr>
        <w:ind w:firstLine="1440"/>
        <w:outlineLvl w:val="0"/>
        <w:rPr>
          <w:b/>
          <w:bCs/>
        </w:rPr>
      </w:pPr>
    </w:p>
    <w:p w14:paraId="41350E0C" w14:textId="77777777" w:rsidR="00326FDF" w:rsidRDefault="00326FDF" w:rsidP="004962EC">
      <w:pPr>
        <w:pBdr>
          <w:top w:val="single" w:sz="6" w:space="0" w:color="FFFFFF"/>
          <w:left w:val="single" w:sz="6" w:space="0" w:color="FFFFFF"/>
          <w:bottom w:val="single" w:sz="6" w:space="0" w:color="FFFFFF"/>
          <w:right w:val="single" w:sz="6" w:space="0" w:color="FFFFFF"/>
        </w:pBdr>
        <w:ind w:firstLine="1440"/>
        <w:outlineLvl w:val="0"/>
        <w:rPr>
          <w:b/>
          <w:bCs/>
        </w:rPr>
      </w:pPr>
    </w:p>
    <w:p w14:paraId="16448ABD" w14:textId="77777777" w:rsidR="00326FDF" w:rsidRDefault="00326FDF" w:rsidP="004962EC">
      <w:pPr>
        <w:pBdr>
          <w:top w:val="single" w:sz="6" w:space="0" w:color="FFFFFF"/>
          <w:left w:val="single" w:sz="6" w:space="0" w:color="FFFFFF"/>
          <w:bottom w:val="single" w:sz="6" w:space="0" w:color="FFFFFF"/>
          <w:right w:val="single" w:sz="6" w:space="0" w:color="FFFFFF"/>
        </w:pBdr>
        <w:ind w:firstLine="1440"/>
        <w:outlineLvl w:val="0"/>
        <w:rPr>
          <w:b/>
          <w:bCs/>
        </w:rPr>
      </w:pPr>
    </w:p>
    <w:p w14:paraId="444AB330" w14:textId="14A843FA" w:rsidR="004962EC" w:rsidRPr="003201BC" w:rsidRDefault="004962EC" w:rsidP="004962EC">
      <w:pPr>
        <w:pBdr>
          <w:top w:val="single" w:sz="6" w:space="0" w:color="FFFFFF"/>
          <w:left w:val="single" w:sz="6" w:space="0" w:color="FFFFFF"/>
          <w:bottom w:val="single" w:sz="6" w:space="0" w:color="FFFFFF"/>
          <w:right w:val="single" w:sz="6" w:space="0" w:color="FFFFFF"/>
        </w:pBdr>
        <w:ind w:firstLine="1440"/>
        <w:outlineLvl w:val="0"/>
      </w:pPr>
      <w:r w:rsidRPr="003201BC">
        <w:rPr>
          <w:b/>
          <w:bCs/>
        </w:rPr>
        <w:t>(iii)  Capital/Startup vs. Operation and Maintenance (O&amp;M) Costs</w:t>
      </w:r>
    </w:p>
    <w:p w14:paraId="6B568925" w14:textId="77777777" w:rsidR="00AC2AF6" w:rsidRDefault="00AC2AF6" w:rsidP="004962EC">
      <w:pPr>
        <w:pBdr>
          <w:top w:val="single" w:sz="6" w:space="0" w:color="FFFFFF"/>
          <w:left w:val="single" w:sz="6" w:space="0" w:color="FFFFFF"/>
          <w:bottom w:val="single" w:sz="6" w:space="0" w:color="FFFFFF"/>
          <w:right w:val="single" w:sz="6" w:space="0" w:color="FFFFFF"/>
        </w:pBdr>
        <w:rPr>
          <w:color w:val="000000"/>
        </w:rPr>
      </w:pPr>
    </w:p>
    <w:tbl>
      <w:tblPr>
        <w:tblW w:w="5000" w:type="pct"/>
        <w:tblLayout w:type="fixed"/>
        <w:tblCellMar>
          <w:left w:w="111" w:type="dxa"/>
          <w:right w:w="111" w:type="dxa"/>
        </w:tblCellMar>
        <w:tblLook w:val="0000" w:firstRow="0" w:lastRow="0" w:firstColumn="0" w:lastColumn="0" w:noHBand="0" w:noVBand="0"/>
      </w:tblPr>
      <w:tblGrid>
        <w:gridCol w:w="1469"/>
        <w:gridCol w:w="1475"/>
        <w:gridCol w:w="1386"/>
        <w:gridCol w:w="1294"/>
        <w:gridCol w:w="1292"/>
        <w:gridCol w:w="1294"/>
        <w:gridCol w:w="1372"/>
      </w:tblGrid>
      <w:tr w:rsidR="00020D17" w:rsidRPr="001479A4" w14:paraId="67FB7FE3" w14:textId="2674D21D" w:rsidTr="001A4B1C">
        <w:tc>
          <w:tcPr>
            <w:tcW w:w="5000" w:type="pct"/>
            <w:gridSpan w:val="7"/>
            <w:tcBorders>
              <w:top w:val="single" w:sz="7" w:space="0" w:color="000000"/>
              <w:left w:val="single" w:sz="7" w:space="0" w:color="000000"/>
              <w:bottom w:val="single" w:sz="4" w:space="0" w:color="auto"/>
              <w:right w:val="single" w:sz="8" w:space="0" w:color="000000"/>
            </w:tcBorders>
            <w:vAlign w:val="bottom"/>
          </w:tcPr>
          <w:p w14:paraId="72AD065C" w14:textId="35F94E9A" w:rsidR="00020D17" w:rsidRPr="001479A4" w:rsidRDefault="00020D17" w:rsidP="00932658">
            <w:pPr>
              <w:pBdr>
                <w:top w:val="single" w:sz="6" w:space="0" w:color="FFFFFF"/>
                <w:left w:val="single" w:sz="6" w:space="0" w:color="FFFFFF"/>
                <w:bottom w:val="single" w:sz="6" w:space="0" w:color="FFFFFF"/>
                <w:right w:val="single" w:sz="6" w:space="0" w:color="FFFFFF"/>
              </w:pBdr>
              <w:jc w:val="center"/>
              <w:rPr>
                <w:b/>
                <w:color w:val="000000"/>
                <w:sz w:val="22"/>
                <w:szCs w:val="22"/>
              </w:rPr>
            </w:pPr>
            <w:r w:rsidRPr="001479A4">
              <w:rPr>
                <w:b/>
                <w:color w:val="000000"/>
                <w:sz w:val="22"/>
                <w:szCs w:val="22"/>
              </w:rPr>
              <w:t xml:space="preserve">Capital/Startup </w:t>
            </w:r>
            <w:r>
              <w:rPr>
                <w:b/>
                <w:color w:val="000000"/>
                <w:sz w:val="22"/>
                <w:szCs w:val="22"/>
              </w:rPr>
              <w:t xml:space="preserve">vs. Operation and Maintenance </w:t>
            </w:r>
            <w:r w:rsidRPr="001479A4">
              <w:rPr>
                <w:b/>
                <w:color w:val="000000"/>
                <w:sz w:val="22"/>
                <w:szCs w:val="22"/>
              </w:rPr>
              <w:t>Costs</w:t>
            </w:r>
          </w:p>
        </w:tc>
      </w:tr>
      <w:tr w:rsidR="00A3646C" w:rsidRPr="001479A4" w14:paraId="0B6E6907" w14:textId="72D9EA36" w:rsidTr="001A4B1C">
        <w:tc>
          <w:tcPr>
            <w:tcW w:w="767" w:type="pct"/>
            <w:tcBorders>
              <w:top w:val="single" w:sz="4" w:space="0" w:color="auto"/>
              <w:left w:val="single" w:sz="4" w:space="0" w:color="auto"/>
              <w:bottom w:val="single" w:sz="4" w:space="0" w:color="auto"/>
              <w:right w:val="single" w:sz="4" w:space="0" w:color="auto"/>
            </w:tcBorders>
            <w:vAlign w:val="bottom"/>
          </w:tcPr>
          <w:p w14:paraId="36661144" w14:textId="77777777" w:rsidR="00020D17" w:rsidRPr="002725EF" w:rsidRDefault="00020D17" w:rsidP="00020D17">
            <w:pPr>
              <w:pBdr>
                <w:top w:val="single" w:sz="6" w:space="0" w:color="FFFFFF"/>
                <w:left w:val="single" w:sz="6" w:space="0" w:color="FFFFFF"/>
                <w:bottom w:val="single" w:sz="6" w:space="0" w:color="FFFFFF"/>
                <w:right w:val="single" w:sz="6" w:space="0" w:color="FFFFFF"/>
              </w:pBdr>
              <w:jc w:val="center"/>
              <w:rPr>
                <w:color w:val="000000"/>
                <w:sz w:val="20"/>
                <w:szCs w:val="20"/>
              </w:rPr>
            </w:pPr>
            <w:r w:rsidRPr="002725EF">
              <w:rPr>
                <w:color w:val="000000"/>
                <w:sz w:val="20"/>
                <w:szCs w:val="20"/>
              </w:rPr>
              <w:t>(A)</w:t>
            </w:r>
          </w:p>
          <w:p w14:paraId="04B12377" w14:textId="77777777" w:rsidR="00020D17" w:rsidRPr="002725EF" w:rsidRDefault="00020D17" w:rsidP="00020D1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2725EF">
              <w:rPr>
                <w:color w:val="000000"/>
                <w:sz w:val="20"/>
                <w:szCs w:val="20"/>
              </w:rPr>
              <w:t>Cost Item</w:t>
            </w:r>
          </w:p>
        </w:tc>
        <w:tc>
          <w:tcPr>
            <w:tcW w:w="770" w:type="pct"/>
            <w:tcBorders>
              <w:top w:val="single" w:sz="4" w:space="0" w:color="auto"/>
              <w:left w:val="single" w:sz="4" w:space="0" w:color="auto"/>
              <w:bottom w:val="single" w:sz="4" w:space="0" w:color="auto"/>
              <w:right w:val="single" w:sz="4" w:space="0" w:color="auto"/>
            </w:tcBorders>
            <w:vAlign w:val="bottom"/>
          </w:tcPr>
          <w:p w14:paraId="1AAA43D4" w14:textId="77777777" w:rsidR="00020D17" w:rsidRPr="002725EF" w:rsidRDefault="00020D17" w:rsidP="00020D17">
            <w:pPr>
              <w:pBdr>
                <w:top w:val="single" w:sz="6" w:space="0" w:color="FFFFFF"/>
                <w:left w:val="single" w:sz="6" w:space="0" w:color="FFFFFF"/>
                <w:bottom w:val="single" w:sz="6" w:space="0" w:color="FFFFFF"/>
                <w:right w:val="single" w:sz="6" w:space="0" w:color="FFFFFF"/>
              </w:pBdr>
              <w:jc w:val="center"/>
              <w:rPr>
                <w:color w:val="000000"/>
                <w:sz w:val="20"/>
                <w:szCs w:val="20"/>
              </w:rPr>
            </w:pPr>
            <w:r w:rsidRPr="002725EF">
              <w:rPr>
                <w:color w:val="000000"/>
                <w:sz w:val="20"/>
                <w:szCs w:val="20"/>
              </w:rPr>
              <w:t>(B)</w:t>
            </w:r>
          </w:p>
          <w:p w14:paraId="10F8ED51" w14:textId="0CD21F17" w:rsidR="00020D17" w:rsidRPr="002725EF" w:rsidRDefault="00AA34D6" w:rsidP="00020D1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Annualized </w:t>
            </w:r>
            <w:r w:rsidR="00020D17" w:rsidRPr="002725EF">
              <w:rPr>
                <w:color w:val="000000"/>
                <w:sz w:val="20"/>
                <w:szCs w:val="20"/>
              </w:rPr>
              <w:t>Capital/Startup Cost for One Respondent</w:t>
            </w:r>
          </w:p>
        </w:tc>
        <w:tc>
          <w:tcPr>
            <w:tcW w:w="723" w:type="pct"/>
            <w:tcBorders>
              <w:top w:val="single" w:sz="4" w:space="0" w:color="auto"/>
              <w:left w:val="single" w:sz="4" w:space="0" w:color="auto"/>
              <w:bottom w:val="single" w:sz="4" w:space="0" w:color="auto"/>
              <w:right w:val="single" w:sz="4" w:space="0" w:color="auto"/>
            </w:tcBorders>
            <w:vAlign w:val="bottom"/>
          </w:tcPr>
          <w:p w14:paraId="38B4F2F9" w14:textId="77777777" w:rsidR="00020D17" w:rsidRPr="002725EF" w:rsidRDefault="00020D17" w:rsidP="00020D17">
            <w:pPr>
              <w:pBdr>
                <w:top w:val="single" w:sz="6" w:space="0" w:color="FFFFFF"/>
                <w:left w:val="single" w:sz="6" w:space="0" w:color="FFFFFF"/>
                <w:bottom w:val="single" w:sz="6" w:space="0" w:color="FFFFFF"/>
                <w:right w:val="single" w:sz="6" w:space="0" w:color="FFFFFF"/>
              </w:pBdr>
              <w:jc w:val="center"/>
              <w:rPr>
                <w:color w:val="000000"/>
                <w:sz w:val="20"/>
                <w:szCs w:val="20"/>
              </w:rPr>
            </w:pPr>
            <w:r w:rsidRPr="002725EF">
              <w:rPr>
                <w:color w:val="000000"/>
                <w:sz w:val="20"/>
                <w:szCs w:val="20"/>
              </w:rPr>
              <w:t>(C)</w:t>
            </w:r>
          </w:p>
          <w:p w14:paraId="10DA1D4A" w14:textId="77777777" w:rsidR="00020D17" w:rsidRPr="002725EF" w:rsidRDefault="00020D17" w:rsidP="00020D1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2725EF">
              <w:rPr>
                <w:color w:val="000000"/>
                <w:sz w:val="20"/>
                <w:szCs w:val="20"/>
              </w:rPr>
              <w:t>Number of Respondents</w:t>
            </w:r>
          </w:p>
        </w:tc>
        <w:tc>
          <w:tcPr>
            <w:tcW w:w="675" w:type="pct"/>
            <w:tcBorders>
              <w:top w:val="single" w:sz="4" w:space="0" w:color="auto"/>
              <w:left w:val="single" w:sz="4" w:space="0" w:color="auto"/>
              <w:bottom w:val="single" w:sz="4" w:space="0" w:color="auto"/>
              <w:right w:val="single" w:sz="4" w:space="0" w:color="auto"/>
            </w:tcBorders>
            <w:vAlign w:val="bottom"/>
          </w:tcPr>
          <w:p w14:paraId="1AA269C4" w14:textId="77777777" w:rsidR="00020D17" w:rsidRPr="002725EF" w:rsidRDefault="00020D17" w:rsidP="00020D17">
            <w:pPr>
              <w:pBdr>
                <w:top w:val="single" w:sz="6" w:space="0" w:color="FFFFFF"/>
                <w:left w:val="single" w:sz="6" w:space="0" w:color="FFFFFF"/>
                <w:bottom w:val="single" w:sz="6" w:space="0" w:color="FFFFFF"/>
                <w:right w:val="single" w:sz="6" w:space="0" w:color="FFFFFF"/>
              </w:pBdr>
              <w:jc w:val="center"/>
              <w:rPr>
                <w:color w:val="000000"/>
                <w:sz w:val="20"/>
                <w:szCs w:val="20"/>
              </w:rPr>
            </w:pPr>
            <w:r w:rsidRPr="002725EF">
              <w:rPr>
                <w:color w:val="000000"/>
                <w:sz w:val="20"/>
                <w:szCs w:val="20"/>
              </w:rPr>
              <w:t>(D)</w:t>
            </w:r>
          </w:p>
          <w:p w14:paraId="63C03B6C" w14:textId="3956A8BF" w:rsidR="00020D17" w:rsidRPr="002725EF" w:rsidRDefault="00020D17" w:rsidP="00020D1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2725EF">
              <w:rPr>
                <w:color w:val="000000"/>
                <w:sz w:val="20"/>
                <w:szCs w:val="20"/>
              </w:rPr>
              <w:t>Total Capital/</w:t>
            </w:r>
            <w:r w:rsidR="00A3646C">
              <w:rPr>
                <w:color w:val="000000"/>
                <w:sz w:val="20"/>
                <w:szCs w:val="20"/>
              </w:rPr>
              <w:t xml:space="preserve"> </w:t>
            </w:r>
            <w:r w:rsidRPr="002725EF">
              <w:rPr>
                <w:color w:val="000000"/>
                <w:sz w:val="20"/>
                <w:szCs w:val="20"/>
              </w:rPr>
              <w:t>Startup Cost</w:t>
            </w:r>
          </w:p>
          <w:p w14:paraId="60B4996A" w14:textId="2B81F930" w:rsidR="00020D17" w:rsidRPr="002725EF" w:rsidRDefault="00020D17" w:rsidP="00020D1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2725EF">
              <w:rPr>
                <w:color w:val="000000"/>
                <w:sz w:val="20"/>
                <w:szCs w:val="20"/>
              </w:rPr>
              <w:t>(B x C)</w:t>
            </w:r>
          </w:p>
        </w:tc>
        <w:tc>
          <w:tcPr>
            <w:tcW w:w="674" w:type="pct"/>
            <w:tcBorders>
              <w:top w:val="single" w:sz="4" w:space="0" w:color="auto"/>
              <w:left w:val="single" w:sz="4" w:space="0" w:color="auto"/>
              <w:bottom w:val="single" w:sz="4" w:space="0" w:color="auto"/>
              <w:right w:val="single" w:sz="4" w:space="0" w:color="auto"/>
            </w:tcBorders>
          </w:tcPr>
          <w:p w14:paraId="36A80DA3" w14:textId="77777777" w:rsidR="00020D17" w:rsidRDefault="00020D17" w:rsidP="00020D17">
            <w:pPr>
              <w:spacing w:line="120" w:lineRule="exact"/>
              <w:rPr>
                <w:color w:val="000000"/>
                <w:sz w:val="20"/>
                <w:szCs w:val="20"/>
              </w:rPr>
            </w:pPr>
          </w:p>
          <w:p w14:paraId="682008BE" w14:textId="77777777" w:rsidR="00020D17" w:rsidRDefault="00020D17" w:rsidP="00020D1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2CFAFDF3" w14:textId="2FFC5BC2" w:rsidR="00020D17" w:rsidRPr="001479A4" w:rsidRDefault="00020D17" w:rsidP="00020D17">
            <w:pPr>
              <w:pBdr>
                <w:top w:val="single" w:sz="6" w:space="0" w:color="FFFFFF"/>
                <w:left w:val="single" w:sz="6" w:space="0" w:color="FFFFFF"/>
                <w:bottom w:val="single" w:sz="6" w:space="0" w:color="FFFFFF"/>
                <w:right w:val="single" w:sz="6" w:space="0" w:color="FFFFFF"/>
              </w:pBdr>
              <w:jc w:val="center"/>
              <w:rPr>
                <w:b/>
                <w:color w:val="000000"/>
                <w:sz w:val="22"/>
                <w:szCs w:val="22"/>
              </w:rPr>
            </w:pPr>
            <w:r>
              <w:rPr>
                <w:color w:val="000000"/>
                <w:sz w:val="20"/>
                <w:szCs w:val="20"/>
              </w:rPr>
              <w:t>Annual O&amp;M Costs for One Respondent</w:t>
            </w:r>
          </w:p>
        </w:tc>
        <w:tc>
          <w:tcPr>
            <w:tcW w:w="675" w:type="pct"/>
            <w:tcBorders>
              <w:top w:val="single" w:sz="4" w:space="0" w:color="auto"/>
              <w:left w:val="single" w:sz="4" w:space="0" w:color="auto"/>
              <w:bottom w:val="single" w:sz="4" w:space="0" w:color="auto"/>
              <w:right w:val="single" w:sz="4" w:space="0" w:color="auto"/>
            </w:tcBorders>
          </w:tcPr>
          <w:p w14:paraId="7F58E92E" w14:textId="77777777" w:rsidR="00020D17" w:rsidRDefault="00020D17" w:rsidP="00020D17">
            <w:pPr>
              <w:spacing w:line="120" w:lineRule="exact"/>
              <w:rPr>
                <w:color w:val="000000"/>
                <w:sz w:val="20"/>
                <w:szCs w:val="20"/>
              </w:rPr>
            </w:pPr>
          </w:p>
          <w:p w14:paraId="10F68366" w14:textId="77777777" w:rsidR="00020D17" w:rsidRDefault="00020D17" w:rsidP="00020D1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33ED0F25" w14:textId="4C948173" w:rsidR="00020D17" w:rsidRPr="001479A4" w:rsidRDefault="00020D17" w:rsidP="00020D17">
            <w:pPr>
              <w:pBdr>
                <w:top w:val="single" w:sz="6" w:space="0" w:color="FFFFFF"/>
                <w:left w:val="single" w:sz="6" w:space="0" w:color="FFFFFF"/>
                <w:bottom w:val="single" w:sz="6" w:space="0" w:color="FFFFFF"/>
                <w:right w:val="single" w:sz="6" w:space="0" w:color="FFFFFF"/>
              </w:pBdr>
              <w:jc w:val="center"/>
              <w:rPr>
                <w:b/>
                <w:color w:val="000000"/>
                <w:sz w:val="22"/>
                <w:szCs w:val="22"/>
              </w:rPr>
            </w:pPr>
            <w:r>
              <w:rPr>
                <w:color w:val="000000"/>
                <w:sz w:val="20"/>
                <w:szCs w:val="20"/>
              </w:rPr>
              <w:t>Number of Respondents with O&amp;M</w:t>
            </w:r>
          </w:p>
        </w:tc>
        <w:tc>
          <w:tcPr>
            <w:tcW w:w="716" w:type="pct"/>
            <w:tcBorders>
              <w:top w:val="single" w:sz="4" w:space="0" w:color="auto"/>
              <w:left w:val="single" w:sz="4" w:space="0" w:color="auto"/>
              <w:bottom w:val="single" w:sz="4" w:space="0" w:color="auto"/>
              <w:right w:val="single" w:sz="4" w:space="0" w:color="auto"/>
            </w:tcBorders>
          </w:tcPr>
          <w:p w14:paraId="28E09B1D" w14:textId="77777777" w:rsidR="00020D17" w:rsidRDefault="00020D17" w:rsidP="00020D17">
            <w:pPr>
              <w:spacing w:line="120" w:lineRule="exact"/>
              <w:rPr>
                <w:color w:val="000000"/>
                <w:sz w:val="20"/>
                <w:szCs w:val="20"/>
              </w:rPr>
            </w:pPr>
          </w:p>
          <w:p w14:paraId="4BAB7B88" w14:textId="77777777" w:rsidR="00020D17" w:rsidRDefault="00020D17" w:rsidP="00020D1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0CAEDBA3" w14:textId="77777777" w:rsidR="00020D17" w:rsidRDefault="00020D17" w:rsidP="00020D1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286ADD4D" w14:textId="2B2CBDC7" w:rsidR="00020D17" w:rsidRPr="001479A4" w:rsidRDefault="00020D17" w:rsidP="00020D17">
            <w:pPr>
              <w:pBdr>
                <w:top w:val="single" w:sz="6" w:space="0" w:color="FFFFFF"/>
                <w:left w:val="single" w:sz="6" w:space="0" w:color="FFFFFF"/>
                <w:bottom w:val="single" w:sz="6" w:space="0" w:color="FFFFFF"/>
                <w:right w:val="single" w:sz="6" w:space="0" w:color="FFFFFF"/>
              </w:pBdr>
              <w:jc w:val="center"/>
              <w:rPr>
                <w:b/>
                <w:color w:val="000000"/>
                <w:sz w:val="22"/>
                <w:szCs w:val="22"/>
              </w:rPr>
            </w:pPr>
            <w:r>
              <w:rPr>
                <w:color w:val="000000"/>
                <w:sz w:val="20"/>
                <w:szCs w:val="20"/>
              </w:rPr>
              <w:t>(E X F)</w:t>
            </w:r>
          </w:p>
        </w:tc>
      </w:tr>
      <w:tr w:rsidR="00020D17" w:rsidRPr="001479A4" w14:paraId="23C70E7F" w14:textId="77777777" w:rsidTr="001A4B1C">
        <w:trPr>
          <w:trHeight w:val="288"/>
        </w:trPr>
        <w:tc>
          <w:tcPr>
            <w:tcW w:w="5000" w:type="pct"/>
            <w:gridSpan w:val="7"/>
            <w:tcBorders>
              <w:top w:val="single" w:sz="4" w:space="0" w:color="auto"/>
              <w:left w:val="single" w:sz="7" w:space="0" w:color="000000"/>
              <w:bottom w:val="single" w:sz="6" w:space="0" w:color="FFFFFF"/>
              <w:right w:val="single" w:sz="8" w:space="0" w:color="000000"/>
            </w:tcBorders>
          </w:tcPr>
          <w:p w14:paraId="3D95E723" w14:textId="77777777" w:rsidR="00020D17" w:rsidRDefault="00020D17" w:rsidP="00020D17">
            <w:pPr>
              <w:spacing w:line="120" w:lineRule="exact"/>
              <w:rPr>
                <w:b/>
                <w:bCs/>
                <w:color w:val="000000"/>
              </w:rPr>
            </w:pPr>
          </w:p>
          <w:p w14:paraId="7C7B5DB6" w14:textId="2278AC22" w:rsidR="00020D17" w:rsidRPr="00020D17" w:rsidRDefault="00020D17" w:rsidP="002725EF">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Continuous Monitoring Device: </w:t>
            </w:r>
            <w:r w:rsidRPr="002725EF">
              <w:rPr>
                <w:color w:val="000000"/>
                <w:sz w:val="20"/>
                <w:szCs w:val="20"/>
                <w:vertAlign w:val="superscript"/>
              </w:rPr>
              <w:t>a</w:t>
            </w:r>
          </w:p>
        </w:tc>
      </w:tr>
      <w:tr w:rsidR="00593255" w:rsidRPr="001479A4" w14:paraId="7051EAA0" w14:textId="77777777" w:rsidTr="001A4B1C">
        <w:trPr>
          <w:trHeight w:val="288"/>
        </w:trPr>
        <w:tc>
          <w:tcPr>
            <w:tcW w:w="767" w:type="pct"/>
            <w:tcBorders>
              <w:top w:val="single" w:sz="7" w:space="0" w:color="000000"/>
              <w:left w:val="single" w:sz="7" w:space="0" w:color="000000"/>
              <w:bottom w:val="single" w:sz="4" w:space="0" w:color="auto"/>
              <w:right w:val="single" w:sz="6" w:space="0" w:color="FFFFFF"/>
            </w:tcBorders>
            <w:vAlign w:val="center"/>
          </w:tcPr>
          <w:p w14:paraId="7DFE5211" w14:textId="36EDBC78" w:rsidR="00593255" w:rsidRPr="00020D17" w:rsidRDefault="00593255" w:rsidP="00593255">
            <w:pPr>
              <w:pBdr>
                <w:top w:val="single" w:sz="6" w:space="0" w:color="FFFFFF"/>
                <w:left w:val="single" w:sz="6" w:space="0" w:color="FFFFFF"/>
                <w:bottom w:val="single" w:sz="6" w:space="0" w:color="FFFFFF"/>
                <w:right w:val="single" w:sz="6" w:space="0" w:color="FFFFFF"/>
              </w:pBdr>
              <w:spacing w:after="52"/>
              <w:rPr>
                <w:sz w:val="20"/>
                <w:szCs w:val="20"/>
              </w:rPr>
            </w:pPr>
            <w:r>
              <w:rPr>
                <w:sz w:val="20"/>
                <w:szCs w:val="20"/>
              </w:rPr>
              <w:t>Continuous opacity monitoring system (COMS)</w:t>
            </w:r>
          </w:p>
        </w:tc>
        <w:tc>
          <w:tcPr>
            <w:tcW w:w="770" w:type="pct"/>
            <w:tcBorders>
              <w:top w:val="single" w:sz="7" w:space="0" w:color="000000"/>
              <w:left w:val="single" w:sz="7" w:space="0" w:color="000000"/>
              <w:bottom w:val="single" w:sz="4" w:space="0" w:color="auto"/>
              <w:right w:val="single" w:sz="6" w:space="0" w:color="FFFFFF"/>
            </w:tcBorders>
            <w:vAlign w:val="center"/>
          </w:tcPr>
          <w:p w14:paraId="209F612C" w14:textId="536ABDCF" w:rsidR="00593255" w:rsidRPr="00020D17" w:rsidRDefault="00593255" w:rsidP="0059325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$41,000</w:t>
            </w:r>
          </w:p>
        </w:tc>
        <w:tc>
          <w:tcPr>
            <w:tcW w:w="723" w:type="pct"/>
            <w:tcBorders>
              <w:top w:val="single" w:sz="7" w:space="0" w:color="000000"/>
              <w:left w:val="single" w:sz="7" w:space="0" w:color="000000"/>
              <w:bottom w:val="single" w:sz="4" w:space="0" w:color="auto"/>
              <w:right w:val="single" w:sz="4" w:space="0" w:color="auto"/>
            </w:tcBorders>
            <w:vAlign w:val="center"/>
          </w:tcPr>
          <w:p w14:paraId="1D5F865D" w14:textId="4B99CA2F" w:rsidR="00593255" w:rsidRPr="00020D17" w:rsidRDefault="00593255" w:rsidP="0059325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675" w:type="pct"/>
            <w:tcBorders>
              <w:top w:val="single" w:sz="4" w:space="0" w:color="auto"/>
              <w:left w:val="single" w:sz="4" w:space="0" w:color="auto"/>
              <w:bottom w:val="single" w:sz="4" w:space="0" w:color="auto"/>
              <w:right w:val="single" w:sz="4" w:space="0" w:color="auto"/>
            </w:tcBorders>
            <w:vAlign w:val="center"/>
          </w:tcPr>
          <w:p w14:paraId="74B26C28" w14:textId="371E4DBE" w:rsidR="00593255" w:rsidRPr="00020D17" w:rsidRDefault="00593255" w:rsidP="0059325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674" w:type="pct"/>
            <w:tcBorders>
              <w:top w:val="single" w:sz="4" w:space="0" w:color="auto"/>
              <w:left w:val="single" w:sz="4" w:space="0" w:color="auto"/>
              <w:bottom w:val="single" w:sz="4" w:space="0" w:color="auto"/>
              <w:right w:val="single" w:sz="4" w:space="0" w:color="auto"/>
            </w:tcBorders>
            <w:vAlign w:val="center"/>
          </w:tcPr>
          <w:p w14:paraId="7BEC3A95" w14:textId="3B69D149" w:rsidR="00593255" w:rsidRPr="00020D17" w:rsidRDefault="00593255" w:rsidP="0059325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$8,000</w:t>
            </w:r>
          </w:p>
        </w:tc>
        <w:tc>
          <w:tcPr>
            <w:tcW w:w="675" w:type="pct"/>
            <w:tcBorders>
              <w:top w:val="single" w:sz="4" w:space="0" w:color="auto"/>
              <w:left w:val="single" w:sz="4" w:space="0" w:color="auto"/>
              <w:bottom w:val="single" w:sz="4" w:space="0" w:color="auto"/>
              <w:right w:val="single" w:sz="4" w:space="0" w:color="auto"/>
            </w:tcBorders>
            <w:vAlign w:val="center"/>
          </w:tcPr>
          <w:p w14:paraId="3090504E" w14:textId="490B9274" w:rsidR="00593255" w:rsidRPr="00020D17" w:rsidRDefault="00593255" w:rsidP="0059325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716" w:type="pct"/>
            <w:tcBorders>
              <w:top w:val="single" w:sz="4" w:space="0" w:color="auto"/>
              <w:left w:val="single" w:sz="4" w:space="0" w:color="auto"/>
              <w:bottom w:val="single" w:sz="4" w:space="0" w:color="auto"/>
              <w:right w:val="single" w:sz="4" w:space="0" w:color="auto"/>
            </w:tcBorders>
            <w:vAlign w:val="center"/>
          </w:tcPr>
          <w:p w14:paraId="2B6582A6" w14:textId="1B816D3D" w:rsidR="00593255" w:rsidRPr="00020D17" w:rsidRDefault="00593255" w:rsidP="0059325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593255" w:rsidRPr="001479A4" w14:paraId="65FAF918" w14:textId="77777777" w:rsidTr="001A4B1C">
        <w:trPr>
          <w:trHeight w:val="288"/>
        </w:trPr>
        <w:tc>
          <w:tcPr>
            <w:tcW w:w="767" w:type="pct"/>
            <w:tcBorders>
              <w:top w:val="single" w:sz="4" w:space="0" w:color="auto"/>
              <w:left w:val="single" w:sz="4" w:space="0" w:color="auto"/>
              <w:bottom w:val="single" w:sz="4" w:space="0" w:color="auto"/>
              <w:right w:val="single" w:sz="4" w:space="0" w:color="auto"/>
            </w:tcBorders>
            <w:vAlign w:val="center"/>
          </w:tcPr>
          <w:p w14:paraId="416A912D" w14:textId="55A435BC" w:rsidR="00593255" w:rsidRPr="00020D17" w:rsidRDefault="00593255" w:rsidP="00593255">
            <w:pPr>
              <w:pBdr>
                <w:top w:val="single" w:sz="6" w:space="0" w:color="FFFFFF"/>
                <w:left w:val="single" w:sz="6" w:space="0" w:color="FFFFFF"/>
                <w:bottom w:val="single" w:sz="6" w:space="0" w:color="FFFFFF"/>
                <w:right w:val="single" w:sz="6" w:space="0" w:color="FFFFFF"/>
              </w:pBdr>
              <w:spacing w:after="52"/>
              <w:rPr>
                <w:sz w:val="20"/>
                <w:szCs w:val="20"/>
              </w:rPr>
            </w:pPr>
            <w:r>
              <w:rPr>
                <w:sz w:val="20"/>
                <w:szCs w:val="20"/>
              </w:rPr>
              <w:t>Continuous parameter monitoring system (CPMS)</w:t>
            </w:r>
          </w:p>
        </w:tc>
        <w:tc>
          <w:tcPr>
            <w:tcW w:w="770" w:type="pct"/>
            <w:tcBorders>
              <w:top w:val="single" w:sz="4" w:space="0" w:color="auto"/>
              <w:left w:val="single" w:sz="4" w:space="0" w:color="auto"/>
              <w:bottom w:val="single" w:sz="4" w:space="0" w:color="auto"/>
              <w:right w:val="single" w:sz="4" w:space="0" w:color="auto"/>
            </w:tcBorders>
            <w:vAlign w:val="center"/>
          </w:tcPr>
          <w:p w14:paraId="30503D05" w14:textId="4FD6B21E" w:rsidR="00593255" w:rsidRPr="00020D17" w:rsidRDefault="00593255" w:rsidP="0059325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723" w:type="pct"/>
            <w:tcBorders>
              <w:top w:val="single" w:sz="4" w:space="0" w:color="auto"/>
              <w:left w:val="single" w:sz="4" w:space="0" w:color="auto"/>
              <w:bottom w:val="single" w:sz="4" w:space="0" w:color="auto"/>
              <w:right w:val="single" w:sz="4" w:space="0" w:color="auto"/>
            </w:tcBorders>
            <w:vAlign w:val="center"/>
          </w:tcPr>
          <w:p w14:paraId="1141C236" w14:textId="02934021" w:rsidR="00593255" w:rsidRPr="00020D17" w:rsidRDefault="00593255" w:rsidP="0059325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675" w:type="pct"/>
            <w:tcBorders>
              <w:top w:val="single" w:sz="4" w:space="0" w:color="auto"/>
              <w:left w:val="single" w:sz="4" w:space="0" w:color="auto"/>
              <w:bottom w:val="single" w:sz="4" w:space="0" w:color="auto"/>
              <w:right w:val="single" w:sz="4" w:space="0" w:color="auto"/>
            </w:tcBorders>
            <w:vAlign w:val="center"/>
          </w:tcPr>
          <w:p w14:paraId="22C4397B" w14:textId="20994EC9" w:rsidR="00593255" w:rsidRPr="00020D17" w:rsidRDefault="00593255" w:rsidP="0059325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674" w:type="pct"/>
            <w:tcBorders>
              <w:top w:val="single" w:sz="4" w:space="0" w:color="auto"/>
              <w:left w:val="single" w:sz="4" w:space="0" w:color="auto"/>
              <w:bottom w:val="single" w:sz="4" w:space="0" w:color="auto"/>
              <w:right w:val="single" w:sz="4" w:space="0" w:color="auto"/>
            </w:tcBorders>
            <w:vAlign w:val="center"/>
          </w:tcPr>
          <w:p w14:paraId="5CDDEF6F" w14:textId="7E2EBFC3" w:rsidR="00593255" w:rsidRPr="00020D17" w:rsidRDefault="00593255" w:rsidP="0059325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675" w:type="pct"/>
            <w:tcBorders>
              <w:top w:val="single" w:sz="4" w:space="0" w:color="auto"/>
              <w:left w:val="single" w:sz="4" w:space="0" w:color="auto"/>
              <w:bottom w:val="single" w:sz="4" w:space="0" w:color="auto"/>
              <w:right w:val="single" w:sz="4" w:space="0" w:color="auto"/>
            </w:tcBorders>
            <w:vAlign w:val="center"/>
          </w:tcPr>
          <w:p w14:paraId="493767AA" w14:textId="00549243" w:rsidR="00593255" w:rsidRPr="00020D17" w:rsidRDefault="00593255" w:rsidP="0059325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716" w:type="pct"/>
            <w:tcBorders>
              <w:top w:val="single" w:sz="4" w:space="0" w:color="auto"/>
              <w:left w:val="single" w:sz="4" w:space="0" w:color="auto"/>
              <w:bottom w:val="single" w:sz="4" w:space="0" w:color="auto"/>
              <w:right w:val="single" w:sz="4" w:space="0" w:color="auto"/>
            </w:tcBorders>
            <w:vAlign w:val="center"/>
          </w:tcPr>
          <w:p w14:paraId="6D90C5A3" w14:textId="023808F0" w:rsidR="00593255" w:rsidRPr="00020D17" w:rsidRDefault="00593255" w:rsidP="0059325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020D17" w:rsidRPr="001479A4" w14:paraId="37F336D6" w14:textId="26B8AB2A" w:rsidTr="001A4B1C">
        <w:trPr>
          <w:trHeight w:val="288"/>
        </w:trPr>
        <w:tc>
          <w:tcPr>
            <w:tcW w:w="5000" w:type="pct"/>
            <w:gridSpan w:val="7"/>
            <w:tcBorders>
              <w:top w:val="single" w:sz="4" w:space="0" w:color="auto"/>
              <w:left w:val="single" w:sz="4" w:space="0" w:color="auto"/>
              <w:bottom w:val="single" w:sz="4" w:space="0" w:color="auto"/>
              <w:right w:val="single" w:sz="4" w:space="0" w:color="auto"/>
            </w:tcBorders>
            <w:vAlign w:val="center"/>
          </w:tcPr>
          <w:p w14:paraId="45AC3734" w14:textId="7C34BD3C" w:rsidR="00020D17" w:rsidRPr="002725EF" w:rsidRDefault="00020D17" w:rsidP="002725EF">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2725EF">
              <w:rPr>
                <w:sz w:val="20"/>
                <w:szCs w:val="20"/>
              </w:rPr>
              <w:t>Performance tests:</w:t>
            </w:r>
            <w:r w:rsidR="0039784F">
              <w:rPr>
                <w:sz w:val="20"/>
                <w:szCs w:val="20"/>
              </w:rPr>
              <w:t xml:space="preserve"> </w:t>
            </w:r>
            <w:r w:rsidR="0039784F" w:rsidRPr="002725EF">
              <w:rPr>
                <w:sz w:val="20"/>
                <w:szCs w:val="20"/>
                <w:vertAlign w:val="superscript"/>
              </w:rPr>
              <w:t>b</w:t>
            </w:r>
          </w:p>
        </w:tc>
      </w:tr>
      <w:tr w:rsidR="00A3646C" w:rsidRPr="001479A4" w14:paraId="13540149" w14:textId="7ACE9264" w:rsidTr="001A4B1C">
        <w:trPr>
          <w:trHeight w:val="288"/>
        </w:trPr>
        <w:tc>
          <w:tcPr>
            <w:tcW w:w="767" w:type="pct"/>
            <w:tcBorders>
              <w:top w:val="single" w:sz="7" w:space="0" w:color="000000"/>
              <w:left w:val="single" w:sz="7" w:space="0" w:color="000000"/>
              <w:bottom w:val="single" w:sz="7" w:space="0" w:color="000000"/>
              <w:right w:val="single" w:sz="6" w:space="0" w:color="FFFFFF"/>
            </w:tcBorders>
            <w:vAlign w:val="center"/>
          </w:tcPr>
          <w:p w14:paraId="088B7AC0" w14:textId="77777777" w:rsidR="0039784F" w:rsidRPr="002725EF" w:rsidRDefault="0039784F" w:rsidP="0039784F">
            <w:pPr>
              <w:pBdr>
                <w:top w:val="single" w:sz="6" w:space="0" w:color="FFFFFF"/>
                <w:left w:val="single" w:sz="6" w:space="0" w:color="FFFFFF"/>
                <w:bottom w:val="single" w:sz="6" w:space="0" w:color="FFFFFF"/>
                <w:right w:val="single" w:sz="6" w:space="0" w:color="FFFFFF"/>
              </w:pBdr>
              <w:spacing w:after="72"/>
              <w:ind w:left="144"/>
              <w:rPr>
                <w:sz w:val="20"/>
                <w:szCs w:val="20"/>
              </w:rPr>
            </w:pPr>
            <w:r w:rsidRPr="002725EF">
              <w:rPr>
                <w:sz w:val="20"/>
                <w:szCs w:val="20"/>
              </w:rPr>
              <w:t>Method 5 for PM</w:t>
            </w:r>
          </w:p>
        </w:tc>
        <w:tc>
          <w:tcPr>
            <w:tcW w:w="770" w:type="pct"/>
            <w:tcBorders>
              <w:top w:val="single" w:sz="7" w:space="0" w:color="000000"/>
              <w:left w:val="single" w:sz="7" w:space="0" w:color="000000"/>
              <w:bottom w:val="single" w:sz="7" w:space="0" w:color="000000"/>
              <w:right w:val="single" w:sz="6" w:space="0" w:color="FFFFFF"/>
            </w:tcBorders>
            <w:vAlign w:val="center"/>
          </w:tcPr>
          <w:p w14:paraId="69F0C468" w14:textId="7836FF5A" w:rsidR="0039784F" w:rsidRPr="002725EF" w:rsidRDefault="0039784F" w:rsidP="0039784F">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2725EF">
              <w:rPr>
                <w:color w:val="000000"/>
                <w:sz w:val="20"/>
                <w:szCs w:val="20"/>
              </w:rPr>
              <w:t>$</w:t>
            </w:r>
            <w:r w:rsidR="002725EF">
              <w:rPr>
                <w:color w:val="000000"/>
                <w:sz w:val="20"/>
                <w:szCs w:val="20"/>
              </w:rPr>
              <w:t>2,439</w:t>
            </w:r>
          </w:p>
        </w:tc>
        <w:tc>
          <w:tcPr>
            <w:tcW w:w="723" w:type="pct"/>
            <w:tcBorders>
              <w:top w:val="single" w:sz="7" w:space="0" w:color="000000"/>
              <w:left w:val="single" w:sz="7" w:space="0" w:color="000000"/>
              <w:bottom w:val="single" w:sz="7" w:space="0" w:color="000000"/>
              <w:right w:val="single" w:sz="4" w:space="0" w:color="auto"/>
            </w:tcBorders>
            <w:vAlign w:val="center"/>
          </w:tcPr>
          <w:p w14:paraId="54ABAD83" w14:textId="1E7B3EB0" w:rsidR="0039784F" w:rsidRPr="002725EF" w:rsidRDefault="0039784F" w:rsidP="0039784F">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2725EF">
              <w:rPr>
                <w:color w:val="000000"/>
                <w:sz w:val="20"/>
                <w:szCs w:val="20"/>
              </w:rPr>
              <w:t>263</w:t>
            </w:r>
          </w:p>
        </w:tc>
        <w:tc>
          <w:tcPr>
            <w:tcW w:w="675" w:type="pct"/>
            <w:tcBorders>
              <w:top w:val="single" w:sz="4" w:space="0" w:color="auto"/>
              <w:left w:val="single" w:sz="4" w:space="0" w:color="auto"/>
              <w:bottom w:val="single" w:sz="4" w:space="0" w:color="auto"/>
              <w:right w:val="single" w:sz="4" w:space="0" w:color="auto"/>
            </w:tcBorders>
            <w:vAlign w:val="center"/>
          </w:tcPr>
          <w:p w14:paraId="592C4B5D" w14:textId="70EF1315" w:rsidR="0039784F" w:rsidRPr="002725EF" w:rsidRDefault="0039784F" w:rsidP="0039784F">
            <w:pPr>
              <w:pBdr>
                <w:top w:val="single" w:sz="6" w:space="0" w:color="FFFFFF"/>
                <w:left w:val="single" w:sz="6" w:space="0" w:color="FFFFFF"/>
                <w:bottom w:val="single" w:sz="6" w:space="0" w:color="FFFFFF"/>
                <w:right w:val="single" w:sz="6" w:space="0" w:color="FFFFFF"/>
              </w:pBdr>
              <w:spacing w:after="72"/>
              <w:jc w:val="center"/>
              <w:rPr>
                <w:sz w:val="20"/>
                <w:szCs w:val="20"/>
              </w:rPr>
            </w:pPr>
            <w:r w:rsidRPr="002725EF">
              <w:rPr>
                <w:sz w:val="20"/>
                <w:szCs w:val="20"/>
              </w:rPr>
              <w:t>$</w:t>
            </w:r>
            <w:r>
              <w:rPr>
                <w:sz w:val="20"/>
                <w:szCs w:val="20"/>
              </w:rPr>
              <w:t>641,433</w:t>
            </w:r>
          </w:p>
        </w:tc>
        <w:tc>
          <w:tcPr>
            <w:tcW w:w="674" w:type="pct"/>
            <w:tcBorders>
              <w:top w:val="single" w:sz="4" w:space="0" w:color="auto"/>
              <w:left w:val="single" w:sz="4" w:space="0" w:color="auto"/>
              <w:bottom w:val="single" w:sz="4" w:space="0" w:color="auto"/>
              <w:right w:val="single" w:sz="4" w:space="0" w:color="auto"/>
            </w:tcBorders>
            <w:vAlign w:val="center"/>
          </w:tcPr>
          <w:p w14:paraId="61D2F1A0" w14:textId="2C6D9F22" w:rsidR="0039784F" w:rsidRPr="002725EF" w:rsidRDefault="0039784F" w:rsidP="002725EF">
            <w:pPr>
              <w:pBdr>
                <w:top w:val="single" w:sz="6" w:space="0" w:color="FFFFFF"/>
                <w:left w:val="single" w:sz="6" w:space="0" w:color="FFFFFF"/>
                <w:bottom w:val="single" w:sz="6" w:space="0" w:color="FFFFFF"/>
                <w:right w:val="single" w:sz="6" w:space="0" w:color="FFFFFF"/>
              </w:pBdr>
              <w:spacing w:after="72"/>
              <w:jc w:val="center"/>
              <w:rPr>
                <w:sz w:val="20"/>
                <w:szCs w:val="20"/>
              </w:rPr>
            </w:pPr>
            <w:r>
              <w:rPr>
                <w:color w:val="000000"/>
                <w:sz w:val="20"/>
                <w:szCs w:val="20"/>
              </w:rPr>
              <w:t>$0</w:t>
            </w:r>
          </w:p>
        </w:tc>
        <w:tc>
          <w:tcPr>
            <w:tcW w:w="675" w:type="pct"/>
            <w:tcBorders>
              <w:top w:val="single" w:sz="4" w:space="0" w:color="auto"/>
              <w:left w:val="single" w:sz="4" w:space="0" w:color="auto"/>
              <w:bottom w:val="single" w:sz="4" w:space="0" w:color="auto"/>
              <w:right w:val="single" w:sz="4" w:space="0" w:color="auto"/>
            </w:tcBorders>
            <w:vAlign w:val="center"/>
          </w:tcPr>
          <w:p w14:paraId="748C6528" w14:textId="0808F7DF" w:rsidR="0039784F" w:rsidRPr="002725EF" w:rsidRDefault="0039784F" w:rsidP="001D7D38">
            <w:pPr>
              <w:pBdr>
                <w:top w:val="single" w:sz="6" w:space="0" w:color="FFFFFF"/>
                <w:left w:val="single" w:sz="6" w:space="0" w:color="FFFFFF"/>
                <w:bottom w:val="single" w:sz="6" w:space="0" w:color="FFFFFF"/>
                <w:right w:val="single" w:sz="6" w:space="0" w:color="FFFFFF"/>
              </w:pBdr>
              <w:spacing w:after="72"/>
              <w:jc w:val="center"/>
              <w:rPr>
                <w:sz w:val="20"/>
                <w:szCs w:val="20"/>
              </w:rPr>
            </w:pPr>
            <w:r>
              <w:rPr>
                <w:color w:val="000000"/>
                <w:sz w:val="20"/>
                <w:szCs w:val="20"/>
              </w:rPr>
              <w:t>0</w:t>
            </w:r>
          </w:p>
        </w:tc>
        <w:tc>
          <w:tcPr>
            <w:tcW w:w="716" w:type="pct"/>
            <w:tcBorders>
              <w:top w:val="single" w:sz="4" w:space="0" w:color="auto"/>
              <w:left w:val="single" w:sz="4" w:space="0" w:color="auto"/>
              <w:bottom w:val="single" w:sz="4" w:space="0" w:color="auto"/>
              <w:right w:val="single" w:sz="4" w:space="0" w:color="auto"/>
            </w:tcBorders>
            <w:vAlign w:val="center"/>
          </w:tcPr>
          <w:p w14:paraId="4911AE29" w14:textId="63C13792" w:rsidR="0039784F" w:rsidRPr="002725EF" w:rsidRDefault="0039784F" w:rsidP="00566A26">
            <w:pPr>
              <w:pBdr>
                <w:top w:val="single" w:sz="6" w:space="0" w:color="FFFFFF"/>
                <w:left w:val="single" w:sz="6" w:space="0" w:color="FFFFFF"/>
                <w:bottom w:val="single" w:sz="6" w:space="0" w:color="FFFFFF"/>
                <w:right w:val="single" w:sz="6" w:space="0" w:color="FFFFFF"/>
              </w:pBdr>
              <w:spacing w:after="72"/>
              <w:jc w:val="center"/>
              <w:rPr>
                <w:sz w:val="20"/>
                <w:szCs w:val="20"/>
              </w:rPr>
            </w:pPr>
            <w:r>
              <w:rPr>
                <w:color w:val="000000"/>
                <w:sz w:val="20"/>
                <w:szCs w:val="20"/>
              </w:rPr>
              <w:t>$0</w:t>
            </w:r>
          </w:p>
        </w:tc>
      </w:tr>
      <w:tr w:rsidR="00A3646C" w:rsidRPr="001479A4" w14:paraId="3E17D44D" w14:textId="465333D6" w:rsidTr="001A4B1C">
        <w:trPr>
          <w:trHeight w:val="288"/>
        </w:trPr>
        <w:tc>
          <w:tcPr>
            <w:tcW w:w="767" w:type="pct"/>
            <w:tcBorders>
              <w:top w:val="single" w:sz="7" w:space="0" w:color="000000"/>
              <w:left w:val="single" w:sz="7" w:space="0" w:color="000000"/>
              <w:bottom w:val="single" w:sz="7" w:space="0" w:color="000000"/>
              <w:right w:val="single" w:sz="6" w:space="0" w:color="FFFFFF"/>
            </w:tcBorders>
            <w:vAlign w:val="center"/>
          </w:tcPr>
          <w:p w14:paraId="18C20079" w14:textId="77777777" w:rsidR="0039784F" w:rsidRPr="002725EF" w:rsidDel="006D64AB" w:rsidRDefault="0039784F" w:rsidP="0039784F">
            <w:pPr>
              <w:pBdr>
                <w:top w:val="single" w:sz="6" w:space="0" w:color="FFFFFF"/>
                <w:left w:val="single" w:sz="6" w:space="0" w:color="FFFFFF"/>
                <w:bottom w:val="single" w:sz="6" w:space="0" w:color="FFFFFF"/>
                <w:right w:val="single" w:sz="6" w:space="0" w:color="FFFFFF"/>
              </w:pBdr>
              <w:spacing w:after="72"/>
              <w:ind w:left="144"/>
              <w:rPr>
                <w:sz w:val="20"/>
                <w:szCs w:val="20"/>
              </w:rPr>
            </w:pPr>
            <w:r w:rsidRPr="002725EF">
              <w:rPr>
                <w:sz w:val="20"/>
                <w:szCs w:val="20"/>
              </w:rPr>
              <w:t>Method 25A for THC</w:t>
            </w:r>
          </w:p>
        </w:tc>
        <w:tc>
          <w:tcPr>
            <w:tcW w:w="770" w:type="pct"/>
            <w:tcBorders>
              <w:top w:val="single" w:sz="7" w:space="0" w:color="000000"/>
              <w:left w:val="single" w:sz="7" w:space="0" w:color="000000"/>
              <w:bottom w:val="single" w:sz="7" w:space="0" w:color="000000"/>
              <w:right w:val="single" w:sz="6" w:space="0" w:color="FFFFFF"/>
            </w:tcBorders>
            <w:vAlign w:val="center"/>
          </w:tcPr>
          <w:p w14:paraId="6598E936" w14:textId="1EBC0258" w:rsidR="0039784F" w:rsidRPr="002725EF" w:rsidRDefault="0039784F" w:rsidP="0039784F">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2725EF">
              <w:rPr>
                <w:color w:val="000000"/>
                <w:sz w:val="20"/>
                <w:szCs w:val="20"/>
              </w:rPr>
              <w:t>$</w:t>
            </w:r>
            <w:r w:rsidR="002725EF">
              <w:rPr>
                <w:color w:val="000000"/>
                <w:sz w:val="20"/>
                <w:szCs w:val="20"/>
              </w:rPr>
              <w:t>3,414</w:t>
            </w:r>
          </w:p>
        </w:tc>
        <w:tc>
          <w:tcPr>
            <w:tcW w:w="723" w:type="pct"/>
            <w:tcBorders>
              <w:top w:val="single" w:sz="7" w:space="0" w:color="000000"/>
              <w:left w:val="single" w:sz="7" w:space="0" w:color="000000"/>
              <w:bottom w:val="single" w:sz="7" w:space="0" w:color="000000"/>
              <w:right w:val="single" w:sz="4" w:space="0" w:color="auto"/>
            </w:tcBorders>
            <w:vAlign w:val="center"/>
          </w:tcPr>
          <w:p w14:paraId="3637B2DB" w14:textId="04F10192" w:rsidR="0039784F" w:rsidRPr="002725EF" w:rsidRDefault="0039784F" w:rsidP="0039784F">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2725EF">
              <w:rPr>
                <w:color w:val="000000"/>
                <w:sz w:val="20"/>
                <w:szCs w:val="20"/>
              </w:rPr>
              <w:t>7</w:t>
            </w:r>
          </w:p>
        </w:tc>
        <w:tc>
          <w:tcPr>
            <w:tcW w:w="675" w:type="pct"/>
            <w:tcBorders>
              <w:top w:val="single" w:sz="4" w:space="0" w:color="auto"/>
              <w:left w:val="single" w:sz="4" w:space="0" w:color="auto"/>
              <w:bottom w:val="single" w:sz="4" w:space="0" w:color="auto"/>
              <w:right w:val="single" w:sz="4" w:space="0" w:color="auto"/>
            </w:tcBorders>
            <w:vAlign w:val="center"/>
          </w:tcPr>
          <w:p w14:paraId="11D5472A" w14:textId="2DB2AB3C" w:rsidR="0039784F" w:rsidRPr="002725EF" w:rsidRDefault="0039784F" w:rsidP="0039784F">
            <w:pPr>
              <w:pBdr>
                <w:top w:val="single" w:sz="6" w:space="0" w:color="FFFFFF"/>
                <w:left w:val="single" w:sz="6" w:space="0" w:color="FFFFFF"/>
                <w:bottom w:val="single" w:sz="6" w:space="0" w:color="FFFFFF"/>
                <w:right w:val="single" w:sz="6" w:space="0" w:color="FFFFFF"/>
              </w:pBdr>
              <w:spacing w:after="72"/>
              <w:jc w:val="center"/>
              <w:rPr>
                <w:sz w:val="20"/>
                <w:szCs w:val="20"/>
              </w:rPr>
            </w:pPr>
            <w:r w:rsidRPr="002725EF">
              <w:rPr>
                <w:sz w:val="20"/>
                <w:szCs w:val="20"/>
              </w:rPr>
              <w:t>$</w:t>
            </w:r>
            <w:r>
              <w:rPr>
                <w:sz w:val="20"/>
                <w:szCs w:val="20"/>
              </w:rPr>
              <w:t>23,901</w:t>
            </w:r>
          </w:p>
        </w:tc>
        <w:tc>
          <w:tcPr>
            <w:tcW w:w="674" w:type="pct"/>
            <w:tcBorders>
              <w:top w:val="single" w:sz="4" w:space="0" w:color="auto"/>
              <w:left w:val="single" w:sz="4" w:space="0" w:color="auto"/>
              <w:bottom w:val="single" w:sz="4" w:space="0" w:color="auto"/>
              <w:right w:val="single" w:sz="4" w:space="0" w:color="auto"/>
            </w:tcBorders>
            <w:vAlign w:val="center"/>
          </w:tcPr>
          <w:p w14:paraId="00F86386" w14:textId="08126A9B" w:rsidR="0039784F" w:rsidRPr="002725EF" w:rsidRDefault="0039784F" w:rsidP="002725EF">
            <w:pPr>
              <w:pBdr>
                <w:top w:val="single" w:sz="6" w:space="0" w:color="FFFFFF"/>
                <w:left w:val="single" w:sz="6" w:space="0" w:color="FFFFFF"/>
                <w:bottom w:val="single" w:sz="6" w:space="0" w:color="FFFFFF"/>
                <w:right w:val="single" w:sz="6" w:space="0" w:color="FFFFFF"/>
              </w:pBdr>
              <w:spacing w:after="72"/>
              <w:jc w:val="center"/>
              <w:rPr>
                <w:sz w:val="20"/>
                <w:szCs w:val="20"/>
              </w:rPr>
            </w:pPr>
            <w:r>
              <w:rPr>
                <w:color w:val="000000"/>
                <w:sz w:val="20"/>
                <w:szCs w:val="20"/>
              </w:rPr>
              <w:t>$0</w:t>
            </w:r>
          </w:p>
        </w:tc>
        <w:tc>
          <w:tcPr>
            <w:tcW w:w="675" w:type="pct"/>
            <w:tcBorders>
              <w:top w:val="single" w:sz="4" w:space="0" w:color="auto"/>
              <w:left w:val="single" w:sz="4" w:space="0" w:color="auto"/>
              <w:bottom w:val="single" w:sz="4" w:space="0" w:color="auto"/>
              <w:right w:val="single" w:sz="4" w:space="0" w:color="auto"/>
            </w:tcBorders>
            <w:vAlign w:val="center"/>
          </w:tcPr>
          <w:p w14:paraId="540EC9CB" w14:textId="537EA846" w:rsidR="0039784F" w:rsidRPr="002725EF" w:rsidRDefault="0039784F" w:rsidP="001D7D38">
            <w:pPr>
              <w:pBdr>
                <w:top w:val="single" w:sz="6" w:space="0" w:color="FFFFFF"/>
                <w:left w:val="single" w:sz="6" w:space="0" w:color="FFFFFF"/>
                <w:bottom w:val="single" w:sz="6" w:space="0" w:color="FFFFFF"/>
                <w:right w:val="single" w:sz="6" w:space="0" w:color="FFFFFF"/>
              </w:pBdr>
              <w:spacing w:after="72"/>
              <w:jc w:val="center"/>
              <w:rPr>
                <w:sz w:val="20"/>
                <w:szCs w:val="20"/>
              </w:rPr>
            </w:pPr>
            <w:r>
              <w:rPr>
                <w:color w:val="000000"/>
                <w:sz w:val="20"/>
                <w:szCs w:val="20"/>
              </w:rPr>
              <w:t>0</w:t>
            </w:r>
          </w:p>
        </w:tc>
        <w:tc>
          <w:tcPr>
            <w:tcW w:w="716" w:type="pct"/>
            <w:tcBorders>
              <w:top w:val="single" w:sz="4" w:space="0" w:color="auto"/>
              <w:left w:val="single" w:sz="4" w:space="0" w:color="auto"/>
              <w:bottom w:val="single" w:sz="4" w:space="0" w:color="auto"/>
              <w:right w:val="single" w:sz="4" w:space="0" w:color="auto"/>
            </w:tcBorders>
            <w:vAlign w:val="center"/>
          </w:tcPr>
          <w:p w14:paraId="566060D7" w14:textId="067DD859" w:rsidR="0039784F" w:rsidRPr="002725EF" w:rsidRDefault="0039784F" w:rsidP="00566A26">
            <w:pPr>
              <w:pBdr>
                <w:top w:val="single" w:sz="6" w:space="0" w:color="FFFFFF"/>
                <w:left w:val="single" w:sz="6" w:space="0" w:color="FFFFFF"/>
                <w:bottom w:val="single" w:sz="6" w:space="0" w:color="FFFFFF"/>
                <w:right w:val="single" w:sz="6" w:space="0" w:color="FFFFFF"/>
              </w:pBdr>
              <w:spacing w:after="72"/>
              <w:jc w:val="center"/>
              <w:rPr>
                <w:sz w:val="20"/>
                <w:szCs w:val="20"/>
              </w:rPr>
            </w:pPr>
            <w:r>
              <w:rPr>
                <w:color w:val="000000"/>
                <w:sz w:val="20"/>
                <w:szCs w:val="20"/>
              </w:rPr>
              <w:t>$0</w:t>
            </w:r>
          </w:p>
        </w:tc>
      </w:tr>
      <w:tr w:rsidR="00A3646C" w:rsidRPr="001479A4" w14:paraId="0BA2A1DD" w14:textId="4A6FF338" w:rsidTr="001A4B1C">
        <w:trPr>
          <w:trHeight w:val="288"/>
        </w:trPr>
        <w:tc>
          <w:tcPr>
            <w:tcW w:w="767" w:type="pct"/>
            <w:tcBorders>
              <w:top w:val="single" w:sz="7" w:space="0" w:color="000000"/>
              <w:left w:val="single" w:sz="7" w:space="0" w:color="000000"/>
              <w:bottom w:val="single" w:sz="7" w:space="0" w:color="000000"/>
              <w:right w:val="single" w:sz="6" w:space="0" w:color="FFFFFF"/>
            </w:tcBorders>
            <w:vAlign w:val="center"/>
          </w:tcPr>
          <w:p w14:paraId="333850BC" w14:textId="77777777" w:rsidR="0039784F" w:rsidRPr="002725EF" w:rsidRDefault="0039784F" w:rsidP="0039784F">
            <w:pPr>
              <w:pBdr>
                <w:top w:val="single" w:sz="6" w:space="0" w:color="FFFFFF"/>
                <w:left w:val="single" w:sz="6" w:space="0" w:color="FFFFFF"/>
                <w:bottom w:val="single" w:sz="6" w:space="0" w:color="FFFFFF"/>
                <w:right w:val="single" w:sz="6" w:space="0" w:color="FFFFFF"/>
              </w:pBdr>
              <w:spacing w:after="72"/>
              <w:ind w:left="144"/>
              <w:rPr>
                <w:sz w:val="20"/>
                <w:szCs w:val="20"/>
              </w:rPr>
            </w:pPr>
            <w:r w:rsidRPr="002725EF">
              <w:rPr>
                <w:sz w:val="20"/>
                <w:szCs w:val="20"/>
              </w:rPr>
              <w:t>Method 308 for methanol</w:t>
            </w:r>
          </w:p>
        </w:tc>
        <w:tc>
          <w:tcPr>
            <w:tcW w:w="770" w:type="pct"/>
            <w:tcBorders>
              <w:top w:val="single" w:sz="7" w:space="0" w:color="000000"/>
              <w:left w:val="single" w:sz="7" w:space="0" w:color="000000"/>
              <w:bottom w:val="single" w:sz="7" w:space="0" w:color="000000"/>
              <w:right w:val="single" w:sz="6" w:space="0" w:color="FFFFFF"/>
            </w:tcBorders>
            <w:vAlign w:val="center"/>
          </w:tcPr>
          <w:p w14:paraId="127E1012" w14:textId="3A5FD84A" w:rsidR="0039784F" w:rsidRPr="002725EF" w:rsidRDefault="0039784F" w:rsidP="0039784F">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2725EF">
              <w:rPr>
                <w:color w:val="000000"/>
                <w:sz w:val="20"/>
                <w:szCs w:val="20"/>
              </w:rPr>
              <w:t>$</w:t>
            </w:r>
            <w:r w:rsidR="002725EF">
              <w:rPr>
                <w:color w:val="000000"/>
                <w:sz w:val="20"/>
                <w:szCs w:val="20"/>
              </w:rPr>
              <w:t>3,414</w:t>
            </w:r>
          </w:p>
        </w:tc>
        <w:tc>
          <w:tcPr>
            <w:tcW w:w="723" w:type="pct"/>
            <w:tcBorders>
              <w:top w:val="single" w:sz="7" w:space="0" w:color="000000"/>
              <w:left w:val="single" w:sz="7" w:space="0" w:color="000000"/>
              <w:bottom w:val="single" w:sz="7" w:space="0" w:color="000000"/>
              <w:right w:val="single" w:sz="4" w:space="0" w:color="auto"/>
            </w:tcBorders>
            <w:vAlign w:val="center"/>
          </w:tcPr>
          <w:p w14:paraId="093B38DE" w14:textId="248B5E8D" w:rsidR="0039784F" w:rsidRPr="002725EF" w:rsidRDefault="0039784F" w:rsidP="0039784F">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2725EF">
              <w:rPr>
                <w:color w:val="000000"/>
                <w:sz w:val="20"/>
                <w:szCs w:val="20"/>
              </w:rPr>
              <w:t>8</w:t>
            </w:r>
          </w:p>
        </w:tc>
        <w:tc>
          <w:tcPr>
            <w:tcW w:w="675" w:type="pct"/>
            <w:tcBorders>
              <w:top w:val="single" w:sz="4" w:space="0" w:color="auto"/>
              <w:left w:val="single" w:sz="4" w:space="0" w:color="auto"/>
              <w:bottom w:val="single" w:sz="4" w:space="0" w:color="auto"/>
              <w:right w:val="single" w:sz="4" w:space="0" w:color="auto"/>
            </w:tcBorders>
            <w:vAlign w:val="center"/>
          </w:tcPr>
          <w:p w14:paraId="40014436" w14:textId="09F97144" w:rsidR="0039784F" w:rsidRPr="002725EF" w:rsidRDefault="0039784F" w:rsidP="0039784F">
            <w:pPr>
              <w:pBdr>
                <w:top w:val="single" w:sz="6" w:space="0" w:color="FFFFFF"/>
                <w:left w:val="single" w:sz="6" w:space="0" w:color="FFFFFF"/>
                <w:bottom w:val="single" w:sz="6" w:space="0" w:color="FFFFFF"/>
                <w:right w:val="single" w:sz="6" w:space="0" w:color="FFFFFF"/>
              </w:pBdr>
              <w:spacing w:after="72"/>
              <w:jc w:val="center"/>
              <w:rPr>
                <w:sz w:val="20"/>
                <w:szCs w:val="20"/>
              </w:rPr>
            </w:pPr>
            <w:r w:rsidRPr="002725EF">
              <w:rPr>
                <w:sz w:val="20"/>
                <w:szCs w:val="20"/>
              </w:rPr>
              <w:t>$</w:t>
            </w:r>
            <w:r>
              <w:rPr>
                <w:sz w:val="20"/>
                <w:szCs w:val="20"/>
              </w:rPr>
              <w:t>27,316</w:t>
            </w:r>
          </w:p>
        </w:tc>
        <w:tc>
          <w:tcPr>
            <w:tcW w:w="674" w:type="pct"/>
            <w:tcBorders>
              <w:top w:val="single" w:sz="4" w:space="0" w:color="auto"/>
              <w:left w:val="single" w:sz="4" w:space="0" w:color="auto"/>
              <w:bottom w:val="single" w:sz="4" w:space="0" w:color="auto"/>
              <w:right w:val="single" w:sz="4" w:space="0" w:color="auto"/>
            </w:tcBorders>
            <w:vAlign w:val="center"/>
          </w:tcPr>
          <w:p w14:paraId="43D28063" w14:textId="7F6C969B" w:rsidR="0039784F" w:rsidRPr="002725EF" w:rsidRDefault="0039784F" w:rsidP="002725EF">
            <w:pPr>
              <w:pBdr>
                <w:top w:val="single" w:sz="6" w:space="0" w:color="FFFFFF"/>
                <w:left w:val="single" w:sz="6" w:space="0" w:color="FFFFFF"/>
                <w:bottom w:val="single" w:sz="6" w:space="0" w:color="FFFFFF"/>
                <w:right w:val="single" w:sz="6" w:space="0" w:color="FFFFFF"/>
              </w:pBdr>
              <w:spacing w:after="72"/>
              <w:jc w:val="center"/>
              <w:rPr>
                <w:sz w:val="20"/>
                <w:szCs w:val="20"/>
              </w:rPr>
            </w:pPr>
            <w:r>
              <w:rPr>
                <w:color w:val="000000"/>
                <w:sz w:val="20"/>
                <w:szCs w:val="20"/>
              </w:rPr>
              <w:t>$0</w:t>
            </w:r>
          </w:p>
        </w:tc>
        <w:tc>
          <w:tcPr>
            <w:tcW w:w="675" w:type="pct"/>
            <w:tcBorders>
              <w:top w:val="single" w:sz="4" w:space="0" w:color="auto"/>
              <w:left w:val="single" w:sz="4" w:space="0" w:color="auto"/>
              <w:bottom w:val="single" w:sz="4" w:space="0" w:color="auto"/>
              <w:right w:val="single" w:sz="4" w:space="0" w:color="auto"/>
            </w:tcBorders>
            <w:vAlign w:val="center"/>
          </w:tcPr>
          <w:p w14:paraId="7D943605" w14:textId="75EE6D7A" w:rsidR="0039784F" w:rsidRPr="002725EF" w:rsidRDefault="0039784F" w:rsidP="001D7D38">
            <w:pPr>
              <w:pBdr>
                <w:top w:val="single" w:sz="6" w:space="0" w:color="FFFFFF"/>
                <w:left w:val="single" w:sz="6" w:space="0" w:color="FFFFFF"/>
                <w:bottom w:val="single" w:sz="6" w:space="0" w:color="FFFFFF"/>
                <w:right w:val="single" w:sz="6" w:space="0" w:color="FFFFFF"/>
              </w:pBdr>
              <w:spacing w:after="72"/>
              <w:jc w:val="center"/>
              <w:rPr>
                <w:sz w:val="20"/>
                <w:szCs w:val="20"/>
              </w:rPr>
            </w:pPr>
            <w:r>
              <w:rPr>
                <w:color w:val="000000"/>
                <w:sz w:val="20"/>
                <w:szCs w:val="20"/>
              </w:rPr>
              <w:t>0</w:t>
            </w:r>
          </w:p>
        </w:tc>
        <w:tc>
          <w:tcPr>
            <w:tcW w:w="716" w:type="pct"/>
            <w:tcBorders>
              <w:top w:val="single" w:sz="4" w:space="0" w:color="auto"/>
              <w:left w:val="single" w:sz="4" w:space="0" w:color="auto"/>
              <w:bottom w:val="single" w:sz="4" w:space="0" w:color="auto"/>
              <w:right w:val="single" w:sz="4" w:space="0" w:color="auto"/>
            </w:tcBorders>
            <w:vAlign w:val="center"/>
          </w:tcPr>
          <w:p w14:paraId="39E958C6" w14:textId="24E18EEC" w:rsidR="0039784F" w:rsidRPr="002725EF" w:rsidRDefault="0039784F" w:rsidP="00566A26">
            <w:pPr>
              <w:pBdr>
                <w:top w:val="single" w:sz="6" w:space="0" w:color="FFFFFF"/>
                <w:left w:val="single" w:sz="6" w:space="0" w:color="FFFFFF"/>
                <w:bottom w:val="single" w:sz="6" w:space="0" w:color="FFFFFF"/>
                <w:right w:val="single" w:sz="6" w:space="0" w:color="FFFFFF"/>
              </w:pBdr>
              <w:spacing w:after="72"/>
              <w:jc w:val="center"/>
              <w:rPr>
                <w:sz w:val="20"/>
                <w:szCs w:val="20"/>
              </w:rPr>
            </w:pPr>
            <w:r>
              <w:rPr>
                <w:color w:val="000000"/>
                <w:sz w:val="20"/>
                <w:szCs w:val="20"/>
              </w:rPr>
              <w:t>$0</w:t>
            </w:r>
          </w:p>
        </w:tc>
      </w:tr>
      <w:tr w:rsidR="00A3646C" w:rsidRPr="001479A4" w14:paraId="1A10ECB5" w14:textId="47FF809E" w:rsidTr="001A4B1C">
        <w:trPr>
          <w:trHeight w:val="288"/>
        </w:trPr>
        <w:tc>
          <w:tcPr>
            <w:tcW w:w="767" w:type="pct"/>
            <w:tcBorders>
              <w:top w:val="single" w:sz="7" w:space="0" w:color="000000"/>
              <w:left w:val="single" w:sz="7" w:space="0" w:color="000000"/>
              <w:bottom w:val="single" w:sz="7" w:space="0" w:color="000000"/>
              <w:right w:val="single" w:sz="6" w:space="0" w:color="FFFFFF"/>
            </w:tcBorders>
            <w:vAlign w:val="center"/>
          </w:tcPr>
          <w:p w14:paraId="79285161" w14:textId="417B0423" w:rsidR="0039784F" w:rsidRPr="002725EF" w:rsidRDefault="0039784F" w:rsidP="0039784F">
            <w:pPr>
              <w:pBdr>
                <w:top w:val="single" w:sz="6" w:space="0" w:color="FFFFFF"/>
                <w:left w:val="single" w:sz="6" w:space="0" w:color="FFFFFF"/>
                <w:bottom w:val="single" w:sz="6" w:space="0" w:color="FFFFFF"/>
                <w:right w:val="single" w:sz="6" w:space="0" w:color="FFFFFF"/>
              </w:pBdr>
              <w:spacing w:after="72"/>
              <w:ind w:left="159"/>
              <w:rPr>
                <w:sz w:val="20"/>
                <w:szCs w:val="20"/>
              </w:rPr>
            </w:pPr>
            <w:r w:rsidRPr="002725EF">
              <w:rPr>
                <w:sz w:val="20"/>
                <w:szCs w:val="20"/>
              </w:rPr>
              <w:t xml:space="preserve">Retests </w:t>
            </w:r>
            <w:r>
              <w:rPr>
                <w:sz w:val="20"/>
                <w:szCs w:val="20"/>
                <w:vertAlign w:val="superscript"/>
              </w:rPr>
              <w:t>c</w:t>
            </w:r>
          </w:p>
        </w:tc>
        <w:tc>
          <w:tcPr>
            <w:tcW w:w="770" w:type="pct"/>
            <w:tcBorders>
              <w:top w:val="single" w:sz="7" w:space="0" w:color="000000"/>
              <w:left w:val="single" w:sz="7" w:space="0" w:color="000000"/>
              <w:bottom w:val="single" w:sz="7" w:space="0" w:color="000000"/>
              <w:right w:val="single" w:sz="6" w:space="0" w:color="FFFFFF"/>
            </w:tcBorders>
            <w:vAlign w:val="center"/>
          </w:tcPr>
          <w:p w14:paraId="1AC6FBFD" w14:textId="540C1A80" w:rsidR="0039784F" w:rsidRPr="002725EF" w:rsidRDefault="00A3646C" w:rsidP="0039784F">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w:t>
            </w:r>
          </w:p>
        </w:tc>
        <w:tc>
          <w:tcPr>
            <w:tcW w:w="723" w:type="pct"/>
            <w:tcBorders>
              <w:top w:val="single" w:sz="7" w:space="0" w:color="000000"/>
              <w:left w:val="single" w:sz="7" w:space="0" w:color="000000"/>
              <w:bottom w:val="single" w:sz="7" w:space="0" w:color="000000"/>
              <w:right w:val="single" w:sz="4" w:space="0" w:color="auto"/>
            </w:tcBorders>
            <w:vAlign w:val="center"/>
          </w:tcPr>
          <w:p w14:paraId="5EBDD53A" w14:textId="0A34A68E" w:rsidR="0039784F" w:rsidRPr="002725EF" w:rsidRDefault="00A3646C" w:rsidP="0039784F">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w:t>
            </w:r>
          </w:p>
        </w:tc>
        <w:tc>
          <w:tcPr>
            <w:tcW w:w="675" w:type="pct"/>
            <w:tcBorders>
              <w:top w:val="single" w:sz="4" w:space="0" w:color="auto"/>
              <w:left w:val="single" w:sz="4" w:space="0" w:color="auto"/>
              <w:bottom w:val="single" w:sz="4" w:space="0" w:color="auto"/>
              <w:right w:val="single" w:sz="4" w:space="0" w:color="auto"/>
            </w:tcBorders>
            <w:vAlign w:val="center"/>
          </w:tcPr>
          <w:p w14:paraId="33A9F461" w14:textId="275A82AA" w:rsidR="0039784F" w:rsidRPr="002725EF" w:rsidRDefault="0039784F" w:rsidP="0039784F">
            <w:pPr>
              <w:pBdr>
                <w:top w:val="single" w:sz="6" w:space="0" w:color="FFFFFF"/>
                <w:left w:val="single" w:sz="6" w:space="0" w:color="FFFFFF"/>
                <w:bottom w:val="single" w:sz="6" w:space="0" w:color="FFFFFF"/>
                <w:right w:val="single" w:sz="6" w:space="0" w:color="FFFFFF"/>
              </w:pBdr>
              <w:spacing w:after="72"/>
              <w:jc w:val="center"/>
              <w:rPr>
                <w:sz w:val="20"/>
                <w:szCs w:val="20"/>
              </w:rPr>
            </w:pPr>
            <w:r w:rsidRPr="002725EF">
              <w:rPr>
                <w:sz w:val="20"/>
                <w:szCs w:val="20"/>
              </w:rPr>
              <w:t>$</w:t>
            </w:r>
            <w:r>
              <w:rPr>
                <w:sz w:val="20"/>
                <w:szCs w:val="20"/>
              </w:rPr>
              <w:t>138,530</w:t>
            </w:r>
          </w:p>
        </w:tc>
        <w:tc>
          <w:tcPr>
            <w:tcW w:w="674" w:type="pct"/>
            <w:tcBorders>
              <w:top w:val="single" w:sz="4" w:space="0" w:color="auto"/>
              <w:left w:val="single" w:sz="4" w:space="0" w:color="auto"/>
              <w:bottom w:val="single" w:sz="4" w:space="0" w:color="auto"/>
              <w:right w:val="single" w:sz="4" w:space="0" w:color="auto"/>
            </w:tcBorders>
            <w:vAlign w:val="center"/>
          </w:tcPr>
          <w:p w14:paraId="2FF5FB53" w14:textId="05AE2016" w:rsidR="0039784F" w:rsidRPr="002725EF" w:rsidRDefault="00A3646C" w:rsidP="002725EF">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w:t>
            </w:r>
          </w:p>
        </w:tc>
        <w:tc>
          <w:tcPr>
            <w:tcW w:w="675" w:type="pct"/>
            <w:tcBorders>
              <w:top w:val="single" w:sz="4" w:space="0" w:color="auto"/>
              <w:left w:val="single" w:sz="4" w:space="0" w:color="auto"/>
              <w:bottom w:val="single" w:sz="4" w:space="0" w:color="auto"/>
              <w:right w:val="single" w:sz="4" w:space="0" w:color="auto"/>
            </w:tcBorders>
            <w:vAlign w:val="center"/>
          </w:tcPr>
          <w:p w14:paraId="0AB77566" w14:textId="3108E852" w:rsidR="0039784F" w:rsidRPr="002725EF" w:rsidRDefault="00A3646C" w:rsidP="001D7D38">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w:t>
            </w:r>
          </w:p>
        </w:tc>
        <w:tc>
          <w:tcPr>
            <w:tcW w:w="716" w:type="pct"/>
            <w:tcBorders>
              <w:top w:val="single" w:sz="4" w:space="0" w:color="auto"/>
              <w:left w:val="single" w:sz="4" w:space="0" w:color="auto"/>
              <w:bottom w:val="single" w:sz="4" w:space="0" w:color="auto"/>
              <w:right w:val="single" w:sz="4" w:space="0" w:color="auto"/>
            </w:tcBorders>
            <w:vAlign w:val="center"/>
          </w:tcPr>
          <w:p w14:paraId="3B1F8027" w14:textId="5990D33A" w:rsidR="0039784F" w:rsidRPr="002725EF" w:rsidRDefault="00A3646C" w:rsidP="00566A26">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w:t>
            </w:r>
          </w:p>
        </w:tc>
      </w:tr>
      <w:tr w:rsidR="00A3646C" w:rsidRPr="001479A4" w14:paraId="3A6B4E8C" w14:textId="7A1E31A2" w:rsidTr="001A4B1C">
        <w:trPr>
          <w:trHeight w:val="288"/>
        </w:trPr>
        <w:tc>
          <w:tcPr>
            <w:tcW w:w="767" w:type="pct"/>
            <w:tcBorders>
              <w:top w:val="single" w:sz="7" w:space="0" w:color="000000"/>
              <w:left w:val="single" w:sz="7" w:space="0" w:color="000000"/>
              <w:bottom w:val="single" w:sz="7" w:space="0" w:color="000000"/>
              <w:right w:val="single" w:sz="6" w:space="0" w:color="FFFFFF"/>
            </w:tcBorders>
            <w:vAlign w:val="center"/>
          </w:tcPr>
          <w:p w14:paraId="6E18C2FA" w14:textId="26718F9C" w:rsidR="0039784F" w:rsidRPr="002725EF" w:rsidRDefault="0039784F" w:rsidP="0039784F">
            <w:pPr>
              <w:pBdr>
                <w:top w:val="single" w:sz="6" w:space="0" w:color="FFFFFF"/>
                <w:left w:val="single" w:sz="6" w:space="0" w:color="FFFFFF"/>
                <w:bottom w:val="single" w:sz="6" w:space="0" w:color="FFFFFF"/>
                <w:right w:val="single" w:sz="6" w:space="0" w:color="FFFFFF"/>
              </w:pBdr>
              <w:spacing w:after="72"/>
              <w:rPr>
                <w:b/>
                <w:sz w:val="20"/>
                <w:szCs w:val="20"/>
              </w:rPr>
            </w:pPr>
            <w:r w:rsidRPr="002725EF">
              <w:rPr>
                <w:b/>
                <w:sz w:val="20"/>
                <w:szCs w:val="20"/>
              </w:rPr>
              <w:t xml:space="preserve">Total </w:t>
            </w:r>
          </w:p>
        </w:tc>
        <w:tc>
          <w:tcPr>
            <w:tcW w:w="770" w:type="pct"/>
            <w:tcBorders>
              <w:top w:val="single" w:sz="7" w:space="0" w:color="000000"/>
              <w:left w:val="single" w:sz="7" w:space="0" w:color="000000"/>
              <w:bottom w:val="single" w:sz="7" w:space="0" w:color="000000"/>
              <w:right w:val="single" w:sz="6" w:space="0" w:color="FFFFFF"/>
            </w:tcBorders>
            <w:vAlign w:val="center"/>
          </w:tcPr>
          <w:p w14:paraId="46FCE8DB" w14:textId="77777777" w:rsidR="0039784F" w:rsidRPr="002725EF" w:rsidRDefault="0039784F" w:rsidP="0039784F">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p>
        </w:tc>
        <w:tc>
          <w:tcPr>
            <w:tcW w:w="723" w:type="pct"/>
            <w:tcBorders>
              <w:top w:val="single" w:sz="7" w:space="0" w:color="000000"/>
              <w:left w:val="single" w:sz="7" w:space="0" w:color="000000"/>
              <w:bottom w:val="single" w:sz="7" w:space="0" w:color="000000"/>
              <w:right w:val="single" w:sz="4" w:space="0" w:color="auto"/>
            </w:tcBorders>
            <w:vAlign w:val="center"/>
          </w:tcPr>
          <w:p w14:paraId="6F7DF318" w14:textId="77777777" w:rsidR="0039784F" w:rsidRPr="002725EF" w:rsidRDefault="0039784F" w:rsidP="0039784F">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p>
        </w:tc>
        <w:tc>
          <w:tcPr>
            <w:tcW w:w="675" w:type="pct"/>
            <w:tcBorders>
              <w:top w:val="single" w:sz="4" w:space="0" w:color="auto"/>
              <w:left w:val="single" w:sz="4" w:space="0" w:color="auto"/>
              <w:bottom w:val="single" w:sz="4" w:space="0" w:color="auto"/>
              <w:right w:val="single" w:sz="4" w:space="0" w:color="auto"/>
            </w:tcBorders>
            <w:vAlign w:val="center"/>
          </w:tcPr>
          <w:p w14:paraId="4DE3E23E" w14:textId="77777777" w:rsidR="0039784F" w:rsidRPr="002725EF" w:rsidRDefault="0039784F" w:rsidP="0039784F">
            <w:pPr>
              <w:pBdr>
                <w:top w:val="single" w:sz="6" w:space="0" w:color="FFFFFF"/>
                <w:left w:val="single" w:sz="6" w:space="0" w:color="FFFFFF"/>
                <w:bottom w:val="single" w:sz="6" w:space="0" w:color="FFFFFF"/>
                <w:right w:val="single" w:sz="6" w:space="0" w:color="FFFFFF"/>
              </w:pBdr>
              <w:spacing w:after="72"/>
              <w:jc w:val="center"/>
              <w:rPr>
                <w:b/>
                <w:sz w:val="20"/>
                <w:szCs w:val="20"/>
              </w:rPr>
            </w:pPr>
            <w:r w:rsidRPr="002725EF">
              <w:rPr>
                <w:b/>
                <w:sz w:val="20"/>
                <w:szCs w:val="20"/>
              </w:rPr>
              <w:t>$831,000</w:t>
            </w:r>
          </w:p>
        </w:tc>
        <w:tc>
          <w:tcPr>
            <w:tcW w:w="674" w:type="pct"/>
            <w:tcBorders>
              <w:top w:val="single" w:sz="4" w:space="0" w:color="auto"/>
              <w:left w:val="single" w:sz="4" w:space="0" w:color="auto"/>
              <w:bottom w:val="single" w:sz="4" w:space="0" w:color="auto"/>
              <w:right w:val="single" w:sz="4" w:space="0" w:color="auto"/>
            </w:tcBorders>
          </w:tcPr>
          <w:p w14:paraId="73630FEE" w14:textId="77777777" w:rsidR="0039784F" w:rsidRPr="002725EF" w:rsidRDefault="0039784F" w:rsidP="0039784F">
            <w:pPr>
              <w:pBdr>
                <w:top w:val="single" w:sz="6" w:space="0" w:color="FFFFFF"/>
                <w:left w:val="single" w:sz="6" w:space="0" w:color="FFFFFF"/>
                <w:bottom w:val="single" w:sz="6" w:space="0" w:color="FFFFFF"/>
                <w:right w:val="single" w:sz="6" w:space="0" w:color="FFFFFF"/>
              </w:pBdr>
              <w:spacing w:after="72"/>
              <w:jc w:val="center"/>
              <w:rPr>
                <w:b/>
                <w:sz w:val="20"/>
                <w:szCs w:val="20"/>
              </w:rPr>
            </w:pPr>
          </w:p>
        </w:tc>
        <w:tc>
          <w:tcPr>
            <w:tcW w:w="675" w:type="pct"/>
            <w:tcBorders>
              <w:top w:val="single" w:sz="4" w:space="0" w:color="auto"/>
              <w:left w:val="single" w:sz="4" w:space="0" w:color="auto"/>
              <w:bottom w:val="single" w:sz="4" w:space="0" w:color="auto"/>
              <w:right w:val="single" w:sz="4" w:space="0" w:color="auto"/>
            </w:tcBorders>
          </w:tcPr>
          <w:p w14:paraId="3A6715DF" w14:textId="77777777" w:rsidR="0039784F" w:rsidRPr="002725EF" w:rsidRDefault="0039784F" w:rsidP="0039784F">
            <w:pPr>
              <w:pBdr>
                <w:top w:val="single" w:sz="6" w:space="0" w:color="FFFFFF"/>
                <w:left w:val="single" w:sz="6" w:space="0" w:color="FFFFFF"/>
                <w:bottom w:val="single" w:sz="6" w:space="0" w:color="FFFFFF"/>
                <w:right w:val="single" w:sz="6" w:space="0" w:color="FFFFFF"/>
              </w:pBdr>
              <w:spacing w:after="72"/>
              <w:jc w:val="center"/>
              <w:rPr>
                <w:b/>
                <w:sz w:val="20"/>
                <w:szCs w:val="20"/>
              </w:rPr>
            </w:pPr>
          </w:p>
        </w:tc>
        <w:tc>
          <w:tcPr>
            <w:tcW w:w="716" w:type="pct"/>
            <w:tcBorders>
              <w:top w:val="single" w:sz="4" w:space="0" w:color="auto"/>
              <w:left w:val="single" w:sz="4" w:space="0" w:color="auto"/>
              <w:bottom w:val="single" w:sz="4" w:space="0" w:color="auto"/>
              <w:right w:val="single" w:sz="4" w:space="0" w:color="auto"/>
            </w:tcBorders>
          </w:tcPr>
          <w:p w14:paraId="1FBEE1F5" w14:textId="2658345F" w:rsidR="0039784F" w:rsidRPr="002725EF" w:rsidRDefault="002725EF" w:rsidP="0039784F">
            <w:pPr>
              <w:pBdr>
                <w:top w:val="single" w:sz="6" w:space="0" w:color="FFFFFF"/>
                <w:left w:val="single" w:sz="6" w:space="0" w:color="FFFFFF"/>
                <w:bottom w:val="single" w:sz="6" w:space="0" w:color="FFFFFF"/>
                <w:right w:val="single" w:sz="6" w:space="0" w:color="FFFFFF"/>
              </w:pBdr>
              <w:spacing w:after="72"/>
              <w:jc w:val="center"/>
              <w:rPr>
                <w:b/>
                <w:sz w:val="20"/>
                <w:szCs w:val="20"/>
              </w:rPr>
            </w:pPr>
            <w:r>
              <w:rPr>
                <w:b/>
                <w:sz w:val="20"/>
                <w:szCs w:val="20"/>
              </w:rPr>
              <w:t>$0</w:t>
            </w:r>
          </w:p>
        </w:tc>
      </w:tr>
    </w:tbl>
    <w:p w14:paraId="31E6D204" w14:textId="41498502" w:rsidR="00020D17" w:rsidRPr="002725EF" w:rsidRDefault="00243CE4" w:rsidP="00243CE4">
      <w:pPr>
        <w:widowControl/>
        <w:spacing w:line="247" w:lineRule="auto"/>
        <w:rPr>
          <w:sz w:val="20"/>
          <w:szCs w:val="20"/>
        </w:rPr>
      </w:pPr>
      <w:r w:rsidRPr="00374E3E">
        <w:rPr>
          <w:sz w:val="22"/>
          <w:szCs w:val="22"/>
          <w:vertAlign w:val="superscript"/>
        </w:rPr>
        <w:t>a</w:t>
      </w:r>
      <w:r w:rsidR="002725EF">
        <w:rPr>
          <w:sz w:val="22"/>
          <w:szCs w:val="22"/>
          <w:vertAlign w:val="superscript"/>
        </w:rPr>
        <w:t xml:space="preserve"> </w:t>
      </w:r>
      <w:r w:rsidR="00020D17" w:rsidRPr="002725EF">
        <w:rPr>
          <w:sz w:val="20"/>
          <w:szCs w:val="20"/>
        </w:rPr>
        <w:t xml:space="preserve">We estimate that O&amp;M costs </w:t>
      </w:r>
      <w:r w:rsidR="00B93B90">
        <w:rPr>
          <w:sz w:val="20"/>
          <w:szCs w:val="20"/>
        </w:rPr>
        <w:t>for COMS and CPMS</w:t>
      </w:r>
      <w:r w:rsidR="000D6D45">
        <w:rPr>
          <w:sz w:val="20"/>
          <w:szCs w:val="20"/>
        </w:rPr>
        <w:t xml:space="preserve"> for new and existing units</w:t>
      </w:r>
      <w:r w:rsidR="00020D17" w:rsidRPr="002725EF">
        <w:rPr>
          <w:sz w:val="20"/>
          <w:szCs w:val="20"/>
        </w:rPr>
        <w:t xml:space="preserve"> are already </w:t>
      </w:r>
      <w:r w:rsidR="00B93B90">
        <w:rPr>
          <w:sz w:val="20"/>
          <w:szCs w:val="20"/>
        </w:rPr>
        <w:t>accounted for</w:t>
      </w:r>
      <w:r w:rsidR="00020D17" w:rsidRPr="002725EF">
        <w:rPr>
          <w:sz w:val="20"/>
          <w:szCs w:val="20"/>
        </w:rPr>
        <w:t xml:space="preserve"> in the </w:t>
      </w:r>
      <w:r w:rsidR="0037465A">
        <w:rPr>
          <w:sz w:val="20"/>
          <w:szCs w:val="20"/>
        </w:rPr>
        <w:t xml:space="preserve">capital/startup and </w:t>
      </w:r>
      <w:r w:rsidR="00B93B90">
        <w:rPr>
          <w:sz w:val="20"/>
          <w:szCs w:val="20"/>
        </w:rPr>
        <w:t xml:space="preserve">O&amp;M </w:t>
      </w:r>
      <w:r w:rsidR="00020D17" w:rsidRPr="002725EF">
        <w:rPr>
          <w:sz w:val="20"/>
          <w:szCs w:val="20"/>
        </w:rPr>
        <w:t xml:space="preserve">costs </w:t>
      </w:r>
      <w:r w:rsidR="000D6D45">
        <w:rPr>
          <w:sz w:val="20"/>
          <w:szCs w:val="20"/>
        </w:rPr>
        <w:t>of</w:t>
      </w:r>
      <w:r w:rsidR="00B93B90">
        <w:rPr>
          <w:sz w:val="20"/>
          <w:szCs w:val="20"/>
        </w:rPr>
        <w:t xml:space="preserve"> </w:t>
      </w:r>
      <w:r w:rsidR="003939A3">
        <w:rPr>
          <w:sz w:val="20"/>
          <w:szCs w:val="20"/>
        </w:rPr>
        <w:t xml:space="preserve">COMS </w:t>
      </w:r>
      <w:r w:rsidR="00B93B90">
        <w:rPr>
          <w:sz w:val="20"/>
          <w:szCs w:val="20"/>
        </w:rPr>
        <w:t>and</w:t>
      </w:r>
      <w:r w:rsidR="003939A3">
        <w:rPr>
          <w:sz w:val="20"/>
          <w:szCs w:val="20"/>
        </w:rPr>
        <w:t xml:space="preserve"> CPMS required for compliance with the </w:t>
      </w:r>
      <w:r w:rsidR="00593255">
        <w:rPr>
          <w:sz w:val="20"/>
          <w:szCs w:val="20"/>
        </w:rPr>
        <w:t xml:space="preserve">New Source Performance Standards (NSPS) for Kraft Pulp Mills (40 CFR part 60, </w:t>
      </w:r>
      <w:r w:rsidR="003939A3">
        <w:rPr>
          <w:sz w:val="20"/>
          <w:szCs w:val="20"/>
        </w:rPr>
        <w:t>Subpart BB).</w:t>
      </w:r>
    </w:p>
    <w:p w14:paraId="119156B7" w14:textId="21F772A3" w:rsidR="00243CE4" w:rsidRPr="00374E3E" w:rsidRDefault="00243CE4" w:rsidP="00243CE4">
      <w:pPr>
        <w:widowControl/>
        <w:spacing w:line="247" w:lineRule="auto"/>
        <w:rPr>
          <w:sz w:val="22"/>
          <w:szCs w:val="22"/>
        </w:rPr>
      </w:pPr>
      <w:r w:rsidRPr="00374E3E">
        <w:rPr>
          <w:sz w:val="22"/>
          <w:szCs w:val="22"/>
          <w:vertAlign w:val="superscript"/>
        </w:rPr>
        <w:t>b</w:t>
      </w:r>
      <w:r w:rsidRPr="00374E3E">
        <w:rPr>
          <w:sz w:val="22"/>
          <w:szCs w:val="22"/>
        </w:rPr>
        <w:t xml:space="preserve"> </w:t>
      </w:r>
      <w:r w:rsidR="002725EF">
        <w:rPr>
          <w:sz w:val="20"/>
          <w:szCs w:val="20"/>
        </w:rPr>
        <w:t>C</w:t>
      </w:r>
      <w:r w:rsidRPr="002725EF">
        <w:rPr>
          <w:sz w:val="20"/>
          <w:szCs w:val="20"/>
        </w:rPr>
        <w:t xml:space="preserve">apital costs </w:t>
      </w:r>
      <w:r w:rsidR="0039784F">
        <w:rPr>
          <w:sz w:val="20"/>
          <w:szCs w:val="20"/>
        </w:rPr>
        <w:t xml:space="preserve">for performance tests </w:t>
      </w:r>
      <w:r w:rsidRPr="002725EF">
        <w:rPr>
          <w:sz w:val="20"/>
          <w:szCs w:val="20"/>
        </w:rPr>
        <w:t xml:space="preserve">were </w:t>
      </w:r>
      <w:r w:rsidR="002725EF">
        <w:rPr>
          <w:sz w:val="20"/>
          <w:szCs w:val="20"/>
        </w:rPr>
        <w:t xml:space="preserve">$10,000 (Method 5) and $14,000 (Method 25A and Method 308). Annualized capital costs were </w:t>
      </w:r>
      <w:r w:rsidRPr="002725EF">
        <w:rPr>
          <w:sz w:val="20"/>
          <w:szCs w:val="20"/>
        </w:rPr>
        <w:t>estimated assuming a 5-year payment period at 7% interest for initial performance tests (with a capital recovery factor of 0.244).</w:t>
      </w:r>
    </w:p>
    <w:p w14:paraId="68BE81BE" w14:textId="77777777" w:rsidR="0039784F" w:rsidRPr="00374E3E" w:rsidRDefault="0039784F" w:rsidP="0039784F">
      <w:pPr>
        <w:widowControl/>
        <w:spacing w:line="247" w:lineRule="auto"/>
        <w:rPr>
          <w:sz w:val="22"/>
          <w:szCs w:val="22"/>
        </w:rPr>
      </w:pPr>
      <w:r>
        <w:rPr>
          <w:sz w:val="22"/>
          <w:szCs w:val="22"/>
          <w:vertAlign w:val="superscript"/>
        </w:rPr>
        <w:t>c</w:t>
      </w:r>
      <w:r w:rsidRPr="00374E3E">
        <w:rPr>
          <w:sz w:val="22"/>
          <w:szCs w:val="22"/>
        </w:rPr>
        <w:t xml:space="preserve"> </w:t>
      </w:r>
      <w:r w:rsidRPr="00BB55F0">
        <w:rPr>
          <w:sz w:val="20"/>
          <w:szCs w:val="20"/>
        </w:rPr>
        <w:t>We estimate that 20% of respondents will repeat the performance test due to failure. Estimate assumes 107 existing facilities with 263 sources, 1 new facility with 2 recovery furnaces, and 6 new sources at 3 existing facilities, 5 of which require THC testing.</w:t>
      </w:r>
    </w:p>
    <w:p w14:paraId="0FB865C1" w14:textId="77777777" w:rsidR="00243CE4" w:rsidRDefault="00243CE4" w:rsidP="00243CE4">
      <w:pPr>
        <w:rPr>
          <w:sz w:val="20"/>
          <w:szCs w:val="20"/>
        </w:rPr>
      </w:pPr>
    </w:p>
    <w:p w14:paraId="5D7ED3FB" w14:textId="2CF59961" w:rsidR="00243CE4" w:rsidRDefault="00243CE4" w:rsidP="00243CE4">
      <w:pPr>
        <w:widowControl/>
        <w:ind w:firstLine="720"/>
      </w:pPr>
      <w:r w:rsidRPr="00904285">
        <w:t xml:space="preserve">The total capital/startup costs for this ICR are </w:t>
      </w:r>
      <w:r>
        <w:t>$</w:t>
      </w:r>
      <w:r w:rsidR="002725EF">
        <w:t>831,000</w:t>
      </w:r>
      <w:r w:rsidRPr="00904285">
        <w:t xml:space="preserve">. This is the total of column D in the above table. </w:t>
      </w:r>
    </w:p>
    <w:p w14:paraId="33E982DA" w14:textId="204DC4BB" w:rsidR="002725EF" w:rsidRDefault="002725EF" w:rsidP="00243CE4">
      <w:pPr>
        <w:widowControl/>
        <w:ind w:firstLine="720"/>
      </w:pPr>
    </w:p>
    <w:p w14:paraId="79541D3B" w14:textId="6509E09F" w:rsidR="00593255" w:rsidRPr="00A3646C" w:rsidRDefault="002725EF" w:rsidP="00A3646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operation and maintenance (O&amp;M) costs for this ICR are $0.  This is the total of column G. </w:t>
      </w:r>
    </w:p>
    <w:p w14:paraId="7424FE4B" w14:textId="77777777" w:rsidR="00243CE4" w:rsidRDefault="00243CE4" w:rsidP="00243CE4">
      <w:pPr>
        <w:widowControl/>
        <w:ind w:firstLine="720"/>
      </w:pPr>
    </w:p>
    <w:p w14:paraId="3E5BBB3E" w14:textId="73BE4F75" w:rsidR="004962EC" w:rsidRDefault="00243CE4" w:rsidP="00243CE4">
      <w:pPr>
        <w:widowControl/>
        <w:ind w:firstLine="720"/>
        <w:rPr>
          <w:color w:val="000000"/>
        </w:rPr>
      </w:pPr>
      <w:r>
        <w:t xml:space="preserve">The </w:t>
      </w:r>
      <w:r w:rsidR="002725EF">
        <w:t xml:space="preserve">average annual </w:t>
      </w:r>
      <w:r>
        <w:t xml:space="preserve">capital/startup </w:t>
      </w:r>
      <w:r w:rsidR="002725EF">
        <w:t xml:space="preserve">and operation and maintenance </w:t>
      </w:r>
      <w:r>
        <w:t>costs</w:t>
      </w:r>
      <w:r w:rsidRPr="001A070E">
        <w:t xml:space="preserve"> </w:t>
      </w:r>
      <w:r w:rsidRPr="003201BC">
        <w:t xml:space="preserve">to industry over the next three years of the ICR is estimated to be </w:t>
      </w:r>
      <w:r>
        <w:t>$831,000.</w:t>
      </w:r>
      <w:r w:rsidR="00D64CD1">
        <w:t xml:space="preserve"> </w:t>
      </w:r>
      <w:r w:rsidR="002725EF">
        <w:rPr>
          <w:color w:val="000000"/>
        </w:rPr>
        <w:t xml:space="preserve">These are </w:t>
      </w:r>
      <w:r w:rsidR="00326FDF">
        <w:rPr>
          <w:color w:val="000000"/>
        </w:rPr>
        <w:t xml:space="preserve">the </w:t>
      </w:r>
      <w:r w:rsidR="002725EF">
        <w:rPr>
          <w:color w:val="000000"/>
        </w:rPr>
        <w:t>recordkeeping costs.</w:t>
      </w:r>
    </w:p>
    <w:p w14:paraId="602B0EB7" w14:textId="77777777" w:rsidR="004962EC" w:rsidRDefault="004962EC" w:rsidP="004962EC">
      <w:pPr>
        <w:pBdr>
          <w:top w:val="single" w:sz="6" w:space="0" w:color="FFFFFF"/>
          <w:left w:val="single" w:sz="6" w:space="0" w:color="FFFFFF"/>
          <w:bottom w:val="single" w:sz="6" w:space="0" w:color="FFFFFF"/>
          <w:right w:val="single" w:sz="6" w:space="0" w:color="FFFFFF"/>
        </w:pBdr>
        <w:rPr>
          <w:color w:val="000000"/>
        </w:rPr>
      </w:pPr>
    </w:p>
    <w:p w14:paraId="6EE07079" w14:textId="77777777" w:rsidR="004962EC" w:rsidRDefault="004962EC" w:rsidP="004962EC">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14:paraId="3347C4AC" w14:textId="77777777" w:rsidR="004962EC" w:rsidRDefault="004962EC" w:rsidP="004962EC">
      <w:pPr>
        <w:pBdr>
          <w:top w:val="single" w:sz="6" w:space="0" w:color="FFFFFF"/>
          <w:left w:val="single" w:sz="6" w:space="0" w:color="FFFFFF"/>
          <w:bottom w:val="single" w:sz="6" w:space="0" w:color="FFFFFF"/>
          <w:right w:val="single" w:sz="6" w:space="0" w:color="FFFFFF"/>
        </w:pBdr>
        <w:rPr>
          <w:color w:val="000000"/>
        </w:rPr>
      </w:pPr>
    </w:p>
    <w:p w14:paraId="6350D7EB" w14:textId="1C23DA34" w:rsidR="004962EC" w:rsidRDefault="004962EC" w:rsidP="004962E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only costs to the Agency are those costs associated with </w:t>
      </w:r>
      <w:r w:rsidR="00243CE4">
        <w:rPr>
          <w:color w:val="000000"/>
        </w:rPr>
        <w:t xml:space="preserve">observation of performance tests and </w:t>
      </w:r>
      <w:r>
        <w:rPr>
          <w:color w:val="000000"/>
        </w:rPr>
        <w:t>analysis of reported information</w:t>
      </w:r>
      <w:r w:rsidR="00D64CD1">
        <w:rPr>
          <w:color w:val="000000"/>
        </w:rPr>
        <w:t xml:space="preserve">. </w:t>
      </w:r>
      <w:r>
        <w:rPr>
          <w:color w:val="000000"/>
        </w:rPr>
        <w:t xml:space="preserve">EPA's overall compliance and enforcement program includes </w:t>
      </w:r>
      <w:r w:rsidR="00326FDF">
        <w:rPr>
          <w:color w:val="000000"/>
        </w:rPr>
        <w:t xml:space="preserve">such </w:t>
      </w:r>
      <w:r>
        <w:rPr>
          <w:color w:val="000000"/>
        </w:rPr>
        <w:t xml:space="preserve">activities </w:t>
      </w:r>
      <w:r w:rsidR="00326FDF">
        <w:rPr>
          <w:color w:val="000000"/>
        </w:rPr>
        <w:t>a</w:t>
      </w:r>
      <w:r>
        <w:rPr>
          <w:color w:val="000000"/>
        </w:rPr>
        <w:t xml:space="preserve">s the examination of records maintained by the respondents, periodic inspection of sources of emissions, and the publication and distribution of collected information. </w:t>
      </w:r>
    </w:p>
    <w:p w14:paraId="2F783F9E" w14:textId="77777777" w:rsidR="004962EC" w:rsidRDefault="004962EC" w:rsidP="004962EC">
      <w:pPr>
        <w:pBdr>
          <w:top w:val="single" w:sz="6" w:space="0" w:color="FFFFFF"/>
          <w:left w:val="single" w:sz="6" w:space="0" w:color="FFFFFF"/>
          <w:bottom w:val="single" w:sz="6" w:space="0" w:color="FFFFFF"/>
          <w:right w:val="single" w:sz="6" w:space="0" w:color="FFFFFF"/>
        </w:pBdr>
        <w:rPr>
          <w:color w:val="000000"/>
        </w:rPr>
      </w:pPr>
    </w:p>
    <w:p w14:paraId="332D63CB" w14:textId="70217F9E" w:rsidR="004962EC" w:rsidRDefault="004962EC" w:rsidP="004962EC">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243CE4">
        <w:rPr>
          <w:color w:val="000000"/>
        </w:rPr>
        <w:t>44,000.</w:t>
      </w:r>
      <w:r w:rsidR="00D64CD1">
        <w:rPr>
          <w:color w:val="000000"/>
        </w:rPr>
        <w:t xml:space="preserve"> </w:t>
      </w:r>
    </w:p>
    <w:p w14:paraId="6F5A42F4" w14:textId="77777777" w:rsidR="004962EC" w:rsidRDefault="004962EC" w:rsidP="004962EC">
      <w:pPr>
        <w:pBdr>
          <w:top w:val="single" w:sz="6" w:space="0" w:color="FFFFFF"/>
          <w:left w:val="single" w:sz="6" w:space="0" w:color="FFFFFF"/>
          <w:bottom w:val="single" w:sz="6" w:space="0" w:color="FFFFFF"/>
          <w:right w:val="single" w:sz="6" w:space="0" w:color="FFFFFF"/>
        </w:pBdr>
        <w:rPr>
          <w:color w:val="000000"/>
        </w:rPr>
      </w:pPr>
    </w:p>
    <w:p w14:paraId="54E78989" w14:textId="4DD43D57" w:rsidR="00243CE4" w:rsidRDefault="004962EC" w:rsidP="00243CE4">
      <w:pPr>
        <w:keepNext/>
        <w:widowControl/>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r w:rsidR="00243CE4" w:rsidRPr="00243CE4">
        <w:rPr>
          <w:color w:val="000000"/>
        </w:rPr>
        <w:t xml:space="preserve"> </w:t>
      </w:r>
    </w:p>
    <w:p w14:paraId="51943059" w14:textId="77777777" w:rsidR="00243CE4" w:rsidRDefault="00243CE4" w:rsidP="00243CE4">
      <w:pPr>
        <w:keepNext/>
        <w:widowControl/>
        <w:pBdr>
          <w:top w:val="single" w:sz="6" w:space="0" w:color="FFFFFF"/>
          <w:left w:val="single" w:sz="6" w:space="0" w:color="FFFFFF"/>
          <w:bottom w:val="single" w:sz="6" w:space="0" w:color="FFFFFF"/>
          <w:right w:val="single" w:sz="6" w:space="0" w:color="FFFFFF"/>
        </w:pBdr>
        <w:ind w:firstLine="720"/>
        <w:rPr>
          <w:color w:val="000000"/>
        </w:rPr>
      </w:pPr>
    </w:p>
    <w:p w14:paraId="3D0FAF88" w14:textId="77777777" w:rsidR="00243CE4" w:rsidRPr="00A347B0" w:rsidRDefault="00243CE4" w:rsidP="00243CE4">
      <w:pPr>
        <w:ind w:left="720" w:firstLine="720"/>
      </w:pPr>
      <w:r w:rsidRPr="00A347B0">
        <w:t>Managerial</w:t>
      </w:r>
      <w:r w:rsidRPr="00A347B0">
        <w:tab/>
        <w:t>$6</w:t>
      </w:r>
      <w:r>
        <w:t>5.71</w:t>
      </w:r>
      <w:r w:rsidRPr="00A347B0">
        <w:t xml:space="preserve"> (GS-13, Step 5, $</w:t>
      </w:r>
      <w:r>
        <w:t>41.07</w:t>
      </w:r>
      <w:r w:rsidRPr="00A347B0">
        <w:t xml:space="preserve"> + 60%) </w:t>
      </w:r>
    </w:p>
    <w:p w14:paraId="1DCDCF26" w14:textId="77777777" w:rsidR="00243CE4" w:rsidRPr="00A347B0" w:rsidRDefault="00243CE4" w:rsidP="00243CE4">
      <w:r w:rsidRPr="00A347B0">
        <w:tab/>
      </w:r>
      <w:r w:rsidRPr="00A347B0">
        <w:tab/>
        <w:t>Technical</w:t>
      </w:r>
      <w:r w:rsidRPr="00A347B0">
        <w:tab/>
        <w:t>$48.</w:t>
      </w:r>
      <w:r>
        <w:t>75</w:t>
      </w:r>
      <w:r w:rsidRPr="00A347B0">
        <w:t xml:space="preserve"> (GS-12, Step 1, $30.</w:t>
      </w:r>
      <w:r>
        <w:t>47</w:t>
      </w:r>
      <w:r w:rsidRPr="00A347B0">
        <w:t xml:space="preserve"> + 60%)</w:t>
      </w:r>
    </w:p>
    <w:p w14:paraId="7B909701" w14:textId="77777777" w:rsidR="00243CE4" w:rsidRPr="00A347B0" w:rsidRDefault="00243CE4" w:rsidP="00243CE4">
      <w:r w:rsidRPr="00A347B0">
        <w:tab/>
      </w:r>
      <w:r w:rsidRPr="00A347B0">
        <w:tab/>
        <w:t>Clerical</w:t>
      </w:r>
      <w:r w:rsidRPr="00A347B0">
        <w:tab/>
        <w:t>$26.</w:t>
      </w:r>
      <w:r>
        <w:t>38</w:t>
      </w:r>
      <w:r w:rsidRPr="00A347B0">
        <w:t xml:space="preserve"> (GS-6, Step 3, $16.</w:t>
      </w:r>
      <w:r>
        <w:t>49</w:t>
      </w:r>
      <w:r w:rsidRPr="00A347B0">
        <w:t xml:space="preserve"> + 60%)</w:t>
      </w:r>
    </w:p>
    <w:p w14:paraId="74FDF606" w14:textId="77777777" w:rsidR="00243CE4" w:rsidRDefault="00243CE4" w:rsidP="00243CE4">
      <w:pPr>
        <w:keepNext/>
        <w:widowControl/>
        <w:pBdr>
          <w:top w:val="single" w:sz="6" w:space="0" w:color="FFFFFF"/>
          <w:left w:val="single" w:sz="6" w:space="0" w:color="FFFFFF"/>
          <w:bottom w:val="single" w:sz="6" w:space="0" w:color="FFFFFF"/>
          <w:right w:val="single" w:sz="6" w:space="0" w:color="FFFFFF"/>
        </w:pBdr>
        <w:ind w:firstLine="720"/>
        <w:rPr>
          <w:color w:val="000000"/>
        </w:rPr>
      </w:pPr>
    </w:p>
    <w:p w14:paraId="6144F473" w14:textId="194095F8" w:rsidR="004962EC" w:rsidRDefault="004962EC" w:rsidP="00243CE4">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These rates are from the Office of Personnel Management (OPM), </w:t>
      </w:r>
      <w:r w:rsidR="00EE5A91">
        <w:rPr>
          <w:color w:val="000000"/>
        </w:rPr>
        <w:t>201</w:t>
      </w:r>
      <w:r w:rsidR="00243CE4">
        <w:rPr>
          <w:color w:val="000000"/>
        </w:rPr>
        <w:t>8</w:t>
      </w:r>
      <w:r w:rsidR="00EE5A91">
        <w:rPr>
          <w:color w:val="000000"/>
        </w:rPr>
        <w:t xml:space="preserve"> </w:t>
      </w:r>
      <w:r>
        <w:rPr>
          <w:color w:val="000000"/>
        </w:rPr>
        <w:t>General Schedule, which excludes locality rates of pay</w:t>
      </w:r>
      <w:r w:rsidR="00D64CD1">
        <w:rPr>
          <w:color w:val="000000"/>
        </w:rPr>
        <w:t xml:space="preserve">. </w:t>
      </w:r>
      <w:r>
        <w:rPr>
          <w:color w:val="000000"/>
        </w:rPr>
        <w:t>The rates have been increased by 60 percent to account for the benefit packages available to government employees</w:t>
      </w:r>
      <w:r w:rsidR="00D64CD1">
        <w:t xml:space="preserve">. </w:t>
      </w:r>
      <w:r>
        <w:rPr>
          <w:color w:val="000000"/>
        </w:rPr>
        <w:t xml:space="preserve">Details upon which this estimate is based appear below in Table 2: </w:t>
      </w:r>
      <w:r w:rsidRPr="00CF2B37">
        <w:t xml:space="preserve">Average Annual EPA Burden and Cost </w:t>
      </w:r>
      <w:r w:rsidRPr="00B0398F">
        <w:t xml:space="preserve">– NESHAP for </w:t>
      </w:r>
      <w:r w:rsidR="00264789">
        <w:t>Chemical Recovery Combustion Sources at Kraft, Soda, Sulfite, and Stand-Alone Semichemical Pulp Mills</w:t>
      </w:r>
      <w:r w:rsidRPr="00B0398F">
        <w:rPr>
          <w:bCs/>
        </w:rPr>
        <w:t xml:space="preserve"> (40 CFR Part 63, </w:t>
      </w:r>
      <w:r w:rsidR="00264789">
        <w:rPr>
          <w:bCs/>
        </w:rPr>
        <w:t>Subpart MM</w:t>
      </w:r>
      <w:r w:rsidRPr="00B0398F">
        <w:t>) (Renewal).</w:t>
      </w:r>
    </w:p>
    <w:p w14:paraId="2D62BEA3" w14:textId="77777777" w:rsidR="004962EC" w:rsidRDefault="004962EC" w:rsidP="004962EC">
      <w:pPr>
        <w:pBdr>
          <w:top w:val="single" w:sz="6" w:space="0" w:color="FFFFFF"/>
          <w:left w:val="single" w:sz="6" w:space="0" w:color="FFFFFF"/>
          <w:bottom w:val="single" w:sz="6" w:space="0" w:color="FFFFFF"/>
          <w:right w:val="single" w:sz="6" w:space="0" w:color="FFFFFF"/>
        </w:pBdr>
        <w:rPr>
          <w:color w:val="000000"/>
        </w:rPr>
      </w:pPr>
    </w:p>
    <w:p w14:paraId="40384B68" w14:textId="77777777" w:rsidR="004962EC" w:rsidRDefault="004962EC" w:rsidP="004962EC">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14:paraId="4AB1A69A" w14:textId="77777777" w:rsidR="004962EC" w:rsidRDefault="004962EC" w:rsidP="004962EC">
      <w:pPr>
        <w:pBdr>
          <w:top w:val="single" w:sz="6" w:space="0" w:color="FFFFFF"/>
          <w:left w:val="single" w:sz="6" w:space="0" w:color="FFFFFF"/>
          <w:bottom w:val="single" w:sz="6" w:space="0" w:color="FFFFFF"/>
          <w:right w:val="single" w:sz="6" w:space="0" w:color="FFFFFF"/>
        </w:pBdr>
        <w:rPr>
          <w:b/>
          <w:bCs/>
          <w:color w:val="000000"/>
        </w:rPr>
      </w:pPr>
    </w:p>
    <w:p w14:paraId="1C514946" w14:textId="287F951E" w:rsidR="004962EC" w:rsidRDefault="004962EC" w:rsidP="004962E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243CE4">
        <w:t>107</w:t>
      </w:r>
      <w:r w:rsidR="00A568D1" w:rsidRPr="00A568D1">
        <w:t xml:space="preserve"> </w:t>
      </w:r>
      <w:r w:rsidRPr="00A568D1">
        <w:t>existing respondents will be subject to the</w:t>
      </w:r>
      <w:r w:rsidR="00326FDF">
        <w:t>se</w:t>
      </w:r>
      <w:r w:rsidRPr="00A568D1">
        <w:t xml:space="preserve"> standard</w:t>
      </w:r>
      <w:r w:rsidR="00326FDF">
        <w:t>s</w:t>
      </w:r>
      <w:r w:rsidR="00D64CD1" w:rsidRPr="00A568D1">
        <w:t xml:space="preserve">. </w:t>
      </w:r>
      <w:r w:rsidRPr="00A568D1">
        <w:t>It is estimated that</w:t>
      </w:r>
      <w:r w:rsidR="003F27F5" w:rsidRPr="003F27F5">
        <w:rPr>
          <w:color w:val="000000"/>
        </w:rPr>
        <w:t xml:space="preserve"> </w:t>
      </w:r>
      <w:r w:rsidR="003F27F5">
        <w:rPr>
          <w:color w:val="000000"/>
        </w:rPr>
        <w:t>one existing mill per year (for a total of three existing mills) will have new process units that will become subject to the</w:t>
      </w:r>
      <w:r w:rsidR="00326FDF">
        <w:rPr>
          <w:color w:val="000000"/>
        </w:rPr>
        <w:t>se</w:t>
      </w:r>
      <w:r w:rsidR="003F27F5">
        <w:rPr>
          <w:color w:val="000000"/>
        </w:rPr>
        <w:t xml:space="preserve"> regulation</w:t>
      </w:r>
      <w:r w:rsidR="00326FDF">
        <w:rPr>
          <w:color w:val="000000"/>
        </w:rPr>
        <w:t>s</w:t>
      </w:r>
      <w:r w:rsidR="003F27F5">
        <w:rPr>
          <w:color w:val="000000"/>
        </w:rPr>
        <w:t xml:space="preserve"> in the next 3 years, and one new mill will start up in the third year of this information collection.</w:t>
      </w:r>
      <w:r w:rsidR="00D64CD1" w:rsidRPr="00A568D1">
        <w:t xml:space="preserve"> </w:t>
      </w:r>
      <w:r w:rsidRPr="00A568D1">
        <w:t xml:space="preserve">The overall average number of respondents, as shown in the table below, is </w:t>
      </w:r>
      <w:r w:rsidR="00A568D1" w:rsidRPr="00A568D1">
        <w:t>1</w:t>
      </w:r>
      <w:r w:rsidR="003F27F5">
        <w:t>07</w:t>
      </w:r>
      <w:r w:rsidR="00A568D1" w:rsidRPr="00A568D1">
        <w:t xml:space="preserve"> </w:t>
      </w:r>
      <w:r w:rsidRPr="00A568D1">
        <w:t>per</w:t>
      </w:r>
      <w:r w:rsidRPr="00262B0C">
        <w:t xml:space="preserve"> year.</w:t>
      </w:r>
    </w:p>
    <w:p w14:paraId="7574C869" w14:textId="77777777" w:rsidR="004962EC" w:rsidRDefault="004962EC" w:rsidP="004962EC">
      <w:pPr>
        <w:pBdr>
          <w:top w:val="single" w:sz="6" w:space="0" w:color="FFFFFF"/>
          <w:left w:val="single" w:sz="6" w:space="0" w:color="FFFFFF"/>
          <w:bottom w:val="single" w:sz="6" w:space="0" w:color="FFFFFF"/>
          <w:right w:val="single" w:sz="6" w:space="0" w:color="FFFFFF"/>
        </w:pBdr>
        <w:rPr>
          <w:color w:val="000000"/>
        </w:rPr>
      </w:pPr>
    </w:p>
    <w:p w14:paraId="5C84BDAA" w14:textId="2676AE58" w:rsidR="00326FDF" w:rsidRDefault="004962EC" w:rsidP="004962EC">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number of respondents is calculated using the following table that addresses the three years covered by this ICR</w:t>
      </w:r>
      <w:r w:rsidR="00326FDF">
        <w:rPr>
          <w:color w:val="000000"/>
        </w:rPr>
        <w:t xml:space="preserve">: </w:t>
      </w:r>
    </w:p>
    <w:p w14:paraId="47101BDD" w14:textId="77777777" w:rsidR="00326FDF" w:rsidRDefault="00326FDF" w:rsidP="004962EC">
      <w:pPr>
        <w:pBdr>
          <w:top w:val="single" w:sz="6" w:space="0" w:color="FFFFFF"/>
          <w:left w:val="single" w:sz="6" w:space="0" w:color="FFFFFF"/>
          <w:bottom w:val="single" w:sz="6" w:space="0" w:color="FFFFFF"/>
          <w:right w:val="single" w:sz="6" w:space="0" w:color="FFFFFF"/>
        </w:pBdr>
        <w:ind w:firstLine="720"/>
        <w:rPr>
          <w:color w:val="000000"/>
        </w:rPr>
      </w:pPr>
    </w:p>
    <w:p w14:paraId="79DD345D" w14:textId="77777777" w:rsidR="00326FDF" w:rsidRDefault="00326FDF" w:rsidP="004962EC">
      <w:pPr>
        <w:pBdr>
          <w:top w:val="single" w:sz="6" w:space="0" w:color="FFFFFF"/>
          <w:left w:val="single" w:sz="6" w:space="0" w:color="FFFFFF"/>
          <w:bottom w:val="single" w:sz="6" w:space="0" w:color="FFFFFF"/>
          <w:right w:val="single" w:sz="6" w:space="0" w:color="FFFFFF"/>
        </w:pBdr>
        <w:ind w:firstLine="720"/>
        <w:rPr>
          <w:color w:val="000000"/>
        </w:rPr>
      </w:pPr>
    </w:p>
    <w:p w14:paraId="25301BC6" w14:textId="77777777" w:rsidR="00326FDF" w:rsidRDefault="00326FDF" w:rsidP="004962EC">
      <w:pPr>
        <w:pBdr>
          <w:top w:val="single" w:sz="6" w:space="0" w:color="FFFFFF"/>
          <w:left w:val="single" w:sz="6" w:space="0" w:color="FFFFFF"/>
          <w:bottom w:val="single" w:sz="6" w:space="0" w:color="FFFFFF"/>
          <w:right w:val="single" w:sz="6" w:space="0" w:color="FFFFFF"/>
        </w:pBdr>
        <w:ind w:firstLine="720"/>
        <w:rPr>
          <w:color w:val="000000"/>
        </w:rPr>
      </w:pPr>
    </w:p>
    <w:p w14:paraId="77E201FC" w14:textId="77777777" w:rsidR="00326FDF" w:rsidRDefault="00326FDF" w:rsidP="004962EC">
      <w:pPr>
        <w:pBdr>
          <w:top w:val="single" w:sz="6" w:space="0" w:color="FFFFFF"/>
          <w:left w:val="single" w:sz="6" w:space="0" w:color="FFFFFF"/>
          <w:bottom w:val="single" w:sz="6" w:space="0" w:color="FFFFFF"/>
          <w:right w:val="single" w:sz="6" w:space="0" w:color="FFFFFF"/>
        </w:pBdr>
        <w:ind w:firstLine="720"/>
        <w:rPr>
          <w:color w:val="000000"/>
        </w:rPr>
      </w:pPr>
    </w:p>
    <w:p w14:paraId="1C395703" w14:textId="25B3A587" w:rsidR="004962EC" w:rsidRDefault="00D64CD1" w:rsidP="004962E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w:t>
      </w:r>
    </w:p>
    <w:p w14:paraId="5ECBD319" w14:textId="77777777" w:rsidR="004962EC" w:rsidRDefault="004962EC" w:rsidP="004962EC">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61"/>
        <w:gridCol w:w="1536"/>
        <w:gridCol w:w="1344"/>
        <w:gridCol w:w="2008"/>
        <w:gridCol w:w="1800"/>
        <w:gridCol w:w="1710"/>
      </w:tblGrid>
      <w:tr w:rsidR="004962EC" w:rsidRPr="003F27F5" w14:paraId="39A59AE1" w14:textId="77777777" w:rsidTr="003F27F5">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4C6E4B16" w14:textId="77777777" w:rsidR="004962EC" w:rsidRPr="003F27F5" w:rsidRDefault="004962EC" w:rsidP="00F55037">
            <w:pPr>
              <w:spacing w:line="120" w:lineRule="exact"/>
              <w:rPr>
                <w:b/>
                <w:color w:val="000000"/>
                <w:sz w:val="20"/>
                <w:szCs w:val="20"/>
              </w:rPr>
            </w:pPr>
          </w:p>
          <w:p w14:paraId="3E435F23" w14:textId="77777777" w:rsidR="004962EC" w:rsidRPr="003F27F5" w:rsidRDefault="004962EC" w:rsidP="00F55037">
            <w:pPr>
              <w:pBdr>
                <w:top w:val="single" w:sz="6" w:space="0" w:color="FFFFFF"/>
                <w:left w:val="single" w:sz="6" w:space="0" w:color="FFFFFF"/>
                <w:bottom w:val="single" w:sz="6" w:space="0" w:color="FFFFFF"/>
                <w:right w:val="single" w:sz="6" w:space="0" w:color="FFFFFF"/>
              </w:pBdr>
              <w:spacing w:after="52"/>
              <w:jc w:val="center"/>
              <w:rPr>
                <w:b/>
                <w:bCs/>
                <w:color w:val="000000"/>
                <w:sz w:val="20"/>
                <w:szCs w:val="20"/>
              </w:rPr>
            </w:pPr>
            <w:r w:rsidRPr="003F27F5">
              <w:rPr>
                <w:b/>
                <w:bCs/>
                <w:color w:val="000000"/>
                <w:sz w:val="20"/>
                <w:szCs w:val="20"/>
              </w:rPr>
              <w:t>Number of Respondents</w:t>
            </w:r>
          </w:p>
        </w:tc>
      </w:tr>
      <w:tr w:rsidR="004962EC" w:rsidRPr="003F27F5" w14:paraId="5D37743C" w14:textId="77777777" w:rsidTr="008D5991">
        <w:tc>
          <w:tcPr>
            <w:tcW w:w="961" w:type="dxa"/>
            <w:tcBorders>
              <w:top w:val="single" w:sz="7" w:space="0" w:color="000000"/>
              <w:left w:val="single" w:sz="7" w:space="0" w:color="000000"/>
              <w:bottom w:val="single" w:sz="4" w:space="0" w:color="auto"/>
              <w:right w:val="single" w:sz="6" w:space="0" w:color="FFFFFF"/>
            </w:tcBorders>
          </w:tcPr>
          <w:p w14:paraId="2133896D" w14:textId="77777777" w:rsidR="004962EC" w:rsidRPr="003F27F5" w:rsidRDefault="004962EC" w:rsidP="00F55037">
            <w:pPr>
              <w:spacing w:line="120" w:lineRule="exact"/>
              <w:rPr>
                <w:b/>
                <w:bCs/>
                <w:color w:val="000000"/>
                <w:sz w:val="20"/>
                <w:szCs w:val="20"/>
              </w:rPr>
            </w:pPr>
          </w:p>
          <w:p w14:paraId="512BCC59" w14:textId="77777777" w:rsidR="004962EC" w:rsidRPr="003F27F5" w:rsidRDefault="004962EC" w:rsidP="00F55037">
            <w:pPr>
              <w:pBdr>
                <w:top w:val="single" w:sz="6" w:space="0" w:color="FFFFFF"/>
                <w:left w:val="single" w:sz="6" w:space="0" w:color="FFFFFF"/>
                <w:bottom w:val="single" w:sz="6" w:space="0" w:color="FFFFFF"/>
                <w:right w:val="single" w:sz="6" w:space="0" w:color="FFFFFF"/>
              </w:pBdr>
              <w:spacing w:after="52"/>
              <w:rPr>
                <w:b/>
                <w:color w:val="000000"/>
                <w:sz w:val="20"/>
                <w:szCs w:val="20"/>
              </w:rPr>
            </w:pPr>
          </w:p>
        </w:tc>
        <w:tc>
          <w:tcPr>
            <w:tcW w:w="2880" w:type="dxa"/>
            <w:gridSpan w:val="2"/>
            <w:tcBorders>
              <w:top w:val="single" w:sz="7" w:space="0" w:color="000000"/>
              <w:left w:val="single" w:sz="7" w:space="0" w:color="000000"/>
              <w:bottom w:val="single" w:sz="4" w:space="0" w:color="auto"/>
              <w:right w:val="single" w:sz="6" w:space="0" w:color="FFFFFF"/>
            </w:tcBorders>
          </w:tcPr>
          <w:p w14:paraId="184B638D" w14:textId="77777777" w:rsidR="004962EC" w:rsidRPr="003F27F5" w:rsidRDefault="004962EC" w:rsidP="003F27F5">
            <w:pPr>
              <w:spacing w:line="120" w:lineRule="exact"/>
              <w:jc w:val="center"/>
              <w:rPr>
                <w:b/>
                <w:color w:val="000000"/>
                <w:sz w:val="20"/>
                <w:szCs w:val="20"/>
              </w:rPr>
            </w:pPr>
          </w:p>
          <w:p w14:paraId="1F36DD4F" w14:textId="77777777" w:rsidR="004962EC" w:rsidRPr="003F27F5" w:rsidRDefault="004962EC" w:rsidP="003F27F5">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3F27F5">
              <w:rPr>
                <w:b/>
                <w:color w:val="000000"/>
                <w:sz w:val="20"/>
                <w:szCs w:val="20"/>
              </w:rPr>
              <w:t>Respondents That Submit Reports</w:t>
            </w:r>
          </w:p>
        </w:tc>
        <w:tc>
          <w:tcPr>
            <w:tcW w:w="2008" w:type="dxa"/>
            <w:tcBorders>
              <w:top w:val="single" w:sz="7" w:space="0" w:color="000000"/>
              <w:left w:val="single" w:sz="7" w:space="0" w:color="000000"/>
              <w:bottom w:val="single" w:sz="4" w:space="0" w:color="auto"/>
              <w:right w:val="single" w:sz="6" w:space="0" w:color="FFFFFF"/>
            </w:tcBorders>
          </w:tcPr>
          <w:p w14:paraId="16D4E54F" w14:textId="77777777" w:rsidR="004962EC" w:rsidRPr="003F27F5" w:rsidRDefault="004962EC" w:rsidP="003F27F5">
            <w:pPr>
              <w:spacing w:line="120" w:lineRule="exact"/>
              <w:jc w:val="center"/>
              <w:rPr>
                <w:b/>
                <w:color w:val="000000"/>
                <w:sz w:val="20"/>
                <w:szCs w:val="20"/>
              </w:rPr>
            </w:pPr>
          </w:p>
          <w:p w14:paraId="006DD7BA" w14:textId="77777777" w:rsidR="004962EC" w:rsidRPr="003F27F5" w:rsidRDefault="004962EC" w:rsidP="003F27F5">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3F27F5">
              <w:rPr>
                <w:b/>
                <w:color w:val="000000"/>
                <w:sz w:val="20"/>
                <w:szCs w:val="20"/>
              </w:rPr>
              <w:t>Respondents That Do Not Submit Any Reports</w:t>
            </w:r>
          </w:p>
        </w:tc>
        <w:tc>
          <w:tcPr>
            <w:tcW w:w="3510" w:type="dxa"/>
            <w:gridSpan w:val="2"/>
            <w:tcBorders>
              <w:top w:val="single" w:sz="7" w:space="0" w:color="000000"/>
              <w:left w:val="single" w:sz="7" w:space="0" w:color="000000"/>
              <w:bottom w:val="single" w:sz="4" w:space="0" w:color="auto"/>
              <w:right w:val="single" w:sz="7" w:space="0" w:color="000000"/>
            </w:tcBorders>
          </w:tcPr>
          <w:p w14:paraId="10F9ADC0" w14:textId="77777777" w:rsidR="004962EC" w:rsidRPr="003F27F5" w:rsidRDefault="004962EC" w:rsidP="003F27F5">
            <w:pPr>
              <w:spacing w:line="120" w:lineRule="exact"/>
              <w:jc w:val="center"/>
              <w:rPr>
                <w:b/>
                <w:color w:val="000000"/>
                <w:sz w:val="20"/>
                <w:szCs w:val="20"/>
              </w:rPr>
            </w:pPr>
          </w:p>
          <w:p w14:paraId="558B548C" w14:textId="77777777" w:rsidR="004962EC" w:rsidRPr="003F27F5" w:rsidRDefault="004962EC" w:rsidP="003F27F5">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p>
        </w:tc>
      </w:tr>
      <w:tr w:rsidR="004962EC" w:rsidRPr="003F27F5" w14:paraId="62AA8216" w14:textId="77777777" w:rsidTr="008D5991">
        <w:tc>
          <w:tcPr>
            <w:tcW w:w="961" w:type="dxa"/>
            <w:tcBorders>
              <w:top w:val="single" w:sz="4" w:space="0" w:color="auto"/>
              <w:left w:val="single" w:sz="4" w:space="0" w:color="auto"/>
              <w:bottom w:val="single" w:sz="4" w:space="0" w:color="auto"/>
              <w:right w:val="single" w:sz="4" w:space="0" w:color="auto"/>
            </w:tcBorders>
          </w:tcPr>
          <w:p w14:paraId="3372FD36" w14:textId="77777777" w:rsidR="004962EC" w:rsidRPr="003F27F5" w:rsidRDefault="004962EC" w:rsidP="00F55037">
            <w:pPr>
              <w:spacing w:line="120" w:lineRule="exact"/>
              <w:rPr>
                <w:b/>
                <w:color w:val="000000"/>
                <w:sz w:val="20"/>
                <w:szCs w:val="20"/>
              </w:rPr>
            </w:pPr>
          </w:p>
          <w:p w14:paraId="5D68CB2B" w14:textId="77777777" w:rsidR="004962EC" w:rsidRPr="003F27F5" w:rsidRDefault="004962EC" w:rsidP="00F55037">
            <w:pPr>
              <w:pBdr>
                <w:top w:val="single" w:sz="6" w:space="0" w:color="FFFFFF"/>
                <w:left w:val="single" w:sz="6" w:space="0" w:color="FFFFFF"/>
                <w:bottom w:val="single" w:sz="6" w:space="0" w:color="FFFFFF"/>
                <w:right w:val="single" w:sz="6" w:space="0" w:color="FFFFFF"/>
              </w:pBdr>
              <w:rPr>
                <w:b/>
                <w:color w:val="000000"/>
                <w:sz w:val="20"/>
                <w:szCs w:val="20"/>
              </w:rPr>
            </w:pPr>
          </w:p>
          <w:p w14:paraId="18472690" w14:textId="77777777" w:rsidR="004962EC" w:rsidRPr="003F27F5" w:rsidRDefault="004962EC" w:rsidP="00F55037">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3F27F5">
              <w:rPr>
                <w:b/>
                <w:color w:val="000000"/>
                <w:sz w:val="20"/>
                <w:szCs w:val="20"/>
              </w:rPr>
              <w:t>Year</w:t>
            </w:r>
          </w:p>
        </w:tc>
        <w:tc>
          <w:tcPr>
            <w:tcW w:w="1536" w:type="dxa"/>
            <w:tcBorders>
              <w:top w:val="single" w:sz="4" w:space="0" w:color="auto"/>
              <w:left w:val="single" w:sz="4" w:space="0" w:color="auto"/>
              <w:bottom w:val="single" w:sz="4" w:space="0" w:color="auto"/>
              <w:right w:val="single" w:sz="4" w:space="0" w:color="auto"/>
            </w:tcBorders>
          </w:tcPr>
          <w:p w14:paraId="7C9F120A" w14:textId="77777777" w:rsidR="004962EC" w:rsidRPr="003F27F5" w:rsidRDefault="004962EC" w:rsidP="003F27F5">
            <w:pPr>
              <w:spacing w:line="120" w:lineRule="exact"/>
              <w:jc w:val="center"/>
              <w:rPr>
                <w:b/>
                <w:color w:val="000000"/>
                <w:sz w:val="20"/>
                <w:szCs w:val="20"/>
              </w:rPr>
            </w:pPr>
          </w:p>
          <w:p w14:paraId="7D83FE84" w14:textId="77777777" w:rsidR="004962EC" w:rsidRPr="003F27F5" w:rsidRDefault="004962EC" w:rsidP="003F27F5">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3F27F5">
              <w:rPr>
                <w:b/>
                <w:color w:val="000000"/>
                <w:sz w:val="20"/>
                <w:szCs w:val="20"/>
              </w:rPr>
              <w:t>(A)</w:t>
            </w:r>
          </w:p>
          <w:p w14:paraId="4BC81BF1" w14:textId="30A3A830" w:rsidR="004962EC" w:rsidRPr="003F27F5" w:rsidRDefault="004962EC" w:rsidP="003F27F5">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3F27F5">
              <w:rPr>
                <w:b/>
                <w:color w:val="000000"/>
                <w:sz w:val="20"/>
                <w:szCs w:val="20"/>
              </w:rPr>
              <w:t xml:space="preserve">Number of New Respondents </w:t>
            </w:r>
            <w:r w:rsidR="005312F8">
              <w:rPr>
                <w:b/>
                <w:color w:val="000000"/>
                <w:sz w:val="20"/>
                <w:szCs w:val="20"/>
                <w:vertAlign w:val="superscript"/>
              </w:rPr>
              <w:t>a</w:t>
            </w:r>
          </w:p>
        </w:tc>
        <w:tc>
          <w:tcPr>
            <w:tcW w:w="1344" w:type="dxa"/>
            <w:tcBorders>
              <w:top w:val="single" w:sz="4" w:space="0" w:color="auto"/>
              <w:left w:val="single" w:sz="4" w:space="0" w:color="auto"/>
              <w:bottom w:val="single" w:sz="4" w:space="0" w:color="auto"/>
              <w:right w:val="single" w:sz="4" w:space="0" w:color="auto"/>
            </w:tcBorders>
          </w:tcPr>
          <w:p w14:paraId="56E4CE7B" w14:textId="77777777" w:rsidR="004962EC" w:rsidRPr="003F27F5" w:rsidRDefault="004962EC" w:rsidP="003F27F5">
            <w:pPr>
              <w:spacing w:line="120" w:lineRule="exact"/>
              <w:jc w:val="center"/>
              <w:rPr>
                <w:b/>
                <w:color w:val="000000"/>
                <w:sz w:val="20"/>
                <w:szCs w:val="20"/>
              </w:rPr>
            </w:pPr>
          </w:p>
          <w:p w14:paraId="22D22E09" w14:textId="77777777" w:rsidR="004962EC" w:rsidRPr="003F27F5" w:rsidRDefault="004962EC" w:rsidP="003F27F5">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3F27F5">
              <w:rPr>
                <w:b/>
                <w:color w:val="000000"/>
                <w:sz w:val="20"/>
                <w:szCs w:val="20"/>
              </w:rPr>
              <w:t>(B)</w:t>
            </w:r>
          </w:p>
          <w:p w14:paraId="743CD194" w14:textId="77777777" w:rsidR="004962EC" w:rsidRPr="003F27F5" w:rsidRDefault="004962EC" w:rsidP="003F27F5">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3F27F5">
              <w:rPr>
                <w:b/>
                <w:color w:val="000000"/>
                <w:sz w:val="20"/>
                <w:szCs w:val="20"/>
              </w:rPr>
              <w:t>Number of Existing Respondents</w:t>
            </w:r>
          </w:p>
        </w:tc>
        <w:tc>
          <w:tcPr>
            <w:tcW w:w="2008" w:type="dxa"/>
            <w:tcBorders>
              <w:top w:val="single" w:sz="4" w:space="0" w:color="auto"/>
              <w:left w:val="single" w:sz="4" w:space="0" w:color="auto"/>
              <w:bottom w:val="single" w:sz="4" w:space="0" w:color="auto"/>
              <w:right w:val="single" w:sz="4" w:space="0" w:color="auto"/>
            </w:tcBorders>
          </w:tcPr>
          <w:p w14:paraId="5C411173" w14:textId="77777777" w:rsidR="004962EC" w:rsidRPr="003F27F5" w:rsidRDefault="004962EC" w:rsidP="003F27F5">
            <w:pPr>
              <w:spacing w:line="120" w:lineRule="exact"/>
              <w:jc w:val="center"/>
              <w:rPr>
                <w:b/>
                <w:color w:val="000000"/>
                <w:sz w:val="20"/>
                <w:szCs w:val="20"/>
              </w:rPr>
            </w:pPr>
          </w:p>
          <w:p w14:paraId="47475E31" w14:textId="77777777" w:rsidR="004962EC" w:rsidRPr="003F27F5" w:rsidRDefault="004962EC" w:rsidP="003F27F5">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3F27F5">
              <w:rPr>
                <w:b/>
                <w:color w:val="000000"/>
                <w:sz w:val="20"/>
                <w:szCs w:val="20"/>
              </w:rPr>
              <w:t>(C)</w:t>
            </w:r>
          </w:p>
          <w:p w14:paraId="17F5497B" w14:textId="22986758" w:rsidR="004962EC" w:rsidRPr="003F27F5" w:rsidRDefault="004962EC" w:rsidP="003F27F5">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3F27F5">
              <w:rPr>
                <w:b/>
                <w:color w:val="000000"/>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tcPr>
          <w:p w14:paraId="3810B8B2" w14:textId="77777777" w:rsidR="004962EC" w:rsidRPr="003F27F5" w:rsidRDefault="004962EC" w:rsidP="003F27F5">
            <w:pPr>
              <w:spacing w:line="120" w:lineRule="exact"/>
              <w:jc w:val="center"/>
              <w:rPr>
                <w:b/>
                <w:color w:val="000000"/>
                <w:sz w:val="20"/>
                <w:szCs w:val="20"/>
              </w:rPr>
            </w:pPr>
          </w:p>
          <w:p w14:paraId="748A434D" w14:textId="77777777" w:rsidR="004962EC" w:rsidRPr="003F27F5" w:rsidRDefault="004962EC" w:rsidP="003F27F5">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3F27F5">
              <w:rPr>
                <w:b/>
                <w:color w:val="000000"/>
                <w:sz w:val="20"/>
                <w:szCs w:val="20"/>
              </w:rPr>
              <w:t>(D)</w:t>
            </w:r>
          </w:p>
          <w:p w14:paraId="7744DB7A" w14:textId="77777777" w:rsidR="004962EC" w:rsidRPr="003F27F5" w:rsidRDefault="004962EC" w:rsidP="003F27F5">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3F27F5">
              <w:rPr>
                <w:b/>
                <w:color w:val="000000"/>
                <w:sz w:val="20"/>
                <w:szCs w:val="20"/>
              </w:rPr>
              <w:t>Number of Existing Respondents That Are Also New Respondents</w:t>
            </w:r>
          </w:p>
        </w:tc>
        <w:tc>
          <w:tcPr>
            <w:tcW w:w="1710" w:type="dxa"/>
            <w:tcBorders>
              <w:top w:val="single" w:sz="4" w:space="0" w:color="auto"/>
              <w:left w:val="single" w:sz="4" w:space="0" w:color="auto"/>
              <w:bottom w:val="single" w:sz="4" w:space="0" w:color="auto"/>
              <w:right w:val="single" w:sz="4" w:space="0" w:color="auto"/>
            </w:tcBorders>
          </w:tcPr>
          <w:p w14:paraId="27A4D6ED" w14:textId="77777777" w:rsidR="004962EC" w:rsidRPr="003F27F5" w:rsidRDefault="004962EC" w:rsidP="003F27F5">
            <w:pPr>
              <w:spacing w:line="120" w:lineRule="exact"/>
              <w:jc w:val="center"/>
              <w:rPr>
                <w:b/>
                <w:color w:val="000000"/>
                <w:sz w:val="20"/>
                <w:szCs w:val="20"/>
              </w:rPr>
            </w:pPr>
          </w:p>
          <w:p w14:paraId="79D60275" w14:textId="77777777" w:rsidR="004962EC" w:rsidRPr="003F27F5" w:rsidRDefault="004962EC" w:rsidP="003F27F5">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3F27F5">
              <w:rPr>
                <w:b/>
                <w:color w:val="000000"/>
                <w:sz w:val="20"/>
                <w:szCs w:val="20"/>
              </w:rPr>
              <w:t>(E)</w:t>
            </w:r>
          </w:p>
          <w:p w14:paraId="222943D5" w14:textId="77777777" w:rsidR="004962EC" w:rsidRPr="003F27F5" w:rsidRDefault="004962EC" w:rsidP="003F27F5">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3F27F5">
              <w:rPr>
                <w:b/>
                <w:color w:val="000000"/>
                <w:sz w:val="20"/>
                <w:szCs w:val="20"/>
              </w:rPr>
              <w:t>Number of Respondents</w:t>
            </w:r>
          </w:p>
          <w:p w14:paraId="241C09A3" w14:textId="77777777" w:rsidR="004962EC" w:rsidRPr="003F27F5" w:rsidRDefault="004962EC" w:rsidP="003F27F5">
            <w:pPr>
              <w:pBdr>
                <w:top w:val="single" w:sz="6" w:space="0" w:color="FFFFFF"/>
                <w:left w:val="single" w:sz="6" w:space="0" w:color="FFFFFF"/>
                <w:bottom w:val="single" w:sz="6" w:space="0" w:color="FFFFFF"/>
                <w:right w:val="single" w:sz="6" w:space="0" w:color="FFFFFF"/>
              </w:pBdr>
              <w:spacing w:after="52"/>
              <w:jc w:val="center"/>
              <w:rPr>
                <w:b/>
                <w:color w:val="000000"/>
                <w:sz w:val="20"/>
                <w:szCs w:val="20"/>
              </w:rPr>
            </w:pPr>
            <w:r w:rsidRPr="003F27F5">
              <w:rPr>
                <w:b/>
                <w:color w:val="000000"/>
                <w:sz w:val="20"/>
                <w:szCs w:val="20"/>
              </w:rPr>
              <w:t>(E=A+B+C-D)</w:t>
            </w:r>
          </w:p>
        </w:tc>
      </w:tr>
      <w:tr w:rsidR="004962EC" w:rsidRPr="003F27F5" w14:paraId="060FDB75" w14:textId="77777777" w:rsidTr="008D5991">
        <w:tc>
          <w:tcPr>
            <w:tcW w:w="961" w:type="dxa"/>
            <w:tcBorders>
              <w:top w:val="single" w:sz="4" w:space="0" w:color="auto"/>
              <w:left w:val="single" w:sz="8" w:space="0" w:color="000000"/>
              <w:bottom w:val="single" w:sz="6" w:space="0" w:color="000000"/>
              <w:right w:val="single" w:sz="6" w:space="0" w:color="000000"/>
            </w:tcBorders>
          </w:tcPr>
          <w:p w14:paraId="424D77F5" w14:textId="77777777" w:rsidR="004962EC" w:rsidRPr="003F27F5" w:rsidRDefault="004962EC" w:rsidP="00F55037">
            <w:pPr>
              <w:spacing w:line="120" w:lineRule="exact"/>
              <w:rPr>
                <w:color w:val="000000"/>
                <w:sz w:val="20"/>
                <w:szCs w:val="20"/>
              </w:rPr>
            </w:pPr>
          </w:p>
          <w:p w14:paraId="30FFD669" w14:textId="77777777" w:rsidR="004962EC" w:rsidRPr="003F27F5" w:rsidRDefault="004962EC" w:rsidP="00F5503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3F27F5">
              <w:rPr>
                <w:color w:val="000000"/>
                <w:sz w:val="20"/>
                <w:szCs w:val="20"/>
              </w:rPr>
              <w:t>1</w:t>
            </w:r>
          </w:p>
        </w:tc>
        <w:tc>
          <w:tcPr>
            <w:tcW w:w="1536" w:type="dxa"/>
            <w:tcBorders>
              <w:top w:val="single" w:sz="4" w:space="0" w:color="auto"/>
              <w:left w:val="single" w:sz="6" w:space="0" w:color="000000"/>
              <w:bottom w:val="single" w:sz="6" w:space="0" w:color="000000"/>
              <w:right w:val="single" w:sz="6" w:space="0" w:color="000000"/>
            </w:tcBorders>
          </w:tcPr>
          <w:p w14:paraId="61D13CE7" w14:textId="77777777" w:rsidR="004962EC" w:rsidRPr="003F27F5" w:rsidRDefault="004962EC" w:rsidP="00F55037">
            <w:pPr>
              <w:spacing w:line="120" w:lineRule="exact"/>
              <w:rPr>
                <w:sz w:val="20"/>
                <w:szCs w:val="20"/>
              </w:rPr>
            </w:pPr>
          </w:p>
          <w:p w14:paraId="331A640D" w14:textId="7FF5D52A" w:rsidR="004962EC" w:rsidRPr="003F27F5" w:rsidRDefault="003F27F5" w:rsidP="00F55037">
            <w:pPr>
              <w:pBdr>
                <w:top w:val="single" w:sz="6" w:space="0" w:color="FFFFFF"/>
                <w:left w:val="single" w:sz="6" w:space="0" w:color="FFFFFF"/>
                <w:bottom w:val="single" w:sz="6" w:space="0" w:color="FFFFFF"/>
                <w:right w:val="single" w:sz="6" w:space="0" w:color="FFFFFF"/>
              </w:pBdr>
              <w:spacing w:after="52"/>
              <w:jc w:val="center"/>
              <w:rPr>
                <w:sz w:val="20"/>
                <w:szCs w:val="20"/>
              </w:rPr>
            </w:pPr>
            <w:r w:rsidRPr="003F27F5">
              <w:rPr>
                <w:sz w:val="20"/>
                <w:szCs w:val="20"/>
              </w:rPr>
              <w:t>1</w:t>
            </w:r>
          </w:p>
        </w:tc>
        <w:tc>
          <w:tcPr>
            <w:tcW w:w="1344" w:type="dxa"/>
            <w:tcBorders>
              <w:top w:val="single" w:sz="4" w:space="0" w:color="auto"/>
              <w:left w:val="single" w:sz="6" w:space="0" w:color="000000"/>
              <w:bottom w:val="single" w:sz="6" w:space="0" w:color="000000"/>
              <w:right w:val="single" w:sz="6" w:space="0" w:color="000000"/>
            </w:tcBorders>
          </w:tcPr>
          <w:p w14:paraId="167D2369" w14:textId="77777777" w:rsidR="004962EC" w:rsidRPr="003F27F5" w:rsidRDefault="004962EC" w:rsidP="00F55037">
            <w:pPr>
              <w:spacing w:line="120" w:lineRule="exact"/>
              <w:rPr>
                <w:sz w:val="20"/>
                <w:szCs w:val="20"/>
              </w:rPr>
            </w:pPr>
          </w:p>
          <w:p w14:paraId="59C44112" w14:textId="43DF9363" w:rsidR="004962EC" w:rsidRPr="003F27F5" w:rsidRDefault="003F27F5" w:rsidP="00F55037">
            <w:pPr>
              <w:pBdr>
                <w:top w:val="single" w:sz="6" w:space="0" w:color="FFFFFF"/>
                <w:left w:val="single" w:sz="6" w:space="0" w:color="FFFFFF"/>
                <w:bottom w:val="single" w:sz="6" w:space="0" w:color="FFFFFF"/>
                <w:right w:val="single" w:sz="6" w:space="0" w:color="FFFFFF"/>
              </w:pBdr>
              <w:spacing w:after="52"/>
              <w:jc w:val="center"/>
              <w:rPr>
                <w:sz w:val="20"/>
                <w:szCs w:val="20"/>
              </w:rPr>
            </w:pPr>
            <w:r w:rsidRPr="003F27F5">
              <w:rPr>
                <w:sz w:val="20"/>
                <w:szCs w:val="20"/>
              </w:rPr>
              <w:t>107</w:t>
            </w:r>
          </w:p>
        </w:tc>
        <w:tc>
          <w:tcPr>
            <w:tcW w:w="2008" w:type="dxa"/>
            <w:tcBorders>
              <w:top w:val="single" w:sz="4" w:space="0" w:color="auto"/>
              <w:left w:val="single" w:sz="6" w:space="0" w:color="000000"/>
              <w:bottom w:val="single" w:sz="6" w:space="0" w:color="000000"/>
              <w:right w:val="single" w:sz="6" w:space="0" w:color="000000"/>
            </w:tcBorders>
          </w:tcPr>
          <w:p w14:paraId="590125C8" w14:textId="77777777" w:rsidR="004962EC" w:rsidRPr="003F27F5" w:rsidRDefault="004962EC" w:rsidP="00F55037">
            <w:pPr>
              <w:spacing w:line="120" w:lineRule="exact"/>
              <w:rPr>
                <w:sz w:val="20"/>
                <w:szCs w:val="20"/>
              </w:rPr>
            </w:pPr>
          </w:p>
          <w:p w14:paraId="1C13461F" w14:textId="77777777" w:rsidR="004962EC" w:rsidRPr="003F27F5" w:rsidRDefault="004962EC" w:rsidP="00F55037">
            <w:pPr>
              <w:pBdr>
                <w:top w:val="single" w:sz="6" w:space="0" w:color="FFFFFF"/>
                <w:left w:val="single" w:sz="6" w:space="0" w:color="FFFFFF"/>
                <w:bottom w:val="single" w:sz="6" w:space="0" w:color="FFFFFF"/>
                <w:right w:val="single" w:sz="6" w:space="0" w:color="FFFFFF"/>
              </w:pBdr>
              <w:spacing w:after="52"/>
              <w:jc w:val="center"/>
              <w:rPr>
                <w:sz w:val="20"/>
                <w:szCs w:val="20"/>
              </w:rPr>
            </w:pPr>
            <w:r w:rsidRPr="003F27F5">
              <w:rPr>
                <w:sz w:val="20"/>
                <w:szCs w:val="20"/>
              </w:rPr>
              <w:t>0</w:t>
            </w:r>
          </w:p>
        </w:tc>
        <w:tc>
          <w:tcPr>
            <w:tcW w:w="1800" w:type="dxa"/>
            <w:tcBorders>
              <w:top w:val="single" w:sz="4" w:space="0" w:color="auto"/>
              <w:left w:val="single" w:sz="6" w:space="0" w:color="000000"/>
              <w:bottom w:val="single" w:sz="6" w:space="0" w:color="000000"/>
              <w:right w:val="single" w:sz="6" w:space="0" w:color="000000"/>
            </w:tcBorders>
          </w:tcPr>
          <w:p w14:paraId="2A75CC49" w14:textId="77777777" w:rsidR="004962EC" w:rsidRPr="003F27F5" w:rsidRDefault="004962EC" w:rsidP="00F55037">
            <w:pPr>
              <w:spacing w:line="120" w:lineRule="exact"/>
              <w:rPr>
                <w:sz w:val="20"/>
                <w:szCs w:val="20"/>
              </w:rPr>
            </w:pPr>
          </w:p>
          <w:p w14:paraId="042AC8C4" w14:textId="5EDFCF87" w:rsidR="004962EC" w:rsidRPr="003F27F5" w:rsidRDefault="003F27F5" w:rsidP="00F55037">
            <w:pPr>
              <w:pBdr>
                <w:top w:val="single" w:sz="6" w:space="0" w:color="FFFFFF"/>
                <w:left w:val="single" w:sz="6" w:space="0" w:color="FFFFFF"/>
                <w:bottom w:val="single" w:sz="6" w:space="0" w:color="FFFFFF"/>
                <w:right w:val="single" w:sz="6" w:space="0" w:color="FFFFFF"/>
              </w:pBdr>
              <w:spacing w:after="52"/>
              <w:jc w:val="center"/>
              <w:rPr>
                <w:sz w:val="20"/>
                <w:szCs w:val="20"/>
              </w:rPr>
            </w:pPr>
            <w:r w:rsidRPr="003F27F5">
              <w:rPr>
                <w:sz w:val="20"/>
                <w:szCs w:val="20"/>
              </w:rPr>
              <w:t>1</w:t>
            </w:r>
          </w:p>
        </w:tc>
        <w:tc>
          <w:tcPr>
            <w:tcW w:w="1710" w:type="dxa"/>
            <w:tcBorders>
              <w:top w:val="single" w:sz="4" w:space="0" w:color="auto"/>
              <w:left w:val="single" w:sz="6" w:space="0" w:color="000000"/>
              <w:bottom w:val="single" w:sz="6" w:space="0" w:color="000000"/>
              <w:right w:val="single" w:sz="8" w:space="0" w:color="000000"/>
            </w:tcBorders>
          </w:tcPr>
          <w:p w14:paraId="7864BC2D" w14:textId="77777777" w:rsidR="004962EC" w:rsidRPr="003F27F5" w:rsidRDefault="004962EC" w:rsidP="00F55037">
            <w:pPr>
              <w:spacing w:line="120" w:lineRule="exact"/>
              <w:rPr>
                <w:sz w:val="20"/>
                <w:szCs w:val="20"/>
              </w:rPr>
            </w:pPr>
          </w:p>
          <w:p w14:paraId="4B93F44C" w14:textId="58C0C0E9" w:rsidR="004962EC" w:rsidRPr="003F27F5" w:rsidRDefault="003F27F5" w:rsidP="00F55037">
            <w:pPr>
              <w:pBdr>
                <w:top w:val="single" w:sz="6" w:space="0" w:color="FFFFFF"/>
                <w:left w:val="single" w:sz="6" w:space="0" w:color="FFFFFF"/>
                <w:bottom w:val="single" w:sz="6" w:space="0" w:color="FFFFFF"/>
                <w:right w:val="single" w:sz="6" w:space="0" w:color="FFFFFF"/>
              </w:pBdr>
              <w:spacing w:after="52"/>
              <w:jc w:val="center"/>
              <w:rPr>
                <w:sz w:val="20"/>
                <w:szCs w:val="20"/>
              </w:rPr>
            </w:pPr>
            <w:r w:rsidRPr="003F27F5">
              <w:rPr>
                <w:sz w:val="20"/>
                <w:szCs w:val="20"/>
              </w:rPr>
              <w:t>107</w:t>
            </w:r>
          </w:p>
        </w:tc>
      </w:tr>
      <w:tr w:rsidR="004962EC" w:rsidRPr="003F27F5" w14:paraId="6FA73B01" w14:textId="77777777" w:rsidTr="003F27F5">
        <w:tc>
          <w:tcPr>
            <w:tcW w:w="961" w:type="dxa"/>
            <w:tcBorders>
              <w:top w:val="single" w:sz="6" w:space="0" w:color="000000"/>
              <w:left w:val="single" w:sz="8" w:space="0" w:color="000000"/>
              <w:bottom w:val="single" w:sz="6" w:space="0" w:color="000000"/>
              <w:right w:val="single" w:sz="6" w:space="0" w:color="000000"/>
            </w:tcBorders>
          </w:tcPr>
          <w:p w14:paraId="2962D4CC" w14:textId="77777777" w:rsidR="004962EC" w:rsidRPr="003F27F5" w:rsidRDefault="004962EC" w:rsidP="00F55037">
            <w:pPr>
              <w:spacing w:line="120" w:lineRule="exact"/>
              <w:rPr>
                <w:color w:val="000000"/>
                <w:sz w:val="20"/>
                <w:szCs w:val="20"/>
              </w:rPr>
            </w:pPr>
          </w:p>
          <w:p w14:paraId="4F8A5FEA" w14:textId="77777777" w:rsidR="004962EC" w:rsidRPr="003F27F5" w:rsidRDefault="004962EC" w:rsidP="00F5503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3F27F5">
              <w:rPr>
                <w:color w:val="000000"/>
                <w:sz w:val="20"/>
                <w:szCs w:val="20"/>
              </w:rPr>
              <w:t>2</w:t>
            </w:r>
          </w:p>
        </w:tc>
        <w:tc>
          <w:tcPr>
            <w:tcW w:w="1536" w:type="dxa"/>
            <w:tcBorders>
              <w:top w:val="single" w:sz="6" w:space="0" w:color="000000"/>
              <w:left w:val="single" w:sz="6" w:space="0" w:color="000000"/>
              <w:bottom w:val="single" w:sz="6" w:space="0" w:color="000000"/>
              <w:right w:val="single" w:sz="6" w:space="0" w:color="000000"/>
            </w:tcBorders>
          </w:tcPr>
          <w:p w14:paraId="0A8E6AA1" w14:textId="77777777" w:rsidR="004962EC" w:rsidRPr="003F27F5" w:rsidRDefault="004962EC" w:rsidP="00F55037">
            <w:pPr>
              <w:spacing w:line="120" w:lineRule="exact"/>
              <w:rPr>
                <w:sz w:val="20"/>
                <w:szCs w:val="20"/>
              </w:rPr>
            </w:pPr>
          </w:p>
          <w:p w14:paraId="149D5511" w14:textId="30DB4448" w:rsidR="004962EC" w:rsidRPr="003F27F5" w:rsidRDefault="003F27F5" w:rsidP="00F55037">
            <w:pPr>
              <w:pBdr>
                <w:top w:val="single" w:sz="6" w:space="0" w:color="FFFFFF"/>
                <w:left w:val="single" w:sz="6" w:space="0" w:color="FFFFFF"/>
                <w:bottom w:val="single" w:sz="6" w:space="0" w:color="FFFFFF"/>
                <w:right w:val="single" w:sz="6" w:space="0" w:color="FFFFFF"/>
              </w:pBdr>
              <w:spacing w:after="52"/>
              <w:jc w:val="center"/>
              <w:rPr>
                <w:sz w:val="20"/>
                <w:szCs w:val="20"/>
              </w:rPr>
            </w:pPr>
            <w:r w:rsidRPr="003F27F5">
              <w:rPr>
                <w:sz w:val="20"/>
                <w:szCs w:val="20"/>
              </w:rPr>
              <w:t>1</w:t>
            </w:r>
          </w:p>
        </w:tc>
        <w:tc>
          <w:tcPr>
            <w:tcW w:w="1344" w:type="dxa"/>
            <w:tcBorders>
              <w:top w:val="single" w:sz="6" w:space="0" w:color="000000"/>
              <w:left w:val="single" w:sz="6" w:space="0" w:color="000000"/>
              <w:bottom w:val="single" w:sz="6" w:space="0" w:color="000000"/>
              <w:right w:val="single" w:sz="6" w:space="0" w:color="000000"/>
            </w:tcBorders>
          </w:tcPr>
          <w:p w14:paraId="72D537F4" w14:textId="77777777" w:rsidR="004962EC" w:rsidRPr="003F27F5" w:rsidRDefault="004962EC" w:rsidP="00F55037">
            <w:pPr>
              <w:spacing w:line="120" w:lineRule="exact"/>
              <w:rPr>
                <w:sz w:val="20"/>
                <w:szCs w:val="20"/>
              </w:rPr>
            </w:pPr>
          </w:p>
          <w:p w14:paraId="78D0701E" w14:textId="03C6099C" w:rsidR="004962EC" w:rsidRPr="003F27F5" w:rsidRDefault="003F27F5" w:rsidP="00F55037">
            <w:pPr>
              <w:pBdr>
                <w:top w:val="single" w:sz="6" w:space="0" w:color="FFFFFF"/>
                <w:left w:val="single" w:sz="6" w:space="0" w:color="FFFFFF"/>
                <w:bottom w:val="single" w:sz="6" w:space="0" w:color="FFFFFF"/>
                <w:right w:val="single" w:sz="6" w:space="0" w:color="FFFFFF"/>
              </w:pBdr>
              <w:spacing w:after="52"/>
              <w:jc w:val="center"/>
              <w:rPr>
                <w:sz w:val="20"/>
                <w:szCs w:val="20"/>
              </w:rPr>
            </w:pPr>
            <w:r w:rsidRPr="003F27F5">
              <w:rPr>
                <w:sz w:val="20"/>
                <w:szCs w:val="20"/>
              </w:rPr>
              <w:t>107</w:t>
            </w:r>
          </w:p>
        </w:tc>
        <w:tc>
          <w:tcPr>
            <w:tcW w:w="2008" w:type="dxa"/>
            <w:tcBorders>
              <w:top w:val="single" w:sz="6" w:space="0" w:color="000000"/>
              <w:left w:val="single" w:sz="6" w:space="0" w:color="000000"/>
              <w:bottom w:val="single" w:sz="6" w:space="0" w:color="000000"/>
              <w:right w:val="single" w:sz="6" w:space="0" w:color="000000"/>
            </w:tcBorders>
          </w:tcPr>
          <w:p w14:paraId="6F6A1F10" w14:textId="77777777" w:rsidR="004962EC" w:rsidRPr="003F27F5" w:rsidRDefault="004962EC" w:rsidP="00F55037">
            <w:pPr>
              <w:spacing w:line="120" w:lineRule="exact"/>
              <w:rPr>
                <w:sz w:val="20"/>
                <w:szCs w:val="20"/>
              </w:rPr>
            </w:pPr>
          </w:p>
          <w:p w14:paraId="5536A5DE" w14:textId="77777777" w:rsidR="004962EC" w:rsidRPr="003F27F5" w:rsidRDefault="004962EC" w:rsidP="00F55037">
            <w:pPr>
              <w:pBdr>
                <w:top w:val="single" w:sz="6" w:space="0" w:color="FFFFFF"/>
                <w:left w:val="single" w:sz="6" w:space="0" w:color="FFFFFF"/>
                <w:bottom w:val="single" w:sz="6" w:space="0" w:color="FFFFFF"/>
                <w:right w:val="single" w:sz="6" w:space="0" w:color="FFFFFF"/>
              </w:pBdr>
              <w:spacing w:after="52"/>
              <w:jc w:val="center"/>
              <w:rPr>
                <w:sz w:val="20"/>
                <w:szCs w:val="20"/>
              </w:rPr>
            </w:pPr>
            <w:r w:rsidRPr="003F27F5">
              <w:rPr>
                <w:sz w:val="20"/>
                <w:szCs w:val="20"/>
              </w:rPr>
              <w:t>0</w:t>
            </w:r>
          </w:p>
        </w:tc>
        <w:tc>
          <w:tcPr>
            <w:tcW w:w="1800" w:type="dxa"/>
            <w:tcBorders>
              <w:top w:val="single" w:sz="6" w:space="0" w:color="000000"/>
              <w:left w:val="single" w:sz="6" w:space="0" w:color="000000"/>
              <w:bottom w:val="single" w:sz="6" w:space="0" w:color="000000"/>
              <w:right w:val="single" w:sz="6" w:space="0" w:color="000000"/>
            </w:tcBorders>
          </w:tcPr>
          <w:p w14:paraId="2C8615A2" w14:textId="77777777" w:rsidR="004962EC" w:rsidRPr="003F27F5" w:rsidRDefault="004962EC" w:rsidP="00F55037">
            <w:pPr>
              <w:spacing w:line="120" w:lineRule="exact"/>
              <w:rPr>
                <w:sz w:val="20"/>
                <w:szCs w:val="20"/>
              </w:rPr>
            </w:pPr>
          </w:p>
          <w:p w14:paraId="2EF8B57B" w14:textId="0C0D5FE1" w:rsidR="004962EC" w:rsidRPr="003F27F5" w:rsidRDefault="003F27F5" w:rsidP="00F55037">
            <w:pPr>
              <w:pBdr>
                <w:top w:val="single" w:sz="6" w:space="0" w:color="FFFFFF"/>
                <w:left w:val="single" w:sz="6" w:space="0" w:color="FFFFFF"/>
                <w:bottom w:val="single" w:sz="6" w:space="0" w:color="FFFFFF"/>
                <w:right w:val="single" w:sz="6" w:space="0" w:color="FFFFFF"/>
              </w:pBdr>
              <w:spacing w:after="52"/>
              <w:jc w:val="center"/>
              <w:rPr>
                <w:sz w:val="20"/>
                <w:szCs w:val="20"/>
              </w:rPr>
            </w:pPr>
            <w:r w:rsidRPr="003F27F5">
              <w:rPr>
                <w:sz w:val="20"/>
                <w:szCs w:val="20"/>
              </w:rPr>
              <w:t>1</w:t>
            </w:r>
          </w:p>
        </w:tc>
        <w:tc>
          <w:tcPr>
            <w:tcW w:w="1710" w:type="dxa"/>
            <w:tcBorders>
              <w:top w:val="single" w:sz="6" w:space="0" w:color="000000"/>
              <w:left w:val="single" w:sz="6" w:space="0" w:color="000000"/>
              <w:bottom w:val="single" w:sz="6" w:space="0" w:color="000000"/>
              <w:right w:val="single" w:sz="8" w:space="0" w:color="000000"/>
            </w:tcBorders>
          </w:tcPr>
          <w:p w14:paraId="1656EA0E" w14:textId="77777777" w:rsidR="004962EC" w:rsidRPr="003F27F5" w:rsidRDefault="004962EC" w:rsidP="00F55037">
            <w:pPr>
              <w:spacing w:line="120" w:lineRule="exact"/>
              <w:rPr>
                <w:sz w:val="20"/>
                <w:szCs w:val="20"/>
              </w:rPr>
            </w:pPr>
          </w:p>
          <w:p w14:paraId="1F5DE1AC" w14:textId="4F2F968E" w:rsidR="004962EC" w:rsidRPr="003F27F5" w:rsidRDefault="003F27F5" w:rsidP="00F55037">
            <w:pPr>
              <w:pBdr>
                <w:top w:val="single" w:sz="6" w:space="0" w:color="FFFFFF"/>
                <w:left w:val="single" w:sz="6" w:space="0" w:color="FFFFFF"/>
                <w:bottom w:val="single" w:sz="6" w:space="0" w:color="FFFFFF"/>
                <w:right w:val="single" w:sz="6" w:space="0" w:color="FFFFFF"/>
              </w:pBdr>
              <w:spacing w:after="52"/>
              <w:jc w:val="center"/>
              <w:rPr>
                <w:sz w:val="20"/>
                <w:szCs w:val="20"/>
              </w:rPr>
            </w:pPr>
            <w:r w:rsidRPr="003F27F5">
              <w:rPr>
                <w:sz w:val="20"/>
                <w:szCs w:val="20"/>
              </w:rPr>
              <w:t>107</w:t>
            </w:r>
          </w:p>
        </w:tc>
      </w:tr>
      <w:tr w:rsidR="004962EC" w:rsidRPr="003F27F5" w14:paraId="3A1CF6FA" w14:textId="77777777" w:rsidTr="003F27F5">
        <w:tc>
          <w:tcPr>
            <w:tcW w:w="961" w:type="dxa"/>
            <w:tcBorders>
              <w:top w:val="single" w:sz="6" w:space="0" w:color="000000"/>
              <w:left w:val="single" w:sz="8" w:space="0" w:color="000000"/>
              <w:bottom w:val="single" w:sz="6" w:space="0" w:color="000000"/>
              <w:right w:val="single" w:sz="6" w:space="0" w:color="000000"/>
            </w:tcBorders>
          </w:tcPr>
          <w:p w14:paraId="7D8F860D" w14:textId="77777777" w:rsidR="004962EC" w:rsidRPr="003F27F5" w:rsidRDefault="004962EC" w:rsidP="00F55037">
            <w:pPr>
              <w:spacing w:line="120" w:lineRule="exact"/>
              <w:rPr>
                <w:color w:val="000000"/>
                <w:sz w:val="20"/>
                <w:szCs w:val="20"/>
              </w:rPr>
            </w:pPr>
          </w:p>
          <w:p w14:paraId="0616A81F" w14:textId="77777777" w:rsidR="004962EC" w:rsidRPr="003F27F5" w:rsidRDefault="004962EC" w:rsidP="00F55037">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3F27F5">
              <w:rPr>
                <w:color w:val="000000"/>
                <w:sz w:val="20"/>
                <w:szCs w:val="20"/>
              </w:rPr>
              <w:t>3</w:t>
            </w:r>
          </w:p>
        </w:tc>
        <w:tc>
          <w:tcPr>
            <w:tcW w:w="1536" w:type="dxa"/>
            <w:tcBorders>
              <w:top w:val="single" w:sz="6" w:space="0" w:color="000000"/>
              <w:left w:val="single" w:sz="6" w:space="0" w:color="000000"/>
              <w:bottom w:val="single" w:sz="6" w:space="0" w:color="000000"/>
              <w:right w:val="single" w:sz="6" w:space="0" w:color="000000"/>
            </w:tcBorders>
          </w:tcPr>
          <w:p w14:paraId="2E3C696E" w14:textId="77777777" w:rsidR="004962EC" w:rsidRPr="003F27F5" w:rsidRDefault="004962EC" w:rsidP="00F55037">
            <w:pPr>
              <w:spacing w:line="120" w:lineRule="exact"/>
              <w:rPr>
                <w:sz w:val="20"/>
                <w:szCs w:val="20"/>
              </w:rPr>
            </w:pPr>
          </w:p>
          <w:p w14:paraId="5EA57554" w14:textId="10EE637E" w:rsidR="004962EC" w:rsidRPr="003F27F5" w:rsidRDefault="003F27F5" w:rsidP="00F55037">
            <w:pPr>
              <w:pBdr>
                <w:top w:val="single" w:sz="6" w:space="0" w:color="FFFFFF"/>
                <w:left w:val="single" w:sz="6" w:space="0" w:color="FFFFFF"/>
                <w:bottom w:val="single" w:sz="6" w:space="0" w:color="FFFFFF"/>
                <w:right w:val="single" w:sz="6" w:space="0" w:color="FFFFFF"/>
              </w:pBdr>
              <w:spacing w:after="72"/>
              <w:jc w:val="center"/>
              <w:rPr>
                <w:sz w:val="20"/>
                <w:szCs w:val="20"/>
              </w:rPr>
            </w:pPr>
            <w:r w:rsidRPr="003F27F5">
              <w:rPr>
                <w:sz w:val="20"/>
                <w:szCs w:val="20"/>
              </w:rPr>
              <w:t>2</w:t>
            </w:r>
          </w:p>
        </w:tc>
        <w:tc>
          <w:tcPr>
            <w:tcW w:w="1344" w:type="dxa"/>
            <w:tcBorders>
              <w:top w:val="single" w:sz="6" w:space="0" w:color="000000"/>
              <w:left w:val="single" w:sz="6" w:space="0" w:color="000000"/>
              <w:bottom w:val="single" w:sz="6" w:space="0" w:color="000000"/>
              <w:right w:val="single" w:sz="6" w:space="0" w:color="000000"/>
            </w:tcBorders>
          </w:tcPr>
          <w:p w14:paraId="0C930597" w14:textId="77777777" w:rsidR="004962EC" w:rsidRPr="003F27F5" w:rsidRDefault="004962EC" w:rsidP="00F55037">
            <w:pPr>
              <w:spacing w:line="120" w:lineRule="exact"/>
              <w:rPr>
                <w:sz w:val="20"/>
                <w:szCs w:val="20"/>
              </w:rPr>
            </w:pPr>
          </w:p>
          <w:p w14:paraId="7F4A1ECF" w14:textId="54A951D2" w:rsidR="004962EC" w:rsidRPr="003F27F5" w:rsidRDefault="003F27F5" w:rsidP="00F55037">
            <w:pPr>
              <w:pBdr>
                <w:top w:val="single" w:sz="6" w:space="0" w:color="FFFFFF"/>
                <w:left w:val="single" w:sz="6" w:space="0" w:color="FFFFFF"/>
                <w:bottom w:val="single" w:sz="6" w:space="0" w:color="FFFFFF"/>
                <w:right w:val="single" w:sz="6" w:space="0" w:color="FFFFFF"/>
              </w:pBdr>
              <w:spacing w:after="72"/>
              <w:jc w:val="center"/>
              <w:rPr>
                <w:sz w:val="20"/>
                <w:szCs w:val="20"/>
              </w:rPr>
            </w:pPr>
            <w:r w:rsidRPr="003F27F5">
              <w:rPr>
                <w:sz w:val="20"/>
                <w:szCs w:val="20"/>
              </w:rPr>
              <w:t>107</w:t>
            </w:r>
          </w:p>
        </w:tc>
        <w:tc>
          <w:tcPr>
            <w:tcW w:w="2008" w:type="dxa"/>
            <w:tcBorders>
              <w:top w:val="single" w:sz="6" w:space="0" w:color="000000"/>
              <w:left w:val="single" w:sz="6" w:space="0" w:color="000000"/>
              <w:bottom w:val="single" w:sz="6" w:space="0" w:color="000000"/>
              <w:right w:val="single" w:sz="6" w:space="0" w:color="000000"/>
            </w:tcBorders>
          </w:tcPr>
          <w:p w14:paraId="598CEACD" w14:textId="77777777" w:rsidR="004962EC" w:rsidRPr="003F27F5" w:rsidRDefault="004962EC" w:rsidP="00F55037">
            <w:pPr>
              <w:spacing w:line="120" w:lineRule="exact"/>
              <w:rPr>
                <w:sz w:val="20"/>
                <w:szCs w:val="20"/>
              </w:rPr>
            </w:pPr>
          </w:p>
          <w:p w14:paraId="0E18A134" w14:textId="77777777" w:rsidR="004962EC" w:rsidRPr="003F27F5" w:rsidRDefault="004962EC" w:rsidP="00F55037">
            <w:pPr>
              <w:pBdr>
                <w:top w:val="single" w:sz="6" w:space="0" w:color="FFFFFF"/>
                <w:left w:val="single" w:sz="6" w:space="0" w:color="FFFFFF"/>
                <w:bottom w:val="single" w:sz="6" w:space="0" w:color="FFFFFF"/>
                <w:right w:val="single" w:sz="6" w:space="0" w:color="FFFFFF"/>
              </w:pBdr>
              <w:spacing w:after="72"/>
              <w:jc w:val="center"/>
              <w:rPr>
                <w:sz w:val="20"/>
                <w:szCs w:val="20"/>
              </w:rPr>
            </w:pPr>
            <w:r w:rsidRPr="003F27F5">
              <w:rPr>
                <w:sz w:val="20"/>
                <w:szCs w:val="20"/>
              </w:rPr>
              <w:t>0</w:t>
            </w:r>
          </w:p>
        </w:tc>
        <w:tc>
          <w:tcPr>
            <w:tcW w:w="1800" w:type="dxa"/>
            <w:tcBorders>
              <w:top w:val="single" w:sz="6" w:space="0" w:color="000000"/>
              <w:left w:val="single" w:sz="6" w:space="0" w:color="000000"/>
              <w:bottom w:val="single" w:sz="6" w:space="0" w:color="000000"/>
              <w:right w:val="single" w:sz="6" w:space="0" w:color="000000"/>
            </w:tcBorders>
          </w:tcPr>
          <w:p w14:paraId="61ECFC7D" w14:textId="77777777" w:rsidR="004962EC" w:rsidRPr="003F27F5" w:rsidRDefault="004962EC" w:rsidP="00F55037">
            <w:pPr>
              <w:spacing w:line="120" w:lineRule="exact"/>
              <w:rPr>
                <w:sz w:val="20"/>
                <w:szCs w:val="20"/>
              </w:rPr>
            </w:pPr>
          </w:p>
          <w:p w14:paraId="5B9F34E1" w14:textId="136B5D31" w:rsidR="004962EC" w:rsidRPr="003F27F5" w:rsidRDefault="003F27F5" w:rsidP="00F55037">
            <w:pPr>
              <w:pBdr>
                <w:top w:val="single" w:sz="6" w:space="0" w:color="FFFFFF"/>
                <w:left w:val="single" w:sz="6" w:space="0" w:color="FFFFFF"/>
                <w:bottom w:val="single" w:sz="6" w:space="0" w:color="FFFFFF"/>
                <w:right w:val="single" w:sz="6" w:space="0" w:color="FFFFFF"/>
              </w:pBdr>
              <w:spacing w:after="72"/>
              <w:jc w:val="center"/>
              <w:rPr>
                <w:sz w:val="20"/>
                <w:szCs w:val="20"/>
              </w:rPr>
            </w:pPr>
            <w:r w:rsidRPr="003F27F5">
              <w:rPr>
                <w:sz w:val="20"/>
                <w:szCs w:val="20"/>
              </w:rPr>
              <w:t>1</w:t>
            </w:r>
          </w:p>
        </w:tc>
        <w:tc>
          <w:tcPr>
            <w:tcW w:w="1710" w:type="dxa"/>
            <w:tcBorders>
              <w:top w:val="single" w:sz="6" w:space="0" w:color="000000"/>
              <w:left w:val="single" w:sz="6" w:space="0" w:color="000000"/>
              <w:bottom w:val="single" w:sz="6" w:space="0" w:color="000000"/>
              <w:right w:val="single" w:sz="8" w:space="0" w:color="000000"/>
            </w:tcBorders>
          </w:tcPr>
          <w:p w14:paraId="05BC840B" w14:textId="77777777" w:rsidR="004962EC" w:rsidRPr="003F27F5" w:rsidRDefault="004962EC" w:rsidP="00F55037">
            <w:pPr>
              <w:spacing w:line="120" w:lineRule="exact"/>
              <w:rPr>
                <w:sz w:val="20"/>
                <w:szCs w:val="20"/>
              </w:rPr>
            </w:pPr>
          </w:p>
          <w:p w14:paraId="2C22477B" w14:textId="3A689F96" w:rsidR="004962EC" w:rsidRPr="003F27F5" w:rsidRDefault="003F27F5" w:rsidP="00F55037">
            <w:pPr>
              <w:pBdr>
                <w:top w:val="single" w:sz="6" w:space="0" w:color="FFFFFF"/>
                <w:left w:val="single" w:sz="6" w:space="0" w:color="FFFFFF"/>
                <w:bottom w:val="single" w:sz="6" w:space="0" w:color="FFFFFF"/>
                <w:right w:val="single" w:sz="6" w:space="0" w:color="FFFFFF"/>
              </w:pBdr>
              <w:spacing w:after="72"/>
              <w:jc w:val="center"/>
              <w:rPr>
                <w:sz w:val="20"/>
                <w:szCs w:val="20"/>
              </w:rPr>
            </w:pPr>
            <w:r w:rsidRPr="003F27F5">
              <w:rPr>
                <w:sz w:val="20"/>
                <w:szCs w:val="20"/>
              </w:rPr>
              <w:t>108</w:t>
            </w:r>
          </w:p>
        </w:tc>
      </w:tr>
      <w:tr w:rsidR="004962EC" w:rsidRPr="003F27F5" w14:paraId="44F87CE2" w14:textId="77777777" w:rsidTr="003F27F5">
        <w:tc>
          <w:tcPr>
            <w:tcW w:w="961" w:type="dxa"/>
            <w:tcBorders>
              <w:top w:val="single" w:sz="6" w:space="0" w:color="000000"/>
              <w:left w:val="single" w:sz="8" w:space="0" w:color="000000"/>
              <w:bottom w:val="single" w:sz="8" w:space="0" w:color="000000"/>
              <w:right w:val="single" w:sz="6" w:space="0" w:color="000000"/>
            </w:tcBorders>
          </w:tcPr>
          <w:p w14:paraId="043B9EA1" w14:textId="77777777" w:rsidR="004962EC" w:rsidRPr="003F27F5" w:rsidRDefault="004962EC" w:rsidP="00F55037">
            <w:pPr>
              <w:spacing w:line="120" w:lineRule="exact"/>
              <w:rPr>
                <w:b/>
                <w:color w:val="000000"/>
                <w:sz w:val="20"/>
                <w:szCs w:val="20"/>
              </w:rPr>
            </w:pPr>
          </w:p>
          <w:p w14:paraId="7E4136BD" w14:textId="77777777" w:rsidR="004962EC" w:rsidRPr="003F27F5" w:rsidRDefault="004962EC" w:rsidP="00F55037">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r w:rsidRPr="003F27F5">
              <w:rPr>
                <w:b/>
                <w:color w:val="000000"/>
                <w:sz w:val="20"/>
                <w:szCs w:val="20"/>
              </w:rPr>
              <w:t>Average</w:t>
            </w:r>
          </w:p>
        </w:tc>
        <w:tc>
          <w:tcPr>
            <w:tcW w:w="1536" w:type="dxa"/>
            <w:tcBorders>
              <w:top w:val="single" w:sz="6" w:space="0" w:color="000000"/>
              <w:left w:val="single" w:sz="6" w:space="0" w:color="000000"/>
              <w:bottom w:val="single" w:sz="8" w:space="0" w:color="000000"/>
              <w:right w:val="single" w:sz="6" w:space="0" w:color="000000"/>
            </w:tcBorders>
          </w:tcPr>
          <w:p w14:paraId="26DDEFF7" w14:textId="77777777" w:rsidR="004962EC" w:rsidRPr="003F27F5" w:rsidRDefault="004962EC" w:rsidP="00F55037">
            <w:pPr>
              <w:spacing w:line="120" w:lineRule="exact"/>
              <w:rPr>
                <w:b/>
                <w:sz w:val="20"/>
                <w:szCs w:val="20"/>
              </w:rPr>
            </w:pPr>
          </w:p>
          <w:p w14:paraId="2B4BA196" w14:textId="46704248" w:rsidR="004962EC" w:rsidRPr="003F27F5" w:rsidRDefault="003F27F5" w:rsidP="00F55037">
            <w:pPr>
              <w:pBdr>
                <w:top w:val="single" w:sz="6" w:space="0" w:color="FFFFFF"/>
                <w:left w:val="single" w:sz="6" w:space="0" w:color="FFFFFF"/>
                <w:bottom w:val="single" w:sz="6" w:space="0" w:color="FFFFFF"/>
                <w:right w:val="single" w:sz="6" w:space="0" w:color="FFFFFF"/>
              </w:pBdr>
              <w:spacing w:after="72"/>
              <w:jc w:val="center"/>
              <w:rPr>
                <w:b/>
                <w:sz w:val="20"/>
                <w:szCs w:val="20"/>
              </w:rPr>
            </w:pPr>
            <w:r w:rsidRPr="003F27F5">
              <w:rPr>
                <w:b/>
                <w:sz w:val="20"/>
                <w:szCs w:val="20"/>
              </w:rPr>
              <w:t>1</w:t>
            </w:r>
            <w:r w:rsidR="000D0D9D">
              <w:rPr>
                <w:b/>
                <w:sz w:val="20"/>
                <w:szCs w:val="20"/>
              </w:rPr>
              <w:t>.33</w:t>
            </w:r>
          </w:p>
        </w:tc>
        <w:tc>
          <w:tcPr>
            <w:tcW w:w="1344" w:type="dxa"/>
            <w:tcBorders>
              <w:top w:val="single" w:sz="6" w:space="0" w:color="000000"/>
              <w:left w:val="single" w:sz="6" w:space="0" w:color="000000"/>
              <w:bottom w:val="single" w:sz="8" w:space="0" w:color="000000"/>
              <w:right w:val="single" w:sz="6" w:space="0" w:color="000000"/>
            </w:tcBorders>
          </w:tcPr>
          <w:p w14:paraId="0F82BC94" w14:textId="77777777" w:rsidR="004962EC" w:rsidRPr="003F27F5" w:rsidRDefault="004962EC" w:rsidP="00F55037">
            <w:pPr>
              <w:spacing w:line="120" w:lineRule="exact"/>
              <w:rPr>
                <w:b/>
                <w:sz w:val="20"/>
                <w:szCs w:val="20"/>
              </w:rPr>
            </w:pPr>
          </w:p>
          <w:p w14:paraId="25893F60" w14:textId="742C9C42" w:rsidR="004962EC" w:rsidRPr="003F27F5" w:rsidRDefault="003F27F5" w:rsidP="00F55037">
            <w:pPr>
              <w:pBdr>
                <w:top w:val="single" w:sz="6" w:space="0" w:color="FFFFFF"/>
                <w:left w:val="single" w:sz="6" w:space="0" w:color="FFFFFF"/>
                <w:bottom w:val="single" w:sz="6" w:space="0" w:color="FFFFFF"/>
                <w:right w:val="single" w:sz="6" w:space="0" w:color="FFFFFF"/>
              </w:pBdr>
              <w:spacing w:after="72"/>
              <w:jc w:val="center"/>
              <w:rPr>
                <w:b/>
                <w:sz w:val="20"/>
                <w:szCs w:val="20"/>
              </w:rPr>
            </w:pPr>
            <w:r w:rsidRPr="003F27F5">
              <w:rPr>
                <w:b/>
                <w:sz w:val="20"/>
                <w:szCs w:val="20"/>
              </w:rPr>
              <w:t>107</w:t>
            </w:r>
          </w:p>
        </w:tc>
        <w:tc>
          <w:tcPr>
            <w:tcW w:w="2008" w:type="dxa"/>
            <w:tcBorders>
              <w:top w:val="single" w:sz="6" w:space="0" w:color="000000"/>
              <w:left w:val="single" w:sz="6" w:space="0" w:color="000000"/>
              <w:bottom w:val="single" w:sz="8" w:space="0" w:color="000000"/>
              <w:right w:val="single" w:sz="6" w:space="0" w:color="000000"/>
            </w:tcBorders>
          </w:tcPr>
          <w:p w14:paraId="1D5115E7" w14:textId="77777777" w:rsidR="004962EC" w:rsidRPr="003F27F5" w:rsidRDefault="004962EC" w:rsidP="00F55037">
            <w:pPr>
              <w:spacing w:line="120" w:lineRule="exact"/>
              <w:rPr>
                <w:b/>
                <w:sz w:val="20"/>
                <w:szCs w:val="20"/>
              </w:rPr>
            </w:pPr>
          </w:p>
          <w:p w14:paraId="4AC1F218" w14:textId="77777777" w:rsidR="004962EC" w:rsidRPr="003F27F5" w:rsidRDefault="004962EC" w:rsidP="00F55037">
            <w:pPr>
              <w:pBdr>
                <w:top w:val="single" w:sz="6" w:space="0" w:color="FFFFFF"/>
                <w:left w:val="single" w:sz="6" w:space="0" w:color="FFFFFF"/>
                <w:bottom w:val="single" w:sz="6" w:space="0" w:color="FFFFFF"/>
                <w:right w:val="single" w:sz="6" w:space="0" w:color="FFFFFF"/>
              </w:pBdr>
              <w:spacing w:after="72"/>
              <w:jc w:val="center"/>
              <w:rPr>
                <w:b/>
                <w:sz w:val="20"/>
                <w:szCs w:val="20"/>
              </w:rPr>
            </w:pPr>
            <w:r w:rsidRPr="003F27F5">
              <w:rPr>
                <w:b/>
                <w:sz w:val="20"/>
                <w:szCs w:val="20"/>
              </w:rPr>
              <w:t>0</w:t>
            </w:r>
          </w:p>
        </w:tc>
        <w:tc>
          <w:tcPr>
            <w:tcW w:w="1800" w:type="dxa"/>
            <w:tcBorders>
              <w:top w:val="single" w:sz="6" w:space="0" w:color="000000"/>
              <w:left w:val="single" w:sz="6" w:space="0" w:color="000000"/>
              <w:bottom w:val="single" w:sz="8" w:space="0" w:color="000000"/>
              <w:right w:val="single" w:sz="6" w:space="0" w:color="000000"/>
            </w:tcBorders>
          </w:tcPr>
          <w:p w14:paraId="0D715EE2" w14:textId="77777777" w:rsidR="004962EC" w:rsidRPr="003F27F5" w:rsidRDefault="004962EC" w:rsidP="00F55037">
            <w:pPr>
              <w:spacing w:line="120" w:lineRule="exact"/>
              <w:rPr>
                <w:b/>
                <w:sz w:val="20"/>
                <w:szCs w:val="20"/>
              </w:rPr>
            </w:pPr>
          </w:p>
          <w:p w14:paraId="5151C79C" w14:textId="540FD5C5" w:rsidR="004962EC" w:rsidRPr="003F27F5" w:rsidRDefault="003F27F5" w:rsidP="00F55037">
            <w:pPr>
              <w:pBdr>
                <w:top w:val="single" w:sz="6" w:space="0" w:color="FFFFFF"/>
                <w:left w:val="single" w:sz="6" w:space="0" w:color="FFFFFF"/>
                <w:bottom w:val="single" w:sz="6" w:space="0" w:color="FFFFFF"/>
                <w:right w:val="single" w:sz="6" w:space="0" w:color="FFFFFF"/>
              </w:pBdr>
              <w:spacing w:after="72"/>
              <w:jc w:val="center"/>
              <w:rPr>
                <w:b/>
                <w:sz w:val="20"/>
                <w:szCs w:val="20"/>
              </w:rPr>
            </w:pPr>
            <w:r w:rsidRPr="003F27F5">
              <w:rPr>
                <w:b/>
                <w:sz w:val="20"/>
                <w:szCs w:val="20"/>
              </w:rPr>
              <w:t>1</w:t>
            </w:r>
          </w:p>
        </w:tc>
        <w:tc>
          <w:tcPr>
            <w:tcW w:w="1710" w:type="dxa"/>
            <w:tcBorders>
              <w:top w:val="single" w:sz="6" w:space="0" w:color="000000"/>
              <w:left w:val="single" w:sz="6" w:space="0" w:color="000000"/>
              <w:bottom w:val="single" w:sz="8" w:space="0" w:color="000000"/>
              <w:right w:val="single" w:sz="8" w:space="0" w:color="000000"/>
            </w:tcBorders>
          </w:tcPr>
          <w:p w14:paraId="49639EC3" w14:textId="77777777" w:rsidR="004962EC" w:rsidRPr="003F27F5" w:rsidRDefault="004962EC" w:rsidP="00F55037">
            <w:pPr>
              <w:spacing w:line="120" w:lineRule="exact"/>
              <w:rPr>
                <w:b/>
                <w:sz w:val="20"/>
                <w:szCs w:val="20"/>
              </w:rPr>
            </w:pPr>
          </w:p>
          <w:p w14:paraId="0DCE78AF" w14:textId="5A66DE34" w:rsidR="004962EC" w:rsidRPr="003F27F5" w:rsidRDefault="003F27F5" w:rsidP="00F55037">
            <w:pPr>
              <w:pBdr>
                <w:top w:val="single" w:sz="6" w:space="0" w:color="FFFFFF"/>
                <w:left w:val="single" w:sz="6" w:space="0" w:color="FFFFFF"/>
                <w:bottom w:val="single" w:sz="6" w:space="0" w:color="FFFFFF"/>
                <w:right w:val="single" w:sz="6" w:space="0" w:color="FFFFFF"/>
              </w:pBdr>
              <w:spacing w:after="72"/>
              <w:jc w:val="center"/>
              <w:rPr>
                <w:b/>
                <w:sz w:val="20"/>
                <w:szCs w:val="20"/>
              </w:rPr>
            </w:pPr>
            <w:r w:rsidRPr="003F27F5">
              <w:rPr>
                <w:b/>
                <w:sz w:val="20"/>
                <w:szCs w:val="20"/>
              </w:rPr>
              <w:t>107</w:t>
            </w:r>
            <w:r w:rsidR="008D5991">
              <w:rPr>
                <w:b/>
                <w:sz w:val="20"/>
                <w:szCs w:val="20"/>
              </w:rPr>
              <w:t>.33</w:t>
            </w:r>
          </w:p>
        </w:tc>
      </w:tr>
    </w:tbl>
    <w:p w14:paraId="0BDBC37F" w14:textId="45D3449D" w:rsidR="004962EC" w:rsidRDefault="003F27F5" w:rsidP="003F27F5">
      <w:pPr>
        <w:pBdr>
          <w:top w:val="single" w:sz="6" w:space="0" w:color="FFFFFF"/>
          <w:left w:val="single" w:sz="6" w:space="0" w:color="FFFFFF"/>
          <w:bottom w:val="single" w:sz="6" w:space="0" w:color="FFFFFF"/>
          <w:right w:val="single" w:sz="6" w:space="0" w:color="FFFFFF"/>
        </w:pBdr>
        <w:rPr>
          <w:color w:val="FF0000"/>
          <w:sz w:val="20"/>
          <w:szCs w:val="20"/>
        </w:rPr>
      </w:pPr>
      <w:r>
        <w:rPr>
          <w:color w:val="000000"/>
          <w:vertAlign w:val="superscript"/>
        </w:rPr>
        <w:t xml:space="preserve">  </w:t>
      </w:r>
      <w:r w:rsidR="005312F8">
        <w:rPr>
          <w:color w:val="000000"/>
          <w:vertAlign w:val="superscript"/>
        </w:rPr>
        <w:t>a</w:t>
      </w:r>
      <w:r w:rsidR="004962EC">
        <w:rPr>
          <w:color w:val="000000"/>
        </w:rPr>
        <w:t xml:space="preserve"> </w:t>
      </w:r>
      <w:r w:rsidR="004962EC">
        <w:rPr>
          <w:color w:val="000000"/>
          <w:sz w:val="20"/>
          <w:szCs w:val="20"/>
        </w:rPr>
        <w:t>New respondents include sources with constructed and reconstructed affected facilities.</w:t>
      </w:r>
    </w:p>
    <w:p w14:paraId="08E78701" w14:textId="77777777" w:rsidR="004962EC" w:rsidRDefault="004962EC" w:rsidP="004962EC">
      <w:pPr>
        <w:pBdr>
          <w:top w:val="single" w:sz="6" w:space="0" w:color="FFFFFF"/>
          <w:left w:val="single" w:sz="6" w:space="0" w:color="FFFFFF"/>
          <w:bottom w:val="single" w:sz="6" w:space="0" w:color="FFFFFF"/>
          <w:right w:val="single" w:sz="6" w:space="0" w:color="FFFFFF"/>
        </w:pBdr>
        <w:ind w:firstLine="5760"/>
        <w:rPr>
          <w:color w:val="000000"/>
        </w:rPr>
      </w:pPr>
    </w:p>
    <w:p w14:paraId="3532D6C1" w14:textId="377688C3" w:rsidR="004962EC" w:rsidRDefault="004962EC" w:rsidP="004962EC">
      <w:pPr>
        <w:pBdr>
          <w:top w:val="single" w:sz="6" w:space="0" w:color="FFFFFF"/>
          <w:left w:val="single" w:sz="6" w:space="0" w:color="FFFFFF"/>
          <w:bottom w:val="single" w:sz="6" w:space="0" w:color="FFFFFF"/>
          <w:right w:val="single" w:sz="6" w:space="0" w:color="FFFFFF"/>
        </w:pBdr>
        <w:ind w:firstLine="720"/>
        <w:rPr>
          <w:color w:val="000000"/>
        </w:rPr>
      </w:pPr>
      <w:r>
        <w:rPr>
          <w:color w:val="000000"/>
        </w:rPr>
        <w:t>Column D is subtracted to avoid double-counting respondents</w:t>
      </w:r>
      <w:r w:rsidR="00D64CD1">
        <w:rPr>
          <w:color w:val="000000"/>
        </w:rPr>
        <w:t xml:space="preserve">. </w:t>
      </w:r>
      <w:r>
        <w:rPr>
          <w:color w:val="000000"/>
        </w:rPr>
        <w:t>As shown above, the average Number of Respondents over the three</w:t>
      </w:r>
      <w:r w:rsidR="00A568D1">
        <w:rPr>
          <w:color w:val="000000"/>
        </w:rPr>
        <w:t>-</w:t>
      </w:r>
      <w:r>
        <w:rPr>
          <w:color w:val="000000"/>
        </w:rPr>
        <w:t xml:space="preserve">year period of this </w:t>
      </w:r>
      <w:r w:rsidRPr="00262B0C">
        <w:t xml:space="preserve">ICR is </w:t>
      </w:r>
      <w:r w:rsidR="00A568D1">
        <w:t>1</w:t>
      </w:r>
      <w:r w:rsidR="003F27F5">
        <w:t>07</w:t>
      </w:r>
      <w:r w:rsidRPr="00262B0C">
        <w:t>.</w:t>
      </w:r>
      <w:r>
        <w:rPr>
          <w:color w:val="000000"/>
        </w:rPr>
        <w:t xml:space="preserve"> </w:t>
      </w:r>
    </w:p>
    <w:p w14:paraId="7A657616" w14:textId="77777777" w:rsidR="004962EC" w:rsidRDefault="004962EC" w:rsidP="004962EC">
      <w:pPr>
        <w:pBdr>
          <w:top w:val="single" w:sz="6" w:space="0" w:color="FFFFFF"/>
          <w:left w:val="single" w:sz="6" w:space="0" w:color="FFFFFF"/>
          <w:bottom w:val="single" w:sz="6" w:space="0" w:color="FFFFFF"/>
          <w:right w:val="single" w:sz="6" w:space="0" w:color="FFFFFF"/>
        </w:pBdr>
        <w:ind w:firstLine="720"/>
        <w:rPr>
          <w:color w:val="000000"/>
        </w:rPr>
      </w:pPr>
    </w:p>
    <w:p w14:paraId="2170313D" w14:textId="77777777" w:rsidR="004962EC" w:rsidRDefault="004962EC" w:rsidP="004962EC">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681DC5C1" w14:textId="77777777" w:rsidR="004962EC" w:rsidRDefault="004962EC" w:rsidP="004962EC">
      <w:pPr>
        <w:pBdr>
          <w:top w:val="single" w:sz="6" w:space="0" w:color="FFFFFF"/>
          <w:left w:val="single" w:sz="6" w:space="0" w:color="FFFFFF"/>
          <w:bottom w:val="single" w:sz="6" w:space="0" w:color="FFFFFF"/>
          <w:right w:val="single" w:sz="6" w:space="0" w:color="FFFFFF"/>
        </w:pBdr>
        <w:jc w:val="center"/>
        <w:rPr>
          <w:color w:val="000000"/>
        </w:rPr>
      </w:pPr>
    </w:p>
    <w:p w14:paraId="40450EA9" w14:textId="72209087" w:rsidR="004962EC" w:rsidRPr="00BA372A" w:rsidRDefault="004962EC" w:rsidP="004962EC">
      <w:pPr>
        <w:pBdr>
          <w:top w:val="single" w:sz="6" w:space="0" w:color="FFFFFF"/>
          <w:left w:val="single" w:sz="6" w:space="0" w:color="FFFFFF"/>
          <w:bottom w:val="single" w:sz="6" w:space="0" w:color="FFFFFF"/>
          <w:right w:val="single" w:sz="6" w:space="0" w:color="FFFFFF"/>
        </w:pBdr>
        <w:ind w:left="180" w:hanging="90"/>
        <w:rPr>
          <w:color w:val="000000"/>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3405"/>
        <w:gridCol w:w="1478"/>
        <w:gridCol w:w="1294"/>
        <w:gridCol w:w="2029"/>
        <w:gridCol w:w="1376"/>
      </w:tblGrid>
      <w:tr w:rsidR="003F27F5" w:rsidRPr="00374E3E" w14:paraId="74443437" w14:textId="77777777" w:rsidTr="00932658">
        <w:trPr>
          <w:tblHeader/>
        </w:trPr>
        <w:tc>
          <w:tcPr>
            <w:tcW w:w="5000" w:type="pct"/>
            <w:gridSpan w:val="5"/>
          </w:tcPr>
          <w:p w14:paraId="298BD3AC"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b/>
                <w:bCs/>
                <w:color w:val="000000"/>
                <w:sz w:val="22"/>
                <w:szCs w:val="22"/>
              </w:rPr>
            </w:pPr>
            <w:r w:rsidRPr="00374E3E">
              <w:rPr>
                <w:b/>
                <w:bCs/>
                <w:color w:val="000000"/>
                <w:sz w:val="22"/>
                <w:szCs w:val="22"/>
              </w:rPr>
              <w:t>Total Annual Responses</w:t>
            </w:r>
          </w:p>
        </w:tc>
      </w:tr>
      <w:tr w:rsidR="003F27F5" w:rsidRPr="00374E3E" w14:paraId="2AEEECEC" w14:textId="77777777" w:rsidTr="00932658">
        <w:tc>
          <w:tcPr>
            <w:tcW w:w="1777" w:type="pct"/>
            <w:vAlign w:val="bottom"/>
          </w:tcPr>
          <w:p w14:paraId="77940DCD" w14:textId="77777777" w:rsidR="003F27F5" w:rsidRPr="001A4B1C" w:rsidRDefault="003F27F5" w:rsidP="00932658">
            <w:pPr>
              <w:pBdr>
                <w:top w:val="single" w:sz="6" w:space="0" w:color="FFFFFF"/>
                <w:left w:val="single" w:sz="6" w:space="0" w:color="FFFFFF"/>
                <w:bottom w:val="single" w:sz="6" w:space="0" w:color="FFFFFF"/>
                <w:right w:val="single" w:sz="6" w:space="0" w:color="FFFFFF"/>
              </w:pBdr>
              <w:jc w:val="center"/>
              <w:rPr>
                <w:color w:val="000000"/>
                <w:sz w:val="22"/>
                <w:szCs w:val="22"/>
              </w:rPr>
            </w:pPr>
            <w:r w:rsidRPr="001A4B1C">
              <w:rPr>
                <w:color w:val="000000"/>
                <w:sz w:val="22"/>
                <w:szCs w:val="22"/>
              </w:rPr>
              <w:t>(A)</w:t>
            </w:r>
          </w:p>
          <w:p w14:paraId="05E25A00" w14:textId="0DEA1A3F" w:rsidR="003F27F5" w:rsidRPr="001A4B1C"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1A4B1C">
              <w:rPr>
                <w:color w:val="000000"/>
                <w:sz w:val="22"/>
                <w:szCs w:val="22"/>
              </w:rPr>
              <w:t>Information Collection Activity</w:t>
            </w:r>
          </w:p>
        </w:tc>
        <w:tc>
          <w:tcPr>
            <w:tcW w:w="771" w:type="pct"/>
            <w:vAlign w:val="bottom"/>
          </w:tcPr>
          <w:p w14:paraId="57A37476" w14:textId="77777777" w:rsidR="003F27F5" w:rsidRPr="001A4B1C" w:rsidRDefault="003F27F5" w:rsidP="00932658">
            <w:pPr>
              <w:pBdr>
                <w:top w:val="single" w:sz="6" w:space="0" w:color="FFFFFF"/>
                <w:left w:val="single" w:sz="6" w:space="0" w:color="FFFFFF"/>
                <w:bottom w:val="single" w:sz="6" w:space="0" w:color="FFFFFF"/>
                <w:right w:val="single" w:sz="6" w:space="0" w:color="FFFFFF"/>
              </w:pBdr>
              <w:jc w:val="center"/>
              <w:rPr>
                <w:color w:val="000000"/>
                <w:sz w:val="22"/>
                <w:szCs w:val="22"/>
              </w:rPr>
            </w:pPr>
            <w:r w:rsidRPr="001A4B1C">
              <w:rPr>
                <w:color w:val="000000"/>
                <w:sz w:val="22"/>
                <w:szCs w:val="22"/>
              </w:rPr>
              <w:t>(B)</w:t>
            </w:r>
          </w:p>
          <w:p w14:paraId="34B7B121" w14:textId="77777777" w:rsidR="003F27F5" w:rsidRPr="001A4B1C"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1A4B1C">
              <w:rPr>
                <w:color w:val="000000"/>
                <w:sz w:val="22"/>
                <w:szCs w:val="22"/>
              </w:rPr>
              <w:t>Number of Respondents</w:t>
            </w:r>
          </w:p>
        </w:tc>
        <w:tc>
          <w:tcPr>
            <w:tcW w:w="675" w:type="pct"/>
            <w:vAlign w:val="bottom"/>
          </w:tcPr>
          <w:p w14:paraId="061305CD" w14:textId="77777777" w:rsidR="003F27F5" w:rsidRPr="001A4B1C" w:rsidRDefault="003F27F5" w:rsidP="00932658">
            <w:pPr>
              <w:pBdr>
                <w:top w:val="single" w:sz="6" w:space="0" w:color="FFFFFF"/>
                <w:left w:val="single" w:sz="6" w:space="0" w:color="FFFFFF"/>
                <w:bottom w:val="single" w:sz="6" w:space="0" w:color="FFFFFF"/>
                <w:right w:val="single" w:sz="6" w:space="0" w:color="FFFFFF"/>
              </w:pBdr>
              <w:jc w:val="center"/>
              <w:rPr>
                <w:color w:val="000000"/>
                <w:sz w:val="22"/>
                <w:szCs w:val="22"/>
              </w:rPr>
            </w:pPr>
            <w:r w:rsidRPr="001A4B1C">
              <w:rPr>
                <w:color w:val="000000"/>
                <w:sz w:val="22"/>
                <w:szCs w:val="22"/>
              </w:rPr>
              <w:t>(C)</w:t>
            </w:r>
          </w:p>
          <w:p w14:paraId="22D22F8A" w14:textId="77777777" w:rsidR="003F27F5" w:rsidRPr="001A4B1C"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1A4B1C">
              <w:rPr>
                <w:color w:val="000000"/>
                <w:sz w:val="22"/>
                <w:szCs w:val="22"/>
              </w:rPr>
              <w:t>Number of Responses</w:t>
            </w:r>
          </w:p>
        </w:tc>
        <w:tc>
          <w:tcPr>
            <w:tcW w:w="1059" w:type="pct"/>
            <w:vAlign w:val="bottom"/>
          </w:tcPr>
          <w:p w14:paraId="74767F18" w14:textId="77777777" w:rsidR="003F27F5" w:rsidRPr="001A4B1C" w:rsidRDefault="003F27F5" w:rsidP="00932658">
            <w:pPr>
              <w:pBdr>
                <w:top w:val="single" w:sz="6" w:space="0" w:color="FFFFFF"/>
                <w:left w:val="single" w:sz="6" w:space="0" w:color="FFFFFF"/>
                <w:bottom w:val="single" w:sz="6" w:space="0" w:color="FFFFFF"/>
                <w:right w:val="single" w:sz="6" w:space="0" w:color="FFFFFF"/>
              </w:pBdr>
              <w:jc w:val="center"/>
              <w:rPr>
                <w:color w:val="000000"/>
                <w:sz w:val="22"/>
                <w:szCs w:val="22"/>
              </w:rPr>
            </w:pPr>
            <w:r w:rsidRPr="001A4B1C">
              <w:rPr>
                <w:color w:val="000000"/>
                <w:sz w:val="22"/>
                <w:szCs w:val="22"/>
              </w:rPr>
              <w:t>(D)</w:t>
            </w:r>
          </w:p>
          <w:p w14:paraId="00F6C43E" w14:textId="77777777" w:rsidR="003F27F5" w:rsidRPr="001A4B1C"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1A4B1C">
              <w:rPr>
                <w:color w:val="000000"/>
                <w:sz w:val="22"/>
                <w:szCs w:val="22"/>
              </w:rPr>
              <w:t>Number of Existing Respondents That Keep Records But Do Not Submit Reports</w:t>
            </w:r>
          </w:p>
        </w:tc>
        <w:tc>
          <w:tcPr>
            <w:tcW w:w="718" w:type="pct"/>
            <w:vAlign w:val="bottom"/>
          </w:tcPr>
          <w:p w14:paraId="15D33034" w14:textId="77777777" w:rsidR="003F27F5" w:rsidRPr="001A4B1C" w:rsidRDefault="003F27F5" w:rsidP="00932658">
            <w:pPr>
              <w:pBdr>
                <w:top w:val="single" w:sz="6" w:space="0" w:color="FFFFFF"/>
                <w:left w:val="single" w:sz="6" w:space="0" w:color="FFFFFF"/>
                <w:bottom w:val="single" w:sz="6" w:space="0" w:color="FFFFFF"/>
                <w:right w:val="single" w:sz="6" w:space="0" w:color="FFFFFF"/>
              </w:pBdr>
              <w:jc w:val="center"/>
              <w:rPr>
                <w:color w:val="000000"/>
                <w:sz w:val="22"/>
                <w:szCs w:val="22"/>
              </w:rPr>
            </w:pPr>
            <w:r w:rsidRPr="001A4B1C">
              <w:rPr>
                <w:color w:val="000000"/>
                <w:sz w:val="22"/>
                <w:szCs w:val="22"/>
              </w:rPr>
              <w:t>(E)</w:t>
            </w:r>
          </w:p>
          <w:p w14:paraId="61ECFEC6" w14:textId="77777777" w:rsidR="003F27F5" w:rsidRPr="001A4B1C" w:rsidRDefault="003F27F5" w:rsidP="00932658">
            <w:pPr>
              <w:pBdr>
                <w:top w:val="single" w:sz="6" w:space="0" w:color="FFFFFF"/>
                <w:left w:val="single" w:sz="6" w:space="0" w:color="FFFFFF"/>
                <w:bottom w:val="single" w:sz="6" w:space="0" w:color="FFFFFF"/>
                <w:right w:val="single" w:sz="6" w:space="0" w:color="FFFFFF"/>
              </w:pBdr>
              <w:jc w:val="center"/>
              <w:rPr>
                <w:color w:val="000000"/>
                <w:sz w:val="22"/>
                <w:szCs w:val="22"/>
              </w:rPr>
            </w:pPr>
            <w:r w:rsidRPr="001A4B1C">
              <w:rPr>
                <w:color w:val="000000"/>
                <w:sz w:val="22"/>
                <w:szCs w:val="22"/>
              </w:rPr>
              <w:t>Total Annual Responses</w:t>
            </w:r>
          </w:p>
          <w:p w14:paraId="5BF6ECFF" w14:textId="77777777" w:rsidR="003F27F5" w:rsidRPr="001A4B1C"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1A4B1C">
              <w:rPr>
                <w:color w:val="000000"/>
                <w:sz w:val="22"/>
                <w:szCs w:val="22"/>
              </w:rPr>
              <w:t>E=(BxC)+D</w:t>
            </w:r>
          </w:p>
        </w:tc>
      </w:tr>
      <w:tr w:rsidR="003F27F5" w:rsidRPr="00374E3E" w14:paraId="04C3230B" w14:textId="77777777" w:rsidTr="00932658">
        <w:trPr>
          <w:trHeight w:val="288"/>
        </w:trPr>
        <w:tc>
          <w:tcPr>
            <w:tcW w:w="1777" w:type="pct"/>
            <w:vAlign w:val="center"/>
          </w:tcPr>
          <w:p w14:paraId="2B03DDFF"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374E3E">
              <w:rPr>
                <w:sz w:val="22"/>
                <w:szCs w:val="22"/>
              </w:rPr>
              <w:t>Notification of construction/ reconstruction</w:t>
            </w:r>
          </w:p>
        </w:tc>
        <w:tc>
          <w:tcPr>
            <w:tcW w:w="771" w:type="pct"/>
            <w:vAlign w:val="center"/>
          </w:tcPr>
          <w:p w14:paraId="4E684552"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r>
              <w:rPr>
                <w:sz w:val="22"/>
                <w:szCs w:val="22"/>
              </w:rPr>
              <w:t>.33</w:t>
            </w:r>
          </w:p>
        </w:tc>
        <w:tc>
          <w:tcPr>
            <w:tcW w:w="675" w:type="pct"/>
            <w:vAlign w:val="center"/>
          </w:tcPr>
          <w:p w14:paraId="113831C9"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p>
        </w:tc>
        <w:tc>
          <w:tcPr>
            <w:tcW w:w="1059" w:type="pct"/>
            <w:vAlign w:val="center"/>
          </w:tcPr>
          <w:p w14:paraId="33DA9B13"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0</w:t>
            </w:r>
          </w:p>
        </w:tc>
        <w:tc>
          <w:tcPr>
            <w:tcW w:w="718" w:type="pct"/>
            <w:vAlign w:val="center"/>
          </w:tcPr>
          <w:p w14:paraId="647C0470"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r>
              <w:rPr>
                <w:sz w:val="22"/>
                <w:szCs w:val="22"/>
              </w:rPr>
              <w:t>.33</w:t>
            </w:r>
          </w:p>
        </w:tc>
      </w:tr>
      <w:tr w:rsidR="003F27F5" w:rsidRPr="00374E3E" w14:paraId="2620AF1E" w14:textId="77777777" w:rsidTr="00932658">
        <w:trPr>
          <w:trHeight w:val="288"/>
        </w:trPr>
        <w:tc>
          <w:tcPr>
            <w:tcW w:w="1777" w:type="pct"/>
            <w:vAlign w:val="center"/>
          </w:tcPr>
          <w:p w14:paraId="4D24151E"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374E3E">
              <w:rPr>
                <w:sz w:val="22"/>
                <w:szCs w:val="22"/>
              </w:rPr>
              <w:t>Notification of actual startup</w:t>
            </w:r>
          </w:p>
        </w:tc>
        <w:tc>
          <w:tcPr>
            <w:tcW w:w="771" w:type="pct"/>
            <w:vAlign w:val="center"/>
          </w:tcPr>
          <w:p w14:paraId="7C4AFB9B"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r>
              <w:rPr>
                <w:sz w:val="22"/>
                <w:szCs w:val="22"/>
              </w:rPr>
              <w:t>.33</w:t>
            </w:r>
          </w:p>
        </w:tc>
        <w:tc>
          <w:tcPr>
            <w:tcW w:w="675" w:type="pct"/>
            <w:vAlign w:val="center"/>
          </w:tcPr>
          <w:p w14:paraId="63A37619"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p>
        </w:tc>
        <w:tc>
          <w:tcPr>
            <w:tcW w:w="1059" w:type="pct"/>
            <w:vAlign w:val="center"/>
          </w:tcPr>
          <w:p w14:paraId="10F6829D"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0</w:t>
            </w:r>
          </w:p>
        </w:tc>
        <w:tc>
          <w:tcPr>
            <w:tcW w:w="718" w:type="pct"/>
            <w:vAlign w:val="center"/>
          </w:tcPr>
          <w:p w14:paraId="5BFD793B"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r>
              <w:rPr>
                <w:sz w:val="22"/>
                <w:szCs w:val="22"/>
              </w:rPr>
              <w:t>.33</w:t>
            </w:r>
          </w:p>
        </w:tc>
      </w:tr>
      <w:tr w:rsidR="003F27F5" w:rsidRPr="00374E3E" w14:paraId="520D9741" w14:textId="77777777" w:rsidTr="00932658">
        <w:trPr>
          <w:trHeight w:val="288"/>
        </w:trPr>
        <w:tc>
          <w:tcPr>
            <w:tcW w:w="1777" w:type="pct"/>
            <w:vAlign w:val="center"/>
          </w:tcPr>
          <w:p w14:paraId="4EEACDD7"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374E3E">
              <w:rPr>
                <w:sz w:val="22"/>
                <w:szCs w:val="22"/>
              </w:rPr>
              <w:t>Notification of applicability of standard</w:t>
            </w:r>
          </w:p>
        </w:tc>
        <w:tc>
          <w:tcPr>
            <w:tcW w:w="771" w:type="pct"/>
            <w:vAlign w:val="center"/>
          </w:tcPr>
          <w:p w14:paraId="20E796EF"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r>
              <w:rPr>
                <w:sz w:val="22"/>
                <w:szCs w:val="22"/>
              </w:rPr>
              <w:t>.33</w:t>
            </w:r>
          </w:p>
        </w:tc>
        <w:tc>
          <w:tcPr>
            <w:tcW w:w="675" w:type="pct"/>
            <w:vAlign w:val="center"/>
          </w:tcPr>
          <w:p w14:paraId="6F9622E4"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p>
        </w:tc>
        <w:tc>
          <w:tcPr>
            <w:tcW w:w="1059" w:type="pct"/>
            <w:vAlign w:val="center"/>
          </w:tcPr>
          <w:p w14:paraId="6DC57D63"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0</w:t>
            </w:r>
          </w:p>
        </w:tc>
        <w:tc>
          <w:tcPr>
            <w:tcW w:w="718" w:type="pct"/>
            <w:vAlign w:val="center"/>
          </w:tcPr>
          <w:p w14:paraId="4C6822D8"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r>
              <w:rPr>
                <w:sz w:val="22"/>
                <w:szCs w:val="22"/>
              </w:rPr>
              <w:t>.33</w:t>
            </w:r>
          </w:p>
        </w:tc>
      </w:tr>
      <w:tr w:rsidR="003F27F5" w:rsidRPr="00374E3E" w14:paraId="6BB75C5B" w14:textId="77777777" w:rsidTr="00932658">
        <w:trPr>
          <w:trHeight w:val="288"/>
        </w:trPr>
        <w:tc>
          <w:tcPr>
            <w:tcW w:w="1777" w:type="pct"/>
            <w:vAlign w:val="center"/>
          </w:tcPr>
          <w:p w14:paraId="6E7069D5"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374E3E">
              <w:rPr>
                <w:sz w:val="22"/>
                <w:szCs w:val="22"/>
              </w:rPr>
              <w:t>Notification of performance test/ retest</w:t>
            </w:r>
          </w:p>
        </w:tc>
        <w:tc>
          <w:tcPr>
            <w:tcW w:w="771" w:type="pct"/>
            <w:vAlign w:val="center"/>
          </w:tcPr>
          <w:p w14:paraId="69990CAF"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43</w:t>
            </w:r>
          </w:p>
        </w:tc>
        <w:tc>
          <w:tcPr>
            <w:tcW w:w="675" w:type="pct"/>
            <w:vAlign w:val="center"/>
          </w:tcPr>
          <w:p w14:paraId="2F887C9A"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p>
        </w:tc>
        <w:tc>
          <w:tcPr>
            <w:tcW w:w="1059" w:type="pct"/>
            <w:vAlign w:val="center"/>
          </w:tcPr>
          <w:p w14:paraId="2220F06C"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0</w:t>
            </w:r>
          </w:p>
        </w:tc>
        <w:tc>
          <w:tcPr>
            <w:tcW w:w="718" w:type="pct"/>
            <w:vAlign w:val="center"/>
          </w:tcPr>
          <w:p w14:paraId="64B415DB"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43</w:t>
            </w:r>
          </w:p>
        </w:tc>
      </w:tr>
      <w:tr w:rsidR="003F27F5" w:rsidRPr="00374E3E" w14:paraId="7841D091" w14:textId="77777777" w:rsidTr="00932658">
        <w:trPr>
          <w:trHeight w:val="288"/>
        </w:trPr>
        <w:tc>
          <w:tcPr>
            <w:tcW w:w="1777" w:type="pct"/>
            <w:vAlign w:val="center"/>
          </w:tcPr>
          <w:p w14:paraId="745EFB2D"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374E3E">
              <w:rPr>
                <w:sz w:val="22"/>
                <w:szCs w:val="22"/>
              </w:rPr>
              <w:t>Notification of performance evaluation</w:t>
            </w:r>
          </w:p>
        </w:tc>
        <w:tc>
          <w:tcPr>
            <w:tcW w:w="771" w:type="pct"/>
            <w:vAlign w:val="center"/>
          </w:tcPr>
          <w:p w14:paraId="7AD6F1BE"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43</w:t>
            </w:r>
          </w:p>
        </w:tc>
        <w:tc>
          <w:tcPr>
            <w:tcW w:w="675" w:type="pct"/>
            <w:vAlign w:val="center"/>
          </w:tcPr>
          <w:p w14:paraId="230504BB"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p>
        </w:tc>
        <w:tc>
          <w:tcPr>
            <w:tcW w:w="1059" w:type="pct"/>
            <w:vAlign w:val="center"/>
          </w:tcPr>
          <w:p w14:paraId="12933368"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0</w:t>
            </w:r>
          </w:p>
        </w:tc>
        <w:tc>
          <w:tcPr>
            <w:tcW w:w="718" w:type="pct"/>
            <w:vAlign w:val="center"/>
          </w:tcPr>
          <w:p w14:paraId="3427DC79"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43</w:t>
            </w:r>
          </w:p>
        </w:tc>
      </w:tr>
      <w:tr w:rsidR="003F27F5" w:rsidRPr="00374E3E" w14:paraId="6873BB49" w14:textId="77777777" w:rsidTr="00932658">
        <w:trPr>
          <w:trHeight w:val="288"/>
        </w:trPr>
        <w:tc>
          <w:tcPr>
            <w:tcW w:w="1777" w:type="pct"/>
            <w:vAlign w:val="center"/>
          </w:tcPr>
          <w:p w14:paraId="0FEB36E0"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374E3E">
              <w:rPr>
                <w:sz w:val="22"/>
                <w:szCs w:val="22"/>
              </w:rPr>
              <w:t>Notification of compliance status</w:t>
            </w:r>
          </w:p>
        </w:tc>
        <w:tc>
          <w:tcPr>
            <w:tcW w:w="771" w:type="pct"/>
            <w:vAlign w:val="center"/>
          </w:tcPr>
          <w:p w14:paraId="4DA4EDF1"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r>
              <w:rPr>
                <w:sz w:val="22"/>
                <w:szCs w:val="22"/>
              </w:rPr>
              <w:t>.33</w:t>
            </w:r>
          </w:p>
        </w:tc>
        <w:tc>
          <w:tcPr>
            <w:tcW w:w="675" w:type="pct"/>
            <w:vAlign w:val="center"/>
          </w:tcPr>
          <w:p w14:paraId="4B4903BA"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p>
        </w:tc>
        <w:tc>
          <w:tcPr>
            <w:tcW w:w="1059" w:type="pct"/>
            <w:vAlign w:val="center"/>
          </w:tcPr>
          <w:p w14:paraId="4B20D3DB"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0</w:t>
            </w:r>
          </w:p>
        </w:tc>
        <w:tc>
          <w:tcPr>
            <w:tcW w:w="718" w:type="pct"/>
            <w:vAlign w:val="center"/>
          </w:tcPr>
          <w:p w14:paraId="456C57DE"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r>
              <w:rPr>
                <w:sz w:val="22"/>
                <w:szCs w:val="22"/>
              </w:rPr>
              <w:t>.33</w:t>
            </w:r>
          </w:p>
        </w:tc>
      </w:tr>
      <w:tr w:rsidR="003F27F5" w:rsidRPr="00374E3E" w14:paraId="69B8B928" w14:textId="77777777" w:rsidTr="00932658">
        <w:trPr>
          <w:trHeight w:val="288"/>
        </w:trPr>
        <w:tc>
          <w:tcPr>
            <w:tcW w:w="1777" w:type="pct"/>
            <w:vAlign w:val="center"/>
          </w:tcPr>
          <w:p w14:paraId="3AE4BEFB"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rPr>
                <w:sz w:val="22"/>
                <w:szCs w:val="22"/>
              </w:rPr>
            </w:pPr>
            <w:r w:rsidRPr="00374E3E">
              <w:rPr>
                <w:sz w:val="22"/>
                <w:szCs w:val="22"/>
              </w:rPr>
              <w:t>Report of performance test/retest</w:t>
            </w:r>
          </w:p>
        </w:tc>
        <w:tc>
          <w:tcPr>
            <w:tcW w:w="771" w:type="pct"/>
            <w:vAlign w:val="center"/>
          </w:tcPr>
          <w:p w14:paraId="747F6664"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sz w:val="22"/>
                <w:szCs w:val="22"/>
              </w:rPr>
            </w:pPr>
            <w:r w:rsidRPr="00374E3E">
              <w:rPr>
                <w:sz w:val="22"/>
                <w:szCs w:val="22"/>
              </w:rPr>
              <w:t>43</w:t>
            </w:r>
          </w:p>
        </w:tc>
        <w:tc>
          <w:tcPr>
            <w:tcW w:w="675" w:type="pct"/>
            <w:vAlign w:val="center"/>
          </w:tcPr>
          <w:p w14:paraId="568807E8"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sz w:val="22"/>
                <w:szCs w:val="22"/>
              </w:rPr>
            </w:pPr>
            <w:r w:rsidRPr="00374E3E">
              <w:rPr>
                <w:sz w:val="22"/>
                <w:szCs w:val="22"/>
              </w:rPr>
              <w:t>1</w:t>
            </w:r>
          </w:p>
        </w:tc>
        <w:tc>
          <w:tcPr>
            <w:tcW w:w="1059" w:type="pct"/>
            <w:vAlign w:val="center"/>
          </w:tcPr>
          <w:p w14:paraId="3BA4399B"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sz w:val="22"/>
                <w:szCs w:val="22"/>
              </w:rPr>
            </w:pPr>
            <w:r w:rsidRPr="00374E3E">
              <w:rPr>
                <w:sz w:val="22"/>
                <w:szCs w:val="22"/>
              </w:rPr>
              <w:t>0</w:t>
            </w:r>
          </w:p>
        </w:tc>
        <w:tc>
          <w:tcPr>
            <w:tcW w:w="718" w:type="pct"/>
            <w:vAlign w:val="center"/>
          </w:tcPr>
          <w:p w14:paraId="2642BF7C"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sz w:val="22"/>
                <w:szCs w:val="22"/>
              </w:rPr>
            </w:pPr>
            <w:r w:rsidRPr="00374E3E">
              <w:rPr>
                <w:sz w:val="22"/>
                <w:szCs w:val="22"/>
              </w:rPr>
              <w:t>43</w:t>
            </w:r>
          </w:p>
        </w:tc>
      </w:tr>
      <w:tr w:rsidR="003F27F5" w:rsidRPr="00374E3E" w14:paraId="72E394A5" w14:textId="77777777" w:rsidTr="00932658">
        <w:trPr>
          <w:trHeight w:val="288"/>
        </w:trPr>
        <w:tc>
          <w:tcPr>
            <w:tcW w:w="1777" w:type="pct"/>
            <w:vAlign w:val="center"/>
          </w:tcPr>
          <w:p w14:paraId="6EA42DD0"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374E3E">
              <w:rPr>
                <w:sz w:val="22"/>
                <w:szCs w:val="22"/>
              </w:rPr>
              <w:t>Semiannual report of monitoring exceedances and periods of noncompliance</w:t>
            </w:r>
          </w:p>
        </w:tc>
        <w:tc>
          <w:tcPr>
            <w:tcW w:w="771" w:type="pct"/>
            <w:vAlign w:val="center"/>
          </w:tcPr>
          <w:p w14:paraId="2B7E6F30"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5</w:t>
            </w:r>
          </w:p>
        </w:tc>
        <w:tc>
          <w:tcPr>
            <w:tcW w:w="675" w:type="pct"/>
            <w:vAlign w:val="center"/>
          </w:tcPr>
          <w:p w14:paraId="2C7C4A32"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2</w:t>
            </w:r>
          </w:p>
        </w:tc>
        <w:tc>
          <w:tcPr>
            <w:tcW w:w="1059" w:type="pct"/>
            <w:vAlign w:val="center"/>
          </w:tcPr>
          <w:p w14:paraId="37373E20"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0</w:t>
            </w:r>
          </w:p>
        </w:tc>
        <w:tc>
          <w:tcPr>
            <w:tcW w:w="718" w:type="pct"/>
            <w:vAlign w:val="center"/>
          </w:tcPr>
          <w:p w14:paraId="5D5722EC"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10</w:t>
            </w:r>
          </w:p>
        </w:tc>
      </w:tr>
      <w:tr w:rsidR="003F27F5" w:rsidRPr="00374E3E" w14:paraId="4CA64D4D" w14:textId="77777777" w:rsidTr="00932658">
        <w:trPr>
          <w:trHeight w:val="288"/>
        </w:trPr>
        <w:tc>
          <w:tcPr>
            <w:tcW w:w="1777" w:type="pct"/>
            <w:vAlign w:val="center"/>
          </w:tcPr>
          <w:p w14:paraId="1FCA60C6"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374E3E">
              <w:rPr>
                <w:sz w:val="22"/>
                <w:szCs w:val="22"/>
              </w:rPr>
              <w:t>Semiannual report of no exceedances</w:t>
            </w:r>
          </w:p>
        </w:tc>
        <w:tc>
          <w:tcPr>
            <w:tcW w:w="771" w:type="pct"/>
            <w:vAlign w:val="center"/>
          </w:tcPr>
          <w:p w14:paraId="31EF55E3"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102</w:t>
            </w:r>
          </w:p>
        </w:tc>
        <w:tc>
          <w:tcPr>
            <w:tcW w:w="675" w:type="pct"/>
            <w:vAlign w:val="center"/>
          </w:tcPr>
          <w:p w14:paraId="45BEA3A8"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2</w:t>
            </w:r>
          </w:p>
        </w:tc>
        <w:tc>
          <w:tcPr>
            <w:tcW w:w="1059" w:type="pct"/>
            <w:vAlign w:val="center"/>
          </w:tcPr>
          <w:p w14:paraId="3D9934BB"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0</w:t>
            </w:r>
          </w:p>
        </w:tc>
        <w:tc>
          <w:tcPr>
            <w:tcW w:w="718" w:type="pct"/>
            <w:vAlign w:val="center"/>
          </w:tcPr>
          <w:p w14:paraId="3988B576"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204</w:t>
            </w:r>
          </w:p>
        </w:tc>
      </w:tr>
      <w:tr w:rsidR="003F27F5" w:rsidRPr="00374E3E" w14:paraId="5EE05255" w14:textId="77777777" w:rsidTr="00932658">
        <w:trPr>
          <w:trHeight w:val="288"/>
        </w:trPr>
        <w:tc>
          <w:tcPr>
            <w:tcW w:w="1777" w:type="pct"/>
            <w:vAlign w:val="center"/>
          </w:tcPr>
          <w:p w14:paraId="22F07038"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rPr>
                <w:b/>
                <w:color w:val="000000"/>
                <w:sz w:val="22"/>
                <w:szCs w:val="22"/>
              </w:rPr>
            </w:pPr>
          </w:p>
        </w:tc>
        <w:tc>
          <w:tcPr>
            <w:tcW w:w="771" w:type="pct"/>
            <w:vAlign w:val="center"/>
          </w:tcPr>
          <w:p w14:paraId="7D0DE7BC"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p>
        </w:tc>
        <w:tc>
          <w:tcPr>
            <w:tcW w:w="675" w:type="pct"/>
            <w:vAlign w:val="center"/>
          </w:tcPr>
          <w:p w14:paraId="19801DDF"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p>
        </w:tc>
        <w:tc>
          <w:tcPr>
            <w:tcW w:w="1059" w:type="pct"/>
            <w:vAlign w:val="center"/>
          </w:tcPr>
          <w:p w14:paraId="6306B02D" w14:textId="77777777"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r w:rsidRPr="00374E3E">
              <w:rPr>
                <w:b/>
                <w:color w:val="000000"/>
                <w:sz w:val="22"/>
                <w:szCs w:val="22"/>
              </w:rPr>
              <w:t>Total</w:t>
            </w:r>
          </w:p>
        </w:tc>
        <w:tc>
          <w:tcPr>
            <w:tcW w:w="718" w:type="pct"/>
            <w:vAlign w:val="center"/>
          </w:tcPr>
          <w:p w14:paraId="12A1A915" w14:textId="0D27ED8E" w:rsidR="003F27F5" w:rsidRPr="00374E3E" w:rsidRDefault="003F27F5" w:rsidP="00932658">
            <w:pPr>
              <w:pBdr>
                <w:top w:val="single" w:sz="6" w:space="0" w:color="FFFFFF"/>
                <w:left w:val="single" w:sz="6" w:space="0" w:color="FFFFFF"/>
                <w:bottom w:val="single" w:sz="6" w:space="0" w:color="FFFFFF"/>
                <w:right w:val="single" w:sz="6" w:space="0" w:color="FFFFFF"/>
              </w:pBdr>
              <w:spacing w:after="52"/>
              <w:jc w:val="center"/>
              <w:rPr>
                <w:b/>
                <w:color w:val="FF0000"/>
                <w:sz w:val="22"/>
                <w:szCs w:val="22"/>
              </w:rPr>
            </w:pPr>
            <w:r>
              <w:rPr>
                <w:b/>
                <w:sz w:val="22"/>
                <w:szCs w:val="22"/>
              </w:rPr>
              <w:t>348</w:t>
            </w:r>
          </w:p>
        </w:tc>
      </w:tr>
    </w:tbl>
    <w:p w14:paraId="34504FD3" w14:textId="77777777" w:rsidR="004962EC" w:rsidRPr="00262B0C" w:rsidRDefault="004962EC" w:rsidP="004962EC">
      <w:pPr>
        <w:pBdr>
          <w:top w:val="single" w:sz="6" w:space="0" w:color="FFFFFF"/>
          <w:left w:val="single" w:sz="6" w:space="0" w:color="FFFFFF"/>
          <w:bottom w:val="single" w:sz="6" w:space="23" w:color="FFFFFF"/>
          <w:right w:val="single" w:sz="6" w:space="0" w:color="FFFFFF"/>
        </w:pBdr>
      </w:pPr>
    </w:p>
    <w:p w14:paraId="081310BF" w14:textId="3A18B296" w:rsidR="004962EC" w:rsidRPr="00262B0C" w:rsidRDefault="004962EC" w:rsidP="004962EC">
      <w:pPr>
        <w:pBdr>
          <w:top w:val="single" w:sz="6" w:space="0" w:color="FFFFFF"/>
          <w:left w:val="single" w:sz="6" w:space="0" w:color="FFFFFF"/>
          <w:bottom w:val="single" w:sz="6" w:space="23" w:color="FFFFFF"/>
          <w:right w:val="single" w:sz="6" w:space="0" w:color="FFFFFF"/>
        </w:pBdr>
        <w:ind w:firstLine="720"/>
      </w:pPr>
      <w:r w:rsidRPr="00262B0C">
        <w:t xml:space="preserve">The number of Total Annual Responses is </w:t>
      </w:r>
      <w:r w:rsidR="003F27F5">
        <w:t>348</w:t>
      </w:r>
      <w:r w:rsidR="00A568D1">
        <w:t>.</w:t>
      </w:r>
    </w:p>
    <w:p w14:paraId="5E76209D" w14:textId="77777777" w:rsidR="004962EC" w:rsidRPr="00262B0C" w:rsidRDefault="004962EC" w:rsidP="004962EC">
      <w:pPr>
        <w:pBdr>
          <w:top w:val="single" w:sz="6" w:space="0" w:color="FFFFFF"/>
          <w:left w:val="single" w:sz="6" w:space="0" w:color="FFFFFF"/>
          <w:bottom w:val="single" w:sz="6" w:space="23" w:color="FFFFFF"/>
          <w:right w:val="single" w:sz="6" w:space="0" w:color="FFFFFF"/>
        </w:pBdr>
        <w:ind w:firstLine="720"/>
      </w:pPr>
    </w:p>
    <w:p w14:paraId="74CE0DD5" w14:textId="22A7896A" w:rsidR="004962EC" w:rsidRPr="00262B0C" w:rsidRDefault="004962EC" w:rsidP="004962EC">
      <w:pPr>
        <w:pBdr>
          <w:top w:val="single" w:sz="6" w:space="0" w:color="FFFFFF"/>
          <w:left w:val="single" w:sz="6" w:space="0" w:color="FFFFFF"/>
          <w:bottom w:val="single" w:sz="6" w:space="23" w:color="FFFFFF"/>
          <w:right w:val="single" w:sz="6" w:space="0" w:color="FFFFFF"/>
        </w:pBdr>
        <w:ind w:firstLine="720"/>
      </w:pPr>
      <w:r w:rsidRPr="00262B0C">
        <w:t xml:space="preserve">The total annual labor costs are </w:t>
      </w:r>
      <w:r w:rsidR="009F53A4">
        <w:t>$</w:t>
      </w:r>
      <w:r w:rsidR="003F27F5">
        <w:rPr>
          <w:color w:val="000000"/>
        </w:rPr>
        <w:t>13,900,000</w:t>
      </w:r>
      <w:r w:rsidR="00D64CD1" w:rsidRPr="00AB77D4">
        <w:t>.</w:t>
      </w:r>
      <w:r w:rsidR="00D64CD1">
        <w:t xml:space="preserve"> </w:t>
      </w:r>
      <w:r w:rsidRPr="00262B0C">
        <w:t xml:space="preserve">Details regarding these estimates may </w:t>
      </w:r>
      <w:r w:rsidR="00326FDF">
        <w:t xml:space="preserve">      </w:t>
      </w:r>
      <w:r w:rsidRPr="00262B0C">
        <w:t xml:space="preserve">be found below in Table 1: Annual Respondent Burden and Cost – NESHAP for </w:t>
      </w:r>
      <w:r w:rsidR="00264789">
        <w:t xml:space="preserve">Chemical Recovery Combustion Sources at Kraft, Soda, Sulfite, and Stand-Alone Semichemical Pulp </w:t>
      </w:r>
      <w:r w:rsidR="00326FDF">
        <w:t xml:space="preserve"> </w:t>
      </w:r>
      <w:r w:rsidR="00264789">
        <w:t>Mills</w:t>
      </w:r>
      <w:r w:rsidRPr="00262B0C">
        <w:rPr>
          <w:bCs/>
        </w:rPr>
        <w:t xml:space="preserve"> (40 CFR Part 63, </w:t>
      </w:r>
      <w:r w:rsidR="00264789">
        <w:rPr>
          <w:bCs/>
        </w:rPr>
        <w:t>Subpart MM</w:t>
      </w:r>
      <w:r w:rsidRPr="00262B0C">
        <w:t>) (Renewal).</w:t>
      </w:r>
    </w:p>
    <w:p w14:paraId="1FF5ACAD" w14:textId="77777777" w:rsidR="004962EC" w:rsidRDefault="004962EC" w:rsidP="004962EC">
      <w:pPr>
        <w:pBdr>
          <w:top w:val="single" w:sz="6" w:space="0" w:color="FFFFFF"/>
          <w:left w:val="single" w:sz="6" w:space="0" w:color="FFFFFF"/>
          <w:bottom w:val="single" w:sz="6" w:space="23" w:color="FFFFFF"/>
          <w:right w:val="single" w:sz="6" w:space="0" w:color="FFFFFF"/>
        </w:pBdr>
        <w:rPr>
          <w:color w:val="FF0000"/>
        </w:rPr>
      </w:pPr>
    </w:p>
    <w:p w14:paraId="2EEE2BE9" w14:textId="77777777" w:rsidR="004962EC" w:rsidRDefault="004962EC" w:rsidP="004962EC">
      <w:pPr>
        <w:pBdr>
          <w:top w:val="single" w:sz="6" w:space="0" w:color="FFFFFF"/>
          <w:left w:val="single" w:sz="6" w:space="0" w:color="FFFFFF"/>
          <w:bottom w:val="single" w:sz="6" w:space="23" w:color="FFFFFF"/>
          <w:right w:val="single" w:sz="6" w:space="0" w:color="FFFFFF"/>
        </w:pBdr>
        <w:ind w:firstLine="720"/>
        <w:rPr>
          <w:color w:val="000000"/>
        </w:rPr>
      </w:pPr>
      <w:r>
        <w:rPr>
          <w:b/>
          <w:bCs/>
          <w:color w:val="000000"/>
        </w:rPr>
        <w:t>6(e)  Bottom Line Burden Hours and Cost Tables</w:t>
      </w:r>
    </w:p>
    <w:p w14:paraId="021752EE" w14:textId="77777777" w:rsidR="004962EC" w:rsidRDefault="004962EC" w:rsidP="004962EC">
      <w:pPr>
        <w:pBdr>
          <w:top w:val="single" w:sz="6" w:space="0" w:color="FFFFFF"/>
          <w:left w:val="single" w:sz="6" w:space="0" w:color="FFFFFF"/>
          <w:bottom w:val="single" w:sz="6" w:space="23" w:color="FFFFFF"/>
          <w:right w:val="single" w:sz="6" w:space="0" w:color="FFFFFF"/>
        </w:pBdr>
        <w:rPr>
          <w:color w:val="000000"/>
        </w:rPr>
      </w:pPr>
    </w:p>
    <w:p w14:paraId="53D51A4D" w14:textId="437BDEA3" w:rsidR="004962EC" w:rsidRDefault="004962EC" w:rsidP="004962EC">
      <w:pPr>
        <w:pBdr>
          <w:top w:val="single" w:sz="6" w:space="0" w:color="FFFFFF"/>
          <w:left w:val="single" w:sz="6" w:space="0" w:color="FFFFFF"/>
          <w:bottom w:val="single" w:sz="6" w:space="23" w:color="FFFFFF"/>
          <w:right w:val="single" w:sz="6" w:space="0" w:color="FFFFFF"/>
        </w:pBdr>
        <w:ind w:firstLine="720"/>
        <w:rPr>
          <w:color w:val="000000"/>
        </w:rPr>
      </w:pPr>
      <w:r>
        <w:rPr>
          <w:color w:val="000000"/>
        </w:rPr>
        <w:t xml:space="preserve">The detailed bottom line burden hours and cost calculations for the respondents and </w:t>
      </w:r>
      <w:r w:rsidR="0011006C">
        <w:rPr>
          <w:color w:val="000000"/>
        </w:rPr>
        <w:t xml:space="preserve">     </w:t>
      </w:r>
      <w:r>
        <w:rPr>
          <w:color w:val="000000"/>
        </w:rPr>
        <w:t xml:space="preserve">the Agency are shown </w:t>
      </w:r>
      <w:r w:rsidR="00326FDF">
        <w:rPr>
          <w:color w:val="000000"/>
        </w:rPr>
        <w:t xml:space="preserve">below </w:t>
      </w:r>
      <w:r>
        <w:rPr>
          <w:color w:val="000000"/>
        </w:rPr>
        <w:t>in Tables 1 and 2, respectively, and</w:t>
      </w:r>
      <w:r w:rsidR="00326FDF">
        <w:rPr>
          <w:color w:val="000000"/>
        </w:rPr>
        <w:t xml:space="preserve"> </w:t>
      </w:r>
      <w:r>
        <w:rPr>
          <w:color w:val="000000"/>
        </w:rPr>
        <w:t>summarized below</w:t>
      </w:r>
      <w:r w:rsidR="0011006C">
        <w:rPr>
          <w:color w:val="000000"/>
        </w:rPr>
        <w:t xml:space="preserve"> as well</w:t>
      </w:r>
      <w:r w:rsidR="00D64CD1">
        <w:rPr>
          <w:color w:val="000000"/>
        </w:rPr>
        <w:t xml:space="preserve">. </w:t>
      </w:r>
    </w:p>
    <w:p w14:paraId="315ECB66" w14:textId="77777777" w:rsidR="004962EC" w:rsidRDefault="004962EC" w:rsidP="004962EC">
      <w:pPr>
        <w:pBdr>
          <w:top w:val="single" w:sz="6" w:space="0" w:color="FFFFFF"/>
          <w:left w:val="single" w:sz="6" w:space="0" w:color="FFFFFF"/>
          <w:bottom w:val="single" w:sz="6" w:space="23" w:color="FFFFFF"/>
          <w:right w:val="single" w:sz="6" w:space="0" w:color="FFFFFF"/>
        </w:pBdr>
        <w:rPr>
          <w:color w:val="000000"/>
        </w:rPr>
      </w:pPr>
    </w:p>
    <w:p w14:paraId="1CADE737" w14:textId="77777777" w:rsidR="004962EC" w:rsidRDefault="004962EC" w:rsidP="004962EC">
      <w:pPr>
        <w:pBdr>
          <w:top w:val="single" w:sz="6" w:space="0" w:color="FFFFFF"/>
          <w:left w:val="single" w:sz="6" w:space="0" w:color="FFFFFF"/>
          <w:bottom w:val="single" w:sz="6" w:space="23" w:color="FFFFFF"/>
          <w:right w:val="single" w:sz="6" w:space="0" w:color="FFFFFF"/>
        </w:pBdr>
        <w:ind w:firstLine="1440"/>
        <w:outlineLvl w:val="0"/>
        <w:rPr>
          <w:color w:val="000000"/>
        </w:rPr>
      </w:pPr>
      <w:r>
        <w:rPr>
          <w:b/>
          <w:bCs/>
          <w:color w:val="000000"/>
        </w:rPr>
        <w:t>(i) Respondent Tally</w:t>
      </w:r>
    </w:p>
    <w:p w14:paraId="568BF6AE" w14:textId="77777777" w:rsidR="004962EC" w:rsidRDefault="004962EC" w:rsidP="004962EC">
      <w:pPr>
        <w:pBdr>
          <w:top w:val="single" w:sz="6" w:space="0" w:color="FFFFFF"/>
          <w:left w:val="single" w:sz="6" w:space="0" w:color="FFFFFF"/>
          <w:bottom w:val="single" w:sz="6" w:space="23" w:color="FFFFFF"/>
          <w:right w:val="single" w:sz="6" w:space="0" w:color="FFFFFF"/>
        </w:pBdr>
        <w:rPr>
          <w:color w:val="000000"/>
        </w:rPr>
      </w:pPr>
    </w:p>
    <w:p w14:paraId="528358E9" w14:textId="320B3B50" w:rsidR="004962EC" w:rsidRDefault="004962EC" w:rsidP="004962EC">
      <w:pPr>
        <w:pBdr>
          <w:top w:val="single" w:sz="6" w:space="0" w:color="FFFFFF"/>
          <w:left w:val="single" w:sz="6" w:space="0" w:color="FFFFFF"/>
          <w:bottom w:val="single" w:sz="6" w:space="23" w:color="FFFFFF"/>
          <w:right w:val="single" w:sz="6" w:space="0" w:color="FFFFFF"/>
        </w:pBdr>
        <w:ind w:firstLine="720"/>
        <w:rPr>
          <w:color w:val="FF0000"/>
        </w:rPr>
      </w:pPr>
      <w:r>
        <w:rPr>
          <w:color w:val="000000"/>
        </w:rPr>
        <w:t xml:space="preserve">The total annual labor hours are </w:t>
      </w:r>
      <w:r w:rsidR="003F27F5">
        <w:rPr>
          <w:color w:val="000000"/>
        </w:rPr>
        <w:t>122,000</w:t>
      </w:r>
      <w:r w:rsidR="00326FDF">
        <w:rPr>
          <w:color w:val="000000"/>
        </w:rPr>
        <w:t xml:space="preserve"> hours</w:t>
      </w:r>
      <w:r w:rsidR="00D64CD1">
        <w:rPr>
          <w:color w:val="000000"/>
        </w:rPr>
        <w:t xml:space="preserve">. </w:t>
      </w:r>
      <w:r>
        <w:rPr>
          <w:color w:val="000000"/>
        </w:rPr>
        <w:t xml:space="preserve">Details regarding these estimates may </w:t>
      </w:r>
      <w:r w:rsidR="00326FDF">
        <w:rPr>
          <w:color w:val="000000"/>
        </w:rPr>
        <w:t xml:space="preserve">  </w:t>
      </w:r>
      <w:r>
        <w:rPr>
          <w:color w:val="000000"/>
        </w:rPr>
        <w:t>be found</w:t>
      </w:r>
      <w:r w:rsidR="00326FDF">
        <w:rPr>
          <w:color w:val="000000"/>
        </w:rPr>
        <w:t xml:space="preserve"> below</w:t>
      </w:r>
      <w:r>
        <w:rPr>
          <w:color w:val="000000"/>
        </w:rPr>
        <w:t xml:space="preserve"> in Table 1</w:t>
      </w:r>
      <w:r w:rsidR="00326FDF">
        <w:rPr>
          <w:color w:val="000000"/>
        </w:rPr>
        <w:t>:</w:t>
      </w:r>
      <w:r w:rsidR="00D64CD1">
        <w:rPr>
          <w:color w:val="000000"/>
        </w:rPr>
        <w:t xml:space="preserve"> </w:t>
      </w:r>
      <w:r>
        <w:rPr>
          <w:color w:val="000000"/>
        </w:rPr>
        <w:t>Annual Respondent Burden and Cos</w:t>
      </w:r>
      <w:r w:rsidRPr="00BA372A">
        <w:t xml:space="preserve">t – NESHAP for </w:t>
      </w:r>
      <w:r w:rsidR="00264789">
        <w:t>Chemical Recovery Combustion Sources at Kraft, Soda, Sulfite, and Stand-Alone Semichemical Pulp Mills</w:t>
      </w:r>
      <w:r w:rsidRPr="00BA372A">
        <w:rPr>
          <w:bCs/>
        </w:rPr>
        <w:t xml:space="preserve"> (40 CFR Part 63, </w:t>
      </w:r>
      <w:r w:rsidR="00264789">
        <w:rPr>
          <w:bCs/>
        </w:rPr>
        <w:t>Subpart MM</w:t>
      </w:r>
      <w:r w:rsidRPr="00BA372A">
        <w:t>) (Renewal).</w:t>
      </w:r>
    </w:p>
    <w:p w14:paraId="13F6CB79" w14:textId="77777777" w:rsidR="004962EC" w:rsidRDefault="004962EC" w:rsidP="004962EC">
      <w:pPr>
        <w:pBdr>
          <w:top w:val="single" w:sz="6" w:space="0" w:color="FFFFFF"/>
          <w:left w:val="single" w:sz="6" w:space="0" w:color="FFFFFF"/>
          <w:bottom w:val="single" w:sz="6" w:space="23" w:color="FFFFFF"/>
          <w:right w:val="single" w:sz="6" w:space="0" w:color="FFFFFF"/>
        </w:pBdr>
        <w:ind w:firstLine="720"/>
        <w:rPr>
          <w:color w:val="000000"/>
        </w:rPr>
      </w:pPr>
    </w:p>
    <w:p w14:paraId="3B1272A7" w14:textId="7B8976CB" w:rsidR="004962EC" w:rsidRDefault="004962EC" w:rsidP="004962EC">
      <w:pPr>
        <w:pBdr>
          <w:top w:val="single" w:sz="6" w:space="0" w:color="FFFFFF"/>
          <w:left w:val="single" w:sz="6" w:space="0" w:color="FFFFFF"/>
          <w:bottom w:val="single" w:sz="6" w:space="23"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3F27F5">
        <w:rPr>
          <w:color w:val="000000"/>
        </w:rPr>
        <w:t>350</w:t>
      </w:r>
      <w:r>
        <w:rPr>
          <w:color w:val="000000"/>
        </w:rPr>
        <w:t xml:space="preserve"> hours per response.</w:t>
      </w:r>
    </w:p>
    <w:p w14:paraId="4DC5359A" w14:textId="77777777" w:rsidR="004962EC" w:rsidRDefault="004962EC" w:rsidP="004962EC">
      <w:pPr>
        <w:pBdr>
          <w:top w:val="single" w:sz="6" w:space="0" w:color="FFFFFF"/>
          <w:left w:val="single" w:sz="6" w:space="0" w:color="FFFFFF"/>
          <w:bottom w:val="single" w:sz="6" w:space="23" w:color="FFFFFF"/>
          <w:right w:val="single" w:sz="6" w:space="0" w:color="FFFFFF"/>
        </w:pBdr>
        <w:ind w:firstLine="720"/>
        <w:rPr>
          <w:color w:val="000000"/>
        </w:rPr>
      </w:pPr>
    </w:p>
    <w:p w14:paraId="21A632FC" w14:textId="659749CF" w:rsidR="004962EC" w:rsidRDefault="004962EC" w:rsidP="004962EC">
      <w:pPr>
        <w:pBdr>
          <w:top w:val="single" w:sz="6" w:space="0" w:color="FFFFFF"/>
          <w:left w:val="single" w:sz="6" w:space="0" w:color="FFFFFF"/>
          <w:bottom w:val="single" w:sz="6" w:space="23" w:color="FFFFFF"/>
          <w:right w:val="single" w:sz="6" w:space="0" w:color="FFFFFF"/>
        </w:pBdr>
        <w:ind w:firstLine="720"/>
        <w:rPr>
          <w:color w:val="000000"/>
        </w:rPr>
      </w:pPr>
      <w:r>
        <w:rPr>
          <w:color w:val="000000"/>
        </w:rPr>
        <w:t>The total annual capital/startup and O&amp;M costs to the regulated entity are $</w:t>
      </w:r>
      <w:r w:rsidR="00B2268B" w:rsidRPr="00B2268B">
        <w:t>8</w:t>
      </w:r>
      <w:r w:rsidR="003F27F5">
        <w:t>31</w:t>
      </w:r>
      <w:r w:rsidR="00AB77D4" w:rsidRPr="00B2268B">
        <w:t>,000</w:t>
      </w:r>
      <w:r w:rsidR="00D64CD1" w:rsidRPr="00AB77D4">
        <w:rPr>
          <w:color w:val="000000"/>
        </w:rPr>
        <w:t>.</w:t>
      </w:r>
      <w:r w:rsidR="00D64CD1">
        <w:rPr>
          <w:color w:val="000000"/>
        </w:rPr>
        <w:t xml:space="preserve"> </w:t>
      </w:r>
      <w:r>
        <w:rPr>
          <w:color w:val="000000"/>
        </w:rPr>
        <w:t>The cost calculations are detailed in Section 6(b)(iii), Capital/Startup vs. Operation and Maintenance (O&amp;M) Costs.</w:t>
      </w:r>
    </w:p>
    <w:p w14:paraId="7FFE9F72" w14:textId="77777777" w:rsidR="004962EC" w:rsidRDefault="004962EC" w:rsidP="004962EC">
      <w:pPr>
        <w:pBdr>
          <w:top w:val="single" w:sz="6" w:space="0" w:color="FFFFFF"/>
          <w:left w:val="single" w:sz="6" w:space="0" w:color="FFFFFF"/>
          <w:bottom w:val="single" w:sz="6" w:space="23" w:color="FFFFFF"/>
          <w:right w:val="single" w:sz="6" w:space="0" w:color="FFFFFF"/>
        </w:pBdr>
        <w:ind w:firstLine="2160"/>
        <w:rPr>
          <w:color w:val="000000"/>
        </w:rPr>
      </w:pPr>
    </w:p>
    <w:p w14:paraId="6637D791" w14:textId="77777777" w:rsidR="004962EC" w:rsidRDefault="004962EC" w:rsidP="004962EC">
      <w:pPr>
        <w:pBdr>
          <w:top w:val="single" w:sz="6" w:space="0" w:color="FFFFFF"/>
          <w:left w:val="single" w:sz="6" w:space="0" w:color="FFFFFF"/>
          <w:bottom w:val="single" w:sz="6" w:space="23" w:color="FFFFFF"/>
          <w:right w:val="single" w:sz="6" w:space="0" w:color="FFFFFF"/>
        </w:pBdr>
        <w:ind w:firstLine="1440"/>
        <w:outlineLvl w:val="0"/>
        <w:rPr>
          <w:color w:val="000000"/>
        </w:rPr>
      </w:pPr>
      <w:r>
        <w:rPr>
          <w:b/>
          <w:bCs/>
          <w:color w:val="000000"/>
        </w:rPr>
        <w:t>(ii) The Agency Tally</w:t>
      </w:r>
    </w:p>
    <w:p w14:paraId="0755B8F6" w14:textId="77777777" w:rsidR="004962EC" w:rsidRDefault="004962EC" w:rsidP="004962EC">
      <w:pPr>
        <w:pBdr>
          <w:top w:val="single" w:sz="6" w:space="0" w:color="FFFFFF"/>
          <w:left w:val="single" w:sz="6" w:space="0" w:color="FFFFFF"/>
          <w:bottom w:val="single" w:sz="6" w:space="23" w:color="FFFFFF"/>
          <w:right w:val="single" w:sz="6" w:space="0" w:color="FFFFFF"/>
        </w:pBdr>
        <w:rPr>
          <w:color w:val="FF0000"/>
        </w:rPr>
      </w:pPr>
    </w:p>
    <w:p w14:paraId="7EA55C54" w14:textId="1FF9668E" w:rsidR="004962EC" w:rsidRPr="00144F35" w:rsidRDefault="004962EC" w:rsidP="004962EC">
      <w:pPr>
        <w:pBdr>
          <w:top w:val="single" w:sz="6" w:space="0" w:color="FFFFFF"/>
          <w:left w:val="single" w:sz="6" w:space="0" w:color="FFFFFF"/>
          <w:bottom w:val="single" w:sz="6" w:space="23" w:color="FFFFFF"/>
          <w:right w:val="single" w:sz="6" w:space="0" w:color="FFFFFF"/>
        </w:pBdr>
        <w:ind w:firstLine="720"/>
        <w:rPr>
          <w:color w:val="000000"/>
        </w:rPr>
      </w:pPr>
      <w:r>
        <w:rPr>
          <w:color w:val="000000"/>
        </w:rPr>
        <w:t xml:space="preserve">The average annual Agency burden and cost over next three years is estimated to be </w:t>
      </w:r>
      <w:r w:rsidR="003F27F5">
        <w:rPr>
          <w:color w:val="000000"/>
        </w:rPr>
        <w:t>893</w:t>
      </w:r>
      <w:r>
        <w:rPr>
          <w:color w:val="000000"/>
        </w:rPr>
        <w:t xml:space="preserve"> labor hours at a cost of $</w:t>
      </w:r>
      <w:r w:rsidR="003F27F5">
        <w:rPr>
          <w:color w:val="000000"/>
        </w:rPr>
        <w:t>44,400</w:t>
      </w:r>
      <w:r w:rsidR="00326FDF">
        <w:rPr>
          <w:color w:val="000000"/>
        </w:rPr>
        <w:t>; s</w:t>
      </w:r>
      <w:r w:rsidRPr="00AB77D4">
        <w:rPr>
          <w:color w:val="000000"/>
        </w:rPr>
        <w:t>ee</w:t>
      </w:r>
      <w:r>
        <w:rPr>
          <w:color w:val="000000"/>
        </w:rPr>
        <w:t xml:space="preserve"> </w:t>
      </w:r>
      <w:r w:rsidR="00326FDF">
        <w:rPr>
          <w:color w:val="000000"/>
        </w:rPr>
        <w:t xml:space="preserve">below in </w:t>
      </w:r>
      <w:r>
        <w:rPr>
          <w:color w:val="000000"/>
        </w:rPr>
        <w:t xml:space="preserve">Table 2: </w:t>
      </w:r>
      <w:r w:rsidRPr="00CF2B37">
        <w:t xml:space="preserve">Average Annual EPA Burden </w:t>
      </w:r>
      <w:r w:rsidRPr="00BA372A">
        <w:t xml:space="preserve">and Cost – NESHAP for </w:t>
      </w:r>
      <w:r w:rsidR="00264789">
        <w:t>Chemical Recovery Combustion Sources at Kraft, Soda, Sulfite, and Stand-Alone Semichemical Pulp Mills</w:t>
      </w:r>
      <w:r w:rsidRPr="00BA372A">
        <w:rPr>
          <w:bCs/>
        </w:rPr>
        <w:t xml:space="preserve"> (40 CFR Part 63, </w:t>
      </w:r>
      <w:r w:rsidR="00264789">
        <w:rPr>
          <w:bCs/>
        </w:rPr>
        <w:t>Subpart MM</w:t>
      </w:r>
      <w:r w:rsidRPr="00BA372A">
        <w:t>) (Renewal).</w:t>
      </w:r>
    </w:p>
    <w:p w14:paraId="28D3EDBD" w14:textId="77777777" w:rsidR="004962EC" w:rsidRDefault="004962EC" w:rsidP="004962EC">
      <w:pPr>
        <w:pBdr>
          <w:top w:val="single" w:sz="6" w:space="0" w:color="FFFFFF"/>
          <w:left w:val="single" w:sz="6" w:space="0" w:color="FFFFFF"/>
          <w:bottom w:val="single" w:sz="6" w:space="23" w:color="FFFFFF"/>
          <w:right w:val="single" w:sz="6" w:space="0" w:color="FFFFFF"/>
        </w:pBdr>
        <w:rPr>
          <w:color w:val="FF0000"/>
        </w:rPr>
      </w:pPr>
    </w:p>
    <w:p w14:paraId="5F9B3FEC" w14:textId="77777777" w:rsidR="00326FDF" w:rsidRDefault="00326FDF" w:rsidP="003F27F5">
      <w:pPr>
        <w:pBdr>
          <w:top w:val="single" w:sz="6" w:space="0" w:color="FFFFFF"/>
          <w:left w:val="single" w:sz="6" w:space="0" w:color="FFFFFF"/>
          <w:bottom w:val="single" w:sz="6" w:space="23" w:color="FFFFFF"/>
          <w:right w:val="single" w:sz="6" w:space="0" w:color="FFFFFF"/>
        </w:pBdr>
        <w:ind w:firstLine="720"/>
        <w:rPr>
          <w:b/>
          <w:bCs/>
          <w:color w:val="000000"/>
        </w:rPr>
      </w:pPr>
    </w:p>
    <w:p w14:paraId="0A237CC9" w14:textId="117F66E6" w:rsidR="003F27F5" w:rsidRDefault="004962EC" w:rsidP="003F27F5">
      <w:pPr>
        <w:pBdr>
          <w:top w:val="single" w:sz="6" w:space="0" w:color="FFFFFF"/>
          <w:left w:val="single" w:sz="6" w:space="0" w:color="FFFFFF"/>
          <w:bottom w:val="single" w:sz="6" w:space="23" w:color="FFFFFF"/>
          <w:right w:val="single" w:sz="6" w:space="0" w:color="FFFFFF"/>
        </w:pBdr>
        <w:ind w:firstLine="720"/>
        <w:rPr>
          <w:b/>
          <w:bCs/>
        </w:rPr>
      </w:pPr>
      <w:r>
        <w:rPr>
          <w:b/>
          <w:bCs/>
          <w:color w:val="000000"/>
        </w:rPr>
        <w:t xml:space="preserve">6(f)  Reasons </w:t>
      </w:r>
      <w:r w:rsidRPr="00262B0C">
        <w:rPr>
          <w:b/>
          <w:bCs/>
        </w:rPr>
        <w:t>for Change in Burden</w:t>
      </w:r>
    </w:p>
    <w:p w14:paraId="03F18C68" w14:textId="77777777" w:rsidR="003F27F5" w:rsidRDefault="003F27F5" w:rsidP="003F27F5">
      <w:pPr>
        <w:pBdr>
          <w:top w:val="single" w:sz="6" w:space="0" w:color="FFFFFF"/>
          <w:left w:val="single" w:sz="6" w:space="0" w:color="FFFFFF"/>
          <w:bottom w:val="single" w:sz="6" w:space="23" w:color="FFFFFF"/>
          <w:right w:val="single" w:sz="6" w:space="0" w:color="FFFFFF"/>
        </w:pBdr>
        <w:ind w:firstLine="720"/>
      </w:pPr>
    </w:p>
    <w:p w14:paraId="4A861C70" w14:textId="550E88BD" w:rsidR="00857CBD" w:rsidRDefault="00447C24" w:rsidP="00857CBD">
      <w:pPr>
        <w:pBdr>
          <w:top w:val="single" w:sz="6" w:space="0" w:color="FFFFFF"/>
          <w:left w:val="single" w:sz="6" w:space="0" w:color="FFFFFF"/>
          <w:bottom w:val="single" w:sz="6" w:space="23" w:color="FFFFFF"/>
          <w:right w:val="single" w:sz="6" w:space="0" w:color="FFFFFF"/>
        </w:pBdr>
        <w:ind w:firstLine="720"/>
      </w:pPr>
      <w:bookmarkStart w:id="1" w:name="_Hlk526436804"/>
      <w:r>
        <w:t>This ICR includes</w:t>
      </w:r>
      <w:r w:rsidR="001D7D38" w:rsidRPr="001D7D38">
        <w:t xml:space="preserve"> </w:t>
      </w:r>
      <w:r w:rsidR="00857CBD">
        <w:t xml:space="preserve">a </w:t>
      </w:r>
      <w:r w:rsidR="00857CBD" w:rsidRPr="00B2268B">
        <w:t xml:space="preserve">more accurate estimate of </w:t>
      </w:r>
      <w:r w:rsidR="000C263B">
        <w:t xml:space="preserve">the number of </w:t>
      </w:r>
      <w:r w:rsidR="00857CBD">
        <w:t xml:space="preserve">new </w:t>
      </w:r>
      <w:r w:rsidR="005F52CE">
        <w:t>respondent</w:t>
      </w:r>
      <w:r w:rsidR="00857CBD">
        <w:t xml:space="preserve">s based on </w:t>
      </w:r>
      <w:r w:rsidR="00857CBD" w:rsidRPr="00B2268B">
        <w:t xml:space="preserve">EPA’s recent </w:t>
      </w:r>
      <w:r w:rsidR="000C263B">
        <w:t>consultations with industry trade groups</w:t>
      </w:r>
      <w:r w:rsidR="00857CBD" w:rsidRPr="00B2268B">
        <w:t xml:space="preserve">, which indicated that </w:t>
      </w:r>
      <w:r w:rsidR="00857CBD">
        <w:t>one new facility will start up in the third year of this information collection</w:t>
      </w:r>
      <w:r w:rsidR="00666646">
        <w:t>, in addition to the one new respondent per year that is an existing facility constructing new process units</w:t>
      </w:r>
      <w:r>
        <w:t xml:space="preserve">. </w:t>
      </w:r>
      <w:bookmarkStart w:id="2" w:name="_Hlk526436935"/>
      <w:r>
        <w:t xml:space="preserve">This ICR also </w:t>
      </w:r>
      <w:r w:rsidR="00261117">
        <w:t xml:space="preserve">updates </w:t>
      </w:r>
      <w:r>
        <w:t>the</w:t>
      </w:r>
      <w:r w:rsidRPr="001D7D38">
        <w:t xml:space="preserve"> burden associated with the October 11, 2017 RTR amendments</w:t>
      </w:r>
      <w:r w:rsidR="00261117">
        <w:t>, including removing first-year costs associated with the amendments, and accounting for the remaining one-time burden for facilities that applies through October 2020.</w:t>
      </w:r>
      <w:bookmarkEnd w:id="2"/>
    </w:p>
    <w:bookmarkEnd w:id="1"/>
    <w:p w14:paraId="0117FF18" w14:textId="77777777" w:rsidR="007D721E" w:rsidRDefault="007D721E" w:rsidP="000C263B">
      <w:pPr>
        <w:pBdr>
          <w:top w:val="single" w:sz="6" w:space="0" w:color="FFFFFF"/>
          <w:left w:val="single" w:sz="6" w:space="0" w:color="FFFFFF"/>
          <w:bottom w:val="single" w:sz="6" w:space="23" w:color="FFFFFF"/>
          <w:right w:val="single" w:sz="6" w:space="0" w:color="FFFFFF"/>
        </w:pBdr>
        <w:rPr>
          <w:b/>
          <w:bCs/>
        </w:rPr>
      </w:pPr>
    </w:p>
    <w:p w14:paraId="4520D09B" w14:textId="77777777" w:rsidR="007D721E" w:rsidRDefault="004962EC" w:rsidP="007D721E">
      <w:pPr>
        <w:pBdr>
          <w:top w:val="single" w:sz="6" w:space="0" w:color="FFFFFF"/>
          <w:left w:val="single" w:sz="6" w:space="0" w:color="FFFFFF"/>
          <w:bottom w:val="single" w:sz="6" w:space="23" w:color="FFFFFF"/>
          <w:right w:val="single" w:sz="6" w:space="0" w:color="FFFFFF"/>
        </w:pBdr>
        <w:ind w:firstLine="720"/>
        <w:rPr>
          <w:b/>
          <w:bCs/>
        </w:rPr>
      </w:pPr>
      <w:r w:rsidRPr="00262B0C">
        <w:rPr>
          <w:b/>
          <w:bCs/>
        </w:rPr>
        <w:t>6(g)  Burden Statement</w:t>
      </w:r>
    </w:p>
    <w:p w14:paraId="035ABD4A" w14:textId="77777777" w:rsidR="007D721E" w:rsidRDefault="007D721E" w:rsidP="007D721E">
      <w:pPr>
        <w:pBdr>
          <w:top w:val="single" w:sz="6" w:space="0" w:color="FFFFFF"/>
          <w:left w:val="single" w:sz="6" w:space="0" w:color="FFFFFF"/>
          <w:bottom w:val="single" w:sz="6" w:space="23" w:color="FFFFFF"/>
          <w:right w:val="single" w:sz="6" w:space="0" w:color="FFFFFF"/>
        </w:pBdr>
        <w:ind w:firstLine="720"/>
        <w:rPr>
          <w:color w:val="000000"/>
        </w:rPr>
      </w:pPr>
    </w:p>
    <w:p w14:paraId="7DA1ECA7" w14:textId="4E89767C" w:rsidR="007D721E" w:rsidRDefault="004962EC" w:rsidP="007D721E">
      <w:pPr>
        <w:pBdr>
          <w:top w:val="single" w:sz="6" w:space="0" w:color="FFFFFF"/>
          <w:left w:val="single" w:sz="6" w:space="0" w:color="FFFFFF"/>
          <w:bottom w:val="single" w:sz="6" w:space="23"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3F27F5">
        <w:rPr>
          <w:color w:val="000000"/>
        </w:rPr>
        <w:t>350</w:t>
      </w:r>
      <w:r>
        <w:rPr>
          <w:color w:val="000000"/>
        </w:rPr>
        <w:t xml:space="preserve"> hours per response</w:t>
      </w:r>
      <w:r w:rsidR="00D64CD1">
        <w:rPr>
          <w:color w:val="000000"/>
        </w:rPr>
        <w:t xml:space="preserve">. </w:t>
      </w:r>
      <w:r w:rsidR="00B635EB">
        <w:rPr>
          <w:color w:val="000000"/>
        </w:rPr>
        <w:t>“</w:t>
      </w:r>
      <w:r>
        <w:rPr>
          <w:color w:val="000000"/>
        </w:rPr>
        <w:t>Burden</w:t>
      </w:r>
      <w:r w:rsidR="00B635EB">
        <w:rPr>
          <w:color w:val="000000"/>
        </w:rPr>
        <w:t>”</w:t>
      </w:r>
      <w:r>
        <w:rPr>
          <w:color w:val="000000"/>
        </w:rPr>
        <w:t xml:space="preserve"> means the total time, effort, or financial resources expended by persons to generate, maintain, retain, or disclose or provide information to or for a Federal agency</w:t>
      </w:r>
      <w:r w:rsidR="00D64CD1">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5F0484FC" w14:textId="77777777" w:rsidR="007D721E" w:rsidRDefault="007D721E" w:rsidP="007D721E">
      <w:pPr>
        <w:pBdr>
          <w:top w:val="single" w:sz="6" w:space="0" w:color="FFFFFF"/>
          <w:left w:val="single" w:sz="6" w:space="0" w:color="FFFFFF"/>
          <w:bottom w:val="single" w:sz="6" w:space="23" w:color="FFFFFF"/>
          <w:right w:val="single" w:sz="6" w:space="0" w:color="FFFFFF"/>
        </w:pBdr>
        <w:ind w:firstLine="720"/>
        <w:rPr>
          <w:color w:val="000000"/>
        </w:rPr>
      </w:pPr>
    </w:p>
    <w:p w14:paraId="126E3944" w14:textId="378BF4B8" w:rsidR="007D721E" w:rsidRDefault="004962EC" w:rsidP="007D721E">
      <w:pPr>
        <w:pBdr>
          <w:top w:val="single" w:sz="6" w:space="0" w:color="FFFFFF"/>
          <w:left w:val="single" w:sz="6" w:space="0" w:color="FFFFFF"/>
          <w:bottom w:val="single" w:sz="6" w:space="23" w:color="FFFFFF"/>
          <w:right w:val="single" w:sz="6" w:space="0" w:color="FFFFFF"/>
        </w:pBdr>
        <w:ind w:firstLine="720"/>
        <w:rPr>
          <w:color w:val="000000"/>
        </w:rPr>
      </w:pPr>
      <w:r>
        <w:rPr>
          <w:color w:val="000000"/>
        </w:rPr>
        <w:t>An agency may n</w:t>
      </w:r>
      <w:r w:rsidR="00B635EB">
        <w:rPr>
          <w:color w:val="000000"/>
        </w:rPr>
        <w:t>either</w:t>
      </w:r>
      <w:r>
        <w:rPr>
          <w:color w:val="000000"/>
        </w:rPr>
        <w:t xml:space="preserve"> conduct </w:t>
      </w:r>
      <w:r w:rsidR="00B635EB">
        <w:rPr>
          <w:color w:val="000000"/>
        </w:rPr>
        <w:t>n</w:t>
      </w:r>
      <w:r>
        <w:rPr>
          <w:color w:val="000000"/>
        </w:rPr>
        <w:t xml:space="preserve">or sponsor, and a person is not required to respond to, </w:t>
      </w:r>
      <w:r w:rsidR="00B635EB">
        <w:rPr>
          <w:color w:val="000000"/>
        </w:rPr>
        <w:t xml:space="preserve">  </w:t>
      </w:r>
      <w:r>
        <w:rPr>
          <w:color w:val="000000"/>
        </w:rPr>
        <w:t>a collection of information unless it displays a valid OMB Control Number</w:t>
      </w:r>
      <w:r w:rsidR="00D64CD1">
        <w:rPr>
          <w:color w:val="000000"/>
        </w:rPr>
        <w:t xml:space="preserve">. </w:t>
      </w:r>
      <w:r>
        <w:rPr>
          <w:color w:val="000000"/>
        </w:rPr>
        <w:t>The OMB Control Numbers for EPA regulations are listed at 40 CFR Part 9 and 48 CFR Chapter 15.</w:t>
      </w:r>
    </w:p>
    <w:p w14:paraId="3B884118" w14:textId="77777777" w:rsidR="007D721E" w:rsidRDefault="007D721E" w:rsidP="007D721E">
      <w:pPr>
        <w:pBdr>
          <w:top w:val="single" w:sz="6" w:space="0" w:color="FFFFFF"/>
          <w:left w:val="single" w:sz="6" w:space="0" w:color="FFFFFF"/>
          <w:bottom w:val="single" w:sz="6" w:space="23" w:color="FFFFFF"/>
          <w:right w:val="single" w:sz="6" w:space="0" w:color="FFFFFF"/>
        </w:pBdr>
        <w:ind w:firstLine="720"/>
      </w:pPr>
    </w:p>
    <w:p w14:paraId="387F8A25" w14:textId="760A0E0D" w:rsidR="007D721E" w:rsidRDefault="004962EC" w:rsidP="007D721E">
      <w:pPr>
        <w:pBdr>
          <w:top w:val="single" w:sz="6" w:space="0" w:color="FFFFFF"/>
          <w:left w:val="single" w:sz="6" w:space="0" w:color="FFFFFF"/>
          <w:bottom w:val="single" w:sz="6" w:space="23" w:color="FFFFFF"/>
          <w:right w:val="single" w:sz="6" w:space="0" w:color="FFFFFF"/>
        </w:pBdr>
        <w:ind w:firstLine="720"/>
      </w:pPr>
      <w:r w:rsidRPr="00354C15">
        <w:t xml:space="preserve">To comment on the Agency's need for this information, the accuracy of the provided burden estimates, and any suggested methods for minimizing respondent burden, including the use of automated collection techniques, </w:t>
      </w:r>
      <w:r w:rsidR="001B705C">
        <w:t xml:space="preserve">the </w:t>
      </w:r>
      <w:r w:rsidRPr="005E3025">
        <w:t>EPA has established a public docket for this ICR under Docket ID Number EPA-HQ-OECA-2014-</w:t>
      </w:r>
      <w:r w:rsidR="000F32D2">
        <w:t>00</w:t>
      </w:r>
      <w:r w:rsidR="00A64F37">
        <w:t>61</w:t>
      </w:r>
      <w:r w:rsidR="00D64CD1">
        <w:t xml:space="preserve">. </w:t>
      </w:r>
      <w:r w:rsidRPr="005E3025">
        <w:t>An</w:t>
      </w:r>
      <w:r w:rsidRPr="00354C15">
        <w:t xml:space="preserve"> electronic version of the public docket is available at </w:t>
      </w:r>
      <w:hyperlink r:id="rId9" w:history="1">
        <w:r w:rsidRPr="00B223DE">
          <w:rPr>
            <w:rStyle w:val="Hyperlink"/>
            <w:color w:val="auto"/>
          </w:rPr>
          <w:t>http://www.regulations.gov/</w:t>
        </w:r>
      </w:hyperlink>
      <w:r w:rsidR="00B635EB">
        <w:t>,</w:t>
      </w:r>
      <w:r w:rsidRPr="00B223DE">
        <w:t xml:space="preserve"> </w:t>
      </w:r>
      <w:r>
        <w:t xml:space="preserve">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rsidR="00D64CD1">
        <w:t xml:space="preserve">. </w:t>
      </w:r>
      <w:r w:rsidRPr="00354C15">
        <w:t>When in the system</w:t>
      </w:r>
      <w:r w:rsidRPr="00354C15">
        <w:rPr>
          <w:rStyle w:val="1"/>
        </w:rPr>
        <w:t>, select “search,” then key in the docket ID number identified in this document</w:t>
      </w:r>
      <w:r w:rsidR="00D64CD1">
        <w:rPr>
          <w:rStyle w:val="1"/>
        </w:rPr>
        <w:t xml:space="preserve">. </w:t>
      </w:r>
      <w:r>
        <w:rPr>
          <w:rStyle w:val="1"/>
        </w:rPr>
        <w:t xml:space="preserve">The documents are also </w:t>
      </w:r>
      <w:r w:rsidRPr="00354C15">
        <w:t xml:space="preserve">available for public viewing at the Enforcement and Compliance Docket and Information Center in the EPA Docket Center (EPA/DC), </w:t>
      </w:r>
      <w:r w:rsidR="00B635EB">
        <w:t>WJC</w:t>
      </w:r>
      <w:r w:rsidRPr="000E187E">
        <w:t xml:space="preserve"> West, Room </w:t>
      </w:r>
      <w:r>
        <w:t>3334</w:t>
      </w:r>
      <w:r w:rsidRPr="00354C15">
        <w:t>, 1301 Constitution Ave., NW, Washington, DC</w:t>
      </w:r>
      <w:r w:rsidR="00D64CD1">
        <w:t xml:space="preserve">. </w:t>
      </w:r>
      <w:r w:rsidRPr="00354C15">
        <w:t>The EPA Docket Center Public Reading Room is open from 8:30 a.m. to 4:30 p.m., Monday through Friday, excluding legal holidays</w:t>
      </w:r>
      <w:r w:rsidR="00D64CD1">
        <w:t xml:space="preserve">. </w:t>
      </w:r>
      <w:r w:rsidRPr="00354C15">
        <w:t xml:space="preserve">The telephone number for the Reading Room is (202) 566-1744, and the telephone number </w:t>
      </w:r>
      <w:r>
        <w:t>for the docket center i</w:t>
      </w:r>
      <w:r w:rsidRPr="00354C15">
        <w:t>s (202) 566-</w:t>
      </w:r>
      <w:r>
        <w:t>17</w:t>
      </w:r>
      <w:r w:rsidR="00B635EB">
        <w:t>52</w:t>
      </w:r>
      <w:r w:rsidR="00D64CD1">
        <w:t xml:space="preserve">. </w:t>
      </w:r>
      <w:r>
        <w:t>Also, you can send comments to the Office of Information and Regulatory Affairs, Office of Management and Budget, 725 17th Street, NW, Washington, DC 20503, Attention: Desk Officer for EPA</w:t>
      </w:r>
      <w:r w:rsidR="00D64CD1">
        <w:t xml:space="preserve">. </w:t>
      </w:r>
      <w:r>
        <w:t xml:space="preserve">Please include the EPA Docket ID </w:t>
      </w:r>
      <w:r w:rsidRPr="005E3025">
        <w:t>Number EPA-HQ-OECA-2014-00</w:t>
      </w:r>
      <w:r w:rsidR="00A64F37">
        <w:t>61</w:t>
      </w:r>
      <w:r w:rsidRPr="005E3025">
        <w:t xml:space="preserve"> and OMB Control Number 2060-0511 in any</w:t>
      </w:r>
      <w:r>
        <w:t xml:space="preserve"> correspondence. </w:t>
      </w:r>
    </w:p>
    <w:p w14:paraId="333D06E2" w14:textId="77777777" w:rsidR="007D721E" w:rsidRDefault="007D721E" w:rsidP="007D721E">
      <w:pPr>
        <w:pBdr>
          <w:top w:val="single" w:sz="6" w:space="0" w:color="FFFFFF"/>
          <w:left w:val="single" w:sz="6" w:space="0" w:color="FFFFFF"/>
          <w:bottom w:val="single" w:sz="6" w:space="23" w:color="FFFFFF"/>
          <w:right w:val="single" w:sz="6" w:space="0" w:color="FFFFFF"/>
        </w:pBdr>
        <w:ind w:firstLine="720"/>
        <w:rPr>
          <w:b/>
          <w:bCs/>
          <w:color w:val="000000"/>
        </w:rPr>
      </w:pPr>
    </w:p>
    <w:p w14:paraId="589818C5" w14:textId="77777777" w:rsidR="007D721E" w:rsidRDefault="004962EC" w:rsidP="007D721E">
      <w:pPr>
        <w:pBdr>
          <w:top w:val="single" w:sz="6" w:space="0" w:color="FFFFFF"/>
          <w:left w:val="single" w:sz="6" w:space="0" w:color="FFFFFF"/>
          <w:bottom w:val="single" w:sz="6" w:space="23" w:color="FFFFFF"/>
          <w:right w:val="single" w:sz="6" w:space="0" w:color="FFFFFF"/>
        </w:pBdr>
        <w:rPr>
          <w:b/>
          <w:bCs/>
          <w:color w:val="000000"/>
        </w:rPr>
      </w:pPr>
      <w:r>
        <w:rPr>
          <w:b/>
          <w:bCs/>
          <w:color w:val="000000"/>
        </w:rPr>
        <w:t>Part B of the Supporting Statement</w:t>
      </w:r>
    </w:p>
    <w:p w14:paraId="08FF3171" w14:textId="77777777" w:rsidR="007D721E" w:rsidRDefault="007D721E" w:rsidP="007D721E">
      <w:pPr>
        <w:pBdr>
          <w:top w:val="single" w:sz="6" w:space="0" w:color="FFFFFF"/>
          <w:left w:val="single" w:sz="6" w:space="0" w:color="FFFFFF"/>
          <w:bottom w:val="single" w:sz="6" w:space="23" w:color="FFFFFF"/>
          <w:right w:val="single" w:sz="6" w:space="0" w:color="FFFFFF"/>
        </w:pBdr>
        <w:rPr>
          <w:color w:val="000000"/>
        </w:rPr>
      </w:pPr>
    </w:p>
    <w:p w14:paraId="45E340D9" w14:textId="5DFB33CD" w:rsidR="004962EC" w:rsidRDefault="004962EC" w:rsidP="007D721E">
      <w:pPr>
        <w:pBdr>
          <w:top w:val="single" w:sz="6" w:space="0" w:color="FFFFFF"/>
          <w:left w:val="single" w:sz="6" w:space="0" w:color="FFFFFF"/>
          <w:bottom w:val="single" w:sz="6" w:space="23" w:color="FFFFFF"/>
          <w:right w:val="single" w:sz="6" w:space="0" w:color="FFFFFF"/>
        </w:pBdr>
        <w:ind w:firstLine="720"/>
        <w:rPr>
          <w:color w:val="000000"/>
        </w:rPr>
      </w:pPr>
      <w:r>
        <w:rPr>
          <w:color w:val="000000"/>
        </w:rPr>
        <w:t>This part is not applicable because no statistical methods were used in collecting this information.</w:t>
      </w:r>
    </w:p>
    <w:p w14:paraId="3A3B9BAD" w14:textId="77777777" w:rsidR="004962EC" w:rsidRDefault="004962EC" w:rsidP="004962EC">
      <w:pPr>
        <w:rPr>
          <w:color w:val="000000"/>
        </w:rPr>
        <w:sectPr w:rsidR="004962EC" w:rsidSect="004962EC">
          <w:headerReference w:type="default" r:id="rId10"/>
          <w:pgSz w:w="12240" w:h="15840"/>
          <w:pgMar w:top="1350" w:right="1440" w:bottom="1440" w:left="1440" w:header="1350" w:footer="1440" w:gutter="0"/>
          <w:cols w:space="720"/>
          <w:noEndnote/>
          <w:titlePg/>
          <w:docGrid w:linePitch="326"/>
        </w:sectPr>
      </w:pPr>
    </w:p>
    <w:p w14:paraId="1BD00355" w14:textId="0AD27B1D" w:rsidR="004962EC" w:rsidRDefault="004962EC" w:rsidP="00B2268B">
      <w:pPr>
        <w:outlineLvl w:val="0"/>
        <w:rPr>
          <w:b/>
        </w:rPr>
      </w:pPr>
      <w:r w:rsidRPr="00C4183F">
        <w:rPr>
          <w:b/>
          <w:bCs/>
          <w:color w:val="000000"/>
        </w:rPr>
        <w:t>Table 1: A</w:t>
      </w:r>
      <w:r w:rsidRPr="0058339E">
        <w:rPr>
          <w:b/>
          <w:bCs/>
          <w:color w:val="000000"/>
        </w:rPr>
        <w:t xml:space="preserve">nnual Respondent Burden and Cost </w:t>
      </w:r>
      <w:r w:rsidRPr="00BA372A">
        <w:rPr>
          <w:b/>
          <w:bCs/>
        </w:rPr>
        <w:t xml:space="preserve">– </w:t>
      </w:r>
      <w:r w:rsidRPr="00BA372A">
        <w:rPr>
          <w:b/>
        </w:rPr>
        <w:t xml:space="preserve">NESHAP for </w:t>
      </w:r>
      <w:r w:rsidR="00264789">
        <w:rPr>
          <w:b/>
        </w:rPr>
        <w:t>Chemical Recovery Combustion Sources at Kraft, Soda, Sulfite, and Stand-Alone Semichemical Pulp Mills</w:t>
      </w:r>
      <w:r w:rsidRPr="00BA372A">
        <w:rPr>
          <w:b/>
          <w:bCs/>
        </w:rPr>
        <w:t xml:space="preserve"> (40 CFR Part 63, </w:t>
      </w:r>
      <w:r w:rsidR="00264789">
        <w:rPr>
          <w:b/>
          <w:bCs/>
        </w:rPr>
        <w:t>Subpart MM</w:t>
      </w:r>
      <w:r w:rsidRPr="00BA372A">
        <w:rPr>
          <w:b/>
        </w:rPr>
        <w:t>) (Renewal)</w:t>
      </w:r>
    </w:p>
    <w:p w14:paraId="7BDD63C0" w14:textId="77777777" w:rsidR="00A64F37" w:rsidRDefault="00A64F37" w:rsidP="00875FE4">
      <w:pPr>
        <w:outlineLvl w:val="0"/>
        <w:rPr>
          <w:b/>
          <w:bCs/>
          <w:color w:val="000000"/>
        </w:rPr>
      </w:pPr>
    </w:p>
    <w:tbl>
      <w:tblPr>
        <w:tblW w:w="13045" w:type="dxa"/>
        <w:tblLook w:val="04A0" w:firstRow="1" w:lastRow="0" w:firstColumn="1" w:lastColumn="0" w:noHBand="0" w:noVBand="1"/>
      </w:tblPr>
      <w:tblGrid>
        <w:gridCol w:w="3055"/>
        <w:gridCol w:w="1160"/>
        <w:gridCol w:w="1270"/>
        <w:gridCol w:w="1172"/>
        <w:gridCol w:w="1306"/>
        <w:gridCol w:w="1050"/>
        <w:gridCol w:w="1422"/>
        <w:gridCol w:w="1080"/>
        <w:gridCol w:w="1530"/>
      </w:tblGrid>
      <w:tr w:rsidR="00932658" w:rsidRPr="00932658" w14:paraId="1D3A341C" w14:textId="77777777" w:rsidTr="00932658">
        <w:trPr>
          <w:trHeight w:val="1530"/>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50A69" w14:textId="77777777" w:rsidR="00932658" w:rsidRPr="00932658" w:rsidRDefault="00932658" w:rsidP="00932658">
            <w:pPr>
              <w:widowControl/>
              <w:autoSpaceDE/>
              <w:autoSpaceDN/>
              <w:adjustRightInd/>
              <w:rPr>
                <w:b/>
                <w:bCs/>
                <w:sz w:val="20"/>
                <w:szCs w:val="20"/>
              </w:rPr>
            </w:pPr>
            <w:r w:rsidRPr="00932658">
              <w:rPr>
                <w:b/>
                <w:bCs/>
                <w:sz w:val="20"/>
                <w:szCs w:val="20"/>
              </w:rPr>
              <w:t>Burden item</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44D4B78" w14:textId="77777777" w:rsidR="00932658" w:rsidRPr="00932658" w:rsidRDefault="00932658" w:rsidP="00932658">
            <w:pPr>
              <w:widowControl/>
              <w:autoSpaceDE/>
              <w:autoSpaceDN/>
              <w:adjustRightInd/>
              <w:jc w:val="center"/>
              <w:rPr>
                <w:b/>
                <w:bCs/>
                <w:sz w:val="20"/>
                <w:szCs w:val="20"/>
              </w:rPr>
            </w:pPr>
            <w:r w:rsidRPr="00932658">
              <w:rPr>
                <w:b/>
                <w:bCs/>
                <w:sz w:val="20"/>
                <w:szCs w:val="20"/>
              </w:rPr>
              <w:t xml:space="preserve">(A) </w:t>
            </w:r>
            <w:r w:rsidRPr="00932658">
              <w:rPr>
                <w:b/>
                <w:bCs/>
                <w:sz w:val="20"/>
                <w:szCs w:val="20"/>
              </w:rPr>
              <w:br/>
              <w:t>Person hours per occurrence</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74550598" w14:textId="77777777" w:rsidR="00932658" w:rsidRPr="00932658" w:rsidRDefault="00932658" w:rsidP="00932658">
            <w:pPr>
              <w:widowControl/>
              <w:autoSpaceDE/>
              <w:autoSpaceDN/>
              <w:adjustRightInd/>
              <w:jc w:val="center"/>
              <w:rPr>
                <w:b/>
                <w:bCs/>
                <w:sz w:val="20"/>
                <w:szCs w:val="20"/>
              </w:rPr>
            </w:pPr>
            <w:r w:rsidRPr="00932658">
              <w:rPr>
                <w:b/>
                <w:bCs/>
                <w:sz w:val="20"/>
                <w:szCs w:val="20"/>
              </w:rPr>
              <w:t xml:space="preserve">(B) </w:t>
            </w:r>
            <w:r w:rsidRPr="00932658">
              <w:rPr>
                <w:b/>
                <w:bCs/>
                <w:sz w:val="20"/>
                <w:szCs w:val="20"/>
              </w:rPr>
              <w:br/>
              <w:t>No. of occurrences per respondent per year</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7CC49199" w14:textId="77777777" w:rsidR="00932658" w:rsidRPr="00932658" w:rsidRDefault="00932658" w:rsidP="00932658">
            <w:pPr>
              <w:widowControl/>
              <w:autoSpaceDE/>
              <w:autoSpaceDN/>
              <w:adjustRightInd/>
              <w:jc w:val="center"/>
              <w:rPr>
                <w:b/>
                <w:bCs/>
                <w:sz w:val="20"/>
                <w:szCs w:val="20"/>
              </w:rPr>
            </w:pPr>
            <w:r w:rsidRPr="00932658">
              <w:rPr>
                <w:b/>
                <w:bCs/>
                <w:sz w:val="20"/>
                <w:szCs w:val="20"/>
              </w:rPr>
              <w:t xml:space="preserve">(C) </w:t>
            </w:r>
            <w:r w:rsidRPr="00932658">
              <w:rPr>
                <w:b/>
                <w:bCs/>
                <w:sz w:val="20"/>
                <w:szCs w:val="20"/>
              </w:rPr>
              <w:br/>
              <w:t>Person hours per respondent per year (C=AxB)</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1C12A4AD" w14:textId="77777777" w:rsidR="00932658" w:rsidRPr="00932658" w:rsidRDefault="00932658" w:rsidP="00932658">
            <w:pPr>
              <w:widowControl/>
              <w:autoSpaceDE/>
              <w:autoSpaceDN/>
              <w:adjustRightInd/>
              <w:jc w:val="center"/>
              <w:rPr>
                <w:b/>
                <w:bCs/>
                <w:sz w:val="20"/>
                <w:szCs w:val="20"/>
              </w:rPr>
            </w:pPr>
            <w:r w:rsidRPr="00932658">
              <w:rPr>
                <w:b/>
                <w:bCs/>
                <w:sz w:val="20"/>
                <w:szCs w:val="20"/>
              </w:rPr>
              <w:t xml:space="preserve">(D) </w:t>
            </w:r>
            <w:r w:rsidRPr="00932658">
              <w:rPr>
                <w:b/>
                <w:bCs/>
                <w:sz w:val="20"/>
                <w:szCs w:val="20"/>
              </w:rPr>
              <w:br/>
              <w:t xml:space="preserve">Respondents per year </w:t>
            </w:r>
            <w:r w:rsidRPr="00932658">
              <w:rPr>
                <w:b/>
                <w:bCs/>
                <w:sz w:val="20"/>
                <w:szCs w:val="2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124451B3" w14:textId="77777777" w:rsidR="00932658" w:rsidRPr="00932658" w:rsidRDefault="00932658" w:rsidP="00932658">
            <w:pPr>
              <w:widowControl/>
              <w:autoSpaceDE/>
              <w:autoSpaceDN/>
              <w:adjustRightInd/>
              <w:jc w:val="center"/>
              <w:rPr>
                <w:b/>
                <w:bCs/>
                <w:sz w:val="20"/>
                <w:szCs w:val="20"/>
              </w:rPr>
            </w:pPr>
            <w:r w:rsidRPr="00932658">
              <w:rPr>
                <w:b/>
                <w:bCs/>
                <w:sz w:val="20"/>
                <w:szCs w:val="20"/>
              </w:rPr>
              <w:t xml:space="preserve">(E) </w:t>
            </w:r>
            <w:r w:rsidRPr="00932658">
              <w:rPr>
                <w:b/>
                <w:bCs/>
                <w:sz w:val="20"/>
                <w:szCs w:val="20"/>
              </w:rPr>
              <w:br/>
              <w:t>Technical person hr/yr (E=CxD)</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14:paraId="61FEF320" w14:textId="77777777" w:rsidR="00932658" w:rsidRPr="00932658" w:rsidRDefault="00932658" w:rsidP="00932658">
            <w:pPr>
              <w:widowControl/>
              <w:autoSpaceDE/>
              <w:autoSpaceDN/>
              <w:adjustRightInd/>
              <w:jc w:val="center"/>
              <w:rPr>
                <w:b/>
                <w:bCs/>
                <w:sz w:val="20"/>
                <w:szCs w:val="20"/>
              </w:rPr>
            </w:pPr>
            <w:r w:rsidRPr="00932658">
              <w:rPr>
                <w:b/>
                <w:bCs/>
                <w:sz w:val="20"/>
                <w:szCs w:val="20"/>
              </w:rPr>
              <w:t>(F)</w:t>
            </w:r>
            <w:r w:rsidRPr="00932658">
              <w:rPr>
                <w:b/>
                <w:bCs/>
                <w:sz w:val="20"/>
                <w:szCs w:val="20"/>
              </w:rPr>
              <w:br/>
              <w:t>Management person hr/yr (Ex0.05)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CC20E2F" w14:textId="77777777" w:rsidR="00932658" w:rsidRPr="00932658" w:rsidRDefault="00932658" w:rsidP="00932658">
            <w:pPr>
              <w:widowControl/>
              <w:autoSpaceDE/>
              <w:autoSpaceDN/>
              <w:adjustRightInd/>
              <w:jc w:val="center"/>
              <w:rPr>
                <w:b/>
                <w:bCs/>
                <w:sz w:val="20"/>
                <w:szCs w:val="20"/>
              </w:rPr>
            </w:pPr>
            <w:r w:rsidRPr="00932658">
              <w:rPr>
                <w:b/>
                <w:bCs/>
                <w:sz w:val="20"/>
                <w:szCs w:val="20"/>
              </w:rPr>
              <w:t xml:space="preserve">(G) </w:t>
            </w:r>
            <w:r w:rsidRPr="00932658">
              <w:rPr>
                <w:b/>
                <w:bCs/>
                <w:sz w:val="20"/>
                <w:szCs w:val="20"/>
              </w:rPr>
              <w:br/>
              <w:t xml:space="preserve">Clerical person hr/yr </w:t>
            </w:r>
            <w:r w:rsidRPr="00932658">
              <w:rPr>
                <w:b/>
                <w:bCs/>
                <w:sz w:val="20"/>
                <w:szCs w:val="20"/>
              </w:rPr>
              <w:br/>
              <w:t>(Ex0.1)</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BA6E8B6" w14:textId="77777777" w:rsidR="00932658" w:rsidRPr="00932658" w:rsidRDefault="00932658" w:rsidP="00932658">
            <w:pPr>
              <w:widowControl/>
              <w:autoSpaceDE/>
              <w:autoSpaceDN/>
              <w:adjustRightInd/>
              <w:jc w:val="center"/>
              <w:rPr>
                <w:b/>
                <w:bCs/>
                <w:sz w:val="20"/>
                <w:szCs w:val="20"/>
              </w:rPr>
            </w:pPr>
            <w:r w:rsidRPr="00932658">
              <w:rPr>
                <w:b/>
                <w:bCs/>
                <w:sz w:val="20"/>
                <w:szCs w:val="20"/>
              </w:rPr>
              <w:t xml:space="preserve">(H) </w:t>
            </w:r>
            <w:r w:rsidRPr="00932658">
              <w:rPr>
                <w:b/>
                <w:bCs/>
                <w:sz w:val="20"/>
                <w:szCs w:val="20"/>
              </w:rPr>
              <w:br/>
              <w:t>Total Cost Per year</w:t>
            </w:r>
            <w:r w:rsidRPr="00932658">
              <w:rPr>
                <w:b/>
                <w:bCs/>
                <w:sz w:val="20"/>
                <w:szCs w:val="20"/>
                <w:vertAlign w:val="superscript"/>
              </w:rPr>
              <w:t xml:space="preserve"> b</w:t>
            </w:r>
          </w:p>
        </w:tc>
      </w:tr>
      <w:tr w:rsidR="00932658" w:rsidRPr="00932658" w14:paraId="24751353"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5CEDCD2B"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1.  Applications</w:t>
            </w:r>
          </w:p>
        </w:tc>
        <w:tc>
          <w:tcPr>
            <w:tcW w:w="1160" w:type="dxa"/>
            <w:tcBorders>
              <w:top w:val="nil"/>
              <w:left w:val="nil"/>
              <w:bottom w:val="single" w:sz="4" w:space="0" w:color="auto"/>
              <w:right w:val="single" w:sz="4" w:space="0" w:color="auto"/>
            </w:tcBorders>
            <w:shd w:val="clear" w:color="auto" w:fill="auto"/>
            <w:vAlign w:val="center"/>
            <w:hideMark/>
          </w:tcPr>
          <w:p w14:paraId="29E4D0E6"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N/A</w:t>
            </w:r>
          </w:p>
        </w:tc>
        <w:tc>
          <w:tcPr>
            <w:tcW w:w="1270" w:type="dxa"/>
            <w:tcBorders>
              <w:top w:val="nil"/>
              <w:left w:val="nil"/>
              <w:bottom w:val="single" w:sz="4" w:space="0" w:color="auto"/>
              <w:right w:val="single" w:sz="4" w:space="0" w:color="auto"/>
            </w:tcBorders>
            <w:shd w:val="clear" w:color="auto" w:fill="auto"/>
            <w:vAlign w:val="center"/>
            <w:hideMark/>
          </w:tcPr>
          <w:p w14:paraId="4A2EDF12"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3309560"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9DF4390"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52FD44B"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422" w:type="dxa"/>
            <w:tcBorders>
              <w:top w:val="nil"/>
              <w:left w:val="nil"/>
              <w:bottom w:val="single" w:sz="4" w:space="0" w:color="auto"/>
              <w:right w:val="single" w:sz="4" w:space="0" w:color="auto"/>
            </w:tcBorders>
            <w:shd w:val="clear" w:color="auto" w:fill="auto"/>
            <w:vAlign w:val="center"/>
            <w:hideMark/>
          </w:tcPr>
          <w:p w14:paraId="16EFF7B9"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EFF29B6"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6DEFD2C0" w14:textId="77777777" w:rsidR="00932658" w:rsidRPr="00932658" w:rsidRDefault="00932658" w:rsidP="00932658">
            <w:pPr>
              <w:widowControl/>
              <w:autoSpaceDE/>
              <w:autoSpaceDN/>
              <w:adjustRightInd/>
              <w:jc w:val="right"/>
              <w:rPr>
                <w:color w:val="000000"/>
                <w:sz w:val="20"/>
                <w:szCs w:val="20"/>
              </w:rPr>
            </w:pPr>
            <w:r w:rsidRPr="00932658">
              <w:rPr>
                <w:color w:val="000000"/>
                <w:sz w:val="20"/>
                <w:szCs w:val="20"/>
              </w:rPr>
              <w:t> </w:t>
            </w:r>
          </w:p>
        </w:tc>
      </w:tr>
      <w:tr w:rsidR="00932658" w:rsidRPr="00932658" w14:paraId="0B07DC41"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A732F7E"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2.  Surveys and studies</w:t>
            </w:r>
          </w:p>
        </w:tc>
        <w:tc>
          <w:tcPr>
            <w:tcW w:w="1160" w:type="dxa"/>
            <w:tcBorders>
              <w:top w:val="nil"/>
              <w:left w:val="nil"/>
              <w:bottom w:val="single" w:sz="4" w:space="0" w:color="auto"/>
              <w:right w:val="single" w:sz="4" w:space="0" w:color="auto"/>
            </w:tcBorders>
            <w:shd w:val="clear" w:color="auto" w:fill="auto"/>
            <w:vAlign w:val="center"/>
            <w:hideMark/>
          </w:tcPr>
          <w:p w14:paraId="6FF1D487"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N/A</w:t>
            </w:r>
          </w:p>
        </w:tc>
        <w:tc>
          <w:tcPr>
            <w:tcW w:w="1270" w:type="dxa"/>
            <w:tcBorders>
              <w:top w:val="nil"/>
              <w:left w:val="nil"/>
              <w:bottom w:val="single" w:sz="4" w:space="0" w:color="auto"/>
              <w:right w:val="single" w:sz="4" w:space="0" w:color="auto"/>
            </w:tcBorders>
            <w:shd w:val="clear" w:color="auto" w:fill="auto"/>
            <w:vAlign w:val="center"/>
            <w:hideMark/>
          </w:tcPr>
          <w:p w14:paraId="2B73447E"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0175C96"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B478C8F"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22E807EB"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422" w:type="dxa"/>
            <w:tcBorders>
              <w:top w:val="nil"/>
              <w:left w:val="nil"/>
              <w:bottom w:val="single" w:sz="4" w:space="0" w:color="auto"/>
              <w:right w:val="single" w:sz="4" w:space="0" w:color="auto"/>
            </w:tcBorders>
            <w:shd w:val="clear" w:color="auto" w:fill="auto"/>
            <w:vAlign w:val="center"/>
            <w:hideMark/>
          </w:tcPr>
          <w:p w14:paraId="3A848BCD"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9F4119D"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73547B37" w14:textId="77777777" w:rsidR="00932658" w:rsidRPr="00932658" w:rsidRDefault="00932658" w:rsidP="00932658">
            <w:pPr>
              <w:widowControl/>
              <w:autoSpaceDE/>
              <w:autoSpaceDN/>
              <w:adjustRightInd/>
              <w:jc w:val="right"/>
              <w:rPr>
                <w:color w:val="000000"/>
                <w:sz w:val="20"/>
                <w:szCs w:val="20"/>
              </w:rPr>
            </w:pPr>
            <w:r w:rsidRPr="00932658">
              <w:rPr>
                <w:color w:val="000000"/>
                <w:sz w:val="20"/>
                <w:szCs w:val="20"/>
              </w:rPr>
              <w:t> </w:t>
            </w:r>
          </w:p>
        </w:tc>
      </w:tr>
      <w:tr w:rsidR="00932658" w:rsidRPr="00932658" w14:paraId="5D8958E7"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799530C"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3.  Reporting requirements</w:t>
            </w:r>
          </w:p>
        </w:tc>
        <w:tc>
          <w:tcPr>
            <w:tcW w:w="1160" w:type="dxa"/>
            <w:tcBorders>
              <w:top w:val="nil"/>
              <w:left w:val="nil"/>
              <w:bottom w:val="single" w:sz="4" w:space="0" w:color="auto"/>
              <w:right w:val="single" w:sz="4" w:space="0" w:color="auto"/>
            </w:tcBorders>
            <w:shd w:val="clear" w:color="auto" w:fill="auto"/>
            <w:vAlign w:val="center"/>
            <w:hideMark/>
          </w:tcPr>
          <w:p w14:paraId="6013DE5B"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14:paraId="75463195"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0E909E2"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72CD42E"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DD4C193"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422" w:type="dxa"/>
            <w:tcBorders>
              <w:top w:val="nil"/>
              <w:left w:val="nil"/>
              <w:bottom w:val="single" w:sz="4" w:space="0" w:color="auto"/>
              <w:right w:val="single" w:sz="4" w:space="0" w:color="auto"/>
            </w:tcBorders>
            <w:shd w:val="clear" w:color="auto" w:fill="auto"/>
            <w:vAlign w:val="center"/>
            <w:hideMark/>
          </w:tcPr>
          <w:p w14:paraId="66130E93"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4230615"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4EACFD97" w14:textId="77777777" w:rsidR="00932658" w:rsidRPr="00932658" w:rsidRDefault="00932658" w:rsidP="00932658">
            <w:pPr>
              <w:widowControl/>
              <w:autoSpaceDE/>
              <w:autoSpaceDN/>
              <w:adjustRightInd/>
              <w:jc w:val="right"/>
              <w:rPr>
                <w:color w:val="000000"/>
                <w:sz w:val="20"/>
                <w:szCs w:val="20"/>
              </w:rPr>
            </w:pPr>
            <w:r w:rsidRPr="00932658">
              <w:rPr>
                <w:color w:val="000000"/>
                <w:sz w:val="20"/>
                <w:szCs w:val="20"/>
              </w:rPr>
              <w:t> </w:t>
            </w:r>
          </w:p>
        </w:tc>
      </w:tr>
      <w:tr w:rsidR="00932658" w:rsidRPr="00932658" w14:paraId="517CC0F5" w14:textId="77777777" w:rsidTr="00932658">
        <w:trPr>
          <w:trHeight w:val="57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92487F5"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 xml:space="preserve">A. Familiarization with the regulatory requirements </w:t>
            </w:r>
            <w:r w:rsidRPr="00932658">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0980AD61"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w:t>
            </w:r>
          </w:p>
        </w:tc>
        <w:tc>
          <w:tcPr>
            <w:tcW w:w="1270" w:type="dxa"/>
            <w:tcBorders>
              <w:top w:val="nil"/>
              <w:left w:val="nil"/>
              <w:bottom w:val="single" w:sz="4" w:space="0" w:color="auto"/>
              <w:right w:val="single" w:sz="4" w:space="0" w:color="auto"/>
            </w:tcBorders>
            <w:shd w:val="clear" w:color="auto" w:fill="auto"/>
            <w:vAlign w:val="center"/>
            <w:hideMark/>
          </w:tcPr>
          <w:p w14:paraId="288820F4"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09650BC2" w14:textId="77777777" w:rsidR="00932658" w:rsidRPr="00932658" w:rsidRDefault="00932658" w:rsidP="00932658">
            <w:pPr>
              <w:widowControl/>
              <w:autoSpaceDE/>
              <w:autoSpaceDN/>
              <w:adjustRightInd/>
              <w:jc w:val="center"/>
              <w:rPr>
                <w:sz w:val="20"/>
                <w:szCs w:val="20"/>
              </w:rPr>
            </w:pPr>
            <w:r w:rsidRPr="00932658">
              <w:rPr>
                <w:sz w:val="20"/>
                <w:szCs w:val="20"/>
              </w:rPr>
              <w:t>1</w:t>
            </w:r>
          </w:p>
        </w:tc>
        <w:tc>
          <w:tcPr>
            <w:tcW w:w="1306" w:type="dxa"/>
            <w:tcBorders>
              <w:top w:val="nil"/>
              <w:left w:val="nil"/>
              <w:bottom w:val="single" w:sz="4" w:space="0" w:color="auto"/>
              <w:right w:val="single" w:sz="4" w:space="0" w:color="auto"/>
            </w:tcBorders>
            <w:shd w:val="clear" w:color="auto" w:fill="auto"/>
            <w:vAlign w:val="center"/>
            <w:hideMark/>
          </w:tcPr>
          <w:p w14:paraId="0480C029"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107</w:t>
            </w:r>
          </w:p>
        </w:tc>
        <w:tc>
          <w:tcPr>
            <w:tcW w:w="1050" w:type="dxa"/>
            <w:tcBorders>
              <w:top w:val="nil"/>
              <w:left w:val="nil"/>
              <w:bottom w:val="single" w:sz="4" w:space="0" w:color="auto"/>
              <w:right w:val="single" w:sz="4" w:space="0" w:color="auto"/>
            </w:tcBorders>
            <w:shd w:val="clear" w:color="auto" w:fill="auto"/>
            <w:vAlign w:val="center"/>
            <w:hideMark/>
          </w:tcPr>
          <w:p w14:paraId="5A589E97" w14:textId="77777777" w:rsidR="00932658" w:rsidRPr="00932658" w:rsidRDefault="00932658" w:rsidP="00932658">
            <w:pPr>
              <w:widowControl/>
              <w:autoSpaceDE/>
              <w:autoSpaceDN/>
              <w:adjustRightInd/>
              <w:jc w:val="center"/>
              <w:rPr>
                <w:sz w:val="20"/>
                <w:szCs w:val="20"/>
              </w:rPr>
            </w:pPr>
            <w:r w:rsidRPr="00932658">
              <w:rPr>
                <w:sz w:val="20"/>
                <w:szCs w:val="20"/>
              </w:rPr>
              <w:t>107</w:t>
            </w:r>
          </w:p>
        </w:tc>
        <w:tc>
          <w:tcPr>
            <w:tcW w:w="1422" w:type="dxa"/>
            <w:tcBorders>
              <w:top w:val="nil"/>
              <w:left w:val="nil"/>
              <w:bottom w:val="single" w:sz="4" w:space="0" w:color="auto"/>
              <w:right w:val="single" w:sz="4" w:space="0" w:color="auto"/>
            </w:tcBorders>
            <w:shd w:val="clear" w:color="auto" w:fill="auto"/>
            <w:vAlign w:val="center"/>
            <w:hideMark/>
          </w:tcPr>
          <w:p w14:paraId="14C8DB74" w14:textId="77777777" w:rsidR="00932658" w:rsidRPr="00932658" w:rsidRDefault="00932658" w:rsidP="00932658">
            <w:pPr>
              <w:widowControl/>
              <w:autoSpaceDE/>
              <w:autoSpaceDN/>
              <w:adjustRightInd/>
              <w:jc w:val="center"/>
              <w:rPr>
                <w:sz w:val="20"/>
                <w:szCs w:val="20"/>
              </w:rPr>
            </w:pPr>
            <w:r w:rsidRPr="00932658">
              <w:rPr>
                <w:sz w:val="20"/>
                <w:szCs w:val="20"/>
              </w:rPr>
              <w:t>5.35</w:t>
            </w:r>
          </w:p>
        </w:tc>
        <w:tc>
          <w:tcPr>
            <w:tcW w:w="1080" w:type="dxa"/>
            <w:tcBorders>
              <w:top w:val="nil"/>
              <w:left w:val="nil"/>
              <w:bottom w:val="single" w:sz="4" w:space="0" w:color="auto"/>
              <w:right w:val="single" w:sz="4" w:space="0" w:color="auto"/>
            </w:tcBorders>
            <w:shd w:val="clear" w:color="auto" w:fill="auto"/>
            <w:vAlign w:val="center"/>
            <w:hideMark/>
          </w:tcPr>
          <w:p w14:paraId="7897A763" w14:textId="77777777" w:rsidR="00932658" w:rsidRPr="00932658" w:rsidRDefault="00932658" w:rsidP="00932658">
            <w:pPr>
              <w:widowControl/>
              <w:autoSpaceDE/>
              <w:autoSpaceDN/>
              <w:adjustRightInd/>
              <w:jc w:val="center"/>
              <w:rPr>
                <w:sz w:val="20"/>
                <w:szCs w:val="20"/>
              </w:rPr>
            </w:pPr>
            <w:r w:rsidRPr="00932658">
              <w:rPr>
                <w:sz w:val="20"/>
                <w:szCs w:val="20"/>
              </w:rPr>
              <w:t>10.7</w:t>
            </w:r>
          </w:p>
        </w:tc>
        <w:tc>
          <w:tcPr>
            <w:tcW w:w="1530" w:type="dxa"/>
            <w:tcBorders>
              <w:top w:val="nil"/>
              <w:left w:val="nil"/>
              <w:bottom w:val="single" w:sz="4" w:space="0" w:color="auto"/>
              <w:right w:val="single" w:sz="4" w:space="0" w:color="auto"/>
            </w:tcBorders>
            <w:shd w:val="clear" w:color="auto" w:fill="auto"/>
            <w:vAlign w:val="center"/>
            <w:hideMark/>
          </w:tcPr>
          <w:p w14:paraId="6CFD6E48" w14:textId="77777777" w:rsidR="00932658" w:rsidRPr="00932658" w:rsidRDefault="00932658" w:rsidP="00932658">
            <w:pPr>
              <w:widowControl/>
              <w:autoSpaceDE/>
              <w:autoSpaceDN/>
              <w:adjustRightInd/>
              <w:jc w:val="right"/>
              <w:rPr>
                <w:sz w:val="20"/>
                <w:szCs w:val="20"/>
              </w:rPr>
            </w:pPr>
            <w:r w:rsidRPr="00932658">
              <w:rPr>
                <w:sz w:val="20"/>
                <w:szCs w:val="20"/>
              </w:rPr>
              <w:t xml:space="preserve">$14,015.55 </w:t>
            </w:r>
          </w:p>
        </w:tc>
      </w:tr>
      <w:tr w:rsidR="00932658" w:rsidRPr="00932658" w14:paraId="0B7C191A" w14:textId="77777777" w:rsidTr="00932658">
        <w:trPr>
          <w:trHeight w:val="435"/>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A035A22"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 xml:space="preserve">B. Required activities </w:t>
            </w:r>
            <w:r w:rsidRPr="00932658">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vAlign w:val="center"/>
            <w:hideMark/>
          </w:tcPr>
          <w:p w14:paraId="2DA5B01B"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14:paraId="4861C8E9"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A6568F6"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F7888CC"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5E24D55F"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422" w:type="dxa"/>
            <w:tcBorders>
              <w:top w:val="nil"/>
              <w:left w:val="nil"/>
              <w:bottom w:val="single" w:sz="4" w:space="0" w:color="auto"/>
              <w:right w:val="single" w:sz="4" w:space="0" w:color="auto"/>
            </w:tcBorders>
            <w:shd w:val="clear" w:color="auto" w:fill="auto"/>
            <w:vAlign w:val="center"/>
            <w:hideMark/>
          </w:tcPr>
          <w:p w14:paraId="461A807E"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1C03998"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466E2B33" w14:textId="77777777" w:rsidR="00932658" w:rsidRPr="00932658" w:rsidRDefault="00932658" w:rsidP="00932658">
            <w:pPr>
              <w:widowControl/>
              <w:autoSpaceDE/>
              <w:autoSpaceDN/>
              <w:adjustRightInd/>
              <w:jc w:val="right"/>
              <w:rPr>
                <w:color w:val="000000"/>
                <w:sz w:val="20"/>
                <w:szCs w:val="20"/>
              </w:rPr>
            </w:pPr>
            <w:r w:rsidRPr="00932658">
              <w:rPr>
                <w:color w:val="000000"/>
                <w:sz w:val="20"/>
                <w:szCs w:val="20"/>
              </w:rPr>
              <w:t> </w:t>
            </w:r>
          </w:p>
        </w:tc>
      </w:tr>
      <w:tr w:rsidR="00932658" w:rsidRPr="00932658" w14:paraId="4A62F4FE" w14:textId="77777777" w:rsidTr="00932658">
        <w:trPr>
          <w:trHeight w:val="36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2DBAF32"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Prepare for initial/periodic performance test</w:t>
            </w:r>
          </w:p>
        </w:tc>
        <w:tc>
          <w:tcPr>
            <w:tcW w:w="1160" w:type="dxa"/>
            <w:tcBorders>
              <w:top w:val="nil"/>
              <w:left w:val="nil"/>
              <w:bottom w:val="single" w:sz="4" w:space="0" w:color="auto"/>
              <w:right w:val="single" w:sz="4" w:space="0" w:color="auto"/>
            </w:tcBorders>
            <w:shd w:val="clear" w:color="auto" w:fill="auto"/>
            <w:vAlign w:val="center"/>
            <w:hideMark/>
          </w:tcPr>
          <w:p w14:paraId="30DCE635"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24</w:t>
            </w:r>
          </w:p>
        </w:tc>
        <w:tc>
          <w:tcPr>
            <w:tcW w:w="1270" w:type="dxa"/>
            <w:tcBorders>
              <w:top w:val="nil"/>
              <w:left w:val="nil"/>
              <w:bottom w:val="single" w:sz="4" w:space="0" w:color="auto"/>
              <w:right w:val="single" w:sz="4" w:space="0" w:color="auto"/>
            </w:tcBorders>
            <w:shd w:val="clear" w:color="auto" w:fill="auto"/>
            <w:vAlign w:val="center"/>
            <w:hideMark/>
          </w:tcPr>
          <w:p w14:paraId="25785F50"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15ED54A9" w14:textId="77777777" w:rsidR="00932658" w:rsidRPr="00932658" w:rsidRDefault="00932658" w:rsidP="00932658">
            <w:pPr>
              <w:widowControl/>
              <w:autoSpaceDE/>
              <w:autoSpaceDN/>
              <w:adjustRightInd/>
              <w:jc w:val="center"/>
              <w:rPr>
                <w:sz w:val="20"/>
                <w:szCs w:val="20"/>
              </w:rPr>
            </w:pPr>
            <w:r w:rsidRPr="00932658">
              <w:rPr>
                <w:sz w:val="20"/>
                <w:szCs w:val="20"/>
              </w:rPr>
              <w:t>24</w:t>
            </w:r>
          </w:p>
        </w:tc>
        <w:tc>
          <w:tcPr>
            <w:tcW w:w="1306" w:type="dxa"/>
            <w:tcBorders>
              <w:top w:val="nil"/>
              <w:left w:val="nil"/>
              <w:bottom w:val="single" w:sz="4" w:space="0" w:color="auto"/>
              <w:right w:val="single" w:sz="4" w:space="0" w:color="auto"/>
            </w:tcBorders>
            <w:shd w:val="clear" w:color="auto" w:fill="auto"/>
            <w:vAlign w:val="center"/>
            <w:hideMark/>
          </w:tcPr>
          <w:p w14:paraId="4CD58DA4"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25</w:t>
            </w:r>
          </w:p>
        </w:tc>
        <w:tc>
          <w:tcPr>
            <w:tcW w:w="1050" w:type="dxa"/>
            <w:tcBorders>
              <w:top w:val="nil"/>
              <w:left w:val="nil"/>
              <w:bottom w:val="single" w:sz="4" w:space="0" w:color="auto"/>
              <w:right w:val="single" w:sz="4" w:space="0" w:color="auto"/>
            </w:tcBorders>
            <w:shd w:val="clear" w:color="auto" w:fill="auto"/>
            <w:vAlign w:val="center"/>
            <w:hideMark/>
          </w:tcPr>
          <w:p w14:paraId="37A7B9E6" w14:textId="77777777" w:rsidR="00932658" w:rsidRPr="00932658" w:rsidRDefault="00932658" w:rsidP="00932658">
            <w:pPr>
              <w:widowControl/>
              <w:autoSpaceDE/>
              <w:autoSpaceDN/>
              <w:adjustRightInd/>
              <w:jc w:val="center"/>
              <w:rPr>
                <w:sz w:val="20"/>
                <w:szCs w:val="20"/>
              </w:rPr>
            </w:pPr>
            <w:r w:rsidRPr="00932658">
              <w:rPr>
                <w:sz w:val="20"/>
                <w:szCs w:val="20"/>
              </w:rPr>
              <w:t>600</w:t>
            </w:r>
          </w:p>
        </w:tc>
        <w:tc>
          <w:tcPr>
            <w:tcW w:w="1422" w:type="dxa"/>
            <w:tcBorders>
              <w:top w:val="nil"/>
              <w:left w:val="nil"/>
              <w:bottom w:val="single" w:sz="4" w:space="0" w:color="auto"/>
              <w:right w:val="single" w:sz="4" w:space="0" w:color="auto"/>
            </w:tcBorders>
            <w:shd w:val="clear" w:color="auto" w:fill="auto"/>
            <w:vAlign w:val="center"/>
            <w:hideMark/>
          </w:tcPr>
          <w:p w14:paraId="389386EB" w14:textId="77777777" w:rsidR="00932658" w:rsidRPr="00932658" w:rsidRDefault="00932658" w:rsidP="00932658">
            <w:pPr>
              <w:widowControl/>
              <w:autoSpaceDE/>
              <w:autoSpaceDN/>
              <w:adjustRightInd/>
              <w:jc w:val="center"/>
              <w:rPr>
                <w:sz w:val="20"/>
                <w:szCs w:val="20"/>
              </w:rPr>
            </w:pPr>
            <w:r w:rsidRPr="00932658">
              <w:rPr>
                <w:sz w:val="20"/>
                <w:szCs w:val="20"/>
              </w:rPr>
              <w:t>30</w:t>
            </w:r>
          </w:p>
        </w:tc>
        <w:tc>
          <w:tcPr>
            <w:tcW w:w="1080" w:type="dxa"/>
            <w:tcBorders>
              <w:top w:val="nil"/>
              <w:left w:val="nil"/>
              <w:bottom w:val="single" w:sz="4" w:space="0" w:color="auto"/>
              <w:right w:val="single" w:sz="4" w:space="0" w:color="auto"/>
            </w:tcBorders>
            <w:shd w:val="clear" w:color="auto" w:fill="auto"/>
            <w:vAlign w:val="center"/>
            <w:hideMark/>
          </w:tcPr>
          <w:p w14:paraId="0EABC176" w14:textId="77777777" w:rsidR="00932658" w:rsidRPr="00932658" w:rsidRDefault="00932658" w:rsidP="00932658">
            <w:pPr>
              <w:widowControl/>
              <w:autoSpaceDE/>
              <w:autoSpaceDN/>
              <w:adjustRightInd/>
              <w:jc w:val="center"/>
              <w:rPr>
                <w:sz w:val="20"/>
                <w:szCs w:val="20"/>
              </w:rPr>
            </w:pPr>
            <w:r w:rsidRPr="00932658">
              <w:rPr>
                <w:sz w:val="20"/>
                <w:szCs w:val="20"/>
              </w:rPr>
              <w:t>60</w:t>
            </w:r>
          </w:p>
        </w:tc>
        <w:tc>
          <w:tcPr>
            <w:tcW w:w="1530" w:type="dxa"/>
            <w:tcBorders>
              <w:top w:val="nil"/>
              <w:left w:val="nil"/>
              <w:bottom w:val="single" w:sz="4" w:space="0" w:color="auto"/>
              <w:right w:val="single" w:sz="4" w:space="0" w:color="auto"/>
            </w:tcBorders>
            <w:shd w:val="clear" w:color="auto" w:fill="auto"/>
            <w:vAlign w:val="center"/>
            <w:hideMark/>
          </w:tcPr>
          <w:p w14:paraId="6E298868" w14:textId="77777777" w:rsidR="00932658" w:rsidRPr="00932658" w:rsidRDefault="00932658" w:rsidP="00932658">
            <w:pPr>
              <w:widowControl/>
              <w:autoSpaceDE/>
              <w:autoSpaceDN/>
              <w:adjustRightInd/>
              <w:jc w:val="right"/>
              <w:rPr>
                <w:color w:val="000000"/>
                <w:sz w:val="20"/>
                <w:szCs w:val="20"/>
              </w:rPr>
            </w:pPr>
            <w:r w:rsidRPr="00932658">
              <w:rPr>
                <w:color w:val="000000"/>
                <w:sz w:val="20"/>
                <w:szCs w:val="20"/>
              </w:rPr>
              <w:t xml:space="preserve">$71,559 </w:t>
            </w:r>
          </w:p>
        </w:tc>
      </w:tr>
      <w:tr w:rsidR="00932658" w:rsidRPr="00932658" w14:paraId="125E964E"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515D8DD0"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Attend initial/periodic performance test</w:t>
            </w:r>
          </w:p>
        </w:tc>
        <w:tc>
          <w:tcPr>
            <w:tcW w:w="1160" w:type="dxa"/>
            <w:tcBorders>
              <w:top w:val="nil"/>
              <w:left w:val="nil"/>
              <w:bottom w:val="single" w:sz="4" w:space="0" w:color="auto"/>
              <w:right w:val="single" w:sz="4" w:space="0" w:color="auto"/>
            </w:tcBorders>
            <w:shd w:val="clear" w:color="auto" w:fill="auto"/>
            <w:vAlign w:val="center"/>
            <w:hideMark/>
          </w:tcPr>
          <w:p w14:paraId="0D1640BA"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24</w:t>
            </w:r>
          </w:p>
        </w:tc>
        <w:tc>
          <w:tcPr>
            <w:tcW w:w="1270" w:type="dxa"/>
            <w:tcBorders>
              <w:top w:val="nil"/>
              <w:left w:val="nil"/>
              <w:bottom w:val="single" w:sz="4" w:space="0" w:color="auto"/>
              <w:right w:val="single" w:sz="4" w:space="0" w:color="auto"/>
            </w:tcBorders>
            <w:shd w:val="clear" w:color="auto" w:fill="auto"/>
            <w:vAlign w:val="center"/>
            <w:hideMark/>
          </w:tcPr>
          <w:p w14:paraId="29BDE315"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14:paraId="74BD695A" w14:textId="77777777" w:rsidR="00932658" w:rsidRPr="00932658" w:rsidRDefault="00932658" w:rsidP="00932658">
            <w:pPr>
              <w:widowControl/>
              <w:autoSpaceDE/>
              <w:autoSpaceDN/>
              <w:adjustRightInd/>
              <w:jc w:val="center"/>
              <w:rPr>
                <w:sz w:val="20"/>
                <w:szCs w:val="20"/>
              </w:rPr>
            </w:pPr>
            <w:r w:rsidRPr="00932658">
              <w:rPr>
                <w:sz w:val="20"/>
                <w:szCs w:val="20"/>
              </w:rPr>
              <w:t>48</w:t>
            </w:r>
          </w:p>
        </w:tc>
        <w:tc>
          <w:tcPr>
            <w:tcW w:w="1306" w:type="dxa"/>
            <w:tcBorders>
              <w:top w:val="nil"/>
              <w:left w:val="nil"/>
              <w:bottom w:val="single" w:sz="4" w:space="0" w:color="auto"/>
              <w:right w:val="single" w:sz="4" w:space="0" w:color="auto"/>
            </w:tcBorders>
            <w:shd w:val="clear" w:color="auto" w:fill="auto"/>
            <w:vAlign w:val="center"/>
            <w:hideMark/>
          </w:tcPr>
          <w:p w14:paraId="217FA1E6"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25</w:t>
            </w:r>
          </w:p>
        </w:tc>
        <w:tc>
          <w:tcPr>
            <w:tcW w:w="1050" w:type="dxa"/>
            <w:tcBorders>
              <w:top w:val="nil"/>
              <w:left w:val="nil"/>
              <w:bottom w:val="single" w:sz="4" w:space="0" w:color="auto"/>
              <w:right w:val="single" w:sz="4" w:space="0" w:color="auto"/>
            </w:tcBorders>
            <w:shd w:val="clear" w:color="auto" w:fill="auto"/>
            <w:vAlign w:val="center"/>
            <w:hideMark/>
          </w:tcPr>
          <w:p w14:paraId="3872C64D" w14:textId="77777777" w:rsidR="00932658" w:rsidRPr="00932658" w:rsidRDefault="00932658" w:rsidP="00932658">
            <w:pPr>
              <w:widowControl/>
              <w:autoSpaceDE/>
              <w:autoSpaceDN/>
              <w:adjustRightInd/>
              <w:jc w:val="center"/>
              <w:rPr>
                <w:sz w:val="20"/>
                <w:szCs w:val="20"/>
              </w:rPr>
            </w:pPr>
            <w:r w:rsidRPr="00932658">
              <w:rPr>
                <w:sz w:val="20"/>
                <w:szCs w:val="20"/>
              </w:rPr>
              <w:t>1,200</w:t>
            </w:r>
          </w:p>
        </w:tc>
        <w:tc>
          <w:tcPr>
            <w:tcW w:w="1422" w:type="dxa"/>
            <w:tcBorders>
              <w:top w:val="nil"/>
              <w:left w:val="nil"/>
              <w:bottom w:val="single" w:sz="4" w:space="0" w:color="auto"/>
              <w:right w:val="single" w:sz="4" w:space="0" w:color="auto"/>
            </w:tcBorders>
            <w:shd w:val="clear" w:color="auto" w:fill="auto"/>
            <w:vAlign w:val="center"/>
            <w:hideMark/>
          </w:tcPr>
          <w:p w14:paraId="262E5855" w14:textId="77777777" w:rsidR="00932658" w:rsidRPr="00932658" w:rsidRDefault="00932658" w:rsidP="00932658">
            <w:pPr>
              <w:widowControl/>
              <w:autoSpaceDE/>
              <w:autoSpaceDN/>
              <w:adjustRightInd/>
              <w:jc w:val="center"/>
              <w:rPr>
                <w:sz w:val="20"/>
                <w:szCs w:val="20"/>
              </w:rPr>
            </w:pPr>
            <w:r w:rsidRPr="00932658">
              <w:rPr>
                <w:sz w:val="20"/>
                <w:szCs w:val="20"/>
              </w:rPr>
              <w:t>60</w:t>
            </w:r>
          </w:p>
        </w:tc>
        <w:tc>
          <w:tcPr>
            <w:tcW w:w="1080" w:type="dxa"/>
            <w:tcBorders>
              <w:top w:val="nil"/>
              <w:left w:val="nil"/>
              <w:bottom w:val="single" w:sz="4" w:space="0" w:color="auto"/>
              <w:right w:val="single" w:sz="4" w:space="0" w:color="auto"/>
            </w:tcBorders>
            <w:shd w:val="clear" w:color="auto" w:fill="auto"/>
            <w:vAlign w:val="center"/>
            <w:hideMark/>
          </w:tcPr>
          <w:p w14:paraId="5AFF7EFB" w14:textId="77777777" w:rsidR="00932658" w:rsidRPr="00932658" w:rsidRDefault="00932658" w:rsidP="00932658">
            <w:pPr>
              <w:widowControl/>
              <w:autoSpaceDE/>
              <w:autoSpaceDN/>
              <w:adjustRightInd/>
              <w:jc w:val="center"/>
              <w:rPr>
                <w:sz w:val="20"/>
                <w:szCs w:val="20"/>
              </w:rPr>
            </w:pPr>
            <w:r w:rsidRPr="00932658">
              <w:rPr>
                <w:sz w:val="20"/>
                <w:szCs w:val="20"/>
              </w:rPr>
              <w:t>120</w:t>
            </w:r>
          </w:p>
        </w:tc>
        <w:tc>
          <w:tcPr>
            <w:tcW w:w="1530" w:type="dxa"/>
            <w:tcBorders>
              <w:top w:val="nil"/>
              <w:left w:val="nil"/>
              <w:bottom w:val="single" w:sz="4" w:space="0" w:color="auto"/>
              <w:right w:val="single" w:sz="4" w:space="0" w:color="auto"/>
            </w:tcBorders>
            <w:shd w:val="clear" w:color="auto" w:fill="auto"/>
            <w:vAlign w:val="center"/>
            <w:hideMark/>
          </w:tcPr>
          <w:p w14:paraId="16B755AD" w14:textId="77777777" w:rsidR="00932658" w:rsidRPr="00932658" w:rsidRDefault="00932658" w:rsidP="00932658">
            <w:pPr>
              <w:widowControl/>
              <w:autoSpaceDE/>
              <w:autoSpaceDN/>
              <w:adjustRightInd/>
              <w:jc w:val="right"/>
              <w:rPr>
                <w:sz w:val="20"/>
                <w:szCs w:val="20"/>
              </w:rPr>
            </w:pPr>
            <w:r w:rsidRPr="00932658">
              <w:rPr>
                <w:sz w:val="20"/>
                <w:szCs w:val="20"/>
              </w:rPr>
              <w:t xml:space="preserve">$157,183.74 </w:t>
            </w:r>
          </w:p>
        </w:tc>
      </w:tr>
      <w:tr w:rsidR="00932658" w:rsidRPr="00932658" w14:paraId="17CE0808"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51B8FA9D"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Prepare for retest</w:t>
            </w:r>
          </w:p>
        </w:tc>
        <w:tc>
          <w:tcPr>
            <w:tcW w:w="1160" w:type="dxa"/>
            <w:tcBorders>
              <w:top w:val="nil"/>
              <w:left w:val="nil"/>
              <w:bottom w:val="single" w:sz="4" w:space="0" w:color="auto"/>
              <w:right w:val="single" w:sz="4" w:space="0" w:color="auto"/>
            </w:tcBorders>
            <w:shd w:val="clear" w:color="auto" w:fill="auto"/>
            <w:vAlign w:val="center"/>
            <w:hideMark/>
          </w:tcPr>
          <w:p w14:paraId="40732F6E"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24</w:t>
            </w:r>
          </w:p>
        </w:tc>
        <w:tc>
          <w:tcPr>
            <w:tcW w:w="1270" w:type="dxa"/>
            <w:tcBorders>
              <w:top w:val="nil"/>
              <w:left w:val="nil"/>
              <w:bottom w:val="single" w:sz="4" w:space="0" w:color="auto"/>
              <w:right w:val="single" w:sz="4" w:space="0" w:color="auto"/>
            </w:tcBorders>
            <w:shd w:val="clear" w:color="auto" w:fill="auto"/>
            <w:vAlign w:val="center"/>
            <w:hideMark/>
          </w:tcPr>
          <w:p w14:paraId="1DEF5300"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014FD7C8" w14:textId="77777777" w:rsidR="00932658" w:rsidRPr="00932658" w:rsidRDefault="00932658" w:rsidP="00932658">
            <w:pPr>
              <w:widowControl/>
              <w:autoSpaceDE/>
              <w:autoSpaceDN/>
              <w:adjustRightInd/>
              <w:jc w:val="center"/>
              <w:rPr>
                <w:sz w:val="20"/>
                <w:szCs w:val="20"/>
              </w:rPr>
            </w:pPr>
            <w:r w:rsidRPr="00932658">
              <w:rPr>
                <w:sz w:val="20"/>
                <w:szCs w:val="20"/>
              </w:rPr>
              <w:t>24</w:t>
            </w:r>
          </w:p>
        </w:tc>
        <w:tc>
          <w:tcPr>
            <w:tcW w:w="1306" w:type="dxa"/>
            <w:tcBorders>
              <w:top w:val="nil"/>
              <w:left w:val="nil"/>
              <w:bottom w:val="single" w:sz="4" w:space="0" w:color="auto"/>
              <w:right w:val="single" w:sz="4" w:space="0" w:color="auto"/>
            </w:tcBorders>
            <w:shd w:val="clear" w:color="auto" w:fill="auto"/>
            <w:vAlign w:val="center"/>
            <w:hideMark/>
          </w:tcPr>
          <w:p w14:paraId="6F15D0A5"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5</w:t>
            </w:r>
          </w:p>
        </w:tc>
        <w:tc>
          <w:tcPr>
            <w:tcW w:w="1050" w:type="dxa"/>
            <w:tcBorders>
              <w:top w:val="nil"/>
              <w:left w:val="nil"/>
              <w:bottom w:val="single" w:sz="4" w:space="0" w:color="auto"/>
              <w:right w:val="single" w:sz="4" w:space="0" w:color="auto"/>
            </w:tcBorders>
            <w:shd w:val="clear" w:color="auto" w:fill="auto"/>
            <w:vAlign w:val="center"/>
            <w:hideMark/>
          </w:tcPr>
          <w:p w14:paraId="32F2449A" w14:textId="77777777" w:rsidR="00932658" w:rsidRPr="00932658" w:rsidRDefault="00932658" w:rsidP="00932658">
            <w:pPr>
              <w:widowControl/>
              <w:autoSpaceDE/>
              <w:autoSpaceDN/>
              <w:adjustRightInd/>
              <w:jc w:val="center"/>
              <w:rPr>
                <w:sz w:val="20"/>
                <w:szCs w:val="20"/>
              </w:rPr>
            </w:pPr>
            <w:r w:rsidRPr="00932658">
              <w:rPr>
                <w:sz w:val="20"/>
                <w:szCs w:val="20"/>
              </w:rPr>
              <w:t>120</w:t>
            </w:r>
          </w:p>
        </w:tc>
        <w:tc>
          <w:tcPr>
            <w:tcW w:w="1422" w:type="dxa"/>
            <w:tcBorders>
              <w:top w:val="nil"/>
              <w:left w:val="nil"/>
              <w:bottom w:val="single" w:sz="4" w:space="0" w:color="auto"/>
              <w:right w:val="single" w:sz="4" w:space="0" w:color="auto"/>
            </w:tcBorders>
            <w:shd w:val="clear" w:color="auto" w:fill="auto"/>
            <w:vAlign w:val="center"/>
            <w:hideMark/>
          </w:tcPr>
          <w:p w14:paraId="133E944D" w14:textId="77777777" w:rsidR="00932658" w:rsidRPr="00932658" w:rsidRDefault="00932658" w:rsidP="00932658">
            <w:pPr>
              <w:widowControl/>
              <w:autoSpaceDE/>
              <w:autoSpaceDN/>
              <w:adjustRightInd/>
              <w:jc w:val="center"/>
              <w:rPr>
                <w:sz w:val="20"/>
                <w:szCs w:val="20"/>
              </w:rPr>
            </w:pPr>
            <w:r w:rsidRPr="00932658">
              <w:rPr>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14:paraId="62CC04F8" w14:textId="77777777" w:rsidR="00932658" w:rsidRPr="00932658" w:rsidRDefault="00932658" w:rsidP="00932658">
            <w:pPr>
              <w:widowControl/>
              <w:autoSpaceDE/>
              <w:autoSpaceDN/>
              <w:adjustRightInd/>
              <w:jc w:val="center"/>
              <w:rPr>
                <w:sz w:val="20"/>
                <w:szCs w:val="20"/>
              </w:rPr>
            </w:pPr>
            <w:r w:rsidRPr="00932658">
              <w:rPr>
                <w:sz w:val="20"/>
                <w:szCs w:val="20"/>
              </w:rPr>
              <w:t>12</w:t>
            </w:r>
          </w:p>
        </w:tc>
        <w:tc>
          <w:tcPr>
            <w:tcW w:w="1530" w:type="dxa"/>
            <w:tcBorders>
              <w:top w:val="nil"/>
              <w:left w:val="nil"/>
              <w:bottom w:val="single" w:sz="4" w:space="0" w:color="auto"/>
              <w:right w:val="single" w:sz="4" w:space="0" w:color="auto"/>
            </w:tcBorders>
            <w:shd w:val="clear" w:color="auto" w:fill="auto"/>
            <w:vAlign w:val="center"/>
            <w:hideMark/>
          </w:tcPr>
          <w:p w14:paraId="47E7845F" w14:textId="77777777" w:rsidR="00932658" w:rsidRPr="00932658" w:rsidRDefault="00932658" w:rsidP="00932658">
            <w:pPr>
              <w:widowControl/>
              <w:autoSpaceDE/>
              <w:autoSpaceDN/>
              <w:adjustRightInd/>
              <w:jc w:val="right"/>
              <w:rPr>
                <w:sz w:val="20"/>
                <w:szCs w:val="20"/>
              </w:rPr>
            </w:pPr>
            <w:r w:rsidRPr="00932658">
              <w:rPr>
                <w:sz w:val="20"/>
                <w:szCs w:val="20"/>
              </w:rPr>
              <w:t xml:space="preserve">$15,718.37 </w:t>
            </w:r>
          </w:p>
        </w:tc>
      </w:tr>
      <w:tr w:rsidR="00932658" w:rsidRPr="00932658" w14:paraId="7031308F"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5616D460"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Attend retest</w:t>
            </w:r>
          </w:p>
        </w:tc>
        <w:tc>
          <w:tcPr>
            <w:tcW w:w="1160" w:type="dxa"/>
            <w:tcBorders>
              <w:top w:val="nil"/>
              <w:left w:val="nil"/>
              <w:bottom w:val="single" w:sz="4" w:space="0" w:color="auto"/>
              <w:right w:val="single" w:sz="4" w:space="0" w:color="auto"/>
            </w:tcBorders>
            <w:shd w:val="clear" w:color="auto" w:fill="auto"/>
            <w:vAlign w:val="center"/>
            <w:hideMark/>
          </w:tcPr>
          <w:p w14:paraId="44DE4CED"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24</w:t>
            </w:r>
          </w:p>
        </w:tc>
        <w:tc>
          <w:tcPr>
            <w:tcW w:w="1270" w:type="dxa"/>
            <w:tcBorders>
              <w:top w:val="nil"/>
              <w:left w:val="nil"/>
              <w:bottom w:val="single" w:sz="4" w:space="0" w:color="auto"/>
              <w:right w:val="single" w:sz="4" w:space="0" w:color="auto"/>
            </w:tcBorders>
            <w:shd w:val="clear" w:color="auto" w:fill="auto"/>
            <w:vAlign w:val="center"/>
            <w:hideMark/>
          </w:tcPr>
          <w:p w14:paraId="1F3A0913"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14:paraId="107AE3BD" w14:textId="77777777" w:rsidR="00932658" w:rsidRPr="00932658" w:rsidRDefault="00932658" w:rsidP="00932658">
            <w:pPr>
              <w:widowControl/>
              <w:autoSpaceDE/>
              <w:autoSpaceDN/>
              <w:adjustRightInd/>
              <w:jc w:val="center"/>
              <w:rPr>
                <w:sz w:val="20"/>
                <w:szCs w:val="20"/>
              </w:rPr>
            </w:pPr>
            <w:r w:rsidRPr="00932658">
              <w:rPr>
                <w:sz w:val="20"/>
                <w:szCs w:val="20"/>
              </w:rPr>
              <w:t>48</w:t>
            </w:r>
          </w:p>
        </w:tc>
        <w:tc>
          <w:tcPr>
            <w:tcW w:w="1306" w:type="dxa"/>
            <w:tcBorders>
              <w:top w:val="nil"/>
              <w:left w:val="nil"/>
              <w:bottom w:val="single" w:sz="4" w:space="0" w:color="auto"/>
              <w:right w:val="single" w:sz="4" w:space="0" w:color="auto"/>
            </w:tcBorders>
            <w:shd w:val="clear" w:color="auto" w:fill="auto"/>
            <w:vAlign w:val="center"/>
            <w:hideMark/>
          </w:tcPr>
          <w:p w14:paraId="557F8839"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5</w:t>
            </w:r>
          </w:p>
        </w:tc>
        <w:tc>
          <w:tcPr>
            <w:tcW w:w="1050" w:type="dxa"/>
            <w:tcBorders>
              <w:top w:val="nil"/>
              <w:left w:val="nil"/>
              <w:bottom w:val="single" w:sz="4" w:space="0" w:color="auto"/>
              <w:right w:val="single" w:sz="4" w:space="0" w:color="auto"/>
            </w:tcBorders>
            <w:shd w:val="clear" w:color="auto" w:fill="auto"/>
            <w:vAlign w:val="center"/>
            <w:hideMark/>
          </w:tcPr>
          <w:p w14:paraId="1899E640" w14:textId="77777777" w:rsidR="00932658" w:rsidRPr="00932658" w:rsidRDefault="00932658" w:rsidP="00932658">
            <w:pPr>
              <w:widowControl/>
              <w:autoSpaceDE/>
              <w:autoSpaceDN/>
              <w:adjustRightInd/>
              <w:jc w:val="center"/>
              <w:rPr>
                <w:sz w:val="20"/>
                <w:szCs w:val="20"/>
              </w:rPr>
            </w:pPr>
            <w:r w:rsidRPr="00932658">
              <w:rPr>
                <w:sz w:val="20"/>
                <w:szCs w:val="20"/>
              </w:rPr>
              <w:t>240</w:t>
            </w:r>
          </w:p>
        </w:tc>
        <w:tc>
          <w:tcPr>
            <w:tcW w:w="1422" w:type="dxa"/>
            <w:tcBorders>
              <w:top w:val="nil"/>
              <w:left w:val="nil"/>
              <w:bottom w:val="single" w:sz="4" w:space="0" w:color="auto"/>
              <w:right w:val="single" w:sz="4" w:space="0" w:color="auto"/>
            </w:tcBorders>
            <w:shd w:val="clear" w:color="auto" w:fill="auto"/>
            <w:vAlign w:val="center"/>
            <w:hideMark/>
          </w:tcPr>
          <w:p w14:paraId="6322DC2C" w14:textId="77777777" w:rsidR="00932658" w:rsidRPr="00932658" w:rsidRDefault="00932658" w:rsidP="00932658">
            <w:pPr>
              <w:widowControl/>
              <w:autoSpaceDE/>
              <w:autoSpaceDN/>
              <w:adjustRightInd/>
              <w:jc w:val="center"/>
              <w:rPr>
                <w:sz w:val="20"/>
                <w:szCs w:val="20"/>
              </w:rPr>
            </w:pPr>
            <w:r w:rsidRPr="00932658">
              <w:rPr>
                <w:sz w:val="20"/>
                <w:szCs w:val="20"/>
              </w:rPr>
              <w:t>12</w:t>
            </w:r>
          </w:p>
        </w:tc>
        <w:tc>
          <w:tcPr>
            <w:tcW w:w="1080" w:type="dxa"/>
            <w:tcBorders>
              <w:top w:val="nil"/>
              <w:left w:val="nil"/>
              <w:bottom w:val="single" w:sz="4" w:space="0" w:color="auto"/>
              <w:right w:val="single" w:sz="4" w:space="0" w:color="auto"/>
            </w:tcBorders>
            <w:shd w:val="clear" w:color="auto" w:fill="auto"/>
            <w:vAlign w:val="center"/>
            <w:hideMark/>
          </w:tcPr>
          <w:p w14:paraId="4B65634B" w14:textId="77777777" w:rsidR="00932658" w:rsidRPr="00932658" w:rsidRDefault="00932658" w:rsidP="00932658">
            <w:pPr>
              <w:widowControl/>
              <w:autoSpaceDE/>
              <w:autoSpaceDN/>
              <w:adjustRightInd/>
              <w:jc w:val="center"/>
              <w:rPr>
                <w:sz w:val="20"/>
                <w:szCs w:val="20"/>
              </w:rPr>
            </w:pPr>
            <w:r w:rsidRPr="00932658">
              <w:rPr>
                <w:sz w:val="20"/>
                <w:szCs w:val="20"/>
              </w:rPr>
              <w:t>24</w:t>
            </w:r>
          </w:p>
        </w:tc>
        <w:tc>
          <w:tcPr>
            <w:tcW w:w="1530" w:type="dxa"/>
            <w:tcBorders>
              <w:top w:val="nil"/>
              <w:left w:val="nil"/>
              <w:bottom w:val="single" w:sz="4" w:space="0" w:color="auto"/>
              <w:right w:val="single" w:sz="4" w:space="0" w:color="auto"/>
            </w:tcBorders>
            <w:shd w:val="clear" w:color="auto" w:fill="auto"/>
            <w:vAlign w:val="center"/>
            <w:hideMark/>
          </w:tcPr>
          <w:p w14:paraId="0B9F0FE3" w14:textId="77777777" w:rsidR="00932658" w:rsidRPr="00932658" w:rsidRDefault="00932658" w:rsidP="00932658">
            <w:pPr>
              <w:widowControl/>
              <w:autoSpaceDE/>
              <w:autoSpaceDN/>
              <w:adjustRightInd/>
              <w:jc w:val="right"/>
              <w:rPr>
                <w:sz w:val="20"/>
                <w:szCs w:val="20"/>
              </w:rPr>
            </w:pPr>
            <w:r w:rsidRPr="00932658">
              <w:rPr>
                <w:sz w:val="20"/>
                <w:szCs w:val="20"/>
              </w:rPr>
              <w:t xml:space="preserve">$31,436.75 </w:t>
            </w:r>
          </w:p>
        </w:tc>
      </w:tr>
      <w:tr w:rsidR="00932658" w:rsidRPr="00932658" w14:paraId="6A5CF425"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A20C786"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C. Create information</w:t>
            </w:r>
          </w:p>
        </w:tc>
        <w:tc>
          <w:tcPr>
            <w:tcW w:w="1160" w:type="dxa"/>
            <w:tcBorders>
              <w:top w:val="nil"/>
              <w:left w:val="nil"/>
              <w:bottom w:val="single" w:sz="4" w:space="0" w:color="auto"/>
              <w:right w:val="single" w:sz="4" w:space="0" w:color="auto"/>
            </w:tcBorders>
            <w:shd w:val="clear" w:color="auto" w:fill="auto"/>
            <w:vAlign w:val="center"/>
            <w:hideMark/>
          </w:tcPr>
          <w:p w14:paraId="469336F9"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See 3B</w:t>
            </w:r>
          </w:p>
        </w:tc>
        <w:tc>
          <w:tcPr>
            <w:tcW w:w="1270" w:type="dxa"/>
            <w:tcBorders>
              <w:top w:val="nil"/>
              <w:left w:val="nil"/>
              <w:bottom w:val="single" w:sz="4" w:space="0" w:color="auto"/>
              <w:right w:val="single" w:sz="4" w:space="0" w:color="auto"/>
            </w:tcBorders>
            <w:shd w:val="clear" w:color="auto" w:fill="auto"/>
            <w:vAlign w:val="center"/>
            <w:hideMark/>
          </w:tcPr>
          <w:p w14:paraId="18B0B963"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EC4D704"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0799C4D"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46E2CBD"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422" w:type="dxa"/>
            <w:tcBorders>
              <w:top w:val="nil"/>
              <w:left w:val="nil"/>
              <w:bottom w:val="single" w:sz="4" w:space="0" w:color="auto"/>
              <w:right w:val="single" w:sz="4" w:space="0" w:color="auto"/>
            </w:tcBorders>
            <w:shd w:val="clear" w:color="auto" w:fill="auto"/>
            <w:vAlign w:val="center"/>
            <w:hideMark/>
          </w:tcPr>
          <w:p w14:paraId="11B6FE65"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44A10DB"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187562D3" w14:textId="77777777" w:rsidR="00932658" w:rsidRPr="00932658" w:rsidRDefault="00932658" w:rsidP="00932658">
            <w:pPr>
              <w:widowControl/>
              <w:autoSpaceDE/>
              <w:autoSpaceDN/>
              <w:adjustRightInd/>
              <w:jc w:val="right"/>
              <w:rPr>
                <w:color w:val="000000"/>
                <w:sz w:val="20"/>
                <w:szCs w:val="20"/>
              </w:rPr>
            </w:pPr>
            <w:r w:rsidRPr="00932658">
              <w:rPr>
                <w:color w:val="000000"/>
                <w:sz w:val="20"/>
                <w:szCs w:val="20"/>
              </w:rPr>
              <w:t> </w:t>
            </w:r>
          </w:p>
        </w:tc>
      </w:tr>
      <w:tr w:rsidR="00932658" w:rsidRPr="00932658" w14:paraId="4C3AF4DD"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0B0F11D3"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D. Gather existing information</w:t>
            </w:r>
          </w:p>
        </w:tc>
        <w:tc>
          <w:tcPr>
            <w:tcW w:w="1160" w:type="dxa"/>
            <w:tcBorders>
              <w:top w:val="nil"/>
              <w:left w:val="nil"/>
              <w:bottom w:val="single" w:sz="4" w:space="0" w:color="auto"/>
              <w:right w:val="single" w:sz="4" w:space="0" w:color="auto"/>
            </w:tcBorders>
            <w:shd w:val="clear" w:color="auto" w:fill="auto"/>
            <w:vAlign w:val="center"/>
            <w:hideMark/>
          </w:tcPr>
          <w:p w14:paraId="5C2B9215"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See 3B</w:t>
            </w:r>
          </w:p>
        </w:tc>
        <w:tc>
          <w:tcPr>
            <w:tcW w:w="1270" w:type="dxa"/>
            <w:tcBorders>
              <w:top w:val="nil"/>
              <w:left w:val="nil"/>
              <w:bottom w:val="single" w:sz="4" w:space="0" w:color="auto"/>
              <w:right w:val="single" w:sz="4" w:space="0" w:color="auto"/>
            </w:tcBorders>
            <w:shd w:val="clear" w:color="auto" w:fill="auto"/>
            <w:vAlign w:val="center"/>
            <w:hideMark/>
          </w:tcPr>
          <w:p w14:paraId="0E9025F2"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B0C611F"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4F6C28C"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99237FE"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422" w:type="dxa"/>
            <w:tcBorders>
              <w:top w:val="nil"/>
              <w:left w:val="nil"/>
              <w:bottom w:val="single" w:sz="4" w:space="0" w:color="auto"/>
              <w:right w:val="single" w:sz="4" w:space="0" w:color="auto"/>
            </w:tcBorders>
            <w:shd w:val="clear" w:color="auto" w:fill="auto"/>
            <w:vAlign w:val="center"/>
            <w:hideMark/>
          </w:tcPr>
          <w:p w14:paraId="797B01E2"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F04299E"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5DBD8F9A" w14:textId="77777777" w:rsidR="00932658" w:rsidRPr="00932658" w:rsidRDefault="00932658" w:rsidP="00932658">
            <w:pPr>
              <w:widowControl/>
              <w:autoSpaceDE/>
              <w:autoSpaceDN/>
              <w:adjustRightInd/>
              <w:jc w:val="right"/>
              <w:rPr>
                <w:color w:val="000000"/>
                <w:sz w:val="20"/>
                <w:szCs w:val="20"/>
              </w:rPr>
            </w:pPr>
            <w:r w:rsidRPr="00932658">
              <w:rPr>
                <w:color w:val="000000"/>
                <w:sz w:val="20"/>
                <w:szCs w:val="20"/>
              </w:rPr>
              <w:t> </w:t>
            </w:r>
          </w:p>
        </w:tc>
      </w:tr>
      <w:tr w:rsidR="00932658" w:rsidRPr="00932658" w14:paraId="7CA7B8D4"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0CD0AE09"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E. Write reports</w:t>
            </w:r>
          </w:p>
        </w:tc>
        <w:tc>
          <w:tcPr>
            <w:tcW w:w="1160" w:type="dxa"/>
            <w:tcBorders>
              <w:top w:val="nil"/>
              <w:left w:val="nil"/>
              <w:bottom w:val="single" w:sz="4" w:space="0" w:color="auto"/>
              <w:right w:val="single" w:sz="4" w:space="0" w:color="auto"/>
            </w:tcBorders>
            <w:shd w:val="clear" w:color="auto" w:fill="auto"/>
            <w:vAlign w:val="center"/>
            <w:hideMark/>
          </w:tcPr>
          <w:p w14:paraId="3CB14A63"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14:paraId="787F9DDD"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2D828AF"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99DB616"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425F5524"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422" w:type="dxa"/>
            <w:tcBorders>
              <w:top w:val="nil"/>
              <w:left w:val="nil"/>
              <w:bottom w:val="single" w:sz="4" w:space="0" w:color="auto"/>
              <w:right w:val="single" w:sz="4" w:space="0" w:color="auto"/>
            </w:tcBorders>
            <w:shd w:val="clear" w:color="auto" w:fill="auto"/>
            <w:vAlign w:val="center"/>
            <w:hideMark/>
          </w:tcPr>
          <w:p w14:paraId="5E52162D"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E299CDC"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6D735599" w14:textId="77777777" w:rsidR="00932658" w:rsidRPr="00932658" w:rsidRDefault="00932658" w:rsidP="00932658">
            <w:pPr>
              <w:widowControl/>
              <w:autoSpaceDE/>
              <w:autoSpaceDN/>
              <w:adjustRightInd/>
              <w:jc w:val="right"/>
              <w:rPr>
                <w:color w:val="000000"/>
                <w:sz w:val="20"/>
                <w:szCs w:val="20"/>
              </w:rPr>
            </w:pPr>
            <w:r w:rsidRPr="00932658">
              <w:rPr>
                <w:color w:val="000000"/>
                <w:sz w:val="20"/>
                <w:szCs w:val="20"/>
              </w:rPr>
              <w:t> </w:t>
            </w:r>
          </w:p>
        </w:tc>
      </w:tr>
      <w:tr w:rsidR="00932658" w:rsidRPr="00932658" w14:paraId="42D9FE86" w14:textId="77777777" w:rsidTr="00932658">
        <w:trPr>
          <w:trHeight w:val="315"/>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96A8CBC" w14:textId="42737697" w:rsidR="00932658" w:rsidRPr="00932658" w:rsidRDefault="00932658" w:rsidP="00932658">
            <w:pPr>
              <w:widowControl/>
              <w:autoSpaceDE/>
              <w:autoSpaceDN/>
              <w:adjustRightInd/>
              <w:rPr>
                <w:color w:val="000000"/>
                <w:sz w:val="20"/>
                <w:szCs w:val="20"/>
              </w:rPr>
            </w:pPr>
            <w:r w:rsidRPr="00932658">
              <w:rPr>
                <w:color w:val="000000"/>
                <w:sz w:val="20"/>
                <w:szCs w:val="20"/>
              </w:rPr>
              <w:t xml:space="preserve">Notifications </w:t>
            </w:r>
            <w:r w:rsidRPr="00932658">
              <w:rPr>
                <w:color w:val="000000"/>
                <w:sz w:val="20"/>
                <w:szCs w:val="20"/>
                <w:vertAlign w:val="superscript"/>
              </w:rPr>
              <w:t>e</w:t>
            </w:r>
            <w:r w:rsidR="00773528">
              <w:rPr>
                <w:color w:val="000000"/>
                <w:sz w:val="20"/>
                <w:szCs w:val="20"/>
                <w:vertAlign w:val="superscript"/>
              </w:rPr>
              <w:t xml:space="preserve">, f, </w:t>
            </w:r>
            <w:r w:rsidRPr="00932658">
              <w:rPr>
                <w:color w:val="000000"/>
                <w:sz w:val="20"/>
                <w:szCs w:val="20"/>
                <w:vertAlign w:val="superscript"/>
              </w:rPr>
              <w:t>g</w:t>
            </w:r>
          </w:p>
        </w:tc>
        <w:tc>
          <w:tcPr>
            <w:tcW w:w="1160" w:type="dxa"/>
            <w:tcBorders>
              <w:top w:val="nil"/>
              <w:left w:val="nil"/>
              <w:bottom w:val="single" w:sz="4" w:space="0" w:color="auto"/>
              <w:right w:val="single" w:sz="4" w:space="0" w:color="auto"/>
            </w:tcBorders>
            <w:shd w:val="clear" w:color="auto" w:fill="auto"/>
            <w:vAlign w:val="center"/>
            <w:hideMark/>
          </w:tcPr>
          <w:p w14:paraId="17A5DB8C"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14:paraId="50E435C4"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DEF8AF9"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9B36C71"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353F9CE"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422" w:type="dxa"/>
            <w:tcBorders>
              <w:top w:val="nil"/>
              <w:left w:val="nil"/>
              <w:bottom w:val="single" w:sz="4" w:space="0" w:color="auto"/>
              <w:right w:val="single" w:sz="4" w:space="0" w:color="auto"/>
            </w:tcBorders>
            <w:shd w:val="clear" w:color="auto" w:fill="auto"/>
            <w:vAlign w:val="center"/>
            <w:hideMark/>
          </w:tcPr>
          <w:p w14:paraId="47A303A4"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3CF8013"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5A712D0C" w14:textId="77777777" w:rsidR="00932658" w:rsidRPr="00932658" w:rsidRDefault="00932658" w:rsidP="00932658">
            <w:pPr>
              <w:widowControl/>
              <w:autoSpaceDE/>
              <w:autoSpaceDN/>
              <w:adjustRightInd/>
              <w:jc w:val="right"/>
              <w:rPr>
                <w:color w:val="000000"/>
                <w:sz w:val="20"/>
                <w:szCs w:val="20"/>
              </w:rPr>
            </w:pPr>
            <w:r w:rsidRPr="00932658">
              <w:rPr>
                <w:color w:val="000000"/>
                <w:sz w:val="20"/>
                <w:szCs w:val="20"/>
              </w:rPr>
              <w:t> </w:t>
            </w:r>
          </w:p>
        </w:tc>
      </w:tr>
      <w:tr w:rsidR="00932658" w:rsidRPr="00932658" w14:paraId="56651611"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0063A5D"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Notification of construction/reconstruction</w:t>
            </w:r>
          </w:p>
        </w:tc>
        <w:tc>
          <w:tcPr>
            <w:tcW w:w="1160" w:type="dxa"/>
            <w:tcBorders>
              <w:top w:val="nil"/>
              <w:left w:val="nil"/>
              <w:bottom w:val="single" w:sz="4" w:space="0" w:color="auto"/>
              <w:right w:val="single" w:sz="4" w:space="0" w:color="auto"/>
            </w:tcBorders>
            <w:shd w:val="clear" w:color="auto" w:fill="auto"/>
            <w:vAlign w:val="center"/>
            <w:hideMark/>
          </w:tcPr>
          <w:p w14:paraId="49F9D9E7"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2</w:t>
            </w:r>
          </w:p>
        </w:tc>
        <w:tc>
          <w:tcPr>
            <w:tcW w:w="1270" w:type="dxa"/>
            <w:tcBorders>
              <w:top w:val="nil"/>
              <w:left w:val="nil"/>
              <w:bottom w:val="single" w:sz="4" w:space="0" w:color="auto"/>
              <w:right w:val="single" w:sz="4" w:space="0" w:color="auto"/>
            </w:tcBorders>
            <w:shd w:val="clear" w:color="auto" w:fill="auto"/>
            <w:vAlign w:val="center"/>
            <w:hideMark/>
          </w:tcPr>
          <w:p w14:paraId="11293DC6"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6339A03" w14:textId="77777777" w:rsidR="00932658" w:rsidRPr="00932658" w:rsidRDefault="00932658" w:rsidP="00932658">
            <w:pPr>
              <w:widowControl/>
              <w:autoSpaceDE/>
              <w:autoSpaceDN/>
              <w:adjustRightInd/>
              <w:jc w:val="center"/>
              <w:rPr>
                <w:sz w:val="20"/>
                <w:szCs w:val="20"/>
              </w:rPr>
            </w:pPr>
            <w:r w:rsidRPr="0093265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34A85110"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1.33</w:t>
            </w:r>
          </w:p>
        </w:tc>
        <w:tc>
          <w:tcPr>
            <w:tcW w:w="1050" w:type="dxa"/>
            <w:tcBorders>
              <w:top w:val="nil"/>
              <w:left w:val="nil"/>
              <w:bottom w:val="single" w:sz="4" w:space="0" w:color="auto"/>
              <w:right w:val="single" w:sz="4" w:space="0" w:color="auto"/>
            </w:tcBorders>
            <w:shd w:val="clear" w:color="auto" w:fill="auto"/>
            <w:vAlign w:val="center"/>
            <w:hideMark/>
          </w:tcPr>
          <w:p w14:paraId="383AA2E9" w14:textId="77777777" w:rsidR="00932658" w:rsidRPr="00932658" w:rsidRDefault="00932658" w:rsidP="00932658">
            <w:pPr>
              <w:widowControl/>
              <w:autoSpaceDE/>
              <w:autoSpaceDN/>
              <w:adjustRightInd/>
              <w:jc w:val="center"/>
              <w:rPr>
                <w:sz w:val="20"/>
                <w:szCs w:val="20"/>
              </w:rPr>
            </w:pPr>
            <w:r w:rsidRPr="00932658">
              <w:rPr>
                <w:sz w:val="20"/>
                <w:szCs w:val="20"/>
              </w:rPr>
              <w:t>3</w:t>
            </w:r>
          </w:p>
        </w:tc>
        <w:tc>
          <w:tcPr>
            <w:tcW w:w="1422" w:type="dxa"/>
            <w:tcBorders>
              <w:top w:val="nil"/>
              <w:left w:val="nil"/>
              <w:bottom w:val="single" w:sz="4" w:space="0" w:color="auto"/>
              <w:right w:val="single" w:sz="4" w:space="0" w:color="auto"/>
            </w:tcBorders>
            <w:shd w:val="clear" w:color="auto" w:fill="auto"/>
            <w:vAlign w:val="center"/>
            <w:hideMark/>
          </w:tcPr>
          <w:p w14:paraId="3C88A527" w14:textId="77777777" w:rsidR="00932658" w:rsidRPr="00932658" w:rsidRDefault="00932658" w:rsidP="00932658">
            <w:pPr>
              <w:widowControl/>
              <w:autoSpaceDE/>
              <w:autoSpaceDN/>
              <w:adjustRightInd/>
              <w:jc w:val="center"/>
              <w:rPr>
                <w:sz w:val="20"/>
                <w:szCs w:val="20"/>
              </w:rPr>
            </w:pPr>
            <w:r w:rsidRPr="00932658">
              <w:rPr>
                <w:sz w:val="20"/>
                <w:szCs w:val="20"/>
              </w:rPr>
              <w:t>0.13</w:t>
            </w:r>
          </w:p>
        </w:tc>
        <w:tc>
          <w:tcPr>
            <w:tcW w:w="1080" w:type="dxa"/>
            <w:tcBorders>
              <w:top w:val="nil"/>
              <w:left w:val="nil"/>
              <w:bottom w:val="single" w:sz="4" w:space="0" w:color="auto"/>
              <w:right w:val="single" w:sz="4" w:space="0" w:color="auto"/>
            </w:tcBorders>
            <w:shd w:val="clear" w:color="auto" w:fill="auto"/>
            <w:vAlign w:val="center"/>
            <w:hideMark/>
          </w:tcPr>
          <w:p w14:paraId="6134A135" w14:textId="77777777" w:rsidR="00932658" w:rsidRPr="00932658" w:rsidRDefault="00932658" w:rsidP="00932658">
            <w:pPr>
              <w:widowControl/>
              <w:autoSpaceDE/>
              <w:autoSpaceDN/>
              <w:adjustRightInd/>
              <w:jc w:val="center"/>
              <w:rPr>
                <w:sz w:val="20"/>
                <w:szCs w:val="20"/>
              </w:rPr>
            </w:pPr>
            <w:r w:rsidRPr="00932658">
              <w:rPr>
                <w:sz w:val="20"/>
                <w:szCs w:val="20"/>
              </w:rPr>
              <w:t>0.27</w:t>
            </w:r>
          </w:p>
        </w:tc>
        <w:tc>
          <w:tcPr>
            <w:tcW w:w="1530" w:type="dxa"/>
            <w:tcBorders>
              <w:top w:val="nil"/>
              <w:left w:val="nil"/>
              <w:bottom w:val="single" w:sz="4" w:space="0" w:color="auto"/>
              <w:right w:val="single" w:sz="4" w:space="0" w:color="auto"/>
            </w:tcBorders>
            <w:shd w:val="clear" w:color="auto" w:fill="auto"/>
            <w:vAlign w:val="center"/>
            <w:hideMark/>
          </w:tcPr>
          <w:p w14:paraId="3B195881" w14:textId="77777777" w:rsidR="00932658" w:rsidRPr="00932658" w:rsidRDefault="00932658" w:rsidP="00932658">
            <w:pPr>
              <w:widowControl/>
              <w:autoSpaceDE/>
              <w:autoSpaceDN/>
              <w:adjustRightInd/>
              <w:jc w:val="right"/>
              <w:rPr>
                <w:sz w:val="20"/>
                <w:szCs w:val="20"/>
              </w:rPr>
            </w:pPr>
            <w:r w:rsidRPr="00932658">
              <w:rPr>
                <w:sz w:val="20"/>
                <w:szCs w:val="20"/>
              </w:rPr>
              <w:t xml:space="preserve">$349.30 </w:t>
            </w:r>
          </w:p>
        </w:tc>
      </w:tr>
      <w:tr w:rsidR="00932658" w:rsidRPr="00932658" w14:paraId="43458439"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F0C75C5"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Notification of actual startup</w:t>
            </w:r>
          </w:p>
        </w:tc>
        <w:tc>
          <w:tcPr>
            <w:tcW w:w="1160" w:type="dxa"/>
            <w:tcBorders>
              <w:top w:val="nil"/>
              <w:left w:val="nil"/>
              <w:bottom w:val="single" w:sz="4" w:space="0" w:color="auto"/>
              <w:right w:val="single" w:sz="4" w:space="0" w:color="auto"/>
            </w:tcBorders>
            <w:shd w:val="clear" w:color="auto" w:fill="auto"/>
            <w:vAlign w:val="center"/>
            <w:hideMark/>
          </w:tcPr>
          <w:p w14:paraId="1C0F007A"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2</w:t>
            </w:r>
          </w:p>
        </w:tc>
        <w:tc>
          <w:tcPr>
            <w:tcW w:w="1270" w:type="dxa"/>
            <w:tcBorders>
              <w:top w:val="nil"/>
              <w:left w:val="nil"/>
              <w:bottom w:val="single" w:sz="4" w:space="0" w:color="auto"/>
              <w:right w:val="single" w:sz="4" w:space="0" w:color="auto"/>
            </w:tcBorders>
            <w:shd w:val="clear" w:color="auto" w:fill="auto"/>
            <w:vAlign w:val="center"/>
            <w:hideMark/>
          </w:tcPr>
          <w:p w14:paraId="0692102E"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2C836F9B" w14:textId="77777777" w:rsidR="00932658" w:rsidRPr="00932658" w:rsidRDefault="00932658" w:rsidP="00932658">
            <w:pPr>
              <w:widowControl/>
              <w:autoSpaceDE/>
              <w:autoSpaceDN/>
              <w:adjustRightInd/>
              <w:jc w:val="center"/>
              <w:rPr>
                <w:sz w:val="20"/>
                <w:szCs w:val="20"/>
              </w:rPr>
            </w:pPr>
            <w:r w:rsidRPr="0093265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495D5E4E"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1.33</w:t>
            </w:r>
          </w:p>
        </w:tc>
        <w:tc>
          <w:tcPr>
            <w:tcW w:w="1050" w:type="dxa"/>
            <w:tcBorders>
              <w:top w:val="nil"/>
              <w:left w:val="nil"/>
              <w:bottom w:val="single" w:sz="4" w:space="0" w:color="auto"/>
              <w:right w:val="single" w:sz="4" w:space="0" w:color="auto"/>
            </w:tcBorders>
            <w:shd w:val="clear" w:color="auto" w:fill="auto"/>
            <w:vAlign w:val="center"/>
            <w:hideMark/>
          </w:tcPr>
          <w:p w14:paraId="1DF7BDBD" w14:textId="77777777" w:rsidR="00932658" w:rsidRPr="00932658" w:rsidRDefault="00932658" w:rsidP="00932658">
            <w:pPr>
              <w:widowControl/>
              <w:autoSpaceDE/>
              <w:autoSpaceDN/>
              <w:adjustRightInd/>
              <w:jc w:val="center"/>
              <w:rPr>
                <w:sz w:val="20"/>
                <w:szCs w:val="20"/>
              </w:rPr>
            </w:pPr>
            <w:r w:rsidRPr="00932658">
              <w:rPr>
                <w:sz w:val="20"/>
                <w:szCs w:val="20"/>
              </w:rPr>
              <w:t>3</w:t>
            </w:r>
          </w:p>
        </w:tc>
        <w:tc>
          <w:tcPr>
            <w:tcW w:w="1422" w:type="dxa"/>
            <w:tcBorders>
              <w:top w:val="nil"/>
              <w:left w:val="nil"/>
              <w:bottom w:val="single" w:sz="4" w:space="0" w:color="auto"/>
              <w:right w:val="single" w:sz="4" w:space="0" w:color="auto"/>
            </w:tcBorders>
            <w:shd w:val="clear" w:color="auto" w:fill="auto"/>
            <w:vAlign w:val="center"/>
            <w:hideMark/>
          </w:tcPr>
          <w:p w14:paraId="4436C89D" w14:textId="77777777" w:rsidR="00932658" w:rsidRPr="00932658" w:rsidRDefault="00932658" w:rsidP="00932658">
            <w:pPr>
              <w:widowControl/>
              <w:autoSpaceDE/>
              <w:autoSpaceDN/>
              <w:adjustRightInd/>
              <w:jc w:val="center"/>
              <w:rPr>
                <w:sz w:val="20"/>
                <w:szCs w:val="20"/>
              </w:rPr>
            </w:pPr>
            <w:r w:rsidRPr="00932658">
              <w:rPr>
                <w:sz w:val="20"/>
                <w:szCs w:val="20"/>
              </w:rPr>
              <w:t>0.13</w:t>
            </w:r>
          </w:p>
        </w:tc>
        <w:tc>
          <w:tcPr>
            <w:tcW w:w="1080" w:type="dxa"/>
            <w:tcBorders>
              <w:top w:val="nil"/>
              <w:left w:val="nil"/>
              <w:bottom w:val="single" w:sz="4" w:space="0" w:color="auto"/>
              <w:right w:val="single" w:sz="4" w:space="0" w:color="auto"/>
            </w:tcBorders>
            <w:shd w:val="clear" w:color="auto" w:fill="auto"/>
            <w:vAlign w:val="center"/>
            <w:hideMark/>
          </w:tcPr>
          <w:p w14:paraId="04BAF76B" w14:textId="77777777" w:rsidR="00932658" w:rsidRPr="00932658" w:rsidRDefault="00932658" w:rsidP="00932658">
            <w:pPr>
              <w:widowControl/>
              <w:autoSpaceDE/>
              <w:autoSpaceDN/>
              <w:adjustRightInd/>
              <w:jc w:val="center"/>
              <w:rPr>
                <w:sz w:val="20"/>
                <w:szCs w:val="20"/>
              </w:rPr>
            </w:pPr>
            <w:r w:rsidRPr="00932658">
              <w:rPr>
                <w:sz w:val="20"/>
                <w:szCs w:val="20"/>
              </w:rPr>
              <w:t>0.27</w:t>
            </w:r>
          </w:p>
        </w:tc>
        <w:tc>
          <w:tcPr>
            <w:tcW w:w="1530" w:type="dxa"/>
            <w:tcBorders>
              <w:top w:val="nil"/>
              <w:left w:val="nil"/>
              <w:bottom w:val="single" w:sz="4" w:space="0" w:color="auto"/>
              <w:right w:val="single" w:sz="4" w:space="0" w:color="auto"/>
            </w:tcBorders>
            <w:shd w:val="clear" w:color="auto" w:fill="auto"/>
            <w:vAlign w:val="center"/>
            <w:hideMark/>
          </w:tcPr>
          <w:p w14:paraId="13B2892F" w14:textId="77777777" w:rsidR="00932658" w:rsidRPr="00932658" w:rsidRDefault="00932658" w:rsidP="00932658">
            <w:pPr>
              <w:widowControl/>
              <w:autoSpaceDE/>
              <w:autoSpaceDN/>
              <w:adjustRightInd/>
              <w:jc w:val="right"/>
              <w:rPr>
                <w:sz w:val="20"/>
                <w:szCs w:val="20"/>
              </w:rPr>
            </w:pPr>
            <w:r w:rsidRPr="00932658">
              <w:rPr>
                <w:sz w:val="20"/>
                <w:szCs w:val="20"/>
              </w:rPr>
              <w:t xml:space="preserve">$349.30 </w:t>
            </w:r>
          </w:p>
        </w:tc>
      </w:tr>
      <w:tr w:rsidR="00932658" w:rsidRPr="00932658" w14:paraId="3E23D821"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5CEE68BB"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Notification of applicability of standard</w:t>
            </w:r>
          </w:p>
        </w:tc>
        <w:tc>
          <w:tcPr>
            <w:tcW w:w="1160" w:type="dxa"/>
            <w:tcBorders>
              <w:top w:val="nil"/>
              <w:left w:val="nil"/>
              <w:bottom w:val="single" w:sz="4" w:space="0" w:color="auto"/>
              <w:right w:val="single" w:sz="4" w:space="0" w:color="auto"/>
            </w:tcBorders>
            <w:shd w:val="clear" w:color="auto" w:fill="auto"/>
            <w:vAlign w:val="center"/>
            <w:hideMark/>
          </w:tcPr>
          <w:p w14:paraId="4134A899"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2</w:t>
            </w:r>
          </w:p>
        </w:tc>
        <w:tc>
          <w:tcPr>
            <w:tcW w:w="1270" w:type="dxa"/>
            <w:tcBorders>
              <w:top w:val="nil"/>
              <w:left w:val="nil"/>
              <w:bottom w:val="single" w:sz="4" w:space="0" w:color="auto"/>
              <w:right w:val="single" w:sz="4" w:space="0" w:color="auto"/>
            </w:tcBorders>
            <w:shd w:val="clear" w:color="auto" w:fill="auto"/>
            <w:vAlign w:val="center"/>
            <w:hideMark/>
          </w:tcPr>
          <w:p w14:paraId="1C34C72E"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2FCA0222" w14:textId="77777777" w:rsidR="00932658" w:rsidRPr="00932658" w:rsidRDefault="00932658" w:rsidP="00932658">
            <w:pPr>
              <w:widowControl/>
              <w:autoSpaceDE/>
              <w:autoSpaceDN/>
              <w:adjustRightInd/>
              <w:jc w:val="center"/>
              <w:rPr>
                <w:sz w:val="20"/>
                <w:szCs w:val="20"/>
              </w:rPr>
            </w:pPr>
            <w:r w:rsidRPr="0093265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73C0A4B2"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1.33</w:t>
            </w:r>
          </w:p>
        </w:tc>
        <w:tc>
          <w:tcPr>
            <w:tcW w:w="1050" w:type="dxa"/>
            <w:tcBorders>
              <w:top w:val="nil"/>
              <w:left w:val="nil"/>
              <w:bottom w:val="single" w:sz="4" w:space="0" w:color="auto"/>
              <w:right w:val="single" w:sz="4" w:space="0" w:color="auto"/>
            </w:tcBorders>
            <w:shd w:val="clear" w:color="auto" w:fill="auto"/>
            <w:vAlign w:val="center"/>
            <w:hideMark/>
          </w:tcPr>
          <w:p w14:paraId="407B3268" w14:textId="77777777" w:rsidR="00932658" w:rsidRPr="00932658" w:rsidRDefault="00932658" w:rsidP="00932658">
            <w:pPr>
              <w:widowControl/>
              <w:autoSpaceDE/>
              <w:autoSpaceDN/>
              <w:adjustRightInd/>
              <w:jc w:val="center"/>
              <w:rPr>
                <w:sz w:val="20"/>
                <w:szCs w:val="20"/>
              </w:rPr>
            </w:pPr>
            <w:r w:rsidRPr="00932658">
              <w:rPr>
                <w:sz w:val="20"/>
                <w:szCs w:val="20"/>
              </w:rPr>
              <w:t>3</w:t>
            </w:r>
          </w:p>
        </w:tc>
        <w:tc>
          <w:tcPr>
            <w:tcW w:w="1422" w:type="dxa"/>
            <w:tcBorders>
              <w:top w:val="nil"/>
              <w:left w:val="nil"/>
              <w:bottom w:val="single" w:sz="4" w:space="0" w:color="auto"/>
              <w:right w:val="single" w:sz="4" w:space="0" w:color="auto"/>
            </w:tcBorders>
            <w:shd w:val="clear" w:color="auto" w:fill="auto"/>
            <w:vAlign w:val="center"/>
            <w:hideMark/>
          </w:tcPr>
          <w:p w14:paraId="51498F6E" w14:textId="77777777" w:rsidR="00932658" w:rsidRPr="00932658" w:rsidRDefault="00932658" w:rsidP="00932658">
            <w:pPr>
              <w:widowControl/>
              <w:autoSpaceDE/>
              <w:autoSpaceDN/>
              <w:adjustRightInd/>
              <w:jc w:val="center"/>
              <w:rPr>
                <w:sz w:val="20"/>
                <w:szCs w:val="20"/>
              </w:rPr>
            </w:pPr>
            <w:r w:rsidRPr="00932658">
              <w:rPr>
                <w:sz w:val="20"/>
                <w:szCs w:val="20"/>
              </w:rPr>
              <w:t>0.13</w:t>
            </w:r>
          </w:p>
        </w:tc>
        <w:tc>
          <w:tcPr>
            <w:tcW w:w="1080" w:type="dxa"/>
            <w:tcBorders>
              <w:top w:val="nil"/>
              <w:left w:val="nil"/>
              <w:bottom w:val="single" w:sz="4" w:space="0" w:color="auto"/>
              <w:right w:val="single" w:sz="4" w:space="0" w:color="auto"/>
            </w:tcBorders>
            <w:shd w:val="clear" w:color="auto" w:fill="auto"/>
            <w:vAlign w:val="center"/>
            <w:hideMark/>
          </w:tcPr>
          <w:p w14:paraId="0E104C06" w14:textId="77777777" w:rsidR="00932658" w:rsidRPr="00932658" w:rsidRDefault="00932658" w:rsidP="00932658">
            <w:pPr>
              <w:widowControl/>
              <w:autoSpaceDE/>
              <w:autoSpaceDN/>
              <w:adjustRightInd/>
              <w:jc w:val="center"/>
              <w:rPr>
                <w:sz w:val="20"/>
                <w:szCs w:val="20"/>
              </w:rPr>
            </w:pPr>
            <w:r w:rsidRPr="00932658">
              <w:rPr>
                <w:sz w:val="20"/>
                <w:szCs w:val="20"/>
              </w:rPr>
              <w:t>0.27</w:t>
            </w:r>
          </w:p>
        </w:tc>
        <w:tc>
          <w:tcPr>
            <w:tcW w:w="1530" w:type="dxa"/>
            <w:tcBorders>
              <w:top w:val="nil"/>
              <w:left w:val="nil"/>
              <w:bottom w:val="single" w:sz="4" w:space="0" w:color="auto"/>
              <w:right w:val="single" w:sz="4" w:space="0" w:color="auto"/>
            </w:tcBorders>
            <w:shd w:val="clear" w:color="auto" w:fill="auto"/>
            <w:vAlign w:val="center"/>
            <w:hideMark/>
          </w:tcPr>
          <w:p w14:paraId="22414C96" w14:textId="77777777" w:rsidR="00932658" w:rsidRPr="00932658" w:rsidRDefault="00932658" w:rsidP="00932658">
            <w:pPr>
              <w:widowControl/>
              <w:autoSpaceDE/>
              <w:autoSpaceDN/>
              <w:adjustRightInd/>
              <w:jc w:val="right"/>
              <w:rPr>
                <w:sz w:val="20"/>
                <w:szCs w:val="20"/>
              </w:rPr>
            </w:pPr>
            <w:r w:rsidRPr="00932658">
              <w:rPr>
                <w:sz w:val="20"/>
                <w:szCs w:val="20"/>
              </w:rPr>
              <w:t xml:space="preserve">$349.30 </w:t>
            </w:r>
          </w:p>
        </w:tc>
      </w:tr>
      <w:tr w:rsidR="00932658" w:rsidRPr="00932658" w14:paraId="40D51D87"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00274854"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Notification of compliance status</w:t>
            </w:r>
          </w:p>
        </w:tc>
        <w:tc>
          <w:tcPr>
            <w:tcW w:w="1160" w:type="dxa"/>
            <w:tcBorders>
              <w:top w:val="nil"/>
              <w:left w:val="nil"/>
              <w:bottom w:val="single" w:sz="4" w:space="0" w:color="auto"/>
              <w:right w:val="single" w:sz="4" w:space="0" w:color="auto"/>
            </w:tcBorders>
            <w:shd w:val="clear" w:color="auto" w:fill="auto"/>
            <w:vAlign w:val="center"/>
            <w:hideMark/>
          </w:tcPr>
          <w:p w14:paraId="7E0E65ED"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80</w:t>
            </w:r>
          </w:p>
        </w:tc>
        <w:tc>
          <w:tcPr>
            <w:tcW w:w="1270" w:type="dxa"/>
            <w:tcBorders>
              <w:top w:val="nil"/>
              <w:left w:val="nil"/>
              <w:bottom w:val="single" w:sz="4" w:space="0" w:color="auto"/>
              <w:right w:val="single" w:sz="4" w:space="0" w:color="auto"/>
            </w:tcBorders>
            <w:shd w:val="clear" w:color="auto" w:fill="auto"/>
            <w:vAlign w:val="center"/>
            <w:hideMark/>
          </w:tcPr>
          <w:p w14:paraId="096923C6"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218E095F" w14:textId="77777777" w:rsidR="00932658" w:rsidRPr="00932658" w:rsidRDefault="00932658" w:rsidP="00932658">
            <w:pPr>
              <w:widowControl/>
              <w:autoSpaceDE/>
              <w:autoSpaceDN/>
              <w:adjustRightInd/>
              <w:jc w:val="center"/>
              <w:rPr>
                <w:sz w:val="20"/>
                <w:szCs w:val="20"/>
              </w:rPr>
            </w:pPr>
            <w:r w:rsidRPr="00932658">
              <w:rPr>
                <w:sz w:val="20"/>
                <w:szCs w:val="20"/>
              </w:rPr>
              <w:t>80</w:t>
            </w:r>
          </w:p>
        </w:tc>
        <w:tc>
          <w:tcPr>
            <w:tcW w:w="1306" w:type="dxa"/>
            <w:tcBorders>
              <w:top w:val="nil"/>
              <w:left w:val="nil"/>
              <w:bottom w:val="single" w:sz="4" w:space="0" w:color="auto"/>
              <w:right w:val="single" w:sz="4" w:space="0" w:color="auto"/>
            </w:tcBorders>
            <w:shd w:val="clear" w:color="auto" w:fill="auto"/>
            <w:vAlign w:val="center"/>
            <w:hideMark/>
          </w:tcPr>
          <w:p w14:paraId="610A3BF4"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1.33</w:t>
            </w:r>
          </w:p>
        </w:tc>
        <w:tc>
          <w:tcPr>
            <w:tcW w:w="1050" w:type="dxa"/>
            <w:tcBorders>
              <w:top w:val="nil"/>
              <w:left w:val="nil"/>
              <w:bottom w:val="single" w:sz="4" w:space="0" w:color="auto"/>
              <w:right w:val="single" w:sz="4" w:space="0" w:color="auto"/>
            </w:tcBorders>
            <w:shd w:val="clear" w:color="auto" w:fill="auto"/>
            <w:vAlign w:val="center"/>
            <w:hideMark/>
          </w:tcPr>
          <w:p w14:paraId="60AAF38E" w14:textId="77777777" w:rsidR="00932658" w:rsidRPr="00932658" w:rsidRDefault="00932658" w:rsidP="00932658">
            <w:pPr>
              <w:widowControl/>
              <w:autoSpaceDE/>
              <w:autoSpaceDN/>
              <w:adjustRightInd/>
              <w:jc w:val="center"/>
              <w:rPr>
                <w:sz w:val="20"/>
                <w:szCs w:val="20"/>
              </w:rPr>
            </w:pPr>
            <w:r w:rsidRPr="00932658">
              <w:rPr>
                <w:sz w:val="20"/>
                <w:szCs w:val="20"/>
              </w:rPr>
              <w:t>107</w:t>
            </w:r>
          </w:p>
        </w:tc>
        <w:tc>
          <w:tcPr>
            <w:tcW w:w="1422" w:type="dxa"/>
            <w:tcBorders>
              <w:top w:val="nil"/>
              <w:left w:val="nil"/>
              <w:bottom w:val="single" w:sz="4" w:space="0" w:color="auto"/>
              <w:right w:val="single" w:sz="4" w:space="0" w:color="auto"/>
            </w:tcBorders>
            <w:shd w:val="clear" w:color="auto" w:fill="auto"/>
            <w:vAlign w:val="center"/>
            <w:hideMark/>
          </w:tcPr>
          <w:p w14:paraId="194E685A" w14:textId="77777777" w:rsidR="00932658" w:rsidRPr="00932658" w:rsidRDefault="00932658" w:rsidP="00932658">
            <w:pPr>
              <w:widowControl/>
              <w:autoSpaceDE/>
              <w:autoSpaceDN/>
              <w:adjustRightInd/>
              <w:jc w:val="center"/>
              <w:rPr>
                <w:sz w:val="20"/>
                <w:szCs w:val="20"/>
              </w:rPr>
            </w:pPr>
            <w:r w:rsidRPr="00932658">
              <w:rPr>
                <w:sz w:val="20"/>
                <w:szCs w:val="20"/>
              </w:rPr>
              <w:t>5.33</w:t>
            </w:r>
          </w:p>
        </w:tc>
        <w:tc>
          <w:tcPr>
            <w:tcW w:w="1080" w:type="dxa"/>
            <w:tcBorders>
              <w:top w:val="nil"/>
              <w:left w:val="nil"/>
              <w:bottom w:val="single" w:sz="4" w:space="0" w:color="auto"/>
              <w:right w:val="single" w:sz="4" w:space="0" w:color="auto"/>
            </w:tcBorders>
            <w:shd w:val="clear" w:color="auto" w:fill="auto"/>
            <w:vAlign w:val="center"/>
            <w:hideMark/>
          </w:tcPr>
          <w:p w14:paraId="70060F65" w14:textId="77777777" w:rsidR="00932658" w:rsidRPr="00932658" w:rsidRDefault="00932658" w:rsidP="00932658">
            <w:pPr>
              <w:widowControl/>
              <w:autoSpaceDE/>
              <w:autoSpaceDN/>
              <w:adjustRightInd/>
              <w:jc w:val="center"/>
              <w:rPr>
                <w:sz w:val="20"/>
                <w:szCs w:val="20"/>
              </w:rPr>
            </w:pPr>
            <w:r w:rsidRPr="00932658">
              <w:rPr>
                <w:sz w:val="20"/>
                <w:szCs w:val="20"/>
              </w:rPr>
              <w:t>10.67</w:t>
            </w:r>
          </w:p>
        </w:tc>
        <w:tc>
          <w:tcPr>
            <w:tcW w:w="1530" w:type="dxa"/>
            <w:tcBorders>
              <w:top w:val="nil"/>
              <w:left w:val="nil"/>
              <w:bottom w:val="single" w:sz="4" w:space="0" w:color="auto"/>
              <w:right w:val="single" w:sz="4" w:space="0" w:color="auto"/>
            </w:tcBorders>
            <w:shd w:val="clear" w:color="auto" w:fill="auto"/>
            <w:vAlign w:val="center"/>
            <w:hideMark/>
          </w:tcPr>
          <w:p w14:paraId="33899991" w14:textId="77777777" w:rsidR="00932658" w:rsidRPr="00932658" w:rsidRDefault="00932658" w:rsidP="00932658">
            <w:pPr>
              <w:widowControl/>
              <w:autoSpaceDE/>
              <w:autoSpaceDN/>
              <w:adjustRightInd/>
              <w:jc w:val="right"/>
              <w:rPr>
                <w:sz w:val="20"/>
                <w:szCs w:val="20"/>
              </w:rPr>
            </w:pPr>
            <w:r w:rsidRPr="00932658">
              <w:rPr>
                <w:sz w:val="20"/>
                <w:szCs w:val="20"/>
              </w:rPr>
              <w:t xml:space="preserve">$13,971.89 </w:t>
            </w:r>
          </w:p>
        </w:tc>
      </w:tr>
      <w:tr w:rsidR="00932658" w:rsidRPr="00932658" w14:paraId="6D6944CD"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ADA9351"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Notification of performance test/retest</w:t>
            </w:r>
          </w:p>
        </w:tc>
        <w:tc>
          <w:tcPr>
            <w:tcW w:w="1160" w:type="dxa"/>
            <w:tcBorders>
              <w:top w:val="nil"/>
              <w:left w:val="nil"/>
              <w:bottom w:val="single" w:sz="4" w:space="0" w:color="auto"/>
              <w:right w:val="single" w:sz="4" w:space="0" w:color="auto"/>
            </w:tcBorders>
            <w:shd w:val="clear" w:color="auto" w:fill="auto"/>
            <w:vAlign w:val="center"/>
            <w:hideMark/>
          </w:tcPr>
          <w:p w14:paraId="3E526B02"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2</w:t>
            </w:r>
          </w:p>
        </w:tc>
        <w:tc>
          <w:tcPr>
            <w:tcW w:w="1270" w:type="dxa"/>
            <w:tcBorders>
              <w:top w:val="nil"/>
              <w:left w:val="nil"/>
              <w:bottom w:val="single" w:sz="4" w:space="0" w:color="auto"/>
              <w:right w:val="single" w:sz="4" w:space="0" w:color="auto"/>
            </w:tcBorders>
            <w:shd w:val="clear" w:color="auto" w:fill="auto"/>
            <w:vAlign w:val="center"/>
            <w:hideMark/>
          </w:tcPr>
          <w:p w14:paraId="7AE00ABB"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0008B46E" w14:textId="77777777" w:rsidR="00932658" w:rsidRPr="00932658" w:rsidRDefault="00932658" w:rsidP="00932658">
            <w:pPr>
              <w:widowControl/>
              <w:autoSpaceDE/>
              <w:autoSpaceDN/>
              <w:adjustRightInd/>
              <w:jc w:val="center"/>
              <w:rPr>
                <w:sz w:val="20"/>
                <w:szCs w:val="20"/>
              </w:rPr>
            </w:pPr>
            <w:r w:rsidRPr="0093265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68FE8340"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43</w:t>
            </w:r>
          </w:p>
        </w:tc>
        <w:tc>
          <w:tcPr>
            <w:tcW w:w="1050" w:type="dxa"/>
            <w:tcBorders>
              <w:top w:val="nil"/>
              <w:left w:val="nil"/>
              <w:bottom w:val="single" w:sz="4" w:space="0" w:color="auto"/>
              <w:right w:val="single" w:sz="4" w:space="0" w:color="auto"/>
            </w:tcBorders>
            <w:shd w:val="clear" w:color="auto" w:fill="auto"/>
            <w:vAlign w:val="center"/>
            <w:hideMark/>
          </w:tcPr>
          <w:p w14:paraId="06FE1D4D" w14:textId="77777777" w:rsidR="00932658" w:rsidRPr="00932658" w:rsidRDefault="00932658" w:rsidP="00932658">
            <w:pPr>
              <w:widowControl/>
              <w:autoSpaceDE/>
              <w:autoSpaceDN/>
              <w:adjustRightInd/>
              <w:jc w:val="center"/>
              <w:rPr>
                <w:sz w:val="20"/>
                <w:szCs w:val="20"/>
              </w:rPr>
            </w:pPr>
            <w:r w:rsidRPr="00932658">
              <w:rPr>
                <w:sz w:val="20"/>
                <w:szCs w:val="20"/>
              </w:rPr>
              <w:t>86</w:t>
            </w:r>
          </w:p>
        </w:tc>
        <w:tc>
          <w:tcPr>
            <w:tcW w:w="1422" w:type="dxa"/>
            <w:tcBorders>
              <w:top w:val="nil"/>
              <w:left w:val="nil"/>
              <w:bottom w:val="single" w:sz="4" w:space="0" w:color="auto"/>
              <w:right w:val="single" w:sz="4" w:space="0" w:color="auto"/>
            </w:tcBorders>
            <w:shd w:val="clear" w:color="auto" w:fill="auto"/>
            <w:vAlign w:val="center"/>
            <w:hideMark/>
          </w:tcPr>
          <w:p w14:paraId="5DB6B510" w14:textId="77777777" w:rsidR="00932658" w:rsidRPr="00932658" w:rsidRDefault="00932658" w:rsidP="00932658">
            <w:pPr>
              <w:widowControl/>
              <w:autoSpaceDE/>
              <w:autoSpaceDN/>
              <w:adjustRightInd/>
              <w:jc w:val="center"/>
              <w:rPr>
                <w:sz w:val="20"/>
                <w:szCs w:val="20"/>
              </w:rPr>
            </w:pPr>
            <w:r w:rsidRPr="00932658">
              <w:rPr>
                <w:sz w:val="20"/>
                <w:szCs w:val="20"/>
              </w:rPr>
              <w:t>4.3</w:t>
            </w:r>
          </w:p>
        </w:tc>
        <w:tc>
          <w:tcPr>
            <w:tcW w:w="1080" w:type="dxa"/>
            <w:tcBorders>
              <w:top w:val="nil"/>
              <w:left w:val="nil"/>
              <w:bottom w:val="single" w:sz="4" w:space="0" w:color="auto"/>
              <w:right w:val="single" w:sz="4" w:space="0" w:color="auto"/>
            </w:tcBorders>
            <w:shd w:val="clear" w:color="auto" w:fill="auto"/>
            <w:vAlign w:val="center"/>
            <w:hideMark/>
          </w:tcPr>
          <w:p w14:paraId="454D1974" w14:textId="77777777" w:rsidR="00932658" w:rsidRPr="00932658" w:rsidRDefault="00932658" w:rsidP="00932658">
            <w:pPr>
              <w:widowControl/>
              <w:autoSpaceDE/>
              <w:autoSpaceDN/>
              <w:adjustRightInd/>
              <w:jc w:val="center"/>
              <w:rPr>
                <w:sz w:val="20"/>
                <w:szCs w:val="20"/>
              </w:rPr>
            </w:pPr>
            <w:r w:rsidRPr="00932658">
              <w:rPr>
                <w:sz w:val="20"/>
                <w:szCs w:val="20"/>
              </w:rPr>
              <w:t>8.6</w:t>
            </w:r>
          </w:p>
        </w:tc>
        <w:tc>
          <w:tcPr>
            <w:tcW w:w="1530" w:type="dxa"/>
            <w:tcBorders>
              <w:top w:val="nil"/>
              <w:left w:val="nil"/>
              <w:bottom w:val="single" w:sz="4" w:space="0" w:color="auto"/>
              <w:right w:val="single" w:sz="4" w:space="0" w:color="auto"/>
            </w:tcBorders>
            <w:shd w:val="clear" w:color="auto" w:fill="auto"/>
            <w:vAlign w:val="center"/>
            <w:hideMark/>
          </w:tcPr>
          <w:p w14:paraId="39D64D89" w14:textId="77777777" w:rsidR="00932658" w:rsidRPr="00932658" w:rsidRDefault="00932658" w:rsidP="00932658">
            <w:pPr>
              <w:widowControl/>
              <w:autoSpaceDE/>
              <w:autoSpaceDN/>
              <w:adjustRightInd/>
              <w:jc w:val="right"/>
              <w:rPr>
                <w:sz w:val="20"/>
                <w:szCs w:val="20"/>
              </w:rPr>
            </w:pPr>
            <w:r w:rsidRPr="00932658">
              <w:rPr>
                <w:sz w:val="20"/>
                <w:szCs w:val="20"/>
              </w:rPr>
              <w:t xml:space="preserve">$11,264.83 </w:t>
            </w:r>
          </w:p>
        </w:tc>
      </w:tr>
      <w:tr w:rsidR="00932658" w:rsidRPr="00932658" w14:paraId="692AC61F"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A8169F9"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Notification of performance evaluation</w:t>
            </w:r>
          </w:p>
        </w:tc>
        <w:tc>
          <w:tcPr>
            <w:tcW w:w="1160" w:type="dxa"/>
            <w:tcBorders>
              <w:top w:val="nil"/>
              <w:left w:val="nil"/>
              <w:bottom w:val="single" w:sz="4" w:space="0" w:color="auto"/>
              <w:right w:val="single" w:sz="4" w:space="0" w:color="auto"/>
            </w:tcBorders>
            <w:shd w:val="clear" w:color="auto" w:fill="auto"/>
            <w:vAlign w:val="center"/>
            <w:hideMark/>
          </w:tcPr>
          <w:p w14:paraId="51CB7F40"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2</w:t>
            </w:r>
          </w:p>
        </w:tc>
        <w:tc>
          <w:tcPr>
            <w:tcW w:w="1270" w:type="dxa"/>
            <w:tcBorders>
              <w:top w:val="nil"/>
              <w:left w:val="nil"/>
              <w:bottom w:val="single" w:sz="4" w:space="0" w:color="auto"/>
              <w:right w:val="single" w:sz="4" w:space="0" w:color="auto"/>
            </w:tcBorders>
            <w:shd w:val="clear" w:color="auto" w:fill="auto"/>
            <w:vAlign w:val="center"/>
            <w:hideMark/>
          </w:tcPr>
          <w:p w14:paraId="06DD9597"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DC08570" w14:textId="77777777" w:rsidR="00932658" w:rsidRPr="00932658" w:rsidRDefault="00932658" w:rsidP="00932658">
            <w:pPr>
              <w:widowControl/>
              <w:autoSpaceDE/>
              <w:autoSpaceDN/>
              <w:adjustRightInd/>
              <w:jc w:val="center"/>
              <w:rPr>
                <w:sz w:val="20"/>
                <w:szCs w:val="20"/>
              </w:rPr>
            </w:pPr>
            <w:r w:rsidRPr="0093265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5DCC13BF"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43</w:t>
            </w:r>
          </w:p>
        </w:tc>
        <w:tc>
          <w:tcPr>
            <w:tcW w:w="1050" w:type="dxa"/>
            <w:tcBorders>
              <w:top w:val="nil"/>
              <w:left w:val="nil"/>
              <w:bottom w:val="single" w:sz="4" w:space="0" w:color="auto"/>
              <w:right w:val="single" w:sz="4" w:space="0" w:color="auto"/>
            </w:tcBorders>
            <w:shd w:val="clear" w:color="auto" w:fill="auto"/>
            <w:vAlign w:val="center"/>
            <w:hideMark/>
          </w:tcPr>
          <w:p w14:paraId="791E5C2D" w14:textId="77777777" w:rsidR="00932658" w:rsidRPr="00932658" w:rsidRDefault="00932658" w:rsidP="00932658">
            <w:pPr>
              <w:widowControl/>
              <w:autoSpaceDE/>
              <w:autoSpaceDN/>
              <w:adjustRightInd/>
              <w:jc w:val="center"/>
              <w:rPr>
                <w:sz w:val="20"/>
                <w:szCs w:val="20"/>
              </w:rPr>
            </w:pPr>
            <w:r w:rsidRPr="00932658">
              <w:rPr>
                <w:sz w:val="20"/>
                <w:szCs w:val="20"/>
              </w:rPr>
              <w:t>86</w:t>
            </w:r>
          </w:p>
        </w:tc>
        <w:tc>
          <w:tcPr>
            <w:tcW w:w="1422" w:type="dxa"/>
            <w:tcBorders>
              <w:top w:val="nil"/>
              <w:left w:val="nil"/>
              <w:bottom w:val="single" w:sz="4" w:space="0" w:color="auto"/>
              <w:right w:val="single" w:sz="4" w:space="0" w:color="auto"/>
            </w:tcBorders>
            <w:shd w:val="clear" w:color="auto" w:fill="auto"/>
            <w:vAlign w:val="center"/>
            <w:hideMark/>
          </w:tcPr>
          <w:p w14:paraId="1CC329BA" w14:textId="77777777" w:rsidR="00932658" w:rsidRPr="00932658" w:rsidRDefault="00932658" w:rsidP="00932658">
            <w:pPr>
              <w:widowControl/>
              <w:autoSpaceDE/>
              <w:autoSpaceDN/>
              <w:adjustRightInd/>
              <w:jc w:val="center"/>
              <w:rPr>
                <w:sz w:val="20"/>
                <w:szCs w:val="20"/>
              </w:rPr>
            </w:pPr>
            <w:r w:rsidRPr="00932658">
              <w:rPr>
                <w:sz w:val="20"/>
                <w:szCs w:val="20"/>
              </w:rPr>
              <w:t>4.3</w:t>
            </w:r>
          </w:p>
        </w:tc>
        <w:tc>
          <w:tcPr>
            <w:tcW w:w="1080" w:type="dxa"/>
            <w:tcBorders>
              <w:top w:val="nil"/>
              <w:left w:val="nil"/>
              <w:bottom w:val="single" w:sz="4" w:space="0" w:color="auto"/>
              <w:right w:val="single" w:sz="4" w:space="0" w:color="auto"/>
            </w:tcBorders>
            <w:shd w:val="clear" w:color="auto" w:fill="auto"/>
            <w:vAlign w:val="center"/>
            <w:hideMark/>
          </w:tcPr>
          <w:p w14:paraId="06249652" w14:textId="77777777" w:rsidR="00932658" w:rsidRPr="00932658" w:rsidRDefault="00932658" w:rsidP="00932658">
            <w:pPr>
              <w:widowControl/>
              <w:autoSpaceDE/>
              <w:autoSpaceDN/>
              <w:adjustRightInd/>
              <w:jc w:val="center"/>
              <w:rPr>
                <w:sz w:val="20"/>
                <w:szCs w:val="20"/>
              </w:rPr>
            </w:pPr>
            <w:r w:rsidRPr="00932658">
              <w:rPr>
                <w:sz w:val="20"/>
                <w:szCs w:val="20"/>
              </w:rPr>
              <w:t>8.6</w:t>
            </w:r>
          </w:p>
        </w:tc>
        <w:tc>
          <w:tcPr>
            <w:tcW w:w="1530" w:type="dxa"/>
            <w:tcBorders>
              <w:top w:val="nil"/>
              <w:left w:val="nil"/>
              <w:bottom w:val="single" w:sz="4" w:space="0" w:color="auto"/>
              <w:right w:val="single" w:sz="4" w:space="0" w:color="auto"/>
            </w:tcBorders>
            <w:shd w:val="clear" w:color="auto" w:fill="auto"/>
            <w:vAlign w:val="center"/>
            <w:hideMark/>
          </w:tcPr>
          <w:p w14:paraId="44A781C9" w14:textId="77777777" w:rsidR="00932658" w:rsidRPr="00932658" w:rsidRDefault="00932658" w:rsidP="00932658">
            <w:pPr>
              <w:widowControl/>
              <w:autoSpaceDE/>
              <w:autoSpaceDN/>
              <w:adjustRightInd/>
              <w:jc w:val="right"/>
              <w:rPr>
                <w:sz w:val="20"/>
                <w:szCs w:val="20"/>
              </w:rPr>
            </w:pPr>
            <w:r w:rsidRPr="00932658">
              <w:rPr>
                <w:sz w:val="20"/>
                <w:szCs w:val="20"/>
              </w:rPr>
              <w:t xml:space="preserve">$11,264.83 </w:t>
            </w:r>
          </w:p>
        </w:tc>
      </w:tr>
      <w:tr w:rsidR="00932658" w:rsidRPr="00932658" w14:paraId="73504F85" w14:textId="77777777" w:rsidTr="00932658">
        <w:trPr>
          <w:trHeight w:val="57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8FF85C1"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 xml:space="preserve">   Report of performance test/retest (through CEDRI using ERT) </w:t>
            </w:r>
            <w:r w:rsidRPr="00932658">
              <w:rPr>
                <w:color w:val="000000"/>
                <w:sz w:val="20"/>
                <w:szCs w:val="20"/>
                <w:vertAlign w:val="superscript"/>
              </w:rPr>
              <w:t>h</w:t>
            </w:r>
          </w:p>
        </w:tc>
        <w:tc>
          <w:tcPr>
            <w:tcW w:w="1160" w:type="dxa"/>
            <w:tcBorders>
              <w:top w:val="nil"/>
              <w:left w:val="nil"/>
              <w:bottom w:val="single" w:sz="4" w:space="0" w:color="auto"/>
              <w:right w:val="single" w:sz="4" w:space="0" w:color="auto"/>
            </w:tcBorders>
            <w:shd w:val="clear" w:color="auto" w:fill="auto"/>
            <w:vAlign w:val="center"/>
            <w:hideMark/>
          </w:tcPr>
          <w:p w14:paraId="6DBB0591"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8</w:t>
            </w:r>
          </w:p>
        </w:tc>
        <w:tc>
          <w:tcPr>
            <w:tcW w:w="1270" w:type="dxa"/>
            <w:tcBorders>
              <w:top w:val="nil"/>
              <w:left w:val="nil"/>
              <w:bottom w:val="single" w:sz="4" w:space="0" w:color="auto"/>
              <w:right w:val="single" w:sz="4" w:space="0" w:color="auto"/>
            </w:tcBorders>
            <w:shd w:val="clear" w:color="auto" w:fill="auto"/>
            <w:vAlign w:val="center"/>
            <w:hideMark/>
          </w:tcPr>
          <w:p w14:paraId="3AD17E51"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11E7BFF9" w14:textId="77777777" w:rsidR="00932658" w:rsidRPr="00932658" w:rsidRDefault="00932658" w:rsidP="00932658">
            <w:pPr>
              <w:widowControl/>
              <w:autoSpaceDE/>
              <w:autoSpaceDN/>
              <w:adjustRightInd/>
              <w:jc w:val="center"/>
              <w:rPr>
                <w:sz w:val="20"/>
                <w:szCs w:val="20"/>
              </w:rPr>
            </w:pPr>
            <w:r w:rsidRPr="00932658">
              <w:rPr>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02BC5F12"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43</w:t>
            </w:r>
          </w:p>
        </w:tc>
        <w:tc>
          <w:tcPr>
            <w:tcW w:w="1050" w:type="dxa"/>
            <w:tcBorders>
              <w:top w:val="nil"/>
              <w:left w:val="nil"/>
              <w:bottom w:val="single" w:sz="4" w:space="0" w:color="auto"/>
              <w:right w:val="single" w:sz="4" w:space="0" w:color="auto"/>
            </w:tcBorders>
            <w:shd w:val="clear" w:color="auto" w:fill="auto"/>
            <w:vAlign w:val="center"/>
            <w:hideMark/>
          </w:tcPr>
          <w:p w14:paraId="0F97DE14" w14:textId="77777777" w:rsidR="00932658" w:rsidRPr="00932658" w:rsidRDefault="00932658" w:rsidP="00932658">
            <w:pPr>
              <w:widowControl/>
              <w:autoSpaceDE/>
              <w:autoSpaceDN/>
              <w:adjustRightInd/>
              <w:jc w:val="center"/>
              <w:rPr>
                <w:sz w:val="20"/>
                <w:szCs w:val="20"/>
              </w:rPr>
            </w:pPr>
            <w:r w:rsidRPr="00932658">
              <w:rPr>
                <w:sz w:val="20"/>
                <w:szCs w:val="20"/>
              </w:rPr>
              <w:t>344</w:t>
            </w:r>
          </w:p>
        </w:tc>
        <w:tc>
          <w:tcPr>
            <w:tcW w:w="1422" w:type="dxa"/>
            <w:tcBorders>
              <w:top w:val="nil"/>
              <w:left w:val="nil"/>
              <w:bottom w:val="single" w:sz="4" w:space="0" w:color="auto"/>
              <w:right w:val="single" w:sz="4" w:space="0" w:color="auto"/>
            </w:tcBorders>
            <w:shd w:val="clear" w:color="auto" w:fill="auto"/>
            <w:vAlign w:val="center"/>
            <w:hideMark/>
          </w:tcPr>
          <w:p w14:paraId="502F6302" w14:textId="77777777" w:rsidR="00932658" w:rsidRPr="00932658" w:rsidRDefault="00932658" w:rsidP="00932658">
            <w:pPr>
              <w:widowControl/>
              <w:autoSpaceDE/>
              <w:autoSpaceDN/>
              <w:adjustRightInd/>
              <w:jc w:val="center"/>
              <w:rPr>
                <w:sz w:val="20"/>
                <w:szCs w:val="20"/>
              </w:rPr>
            </w:pPr>
            <w:r w:rsidRPr="00932658">
              <w:rPr>
                <w:sz w:val="20"/>
                <w:szCs w:val="20"/>
              </w:rPr>
              <w:t>17.2</w:t>
            </w:r>
          </w:p>
        </w:tc>
        <w:tc>
          <w:tcPr>
            <w:tcW w:w="1080" w:type="dxa"/>
            <w:tcBorders>
              <w:top w:val="nil"/>
              <w:left w:val="nil"/>
              <w:bottom w:val="single" w:sz="4" w:space="0" w:color="auto"/>
              <w:right w:val="single" w:sz="4" w:space="0" w:color="auto"/>
            </w:tcBorders>
            <w:shd w:val="clear" w:color="auto" w:fill="auto"/>
            <w:vAlign w:val="center"/>
            <w:hideMark/>
          </w:tcPr>
          <w:p w14:paraId="44F627FB" w14:textId="77777777" w:rsidR="00932658" w:rsidRPr="00932658" w:rsidRDefault="00932658" w:rsidP="00932658">
            <w:pPr>
              <w:widowControl/>
              <w:autoSpaceDE/>
              <w:autoSpaceDN/>
              <w:adjustRightInd/>
              <w:jc w:val="center"/>
              <w:rPr>
                <w:sz w:val="20"/>
                <w:szCs w:val="20"/>
              </w:rPr>
            </w:pPr>
            <w:r w:rsidRPr="00932658">
              <w:rPr>
                <w:sz w:val="20"/>
                <w:szCs w:val="20"/>
              </w:rPr>
              <w:t>34.4</w:t>
            </w:r>
          </w:p>
        </w:tc>
        <w:tc>
          <w:tcPr>
            <w:tcW w:w="1530" w:type="dxa"/>
            <w:tcBorders>
              <w:top w:val="nil"/>
              <w:left w:val="nil"/>
              <w:bottom w:val="single" w:sz="4" w:space="0" w:color="auto"/>
              <w:right w:val="single" w:sz="4" w:space="0" w:color="auto"/>
            </w:tcBorders>
            <w:shd w:val="clear" w:color="auto" w:fill="auto"/>
            <w:vAlign w:val="center"/>
            <w:hideMark/>
          </w:tcPr>
          <w:p w14:paraId="3268A35F" w14:textId="77777777" w:rsidR="00932658" w:rsidRPr="00932658" w:rsidRDefault="00932658" w:rsidP="00932658">
            <w:pPr>
              <w:widowControl/>
              <w:autoSpaceDE/>
              <w:autoSpaceDN/>
              <w:adjustRightInd/>
              <w:jc w:val="right"/>
              <w:rPr>
                <w:sz w:val="20"/>
                <w:szCs w:val="20"/>
              </w:rPr>
            </w:pPr>
            <w:r w:rsidRPr="00932658">
              <w:rPr>
                <w:sz w:val="20"/>
                <w:szCs w:val="20"/>
              </w:rPr>
              <w:t xml:space="preserve">$45,059.34 </w:t>
            </w:r>
          </w:p>
        </w:tc>
      </w:tr>
      <w:tr w:rsidR="00932658" w:rsidRPr="00932658" w14:paraId="79B2DA63" w14:textId="77777777" w:rsidTr="00932658">
        <w:trPr>
          <w:trHeight w:val="315"/>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B07A39D"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 xml:space="preserve">   Excess emissions report (through CEDRI) </w:t>
            </w:r>
            <w:r w:rsidRPr="00932658">
              <w:rPr>
                <w:color w:val="000000"/>
                <w:sz w:val="20"/>
                <w:szCs w:val="20"/>
                <w:vertAlign w:val="superscript"/>
              </w:rPr>
              <w:t>i</w:t>
            </w:r>
          </w:p>
        </w:tc>
        <w:tc>
          <w:tcPr>
            <w:tcW w:w="1160" w:type="dxa"/>
            <w:tcBorders>
              <w:top w:val="nil"/>
              <w:left w:val="nil"/>
              <w:bottom w:val="single" w:sz="4" w:space="0" w:color="auto"/>
              <w:right w:val="single" w:sz="4" w:space="0" w:color="auto"/>
            </w:tcBorders>
            <w:shd w:val="clear" w:color="auto" w:fill="auto"/>
            <w:vAlign w:val="center"/>
            <w:hideMark/>
          </w:tcPr>
          <w:p w14:paraId="1F1CB972"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14:paraId="2C03042F"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AC45AA4"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9D5F7B5"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108CA217"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422" w:type="dxa"/>
            <w:tcBorders>
              <w:top w:val="nil"/>
              <w:left w:val="nil"/>
              <w:bottom w:val="single" w:sz="4" w:space="0" w:color="auto"/>
              <w:right w:val="single" w:sz="4" w:space="0" w:color="auto"/>
            </w:tcBorders>
            <w:shd w:val="clear" w:color="auto" w:fill="auto"/>
            <w:vAlign w:val="center"/>
            <w:hideMark/>
          </w:tcPr>
          <w:p w14:paraId="7E32FCD5"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1A653A"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60AA20A2" w14:textId="77777777" w:rsidR="00932658" w:rsidRPr="00932658" w:rsidRDefault="00932658" w:rsidP="00932658">
            <w:pPr>
              <w:widowControl/>
              <w:autoSpaceDE/>
              <w:autoSpaceDN/>
              <w:adjustRightInd/>
              <w:jc w:val="right"/>
              <w:rPr>
                <w:color w:val="000000"/>
                <w:sz w:val="20"/>
                <w:szCs w:val="20"/>
              </w:rPr>
            </w:pPr>
            <w:r w:rsidRPr="00932658">
              <w:rPr>
                <w:color w:val="000000"/>
                <w:sz w:val="20"/>
                <w:szCs w:val="20"/>
              </w:rPr>
              <w:t> </w:t>
            </w:r>
          </w:p>
        </w:tc>
      </w:tr>
      <w:tr w:rsidR="00932658" w:rsidRPr="00932658" w14:paraId="021D7D58" w14:textId="77777777" w:rsidTr="00932658">
        <w:trPr>
          <w:trHeight w:val="51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5D710B9D"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 xml:space="preserve">   Semiannual reports of monitoring exceedances and periods of noncompliance</w:t>
            </w:r>
          </w:p>
        </w:tc>
        <w:tc>
          <w:tcPr>
            <w:tcW w:w="1160" w:type="dxa"/>
            <w:tcBorders>
              <w:top w:val="nil"/>
              <w:left w:val="nil"/>
              <w:bottom w:val="single" w:sz="4" w:space="0" w:color="auto"/>
              <w:right w:val="single" w:sz="4" w:space="0" w:color="auto"/>
            </w:tcBorders>
            <w:shd w:val="clear" w:color="auto" w:fill="auto"/>
            <w:vAlign w:val="center"/>
            <w:hideMark/>
          </w:tcPr>
          <w:p w14:paraId="54D7656B"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16</w:t>
            </w:r>
          </w:p>
        </w:tc>
        <w:tc>
          <w:tcPr>
            <w:tcW w:w="1270" w:type="dxa"/>
            <w:tcBorders>
              <w:top w:val="nil"/>
              <w:left w:val="nil"/>
              <w:bottom w:val="single" w:sz="4" w:space="0" w:color="auto"/>
              <w:right w:val="single" w:sz="4" w:space="0" w:color="auto"/>
            </w:tcBorders>
            <w:shd w:val="clear" w:color="auto" w:fill="auto"/>
            <w:vAlign w:val="center"/>
            <w:hideMark/>
          </w:tcPr>
          <w:p w14:paraId="665A9C7A"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14:paraId="3D31CFA9" w14:textId="77777777" w:rsidR="00932658" w:rsidRPr="00932658" w:rsidRDefault="00932658" w:rsidP="00932658">
            <w:pPr>
              <w:widowControl/>
              <w:autoSpaceDE/>
              <w:autoSpaceDN/>
              <w:adjustRightInd/>
              <w:jc w:val="center"/>
              <w:rPr>
                <w:sz w:val="20"/>
                <w:szCs w:val="20"/>
              </w:rPr>
            </w:pPr>
            <w:r w:rsidRPr="00932658">
              <w:rPr>
                <w:sz w:val="20"/>
                <w:szCs w:val="20"/>
              </w:rPr>
              <w:t>32</w:t>
            </w:r>
          </w:p>
        </w:tc>
        <w:tc>
          <w:tcPr>
            <w:tcW w:w="1306" w:type="dxa"/>
            <w:tcBorders>
              <w:top w:val="nil"/>
              <w:left w:val="nil"/>
              <w:bottom w:val="single" w:sz="4" w:space="0" w:color="auto"/>
              <w:right w:val="single" w:sz="4" w:space="0" w:color="auto"/>
            </w:tcBorders>
            <w:shd w:val="clear" w:color="auto" w:fill="auto"/>
            <w:vAlign w:val="center"/>
            <w:hideMark/>
          </w:tcPr>
          <w:p w14:paraId="3AF849FB" w14:textId="77777777" w:rsidR="00932658" w:rsidRPr="00932658" w:rsidRDefault="00932658" w:rsidP="00932658">
            <w:pPr>
              <w:widowControl/>
              <w:autoSpaceDE/>
              <w:autoSpaceDN/>
              <w:adjustRightInd/>
              <w:jc w:val="center"/>
              <w:rPr>
                <w:sz w:val="20"/>
                <w:szCs w:val="20"/>
              </w:rPr>
            </w:pPr>
            <w:r w:rsidRPr="00932658">
              <w:rPr>
                <w:sz w:val="20"/>
                <w:szCs w:val="20"/>
              </w:rPr>
              <w:t>5</w:t>
            </w:r>
          </w:p>
        </w:tc>
        <w:tc>
          <w:tcPr>
            <w:tcW w:w="1050" w:type="dxa"/>
            <w:tcBorders>
              <w:top w:val="nil"/>
              <w:left w:val="nil"/>
              <w:bottom w:val="single" w:sz="4" w:space="0" w:color="auto"/>
              <w:right w:val="single" w:sz="4" w:space="0" w:color="auto"/>
            </w:tcBorders>
            <w:shd w:val="clear" w:color="auto" w:fill="auto"/>
            <w:vAlign w:val="center"/>
            <w:hideMark/>
          </w:tcPr>
          <w:p w14:paraId="623AF5E0" w14:textId="77777777" w:rsidR="00932658" w:rsidRPr="00932658" w:rsidRDefault="00932658" w:rsidP="00932658">
            <w:pPr>
              <w:widowControl/>
              <w:autoSpaceDE/>
              <w:autoSpaceDN/>
              <w:adjustRightInd/>
              <w:jc w:val="center"/>
              <w:rPr>
                <w:sz w:val="20"/>
                <w:szCs w:val="20"/>
              </w:rPr>
            </w:pPr>
            <w:r w:rsidRPr="00932658">
              <w:rPr>
                <w:sz w:val="20"/>
                <w:szCs w:val="20"/>
              </w:rPr>
              <w:t>160</w:t>
            </w:r>
          </w:p>
        </w:tc>
        <w:tc>
          <w:tcPr>
            <w:tcW w:w="1422" w:type="dxa"/>
            <w:tcBorders>
              <w:top w:val="nil"/>
              <w:left w:val="nil"/>
              <w:bottom w:val="single" w:sz="4" w:space="0" w:color="auto"/>
              <w:right w:val="single" w:sz="4" w:space="0" w:color="auto"/>
            </w:tcBorders>
            <w:shd w:val="clear" w:color="auto" w:fill="auto"/>
            <w:vAlign w:val="center"/>
            <w:hideMark/>
          </w:tcPr>
          <w:p w14:paraId="0AF78E76" w14:textId="77777777" w:rsidR="00932658" w:rsidRPr="00932658" w:rsidRDefault="00932658" w:rsidP="00932658">
            <w:pPr>
              <w:widowControl/>
              <w:autoSpaceDE/>
              <w:autoSpaceDN/>
              <w:adjustRightInd/>
              <w:jc w:val="center"/>
              <w:rPr>
                <w:sz w:val="20"/>
                <w:szCs w:val="20"/>
              </w:rPr>
            </w:pPr>
            <w:r w:rsidRPr="00932658">
              <w:rPr>
                <w:sz w:val="20"/>
                <w:szCs w:val="20"/>
              </w:rPr>
              <w:t>8</w:t>
            </w:r>
          </w:p>
        </w:tc>
        <w:tc>
          <w:tcPr>
            <w:tcW w:w="1080" w:type="dxa"/>
            <w:tcBorders>
              <w:top w:val="nil"/>
              <w:left w:val="nil"/>
              <w:bottom w:val="single" w:sz="4" w:space="0" w:color="auto"/>
              <w:right w:val="single" w:sz="4" w:space="0" w:color="auto"/>
            </w:tcBorders>
            <w:shd w:val="clear" w:color="auto" w:fill="auto"/>
            <w:vAlign w:val="center"/>
            <w:hideMark/>
          </w:tcPr>
          <w:p w14:paraId="5620F08D" w14:textId="77777777" w:rsidR="00932658" w:rsidRPr="00932658" w:rsidRDefault="00932658" w:rsidP="00932658">
            <w:pPr>
              <w:widowControl/>
              <w:autoSpaceDE/>
              <w:autoSpaceDN/>
              <w:adjustRightInd/>
              <w:jc w:val="center"/>
              <w:rPr>
                <w:sz w:val="20"/>
                <w:szCs w:val="20"/>
              </w:rPr>
            </w:pPr>
            <w:r w:rsidRPr="00932658">
              <w:rPr>
                <w:sz w:val="20"/>
                <w:szCs w:val="20"/>
              </w:rPr>
              <w:t>16</w:t>
            </w:r>
          </w:p>
        </w:tc>
        <w:tc>
          <w:tcPr>
            <w:tcW w:w="1530" w:type="dxa"/>
            <w:tcBorders>
              <w:top w:val="nil"/>
              <w:left w:val="nil"/>
              <w:bottom w:val="single" w:sz="4" w:space="0" w:color="auto"/>
              <w:right w:val="single" w:sz="4" w:space="0" w:color="auto"/>
            </w:tcBorders>
            <w:shd w:val="clear" w:color="auto" w:fill="auto"/>
            <w:vAlign w:val="center"/>
            <w:hideMark/>
          </w:tcPr>
          <w:p w14:paraId="48B92717" w14:textId="77777777" w:rsidR="00932658" w:rsidRPr="00932658" w:rsidRDefault="00932658" w:rsidP="00932658">
            <w:pPr>
              <w:widowControl/>
              <w:autoSpaceDE/>
              <w:autoSpaceDN/>
              <w:adjustRightInd/>
              <w:jc w:val="right"/>
              <w:rPr>
                <w:sz w:val="20"/>
                <w:szCs w:val="20"/>
              </w:rPr>
            </w:pPr>
            <w:r w:rsidRPr="00932658">
              <w:rPr>
                <w:sz w:val="20"/>
                <w:szCs w:val="20"/>
              </w:rPr>
              <w:t xml:space="preserve">$20,957.83 </w:t>
            </w:r>
          </w:p>
        </w:tc>
      </w:tr>
      <w:tr w:rsidR="00932658" w:rsidRPr="00932658" w14:paraId="43E14665"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05E403B"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 xml:space="preserve">   Semiannual reports of no exceedances</w:t>
            </w:r>
          </w:p>
        </w:tc>
        <w:tc>
          <w:tcPr>
            <w:tcW w:w="1160" w:type="dxa"/>
            <w:tcBorders>
              <w:top w:val="nil"/>
              <w:left w:val="nil"/>
              <w:bottom w:val="single" w:sz="4" w:space="0" w:color="auto"/>
              <w:right w:val="single" w:sz="4" w:space="0" w:color="auto"/>
            </w:tcBorders>
            <w:shd w:val="clear" w:color="auto" w:fill="auto"/>
            <w:vAlign w:val="center"/>
            <w:hideMark/>
          </w:tcPr>
          <w:p w14:paraId="7AD2F82A"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8</w:t>
            </w:r>
          </w:p>
        </w:tc>
        <w:tc>
          <w:tcPr>
            <w:tcW w:w="1270" w:type="dxa"/>
            <w:tcBorders>
              <w:top w:val="nil"/>
              <w:left w:val="nil"/>
              <w:bottom w:val="single" w:sz="4" w:space="0" w:color="auto"/>
              <w:right w:val="single" w:sz="4" w:space="0" w:color="auto"/>
            </w:tcBorders>
            <w:shd w:val="clear" w:color="auto" w:fill="auto"/>
            <w:vAlign w:val="center"/>
            <w:hideMark/>
          </w:tcPr>
          <w:p w14:paraId="0A876736"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14:paraId="078F3127" w14:textId="77777777" w:rsidR="00932658" w:rsidRPr="00932658" w:rsidRDefault="00932658" w:rsidP="00932658">
            <w:pPr>
              <w:widowControl/>
              <w:autoSpaceDE/>
              <w:autoSpaceDN/>
              <w:adjustRightInd/>
              <w:jc w:val="center"/>
              <w:rPr>
                <w:sz w:val="20"/>
                <w:szCs w:val="20"/>
              </w:rPr>
            </w:pPr>
            <w:r w:rsidRPr="00932658">
              <w:rPr>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14:paraId="1B5D50EE" w14:textId="77777777" w:rsidR="00932658" w:rsidRPr="00932658" w:rsidRDefault="00932658" w:rsidP="00932658">
            <w:pPr>
              <w:widowControl/>
              <w:autoSpaceDE/>
              <w:autoSpaceDN/>
              <w:adjustRightInd/>
              <w:jc w:val="center"/>
              <w:rPr>
                <w:sz w:val="20"/>
                <w:szCs w:val="20"/>
              </w:rPr>
            </w:pPr>
            <w:r w:rsidRPr="00932658">
              <w:rPr>
                <w:sz w:val="20"/>
                <w:szCs w:val="20"/>
              </w:rPr>
              <w:t>102</w:t>
            </w:r>
          </w:p>
        </w:tc>
        <w:tc>
          <w:tcPr>
            <w:tcW w:w="1050" w:type="dxa"/>
            <w:tcBorders>
              <w:top w:val="nil"/>
              <w:left w:val="nil"/>
              <w:bottom w:val="single" w:sz="4" w:space="0" w:color="auto"/>
              <w:right w:val="single" w:sz="4" w:space="0" w:color="auto"/>
            </w:tcBorders>
            <w:shd w:val="clear" w:color="auto" w:fill="auto"/>
            <w:vAlign w:val="center"/>
            <w:hideMark/>
          </w:tcPr>
          <w:p w14:paraId="65F670EF" w14:textId="77777777" w:rsidR="00932658" w:rsidRPr="00932658" w:rsidRDefault="00932658" w:rsidP="00932658">
            <w:pPr>
              <w:widowControl/>
              <w:autoSpaceDE/>
              <w:autoSpaceDN/>
              <w:adjustRightInd/>
              <w:jc w:val="center"/>
              <w:rPr>
                <w:sz w:val="20"/>
                <w:szCs w:val="20"/>
              </w:rPr>
            </w:pPr>
            <w:r w:rsidRPr="00932658">
              <w:rPr>
                <w:sz w:val="20"/>
                <w:szCs w:val="20"/>
              </w:rPr>
              <w:t>1,632</w:t>
            </w:r>
          </w:p>
        </w:tc>
        <w:tc>
          <w:tcPr>
            <w:tcW w:w="1422" w:type="dxa"/>
            <w:tcBorders>
              <w:top w:val="nil"/>
              <w:left w:val="nil"/>
              <w:bottom w:val="single" w:sz="4" w:space="0" w:color="auto"/>
              <w:right w:val="single" w:sz="4" w:space="0" w:color="auto"/>
            </w:tcBorders>
            <w:shd w:val="clear" w:color="auto" w:fill="auto"/>
            <w:vAlign w:val="center"/>
            <w:hideMark/>
          </w:tcPr>
          <w:p w14:paraId="3A575CB0" w14:textId="77777777" w:rsidR="00932658" w:rsidRPr="00932658" w:rsidRDefault="00932658" w:rsidP="00932658">
            <w:pPr>
              <w:widowControl/>
              <w:autoSpaceDE/>
              <w:autoSpaceDN/>
              <w:adjustRightInd/>
              <w:jc w:val="center"/>
              <w:rPr>
                <w:sz w:val="20"/>
                <w:szCs w:val="20"/>
              </w:rPr>
            </w:pPr>
            <w:r w:rsidRPr="00932658">
              <w:rPr>
                <w:sz w:val="20"/>
                <w:szCs w:val="20"/>
              </w:rPr>
              <w:t>81.6</w:t>
            </w:r>
          </w:p>
        </w:tc>
        <w:tc>
          <w:tcPr>
            <w:tcW w:w="1080" w:type="dxa"/>
            <w:tcBorders>
              <w:top w:val="nil"/>
              <w:left w:val="nil"/>
              <w:bottom w:val="single" w:sz="4" w:space="0" w:color="auto"/>
              <w:right w:val="single" w:sz="4" w:space="0" w:color="auto"/>
            </w:tcBorders>
            <w:shd w:val="clear" w:color="auto" w:fill="auto"/>
            <w:vAlign w:val="center"/>
            <w:hideMark/>
          </w:tcPr>
          <w:p w14:paraId="448B99F0" w14:textId="77777777" w:rsidR="00932658" w:rsidRPr="00932658" w:rsidRDefault="00932658" w:rsidP="00932658">
            <w:pPr>
              <w:widowControl/>
              <w:autoSpaceDE/>
              <w:autoSpaceDN/>
              <w:adjustRightInd/>
              <w:jc w:val="center"/>
              <w:rPr>
                <w:sz w:val="20"/>
                <w:szCs w:val="20"/>
              </w:rPr>
            </w:pPr>
            <w:r w:rsidRPr="00932658">
              <w:rPr>
                <w:sz w:val="20"/>
                <w:szCs w:val="20"/>
              </w:rPr>
              <w:t>163.2</w:t>
            </w:r>
          </w:p>
        </w:tc>
        <w:tc>
          <w:tcPr>
            <w:tcW w:w="1530" w:type="dxa"/>
            <w:tcBorders>
              <w:top w:val="nil"/>
              <w:left w:val="nil"/>
              <w:bottom w:val="single" w:sz="4" w:space="0" w:color="auto"/>
              <w:right w:val="single" w:sz="4" w:space="0" w:color="auto"/>
            </w:tcBorders>
            <w:shd w:val="clear" w:color="auto" w:fill="auto"/>
            <w:vAlign w:val="center"/>
            <w:hideMark/>
          </w:tcPr>
          <w:p w14:paraId="3A9D6966" w14:textId="77777777" w:rsidR="00932658" w:rsidRPr="00932658" w:rsidRDefault="00932658" w:rsidP="00932658">
            <w:pPr>
              <w:widowControl/>
              <w:autoSpaceDE/>
              <w:autoSpaceDN/>
              <w:adjustRightInd/>
              <w:jc w:val="right"/>
              <w:rPr>
                <w:sz w:val="20"/>
                <w:szCs w:val="20"/>
              </w:rPr>
            </w:pPr>
            <w:r w:rsidRPr="00932658">
              <w:rPr>
                <w:sz w:val="20"/>
                <w:szCs w:val="20"/>
              </w:rPr>
              <w:t xml:space="preserve">$213,769.89 </w:t>
            </w:r>
          </w:p>
        </w:tc>
      </w:tr>
      <w:tr w:rsidR="00932658" w:rsidRPr="00932658" w14:paraId="05BD4DDC"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4567073" w14:textId="77777777" w:rsidR="00932658" w:rsidRPr="001A4B1C" w:rsidRDefault="00932658" w:rsidP="00932658">
            <w:pPr>
              <w:widowControl/>
              <w:autoSpaceDE/>
              <w:autoSpaceDN/>
              <w:adjustRightInd/>
              <w:rPr>
                <w:b/>
                <w:i/>
                <w:iCs/>
                <w:color w:val="000000"/>
                <w:sz w:val="20"/>
                <w:szCs w:val="20"/>
              </w:rPr>
            </w:pPr>
            <w:r w:rsidRPr="001A4B1C">
              <w:rPr>
                <w:b/>
                <w:i/>
                <w:iCs/>
                <w:color w:val="000000"/>
                <w:sz w:val="20"/>
                <w:szCs w:val="20"/>
              </w:rPr>
              <w:t>Subtotal for Reporting Requirements</w:t>
            </w:r>
          </w:p>
        </w:tc>
        <w:tc>
          <w:tcPr>
            <w:tcW w:w="1160" w:type="dxa"/>
            <w:tcBorders>
              <w:top w:val="nil"/>
              <w:left w:val="nil"/>
              <w:bottom w:val="single" w:sz="4" w:space="0" w:color="auto"/>
              <w:right w:val="single" w:sz="4" w:space="0" w:color="auto"/>
            </w:tcBorders>
            <w:shd w:val="clear" w:color="auto" w:fill="auto"/>
            <w:vAlign w:val="center"/>
            <w:hideMark/>
          </w:tcPr>
          <w:p w14:paraId="7324CADC"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14:paraId="65874704"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11BC5047"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06075E2" w14:textId="77777777" w:rsidR="00932658" w:rsidRPr="00932658" w:rsidRDefault="00932658" w:rsidP="00932658">
            <w:pPr>
              <w:widowControl/>
              <w:autoSpaceDE/>
              <w:autoSpaceDN/>
              <w:adjustRightInd/>
              <w:jc w:val="center"/>
              <w:rPr>
                <w:b/>
                <w:bCs/>
                <w:color w:val="000000"/>
                <w:sz w:val="20"/>
                <w:szCs w:val="20"/>
              </w:rPr>
            </w:pPr>
            <w:r w:rsidRPr="00932658">
              <w:rPr>
                <w:b/>
                <w:bCs/>
                <w:color w:val="000000"/>
                <w:sz w:val="20"/>
                <w:szCs w:val="20"/>
              </w:rPr>
              <w:t> </w:t>
            </w:r>
          </w:p>
        </w:tc>
        <w:tc>
          <w:tcPr>
            <w:tcW w:w="3552" w:type="dxa"/>
            <w:gridSpan w:val="3"/>
            <w:tcBorders>
              <w:top w:val="single" w:sz="4" w:space="0" w:color="auto"/>
              <w:left w:val="nil"/>
              <w:bottom w:val="single" w:sz="4" w:space="0" w:color="auto"/>
              <w:right w:val="single" w:sz="4" w:space="0" w:color="auto"/>
            </w:tcBorders>
            <w:shd w:val="clear" w:color="auto" w:fill="auto"/>
            <w:vAlign w:val="center"/>
            <w:hideMark/>
          </w:tcPr>
          <w:p w14:paraId="0F971A86" w14:textId="77777777" w:rsidR="00932658" w:rsidRPr="00932658" w:rsidRDefault="00932658" w:rsidP="00932658">
            <w:pPr>
              <w:widowControl/>
              <w:autoSpaceDE/>
              <w:autoSpaceDN/>
              <w:adjustRightInd/>
              <w:jc w:val="center"/>
              <w:rPr>
                <w:b/>
                <w:bCs/>
                <w:color w:val="000000"/>
                <w:sz w:val="20"/>
                <w:szCs w:val="20"/>
              </w:rPr>
            </w:pPr>
            <w:r w:rsidRPr="00932658">
              <w:rPr>
                <w:b/>
                <w:bCs/>
                <w:color w:val="000000"/>
                <w:sz w:val="20"/>
                <w:szCs w:val="20"/>
              </w:rPr>
              <w:t>5,393</w:t>
            </w:r>
          </w:p>
        </w:tc>
        <w:tc>
          <w:tcPr>
            <w:tcW w:w="1530" w:type="dxa"/>
            <w:tcBorders>
              <w:top w:val="nil"/>
              <w:left w:val="nil"/>
              <w:bottom w:val="single" w:sz="4" w:space="0" w:color="auto"/>
              <w:right w:val="single" w:sz="4" w:space="0" w:color="auto"/>
            </w:tcBorders>
            <w:shd w:val="clear" w:color="auto" w:fill="auto"/>
            <w:vAlign w:val="center"/>
            <w:hideMark/>
          </w:tcPr>
          <w:p w14:paraId="32E13BBB" w14:textId="77777777" w:rsidR="00932658" w:rsidRPr="00932658" w:rsidRDefault="00932658" w:rsidP="00932658">
            <w:pPr>
              <w:widowControl/>
              <w:autoSpaceDE/>
              <w:autoSpaceDN/>
              <w:adjustRightInd/>
              <w:jc w:val="right"/>
              <w:rPr>
                <w:b/>
                <w:bCs/>
                <w:color w:val="000000"/>
                <w:sz w:val="20"/>
                <w:szCs w:val="20"/>
              </w:rPr>
            </w:pPr>
            <w:r w:rsidRPr="00932658">
              <w:rPr>
                <w:b/>
                <w:bCs/>
                <w:color w:val="000000"/>
                <w:sz w:val="20"/>
                <w:szCs w:val="20"/>
              </w:rPr>
              <w:t xml:space="preserve">$607,250 </w:t>
            </w:r>
          </w:p>
        </w:tc>
      </w:tr>
      <w:tr w:rsidR="00932658" w:rsidRPr="00932658" w14:paraId="7C75487E"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A609D34"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4.  Recordkeeping requirements</w:t>
            </w:r>
          </w:p>
        </w:tc>
        <w:tc>
          <w:tcPr>
            <w:tcW w:w="1160" w:type="dxa"/>
            <w:tcBorders>
              <w:top w:val="nil"/>
              <w:left w:val="nil"/>
              <w:bottom w:val="single" w:sz="4" w:space="0" w:color="auto"/>
              <w:right w:val="single" w:sz="4" w:space="0" w:color="auto"/>
            </w:tcBorders>
            <w:shd w:val="clear" w:color="auto" w:fill="auto"/>
            <w:vAlign w:val="center"/>
            <w:hideMark/>
          </w:tcPr>
          <w:p w14:paraId="777BBB24"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14:paraId="60C73974"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5F40E33"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ED1AC6C"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1CD0624F"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422" w:type="dxa"/>
            <w:tcBorders>
              <w:top w:val="nil"/>
              <w:left w:val="nil"/>
              <w:bottom w:val="single" w:sz="4" w:space="0" w:color="auto"/>
              <w:right w:val="single" w:sz="4" w:space="0" w:color="auto"/>
            </w:tcBorders>
            <w:shd w:val="clear" w:color="auto" w:fill="auto"/>
            <w:vAlign w:val="center"/>
            <w:hideMark/>
          </w:tcPr>
          <w:p w14:paraId="01583796"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0592286"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668E4EE3" w14:textId="77777777" w:rsidR="00932658" w:rsidRPr="00932658" w:rsidRDefault="00932658" w:rsidP="00932658">
            <w:pPr>
              <w:widowControl/>
              <w:autoSpaceDE/>
              <w:autoSpaceDN/>
              <w:adjustRightInd/>
              <w:jc w:val="right"/>
              <w:rPr>
                <w:color w:val="000000"/>
                <w:sz w:val="20"/>
                <w:szCs w:val="20"/>
              </w:rPr>
            </w:pPr>
            <w:r w:rsidRPr="00932658">
              <w:rPr>
                <w:color w:val="000000"/>
                <w:sz w:val="20"/>
                <w:szCs w:val="20"/>
              </w:rPr>
              <w:t> </w:t>
            </w:r>
          </w:p>
        </w:tc>
      </w:tr>
      <w:tr w:rsidR="00932658" w:rsidRPr="00932658" w14:paraId="40E48DB0"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A6B1331"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 xml:space="preserve">A. Read instructions </w:t>
            </w:r>
          </w:p>
        </w:tc>
        <w:tc>
          <w:tcPr>
            <w:tcW w:w="1160" w:type="dxa"/>
            <w:tcBorders>
              <w:top w:val="nil"/>
              <w:left w:val="nil"/>
              <w:bottom w:val="single" w:sz="4" w:space="0" w:color="auto"/>
              <w:right w:val="single" w:sz="4" w:space="0" w:color="auto"/>
            </w:tcBorders>
            <w:shd w:val="clear" w:color="auto" w:fill="auto"/>
            <w:vAlign w:val="center"/>
            <w:hideMark/>
          </w:tcPr>
          <w:p w14:paraId="38CC1DBC"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See 3A</w:t>
            </w:r>
          </w:p>
        </w:tc>
        <w:tc>
          <w:tcPr>
            <w:tcW w:w="1270" w:type="dxa"/>
            <w:tcBorders>
              <w:top w:val="nil"/>
              <w:left w:val="nil"/>
              <w:bottom w:val="single" w:sz="4" w:space="0" w:color="auto"/>
              <w:right w:val="single" w:sz="4" w:space="0" w:color="auto"/>
            </w:tcBorders>
            <w:shd w:val="clear" w:color="auto" w:fill="auto"/>
            <w:vAlign w:val="center"/>
            <w:hideMark/>
          </w:tcPr>
          <w:p w14:paraId="099D9476"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D551A33"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4DB2497"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26179DAF"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422" w:type="dxa"/>
            <w:tcBorders>
              <w:top w:val="nil"/>
              <w:left w:val="nil"/>
              <w:bottom w:val="single" w:sz="4" w:space="0" w:color="auto"/>
              <w:right w:val="single" w:sz="4" w:space="0" w:color="auto"/>
            </w:tcBorders>
            <w:shd w:val="clear" w:color="auto" w:fill="auto"/>
            <w:vAlign w:val="center"/>
            <w:hideMark/>
          </w:tcPr>
          <w:p w14:paraId="7308FA78"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7DBAC4"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0472BDB5" w14:textId="77777777" w:rsidR="00932658" w:rsidRPr="00932658" w:rsidRDefault="00932658" w:rsidP="00932658">
            <w:pPr>
              <w:widowControl/>
              <w:autoSpaceDE/>
              <w:autoSpaceDN/>
              <w:adjustRightInd/>
              <w:jc w:val="right"/>
              <w:rPr>
                <w:color w:val="000000"/>
                <w:sz w:val="20"/>
                <w:szCs w:val="20"/>
              </w:rPr>
            </w:pPr>
            <w:r w:rsidRPr="00932658">
              <w:rPr>
                <w:color w:val="000000"/>
                <w:sz w:val="20"/>
                <w:szCs w:val="20"/>
              </w:rPr>
              <w:t> </w:t>
            </w:r>
          </w:p>
        </w:tc>
      </w:tr>
      <w:tr w:rsidR="00932658" w:rsidRPr="00932658" w14:paraId="7A0A4277"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B1C76FA"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B. Plan activities</w:t>
            </w:r>
          </w:p>
        </w:tc>
        <w:tc>
          <w:tcPr>
            <w:tcW w:w="1160" w:type="dxa"/>
            <w:tcBorders>
              <w:top w:val="nil"/>
              <w:left w:val="nil"/>
              <w:bottom w:val="single" w:sz="4" w:space="0" w:color="auto"/>
              <w:right w:val="single" w:sz="4" w:space="0" w:color="auto"/>
            </w:tcBorders>
            <w:shd w:val="clear" w:color="auto" w:fill="auto"/>
            <w:vAlign w:val="center"/>
            <w:hideMark/>
          </w:tcPr>
          <w:p w14:paraId="2E0D06B9"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See 3B</w:t>
            </w:r>
          </w:p>
        </w:tc>
        <w:tc>
          <w:tcPr>
            <w:tcW w:w="1270" w:type="dxa"/>
            <w:tcBorders>
              <w:top w:val="nil"/>
              <w:left w:val="nil"/>
              <w:bottom w:val="single" w:sz="4" w:space="0" w:color="auto"/>
              <w:right w:val="single" w:sz="4" w:space="0" w:color="auto"/>
            </w:tcBorders>
            <w:shd w:val="clear" w:color="auto" w:fill="auto"/>
            <w:vAlign w:val="center"/>
            <w:hideMark/>
          </w:tcPr>
          <w:p w14:paraId="44C7BFFF"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E1D7CD8"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C4B30D4"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3B9CFDFF"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422" w:type="dxa"/>
            <w:tcBorders>
              <w:top w:val="nil"/>
              <w:left w:val="nil"/>
              <w:bottom w:val="single" w:sz="4" w:space="0" w:color="auto"/>
              <w:right w:val="single" w:sz="4" w:space="0" w:color="auto"/>
            </w:tcBorders>
            <w:shd w:val="clear" w:color="auto" w:fill="auto"/>
            <w:vAlign w:val="center"/>
            <w:hideMark/>
          </w:tcPr>
          <w:p w14:paraId="10C8F655"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89ED46D"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50482041" w14:textId="77777777" w:rsidR="00932658" w:rsidRPr="00932658" w:rsidRDefault="00932658" w:rsidP="00932658">
            <w:pPr>
              <w:widowControl/>
              <w:autoSpaceDE/>
              <w:autoSpaceDN/>
              <w:adjustRightInd/>
              <w:jc w:val="right"/>
              <w:rPr>
                <w:color w:val="000000"/>
                <w:sz w:val="20"/>
                <w:szCs w:val="20"/>
              </w:rPr>
            </w:pPr>
            <w:r w:rsidRPr="00932658">
              <w:rPr>
                <w:color w:val="000000"/>
                <w:sz w:val="20"/>
                <w:szCs w:val="20"/>
              </w:rPr>
              <w:t> </w:t>
            </w:r>
          </w:p>
        </w:tc>
      </w:tr>
      <w:tr w:rsidR="00932658" w:rsidRPr="00932658" w14:paraId="1AB0D079"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6A4BBCC"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C. Implement activities</w:t>
            </w:r>
          </w:p>
        </w:tc>
        <w:tc>
          <w:tcPr>
            <w:tcW w:w="1160" w:type="dxa"/>
            <w:tcBorders>
              <w:top w:val="nil"/>
              <w:left w:val="nil"/>
              <w:bottom w:val="single" w:sz="4" w:space="0" w:color="auto"/>
              <w:right w:val="single" w:sz="4" w:space="0" w:color="auto"/>
            </w:tcBorders>
            <w:shd w:val="clear" w:color="auto" w:fill="auto"/>
            <w:vAlign w:val="center"/>
            <w:hideMark/>
          </w:tcPr>
          <w:p w14:paraId="28C588F5"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See 3B</w:t>
            </w:r>
          </w:p>
        </w:tc>
        <w:tc>
          <w:tcPr>
            <w:tcW w:w="1270" w:type="dxa"/>
            <w:tcBorders>
              <w:top w:val="nil"/>
              <w:left w:val="nil"/>
              <w:bottom w:val="single" w:sz="4" w:space="0" w:color="auto"/>
              <w:right w:val="single" w:sz="4" w:space="0" w:color="auto"/>
            </w:tcBorders>
            <w:shd w:val="clear" w:color="auto" w:fill="auto"/>
            <w:vAlign w:val="center"/>
            <w:hideMark/>
          </w:tcPr>
          <w:p w14:paraId="3D23DE9E"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4203568"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2ADA0BD"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59FC30D9"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422" w:type="dxa"/>
            <w:tcBorders>
              <w:top w:val="nil"/>
              <w:left w:val="nil"/>
              <w:bottom w:val="single" w:sz="4" w:space="0" w:color="auto"/>
              <w:right w:val="single" w:sz="4" w:space="0" w:color="auto"/>
            </w:tcBorders>
            <w:shd w:val="clear" w:color="auto" w:fill="auto"/>
            <w:vAlign w:val="center"/>
            <w:hideMark/>
          </w:tcPr>
          <w:p w14:paraId="3AEAEBE5"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16892B8"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03D19795" w14:textId="77777777" w:rsidR="00932658" w:rsidRPr="00932658" w:rsidRDefault="00932658" w:rsidP="00932658">
            <w:pPr>
              <w:widowControl/>
              <w:autoSpaceDE/>
              <w:autoSpaceDN/>
              <w:adjustRightInd/>
              <w:jc w:val="right"/>
              <w:rPr>
                <w:color w:val="000000"/>
                <w:sz w:val="20"/>
                <w:szCs w:val="20"/>
              </w:rPr>
            </w:pPr>
            <w:r w:rsidRPr="00932658">
              <w:rPr>
                <w:color w:val="000000"/>
                <w:sz w:val="20"/>
                <w:szCs w:val="20"/>
              </w:rPr>
              <w:t> </w:t>
            </w:r>
          </w:p>
        </w:tc>
      </w:tr>
      <w:tr w:rsidR="00932658" w:rsidRPr="00932658" w14:paraId="4FCE5459" w14:textId="77777777" w:rsidTr="00932658">
        <w:trPr>
          <w:trHeight w:val="315"/>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0C3A8548"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 xml:space="preserve">D. Develop record system </w:t>
            </w:r>
            <w:r w:rsidRPr="00932658">
              <w:rPr>
                <w:color w:val="000000"/>
                <w:sz w:val="20"/>
                <w:szCs w:val="20"/>
                <w:vertAlign w:val="superscript"/>
              </w:rPr>
              <w:t>j</w:t>
            </w:r>
          </w:p>
        </w:tc>
        <w:tc>
          <w:tcPr>
            <w:tcW w:w="1160" w:type="dxa"/>
            <w:tcBorders>
              <w:top w:val="nil"/>
              <w:left w:val="nil"/>
              <w:bottom w:val="single" w:sz="4" w:space="0" w:color="auto"/>
              <w:right w:val="single" w:sz="4" w:space="0" w:color="auto"/>
            </w:tcBorders>
            <w:shd w:val="clear" w:color="auto" w:fill="auto"/>
            <w:vAlign w:val="center"/>
            <w:hideMark/>
          </w:tcPr>
          <w:p w14:paraId="3C17CE08"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40</w:t>
            </w:r>
          </w:p>
        </w:tc>
        <w:tc>
          <w:tcPr>
            <w:tcW w:w="1270" w:type="dxa"/>
            <w:tcBorders>
              <w:top w:val="nil"/>
              <w:left w:val="nil"/>
              <w:bottom w:val="single" w:sz="4" w:space="0" w:color="auto"/>
              <w:right w:val="single" w:sz="4" w:space="0" w:color="auto"/>
            </w:tcBorders>
            <w:shd w:val="clear" w:color="auto" w:fill="auto"/>
            <w:vAlign w:val="center"/>
            <w:hideMark/>
          </w:tcPr>
          <w:p w14:paraId="7847EF8E"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ABE14F1" w14:textId="77777777" w:rsidR="00932658" w:rsidRPr="00932658" w:rsidRDefault="00932658" w:rsidP="00932658">
            <w:pPr>
              <w:widowControl/>
              <w:autoSpaceDE/>
              <w:autoSpaceDN/>
              <w:adjustRightInd/>
              <w:jc w:val="center"/>
              <w:rPr>
                <w:sz w:val="20"/>
                <w:szCs w:val="20"/>
              </w:rPr>
            </w:pPr>
            <w:r w:rsidRPr="00932658">
              <w:rPr>
                <w:sz w:val="20"/>
                <w:szCs w:val="20"/>
              </w:rPr>
              <w:t>40</w:t>
            </w:r>
          </w:p>
        </w:tc>
        <w:tc>
          <w:tcPr>
            <w:tcW w:w="1306" w:type="dxa"/>
            <w:tcBorders>
              <w:top w:val="nil"/>
              <w:left w:val="nil"/>
              <w:bottom w:val="single" w:sz="4" w:space="0" w:color="auto"/>
              <w:right w:val="single" w:sz="4" w:space="0" w:color="auto"/>
            </w:tcBorders>
            <w:shd w:val="clear" w:color="auto" w:fill="auto"/>
            <w:vAlign w:val="center"/>
            <w:hideMark/>
          </w:tcPr>
          <w:p w14:paraId="69365337"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1.33</w:t>
            </w:r>
          </w:p>
        </w:tc>
        <w:tc>
          <w:tcPr>
            <w:tcW w:w="1050" w:type="dxa"/>
            <w:tcBorders>
              <w:top w:val="nil"/>
              <w:left w:val="nil"/>
              <w:bottom w:val="single" w:sz="4" w:space="0" w:color="auto"/>
              <w:right w:val="single" w:sz="4" w:space="0" w:color="auto"/>
            </w:tcBorders>
            <w:shd w:val="clear" w:color="auto" w:fill="auto"/>
            <w:vAlign w:val="center"/>
            <w:hideMark/>
          </w:tcPr>
          <w:p w14:paraId="642353F3" w14:textId="77777777" w:rsidR="00932658" w:rsidRPr="00932658" w:rsidRDefault="00932658" w:rsidP="00932658">
            <w:pPr>
              <w:widowControl/>
              <w:autoSpaceDE/>
              <w:autoSpaceDN/>
              <w:adjustRightInd/>
              <w:jc w:val="center"/>
              <w:rPr>
                <w:sz w:val="20"/>
                <w:szCs w:val="20"/>
              </w:rPr>
            </w:pPr>
            <w:r w:rsidRPr="00932658">
              <w:rPr>
                <w:sz w:val="20"/>
                <w:szCs w:val="20"/>
              </w:rPr>
              <w:t>53</w:t>
            </w:r>
          </w:p>
        </w:tc>
        <w:tc>
          <w:tcPr>
            <w:tcW w:w="1422" w:type="dxa"/>
            <w:tcBorders>
              <w:top w:val="nil"/>
              <w:left w:val="nil"/>
              <w:bottom w:val="single" w:sz="4" w:space="0" w:color="auto"/>
              <w:right w:val="single" w:sz="4" w:space="0" w:color="auto"/>
            </w:tcBorders>
            <w:shd w:val="clear" w:color="auto" w:fill="auto"/>
            <w:vAlign w:val="center"/>
            <w:hideMark/>
          </w:tcPr>
          <w:p w14:paraId="3A586B7E"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6D208EEC" w14:textId="77777777" w:rsidR="00932658" w:rsidRPr="00932658" w:rsidRDefault="00932658" w:rsidP="00932658">
            <w:pPr>
              <w:widowControl/>
              <w:autoSpaceDE/>
              <w:autoSpaceDN/>
              <w:adjustRightInd/>
              <w:jc w:val="center"/>
              <w:rPr>
                <w:sz w:val="20"/>
                <w:szCs w:val="20"/>
              </w:rPr>
            </w:pPr>
            <w:r w:rsidRPr="00932658">
              <w:rPr>
                <w:sz w:val="20"/>
                <w:szCs w:val="20"/>
              </w:rPr>
              <w:t>5.33</w:t>
            </w:r>
          </w:p>
        </w:tc>
        <w:tc>
          <w:tcPr>
            <w:tcW w:w="1530" w:type="dxa"/>
            <w:tcBorders>
              <w:top w:val="nil"/>
              <w:left w:val="nil"/>
              <w:bottom w:val="single" w:sz="4" w:space="0" w:color="auto"/>
              <w:right w:val="single" w:sz="4" w:space="0" w:color="auto"/>
            </w:tcBorders>
            <w:shd w:val="clear" w:color="auto" w:fill="auto"/>
            <w:vAlign w:val="center"/>
            <w:hideMark/>
          </w:tcPr>
          <w:p w14:paraId="1517DEE3" w14:textId="77777777" w:rsidR="00932658" w:rsidRPr="00932658" w:rsidRDefault="00932658" w:rsidP="00932658">
            <w:pPr>
              <w:widowControl/>
              <w:autoSpaceDE/>
              <w:autoSpaceDN/>
              <w:adjustRightInd/>
              <w:jc w:val="right"/>
              <w:rPr>
                <w:sz w:val="20"/>
                <w:szCs w:val="20"/>
              </w:rPr>
            </w:pPr>
            <w:r w:rsidRPr="00932658">
              <w:rPr>
                <w:sz w:val="20"/>
                <w:szCs w:val="20"/>
              </w:rPr>
              <w:t xml:space="preserve">$6,887.68 </w:t>
            </w:r>
          </w:p>
        </w:tc>
      </w:tr>
      <w:tr w:rsidR="00932658" w:rsidRPr="00932658" w14:paraId="30C7BB11"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986C8C7"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E. Time to enter information</w:t>
            </w:r>
          </w:p>
        </w:tc>
        <w:tc>
          <w:tcPr>
            <w:tcW w:w="1160" w:type="dxa"/>
            <w:tcBorders>
              <w:top w:val="nil"/>
              <w:left w:val="nil"/>
              <w:bottom w:val="single" w:sz="4" w:space="0" w:color="auto"/>
              <w:right w:val="single" w:sz="4" w:space="0" w:color="auto"/>
            </w:tcBorders>
            <w:shd w:val="clear" w:color="auto" w:fill="auto"/>
            <w:vAlign w:val="center"/>
            <w:hideMark/>
          </w:tcPr>
          <w:p w14:paraId="02D14A18"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14:paraId="32143F5B"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DCF4839"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4128C19"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695694E"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422" w:type="dxa"/>
            <w:tcBorders>
              <w:top w:val="nil"/>
              <w:left w:val="nil"/>
              <w:bottom w:val="single" w:sz="4" w:space="0" w:color="auto"/>
              <w:right w:val="single" w:sz="4" w:space="0" w:color="auto"/>
            </w:tcBorders>
            <w:shd w:val="clear" w:color="auto" w:fill="auto"/>
            <w:vAlign w:val="center"/>
            <w:hideMark/>
          </w:tcPr>
          <w:p w14:paraId="5CF5C773"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BF17931"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59C334A6" w14:textId="77777777" w:rsidR="00932658" w:rsidRPr="00932658" w:rsidRDefault="00932658" w:rsidP="00932658">
            <w:pPr>
              <w:widowControl/>
              <w:autoSpaceDE/>
              <w:autoSpaceDN/>
              <w:adjustRightInd/>
              <w:jc w:val="right"/>
              <w:rPr>
                <w:color w:val="000000"/>
                <w:sz w:val="20"/>
                <w:szCs w:val="20"/>
              </w:rPr>
            </w:pPr>
            <w:r w:rsidRPr="00932658">
              <w:rPr>
                <w:color w:val="000000"/>
                <w:sz w:val="20"/>
                <w:szCs w:val="20"/>
              </w:rPr>
              <w:t> </w:t>
            </w:r>
          </w:p>
        </w:tc>
      </w:tr>
      <w:tr w:rsidR="00932658" w:rsidRPr="00932658" w14:paraId="1428E877" w14:textId="77777777" w:rsidTr="00932658">
        <w:trPr>
          <w:trHeight w:val="57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9605131"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 xml:space="preserve">Records and documentation of supporting calculations for compliance determinations </w:t>
            </w:r>
            <w:r w:rsidRPr="00932658">
              <w:rPr>
                <w:color w:val="000000"/>
                <w:sz w:val="20"/>
                <w:szCs w:val="20"/>
                <w:vertAlign w:val="superscript"/>
              </w:rPr>
              <w:t>k</w:t>
            </w:r>
          </w:p>
        </w:tc>
        <w:tc>
          <w:tcPr>
            <w:tcW w:w="1160" w:type="dxa"/>
            <w:tcBorders>
              <w:top w:val="nil"/>
              <w:left w:val="nil"/>
              <w:bottom w:val="single" w:sz="4" w:space="0" w:color="auto"/>
              <w:right w:val="single" w:sz="4" w:space="0" w:color="auto"/>
            </w:tcBorders>
            <w:shd w:val="clear" w:color="auto" w:fill="auto"/>
            <w:vAlign w:val="center"/>
            <w:hideMark/>
          </w:tcPr>
          <w:p w14:paraId="7F17B2B8"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8</w:t>
            </w:r>
          </w:p>
        </w:tc>
        <w:tc>
          <w:tcPr>
            <w:tcW w:w="1270" w:type="dxa"/>
            <w:tcBorders>
              <w:top w:val="nil"/>
              <w:left w:val="nil"/>
              <w:bottom w:val="single" w:sz="4" w:space="0" w:color="auto"/>
              <w:right w:val="single" w:sz="4" w:space="0" w:color="auto"/>
            </w:tcBorders>
            <w:shd w:val="clear" w:color="auto" w:fill="auto"/>
            <w:vAlign w:val="center"/>
            <w:hideMark/>
          </w:tcPr>
          <w:p w14:paraId="4B3028AA"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1194EA49" w14:textId="77777777" w:rsidR="00932658" w:rsidRPr="00932658" w:rsidRDefault="00932658" w:rsidP="00932658">
            <w:pPr>
              <w:widowControl/>
              <w:autoSpaceDE/>
              <w:autoSpaceDN/>
              <w:adjustRightInd/>
              <w:jc w:val="center"/>
              <w:rPr>
                <w:sz w:val="20"/>
                <w:szCs w:val="20"/>
              </w:rPr>
            </w:pPr>
            <w:r w:rsidRPr="00932658">
              <w:rPr>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18ECB4E9"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43</w:t>
            </w:r>
          </w:p>
        </w:tc>
        <w:tc>
          <w:tcPr>
            <w:tcW w:w="1050" w:type="dxa"/>
            <w:tcBorders>
              <w:top w:val="nil"/>
              <w:left w:val="nil"/>
              <w:bottom w:val="single" w:sz="4" w:space="0" w:color="auto"/>
              <w:right w:val="single" w:sz="4" w:space="0" w:color="auto"/>
            </w:tcBorders>
            <w:shd w:val="clear" w:color="auto" w:fill="auto"/>
            <w:vAlign w:val="center"/>
            <w:hideMark/>
          </w:tcPr>
          <w:p w14:paraId="4BE4FF93" w14:textId="77777777" w:rsidR="00932658" w:rsidRPr="00932658" w:rsidRDefault="00932658" w:rsidP="00932658">
            <w:pPr>
              <w:widowControl/>
              <w:autoSpaceDE/>
              <w:autoSpaceDN/>
              <w:adjustRightInd/>
              <w:jc w:val="center"/>
              <w:rPr>
                <w:sz w:val="20"/>
                <w:szCs w:val="20"/>
              </w:rPr>
            </w:pPr>
            <w:r w:rsidRPr="00932658">
              <w:rPr>
                <w:sz w:val="20"/>
                <w:szCs w:val="20"/>
              </w:rPr>
              <w:t>344</w:t>
            </w:r>
          </w:p>
        </w:tc>
        <w:tc>
          <w:tcPr>
            <w:tcW w:w="1422" w:type="dxa"/>
            <w:tcBorders>
              <w:top w:val="nil"/>
              <w:left w:val="nil"/>
              <w:bottom w:val="single" w:sz="4" w:space="0" w:color="auto"/>
              <w:right w:val="single" w:sz="4" w:space="0" w:color="auto"/>
            </w:tcBorders>
            <w:shd w:val="clear" w:color="auto" w:fill="auto"/>
            <w:vAlign w:val="center"/>
            <w:hideMark/>
          </w:tcPr>
          <w:p w14:paraId="2B2D7555"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17</w:t>
            </w:r>
          </w:p>
        </w:tc>
        <w:tc>
          <w:tcPr>
            <w:tcW w:w="1080" w:type="dxa"/>
            <w:tcBorders>
              <w:top w:val="nil"/>
              <w:left w:val="nil"/>
              <w:bottom w:val="single" w:sz="4" w:space="0" w:color="auto"/>
              <w:right w:val="single" w:sz="4" w:space="0" w:color="auto"/>
            </w:tcBorders>
            <w:shd w:val="clear" w:color="auto" w:fill="auto"/>
            <w:vAlign w:val="center"/>
            <w:hideMark/>
          </w:tcPr>
          <w:p w14:paraId="09FB09EF" w14:textId="77777777" w:rsidR="00932658" w:rsidRPr="00932658" w:rsidRDefault="00932658" w:rsidP="00932658">
            <w:pPr>
              <w:widowControl/>
              <w:autoSpaceDE/>
              <w:autoSpaceDN/>
              <w:adjustRightInd/>
              <w:jc w:val="center"/>
              <w:rPr>
                <w:sz w:val="20"/>
                <w:szCs w:val="20"/>
              </w:rPr>
            </w:pPr>
            <w:r w:rsidRPr="00932658">
              <w:rPr>
                <w:sz w:val="20"/>
                <w:szCs w:val="20"/>
              </w:rPr>
              <w:t>34.4</w:t>
            </w:r>
          </w:p>
        </w:tc>
        <w:tc>
          <w:tcPr>
            <w:tcW w:w="1530" w:type="dxa"/>
            <w:tcBorders>
              <w:top w:val="nil"/>
              <w:left w:val="nil"/>
              <w:bottom w:val="single" w:sz="4" w:space="0" w:color="auto"/>
              <w:right w:val="single" w:sz="4" w:space="0" w:color="auto"/>
            </w:tcBorders>
            <w:shd w:val="clear" w:color="auto" w:fill="auto"/>
            <w:vAlign w:val="center"/>
            <w:hideMark/>
          </w:tcPr>
          <w:p w14:paraId="7EB8D74F" w14:textId="77777777" w:rsidR="00932658" w:rsidRPr="00932658" w:rsidRDefault="00932658" w:rsidP="00932658">
            <w:pPr>
              <w:widowControl/>
              <w:autoSpaceDE/>
              <w:autoSpaceDN/>
              <w:adjustRightInd/>
              <w:jc w:val="right"/>
              <w:rPr>
                <w:sz w:val="20"/>
                <w:szCs w:val="20"/>
              </w:rPr>
            </w:pPr>
            <w:r w:rsidRPr="00932658">
              <w:rPr>
                <w:sz w:val="20"/>
                <w:szCs w:val="20"/>
              </w:rPr>
              <w:t xml:space="preserve">$45,029.86 </w:t>
            </w:r>
          </w:p>
        </w:tc>
      </w:tr>
      <w:tr w:rsidR="00932658" w:rsidRPr="00932658" w14:paraId="1F15AF53" w14:textId="77777777" w:rsidTr="00932658">
        <w:trPr>
          <w:trHeight w:val="555"/>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006ACCF7"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Record of compliant monitoring parameter ranges</w:t>
            </w:r>
          </w:p>
        </w:tc>
        <w:tc>
          <w:tcPr>
            <w:tcW w:w="1160" w:type="dxa"/>
            <w:tcBorders>
              <w:top w:val="nil"/>
              <w:left w:val="nil"/>
              <w:bottom w:val="single" w:sz="4" w:space="0" w:color="auto"/>
              <w:right w:val="single" w:sz="4" w:space="0" w:color="auto"/>
            </w:tcBorders>
            <w:shd w:val="clear" w:color="auto" w:fill="auto"/>
            <w:vAlign w:val="center"/>
            <w:hideMark/>
          </w:tcPr>
          <w:p w14:paraId="1C45C7E5"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2</w:t>
            </w:r>
          </w:p>
        </w:tc>
        <w:tc>
          <w:tcPr>
            <w:tcW w:w="1270" w:type="dxa"/>
            <w:tcBorders>
              <w:top w:val="nil"/>
              <w:left w:val="nil"/>
              <w:bottom w:val="single" w:sz="4" w:space="0" w:color="auto"/>
              <w:right w:val="single" w:sz="4" w:space="0" w:color="auto"/>
            </w:tcBorders>
            <w:shd w:val="clear" w:color="auto" w:fill="auto"/>
            <w:vAlign w:val="center"/>
            <w:hideMark/>
          </w:tcPr>
          <w:p w14:paraId="3C125D75"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27981880" w14:textId="77777777" w:rsidR="00932658" w:rsidRPr="00932658" w:rsidRDefault="00932658" w:rsidP="00932658">
            <w:pPr>
              <w:widowControl/>
              <w:autoSpaceDE/>
              <w:autoSpaceDN/>
              <w:adjustRightInd/>
              <w:jc w:val="center"/>
              <w:rPr>
                <w:sz w:val="20"/>
                <w:szCs w:val="20"/>
              </w:rPr>
            </w:pPr>
            <w:r w:rsidRPr="0093265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10F0B122"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43</w:t>
            </w:r>
          </w:p>
        </w:tc>
        <w:tc>
          <w:tcPr>
            <w:tcW w:w="1050" w:type="dxa"/>
            <w:tcBorders>
              <w:top w:val="nil"/>
              <w:left w:val="nil"/>
              <w:bottom w:val="single" w:sz="4" w:space="0" w:color="auto"/>
              <w:right w:val="single" w:sz="4" w:space="0" w:color="auto"/>
            </w:tcBorders>
            <w:shd w:val="clear" w:color="auto" w:fill="auto"/>
            <w:vAlign w:val="center"/>
            <w:hideMark/>
          </w:tcPr>
          <w:p w14:paraId="7CC81587" w14:textId="77777777" w:rsidR="00932658" w:rsidRPr="00932658" w:rsidRDefault="00932658" w:rsidP="00932658">
            <w:pPr>
              <w:widowControl/>
              <w:autoSpaceDE/>
              <w:autoSpaceDN/>
              <w:adjustRightInd/>
              <w:jc w:val="center"/>
              <w:rPr>
                <w:sz w:val="20"/>
                <w:szCs w:val="20"/>
              </w:rPr>
            </w:pPr>
            <w:r w:rsidRPr="00932658">
              <w:rPr>
                <w:sz w:val="20"/>
                <w:szCs w:val="20"/>
              </w:rPr>
              <w:t>86</w:t>
            </w:r>
          </w:p>
        </w:tc>
        <w:tc>
          <w:tcPr>
            <w:tcW w:w="1422" w:type="dxa"/>
            <w:tcBorders>
              <w:top w:val="nil"/>
              <w:left w:val="nil"/>
              <w:bottom w:val="single" w:sz="4" w:space="0" w:color="auto"/>
              <w:right w:val="single" w:sz="4" w:space="0" w:color="auto"/>
            </w:tcBorders>
            <w:shd w:val="clear" w:color="auto" w:fill="auto"/>
            <w:vAlign w:val="center"/>
            <w:hideMark/>
          </w:tcPr>
          <w:p w14:paraId="22EED461"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4.3</w:t>
            </w:r>
          </w:p>
        </w:tc>
        <w:tc>
          <w:tcPr>
            <w:tcW w:w="1080" w:type="dxa"/>
            <w:tcBorders>
              <w:top w:val="nil"/>
              <w:left w:val="nil"/>
              <w:bottom w:val="single" w:sz="4" w:space="0" w:color="auto"/>
              <w:right w:val="single" w:sz="4" w:space="0" w:color="auto"/>
            </w:tcBorders>
            <w:shd w:val="clear" w:color="auto" w:fill="auto"/>
            <w:vAlign w:val="center"/>
            <w:hideMark/>
          </w:tcPr>
          <w:p w14:paraId="3F565C4A" w14:textId="77777777" w:rsidR="00932658" w:rsidRPr="00932658" w:rsidRDefault="00932658" w:rsidP="00932658">
            <w:pPr>
              <w:widowControl/>
              <w:autoSpaceDE/>
              <w:autoSpaceDN/>
              <w:adjustRightInd/>
              <w:jc w:val="center"/>
              <w:rPr>
                <w:sz w:val="20"/>
                <w:szCs w:val="20"/>
              </w:rPr>
            </w:pPr>
            <w:r w:rsidRPr="00932658">
              <w:rPr>
                <w:sz w:val="20"/>
                <w:szCs w:val="20"/>
              </w:rPr>
              <w:t>8.6</w:t>
            </w:r>
          </w:p>
        </w:tc>
        <w:tc>
          <w:tcPr>
            <w:tcW w:w="1530" w:type="dxa"/>
            <w:tcBorders>
              <w:top w:val="nil"/>
              <w:left w:val="nil"/>
              <w:bottom w:val="single" w:sz="4" w:space="0" w:color="auto"/>
              <w:right w:val="single" w:sz="4" w:space="0" w:color="auto"/>
            </w:tcBorders>
            <w:shd w:val="clear" w:color="auto" w:fill="auto"/>
            <w:vAlign w:val="center"/>
            <w:hideMark/>
          </w:tcPr>
          <w:p w14:paraId="6F1F4E8F" w14:textId="77777777" w:rsidR="00932658" w:rsidRPr="00932658" w:rsidRDefault="00932658" w:rsidP="00932658">
            <w:pPr>
              <w:widowControl/>
              <w:autoSpaceDE/>
              <w:autoSpaceDN/>
              <w:adjustRightInd/>
              <w:jc w:val="right"/>
              <w:rPr>
                <w:sz w:val="20"/>
                <w:szCs w:val="20"/>
              </w:rPr>
            </w:pPr>
            <w:r w:rsidRPr="00932658">
              <w:rPr>
                <w:sz w:val="20"/>
                <w:szCs w:val="20"/>
              </w:rPr>
              <w:t xml:space="preserve">$11,264.83 </w:t>
            </w:r>
          </w:p>
        </w:tc>
      </w:tr>
      <w:tr w:rsidR="00932658" w:rsidRPr="00932658" w14:paraId="31BAB4D1" w14:textId="77777777" w:rsidTr="00932658">
        <w:trPr>
          <w:trHeight w:val="111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DF3C1DF"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 xml:space="preserve">Records certifying that an NDCE recovery furnace equipped with a dry ESP system is used to comply with the gaseous organic HAP standard for kraft and soda recovery furnaces </w:t>
            </w:r>
            <w:r w:rsidRPr="00932658">
              <w:rPr>
                <w:color w:val="000000"/>
                <w:sz w:val="20"/>
                <w:szCs w:val="20"/>
                <w:vertAlign w:val="superscript"/>
              </w:rPr>
              <w:t>l</w:t>
            </w:r>
          </w:p>
        </w:tc>
        <w:tc>
          <w:tcPr>
            <w:tcW w:w="1160" w:type="dxa"/>
            <w:tcBorders>
              <w:top w:val="nil"/>
              <w:left w:val="nil"/>
              <w:bottom w:val="single" w:sz="4" w:space="0" w:color="auto"/>
              <w:right w:val="single" w:sz="4" w:space="0" w:color="auto"/>
            </w:tcBorders>
            <w:shd w:val="clear" w:color="auto" w:fill="auto"/>
            <w:vAlign w:val="center"/>
            <w:hideMark/>
          </w:tcPr>
          <w:p w14:paraId="2B613CC3"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2</w:t>
            </w:r>
          </w:p>
        </w:tc>
        <w:tc>
          <w:tcPr>
            <w:tcW w:w="1270" w:type="dxa"/>
            <w:tcBorders>
              <w:top w:val="nil"/>
              <w:left w:val="nil"/>
              <w:bottom w:val="single" w:sz="4" w:space="0" w:color="auto"/>
              <w:right w:val="single" w:sz="4" w:space="0" w:color="auto"/>
            </w:tcBorders>
            <w:shd w:val="clear" w:color="auto" w:fill="auto"/>
            <w:vAlign w:val="center"/>
            <w:hideMark/>
          </w:tcPr>
          <w:p w14:paraId="4C64D9E2"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54079329" w14:textId="77777777" w:rsidR="00932658" w:rsidRPr="00932658" w:rsidRDefault="00932658" w:rsidP="00932658">
            <w:pPr>
              <w:widowControl/>
              <w:autoSpaceDE/>
              <w:autoSpaceDN/>
              <w:adjustRightInd/>
              <w:jc w:val="center"/>
              <w:rPr>
                <w:sz w:val="20"/>
                <w:szCs w:val="20"/>
              </w:rPr>
            </w:pPr>
            <w:r w:rsidRPr="0093265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41A5607D"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w:t>
            </w:r>
          </w:p>
        </w:tc>
        <w:tc>
          <w:tcPr>
            <w:tcW w:w="1050" w:type="dxa"/>
            <w:tcBorders>
              <w:top w:val="nil"/>
              <w:left w:val="nil"/>
              <w:bottom w:val="single" w:sz="4" w:space="0" w:color="auto"/>
              <w:right w:val="single" w:sz="4" w:space="0" w:color="auto"/>
            </w:tcBorders>
            <w:shd w:val="clear" w:color="auto" w:fill="auto"/>
            <w:vAlign w:val="center"/>
            <w:hideMark/>
          </w:tcPr>
          <w:p w14:paraId="00737807" w14:textId="77777777" w:rsidR="00932658" w:rsidRPr="00932658" w:rsidRDefault="00932658" w:rsidP="00932658">
            <w:pPr>
              <w:widowControl/>
              <w:autoSpaceDE/>
              <w:autoSpaceDN/>
              <w:adjustRightInd/>
              <w:jc w:val="center"/>
              <w:rPr>
                <w:sz w:val="20"/>
                <w:szCs w:val="20"/>
              </w:rPr>
            </w:pPr>
            <w:r w:rsidRPr="00932658">
              <w:rPr>
                <w:sz w:val="20"/>
                <w:szCs w:val="20"/>
              </w:rPr>
              <w:t>2.0</w:t>
            </w:r>
          </w:p>
        </w:tc>
        <w:tc>
          <w:tcPr>
            <w:tcW w:w="1422" w:type="dxa"/>
            <w:tcBorders>
              <w:top w:val="nil"/>
              <w:left w:val="nil"/>
              <w:bottom w:val="single" w:sz="4" w:space="0" w:color="auto"/>
              <w:right w:val="single" w:sz="4" w:space="0" w:color="auto"/>
            </w:tcBorders>
            <w:shd w:val="clear" w:color="auto" w:fill="auto"/>
            <w:vAlign w:val="center"/>
            <w:hideMark/>
          </w:tcPr>
          <w:p w14:paraId="68D04522"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0.07</w:t>
            </w:r>
          </w:p>
        </w:tc>
        <w:tc>
          <w:tcPr>
            <w:tcW w:w="1080" w:type="dxa"/>
            <w:tcBorders>
              <w:top w:val="nil"/>
              <w:left w:val="nil"/>
              <w:bottom w:val="single" w:sz="4" w:space="0" w:color="auto"/>
              <w:right w:val="single" w:sz="4" w:space="0" w:color="auto"/>
            </w:tcBorders>
            <w:shd w:val="clear" w:color="auto" w:fill="auto"/>
            <w:vAlign w:val="center"/>
            <w:hideMark/>
          </w:tcPr>
          <w:p w14:paraId="18F92A15" w14:textId="77777777" w:rsidR="00932658" w:rsidRPr="00932658" w:rsidRDefault="00932658" w:rsidP="00932658">
            <w:pPr>
              <w:widowControl/>
              <w:autoSpaceDE/>
              <w:autoSpaceDN/>
              <w:adjustRightInd/>
              <w:jc w:val="center"/>
              <w:rPr>
                <w:sz w:val="20"/>
                <w:szCs w:val="20"/>
              </w:rPr>
            </w:pPr>
            <w:r w:rsidRPr="00932658">
              <w:rPr>
                <w:sz w:val="20"/>
                <w:szCs w:val="20"/>
              </w:rPr>
              <w:t>0.2</w:t>
            </w:r>
          </w:p>
        </w:tc>
        <w:tc>
          <w:tcPr>
            <w:tcW w:w="1530" w:type="dxa"/>
            <w:tcBorders>
              <w:top w:val="nil"/>
              <w:left w:val="nil"/>
              <w:bottom w:val="single" w:sz="4" w:space="0" w:color="auto"/>
              <w:right w:val="single" w:sz="4" w:space="0" w:color="auto"/>
            </w:tcBorders>
            <w:shd w:val="clear" w:color="auto" w:fill="auto"/>
            <w:vAlign w:val="center"/>
            <w:hideMark/>
          </w:tcPr>
          <w:p w14:paraId="29D028D1" w14:textId="77777777" w:rsidR="00932658" w:rsidRPr="00932658" w:rsidRDefault="00932658" w:rsidP="00932658">
            <w:pPr>
              <w:widowControl/>
              <w:autoSpaceDE/>
              <w:autoSpaceDN/>
              <w:adjustRightInd/>
              <w:jc w:val="right"/>
              <w:rPr>
                <w:sz w:val="20"/>
                <w:szCs w:val="20"/>
              </w:rPr>
            </w:pPr>
            <w:r w:rsidRPr="00932658">
              <w:rPr>
                <w:sz w:val="20"/>
                <w:szCs w:val="20"/>
              </w:rPr>
              <w:t xml:space="preserve">$257.55 </w:t>
            </w:r>
          </w:p>
        </w:tc>
      </w:tr>
      <w:tr w:rsidR="00932658" w:rsidRPr="00932658" w14:paraId="7B5B0041" w14:textId="77777777" w:rsidTr="00932658">
        <w:trPr>
          <w:trHeight w:val="795"/>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2B77610"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 xml:space="preserve">Records demonstrating compliance with requirement to maintain proper operation of ESP’s AVC </w:t>
            </w:r>
            <w:r w:rsidRPr="00932658">
              <w:rPr>
                <w:color w:val="000000"/>
                <w:sz w:val="20"/>
                <w:szCs w:val="20"/>
                <w:vertAlign w:val="superscript"/>
              </w:rPr>
              <w:t>m</w:t>
            </w:r>
          </w:p>
        </w:tc>
        <w:tc>
          <w:tcPr>
            <w:tcW w:w="1160" w:type="dxa"/>
            <w:tcBorders>
              <w:top w:val="nil"/>
              <w:left w:val="nil"/>
              <w:bottom w:val="single" w:sz="4" w:space="0" w:color="auto"/>
              <w:right w:val="single" w:sz="4" w:space="0" w:color="auto"/>
            </w:tcBorders>
            <w:shd w:val="clear" w:color="auto" w:fill="auto"/>
            <w:vAlign w:val="center"/>
            <w:hideMark/>
          </w:tcPr>
          <w:p w14:paraId="3339303C"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8</w:t>
            </w:r>
          </w:p>
        </w:tc>
        <w:tc>
          <w:tcPr>
            <w:tcW w:w="1270" w:type="dxa"/>
            <w:tcBorders>
              <w:top w:val="nil"/>
              <w:left w:val="nil"/>
              <w:bottom w:val="single" w:sz="4" w:space="0" w:color="auto"/>
              <w:right w:val="single" w:sz="4" w:space="0" w:color="auto"/>
            </w:tcBorders>
            <w:shd w:val="clear" w:color="auto" w:fill="auto"/>
            <w:vAlign w:val="center"/>
            <w:hideMark/>
          </w:tcPr>
          <w:p w14:paraId="33FC4145"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14:paraId="6F60B4E0" w14:textId="77777777" w:rsidR="00932658" w:rsidRPr="00932658" w:rsidRDefault="00932658" w:rsidP="00932658">
            <w:pPr>
              <w:widowControl/>
              <w:autoSpaceDE/>
              <w:autoSpaceDN/>
              <w:adjustRightInd/>
              <w:jc w:val="center"/>
              <w:rPr>
                <w:sz w:val="20"/>
                <w:szCs w:val="20"/>
              </w:rPr>
            </w:pPr>
            <w:r w:rsidRPr="00932658">
              <w:rPr>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14:paraId="6C07FA25"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183.67</w:t>
            </w:r>
          </w:p>
        </w:tc>
        <w:tc>
          <w:tcPr>
            <w:tcW w:w="1050" w:type="dxa"/>
            <w:tcBorders>
              <w:top w:val="nil"/>
              <w:left w:val="nil"/>
              <w:bottom w:val="single" w:sz="4" w:space="0" w:color="auto"/>
              <w:right w:val="single" w:sz="4" w:space="0" w:color="auto"/>
            </w:tcBorders>
            <w:shd w:val="clear" w:color="auto" w:fill="auto"/>
            <w:vAlign w:val="center"/>
            <w:hideMark/>
          </w:tcPr>
          <w:p w14:paraId="0914588D" w14:textId="77777777" w:rsidR="00932658" w:rsidRPr="00932658" w:rsidRDefault="00932658" w:rsidP="00932658">
            <w:pPr>
              <w:widowControl/>
              <w:autoSpaceDE/>
              <w:autoSpaceDN/>
              <w:adjustRightInd/>
              <w:jc w:val="center"/>
              <w:rPr>
                <w:sz w:val="20"/>
                <w:szCs w:val="20"/>
              </w:rPr>
            </w:pPr>
            <w:r w:rsidRPr="00932658">
              <w:rPr>
                <w:sz w:val="20"/>
                <w:szCs w:val="20"/>
              </w:rPr>
              <w:t>2,939</w:t>
            </w:r>
          </w:p>
        </w:tc>
        <w:tc>
          <w:tcPr>
            <w:tcW w:w="1422" w:type="dxa"/>
            <w:tcBorders>
              <w:top w:val="nil"/>
              <w:left w:val="nil"/>
              <w:bottom w:val="single" w:sz="4" w:space="0" w:color="auto"/>
              <w:right w:val="single" w:sz="4" w:space="0" w:color="auto"/>
            </w:tcBorders>
            <w:shd w:val="clear" w:color="auto" w:fill="auto"/>
            <w:vAlign w:val="center"/>
            <w:hideMark/>
          </w:tcPr>
          <w:p w14:paraId="6C95DD7B"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146</w:t>
            </w:r>
          </w:p>
        </w:tc>
        <w:tc>
          <w:tcPr>
            <w:tcW w:w="1080" w:type="dxa"/>
            <w:tcBorders>
              <w:top w:val="nil"/>
              <w:left w:val="nil"/>
              <w:bottom w:val="single" w:sz="4" w:space="0" w:color="auto"/>
              <w:right w:val="single" w:sz="4" w:space="0" w:color="auto"/>
            </w:tcBorders>
            <w:shd w:val="clear" w:color="auto" w:fill="auto"/>
            <w:vAlign w:val="center"/>
            <w:hideMark/>
          </w:tcPr>
          <w:p w14:paraId="4C5EA3BB" w14:textId="77777777" w:rsidR="00932658" w:rsidRPr="00932658" w:rsidRDefault="00932658" w:rsidP="00932658">
            <w:pPr>
              <w:widowControl/>
              <w:autoSpaceDE/>
              <w:autoSpaceDN/>
              <w:adjustRightInd/>
              <w:jc w:val="center"/>
              <w:rPr>
                <w:sz w:val="20"/>
                <w:szCs w:val="20"/>
              </w:rPr>
            </w:pPr>
            <w:r w:rsidRPr="00932658">
              <w:rPr>
                <w:sz w:val="20"/>
                <w:szCs w:val="20"/>
              </w:rPr>
              <w:t>293.872</w:t>
            </w:r>
          </w:p>
        </w:tc>
        <w:tc>
          <w:tcPr>
            <w:tcW w:w="1530" w:type="dxa"/>
            <w:tcBorders>
              <w:top w:val="nil"/>
              <w:left w:val="nil"/>
              <w:bottom w:val="single" w:sz="4" w:space="0" w:color="auto"/>
              <w:right w:val="single" w:sz="4" w:space="0" w:color="auto"/>
            </w:tcBorders>
            <w:shd w:val="clear" w:color="auto" w:fill="auto"/>
            <w:vAlign w:val="center"/>
            <w:hideMark/>
          </w:tcPr>
          <w:p w14:paraId="65BC1413" w14:textId="77777777" w:rsidR="00932658" w:rsidRPr="00932658" w:rsidRDefault="00932658" w:rsidP="00932658">
            <w:pPr>
              <w:widowControl/>
              <w:autoSpaceDE/>
              <w:autoSpaceDN/>
              <w:adjustRightInd/>
              <w:jc w:val="right"/>
              <w:rPr>
                <w:sz w:val="20"/>
                <w:szCs w:val="20"/>
              </w:rPr>
            </w:pPr>
            <w:r w:rsidRPr="00932658">
              <w:rPr>
                <w:sz w:val="20"/>
                <w:szCs w:val="20"/>
              </w:rPr>
              <w:t xml:space="preserve">$384,794.53 </w:t>
            </w:r>
          </w:p>
        </w:tc>
      </w:tr>
      <w:tr w:rsidR="00932658" w:rsidRPr="00932658" w14:paraId="75DE9344" w14:textId="77777777" w:rsidTr="00932658">
        <w:trPr>
          <w:trHeight w:val="315"/>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D25B845"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 xml:space="preserve">Records of failures to meet standards </w:t>
            </w:r>
            <w:r w:rsidRPr="00932658">
              <w:rPr>
                <w:color w:val="000000"/>
                <w:sz w:val="20"/>
                <w:szCs w:val="20"/>
                <w:vertAlign w:val="superscript"/>
              </w:rPr>
              <w:t>n</w:t>
            </w:r>
          </w:p>
        </w:tc>
        <w:tc>
          <w:tcPr>
            <w:tcW w:w="1160" w:type="dxa"/>
            <w:tcBorders>
              <w:top w:val="nil"/>
              <w:left w:val="nil"/>
              <w:bottom w:val="single" w:sz="4" w:space="0" w:color="auto"/>
              <w:right w:val="single" w:sz="4" w:space="0" w:color="auto"/>
            </w:tcBorders>
            <w:shd w:val="clear" w:color="auto" w:fill="auto"/>
            <w:vAlign w:val="center"/>
            <w:hideMark/>
          </w:tcPr>
          <w:p w14:paraId="5B1B163E"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2</w:t>
            </w:r>
          </w:p>
        </w:tc>
        <w:tc>
          <w:tcPr>
            <w:tcW w:w="1270" w:type="dxa"/>
            <w:tcBorders>
              <w:top w:val="nil"/>
              <w:left w:val="nil"/>
              <w:bottom w:val="single" w:sz="4" w:space="0" w:color="auto"/>
              <w:right w:val="single" w:sz="4" w:space="0" w:color="auto"/>
            </w:tcBorders>
            <w:shd w:val="clear" w:color="auto" w:fill="auto"/>
            <w:vAlign w:val="center"/>
            <w:hideMark/>
          </w:tcPr>
          <w:p w14:paraId="39312702"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12</w:t>
            </w:r>
          </w:p>
        </w:tc>
        <w:tc>
          <w:tcPr>
            <w:tcW w:w="1172" w:type="dxa"/>
            <w:tcBorders>
              <w:top w:val="nil"/>
              <w:left w:val="nil"/>
              <w:bottom w:val="single" w:sz="4" w:space="0" w:color="auto"/>
              <w:right w:val="single" w:sz="4" w:space="0" w:color="auto"/>
            </w:tcBorders>
            <w:shd w:val="clear" w:color="auto" w:fill="auto"/>
            <w:vAlign w:val="center"/>
            <w:hideMark/>
          </w:tcPr>
          <w:p w14:paraId="2DB25371" w14:textId="77777777" w:rsidR="00932658" w:rsidRPr="00932658" w:rsidRDefault="00932658" w:rsidP="00932658">
            <w:pPr>
              <w:widowControl/>
              <w:autoSpaceDE/>
              <w:autoSpaceDN/>
              <w:adjustRightInd/>
              <w:jc w:val="center"/>
              <w:rPr>
                <w:sz w:val="20"/>
                <w:szCs w:val="20"/>
              </w:rPr>
            </w:pPr>
            <w:r w:rsidRPr="00932658">
              <w:rPr>
                <w:sz w:val="20"/>
                <w:szCs w:val="20"/>
              </w:rPr>
              <w:t>24</w:t>
            </w:r>
          </w:p>
        </w:tc>
        <w:tc>
          <w:tcPr>
            <w:tcW w:w="1306" w:type="dxa"/>
            <w:tcBorders>
              <w:top w:val="nil"/>
              <w:left w:val="nil"/>
              <w:bottom w:val="single" w:sz="4" w:space="0" w:color="auto"/>
              <w:right w:val="single" w:sz="4" w:space="0" w:color="auto"/>
            </w:tcBorders>
            <w:shd w:val="clear" w:color="auto" w:fill="auto"/>
            <w:vAlign w:val="center"/>
            <w:hideMark/>
          </w:tcPr>
          <w:p w14:paraId="2D37D61E"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5</w:t>
            </w:r>
          </w:p>
        </w:tc>
        <w:tc>
          <w:tcPr>
            <w:tcW w:w="1050" w:type="dxa"/>
            <w:tcBorders>
              <w:top w:val="nil"/>
              <w:left w:val="nil"/>
              <w:bottom w:val="single" w:sz="4" w:space="0" w:color="auto"/>
              <w:right w:val="single" w:sz="4" w:space="0" w:color="auto"/>
            </w:tcBorders>
            <w:shd w:val="clear" w:color="auto" w:fill="auto"/>
            <w:vAlign w:val="center"/>
            <w:hideMark/>
          </w:tcPr>
          <w:p w14:paraId="521DFBFD" w14:textId="77777777" w:rsidR="00932658" w:rsidRPr="00932658" w:rsidRDefault="00932658" w:rsidP="00932658">
            <w:pPr>
              <w:widowControl/>
              <w:autoSpaceDE/>
              <w:autoSpaceDN/>
              <w:adjustRightInd/>
              <w:jc w:val="center"/>
              <w:rPr>
                <w:sz w:val="20"/>
                <w:szCs w:val="20"/>
              </w:rPr>
            </w:pPr>
            <w:r w:rsidRPr="00932658">
              <w:rPr>
                <w:sz w:val="20"/>
                <w:szCs w:val="20"/>
              </w:rPr>
              <w:t>120</w:t>
            </w:r>
          </w:p>
        </w:tc>
        <w:tc>
          <w:tcPr>
            <w:tcW w:w="1422" w:type="dxa"/>
            <w:tcBorders>
              <w:top w:val="nil"/>
              <w:left w:val="nil"/>
              <w:bottom w:val="single" w:sz="4" w:space="0" w:color="auto"/>
              <w:right w:val="single" w:sz="4" w:space="0" w:color="auto"/>
            </w:tcBorders>
            <w:shd w:val="clear" w:color="auto" w:fill="auto"/>
            <w:vAlign w:val="center"/>
            <w:hideMark/>
          </w:tcPr>
          <w:p w14:paraId="6358F080"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14:paraId="660F454D" w14:textId="77777777" w:rsidR="00932658" w:rsidRPr="00932658" w:rsidRDefault="00932658" w:rsidP="00932658">
            <w:pPr>
              <w:widowControl/>
              <w:autoSpaceDE/>
              <w:autoSpaceDN/>
              <w:adjustRightInd/>
              <w:jc w:val="center"/>
              <w:rPr>
                <w:sz w:val="20"/>
                <w:szCs w:val="20"/>
              </w:rPr>
            </w:pPr>
            <w:r w:rsidRPr="00932658">
              <w:rPr>
                <w:sz w:val="20"/>
                <w:szCs w:val="20"/>
              </w:rPr>
              <w:t>12</w:t>
            </w:r>
          </w:p>
        </w:tc>
        <w:tc>
          <w:tcPr>
            <w:tcW w:w="1530" w:type="dxa"/>
            <w:tcBorders>
              <w:top w:val="nil"/>
              <w:left w:val="nil"/>
              <w:bottom w:val="single" w:sz="4" w:space="0" w:color="auto"/>
              <w:right w:val="single" w:sz="4" w:space="0" w:color="auto"/>
            </w:tcBorders>
            <w:shd w:val="clear" w:color="auto" w:fill="auto"/>
            <w:vAlign w:val="center"/>
            <w:hideMark/>
          </w:tcPr>
          <w:p w14:paraId="72E27CE7" w14:textId="77777777" w:rsidR="00932658" w:rsidRPr="00932658" w:rsidRDefault="00932658" w:rsidP="00932658">
            <w:pPr>
              <w:widowControl/>
              <w:autoSpaceDE/>
              <w:autoSpaceDN/>
              <w:adjustRightInd/>
              <w:jc w:val="right"/>
              <w:rPr>
                <w:sz w:val="20"/>
                <w:szCs w:val="20"/>
              </w:rPr>
            </w:pPr>
            <w:r w:rsidRPr="00932658">
              <w:rPr>
                <w:sz w:val="20"/>
                <w:szCs w:val="20"/>
              </w:rPr>
              <w:t xml:space="preserve">$15,718.37 </w:t>
            </w:r>
          </w:p>
        </w:tc>
      </w:tr>
      <w:tr w:rsidR="00932658" w:rsidRPr="00932658" w14:paraId="2DE65F81" w14:textId="77777777" w:rsidTr="00932658">
        <w:trPr>
          <w:trHeight w:val="84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6C48086"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 xml:space="preserve">Records of black liquor solids firing rates for recovery furnaces and semichemical combustion units </w:t>
            </w:r>
            <w:r w:rsidRPr="00932658">
              <w:rPr>
                <w:color w:val="000000"/>
                <w:sz w:val="20"/>
                <w:szCs w:val="20"/>
                <w:vertAlign w:val="superscript"/>
              </w:rPr>
              <w:t>o</w:t>
            </w:r>
          </w:p>
        </w:tc>
        <w:tc>
          <w:tcPr>
            <w:tcW w:w="1160" w:type="dxa"/>
            <w:tcBorders>
              <w:top w:val="nil"/>
              <w:left w:val="nil"/>
              <w:bottom w:val="single" w:sz="4" w:space="0" w:color="auto"/>
              <w:right w:val="single" w:sz="4" w:space="0" w:color="auto"/>
            </w:tcBorders>
            <w:shd w:val="clear" w:color="auto" w:fill="auto"/>
            <w:vAlign w:val="center"/>
            <w:hideMark/>
          </w:tcPr>
          <w:p w14:paraId="6B839960"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1.5</w:t>
            </w:r>
          </w:p>
        </w:tc>
        <w:tc>
          <w:tcPr>
            <w:tcW w:w="1270" w:type="dxa"/>
            <w:tcBorders>
              <w:top w:val="nil"/>
              <w:left w:val="nil"/>
              <w:bottom w:val="single" w:sz="4" w:space="0" w:color="auto"/>
              <w:right w:val="single" w:sz="4" w:space="0" w:color="auto"/>
            </w:tcBorders>
            <w:shd w:val="clear" w:color="auto" w:fill="auto"/>
            <w:vAlign w:val="center"/>
            <w:hideMark/>
          </w:tcPr>
          <w:p w14:paraId="329FEC17"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52</w:t>
            </w:r>
          </w:p>
        </w:tc>
        <w:tc>
          <w:tcPr>
            <w:tcW w:w="1172" w:type="dxa"/>
            <w:tcBorders>
              <w:top w:val="nil"/>
              <w:left w:val="nil"/>
              <w:bottom w:val="single" w:sz="4" w:space="0" w:color="auto"/>
              <w:right w:val="single" w:sz="4" w:space="0" w:color="auto"/>
            </w:tcBorders>
            <w:shd w:val="clear" w:color="auto" w:fill="auto"/>
            <w:vAlign w:val="center"/>
            <w:hideMark/>
          </w:tcPr>
          <w:p w14:paraId="3C30FDB5" w14:textId="77777777" w:rsidR="00932658" w:rsidRPr="00932658" w:rsidRDefault="00932658" w:rsidP="00932658">
            <w:pPr>
              <w:widowControl/>
              <w:autoSpaceDE/>
              <w:autoSpaceDN/>
              <w:adjustRightInd/>
              <w:jc w:val="center"/>
              <w:rPr>
                <w:sz w:val="20"/>
                <w:szCs w:val="20"/>
              </w:rPr>
            </w:pPr>
            <w:r w:rsidRPr="00932658">
              <w:rPr>
                <w:sz w:val="20"/>
                <w:szCs w:val="20"/>
              </w:rPr>
              <w:t>78</w:t>
            </w:r>
          </w:p>
        </w:tc>
        <w:tc>
          <w:tcPr>
            <w:tcW w:w="1306" w:type="dxa"/>
            <w:tcBorders>
              <w:top w:val="nil"/>
              <w:left w:val="nil"/>
              <w:bottom w:val="single" w:sz="4" w:space="0" w:color="auto"/>
              <w:right w:val="single" w:sz="4" w:space="0" w:color="auto"/>
            </w:tcBorders>
            <w:shd w:val="clear" w:color="auto" w:fill="auto"/>
            <w:vAlign w:val="center"/>
            <w:hideMark/>
          </w:tcPr>
          <w:p w14:paraId="3E81C9F1"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104</w:t>
            </w:r>
          </w:p>
        </w:tc>
        <w:tc>
          <w:tcPr>
            <w:tcW w:w="1050" w:type="dxa"/>
            <w:tcBorders>
              <w:top w:val="nil"/>
              <w:left w:val="nil"/>
              <w:bottom w:val="single" w:sz="4" w:space="0" w:color="auto"/>
              <w:right w:val="single" w:sz="4" w:space="0" w:color="auto"/>
            </w:tcBorders>
            <w:shd w:val="clear" w:color="auto" w:fill="auto"/>
            <w:vAlign w:val="center"/>
            <w:hideMark/>
          </w:tcPr>
          <w:p w14:paraId="142CFD71" w14:textId="77777777" w:rsidR="00932658" w:rsidRPr="00932658" w:rsidRDefault="00932658" w:rsidP="00932658">
            <w:pPr>
              <w:widowControl/>
              <w:autoSpaceDE/>
              <w:autoSpaceDN/>
              <w:adjustRightInd/>
              <w:jc w:val="center"/>
              <w:rPr>
                <w:sz w:val="20"/>
                <w:szCs w:val="20"/>
              </w:rPr>
            </w:pPr>
            <w:r w:rsidRPr="00932658">
              <w:rPr>
                <w:sz w:val="20"/>
                <w:szCs w:val="20"/>
              </w:rPr>
              <w:t>8,112</w:t>
            </w:r>
          </w:p>
        </w:tc>
        <w:tc>
          <w:tcPr>
            <w:tcW w:w="1422" w:type="dxa"/>
            <w:tcBorders>
              <w:top w:val="nil"/>
              <w:left w:val="nil"/>
              <w:bottom w:val="single" w:sz="4" w:space="0" w:color="auto"/>
              <w:right w:val="single" w:sz="4" w:space="0" w:color="auto"/>
            </w:tcBorders>
            <w:shd w:val="clear" w:color="auto" w:fill="auto"/>
            <w:vAlign w:val="center"/>
            <w:hideMark/>
          </w:tcPr>
          <w:p w14:paraId="1D039831"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406</w:t>
            </w:r>
          </w:p>
        </w:tc>
        <w:tc>
          <w:tcPr>
            <w:tcW w:w="1080" w:type="dxa"/>
            <w:tcBorders>
              <w:top w:val="nil"/>
              <w:left w:val="nil"/>
              <w:bottom w:val="single" w:sz="4" w:space="0" w:color="auto"/>
              <w:right w:val="single" w:sz="4" w:space="0" w:color="auto"/>
            </w:tcBorders>
            <w:shd w:val="clear" w:color="auto" w:fill="auto"/>
            <w:vAlign w:val="center"/>
            <w:hideMark/>
          </w:tcPr>
          <w:p w14:paraId="2DF255DC" w14:textId="77777777" w:rsidR="00932658" w:rsidRPr="00932658" w:rsidRDefault="00932658" w:rsidP="00932658">
            <w:pPr>
              <w:widowControl/>
              <w:autoSpaceDE/>
              <w:autoSpaceDN/>
              <w:adjustRightInd/>
              <w:jc w:val="center"/>
              <w:rPr>
                <w:sz w:val="20"/>
                <w:szCs w:val="20"/>
              </w:rPr>
            </w:pPr>
            <w:r w:rsidRPr="00932658">
              <w:rPr>
                <w:sz w:val="20"/>
                <w:szCs w:val="20"/>
              </w:rPr>
              <w:t>811.2</w:t>
            </w:r>
          </w:p>
        </w:tc>
        <w:tc>
          <w:tcPr>
            <w:tcW w:w="1530" w:type="dxa"/>
            <w:tcBorders>
              <w:top w:val="nil"/>
              <w:left w:val="nil"/>
              <w:bottom w:val="single" w:sz="4" w:space="0" w:color="auto"/>
              <w:right w:val="single" w:sz="4" w:space="0" w:color="auto"/>
            </w:tcBorders>
            <w:shd w:val="clear" w:color="auto" w:fill="auto"/>
            <w:vAlign w:val="center"/>
            <w:hideMark/>
          </w:tcPr>
          <w:p w14:paraId="44D4AC64" w14:textId="77777777" w:rsidR="00932658" w:rsidRPr="00932658" w:rsidRDefault="00932658" w:rsidP="00932658">
            <w:pPr>
              <w:widowControl/>
              <w:autoSpaceDE/>
              <w:autoSpaceDN/>
              <w:adjustRightInd/>
              <w:jc w:val="right"/>
              <w:rPr>
                <w:sz w:val="20"/>
                <w:szCs w:val="20"/>
              </w:rPr>
            </w:pPr>
            <w:r w:rsidRPr="00932658">
              <w:rPr>
                <w:sz w:val="20"/>
                <w:szCs w:val="20"/>
              </w:rPr>
              <w:t xml:space="preserve">$1,062,621.04 </w:t>
            </w:r>
          </w:p>
        </w:tc>
      </w:tr>
      <w:tr w:rsidR="00932658" w:rsidRPr="00932658" w14:paraId="63655F7D" w14:textId="77777777" w:rsidTr="00932658">
        <w:trPr>
          <w:trHeight w:val="315"/>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9EAB645"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 xml:space="preserve">Records of lime production for lime kilns </w:t>
            </w:r>
            <w:r w:rsidRPr="00932658">
              <w:rPr>
                <w:color w:val="000000"/>
                <w:sz w:val="20"/>
                <w:szCs w:val="20"/>
                <w:vertAlign w:val="superscript"/>
              </w:rPr>
              <w:t>p</w:t>
            </w:r>
          </w:p>
        </w:tc>
        <w:tc>
          <w:tcPr>
            <w:tcW w:w="1160" w:type="dxa"/>
            <w:tcBorders>
              <w:top w:val="nil"/>
              <w:left w:val="nil"/>
              <w:bottom w:val="single" w:sz="4" w:space="0" w:color="auto"/>
              <w:right w:val="single" w:sz="4" w:space="0" w:color="auto"/>
            </w:tcBorders>
            <w:shd w:val="clear" w:color="auto" w:fill="auto"/>
            <w:vAlign w:val="center"/>
            <w:hideMark/>
          </w:tcPr>
          <w:p w14:paraId="3C5F702D"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1.5</w:t>
            </w:r>
          </w:p>
        </w:tc>
        <w:tc>
          <w:tcPr>
            <w:tcW w:w="1270" w:type="dxa"/>
            <w:tcBorders>
              <w:top w:val="nil"/>
              <w:left w:val="nil"/>
              <w:bottom w:val="single" w:sz="4" w:space="0" w:color="auto"/>
              <w:right w:val="single" w:sz="4" w:space="0" w:color="auto"/>
            </w:tcBorders>
            <w:shd w:val="clear" w:color="auto" w:fill="auto"/>
            <w:vAlign w:val="center"/>
            <w:hideMark/>
          </w:tcPr>
          <w:p w14:paraId="345F329C"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52</w:t>
            </w:r>
          </w:p>
        </w:tc>
        <w:tc>
          <w:tcPr>
            <w:tcW w:w="1172" w:type="dxa"/>
            <w:tcBorders>
              <w:top w:val="nil"/>
              <w:left w:val="nil"/>
              <w:bottom w:val="single" w:sz="4" w:space="0" w:color="auto"/>
              <w:right w:val="single" w:sz="4" w:space="0" w:color="auto"/>
            </w:tcBorders>
            <w:shd w:val="clear" w:color="auto" w:fill="auto"/>
            <w:vAlign w:val="center"/>
            <w:hideMark/>
          </w:tcPr>
          <w:p w14:paraId="4325505B" w14:textId="77777777" w:rsidR="00932658" w:rsidRPr="00932658" w:rsidRDefault="00932658" w:rsidP="00932658">
            <w:pPr>
              <w:widowControl/>
              <w:autoSpaceDE/>
              <w:autoSpaceDN/>
              <w:adjustRightInd/>
              <w:jc w:val="center"/>
              <w:rPr>
                <w:sz w:val="20"/>
                <w:szCs w:val="20"/>
              </w:rPr>
            </w:pPr>
            <w:r w:rsidRPr="00932658">
              <w:rPr>
                <w:sz w:val="20"/>
                <w:szCs w:val="20"/>
              </w:rPr>
              <w:t>78</w:t>
            </w:r>
          </w:p>
        </w:tc>
        <w:tc>
          <w:tcPr>
            <w:tcW w:w="1306" w:type="dxa"/>
            <w:tcBorders>
              <w:top w:val="nil"/>
              <w:left w:val="nil"/>
              <w:bottom w:val="single" w:sz="4" w:space="0" w:color="auto"/>
              <w:right w:val="single" w:sz="4" w:space="0" w:color="auto"/>
            </w:tcBorders>
            <w:shd w:val="clear" w:color="auto" w:fill="auto"/>
            <w:vAlign w:val="center"/>
            <w:hideMark/>
          </w:tcPr>
          <w:p w14:paraId="09888A0E"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98</w:t>
            </w:r>
          </w:p>
        </w:tc>
        <w:tc>
          <w:tcPr>
            <w:tcW w:w="1050" w:type="dxa"/>
            <w:tcBorders>
              <w:top w:val="nil"/>
              <w:left w:val="nil"/>
              <w:bottom w:val="single" w:sz="4" w:space="0" w:color="auto"/>
              <w:right w:val="single" w:sz="4" w:space="0" w:color="auto"/>
            </w:tcBorders>
            <w:shd w:val="clear" w:color="auto" w:fill="auto"/>
            <w:vAlign w:val="center"/>
            <w:hideMark/>
          </w:tcPr>
          <w:p w14:paraId="5624EA24" w14:textId="77777777" w:rsidR="00932658" w:rsidRPr="00932658" w:rsidRDefault="00932658" w:rsidP="00932658">
            <w:pPr>
              <w:widowControl/>
              <w:autoSpaceDE/>
              <w:autoSpaceDN/>
              <w:adjustRightInd/>
              <w:jc w:val="center"/>
              <w:rPr>
                <w:sz w:val="20"/>
                <w:szCs w:val="20"/>
              </w:rPr>
            </w:pPr>
            <w:r w:rsidRPr="00932658">
              <w:rPr>
                <w:sz w:val="20"/>
                <w:szCs w:val="20"/>
              </w:rPr>
              <w:t>7,644</w:t>
            </w:r>
          </w:p>
        </w:tc>
        <w:tc>
          <w:tcPr>
            <w:tcW w:w="1422" w:type="dxa"/>
            <w:tcBorders>
              <w:top w:val="nil"/>
              <w:left w:val="nil"/>
              <w:bottom w:val="single" w:sz="4" w:space="0" w:color="auto"/>
              <w:right w:val="single" w:sz="4" w:space="0" w:color="auto"/>
            </w:tcBorders>
            <w:shd w:val="clear" w:color="auto" w:fill="auto"/>
            <w:vAlign w:val="center"/>
            <w:hideMark/>
          </w:tcPr>
          <w:p w14:paraId="6137439D"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382</w:t>
            </w:r>
          </w:p>
        </w:tc>
        <w:tc>
          <w:tcPr>
            <w:tcW w:w="1080" w:type="dxa"/>
            <w:tcBorders>
              <w:top w:val="nil"/>
              <w:left w:val="nil"/>
              <w:bottom w:val="single" w:sz="4" w:space="0" w:color="auto"/>
              <w:right w:val="single" w:sz="4" w:space="0" w:color="auto"/>
            </w:tcBorders>
            <w:shd w:val="clear" w:color="auto" w:fill="auto"/>
            <w:vAlign w:val="center"/>
            <w:hideMark/>
          </w:tcPr>
          <w:p w14:paraId="2029C464" w14:textId="77777777" w:rsidR="00932658" w:rsidRPr="00932658" w:rsidRDefault="00932658" w:rsidP="00932658">
            <w:pPr>
              <w:widowControl/>
              <w:autoSpaceDE/>
              <w:autoSpaceDN/>
              <w:adjustRightInd/>
              <w:jc w:val="center"/>
              <w:rPr>
                <w:sz w:val="20"/>
                <w:szCs w:val="20"/>
              </w:rPr>
            </w:pPr>
            <w:r w:rsidRPr="00932658">
              <w:rPr>
                <w:sz w:val="20"/>
                <w:szCs w:val="20"/>
              </w:rPr>
              <w:t>764.4</w:t>
            </w:r>
          </w:p>
        </w:tc>
        <w:tc>
          <w:tcPr>
            <w:tcW w:w="1530" w:type="dxa"/>
            <w:tcBorders>
              <w:top w:val="nil"/>
              <w:left w:val="nil"/>
              <w:bottom w:val="single" w:sz="4" w:space="0" w:color="auto"/>
              <w:right w:val="single" w:sz="4" w:space="0" w:color="auto"/>
            </w:tcBorders>
            <w:shd w:val="clear" w:color="auto" w:fill="auto"/>
            <w:vAlign w:val="center"/>
            <w:hideMark/>
          </w:tcPr>
          <w:p w14:paraId="7D5FE872" w14:textId="77777777" w:rsidR="00932658" w:rsidRPr="00932658" w:rsidRDefault="00932658" w:rsidP="00932658">
            <w:pPr>
              <w:widowControl/>
              <w:autoSpaceDE/>
              <w:autoSpaceDN/>
              <w:adjustRightInd/>
              <w:jc w:val="right"/>
              <w:rPr>
                <w:sz w:val="20"/>
                <w:szCs w:val="20"/>
              </w:rPr>
            </w:pPr>
            <w:r w:rsidRPr="00932658">
              <w:rPr>
                <w:sz w:val="20"/>
                <w:szCs w:val="20"/>
              </w:rPr>
              <w:t xml:space="preserve">$1,001,230.94 </w:t>
            </w:r>
          </w:p>
        </w:tc>
      </w:tr>
      <w:tr w:rsidR="00932658" w:rsidRPr="00932658" w14:paraId="34E75BCC" w14:textId="77777777" w:rsidTr="00932658">
        <w:trPr>
          <w:trHeight w:val="315"/>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430D24D6"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 xml:space="preserve">Records of CMS data </w:t>
            </w:r>
            <w:r w:rsidRPr="00932658">
              <w:rPr>
                <w:color w:val="000000"/>
                <w:sz w:val="20"/>
                <w:szCs w:val="20"/>
                <w:vertAlign w:val="superscript"/>
              </w:rPr>
              <w:t>q</w:t>
            </w:r>
          </w:p>
        </w:tc>
        <w:tc>
          <w:tcPr>
            <w:tcW w:w="1160" w:type="dxa"/>
            <w:tcBorders>
              <w:top w:val="nil"/>
              <w:left w:val="nil"/>
              <w:bottom w:val="single" w:sz="4" w:space="0" w:color="auto"/>
              <w:right w:val="single" w:sz="4" w:space="0" w:color="auto"/>
            </w:tcBorders>
            <w:shd w:val="clear" w:color="auto" w:fill="auto"/>
            <w:vAlign w:val="center"/>
            <w:hideMark/>
          </w:tcPr>
          <w:p w14:paraId="6A4B0B31"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0.5</w:t>
            </w:r>
          </w:p>
        </w:tc>
        <w:tc>
          <w:tcPr>
            <w:tcW w:w="1270" w:type="dxa"/>
            <w:tcBorders>
              <w:top w:val="nil"/>
              <w:left w:val="nil"/>
              <w:bottom w:val="single" w:sz="4" w:space="0" w:color="auto"/>
              <w:right w:val="single" w:sz="4" w:space="0" w:color="auto"/>
            </w:tcBorders>
            <w:shd w:val="clear" w:color="auto" w:fill="auto"/>
            <w:vAlign w:val="center"/>
            <w:hideMark/>
          </w:tcPr>
          <w:p w14:paraId="5BF954C1"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1,050</w:t>
            </w:r>
          </w:p>
        </w:tc>
        <w:tc>
          <w:tcPr>
            <w:tcW w:w="1172" w:type="dxa"/>
            <w:tcBorders>
              <w:top w:val="nil"/>
              <w:left w:val="nil"/>
              <w:bottom w:val="single" w:sz="4" w:space="0" w:color="auto"/>
              <w:right w:val="single" w:sz="4" w:space="0" w:color="auto"/>
            </w:tcBorders>
            <w:shd w:val="clear" w:color="auto" w:fill="auto"/>
            <w:vAlign w:val="center"/>
            <w:hideMark/>
          </w:tcPr>
          <w:p w14:paraId="073556EB" w14:textId="77777777" w:rsidR="00932658" w:rsidRPr="00932658" w:rsidRDefault="00932658" w:rsidP="00932658">
            <w:pPr>
              <w:widowControl/>
              <w:autoSpaceDE/>
              <w:autoSpaceDN/>
              <w:adjustRightInd/>
              <w:jc w:val="center"/>
              <w:rPr>
                <w:sz w:val="20"/>
                <w:szCs w:val="20"/>
              </w:rPr>
            </w:pPr>
            <w:r w:rsidRPr="00932658">
              <w:rPr>
                <w:sz w:val="20"/>
                <w:szCs w:val="20"/>
              </w:rPr>
              <w:t>525</w:t>
            </w:r>
          </w:p>
        </w:tc>
        <w:tc>
          <w:tcPr>
            <w:tcW w:w="1306" w:type="dxa"/>
            <w:tcBorders>
              <w:top w:val="nil"/>
              <w:left w:val="nil"/>
              <w:bottom w:val="single" w:sz="4" w:space="0" w:color="auto"/>
              <w:right w:val="single" w:sz="4" w:space="0" w:color="auto"/>
            </w:tcBorders>
            <w:shd w:val="clear" w:color="auto" w:fill="auto"/>
            <w:vAlign w:val="center"/>
            <w:hideMark/>
          </w:tcPr>
          <w:p w14:paraId="245430F1"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107.33</w:t>
            </w:r>
          </w:p>
        </w:tc>
        <w:tc>
          <w:tcPr>
            <w:tcW w:w="1050" w:type="dxa"/>
            <w:tcBorders>
              <w:top w:val="nil"/>
              <w:left w:val="nil"/>
              <w:bottom w:val="single" w:sz="4" w:space="0" w:color="auto"/>
              <w:right w:val="single" w:sz="4" w:space="0" w:color="auto"/>
            </w:tcBorders>
            <w:shd w:val="clear" w:color="auto" w:fill="auto"/>
            <w:vAlign w:val="center"/>
            <w:hideMark/>
          </w:tcPr>
          <w:p w14:paraId="4CE65089" w14:textId="77777777" w:rsidR="00932658" w:rsidRPr="00932658" w:rsidRDefault="00932658" w:rsidP="00932658">
            <w:pPr>
              <w:widowControl/>
              <w:autoSpaceDE/>
              <w:autoSpaceDN/>
              <w:adjustRightInd/>
              <w:jc w:val="center"/>
              <w:rPr>
                <w:sz w:val="20"/>
                <w:szCs w:val="20"/>
              </w:rPr>
            </w:pPr>
            <w:r w:rsidRPr="00932658">
              <w:rPr>
                <w:sz w:val="20"/>
                <w:szCs w:val="20"/>
              </w:rPr>
              <w:t>56,350</w:t>
            </w:r>
          </w:p>
        </w:tc>
        <w:tc>
          <w:tcPr>
            <w:tcW w:w="1422" w:type="dxa"/>
            <w:tcBorders>
              <w:top w:val="nil"/>
              <w:left w:val="nil"/>
              <w:bottom w:val="single" w:sz="4" w:space="0" w:color="auto"/>
              <w:right w:val="single" w:sz="4" w:space="0" w:color="auto"/>
            </w:tcBorders>
            <w:shd w:val="clear" w:color="auto" w:fill="auto"/>
            <w:vAlign w:val="center"/>
            <w:hideMark/>
          </w:tcPr>
          <w:p w14:paraId="3AAC8072"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2,809</w:t>
            </w:r>
          </w:p>
        </w:tc>
        <w:tc>
          <w:tcPr>
            <w:tcW w:w="1080" w:type="dxa"/>
            <w:tcBorders>
              <w:top w:val="nil"/>
              <w:left w:val="nil"/>
              <w:bottom w:val="single" w:sz="4" w:space="0" w:color="auto"/>
              <w:right w:val="single" w:sz="4" w:space="0" w:color="auto"/>
            </w:tcBorders>
            <w:shd w:val="clear" w:color="auto" w:fill="auto"/>
            <w:vAlign w:val="center"/>
            <w:hideMark/>
          </w:tcPr>
          <w:p w14:paraId="06C865BE" w14:textId="77777777" w:rsidR="00932658" w:rsidRPr="00932658" w:rsidRDefault="00932658" w:rsidP="00932658">
            <w:pPr>
              <w:widowControl/>
              <w:autoSpaceDE/>
              <w:autoSpaceDN/>
              <w:adjustRightInd/>
              <w:jc w:val="center"/>
              <w:rPr>
                <w:sz w:val="20"/>
                <w:szCs w:val="20"/>
              </w:rPr>
            </w:pPr>
            <w:r w:rsidRPr="00932658">
              <w:rPr>
                <w:sz w:val="20"/>
                <w:szCs w:val="20"/>
              </w:rPr>
              <w:t>5635</w:t>
            </w:r>
          </w:p>
        </w:tc>
        <w:tc>
          <w:tcPr>
            <w:tcW w:w="1530" w:type="dxa"/>
            <w:tcBorders>
              <w:top w:val="nil"/>
              <w:left w:val="nil"/>
              <w:bottom w:val="single" w:sz="4" w:space="0" w:color="auto"/>
              <w:right w:val="single" w:sz="4" w:space="0" w:color="auto"/>
            </w:tcBorders>
            <w:shd w:val="clear" w:color="auto" w:fill="auto"/>
            <w:vAlign w:val="center"/>
            <w:hideMark/>
          </w:tcPr>
          <w:p w14:paraId="50F3D2B5" w14:textId="77777777" w:rsidR="00932658" w:rsidRPr="00932658" w:rsidRDefault="00932658" w:rsidP="00932658">
            <w:pPr>
              <w:widowControl/>
              <w:autoSpaceDE/>
              <w:autoSpaceDN/>
              <w:adjustRightInd/>
              <w:jc w:val="right"/>
              <w:rPr>
                <w:sz w:val="20"/>
                <w:szCs w:val="20"/>
              </w:rPr>
            </w:pPr>
            <w:r w:rsidRPr="00932658">
              <w:rPr>
                <w:sz w:val="20"/>
                <w:szCs w:val="20"/>
              </w:rPr>
              <w:t xml:space="preserve">$7,379,833.57 </w:t>
            </w:r>
          </w:p>
        </w:tc>
      </w:tr>
      <w:tr w:rsidR="00932658" w:rsidRPr="00932658" w14:paraId="54B0993D"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AB9661F"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F. Time to train personnel</w:t>
            </w:r>
          </w:p>
        </w:tc>
        <w:tc>
          <w:tcPr>
            <w:tcW w:w="1160" w:type="dxa"/>
            <w:tcBorders>
              <w:top w:val="nil"/>
              <w:left w:val="nil"/>
              <w:bottom w:val="single" w:sz="4" w:space="0" w:color="auto"/>
              <w:right w:val="single" w:sz="4" w:space="0" w:color="auto"/>
            </w:tcBorders>
            <w:shd w:val="clear" w:color="auto" w:fill="auto"/>
            <w:vAlign w:val="center"/>
            <w:hideMark/>
          </w:tcPr>
          <w:p w14:paraId="258F71E7"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14:paraId="0B117F11"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94461FA"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F6F9382"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467A93FB"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422" w:type="dxa"/>
            <w:tcBorders>
              <w:top w:val="nil"/>
              <w:left w:val="nil"/>
              <w:bottom w:val="single" w:sz="4" w:space="0" w:color="auto"/>
              <w:right w:val="single" w:sz="4" w:space="0" w:color="auto"/>
            </w:tcBorders>
            <w:shd w:val="clear" w:color="auto" w:fill="auto"/>
            <w:vAlign w:val="center"/>
            <w:hideMark/>
          </w:tcPr>
          <w:p w14:paraId="678BCF09"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99277B7"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03079375" w14:textId="77777777" w:rsidR="00932658" w:rsidRPr="00932658" w:rsidRDefault="00932658" w:rsidP="00932658">
            <w:pPr>
              <w:widowControl/>
              <w:autoSpaceDE/>
              <w:autoSpaceDN/>
              <w:adjustRightInd/>
              <w:jc w:val="right"/>
              <w:rPr>
                <w:color w:val="000000"/>
                <w:sz w:val="20"/>
                <w:szCs w:val="20"/>
              </w:rPr>
            </w:pPr>
            <w:r w:rsidRPr="00932658">
              <w:rPr>
                <w:color w:val="000000"/>
                <w:sz w:val="20"/>
                <w:szCs w:val="20"/>
              </w:rPr>
              <w:t> </w:t>
            </w:r>
          </w:p>
        </w:tc>
      </w:tr>
      <w:tr w:rsidR="00932658" w:rsidRPr="00932658" w14:paraId="4526C5EC" w14:textId="77777777" w:rsidTr="00932658">
        <w:trPr>
          <w:trHeight w:val="315"/>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5F399AC"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 xml:space="preserve">Initial training </w:t>
            </w:r>
            <w:r w:rsidRPr="00932658">
              <w:rPr>
                <w:color w:val="000000"/>
                <w:sz w:val="20"/>
                <w:szCs w:val="20"/>
                <w:vertAlign w:val="superscript"/>
              </w:rPr>
              <w:t>r</w:t>
            </w:r>
          </w:p>
        </w:tc>
        <w:tc>
          <w:tcPr>
            <w:tcW w:w="1160" w:type="dxa"/>
            <w:tcBorders>
              <w:top w:val="nil"/>
              <w:left w:val="nil"/>
              <w:bottom w:val="single" w:sz="4" w:space="0" w:color="auto"/>
              <w:right w:val="single" w:sz="4" w:space="0" w:color="auto"/>
            </w:tcBorders>
            <w:shd w:val="clear" w:color="auto" w:fill="auto"/>
            <w:vAlign w:val="center"/>
            <w:hideMark/>
          </w:tcPr>
          <w:p w14:paraId="3D5B242A"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40</w:t>
            </w:r>
          </w:p>
        </w:tc>
        <w:tc>
          <w:tcPr>
            <w:tcW w:w="1270" w:type="dxa"/>
            <w:tcBorders>
              <w:top w:val="nil"/>
              <w:left w:val="nil"/>
              <w:bottom w:val="single" w:sz="4" w:space="0" w:color="auto"/>
              <w:right w:val="single" w:sz="4" w:space="0" w:color="auto"/>
            </w:tcBorders>
            <w:shd w:val="clear" w:color="auto" w:fill="auto"/>
            <w:vAlign w:val="center"/>
            <w:hideMark/>
          </w:tcPr>
          <w:p w14:paraId="6C874070"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1BBFF915" w14:textId="77777777" w:rsidR="00932658" w:rsidRPr="00932658" w:rsidRDefault="00932658" w:rsidP="00932658">
            <w:pPr>
              <w:widowControl/>
              <w:autoSpaceDE/>
              <w:autoSpaceDN/>
              <w:adjustRightInd/>
              <w:jc w:val="center"/>
              <w:rPr>
                <w:sz w:val="20"/>
                <w:szCs w:val="20"/>
              </w:rPr>
            </w:pPr>
            <w:r w:rsidRPr="00932658">
              <w:rPr>
                <w:sz w:val="20"/>
                <w:szCs w:val="20"/>
              </w:rPr>
              <w:t>40</w:t>
            </w:r>
          </w:p>
        </w:tc>
        <w:tc>
          <w:tcPr>
            <w:tcW w:w="1306" w:type="dxa"/>
            <w:tcBorders>
              <w:top w:val="nil"/>
              <w:left w:val="nil"/>
              <w:bottom w:val="single" w:sz="4" w:space="0" w:color="auto"/>
              <w:right w:val="single" w:sz="4" w:space="0" w:color="auto"/>
            </w:tcBorders>
            <w:shd w:val="clear" w:color="auto" w:fill="auto"/>
            <w:vAlign w:val="center"/>
            <w:hideMark/>
          </w:tcPr>
          <w:p w14:paraId="2EC35FCA"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1.33</w:t>
            </w:r>
          </w:p>
        </w:tc>
        <w:tc>
          <w:tcPr>
            <w:tcW w:w="1050" w:type="dxa"/>
            <w:tcBorders>
              <w:top w:val="nil"/>
              <w:left w:val="nil"/>
              <w:bottom w:val="single" w:sz="4" w:space="0" w:color="auto"/>
              <w:right w:val="single" w:sz="4" w:space="0" w:color="auto"/>
            </w:tcBorders>
            <w:shd w:val="clear" w:color="auto" w:fill="auto"/>
            <w:vAlign w:val="center"/>
            <w:hideMark/>
          </w:tcPr>
          <w:p w14:paraId="183E94F6" w14:textId="77777777" w:rsidR="00932658" w:rsidRPr="00932658" w:rsidRDefault="00932658" w:rsidP="00932658">
            <w:pPr>
              <w:widowControl/>
              <w:autoSpaceDE/>
              <w:autoSpaceDN/>
              <w:adjustRightInd/>
              <w:jc w:val="center"/>
              <w:rPr>
                <w:sz w:val="20"/>
                <w:szCs w:val="20"/>
              </w:rPr>
            </w:pPr>
            <w:r w:rsidRPr="00932658">
              <w:rPr>
                <w:sz w:val="20"/>
                <w:szCs w:val="20"/>
              </w:rPr>
              <w:t>53</w:t>
            </w:r>
          </w:p>
        </w:tc>
        <w:tc>
          <w:tcPr>
            <w:tcW w:w="1422" w:type="dxa"/>
            <w:tcBorders>
              <w:top w:val="nil"/>
              <w:left w:val="nil"/>
              <w:bottom w:val="single" w:sz="4" w:space="0" w:color="auto"/>
              <w:right w:val="single" w:sz="4" w:space="0" w:color="auto"/>
            </w:tcBorders>
            <w:shd w:val="clear" w:color="auto" w:fill="auto"/>
            <w:vAlign w:val="center"/>
            <w:hideMark/>
          </w:tcPr>
          <w:p w14:paraId="33E56D45"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039DC9FC" w14:textId="77777777" w:rsidR="00932658" w:rsidRPr="00932658" w:rsidRDefault="00932658" w:rsidP="00932658">
            <w:pPr>
              <w:widowControl/>
              <w:autoSpaceDE/>
              <w:autoSpaceDN/>
              <w:adjustRightInd/>
              <w:jc w:val="center"/>
              <w:rPr>
                <w:sz w:val="20"/>
                <w:szCs w:val="20"/>
              </w:rPr>
            </w:pPr>
            <w:r w:rsidRPr="00932658">
              <w:rPr>
                <w:sz w:val="20"/>
                <w:szCs w:val="20"/>
              </w:rPr>
              <w:t>5.33</w:t>
            </w:r>
          </w:p>
        </w:tc>
        <w:tc>
          <w:tcPr>
            <w:tcW w:w="1530" w:type="dxa"/>
            <w:tcBorders>
              <w:top w:val="nil"/>
              <w:left w:val="nil"/>
              <w:bottom w:val="single" w:sz="4" w:space="0" w:color="auto"/>
              <w:right w:val="single" w:sz="4" w:space="0" w:color="auto"/>
            </w:tcBorders>
            <w:shd w:val="clear" w:color="auto" w:fill="auto"/>
            <w:vAlign w:val="center"/>
            <w:hideMark/>
          </w:tcPr>
          <w:p w14:paraId="575A7AD3" w14:textId="77777777" w:rsidR="00932658" w:rsidRPr="00932658" w:rsidRDefault="00932658" w:rsidP="00932658">
            <w:pPr>
              <w:widowControl/>
              <w:autoSpaceDE/>
              <w:autoSpaceDN/>
              <w:adjustRightInd/>
              <w:jc w:val="right"/>
              <w:rPr>
                <w:sz w:val="20"/>
                <w:szCs w:val="20"/>
              </w:rPr>
            </w:pPr>
            <w:r w:rsidRPr="00932658">
              <w:rPr>
                <w:sz w:val="20"/>
                <w:szCs w:val="20"/>
              </w:rPr>
              <w:t xml:space="preserve">$6,887.68 </w:t>
            </w:r>
          </w:p>
        </w:tc>
      </w:tr>
      <w:tr w:rsidR="00932658" w:rsidRPr="00932658" w14:paraId="7438036C" w14:textId="77777777" w:rsidTr="00932658">
        <w:trPr>
          <w:trHeight w:val="315"/>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B83BD55"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 xml:space="preserve">Refresher training </w:t>
            </w:r>
            <w:r w:rsidRPr="00932658">
              <w:rPr>
                <w:color w:val="000000"/>
                <w:sz w:val="20"/>
                <w:szCs w:val="20"/>
                <w:vertAlign w:val="superscript"/>
              </w:rPr>
              <w:t>s</w:t>
            </w:r>
          </w:p>
        </w:tc>
        <w:tc>
          <w:tcPr>
            <w:tcW w:w="1160" w:type="dxa"/>
            <w:tcBorders>
              <w:top w:val="nil"/>
              <w:left w:val="nil"/>
              <w:bottom w:val="single" w:sz="4" w:space="0" w:color="auto"/>
              <w:right w:val="single" w:sz="4" w:space="0" w:color="auto"/>
            </w:tcBorders>
            <w:shd w:val="clear" w:color="auto" w:fill="auto"/>
            <w:vAlign w:val="center"/>
            <w:hideMark/>
          </w:tcPr>
          <w:p w14:paraId="0803547A"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16</w:t>
            </w:r>
          </w:p>
        </w:tc>
        <w:tc>
          <w:tcPr>
            <w:tcW w:w="1270" w:type="dxa"/>
            <w:tcBorders>
              <w:top w:val="nil"/>
              <w:left w:val="nil"/>
              <w:bottom w:val="single" w:sz="4" w:space="0" w:color="auto"/>
              <w:right w:val="single" w:sz="4" w:space="0" w:color="auto"/>
            </w:tcBorders>
            <w:shd w:val="clear" w:color="auto" w:fill="auto"/>
            <w:vAlign w:val="center"/>
            <w:hideMark/>
          </w:tcPr>
          <w:p w14:paraId="02CC83B2"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AE5000E" w14:textId="77777777" w:rsidR="00932658" w:rsidRPr="00932658" w:rsidRDefault="00932658" w:rsidP="00932658">
            <w:pPr>
              <w:widowControl/>
              <w:autoSpaceDE/>
              <w:autoSpaceDN/>
              <w:adjustRightInd/>
              <w:jc w:val="center"/>
              <w:rPr>
                <w:sz w:val="20"/>
                <w:szCs w:val="20"/>
              </w:rPr>
            </w:pPr>
            <w:r w:rsidRPr="00932658">
              <w:rPr>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14:paraId="3E40025D"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107</w:t>
            </w:r>
          </w:p>
        </w:tc>
        <w:tc>
          <w:tcPr>
            <w:tcW w:w="1050" w:type="dxa"/>
            <w:tcBorders>
              <w:top w:val="nil"/>
              <w:left w:val="nil"/>
              <w:bottom w:val="single" w:sz="4" w:space="0" w:color="auto"/>
              <w:right w:val="single" w:sz="4" w:space="0" w:color="auto"/>
            </w:tcBorders>
            <w:shd w:val="clear" w:color="auto" w:fill="auto"/>
            <w:vAlign w:val="center"/>
            <w:hideMark/>
          </w:tcPr>
          <w:p w14:paraId="38A77C22" w14:textId="77777777" w:rsidR="00932658" w:rsidRPr="00932658" w:rsidRDefault="00932658" w:rsidP="00932658">
            <w:pPr>
              <w:widowControl/>
              <w:autoSpaceDE/>
              <w:autoSpaceDN/>
              <w:adjustRightInd/>
              <w:jc w:val="center"/>
              <w:rPr>
                <w:sz w:val="20"/>
                <w:szCs w:val="20"/>
              </w:rPr>
            </w:pPr>
            <w:r w:rsidRPr="00932658">
              <w:rPr>
                <w:sz w:val="20"/>
                <w:szCs w:val="20"/>
              </w:rPr>
              <w:t>1,712</w:t>
            </w:r>
          </w:p>
        </w:tc>
        <w:tc>
          <w:tcPr>
            <w:tcW w:w="1422" w:type="dxa"/>
            <w:tcBorders>
              <w:top w:val="nil"/>
              <w:left w:val="nil"/>
              <w:bottom w:val="single" w:sz="4" w:space="0" w:color="auto"/>
              <w:right w:val="single" w:sz="4" w:space="0" w:color="auto"/>
            </w:tcBorders>
            <w:shd w:val="clear" w:color="auto" w:fill="auto"/>
            <w:vAlign w:val="center"/>
            <w:hideMark/>
          </w:tcPr>
          <w:p w14:paraId="0C51EFBC"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86</w:t>
            </w:r>
          </w:p>
        </w:tc>
        <w:tc>
          <w:tcPr>
            <w:tcW w:w="1080" w:type="dxa"/>
            <w:tcBorders>
              <w:top w:val="nil"/>
              <w:left w:val="nil"/>
              <w:bottom w:val="single" w:sz="4" w:space="0" w:color="auto"/>
              <w:right w:val="single" w:sz="4" w:space="0" w:color="auto"/>
            </w:tcBorders>
            <w:shd w:val="clear" w:color="auto" w:fill="auto"/>
            <w:vAlign w:val="center"/>
            <w:hideMark/>
          </w:tcPr>
          <w:p w14:paraId="3E66A86F" w14:textId="77777777" w:rsidR="00932658" w:rsidRPr="00932658" w:rsidRDefault="00932658" w:rsidP="00932658">
            <w:pPr>
              <w:widowControl/>
              <w:autoSpaceDE/>
              <w:autoSpaceDN/>
              <w:adjustRightInd/>
              <w:jc w:val="center"/>
              <w:rPr>
                <w:sz w:val="20"/>
                <w:szCs w:val="20"/>
              </w:rPr>
            </w:pPr>
            <w:r w:rsidRPr="00932658">
              <w:rPr>
                <w:sz w:val="20"/>
                <w:szCs w:val="20"/>
              </w:rPr>
              <w:t>171.2</w:t>
            </w:r>
          </w:p>
        </w:tc>
        <w:tc>
          <w:tcPr>
            <w:tcW w:w="1530" w:type="dxa"/>
            <w:tcBorders>
              <w:top w:val="nil"/>
              <w:left w:val="nil"/>
              <w:bottom w:val="single" w:sz="4" w:space="0" w:color="auto"/>
              <w:right w:val="single" w:sz="4" w:space="0" w:color="auto"/>
            </w:tcBorders>
            <w:shd w:val="clear" w:color="auto" w:fill="auto"/>
            <w:vAlign w:val="center"/>
            <w:hideMark/>
          </w:tcPr>
          <w:p w14:paraId="03587974" w14:textId="77777777" w:rsidR="00932658" w:rsidRPr="00932658" w:rsidRDefault="00932658" w:rsidP="00932658">
            <w:pPr>
              <w:widowControl/>
              <w:autoSpaceDE/>
              <w:autoSpaceDN/>
              <w:adjustRightInd/>
              <w:jc w:val="right"/>
              <w:rPr>
                <w:sz w:val="20"/>
                <w:szCs w:val="20"/>
              </w:rPr>
            </w:pPr>
            <w:r w:rsidRPr="00932658">
              <w:rPr>
                <w:sz w:val="20"/>
                <w:szCs w:val="20"/>
              </w:rPr>
              <w:t xml:space="preserve">$224,307.76 </w:t>
            </w:r>
          </w:p>
        </w:tc>
      </w:tr>
      <w:tr w:rsidR="00932658" w:rsidRPr="00932658" w14:paraId="76FC0AA5" w14:textId="77777777" w:rsidTr="00932658">
        <w:trPr>
          <w:trHeight w:val="615"/>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3E82D7D"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 xml:space="preserve">G. Time to adjust existing ways to comply with previously applicable requirements </w:t>
            </w:r>
            <w:r w:rsidRPr="00932658">
              <w:rPr>
                <w:color w:val="000000"/>
                <w:sz w:val="20"/>
                <w:szCs w:val="20"/>
                <w:vertAlign w:val="superscript"/>
              </w:rPr>
              <w:t>t</w:t>
            </w:r>
          </w:p>
        </w:tc>
        <w:tc>
          <w:tcPr>
            <w:tcW w:w="1160" w:type="dxa"/>
            <w:tcBorders>
              <w:top w:val="nil"/>
              <w:left w:val="nil"/>
              <w:bottom w:val="single" w:sz="4" w:space="0" w:color="auto"/>
              <w:right w:val="single" w:sz="4" w:space="0" w:color="auto"/>
            </w:tcBorders>
            <w:shd w:val="clear" w:color="auto" w:fill="auto"/>
            <w:vAlign w:val="center"/>
            <w:hideMark/>
          </w:tcPr>
          <w:p w14:paraId="1D25D394"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17.8</w:t>
            </w:r>
          </w:p>
        </w:tc>
        <w:tc>
          <w:tcPr>
            <w:tcW w:w="1270" w:type="dxa"/>
            <w:tcBorders>
              <w:top w:val="nil"/>
              <w:left w:val="nil"/>
              <w:bottom w:val="single" w:sz="4" w:space="0" w:color="auto"/>
              <w:right w:val="single" w:sz="4" w:space="0" w:color="auto"/>
            </w:tcBorders>
            <w:shd w:val="clear" w:color="auto" w:fill="auto"/>
            <w:vAlign w:val="center"/>
            <w:hideMark/>
          </w:tcPr>
          <w:p w14:paraId="4F328CF6"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61569C0C" w14:textId="77777777" w:rsidR="00932658" w:rsidRPr="00932658" w:rsidRDefault="00932658" w:rsidP="00932658">
            <w:pPr>
              <w:widowControl/>
              <w:autoSpaceDE/>
              <w:autoSpaceDN/>
              <w:adjustRightInd/>
              <w:jc w:val="center"/>
              <w:rPr>
                <w:sz w:val="20"/>
                <w:szCs w:val="20"/>
              </w:rPr>
            </w:pPr>
            <w:r w:rsidRPr="00932658">
              <w:rPr>
                <w:sz w:val="20"/>
                <w:szCs w:val="20"/>
              </w:rPr>
              <w:t>17.8</w:t>
            </w:r>
          </w:p>
        </w:tc>
        <w:tc>
          <w:tcPr>
            <w:tcW w:w="1306" w:type="dxa"/>
            <w:tcBorders>
              <w:top w:val="nil"/>
              <w:left w:val="nil"/>
              <w:bottom w:val="single" w:sz="4" w:space="0" w:color="auto"/>
              <w:right w:val="single" w:sz="4" w:space="0" w:color="auto"/>
            </w:tcBorders>
            <w:shd w:val="clear" w:color="auto" w:fill="auto"/>
            <w:vAlign w:val="center"/>
            <w:hideMark/>
          </w:tcPr>
          <w:p w14:paraId="52AD5AAA"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107</w:t>
            </w:r>
          </w:p>
        </w:tc>
        <w:tc>
          <w:tcPr>
            <w:tcW w:w="1050" w:type="dxa"/>
            <w:tcBorders>
              <w:top w:val="nil"/>
              <w:left w:val="nil"/>
              <w:bottom w:val="single" w:sz="4" w:space="0" w:color="auto"/>
              <w:right w:val="single" w:sz="4" w:space="0" w:color="auto"/>
            </w:tcBorders>
            <w:shd w:val="clear" w:color="auto" w:fill="auto"/>
            <w:vAlign w:val="center"/>
            <w:hideMark/>
          </w:tcPr>
          <w:p w14:paraId="5F7C1195" w14:textId="77777777" w:rsidR="00932658" w:rsidRPr="00932658" w:rsidRDefault="00932658" w:rsidP="00932658">
            <w:pPr>
              <w:widowControl/>
              <w:autoSpaceDE/>
              <w:autoSpaceDN/>
              <w:adjustRightInd/>
              <w:jc w:val="center"/>
              <w:rPr>
                <w:sz w:val="20"/>
                <w:szCs w:val="20"/>
              </w:rPr>
            </w:pPr>
            <w:r w:rsidRPr="00932658">
              <w:rPr>
                <w:sz w:val="20"/>
                <w:szCs w:val="20"/>
              </w:rPr>
              <w:t>1,905</w:t>
            </w:r>
          </w:p>
        </w:tc>
        <w:tc>
          <w:tcPr>
            <w:tcW w:w="1422" w:type="dxa"/>
            <w:tcBorders>
              <w:top w:val="nil"/>
              <w:left w:val="nil"/>
              <w:bottom w:val="single" w:sz="4" w:space="0" w:color="auto"/>
              <w:right w:val="single" w:sz="4" w:space="0" w:color="auto"/>
            </w:tcBorders>
            <w:shd w:val="clear" w:color="auto" w:fill="auto"/>
            <w:vAlign w:val="center"/>
            <w:hideMark/>
          </w:tcPr>
          <w:p w14:paraId="35BB7B90"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144</w:t>
            </w:r>
          </w:p>
        </w:tc>
        <w:tc>
          <w:tcPr>
            <w:tcW w:w="1080" w:type="dxa"/>
            <w:tcBorders>
              <w:top w:val="nil"/>
              <w:left w:val="nil"/>
              <w:bottom w:val="single" w:sz="4" w:space="0" w:color="auto"/>
              <w:right w:val="single" w:sz="4" w:space="0" w:color="auto"/>
            </w:tcBorders>
            <w:shd w:val="clear" w:color="auto" w:fill="auto"/>
            <w:vAlign w:val="center"/>
            <w:hideMark/>
          </w:tcPr>
          <w:p w14:paraId="74801582" w14:textId="77777777" w:rsidR="00932658" w:rsidRPr="00932658" w:rsidRDefault="00932658" w:rsidP="00932658">
            <w:pPr>
              <w:widowControl/>
              <w:autoSpaceDE/>
              <w:autoSpaceDN/>
              <w:adjustRightInd/>
              <w:jc w:val="center"/>
              <w:rPr>
                <w:sz w:val="20"/>
                <w:szCs w:val="20"/>
              </w:rPr>
            </w:pPr>
            <w:r w:rsidRPr="00932658">
              <w:rPr>
                <w:sz w:val="20"/>
                <w:szCs w:val="20"/>
              </w:rPr>
              <w:t>190.46</w:t>
            </w:r>
          </w:p>
        </w:tc>
        <w:tc>
          <w:tcPr>
            <w:tcW w:w="1530" w:type="dxa"/>
            <w:tcBorders>
              <w:top w:val="nil"/>
              <w:left w:val="nil"/>
              <w:bottom w:val="single" w:sz="4" w:space="0" w:color="auto"/>
              <w:right w:val="single" w:sz="4" w:space="0" w:color="auto"/>
            </w:tcBorders>
            <w:shd w:val="clear" w:color="auto" w:fill="auto"/>
            <w:vAlign w:val="center"/>
            <w:hideMark/>
          </w:tcPr>
          <w:p w14:paraId="70C60007" w14:textId="77777777" w:rsidR="00932658" w:rsidRPr="00932658" w:rsidRDefault="00932658" w:rsidP="00932658">
            <w:pPr>
              <w:widowControl/>
              <w:autoSpaceDE/>
              <w:autoSpaceDN/>
              <w:adjustRightInd/>
              <w:jc w:val="right"/>
              <w:rPr>
                <w:sz w:val="20"/>
                <w:szCs w:val="20"/>
              </w:rPr>
            </w:pPr>
            <w:r w:rsidRPr="00932658">
              <w:rPr>
                <w:sz w:val="20"/>
                <w:szCs w:val="20"/>
              </w:rPr>
              <w:t xml:space="preserve">$256,665.44 </w:t>
            </w:r>
          </w:p>
        </w:tc>
      </w:tr>
      <w:tr w:rsidR="00932658" w:rsidRPr="00932658" w14:paraId="7720C846"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E3150C1"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H. Time to transmit or disclose information</w:t>
            </w:r>
          </w:p>
        </w:tc>
        <w:tc>
          <w:tcPr>
            <w:tcW w:w="1160" w:type="dxa"/>
            <w:tcBorders>
              <w:top w:val="nil"/>
              <w:left w:val="nil"/>
              <w:bottom w:val="single" w:sz="4" w:space="0" w:color="auto"/>
              <w:right w:val="single" w:sz="4" w:space="0" w:color="auto"/>
            </w:tcBorders>
            <w:shd w:val="clear" w:color="auto" w:fill="auto"/>
            <w:vAlign w:val="center"/>
            <w:hideMark/>
          </w:tcPr>
          <w:p w14:paraId="04F3DCDA"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14:paraId="1A6C376B"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496BB65"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59FDC05"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40C88CD9"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422" w:type="dxa"/>
            <w:tcBorders>
              <w:top w:val="nil"/>
              <w:left w:val="nil"/>
              <w:bottom w:val="single" w:sz="4" w:space="0" w:color="auto"/>
              <w:right w:val="single" w:sz="4" w:space="0" w:color="auto"/>
            </w:tcBorders>
            <w:shd w:val="clear" w:color="auto" w:fill="auto"/>
            <w:vAlign w:val="center"/>
            <w:hideMark/>
          </w:tcPr>
          <w:p w14:paraId="68D04349"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8B23B49"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08992B5A" w14:textId="77777777" w:rsidR="00932658" w:rsidRPr="00932658" w:rsidRDefault="00932658" w:rsidP="00932658">
            <w:pPr>
              <w:widowControl/>
              <w:autoSpaceDE/>
              <w:autoSpaceDN/>
              <w:adjustRightInd/>
              <w:jc w:val="right"/>
              <w:rPr>
                <w:color w:val="000000"/>
                <w:sz w:val="20"/>
                <w:szCs w:val="20"/>
              </w:rPr>
            </w:pPr>
            <w:r w:rsidRPr="00932658">
              <w:rPr>
                <w:color w:val="000000"/>
                <w:sz w:val="20"/>
                <w:szCs w:val="20"/>
              </w:rPr>
              <w:t> </w:t>
            </w:r>
          </w:p>
        </w:tc>
      </w:tr>
      <w:tr w:rsidR="00932658" w:rsidRPr="00932658" w14:paraId="24D183B7" w14:textId="77777777" w:rsidTr="00932658">
        <w:trPr>
          <w:trHeight w:val="315"/>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3FB0288E"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 xml:space="preserve">Compile data for semiannual periods </w:t>
            </w:r>
            <w:r w:rsidRPr="00932658">
              <w:rPr>
                <w:color w:val="000000"/>
                <w:sz w:val="20"/>
                <w:szCs w:val="20"/>
                <w:vertAlign w:val="superscript"/>
              </w:rPr>
              <w:t>u</w:t>
            </w:r>
          </w:p>
        </w:tc>
        <w:tc>
          <w:tcPr>
            <w:tcW w:w="1160" w:type="dxa"/>
            <w:tcBorders>
              <w:top w:val="nil"/>
              <w:left w:val="nil"/>
              <w:bottom w:val="single" w:sz="4" w:space="0" w:color="auto"/>
              <w:right w:val="single" w:sz="4" w:space="0" w:color="auto"/>
            </w:tcBorders>
            <w:shd w:val="clear" w:color="auto" w:fill="auto"/>
            <w:vAlign w:val="center"/>
            <w:hideMark/>
          </w:tcPr>
          <w:p w14:paraId="6410A4A1"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96</w:t>
            </w:r>
          </w:p>
        </w:tc>
        <w:tc>
          <w:tcPr>
            <w:tcW w:w="1270" w:type="dxa"/>
            <w:tcBorders>
              <w:top w:val="nil"/>
              <w:left w:val="nil"/>
              <w:bottom w:val="single" w:sz="4" w:space="0" w:color="auto"/>
              <w:right w:val="single" w:sz="4" w:space="0" w:color="auto"/>
            </w:tcBorders>
            <w:shd w:val="clear" w:color="auto" w:fill="auto"/>
            <w:vAlign w:val="center"/>
            <w:hideMark/>
          </w:tcPr>
          <w:p w14:paraId="6D88948B"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14:paraId="2BB79374" w14:textId="77777777" w:rsidR="00932658" w:rsidRPr="00932658" w:rsidRDefault="00932658" w:rsidP="00932658">
            <w:pPr>
              <w:widowControl/>
              <w:autoSpaceDE/>
              <w:autoSpaceDN/>
              <w:adjustRightInd/>
              <w:jc w:val="center"/>
              <w:rPr>
                <w:sz w:val="20"/>
                <w:szCs w:val="20"/>
              </w:rPr>
            </w:pPr>
            <w:r w:rsidRPr="00932658">
              <w:rPr>
                <w:sz w:val="20"/>
                <w:szCs w:val="20"/>
              </w:rPr>
              <w:t>192</w:t>
            </w:r>
          </w:p>
        </w:tc>
        <w:tc>
          <w:tcPr>
            <w:tcW w:w="1306" w:type="dxa"/>
            <w:tcBorders>
              <w:top w:val="nil"/>
              <w:left w:val="nil"/>
              <w:bottom w:val="single" w:sz="4" w:space="0" w:color="auto"/>
              <w:right w:val="single" w:sz="4" w:space="0" w:color="auto"/>
            </w:tcBorders>
            <w:shd w:val="clear" w:color="auto" w:fill="auto"/>
            <w:vAlign w:val="center"/>
            <w:hideMark/>
          </w:tcPr>
          <w:p w14:paraId="3CA0A5D4"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107.33</w:t>
            </w:r>
          </w:p>
        </w:tc>
        <w:tc>
          <w:tcPr>
            <w:tcW w:w="1050" w:type="dxa"/>
            <w:tcBorders>
              <w:top w:val="nil"/>
              <w:left w:val="nil"/>
              <w:bottom w:val="single" w:sz="4" w:space="0" w:color="auto"/>
              <w:right w:val="single" w:sz="4" w:space="0" w:color="auto"/>
            </w:tcBorders>
            <w:shd w:val="clear" w:color="auto" w:fill="auto"/>
            <w:vAlign w:val="center"/>
            <w:hideMark/>
          </w:tcPr>
          <w:p w14:paraId="7A0683F0" w14:textId="77777777" w:rsidR="00932658" w:rsidRPr="00932658" w:rsidRDefault="00932658" w:rsidP="00932658">
            <w:pPr>
              <w:widowControl/>
              <w:autoSpaceDE/>
              <w:autoSpaceDN/>
              <w:adjustRightInd/>
              <w:jc w:val="center"/>
              <w:rPr>
                <w:sz w:val="20"/>
                <w:szCs w:val="20"/>
              </w:rPr>
            </w:pPr>
            <w:r w:rsidRPr="00932658">
              <w:rPr>
                <w:sz w:val="20"/>
                <w:szCs w:val="20"/>
              </w:rPr>
              <w:t>20,608</w:t>
            </w:r>
          </w:p>
        </w:tc>
        <w:tc>
          <w:tcPr>
            <w:tcW w:w="1422" w:type="dxa"/>
            <w:tcBorders>
              <w:top w:val="nil"/>
              <w:left w:val="nil"/>
              <w:bottom w:val="single" w:sz="4" w:space="0" w:color="auto"/>
              <w:right w:val="single" w:sz="4" w:space="0" w:color="auto"/>
            </w:tcBorders>
            <w:shd w:val="clear" w:color="auto" w:fill="auto"/>
            <w:vAlign w:val="center"/>
            <w:hideMark/>
          </w:tcPr>
          <w:p w14:paraId="67008ACB"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1,027</w:t>
            </w:r>
          </w:p>
        </w:tc>
        <w:tc>
          <w:tcPr>
            <w:tcW w:w="1080" w:type="dxa"/>
            <w:tcBorders>
              <w:top w:val="nil"/>
              <w:left w:val="nil"/>
              <w:bottom w:val="single" w:sz="4" w:space="0" w:color="auto"/>
              <w:right w:val="single" w:sz="4" w:space="0" w:color="auto"/>
            </w:tcBorders>
            <w:shd w:val="clear" w:color="auto" w:fill="auto"/>
            <w:vAlign w:val="center"/>
            <w:hideMark/>
          </w:tcPr>
          <w:p w14:paraId="1AD96A49" w14:textId="77777777" w:rsidR="00932658" w:rsidRPr="00932658" w:rsidRDefault="00932658" w:rsidP="00932658">
            <w:pPr>
              <w:widowControl/>
              <w:autoSpaceDE/>
              <w:autoSpaceDN/>
              <w:adjustRightInd/>
              <w:jc w:val="center"/>
              <w:rPr>
                <w:sz w:val="20"/>
                <w:szCs w:val="20"/>
              </w:rPr>
            </w:pPr>
            <w:r w:rsidRPr="00932658">
              <w:rPr>
                <w:sz w:val="20"/>
                <w:szCs w:val="20"/>
              </w:rPr>
              <w:t>2060.8</w:t>
            </w:r>
          </w:p>
        </w:tc>
        <w:tc>
          <w:tcPr>
            <w:tcW w:w="1530" w:type="dxa"/>
            <w:tcBorders>
              <w:top w:val="nil"/>
              <w:left w:val="nil"/>
              <w:bottom w:val="single" w:sz="4" w:space="0" w:color="auto"/>
              <w:right w:val="single" w:sz="4" w:space="0" w:color="auto"/>
            </w:tcBorders>
            <w:shd w:val="clear" w:color="auto" w:fill="auto"/>
            <w:vAlign w:val="center"/>
            <w:hideMark/>
          </w:tcPr>
          <w:p w14:paraId="21CF3283" w14:textId="77777777" w:rsidR="00932658" w:rsidRPr="00932658" w:rsidRDefault="00932658" w:rsidP="00932658">
            <w:pPr>
              <w:widowControl/>
              <w:autoSpaceDE/>
              <w:autoSpaceDN/>
              <w:adjustRightInd/>
              <w:jc w:val="right"/>
              <w:rPr>
                <w:sz w:val="20"/>
                <w:szCs w:val="20"/>
              </w:rPr>
            </w:pPr>
            <w:r w:rsidRPr="00932658">
              <w:rPr>
                <w:sz w:val="20"/>
                <w:szCs w:val="20"/>
              </w:rPr>
              <w:t xml:space="preserve">$2,698,867.61 </w:t>
            </w:r>
          </w:p>
        </w:tc>
      </w:tr>
      <w:tr w:rsidR="00932658" w:rsidRPr="00932658" w14:paraId="69B7FA22" w14:textId="77777777" w:rsidTr="00932658">
        <w:trPr>
          <w:trHeight w:val="42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4B6B8D5"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 xml:space="preserve">Enter/verify information for semiannual reports </w:t>
            </w:r>
            <w:r w:rsidRPr="00932658">
              <w:rPr>
                <w:color w:val="000000"/>
                <w:sz w:val="20"/>
                <w:szCs w:val="20"/>
                <w:vertAlign w:val="superscript"/>
              </w:rPr>
              <w:t>v</w:t>
            </w:r>
          </w:p>
        </w:tc>
        <w:tc>
          <w:tcPr>
            <w:tcW w:w="1160" w:type="dxa"/>
            <w:tcBorders>
              <w:top w:val="nil"/>
              <w:left w:val="nil"/>
              <w:bottom w:val="single" w:sz="4" w:space="0" w:color="auto"/>
              <w:right w:val="single" w:sz="4" w:space="0" w:color="auto"/>
            </w:tcBorders>
            <w:shd w:val="clear" w:color="auto" w:fill="auto"/>
            <w:vAlign w:val="center"/>
            <w:hideMark/>
          </w:tcPr>
          <w:p w14:paraId="40DD8371"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8</w:t>
            </w:r>
          </w:p>
        </w:tc>
        <w:tc>
          <w:tcPr>
            <w:tcW w:w="1270" w:type="dxa"/>
            <w:tcBorders>
              <w:top w:val="nil"/>
              <w:left w:val="nil"/>
              <w:bottom w:val="single" w:sz="4" w:space="0" w:color="auto"/>
              <w:right w:val="single" w:sz="4" w:space="0" w:color="auto"/>
            </w:tcBorders>
            <w:shd w:val="clear" w:color="auto" w:fill="auto"/>
            <w:vAlign w:val="center"/>
            <w:hideMark/>
          </w:tcPr>
          <w:p w14:paraId="0D086B82"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14:paraId="17110B75" w14:textId="77777777" w:rsidR="00932658" w:rsidRPr="00932658" w:rsidRDefault="00932658" w:rsidP="00932658">
            <w:pPr>
              <w:widowControl/>
              <w:autoSpaceDE/>
              <w:autoSpaceDN/>
              <w:adjustRightInd/>
              <w:jc w:val="center"/>
              <w:rPr>
                <w:sz w:val="20"/>
                <w:szCs w:val="20"/>
              </w:rPr>
            </w:pPr>
            <w:r w:rsidRPr="00932658">
              <w:rPr>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14:paraId="03F147F2"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107.33</w:t>
            </w:r>
          </w:p>
        </w:tc>
        <w:tc>
          <w:tcPr>
            <w:tcW w:w="1050" w:type="dxa"/>
            <w:tcBorders>
              <w:top w:val="nil"/>
              <w:left w:val="nil"/>
              <w:bottom w:val="single" w:sz="4" w:space="0" w:color="auto"/>
              <w:right w:val="single" w:sz="4" w:space="0" w:color="auto"/>
            </w:tcBorders>
            <w:shd w:val="clear" w:color="auto" w:fill="auto"/>
            <w:vAlign w:val="center"/>
            <w:hideMark/>
          </w:tcPr>
          <w:p w14:paraId="5A61CA7B" w14:textId="77777777" w:rsidR="00932658" w:rsidRPr="00932658" w:rsidRDefault="00932658" w:rsidP="00932658">
            <w:pPr>
              <w:widowControl/>
              <w:autoSpaceDE/>
              <w:autoSpaceDN/>
              <w:adjustRightInd/>
              <w:jc w:val="center"/>
              <w:rPr>
                <w:sz w:val="20"/>
                <w:szCs w:val="20"/>
              </w:rPr>
            </w:pPr>
            <w:r w:rsidRPr="00932658">
              <w:rPr>
                <w:sz w:val="20"/>
                <w:szCs w:val="20"/>
              </w:rPr>
              <w:t>1,717</w:t>
            </w:r>
          </w:p>
        </w:tc>
        <w:tc>
          <w:tcPr>
            <w:tcW w:w="1422" w:type="dxa"/>
            <w:tcBorders>
              <w:top w:val="nil"/>
              <w:left w:val="nil"/>
              <w:bottom w:val="single" w:sz="4" w:space="0" w:color="auto"/>
              <w:right w:val="single" w:sz="4" w:space="0" w:color="auto"/>
            </w:tcBorders>
            <w:shd w:val="clear" w:color="auto" w:fill="auto"/>
            <w:vAlign w:val="center"/>
            <w:hideMark/>
          </w:tcPr>
          <w:p w14:paraId="74A1BA08"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86</w:t>
            </w:r>
          </w:p>
        </w:tc>
        <w:tc>
          <w:tcPr>
            <w:tcW w:w="1080" w:type="dxa"/>
            <w:tcBorders>
              <w:top w:val="nil"/>
              <w:left w:val="nil"/>
              <w:bottom w:val="single" w:sz="4" w:space="0" w:color="auto"/>
              <w:right w:val="single" w:sz="4" w:space="0" w:color="auto"/>
            </w:tcBorders>
            <w:shd w:val="clear" w:color="auto" w:fill="auto"/>
            <w:vAlign w:val="center"/>
            <w:hideMark/>
          </w:tcPr>
          <w:p w14:paraId="7B6AAD94" w14:textId="77777777" w:rsidR="00932658" w:rsidRPr="00932658" w:rsidRDefault="00932658" w:rsidP="00932658">
            <w:pPr>
              <w:widowControl/>
              <w:autoSpaceDE/>
              <w:autoSpaceDN/>
              <w:adjustRightInd/>
              <w:jc w:val="center"/>
              <w:rPr>
                <w:sz w:val="20"/>
                <w:szCs w:val="20"/>
              </w:rPr>
            </w:pPr>
            <w:r w:rsidRPr="00932658">
              <w:rPr>
                <w:sz w:val="20"/>
                <w:szCs w:val="20"/>
              </w:rPr>
              <w:t>171.73</w:t>
            </w:r>
          </w:p>
        </w:tc>
        <w:tc>
          <w:tcPr>
            <w:tcW w:w="1530" w:type="dxa"/>
            <w:tcBorders>
              <w:top w:val="nil"/>
              <w:left w:val="nil"/>
              <w:bottom w:val="single" w:sz="4" w:space="0" w:color="auto"/>
              <w:right w:val="single" w:sz="4" w:space="0" w:color="auto"/>
            </w:tcBorders>
            <w:shd w:val="clear" w:color="auto" w:fill="auto"/>
            <w:vAlign w:val="center"/>
            <w:hideMark/>
          </w:tcPr>
          <w:p w14:paraId="4691FD87" w14:textId="77777777" w:rsidR="00932658" w:rsidRPr="00932658" w:rsidRDefault="00932658" w:rsidP="00932658">
            <w:pPr>
              <w:widowControl/>
              <w:autoSpaceDE/>
              <w:autoSpaceDN/>
              <w:adjustRightInd/>
              <w:jc w:val="right"/>
              <w:rPr>
                <w:sz w:val="20"/>
                <w:szCs w:val="20"/>
              </w:rPr>
            </w:pPr>
            <w:r w:rsidRPr="00932658">
              <w:rPr>
                <w:sz w:val="20"/>
                <w:szCs w:val="20"/>
              </w:rPr>
              <w:t xml:space="preserve">$224,967.05 </w:t>
            </w:r>
          </w:p>
        </w:tc>
      </w:tr>
      <w:tr w:rsidR="00932658" w:rsidRPr="00932658" w14:paraId="796A1088"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5203DF3D" w14:textId="77777777" w:rsidR="00932658" w:rsidRPr="00932658" w:rsidRDefault="00932658" w:rsidP="00932658">
            <w:pPr>
              <w:widowControl/>
              <w:autoSpaceDE/>
              <w:autoSpaceDN/>
              <w:adjustRightInd/>
              <w:rPr>
                <w:color w:val="000000"/>
                <w:sz w:val="20"/>
                <w:szCs w:val="20"/>
              </w:rPr>
            </w:pPr>
            <w:r w:rsidRPr="00932658">
              <w:rPr>
                <w:color w:val="000000"/>
                <w:sz w:val="20"/>
                <w:szCs w:val="20"/>
              </w:rPr>
              <w:t>I. Time for audits</w:t>
            </w:r>
          </w:p>
        </w:tc>
        <w:tc>
          <w:tcPr>
            <w:tcW w:w="1160" w:type="dxa"/>
            <w:tcBorders>
              <w:top w:val="nil"/>
              <w:left w:val="nil"/>
              <w:bottom w:val="single" w:sz="4" w:space="0" w:color="auto"/>
              <w:right w:val="single" w:sz="4" w:space="0" w:color="auto"/>
            </w:tcBorders>
            <w:shd w:val="clear" w:color="auto" w:fill="auto"/>
            <w:vAlign w:val="center"/>
            <w:hideMark/>
          </w:tcPr>
          <w:p w14:paraId="79980EC8"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N/A</w:t>
            </w:r>
          </w:p>
        </w:tc>
        <w:tc>
          <w:tcPr>
            <w:tcW w:w="1270" w:type="dxa"/>
            <w:tcBorders>
              <w:top w:val="nil"/>
              <w:left w:val="nil"/>
              <w:bottom w:val="single" w:sz="4" w:space="0" w:color="auto"/>
              <w:right w:val="single" w:sz="4" w:space="0" w:color="auto"/>
            </w:tcBorders>
            <w:shd w:val="clear" w:color="auto" w:fill="auto"/>
            <w:vAlign w:val="center"/>
            <w:hideMark/>
          </w:tcPr>
          <w:p w14:paraId="597C16E0"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88671E9"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8CCA5A7"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4DFBBF60"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422" w:type="dxa"/>
            <w:tcBorders>
              <w:top w:val="nil"/>
              <w:left w:val="nil"/>
              <w:bottom w:val="single" w:sz="4" w:space="0" w:color="auto"/>
              <w:right w:val="single" w:sz="4" w:space="0" w:color="auto"/>
            </w:tcBorders>
            <w:shd w:val="clear" w:color="auto" w:fill="auto"/>
            <w:vAlign w:val="center"/>
            <w:hideMark/>
          </w:tcPr>
          <w:p w14:paraId="4DE99932"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5A6EC68"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3FC81212" w14:textId="77777777" w:rsidR="00932658" w:rsidRPr="00932658" w:rsidRDefault="00932658" w:rsidP="00932658">
            <w:pPr>
              <w:widowControl/>
              <w:autoSpaceDE/>
              <w:autoSpaceDN/>
              <w:adjustRightInd/>
              <w:jc w:val="right"/>
              <w:rPr>
                <w:color w:val="000000"/>
                <w:sz w:val="20"/>
                <w:szCs w:val="20"/>
              </w:rPr>
            </w:pPr>
            <w:r w:rsidRPr="00932658">
              <w:rPr>
                <w:color w:val="000000"/>
                <w:sz w:val="20"/>
                <w:szCs w:val="20"/>
              </w:rPr>
              <w:t> </w:t>
            </w:r>
          </w:p>
        </w:tc>
      </w:tr>
      <w:tr w:rsidR="00932658" w:rsidRPr="00932658" w14:paraId="12A39942" w14:textId="77777777" w:rsidTr="00932658">
        <w:trPr>
          <w:trHeight w:val="30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750922FF" w14:textId="77777777" w:rsidR="00932658" w:rsidRPr="001A4B1C" w:rsidRDefault="00932658" w:rsidP="00932658">
            <w:pPr>
              <w:widowControl/>
              <w:autoSpaceDE/>
              <w:autoSpaceDN/>
              <w:adjustRightInd/>
              <w:rPr>
                <w:b/>
                <w:i/>
                <w:iCs/>
                <w:color w:val="000000"/>
                <w:sz w:val="20"/>
                <w:szCs w:val="20"/>
              </w:rPr>
            </w:pPr>
            <w:r w:rsidRPr="001A4B1C">
              <w:rPr>
                <w:b/>
                <w:i/>
                <w:iCs/>
                <w:color w:val="000000"/>
                <w:sz w:val="20"/>
                <w:szCs w:val="20"/>
              </w:rPr>
              <w:t>Subtotal for Recordkeeping Requirements</w:t>
            </w:r>
          </w:p>
        </w:tc>
        <w:tc>
          <w:tcPr>
            <w:tcW w:w="1160" w:type="dxa"/>
            <w:tcBorders>
              <w:top w:val="nil"/>
              <w:left w:val="nil"/>
              <w:bottom w:val="single" w:sz="4" w:space="0" w:color="auto"/>
              <w:right w:val="single" w:sz="4" w:space="0" w:color="auto"/>
            </w:tcBorders>
            <w:shd w:val="clear" w:color="auto" w:fill="auto"/>
            <w:vAlign w:val="center"/>
            <w:hideMark/>
          </w:tcPr>
          <w:p w14:paraId="7A90788F"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14:paraId="136E03C2"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E92DC0D"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310CFDD"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3552" w:type="dxa"/>
            <w:gridSpan w:val="3"/>
            <w:tcBorders>
              <w:top w:val="single" w:sz="4" w:space="0" w:color="auto"/>
              <w:left w:val="nil"/>
              <w:bottom w:val="single" w:sz="4" w:space="0" w:color="auto"/>
              <w:right w:val="single" w:sz="4" w:space="0" w:color="auto"/>
            </w:tcBorders>
            <w:shd w:val="clear" w:color="auto" w:fill="auto"/>
            <w:vAlign w:val="center"/>
            <w:hideMark/>
          </w:tcPr>
          <w:p w14:paraId="170335EB" w14:textId="77777777" w:rsidR="00932658" w:rsidRPr="00932658" w:rsidRDefault="00932658" w:rsidP="00932658">
            <w:pPr>
              <w:widowControl/>
              <w:autoSpaceDE/>
              <w:autoSpaceDN/>
              <w:adjustRightInd/>
              <w:jc w:val="center"/>
              <w:rPr>
                <w:b/>
                <w:bCs/>
                <w:color w:val="000000"/>
                <w:sz w:val="20"/>
                <w:szCs w:val="20"/>
              </w:rPr>
            </w:pPr>
            <w:r w:rsidRPr="00932658">
              <w:rPr>
                <w:b/>
                <w:bCs/>
                <w:color w:val="000000"/>
                <w:sz w:val="20"/>
                <w:szCs w:val="20"/>
              </w:rPr>
              <w:t>116,927</w:t>
            </w:r>
          </w:p>
        </w:tc>
        <w:tc>
          <w:tcPr>
            <w:tcW w:w="1530" w:type="dxa"/>
            <w:tcBorders>
              <w:top w:val="nil"/>
              <w:left w:val="nil"/>
              <w:bottom w:val="single" w:sz="4" w:space="0" w:color="auto"/>
              <w:right w:val="single" w:sz="4" w:space="0" w:color="auto"/>
            </w:tcBorders>
            <w:shd w:val="clear" w:color="auto" w:fill="auto"/>
            <w:vAlign w:val="center"/>
            <w:hideMark/>
          </w:tcPr>
          <w:p w14:paraId="713829AC" w14:textId="77777777" w:rsidR="00932658" w:rsidRPr="00932658" w:rsidRDefault="00932658" w:rsidP="00932658">
            <w:pPr>
              <w:widowControl/>
              <w:autoSpaceDE/>
              <w:autoSpaceDN/>
              <w:adjustRightInd/>
              <w:jc w:val="right"/>
              <w:rPr>
                <w:b/>
                <w:bCs/>
                <w:color w:val="000000"/>
                <w:sz w:val="20"/>
                <w:szCs w:val="20"/>
              </w:rPr>
            </w:pPr>
            <w:r w:rsidRPr="00932658">
              <w:rPr>
                <w:b/>
                <w:bCs/>
                <w:color w:val="000000"/>
                <w:sz w:val="20"/>
                <w:szCs w:val="20"/>
              </w:rPr>
              <w:t xml:space="preserve">$13,319,334 </w:t>
            </w:r>
          </w:p>
        </w:tc>
      </w:tr>
      <w:tr w:rsidR="00932658" w:rsidRPr="00932658" w14:paraId="21D118D9" w14:textId="77777777" w:rsidTr="00932658">
        <w:trPr>
          <w:trHeight w:val="54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293B3080" w14:textId="77777777" w:rsidR="00932658" w:rsidRPr="00932658" w:rsidRDefault="00932658" w:rsidP="00932658">
            <w:pPr>
              <w:widowControl/>
              <w:autoSpaceDE/>
              <w:autoSpaceDN/>
              <w:adjustRightInd/>
              <w:rPr>
                <w:b/>
                <w:bCs/>
                <w:sz w:val="20"/>
                <w:szCs w:val="20"/>
              </w:rPr>
            </w:pPr>
            <w:r w:rsidRPr="00932658">
              <w:rPr>
                <w:b/>
                <w:bCs/>
                <w:sz w:val="20"/>
                <w:szCs w:val="20"/>
              </w:rPr>
              <w:t xml:space="preserve">TOTAL LABOR BURDEN AND COSTS (rounded) </w:t>
            </w:r>
            <w:r w:rsidRPr="00932658">
              <w:rPr>
                <w:b/>
                <w:bCs/>
                <w:sz w:val="20"/>
                <w:szCs w:val="20"/>
                <w:vertAlign w:val="superscript"/>
              </w:rPr>
              <w:t>w</w:t>
            </w:r>
          </w:p>
        </w:tc>
        <w:tc>
          <w:tcPr>
            <w:tcW w:w="1160" w:type="dxa"/>
            <w:tcBorders>
              <w:top w:val="nil"/>
              <w:left w:val="nil"/>
              <w:bottom w:val="single" w:sz="4" w:space="0" w:color="auto"/>
              <w:right w:val="single" w:sz="4" w:space="0" w:color="auto"/>
            </w:tcBorders>
            <w:shd w:val="clear" w:color="auto" w:fill="auto"/>
            <w:vAlign w:val="center"/>
            <w:hideMark/>
          </w:tcPr>
          <w:p w14:paraId="5EC068D4"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14:paraId="16826E0D"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4C4A4D1"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6F3B354" w14:textId="77777777" w:rsidR="00932658" w:rsidRPr="00932658" w:rsidRDefault="00932658" w:rsidP="00932658">
            <w:pPr>
              <w:widowControl/>
              <w:autoSpaceDE/>
              <w:autoSpaceDN/>
              <w:adjustRightInd/>
              <w:jc w:val="center"/>
              <w:rPr>
                <w:color w:val="000000"/>
                <w:sz w:val="20"/>
                <w:szCs w:val="20"/>
              </w:rPr>
            </w:pPr>
            <w:r w:rsidRPr="00932658">
              <w:rPr>
                <w:color w:val="000000"/>
                <w:sz w:val="20"/>
                <w:szCs w:val="20"/>
              </w:rPr>
              <w:t> </w:t>
            </w:r>
          </w:p>
        </w:tc>
        <w:tc>
          <w:tcPr>
            <w:tcW w:w="3552" w:type="dxa"/>
            <w:gridSpan w:val="3"/>
            <w:tcBorders>
              <w:top w:val="single" w:sz="4" w:space="0" w:color="auto"/>
              <w:left w:val="nil"/>
              <w:bottom w:val="single" w:sz="4" w:space="0" w:color="auto"/>
              <w:right w:val="single" w:sz="4" w:space="0" w:color="auto"/>
            </w:tcBorders>
            <w:shd w:val="clear" w:color="auto" w:fill="auto"/>
            <w:vAlign w:val="center"/>
            <w:hideMark/>
          </w:tcPr>
          <w:p w14:paraId="6E336957" w14:textId="77777777" w:rsidR="00932658" w:rsidRPr="00932658" w:rsidRDefault="00932658" w:rsidP="00932658">
            <w:pPr>
              <w:widowControl/>
              <w:autoSpaceDE/>
              <w:autoSpaceDN/>
              <w:adjustRightInd/>
              <w:jc w:val="center"/>
              <w:rPr>
                <w:b/>
                <w:bCs/>
                <w:color w:val="000000"/>
                <w:sz w:val="20"/>
                <w:szCs w:val="20"/>
              </w:rPr>
            </w:pPr>
            <w:r w:rsidRPr="00932658">
              <w:rPr>
                <w:b/>
                <w:bCs/>
                <w:color w:val="000000"/>
                <w:sz w:val="20"/>
                <w:szCs w:val="20"/>
              </w:rPr>
              <w:t>122,000</w:t>
            </w:r>
          </w:p>
        </w:tc>
        <w:tc>
          <w:tcPr>
            <w:tcW w:w="1530" w:type="dxa"/>
            <w:tcBorders>
              <w:top w:val="nil"/>
              <w:left w:val="nil"/>
              <w:bottom w:val="single" w:sz="4" w:space="0" w:color="auto"/>
              <w:right w:val="single" w:sz="4" w:space="0" w:color="auto"/>
            </w:tcBorders>
            <w:shd w:val="clear" w:color="auto" w:fill="auto"/>
            <w:vAlign w:val="center"/>
            <w:hideMark/>
          </w:tcPr>
          <w:p w14:paraId="455D27EA" w14:textId="77777777" w:rsidR="00932658" w:rsidRPr="00932658" w:rsidRDefault="00932658" w:rsidP="00932658">
            <w:pPr>
              <w:widowControl/>
              <w:autoSpaceDE/>
              <w:autoSpaceDN/>
              <w:adjustRightInd/>
              <w:jc w:val="right"/>
              <w:rPr>
                <w:b/>
                <w:bCs/>
                <w:color w:val="000000"/>
                <w:sz w:val="20"/>
                <w:szCs w:val="20"/>
              </w:rPr>
            </w:pPr>
            <w:r w:rsidRPr="00932658">
              <w:rPr>
                <w:b/>
                <w:bCs/>
                <w:color w:val="000000"/>
                <w:sz w:val="20"/>
                <w:szCs w:val="20"/>
              </w:rPr>
              <w:t xml:space="preserve">$13,900,000 </w:t>
            </w:r>
          </w:p>
        </w:tc>
      </w:tr>
      <w:tr w:rsidR="00932658" w:rsidRPr="00932658" w14:paraId="360FD103" w14:textId="77777777" w:rsidTr="00932658">
        <w:trPr>
          <w:trHeight w:val="54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DB2F254" w14:textId="77777777" w:rsidR="00932658" w:rsidRPr="00932658" w:rsidRDefault="00932658" w:rsidP="00932658">
            <w:pPr>
              <w:widowControl/>
              <w:autoSpaceDE/>
              <w:autoSpaceDN/>
              <w:adjustRightInd/>
              <w:rPr>
                <w:b/>
                <w:bCs/>
                <w:sz w:val="20"/>
                <w:szCs w:val="20"/>
              </w:rPr>
            </w:pPr>
            <w:r w:rsidRPr="00932658">
              <w:rPr>
                <w:b/>
                <w:bCs/>
                <w:sz w:val="20"/>
                <w:szCs w:val="20"/>
              </w:rPr>
              <w:t xml:space="preserve">TOTAL CAPITAL AND O&amp;M COST (rounded) </w:t>
            </w:r>
            <w:r w:rsidRPr="00932658">
              <w:rPr>
                <w:b/>
                <w:bCs/>
                <w:sz w:val="20"/>
                <w:szCs w:val="20"/>
                <w:vertAlign w:val="superscript"/>
              </w:rPr>
              <w:t>w</w:t>
            </w:r>
          </w:p>
        </w:tc>
        <w:tc>
          <w:tcPr>
            <w:tcW w:w="1160" w:type="dxa"/>
            <w:tcBorders>
              <w:top w:val="nil"/>
              <w:left w:val="nil"/>
              <w:bottom w:val="single" w:sz="4" w:space="0" w:color="auto"/>
              <w:right w:val="single" w:sz="4" w:space="0" w:color="auto"/>
            </w:tcBorders>
            <w:shd w:val="clear" w:color="auto" w:fill="auto"/>
            <w:noWrap/>
            <w:vAlign w:val="bottom"/>
            <w:hideMark/>
          </w:tcPr>
          <w:p w14:paraId="050774E2" w14:textId="77777777" w:rsidR="00932658" w:rsidRPr="00932658" w:rsidRDefault="00932658" w:rsidP="00932658">
            <w:pPr>
              <w:widowControl/>
              <w:autoSpaceDE/>
              <w:autoSpaceDN/>
              <w:adjustRightInd/>
              <w:rPr>
                <w:sz w:val="20"/>
                <w:szCs w:val="20"/>
              </w:rPr>
            </w:pPr>
            <w:r w:rsidRPr="00932658">
              <w:rPr>
                <w:sz w:val="20"/>
                <w:szCs w:val="20"/>
              </w:rPr>
              <w:t> </w:t>
            </w:r>
          </w:p>
        </w:tc>
        <w:tc>
          <w:tcPr>
            <w:tcW w:w="1270" w:type="dxa"/>
            <w:tcBorders>
              <w:top w:val="nil"/>
              <w:left w:val="nil"/>
              <w:bottom w:val="single" w:sz="4" w:space="0" w:color="auto"/>
              <w:right w:val="single" w:sz="4" w:space="0" w:color="auto"/>
            </w:tcBorders>
            <w:shd w:val="clear" w:color="auto" w:fill="auto"/>
            <w:noWrap/>
            <w:vAlign w:val="bottom"/>
            <w:hideMark/>
          </w:tcPr>
          <w:p w14:paraId="0A1BB907" w14:textId="77777777" w:rsidR="00932658" w:rsidRPr="00932658" w:rsidRDefault="00932658" w:rsidP="00932658">
            <w:pPr>
              <w:widowControl/>
              <w:autoSpaceDE/>
              <w:autoSpaceDN/>
              <w:adjustRightInd/>
              <w:rPr>
                <w:sz w:val="20"/>
                <w:szCs w:val="20"/>
              </w:rPr>
            </w:pPr>
            <w:r w:rsidRPr="00932658">
              <w:rPr>
                <w:sz w:val="20"/>
                <w:szCs w:val="20"/>
              </w:rPr>
              <w:t> </w:t>
            </w:r>
          </w:p>
        </w:tc>
        <w:tc>
          <w:tcPr>
            <w:tcW w:w="1172" w:type="dxa"/>
            <w:tcBorders>
              <w:top w:val="nil"/>
              <w:left w:val="nil"/>
              <w:bottom w:val="single" w:sz="4" w:space="0" w:color="auto"/>
              <w:right w:val="single" w:sz="4" w:space="0" w:color="auto"/>
            </w:tcBorders>
            <w:shd w:val="clear" w:color="auto" w:fill="auto"/>
            <w:noWrap/>
            <w:vAlign w:val="bottom"/>
            <w:hideMark/>
          </w:tcPr>
          <w:p w14:paraId="6495FA7D" w14:textId="77777777" w:rsidR="00932658" w:rsidRPr="00932658" w:rsidRDefault="00932658" w:rsidP="00932658">
            <w:pPr>
              <w:widowControl/>
              <w:autoSpaceDE/>
              <w:autoSpaceDN/>
              <w:adjustRightInd/>
              <w:rPr>
                <w:sz w:val="20"/>
                <w:szCs w:val="20"/>
              </w:rPr>
            </w:pPr>
            <w:r w:rsidRPr="00932658">
              <w:rPr>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14:paraId="68B7690C" w14:textId="77777777" w:rsidR="00932658" w:rsidRPr="00932658" w:rsidRDefault="00932658" w:rsidP="00932658">
            <w:pPr>
              <w:widowControl/>
              <w:autoSpaceDE/>
              <w:autoSpaceDN/>
              <w:adjustRightInd/>
              <w:rPr>
                <w:sz w:val="20"/>
                <w:szCs w:val="20"/>
              </w:rPr>
            </w:pPr>
            <w:r w:rsidRPr="00932658">
              <w:rPr>
                <w:sz w:val="20"/>
                <w:szCs w:val="20"/>
              </w:rPr>
              <w:t> </w:t>
            </w:r>
          </w:p>
        </w:tc>
        <w:tc>
          <w:tcPr>
            <w:tcW w:w="1050" w:type="dxa"/>
            <w:tcBorders>
              <w:top w:val="nil"/>
              <w:left w:val="nil"/>
              <w:bottom w:val="single" w:sz="4" w:space="0" w:color="auto"/>
              <w:right w:val="single" w:sz="4" w:space="0" w:color="auto"/>
            </w:tcBorders>
            <w:shd w:val="clear" w:color="auto" w:fill="auto"/>
            <w:noWrap/>
            <w:vAlign w:val="bottom"/>
            <w:hideMark/>
          </w:tcPr>
          <w:p w14:paraId="5F45D0D1" w14:textId="77777777" w:rsidR="00932658" w:rsidRPr="00932658" w:rsidRDefault="00932658" w:rsidP="00932658">
            <w:pPr>
              <w:widowControl/>
              <w:autoSpaceDE/>
              <w:autoSpaceDN/>
              <w:adjustRightInd/>
              <w:rPr>
                <w:sz w:val="20"/>
                <w:szCs w:val="20"/>
              </w:rPr>
            </w:pPr>
            <w:r w:rsidRPr="00932658">
              <w:rPr>
                <w:sz w:val="20"/>
                <w:szCs w:val="20"/>
              </w:rPr>
              <w:t> </w:t>
            </w:r>
          </w:p>
        </w:tc>
        <w:tc>
          <w:tcPr>
            <w:tcW w:w="1422" w:type="dxa"/>
            <w:tcBorders>
              <w:top w:val="nil"/>
              <w:left w:val="nil"/>
              <w:bottom w:val="single" w:sz="4" w:space="0" w:color="auto"/>
              <w:right w:val="single" w:sz="4" w:space="0" w:color="auto"/>
            </w:tcBorders>
            <w:shd w:val="clear" w:color="auto" w:fill="auto"/>
            <w:noWrap/>
            <w:vAlign w:val="bottom"/>
            <w:hideMark/>
          </w:tcPr>
          <w:p w14:paraId="1468CB81" w14:textId="77777777" w:rsidR="00932658" w:rsidRPr="00932658" w:rsidRDefault="00932658" w:rsidP="00932658">
            <w:pPr>
              <w:widowControl/>
              <w:autoSpaceDE/>
              <w:autoSpaceDN/>
              <w:adjustRightInd/>
              <w:rPr>
                <w:sz w:val="20"/>
                <w:szCs w:val="20"/>
              </w:rPr>
            </w:pPr>
            <w:r w:rsidRPr="00932658">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353C4B8" w14:textId="77777777" w:rsidR="00932658" w:rsidRPr="00932658" w:rsidRDefault="00932658" w:rsidP="00932658">
            <w:pPr>
              <w:widowControl/>
              <w:autoSpaceDE/>
              <w:autoSpaceDN/>
              <w:adjustRightInd/>
              <w:rPr>
                <w:sz w:val="20"/>
                <w:szCs w:val="20"/>
              </w:rPr>
            </w:pPr>
            <w:r w:rsidRPr="00932658">
              <w:rPr>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14:paraId="0FAE8ACF" w14:textId="77777777" w:rsidR="00932658" w:rsidRPr="00932658" w:rsidRDefault="00932658" w:rsidP="00932658">
            <w:pPr>
              <w:widowControl/>
              <w:autoSpaceDE/>
              <w:autoSpaceDN/>
              <w:adjustRightInd/>
              <w:jc w:val="right"/>
              <w:rPr>
                <w:b/>
                <w:bCs/>
                <w:sz w:val="20"/>
                <w:szCs w:val="20"/>
              </w:rPr>
            </w:pPr>
            <w:r w:rsidRPr="00932658">
              <w:rPr>
                <w:b/>
                <w:bCs/>
                <w:sz w:val="20"/>
                <w:szCs w:val="20"/>
              </w:rPr>
              <w:t xml:space="preserve">$831,000 </w:t>
            </w:r>
          </w:p>
        </w:tc>
      </w:tr>
      <w:tr w:rsidR="00932658" w:rsidRPr="00932658" w14:paraId="1A095C11" w14:textId="77777777" w:rsidTr="00932658">
        <w:trPr>
          <w:trHeight w:val="315"/>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17D22135" w14:textId="77777777" w:rsidR="00932658" w:rsidRPr="00932658" w:rsidRDefault="00932658" w:rsidP="00932658">
            <w:pPr>
              <w:widowControl/>
              <w:autoSpaceDE/>
              <w:autoSpaceDN/>
              <w:adjustRightInd/>
              <w:rPr>
                <w:b/>
                <w:bCs/>
                <w:sz w:val="20"/>
                <w:szCs w:val="20"/>
              </w:rPr>
            </w:pPr>
            <w:r w:rsidRPr="00932658">
              <w:rPr>
                <w:b/>
                <w:bCs/>
                <w:sz w:val="20"/>
                <w:szCs w:val="20"/>
              </w:rPr>
              <w:t xml:space="preserve">GRAND TOTAL (rounded) </w:t>
            </w:r>
            <w:r w:rsidRPr="00932658">
              <w:rPr>
                <w:b/>
                <w:bCs/>
                <w:sz w:val="20"/>
                <w:szCs w:val="20"/>
                <w:vertAlign w:val="superscript"/>
              </w:rPr>
              <w:t>w</w:t>
            </w:r>
          </w:p>
        </w:tc>
        <w:tc>
          <w:tcPr>
            <w:tcW w:w="1160" w:type="dxa"/>
            <w:tcBorders>
              <w:top w:val="nil"/>
              <w:left w:val="nil"/>
              <w:bottom w:val="single" w:sz="4" w:space="0" w:color="auto"/>
              <w:right w:val="single" w:sz="4" w:space="0" w:color="auto"/>
            </w:tcBorders>
            <w:shd w:val="clear" w:color="auto" w:fill="auto"/>
            <w:noWrap/>
            <w:vAlign w:val="bottom"/>
            <w:hideMark/>
          </w:tcPr>
          <w:p w14:paraId="73509BCF" w14:textId="77777777" w:rsidR="00932658" w:rsidRPr="00932658" w:rsidRDefault="00932658" w:rsidP="00932658">
            <w:pPr>
              <w:widowControl/>
              <w:autoSpaceDE/>
              <w:autoSpaceDN/>
              <w:adjustRightInd/>
              <w:rPr>
                <w:sz w:val="20"/>
                <w:szCs w:val="20"/>
              </w:rPr>
            </w:pPr>
            <w:r w:rsidRPr="00932658">
              <w:rPr>
                <w:sz w:val="20"/>
                <w:szCs w:val="20"/>
              </w:rPr>
              <w:t> </w:t>
            </w:r>
          </w:p>
        </w:tc>
        <w:tc>
          <w:tcPr>
            <w:tcW w:w="1270" w:type="dxa"/>
            <w:tcBorders>
              <w:top w:val="nil"/>
              <w:left w:val="nil"/>
              <w:bottom w:val="single" w:sz="4" w:space="0" w:color="auto"/>
              <w:right w:val="single" w:sz="4" w:space="0" w:color="auto"/>
            </w:tcBorders>
            <w:shd w:val="clear" w:color="auto" w:fill="auto"/>
            <w:noWrap/>
            <w:vAlign w:val="bottom"/>
            <w:hideMark/>
          </w:tcPr>
          <w:p w14:paraId="76763ED2" w14:textId="77777777" w:rsidR="00932658" w:rsidRPr="00932658" w:rsidRDefault="00932658" w:rsidP="00932658">
            <w:pPr>
              <w:widowControl/>
              <w:autoSpaceDE/>
              <w:autoSpaceDN/>
              <w:adjustRightInd/>
              <w:rPr>
                <w:sz w:val="20"/>
                <w:szCs w:val="20"/>
              </w:rPr>
            </w:pPr>
            <w:r w:rsidRPr="00932658">
              <w:rPr>
                <w:sz w:val="20"/>
                <w:szCs w:val="20"/>
              </w:rPr>
              <w:t> </w:t>
            </w:r>
          </w:p>
        </w:tc>
        <w:tc>
          <w:tcPr>
            <w:tcW w:w="1172" w:type="dxa"/>
            <w:tcBorders>
              <w:top w:val="nil"/>
              <w:left w:val="nil"/>
              <w:bottom w:val="single" w:sz="4" w:space="0" w:color="auto"/>
              <w:right w:val="single" w:sz="4" w:space="0" w:color="auto"/>
            </w:tcBorders>
            <w:shd w:val="clear" w:color="auto" w:fill="auto"/>
            <w:noWrap/>
            <w:vAlign w:val="bottom"/>
            <w:hideMark/>
          </w:tcPr>
          <w:p w14:paraId="3154EA69" w14:textId="77777777" w:rsidR="00932658" w:rsidRPr="00932658" w:rsidRDefault="00932658" w:rsidP="00932658">
            <w:pPr>
              <w:widowControl/>
              <w:autoSpaceDE/>
              <w:autoSpaceDN/>
              <w:adjustRightInd/>
              <w:rPr>
                <w:sz w:val="20"/>
                <w:szCs w:val="20"/>
              </w:rPr>
            </w:pPr>
            <w:r w:rsidRPr="00932658">
              <w:rPr>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14:paraId="21B19C2F" w14:textId="77777777" w:rsidR="00932658" w:rsidRPr="00932658" w:rsidRDefault="00932658" w:rsidP="00932658">
            <w:pPr>
              <w:widowControl/>
              <w:autoSpaceDE/>
              <w:autoSpaceDN/>
              <w:adjustRightInd/>
              <w:rPr>
                <w:sz w:val="20"/>
                <w:szCs w:val="20"/>
              </w:rPr>
            </w:pPr>
            <w:r w:rsidRPr="00932658">
              <w:rPr>
                <w:sz w:val="20"/>
                <w:szCs w:val="20"/>
              </w:rPr>
              <w:t> </w:t>
            </w:r>
          </w:p>
        </w:tc>
        <w:tc>
          <w:tcPr>
            <w:tcW w:w="1050" w:type="dxa"/>
            <w:tcBorders>
              <w:top w:val="nil"/>
              <w:left w:val="nil"/>
              <w:bottom w:val="single" w:sz="4" w:space="0" w:color="auto"/>
              <w:right w:val="single" w:sz="4" w:space="0" w:color="auto"/>
            </w:tcBorders>
            <w:shd w:val="clear" w:color="auto" w:fill="auto"/>
            <w:noWrap/>
            <w:vAlign w:val="bottom"/>
            <w:hideMark/>
          </w:tcPr>
          <w:p w14:paraId="35C168FA" w14:textId="77777777" w:rsidR="00932658" w:rsidRPr="00932658" w:rsidRDefault="00932658" w:rsidP="00932658">
            <w:pPr>
              <w:widowControl/>
              <w:autoSpaceDE/>
              <w:autoSpaceDN/>
              <w:adjustRightInd/>
              <w:rPr>
                <w:sz w:val="20"/>
                <w:szCs w:val="20"/>
              </w:rPr>
            </w:pPr>
            <w:r w:rsidRPr="00932658">
              <w:rPr>
                <w:sz w:val="20"/>
                <w:szCs w:val="20"/>
              </w:rPr>
              <w:t> </w:t>
            </w:r>
          </w:p>
        </w:tc>
        <w:tc>
          <w:tcPr>
            <w:tcW w:w="1422" w:type="dxa"/>
            <w:tcBorders>
              <w:top w:val="nil"/>
              <w:left w:val="nil"/>
              <w:bottom w:val="single" w:sz="4" w:space="0" w:color="auto"/>
              <w:right w:val="single" w:sz="4" w:space="0" w:color="auto"/>
            </w:tcBorders>
            <w:shd w:val="clear" w:color="auto" w:fill="auto"/>
            <w:noWrap/>
            <w:vAlign w:val="bottom"/>
            <w:hideMark/>
          </w:tcPr>
          <w:p w14:paraId="57E5179C" w14:textId="77777777" w:rsidR="00932658" w:rsidRPr="00932658" w:rsidRDefault="00932658" w:rsidP="00932658">
            <w:pPr>
              <w:widowControl/>
              <w:autoSpaceDE/>
              <w:autoSpaceDN/>
              <w:adjustRightInd/>
              <w:rPr>
                <w:sz w:val="20"/>
                <w:szCs w:val="20"/>
              </w:rPr>
            </w:pPr>
            <w:r w:rsidRPr="00932658">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AC79EE1" w14:textId="77777777" w:rsidR="00932658" w:rsidRPr="00932658" w:rsidRDefault="00932658" w:rsidP="00932658">
            <w:pPr>
              <w:widowControl/>
              <w:autoSpaceDE/>
              <w:autoSpaceDN/>
              <w:adjustRightInd/>
              <w:rPr>
                <w:sz w:val="20"/>
                <w:szCs w:val="20"/>
              </w:rPr>
            </w:pPr>
            <w:r w:rsidRPr="00932658">
              <w:rPr>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2726E419" w14:textId="77777777" w:rsidR="00932658" w:rsidRPr="00932658" w:rsidRDefault="00932658" w:rsidP="00932658">
            <w:pPr>
              <w:widowControl/>
              <w:autoSpaceDE/>
              <w:autoSpaceDN/>
              <w:adjustRightInd/>
              <w:jc w:val="right"/>
              <w:rPr>
                <w:b/>
                <w:bCs/>
                <w:sz w:val="20"/>
                <w:szCs w:val="20"/>
              </w:rPr>
            </w:pPr>
            <w:r w:rsidRPr="00932658">
              <w:rPr>
                <w:b/>
                <w:bCs/>
                <w:sz w:val="20"/>
                <w:szCs w:val="20"/>
              </w:rPr>
              <w:t xml:space="preserve">$14,700,000 </w:t>
            </w:r>
          </w:p>
        </w:tc>
      </w:tr>
      <w:tr w:rsidR="00932658" w:rsidRPr="00932658" w14:paraId="488BC029" w14:textId="77777777" w:rsidTr="00DC0AFD">
        <w:trPr>
          <w:trHeight w:val="845"/>
        </w:trPr>
        <w:tc>
          <w:tcPr>
            <w:tcW w:w="13045" w:type="dxa"/>
            <w:gridSpan w:val="9"/>
            <w:tcBorders>
              <w:top w:val="nil"/>
              <w:left w:val="nil"/>
              <w:bottom w:val="nil"/>
              <w:right w:val="nil"/>
            </w:tcBorders>
            <w:shd w:val="clear" w:color="auto" w:fill="auto"/>
            <w:vAlign w:val="center"/>
            <w:hideMark/>
          </w:tcPr>
          <w:p w14:paraId="04799D14" w14:textId="75F178DE" w:rsidR="00932658" w:rsidRPr="001A4B1C" w:rsidRDefault="00932658" w:rsidP="00932658">
            <w:pPr>
              <w:widowControl/>
              <w:autoSpaceDE/>
              <w:autoSpaceDN/>
              <w:adjustRightInd/>
              <w:rPr>
                <w:color w:val="000000"/>
                <w:sz w:val="20"/>
                <w:szCs w:val="20"/>
              </w:rPr>
            </w:pPr>
            <w:r w:rsidRPr="001A4B1C">
              <w:rPr>
                <w:color w:val="000000"/>
                <w:sz w:val="20"/>
                <w:szCs w:val="20"/>
                <w:vertAlign w:val="superscript"/>
              </w:rPr>
              <w:t>a</w:t>
            </w:r>
            <w:r w:rsidRPr="001A4B1C">
              <w:rPr>
                <w:color w:val="000000"/>
                <w:sz w:val="20"/>
                <w:szCs w:val="20"/>
              </w:rPr>
              <w:t xml:space="preserve">  We estimate that the number of existing sources subject to the rule is 107 pulp mills. We </w:t>
            </w:r>
            <w:r w:rsidRPr="001A4B1C">
              <w:rPr>
                <w:sz w:val="20"/>
                <w:szCs w:val="20"/>
              </w:rPr>
              <w:t xml:space="preserve">estimate </w:t>
            </w:r>
            <w:r w:rsidRPr="001A4B1C">
              <w:rPr>
                <w:color w:val="000000"/>
                <w:sz w:val="20"/>
                <w:szCs w:val="20"/>
              </w:rPr>
              <w:t>1 new pulp mill will begin operation in 2021. We also estimate that new equipment will be installed at three existing pulp mills and become subject to the rule over the 3 years of this ICR (two new recovery furnaces, two new SDTs, and one new lime kiln). Based on these estimates, over the 3 years of this ICR, there will be an average of 107.33 pulp mills per year (107 existing facilities + 1 new facility in the third year/3 years = 107.33) and new source requirements for an average of 1.33 pulp mills per year (1 modified or reconstructed facility per year + 1 new facility in the third year/3 years = 1.33 facilities).</w:t>
            </w:r>
          </w:p>
        </w:tc>
      </w:tr>
      <w:tr w:rsidR="00932658" w:rsidRPr="00932658" w14:paraId="2822A29B" w14:textId="77777777" w:rsidTr="00DC0AFD">
        <w:trPr>
          <w:trHeight w:val="549"/>
        </w:trPr>
        <w:tc>
          <w:tcPr>
            <w:tcW w:w="13045" w:type="dxa"/>
            <w:gridSpan w:val="9"/>
            <w:tcBorders>
              <w:top w:val="nil"/>
              <w:left w:val="nil"/>
              <w:bottom w:val="nil"/>
              <w:right w:val="nil"/>
            </w:tcBorders>
            <w:shd w:val="clear" w:color="auto" w:fill="auto"/>
            <w:vAlign w:val="center"/>
            <w:hideMark/>
          </w:tcPr>
          <w:p w14:paraId="3457D211" w14:textId="3D7D84E5" w:rsidR="00932658" w:rsidRPr="001A4B1C" w:rsidRDefault="00932658" w:rsidP="00932658">
            <w:pPr>
              <w:widowControl/>
              <w:autoSpaceDE/>
              <w:autoSpaceDN/>
              <w:adjustRightInd/>
              <w:rPr>
                <w:color w:val="000000"/>
                <w:sz w:val="20"/>
                <w:szCs w:val="20"/>
              </w:rPr>
            </w:pPr>
            <w:r w:rsidRPr="001A4B1C">
              <w:rPr>
                <w:color w:val="000000"/>
                <w:sz w:val="20"/>
                <w:szCs w:val="20"/>
                <w:vertAlign w:val="superscript"/>
              </w:rPr>
              <w:t>b</w:t>
            </w:r>
            <w:r w:rsidRPr="001A4B1C">
              <w:rPr>
                <w:color w:val="000000"/>
                <w:sz w:val="20"/>
                <w:szCs w:val="20"/>
              </w:rPr>
              <w:t xml:space="preserve"> This ICR uses the following labor rates: $147.40 per hour for Managerial labor; $117.92 per hour for Technical labor, and $57.02 per hour for Clerical labor. These rates are from the United States Department of Labor, Bureau of Labor Statistics, December 2018, Table 2. Civilian Workers, by Occupational and Industry groups. The rates are from column 1, Total Compensation. The rates have been increased by 110% to account for the benefit packages available to those employed by private industry.</w:t>
            </w:r>
          </w:p>
        </w:tc>
      </w:tr>
      <w:tr w:rsidR="00932658" w:rsidRPr="00932658" w14:paraId="05F31075" w14:textId="77777777" w:rsidTr="00932658">
        <w:trPr>
          <w:trHeight w:val="300"/>
        </w:trPr>
        <w:tc>
          <w:tcPr>
            <w:tcW w:w="9013" w:type="dxa"/>
            <w:gridSpan w:val="6"/>
            <w:tcBorders>
              <w:top w:val="nil"/>
              <w:left w:val="nil"/>
              <w:bottom w:val="nil"/>
              <w:right w:val="nil"/>
            </w:tcBorders>
            <w:shd w:val="clear" w:color="auto" w:fill="auto"/>
            <w:noWrap/>
            <w:vAlign w:val="center"/>
            <w:hideMark/>
          </w:tcPr>
          <w:p w14:paraId="53C4D246" w14:textId="77777777" w:rsidR="00932658" w:rsidRPr="001A4B1C" w:rsidRDefault="00932658" w:rsidP="00932658">
            <w:pPr>
              <w:widowControl/>
              <w:autoSpaceDE/>
              <w:autoSpaceDN/>
              <w:adjustRightInd/>
              <w:rPr>
                <w:color w:val="000000"/>
                <w:sz w:val="20"/>
                <w:szCs w:val="20"/>
              </w:rPr>
            </w:pPr>
            <w:r w:rsidRPr="001A4B1C">
              <w:rPr>
                <w:color w:val="000000"/>
                <w:sz w:val="20"/>
                <w:szCs w:val="20"/>
                <w:vertAlign w:val="superscript"/>
              </w:rPr>
              <w:t>c</w:t>
            </w:r>
            <w:r w:rsidRPr="001A4B1C">
              <w:rPr>
                <w:color w:val="000000"/>
                <w:sz w:val="20"/>
                <w:szCs w:val="20"/>
              </w:rPr>
              <w:t xml:space="preserve"> We have assumed that it will take 1 hour each year for existing respondents to refamiliarize themselves with rule requirements.</w:t>
            </w:r>
          </w:p>
        </w:tc>
        <w:tc>
          <w:tcPr>
            <w:tcW w:w="1422" w:type="dxa"/>
            <w:tcBorders>
              <w:top w:val="nil"/>
              <w:left w:val="nil"/>
              <w:bottom w:val="nil"/>
              <w:right w:val="nil"/>
            </w:tcBorders>
            <w:shd w:val="clear" w:color="auto" w:fill="auto"/>
            <w:noWrap/>
            <w:vAlign w:val="bottom"/>
            <w:hideMark/>
          </w:tcPr>
          <w:p w14:paraId="40C3A996" w14:textId="77777777" w:rsidR="00932658" w:rsidRPr="00932658" w:rsidRDefault="00932658" w:rsidP="00932658">
            <w:pPr>
              <w:widowControl/>
              <w:autoSpaceDE/>
              <w:autoSpaceDN/>
              <w:adjustRightInd/>
              <w:rPr>
                <w:color w:val="000000"/>
                <w:sz w:val="16"/>
                <w:szCs w:val="16"/>
              </w:rPr>
            </w:pPr>
          </w:p>
        </w:tc>
        <w:tc>
          <w:tcPr>
            <w:tcW w:w="1080" w:type="dxa"/>
            <w:tcBorders>
              <w:top w:val="nil"/>
              <w:left w:val="nil"/>
              <w:bottom w:val="nil"/>
              <w:right w:val="nil"/>
            </w:tcBorders>
            <w:shd w:val="clear" w:color="auto" w:fill="auto"/>
            <w:noWrap/>
            <w:vAlign w:val="bottom"/>
            <w:hideMark/>
          </w:tcPr>
          <w:p w14:paraId="2D4DB762" w14:textId="77777777" w:rsidR="00932658" w:rsidRPr="00932658" w:rsidRDefault="00932658" w:rsidP="00932658">
            <w:pPr>
              <w:widowControl/>
              <w:autoSpaceDE/>
              <w:autoSpaceDN/>
              <w:adjustRightInd/>
              <w:rPr>
                <w:sz w:val="20"/>
                <w:szCs w:val="20"/>
              </w:rPr>
            </w:pPr>
          </w:p>
        </w:tc>
        <w:tc>
          <w:tcPr>
            <w:tcW w:w="1530" w:type="dxa"/>
            <w:tcBorders>
              <w:top w:val="nil"/>
              <w:left w:val="nil"/>
              <w:bottom w:val="nil"/>
              <w:right w:val="nil"/>
            </w:tcBorders>
            <w:shd w:val="clear" w:color="auto" w:fill="auto"/>
            <w:noWrap/>
            <w:vAlign w:val="bottom"/>
            <w:hideMark/>
          </w:tcPr>
          <w:p w14:paraId="198106EA" w14:textId="77777777" w:rsidR="00932658" w:rsidRPr="00932658" w:rsidRDefault="00932658" w:rsidP="00932658">
            <w:pPr>
              <w:widowControl/>
              <w:autoSpaceDE/>
              <w:autoSpaceDN/>
              <w:adjustRightInd/>
              <w:rPr>
                <w:sz w:val="20"/>
                <w:szCs w:val="20"/>
              </w:rPr>
            </w:pPr>
          </w:p>
        </w:tc>
      </w:tr>
      <w:tr w:rsidR="00932658" w:rsidRPr="00932658" w14:paraId="0323F081" w14:textId="77777777" w:rsidTr="00932658">
        <w:trPr>
          <w:trHeight w:val="855"/>
        </w:trPr>
        <w:tc>
          <w:tcPr>
            <w:tcW w:w="13045" w:type="dxa"/>
            <w:gridSpan w:val="9"/>
            <w:tcBorders>
              <w:top w:val="nil"/>
              <w:left w:val="nil"/>
              <w:bottom w:val="nil"/>
              <w:right w:val="nil"/>
            </w:tcBorders>
            <w:shd w:val="clear" w:color="auto" w:fill="auto"/>
            <w:vAlign w:val="center"/>
            <w:hideMark/>
          </w:tcPr>
          <w:p w14:paraId="58CB1CFD" w14:textId="77777777" w:rsidR="00932658" w:rsidRPr="001A4B1C" w:rsidRDefault="00932658" w:rsidP="00932658">
            <w:pPr>
              <w:widowControl/>
              <w:autoSpaceDE/>
              <w:autoSpaceDN/>
              <w:adjustRightInd/>
              <w:rPr>
                <w:color w:val="000000"/>
                <w:sz w:val="20"/>
                <w:szCs w:val="20"/>
              </w:rPr>
            </w:pPr>
            <w:r w:rsidRPr="001A4B1C">
              <w:rPr>
                <w:color w:val="000000"/>
                <w:sz w:val="20"/>
                <w:szCs w:val="20"/>
                <w:vertAlign w:val="superscript"/>
              </w:rPr>
              <w:t>d</w:t>
            </w:r>
            <w:r w:rsidRPr="001A4B1C">
              <w:rPr>
                <w:color w:val="000000"/>
                <w:sz w:val="20"/>
                <w:szCs w:val="20"/>
              </w:rPr>
              <w:t xml:space="preserve">  We estimate that it will take the respondent 24 hours to prepare for initial/periodic performance test (e.g., prepare test plan) and 24 hours to attend the test. We also estimate 2 plant personnel will attend the test. We estimate that </w:t>
            </w:r>
            <w:r w:rsidRPr="001A4B1C">
              <w:rPr>
                <w:sz w:val="20"/>
                <w:szCs w:val="20"/>
              </w:rPr>
              <w:t>74</w:t>
            </w:r>
            <w:r w:rsidRPr="001A4B1C">
              <w:rPr>
                <w:color w:val="000000"/>
                <w:sz w:val="20"/>
                <w:szCs w:val="20"/>
              </w:rPr>
              <w:t xml:space="preserve"> mills (which includes the 1 new mill) will need to conduct a test (the rest of the</w:t>
            </w:r>
            <w:r w:rsidRPr="001A4B1C">
              <w:rPr>
                <w:sz w:val="20"/>
                <w:szCs w:val="20"/>
              </w:rPr>
              <w:t xml:space="preserve"> 107 existing</w:t>
            </w:r>
            <w:r w:rsidRPr="001A4B1C">
              <w:rPr>
                <w:color w:val="000000"/>
                <w:sz w:val="20"/>
                <w:szCs w:val="20"/>
              </w:rPr>
              <w:t xml:space="preserve"> mills are already required under existing state rules to conduct tests); this will occur once during the 3-year ICR period (</w:t>
            </w:r>
            <w:r w:rsidRPr="001A4B1C">
              <w:rPr>
                <w:sz w:val="20"/>
                <w:szCs w:val="20"/>
              </w:rPr>
              <w:t xml:space="preserve">74 </w:t>
            </w:r>
            <w:r w:rsidRPr="001A4B1C">
              <w:rPr>
                <w:color w:val="000000"/>
                <w:sz w:val="20"/>
                <w:szCs w:val="20"/>
              </w:rPr>
              <w:t xml:space="preserve">respondents/3 years = </w:t>
            </w:r>
            <w:r w:rsidRPr="001A4B1C">
              <w:rPr>
                <w:sz w:val="20"/>
                <w:szCs w:val="20"/>
              </w:rPr>
              <w:t>25</w:t>
            </w:r>
            <w:r w:rsidRPr="001A4B1C">
              <w:rPr>
                <w:color w:val="000000"/>
                <w:sz w:val="20"/>
                <w:szCs w:val="20"/>
              </w:rPr>
              <w:t xml:space="preserve">). In addition, we estimate that 20% of respondents (20% x </w:t>
            </w:r>
            <w:r w:rsidRPr="001A4B1C">
              <w:rPr>
                <w:sz w:val="20"/>
                <w:szCs w:val="20"/>
              </w:rPr>
              <w:t>25</w:t>
            </w:r>
            <w:r w:rsidRPr="001A4B1C">
              <w:rPr>
                <w:color w:val="000000"/>
                <w:sz w:val="20"/>
                <w:szCs w:val="20"/>
              </w:rPr>
              <w:t xml:space="preserve"> respondents = 5) will repeat performance test due to failure.</w:t>
            </w:r>
          </w:p>
        </w:tc>
      </w:tr>
      <w:tr w:rsidR="00932658" w:rsidRPr="00932658" w14:paraId="440CAD88" w14:textId="77777777" w:rsidTr="00932658">
        <w:trPr>
          <w:trHeight w:val="300"/>
        </w:trPr>
        <w:tc>
          <w:tcPr>
            <w:tcW w:w="13045" w:type="dxa"/>
            <w:gridSpan w:val="9"/>
            <w:tcBorders>
              <w:top w:val="nil"/>
              <w:left w:val="nil"/>
              <w:bottom w:val="nil"/>
              <w:right w:val="nil"/>
            </w:tcBorders>
            <w:shd w:val="clear" w:color="auto" w:fill="auto"/>
            <w:noWrap/>
            <w:vAlign w:val="center"/>
            <w:hideMark/>
          </w:tcPr>
          <w:p w14:paraId="14CE2922" w14:textId="77777777" w:rsidR="00932658" w:rsidRPr="001A4B1C" w:rsidRDefault="00932658" w:rsidP="00932658">
            <w:pPr>
              <w:widowControl/>
              <w:autoSpaceDE/>
              <w:autoSpaceDN/>
              <w:adjustRightInd/>
              <w:rPr>
                <w:color w:val="000000"/>
                <w:sz w:val="20"/>
                <w:szCs w:val="20"/>
              </w:rPr>
            </w:pPr>
            <w:r w:rsidRPr="001A4B1C">
              <w:rPr>
                <w:color w:val="000000"/>
                <w:sz w:val="20"/>
                <w:szCs w:val="20"/>
                <w:vertAlign w:val="superscript"/>
              </w:rPr>
              <w:t>e</w:t>
            </w:r>
            <w:r w:rsidRPr="001A4B1C">
              <w:rPr>
                <w:color w:val="000000"/>
                <w:sz w:val="20"/>
                <w:szCs w:val="20"/>
              </w:rPr>
              <w:t xml:space="preserve">  With the exception of the notification of compliance status, we estimate that it will take the respondent 2 hours once per year to complete the notifications and submit selected ones through the EPA's CEDRI.</w:t>
            </w:r>
          </w:p>
        </w:tc>
      </w:tr>
      <w:tr w:rsidR="00932658" w:rsidRPr="00932658" w14:paraId="70A18340" w14:textId="77777777" w:rsidTr="00932658">
        <w:trPr>
          <w:trHeight w:val="300"/>
        </w:trPr>
        <w:tc>
          <w:tcPr>
            <w:tcW w:w="11515" w:type="dxa"/>
            <w:gridSpan w:val="8"/>
            <w:tcBorders>
              <w:top w:val="nil"/>
              <w:left w:val="nil"/>
              <w:bottom w:val="nil"/>
              <w:right w:val="nil"/>
            </w:tcBorders>
            <w:shd w:val="clear" w:color="auto" w:fill="auto"/>
            <w:noWrap/>
            <w:vAlign w:val="center"/>
            <w:hideMark/>
          </w:tcPr>
          <w:p w14:paraId="356A2362" w14:textId="77777777" w:rsidR="00932658" w:rsidRPr="001A4B1C" w:rsidRDefault="00932658" w:rsidP="00932658">
            <w:pPr>
              <w:widowControl/>
              <w:autoSpaceDE/>
              <w:autoSpaceDN/>
              <w:adjustRightInd/>
              <w:rPr>
                <w:color w:val="000000"/>
                <w:sz w:val="20"/>
                <w:szCs w:val="20"/>
              </w:rPr>
            </w:pPr>
            <w:r w:rsidRPr="001A4B1C">
              <w:rPr>
                <w:color w:val="000000"/>
                <w:sz w:val="20"/>
                <w:szCs w:val="20"/>
                <w:vertAlign w:val="superscript"/>
              </w:rPr>
              <w:t>f</w:t>
            </w:r>
            <w:r w:rsidRPr="001A4B1C">
              <w:rPr>
                <w:color w:val="000000"/>
                <w:sz w:val="20"/>
                <w:szCs w:val="20"/>
              </w:rPr>
              <w:t xml:space="preserve">  We estimate that it will take the respondent 80 hours once in the initial year to prepare the notification of compliance status and submit it through the EPA's CEDRI.</w:t>
            </w:r>
          </w:p>
        </w:tc>
        <w:tc>
          <w:tcPr>
            <w:tcW w:w="1530" w:type="dxa"/>
            <w:tcBorders>
              <w:top w:val="nil"/>
              <w:left w:val="nil"/>
              <w:bottom w:val="nil"/>
              <w:right w:val="nil"/>
            </w:tcBorders>
            <w:shd w:val="clear" w:color="auto" w:fill="auto"/>
            <w:noWrap/>
            <w:vAlign w:val="bottom"/>
            <w:hideMark/>
          </w:tcPr>
          <w:p w14:paraId="43DC2C6F" w14:textId="77777777" w:rsidR="00932658" w:rsidRPr="00932658" w:rsidRDefault="00932658" w:rsidP="00932658">
            <w:pPr>
              <w:widowControl/>
              <w:autoSpaceDE/>
              <w:autoSpaceDN/>
              <w:adjustRightInd/>
              <w:rPr>
                <w:color w:val="000000"/>
                <w:sz w:val="16"/>
                <w:szCs w:val="16"/>
              </w:rPr>
            </w:pPr>
          </w:p>
        </w:tc>
      </w:tr>
      <w:tr w:rsidR="00932658" w:rsidRPr="00932658" w14:paraId="345E1FD2" w14:textId="77777777" w:rsidTr="00DC0AFD">
        <w:trPr>
          <w:trHeight w:val="558"/>
        </w:trPr>
        <w:tc>
          <w:tcPr>
            <w:tcW w:w="13045" w:type="dxa"/>
            <w:gridSpan w:val="9"/>
            <w:tcBorders>
              <w:top w:val="nil"/>
              <w:left w:val="nil"/>
              <w:bottom w:val="nil"/>
              <w:right w:val="nil"/>
            </w:tcBorders>
            <w:shd w:val="clear" w:color="auto" w:fill="auto"/>
            <w:vAlign w:val="center"/>
            <w:hideMark/>
          </w:tcPr>
          <w:p w14:paraId="7F3521C9" w14:textId="030929AF" w:rsidR="00932658" w:rsidRPr="001A4B1C" w:rsidRDefault="00932658" w:rsidP="00932658">
            <w:pPr>
              <w:widowControl/>
              <w:autoSpaceDE/>
              <w:autoSpaceDN/>
              <w:adjustRightInd/>
              <w:rPr>
                <w:sz w:val="20"/>
                <w:szCs w:val="20"/>
              </w:rPr>
            </w:pPr>
            <w:r w:rsidRPr="001A4B1C">
              <w:rPr>
                <w:sz w:val="20"/>
                <w:szCs w:val="20"/>
                <w:vertAlign w:val="superscript"/>
              </w:rPr>
              <w:t>g</w:t>
            </w:r>
            <w:r w:rsidRPr="001A4B1C">
              <w:rPr>
                <w:sz w:val="20"/>
                <w:szCs w:val="20"/>
              </w:rPr>
              <w:t xml:space="preserve">  We estimate that the 1 new pulp mill and 3 existing pulp mills with new process units will submit initial notifications (construction/reconstruction, actual startup, applicability of standard) and a notification of compliance status, which are one-time requirements (4 new respondents/3 years = 1.33). We estimate that 43 mills will submit notifications of performance test/retest and performance evaluation over the 3-year ICR period (test</w:t>
            </w:r>
            <w:r w:rsidR="00DC0AFD" w:rsidRPr="001A4B1C">
              <w:rPr>
                <w:sz w:val="20"/>
                <w:szCs w:val="20"/>
              </w:rPr>
              <w:t xml:space="preserve">ing = </w:t>
            </w:r>
            <w:r w:rsidRPr="001A4B1C">
              <w:rPr>
                <w:sz w:val="20"/>
                <w:szCs w:val="20"/>
              </w:rPr>
              <w:t>(1 new + 107 existing respondents)/3 years = 36; retest</w:t>
            </w:r>
            <w:r w:rsidR="00DC0AFD" w:rsidRPr="001A4B1C">
              <w:rPr>
                <w:sz w:val="20"/>
                <w:szCs w:val="20"/>
              </w:rPr>
              <w:t>ing =</w:t>
            </w:r>
            <w:r w:rsidRPr="001A4B1C">
              <w:rPr>
                <w:sz w:val="20"/>
                <w:szCs w:val="20"/>
              </w:rPr>
              <w:t xml:space="preserve"> 20% x 36 respondents = 7; total</w:t>
            </w:r>
            <w:r w:rsidR="00DC0AFD" w:rsidRPr="001A4B1C">
              <w:rPr>
                <w:sz w:val="20"/>
                <w:szCs w:val="20"/>
              </w:rPr>
              <w:t xml:space="preserve"> testing and retesting = </w:t>
            </w:r>
            <w:r w:rsidRPr="001A4B1C">
              <w:rPr>
                <w:sz w:val="20"/>
                <w:szCs w:val="20"/>
              </w:rPr>
              <w:t xml:space="preserve">36 + 7 = 43). </w:t>
            </w:r>
          </w:p>
        </w:tc>
      </w:tr>
      <w:tr w:rsidR="00932658" w:rsidRPr="00932658" w14:paraId="474C8540" w14:textId="77777777" w:rsidTr="00932658">
        <w:trPr>
          <w:trHeight w:val="525"/>
        </w:trPr>
        <w:tc>
          <w:tcPr>
            <w:tcW w:w="13045" w:type="dxa"/>
            <w:gridSpan w:val="9"/>
            <w:tcBorders>
              <w:top w:val="nil"/>
              <w:left w:val="nil"/>
              <w:bottom w:val="nil"/>
              <w:right w:val="nil"/>
            </w:tcBorders>
            <w:shd w:val="clear" w:color="auto" w:fill="auto"/>
            <w:vAlign w:val="center"/>
            <w:hideMark/>
          </w:tcPr>
          <w:p w14:paraId="19F78240" w14:textId="77777777" w:rsidR="00932658" w:rsidRPr="001A4B1C" w:rsidRDefault="00932658" w:rsidP="00932658">
            <w:pPr>
              <w:widowControl/>
              <w:autoSpaceDE/>
              <w:autoSpaceDN/>
              <w:adjustRightInd/>
              <w:rPr>
                <w:color w:val="000000"/>
                <w:sz w:val="20"/>
                <w:szCs w:val="20"/>
              </w:rPr>
            </w:pPr>
            <w:r w:rsidRPr="001A4B1C">
              <w:rPr>
                <w:color w:val="000000"/>
                <w:sz w:val="20"/>
                <w:szCs w:val="20"/>
                <w:vertAlign w:val="superscript"/>
              </w:rPr>
              <w:t>h</w:t>
            </w:r>
            <w:r w:rsidRPr="001A4B1C">
              <w:rPr>
                <w:color w:val="000000"/>
                <w:sz w:val="20"/>
                <w:szCs w:val="20"/>
              </w:rPr>
              <w:t xml:space="preserve">  Hard copy report of performance test/retest is included in capital/startup costs. Submittal of performance test/retest data through the EPA's CEDRI in ERT format is estimated to require 8 hours for 43 mills (see respondent calculation in footnote g). </w:t>
            </w:r>
          </w:p>
        </w:tc>
      </w:tr>
      <w:tr w:rsidR="00932658" w:rsidRPr="00932658" w14:paraId="7B98FA25" w14:textId="77777777" w:rsidTr="00DC0AFD">
        <w:trPr>
          <w:trHeight w:val="603"/>
        </w:trPr>
        <w:tc>
          <w:tcPr>
            <w:tcW w:w="13045" w:type="dxa"/>
            <w:gridSpan w:val="9"/>
            <w:tcBorders>
              <w:top w:val="nil"/>
              <w:left w:val="nil"/>
              <w:bottom w:val="nil"/>
              <w:right w:val="nil"/>
            </w:tcBorders>
            <w:shd w:val="clear" w:color="auto" w:fill="auto"/>
            <w:vAlign w:val="center"/>
            <w:hideMark/>
          </w:tcPr>
          <w:p w14:paraId="5DA0C456" w14:textId="77777777" w:rsidR="00932658" w:rsidRPr="001A4B1C" w:rsidRDefault="00932658" w:rsidP="00932658">
            <w:pPr>
              <w:widowControl/>
              <w:autoSpaceDE/>
              <w:autoSpaceDN/>
              <w:adjustRightInd/>
              <w:rPr>
                <w:sz w:val="20"/>
                <w:szCs w:val="20"/>
              </w:rPr>
            </w:pPr>
            <w:r w:rsidRPr="001A4B1C">
              <w:rPr>
                <w:sz w:val="20"/>
                <w:szCs w:val="20"/>
                <w:vertAlign w:val="superscript"/>
              </w:rPr>
              <w:t>i</w:t>
            </w:r>
            <w:r w:rsidRPr="001A4B1C">
              <w:rPr>
                <w:sz w:val="20"/>
                <w:szCs w:val="20"/>
              </w:rPr>
              <w:t xml:space="preserve">  We estimate that 5% of respondents (5% x 107.33 respondents = 5) will each take 16 hours two times per year to complete reports of monitoring exceedances and periods of noncompliance and submit them through the EPA's CEDRI. We estimate that 95% of respondents (95% x 107.33 respondents = 102) will each take 8 hours two times per year to write reports of no exceedances and submit them through the EPA's CEDRI.</w:t>
            </w:r>
          </w:p>
        </w:tc>
      </w:tr>
      <w:tr w:rsidR="00932658" w:rsidRPr="00932658" w14:paraId="7BE6216A" w14:textId="77777777" w:rsidTr="00DC0AFD">
        <w:trPr>
          <w:trHeight w:val="225"/>
        </w:trPr>
        <w:tc>
          <w:tcPr>
            <w:tcW w:w="11515" w:type="dxa"/>
            <w:gridSpan w:val="8"/>
            <w:tcBorders>
              <w:top w:val="nil"/>
              <w:left w:val="nil"/>
              <w:bottom w:val="nil"/>
              <w:right w:val="nil"/>
            </w:tcBorders>
            <w:shd w:val="clear" w:color="auto" w:fill="auto"/>
            <w:noWrap/>
            <w:vAlign w:val="center"/>
            <w:hideMark/>
          </w:tcPr>
          <w:p w14:paraId="36C154A7" w14:textId="77777777" w:rsidR="00932658" w:rsidRPr="001A4B1C" w:rsidRDefault="00932658" w:rsidP="00932658">
            <w:pPr>
              <w:widowControl/>
              <w:autoSpaceDE/>
              <w:autoSpaceDN/>
              <w:adjustRightInd/>
              <w:rPr>
                <w:color w:val="000000"/>
                <w:sz w:val="20"/>
                <w:szCs w:val="20"/>
              </w:rPr>
            </w:pPr>
            <w:r w:rsidRPr="001A4B1C">
              <w:rPr>
                <w:color w:val="000000"/>
                <w:sz w:val="20"/>
                <w:szCs w:val="20"/>
                <w:vertAlign w:val="superscript"/>
              </w:rPr>
              <w:t>j</w:t>
            </w:r>
            <w:r w:rsidRPr="001A4B1C">
              <w:rPr>
                <w:color w:val="000000"/>
                <w:sz w:val="20"/>
                <w:szCs w:val="20"/>
              </w:rPr>
              <w:t xml:space="preserve">  We estimate that it will take the respondent 40 hours to develop a record system to comply with monitoring requirements (4 new respondents/3 years = 1.33). </w:t>
            </w:r>
          </w:p>
        </w:tc>
        <w:tc>
          <w:tcPr>
            <w:tcW w:w="1530" w:type="dxa"/>
            <w:tcBorders>
              <w:top w:val="nil"/>
              <w:left w:val="nil"/>
              <w:bottom w:val="nil"/>
              <w:right w:val="nil"/>
            </w:tcBorders>
            <w:shd w:val="clear" w:color="auto" w:fill="auto"/>
            <w:noWrap/>
            <w:vAlign w:val="bottom"/>
            <w:hideMark/>
          </w:tcPr>
          <w:p w14:paraId="31D96435" w14:textId="77777777" w:rsidR="00932658" w:rsidRPr="00932658" w:rsidRDefault="00932658" w:rsidP="00932658">
            <w:pPr>
              <w:widowControl/>
              <w:autoSpaceDE/>
              <w:autoSpaceDN/>
              <w:adjustRightInd/>
              <w:rPr>
                <w:color w:val="000000"/>
                <w:sz w:val="16"/>
                <w:szCs w:val="16"/>
              </w:rPr>
            </w:pPr>
          </w:p>
        </w:tc>
      </w:tr>
      <w:tr w:rsidR="00932658" w:rsidRPr="00932658" w14:paraId="07E68168" w14:textId="77777777" w:rsidTr="00932658">
        <w:trPr>
          <w:trHeight w:val="510"/>
        </w:trPr>
        <w:tc>
          <w:tcPr>
            <w:tcW w:w="13045" w:type="dxa"/>
            <w:gridSpan w:val="9"/>
            <w:tcBorders>
              <w:top w:val="nil"/>
              <w:left w:val="nil"/>
              <w:bottom w:val="nil"/>
              <w:right w:val="nil"/>
            </w:tcBorders>
            <w:shd w:val="clear" w:color="auto" w:fill="auto"/>
            <w:vAlign w:val="center"/>
            <w:hideMark/>
          </w:tcPr>
          <w:p w14:paraId="469CC962" w14:textId="77777777" w:rsidR="00932658" w:rsidRPr="001A4B1C" w:rsidRDefault="00932658" w:rsidP="00932658">
            <w:pPr>
              <w:widowControl/>
              <w:autoSpaceDE/>
              <w:autoSpaceDN/>
              <w:adjustRightInd/>
              <w:rPr>
                <w:color w:val="000000"/>
                <w:sz w:val="20"/>
                <w:szCs w:val="20"/>
              </w:rPr>
            </w:pPr>
            <w:r w:rsidRPr="001A4B1C">
              <w:rPr>
                <w:color w:val="000000"/>
                <w:sz w:val="20"/>
                <w:szCs w:val="20"/>
                <w:vertAlign w:val="superscript"/>
              </w:rPr>
              <w:t>k</w:t>
            </w:r>
            <w:r w:rsidRPr="001A4B1C">
              <w:rPr>
                <w:color w:val="000000"/>
                <w:sz w:val="20"/>
                <w:szCs w:val="20"/>
              </w:rPr>
              <w:t xml:space="preserve">  We estimate that it will take the respondent 8 hours (1 day) each year to enter records and documentation of supporting calculation for compliance determinations and 2 hours to enter a record of compliant monitoring parameter ranges. We estimate that 43 mills (see footnote g) will enter this information (includes initial test and retest, for mills required to retest).</w:t>
            </w:r>
          </w:p>
        </w:tc>
      </w:tr>
      <w:tr w:rsidR="00932658" w:rsidRPr="00932658" w14:paraId="4876D79F" w14:textId="77777777" w:rsidTr="00DC0AFD">
        <w:trPr>
          <w:trHeight w:val="477"/>
        </w:trPr>
        <w:tc>
          <w:tcPr>
            <w:tcW w:w="13045" w:type="dxa"/>
            <w:gridSpan w:val="9"/>
            <w:tcBorders>
              <w:top w:val="nil"/>
              <w:left w:val="nil"/>
              <w:bottom w:val="nil"/>
              <w:right w:val="nil"/>
            </w:tcBorders>
            <w:shd w:val="clear" w:color="auto" w:fill="auto"/>
            <w:vAlign w:val="center"/>
            <w:hideMark/>
          </w:tcPr>
          <w:p w14:paraId="30FF2D3A" w14:textId="13601285" w:rsidR="00932658" w:rsidRPr="001A4B1C" w:rsidRDefault="00932658" w:rsidP="00932658">
            <w:pPr>
              <w:widowControl/>
              <w:autoSpaceDE/>
              <w:autoSpaceDN/>
              <w:adjustRightInd/>
              <w:rPr>
                <w:sz w:val="20"/>
                <w:szCs w:val="20"/>
              </w:rPr>
            </w:pPr>
            <w:r w:rsidRPr="001A4B1C">
              <w:rPr>
                <w:sz w:val="20"/>
                <w:szCs w:val="20"/>
                <w:vertAlign w:val="superscript"/>
              </w:rPr>
              <w:t>l</w:t>
            </w:r>
            <w:r w:rsidRPr="001A4B1C">
              <w:rPr>
                <w:sz w:val="20"/>
                <w:szCs w:val="20"/>
              </w:rPr>
              <w:t xml:space="preserve">  We estimate that the 1 new pulp mill and 2 existing mills will install new recovery furnaces over 3 years, for an average of 1 mill with new recovery furnaces per year over the ICR period (3 mills/3 years=1). Based on current industry trends, the new furnaces are expected to be a non-direct contact evaporator (NDCE) recovery furnace equipped with a dry ESP system. We estimate that it will take the respondent 2 hours to record this information.</w:t>
            </w:r>
          </w:p>
        </w:tc>
      </w:tr>
      <w:tr w:rsidR="00932658" w:rsidRPr="00932658" w14:paraId="742BADBE" w14:textId="77777777" w:rsidTr="00DC0AFD">
        <w:trPr>
          <w:trHeight w:val="450"/>
        </w:trPr>
        <w:tc>
          <w:tcPr>
            <w:tcW w:w="13045" w:type="dxa"/>
            <w:gridSpan w:val="9"/>
            <w:tcBorders>
              <w:top w:val="nil"/>
              <w:left w:val="nil"/>
              <w:bottom w:val="nil"/>
              <w:right w:val="nil"/>
            </w:tcBorders>
            <w:shd w:val="clear" w:color="auto" w:fill="auto"/>
            <w:vAlign w:val="center"/>
            <w:hideMark/>
          </w:tcPr>
          <w:p w14:paraId="123AC887" w14:textId="77777777" w:rsidR="00932658" w:rsidRPr="001A4B1C" w:rsidRDefault="00932658" w:rsidP="00932658">
            <w:pPr>
              <w:widowControl/>
              <w:autoSpaceDE/>
              <w:autoSpaceDN/>
              <w:adjustRightInd/>
              <w:rPr>
                <w:sz w:val="20"/>
                <w:szCs w:val="20"/>
              </w:rPr>
            </w:pPr>
            <w:r w:rsidRPr="001A4B1C">
              <w:rPr>
                <w:sz w:val="20"/>
                <w:szCs w:val="20"/>
                <w:vertAlign w:val="superscript"/>
              </w:rPr>
              <w:t>m</w:t>
            </w:r>
            <w:r w:rsidRPr="001A4B1C">
              <w:rPr>
                <w:sz w:val="20"/>
                <w:szCs w:val="20"/>
              </w:rPr>
              <w:t xml:space="preserve"> Assume the 1 new facility has two recovery furnaces with 1 ESP for each recovery furnace. We estimate that it will take 8 hours per semiannual period each year to keep records demonstrating compliance with the requirement to maintain proper operation of the ESP AVC for 183.67 recovery furnace and lime kiln ESPs (183 existing ESPs + 2 new ESPs in the third year/3 years = 183.67).</w:t>
            </w:r>
          </w:p>
        </w:tc>
      </w:tr>
      <w:tr w:rsidR="00932658" w:rsidRPr="00932658" w14:paraId="29AD2668" w14:textId="77777777" w:rsidTr="00DC0AFD">
        <w:trPr>
          <w:trHeight w:val="378"/>
        </w:trPr>
        <w:tc>
          <w:tcPr>
            <w:tcW w:w="13045" w:type="dxa"/>
            <w:gridSpan w:val="9"/>
            <w:tcBorders>
              <w:top w:val="nil"/>
              <w:left w:val="nil"/>
              <w:bottom w:val="nil"/>
              <w:right w:val="nil"/>
            </w:tcBorders>
            <w:shd w:val="clear" w:color="auto" w:fill="auto"/>
            <w:vAlign w:val="center"/>
            <w:hideMark/>
          </w:tcPr>
          <w:p w14:paraId="4AB555E6" w14:textId="77777777" w:rsidR="00932658" w:rsidRPr="001A4B1C" w:rsidRDefault="00932658" w:rsidP="00932658">
            <w:pPr>
              <w:widowControl/>
              <w:autoSpaceDE/>
              <w:autoSpaceDN/>
              <w:adjustRightInd/>
              <w:rPr>
                <w:sz w:val="20"/>
                <w:szCs w:val="20"/>
              </w:rPr>
            </w:pPr>
            <w:r w:rsidRPr="001A4B1C">
              <w:rPr>
                <w:sz w:val="20"/>
                <w:szCs w:val="20"/>
                <w:vertAlign w:val="superscript"/>
              </w:rPr>
              <w:t>n</w:t>
            </w:r>
            <w:r w:rsidRPr="001A4B1C">
              <w:rPr>
                <w:sz w:val="20"/>
                <w:szCs w:val="20"/>
              </w:rPr>
              <w:t xml:space="preserve">  We estimate that 5% of respondents (5% x 107.33 respondents = 5) will fail to meet standards each year. We estimate that each respondent will take 2 hours 12 times per year to keep records of failures to meet the standards.</w:t>
            </w:r>
          </w:p>
        </w:tc>
      </w:tr>
      <w:tr w:rsidR="00932658" w:rsidRPr="00932658" w14:paraId="135E80AC" w14:textId="77777777" w:rsidTr="00DC0AFD">
        <w:trPr>
          <w:trHeight w:val="441"/>
        </w:trPr>
        <w:tc>
          <w:tcPr>
            <w:tcW w:w="13045" w:type="dxa"/>
            <w:gridSpan w:val="9"/>
            <w:tcBorders>
              <w:top w:val="nil"/>
              <w:left w:val="nil"/>
              <w:bottom w:val="nil"/>
              <w:right w:val="nil"/>
            </w:tcBorders>
            <w:shd w:val="clear" w:color="auto" w:fill="auto"/>
            <w:vAlign w:val="center"/>
            <w:hideMark/>
          </w:tcPr>
          <w:p w14:paraId="72A7330D" w14:textId="77777777" w:rsidR="00932658" w:rsidRPr="001A4B1C" w:rsidRDefault="00932658" w:rsidP="00932658">
            <w:pPr>
              <w:widowControl/>
              <w:autoSpaceDE/>
              <w:autoSpaceDN/>
              <w:adjustRightInd/>
              <w:rPr>
                <w:sz w:val="20"/>
                <w:szCs w:val="20"/>
              </w:rPr>
            </w:pPr>
            <w:r w:rsidRPr="001A4B1C">
              <w:rPr>
                <w:sz w:val="20"/>
                <w:szCs w:val="20"/>
                <w:vertAlign w:val="superscript"/>
              </w:rPr>
              <w:t>o</w:t>
            </w:r>
            <w:r w:rsidRPr="001A4B1C">
              <w:rPr>
                <w:sz w:val="20"/>
                <w:szCs w:val="20"/>
              </w:rPr>
              <w:t xml:space="preserve">  We estimate 104 existing kraft, soda, and stand-alone semichemical pulp mills have recovery furnaces or other chemical recovery combustion units that will need to keep records of black liquor solids firing rate. We estimate that each respondent will take 1.5 hours 52 times per year to keep these records.</w:t>
            </w:r>
          </w:p>
        </w:tc>
      </w:tr>
      <w:tr w:rsidR="00932658" w:rsidRPr="00932658" w14:paraId="289D5AFD" w14:textId="77777777" w:rsidTr="00932658">
        <w:trPr>
          <w:trHeight w:val="300"/>
        </w:trPr>
        <w:tc>
          <w:tcPr>
            <w:tcW w:w="13045" w:type="dxa"/>
            <w:gridSpan w:val="9"/>
            <w:tcBorders>
              <w:top w:val="nil"/>
              <w:left w:val="nil"/>
              <w:bottom w:val="nil"/>
              <w:right w:val="nil"/>
            </w:tcBorders>
            <w:shd w:val="clear" w:color="auto" w:fill="auto"/>
            <w:noWrap/>
            <w:vAlign w:val="center"/>
            <w:hideMark/>
          </w:tcPr>
          <w:p w14:paraId="2B7AFF35" w14:textId="77777777" w:rsidR="00932658" w:rsidRPr="001A4B1C" w:rsidRDefault="00932658" w:rsidP="00932658">
            <w:pPr>
              <w:widowControl/>
              <w:autoSpaceDE/>
              <w:autoSpaceDN/>
              <w:adjustRightInd/>
              <w:rPr>
                <w:sz w:val="20"/>
                <w:szCs w:val="20"/>
              </w:rPr>
            </w:pPr>
            <w:r w:rsidRPr="001A4B1C">
              <w:rPr>
                <w:sz w:val="20"/>
                <w:szCs w:val="20"/>
                <w:vertAlign w:val="superscript"/>
              </w:rPr>
              <w:t>p</w:t>
            </w:r>
            <w:r w:rsidRPr="001A4B1C">
              <w:rPr>
                <w:sz w:val="20"/>
                <w:szCs w:val="20"/>
              </w:rPr>
              <w:t xml:space="preserve">  We estimate 98 existing kraft and soda pulp mills have lime kilns that will need to keep records of lime production rate. We estimate that each respondent will take 1.5 hours 52 times per year to keep these records.</w:t>
            </w:r>
          </w:p>
        </w:tc>
      </w:tr>
      <w:tr w:rsidR="00932658" w:rsidRPr="00932658" w14:paraId="377C3B99" w14:textId="77777777" w:rsidTr="00932658">
        <w:trPr>
          <w:trHeight w:val="480"/>
        </w:trPr>
        <w:tc>
          <w:tcPr>
            <w:tcW w:w="13045" w:type="dxa"/>
            <w:gridSpan w:val="9"/>
            <w:tcBorders>
              <w:top w:val="nil"/>
              <w:left w:val="nil"/>
              <w:bottom w:val="nil"/>
              <w:right w:val="nil"/>
            </w:tcBorders>
            <w:shd w:val="clear" w:color="auto" w:fill="auto"/>
            <w:vAlign w:val="center"/>
            <w:hideMark/>
          </w:tcPr>
          <w:p w14:paraId="37B8615F" w14:textId="62995492" w:rsidR="00932658" w:rsidRPr="001A4B1C" w:rsidRDefault="00932658" w:rsidP="00932658">
            <w:pPr>
              <w:widowControl/>
              <w:autoSpaceDE/>
              <w:autoSpaceDN/>
              <w:adjustRightInd/>
              <w:rPr>
                <w:sz w:val="20"/>
                <w:szCs w:val="20"/>
              </w:rPr>
            </w:pPr>
            <w:r w:rsidRPr="001A4B1C">
              <w:rPr>
                <w:sz w:val="20"/>
                <w:szCs w:val="20"/>
                <w:vertAlign w:val="superscript"/>
              </w:rPr>
              <w:t>q</w:t>
            </w:r>
            <w:r w:rsidRPr="001A4B1C">
              <w:rPr>
                <w:sz w:val="20"/>
                <w:szCs w:val="20"/>
              </w:rPr>
              <w:t xml:space="preserve">  For the 1 new facility, assume each of the 2 NDCE recovery furnaces has a smelt dissolving tank (SDT) with a wet scrubber. We estimate that each respondent will take 0.5 hours 1,050 times per year to record wet scrubber and regenerative thermal oxidizer (RTO) parameters at all existing 107.33 mills (107 existing sources + 1 new source in third year/3 years=107.33).</w:t>
            </w:r>
          </w:p>
        </w:tc>
      </w:tr>
      <w:tr w:rsidR="00932658" w:rsidRPr="00932658" w14:paraId="6267DC14" w14:textId="77777777" w:rsidTr="00DC0AFD">
        <w:trPr>
          <w:trHeight w:val="153"/>
        </w:trPr>
        <w:tc>
          <w:tcPr>
            <w:tcW w:w="11515" w:type="dxa"/>
            <w:gridSpan w:val="8"/>
            <w:tcBorders>
              <w:top w:val="nil"/>
              <w:left w:val="nil"/>
              <w:bottom w:val="nil"/>
              <w:right w:val="nil"/>
            </w:tcBorders>
            <w:shd w:val="clear" w:color="auto" w:fill="auto"/>
            <w:noWrap/>
            <w:vAlign w:val="center"/>
            <w:hideMark/>
          </w:tcPr>
          <w:p w14:paraId="34073E5D" w14:textId="77777777" w:rsidR="00932658" w:rsidRPr="001A4B1C" w:rsidRDefault="00932658" w:rsidP="00932658">
            <w:pPr>
              <w:widowControl/>
              <w:autoSpaceDE/>
              <w:autoSpaceDN/>
              <w:adjustRightInd/>
              <w:rPr>
                <w:sz w:val="20"/>
                <w:szCs w:val="20"/>
              </w:rPr>
            </w:pPr>
            <w:r w:rsidRPr="001A4B1C">
              <w:rPr>
                <w:sz w:val="20"/>
                <w:szCs w:val="20"/>
                <w:vertAlign w:val="superscript"/>
              </w:rPr>
              <w:t>r</w:t>
            </w:r>
            <w:r w:rsidRPr="001A4B1C">
              <w:rPr>
                <w:sz w:val="20"/>
                <w:szCs w:val="20"/>
              </w:rPr>
              <w:t xml:space="preserve">  We estimate that it will take the respondent 40 hours (1 week) once per year for initial training of personnel with new sources (4 new respondents/3 years) = 1.33). </w:t>
            </w:r>
          </w:p>
        </w:tc>
        <w:tc>
          <w:tcPr>
            <w:tcW w:w="1530" w:type="dxa"/>
            <w:tcBorders>
              <w:top w:val="nil"/>
              <w:left w:val="nil"/>
              <w:bottom w:val="nil"/>
              <w:right w:val="nil"/>
            </w:tcBorders>
            <w:shd w:val="clear" w:color="auto" w:fill="auto"/>
            <w:noWrap/>
            <w:vAlign w:val="bottom"/>
            <w:hideMark/>
          </w:tcPr>
          <w:p w14:paraId="14F05133" w14:textId="77777777" w:rsidR="00932658" w:rsidRPr="00932658" w:rsidRDefault="00932658" w:rsidP="00932658">
            <w:pPr>
              <w:widowControl/>
              <w:autoSpaceDE/>
              <w:autoSpaceDN/>
              <w:adjustRightInd/>
              <w:rPr>
                <w:sz w:val="16"/>
                <w:szCs w:val="16"/>
              </w:rPr>
            </w:pPr>
          </w:p>
        </w:tc>
      </w:tr>
      <w:tr w:rsidR="00932658" w:rsidRPr="00932658" w14:paraId="6972A92A" w14:textId="77777777" w:rsidTr="00DC0AFD">
        <w:trPr>
          <w:trHeight w:val="234"/>
        </w:trPr>
        <w:tc>
          <w:tcPr>
            <w:tcW w:w="10435" w:type="dxa"/>
            <w:gridSpan w:val="7"/>
            <w:tcBorders>
              <w:top w:val="nil"/>
              <w:left w:val="nil"/>
              <w:bottom w:val="nil"/>
              <w:right w:val="nil"/>
            </w:tcBorders>
            <w:shd w:val="clear" w:color="auto" w:fill="auto"/>
            <w:noWrap/>
            <w:vAlign w:val="center"/>
            <w:hideMark/>
          </w:tcPr>
          <w:p w14:paraId="4572E134" w14:textId="77777777" w:rsidR="00932658" w:rsidRPr="001A4B1C" w:rsidRDefault="00932658" w:rsidP="00932658">
            <w:pPr>
              <w:widowControl/>
              <w:autoSpaceDE/>
              <w:autoSpaceDN/>
              <w:adjustRightInd/>
              <w:rPr>
                <w:color w:val="000000"/>
                <w:sz w:val="20"/>
                <w:szCs w:val="20"/>
              </w:rPr>
            </w:pPr>
            <w:r w:rsidRPr="001A4B1C">
              <w:rPr>
                <w:color w:val="000000"/>
                <w:sz w:val="20"/>
                <w:szCs w:val="20"/>
                <w:vertAlign w:val="superscript"/>
              </w:rPr>
              <w:t>s</w:t>
            </w:r>
            <w:r w:rsidRPr="001A4B1C">
              <w:rPr>
                <w:color w:val="000000"/>
                <w:sz w:val="20"/>
                <w:szCs w:val="20"/>
              </w:rPr>
              <w:t xml:space="preserve">  We estimate  that it will take each respondent 16 hours to provide refresher training each year for personnel at all 107 existing mills.</w:t>
            </w:r>
          </w:p>
        </w:tc>
        <w:tc>
          <w:tcPr>
            <w:tcW w:w="1080" w:type="dxa"/>
            <w:tcBorders>
              <w:top w:val="nil"/>
              <w:left w:val="nil"/>
              <w:bottom w:val="nil"/>
              <w:right w:val="nil"/>
            </w:tcBorders>
            <w:shd w:val="clear" w:color="auto" w:fill="auto"/>
            <w:noWrap/>
            <w:vAlign w:val="bottom"/>
            <w:hideMark/>
          </w:tcPr>
          <w:p w14:paraId="63365DFB" w14:textId="77777777" w:rsidR="00932658" w:rsidRPr="00932658" w:rsidRDefault="00932658" w:rsidP="00932658">
            <w:pPr>
              <w:widowControl/>
              <w:autoSpaceDE/>
              <w:autoSpaceDN/>
              <w:adjustRightInd/>
              <w:rPr>
                <w:color w:val="000000"/>
                <w:sz w:val="16"/>
                <w:szCs w:val="16"/>
              </w:rPr>
            </w:pPr>
          </w:p>
        </w:tc>
        <w:tc>
          <w:tcPr>
            <w:tcW w:w="1530" w:type="dxa"/>
            <w:tcBorders>
              <w:top w:val="nil"/>
              <w:left w:val="nil"/>
              <w:bottom w:val="nil"/>
              <w:right w:val="nil"/>
            </w:tcBorders>
            <w:shd w:val="clear" w:color="auto" w:fill="auto"/>
            <w:noWrap/>
            <w:vAlign w:val="bottom"/>
            <w:hideMark/>
          </w:tcPr>
          <w:p w14:paraId="37C05B13" w14:textId="77777777" w:rsidR="00932658" w:rsidRPr="00932658" w:rsidRDefault="00932658" w:rsidP="00932658">
            <w:pPr>
              <w:widowControl/>
              <w:autoSpaceDE/>
              <w:autoSpaceDN/>
              <w:adjustRightInd/>
              <w:rPr>
                <w:sz w:val="20"/>
                <w:szCs w:val="20"/>
              </w:rPr>
            </w:pPr>
          </w:p>
        </w:tc>
      </w:tr>
      <w:tr w:rsidR="00932658" w:rsidRPr="00932658" w14:paraId="528244EA" w14:textId="77777777" w:rsidTr="00DC0AFD">
        <w:trPr>
          <w:trHeight w:val="819"/>
        </w:trPr>
        <w:tc>
          <w:tcPr>
            <w:tcW w:w="13045" w:type="dxa"/>
            <w:gridSpan w:val="9"/>
            <w:tcBorders>
              <w:top w:val="nil"/>
              <w:left w:val="nil"/>
              <w:bottom w:val="nil"/>
              <w:right w:val="nil"/>
            </w:tcBorders>
            <w:shd w:val="clear" w:color="auto" w:fill="auto"/>
            <w:vAlign w:val="center"/>
            <w:hideMark/>
          </w:tcPr>
          <w:p w14:paraId="6ED0921D" w14:textId="77777777" w:rsidR="00932658" w:rsidRPr="001A4B1C" w:rsidRDefault="00932658" w:rsidP="00932658">
            <w:pPr>
              <w:widowControl/>
              <w:autoSpaceDE/>
              <w:autoSpaceDN/>
              <w:adjustRightInd/>
              <w:rPr>
                <w:color w:val="000000"/>
                <w:sz w:val="20"/>
                <w:szCs w:val="20"/>
              </w:rPr>
            </w:pPr>
            <w:r w:rsidRPr="001A4B1C">
              <w:rPr>
                <w:color w:val="000000"/>
                <w:sz w:val="20"/>
                <w:szCs w:val="20"/>
                <w:vertAlign w:val="superscript"/>
              </w:rPr>
              <w:t>t</w:t>
            </w:r>
            <w:r w:rsidRPr="001A4B1C">
              <w:rPr>
                <w:color w:val="000000"/>
                <w:sz w:val="20"/>
                <w:szCs w:val="20"/>
              </w:rPr>
              <w:t xml:space="preserve">  Over the period October 11, 2017 through October 11, 2020, due to the RTR amendments published on October 11, 2017, we estimated that it would take each respondent 80 hours to make a one-time adjustment to existing data acquisition systems to include startup and shutdown periods and the revised opacity monitoring allowances, and to transition to electronic excess emissions reporting. This ICR includes the burden for the period November 1, 2018 through October 31, 2020, which equates to 2/3 of the original 80-hour estimate, or 53.3 hours. Averaged over the 3 years of this ICR, this burden equates to 17.8 hours per year for 107 respondents. </w:t>
            </w:r>
          </w:p>
        </w:tc>
      </w:tr>
      <w:tr w:rsidR="00932658" w:rsidRPr="00932658" w14:paraId="4BA6DBA8" w14:textId="77777777" w:rsidTr="00DC0AFD">
        <w:trPr>
          <w:trHeight w:val="261"/>
        </w:trPr>
        <w:tc>
          <w:tcPr>
            <w:tcW w:w="13045" w:type="dxa"/>
            <w:gridSpan w:val="9"/>
            <w:tcBorders>
              <w:top w:val="nil"/>
              <w:left w:val="nil"/>
              <w:bottom w:val="nil"/>
              <w:right w:val="nil"/>
            </w:tcBorders>
            <w:shd w:val="clear" w:color="auto" w:fill="auto"/>
            <w:noWrap/>
            <w:vAlign w:val="center"/>
            <w:hideMark/>
          </w:tcPr>
          <w:p w14:paraId="6A9AB1E0" w14:textId="77777777" w:rsidR="00932658" w:rsidRPr="001A4B1C" w:rsidRDefault="00932658" w:rsidP="00932658">
            <w:pPr>
              <w:widowControl/>
              <w:autoSpaceDE/>
              <w:autoSpaceDN/>
              <w:adjustRightInd/>
              <w:rPr>
                <w:sz w:val="20"/>
                <w:szCs w:val="20"/>
              </w:rPr>
            </w:pPr>
            <w:r w:rsidRPr="001A4B1C">
              <w:rPr>
                <w:sz w:val="20"/>
                <w:szCs w:val="20"/>
                <w:vertAlign w:val="superscript"/>
              </w:rPr>
              <w:t>u</w:t>
            </w:r>
            <w:r w:rsidRPr="001A4B1C">
              <w:rPr>
                <w:sz w:val="20"/>
                <w:szCs w:val="20"/>
              </w:rPr>
              <w:t xml:space="preserve">  We estimate that each respondent will take 96 hours per semiannual period to compile data for all 107.33 mills (107 existing sources + 1 new sources in third year/3 years=107.33).</w:t>
            </w:r>
          </w:p>
        </w:tc>
      </w:tr>
      <w:tr w:rsidR="00932658" w:rsidRPr="00932658" w14:paraId="15DE7158" w14:textId="77777777" w:rsidTr="00DC0AFD">
        <w:trPr>
          <w:trHeight w:val="234"/>
        </w:trPr>
        <w:tc>
          <w:tcPr>
            <w:tcW w:w="13045" w:type="dxa"/>
            <w:gridSpan w:val="9"/>
            <w:tcBorders>
              <w:top w:val="nil"/>
              <w:left w:val="nil"/>
              <w:bottom w:val="nil"/>
              <w:right w:val="nil"/>
            </w:tcBorders>
            <w:shd w:val="clear" w:color="auto" w:fill="auto"/>
            <w:noWrap/>
            <w:vAlign w:val="center"/>
            <w:hideMark/>
          </w:tcPr>
          <w:p w14:paraId="5B458A7B" w14:textId="77777777" w:rsidR="00932658" w:rsidRPr="001A4B1C" w:rsidRDefault="00932658" w:rsidP="00932658">
            <w:pPr>
              <w:widowControl/>
              <w:autoSpaceDE/>
              <w:autoSpaceDN/>
              <w:adjustRightInd/>
              <w:rPr>
                <w:sz w:val="20"/>
                <w:szCs w:val="20"/>
              </w:rPr>
            </w:pPr>
            <w:r w:rsidRPr="001A4B1C">
              <w:rPr>
                <w:sz w:val="20"/>
                <w:szCs w:val="20"/>
                <w:vertAlign w:val="superscript"/>
              </w:rPr>
              <w:t>v</w:t>
            </w:r>
            <w:r w:rsidRPr="001A4B1C">
              <w:rPr>
                <w:sz w:val="20"/>
                <w:szCs w:val="20"/>
              </w:rPr>
              <w:t xml:space="preserve">  We estimate that each respondent will take 8 hours two times per year to verify information for reports for all 107.33 mills (107 existing sources + 1 new sources in third year/3 years=107.33).</w:t>
            </w:r>
          </w:p>
        </w:tc>
      </w:tr>
      <w:tr w:rsidR="00932658" w:rsidRPr="00932658" w14:paraId="17BBC56B" w14:textId="77777777" w:rsidTr="00932658">
        <w:trPr>
          <w:trHeight w:val="300"/>
        </w:trPr>
        <w:tc>
          <w:tcPr>
            <w:tcW w:w="6657" w:type="dxa"/>
            <w:gridSpan w:val="4"/>
            <w:tcBorders>
              <w:top w:val="nil"/>
              <w:left w:val="nil"/>
              <w:bottom w:val="nil"/>
              <w:right w:val="nil"/>
            </w:tcBorders>
            <w:shd w:val="clear" w:color="auto" w:fill="auto"/>
            <w:noWrap/>
            <w:vAlign w:val="center"/>
            <w:hideMark/>
          </w:tcPr>
          <w:p w14:paraId="11AEFC96" w14:textId="77777777" w:rsidR="00932658" w:rsidRPr="001A4B1C" w:rsidRDefault="00932658" w:rsidP="00932658">
            <w:pPr>
              <w:widowControl/>
              <w:autoSpaceDE/>
              <w:autoSpaceDN/>
              <w:adjustRightInd/>
              <w:rPr>
                <w:sz w:val="20"/>
                <w:szCs w:val="20"/>
              </w:rPr>
            </w:pPr>
            <w:r w:rsidRPr="001A4B1C">
              <w:rPr>
                <w:sz w:val="20"/>
                <w:szCs w:val="20"/>
                <w:vertAlign w:val="superscript"/>
              </w:rPr>
              <w:t>w</w:t>
            </w:r>
            <w:r w:rsidRPr="001A4B1C">
              <w:rPr>
                <w:sz w:val="20"/>
                <w:szCs w:val="20"/>
              </w:rPr>
              <w:t xml:space="preserve">  Totals have been rounded to 3 significant figures. Figures may not add exactly due to rounding.</w:t>
            </w:r>
          </w:p>
        </w:tc>
        <w:tc>
          <w:tcPr>
            <w:tcW w:w="1306" w:type="dxa"/>
            <w:tcBorders>
              <w:top w:val="nil"/>
              <w:left w:val="nil"/>
              <w:bottom w:val="nil"/>
              <w:right w:val="nil"/>
            </w:tcBorders>
            <w:shd w:val="clear" w:color="auto" w:fill="auto"/>
            <w:noWrap/>
            <w:vAlign w:val="bottom"/>
            <w:hideMark/>
          </w:tcPr>
          <w:p w14:paraId="011CC224" w14:textId="77777777" w:rsidR="00932658" w:rsidRPr="00932658" w:rsidRDefault="00932658" w:rsidP="00932658">
            <w:pPr>
              <w:widowControl/>
              <w:autoSpaceDE/>
              <w:autoSpaceDN/>
              <w:adjustRightInd/>
              <w:rPr>
                <w:sz w:val="16"/>
                <w:szCs w:val="16"/>
              </w:rPr>
            </w:pPr>
          </w:p>
        </w:tc>
        <w:tc>
          <w:tcPr>
            <w:tcW w:w="1050" w:type="dxa"/>
            <w:tcBorders>
              <w:top w:val="nil"/>
              <w:left w:val="nil"/>
              <w:bottom w:val="nil"/>
              <w:right w:val="nil"/>
            </w:tcBorders>
            <w:shd w:val="clear" w:color="auto" w:fill="auto"/>
            <w:noWrap/>
            <w:vAlign w:val="bottom"/>
            <w:hideMark/>
          </w:tcPr>
          <w:p w14:paraId="475082AB" w14:textId="77777777" w:rsidR="00932658" w:rsidRPr="00932658" w:rsidRDefault="00932658" w:rsidP="00932658">
            <w:pPr>
              <w:widowControl/>
              <w:autoSpaceDE/>
              <w:autoSpaceDN/>
              <w:adjustRightInd/>
              <w:rPr>
                <w:sz w:val="20"/>
                <w:szCs w:val="20"/>
              </w:rPr>
            </w:pPr>
          </w:p>
        </w:tc>
        <w:tc>
          <w:tcPr>
            <w:tcW w:w="1422" w:type="dxa"/>
            <w:tcBorders>
              <w:top w:val="nil"/>
              <w:left w:val="nil"/>
              <w:bottom w:val="nil"/>
              <w:right w:val="nil"/>
            </w:tcBorders>
            <w:shd w:val="clear" w:color="auto" w:fill="auto"/>
            <w:noWrap/>
            <w:vAlign w:val="bottom"/>
            <w:hideMark/>
          </w:tcPr>
          <w:p w14:paraId="76B1BEAC" w14:textId="77777777" w:rsidR="00932658" w:rsidRPr="00932658" w:rsidRDefault="00932658" w:rsidP="00932658">
            <w:pPr>
              <w:widowControl/>
              <w:autoSpaceDE/>
              <w:autoSpaceDN/>
              <w:adjustRightInd/>
              <w:rPr>
                <w:sz w:val="20"/>
                <w:szCs w:val="20"/>
              </w:rPr>
            </w:pPr>
          </w:p>
        </w:tc>
        <w:tc>
          <w:tcPr>
            <w:tcW w:w="1080" w:type="dxa"/>
            <w:tcBorders>
              <w:top w:val="nil"/>
              <w:left w:val="nil"/>
              <w:bottom w:val="nil"/>
              <w:right w:val="nil"/>
            </w:tcBorders>
            <w:shd w:val="clear" w:color="auto" w:fill="auto"/>
            <w:noWrap/>
            <w:vAlign w:val="bottom"/>
            <w:hideMark/>
          </w:tcPr>
          <w:p w14:paraId="1BECCF03" w14:textId="77777777" w:rsidR="00932658" w:rsidRPr="00932658" w:rsidRDefault="00932658" w:rsidP="00932658">
            <w:pPr>
              <w:widowControl/>
              <w:autoSpaceDE/>
              <w:autoSpaceDN/>
              <w:adjustRightInd/>
              <w:rPr>
                <w:sz w:val="20"/>
                <w:szCs w:val="20"/>
              </w:rPr>
            </w:pPr>
          </w:p>
        </w:tc>
        <w:tc>
          <w:tcPr>
            <w:tcW w:w="1530" w:type="dxa"/>
            <w:tcBorders>
              <w:top w:val="nil"/>
              <w:left w:val="nil"/>
              <w:bottom w:val="nil"/>
              <w:right w:val="nil"/>
            </w:tcBorders>
            <w:shd w:val="clear" w:color="auto" w:fill="auto"/>
            <w:noWrap/>
            <w:vAlign w:val="bottom"/>
            <w:hideMark/>
          </w:tcPr>
          <w:p w14:paraId="66CE69C0" w14:textId="77777777" w:rsidR="00932658" w:rsidRPr="00932658" w:rsidRDefault="00932658" w:rsidP="00932658">
            <w:pPr>
              <w:widowControl/>
              <w:autoSpaceDE/>
              <w:autoSpaceDN/>
              <w:adjustRightInd/>
              <w:rPr>
                <w:sz w:val="20"/>
                <w:szCs w:val="20"/>
              </w:rPr>
            </w:pPr>
          </w:p>
        </w:tc>
      </w:tr>
    </w:tbl>
    <w:p w14:paraId="4B53BC23" w14:textId="77777777" w:rsidR="00A64F37" w:rsidRDefault="00A64F37">
      <w:pPr>
        <w:widowControl/>
        <w:autoSpaceDE/>
        <w:autoSpaceDN/>
        <w:adjustRightInd/>
        <w:spacing w:after="160" w:line="259" w:lineRule="auto"/>
        <w:rPr>
          <w:b/>
          <w:bCs/>
          <w:color w:val="000000"/>
        </w:rPr>
      </w:pPr>
      <w:r>
        <w:rPr>
          <w:b/>
          <w:bCs/>
          <w:color w:val="000000"/>
        </w:rPr>
        <w:br w:type="page"/>
      </w:r>
    </w:p>
    <w:p w14:paraId="31FD858B" w14:textId="007D63DA" w:rsidR="004962EC" w:rsidRDefault="004962EC" w:rsidP="00875FE4">
      <w:pPr>
        <w:outlineLvl w:val="0"/>
        <w:rPr>
          <w:b/>
        </w:rPr>
      </w:pPr>
      <w:r w:rsidRPr="00C4183F">
        <w:rPr>
          <w:b/>
          <w:bCs/>
          <w:color w:val="000000"/>
        </w:rPr>
        <w:t>Table 2:</w:t>
      </w:r>
      <w:r>
        <w:rPr>
          <w:b/>
          <w:bCs/>
          <w:color w:val="000000"/>
        </w:rPr>
        <w:t xml:space="preserve"> A</w:t>
      </w:r>
      <w:r w:rsidRPr="0058339E">
        <w:rPr>
          <w:b/>
          <w:bCs/>
          <w:color w:val="000000"/>
        </w:rPr>
        <w:t>verage Annual EPA Burden a</w:t>
      </w:r>
      <w:r w:rsidRPr="00BA372A">
        <w:rPr>
          <w:b/>
          <w:bCs/>
        </w:rPr>
        <w:t xml:space="preserve">nd Cost – </w:t>
      </w:r>
      <w:r w:rsidRPr="00BA372A">
        <w:rPr>
          <w:b/>
        </w:rPr>
        <w:t xml:space="preserve">NESHAP for </w:t>
      </w:r>
      <w:r w:rsidR="00264789">
        <w:rPr>
          <w:b/>
        </w:rPr>
        <w:t>Chemical Recovery Combustion Sources at Kraft, Soda, Sulfite, and Stand-Alone Semichemical Pulp Mills</w:t>
      </w:r>
      <w:r w:rsidRPr="00BA372A">
        <w:rPr>
          <w:b/>
          <w:bCs/>
        </w:rPr>
        <w:t xml:space="preserve"> (40 CFR Part 63, </w:t>
      </w:r>
      <w:r w:rsidR="00264789">
        <w:rPr>
          <w:b/>
          <w:bCs/>
        </w:rPr>
        <w:t>Subpart MM</w:t>
      </w:r>
      <w:r w:rsidRPr="00BA372A">
        <w:rPr>
          <w:b/>
        </w:rPr>
        <w:t>) (Renewal)</w:t>
      </w:r>
    </w:p>
    <w:p w14:paraId="656C5D16" w14:textId="77777777" w:rsidR="00932658" w:rsidRPr="003E2595" w:rsidRDefault="00932658" w:rsidP="00875FE4">
      <w:pPr>
        <w:outlineLvl w:val="0"/>
        <w:rPr>
          <w:b/>
          <w:bCs/>
          <w:color w:val="000000"/>
        </w:rPr>
      </w:pPr>
    </w:p>
    <w:tbl>
      <w:tblPr>
        <w:tblW w:w="12818" w:type="dxa"/>
        <w:tblLook w:val="04A0" w:firstRow="1" w:lastRow="0" w:firstColumn="1" w:lastColumn="0" w:noHBand="0" w:noVBand="1"/>
      </w:tblPr>
      <w:tblGrid>
        <w:gridCol w:w="3955"/>
        <w:gridCol w:w="1160"/>
        <w:gridCol w:w="1238"/>
        <w:gridCol w:w="986"/>
        <w:gridCol w:w="881"/>
        <w:gridCol w:w="1050"/>
        <w:gridCol w:w="1338"/>
        <w:gridCol w:w="894"/>
        <w:gridCol w:w="1316"/>
      </w:tblGrid>
      <w:tr w:rsidR="00932658" w:rsidRPr="00932658" w14:paraId="025C124A" w14:textId="77777777" w:rsidTr="00DC0AFD">
        <w:trPr>
          <w:trHeight w:val="1785"/>
        </w:trPr>
        <w:tc>
          <w:tcPr>
            <w:tcW w:w="3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A53CB" w14:textId="77777777" w:rsidR="00932658" w:rsidRPr="00932658" w:rsidRDefault="00932658" w:rsidP="00932658">
            <w:pPr>
              <w:widowControl/>
              <w:autoSpaceDE/>
              <w:autoSpaceDN/>
              <w:adjustRightInd/>
              <w:rPr>
                <w:b/>
                <w:bCs/>
                <w:color w:val="000000"/>
                <w:sz w:val="20"/>
                <w:szCs w:val="20"/>
              </w:rPr>
            </w:pPr>
            <w:r w:rsidRPr="00932658">
              <w:rPr>
                <w:b/>
                <w:bCs/>
                <w:color w:val="000000"/>
                <w:sz w:val="20"/>
                <w:szCs w:val="20"/>
              </w:rPr>
              <w:t>Activity</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4B3D94E5" w14:textId="77777777" w:rsidR="00932658" w:rsidRPr="00932658" w:rsidRDefault="00932658" w:rsidP="00932658">
            <w:pPr>
              <w:widowControl/>
              <w:autoSpaceDE/>
              <w:autoSpaceDN/>
              <w:adjustRightInd/>
              <w:jc w:val="center"/>
              <w:rPr>
                <w:b/>
                <w:bCs/>
                <w:color w:val="000000"/>
                <w:sz w:val="20"/>
                <w:szCs w:val="20"/>
              </w:rPr>
            </w:pPr>
            <w:r w:rsidRPr="00932658">
              <w:rPr>
                <w:b/>
                <w:bCs/>
                <w:color w:val="000000"/>
                <w:sz w:val="20"/>
                <w:szCs w:val="20"/>
              </w:rPr>
              <w:t xml:space="preserve">(A) </w:t>
            </w:r>
            <w:r w:rsidRPr="00932658">
              <w:rPr>
                <w:b/>
                <w:bCs/>
                <w:color w:val="000000"/>
                <w:sz w:val="20"/>
                <w:szCs w:val="20"/>
              </w:rPr>
              <w:br/>
              <w:t>EPA person- 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148602AA" w14:textId="77777777" w:rsidR="00932658" w:rsidRPr="00932658" w:rsidRDefault="00932658" w:rsidP="00932658">
            <w:pPr>
              <w:widowControl/>
              <w:autoSpaceDE/>
              <w:autoSpaceDN/>
              <w:adjustRightInd/>
              <w:jc w:val="center"/>
              <w:rPr>
                <w:b/>
                <w:bCs/>
                <w:color w:val="000000"/>
                <w:sz w:val="20"/>
                <w:szCs w:val="20"/>
              </w:rPr>
            </w:pPr>
            <w:r w:rsidRPr="00932658">
              <w:rPr>
                <w:b/>
                <w:bCs/>
                <w:color w:val="000000"/>
                <w:sz w:val="20"/>
                <w:szCs w:val="20"/>
              </w:rPr>
              <w:t xml:space="preserve">(B) </w:t>
            </w:r>
            <w:r w:rsidRPr="00932658">
              <w:rPr>
                <w:b/>
                <w:bCs/>
                <w:color w:val="000000"/>
                <w:sz w:val="20"/>
                <w:szCs w:val="20"/>
              </w:rPr>
              <w:br/>
              <w:t>No. of occurrences per plant per year</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7420F5B1" w14:textId="77777777" w:rsidR="00932658" w:rsidRPr="00932658" w:rsidRDefault="00932658" w:rsidP="00932658">
            <w:pPr>
              <w:widowControl/>
              <w:autoSpaceDE/>
              <w:autoSpaceDN/>
              <w:adjustRightInd/>
              <w:jc w:val="center"/>
              <w:rPr>
                <w:b/>
                <w:bCs/>
                <w:color w:val="000000"/>
                <w:sz w:val="20"/>
                <w:szCs w:val="20"/>
              </w:rPr>
            </w:pPr>
            <w:r w:rsidRPr="00932658">
              <w:rPr>
                <w:b/>
                <w:bCs/>
                <w:color w:val="000000"/>
                <w:sz w:val="20"/>
                <w:szCs w:val="20"/>
              </w:rPr>
              <w:t xml:space="preserve">(C) </w:t>
            </w:r>
            <w:r w:rsidRPr="00932658">
              <w:rPr>
                <w:b/>
                <w:bCs/>
                <w:color w:val="000000"/>
                <w:sz w:val="20"/>
                <w:szCs w:val="20"/>
              </w:rPr>
              <w:br/>
              <w:t>EPA person- hours per plant per year (C=AxB)</w:t>
            </w:r>
          </w:p>
        </w:tc>
        <w:tc>
          <w:tcPr>
            <w:tcW w:w="881" w:type="dxa"/>
            <w:tcBorders>
              <w:top w:val="single" w:sz="4" w:space="0" w:color="auto"/>
              <w:left w:val="nil"/>
              <w:bottom w:val="single" w:sz="4" w:space="0" w:color="auto"/>
              <w:right w:val="single" w:sz="4" w:space="0" w:color="auto"/>
            </w:tcBorders>
            <w:shd w:val="clear" w:color="auto" w:fill="auto"/>
            <w:vAlign w:val="center"/>
            <w:hideMark/>
          </w:tcPr>
          <w:p w14:paraId="2F7E8183" w14:textId="77777777" w:rsidR="00932658" w:rsidRPr="00932658" w:rsidRDefault="00932658" w:rsidP="00932658">
            <w:pPr>
              <w:widowControl/>
              <w:autoSpaceDE/>
              <w:autoSpaceDN/>
              <w:adjustRightInd/>
              <w:jc w:val="center"/>
              <w:rPr>
                <w:b/>
                <w:bCs/>
                <w:color w:val="000000"/>
                <w:sz w:val="20"/>
                <w:szCs w:val="20"/>
              </w:rPr>
            </w:pPr>
            <w:r w:rsidRPr="00932658">
              <w:rPr>
                <w:b/>
                <w:bCs/>
                <w:color w:val="000000"/>
                <w:sz w:val="20"/>
                <w:szCs w:val="20"/>
              </w:rPr>
              <w:t xml:space="preserve">(D) </w:t>
            </w:r>
            <w:r w:rsidRPr="00932658">
              <w:rPr>
                <w:b/>
                <w:bCs/>
                <w:color w:val="000000"/>
                <w:sz w:val="20"/>
                <w:szCs w:val="20"/>
              </w:rPr>
              <w:br/>
              <w:t xml:space="preserve">Plants per year </w:t>
            </w:r>
            <w:r w:rsidRPr="00932658">
              <w:rPr>
                <w:b/>
                <w:bCs/>
                <w:color w:val="00000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233B3BF5" w14:textId="77777777" w:rsidR="00932658" w:rsidRPr="00932658" w:rsidRDefault="00932658" w:rsidP="00932658">
            <w:pPr>
              <w:widowControl/>
              <w:autoSpaceDE/>
              <w:autoSpaceDN/>
              <w:adjustRightInd/>
              <w:jc w:val="center"/>
              <w:rPr>
                <w:b/>
                <w:bCs/>
                <w:color w:val="000000"/>
                <w:sz w:val="20"/>
                <w:szCs w:val="20"/>
              </w:rPr>
            </w:pPr>
            <w:r w:rsidRPr="00932658">
              <w:rPr>
                <w:b/>
                <w:bCs/>
                <w:color w:val="000000"/>
                <w:sz w:val="20"/>
                <w:szCs w:val="20"/>
              </w:rPr>
              <w:t xml:space="preserve">(E) </w:t>
            </w:r>
            <w:r w:rsidRPr="00932658">
              <w:rPr>
                <w:b/>
                <w:bCs/>
                <w:color w:val="000000"/>
                <w:sz w:val="20"/>
                <w:szCs w:val="20"/>
              </w:rPr>
              <w:br/>
              <w:t>Technical person hr/yr (E=CxD)</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3277F6C7" w14:textId="77777777" w:rsidR="00932658" w:rsidRPr="00932658" w:rsidRDefault="00932658" w:rsidP="00932658">
            <w:pPr>
              <w:widowControl/>
              <w:autoSpaceDE/>
              <w:autoSpaceDN/>
              <w:adjustRightInd/>
              <w:jc w:val="center"/>
              <w:rPr>
                <w:b/>
                <w:bCs/>
                <w:color w:val="000000"/>
                <w:sz w:val="20"/>
                <w:szCs w:val="20"/>
              </w:rPr>
            </w:pPr>
            <w:r w:rsidRPr="00932658">
              <w:rPr>
                <w:b/>
                <w:bCs/>
                <w:color w:val="000000"/>
                <w:sz w:val="20"/>
                <w:szCs w:val="20"/>
              </w:rPr>
              <w:t xml:space="preserve">(F) </w:t>
            </w:r>
            <w:r w:rsidRPr="00932658">
              <w:rPr>
                <w:b/>
                <w:bCs/>
                <w:color w:val="000000"/>
                <w:sz w:val="20"/>
                <w:szCs w:val="20"/>
              </w:rPr>
              <w:br/>
              <w:t>Management person hr/yr (Ex0.05)</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3F4302CA" w14:textId="77777777" w:rsidR="00932658" w:rsidRPr="00932658" w:rsidRDefault="00932658" w:rsidP="00932658">
            <w:pPr>
              <w:widowControl/>
              <w:autoSpaceDE/>
              <w:autoSpaceDN/>
              <w:adjustRightInd/>
              <w:jc w:val="center"/>
              <w:rPr>
                <w:b/>
                <w:bCs/>
                <w:color w:val="000000"/>
                <w:sz w:val="20"/>
                <w:szCs w:val="20"/>
              </w:rPr>
            </w:pPr>
            <w:r w:rsidRPr="00932658">
              <w:rPr>
                <w:b/>
                <w:bCs/>
                <w:color w:val="000000"/>
                <w:sz w:val="20"/>
                <w:szCs w:val="20"/>
              </w:rPr>
              <w:t xml:space="preserve">(G) </w:t>
            </w:r>
            <w:r w:rsidRPr="00932658">
              <w:rPr>
                <w:b/>
                <w:bCs/>
                <w:color w:val="000000"/>
                <w:sz w:val="20"/>
                <w:szCs w:val="20"/>
              </w:rPr>
              <w:br/>
              <w:t>Clerical person hr/yr (Ex0.1)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8CED8B3" w14:textId="77777777" w:rsidR="00932658" w:rsidRPr="00932658" w:rsidRDefault="00932658" w:rsidP="00932658">
            <w:pPr>
              <w:widowControl/>
              <w:autoSpaceDE/>
              <w:autoSpaceDN/>
              <w:adjustRightInd/>
              <w:jc w:val="center"/>
              <w:rPr>
                <w:b/>
                <w:bCs/>
                <w:color w:val="000000"/>
                <w:sz w:val="20"/>
                <w:szCs w:val="20"/>
              </w:rPr>
            </w:pPr>
            <w:r w:rsidRPr="00932658">
              <w:rPr>
                <w:b/>
                <w:bCs/>
                <w:color w:val="000000"/>
                <w:sz w:val="20"/>
                <w:szCs w:val="20"/>
              </w:rPr>
              <w:t xml:space="preserve">(H) </w:t>
            </w:r>
            <w:r w:rsidRPr="00932658">
              <w:rPr>
                <w:b/>
                <w:bCs/>
                <w:color w:val="000000"/>
                <w:sz w:val="20"/>
                <w:szCs w:val="20"/>
              </w:rPr>
              <w:br/>
              <w:t xml:space="preserve">Cost, $ </w:t>
            </w:r>
            <w:r w:rsidRPr="00932658">
              <w:rPr>
                <w:b/>
                <w:bCs/>
                <w:color w:val="000000"/>
                <w:vertAlign w:val="superscript"/>
              </w:rPr>
              <w:t>b</w:t>
            </w:r>
          </w:p>
        </w:tc>
      </w:tr>
      <w:tr w:rsidR="00932658" w:rsidRPr="00932658" w14:paraId="7C17CF92" w14:textId="77777777" w:rsidTr="00DC0AFD">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21364A65" w14:textId="77777777" w:rsidR="00932658" w:rsidRPr="001A4B1C" w:rsidRDefault="00932658" w:rsidP="00932658">
            <w:pPr>
              <w:widowControl/>
              <w:autoSpaceDE/>
              <w:autoSpaceDN/>
              <w:adjustRightInd/>
              <w:rPr>
                <w:color w:val="000000"/>
                <w:sz w:val="20"/>
                <w:szCs w:val="20"/>
              </w:rPr>
            </w:pPr>
            <w:r w:rsidRPr="001A4B1C">
              <w:rPr>
                <w:color w:val="000000"/>
                <w:sz w:val="20"/>
                <w:szCs w:val="20"/>
              </w:rPr>
              <w:t xml:space="preserve">1. Attend initial/periodic performance test </w:t>
            </w:r>
            <w:r w:rsidRPr="001A4B1C">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3AD0D04C"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24</w:t>
            </w:r>
          </w:p>
        </w:tc>
        <w:tc>
          <w:tcPr>
            <w:tcW w:w="1238" w:type="dxa"/>
            <w:tcBorders>
              <w:top w:val="nil"/>
              <w:left w:val="nil"/>
              <w:bottom w:val="single" w:sz="4" w:space="0" w:color="auto"/>
              <w:right w:val="single" w:sz="4" w:space="0" w:color="auto"/>
            </w:tcBorders>
            <w:shd w:val="clear" w:color="auto" w:fill="auto"/>
            <w:vAlign w:val="center"/>
            <w:hideMark/>
          </w:tcPr>
          <w:p w14:paraId="77D3C8A6"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12C58EBB"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24</w:t>
            </w:r>
          </w:p>
        </w:tc>
        <w:tc>
          <w:tcPr>
            <w:tcW w:w="881" w:type="dxa"/>
            <w:tcBorders>
              <w:top w:val="nil"/>
              <w:left w:val="nil"/>
              <w:bottom w:val="single" w:sz="4" w:space="0" w:color="auto"/>
              <w:right w:val="single" w:sz="4" w:space="0" w:color="auto"/>
            </w:tcBorders>
            <w:shd w:val="clear" w:color="auto" w:fill="auto"/>
            <w:vAlign w:val="center"/>
            <w:hideMark/>
          </w:tcPr>
          <w:p w14:paraId="40014A51"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3.6</w:t>
            </w:r>
          </w:p>
        </w:tc>
        <w:tc>
          <w:tcPr>
            <w:tcW w:w="1050" w:type="dxa"/>
            <w:tcBorders>
              <w:top w:val="nil"/>
              <w:left w:val="nil"/>
              <w:bottom w:val="single" w:sz="4" w:space="0" w:color="auto"/>
              <w:right w:val="single" w:sz="4" w:space="0" w:color="auto"/>
            </w:tcBorders>
            <w:shd w:val="clear" w:color="auto" w:fill="auto"/>
            <w:vAlign w:val="center"/>
            <w:hideMark/>
          </w:tcPr>
          <w:p w14:paraId="0C8CC99D"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86.4</w:t>
            </w:r>
          </w:p>
        </w:tc>
        <w:tc>
          <w:tcPr>
            <w:tcW w:w="1338" w:type="dxa"/>
            <w:tcBorders>
              <w:top w:val="nil"/>
              <w:left w:val="nil"/>
              <w:bottom w:val="single" w:sz="4" w:space="0" w:color="auto"/>
              <w:right w:val="single" w:sz="4" w:space="0" w:color="auto"/>
            </w:tcBorders>
            <w:shd w:val="clear" w:color="auto" w:fill="auto"/>
            <w:vAlign w:val="center"/>
            <w:hideMark/>
          </w:tcPr>
          <w:p w14:paraId="101F4AC1"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4.32</w:t>
            </w:r>
          </w:p>
        </w:tc>
        <w:tc>
          <w:tcPr>
            <w:tcW w:w="894" w:type="dxa"/>
            <w:tcBorders>
              <w:top w:val="nil"/>
              <w:left w:val="nil"/>
              <w:bottom w:val="single" w:sz="4" w:space="0" w:color="auto"/>
              <w:right w:val="single" w:sz="4" w:space="0" w:color="auto"/>
            </w:tcBorders>
            <w:shd w:val="clear" w:color="auto" w:fill="auto"/>
            <w:vAlign w:val="center"/>
            <w:hideMark/>
          </w:tcPr>
          <w:p w14:paraId="1B8382DE"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8.64</w:t>
            </w:r>
          </w:p>
        </w:tc>
        <w:tc>
          <w:tcPr>
            <w:tcW w:w="1316" w:type="dxa"/>
            <w:tcBorders>
              <w:top w:val="nil"/>
              <w:left w:val="nil"/>
              <w:bottom w:val="single" w:sz="4" w:space="0" w:color="auto"/>
              <w:right w:val="single" w:sz="4" w:space="0" w:color="auto"/>
            </w:tcBorders>
            <w:shd w:val="clear" w:color="auto" w:fill="auto"/>
            <w:vAlign w:val="center"/>
            <w:hideMark/>
          </w:tcPr>
          <w:p w14:paraId="1F402D55" w14:textId="77777777" w:rsidR="00932658" w:rsidRPr="001A4B1C" w:rsidRDefault="00932658" w:rsidP="00932658">
            <w:pPr>
              <w:widowControl/>
              <w:autoSpaceDE/>
              <w:autoSpaceDN/>
              <w:adjustRightInd/>
              <w:ind w:firstLineChars="100" w:firstLine="200"/>
              <w:jc w:val="right"/>
              <w:rPr>
                <w:color w:val="000000"/>
                <w:sz w:val="20"/>
                <w:szCs w:val="20"/>
              </w:rPr>
            </w:pPr>
            <w:r w:rsidRPr="001A4B1C">
              <w:rPr>
                <w:color w:val="000000"/>
                <w:sz w:val="20"/>
                <w:szCs w:val="20"/>
              </w:rPr>
              <w:t xml:space="preserve">$4,724.01 </w:t>
            </w:r>
          </w:p>
        </w:tc>
      </w:tr>
      <w:tr w:rsidR="00932658" w:rsidRPr="00932658" w14:paraId="4CD2B235" w14:textId="77777777" w:rsidTr="00DC0AFD">
        <w:trPr>
          <w:trHeight w:val="300"/>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38830EFF" w14:textId="77777777" w:rsidR="00932658" w:rsidRPr="001A4B1C" w:rsidRDefault="00932658" w:rsidP="00932658">
            <w:pPr>
              <w:widowControl/>
              <w:autoSpaceDE/>
              <w:autoSpaceDN/>
              <w:adjustRightInd/>
              <w:rPr>
                <w:color w:val="000000"/>
                <w:sz w:val="20"/>
                <w:szCs w:val="20"/>
              </w:rPr>
            </w:pPr>
            <w:r w:rsidRPr="001A4B1C">
              <w:rPr>
                <w:color w:val="000000"/>
                <w:sz w:val="20"/>
                <w:szCs w:val="20"/>
              </w:rPr>
              <w:t xml:space="preserve">2. Attend retest </w:t>
            </w:r>
            <w:r w:rsidRPr="001A4B1C">
              <w:rPr>
                <w:color w:val="000000"/>
                <w:sz w:val="20"/>
                <w:szCs w:val="20"/>
                <w:vertAlign w:val="superscript"/>
              </w:rPr>
              <w:t>c,d</w:t>
            </w:r>
          </w:p>
        </w:tc>
        <w:tc>
          <w:tcPr>
            <w:tcW w:w="1160" w:type="dxa"/>
            <w:tcBorders>
              <w:top w:val="nil"/>
              <w:left w:val="nil"/>
              <w:bottom w:val="single" w:sz="4" w:space="0" w:color="auto"/>
              <w:right w:val="single" w:sz="4" w:space="0" w:color="auto"/>
            </w:tcBorders>
            <w:shd w:val="clear" w:color="auto" w:fill="auto"/>
            <w:vAlign w:val="center"/>
            <w:hideMark/>
          </w:tcPr>
          <w:p w14:paraId="16E32953"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24</w:t>
            </w:r>
          </w:p>
        </w:tc>
        <w:tc>
          <w:tcPr>
            <w:tcW w:w="1238" w:type="dxa"/>
            <w:tcBorders>
              <w:top w:val="nil"/>
              <w:left w:val="nil"/>
              <w:bottom w:val="single" w:sz="4" w:space="0" w:color="auto"/>
              <w:right w:val="single" w:sz="4" w:space="0" w:color="auto"/>
            </w:tcBorders>
            <w:shd w:val="clear" w:color="auto" w:fill="auto"/>
            <w:vAlign w:val="center"/>
            <w:hideMark/>
          </w:tcPr>
          <w:p w14:paraId="23B52314"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770F8C81"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24</w:t>
            </w:r>
          </w:p>
        </w:tc>
        <w:tc>
          <w:tcPr>
            <w:tcW w:w="881" w:type="dxa"/>
            <w:tcBorders>
              <w:top w:val="nil"/>
              <w:left w:val="nil"/>
              <w:bottom w:val="single" w:sz="4" w:space="0" w:color="auto"/>
              <w:right w:val="single" w:sz="4" w:space="0" w:color="auto"/>
            </w:tcBorders>
            <w:shd w:val="clear" w:color="auto" w:fill="auto"/>
            <w:vAlign w:val="center"/>
            <w:hideMark/>
          </w:tcPr>
          <w:p w14:paraId="2A8E33B1"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0.7</w:t>
            </w:r>
          </w:p>
        </w:tc>
        <w:tc>
          <w:tcPr>
            <w:tcW w:w="1050" w:type="dxa"/>
            <w:tcBorders>
              <w:top w:val="nil"/>
              <w:left w:val="nil"/>
              <w:bottom w:val="single" w:sz="4" w:space="0" w:color="auto"/>
              <w:right w:val="single" w:sz="4" w:space="0" w:color="auto"/>
            </w:tcBorders>
            <w:shd w:val="clear" w:color="auto" w:fill="auto"/>
            <w:vAlign w:val="center"/>
            <w:hideMark/>
          </w:tcPr>
          <w:p w14:paraId="2C61C679"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16.8</w:t>
            </w:r>
          </w:p>
        </w:tc>
        <w:tc>
          <w:tcPr>
            <w:tcW w:w="1338" w:type="dxa"/>
            <w:tcBorders>
              <w:top w:val="nil"/>
              <w:left w:val="nil"/>
              <w:bottom w:val="single" w:sz="4" w:space="0" w:color="auto"/>
              <w:right w:val="single" w:sz="4" w:space="0" w:color="auto"/>
            </w:tcBorders>
            <w:shd w:val="clear" w:color="auto" w:fill="auto"/>
            <w:vAlign w:val="center"/>
            <w:hideMark/>
          </w:tcPr>
          <w:p w14:paraId="3E07DA23"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0.84</w:t>
            </w:r>
          </w:p>
        </w:tc>
        <w:tc>
          <w:tcPr>
            <w:tcW w:w="894" w:type="dxa"/>
            <w:tcBorders>
              <w:top w:val="nil"/>
              <w:left w:val="nil"/>
              <w:bottom w:val="single" w:sz="4" w:space="0" w:color="auto"/>
              <w:right w:val="single" w:sz="4" w:space="0" w:color="auto"/>
            </w:tcBorders>
            <w:shd w:val="clear" w:color="auto" w:fill="auto"/>
            <w:vAlign w:val="center"/>
            <w:hideMark/>
          </w:tcPr>
          <w:p w14:paraId="4E4843CF"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1.68</w:t>
            </w:r>
          </w:p>
        </w:tc>
        <w:tc>
          <w:tcPr>
            <w:tcW w:w="1316" w:type="dxa"/>
            <w:tcBorders>
              <w:top w:val="nil"/>
              <w:left w:val="nil"/>
              <w:bottom w:val="single" w:sz="4" w:space="0" w:color="auto"/>
              <w:right w:val="single" w:sz="4" w:space="0" w:color="auto"/>
            </w:tcBorders>
            <w:shd w:val="clear" w:color="auto" w:fill="auto"/>
            <w:vAlign w:val="center"/>
            <w:hideMark/>
          </w:tcPr>
          <w:p w14:paraId="455E46E6" w14:textId="77777777" w:rsidR="00932658" w:rsidRPr="001A4B1C" w:rsidRDefault="00932658" w:rsidP="00932658">
            <w:pPr>
              <w:widowControl/>
              <w:autoSpaceDE/>
              <w:autoSpaceDN/>
              <w:adjustRightInd/>
              <w:ind w:firstLineChars="100" w:firstLine="200"/>
              <w:jc w:val="right"/>
              <w:rPr>
                <w:color w:val="000000"/>
                <w:sz w:val="20"/>
                <w:szCs w:val="20"/>
              </w:rPr>
            </w:pPr>
            <w:r w:rsidRPr="001A4B1C">
              <w:rPr>
                <w:color w:val="000000"/>
                <w:sz w:val="20"/>
                <w:szCs w:val="20"/>
              </w:rPr>
              <w:t xml:space="preserve">$918.56 </w:t>
            </w:r>
          </w:p>
        </w:tc>
      </w:tr>
      <w:tr w:rsidR="00932658" w:rsidRPr="00932658" w14:paraId="4E6E590D" w14:textId="77777777" w:rsidTr="00DC0AFD">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4A0B6E20" w14:textId="77777777" w:rsidR="00932658" w:rsidRPr="001A4B1C" w:rsidRDefault="00932658" w:rsidP="00932658">
            <w:pPr>
              <w:widowControl/>
              <w:autoSpaceDE/>
              <w:autoSpaceDN/>
              <w:adjustRightInd/>
              <w:rPr>
                <w:color w:val="000000"/>
                <w:sz w:val="20"/>
                <w:szCs w:val="20"/>
              </w:rPr>
            </w:pPr>
            <w:r w:rsidRPr="001A4B1C">
              <w:rPr>
                <w:color w:val="000000"/>
                <w:sz w:val="20"/>
                <w:szCs w:val="20"/>
              </w:rPr>
              <w:t>3. Report review</w:t>
            </w:r>
          </w:p>
        </w:tc>
        <w:tc>
          <w:tcPr>
            <w:tcW w:w="1160" w:type="dxa"/>
            <w:tcBorders>
              <w:top w:val="nil"/>
              <w:left w:val="nil"/>
              <w:bottom w:val="single" w:sz="4" w:space="0" w:color="auto"/>
              <w:right w:val="single" w:sz="4" w:space="0" w:color="auto"/>
            </w:tcBorders>
            <w:shd w:val="clear" w:color="auto" w:fill="auto"/>
            <w:vAlign w:val="center"/>
            <w:hideMark/>
          </w:tcPr>
          <w:p w14:paraId="338C976B" w14:textId="77777777" w:rsidR="00932658" w:rsidRPr="001A4B1C" w:rsidRDefault="00932658" w:rsidP="00932658">
            <w:pPr>
              <w:widowControl/>
              <w:autoSpaceDE/>
              <w:autoSpaceDN/>
              <w:adjustRightInd/>
              <w:rPr>
                <w:color w:val="000000"/>
                <w:sz w:val="20"/>
                <w:szCs w:val="20"/>
              </w:rPr>
            </w:pPr>
            <w:r w:rsidRPr="001A4B1C">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3399BCE3" w14:textId="77777777" w:rsidR="00932658" w:rsidRPr="001A4B1C" w:rsidRDefault="00932658" w:rsidP="00932658">
            <w:pPr>
              <w:widowControl/>
              <w:autoSpaceDE/>
              <w:autoSpaceDN/>
              <w:adjustRightInd/>
              <w:rPr>
                <w:color w:val="000000"/>
                <w:sz w:val="20"/>
                <w:szCs w:val="20"/>
              </w:rPr>
            </w:pPr>
            <w:r w:rsidRPr="001A4B1C">
              <w:rPr>
                <w:color w:val="000000"/>
                <w:sz w:val="20"/>
                <w:szCs w:val="20"/>
              </w:rPr>
              <w:t> </w:t>
            </w:r>
          </w:p>
        </w:tc>
        <w:tc>
          <w:tcPr>
            <w:tcW w:w="986" w:type="dxa"/>
            <w:tcBorders>
              <w:top w:val="nil"/>
              <w:left w:val="nil"/>
              <w:bottom w:val="single" w:sz="4" w:space="0" w:color="auto"/>
              <w:right w:val="single" w:sz="4" w:space="0" w:color="auto"/>
            </w:tcBorders>
            <w:shd w:val="clear" w:color="auto" w:fill="auto"/>
            <w:vAlign w:val="center"/>
            <w:hideMark/>
          </w:tcPr>
          <w:p w14:paraId="2BF02237" w14:textId="77777777" w:rsidR="00932658" w:rsidRPr="001A4B1C" w:rsidRDefault="00932658" w:rsidP="00932658">
            <w:pPr>
              <w:widowControl/>
              <w:autoSpaceDE/>
              <w:autoSpaceDN/>
              <w:adjustRightInd/>
              <w:rPr>
                <w:color w:val="000000"/>
                <w:sz w:val="20"/>
                <w:szCs w:val="20"/>
              </w:rPr>
            </w:pPr>
            <w:r w:rsidRPr="001A4B1C">
              <w:rPr>
                <w:color w:val="000000"/>
                <w:sz w:val="20"/>
                <w:szCs w:val="20"/>
              </w:rPr>
              <w:t> </w:t>
            </w:r>
          </w:p>
        </w:tc>
        <w:tc>
          <w:tcPr>
            <w:tcW w:w="881" w:type="dxa"/>
            <w:tcBorders>
              <w:top w:val="nil"/>
              <w:left w:val="nil"/>
              <w:bottom w:val="single" w:sz="4" w:space="0" w:color="auto"/>
              <w:right w:val="single" w:sz="4" w:space="0" w:color="auto"/>
            </w:tcBorders>
            <w:shd w:val="clear" w:color="auto" w:fill="auto"/>
            <w:vAlign w:val="center"/>
            <w:hideMark/>
          </w:tcPr>
          <w:p w14:paraId="365D51FA" w14:textId="77777777" w:rsidR="00932658" w:rsidRPr="001A4B1C" w:rsidRDefault="00932658" w:rsidP="00932658">
            <w:pPr>
              <w:widowControl/>
              <w:autoSpaceDE/>
              <w:autoSpaceDN/>
              <w:adjustRightInd/>
              <w:rPr>
                <w:color w:val="000000"/>
                <w:sz w:val="20"/>
                <w:szCs w:val="20"/>
              </w:rPr>
            </w:pPr>
            <w:r w:rsidRPr="001A4B1C">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351EADED" w14:textId="77777777" w:rsidR="00932658" w:rsidRPr="001A4B1C" w:rsidRDefault="00932658" w:rsidP="00932658">
            <w:pPr>
              <w:widowControl/>
              <w:autoSpaceDE/>
              <w:autoSpaceDN/>
              <w:adjustRightInd/>
              <w:rPr>
                <w:color w:val="000000"/>
                <w:sz w:val="20"/>
                <w:szCs w:val="20"/>
              </w:rPr>
            </w:pPr>
            <w:r w:rsidRPr="001A4B1C">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75032939" w14:textId="77777777" w:rsidR="00932658" w:rsidRPr="001A4B1C" w:rsidRDefault="00932658" w:rsidP="00932658">
            <w:pPr>
              <w:widowControl/>
              <w:autoSpaceDE/>
              <w:autoSpaceDN/>
              <w:adjustRightInd/>
              <w:rPr>
                <w:color w:val="000000"/>
                <w:sz w:val="20"/>
                <w:szCs w:val="20"/>
              </w:rPr>
            </w:pPr>
            <w:r w:rsidRPr="001A4B1C">
              <w:rPr>
                <w:color w:val="000000"/>
                <w:sz w:val="20"/>
                <w:szCs w:val="20"/>
              </w:rPr>
              <w:t> </w:t>
            </w:r>
          </w:p>
        </w:tc>
        <w:tc>
          <w:tcPr>
            <w:tcW w:w="894" w:type="dxa"/>
            <w:tcBorders>
              <w:top w:val="nil"/>
              <w:left w:val="nil"/>
              <w:bottom w:val="single" w:sz="4" w:space="0" w:color="auto"/>
              <w:right w:val="single" w:sz="4" w:space="0" w:color="auto"/>
            </w:tcBorders>
            <w:shd w:val="clear" w:color="auto" w:fill="auto"/>
            <w:vAlign w:val="center"/>
            <w:hideMark/>
          </w:tcPr>
          <w:p w14:paraId="15515E87" w14:textId="77777777" w:rsidR="00932658" w:rsidRPr="001A4B1C" w:rsidRDefault="00932658" w:rsidP="00932658">
            <w:pPr>
              <w:widowControl/>
              <w:autoSpaceDE/>
              <w:autoSpaceDN/>
              <w:adjustRightInd/>
              <w:rPr>
                <w:color w:val="000000"/>
                <w:sz w:val="20"/>
                <w:szCs w:val="20"/>
              </w:rPr>
            </w:pPr>
            <w:r w:rsidRPr="001A4B1C">
              <w:rPr>
                <w:color w:val="000000"/>
                <w:sz w:val="20"/>
                <w:szCs w:val="20"/>
              </w:rPr>
              <w:t> </w:t>
            </w:r>
          </w:p>
        </w:tc>
        <w:tc>
          <w:tcPr>
            <w:tcW w:w="1316" w:type="dxa"/>
            <w:tcBorders>
              <w:top w:val="nil"/>
              <w:left w:val="nil"/>
              <w:bottom w:val="single" w:sz="4" w:space="0" w:color="auto"/>
              <w:right w:val="single" w:sz="4" w:space="0" w:color="auto"/>
            </w:tcBorders>
            <w:shd w:val="clear" w:color="auto" w:fill="auto"/>
            <w:vAlign w:val="center"/>
            <w:hideMark/>
          </w:tcPr>
          <w:p w14:paraId="6DA42D64" w14:textId="77777777" w:rsidR="00932658" w:rsidRPr="001A4B1C" w:rsidRDefault="00932658" w:rsidP="00932658">
            <w:pPr>
              <w:widowControl/>
              <w:autoSpaceDE/>
              <w:autoSpaceDN/>
              <w:adjustRightInd/>
              <w:ind w:firstLineChars="100" w:firstLine="200"/>
              <w:jc w:val="right"/>
              <w:rPr>
                <w:color w:val="000000"/>
                <w:sz w:val="20"/>
                <w:szCs w:val="20"/>
              </w:rPr>
            </w:pPr>
            <w:r w:rsidRPr="001A4B1C">
              <w:rPr>
                <w:color w:val="000000"/>
                <w:sz w:val="20"/>
                <w:szCs w:val="20"/>
              </w:rPr>
              <w:t> </w:t>
            </w:r>
          </w:p>
        </w:tc>
      </w:tr>
      <w:tr w:rsidR="00932658" w:rsidRPr="00932658" w14:paraId="5AB99912" w14:textId="77777777" w:rsidTr="00DC0AFD">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7A5B2E25" w14:textId="77777777" w:rsidR="00932658" w:rsidRPr="001A4B1C" w:rsidRDefault="00932658" w:rsidP="00932658">
            <w:pPr>
              <w:widowControl/>
              <w:autoSpaceDE/>
              <w:autoSpaceDN/>
              <w:adjustRightInd/>
              <w:ind w:firstLineChars="100" w:firstLine="200"/>
              <w:rPr>
                <w:color w:val="000000"/>
                <w:sz w:val="20"/>
                <w:szCs w:val="20"/>
              </w:rPr>
            </w:pPr>
            <w:r w:rsidRPr="001A4B1C">
              <w:rPr>
                <w:color w:val="000000"/>
                <w:sz w:val="20"/>
                <w:szCs w:val="20"/>
              </w:rPr>
              <w:t xml:space="preserve">Notification of construction/reconstruction </w:t>
            </w:r>
            <w:r w:rsidRPr="001A4B1C">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vAlign w:val="center"/>
            <w:hideMark/>
          </w:tcPr>
          <w:p w14:paraId="17064D43"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67CEB4B7"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7FF7C537"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2</w:t>
            </w:r>
          </w:p>
        </w:tc>
        <w:tc>
          <w:tcPr>
            <w:tcW w:w="881" w:type="dxa"/>
            <w:tcBorders>
              <w:top w:val="nil"/>
              <w:left w:val="nil"/>
              <w:bottom w:val="single" w:sz="4" w:space="0" w:color="auto"/>
              <w:right w:val="single" w:sz="4" w:space="0" w:color="auto"/>
            </w:tcBorders>
            <w:shd w:val="clear" w:color="auto" w:fill="auto"/>
            <w:vAlign w:val="center"/>
            <w:hideMark/>
          </w:tcPr>
          <w:p w14:paraId="5F55CF08"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1.33</w:t>
            </w:r>
          </w:p>
        </w:tc>
        <w:tc>
          <w:tcPr>
            <w:tcW w:w="1050" w:type="dxa"/>
            <w:tcBorders>
              <w:top w:val="nil"/>
              <w:left w:val="nil"/>
              <w:bottom w:val="single" w:sz="4" w:space="0" w:color="auto"/>
              <w:right w:val="single" w:sz="4" w:space="0" w:color="auto"/>
            </w:tcBorders>
            <w:shd w:val="clear" w:color="auto" w:fill="auto"/>
            <w:vAlign w:val="center"/>
            <w:hideMark/>
          </w:tcPr>
          <w:p w14:paraId="79F45014"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2.67</w:t>
            </w:r>
          </w:p>
        </w:tc>
        <w:tc>
          <w:tcPr>
            <w:tcW w:w="1338" w:type="dxa"/>
            <w:tcBorders>
              <w:top w:val="nil"/>
              <w:left w:val="nil"/>
              <w:bottom w:val="single" w:sz="4" w:space="0" w:color="auto"/>
              <w:right w:val="single" w:sz="4" w:space="0" w:color="auto"/>
            </w:tcBorders>
            <w:shd w:val="clear" w:color="auto" w:fill="auto"/>
            <w:vAlign w:val="center"/>
            <w:hideMark/>
          </w:tcPr>
          <w:p w14:paraId="2CB0F7DE"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0.13</w:t>
            </w:r>
          </w:p>
        </w:tc>
        <w:tc>
          <w:tcPr>
            <w:tcW w:w="894" w:type="dxa"/>
            <w:tcBorders>
              <w:top w:val="nil"/>
              <w:left w:val="nil"/>
              <w:bottom w:val="single" w:sz="4" w:space="0" w:color="auto"/>
              <w:right w:val="single" w:sz="4" w:space="0" w:color="auto"/>
            </w:tcBorders>
            <w:shd w:val="clear" w:color="auto" w:fill="auto"/>
            <w:vAlign w:val="center"/>
            <w:hideMark/>
          </w:tcPr>
          <w:p w14:paraId="1C21C901"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0.27</w:t>
            </w:r>
          </w:p>
        </w:tc>
        <w:tc>
          <w:tcPr>
            <w:tcW w:w="1316" w:type="dxa"/>
            <w:tcBorders>
              <w:top w:val="nil"/>
              <w:left w:val="nil"/>
              <w:bottom w:val="single" w:sz="4" w:space="0" w:color="auto"/>
              <w:right w:val="single" w:sz="4" w:space="0" w:color="auto"/>
            </w:tcBorders>
            <w:shd w:val="clear" w:color="auto" w:fill="auto"/>
            <w:vAlign w:val="center"/>
            <w:hideMark/>
          </w:tcPr>
          <w:p w14:paraId="5728FE88" w14:textId="77777777" w:rsidR="00932658" w:rsidRPr="001A4B1C" w:rsidRDefault="00932658" w:rsidP="00932658">
            <w:pPr>
              <w:widowControl/>
              <w:autoSpaceDE/>
              <w:autoSpaceDN/>
              <w:adjustRightInd/>
              <w:ind w:firstLineChars="100" w:firstLine="200"/>
              <w:jc w:val="right"/>
              <w:rPr>
                <w:color w:val="000000"/>
                <w:sz w:val="20"/>
                <w:szCs w:val="20"/>
              </w:rPr>
            </w:pPr>
            <w:r w:rsidRPr="001A4B1C">
              <w:rPr>
                <w:color w:val="000000"/>
                <w:sz w:val="20"/>
                <w:szCs w:val="20"/>
              </w:rPr>
              <w:t xml:space="preserve">$145.80 </w:t>
            </w:r>
          </w:p>
        </w:tc>
      </w:tr>
      <w:tr w:rsidR="00932658" w:rsidRPr="00932658" w14:paraId="7D285E47" w14:textId="77777777" w:rsidTr="00DC0AFD">
        <w:trPr>
          <w:trHeight w:val="495"/>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1D32366F" w14:textId="77777777" w:rsidR="00932658" w:rsidRPr="001A4B1C" w:rsidRDefault="00932658" w:rsidP="00932658">
            <w:pPr>
              <w:widowControl/>
              <w:autoSpaceDE/>
              <w:autoSpaceDN/>
              <w:adjustRightInd/>
              <w:ind w:firstLineChars="100" w:firstLine="200"/>
              <w:rPr>
                <w:color w:val="000000"/>
                <w:sz w:val="20"/>
                <w:szCs w:val="20"/>
              </w:rPr>
            </w:pPr>
            <w:r w:rsidRPr="001A4B1C">
              <w:rPr>
                <w:color w:val="000000"/>
                <w:sz w:val="20"/>
                <w:szCs w:val="20"/>
              </w:rPr>
              <w:t xml:space="preserve">Notification of actual startup </w:t>
            </w:r>
            <w:r w:rsidRPr="001A4B1C">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vAlign w:val="center"/>
            <w:hideMark/>
          </w:tcPr>
          <w:p w14:paraId="2A5F1392"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1C7E9A50"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3FF2B379"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2</w:t>
            </w:r>
          </w:p>
        </w:tc>
        <w:tc>
          <w:tcPr>
            <w:tcW w:w="881" w:type="dxa"/>
            <w:tcBorders>
              <w:top w:val="nil"/>
              <w:left w:val="nil"/>
              <w:bottom w:val="single" w:sz="4" w:space="0" w:color="auto"/>
              <w:right w:val="single" w:sz="4" w:space="0" w:color="auto"/>
            </w:tcBorders>
            <w:shd w:val="clear" w:color="auto" w:fill="auto"/>
            <w:vAlign w:val="center"/>
            <w:hideMark/>
          </w:tcPr>
          <w:p w14:paraId="5CDBFC93"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1.33</w:t>
            </w:r>
          </w:p>
        </w:tc>
        <w:tc>
          <w:tcPr>
            <w:tcW w:w="1050" w:type="dxa"/>
            <w:tcBorders>
              <w:top w:val="nil"/>
              <w:left w:val="nil"/>
              <w:bottom w:val="single" w:sz="4" w:space="0" w:color="auto"/>
              <w:right w:val="single" w:sz="4" w:space="0" w:color="auto"/>
            </w:tcBorders>
            <w:shd w:val="clear" w:color="auto" w:fill="auto"/>
            <w:vAlign w:val="center"/>
            <w:hideMark/>
          </w:tcPr>
          <w:p w14:paraId="7E758883"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2.67</w:t>
            </w:r>
          </w:p>
        </w:tc>
        <w:tc>
          <w:tcPr>
            <w:tcW w:w="1338" w:type="dxa"/>
            <w:tcBorders>
              <w:top w:val="nil"/>
              <w:left w:val="nil"/>
              <w:bottom w:val="single" w:sz="4" w:space="0" w:color="auto"/>
              <w:right w:val="single" w:sz="4" w:space="0" w:color="auto"/>
            </w:tcBorders>
            <w:shd w:val="clear" w:color="auto" w:fill="auto"/>
            <w:vAlign w:val="center"/>
            <w:hideMark/>
          </w:tcPr>
          <w:p w14:paraId="7E03061E"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0.13</w:t>
            </w:r>
          </w:p>
        </w:tc>
        <w:tc>
          <w:tcPr>
            <w:tcW w:w="894" w:type="dxa"/>
            <w:tcBorders>
              <w:top w:val="nil"/>
              <w:left w:val="nil"/>
              <w:bottom w:val="single" w:sz="4" w:space="0" w:color="auto"/>
              <w:right w:val="single" w:sz="4" w:space="0" w:color="auto"/>
            </w:tcBorders>
            <w:shd w:val="clear" w:color="auto" w:fill="auto"/>
            <w:vAlign w:val="center"/>
            <w:hideMark/>
          </w:tcPr>
          <w:p w14:paraId="550EA8E7"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0.27</w:t>
            </w:r>
          </w:p>
        </w:tc>
        <w:tc>
          <w:tcPr>
            <w:tcW w:w="1316" w:type="dxa"/>
            <w:tcBorders>
              <w:top w:val="nil"/>
              <w:left w:val="nil"/>
              <w:bottom w:val="single" w:sz="4" w:space="0" w:color="auto"/>
              <w:right w:val="single" w:sz="4" w:space="0" w:color="auto"/>
            </w:tcBorders>
            <w:shd w:val="clear" w:color="auto" w:fill="auto"/>
            <w:vAlign w:val="center"/>
            <w:hideMark/>
          </w:tcPr>
          <w:p w14:paraId="2E729770" w14:textId="77777777" w:rsidR="00932658" w:rsidRPr="001A4B1C" w:rsidRDefault="00932658" w:rsidP="00932658">
            <w:pPr>
              <w:widowControl/>
              <w:autoSpaceDE/>
              <w:autoSpaceDN/>
              <w:adjustRightInd/>
              <w:ind w:firstLineChars="100" w:firstLine="200"/>
              <w:jc w:val="right"/>
              <w:rPr>
                <w:color w:val="000000"/>
                <w:sz w:val="20"/>
                <w:szCs w:val="20"/>
              </w:rPr>
            </w:pPr>
            <w:r w:rsidRPr="001A4B1C">
              <w:rPr>
                <w:color w:val="000000"/>
                <w:sz w:val="20"/>
                <w:szCs w:val="20"/>
              </w:rPr>
              <w:t xml:space="preserve">$145.80 </w:t>
            </w:r>
          </w:p>
        </w:tc>
      </w:tr>
      <w:tr w:rsidR="00932658" w:rsidRPr="00932658" w14:paraId="6846D671" w14:textId="77777777" w:rsidTr="00DC0AFD">
        <w:trPr>
          <w:trHeight w:val="42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10B5CBA6" w14:textId="77777777" w:rsidR="00932658" w:rsidRPr="001A4B1C" w:rsidRDefault="00932658" w:rsidP="00932658">
            <w:pPr>
              <w:widowControl/>
              <w:autoSpaceDE/>
              <w:autoSpaceDN/>
              <w:adjustRightInd/>
              <w:ind w:firstLineChars="100" w:firstLine="200"/>
              <w:rPr>
                <w:color w:val="000000"/>
                <w:sz w:val="20"/>
                <w:szCs w:val="20"/>
              </w:rPr>
            </w:pPr>
            <w:r w:rsidRPr="001A4B1C">
              <w:rPr>
                <w:color w:val="000000"/>
                <w:sz w:val="20"/>
                <w:szCs w:val="20"/>
              </w:rPr>
              <w:t xml:space="preserve">Notification of applicability of standard </w:t>
            </w:r>
            <w:r w:rsidRPr="001A4B1C">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vAlign w:val="center"/>
            <w:hideMark/>
          </w:tcPr>
          <w:p w14:paraId="29524A8A"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5502628E"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578BB3EE"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2</w:t>
            </w:r>
          </w:p>
        </w:tc>
        <w:tc>
          <w:tcPr>
            <w:tcW w:w="881" w:type="dxa"/>
            <w:tcBorders>
              <w:top w:val="nil"/>
              <w:left w:val="nil"/>
              <w:bottom w:val="single" w:sz="4" w:space="0" w:color="auto"/>
              <w:right w:val="single" w:sz="4" w:space="0" w:color="auto"/>
            </w:tcBorders>
            <w:shd w:val="clear" w:color="auto" w:fill="auto"/>
            <w:vAlign w:val="center"/>
            <w:hideMark/>
          </w:tcPr>
          <w:p w14:paraId="2582A334"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1.33</w:t>
            </w:r>
          </w:p>
        </w:tc>
        <w:tc>
          <w:tcPr>
            <w:tcW w:w="1050" w:type="dxa"/>
            <w:tcBorders>
              <w:top w:val="nil"/>
              <w:left w:val="nil"/>
              <w:bottom w:val="single" w:sz="4" w:space="0" w:color="auto"/>
              <w:right w:val="single" w:sz="4" w:space="0" w:color="auto"/>
            </w:tcBorders>
            <w:shd w:val="clear" w:color="auto" w:fill="auto"/>
            <w:vAlign w:val="center"/>
            <w:hideMark/>
          </w:tcPr>
          <w:p w14:paraId="1FBBD164"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2.67</w:t>
            </w:r>
          </w:p>
        </w:tc>
        <w:tc>
          <w:tcPr>
            <w:tcW w:w="1338" w:type="dxa"/>
            <w:tcBorders>
              <w:top w:val="nil"/>
              <w:left w:val="nil"/>
              <w:bottom w:val="single" w:sz="4" w:space="0" w:color="auto"/>
              <w:right w:val="single" w:sz="4" w:space="0" w:color="auto"/>
            </w:tcBorders>
            <w:shd w:val="clear" w:color="auto" w:fill="auto"/>
            <w:vAlign w:val="center"/>
            <w:hideMark/>
          </w:tcPr>
          <w:p w14:paraId="035CB875"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0.13</w:t>
            </w:r>
          </w:p>
        </w:tc>
        <w:tc>
          <w:tcPr>
            <w:tcW w:w="894" w:type="dxa"/>
            <w:tcBorders>
              <w:top w:val="nil"/>
              <w:left w:val="nil"/>
              <w:bottom w:val="single" w:sz="4" w:space="0" w:color="auto"/>
              <w:right w:val="single" w:sz="4" w:space="0" w:color="auto"/>
            </w:tcBorders>
            <w:shd w:val="clear" w:color="auto" w:fill="auto"/>
            <w:vAlign w:val="center"/>
            <w:hideMark/>
          </w:tcPr>
          <w:p w14:paraId="171D0CCA"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0.27</w:t>
            </w:r>
          </w:p>
        </w:tc>
        <w:tc>
          <w:tcPr>
            <w:tcW w:w="1316" w:type="dxa"/>
            <w:tcBorders>
              <w:top w:val="nil"/>
              <w:left w:val="nil"/>
              <w:bottom w:val="single" w:sz="4" w:space="0" w:color="auto"/>
              <w:right w:val="single" w:sz="4" w:space="0" w:color="auto"/>
            </w:tcBorders>
            <w:shd w:val="clear" w:color="auto" w:fill="auto"/>
            <w:vAlign w:val="center"/>
            <w:hideMark/>
          </w:tcPr>
          <w:p w14:paraId="50806245" w14:textId="77777777" w:rsidR="00932658" w:rsidRPr="001A4B1C" w:rsidRDefault="00932658" w:rsidP="00932658">
            <w:pPr>
              <w:widowControl/>
              <w:autoSpaceDE/>
              <w:autoSpaceDN/>
              <w:adjustRightInd/>
              <w:ind w:firstLineChars="100" w:firstLine="200"/>
              <w:jc w:val="right"/>
              <w:rPr>
                <w:color w:val="000000"/>
                <w:sz w:val="20"/>
                <w:szCs w:val="20"/>
              </w:rPr>
            </w:pPr>
            <w:r w:rsidRPr="001A4B1C">
              <w:rPr>
                <w:color w:val="000000"/>
                <w:sz w:val="20"/>
                <w:szCs w:val="20"/>
              </w:rPr>
              <w:t xml:space="preserve">$145.80 </w:t>
            </w:r>
          </w:p>
        </w:tc>
      </w:tr>
      <w:tr w:rsidR="00932658" w:rsidRPr="00932658" w14:paraId="4A56DE63" w14:textId="77777777" w:rsidTr="00DC0AFD">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009DA40B" w14:textId="77777777" w:rsidR="00932658" w:rsidRPr="001A4B1C" w:rsidRDefault="00932658" w:rsidP="00932658">
            <w:pPr>
              <w:widowControl/>
              <w:autoSpaceDE/>
              <w:autoSpaceDN/>
              <w:adjustRightInd/>
              <w:ind w:firstLineChars="100" w:firstLine="200"/>
              <w:rPr>
                <w:color w:val="000000"/>
                <w:sz w:val="20"/>
                <w:szCs w:val="20"/>
              </w:rPr>
            </w:pPr>
            <w:r w:rsidRPr="001A4B1C">
              <w:rPr>
                <w:color w:val="000000"/>
                <w:sz w:val="20"/>
                <w:szCs w:val="20"/>
              </w:rPr>
              <w:t xml:space="preserve">Notification of initial/periodic performance test </w:t>
            </w:r>
            <w:r w:rsidRPr="001A4B1C">
              <w:rPr>
                <w:color w:val="000000"/>
                <w:sz w:val="20"/>
                <w:szCs w:val="20"/>
                <w:vertAlign w:val="superscript"/>
              </w:rPr>
              <w:t>f</w:t>
            </w:r>
          </w:p>
        </w:tc>
        <w:tc>
          <w:tcPr>
            <w:tcW w:w="1160" w:type="dxa"/>
            <w:tcBorders>
              <w:top w:val="nil"/>
              <w:left w:val="nil"/>
              <w:bottom w:val="single" w:sz="4" w:space="0" w:color="auto"/>
              <w:right w:val="single" w:sz="4" w:space="0" w:color="auto"/>
            </w:tcBorders>
            <w:shd w:val="clear" w:color="auto" w:fill="auto"/>
            <w:vAlign w:val="center"/>
            <w:hideMark/>
          </w:tcPr>
          <w:p w14:paraId="3AAAD831"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4734B15C"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4B84E865"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2</w:t>
            </w:r>
          </w:p>
        </w:tc>
        <w:tc>
          <w:tcPr>
            <w:tcW w:w="881" w:type="dxa"/>
            <w:tcBorders>
              <w:top w:val="nil"/>
              <w:left w:val="nil"/>
              <w:bottom w:val="single" w:sz="4" w:space="0" w:color="auto"/>
              <w:right w:val="single" w:sz="4" w:space="0" w:color="auto"/>
            </w:tcBorders>
            <w:shd w:val="clear" w:color="auto" w:fill="auto"/>
            <w:vAlign w:val="center"/>
            <w:hideMark/>
          </w:tcPr>
          <w:p w14:paraId="44D43997"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43</w:t>
            </w:r>
          </w:p>
        </w:tc>
        <w:tc>
          <w:tcPr>
            <w:tcW w:w="1050" w:type="dxa"/>
            <w:tcBorders>
              <w:top w:val="nil"/>
              <w:left w:val="nil"/>
              <w:bottom w:val="single" w:sz="4" w:space="0" w:color="auto"/>
              <w:right w:val="single" w:sz="4" w:space="0" w:color="auto"/>
            </w:tcBorders>
            <w:shd w:val="clear" w:color="auto" w:fill="auto"/>
            <w:vAlign w:val="center"/>
            <w:hideMark/>
          </w:tcPr>
          <w:p w14:paraId="1CB239F6"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86</w:t>
            </w:r>
          </w:p>
        </w:tc>
        <w:tc>
          <w:tcPr>
            <w:tcW w:w="1338" w:type="dxa"/>
            <w:tcBorders>
              <w:top w:val="nil"/>
              <w:left w:val="nil"/>
              <w:bottom w:val="single" w:sz="4" w:space="0" w:color="auto"/>
              <w:right w:val="single" w:sz="4" w:space="0" w:color="auto"/>
            </w:tcBorders>
            <w:shd w:val="clear" w:color="auto" w:fill="auto"/>
            <w:vAlign w:val="center"/>
            <w:hideMark/>
          </w:tcPr>
          <w:p w14:paraId="7C665F9D"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4.3</w:t>
            </w:r>
          </w:p>
        </w:tc>
        <w:tc>
          <w:tcPr>
            <w:tcW w:w="894" w:type="dxa"/>
            <w:tcBorders>
              <w:top w:val="nil"/>
              <w:left w:val="nil"/>
              <w:bottom w:val="single" w:sz="4" w:space="0" w:color="auto"/>
              <w:right w:val="single" w:sz="4" w:space="0" w:color="auto"/>
            </w:tcBorders>
            <w:shd w:val="clear" w:color="auto" w:fill="auto"/>
            <w:vAlign w:val="center"/>
            <w:hideMark/>
          </w:tcPr>
          <w:p w14:paraId="7E6F14A6"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8.6</w:t>
            </w:r>
          </w:p>
        </w:tc>
        <w:tc>
          <w:tcPr>
            <w:tcW w:w="1316" w:type="dxa"/>
            <w:tcBorders>
              <w:top w:val="nil"/>
              <w:left w:val="nil"/>
              <w:bottom w:val="single" w:sz="4" w:space="0" w:color="auto"/>
              <w:right w:val="single" w:sz="4" w:space="0" w:color="auto"/>
            </w:tcBorders>
            <w:shd w:val="clear" w:color="auto" w:fill="auto"/>
            <w:vAlign w:val="center"/>
            <w:hideMark/>
          </w:tcPr>
          <w:p w14:paraId="06782602" w14:textId="77777777" w:rsidR="00932658" w:rsidRPr="001A4B1C" w:rsidRDefault="00932658" w:rsidP="00932658">
            <w:pPr>
              <w:widowControl/>
              <w:autoSpaceDE/>
              <w:autoSpaceDN/>
              <w:adjustRightInd/>
              <w:ind w:firstLineChars="100" w:firstLine="200"/>
              <w:jc w:val="right"/>
              <w:rPr>
                <w:color w:val="000000"/>
                <w:sz w:val="20"/>
                <w:szCs w:val="20"/>
              </w:rPr>
            </w:pPr>
            <w:r w:rsidRPr="001A4B1C">
              <w:rPr>
                <w:color w:val="000000"/>
                <w:sz w:val="20"/>
                <w:szCs w:val="20"/>
              </w:rPr>
              <w:t xml:space="preserve">$4,702.14 </w:t>
            </w:r>
          </w:p>
        </w:tc>
      </w:tr>
      <w:tr w:rsidR="00932658" w:rsidRPr="00932658" w14:paraId="5F538C86" w14:textId="77777777" w:rsidTr="00DC0AFD">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019E56A2" w14:textId="77777777" w:rsidR="00932658" w:rsidRPr="001A4B1C" w:rsidRDefault="00932658" w:rsidP="00932658">
            <w:pPr>
              <w:widowControl/>
              <w:autoSpaceDE/>
              <w:autoSpaceDN/>
              <w:adjustRightInd/>
              <w:ind w:firstLineChars="100" w:firstLine="200"/>
              <w:rPr>
                <w:color w:val="000000"/>
                <w:sz w:val="20"/>
                <w:szCs w:val="20"/>
              </w:rPr>
            </w:pPr>
            <w:r w:rsidRPr="001A4B1C">
              <w:rPr>
                <w:color w:val="000000"/>
                <w:sz w:val="20"/>
                <w:szCs w:val="20"/>
              </w:rPr>
              <w:t xml:space="preserve">Notification of performance evaluation </w:t>
            </w:r>
            <w:r w:rsidRPr="001A4B1C">
              <w:rPr>
                <w:color w:val="000000"/>
                <w:sz w:val="20"/>
                <w:szCs w:val="20"/>
                <w:vertAlign w:val="superscript"/>
              </w:rPr>
              <w:t>f</w:t>
            </w:r>
          </w:p>
        </w:tc>
        <w:tc>
          <w:tcPr>
            <w:tcW w:w="1160" w:type="dxa"/>
            <w:tcBorders>
              <w:top w:val="nil"/>
              <w:left w:val="nil"/>
              <w:bottom w:val="single" w:sz="4" w:space="0" w:color="auto"/>
              <w:right w:val="single" w:sz="4" w:space="0" w:color="auto"/>
            </w:tcBorders>
            <w:shd w:val="clear" w:color="auto" w:fill="auto"/>
            <w:vAlign w:val="center"/>
            <w:hideMark/>
          </w:tcPr>
          <w:p w14:paraId="326E3016"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48378E6A"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165F565C"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2</w:t>
            </w:r>
          </w:p>
        </w:tc>
        <w:tc>
          <w:tcPr>
            <w:tcW w:w="881" w:type="dxa"/>
            <w:tcBorders>
              <w:top w:val="nil"/>
              <w:left w:val="nil"/>
              <w:bottom w:val="single" w:sz="4" w:space="0" w:color="auto"/>
              <w:right w:val="single" w:sz="4" w:space="0" w:color="auto"/>
            </w:tcBorders>
            <w:shd w:val="clear" w:color="auto" w:fill="auto"/>
            <w:vAlign w:val="center"/>
            <w:hideMark/>
          </w:tcPr>
          <w:p w14:paraId="6280BB1F"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43</w:t>
            </w:r>
          </w:p>
        </w:tc>
        <w:tc>
          <w:tcPr>
            <w:tcW w:w="1050" w:type="dxa"/>
            <w:tcBorders>
              <w:top w:val="nil"/>
              <w:left w:val="nil"/>
              <w:bottom w:val="single" w:sz="4" w:space="0" w:color="auto"/>
              <w:right w:val="single" w:sz="4" w:space="0" w:color="auto"/>
            </w:tcBorders>
            <w:shd w:val="clear" w:color="auto" w:fill="auto"/>
            <w:vAlign w:val="center"/>
            <w:hideMark/>
          </w:tcPr>
          <w:p w14:paraId="7F977AD6"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86</w:t>
            </w:r>
          </w:p>
        </w:tc>
        <w:tc>
          <w:tcPr>
            <w:tcW w:w="1338" w:type="dxa"/>
            <w:tcBorders>
              <w:top w:val="nil"/>
              <w:left w:val="nil"/>
              <w:bottom w:val="single" w:sz="4" w:space="0" w:color="auto"/>
              <w:right w:val="single" w:sz="4" w:space="0" w:color="auto"/>
            </w:tcBorders>
            <w:shd w:val="clear" w:color="auto" w:fill="auto"/>
            <w:vAlign w:val="center"/>
            <w:hideMark/>
          </w:tcPr>
          <w:p w14:paraId="71505721"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4.3</w:t>
            </w:r>
          </w:p>
        </w:tc>
        <w:tc>
          <w:tcPr>
            <w:tcW w:w="894" w:type="dxa"/>
            <w:tcBorders>
              <w:top w:val="nil"/>
              <w:left w:val="nil"/>
              <w:bottom w:val="single" w:sz="4" w:space="0" w:color="auto"/>
              <w:right w:val="single" w:sz="4" w:space="0" w:color="auto"/>
            </w:tcBorders>
            <w:shd w:val="clear" w:color="auto" w:fill="auto"/>
            <w:vAlign w:val="center"/>
            <w:hideMark/>
          </w:tcPr>
          <w:p w14:paraId="322B82B4"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8.6</w:t>
            </w:r>
          </w:p>
        </w:tc>
        <w:tc>
          <w:tcPr>
            <w:tcW w:w="1316" w:type="dxa"/>
            <w:tcBorders>
              <w:top w:val="nil"/>
              <w:left w:val="nil"/>
              <w:bottom w:val="single" w:sz="4" w:space="0" w:color="auto"/>
              <w:right w:val="single" w:sz="4" w:space="0" w:color="auto"/>
            </w:tcBorders>
            <w:shd w:val="clear" w:color="auto" w:fill="auto"/>
            <w:vAlign w:val="center"/>
            <w:hideMark/>
          </w:tcPr>
          <w:p w14:paraId="4A41F4A7" w14:textId="77777777" w:rsidR="00932658" w:rsidRPr="001A4B1C" w:rsidRDefault="00932658" w:rsidP="00932658">
            <w:pPr>
              <w:widowControl/>
              <w:autoSpaceDE/>
              <w:autoSpaceDN/>
              <w:adjustRightInd/>
              <w:ind w:firstLineChars="100" w:firstLine="200"/>
              <w:jc w:val="right"/>
              <w:rPr>
                <w:color w:val="000000"/>
                <w:sz w:val="20"/>
                <w:szCs w:val="20"/>
              </w:rPr>
            </w:pPr>
            <w:r w:rsidRPr="001A4B1C">
              <w:rPr>
                <w:color w:val="000000"/>
                <w:sz w:val="20"/>
                <w:szCs w:val="20"/>
              </w:rPr>
              <w:t xml:space="preserve">$4,702.14 </w:t>
            </w:r>
          </w:p>
        </w:tc>
      </w:tr>
      <w:tr w:rsidR="00932658" w:rsidRPr="00932658" w14:paraId="3A523DD1" w14:textId="77777777" w:rsidTr="00DC0AFD">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2342D310" w14:textId="77777777" w:rsidR="00932658" w:rsidRPr="001A4B1C" w:rsidRDefault="00932658" w:rsidP="00932658">
            <w:pPr>
              <w:widowControl/>
              <w:autoSpaceDE/>
              <w:autoSpaceDN/>
              <w:adjustRightInd/>
              <w:ind w:firstLineChars="100" w:firstLine="200"/>
              <w:rPr>
                <w:color w:val="000000"/>
                <w:sz w:val="20"/>
                <w:szCs w:val="20"/>
              </w:rPr>
            </w:pPr>
            <w:r w:rsidRPr="001A4B1C">
              <w:rPr>
                <w:color w:val="000000"/>
                <w:sz w:val="20"/>
                <w:szCs w:val="20"/>
              </w:rPr>
              <w:t xml:space="preserve">Review of notification of compliance status </w:t>
            </w:r>
            <w:r w:rsidRPr="001A4B1C">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vAlign w:val="center"/>
            <w:hideMark/>
          </w:tcPr>
          <w:p w14:paraId="55A7D33E"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14:paraId="225FE7D6"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544DCF50"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hideMark/>
          </w:tcPr>
          <w:p w14:paraId="48171058"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1.33</w:t>
            </w:r>
          </w:p>
        </w:tc>
        <w:tc>
          <w:tcPr>
            <w:tcW w:w="1050" w:type="dxa"/>
            <w:tcBorders>
              <w:top w:val="nil"/>
              <w:left w:val="nil"/>
              <w:bottom w:val="single" w:sz="4" w:space="0" w:color="auto"/>
              <w:right w:val="single" w:sz="4" w:space="0" w:color="auto"/>
            </w:tcBorders>
            <w:shd w:val="clear" w:color="auto" w:fill="auto"/>
            <w:vAlign w:val="center"/>
            <w:hideMark/>
          </w:tcPr>
          <w:p w14:paraId="37DAE978"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5.33</w:t>
            </w:r>
          </w:p>
        </w:tc>
        <w:tc>
          <w:tcPr>
            <w:tcW w:w="1338" w:type="dxa"/>
            <w:tcBorders>
              <w:top w:val="nil"/>
              <w:left w:val="nil"/>
              <w:bottom w:val="single" w:sz="4" w:space="0" w:color="auto"/>
              <w:right w:val="single" w:sz="4" w:space="0" w:color="auto"/>
            </w:tcBorders>
            <w:shd w:val="clear" w:color="auto" w:fill="auto"/>
            <w:vAlign w:val="center"/>
            <w:hideMark/>
          </w:tcPr>
          <w:p w14:paraId="643B70D7"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0.27</w:t>
            </w:r>
          </w:p>
        </w:tc>
        <w:tc>
          <w:tcPr>
            <w:tcW w:w="894" w:type="dxa"/>
            <w:tcBorders>
              <w:top w:val="nil"/>
              <w:left w:val="nil"/>
              <w:bottom w:val="single" w:sz="4" w:space="0" w:color="auto"/>
              <w:right w:val="single" w:sz="4" w:space="0" w:color="auto"/>
            </w:tcBorders>
            <w:shd w:val="clear" w:color="auto" w:fill="auto"/>
            <w:vAlign w:val="center"/>
            <w:hideMark/>
          </w:tcPr>
          <w:p w14:paraId="5764D68C"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0.53</w:t>
            </w:r>
          </w:p>
        </w:tc>
        <w:tc>
          <w:tcPr>
            <w:tcW w:w="1316" w:type="dxa"/>
            <w:tcBorders>
              <w:top w:val="nil"/>
              <w:left w:val="nil"/>
              <w:bottom w:val="single" w:sz="4" w:space="0" w:color="auto"/>
              <w:right w:val="single" w:sz="4" w:space="0" w:color="auto"/>
            </w:tcBorders>
            <w:shd w:val="clear" w:color="auto" w:fill="auto"/>
            <w:vAlign w:val="center"/>
            <w:hideMark/>
          </w:tcPr>
          <w:p w14:paraId="5287AF05" w14:textId="77777777" w:rsidR="00932658" w:rsidRPr="001A4B1C" w:rsidRDefault="00932658" w:rsidP="00932658">
            <w:pPr>
              <w:widowControl/>
              <w:autoSpaceDE/>
              <w:autoSpaceDN/>
              <w:adjustRightInd/>
              <w:ind w:firstLineChars="100" w:firstLine="200"/>
              <w:jc w:val="right"/>
              <w:rPr>
                <w:color w:val="000000"/>
                <w:sz w:val="20"/>
                <w:szCs w:val="20"/>
              </w:rPr>
            </w:pPr>
            <w:r w:rsidRPr="001A4B1C">
              <w:rPr>
                <w:color w:val="000000"/>
                <w:sz w:val="20"/>
                <w:szCs w:val="20"/>
              </w:rPr>
              <w:t xml:space="preserve">$291.61 </w:t>
            </w:r>
          </w:p>
        </w:tc>
      </w:tr>
      <w:tr w:rsidR="00932658" w:rsidRPr="00932658" w14:paraId="6F4FE8FD" w14:textId="77777777" w:rsidTr="00DC0AFD">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001A3D17" w14:textId="77777777" w:rsidR="00932658" w:rsidRPr="001A4B1C" w:rsidRDefault="00932658" w:rsidP="00932658">
            <w:pPr>
              <w:widowControl/>
              <w:autoSpaceDE/>
              <w:autoSpaceDN/>
              <w:adjustRightInd/>
              <w:ind w:firstLineChars="100" w:firstLine="200"/>
              <w:rPr>
                <w:color w:val="000000"/>
                <w:sz w:val="20"/>
                <w:szCs w:val="20"/>
              </w:rPr>
            </w:pPr>
            <w:r w:rsidRPr="001A4B1C">
              <w:rPr>
                <w:color w:val="000000"/>
                <w:sz w:val="20"/>
                <w:szCs w:val="20"/>
              </w:rPr>
              <w:t xml:space="preserve">Review of excess emissions report </w:t>
            </w:r>
          </w:p>
        </w:tc>
        <w:tc>
          <w:tcPr>
            <w:tcW w:w="1160" w:type="dxa"/>
            <w:tcBorders>
              <w:top w:val="nil"/>
              <w:left w:val="nil"/>
              <w:bottom w:val="single" w:sz="4" w:space="0" w:color="auto"/>
              <w:right w:val="single" w:sz="4" w:space="0" w:color="auto"/>
            </w:tcBorders>
            <w:shd w:val="clear" w:color="auto" w:fill="auto"/>
            <w:vAlign w:val="center"/>
            <w:hideMark/>
          </w:tcPr>
          <w:p w14:paraId="09A65DBF" w14:textId="77777777" w:rsidR="00932658" w:rsidRPr="001A4B1C" w:rsidRDefault="00932658" w:rsidP="00932658">
            <w:pPr>
              <w:widowControl/>
              <w:autoSpaceDE/>
              <w:autoSpaceDN/>
              <w:adjustRightInd/>
              <w:rPr>
                <w:color w:val="000000"/>
                <w:sz w:val="20"/>
                <w:szCs w:val="20"/>
              </w:rPr>
            </w:pPr>
            <w:r w:rsidRPr="001A4B1C">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4E671951" w14:textId="77777777" w:rsidR="00932658" w:rsidRPr="001A4B1C" w:rsidRDefault="00932658" w:rsidP="00932658">
            <w:pPr>
              <w:widowControl/>
              <w:autoSpaceDE/>
              <w:autoSpaceDN/>
              <w:adjustRightInd/>
              <w:rPr>
                <w:color w:val="000000"/>
                <w:sz w:val="20"/>
                <w:szCs w:val="20"/>
              </w:rPr>
            </w:pPr>
            <w:r w:rsidRPr="001A4B1C">
              <w:rPr>
                <w:color w:val="000000"/>
                <w:sz w:val="20"/>
                <w:szCs w:val="20"/>
              </w:rPr>
              <w:t> </w:t>
            </w:r>
          </w:p>
        </w:tc>
        <w:tc>
          <w:tcPr>
            <w:tcW w:w="986" w:type="dxa"/>
            <w:tcBorders>
              <w:top w:val="nil"/>
              <w:left w:val="nil"/>
              <w:bottom w:val="single" w:sz="4" w:space="0" w:color="auto"/>
              <w:right w:val="single" w:sz="4" w:space="0" w:color="auto"/>
            </w:tcBorders>
            <w:shd w:val="clear" w:color="auto" w:fill="auto"/>
            <w:vAlign w:val="center"/>
            <w:hideMark/>
          </w:tcPr>
          <w:p w14:paraId="644311BB"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 </w:t>
            </w:r>
          </w:p>
        </w:tc>
        <w:tc>
          <w:tcPr>
            <w:tcW w:w="881" w:type="dxa"/>
            <w:tcBorders>
              <w:top w:val="nil"/>
              <w:left w:val="nil"/>
              <w:bottom w:val="single" w:sz="4" w:space="0" w:color="auto"/>
              <w:right w:val="single" w:sz="4" w:space="0" w:color="auto"/>
            </w:tcBorders>
            <w:shd w:val="clear" w:color="auto" w:fill="auto"/>
            <w:vAlign w:val="center"/>
            <w:hideMark/>
          </w:tcPr>
          <w:p w14:paraId="7C0C1144" w14:textId="77777777" w:rsidR="00932658" w:rsidRPr="001A4B1C" w:rsidRDefault="00932658" w:rsidP="00932658">
            <w:pPr>
              <w:widowControl/>
              <w:autoSpaceDE/>
              <w:autoSpaceDN/>
              <w:adjustRightInd/>
              <w:rPr>
                <w:color w:val="000000"/>
                <w:sz w:val="20"/>
                <w:szCs w:val="20"/>
              </w:rPr>
            </w:pPr>
            <w:r w:rsidRPr="001A4B1C">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5FF51D7"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5EF393EC"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 </w:t>
            </w:r>
          </w:p>
        </w:tc>
        <w:tc>
          <w:tcPr>
            <w:tcW w:w="894" w:type="dxa"/>
            <w:tcBorders>
              <w:top w:val="nil"/>
              <w:left w:val="nil"/>
              <w:bottom w:val="single" w:sz="4" w:space="0" w:color="auto"/>
              <w:right w:val="single" w:sz="4" w:space="0" w:color="auto"/>
            </w:tcBorders>
            <w:shd w:val="clear" w:color="auto" w:fill="auto"/>
            <w:vAlign w:val="center"/>
            <w:hideMark/>
          </w:tcPr>
          <w:p w14:paraId="417EB773"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 </w:t>
            </w:r>
          </w:p>
        </w:tc>
        <w:tc>
          <w:tcPr>
            <w:tcW w:w="1316" w:type="dxa"/>
            <w:tcBorders>
              <w:top w:val="nil"/>
              <w:left w:val="nil"/>
              <w:bottom w:val="single" w:sz="4" w:space="0" w:color="auto"/>
              <w:right w:val="single" w:sz="4" w:space="0" w:color="auto"/>
            </w:tcBorders>
            <w:shd w:val="clear" w:color="auto" w:fill="auto"/>
            <w:vAlign w:val="center"/>
            <w:hideMark/>
          </w:tcPr>
          <w:p w14:paraId="35509424" w14:textId="77777777" w:rsidR="00932658" w:rsidRPr="001A4B1C" w:rsidRDefault="00932658" w:rsidP="00932658">
            <w:pPr>
              <w:widowControl/>
              <w:autoSpaceDE/>
              <w:autoSpaceDN/>
              <w:adjustRightInd/>
              <w:jc w:val="right"/>
              <w:rPr>
                <w:color w:val="000000"/>
                <w:sz w:val="20"/>
                <w:szCs w:val="20"/>
              </w:rPr>
            </w:pPr>
            <w:r w:rsidRPr="001A4B1C">
              <w:rPr>
                <w:color w:val="000000"/>
                <w:sz w:val="20"/>
                <w:szCs w:val="20"/>
              </w:rPr>
              <w:t> </w:t>
            </w:r>
          </w:p>
        </w:tc>
      </w:tr>
      <w:tr w:rsidR="00932658" w:rsidRPr="00932658" w14:paraId="6B07EEE5" w14:textId="77777777" w:rsidTr="00DC0AFD">
        <w:trPr>
          <w:trHeight w:val="450"/>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67AA2FCA" w14:textId="77777777" w:rsidR="00932658" w:rsidRPr="001A4B1C" w:rsidRDefault="00932658" w:rsidP="00932658">
            <w:pPr>
              <w:widowControl/>
              <w:autoSpaceDE/>
              <w:autoSpaceDN/>
              <w:adjustRightInd/>
              <w:ind w:firstLineChars="200" w:firstLine="400"/>
              <w:rPr>
                <w:color w:val="000000"/>
                <w:sz w:val="20"/>
                <w:szCs w:val="20"/>
              </w:rPr>
            </w:pPr>
            <w:r w:rsidRPr="001A4B1C">
              <w:rPr>
                <w:color w:val="000000"/>
                <w:sz w:val="20"/>
                <w:szCs w:val="20"/>
              </w:rPr>
              <w:t>Semiannual reports of monitoring exceedances and periods of noncompliance</w:t>
            </w:r>
            <w:r w:rsidRPr="001A4B1C">
              <w:rPr>
                <w:color w:val="000000"/>
                <w:sz w:val="20"/>
                <w:szCs w:val="20"/>
                <w:vertAlign w:val="superscript"/>
              </w:rPr>
              <w:t xml:space="preserve"> g</w:t>
            </w:r>
          </w:p>
        </w:tc>
        <w:tc>
          <w:tcPr>
            <w:tcW w:w="1160" w:type="dxa"/>
            <w:tcBorders>
              <w:top w:val="nil"/>
              <w:left w:val="nil"/>
              <w:bottom w:val="single" w:sz="4" w:space="0" w:color="auto"/>
              <w:right w:val="single" w:sz="4" w:space="0" w:color="auto"/>
            </w:tcBorders>
            <w:shd w:val="clear" w:color="auto" w:fill="auto"/>
            <w:vAlign w:val="center"/>
            <w:hideMark/>
          </w:tcPr>
          <w:p w14:paraId="06F83838"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7B917C08"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2</w:t>
            </w:r>
          </w:p>
        </w:tc>
        <w:tc>
          <w:tcPr>
            <w:tcW w:w="986" w:type="dxa"/>
            <w:tcBorders>
              <w:top w:val="nil"/>
              <w:left w:val="nil"/>
              <w:bottom w:val="single" w:sz="4" w:space="0" w:color="auto"/>
              <w:right w:val="single" w:sz="4" w:space="0" w:color="auto"/>
            </w:tcBorders>
            <w:shd w:val="clear" w:color="auto" w:fill="auto"/>
            <w:vAlign w:val="center"/>
            <w:hideMark/>
          </w:tcPr>
          <w:p w14:paraId="175027E2"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16</w:t>
            </w:r>
          </w:p>
        </w:tc>
        <w:tc>
          <w:tcPr>
            <w:tcW w:w="881" w:type="dxa"/>
            <w:tcBorders>
              <w:top w:val="nil"/>
              <w:left w:val="nil"/>
              <w:bottom w:val="single" w:sz="4" w:space="0" w:color="auto"/>
              <w:right w:val="single" w:sz="4" w:space="0" w:color="auto"/>
            </w:tcBorders>
            <w:shd w:val="clear" w:color="auto" w:fill="auto"/>
            <w:vAlign w:val="center"/>
            <w:hideMark/>
          </w:tcPr>
          <w:p w14:paraId="7916CF02"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5</w:t>
            </w:r>
          </w:p>
        </w:tc>
        <w:tc>
          <w:tcPr>
            <w:tcW w:w="1050" w:type="dxa"/>
            <w:tcBorders>
              <w:top w:val="nil"/>
              <w:left w:val="nil"/>
              <w:bottom w:val="single" w:sz="4" w:space="0" w:color="auto"/>
              <w:right w:val="single" w:sz="4" w:space="0" w:color="auto"/>
            </w:tcBorders>
            <w:shd w:val="clear" w:color="auto" w:fill="auto"/>
            <w:vAlign w:val="center"/>
            <w:hideMark/>
          </w:tcPr>
          <w:p w14:paraId="7B106B9F"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80</w:t>
            </w:r>
          </w:p>
        </w:tc>
        <w:tc>
          <w:tcPr>
            <w:tcW w:w="1338" w:type="dxa"/>
            <w:tcBorders>
              <w:top w:val="nil"/>
              <w:left w:val="nil"/>
              <w:bottom w:val="single" w:sz="4" w:space="0" w:color="auto"/>
              <w:right w:val="single" w:sz="4" w:space="0" w:color="auto"/>
            </w:tcBorders>
            <w:shd w:val="clear" w:color="auto" w:fill="auto"/>
            <w:vAlign w:val="center"/>
            <w:hideMark/>
          </w:tcPr>
          <w:p w14:paraId="3FFDA22E"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4</w:t>
            </w:r>
          </w:p>
        </w:tc>
        <w:tc>
          <w:tcPr>
            <w:tcW w:w="894" w:type="dxa"/>
            <w:tcBorders>
              <w:top w:val="nil"/>
              <w:left w:val="nil"/>
              <w:bottom w:val="single" w:sz="4" w:space="0" w:color="auto"/>
              <w:right w:val="single" w:sz="4" w:space="0" w:color="auto"/>
            </w:tcBorders>
            <w:shd w:val="clear" w:color="auto" w:fill="auto"/>
            <w:vAlign w:val="center"/>
            <w:hideMark/>
          </w:tcPr>
          <w:p w14:paraId="00439C73"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8</w:t>
            </w:r>
          </w:p>
        </w:tc>
        <w:tc>
          <w:tcPr>
            <w:tcW w:w="1316" w:type="dxa"/>
            <w:tcBorders>
              <w:top w:val="nil"/>
              <w:left w:val="nil"/>
              <w:bottom w:val="single" w:sz="4" w:space="0" w:color="auto"/>
              <w:right w:val="single" w:sz="4" w:space="0" w:color="auto"/>
            </w:tcBorders>
            <w:shd w:val="clear" w:color="auto" w:fill="auto"/>
            <w:vAlign w:val="center"/>
            <w:hideMark/>
          </w:tcPr>
          <w:p w14:paraId="3CD5A42C" w14:textId="77777777" w:rsidR="00932658" w:rsidRPr="001A4B1C" w:rsidRDefault="00932658" w:rsidP="00932658">
            <w:pPr>
              <w:widowControl/>
              <w:autoSpaceDE/>
              <w:autoSpaceDN/>
              <w:adjustRightInd/>
              <w:ind w:firstLineChars="100" w:firstLine="200"/>
              <w:jc w:val="right"/>
              <w:rPr>
                <w:color w:val="000000"/>
                <w:sz w:val="20"/>
                <w:szCs w:val="20"/>
              </w:rPr>
            </w:pPr>
            <w:r w:rsidRPr="001A4B1C">
              <w:rPr>
                <w:color w:val="000000"/>
                <w:sz w:val="20"/>
                <w:szCs w:val="20"/>
              </w:rPr>
              <w:t xml:space="preserve">$4,374.08 </w:t>
            </w:r>
          </w:p>
        </w:tc>
      </w:tr>
      <w:tr w:rsidR="00932658" w:rsidRPr="00932658" w14:paraId="2A624EF6" w14:textId="77777777" w:rsidTr="00DC0AFD">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2A64B749" w14:textId="77777777" w:rsidR="00932658" w:rsidRPr="001A4B1C" w:rsidRDefault="00932658" w:rsidP="00932658">
            <w:pPr>
              <w:widowControl/>
              <w:autoSpaceDE/>
              <w:autoSpaceDN/>
              <w:adjustRightInd/>
              <w:ind w:firstLineChars="200" w:firstLine="400"/>
              <w:rPr>
                <w:color w:val="000000"/>
                <w:sz w:val="20"/>
                <w:szCs w:val="20"/>
              </w:rPr>
            </w:pPr>
            <w:r w:rsidRPr="001A4B1C">
              <w:rPr>
                <w:color w:val="000000"/>
                <w:sz w:val="20"/>
                <w:szCs w:val="20"/>
              </w:rPr>
              <w:t xml:space="preserve">Semiannual reports of no exceedances </w:t>
            </w:r>
            <w:r w:rsidRPr="001A4B1C">
              <w:rPr>
                <w:color w:val="000000"/>
                <w:sz w:val="20"/>
                <w:szCs w:val="20"/>
                <w:vertAlign w:val="superscript"/>
              </w:rPr>
              <w:t>h</w:t>
            </w:r>
          </w:p>
        </w:tc>
        <w:tc>
          <w:tcPr>
            <w:tcW w:w="1160" w:type="dxa"/>
            <w:tcBorders>
              <w:top w:val="nil"/>
              <w:left w:val="nil"/>
              <w:bottom w:val="single" w:sz="4" w:space="0" w:color="auto"/>
              <w:right w:val="single" w:sz="4" w:space="0" w:color="auto"/>
            </w:tcBorders>
            <w:shd w:val="clear" w:color="auto" w:fill="auto"/>
            <w:vAlign w:val="center"/>
            <w:hideMark/>
          </w:tcPr>
          <w:p w14:paraId="74D83B2A"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2662BDAF"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2</w:t>
            </w:r>
          </w:p>
        </w:tc>
        <w:tc>
          <w:tcPr>
            <w:tcW w:w="986" w:type="dxa"/>
            <w:tcBorders>
              <w:top w:val="nil"/>
              <w:left w:val="nil"/>
              <w:bottom w:val="single" w:sz="4" w:space="0" w:color="auto"/>
              <w:right w:val="single" w:sz="4" w:space="0" w:color="auto"/>
            </w:tcBorders>
            <w:shd w:val="clear" w:color="auto" w:fill="auto"/>
            <w:vAlign w:val="center"/>
            <w:hideMark/>
          </w:tcPr>
          <w:p w14:paraId="3513AD21"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hideMark/>
          </w:tcPr>
          <w:p w14:paraId="4EE59A90"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102</w:t>
            </w:r>
          </w:p>
        </w:tc>
        <w:tc>
          <w:tcPr>
            <w:tcW w:w="1050" w:type="dxa"/>
            <w:tcBorders>
              <w:top w:val="nil"/>
              <w:left w:val="nil"/>
              <w:bottom w:val="single" w:sz="4" w:space="0" w:color="auto"/>
              <w:right w:val="single" w:sz="4" w:space="0" w:color="auto"/>
            </w:tcBorders>
            <w:shd w:val="clear" w:color="auto" w:fill="auto"/>
            <w:vAlign w:val="center"/>
            <w:hideMark/>
          </w:tcPr>
          <w:p w14:paraId="59675C67"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408</w:t>
            </w:r>
          </w:p>
        </w:tc>
        <w:tc>
          <w:tcPr>
            <w:tcW w:w="1338" w:type="dxa"/>
            <w:tcBorders>
              <w:top w:val="nil"/>
              <w:left w:val="nil"/>
              <w:bottom w:val="single" w:sz="4" w:space="0" w:color="auto"/>
              <w:right w:val="single" w:sz="4" w:space="0" w:color="auto"/>
            </w:tcBorders>
            <w:shd w:val="clear" w:color="auto" w:fill="auto"/>
            <w:vAlign w:val="center"/>
            <w:hideMark/>
          </w:tcPr>
          <w:p w14:paraId="6D50D04E" w14:textId="77777777" w:rsidR="00932658" w:rsidRPr="00773528" w:rsidRDefault="00932658" w:rsidP="00932658">
            <w:pPr>
              <w:widowControl/>
              <w:autoSpaceDE/>
              <w:autoSpaceDN/>
              <w:adjustRightInd/>
              <w:jc w:val="center"/>
              <w:rPr>
                <w:color w:val="000000"/>
                <w:sz w:val="20"/>
                <w:szCs w:val="20"/>
              </w:rPr>
            </w:pPr>
            <w:r w:rsidRPr="00773528">
              <w:rPr>
                <w:color w:val="000000"/>
                <w:sz w:val="20"/>
                <w:szCs w:val="20"/>
              </w:rPr>
              <w:t>20.4</w:t>
            </w:r>
          </w:p>
        </w:tc>
        <w:tc>
          <w:tcPr>
            <w:tcW w:w="894" w:type="dxa"/>
            <w:tcBorders>
              <w:top w:val="nil"/>
              <w:left w:val="nil"/>
              <w:bottom w:val="single" w:sz="4" w:space="0" w:color="auto"/>
              <w:right w:val="single" w:sz="4" w:space="0" w:color="auto"/>
            </w:tcBorders>
            <w:shd w:val="clear" w:color="auto" w:fill="auto"/>
            <w:vAlign w:val="center"/>
            <w:hideMark/>
          </w:tcPr>
          <w:p w14:paraId="505427F6" w14:textId="77777777" w:rsidR="00932658" w:rsidRPr="001A4B1C" w:rsidRDefault="00932658" w:rsidP="00932658">
            <w:pPr>
              <w:widowControl/>
              <w:autoSpaceDE/>
              <w:autoSpaceDN/>
              <w:adjustRightInd/>
              <w:jc w:val="center"/>
              <w:rPr>
                <w:color w:val="000000"/>
                <w:sz w:val="20"/>
                <w:szCs w:val="20"/>
              </w:rPr>
            </w:pPr>
            <w:r w:rsidRPr="001A4B1C">
              <w:rPr>
                <w:color w:val="000000"/>
                <w:sz w:val="20"/>
                <w:szCs w:val="20"/>
              </w:rPr>
              <w:t>40.8</w:t>
            </w:r>
          </w:p>
        </w:tc>
        <w:tc>
          <w:tcPr>
            <w:tcW w:w="1316" w:type="dxa"/>
            <w:tcBorders>
              <w:top w:val="nil"/>
              <w:left w:val="nil"/>
              <w:bottom w:val="single" w:sz="4" w:space="0" w:color="auto"/>
              <w:right w:val="single" w:sz="4" w:space="0" w:color="auto"/>
            </w:tcBorders>
            <w:shd w:val="clear" w:color="auto" w:fill="auto"/>
            <w:vAlign w:val="center"/>
            <w:hideMark/>
          </w:tcPr>
          <w:p w14:paraId="478DEA4C" w14:textId="77777777" w:rsidR="00932658" w:rsidRPr="001A4B1C" w:rsidRDefault="00932658" w:rsidP="00932658">
            <w:pPr>
              <w:widowControl/>
              <w:autoSpaceDE/>
              <w:autoSpaceDN/>
              <w:adjustRightInd/>
              <w:ind w:firstLineChars="100" w:firstLine="200"/>
              <w:jc w:val="right"/>
              <w:rPr>
                <w:color w:val="000000"/>
                <w:sz w:val="20"/>
                <w:szCs w:val="20"/>
              </w:rPr>
            </w:pPr>
            <w:r w:rsidRPr="001A4B1C">
              <w:rPr>
                <w:color w:val="000000"/>
                <w:sz w:val="20"/>
                <w:szCs w:val="20"/>
              </w:rPr>
              <w:t xml:space="preserve">$22,307.81 </w:t>
            </w:r>
          </w:p>
        </w:tc>
      </w:tr>
      <w:tr w:rsidR="00932658" w:rsidRPr="00932658" w14:paraId="2A7683E7" w14:textId="77777777" w:rsidTr="00DC0AFD">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187BF5AE" w14:textId="77777777" w:rsidR="00932658" w:rsidRPr="001A4B1C" w:rsidRDefault="00932658" w:rsidP="00932658">
            <w:pPr>
              <w:widowControl/>
              <w:autoSpaceDE/>
              <w:autoSpaceDN/>
              <w:adjustRightInd/>
              <w:rPr>
                <w:b/>
                <w:bCs/>
                <w:i/>
                <w:iCs/>
                <w:color w:val="000000"/>
                <w:sz w:val="20"/>
                <w:szCs w:val="20"/>
              </w:rPr>
            </w:pPr>
            <w:r w:rsidRPr="001A4B1C">
              <w:rPr>
                <w:b/>
                <w:bCs/>
                <w:i/>
                <w:iCs/>
                <w:color w:val="000000"/>
                <w:sz w:val="20"/>
                <w:szCs w:val="20"/>
              </w:rPr>
              <w:t>Subtotal for Burden and Cost - Salary</w:t>
            </w:r>
          </w:p>
        </w:tc>
        <w:tc>
          <w:tcPr>
            <w:tcW w:w="1160" w:type="dxa"/>
            <w:tcBorders>
              <w:top w:val="nil"/>
              <w:left w:val="nil"/>
              <w:bottom w:val="single" w:sz="4" w:space="0" w:color="auto"/>
              <w:right w:val="single" w:sz="4" w:space="0" w:color="auto"/>
            </w:tcBorders>
            <w:shd w:val="clear" w:color="auto" w:fill="auto"/>
            <w:noWrap/>
            <w:vAlign w:val="center"/>
            <w:hideMark/>
          </w:tcPr>
          <w:p w14:paraId="668CE488" w14:textId="77777777" w:rsidR="00932658" w:rsidRPr="001A4B1C" w:rsidRDefault="00932658" w:rsidP="00932658">
            <w:pPr>
              <w:widowControl/>
              <w:autoSpaceDE/>
              <w:autoSpaceDN/>
              <w:adjustRightInd/>
              <w:rPr>
                <w:b/>
                <w:bCs/>
                <w:color w:val="000000"/>
                <w:sz w:val="20"/>
                <w:szCs w:val="20"/>
              </w:rPr>
            </w:pPr>
            <w:r w:rsidRPr="001A4B1C">
              <w:rPr>
                <w:b/>
                <w:bCs/>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46282AD2" w14:textId="77777777" w:rsidR="00932658" w:rsidRPr="001A4B1C" w:rsidRDefault="00932658" w:rsidP="00932658">
            <w:pPr>
              <w:widowControl/>
              <w:autoSpaceDE/>
              <w:autoSpaceDN/>
              <w:adjustRightInd/>
              <w:rPr>
                <w:b/>
                <w:bCs/>
                <w:color w:val="000000"/>
                <w:sz w:val="20"/>
                <w:szCs w:val="20"/>
              </w:rPr>
            </w:pPr>
            <w:r w:rsidRPr="001A4B1C">
              <w:rPr>
                <w:b/>
                <w:bCs/>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14:paraId="0DFF85F8" w14:textId="77777777" w:rsidR="00932658" w:rsidRPr="001A4B1C" w:rsidRDefault="00932658" w:rsidP="00932658">
            <w:pPr>
              <w:widowControl/>
              <w:autoSpaceDE/>
              <w:autoSpaceDN/>
              <w:adjustRightInd/>
              <w:rPr>
                <w:b/>
                <w:bCs/>
                <w:color w:val="000000"/>
                <w:sz w:val="20"/>
                <w:szCs w:val="20"/>
              </w:rPr>
            </w:pPr>
            <w:r w:rsidRPr="001A4B1C">
              <w:rPr>
                <w:b/>
                <w:bCs/>
                <w:color w:val="000000"/>
                <w:sz w:val="20"/>
                <w:szCs w:val="20"/>
              </w:rPr>
              <w:t> </w:t>
            </w:r>
          </w:p>
        </w:tc>
        <w:tc>
          <w:tcPr>
            <w:tcW w:w="881" w:type="dxa"/>
            <w:tcBorders>
              <w:top w:val="nil"/>
              <w:left w:val="nil"/>
              <w:bottom w:val="single" w:sz="4" w:space="0" w:color="auto"/>
              <w:right w:val="single" w:sz="4" w:space="0" w:color="auto"/>
            </w:tcBorders>
            <w:shd w:val="clear" w:color="auto" w:fill="auto"/>
            <w:noWrap/>
            <w:vAlign w:val="center"/>
            <w:hideMark/>
          </w:tcPr>
          <w:p w14:paraId="1EC3401B" w14:textId="77777777" w:rsidR="00932658" w:rsidRPr="001A4B1C" w:rsidRDefault="00932658" w:rsidP="00932658">
            <w:pPr>
              <w:widowControl/>
              <w:autoSpaceDE/>
              <w:autoSpaceDN/>
              <w:adjustRightInd/>
              <w:rPr>
                <w:b/>
                <w:bCs/>
                <w:color w:val="000000"/>
                <w:sz w:val="20"/>
                <w:szCs w:val="20"/>
              </w:rPr>
            </w:pPr>
            <w:r w:rsidRPr="001A4B1C">
              <w:rPr>
                <w:b/>
                <w:bCs/>
                <w:color w:val="000000"/>
                <w:sz w:val="20"/>
                <w:szCs w:val="20"/>
              </w:rPr>
              <w:t> </w:t>
            </w:r>
          </w:p>
        </w:tc>
        <w:tc>
          <w:tcPr>
            <w:tcW w:w="3282" w:type="dxa"/>
            <w:gridSpan w:val="3"/>
            <w:tcBorders>
              <w:top w:val="single" w:sz="4" w:space="0" w:color="auto"/>
              <w:left w:val="nil"/>
              <w:bottom w:val="single" w:sz="4" w:space="0" w:color="auto"/>
              <w:right w:val="single" w:sz="4" w:space="0" w:color="auto"/>
            </w:tcBorders>
            <w:shd w:val="clear" w:color="auto" w:fill="auto"/>
            <w:vAlign w:val="center"/>
            <w:hideMark/>
          </w:tcPr>
          <w:p w14:paraId="437F0A73" w14:textId="77777777" w:rsidR="00932658" w:rsidRPr="001A4B1C" w:rsidRDefault="00932658" w:rsidP="00932658">
            <w:pPr>
              <w:widowControl/>
              <w:autoSpaceDE/>
              <w:autoSpaceDN/>
              <w:adjustRightInd/>
              <w:jc w:val="center"/>
              <w:rPr>
                <w:b/>
                <w:bCs/>
                <w:color w:val="000000"/>
                <w:sz w:val="20"/>
                <w:szCs w:val="20"/>
              </w:rPr>
            </w:pPr>
            <w:r w:rsidRPr="001A4B1C">
              <w:rPr>
                <w:b/>
                <w:bCs/>
                <w:color w:val="000000"/>
                <w:sz w:val="20"/>
                <w:szCs w:val="20"/>
              </w:rPr>
              <w:t>893</w:t>
            </w:r>
          </w:p>
        </w:tc>
        <w:tc>
          <w:tcPr>
            <w:tcW w:w="1316" w:type="dxa"/>
            <w:tcBorders>
              <w:top w:val="nil"/>
              <w:left w:val="nil"/>
              <w:bottom w:val="single" w:sz="4" w:space="0" w:color="auto"/>
              <w:right w:val="single" w:sz="4" w:space="0" w:color="auto"/>
            </w:tcBorders>
            <w:shd w:val="clear" w:color="auto" w:fill="auto"/>
            <w:vAlign w:val="center"/>
            <w:hideMark/>
          </w:tcPr>
          <w:p w14:paraId="7BC0B1EB" w14:textId="77777777" w:rsidR="00932658" w:rsidRPr="001A4B1C" w:rsidRDefault="00932658" w:rsidP="00932658">
            <w:pPr>
              <w:widowControl/>
              <w:autoSpaceDE/>
              <w:autoSpaceDN/>
              <w:adjustRightInd/>
              <w:jc w:val="right"/>
              <w:rPr>
                <w:b/>
                <w:bCs/>
                <w:color w:val="000000"/>
                <w:sz w:val="20"/>
                <w:szCs w:val="20"/>
              </w:rPr>
            </w:pPr>
            <w:r w:rsidRPr="001A4B1C">
              <w:rPr>
                <w:b/>
                <w:bCs/>
                <w:color w:val="000000"/>
                <w:sz w:val="20"/>
                <w:szCs w:val="20"/>
              </w:rPr>
              <w:t xml:space="preserve">$42,458 </w:t>
            </w:r>
          </w:p>
        </w:tc>
      </w:tr>
      <w:tr w:rsidR="00932658" w:rsidRPr="00932658" w14:paraId="7A48AC06" w14:textId="77777777" w:rsidTr="00DC0AFD">
        <w:trPr>
          <w:trHeight w:val="300"/>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1FAEEE64" w14:textId="77777777" w:rsidR="00932658" w:rsidRPr="001A4B1C" w:rsidRDefault="00932658" w:rsidP="00932658">
            <w:pPr>
              <w:widowControl/>
              <w:autoSpaceDE/>
              <w:autoSpaceDN/>
              <w:adjustRightInd/>
              <w:rPr>
                <w:color w:val="000000"/>
                <w:sz w:val="20"/>
                <w:szCs w:val="20"/>
              </w:rPr>
            </w:pPr>
            <w:r w:rsidRPr="001A4B1C">
              <w:rPr>
                <w:color w:val="000000"/>
                <w:sz w:val="20"/>
                <w:szCs w:val="20"/>
              </w:rPr>
              <w:t xml:space="preserve">   Travel Expenses for Tests Attended </w:t>
            </w:r>
            <w:r w:rsidRPr="001A4B1C">
              <w:rPr>
                <w:color w:val="000000"/>
                <w:sz w:val="20"/>
                <w:szCs w:val="20"/>
                <w:vertAlign w:val="superscript"/>
              </w:rPr>
              <w:t>i</w:t>
            </w:r>
          </w:p>
        </w:tc>
        <w:tc>
          <w:tcPr>
            <w:tcW w:w="1160" w:type="dxa"/>
            <w:tcBorders>
              <w:top w:val="nil"/>
              <w:left w:val="nil"/>
              <w:bottom w:val="single" w:sz="4" w:space="0" w:color="auto"/>
              <w:right w:val="single" w:sz="4" w:space="0" w:color="auto"/>
            </w:tcBorders>
            <w:shd w:val="clear" w:color="auto" w:fill="auto"/>
            <w:noWrap/>
            <w:vAlign w:val="center"/>
            <w:hideMark/>
          </w:tcPr>
          <w:p w14:paraId="14FC3205" w14:textId="77777777" w:rsidR="00932658" w:rsidRPr="001A4B1C" w:rsidRDefault="00932658" w:rsidP="00932658">
            <w:pPr>
              <w:widowControl/>
              <w:autoSpaceDE/>
              <w:autoSpaceDN/>
              <w:adjustRightInd/>
              <w:rPr>
                <w:b/>
                <w:bCs/>
                <w:color w:val="000000"/>
                <w:sz w:val="20"/>
                <w:szCs w:val="20"/>
              </w:rPr>
            </w:pPr>
            <w:r w:rsidRPr="001A4B1C">
              <w:rPr>
                <w:b/>
                <w:bCs/>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2A17AC6E" w14:textId="77777777" w:rsidR="00932658" w:rsidRPr="001A4B1C" w:rsidRDefault="00932658" w:rsidP="00932658">
            <w:pPr>
              <w:widowControl/>
              <w:autoSpaceDE/>
              <w:autoSpaceDN/>
              <w:adjustRightInd/>
              <w:rPr>
                <w:b/>
                <w:bCs/>
                <w:color w:val="000000"/>
                <w:sz w:val="20"/>
                <w:szCs w:val="20"/>
              </w:rPr>
            </w:pPr>
            <w:r w:rsidRPr="001A4B1C">
              <w:rPr>
                <w:b/>
                <w:bCs/>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14:paraId="693EBDCB" w14:textId="77777777" w:rsidR="00932658" w:rsidRPr="001A4B1C" w:rsidRDefault="00932658" w:rsidP="00932658">
            <w:pPr>
              <w:widowControl/>
              <w:autoSpaceDE/>
              <w:autoSpaceDN/>
              <w:adjustRightInd/>
              <w:rPr>
                <w:b/>
                <w:bCs/>
                <w:color w:val="000000"/>
                <w:sz w:val="20"/>
                <w:szCs w:val="20"/>
              </w:rPr>
            </w:pPr>
            <w:r w:rsidRPr="001A4B1C">
              <w:rPr>
                <w:b/>
                <w:bCs/>
                <w:color w:val="000000"/>
                <w:sz w:val="20"/>
                <w:szCs w:val="20"/>
              </w:rPr>
              <w:t> </w:t>
            </w:r>
          </w:p>
        </w:tc>
        <w:tc>
          <w:tcPr>
            <w:tcW w:w="881" w:type="dxa"/>
            <w:tcBorders>
              <w:top w:val="nil"/>
              <w:left w:val="nil"/>
              <w:bottom w:val="single" w:sz="4" w:space="0" w:color="auto"/>
              <w:right w:val="single" w:sz="4" w:space="0" w:color="auto"/>
            </w:tcBorders>
            <w:shd w:val="clear" w:color="auto" w:fill="auto"/>
            <w:noWrap/>
            <w:vAlign w:val="center"/>
            <w:hideMark/>
          </w:tcPr>
          <w:p w14:paraId="2703F9AD" w14:textId="77777777" w:rsidR="00932658" w:rsidRPr="001A4B1C" w:rsidRDefault="00932658" w:rsidP="00932658">
            <w:pPr>
              <w:widowControl/>
              <w:autoSpaceDE/>
              <w:autoSpaceDN/>
              <w:adjustRightInd/>
              <w:rPr>
                <w:b/>
                <w:bCs/>
                <w:color w:val="000000"/>
                <w:sz w:val="20"/>
                <w:szCs w:val="20"/>
              </w:rPr>
            </w:pPr>
            <w:r w:rsidRPr="001A4B1C">
              <w:rPr>
                <w:b/>
                <w:bCs/>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5E8E2F06" w14:textId="77777777" w:rsidR="00932658" w:rsidRPr="001A4B1C" w:rsidRDefault="00932658" w:rsidP="00932658">
            <w:pPr>
              <w:widowControl/>
              <w:autoSpaceDE/>
              <w:autoSpaceDN/>
              <w:adjustRightInd/>
              <w:jc w:val="center"/>
              <w:rPr>
                <w:b/>
                <w:bCs/>
                <w:color w:val="000000"/>
                <w:sz w:val="20"/>
                <w:szCs w:val="20"/>
              </w:rPr>
            </w:pPr>
            <w:r w:rsidRPr="001A4B1C">
              <w:rPr>
                <w:b/>
                <w:bCs/>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0FAED678" w14:textId="77777777" w:rsidR="00932658" w:rsidRPr="001A4B1C" w:rsidRDefault="00932658" w:rsidP="00932658">
            <w:pPr>
              <w:widowControl/>
              <w:autoSpaceDE/>
              <w:autoSpaceDN/>
              <w:adjustRightInd/>
              <w:jc w:val="center"/>
              <w:rPr>
                <w:b/>
                <w:bCs/>
                <w:color w:val="000000"/>
                <w:sz w:val="20"/>
                <w:szCs w:val="20"/>
              </w:rPr>
            </w:pPr>
            <w:r w:rsidRPr="001A4B1C">
              <w:rPr>
                <w:b/>
                <w:bCs/>
                <w:color w:val="000000"/>
                <w:sz w:val="20"/>
                <w:szCs w:val="20"/>
              </w:rPr>
              <w:t> </w:t>
            </w:r>
          </w:p>
        </w:tc>
        <w:tc>
          <w:tcPr>
            <w:tcW w:w="894" w:type="dxa"/>
            <w:tcBorders>
              <w:top w:val="nil"/>
              <w:left w:val="nil"/>
              <w:bottom w:val="single" w:sz="4" w:space="0" w:color="auto"/>
              <w:right w:val="single" w:sz="4" w:space="0" w:color="auto"/>
            </w:tcBorders>
            <w:shd w:val="clear" w:color="auto" w:fill="auto"/>
            <w:vAlign w:val="center"/>
            <w:hideMark/>
          </w:tcPr>
          <w:p w14:paraId="4166728A" w14:textId="77777777" w:rsidR="00932658" w:rsidRPr="001A4B1C" w:rsidRDefault="00932658" w:rsidP="00932658">
            <w:pPr>
              <w:widowControl/>
              <w:autoSpaceDE/>
              <w:autoSpaceDN/>
              <w:adjustRightInd/>
              <w:jc w:val="center"/>
              <w:rPr>
                <w:b/>
                <w:bCs/>
                <w:color w:val="000000"/>
                <w:sz w:val="20"/>
                <w:szCs w:val="20"/>
              </w:rPr>
            </w:pPr>
            <w:r w:rsidRPr="001A4B1C">
              <w:rPr>
                <w:b/>
                <w:bCs/>
                <w:color w:val="000000"/>
                <w:sz w:val="20"/>
                <w:szCs w:val="20"/>
              </w:rPr>
              <w:t> </w:t>
            </w:r>
          </w:p>
        </w:tc>
        <w:tc>
          <w:tcPr>
            <w:tcW w:w="1316" w:type="dxa"/>
            <w:tcBorders>
              <w:top w:val="nil"/>
              <w:left w:val="nil"/>
              <w:bottom w:val="single" w:sz="4" w:space="0" w:color="auto"/>
              <w:right w:val="single" w:sz="4" w:space="0" w:color="auto"/>
            </w:tcBorders>
            <w:shd w:val="clear" w:color="auto" w:fill="auto"/>
            <w:vAlign w:val="center"/>
            <w:hideMark/>
          </w:tcPr>
          <w:p w14:paraId="1244F3C6" w14:textId="77777777" w:rsidR="00932658" w:rsidRPr="001A4B1C" w:rsidRDefault="00932658" w:rsidP="00932658">
            <w:pPr>
              <w:widowControl/>
              <w:autoSpaceDE/>
              <w:autoSpaceDN/>
              <w:adjustRightInd/>
              <w:jc w:val="right"/>
              <w:rPr>
                <w:b/>
                <w:bCs/>
                <w:color w:val="000000"/>
                <w:sz w:val="20"/>
                <w:szCs w:val="20"/>
              </w:rPr>
            </w:pPr>
            <w:r w:rsidRPr="001A4B1C">
              <w:rPr>
                <w:b/>
                <w:bCs/>
                <w:color w:val="000000"/>
                <w:sz w:val="20"/>
                <w:szCs w:val="20"/>
              </w:rPr>
              <w:t xml:space="preserve">$1,935 </w:t>
            </w:r>
          </w:p>
        </w:tc>
      </w:tr>
      <w:tr w:rsidR="00932658" w:rsidRPr="00932658" w14:paraId="7CF27FA8" w14:textId="77777777" w:rsidTr="00DC0AFD">
        <w:trPr>
          <w:trHeight w:val="315"/>
        </w:trPr>
        <w:tc>
          <w:tcPr>
            <w:tcW w:w="3955" w:type="dxa"/>
            <w:tcBorders>
              <w:top w:val="nil"/>
              <w:left w:val="single" w:sz="4" w:space="0" w:color="auto"/>
              <w:bottom w:val="single" w:sz="4" w:space="0" w:color="auto"/>
              <w:right w:val="single" w:sz="4" w:space="0" w:color="auto"/>
            </w:tcBorders>
            <w:shd w:val="clear" w:color="auto" w:fill="auto"/>
            <w:vAlign w:val="center"/>
            <w:hideMark/>
          </w:tcPr>
          <w:p w14:paraId="50FC4BC1" w14:textId="77777777" w:rsidR="00932658" w:rsidRPr="00773528" w:rsidRDefault="00932658" w:rsidP="00932658">
            <w:pPr>
              <w:widowControl/>
              <w:autoSpaceDE/>
              <w:autoSpaceDN/>
              <w:adjustRightInd/>
              <w:rPr>
                <w:b/>
                <w:bCs/>
                <w:sz w:val="20"/>
                <w:szCs w:val="20"/>
              </w:rPr>
            </w:pPr>
            <w:r w:rsidRPr="00773528">
              <w:rPr>
                <w:b/>
                <w:bCs/>
                <w:sz w:val="20"/>
                <w:szCs w:val="20"/>
              </w:rPr>
              <w:t xml:space="preserve">TOTAL ANNUAL BURDEN AND COST </w:t>
            </w:r>
            <w:r w:rsidRPr="00773528">
              <w:rPr>
                <w:b/>
                <w:bCs/>
                <w:sz w:val="20"/>
                <w:szCs w:val="20"/>
                <w:vertAlign w:val="superscript"/>
              </w:rPr>
              <w:t>j</w:t>
            </w:r>
          </w:p>
        </w:tc>
        <w:tc>
          <w:tcPr>
            <w:tcW w:w="1160" w:type="dxa"/>
            <w:tcBorders>
              <w:top w:val="nil"/>
              <w:left w:val="nil"/>
              <w:bottom w:val="single" w:sz="4" w:space="0" w:color="auto"/>
              <w:right w:val="single" w:sz="4" w:space="0" w:color="auto"/>
            </w:tcBorders>
            <w:shd w:val="clear" w:color="auto" w:fill="auto"/>
            <w:noWrap/>
            <w:vAlign w:val="center"/>
            <w:hideMark/>
          </w:tcPr>
          <w:p w14:paraId="79F30267" w14:textId="77777777" w:rsidR="00932658" w:rsidRPr="001A4B1C" w:rsidRDefault="00932658" w:rsidP="00932658">
            <w:pPr>
              <w:widowControl/>
              <w:autoSpaceDE/>
              <w:autoSpaceDN/>
              <w:adjustRightInd/>
              <w:rPr>
                <w:b/>
                <w:bCs/>
                <w:color w:val="000000"/>
                <w:sz w:val="20"/>
                <w:szCs w:val="20"/>
              </w:rPr>
            </w:pPr>
            <w:r w:rsidRPr="001A4B1C">
              <w:rPr>
                <w:b/>
                <w:bCs/>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7AB01AB5" w14:textId="77777777" w:rsidR="00932658" w:rsidRPr="001A4B1C" w:rsidRDefault="00932658" w:rsidP="00932658">
            <w:pPr>
              <w:widowControl/>
              <w:autoSpaceDE/>
              <w:autoSpaceDN/>
              <w:adjustRightInd/>
              <w:rPr>
                <w:b/>
                <w:bCs/>
                <w:color w:val="000000"/>
                <w:sz w:val="20"/>
                <w:szCs w:val="20"/>
              </w:rPr>
            </w:pPr>
            <w:r w:rsidRPr="001A4B1C">
              <w:rPr>
                <w:b/>
                <w:bCs/>
                <w:color w:val="000000"/>
                <w:sz w:val="20"/>
                <w:szCs w:val="20"/>
              </w:rPr>
              <w:t> </w:t>
            </w:r>
          </w:p>
        </w:tc>
        <w:tc>
          <w:tcPr>
            <w:tcW w:w="986" w:type="dxa"/>
            <w:tcBorders>
              <w:top w:val="nil"/>
              <w:left w:val="nil"/>
              <w:bottom w:val="single" w:sz="4" w:space="0" w:color="auto"/>
              <w:right w:val="single" w:sz="4" w:space="0" w:color="auto"/>
            </w:tcBorders>
            <w:shd w:val="clear" w:color="auto" w:fill="auto"/>
            <w:noWrap/>
            <w:vAlign w:val="center"/>
            <w:hideMark/>
          </w:tcPr>
          <w:p w14:paraId="50FD842B" w14:textId="77777777" w:rsidR="00932658" w:rsidRPr="001A4B1C" w:rsidRDefault="00932658" w:rsidP="00932658">
            <w:pPr>
              <w:widowControl/>
              <w:autoSpaceDE/>
              <w:autoSpaceDN/>
              <w:adjustRightInd/>
              <w:rPr>
                <w:b/>
                <w:bCs/>
                <w:color w:val="000000"/>
                <w:sz w:val="20"/>
                <w:szCs w:val="20"/>
              </w:rPr>
            </w:pPr>
            <w:r w:rsidRPr="001A4B1C">
              <w:rPr>
                <w:b/>
                <w:bCs/>
                <w:color w:val="000000"/>
                <w:sz w:val="20"/>
                <w:szCs w:val="20"/>
              </w:rPr>
              <w:t> </w:t>
            </w:r>
          </w:p>
        </w:tc>
        <w:tc>
          <w:tcPr>
            <w:tcW w:w="881" w:type="dxa"/>
            <w:tcBorders>
              <w:top w:val="nil"/>
              <w:left w:val="nil"/>
              <w:bottom w:val="single" w:sz="4" w:space="0" w:color="auto"/>
              <w:right w:val="single" w:sz="4" w:space="0" w:color="auto"/>
            </w:tcBorders>
            <w:shd w:val="clear" w:color="auto" w:fill="auto"/>
            <w:noWrap/>
            <w:vAlign w:val="center"/>
            <w:hideMark/>
          </w:tcPr>
          <w:p w14:paraId="28C44D8C" w14:textId="77777777" w:rsidR="00932658" w:rsidRPr="001A4B1C" w:rsidRDefault="00932658" w:rsidP="00932658">
            <w:pPr>
              <w:widowControl/>
              <w:autoSpaceDE/>
              <w:autoSpaceDN/>
              <w:adjustRightInd/>
              <w:rPr>
                <w:b/>
                <w:bCs/>
                <w:color w:val="000000"/>
                <w:sz w:val="20"/>
                <w:szCs w:val="20"/>
              </w:rPr>
            </w:pPr>
            <w:r w:rsidRPr="001A4B1C">
              <w:rPr>
                <w:b/>
                <w:bCs/>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DDFCB3B" w14:textId="77777777" w:rsidR="00932658" w:rsidRPr="001A4B1C" w:rsidRDefault="00932658" w:rsidP="00932658">
            <w:pPr>
              <w:widowControl/>
              <w:autoSpaceDE/>
              <w:autoSpaceDN/>
              <w:adjustRightInd/>
              <w:jc w:val="center"/>
              <w:rPr>
                <w:b/>
                <w:bCs/>
                <w:color w:val="000000"/>
                <w:sz w:val="20"/>
                <w:szCs w:val="20"/>
              </w:rPr>
            </w:pPr>
            <w:r w:rsidRPr="001A4B1C">
              <w:rPr>
                <w:b/>
                <w:bCs/>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5D8441F7" w14:textId="77777777" w:rsidR="00932658" w:rsidRPr="001A4B1C" w:rsidRDefault="00932658" w:rsidP="00932658">
            <w:pPr>
              <w:widowControl/>
              <w:autoSpaceDE/>
              <w:autoSpaceDN/>
              <w:adjustRightInd/>
              <w:jc w:val="center"/>
              <w:rPr>
                <w:b/>
                <w:bCs/>
                <w:color w:val="000000"/>
                <w:sz w:val="20"/>
                <w:szCs w:val="20"/>
              </w:rPr>
            </w:pPr>
            <w:r w:rsidRPr="001A4B1C">
              <w:rPr>
                <w:b/>
                <w:bCs/>
                <w:color w:val="000000"/>
                <w:sz w:val="20"/>
                <w:szCs w:val="20"/>
              </w:rPr>
              <w:t> </w:t>
            </w:r>
          </w:p>
        </w:tc>
        <w:tc>
          <w:tcPr>
            <w:tcW w:w="894" w:type="dxa"/>
            <w:tcBorders>
              <w:top w:val="nil"/>
              <w:left w:val="nil"/>
              <w:bottom w:val="single" w:sz="4" w:space="0" w:color="auto"/>
              <w:right w:val="single" w:sz="4" w:space="0" w:color="auto"/>
            </w:tcBorders>
            <w:shd w:val="clear" w:color="auto" w:fill="auto"/>
            <w:vAlign w:val="center"/>
            <w:hideMark/>
          </w:tcPr>
          <w:p w14:paraId="35E38F07" w14:textId="77777777" w:rsidR="00932658" w:rsidRPr="001A4B1C" w:rsidRDefault="00932658" w:rsidP="00932658">
            <w:pPr>
              <w:widowControl/>
              <w:autoSpaceDE/>
              <w:autoSpaceDN/>
              <w:adjustRightInd/>
              <w:jc w:val="center"/>
              <w:rPr>
                <w:b/>
                <w:bCs/>
                <w:color w:val="000000"/>
                <w:sz w:val="20"/>
                <w:szCs w:val="20"/>
              </w:rPr>
            </w:pPr>
            <w:r w:rsidRPr="001A4B1C">
              <w:rPr>
                <w:b/>
                <w:bCs/>
                <w:color w:val="000000"/>
                <w:sz w:val="20"/>
                <w:szCs w:val="20"/>
              </w:rPr>
              <w:t> </w:t>
            </w:r>
          </w:p>
        </w:tc>
        <w:tc>
          <w:tcPr>
            <w:tcW w:w="1316" w:type="dxa"/>
            <w:tcBorders>
              <w:top w:val="nil"/>
              <w:left w:val="nil"/>
              <w:bottom w:val="single" w:sz="4" w:space="0" w:color="auto"/>
              <w:right w:val="single" w:sz="4" w:space="0" w:color="auto"/>
            </w:tcBorders>
            <w:shd w:val="clear" w:color="auto" w:fill="auto"/>
            <w:vAlign w:val="center"/>
            <w:hideMark/>
          </w:tcPr>
          <w:p w14:paraId="75F2C167" w14:textId="77777777" w:rsidR="00932658" w:rsidRPr="001A4B1C" w:rsidRDefault="00932658" w:rsidP="00932658">
            <w:pPr>
              <w:widowControl/>
              <w:autoSpaceDE/>
              <w:autoSpaceDN/>
              <w:adjustRightInd/>
              <w:jc w:val="right"/>
              <w:rPr>
                <w:b/>
                <w:bCs/>
                <w:color w:val="000000"/>
                <w:sz w:val="20"/>
                <w:szCs w:val="20"/>
              </w:rPr>
            </w:pPr>
            <w:r w:rsidRPr="001A4B1C">
              <w:rPr>
                <w:b/>
                <w:bCs/>
                <w:color w:val="000000"/>
                <w:sz w:val="20"/>
                <w:szCs w:val="20"/>
              </w:rPr>
              <w:t xml:space="preserve">$44,400 </w:t>
            </w:r>
          </w:p>
        </w:tc>
      </w:tr>
      <w:tr w:rsidR="00932658" w:rsidRPr="00932658" w14:paraId="7A16BA40" w14:textId="77777777" w:rsidTr="00DC0AFD">
        <w:trPr>
          <w:trHeight w:val="1380"/>
        </w:trPr>
        <w:tc>
          <w:tcPr>
            <w:tcW w:w="12818" w:type="dxa"/>
            <w:gridSpan w:val="9"/>
            <w:tcBorders>
              <w:top w:val="nil"/>
              <w:left w:val="nil"/>
              <w:bottom w:val="nil"/>
              <w:right w:val="nil"/>
            </w:tcBorders>
            <w:shd w:val="clear" w:color="auto" w:fill="auto"/>
            <w:vAlign w:val="center"/>
            <w:hideMark/>
          </w:tcPr>
          <w:p w14:paraId="6983A325" w14:textId="14AE01D2" w:rsidR="00932658" w:rsidRPr="001A4B1C" w:rsidRDefault="00932658" w:rsidP="00932658">
            <w:pPr>
              <w:widowControl/>
              <w:autoSpaceDE/>
              <w:autoSpaceDN/>
              <w:adjustRightInd/>
              <w:rPr>
                <w:color w:val="000000"/>
                <w:sz w:val="20"/>
                <w:szCs w:val="20"/>
              </w:rPr>
            </w:pPr>
            <w:r w:rsidRPr="00773528">
              <w:rPr>
                <w:color w:val="000000"/>
                <w:sz w:val="20"/>
                <w:szCs w:val="20"/>
                <w:vertAlign w:val="superscript"/>
              </w:rPr>
              <w:t>a</w:t>
            </w:r>
            <w:r w:rsidRPr="001A4B1C">
              <w:rPr>
                <w:color w:val="000000"/>
                <w:sz w:val="20"/>
                <w:szCs w:val="20"/>
              </w:rPr>
              <w:t xml:space="preserve">  We estimate that the number of existing sources subject to the rule is 107 pulp mills. We </w:t>
            </w:r>
            <w:r w:rsidRPr="001A4B1C">
              <w:rPr>
                <w:sz w:val="20"/>
                <w:szCs w:val="20"/>
              </w:rPr>
              <w:t xml:space="preserve">estimate </w:t>
            </w:r>
            <w:r w:rsidRPr="001A4B1C">
              <w:rPr>
                <w:color w:val="000000"/>
                <w:sz w:val="20"/>
                <w:szCs w:val="20"/>
              </w:rPr>
              <w:t xml:space="preserve">1 new pulp mill will begin operation in 2021. We also estimate that new </w:t>
            </w:r>
            <w:r w:rsidR="00DC0AFD" w:rsidRPr="001A4B1C">
              <w:rPr>
                <w:color w:val="000000"/>
                <w:sz w:val="20"/>
                <w:szCs w:val="20"/>
              </w:rPr>
              <w:t>equipment</w:t>
            </w:r>
            <w:r w:rsidRPr="001A4B1C">
              <w:rPr>
                <w:color w:val="000000"/>
                <w:sz w:val="20"/>
                <w:szCs w:val="20"/>
              </w:rPr>
              <w:t xml:space="preserve"> will be installed at three existing pulp mills and become subject to the rule over the 3 years of this ICR (two new recovery furnaces, two new SDTs, and one new lime kiln). Based on these estimates, over the 3 years of this ICR, there will be an average of 107.33 pulp mills per year (107 existing facilities + 1 new facility in the third year/3 years = 107.33) and new source requirements for an average of 1.33 pulp mills per year (1 modified or reconstructed facility per year + 1 new facility in the third year/3 years = 1.33 facilities).</w:t>
            </w:r>
          </w:p>
        </w:tc>
      </w:tr>
      <w:tr w:rsidR="00932658" w:rsidRPr="00932658" w14:paraId="32B3DDD2" w14:textId="77777777" w:rsidTr="00DC0AFD">
        <w:trPr>
          <w:trHeight w:val="738"/>
        </w:trPr>
        <w:tc>
          <w:tcPr>
            <w:tcW w:w="12818" w:type="dxa"/>
            <w:gridSpan w:val="9"/>
            <w:tcBorders>
              <w:top w:val="nil"/>
              <w:left w:val="nil"/>
              <w:bottom w:val="nil"/>
              <w:right w:val="nil"/>
            </w:tcBorders>
            <w:shd w:val="clear" w:color="auto" w:fill="auto"/>
            <w:vAlign w:val="center"/>
            <w:hideMark/>
          </w:tcPr>
          <w:p w14:paraId="54F41419" w14:textId="77777777" w:rsidR="00932658" w:rsidRPr="001A4B1C" w:rsidRDefault="00932658" w:rsidP="00932658">
            <w:pPr>
              <w:widowControl/>
              <w:autoSpaceDE/>
              <w:autoSpaceDN/>
              <w:adjustRightInd/>
              <w:rPr>
                <w:color w:val="000000"/>
                <w:sz w:val="20"/>
                <w:szCs w:val="20"/>
              </w:rPr>
            </w:pPr>
            <w:r w:rsidRPr="00773528">
              <w:rPr>
                <w:color w:val="000000"/>
                <w:sz w:val="20"/>
                <w:szCs w:val="20"/>
                <w:vertAlign w:val="superscript"/>
              </w:rPr>
              <w:t>b</w:t>
            </w:r>
            <w:r w:rsidRPr="001A4B1C">
              <w:rPr>
                <w:color w:val="000000"/>
                <w:sz w:val="20"/>
                <w:szCs w:val="20"/>
              </w:rPr>
              <w:t xml:space="preserve">  This cost is based on the following labor rates which incorporate a 1.6 benefits multiplication factor to account for government overhead expenses: $65.71 Managerial rate (GS-13, Step 5,$41.07 x 1.6), $48.75 Technical rate (GS-12, Step 1, $30.47 x 1.6), and $26.38 Clerical rate (GS-6, Step 3, $16.49 x 1.6). These rates are from the Office of Personnel Management (OPM) 2018 General Sche</w:t>
            </w:r>
            <w:r w:rsidRPr="00773528">
              <w:rPr>
                <w:color w:val="000000"/>
                <w:sz w:val="20"/>
                <w:szCs w:val="20"/>
              </w:rPr>
              <w:t xml:space="preserve">dule which excludes locality rates </w:t>
            </w:r>
            <w:r w:rsidRPr="001A4B1C">
              <w:rPr>
                <w:color w:val="000000"/>
                <w:sz w:val="20"/>
                <w:szCs w:val="20"/>
              </w:rPr>
              <w:t xml:space="preserve">of pay. </w:t>
            </w:r>
          </w:p>
        </w:tc>
      </w:tr>
      <w:tr w:rsidR="00932658" w:rsidRPr="00932658" w14:paraId="0A8834DD" w14:textId="77777777" w:rsidTr="00DC0AFD">
        <w:trPr>
          <w:trHeight w:val="450"/>
        </w:trPr>
        <w:tc>
          <w:tcPr>
            <w:tcW w:w="12818" w:type="dxa"/>
            <w:gridSpan w:val="9"/>
            <w:tcBorders>
              <w:top w:val="nil"/>
              <w:left w:val="nil"/>
              <w:bottom w:val="nil"/>
              <w:right w:val="nil"/>
            </w:tcBorders>
            <w:shd w:val="clear" w:color="auto" w:fill="auto"/>
            <w:vAlign w:val="center"/>
            <w:hideMark/>
          </w:tcPr>
          <w:p w14:paraId="395199DB" w14:textId="77777777" w:rsidR="00932658" w:rsidRPr="001A4B1C" w:rsidRDefault="00932658" w:rsidP="00932658">
            <w:pPr>
              <w:widowControl/>
              <w:autoSpaceDE/>
              <w:autoSpaceDN/>
              <w:adjustRightInd/>
              <w:rPr>
                <w:color w:val="000000"/>
                <w:sz w:val="20"/>
                <w:szCs w:val="20"/>
              </w:rPr>
            </w:pPr>
            <w:r w:rsidRPr="00773528">
              <w:rPr>
                <w:color w:val="000000"/>
                <w:sz w:val="20"/>
                <w:szCs w:val="20"/>
                <w:vertAlign w:val="superscript"/>
              </w:rPr>
              <w:t xml:space="preserve">c </w:t>
            </w:r>
            <w:r w:rsidRPr="001A4B1C">
              <w:rPr>
                <w:color w:val="000000"/>
                <w:sz w:val="20"/>
                <w:szCs w:val="20"/>
              </w:rPr>
              <w:t xml:space="preserve"> Assume EPA will attend tests at 3.6 plants per year. We estimate that it will take EPA personnel 24 hours once per year to attend initial and periodic performance tests at 10% of plants (0.10 x 108/3 years = 3.6), assuming 107 existing plant and 1 new plant will test.</w:t>
            </w:r>
          </w:p>
        </w:tc>
      </w:tr>
      <w:tr w:rsidR="00932658" w:rsidRPr="00932658" w14:paraId="6618B7CC" w14:textId="77777777" w:rsidTr="00DC0AFD">
        <w:trPr>
          <w:trHeight w:val="522"/>
        </w:trPr>
        <w:tc>
          <w:tcPr>
            <w:tcW w:w="12818" w:type="dxa"/>
            <w:gridSpan w:val="9"/>
            <w:tcBorders>
              <w:top w:val="nil"/>
              <w:left w:val="nil"/>
              <w:bottom w:val="nil"/>
              <w:right w:val="nil"/>
            </w:tcBorders>
            <w:shd w:val="clear" w:color="auto" w:fill="auto"/>
            <w:vAlign w:val="center"/>
            <w:hideMark/>
          </w:tcPr>
          <w:p w14:paraId="2660AEA5" w14:textId="77777777" w:rsidR="00932658" w:rsidRPr="001A4B1C" w:rsidRDefault="00932658" w:rsidP="00932658">
            <w:pPr>
              <w:widowControl/>
              <w:autoSpaceDE/>
              <w:autoSpaceDN/>
              <w:adjustRightInd/>
              <w:rPr>
                <w:color w:val="000000"/>
                <w:sz w:val="20"/>
                <w:szCs w:val="20"/>
              </w:rPr>
            </w:pPr>
            <w:r w:rsidRPr="00773528">
              <w:rPr>
                <w:color w:val="000000"/>
                <w:sz w:val="20"/>
                <w:szCs w:val="20"/>
                <w:vertAlign w:val="superscript"/>
              </w:rPr>
              <w:t>d</w:t>
            </w:r>
            <w:r w:rsidRPr="001A4B1C">
              <w:rPr>
                <w:color w:val="000000"/>
                <w:sz w:val="20"/>
                <w:szCs w:val="20"/>
              </w:rPr>
              <w:t xml:space="preserve">  Assume EPA will attend retests at 0.7 plants per year. We estimate that 20% of respondents will repeat performance test due to failure and that EPA personnel will attend 10% of retests (0.20 x 0.10 x 108/3 years = 0.7), assuming 107 existing plant and 1 new plant will test. </w:t>
            </w:r>
          </w:p>
        </w:tc>
      </w:tr>
      <w:tr w:rsidR="00932658" w:rsidRPr="00932658" w14:paraId="5E785D25" w14:textId="77777777" w:rsidTr="00DC0AFD">
        <w:trPr>
          <w:trHeight w:val="729"/>
        </w:trPr>
        <w:tc>
          <w:tcPr>
            <w:tcW w:w="12818" w:type="dxa"/>
            <w:gridSpan w:val="9"/>
            <w:tcBorders>
              <w:top w:val="nil"/>
              <w:left w:val="nil"/>
              <w:bottom w:val="nil"/>
              <w:right w:val="nil"/>
            </w:tcBorders>
            <w:shd w:val="clear" w:color="auto" w:fill="auto"/>
            <w:vAlign w:val="center"/>
            <w:hideMark/>
          </w:tcPr>
          <w:p w14:paraId="5D4FEE5D" w14:textId="77777777" w:rsidR="00932658" w:rsidRPr="00773528" w:rsidRDefault="00932658" w:rsidP="00932658">
            <w:pPr>
              <w:widowControl/>
              <w:autoSpaceDE/>
              <w:autoSpaceDN/>
              <w:adjustRightInd/>
              <w:rPr>
                <w:color w:val="000000"/>
                <w:sz w:val="20"/>
                <w:szCs w:val="20"/>
              </w:rPr>
            </w:pPr>
            <w:r w:rsidRPr="00773528">
              <w:rPr>
                <w:color w:val="000000"/>
                <w:sz w:val="20"/>
                <w:szCs w:val="20"/>
                <w:vertAlign w:val="superscript"/>
              </w:rPr>
              <w:t>e</w:t>
            </w:r>
            <w:r w:rsidRPr="001A4B1C">
              <w:rPr>
                <w:color w:val="000000"/>
                <w:sz w:val="20"/>
                <w:szCs w:val="20"/>
              </w:rPr>
              <w:t xml:space="preserve">  We estimate that it will take EPA personnel 2 hours once per year to complete review of the initial notifications (construction/reconstruction, actual startup, applicability of standard) and 4 hours once per year to review t</w:t>
            </w:r>
            <w:r w:rsidRPr="00773528">
              <w:rPr>
                <w:color w:val="000000"/>
                <w:sz w:val="20"/>
                <w:szCs w:val="20"/>
              </w:rPr>
              <w:t>he notification of compliance status for new process units (4 mills with new process units/3 years = 1.33).</w:t>
            </w:r>
          </w:p>
        </w:tc>
      </w:tr>
      <w:tr w:rsidR="00932658" w:rsidRPr="00932658" w14:paraId="19F69A6C" w14:textId="77777777" w:rsidTr="00DC0AFD">
        <w:trPr>
          <w:trHeight w:val="711"/>
        </w:trPr>
        <w:tc>
          <w:tcPr>
            <w:tcW w:w="12818" w:type="dxa"/>
            <w:gridSpan w:val="9"/>
            <w:tcBorders>
              <w:top w:val="nil"/>
              <w:left w:val="nil"/>
              <w:bottom w:val="nil"/>
              <w:right w:val="nil"/>
            </w:tcBorders>
            <w:shd w:val="clear" w:color="auto" w:fill="auto"/>
            <w:vAlign w:val="center"/>
            <w:hideMark/>
          </w:tcPr>
          <w:p w14:paraId="4A9A3BD8" w14:textId="77777777" w:rsidR="00932658" w:rsidRPr="001A4B1C" w:rsidRDefault="00932658" w:rsidP="00932658">
            <w:pPr>
              <w:widowControl/>
              <w:autoSpaceDE/>
              <w:autoSpaceDN/>
              <w:adjustRightInd/>
              <w:rPr>
                <w:color w:val="000000"/>
                <w:sz w:val="20"/>
                <w:szCs w:val="20"/>
              </w:rPr>
            </w:pPr>
            <w:r w:rsidRPr="00773528">
              <w:rPr>
                <w:color w:val="000000"/>
                <w:sz w:val="20"/>
                <w:szCs w:val="20"/>
                <w:vertAlign w:val="superscript"/>
              </w:rPr>
              <w:t>f</w:t>
            </w:r>
            <w:r w:rsidRPr="001A4B1C">
              <w:rPr>
                <w:color w:val="000000"/>
                <w:sz w:val="20"/>
                <w:szCs w:val="20"/>
              </w:rPr>
              <w:t xml:space="preserve">  We estimate that it will take EPA personnel 2 hours once per year to complete review of the initial and periodic notifications of performance test/retest and performance evaluation. We estimate that 43 mills will submit notifications of initial/periodic performance test/retest and performance evaluation over the 3-year ICR period (test: (1 new + 107 existing respondents)/3 years = 36; retest: 20% x 36 = 7; total: 36 + 7 = 43).</w:t>
            </w:r>
          </w:p>
        </w:tc>
      </w:tr>
      <w:tr w:rsidR="00932658" w:rsidRPr="00932658" w14:paraId="19A517B6" w14:textId="77777777" w:rsidTr="00DC0AFD">
        <w:trPr>
          <w:trHeight w:val="549"/>
        </w:trPr>
        <w:tc>
          <w:tcPr>
            <w:tcW w:w="12818" w:type="dxa"/>
            <w:gridSpan w:val="9"/>
            <w:tcBorders>
              <w:top w:val="nil"/>
              <w:left w:val="nil"/>
              <w:bottom w:val="nil"/>
              <w:right w:val="nil"/>
            </w:tcBorders>
            <w:shd w:val="clear" w:color="auto" w:fill="auto"/>
            <w:vAlign w:val="center"/>
            <w:hideMark/>
          </w:tcPr>
          <w:p w14:paraId="248EE99E" w14:textId="77777777" w:rsidR="00932658" w:rsidRPr="001A4B1C" w:rsidRDefault="00932658" w:rsidP="00932658">
            <w:pPr>
              <w:widowControl/>
              <w:autoSpaceDE/>
              <w:autoSpaceDN/>
              <w:adjustRightInd/>
              <w:rPr>
                <w:color w:val="000000"/>
                <w:sz w:val="20"/>
                <w:szCs w:val="20"/>
              </w:rPr>
            </w:pPr>
            <w:r w:rsidRPr="00773528">
              <w:rPr>
                <w:color w:val="000000"/>
                <w:sz w:val="20"/>
                <w:szCs w:val="20"/>
                <w:vertAlign w:val="superscript"/>
              </w:rPr>
              <w:t>g</w:t>
            </w:r>
            <w:r w:rsidRPr="001A4B1C">
              <w:rPr>
                <w:color w:val="000000"/>
                <w:sz w:val="20"/>
                <w:szCs w:val="20"/>
              </w:rPr>
              <w:t xml:space="preserve">  We estimate that it will take EPA personnel 8 hours two times per year to review the monitoring exceedances and periods of noncompliance in the excess emissions report for 5% of respondents (5% x 107.33 = 5).</w:t>
            </w:r>
          </w:p>
        </w:tc>
      </w:tr>
      <w:tr w:rsidR="00932658" w:rsidRPr="00932658" w14:paraId="1552FBBB" w14:textId="77777777" w:rsidTr="00DC0AFD">
        <w:trPr>
          <w:trHeight w:val="270"/>
        </w:trPr>
        <w:tc>
          <w:tcPr>
            <w:tcW w:w="12818" w:type="dxa"/>
            <w:gridSpan w:val="9"/>
            <w:tcBorders>
              <w:top w:val="nil"/>
              <w:left w:val="nil"/>
              <w:bottom w:val="nil"/>
              <w:right w:val="nil"/>
            </w:tcBorders>
            <w:shd w:val="clear" w:color="auto" w:fill="auto"/>
            <w:vAlign w:val="center"/>
            <w:hideMark/>
          </w:tcPr>
          <w:p w14:paraId="6D8B5544" w14:textId="77777777" w:rsidR="00932658" w:rsidRPr="001A4B1C" w:rsidRDefault="00932658" w:rsidP="00932658">
            <w:pPr>
              <w:widowControl/>
              <w:autoSpaceDE/>
              <w:autoSpaceDN/>
              <w:adjustRightInd/>
              <w:rPr>
                <w:color w:val="000000"/>
                <w:sz w:val="20"/>
                <w:szCs w:val="20"/>
              </w:rPr>
            </w:pPr>
            <w:r w:rsidRPr="00773528">
              <w:rPr>
                <w:color w:val="000000"/>
                <w:sz w:val="20"/>
                <w:szCs w:val="20"/>
                <w:vertAlign w:val="superscript"/>
              </w:rPr>
              <w:t>h</w:t>
            </w:r>
            <w:r w:rsidRPr="001A4B1C">
              <w:rPr>
                <w:color w:val="000000"/>
                <w:sz w:val="20"/>
                <w:szCs w:val="20"/>
              </w:rPr>
              <w:t xml:space="preserve">  We estimate that it will take EPA personnel 2 hours two times per year to review the no exceedances report for 95% of respondents (95% x 107.33 = 102).</w:t>
            </w:r>
          </w:p>
        </w:tc>
      </w:tr>
      <w:tr w:rsidR="00932658" w:rsidRPr="00932658" w14:paraId="4AF65444" w14:textId="77777777" w:rsidTr="00DC0AFD">
        <w:trPr>
          <w:trHeight w:val="711"/>
        </w:trPr>
        <w:tc>
          <w:tcPr>
            <w:tcW w:w="12818" w:type="dxa"/>
            <w:gridSpan w:val="9"/>
            <w:tcBorders>
              <w:top w:val="nil"/>
              <w:left w:val="nil"/>
              <w:bottom w:val="nil"/>
              <w:right w:val="nil"/>
            </w:tcBorders>
            <w:shd w:val="clear" w:color="auto" w:fill="auto"/>
            <w:vAlign w:val="center"/>
            <w:hideMark/>
          </w:tcPr>
          <w:p w14:paraId="2B8FE94F" w14:textId="7BABFC64" w:rsidR="00932658" w:rsidRPr="001A4B1C" w:rsidRDefault="00932658" w:rsidP="00932658">
            <w:pPr>
              <w:widowControl/>
              <w:autoSpaceDE/>
              <w:autoSpaceDN/>
              <w:adjustRightInd/>
              <w:rPr>
                <w:color w:val="000000"/>
                <w:sz w:val="20"/>
                <w:szCs w:val="20"/>
              </w:rPr>
            </w:pPr>
            <w:r w:rsidRPr="00773528">
              <w:rPr>
                <w:color w:val="000000"/>
                <w:sz w:val="20"/>
                <w:szCs w:val="20"/>
                <w:vertAlign w:val="superscript"/>
              </w:rPr>
              <w:t>i</w:t>
            </w:r>
            <w:r w:rsidRPr="001A4B1C">
              <w:rPr>
                <w:color w:val="000000"/>
                <w:sz w:val="20"/>
                <w:szCs w:val="20"/>
              </w:rPr>
              <w:t xml:space="preserve">  We estimate that it will take EPA personnel 1 day per plant plus time for travel, at $50 per diem per day, and $400 transportation expense per round trip. Assuming an </w:t>
            </w:r>
            <w:r w:rsidR="00DC0AFD" w:rsidRPr="001A4B1C">
              <w:rPr>
                <w:color w:val="000000"/>
                <w:sz w:val="20"/>
                <w:szCs w:val="20"/>
              </w:rPr>
              <w:t>average</w:t>
            </w:r>
            <w:r w:rsidRPr="001A4B1C">
              <w:rPr>
                <w:color w:val="000000"/>
                <w:sz w:val="20"/>
                <w:szCs w:val="20"/>
              </w:rPr>
              <w:t xml:space="preserve"> of 4.3 tests/retests each year (3.6 tests + 0.7 retests = 4.3)(see footnotes c and d), the annual cost for travel expenses is $1,935 (4.3 tests/retests*($400+$50) = $1,935).</w:t>
            </w:r>
          </w:p>
        </w:tc>
      </w:tr>
      <w:tr w:rsidR="00932658" w:rsidRPr="00932658" w14:paraId="3FAD9016" w14:textId="77777777" w:rsidTr="00DC0AFD">
        <w:trPr>
          <w:trHeight w:val="180"/>
        </w:trPr>
        <w:tc>
          <w:tcPr>
            <w:tcW w:w="12818" w:type="dxa"/>
            <w:gridSpan w:val="9"/>
            <w:tcBorders>
              <w:top w:val="nil"/>
              <w:left w:val="nil"/>
              <w:bottom w:val="nil"/>
              <w:right w:val="nil"/>
            </w:tcBorders>
            <w:shd w:val="clear" w:color="auto" w:fill="auto"/>
            <w:vAlign w:val="center"/>
            <w:hideMark/>
          </w:tcPr>
          <w:p w14:paraId="670B8300" w14:textId="31196E8E" w:rsidR="00932658" w:rsidRPr="001A4B1C" w:rsidRDefault="00932658" w:rsidP="00932658">
            <w:pPr>
              <w:widowControl/>
              <w:autoSpaceDE/>
              <w:autoSpaceDN/>
              <w:adjustRightInd/>
              <w:rPr>
                <w:sz w:val="20"/>
                <w:szCs w:val="20"/>
              </w:rPr>
            </w:pPr>
            <w:r w:rsidRPr="00773528">
              <w:rPr>
                <w:sz w:val="20"/>
                <w:szCs w:val="20"/>
                <w:vertAlign w:val="superscript"/>
              </w:rPr>
              <w:t>j</w:t>
            </w:r>
            <w:r w:rsidRPr="001A4B1C">
              <w:rPr>
                <w:sz w:val="20"/>
                <w:szCs w:val="20"/>
              </w:rPr>
              <w:t xml:space="preserve">  Sum of </w:t>
            </w:r>
            <w:r w:rsidR="00DC0AFD" w:rsidRPr="001A4B1C">
              <w:rPr>
                <w:sz w:val="20"/>
                <w:szCs w:val="20"/>
              </w:rPr>
              <w:t>salary</w:t>
            </w:r>
            <w:r w:rsidRPr="001A4B1C">
              <w:rPr>
                <w:sz w:val="20"/>
                <w:szCs w:val="20"/>
              </w:rPr>
              <w:t xml:space="preserve"> and expenses. Total has been rounded to 3 significant figures. Figure may not add exactly due to rounding.</w:t>
            </w:r>
          </w:p>
        </w:tc>
      </w:tr>
    </w:tbl>
    <w:p w14:paraId="07800B47" w14:textId="77777777" w:rsidR="00BE1D39" w:rsidRDefault="00BE1D39"/>
    <w:sectPr w:rsidR="00BE1D39" w:rsidSect="00336076">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1793F" w14:textId="77777777" w:rsidR="00E05955" w:rsidRDefault="00E05955">
      <w:r>
        <w:separator/>
      </w:r>
    </w:p>
  </w:endnote>
  <w:endnote w:type="continuationSeparator" w:id="0">
    <w:p w14:paraId="70255D2E" w14:textId="77777777" w:rsidR="00E05955" w:rsidRDefault="00E0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BEEBC" w14:textId="77777777" w:rsidR="00E05955" w:rsidRDefault="00E05955">
      <w:r>
        <w:separator/>
      </w:r>
    </w:p>
  </w:footnote>
  <w:footnote w:type="continuationSeparator" w:id="0">
    <w:p w14:paraId="177C4B01" w14:textId="77777777" w:rsidR="00E05955" w:rsidRDefault="00E05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2F263" w14:textId="2164C8DA" w:rsidR="00221107" w:rsidRDefault="00221107">
    <w:pPr>
      <w:framePr w:w="9361" w:wrap="notBeside" w:vAnchor="text" w:hAnchor="text" w:x="1" w:y="1"/>
      <w:jc w:val="center"/>
    </w:pPr>
    <w:r>
      <w:fldChar w:fldCharType="begin"/>
    </w:r>
    <w:r>
      <w:instrText xml:space="preserve">PAGE </w:instrText>
    </w:r>
    <w:r>
      <w:fldChar w:fldCharType="separate"/>
    </w:r>
    <w:r w:rsidR="002635A3">
      <w:rPr>
        <w:noProof/>
      </w:rPr>
      <w:t>2</w:t>
    </w:r>
    <w:r>
      <w:rPr>
        <w:noProof/>
      </w:rPr>
      <w:fldChar w:fldCharType="end"/>
    </w:r>
  </w:p>
  <w:p w14:paraId="33699C6D" w14:textId="77777777" w:rsidR="00221107" w:rsidRDefault="00221107"/>
  <w:p w14:paraId="75A2E0FA" w14:textId="77777777" w:rsidR="00221107" w:rsidRDefault="00221107">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C77"/>
    <w:rsid w:val="00002C4C"/>
    <w:rsid w:val="000046C2"/>
    <w:rsid w:val="00004B88"/>
    <w:rsid w:val="0000565C"/>
    <w:rsid w:val="00007CCD"/>
    <w:rsid w:val="00020D17"/>
    <w:rsid w:val="000271E4"/>
    <w:rsid w:val="00041762"/>
    <w:rsid w:val="00054572"/>
    <w:rsid w:val="00060BE5"/>
    <w:rsid w:val="000637B0"/>
    <w:rsid w:val="000917AC"/>
    <w:rsid w:val="000C263B"/>
    <w:rsid w:val="000C5A2D"/>
    <w:rsid w:val="000C6F03"/>
    <w:rsid w:val="000D0D9D"/>
    <w:rsid w:val="000D6D45"/>
    <w:rsid w:val="000F0430"/>
    <w:rsid w:val="000F32D2"/>
    <w:rsid w:val="00104BDD"/>
    <w:rsid w:val="0011006C"/>
    <w:rsid w:val="00122CDD"/>
    <w:rsid w:val="00133A1D"/>
    <w:rsid w:val="0014177B"/>
    <w:rsid w:val="00170D9B"/>
    <w:rsid w:val="00175150"/>
    <w:rsid w:val="001A4B1C"/>
    <w:rsid w:val="001B705C"/>
    <w:rsid w:val="001D61BD"/>
    <w:rsid w:val="001D7D38"/>
    <w:rsid w:val="00221107"/>
    <w:rsid w:val="002301D2"/>
    <w:rsid w:val="00243CE4"/>
    <w:rsid w:val="00257B80"/>
    <w:rsid w:val="00261117"/>
    <w:rsid w:val="002635A3"/>
    <w:rsid w:val="00264789"/>
    <w:rsid w:val="002725EF"/>
    <w:rsid w:val="00283F66"/>
    <w:rsid w:val="002F4ADA"/>
    <w:rsid w:val="003155FE"/>
    <w:rsid w:val="00326FDF"/>
    <w:rsid w:val="00327D8F"/>
    <w:rsid w:val="00336076"/>
    <w:rsid w:val="00336F6B"/>
    <w:rsid w:val="0034376B"/>
    <w:rsid w:val="0037465A"/>
    <w:rsid w:val="00387E8B"/>
    <w:rsid w:val="003939A3"/>
    <w:rsid w:val="0039784F"/>
    <w:rsid w:val="003C6DEE"/>
    <w:rsid w:val="003D7467"/>
    <w:rsid w:val="003E7A51"/>
    <w:rsid w:val="003F27F5"/>
    <w:rsid w:val="00447C24"/>
    <w:rsid w:val="0047713F"/>
    <w:rsid w:val="004962EC"/>
    <w:rsid w:val="004B5998"/>
    <w:rsid w:val="004D7A58"/>
    <w:rsid w:val="004E138E"/>
    <w:rsid w:val="004F5C5F"/>
    <w:rsid w:val="00506AFB"/>
    <w:rsid w:val="005115CA"/>
    <w:rsid w:val="00512AED"/>
    <w:rsid w:val="00513A20"/>
    <w:rsid w:val="005312F8"/>
    <w:rsid w:val="00531648"/>
    <w:rsid w:val="00566A26"/>
    <w:rsid w:val="00593255"/>
    <w:rsid w:val="005E3FED"/>
    <w:rsid w:val="005F52CE"/>
    <w:rsid w:val="005F5896"/>
    <w:rsid w:val="00615C77"/>
    <w:rsid w:val="00651366"/>
    <w:rsid w:val="00662CCF"/>
    <w:rsid w:val="00663083"/>
    <w:rsid w:val="00666646"/>
    <w:rsid w:val="00686C9D"/>
    <w:rsid w:val="006A4523"/>
    <w:rsid w:val="006F2D09"/>
    <w:rsid w:val="00716E1D"/>
    <w:rsid w:val="00756DC8"/>
    <w:rsid w:val="00773528"/>
    <w:rsid w:val="00775674"/>
    <w:rsid w:val="0078427F"/>
    <w:rsid w:val="007D0934"/>
    <w:rsid w:val="007D721E"/>
    <w:rsid w:val="007E07CF"/>
    <w:rsid w:val="00810195"/>
    <w:rsid w:val="00826ADC"/>
    <w:rsid w:val="00832D08"/>
    <w:rsid w:val="008428B6"/>
    <w:rsid w:val="00857CBD"/>
    <w:rsid w:val="00872C55"/>
    <w:rsid w:val="00875FE4"/>
    <w:rsid w:val="008C1DDF"/>
    <w:rsid w:val="008C36BB"/>
    <w:rsid w:val="008D5991"/>
    <w:rsid w:val="008F7C6F"/>
    <w:rsid w:val="009259F7"/>
    <w:rsid w:val="00932658"/>
    <w:rsid w:val="00941E60"/>
    <w:rsid w:val="00942D0C"/>
    <w:rsid w:val="009457E9"/>
    <w:rsid w:val="009649B4"/>
    <w:rsid w:val="00967948"/>
    <w:rsid w:val="00972AB6"/>
    <w:rsid w:val="00996991"/>
    <w:rsid w:val="009E755E"/>
    <w:rsid w:val="009F465F"/>
    <w:rsid w:val="009F53A4"/>
    <w:rsid w:val="00A020E6"/>
    <w:rsid w:val="00A2480A"/>
    <w:rsid w:val="00A26CD5"/>
    <w:rsid w:val="00A350E1"/>
    <w:rsid w:val="00A35AA5"/>
    <w:rsid w:val="00A3646C"/>
    <w:rsid w:val="00A55BD0"/>
    <w:rsid w:val="00A568D1"/>
    <w:rsid w:val="00A64F37"/>
    <w:rsid w:val="00A67EDE"/>
    <w:rsid w:val="00A721B9"/>
    <w:rsid w:val="00A768F9"/>
    <w:rsid w:val="00AA2E09"/>
    <w:rsid w:val="00AA34D6"/>
    <w:rsid w:val="00AB77D4"/>
    <w:rsid w:val="00AC2AF6"/>
    <w:rsid w:val="00AD1091"/>
    <w:rsid w:val="00AD26B4"/>
    <w:rsid w:val="00AE1E66"/>
    <w:rsid w:val="00AF5199"/>
    <w:rsid w:val="00B106E1"/>
    <w:rsid w:val="00B223DE"/>
    <w:rsid w:val="00B2268B"/>
    <w:rsid w:val="00B635EB"/>
    <w:rsid w:val="00B93B90"/>
    <w:rsid w:val="00B97B63"/>
    <w:rsid w:val="00BD3B06"/>
    <w:rsid w:val="00BE1D39"/>
    <w:rsid w:val="00BE7BA7"/>
    <w:rsid w:val="00BF01E5"/>
    <w:rsid w:val="00C12D07"/>
    <w:rsid w:val="00C537C7"/>
    <w:rsid w:val="00C56854"/>
    <w:rsid w:val="00C67987"/>
    <w:rsid w:val="00C96BAD"/>
    <w:rsid w:val="00CA5582"/>
    <w:rsid w:val="00CA62D2"/>
    <w:rsid w:val="00CB2DF2"/>
    <w:rsid w:val="00D137BD"/>
    <w:rsid w:val="00D5374B"/>
    <w:rsid w:val="00D64CD1"/>
    <w:rsid w:val="00D74704"/>
    <w:rsid w:val="00D81C93"/>
    <w:rsid w:val="00D97C4C"/>
    <w:rsid w:val="00DA1760"/>
    <w:rsid w:val="00DA7420"/>
    <w:rsid w:val="00DB2831"/>
    <w:rsid w:val="00DC0AFD"/>
    <w:rsid w:val="00DC36D4"/>
    <w:rsid w:val="00DC4968"/>
    <w:rsid w:val="00E05955"/>
    <w:rsid w:val="00E05C9E"/>
    <w:rsid w:val="00E344D9"/>
    <w:rsid w:val="00E72A78"/>
    <w:rsid w:val="00EB71DB"/>
    <w:rsid w:val="00EC0095"/>
    <w:rsid w:val="00EE5A91"/>
    <w:rsid w:val="00F4098C"/>
    <w:rsid w:val="00F55037"/>
    <w:rsid w:val="00F8125A"/>
    <w:rsid w:val="00F85378"/>
    <w:rsid w:val="00FA2FAC"/>
    <w:rsid w:val="00FA3E43"/>
    <w:rsid w:val="00FB1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6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2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FA2FA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962EC"/>
  </w:style>
  <w:style w:type="character" w:customStyle="1" w:styleId="Hypertext">
    <w:name w:val="Hypertext"/>
    <w:rsid w:val="004962EC"/>
    <w:rPr>
      <w:color w:val="0000FF"/>
      <w:u w:val="single"/>
    </w:rPr>
  </w:style>
  <w:style w:type="paragraph" w:customStyle="1" w:styleId="Level1">
    <w:name w:val="Level 1"/>
    <w:basedOn w:val="Normal"/>
    <w:rsid w:val="004962EC"/>
    <w:pPr>
      <w:ind w:left="1440" w:hanging="720"/>
    </w:pPr>
  </w:style>
  <w:style w:type="character" w:customStyle="1" w:styleId="1">
    <w:name w:val="1"/>
    <w:rsid w:val="004962EC"/>
  </w:style>
  <w:style w:type="paragraph" w:styleId="Header">
    <w:name w:val="header"/>
    <w:basedOn w:val="Normal"/>
    <w:link w:val="HeaderChar"/>
    <w:uiPriority w:val="99"/>
    <w:rsid w:val="004962EC"/>
    <w:pPr>
      <w:tabs>
        <w:tab w:val="center" w:pos="4680"/>
        <w:tab w:val="right" w:pos="9360"/>
      </w:tabs>
    </w:pPr>
  </w:style>
  <w:style w:type="character" w:customStyle="1" w:styleId="HeaderChar">
    <w:name w:val="Header Char"/>
    <w:basedOn w:val="DefaultParagraphFont"/>
    <w:link w:val="Header"/>
    <w:uiPriority w:val="99"/>
    <w:rsid w:val="004962EC"/>
    <w:rPr>
      <w:rFonts w:ascii="Times New Roman" w:eastAsia="Times New Roman" w:hAnsi="Times New Roman" w:cs="Times New Roman"/>
      <w:sz w:val="24"/>
      <w:szCs w:val="24"/>
    </w:rPr>
  </w:style>
  <w:style w:type="paragraph" w:styleId="Footer">
    <w:name w:val="footer"/>
    <w:basedOn w:val="Normal"/>
    <w:link w:val="FooterChar"/>
    <w:rsid w:val="004962EC"/>
    <w:pPr>
      <w:tabs>
        <w:tab w:val="center" w:pos="4680"/>
        <w:tab w:val="right" w:pos="9360"/>
      </w:tabs>
    </w:pPr>
  </w:style>
  <w:style w:type="character" w:customStyle="1" w:styleId="FooterChar">
    <w:name w:val="Footer Char"/>
    <w:basedOn w:val="DefaultParagraphFont"/>
    <w:link w:val="Footer"/>
    <w:rsid w:val="004962EC"/>
    <w:rPr>
      <w:rFonts w:ascii="Times New Roman" w:eastAsia="Times New Roman" w:hAnsi="Times New Roman" w:cs="Times New Roman"/>
      <w:sz w:val="24"/>
      <w:szCs w:val="24"/>
    </w:rPr>
  </w:style>
  <w:style w:type="character" w:styleId="CommentReference">
    <w:name w:val="annotation reference"/>
    <w:basedOn w:val="DefaultParagraphFont"/>
    <w:rsid w:val="004962EC"/>
    <w:rPr>
      <w:sz w:val="16"/>
      <w:szCs w:val="16"/>
    </w:rPr>
  </w:style>
  <w:style w:type="paragraph" w:styleId="CommentText">
    <w:name w:val="annotation text"/>
    <w:basedOn w:val="Normal"/>
    <w:link w:val="CommentTextChar"/>
    <w:rsid w:val="004962EC"/>
    <w:rPr>
      <w:sz w:val="20"/>
      <w:szCs w:val="20"/>
    </w:rPr>
  </w:style>
  <w:style w:type="character" w:customStyle="1" w:styleId="CommentTextChar">
    <w:name w:val="Comment Text Char"/>
    <w:basedOn w:val="DefaultParagraphFont"/>
    <w:link w:val="CommentText"/>
    <w:rsid w:val="004962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962EC"/>
    <w:rPr>
      <w:b/>
      <w:bCs/>
    </w:rPr>
  </w:style>
  <w:style w:type="character" w:customStyle="1" w:styleId="CommentSubjectChar">
    <w:name w:val="Comment Subject Char"/>
    <w:basedOn w:val="CommentTextChar"/>
    <w:link w:val="CommentSubject"/>
    <w:rsid w:val="004962EC"/>
    <w:rPr>
      <w:rFonts w:ascii="Times New Roman" w:eastAsia="Times New Roman" w:hAnsi="Times New Roman" w:cs="Times New Roman"/>
      <w:b/>
      <w:bCs/>
      <w:sz w:val="20"/>
      <w:szCs w:val="20"/>
    </w:rPr>
  </w:style>
  <w:style w:type="paragraph" w:styleId="BalloonText">
    <w:name w:val="Balloon Text"/>
    <w:basedOn w:val="Normal"/>
    <w:link w:val="BalloonTextChar"/>
    <w:rsid w:val="004962EC"/>
    <w:rPr>
      <w:rFonts w:ascii="Tahoma" w:hAnsi="Tahoma" w:cs="Tahoma"/>
      <w:sz w:val="16"/>
      <w:szCs w:val="16"/>
    </w:rPr>
  </w:style>
  <w:style w:type="character" w:customStyle="1" w:styleId="BalloonTextChar">
    <w:name w:val="Balloon Text Char"/>
    <w:basedOn w:val="DefaultParagraphFont"/>
    <w:link w:val="BalloonText"/>
    <w:rsid w:val="004962EC"/>
    <w:rPr>
      <w:rFonts w:ascii="Tahoma" w:eastAsia="Times New Roman" w:hAnsi="Tahoma" w:cs="Tahoma"/>
      <w:sz w:val="16"/>
      <w:szCs w:val="16"/>
    </w:rPr>
  </w:style>
  <w:style w:type="character" w:styleId="Hyperlink">
    <w:name w:val="Hyperlink"/>
    <w:basedOn w:val="DefaultParagraphFont"/>
    <w:rsid w:val="004962EC"/>
    <w:rPr>
      <w:color w:val="0563C1" w:themeColor="hyperlink"/>
      <w:u w:val="single"/>
    </w:rPr>
  </w:style>
  <w:style w:type="paragraph" w:styleId="DocumentMap">
    <w:name w:val="Document Map"/>
    <w:basedOn w:val="Normal"/>
    <w:link w:val="DocumentMapChar"/>
    <w:rsid w:val="004962EC"/>
    <w:rPr>
      <w:rFonts w:ascii="Tahoma" w:hAnsi="Tahoma" w:cs="Tahoma"/>
      <w:sz w:val="16"/>
      <w:szCs w:val="16"/>
    </w:rPr>
  </w:style>
  <w:style w:type="character" w:customStyle="1" w:styleId="DocumentMapChar">
    <w:name w:val="Document Map Char"/>
    <w:basedOn w:val="DefaultParagraphFont"/>
    <w:link w:val="DocumentMap"/>
    <w:rsid w:val="004962EC"/>
    <w:rPr>
      <w:rFonts w:ascii="Tahoma" w:eastAsia="Times New Roman" w:hAnsi="Tahoma" w:cs="Tahoma"/>
      <w:sz w:val="16"/>
      <w:szCs w:val="16"/>
    </w:rPr>
  </w:style>
  <w:style w:type="paragraph" w:styleId="ListParagraph">
    <w:name w:val="List Paragraph"/>
    <w:basedOn w:val="Normal"/>
    <w:uiPriority w:val="34"/>
    <w:qFormat/>
    <w:rsid w:val="004962EC"/>
    <w:pPr>
      <w:ind w:left="720"/>
      <w:contextualSpacing/>
    </w:pPr>
  </w:style>
  <w:style w:type="paragraph" w:styleId="Revision">
    <w:name w:val="Revision"/>
    <w:hidden/>
    <w:uiPriority w:val="99"/>
    <w:semiHidden/>
    <w:rsid w:val="004962EC"/>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A2FAC"/>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rsid w:val="00AC2AF6"/>
    <w:pPr>
      <w:suppressAutoHyphens/>
      <w:autoSpaceDN/>
      <w:adjustRightInd/>
    </w:pPr>
    <w:rPr>
      <w:sz w:val="20"/>
      <w:szCs w:val="20"/>
      <w:lang w:eastAsia="ar-SA"/>
    </w:rPr>
  </w:style>
  <w:style w:type="character" w:customStyle="1" w:styleId="FootnoteTextChar">
    <w:name w:val="Footnote Text Char"/>
    <w:basedOn w:val="DefaultParagraphFont"/>
    <w:link w:val="FootnoteText"/>
    <w:rsid w:val="00AC2AF6"/>
    <w:rPr>
      <w:rFonts w:ascii="Times New Roman" w:eastAsia="Times New Roman" w:hAnsi="Times New Roman" w:cs="Times New Roman"/>
      <w:sz w:val="20"/>
      <w:szCs w:val="20"/>
      <w:lang w:eastAsia="ar-SA"/>
    </w:rPr>
  </w:style>
  <w:style w:type="table" w:styleId="TableGrid">
    <w:name w:val="Table Grid"/>
    <w:basedOn w:val="TableNormal"/>
    <w:uiPriority w:val="39"/>
    <w:rsid w:val="00A55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2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FA2FA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962EC"/>
  </w:style>
  <w:style w:type="character" w:customStyle="1" w:styleId="Hypertext">
    <w:name w:val="Hypertext"/>
    <w:rsid w:val="004962EC"/>
    <w:rPr>
      <w:color w:val="0000FF"/>
      <w:u w:val="single"/>
    </w:rPr>
  </w:style>
  <w:style w:type="paragraph" w:customStyle="1" w:styleId="Level1">
    <w:name w:val="Level 1"/>
    <w:basedOn w:val="Normal"/>
    <w:rsid w:val="004962EC"/>
    <w:pPr>
      <w:ind w:left="1440" w:hanging="720"/>
    </w:pPr>
  </w:style>
  <w:style w:type="character" w:customStyle="1" w:styleId="1">
    <w:name w:val="1"/>
    <w:rsid w:val="004962EC"/>
  </w:style>
  <w:style w:type="paragraph" w:styleId="Header">
    <w:name w:val="header"/>
    <w:basedOn w:val="Normal"/>
    <w:link w:val="HeaderChar"/>
    <w:uiPriority w:val="99"/>
    <w:rsid w:val="004962EC"/>
    <w:pPr>
      <w:tabs>
        <w:tab w:val="center" w:pos="4680"/>
        <w:tab w:val="right" w:pos="9360"/>
      </w:tabs>
    </w:pPr>
  </w:style>
  <w:style w:type="character" w:customStyle="1" w:styleId="HeaderChar">
    <w:name w:val="Header Char"/>
    <w:basedOn w:val="DefaultParagraphFont"/>
    <w:link w:val="Header"/>
    <w:uiPriority w:val="99"/>
    <w:rsid w:val="004962EC"/>
    <w:rPr>
      <w:rFonts w:ascii="Times New Roman" w:eastAsia="Times New Roman" w:hAnsi="Times New Roman" w:cs="Times New Roman"/>
      <w:sz w:val="24"/>
      <w:szCs w:val="24"/>
    </w:rPr>
  </w:style>
  <w:style w:type="paragraph" w:styleId="Footer">
    <w:name w:val="footer"/>
    <w:basedOn w:val="Normal"/>
    <w:link w:val="FooterChar"/>
    <w:rsid w:val="004962EC"/>
    <w:pPr>
      <w:tabs>
        <w:tab w:val="center" w:pos="4680"/>
        <w:tab w:val="right" w:pos="9360"/>
      </w:tabs>
    </w:pPr>
  </w:style>
  <w:style w:type="character" w:customStyle="1" w:styleId="FooterChar">
    <w:name w:val="Footer Char"/>
    <w:basedOn w:val="DefaultParagraphFont"/>
    <w:link w:val="Footer"/>
    <w:rsid w:val="004962EC"/>
    <w:rPr>
      <w:rFonts w:ascii="Times New Roman" w:eastAsia="Times New Roman" w:hAnsi="Times New Roman" w:cs="Times New Roman"/>
      <w:sz w:val="24"/>
      <w:szCs w:val="24"/>
    </w:rPr>
  </w:style>
  <w:style w:type="character" w:styleId="CommentReference">
    <w:name w:val="annotation reference"/>
    <w:basedOn w:val="DefaultParagraphFont"/>
    <w:rsid w:val="004962EC"/>
    <w:rPr>
      <w:sz w:val="16"/>
      <w:szCs w:val="16"/>
    </w:rPr>
  </w:style>
  <w:style w:type="paragraph" w:styleId="CommentText">
    <w:name w:val="annotation text"/>
    <w:basedOn w:val="Normal"/>
    <w:link w:val="CommentTextChar"/>
    <w:rsid w:val="004962EC"/>
    <w:rPr>
      <w:sz w:val="20"/>
      <w:szCs w:val="20"/>
    </w:rPr>
  </w:style>
  <w:style w:type="character" w:customStyle="1" w:styleId="CommentTextChar">
    <w:name w:val="Comment Text Char"/>
    <w:basedOn w:val="DefaultParagraphFont"/>
    <w:link w:val="CommentText"/>
    <w:rsid w:val="004962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962EC"/>
    <w:rPr>
      <w:b/>
      <w:bCs/>
    </w:rPr>
  </w:style>
  <w:style w:type="character" w:customStyle="1" w:styleId="CommentSubjectChar">
    <w:name w:val="Comment Subject Char"/>
    <w:basedOn w:val="CommentTextChar"/>
    <w:link w:val="CommentSubject"/>
    <w:rsid w:val="004962EC"/>
    <w:rPr>
      <w:rFonts w:ascii="Times New Roman" w:eastAsia="Times New Roman" w:hAnsi="Times New Roman" w:cs="Times New Roman"/>
      <w:b/>
      <w:bCs/>
      <w:sz w:val="20"/>
      <w:szCs w:val="20"/>
    </w:rPr>
  </w:style>
  <w:style w:type="paragraph" w:styleId="BalloonText">
    <w:name w:val="Balloon Text"/>
    <w:basedOn w:val="Normal"/>
    <w:link w:val="BalloonTextChar"/>
    <w:rsid w:val="004962EC"/>
    <w:rPr>
      <w:rFonts w:ascii="Tahoma" w:hAnsi="Tahoma" w:cs="Tahoma"/>
      <w:sz w:val="16"/>
      <w:szCs w:val="16"/>
    </w:rPr>
  </w:style>
  <w:style w:type="character" w:customStyle="1" w:styleId="BalloonTextChar">
    <w:name w:val="Balloon Text Char"/>
    <w:basedOn w:val="DefaultParagraphFont"/>
    <w:link w:val="BalloonText"/>
    <w:rsid w:val="004962EC"/>
    <w:rPr>
      <w:rFonts w:ascii="Tahoma" w:eastAsia="Times New Roman" w:hAnsi="Tahoma" w:cs="Tahoma"/>
      <w:sz w:val="16"/>
      <w:szCs w:val="16"/>
    </w:rPr>
  </w:style>
  <w:style w:type="character" w:styleId="Hyperlink">
    <w:name w:val="Hyperlink"/>
    <w:basedOn w:val="DefaultParagraphFont"/>
    <w:rsid w:val="004962EC"/>
    <w:rPr>
      <w:color w:val="0563C1" w:themeColor="hyperlink"/>
      <w:u w:val="single"/>
    </w:rPr>
  </w:style>
  <w:style w:type="paragraph" w:styleId="DocumentMap">
    <w:name w:val="Document Map"/>
    <w:basedOn w:val="Normal"/>
    <w:link w:val="DocumentMapChar"/>
    <w:rsid w:val="004962EC"/>
    <w:rPr>
      <w:rFonts w:ascii="Tahoma" w:hAnsi="Tahoma" w:cs="Tahoma"/>
      <w:sz w:val="16"/>
      <w:szCs w:val="16"/>
    </w:rPr>
  </w:style>
  <w:style w:type="character" w:customStyle="1" w:styleId="DocumentMapChar">
    <w:name w:val="Document Map Char"/>
    <w:basedOn w:val="DefaultParagraphFont"/>
    <w:link w:val="DocumentMap"/>
    <w:rsid w:val="004962EC"/>
    <w:rPr>
      <w:rFonts w:ascii="Tahoma" w:eastAsia="Times New Roman" w:hAnsi="Tahoma" w:cs="Tahoma"/>
      <w:sz w:val="16"/>
      <w:szCs w:val="16"/>
    </w:rPr>
  </w:style>
  <w:style w:type="paragraph" w:styleId="ListParagraph">
    <w:name w:val="List Paragraph"/>
    <w:basedOn w:val="Normal"/>
    <w:uiPriority w:val="34"/>
    <w:qFormat/>
    <w:rsid w:val="004962EC"/>
    <w:pPr>
      <w:ind w:left="720"/>
      <w:contextualSpacing/>
    </w:pPr>
  </w:style>
  <w:style w:type="paragraph" w:styleId="Revision">
    <w:name w:val="Revision"/>
    <w:hidden/>
    <w:uiPriority w:val="99"/>
    <w:semiHidden/>
    <w:rsid w:val="004962EC"/>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A2FAC"/>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rsid w:val="00AC2AF6"/>
    <w:pPr>
      <w:suppressAutoHyphens/>
      <w:autoSpaceDN/>
      <w:adjustRightInd/>
    </w:pPr>
    <w:rPr>
      <w:sz w:val="20"/>
      <w:szCs w:val="20"/>
      <w:lang w:eastAsia="ar-SA"/>
    </w:rPr>
  </w:style>
  <w:style w:type="character" w:customStyle="1" w:styleId="FootnoteTextChar">
    <w:name w:val="Footnote Text Char"/>
    <w:basedOn w:val="DefaultParagraphFont"/>
    <w:link w:val="FootnoteText"/>
    <w:rsid w:val="00AC2AF6"/>
    <w:rPr>
      <w:rFonts w:ascii="Times New Roman" w:eastAsia="Times New Roman" w:hAnsi="Times New Roman" w:cs="Times New Roman"/>
      <w:sz w:val="20"/>
      <w:szCs w:val="20"/>
      <w:lang w:eastAsia="ar-SA"/>
    </w:rPr>
  </w:style>
  <w:style w:type="table" w:styleId="TableGrid">
    <w:name w:val="Table Grid"/>
    <w:basedOn w:val="TableNormal"/>
    <w:uiPriority w:val="39"/>
    <w:rsid w:val="00A55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3415">
      <w:bodyDiv w:val="1"/>
      <w:marLeft w:val="0"/>
      <w:marRight w:val="0"/>
      <w:marTop w:val="0"/>
      <w:marBottom w:val="0"/>
      <w:divBdr>
        <w:top w:val="none" w:sz="0" w:space="0" w:color="auto"/>
        <w:left w:val="none" w:sz="0" w:space="0" w:color="auto"/>
        <w:bottom w:val="none" w:sz="0" w:space="0" w:color="auto"/>
        <w:right w:val="none" w:sz="0" w:space="0" w:color="auto"/>
      </w:divBdr>
    </w:div>
    <w:div w:id="29768899">
      <w:bodyDiv w:val="1"/>
      <w:marLeft w:val="0"/>
      <w:marRight w:val="0"/>
      <w:marTop w:val="0"/>
      <w:marBottom w:val="0"/>
      <w:divBdr>
        <w:top w:val="none" w:sz="0" w:space="0" w:color="auto"/>
        <w:left w:val="none" w:sz="0" w:space="0" w:color="auto"/>
        <w:bottom w:val="none" w:sz="0" w:space="0" w:color="auto"/>
        <w:right w:val="none" w:sz="0" w:space="0" w:color="auto"/>
      </w:divBdr>
    </w:div>
    <w:div w:id="32854513">
      <w:bodyDiv w:val="1"/>
      <w:marLeft w:val="0"/>
      <w:marRight w:val="0"/>
      <w:marTop w:val="0"/>
      <w:marBottom w:val="0"/>
      <w:divBdr>
        <w:top w:val="none" w:sz="0" w:space="0" w:color="auto"/>
        <w:left w:val="none" w:sz="0" w:space="0" w:color="auto"/>
        <w:bottom w:val="none" w:sz="0" w:space="0" w:color="auto"/>
        <w:right w:val="none" w:sz="0" w:space="0" w:color="auto"/>
      </w:divBdr>
    </w:div>
    <w:div w:id="129712561">
      <w:bodyDiv w:val="1"/>
      <w:marLeft w:val="0"/>
      <w:marRight w:val="0"/>
      <w:marTop w:val="0"/>
      <w:marBottom w:val="0"/>
      <w:divBdr>
        <w:top w:val="none" w:sz="0" w:space="0" w:color="auto"/>
        <w:left w:val="none" w:sz="0" w:space="0" w:color="auto"/>
        <w:bottom w:val="none" w:sz="0" w:space="0" w:color="auto"/>
        <w:right w:val="none" w:sz="0" w:space="0" w:color="auto"/>
      </w:divBdr>
    </w:div>
    <w:div w:id="496271047">
      <w:bodyDiv w:val="1"/>
      <w:marLeft w:val="0"/>
      <w:marRight w:val="0"/>
      <w:marTop w:val="0"/>
      <w:marBottom w:val="0"/>
      <w:divBdr>
        <w:top w:val="none" w:sz="0" w:space="0" w:color="auto"/>
        <w:left w:val="none" w:sz="0" w:space="0" w:color="auto"/>
        <w:bottom w:val="none" w:sz="0" w:space="0" w:color="auto"/>
        <w:right w:val="none" w:sz="0" w:space="0" w:color="auto"/>
      </w:divBdr>
    </w:div>
    <w:div w:id="1027488523">
      <w:bodyDiv w:val="1"/>
      <w:marLeft w:val="0"/>
      <w:marRight w:val="0"/>
      <w:marTop w:val="0"/>
      <w:marBottom w:val="0"/>
      <w:divBdr>
        <w:top w:val="none" w:sz="0" w:space="0" w:color="auto"/>
        <w:left w:val="none" w:sz="0" w:space="0" w:color="auto"/>
        <w:bottom w:val="none" w:sz="0" w:space="0" w:color="auto"/>
        <w:right w:val="none" w:sz="0" w:space="0" w:color="auto"/>
      </w:divBdr>
    </w:div>
    <w:div w:id="1214733987">
      <w:bodyDiv w:val="1"/>
      <w:marLeft w:val="0"/>
      <w:marRight w:val="0"/>
      <w:marTop w:val="0"/>
      <w:marBottom w:val="0"/>
      <w:divBdr>
        <w:top w:val="none" w:sz="0" w:space="0" w:color="auto"/>
        <w:left w:val="none" w:sz="0" w:space="0" w:color="auto"/>
        <w:bottom w:val="none" w:sz="0" w:space="0" w:color="auto"/>
        <w:right w:val="none" w:sz="0" w:space="0" w:color="auto"/>
      </w:divBdr>
    </w:div>
    <w:div w:id="1566723998">
      <w:bodyDiv w:val="1"/>
      <w:marLeft w:val="0"/>
      <w:marRight w:val="0"/>
      <w:marTop w:val="0"/>
      <w:marBottom w:val="0"/>
      <w:divBdr>
        <w:top w:val="none" w:sz="0" w:space="0" w:color="auto"/>
        <w:left w:val="none" w:sz="0" w:space="0" w:color="auto"/>
        <w:bottom w:val="none" w:sz="0" w:space="0" w:color="auto"/>
        <w:right w:val="none" w:sz="0" w:space="0" w:color="auto"/>
      </w:divBdr>
    </w:div>
    <w:div w:id="1864977657">
      <w:bodyDiv w:val="1"/>
      <w:marLeft w:val="0"/>
      <w:marRight w:val="0"/>
      <w:marTop w:val="0"/>
      <w:marBottom w:val="0"/>
      <w:divBdr>
        <w:top w:val="none" w:sz="0" w:space="0" w:color="auto"/>
        <w:left w:val="none" w:sz="0" w:space="0" w:color="auto"/>
        <w:bottom w:val="none" w:sz="0" w:space="0" w:color="auto"/>
        <w:right w:val="none" w:sz="0" w:space="0" w:color="auto"/>
      </w:divBdr>
    </w:div>
    <w:div w:id="1932858331">
      <w:bodyDiv w:val="1"/>
      <w:marLeft w:val="0"/>
      <w:marRight w:val="0"/>
      <w:marTop w:val="0"/>
      <w:marBottom w:val="0"/>
      <w:divBdr>
        <w:top w:val="none" w:sz="0" w:space="0" w:color="auto"/>
        <w:left w:val="none" w:sz="0" w:space="0" w:color="auto"/>
        <w:bottom w:val="none" w:sz="0" w:space="0" w:color="auto"/>
        <w:right w:val="none" w:sz="0" w:space="0" w:color="auto"/>
      </w:divBdr>
    </w:div>
    <w:div w:id="195640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D3392-76C0-40E9-BD92-0B66D1F7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7608</Words>
  <Characters>43366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Bevington</dc:creator>
  <cp:keywords/>
  <dc:description/>
  <cp:lastModifiedBy>SYSTEM</cp:lastModifiedBy>
  <cp:revision>2</cp:revision>
  <dcterms:created xsi:type="dcterms:W3CDTF">2018-10-22T13:58:00Z</dcterms:created>
  <dcterms:modified xsi:type="dcterms:W3CDTF">2018-10-22T13:58:00Z</dcterms:modified>
</cp:coreProperties>
</file>