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759C" w14:textId="77777777" w:rsidR="002B34A0" w:rsidRPr="007919E5" w:rsidRDefault="000530F2" w:rsidP="00BD53A4">
      <w:pPr>
        <w:spacing w:before="40"/>
        <w:jc w:val="center"/>
        <w:rPr>
          <w:b/>
          <w:lang w:bidi="en-US"/>
        </w:rPr>
      </w:pPr>
      <w:bookmarkStart w:id="0" w:name="_GoBack"/>
      <w:bookmarkEnd w:id="0"/>
      <w:r w:rsidRPr="007919E5">
        <w:rPr>
          <w:b/>
          <w:lang w:bidi="en-US"/>
        </w:rPr>
        <w:t xml:space="preserve">Supporting Statement for an Information Collection Request </w:t>
      </w:r>
      <w:r w:rsidR="002B34A0" w:rsidRPr="007919E5">
        <w:rPr>
          <w:b/>
          <w:lang w:bidi="en-US"/>
        </w:rPr>
        <w:t>(ICR)</w:t>
      </w:r>
    </w:p>
    <w:p w14:paraId="6343A82D" w14:textId="77777777" w:rsidR="002B34A0" w:rsidRPr="007919E5" w:rsidRDefault="000530F2" w:rsidP="002B34A0">
      <w:pPr>
        <w:jc w:val="center"/>
        <w:rPr>
          <w:b/>
          <w:lang w:bidi="en-US"/>
        </w:rPr>
      </w:pPr>
      <w:r w:rsidRPr="007919E5">
        <w:rPr>
          <w:b/>
          <w:lang w:bidi="en-US"/>
        </w:rPr>
        <w:t xml:space="preserve">Under the Paperwork Reduction Act </w:t>
      </w:r>
      <w:r w:rsidR="002B34A0" w:rsidRPr="007919E5">
        <w:rPr>
          <w:b/>
          <w:lang w:bidi="en-US"/>
        </w:rPr>
        <w:t>(PRA)</w:t>
      </w:r>
    </w:p>
    <w:p w14:paraId="3597C3A1" w14:textId="77777777" w:rsidR="00BD53A4" w:rsidRPr="007919E5" w:rsidRDefault="002B34A0" w:rsidP="00BD53A4">
      <w:pPr>
        <w:rPr>
          <w:rFonts w:cs="Arial"/>
          <w:sz w:val="20"/>
          <w:szCs w:val="20"/>
        </w:rPr>
      </w:pPr>
      <w:r w:rsidRPr="007919E5">
        <w:rPr>
          <w:lang w:bidi="en-US"/>
        </w:rPr>
        <w:tab/>
      </w:r>
    </w:p>
    <w:p w14:paraId="1A38C5F1" w14:textId="77777777" w:rsidR="002B34A0" w:rsidRPr="007919E5" w:rsidRDefault="005B4F77" w:rsidP="002C395B">
      <w:pPr>
        <w:pStyle w:val="Heading1"/>
        <w:numPr>
          <w:ilvl w:val="0"/>
          <w:numId w:val="3"/>
        </w:numPr>
        <w:rPr>
          <w:lang w:bidi="en-US"/>
        </w:rPr>
      </w:pPr>
      <w:bookmarkStart w:id="1" w:name="_Toc447203161"/>
      <w:r w:rsidRPr="007919E5">
        <w:rPr>
          <w:lang w:bidi="en-US"/>
        </w:rPr>
        <w:t>EXECUTIVE SUMMARY</w:t>
      </w:r>
      <w:bookmarkEnd w:id="1"/>
    </w:p>
    <w:p w14:paraId="0F0E68D9" w14:textId="77777777" w:rsidR="002B34A0" w:rsidRPr="007919E5" w:rsidRDefault="005B4F77" w:rsidP="002C395B">
      <w:pPr>
        <w:pStyle w:val="Heading2"/>
        <w:numPr>
          <w:ilvl w:val="1"/>
          <w:numId w:val="3"/>
        </w:numPr>
        <w:tabs>
          <w:tab w:val="left" w:pos="1080"/>
        </w:tabs>
        <w:rPr>
          <w:lang w:bidi="en-US"/>
        </w:rPr>
      </w:pPr>
      <w:bookmarkStart w:id="2" w:name="_Toc447203162"/>
      <w:r w:rsidRPr="007919E5">
        <w:rPr>
          <w:lang w:bidi="en-US"/>
        </w:rPr>
        <w:t xml:space="preserve">Identification of the </w:t>
      </w:r>
      <w:r w:rsidR="002B34A0" w:rsidRPr="007919E5">
        <w:rPr>
          <w:lang w:bidi="en-US"/>
        </w:rPr>
        <w:t>Information Collection – Title and Numbers</w:t>
      </w:r>
      <w:bookmarkEnd w:id="2"/>
      <w:r w:rsidR="002B34A0" w:rsidRPr="007919E5">
        <w:rPr>
          <w:lang w:bidi="en-US"/>
        </w:rPr>
        <w:t xml:space="preserve"> </w:t>
      </w:r>
    </w:p>
    <w:p w14:paraId="36D90C72" w14:textId="77777777" w:rsidR="002B34A0" w:rsidRPr="008469F4" w:rsidRDefault="00C54579" w:rsidP="00284D84">
      <w:pPr>
        <w:spacing w:after="120"/>
        <w:ind w:left="1440" w:hanging="720"/>
        <w:rPr>
          <w:lang w:bidi="en-US"/>
        </w:rPr>
      </w:pPr>
      <w:r w:rsidRPr="007919E5">
        <w:rPr>
          <w:b/>
          <w:lang w:bidi="en-US"/>
        </w:rPr>
        <w:t>Title</w:t>
      </w:r>
      <w:r w:rsidRPr="008469F4">
        <w:rPr>
          <w:b/>
          <w:lang w:bidi="en-US"/>
        </w:rPr>
        <w:t xml:space="preserve">: </w:t>
      </w:r>
      <w:r w:rsidR="00B1587B">
        <w:rPr>
          <w:lang w:bidi="en-US"/>
        </w:rPr>
        <w:t>User Fees for the Administration of the Toxic Substances Control Act</w:t>
      </w:r>
      <w:r w:rsidR="00FD497D">
        <w:rPr>
          <w:lang w:bidi="en-US"/>
        </w:rPr>
        <w:t xml:space="preserve"> (TSCA)</w:t>
      </w:r>
    </w:p>
    <w:p w14:paraId="3FBF536C" w14:textId="788C88CE"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580718" w:rsidRPr="00580718">
        <w:rPr>
          <w:lang w:bidi="en-US"/>
        </w:rPr>
        <w:t>2569.01</w:t>
      </w:r>
      <w:r w:rsidR="000A522E" w:rsidRPr="007919E5">
        <w:rPr>
          <w:lang w:bidi="en-US"/>
        </w:rPr>
        <w:t xml:space="preserve">; OMB Control No.: </w:t>
      </w:r>
      <w:r w:rsidR="003E563D" w:rsidRPr="003E563D">
        <w:rPr>
          <w:lang w:bidi="en-US"/>
        </w:rPr>
        <w:t>2070-</w:t>
      </w:r>
      <w:r w:rsidR="00C46CBF">
        <w:rPr>
          <w:lang w:bidi="en-US"/>
        </w:rPr>
        <w:t>0208</w:t>
      </w:r>
      <w:r w:rsidR="003E563D" w:rsidRPr="003E563D">
        <w:rPr>
          <w:lang w:bidi="en-US"/>
        </w:rPr>
        <w:t>.</w:t>
      </w:r>
    </w:p>
    <w:p w14:paraId="29F02031" w14:textId="77777777" w:rsidR="00735A14" w:rsidRPr="007919E5" w:rsidRDefault="004124F7" w:rsidP="00FE2B03">
      <w:pPr>
        <w:pStyle w:val="NoSpacing"/>
        <w:spacing w:after="120"/>
        <w:ind w:left="720"/>
        <w:rPr>
          <w:lang w:bidi="en-US"/>
        </w:rPr>
      </w:pPr>
      <w:r w:rsidRPr="007919E5">
        <w:rPr>
          <w:b/>
          <w:lang w:bidi="en-US"/>
        </w:rPr>
        <w:t xml:space="preserve">EPA </w:t>
      </w:r>
      <w:r w:rsidR="007E3DA7" w:rsidRPr="007919E5">
        <w:rPr>
          <w:b/>
          <w:lang w:bidi="en-US"/>
        </w:rPr>
        <w:t>Form N</w:t>
      </w:r>
      <w:r w:rsidR="00A84026" w:rsidRPr="007919E5">
        <w:rPr>
          <w:b/>
          <w:lang w:bidi="en-US"/>
        </w:rPr>
        <w:t>umber</w:t>
      </w:r>
      <w:r w:rsidR="007E3DA7" w:rsidRPr="007919E5">
        <w:rPr>
          <w:b/>
          <w:lang w:bidi="en-US"/>
        </w:rPr>
        <w:t>s:</w:t>
      </w:r>
      <w:r w:rsidR="007E3DA7" w:rsidRPr="007919E5">
        <w:rPr>
          <w:lang w:bidi="en-US"/>
        </w:rPr>
        <w:t xml:space="preserve"> </w:t>
      </w:r>
      <w:r w:rsidR="008E6C60" w:rsidRPr="007919E5">
        <w:t xml:space="preserve"> </w:t>
      </w:r>
      <w:r w:rsidR="00FE2B03">
        <w:rPr>
          <w:lang w:bidi="en-US"/>
        </w:rPr>
        <w:t xml:space="preserve">EPA Form No. </w:t>
      </w:r>
      <w:r w:rsidR="008A08C9">
        <w:rPr>
          <w:lang w:bidi="en-US"/>
        </w:rPr>
        <w:t>9600-008</w:t>
      </w:r>
      <w:r w:rsidR="00FE2B03">
        <w:rPr>
          <w:lang w:bidi="en-US"/>
        </w:rPr>
        <w:t>:</w:t>
      </w:r>
      <w:r w:rsidR="00FE2B03" w:rsidRPr="00FE2B03">
        <w:t xml:space="preserve"> </w:t>
      </w:r>
      <w:r w:rsidR="00251F61">
        <w:rPr>
          <w:lang w:bidi="en-US"/>
        </w:rPr>
        <w:t>Notice o</w:t>
      </w:r>
      <w:r w:rsidR="00251F61" w:rsidRPr="00251F61">
        <w:rPr>
          <w:lang w:bidi="en-US"/>
        </w:rPr>
        <w:t>f T</w:t>
      </w:r>
      <w:r w:rsidR="00251F61">
        <w:rPr>
          <w:lang w:bidi="en-US"/>
        </w:rPr>
        <w:t>SCA</w:t>
      </w:r>
      <w:r w:rsidR="00251F61" w:rsidRPr="00251F61">
        <w:rPr>
          <w:lang w:bidi="en-US"/>
        </w:rPr>
        <w:t xml:space="preserve"> Fee Action Participation</w:t>
      </w:r>
      <w:r w:rsidR="00FD497D">
        <w:rPr>
          <w:lang w:bidi="en-US"/>
        </w:rPr>
        <w:t xml:space="preserve"> (will be incorporated into online reporting tool)</w:t>
      </w:r>
      <w:r w:rsidR="009A6FD7">
        <w:rPr>
          <w:lang w:bidi="en-US"/>
        </w:rPr>
        <w:t>.</w:t>
      </w:r>
      <w:r w:rsidR="00FA3C69" w:rsidRPr="007919E5">
        <w:rPr>
          <w:lang w:bidi="en-US"/>
        </w:rPr>
        <w:t xml:space="preserve">  </w:t>
      </w:r>
    </w:p>
    <w:p w14:paraId="7C0FB5FD" w14:textId="77777777" w:rsidR="005B4F77" w:rsidRPr="007919E5" w:rsidRDefault="005B4F77" w:rsidP="005B4F77">
      <w:pPr>
        <w:pStyle w:val="NoSpacing"/>
        <w:rPr>
          <w:rFonts w:cs="Arial"/>
          <w:bCs/>
          <w:color w:val="008000"/>
        </w:rPr>
      </w:pPr>
      <w:r w:rsidRPr="007919E5">
        <w:rPr>
          <w:lang w:bidi="en-US"/>
        </w:rPr>
        <w:tab/>
      </w:r>
      <w:r w:rsidRPr="007919E5">
        <w:rPr>
          <w:b/>
          <w:lang w:bidi="en-US"/>
        </w:rPr>
        <w:t>Docket ID Number:</w:t>
      </w:r>
      <w:r w:rsidRPr="007919E5">
        <w:rPr>
          <w:lang w:bidi="en-US"/>
        </w:rPr>
        <w:t xml:space="preserve"> </w:t>
      </w:r>
      <w:hyperlink r:id="rId9" w:history="1">
        <w:r w:rsidRPr="009A5254">
          <w:rPr>
            <w:rStyle w:val="Hyperlink"/>
            <w:lang w:bidi="en-US"/>
          </w:rPr>
          <w:t>EPA-HQ-</w:t>
        </w:r>
        <w:r w:rsidRPr="009A5254">
          <w:rPr>
            <w:rStyle w:val="Hyperlink"/>
          </w:rPr>
          <w:t>OPPT</w:t>
        </w:r>
        <w:r w:rsidR="008469F4" w:rsidRPr="009A5254">
          <w:rPr>
            <w:rStyle w:val="Hyperlink"/>
          </w:rPr>
          <w:t>-2016-</w:t>
        </w:r>
        <w:r w:rsidR="00D048FA" w:rsidRPr="009A5254">
          <w:rPr>
            <w:rStyle w:val="Hyperlink"/>
          </w:rPr>
          <w:t>0401</w:t>
        </w:r>
      </w:hyperlink>
      <w:r w:rsidR="008469F4">
        <w:rPr>
          <w:bCs/>
        </w:rPr>
        <w:t>.</w:t>
      </w:r>
    </w:p>
    <w:p w14:paraId="01C5A1FA" w14:textId="77777777" w:rsidR="005B4F77" w:rsidRPr="007919E5" w:rsidRDefault="005B4F77" w:rsidP="005B4F77">
      <w:pPr>
        <w:pStyle w:val="NoSpacing"/>
        <w:rPr>
          <w:lang w:bidi="en-US"/>
        </w:rPr>
      </w:pPr>
    </w:p>
    <w:p w14:paraId="15E39910" w14:textId="77777777" w:rsidR="0098584B" w:rsidRPr="007919E5" w:rsidRDefault="005B4F77" w:rsidP="0098584B">
      <w:pPr>
        <w:pStyle w:val="Heading2"/>
        <w:numPr>
          <w:ilvl w:val="1"/>
          <w:numId w:val="3"/>
        </w:numPr>
        <w:tabs>
          <w:tab w:val="left" w:pos="1080"/>
        </w:tabs>
      </w:pPr>
      <w:bookmarkStart w:id="3" w:name="_Toc447203163"/>
      <w:r w:rsidRPr="007919E5">
        <w:t>Docket Information</w:t>
      </w:r>
      <w:bookmarkEnd w:id="3"/>
    </w:p>
    <w:p w14:paraId="5773B8DB" w14:textId="77777777" w:rsidR="002361E1" w:rsidRDefault="00003EFE" w:rsidP="008C3615">
      <w:r w:rsidRPr="007919E5">
        <w:t>Th</w:t>
      </w:r>
      <w:r w:rsidR="00D25245">
        <w:t>is</w:t>
      </w:r>
      <w:r w:rsidRPr="007919E5">
        <w:t xml:space="preserve"> information collection request (ICR)</w:t>
      </w:r>
      <w:r w:rsidR="00F847F6">
        <w:t>,</w:t>
      </w:r>
      <w:r w:rsidRPr="007919E5">
        <w:t xml:space="preserve"> </w:t>
      </w:r>
      <w:r w:rsidR="00D25245">
        <w:t xml:space="preserve">which </w:t>
      </w:r>
      <w:r w:rsidRPr="007919E5">
        <w:t xml:space="preserve">explains the information collection activities </w:t>
      </w:r>
      <w:r w:rsidR="0039300D">
        <w:t xml:space="preserve">contained in </w:t>
      </w:r>
      <w:r w:rsidR="00136A83">
        <w:t xml:space="preserve">a </w:t>
      </w:r>
      <w:r w:rsidR="00404B68">
        <w:t>final</w:t>
      </w:r>
      <w:r w:rsidR="00136A83">
        <w:t xml:space="preserve"> rule </w:t>
      </w:r>
      <w:r w:rsidRPr="007919E5">
        <w:t xml:space="preserve">and </w:t>
      </w:r>
      <w:r w:rsidR="0039300D">
        <w:t xml:space="preserve">the </w:t>
      </w:r>
      <w:r w:rsidRPr="007919E5">
        <w:t>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for th</w:t>
      </w:r>
      <w:r w:rsidR="00136A83">
        <w:t>e</w:t>
      </w:r>
      <w:r w:rsidR="00706899">
        <w:t xml:space="preserve"> </w:t>
      </w:r>
      <w:r w:rsidR="00136A83">
        <w:t>rulemaking</w:t>
      </w:r>
      <w:r w:rsidRPr="007919E5">
        <w:t xml:space="preserve">. The docket can be viewed online at </w:t>
      </w:r>
      <w:hyperlink r:id="rId10" w:history="1">
        <w:r w:rsidR="009A5254" w:rsidRPr="007D5311">
          <w:rPr>
            <w:rStyle w:val="Hyperlink"/>
          </w:rPr>
          <w:t>http://www.regulations.gov</w:t>
        </w:r>
      </w:hyperlink>
      <w:r w:rsidR="009A5254">
        <w:t xml:space="preserve"> </w:t>
      </w:r>
      <w:r w:rsidRPr="007919E5">
        <w:t xml:space="preserve">or in person at the EPA Docket Center, West William Jefferson Clinton Bldg., Rm. 3334, 1301 Constitution Ave., NW, Washington, DC. The telephone number for the Docket Center is (202) 566-1744. For additional information about EPA’s public docket, visit </w:t>
      </w:r>
      <w:hyperlink r:id="rId11" w:history="1">
        <w:r w:rsidR="005B4F77" w:rsidRPr="007919E5">
          <w:rPr>
            <w:rStyle w:val="Hyperlink"/>
          </w:rPr>
          <w:t>http://www.epa.gov/dockets</w:t>
        </w:r>
      </w:hyperlink>
      <w:r w:rsidRPr="007919E5">
        <w:t>.</w:t>
      </w:r>
      <w:r w:rsidR="002361E1">
        <w:t xml:space="preserve"> </w:t>
      </w:r>
    </w:p>
    <w:p w14:paraId="0D878353" w14:textId="77777777" w:rsidR="005B4F77" w:rsidRPr="007919E5" w:rsidRDefault="005B4F77" w:rsidP="005B4F77">
      <w:pPr>
        <w:pStyle w:val="NoSpacing"/>
        <w:rPr>
          <w:lang w:bidi="en-US"/>
        </w:rPr>
      </w:pPr>
    </w:p>
    <w:p w14:paraId="22C5D1DC" w14:textId="77777777" w:rsidR="005B4F77" w:rsidRPr="007919E5" w:rsidRDefault="005B4F77" w:rsidP="005B4F77">
      <w:pPr>
        <w:pStyle w:val="Heading2"/>
        <w:numPr>
          <w:ilvl w:val="1"/>
          <w:numId w:val="3"/>
        </w:numPr>
        <w:tabs>
          <w:tab w:val="left" w:pos="1080"/>
        </w:tabs>
      </w:pPr>
      <w:bookmarkStart w:id="4" w:name="_Toc447203164"/>
      <w:r w:rsidRPr="007919E5">
        <w:t>ICR Status</w:t>
      </w:r>
      <w:bookmarkEnd w:id="4"/>
      <w:r w:rsidRPr="007919E5">
        <w:t xml:space="preserve"> </w:t>
      </w:r>
    </w:p>
    <w:p w14:paraId="1A109C12" w14:textId="77777777" w:rsidR="00003EFE" w:rsidRPr="007919E5" w:rsidRDefault="00157337" w:rsidP="00003EFE">
      <w:r w:rsidRPr="00157337">
        <w:t xml:space="preserve">This is a new ICR that addresses the information collection activities that are contained in a </w:t>
      </w:r>
      <w:r w:rsidR="001B7446">
        <w:t>final</w:t>
      </w:r>
      <w:r w:rsidRPr="00157337">
        <w:t xml:space="preserve"> rule</w:t>
      </w:r>
      <w:r w:rsidR="00BD53A4">
        <w:t xml:space="preserve"> (RIN 2070-AK</w:t>
      </w:r>
      <w:r w:rsidR="00B1587B">
        <w:t>27</w:t>
      </w:r>
      <w:r w:rsidR="00BD53A4">
        <w:t>)</w:t>
      </w:r>
      <w:r w:rsidR="0039300D">
        <w:t xml:space="preserve"> issued by the Environmental Protection Agency (EPA)</w:t>
      </w:r>
      <w:r w:rsidR="009A5254">
        <w:t xml:space="preserve"> on September 27, 2018 (See Attachment 1)</w:t>
      </w:r>
      <w:r w:rsidRPr="00157337">
        <w:t>.</w:t>
      </w:r>
      <w:r>
        <w:t xml:space="preserve"> </w:t>
      </w:r>
      <w:r w:rsidR="00003EFE" w:rsidRPr="007919E5">
        <w:t xml:space="preserve">Under </w:t>
      </w:r>
      <w:r w:rsidR="003C30C1" w:rsidRPr="007919E5">
        <w:t>the Paperwork Reduction Act (</w:t>
      </w:r>
      <w:r w:rsidR="00003EFE" w:rsidRPr="007919E5">
        <w:t>PRA</w:t>
      </w:r>
      <w:r w:rsidR="003C30C1" w:rsidRPr="007919E5">
        <w:t>)</w:t>
      </w:r>
      <w:r w:rsidR="00003EFE" w:rsidRPr="007919E5">
        <w:t xml:space="preserve">, 44 U.S.C. 3501 </w:t>
      </w:r>
      <w:r w:rsidR="00003EFE" w:rsidRPr="00FD497D">
        <w:rPr>
          <w:i/>
        </w:rPr>
        <w:t>et seq.</w:t>
      </w:r>
      <w:r w:rsidR="00003EFE" w:rsidRPr="007919E5">
        <w:t>,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00003EFE"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0A402C65" w14:textId="77777777" w:rsidR="008B4785" w:rsidRPr="007919E5" w:rsidRDefault="008B4785" w:rsidP="008B4785">
      <w:pPr>
        <w:pStyle w:val="NoSpacing"/>
      </w:pPr>
    </w:p>
    <w:p w14:paraId="29BAFD0E" w14:textId="77777777" w:rsidR="005B4F77" w:rsidRPr="007919E5" w:rsidRDefault="005B4F77" w:rsidP="005B4F77">
      <w:pPr>
        <w:pStyle w:val="Heading2"/>
        <w:numPr>
          <w:ilvl w:val="1"/>
          <w:numId w:val="3"/>
        </w:numPr>
        <w:tabs>
          <w:tab w:val="left" w:pos="1080"/>
        </w:tabs>
      </w:pPr>
      <w:bookmarkStart w:id="5" w:name="_Toc447203165"/>
      <w:r w:rsidRPr="007919E5">
        <w:t>Abstract</w:t>
      </w:r>
      <w:bookmarkEnd w:id="5"/>
    </w:p>
    <w:p w14:paraId="058AC1DB" w14:textId="77777777" w:rsidR="00497BC4" w:rsidRDefault="0039300D" w:rsidP="00431657">
      <w:pPr>
        <w:rPr>
          <w:lang w:bidi="en-US"/>
        </w:rPr>
      </w:pPr>
      <w:r>
        <w:rPr>
          <w:bCs/>
        </w:rPr>
        <w:t xml:space="preserve">The Frank R. Lautenberg Chemical Safety for the 21st Century Act of 2016 made transformative changes to </w:t>
      </w:r>
      <w:r w:rsidR="000D0F1B">
        <w:rPr>
          <w:bCs/>
        </w:rPr>
        <w:t xml:space="preserve">the </w:t>
      </w:r>
      <w:r w:rsidR="000D0F1B">
        <w:rPr>
          <w:lang w:bidi="en-US"/>
        </w:rPr>
        <w:t>Toxic Substances Control Act</w:t>
      </w:r>
      <w:r w:rsidR="000D0F1B">
        <w:rPr>
          <w:bCs/>
        </w:rPr>
        <w:t xml:space="preserve"> (</w:t>
      </w:r>
      <w:r>
        <w:rPr>
          <w:bCs/>
        </w:rPr>
        <w:t>TSCA</w:t>
      </w:r>
      <w:r w:rsidR="000D0F1B">
        <w:rPr>
          <w:bCs/>
        </w:rPr>
        <w:t>)</w:t>
      </w:r>
      <w:r>
        <w:rPr>
          <w:bCs/>
        </w:rPr>
        <w:t>, including an amendment that</w:t>
      </w:r>
      <w:r>
        <w:rPr>
          <w:szCs w:val="24"/>
        </w:rPr>
        <w:t xml:space="preserve"> </w:t>
      </w:r>
      <w:r w:rsidRPr="009B5561">
        <w:rPr>
          <w:szCs w:val="24"/>
        </w:rPr>
        <w:t>provide</w:t>
      </w:r>
      <w:r>
        <w:rPr>
          <w:szCs w:val="24"/>
        </w:rPr>
        <w:t>s</w:t>
      </w:r>
      <w:r w:rsidRPr="009B5561">
        <w:rPr>
          <w:szCs w:val="24"/>
        </w:rPr>
        <w:t xml:space="preserve"> EPA with authority to collect fees to defray </w:t>
      </w:r>
      <w:r>
        <w:rPr>
          <w:szCs w:val="24"/>
        </w:rPr>
        <w:t xml:space="preserve">25% of </w:t>
      </w:r>
      <w:r w:rsidRPr="009B5561">
        <w:rPr>
          <w:szCs w:val="24"/>
        </w:rPr>
        <w:t xml:space="preserve">the costs associated with administering sections 4, 5, and 6 of TSCA, as well as the costs of collecting, processing, reviewing and providing access to and protecting </w:t>
      </w:r>
      <w:r>
        <w:rPr>
          <w:szCs w:val="24"/>
        </w:rPr>
        <w:t xml:space="preserve">CBI </w:t>
      </w:r>
      <w:r w:rsidRPr="009B5561">
        <w:rPr>
          <w:szCs w:val="24"/>
        </w:rPr>
        <w:t xml:space="preserve">from disclosure as appropriate under </w:t>
      </w:r>
      <w:r>
        <w:rPr>
          <w:szCs w:val="24"/>
        </w:rPr>
        <w:t xml:space="preserve">TSCA </w:t>
      </w:r>
      <w:r w:rsidRPr="009B5561">
        <w:rPr>
          <w:szCs w:val="24"/>
        </w:rPr>
        <w:t>section 14.</w:t>
      </w:r>
      <w:r>
        <w:rPr>
          <w:szCs w:val="24"/>
        </w:rPr>
        <w:t xml:space="preserve"> </w:t>
      </w:r>
      <w:r w:rsidR="0071097B">
        <w:rPr>
          <w:rFonts w:cs="Arial"/>
          <w:lang w:bidi="en-US"/>
        </w:rPr>
        <w:t xml:space="preserve">The </w:t>
      </w:r>
      <w:r w:rsidR="00D260BE">
        <w:rPr>
          <w:rFonts w:cs="Arial"/>
          <w:lang w:bidi="en-US"/>
        </w:rPr>
        <w:t xml:space="preserve">final </w:t>
      </w:r>
      <w:r w:rsidR="00342EA3">
        <w:rPr>
          <w:rFonts w:cs="Arial"/>
          <w:lang w:bidi="en-US"/>
        </w:rPr>
        <w:t xml:space="preserve">rule </w:t>
      </w:r>
      <w:r w:rsidR="0071097B">
        <w:rPr>
          <w:rFonts w:cs="Arial"/>
          <w:lang w:bidi="en-US"/>
        </w:rPr>
        <w:t>require</w:t>
      </w:r>
      <w:r w:rsidR="00342EA3">
        <w:rPr>
          <w:rFonts w:cs="Arial"/>
          <w:lang w:bidi="en-US"/>
        </w:rPr>
        <w:t xml:space="preserve">s </w:t>
      </w:r>
      <w:r w:rsidR="00497BC4" w:rsidRPr="00497BC4">
        <w:rPr>
          <w:rFonts w:cs="Arial"/>
          <w:lang w:bidi="en-US"/>
        </w:rPr>
        <w:t xml:space="preserve">payment from manufactures </w:t>
      </w:r>
      <w:r w:rsidR="00D260BE">
        <w:rPr>
          <w:rFonts w:cs="Arial"/>
          <w:lang w:bidi="en-US"/>
        </w:rPr>
        <w:t>(</w:t>
      </w:r>
      <w:r w:rsidR="000D0F1B">
        <w:rPr>
          <w:rFonts w:cs="Arial"/>
          <w:lang w:bidi="en-US"/>
        </w:rPr>
        <w:t xml:space="preserve">defined by statute to include </w:t>
      </w:r>
      <w:r w:rsidR="005F4BD9">
        <w:rPr>
          <w:rFonts w:cs="Arial"/>
          <w:lang w:bidi="en-US"/>
        </w:rPr>
        <w:t>importers</w:t>
      </w:r>
      <w:r w:rsidR="00D260BE">
        <w:rPr>
          <w:rFonts w:cs="Arial"/>
          <w:lang w:bidi="en-US"/>
        </w:rPr>
        <w:t>)</w:t>
      </w:r>
      <w:r w:rsidR="002D2B79">
        <w:rPr>
          <w:rFonts w:cs="Arial"/>
          <w:lang w:bidi="en-US"/>
        </w:rPr>
        <w:t xml:space="preserve"> of a chemical substance</w:t>
      </w:r>
      <w:r w:rsidR="0097715D">
        <w:rPr>
          <w:rFonts w:cs="Arial"/>
          <w:lang w:bidi="en-US"/>
        </w:rPr>
        <w:t xml:space="preserve"> </w:t>
      </w:r>
      <w:r w:rsidR="00497BC4" w:rsidRPr="00497BC4">
        <w:rPr>
          <w:rFonts w:cs="Arial"/>
          <w:lang w:bidi="en-US"/>
        </w:rPr>
        <w:t xml:space="preserve">who: </w:t>
      </w:r>
      <w:r w:rsidR="00342EA3" w:rsidRPr="00342EA3">
        <w:rPr>
          <w:rFonts w:cs="Arial"/>
          <w:lang w:bidi="en-US"/>
        </w:rPr>
        <w:t>are required to submit in</w:t>
      </w:r>
      <w:r w:rsidR="00342EA3">
        <w:rPr>
          <w:rFonts w:cs="Arial"/>
          <w:lang w:bidi="en-US"/>
        </w:rPr>
        <w:t xml:space="preserve">formation </w:t>
      </w:r>
      <w:r w:rsidR="000D0F1B">
        <w:rPr>
          <w:rFonts w:cs="Arial"/>
          <w:lang w:bidi="en-US"/>
        </w:rPr>
        <w:t xml:space="preserve">to EPA </w:t>
      </w:r>
      <w:r w:rsidR="00342EA3">
        <w:rPr>
          <w:rFonts w:cs="Arial"/>
          <w:lang w:bidi="en-US"/>
        </w:rPr>
        <w:t>under TSCA section 4</w:t>
      </w:r>
      <w:r w:rsidR="00342EA3" w:rsidRPr="00342EA3">
        <w:rPr>
          <w:rFonts w:cs="Arial"/>
          <w:lang w:bidi="en-US"/>
        </w:rPr>
        <w:t xml:space="preserve">, who submit certain notices and exemption requests to EPA under </w:t>
      </w:r>
      <w:r w:rsidR="000D0F1B">
        <w:rPr>
          <w:rFonts w:cs="Arial"/>
          <w:lang w:bidi="en-US"/>
        </w:rPr>
        <w:t xml:space="preserve">TSCA </w:t>
      </w:r>
      <w:r w:rsidR="00342EA3" w:rsidRPr="00342EA3">
        <w:rPr>
          <w:rFonts w:cs="Arial"/>
          <w:lang w:bidi="en-US"/>
        </w:rPr>
        <w:t xml:space="preserve">section 5, who manufacture a chemical substance that is subject to a risk evaluation under TSCA section 6(b)(4), and who process a chemical substance that is the subject of a Significant New Use Notice (SNUN) or Test Market Exemption (TME) under </w:t>
      </w:r>
      <w:r w:rsidR="005A6438">
        <w:rPr>
          <w:rFonts w:cs="Arial"/>
          <w:lang w:bidi="en-US"/>
        </w:rPr>
        <w:t xml:space="preserve">TSCA </w:t>
      </w:r>
      <w:r w:rsidR="00342EA3" w:rsidRPr="00342EA3">
        <w:rPr>
          <w:rFonts w:cs="Arial"/>
          <w:lang w:bidi="en-US"/>
        </w:rPr>
        <w:t xml:space="preserve">section 5 and who are required to submit information </w:t>
      </w:r>
      <w:r w:rsidR="000D0F1B">
        <w:rPr>
          <w:rFonts w:cs="Arial"/>
          <w:lang w:bidi="en-US"/>
        </w:rPr>
        <w:t xml:space="preserve">to EPA </w:t>
      </w:r>
      <w:r w:rsidR="00342EA3" w:rsidRPr="00342EA3">
        <w:rPr>
          <w:rFonts w:cs="Arial"/>
          <w:lang w:bidi="en-US"/>
        </w:rPr>
        <w:t xml:space="preserve">under </w:t>
      </w:r>
      <w:r w:rsidR="000D0F1B">
        <w:rPr>
          <w:rFonts w:cs="Arial"/>
          <w:lang w:bidi="en-US"/>
        </w:rPr>
        <w:t xml:space="preserve">TSCA </w:t>
      </w:r>
      <w:r w:rsidR="00342EA3" w:rsidRPr="00342EA3">
        <w:rPr>
          <w:rFonts w:cs="Arial"/>
          <w:lang w:bidi="en-US"/>
        </w:rPr>
        <w:t>section 4 related to a SNUN submission</w:t>
      </w:r>
      <w:r w:rsidR="00497BC4" w:rsidRPr="00497BC4">
        <w:rPr>
          <w:rFonts w:cs="Arial"/>
          <w:lang w:bidi="en-US"/>
        </w:rPr>
        <w:t xml:space="preserve">. These fees are intended to achieve the goals </w:t>
      </w:r>
      <w:r w:rsidR="00C30F54">
        <w:rPr>
          <w:rFonts w:cs="Arial"/>
          <w:lang w:bidi="en-US"/>
        </w:rPr>
        <w:t xml:space="preserve">articulated by </w:t>
      </w:r>
      <w:r w:rsidR="00497BC4" w:rsidRPr="00497BC4">
        <w:rPr>
          <w:rFonts w:cs="Arial"/>
          <w:lang w:bidi="en-US"/>
        </w:rPr>
        <w:t xml:space="preserve">Congress to provide a </w:t>
      </w:r>
      <w:r w:rsidR="00497BC4" w:rsidRPr="00497BC4">
        <w:rPr>
          <w:rFonts w:cs="Arial"/>
          <w:lang w:bidi="en-US"/>
        </w:rPr>
        <w:lastRenderedPageBreak/>
        <w:t xml:space="preserve">sustainable source of funds for EPA to fulfill its legal obligations to conduct </w:t>
      </w:r>
      <w:r w:rsidR="003C7E78">
        <w:rPr>
          <w:rFonts w:cs="Arial"/>
          <w:lang w:bidi="en-US"/>
        </w:rPr>
        <w:t xml:space="preserve">the </w:t>
      </w:r>
      <w:r w:rsidR="00497BC4" w:rsidRPr="00497BC4">
        <w:rPr>
          <w:rFonts w:cs="Arial"/>
          <w:lang w:bidi="en-US"/>
        </w:rPr>
        <w:t xml:space="preserve">activities </w:t>
      </w:r>
      <w:r w:rsidR="003C7E78" w:rsidRPr="00497BC4">
        <w:rPr>
          <w:rFonts w:cs="Arial"/>
          <w:lang w:bidi="en-US"/>
        </w:rPr>
        <w:t>required under TSCA sections 4, 5 and 6</w:t>
      </w:r>
      <w:r w:rsidR="003C7E78">
        <w:rPr>
          <w:rFonts w:cs="Arial"/>
          <w:lang w:bidi="en-US"/>
        </w:rPr>
        <w:t xml:space="preserve"> (</w:t>
      </w:r>
      <w:r w:rsidR="00497BC4" w:rsidRPr="00497BC4">
        <w:rPr>
          <w:rFonts w:cs="Arial"/>
          <w:lang w:bidi="en-US"/>
        </w:rPr>
        <w:t>such as risk-based screenings, designation of applicable substances as High- and Low-Priority, conducting risk evaluations to determine whether a chemical substance presents an unreasonable risk of injury to health or the environment, requiring testing of chemical substances and mixtures, and evaluating and reviewing manufacturing and processing notices</w:t>
      </w:r>
      <w:r w:rsidR="003C7E78">
        <w:rPr>
          <w:rFonts w:cs="Arial"/>
          <w:lang w:bidi="en-US"/>
        </w:rPr>
        <w:t>)</w:t>
      </w:r>
      <w:r w:rsidR="00497BC4" w:rsidRPr="00497BC4">
        <w:rPr>
          <w:rFonts w:cs="Arial"/>
          <w:lang w:bidi="en-US"/>
        </w:rPr>
        <w:t xml:space="preserve">, as well </w:t>
      </w:r>
      <w:r w:rsidR="00937B61">
        <w:rPr>
          <w:rFonts w:cs="Arial"/>
          <w:lang w:bidi="en-US"/>
        </w:rPr>
        <w:t xml:space="preserve">as </w:t>
      </w:r>
      <w:r w:rsidR="003C7E78">
        <w:rPr>
          <w:rFonts w:cs="Arial"/>
          <w:lang w:bidi="en-US"/>
        </w:rPr>
        <w:t xml:space="preserve">the activities under TSCA section 14 (i.e., </w:t>
      </w:r>
      <w:r w:rsidR="00937B61" w:rsidRPr="00602EB1">
        <w:rPr>
          <w:rFonts w:eastAsia="Times New Roman"/>
        </w:rPr>
        <w:t>collecting, processing, reviewing, and providing access to and protecting information about chemical substances from disclosure as appropriate</w:t>
      </w:r>
      <w:r w:rsidR="00497BC4" w:rsidRPr="00497BC4">
        <w:rPr>
          <w:rFonts w:cs="Arial"/>
          <w:lang w:bidi="en-US"/>
        </w:rPr>
        <w:t>.</w:t>
      </w:r>
    </w:p>
    <w:p w14:paraId="502F2565" w14:textId="77777777" w:rsidR="008B4785" w:rsidRDefault="008B4785" w:rsidP="00D4779C">
      <w:pPr>
        <w:rPr>
          <w:rFonts w:cs="Arial"/>
          <w:lang w:bidi="en-US"/>
        </w:rPr>
      </w:pPr>
    </w:p>
    <w:p w14:paraId="3BBA72B3" w14:textId="77777777" w:rsidR="00FD497D" w:rsidRPr="00FD497D" w:rsidRDefault="00FD497D" w:rsidP="00FD497D">
      <w:pPr>
        <w:pStyle w:val="NoSpacing"/>
        <w:rPr>
          <w:lang w:bidi="en-US"/>
        </w:rPr>
      </w:pPr>
    </w:p>
    <w:p w14:paraId="7ACF2327" w14:textId="77777777" w:rsidR="002B34A0" w:rsidRPr="007919E5" w:rsidRDefault="00512823" w:rsidP="005B4F77">
      <w:pPr>
        <w:pStyle w:val="Heading1"/>
        <w:numPr>
          <w:ilvl w:val="0"/>
          <w:numId w:val="3"/>
        </w:numPr>
      </w:pPr>
      <w:bookmarkStart w:id="6" w:name="_Toc447203166"/>
      <w:r w:rsidRPr="007919E5">
        <w:t>NECESSITY OF THE INFORMATION COLLECTION</w:t>
      </w:r>
      <w:bookmarkEnd w:id="6"/>
    </w:p>
    <w:p w14:paraId="77847F1C" w14:textId="77777777" w:rsidR="00F40219" w:rsidRPr="007919E5" w:rsidRDefault="00F40219" w:rsidP="005B4F77">
      <w:pPr>
        <w:pStyle w:val="Heading2"/>
        <w:numPr>
          <w:ilvl w:val="1"/>
          <w:numId w:val="3"/>
        </w:numPr>
        <w:tabs>
          <w:tab w:val="left" w:pos="1080"/>
        </w:tabs>
      </w:pPr>
      <w:bookmarkStart w:id="7" w:name="_Toc447203167"/>
      <w:r w:rsidRPr="007919E5">
        <w:t>Related Legal and/or Administrative Requirements</w:t>
      </w:r>
      <w:bookmarkEnd w:id="7"/>
    </w:p>
    <w:p w14:paraId="310D3D66" w14:textId="77777777" w:rsidR="00AE7157" w:rsidRDefault="00AE7157" w:rsidP="000B530C">
      <w:pPr>
        <w:pStyle w:val="NormalWeb"/>
        <w:rPr>
          <w:rFonts w:ascii="Arial" w:hAnsi="Arial" w:cs="Arial"/>
        </w:rPr>
      </w:pPr>
      <w:r>
        <w:rPr>
          <w:rFonts w:ascii="Arial" w:hAnsi="Arial" w:cs="Arial"/>
        </w:rPr>
        <w:t xml:space="preserve">As amended in 2016, </w:t>
      </w:r>
      <w:r w:rsidR="000B530C">
        <w:rPr>
          <w:rFonts w:ascii="Arial" w:hAnsi="Arial" w:cs="Arial"/>
        </w:rPr>
        <w:t>TSCA section 26(b)</w:t>
      </w:r>
      <w:r w:rsidR="000B530C" w:rsidRPr="000B530C">
        <w:rPr>
          <w:rFonts w:ascii="Arial" w:hAnsi="Arial" w:cs="Arial"/>
        </w:rPr>
        <w:t xml:space="preserve"> provides EPA with authority to </w:t>
      </w:r>
      <w:r w:rsidR="00F30E98">
        <w:rPr>
          <w:rFonts w:ascii="Arial" w:hAnsi="Arial" w:cs="Arial"/>
        </w:rPr>
        <w:t>establish</w:t>
      </w:r>
      <w:r w:rsidR="000B530C" w:rsidRPr="000B530C">
        <w:rPr>
          <w:rFonts w:ascii="Arial" w:hAnsi="Arial" w:cs="Arial"/>
        </w:rPr>
        <w:t xml:space="preserve"> fees to defray </w:t>
      </w:r>
      <w:r>
        <w:rPr>
          <w:rFonts w:ascii="Arial" w:hAnsi="Arial" w:cs="Arial"/>
        </w:rPr>
        <w:t>25%</w:t>
      </w:r>
      <w:r w:rsidR="000B530C" w:rsidRPr="000B530C">
        <w:rPr>
          <w:rFonts w:ascii="Arial" w:hAnsi="Arial" w:cs="Arial"/>
        </w:rPr>
        <w:t xml:space="preserve"> the costs associated with administering TSCA sections 4, 5, 6</w:t>
      </w:r>
      <w:r w:rsidR="00E741A2">
        <w:rPr>
          <w:rFonts w:ascii="Arial" w:hAnsi="Arial" w:cs="Arial"/>
        </w:rPr>
        <w:t xml:space="preserve"> and </w:t>
      </w:r>
      <w:r w:rsidR="000001B4">
        <w:rPr>
          <w:rFonts w:ascii="Arial" w:hAnsi="Arial" w:cs="Arial"/>
        </w:rPr>
        <w:t xml:space="preserve">of </w:t>
      </w:r>
      <w:r w:rsidR="000001B4" w:rsidRPr="000001B4">
        <w:rPr>
          <w:rFonts w:ascii="Arial" w:hAnsi="Arial" w:cs="Arial"/>
        </w:rPr>
        <w:t>collecting, processing, reviewing, and providing access to and protecting information about chemical substances from disclosure as ap</w:t>
      </w:r>
      <w:r w:rsidR="000001B4">
        <w:rPr>
          <w:rFonts w:ascii="Arial" w:hAnsi="Arial" w:cs="Arial"/>
        </w:rPr>
        <w:t>propriate under TSCA section 14</w:t>
      </w:r>
      <w:r w:rsidR="000B530C" w:rsidRPr="000B530C">
        <w:rPr>
          <w:rFonts w:ascii="Arial" w:hAnsi="Arial" w:cs="Arial"/>
        </w:rPr>
        <w:t xml:space="preserve">. </w:t>
      </w:r>
    </w:p>
    <w:p w14:paraId="63F93F01" w14:textId="77777777" w:rsidR="00AE7157" w:rsidRDefault="00AE7157" w:rsidP="000B530C">
      <w:pPr>
        <w:pStyle w:val="NormalWeb"/>
        <w:rPr>
          <w:rFonts w:ascii="Arial" w:hAnsi="Arial" w:cs="Arial"/>
        </w:rPr>
      </w:pPr>
    </w:p>
    <w:p w14:paraId="6BF2F81B" w14:textId="77777777" w:rsidR="006C58CA" w:rsidRDefault="000A475E" w:rsidP="000B530C">
      <w:pPr>
        <w:pStyle w:val="NormalWeb"/>
        <w:rPr>
          <w:rFonts w:ascii="Arial" w:hAnsi="Arial" w:cs="Arial"/>
        </w:rPr>
      </w:pPr>
      <w:r>
        <w:rPr>
          <w:rFonts w:ascii="Arial" w:hAnsi="Arial" w:cs="Arial"/>
        </w:rPr>
        <w:t xml:space="preserve">The </w:t>
      </w:r>
      <w:r w:rsidR="006D46ED">
        <w:rPr>
          <w:rFonts w:ascii="Arial" w:hAnsi="Arial" w:cs="Arial"/>
        </w:rPr>
        <w:t>final</w:t>
      </w:r>
      <w:r>
        <w:rPr>
          <w:rFonts w:ascii="Arial" w:hAnsi="Arial" w:cs="Arial"/>
        </w:rPr>
        <w:t xml:space="preserve"> rule require</w:t>
      </w:r>
      <w:r w:rsidR="006D46ED">
        <w:rPr>
          <w:rFonts w:ascii="Arial" w:hAnsi="Arial" w:cs="Arial"/>
        </w:rPr>
        <w:t>s</w:t>
      </w:r>
      <w:r>
        <w:rPr>
          <w:rFonts w:ascii="Arial" w:hAnsi="Arial" w:cs="Arial"/>
        </w:rPr>
        <w:t xml:space="preserve"> </w:t>
      </w:r>
      <w:r w:rsidR="00E42F58">
        <w:rPr>
          <w:rFonts w:ascii="Arial" w:hAnsi="Arial" w:cs="Arial"/>
        </w:rPr>
        <w:t xml:space="preserve">fee payments from </w:t>
      </w:r>
      <w:r w:rsidR="00D74E75">
        <w:rPr>
          <w:rFonts w:ascii="Arial" w:hAnsi="Arial" w:cs="Arial"/>
        </w:rPr>
        <w:t xml:space="preserve">chemical </w:t>
      </w:r>
      <w:r w:rsidRPr="000A475E">
        <w:rPr>
          <w:rFonts w:ascii="Arial" w:hAnsi="Arial" w:cs="Arial"/>
        </w:rPr>
        <w:t>manufactures</w:t>
      </w:r>
      <w:r w:rsidR="006D46ED">
        <w:rPr>
          <w:rFonts w:ascii="Arial" w:hAnsi="Arial" w:cs="Arial"/>
        </w:rPr>
        <w:t xml:space="preserve"> (including</w:t>
      </w:r>
      <w:r w:rsidRPr="000A475E">
        <w:rPr>
          <w:rFonts w:ascii="Arial" w:hAnsi="Arial" w:cs="Arial"/>
        </w:rPr>
        <w:t xml:space="preserve"> importers</w:t>
      </w:r>
      <w:r w:rsidR="006D46ED">
        <w:rPr>
          <w:rFonts w:ascii="Arial" w:hAnsi="Arial" w:cs="Arial"/>
        </w:rPr>
        <w:t>)</w:t>
      </w:r>
      <w:r>
        <w:rPr>
          <w:rFonts w:ascii="Arial" w:hAnsi="Arial" w:cs="Arial"/>
        </w:rPr>
        <w:t xml:space="preserve"> </w:t>
      </w:r>
      <w:r w:rsidR="00E42F58">
        <w:rPr>
          <w:rFonts w:ascii="Arial" w:hAnsi="Arial" w:cs="Arial"/>
        </w:rPr>
        <w:t xml:space="preserve">who </w:t>
      </w:r>
      <w:r w:rsidR="006D46ED">
        <w:rPr>
          <w:rFonts w:ascii="Arial" w:hAnsi="Arial" w:cs="Arial"/>
        </w:rPr>
        <w:t xml:space="preserve">make submissions under </w:t>
      </w:r>
      <w:r>
        <w:rPr>
          <w:rFonts w:ascii="Arial" w:hAnsi="Arial" w:cs="Arial"/>
        </w:rPr>
        <w:t>TSCA section</w:t>
      </w:r>
      <w:r w:rsidR="006D46ED">
        <w:rPr>
          <w:rFonts w:ascii="Arial" w:hAnsi="Arial" w:cs="Arial"/>
        </w:rPr>
        <w:t xml:space="preserve"> 5, are required to submit information under TSCA section</w:t>
      </w:r>
      <w:r>
        <w:rPr>
          <w:rFonts w:ascii="Arial" w:hAnsi="Arial" w:cs="Arial"/>
        </w:rPr>
        <w:t xml:space="preserve"> 4</w:t>
      </w:r>
      <w:r w:rsidR="006D46ED">
        <w:rPr>
          <w:rFonts w:ascii="Arial" w:hAnsi="Arial" w:cs="Arial"/>
        </w:rPr>
        <w:t xml:space="preserve"> or are subject to a risk evaluation under TSCA section </w:t>
      </w:r>
      <w:r w:rsidR="00550A1F">
        <w:rPr>
          <w:rFonts w:ascii="Arial" w:hAnsi="Arial" w:cs="Arial"/>
        </w:rPr>
        <w:t>6</w:t>
      </w:r>
      <w:r w:rsidR="006D46ED">
        <w:rPr>
          <w:rFonts w:ascii="Arial" w:hAnsi="Arial" w:cs="Arial"/>
        </w:rPr>
        <w:t xml:space="preserve">. </w:t>
      </w:r>
      <w:r>
        <w:rPr>
          <w:rFonts w:ascii="Arial" w:hAnsi="Arial" w:cs="Arial"/>
        </w:rPr>
        <w:t>EPA is not collect</w:t>
      </w:r>
      <w:r w:rsidR="00067FDB">
        <w:rPr>
          <w:rFonts w:ascii="Arial" w:hAnsi="Arial" w:cs="Arial"/>
        </w:rPr>
        <w:t>ing</w:t>
      </w:r>
      <w:r>
        <w:rPr>
          <w:rFonts w:ascii="Arial" w:hAnsi="Arial" w:cs="Arial"/>
        </w:rPr>
        <w:t xml:space="preserve"> a fee for submissions of Confidential Business Information (CBI) submitted under TSCA section 14. </w:t>
      </w:r>
    </w:p>
    <w:p w14:paraId="63250F7B" w14:textId="77777777" w:rsidR="006C58CA" w:rsidRDefault="006C58CA" w:rsidP="000B530C">
      <w:pPr>
        <w:pStyle w:val="NormalWeb"/>
        <w:rPr>
          <w:rFonts w:ascii="Arial" w:hAnsi="Arial" w:cs="Arial"/>
        </w:rPr>
      </w:pPr>
    </w:p>
    <w:p w14:paraId="1FCFBC46" w14:textId="77777777" w:rsidR="00FE5445" w:rsidRPr="00295815" w:rsidRDefault="006C58CA" w:rsidP="000B530C">
      <w:pPr>
        <w:pStyle w:val="NormalWeb"/>
        <w:rPr>
          <w:rFonts w:ascii="Arial" w:hAnsi="Arial" w:cs="Arial"/>
        </w:rPr>
      </w:pPr>
      <w:r w:rsidRPr="00295815">
        <w:rPr>
          <w:rFonts w:ascii="Arial" w:hAnsi="Arial" w:cs="Arial"/>
        </w:rPr>
        <w:t xml:space="preserve">Under the </w:t>
      </w:r>
      <w:r w:rsidR="00067FDB" w:rsidRPr="00295815">
        <w:rPr>
          <w:rFonts w:ascii="Arial" w:hAnsi="Arial" w:cs="Arial"/>
        </w:rPr>
        <w:t>final</w:t>
      </w:r>
      <w:r w:rsidRPr="00295815">
        <w:rPr>
          <w:rFonts w:ascii="Arial" w:hAnsi="Arial" w:cs="Arial"/>
        </w:rPr>
        <w:t xml:space="preserve"> rule, persons subject to fees </w:t>
      </w:r>
      <w:r w:rsidR="00AE7157">
        <w:rPr>
          <w:rFonts w:ascii="Arial" w:hAnsi="Arial" w:cs="Arial"/>
        </w:rPr>
        <w:t>are</w:t>
      </w:r>
      <w:r w:rsidRPr="00295815">
        <w:rPr>
          <w:rFonts w:ascii="Arial" w:hAnsi="Arial" w:cs="Arial"/>
        </w:rPr>
        <w:t xml:space="preserve"> required to make fee payments electronically using </w:t>
      </w:r>
      <w:r w:rsidR="00AE7157">
        <w:rPr>
          <w:rFonts w:ascii="Arial" w:hAnsi="Arial" w:cs="Arial"/>
        </w:rPr>
        <w:t xml:space="preserve">the </w:t>
      </w:r>
      <w:r w:rsidR="007325B1" w:rsidRPr="00295815">
        <w:rPr>
          <w:rFonts w:ascii="Arial" w:hAnsi="Arial" w:cs="Arial"/>
        </w:rPr>
        <w:t xml:space="preserve">Department of </w:t>
      </w:r>
      <w:r w:rsidR="007325B1" w:rsidRPr="009B7D75">
        <w:rPr>
          <w:rFonts w:ascii="Arial" w:hAnsi="Arial" w:cs="Arial"/>
        </w:rPr>
        <w:t xml:space="preserve">Treasury’s </w:t>
      </w:r>
      <w:hyperlink r:id="rId12" w:history="1">
        <w:r w:rsidRPr="009B7D75">
          <w:rPr>
            <w:rStyle w:val="Hyperlink"/>
            <w:rFonts w:ascii="Arial" w:hAnsi="Arial" w:cs="Arial"/>
          </w:rPr>
          <w:t>Pay.gov</w:t>
        </w:r>
      </w:hyperlink>
      <w:r w:rsidR="007325B1" w:rsidRPr="00295815">
        <w:rPr>
          <w:rFonts w:ascii="Arial" w:hAnsi="Arial" w:cs="Arial"/>
        </w:rPr>
        <w:t xml:space="preserve"> electronic collection payment services</w:t>
      </w:r>
      <w:r w:rsidR="0024149B" w:rsidRPr="00295815">
        <w:rPr>
          <w:rFonts w:ascii="Arial" w:hAnsi="Arial" w:cs="Arial"/>
        </w:rPr>
        <w:t>.</w:t>
      </w:r>
      <w:r w:rsidRPr="00295815">
        <w:rPr>
          <w:rFonts w:ascii="Arial" w:hAnsi="Arial" w:cs="Arial"/>
        </w:rPr>
        <w:t xml:space="preserve"> </w:t>
      </w:r>
      <w:r w:rsidR="00D377EF" w:rsidRPr="00295815">
        <w:rPr>
          <w:rFonts w:ascii="Arial" w:hAnsi="Arial" w:cs="Arial"/>
        </w:rPr>
        <w:t xml:space="preserve">Once the payment is made, Federal agencies </w:t>
      </w:r>
      <w:r w:rsidR="00FD497D">
        <w:rPr>
          <w:rFonts w:ascii="Arial" w:hAnsi="Arial" w:cs="Arial"/>
        </w:rPr>
        <w:t>may</w:t>
      </w:r>
      <w:r w:rsidR="00D377EF" w:rsidRPr="00295815">
        <w:rPr>
          <w:rFonts w:ascii="Arial" w:hAnsi="Arial" w:cs="Arial"/>
        </w:rPr>
        <w:t xml:space="preserve"> access the payment and associated information. </w:t>
      </w:r>
      <w:r w:rsidR="00D74E75" w:rsidRPr="00295815">
        <w:rPr>
          <w:rFonts w:ascii="Arial" w:hAnsi="Arial" w:cs="Arial"/>
        </w:rPr>
        <w:t xml:space="preserve">The information submitted to EPA during the payment process includes company contact information, </w:t>
      </w:r>
      <w:r w:rsidR="00AE7157">
        <w:rPr>
          <w:rFonts w:ascii="Arial" w:hAnsi="Arial" w:cs="Arial"/>
        </w:rPr>
        <w:t xml:space="preserve">information about the </w:t>
      </w:r>
      <w:r w:rsidR="00D74E75" w:rsidRPr="00295815">
        <w:rPr>
          <w:rFonts w:ascii="Arial" w:hAnsi="Arial" w:cs="Arial"/>
        </w:rPr>
        <w:t xml:space="preserve">payment amount and method. Once submitted via Pay.gov, the payment </w:t>
      </w:r>
      <w:r w:rsidR="007325B1" w:rsidRPr="00295815">
        <w:rPr>
          <w:rFonts w:ascii="Arial" w:hAnsi="Arial" w:cs="Arial"/>
        </w:rPr>
        <w:t xml:space="preserve">information is sent to EPA. </w:t>
      </w:r>
    </w:p>
    <w:p w14:paraId="7F76940E" w14:textId="77777777" w:rsidR="006C58CA" w:rsidRPr="00295815" w:rsidRDefault="006C58CA" w:rsidP="000B530C">
      <w:pPr>
        <w:pStyle w:val="NormalWeb"/>
        <w:rPr>
          <w:rFonts w:ascii="Arial" w:hAnsi="Arial" w:cs="Arial"/>
        </w:rPr>
      </w:pPr>
    </w:p>
    <w:p w14:paraId="031AD9FF" w14:textId="77777777" w:rsidR="006C58CA" w:rsidRPr="00295815" w:rsidRDefault="006C58CA" w:rsidP="000B530C">
      <w:pPr>
        <w:pStyle w:val="NormalWeb"/>
        <w:rPr>
          <w:rFonts w:ascii="Arial" w:hAnsi="Arial" w:cs="Arial"/>
        </w:rPr>
      </w:pPr>
      <w:r w:rsidRPr="00295815">
        <w:rPr>
          <w:rFonts w:ascii="Arial" w:hAnsi="Arial" w:cs="Arial"/>
        </w:rPr>
        <w:t xml:space="preserve">The </w:t>
      </w:r>
      <w:r w:rsidR="005140F3" w:rsidRPr="00295815">
        <w:rPr>
          <w:rFonts w:ascii="Arial" w:hAnsi="Arial" w:cs="Arial"/>
        </w:rPr>
        <w:t>final</w:t>
      </w:r>
      <w:r w:rsidRPr="00295815">
        <w:rPr>
          <w:rFonts w:ascii="Arial" w:hAnsi="Arial" w:cs="Arial"/>
        </w:rPr>
        <w:t xml:space="preserve"> rule also</w:t>
      </w:r>
      <w:r w:rsidR="00E42F58" w:rsidRPr="00295815">
        <w:rPr>
          <w:rFonts w:ascii="Arial" w:hAnsi="Arial" w:cs="Arial"/>
        </w:rPr>
        <w:t xml:space="preserve"> make</w:t>
      </w:r>
      <w:r w:rsidR="005140F3" w:rsidRPr="00295815">
        <w:rPr>
          <w:rFonts w:ascii="Arial" w:hAnsi="Arial" w:cs="Arial"/>
        </w:rPr>
        <w:t>s</w:t>
      </w:r>
      <w:r w:rsidR="00E42F58" w:rsidRPr="00295815">
        <w:rPr>
          <w:rFonts w:ascii="Arial" w:hAnsi="Arial" w:cs="Arial"/>
        </w:rPr>
        <w:t xml:space="preserve"> </w:t>
      </w:r>
      <w:r w:rsidR="008D35D1" w:rsidRPr="00295815">
        <w:rPr>
          <w:rFonts w:ascii="Arial" w:hAnsi="Arial" w:cs="Arial"/>
        </w:rPr>
        <w:t xml:space="preserve">several </w:t>
      </w:r>
      <w:r w:rsidR="00E42F58" w:rsidRPr="00295815">
        <w:rPr>
          <w:rFonts w:ascii="Arial" w:hAnsi="Arial" w:cs="Arial"/>
        </w:rPr>
        <w:t xml:space="preserve">minor changes to </w:t>
      </w:r>
      <w:r w:rsidR="00D74E75" w:rsidRPr="00295815">
        <w:rPr>
          <w:rFonts w:ascii="Arial" w:hAnsi="Arial" w:cs="Arial"/>
        </w:rPr>
        <w:t>existing regulations</w:t>
      </w:r>
      <w:r w:rsidR="00E42F58" w:rsidRPr="00295815">
        <w:rPr>
          <w:rFonts w:ascii="Arial" w:hAnsi="Arial" w:cs="Arial"/>
        </w:rPr>
        <w:t xml:space="preserve">. </w:t>
      </w:r>
      <w:r w:rsidR="00D74E75" w:rsidRPr="00295815">
        <w:rPr>
          <w:rFonts w:ascii="Arial" w:hAnsi="Arial" w:cs="Arial"/>
        </w:rPr>
        <w:t xml:space="preserve">The </w:t>
      </w:r>
      <w:r w:rsidR="005140F3" w:rsidRPr="00295815">
        <w:rPr>
          <w:rFonts w:ascii="Arial" w:hAnsi="Arial" w:cs="Arial"/>
        </w:rPr>
        <w:t xml:space="preserve">rule </w:t>
      </w:r>
      <w:r w:rsidRPr="00295815">
        <w:rPr>
          <w:rFonts w:ascii="Arial" w:hAnsi="Arial" w:cs="Arial"/>
        </w:rPr>
        <w:t>require</w:t>
      </w:r>
      <w:r w:rsidR="005140F3" w:rsidRPr="00295815">
        <w:rPr>
          <w:rFonts w:ascii="Arial" w:hAnsi="Arial" w:cs="Arial"/>
        </w:rPr>
        <w:t>s</w:t>
      </w:r>
      <w:r w:rsidRPr="00295815">
        <w:rPr>
          <w:rFonts w:ascii="Arial" w:hAnsi="Arial" w:cs="Arial"/>
        </w:rPr>
        <w:t xml:space="preserve"> certain </w:t>
      </w:r>
      <w:r w:rsidR="00F55405" w:rsidRPr="00295815">
        <w:rPr>
          <w:rFonts w:ascii="Arial" w:hAnsi="Arial" w:cs="Arial"/>
        </w:rPr>
        <w:t>manufactures</w:t>
      </w:r>
      <w:r w:rsidR="005140F3" w:rsidRPr="00295815">
        <w:rPr>
          <w:rFonts w:ascii="Arial" w:hAnsi="Arial" w:cs="Arial"/>
        </w:rPr>
        <w:t xml:space="preserve"> (including </w:t>
      </w:r>
      <w:r w:rsidR="00F55405" w:rsidRPr="00295815">
        <w:rPr>
          <w:rFonts w:ascii="Arial" w:hAnsi="Arial" w:cs="Arial"/>
        </w:rPr>
        <w:t>importers</w:t>
      </w:r>
      <w:r w:rsidR="005140F3" w:rsidRPr="00295815">
        <w:rPr>
          <w:rFonts w:ascii="Arial" w:hAnsi="Arial" w:cs="Arial"/>
        </w:rPr>
        <w:t>)</w:t>
      </w:r>
      <w:r w:rsidR="00F95261" w:rsidRPr="00295815">
        <w:rPr>
          <w:rFonts w:ascii="Arial" w:hAnsi="Arial" w:cs="Arial"/>
        </w:rPr>
        <w:t xml:space="preserve"> to make a submission to </w:t>
      </w:r>
      <w:r w:rsidR="00AE7157">
        <w:rPr>
          <w:rFonts w:ascii="Arial" w:hAnsi="Arial" w:cs="Arial"/>
        </w:rPr>
        <w:t>EPA’s</w:t>
      </w:r>
      <w:r w:rsidR="00AE7157" w:rsidRPr="00295815">
        <w:rPr>
          <w:rFonts w:ascii="Arial" w:hAnsi="Arial" w:cs="Arial"/>
        </w:rPr>
        <w:t xml:space="preserve"> </w:t>
      </w:r>
      <w:r w:rsidR="00F95261" w:rsidRPr="00295815">
        <w:rPr>
          <w:rFonts w:ascii="Arial" w:hAnsi="Arial" w:cs="Arial"/>
        </w:rPr>
        <w:t>Central Data Exchange (CDX) and</w:t>
      </w:r>
      <w:r w:rsidR="00E9323F" w:rsidRPr="00295815">
        <w:rPr>
          <w:rFonts w:ascii="Arial" w:hAnsi="Arial" w:cs="Arial"/>
        </w:rPr>
        <w:t xml:space="preserve"> to inform EPA </w:t>
      </w:r>
      <w:r w:rsidR="00F76B26" w:rsidRPr="00295815">
        <w:rPr>
          <w:rFonts w:ascii="Arial" w:hAnsi="Arial" w:cs="Arial"/>
        </w:rPr>
        <w:t>if they choose to</w:t>
      </w:r>
      <w:r w:rsidR="00E9323F" w:rsidRPr="00295815">
        <w:rPr>
          <w:rFonts w:ascii="Arial" w:hAnsi="Arial" w:cs="Arial"/>
        </w:rPr>
        <w:t xml:space="preserve"> </w:t>
      </w:r>
      <w:r w:rsidR="00F76B26" w:rsidRPr="00295815">
        <w:rPr>
          <w:rFonts w:ascii="Arial" w:hAnsi="Arial" w:cs="Arial"/>
        </w:rPr>
        <w:t xml:space="preserve">associate as a consortium. </w:t>
      </w:r>
      <w:r w:rsidR="00E7491B" w:rsidRPr="00295815">
        <w:rPr>
          <w:rFonts w:ascii="Arial" w:hAnsi="Arial" w:cs="Arial"/>
        </w:rPr>
        <w:t xml:space="preserve">Notification must be provided to EPA via </w:t>
      </w:r>
      <w:r w:rsidR="002447F9" w:rsidRPr="00295815">
        <w:rPr>
          <w:rFonts w:ascii="Arial" w:hAnsi="Arial" w:cs="Arial"/>
        </w:rPr>
        <w:t xml:space="preserve">the </w:t>
      </w:r>
      <w:r w:rsidR="00E7491B" w:rsidRPr="00295815">
        <w:rPr>
          <w:rFonts w:ascii="Arial" w:hAnsi="Arial" w:cs="Arial"/>
        </w:rPr>
        <w:t xml:space="preserve">CDX when </w:t>
      </w:r>
      <w:r w:rsidR="00AE7157">
        <w:rPr>
          <w:rFonts w:ascii="Arial" w:hAnsi="Arial" w:cs="Arial"/>
        </w:rPr>
        <w:t xml:space="preserve">a </w:t>
      </w:r>
      <w:r w:rsidR="00B744EE">
        <w:rPr>
          <w:rFonts w:ascii="Arial" w:hAnsi="Arial" w:cs="Arial"/>
        </w:rPr>
        <w:t>consortium</w:t>
      </w:r>
      <w:r w:rsidR="00E7491B" w:rsidRPr="00295815">
        <w:rPr>
          <w:rFonts w:ascii="Arial" w:hAnsi="Arial" w:cs="Arial"/>
        </w:rPr>
        <w:t xml:space="preserve"> is formed. This </w:t>
      </w:r>
      <w:bookmarkStart w:id="8" w:name="_Hlk523220309"/>
      <w:r w:rsidR="00E7491B" w:rsidRPr="00295815">
        <w:rPr>
          <w:rFonts w:ascii="Arial" w:hAnsi="Arial" w:cs="Arial"/>
        </w:rPr>
        <w:t xml:space="preserve">includes the name, address, telephone number and signature of the principle sponsor and the names and contact information for each manufacturer and/or processor associating with the </w:t>
      </w:r>
      <w:bookmarkEnd w:id="8"/>
      <w:r w:rsidR="00B744EE">
        <w:rPr>
          <w:rFonts w:ascii="Arial" w:hAnsi="Arial" w:cs="Arial"/>
        </w:rPr>
        <w:t>consortium</w:t>
      </w:r>
      <w:r w:rsidR="00E7491B" w:rsidRPr="00295815">
        <w:rPr>
          <w:rFonts w:ascii="Arial" w:hAnsi="Arial" w:cs="Arial"/>
        </w:rPr>
        <w:t xml:space="preserve">.  </w:t>
      </w:r>
      <w:r w:rsidR="00F76B26" w:rsidRPr="00295815">
        <w:rPr>
          <w:rFonts w:ascii="Arial" w:hAnsi="Arial" w:cs="Arial"/>
        </w:rPr>
        <w:t xml:space="preserve">Under TSCA, a consortium is an association of manufacturers (including importers) and/or processors who have made an agreement to jointly split the cost of applicable fees. </w:t>
      </w:r>
      <w:r w:rsidR="00F95261" w:rsidRPr="00295815">
        <w:rPr>
          <w:rFonts w:ascii="Arial" w:hAnsi="Arial" w:cs="Arial"/>
        </w:rPr>
        <w:t xml:space="preserve">Manufacturers (including importers) </w:t>
      </w:r>
      <w:r w:rsidR="00B8468B">
        <w:rPr>
          <w:rFonts w:ascii="Arial" w:hAnsi="Arial" w:cs="Arial"/>
        </w:rPr>
        <w:t xml:space="preserve">and processors </w:t>
      </w:r>
      <w:r w:rsidR="00F95261" w:rsidRPr="00295815">
        <w:rPr>
          <w:rFonts w:ascii="Arial" w:hAnsi="Arial" w:cs="Arial"/>
        </w:rPr>
        <w:t xml:space="preserve">are also required to certify if they qualify as a small business and </w:t>
      </w:r>
      <w:r w:rsidR="00AE7157">
        <w:rPr>
          <w:rFonts w:ascii="Arial" w:hAnsi="Arial" w:cs="Arial"/>
        </w:rPr>
        <w:t xml:space="preserve">are subject to </w:t>
      </w:r>
      <w:r w:rsidR="00F95261" w:rsidRPr="00295815">
        <w:rPr>
          <w:rFonts w:ascii="Arial" w:hAnsi="Arial" w:cs="Arial"/>
        </w:rPr>
        <w:t>reduced fees.</w:t>
      </w:r>
    </w:p>
    <w:p w14:paraId="3829B752" w14:textId="77777777" w:rsidR="00AB57A5" w:rsidRPr="00295815" w:rsidRDefault="00AB57A5" w:rsidP="000B530C">
      <w:pPr>
        <w:pStyle w:val="NormalWeb"/>
        <w:rPr>
          <w:rFonts w:ascii="Arial" w:hAnsi="Arial" w:cs="Arial"/>
        </w:rPr>
      </w:pPr>
    </w:p>
    <w:p w14:paraId="1BBC1605" w14:textId="59F08C16" w:rsidR="00277C19" w:rsidRDefault="00DF45B7" w:rsidP="00DF45B7">
      <w:pPr>
        <w:pStyle w:val="NormalWeb"/>
        <w:rPr>
          <w:rFonts w:ascii="Arial" w:hAnsi="Arial" w:cs="Arial"/>
        </w:rPr>
      </w:pPr>
      <w:r w:rsidRPr="00295815">
        <w:rPr>
          <w:rFonts w:ascii="Arial" w:hAnsi="Arial" w:cs="Arial"/>
        </w:rPr>
        <w:t xml:space="preserve">All manufacturers (and importers) who have manufactured or imported the chemical substance in the 5 years prior to </w:t>
      </w:r>
      <w:r w:rsidR="00AE7157">
        <w:rPr>
          <w:rFonts w:ascii="Arial" w:hAnsi="Arial" w:cs="Arial"/>
        </w:rPr>
        <w:t xml:space="preserve">a TSCA </w:t>
      </w:r>
      <w:r w:rsidRPr="00295815">
        <w:rPr>
          <w:rFonts w:ascii="Arial" w:hAnsi="Arial" w:cs="Arial"/>
        </w:rPr>
        <w:t xml:space="preserve">section 4 </w:t>
      </w:r>
      <w:r w:rsidR="004C575A">
        <w:rPr>
          <w:rFonts w:ascii="Arial" w:hAnsi="Arial" w:cs="Arial"/>
        </w:rPr>
        <w:t>Test Rules</w:t>
      </w:r>
      <w:r w:rsidRPr="00295815">
        <w:rPr>
          <w:rFonts w:ascii="Arial" w:hAnsi="Arial" w:cs="Arial"/>
        </w:rPr>
        <w:t xml:space="preserve"> and </w:t>
      </w:r>
      <w:r w:rsidR="008A3D62">
        <w:rPr>
          <w:rFonts w:ascii="Arial" w:hAnsi="Arial" w:cs="Arial"/>
        </w:rPr>
        <w:t xml:space="preserve">TSCA </w:t>
      </w:r>
      <w:r w:rsidRPr="00295815">
        <w:rPr>
          <w:rFonts w:ascii="Arial" w:hAnsi="Arial" w:cs="Arial"/>
        </w:rPr>
        <w:t>section 6 EPA-initiated risk evaluations must submit notice to EPA electronically via EPA’s (CDX), the Agency’s electronic reporting portal, using the Chemical Information Submission System (CISS) reporting tool</w:t>
      </w:r>
      <w:r w:rsidR="00C66CD8">
        <w:rPr>
          <w:rFonts w:ascii="Arial" w:hAnsi="Arial" w:cs="Arial"/>
        </w:rPr>
        <w:t>.</w:t>
      </w:r>
      <w:r w:rsidR="00F63E90">
        <w:rPr>
          <w:rFonts w:ascii="Arial" w:hAnsi="Arial" w:cs="Arial"/>
        </w:rPr>
        <w:t xml:space="preserve"> EPA is amending the related</w:t>
      </w:r>
      <w:r w:rsidR="00F63E90" w:rsidRPr="00F63E90">
        <w:rPr>
          <w:rFonts w:ascii="Arial" w:hAnsi="Arial" w:cs="Arial"/>
        </w:rPr>
        <w:t xml:space="preserve"> modules in CDX </w:t>
      </w:r>
      <w:r w:rsidR="00F63E90">
        <w:rPr>
          <w:rFonts w:ascii="Arial" w:hAnsi="Arial" w:cs="Arial"/>
        </w:rPr>
        <w:t xml:space="preserve">to </w:t>
      </w:r>
      <w:r w:rsidR="00F63E90" w:rsidRPr="00F63E90">
        <w:rPr>
          <w:rFonts w:ascii="Arial" w:hAnsi="Arial" w:cs="Arial"/>
        </w:rPr>
        <w:t xml:space="preserve">incorporate the elements </w:t>
      </w:r>
      <w:r w:rsidR="00F63E90">
        <w:rPr>
          <w:rFonts w:ascii="Arial" w:hAnsi="Arial" w:cs="Arial"/>
        </w:rPr>
        <w:t>presented in</w:t>
      </w:r>
      <w:r w:rsidR="00F63E90" w:rsidRPr="00F63E90">
        <w:rPr>
          <w:rFonts w:ascii="Arial" w:hAnsi="Arial" w:cs="Arial"/>
        </w:rPr>
        <w:t xml:space="preserve"> EPA Form 9600-008. </w:t>
      </w:r>
      <w:r w:rsidR="00F63E90">
        <w:rPr>
          <w:rFonts w:ascii="Arial" w:hAnsi="Arial" w:cs="Arial"/>
        </w:rPr>
        <w:t>S</w:t>
      </w:r>
      <w:r w:rsidR="00F63E90" w:rsidRPr="00F63E90">
        <w:rPr>
          <w:rFonts w:ascii="Arial" w:hAnsi="Arial" w:cs="Arial"/>
        </w:rPr>
        <w:t xml:space="preserve">creen shots </w:t>
      </w:r>
      <w:r w:rsidR="00F63E90">
        <w:rPr>
          <w:rFonts w:ascii="Arial" w:hAnsi="Arial" w:cs="Arial"/>
        </w:rPr>
        <w:t>of the revised modules for</w:t>
      </w:r>
      <w:r w:rsidR="00F63E90" w:rsidRPr="00F63E90">
        <w:rPr>
          <w:rFonts w:ascii="Arial" w:hAnsi="Arial" w:cs="Arial"/>
        </w:rPr>
        <w:t xml:space="preserve"> section 5 and section 6 </w:t>
      </w:r>
      <w:r w:rsidR="00F63E90">
        <w:rPr>
          <w:rFonts w:ascii="Arial" w:hAnsi="Arial" w:cs="Arial"/>
        </w:rPr>
        <w:t>submissions are provided in Attachment 3</w:t>
      </w:r>
      <w:r w:rsidR="00F63E90" w:rsidRPr="00F63E90">
        <w:rPr>
          <w:rFonts w:ascii="Arial" w:hAnsi="Arial" w:cs="Arial"/>
        </w:rPr>
        <w:t xml:space="preserve">. Screen shots </w:t>
      </w:r>
      <w:r w:rsidR="00F63E90">
        <w:rPr>
          <w:rFonts w:ascii="Arial" w:hAnsi="Arial" w:cs="Arial"/>
        </w:rPr>
        <w:t xml:space="preserve">of </w:t>
      </w:r>
      <w:r w:rsidR="00F63E90" w:rsidRPr="00F63E90">
        <w:rPr>
          <w:rFonts w:ascii="Arial" w:hAnsi="Arial" w:cs="Arial"/>
        </w:rPr>
        <w:t xml:space="preserve">the </w:t>
      </w:r>
      <w:r w:rsidR="00F63E90">
        <w:rPr>
          <w:rFonts w:ascii="Arial" w:hAnsi="Arial" w:cs="Arial"/>
        </w:rPr>
        <w:t xml:space="preserve">revised CDX module for </w:t>
      </w:r>
      <w:r w:rsidR="00F63E90" w:rsidRPr="00F63E90">
        <w:rPr>
          <w:rFonts w:ascii="Arial" w:hAnsi="Arial" w:cs="Arial"/>
        </w:rPr>
        <w:t xml:space="preserve">section 4 </w:t>
      </w:r>
      <w:r w:rsidR="00F63E90">
        <w:rPr>
          <w:rFonts w:ascii="Arial" w:hAnsi="Arial" w:cs="Arial"/>
        </w:rPr>
        <w:lastRenderedPageBreak/>
        <w:t>submissions</w:t>
      </w:r>
      <w:r w:rsidR="00F63E90" w:rsidRPr="00F63E90">
        <w:rPr>
          <w:rFonts w:ascii="Arial" w:hAnsi="Arial" w:cs="Arial"/>
        </w:rPr>
        <w:t xml:space="preserve"> will be </w:t>
      </w:r>
      <w:r w:rsidR="00F63E90">
        <w:rPr>
          <w:rFonts w:ascii="Arial" w:hAnsi="Arial" w:cs="Arial"/>
        </w:rPr>
        <w:t>provid</w:t>
      </w:r>
      <w:r w:rsidR="00F63E90" w:rsidRPr="00F63E90">
        <w:rPr>
          <w:rFonts w:ascii="Arial" w:hAnsi="Arial" w:cs="Arial"/>
        </w:rPr>
        <w:t xml:space="preserve">ed </w:t>
      </w:r>
      <w:r w:rsidR="00F63E90">
        <w:rPr>
          <w:rFonts w:ascii="Arial" w:hAnsi="Arial" w:cs="Arial"/>
        </w:rPr>
        <w:t xml:space="preserve">to OMB </w:t>
      </w:r>
      <w:r w:rsidR="00F63E90" w:rsidRPr="00F63E90">
        <w:rPr>
          <w:rFonts w:ascii="Arial" w:hAnsi="Arial" w:cs="Arial"/>
        </w:rPr>
        <w:t>when they are available.</w:t>
      </w:r>
      <w:r w:rsidR="00412E4C">
        <w:rPr>
          <w:rFonts w:ascii="Arial" w:hAnsi="Arial" w:cs="Arial"/>
        </w:rPr>
        <w:t xml:space="preserve"> </w:t>
      </w:r>
      <w:r w:rsidR="00F63E90">
        <w:rPr>
          <w:rFonts w:ascii="Arial" w:hAnsi="Arial" w:cs="Arial"/>
        </w:rPr>
        <w:t>As indicated in the final rule, m</w:t>
      </w:r>
      <w:r w:rsidR="00412E4C">
        <w:rPr>
          <w:rFonts w:ascii="Arial" w:hAnsi="Arial" w:cs="Arial"/>
        </w:rPr>
        <w:t>anufactures are required to provide the following information:</w:t>
      </w:r>
    </w:p>
    <w:p w14:paraId="7C3AFBD5" w14:textId="77777777" w:rsidR="006B0EF8" w:rsidRPr="00295815" w:rsidRDefault="006B0EF8" w:rsidP="00DF45B7">
      <w:pPr>
        <w:pStyle w:val="NormalWeb"/>
        <w:rPr>
          <w:rFonts w:ascii="Arial" w:hAnsi="Arial" w:cs="Arial"/>
        </w:rPr>
      </w:pPr>
    </w:p>
    <w:p w14:paraId="19A58261" w14:textId="77777777" w:rsidR="00DF45B7" w:rsidRDefault="00DF45B7" w:rsidP="001B03EA">
      <w:pPr>
        <w:pStyle w:val="NormalWeb"/>
        <w:ind w:left="720"/>
        <w:rPr>
          <w:rFonts w:ascii="Arial" w:hAnsi="Arial" w:cs="Arial"/>
        </w:rPr>
      </w:pPr>
      <w:r w:rsidRPr="00FD497D">
        <w:rPr>
          <w:rFonts w:ascii="Arial" w:hAnsi="Arial" w:cs="Arial"/>
          <w:u w:val="single"/>
        </w:rPr>
        <w:t>Contact I</w:t>
      </w:r>
      <w:r w:rsidR="00F56F42" w:rsidRPr="00FD497D">
        <w:rPr>
          <w:rFonts w:ascii="Arial" w:hAnsi="Arial" w:cs="Arial"/>
          <w:u w:val="single"/>
        </w:rPr>
        <w:t>nformation.</w:t>
      </w:r>
      <w:r w:rsidRPr="00295815">
        <w:rPr>
          <w:rFonts w:ascii="Arial" w:hAnsi="Arial" w:cs="Arial"/>
        </w:rPr>
        <w:t xml:space="preserve"> The name and address of the submitting company, the name and</w:t>
      </w:r>
      <w:r w:rsidRPr="00DF45B7">
        <w:rPr>
          <w:rFonts w:ascii="Arial" w:hAnsi="Arial" w:cs="Arial"/>
        </w:rPr>
        <w:t xml:space="preserve"> address of the authorized official for the submitting company, and the name and telephone number of a person who will serve as technical contact for the submitting company and who will be able to answer questions about the information submitted by the company to EPA.</w:t>
      </w:r>
    </w:p>
    <w:p w14:paraId="7D877E6E" w14:textId="77777777" w:rsidR="00277C19" w:rsidRPr="00DF45B7" w:rsidRDefault="00277C19" w:rsidP="001B03EA">
      <w:pPr>
        <w:pStyle w:val="NormalWeb"/>
        <w:ind w:left="720"/>
        <w:rPr>
          <w:rFonts w:ascii="Arial" w:hAnsi="Arial" w:cs="Arial"/>
        </w:rPr>
      </w:pPr>
    </w:p>
    <w:p w14:paraId="520A2ED5" w14:textId="77777777" w:rsidR="00DF45B7" w:rsidRDefault="00DF45B7" w:rsidP="001B03EA">
      <w:pPr>
        <w:pStyle w:val="NormalWeb"/>
        <w:ind w:left="720"/>
        <w:rPr>
          <w:rFonts w:ascii="Arial" w:hAnsi="Arial" w:cs="Arial"/>
        </w:rPr>
      </w:pPr>
      <w:r w:rsidRPr="00FD497D">
        <w:rPr>
          <w:rFonts w:ascii="Arial" w:hAnsi="Arial" w:cs="Arial"/>
          <w:u w:val="single"/>
        </w:rPr>
        <w:t>Certification of Cessation.</w:t>
      </w:r>
      <w:r w:rsidRPr="00295815">
        <w:rPr>
          <w:rFonts w:ascii="Arial" w:hAnsi="Arial" w:cs="Arial"/>
        </w:rPr>
        <w:t xml:space="preserve"> If a manufacturer has manufactured in the five-year period preceding publication of the preliminary list, but has ceased manufacturer prior to the certification cutoff dates identified and will not manufacture the substance again in the successive five years, the manufacturer may submit a certification statement attesting to these facts. If EPA receives such a certification statement from a manufacturer, the manufacturer will not be obligated to pay the fee.</w:t>
      </w:r>
    </w:p>
    <w:p w14:paraId="6BB3785E" w14:textId="77777777" w:rsidR="00277C19" w:rsidRPr="00295815" w:rsidRDefault="00277C19" w:rsidP="001B03EA">
      <w:pPr>
        <w:pStyle w:val="NormalWeb"/>
        <w:ind w:left="720"/>
        <w:rPr>
          <w:rFonts w:ascii="Arial" w:hAnsi="Arial" w:cs="Arial"/>
        </w:rPr>
      </w:pPr>
    </w:p>
    <w:p w14:paraId="5F1DA9EE" w14:textId="77777777" w:rsidR="00AB57A5" w:rsidRDefault="00DF45B7" w:rsidP="001B03EA">
      <w:pPr>
        <w:pStyle w:val="NormalWeb"/>
        <w:ind w:left="720"/>
        <w:rPr>
          <w:rFonts w:ascii="Arial" w:hAnsi="Arial" w:cs="Arial"/>
        </w:rPr>
      </w:pPr>
      <w:r w:rsidRPr="00FD497D">
        <w:rPr>
          <w:rFonts w:ascii="Arial" w:hAnsi="Arial" w:cs="Arial"/>
          <w:u w:val="single"/>
        </w:rPr>
        <w:t>Certification of No Manufacture.</w:t>
      </w:r>
      <w:r w:rsidRPr="00295815">
        <w:rPr>
          <w:rFonts w:ascii="Arial" w:hAnsi="Arial" w:cs="Arial"/>
        </w:rPr>
        <w:t xml:space="preserve"> If a manufacturer is identified on the preliminary list, but has not manufactured the chemical in the five-year period preceding publication of the</w:t>
      </w:r>
      <w:r w:rsidRPr="00DF45B7">
        <w:rPr>
          <w:rFonts w:ascii="Arial" w:hAnsi="Arial" w:cs="Arial"/>
        </w:rPr>
        <w:t xml:space="preserve"> preliminary list, the manufacturer may submit a certification statement attesting to these facts. If EPA receives such a certification statement from a manufacturer, the manufacturer will not be obligated to pay the fee.  </w:t>
      </w:r>
    </w:p>
    <w:p w14:paraId="100CEC00" w14:textId="77777777" w:rsidR="00534F9B" w:rsidRDefault="00534F9B" w:rsidP="000B530C">
      <w:pPr>
        <w:pStyle w:val="NormalWeb"/>
        <w:rPr>
          <w:rFonts w:ascii="Arial" w:hAnsi="Arial" w:cs="Arial"/>
        </w:rPr>
      </w:pPr>
    </w:p>
    <w:p w14:paraId="5AC67BFD" w14:textId="77777777" w:rsidR="005B4F77" w:rsidRPr="007919E5" w:rsidRDefault="005B4F77" w:rsidP="005B4F77">
      <w:pPr>
        <w:pStyle w:val="Heading2"/>
        <w:numPr>
          <w:ilvl w:val="1"/>
          <w:numId w:val="3"/>
        </w:numPr>
        <w:tabs>
          <w:tab w:val="left" w:pos="1080"/>
        </w:tabs>
      </w:pPr>
      <w:bookmarkStart w:id="9" w:name="_Toc447203168"/>
      <w:r w:rsidRPr="007919E5">
        <w:t>Necessity of the Information Collection</w:t>
      </w:r>
      <w:bookmarkEnd w:id="9"/>
    </w:p>
    <w:p w14:paraId="0B8F7766" w14:textId="77777777" w:rsidR="00271BE5" w:rsidRDefault="00271BE5" w:rsidP="00654239">
      <w:pPr>
        <w:rPr>
          <w:rFonts w:cs="Arial"/>
        </w:rPr>
      </w:pPr>
      <w:r w:rsidRPr="00271BE5">
        <w:rPr>
          <w:rFonts w:cs="Arial"/>
        </w:rPr>
        <w:t xml:space="preserve">The information collection activities covered by this ICR are necessary </w:t>
      </w:r>
      <w:r w:rsidR="00F30E98" w:rsidRPr="00271BE5">
        <w:rPr>
          <w:rFonts w:cs="Arial"/>
        </w:rPr>
        <w:t>to</w:t>
      </w:r>
      <w:r w:rsidRPr="00271BE5">
        <w:rPr>
          <w:rFonts w:cs="Arial"/>
        </w:rPr>
        <w:t xml:space="preserve"> </w:t>
      </w:r>
      <w:r w:rsidR="00654239">
        <w:rPr>
          <w:rFonts w:cs="Arial"/>
        </w:rPr>
        <w:t>collect</w:t>
      </w:r>
      <w:r w:rsidR="00F8475E">
        <w:rPr>
          <w:rFonts w:cs="Arial"/>
        </w:rPr>
        <w:t xml:space="preserve"> and process</w:t>
      </w:r>
      <w:r w:rsidR="00654239">
        <w:rPr>
          <w:rFonts w:cs="Arial"/>
        </w:rPr>
        <w:t xml:space="preserve"> fees as required by </w:t>
      </w:r>
      <w:r w:rsidR="00277C19">
        <w:rPr>
          <w:rFonts w:cs="Arial"/>
        </w:rPr>
        <w:t xml:space="preserve">TSCA </w:t>
      </w:r>
      <w:r w:rsidR="00654239">
        <w:rPr>
          <w:rFonts w:cs="Arial"/>
        </w:rPr>
        <w:t>section 26(b)</w:t>
      </w:r>
      <w:r w:rsidRPr="00271BE5">
        <w:rPr>
          <w:rFonts w:cs="Arial"/>
        </w:rPr>
        <w:t xml:space="preserve">. </w:t>
      </w:r>
      <w:r w:rsidR="008D35D1">
        <w:rPr>
          <w:rFonts w:cs="Arial"/>
        </w:rPr>
        <w:t xml:space="preserve">The </w:t>
      </w:r>
      <w:r w:rsidR="008D35D1" w:rsidRPr="008D35D1">
        <w:rPr>
          <w:rFonts w:cs="Arial"/>
        </w:rPr>
        <w:t xml:space="preserve">fees </w:t>
      </w:r>
      <w:r w:rsidR="008D35D1">
        <w:rPr>
          <w:rFonts w:cs="Arial"/>
        </w:rPr>
        <w:t xml:space="preserve">collected </w:t>
      </w:r>
      <w:r w:rsidR="0084126C">
        <w:rPr>
          <w:rFonts w:cs="Arial"/>
        </w:rPr>
        <w:t xml:space="preserve">are designed to </w:t>
      </w:r>
      <w:r w:rsidR="008D35D1" w:rsidRPr="008D35D1">
        <w:rPr>
          <w:rFonts w:cs="Arial"/>
        </w:rPr>
        <w:t xml:space="preserve">defray </w:t>
      </w:r>
      <w:r w:rsidR="00F30E98">
        <w:rPr>
          <w:rFonts w:cs="Arial"/>
        </w:rPr>
        <w:t>a portion</w:t>
      </w:r>
      <w:r w:rsidR="008D35D1" w:rsidRPr="008D35D1">
        <w:rPr>
          <w:rFonts w:cs="Arial"/>
        </w:rPr>
        <w:t xml:space="preserve"> of the costs of administering TSCA sections 4, 5, 6 and </w:t>
      </w:r>
      <w:r w:rsidR="00347C15">
        <w:rPr>
          <w:rFonts w:cs="Arial"/>
        </w:rPr>
        <w:t xml:space="preserve">of </w:t>
      </w:r>
      <w:r w:rsidR="00347C15" w:rsidRPr="00347C15">
        <w:rPr>
          <w:rFonts w:cs="Arial"/>
        </w:rPr>
        <w:t>collecting, processing, reviewing, and providing access to and protecting information about chemical substances from disclosure as ap</w:t>
      </w:r>
      <w:r w:rsidR="00347C15">
        <w:rPr>
          <w:rFonts w:cs="Arial"/>
        </w:rPr>
        <w:t>propriate under TSCA section 14</w:t>
      </w:r>
      <w:r w:rsidR="008D35D1">
        <w:rPr>
          <w:rFonts w:cs="Arial"/>
        </w:rPr>
        <w:t xml:space="preserve">. </w:t>
      </w:r>
    </w:p>
    <w:p w14:paraId="19E43968" w14:textId="77777777" w:rsidR="008D35D1" w:rsidRDefault="008D35D1" w:rsidP="008D35D1">
      <w:pPr>
        <w:pStyle w:val="NoSpacing"/>
      </w:pPr>
    </w:p>
    <w:p w14:paraId="637B0AD8" w14:textId="77777777" w:rsidR="008648B5" w:rsidRPr="007919E5" w:rsidRDefault="008648B5" w:rsidP="008648B5">
      <w:pPr>
        <w:pStyle w:val="Heading2"/>
        <w:numPr>
          <w:ilvl w:val="1"/>
          <w:numId w:val="3"/>
        </w:numPr>
        <w:tabs>
          <w:tab w:val="left" w:pos="1080"/>
        </w:tabs>
      </w:pPr>
      <w:bookmarkStart w:id="10" w:name="_Toc447203169"/>
      <w:r w:rsidRPr="007919E5">
        <w:t>Uses, Users, and Purpose of the Information Collection</w:t>
      </w:r>
      <w:bookmarkEnd w:id="10"/>
    </w:p>
    <w:p w14:paraId="025BE5ED" w14:textId="77777777" w:rsidR="00625363" w:rsidRDefault="00F8475E" w:rsidP="00512823">
      <w:r>
        <w:t xml:space="preserve">When </w:t>
      </w:r>
      <w:r w:rsidRPr="00F8475E">
        <w:t>manufactures</w:t>
      </w:r>
      <w:r w:rsidR="00990B05">
        <w:t xml:space="preserve"> (including </w:t>
      </w:r>
      <w:r w:rsidRPr="00F8475E">
        <w:t>importers</w:t>
      </w:r>
      <w:r w:rsidR="00990B05">
        <w:t>)</w:t>
      </w:r>
      <w:r w:rsidRPr="00F8475E">
        <w:t xml:space="preserve"> </w:t>
      </w:r>
      <w:r w:rsidR="007778E2">
        <w:t xml:space="preserve">and importers </w:t>
      </w:r>
      <w:r>
        <w:t>pay a fee</w:t>
      </w:r>
      <w:r w:rsidR="00277C19">
        <w:t>,</w:t>
      </w:r>
      <w:r>
        <w:t xml:space="preserve"> they must submit information that includes </w:t>
      </w:r>
      <w:r>
        <w:rPr>
          <w:rFonts w:cs="Arial"/>
        </w:rPr>
        <w:t>c</w:t>
      </w:r>
      <w:r w:rsidRPr="006C58CA">
        <w:rPr>
          <w:rFonts w:cs="Arial"/>
        </w:rPr>
        <w:t xml:space="preserve">ompany contact information, </w:t>
      </w:r>
      <w:r w:rsidR="00580AA0">
        <w:rPr>
          <w:rFonts w:cs="Arial"/>
        </w:rPr>
        <w:t xml:space="preserve">and </w:t>
      </w:r>
      <w:r w:rsidRPr="006C58CA">
        <w:rPr>
          <w:rFonts w:cs="Arial"/>
        </w:rPr>
        <w:t>payment information</w:t>
      </w:r>
      <w:r>
        <w:rPr>
          <w:rFonts w:cs="Arial"/>
        </w:rPr>
        <w:t>.</w:t>
      </w:r>
      <w:r>
        <w:t xml:space="preserve"> </w:t>
      </w:r>
      <w:r w:rsidR="008D35D1" w:rsidRPr="008D35D1">
        <w:t xml:space="preserve">The information </w:t>
      </w:r>
      <w:r w:rsidR="00D74E75">
        <w:t>will be</w:t>
      </w:r>
      <w:r w:rsidR="008D35D1" w:rsidRPr="008D35D1">
        <w:t xml:space="preserve"> used by the Agency to </w:t>
      </w:r>
      <w:r w:rsidR="00D74E75">
        <w:t>calculate the revenue gene</w:t>
      </w:r>
      <w:r w:rsidR="00B26E7A">
        <w:t xml:space="preserve">rated by the TSCA fee programs and </w:t>
      </w:r>
      <w:r w:rsidR="008D35D1" w:rsidRPr="008D35D1">
        <w:t xml:space="preserve">ensure that the </w:t>
      </w:r>
      <w:r>
        <w:t>required fees</w:t>
      </w:r>
      <w:r w:rsidR="008D35D1" w:rsidRPr="008D35D1">
        <w:t xml:space="preserve"> have been paid by each </w:t>
      </w:r>
      <w:r w:rsidR="00B34BBC">
        <w:t>respondent</w:t>
      </w:r>
      <w:r>
        <w:t xml:space="preserve">. </w:t>
      </w:r>
    </w:p>
    <w:p w14:paraId="1A906654" w14:textId="77777777" w:rsidR="00625363" w:rsidRDefault="00625363" w:rsidP="00512823"/>
    <w:p w14:paraId="30B264F5" w14:textId="77777777" w:rsidR="009614EF" w:rsidRDefault="00277C19" w:rsidP="008D35D1">
      <w:pPr>
        <w:pStyle w:val="NoSpacing"/>
      </w:pPr>
      <w:r>
        <w:t>M</w:t>
      </w:r>
      <w:r w:rsidR="009614EF" w:rsidRPr="009614EF">
        <w:t xml:space="preserve">anufactures, importers and processors </w:t>
      </w:r>
      <w:r>
        <w:t xml:space="preserve">are required </w:t>
      </w:r>
      <w:r w:rsidR="009614EF" w:rsidRPr="009614EF">
        <w:t>to inform EPA if they choose to associate as a consortium</w:t>
      </w:r>
      <w:r w:rsidR="00AE609F">
        <w:t xml:space="preserve"> for submissions under </w:t>
      </w:r>
      <w:r w:rsidR="00471836">
        <w:rPr>
          <w:rFonts w:cs="Arial"/>
        </w:rPr>
        <w:t xml:space="preserve">TSCA </w:t>
      </w:r>
      <w:r w:rsidR="00AE609F">
        <w:t>section</w:t>
      </w:r>
      <w:r w:rsidR="002D2B79">
        <w:t>s</w:t>
      </w:r>
      <w:r w:rsidR="00AE609F">
        <w:t xml:space="preserve"> 4 and 6</w:t>
      </w:r>
      <w:r w:rsidR="009614EF" w:rsidRPr="009614EF">
        <w:t>.</w:t>
      </w:r>
      <w:r w:rsidR="009614EF">
        <w:t xml:space="preserve"> </w:t>
      </w:r>
      <w:r w:rsidR="002D2B79">
        <w:t xml:space="preserve">EPA will use this information to determine the fee assessed to the consortium based on a formula </w:t>
      </w:r>
      <w:r>
        <w:t>established in the regulation</w:t>
      </w:r>
      <w:r w:rsidR="002D2B79">
        <w:t>. Once the fee is assessed by the Agency, t</w:t>
      </w:r>
      <w:r w:rsidR="005F359D">
        <w:t xml:space="preserve">he consortium </w:t>
      </w:r>
      <w:r w:rsidR="00A80A5F">
        <w:t>can determine how the fees will be split among its members. However, if the consortium is unable to come to terms on how the fees will be split among its members, EPA will determine the portion of the fee to be paid by each member.</w:t>
      </w:r>
      <w:r w:rsidR="00C43817">
        <w:t xml:space="preserve"> </w:t>
      </w:r>
      <w:r w:rsidR="00A80A5F">
        <w:t xml:space="preserve"> </w:t>
      </w:r>
      <w:r w:rsidR="009614EF">
        <w:t xml:space="preserve"> </w:t>
      </w:r>
    </w:p>
    <w:p w14:paraId="46D7DD93" w14:textId="77777777" w:rsidR="00277C19" w:rsidRDefault="00277C19" w:rsidP="008D35D1">
      <w:pPr>
        <w:pStyle w:val="NoSpacing"/>
      </w:pPr>
    </w:p>
    <w:p w14:paraId="05C49314" w14:textId="77777777" w:rsidR="00E33A13" w:rsidRPr="007919E5" w:rsidRDefault="00512823" w:rsidP="00E33A13">
      <w:pPr>
        <w:pStyle w:val="Heading2"/>
        <w:numPr>
          <w:ilvl w:val="0"/>
          <w:numId w:val="3"/>
        </w:numPr>
        <w:tabs>
          <w:tab w:val="left" w:pos="1080"/>
        </w:tabs>
      </w:pPr>
      <w:bookmarkStart w:id="11" w:name="_Toc447203170"/>
      <w:r w:rsidRPr="007919E5">
        <w:t>NON-DUPLICATION, CONSULTATIONS, AND OTHER COLLECTION CRITERIA</w:t>
      </w:r>
      <w:bookmarkEnd w:id="11"/>
    </w:p>
    <w:p w14:paraId="614B1026" w14:textId="77777777" w:rsidR="00512823" w:rsidRPr="007919E5" w:rsidRDefault="00512823" w:rsidP="00E33A13">
      <w:pPr>
        <w:pStyle w:val="Heading2"/>
        <w:numPr>
          <w:ilvl w:val="1"/>
          <w:numId w:val="3"/>
        </w:numPr>
        <w:tabs>
          <w:tab w:val="left" w:pos="1080"/>
        </w:tabs>
      </w:pPr>
      <w:bookmarkStart w:id="12" w:name="_Toc447203171"/>
      <w:r w:rsidRPr="007919E5">
        <w:t>Non-Duplication</w:t>
      </w:r>
      <w:bookmarkEnd w:id="12"/>
    </w:p>
    <w:p w14:paraId="17B77040" w14:textId="77777777" w:rsidR="00512823" w:rsidRPr="007919E5" w:rsidRDefault="0016777D" w:rsidP="00512823">
      <w:pPr>
        <w:numPr>
          <w:ilvl w:val="12"/>
          <w:numId w:val="0"/>
        </w:numPr>
      </w:pPr>
      <w:r>
        <w:t>EPA</w:t>
      </w:r>
      <w:r w:rsidR="00512823" w:rsidRPr="007919E5">
        <w:t xml:space="preserve">’s collection </w:t>
      </w:r>
      <w:r w:rsidR="00277C19">
        <w:t xml:space="preserve">under this ICR </w:t>
      </w:r>
      <w:r w:rsidR="00512823" w:rsidRPr="007919E5">
        <w:t>do</w:t>
      </w:r>
      <w:r w:rsidR="00277C19">
        <w:t>es</w:t>
      </w:r>
      <w:r w:rsidR="00512823" w:rsidRPr="007919E5">
        <w:t xml:space="preserve"> not duplicate any other collection.</w:t>
      </w:r>
      <w:r w:rsidR="00FE7F37" w:rsidRPr="007919E5">
        <w:t xml:space="preserve"> </w:t>
      </w:r>
      <w:r w:rsidR="00512823" w:rsidRPr="007919E5">
        <w:t xml:space="preserve">There </w:t>
      </w:r>
      <w:r w:rsidR="00483E28">
        <w:t xml:space="preserve">is no other Federal program that require the information collection activities related to the </w:t>
      </w:r>
      <w:r w:rsidR="00A44D8A">
        <w:t>fees</w:t>
      </w:r>
      <w:r w:rsidR="00483E28">
        <w:t xml:space="preserve"> </w:t>
      </w:r>
      <w:r w:rsidR="00277C19">
        <w:t xml:space="preserve">collected </w:t>
      </w:r>
      <w:r w:rsidR="00483E28">
        <w:t xml:space="preserve">under </w:t>
      </w:r>
      <w:r w:rsidR="00277C19">
        <w:t>TSCA section 26(b)</w:t>
      </w:r>
      <w:r w:rsidR="00483E28">
        <w:t xml:space="preserve">. </w:t>
      </w:r>
    </w:p>
    <w:p w14:paraId="735A170C" w14:textId="77777777" w:rsidR="00E33A13" w:rsidRPr="007919E5" w:rsidRDefault="00E33A13" w:rsidP="00E33A13"/>
    <w:p w14:paraId="6233125B" w14:textId="77777777" w:rsidR="0036683A" w:rsidRPr="0036683A" w:rsidRDefault="0036683A" w:rsidP="007A1B37">
      <w:pPr>
        <w:pStyle w:val="Heading2"/>
        <w:numPr>
          <w:ilvl w:val="1"/>
          <w:numId w:val="3"/>
        </w:numPr>
        <w:tabs>
          <w:tab w:val="left" w:pos="1080"/>
        </w:tabs>
        <w:rPr>
          <w:szCs w:val="24"/>
        </w:rPr>
      </w:pPr>
      <w:bookmarkStart w:id="13" w:name="_Toc447203172"/>
      <w:r>
        <w:t>Public Notice Required Prior to ICR Submission to OMB</w:t>
      </w:r>
      <w:bookmarkEnd w:id="13"/>
    </w:p>
    <w:p w14:paraId="1831B503" w14:textId="5F455F11" w:rsidR="00B4645B" w:rsidRDefault="00D60B43" w:rsidP="00B4645B">
      <w:pPr>
        <w:spacing w:before="100" w:beforeAutospacing="1" w:after="100" w:afterAutospacing="1"/>
        <w:rPr>
          <w:rFonts w:ascii="UICTFontTextStyleBody" w:hAnsi="UICTFontTextStyleBody"/>
          <w:i/>
          <w:iCs/>
          <w:szCs w:val="24"/>
        </w:rPr>
      </w:pPr>
      <w:r>
        <w:t xml:space="preserve">Pursuant to PRA section </w:t>
      </w:r>
      <w:r w:rsidRPr="007919E5">
        <w:t>350</w:t>
      </w:r>
      <w:r>
        <w:t>7</w:t>
      </w:r>
      <w:r w:rsidRPr="007919E5">
        <w:t>(</w:t>
      </w:r>
      <w:r>
        <w:t>d</w:t>
      </w:r>
      <w:r w:rsidRPr="007919E5">
        <w:t xml:space="preserve">) </w:t>
      </w:r>
      <w:r>
        <w:t xml:space="preserve">and </w:t>
      </w:r>
      <w:hyperlink r:id="rId13" w:anchor="se5.3.1320_111" w:history="1">
        <w:r w:rsidRPr="009574FB">
          <w:rPr>
            <w:rStyle w:val="Hyperlink"/>
          </w:rPr>
          <w:t>5 CFR 1320.11</w:t>
        </w:r>
      </w:hyperlink>
      <w:r>
        <w:t xml:space="preserve">, </w:t>
      </w:r>
      <w:r>
        <w:rPr>
          <w:szCs w:val="24"/>
        </w:rPr>
        <w:t>t</w:t>
      </w:r>
      <w:r w:rsidR="0036683A" w:rsidRPr="0036683A">
        <w:rPr>
          <w:szCs w:val="24"/>
        </w:rPr>
        <w:t>he notice of proposed rulemaking serve</w:t>
      </w:r>
      <w:r w:rsidR="00D3479F">
        <w:rPr>
          <w:szCs w:val="24"/>
        </w:rPr>
        <w:t>d</w:t>
      </w:r>
      <w:r w:rsidR="0036683A" w:rsidRPr="0036683A">
        <w:rPr>
          <w:szCs w:val="24"/>
        </w:rPr>
        <w:t xml:space="preserve"> as the public notice for this ICR</w:t>
      </w:r>
      <w:r w:rsidR="00277C19">
        <w:rPr>
          <w:szCs w:val="24"/>
        </w:rPr>
        <w:t xml:space="preserve"> </w:t>
      </w:r>
      <w:r>
        <w:rPr>
          <w:szCs w:val="24"/>
        </w:rPr>
        <w:t>(</w:t>
      </w:r>
      <w:r>
        <w:t xml:space="preserve">83 FR 8212, </w:t>
      </w:r>
      <w:r>
        <w:rPr>
          <w:szCs w:val="24"/>
        </w:rPr>
        <w:t>February 26, 2018</w:t>
      </w:r>
      <w:r>
        <w:t>) (FRL-9974-31)</w:t>
      </w:r>
      <w:r w:rsidR="0036683A" w:rsidRPr="0036683A">
        <w:rPr>
          <w:szCs w:val="24"/>
        </w:rPr>
        <w:t xml:space="preserve">. </w:t>
      </w:r>
      <w:r w:rsidR="00D3479F">
        <w:rPr>
          <w:szCs w:val="24"/>
        </w:rPr>
        <w:t xml:space="preserve">Comments were submitted to </w:t>
      </w:r>
      <w:r>
        <w:rPr>
          <w:szCs w:val="24"/>
        </w:rPr>
        <w:t xml:space="preserve">EPA in </w:t>
      </w:r>
      <w:r w:rsidR="0036683A" w:rsidRPr="0036683A">
        <w:rPr>
          <w:szCs w:val="24"/>
        </w:rPr>
        <w:t>Docket ID No</w:t>
      </w:r>
      <w:r w:rsidR="0036683A" w:rsidRPr="008469F4">
        <w:rPr>
          <w:szCs w:val="24"/>
        </w:rPr>
        <w:t xml:space="preserve">. </w:t>
      </w:r>
      <w:r w:rsidR="00A44D8A" w:rsidRPr="00A44D8A">
        <w:rPr>
          <w:szCs w:val="24"/>
        </w:rPr>
        <w:t>EPA-HQ-OPPT-2016-0401</w:t>
      </w:r>
      <w:r w:rsidR="00A44D8A">
        <w:rPr>
          <w:szCs w:val="24"/>
        </w:rPr>
        <w:t xml:space="preserve"> </w:t>
      </w:r>
      <w:r w:rsidR="00D3479F">
        <w:rPr>
          <w:szCs w:val="24"/>
        </w:rPr>
        <w:t xml:space="preserve">during the public comment period </w:t>
      </w:r>
      <w:r>
        <w:rPr>
          <w:szCs w:val="24"/>
        </w:rPr>
        <w:t xml:space="preserve">for the proposed rule which occurred </w:t>
      </w:r>
      <w:r w:rsidR="00D3479F">
        <w:rPr>
          <w:szCs w:val="24"/>
        </w:rPr>
        <w:t xml:space="preserve">from February 27, 2018 to May 24, 2018.  Comments </w:t>
      </w:r>
      <w:r>
        <w:rPr>
          <w:szCs w:val="24"/>
        </w:rPr>
        <w:t xml:space="preserve">on </w:t>
      </w:r>
      <w:r w:rsidR="00D3479F">
        <w:rPr>
          <w:szCs w:val="24"/>
        </w:rPr>
        <w:t xml:space="preserve">the proposed rule were </w:t>
      </w:r>
      <w:r w:rsidR="0036683A" w:rsidRPr="0036683A">
        <w:rPr>
          <w:szCs w:val="24"/>
        </w:rPr>
        <w:t>taken into account in developing the final rulemaking</w:t>
      </w:r>
      <w:r>
        <w:rPr>
          <w:szCs w:val="24"/>
        </w:rPr>
        <w:t xml:space="preserve"> and </w:t>
      </w:r>
      <w:r w:rsidR="00B70752">
        <w:rPr>
          <w:szCs w:val="24"/>
        </w:rPr>
        <w:t>are discussed in detail, along with the Agency’s response, in a Response to Comment document.</w:t>
      </w:r>
      <w:r w:rsidR="00B70752" w:rsidRPr="007644A6">
        <w:rPr>
          <w:rStyle w:val="FootnoteReference"/>
          <w:szCs w:val="24"/>
          <w:vertAlign w:val="superscript"/>
        </w:rPr>
        <w:footnoteReference w:id="1"/>
      </w:r>
      <w:r w:rsidR="00B70752" w:rsidRPr="00B4645B">
        <w:rPr>
          <w:rFonts w:ascii="UICTFontTextStyleBody" w:hAnsi="UICTFontTextStyleBody"/>
          <w:i/>
          <w:iCs/>
          <w:szCs w:val="24"/>
        </w:rPr>
        <w:t xml:space="preserve"> </w:t>
      </w:r>
      <w:r w:rsidR="00B70752">
        <w:rPr>
          <w:szCs w:val="24"/>
        </w:rPr>
        <w:t xml:space="preserve"> The following summary highlights comments related </w:t>
      </w:r>
      <w:r>
        <w:rPr>
          <w:szCs w:val="24"/>
        </w:rPr>
        <w:t>to this ICR</w:t>
      </w:r>
      <w:r w:rsidR="0036683A" w:rsidRPr="0036683A">
        <w:rPr>
          <w:szCs w:val="24"/>
        </w:rPr>
        <w:t>.</w:t>
      </w:r>
      <w:r w:rsidR="00B70752">
        <w:rPr>
          <w:szCs w:val="24"/>
        </w:rPr>
        <w:t xml:space="preserve"> </w:t>
      </w:r>
      <w:r w:rsidR="00B4645B" w:rsidRPr="00B4645B">
        <w:rPr>
          <w:rFonts w:ascii="UICTFontTextStyleBody" w:hAnsi="UICTFontTextStyleBody"/>
          <w:i/>
          <w:iCs/>
          <w:szCs w:val="24"/>
        </w:rPr>
        <w:t xml:space="preserve"> </w:t>
      </w:r>
    </w:p>
    <w:p w14:paraId="1668EF25" w14:textId="0F40CFBE" w:rsidR="00B4645B" w:rsidRPr="00B4645B" w:rsidRDefault="00B70752" w:rsidP="00B4645B">
      <w:pPr>
        <w:spacing w:before="100" w:beforeAutospacing="1" w:after="100" w:afterAutospacing="1"/>
        <w:rPr>
          <w:rFonts w:cs="Arial"/>
          <w:sz w:val="22"/>
        </w:rPr>
      </w:pPr>
      <w:r>
        <w:rPr>
          <w:rFonts w:cs="Arial"/>
          <w:iCs/>
          <w:szCs w:val="24"/>
        </w:rPr>
        <w:t xml:space="preserve">To identify entities that qualified for a reduced fee, EPA </w:t>
      </w:r>
      <w:r w:rsidR="00B4645B" w:rsidRPr="00B4645B">
        <w:rPr>
          <w:rFonts w:cs="Arial"/>
          <w:iCs/>
          <w:szCs w:val="24"/>
        </w:rPr>
        <w:t xml:space="preserve">proposed </w:t>
      </w:r>
      <w:r>
        <w:rPr>
          <w:rFonts w:cs="Arial"/>
          <w:iCs/>
          <w:szCs w:val="24"/>
        </w:rPr>
        <w:t>to</w:t>
      </w:r>
      <w:r w:rsidR="00B4645B" w:rsidRPr="00B4645B">
        <w:rPr>
          <w:rFonts w:cs="Arial"/>
          <w:iCs/>
          <w:szCs w:val="24"/>
        </w:rPr>
        <w:t xml:space="preserve"> adjust the small business size standard from a current revenue threshold of $40 million to $91 million. The Agency received mixed responses in support of this revenue-based definition as compared to SBA’s employee-based definition. After reviewing these comments and through discussions with SBA, EPA decided to finalize an employee-based small business definition modeled after SBA’s size standards, by adopting SBA’s varying size thresholds for the 33 six-digit NAICS codes identified in the final rule and a 500-employee threshold for all other industry sectors. This resulted in changes to the number of entities affected</w:t>
      </w:r>
      <w:r>
        <w:rPr>
          <w:rFonts w:cs="Arial"/>
          <w:iCs/>
          <w:szCs w:val="24"/>
        </w:rPr>
        <w:t>,</w:t>
      </w:r>
      <w:r w:rsidR="00B4645B" w:rsidRPr="00B4645B">
        <w:rPr>
          <w:rFonts w:cs="Arial"/>
          <w:iCs/>
          <w:szCs w:val="24"/>
        </w:rPr>
        <w:t xml:space="preserve"> as well as the unit burden estimate for the burden activity of determining whether an entity is eligible for a reduced fee. </w:t>
      </w:r>
    </w:p>
    <w:p w14:paraId="07347D8C" w14:textId="32299330" w:rsidR="00B4645B" w:rsidRPr="00B4645B" w:rsidRDefault="00B4645B" w:rsidP="00B4645B">
      <w:pPr>
        <w:spacing w:before="100" w:beforeAutospacing="1" w:after="100" w:afterAutospacing="1"/>
        <w:rPr>
          <w:rFonts w:cs="Arial"/>
        </w:rPr>
      </w:pPr>
      <w:r w:rsidRPr="00B4645B">
        <w:rPr>
          <w:rFonts w:cs="Arial"/>
          <w:iCs/>
          <w:szCs w:val="24"/>
        </w:rPr>
        <w:t>Another commenter noted that the economic analysis of the proposed rule did not include the cost to form and manage a consortium. EPA has subsequently included these burden and cost estimates in supporting materials for the final rule, including the ICR.</w:t>
      </w:r>
    </w:p>
    <w:p w14:paraId="20CCDDE2" w14:textId="446E68B7" w:rsidR="0036683A" w:rsidRPr="00B4645B" w:rsidRDefault="00B4645B" w:rsidP="00B4645B">
      <w:pPr>
        <w:spacing w:before="100" w:beforeAutospacing="1" w:after="100" w:afterAutospacing="1"/>
        <w:rPr>
          <w:rFonts w:cs="Arial"/>
        </w:rPr>
      </w:pPr>
      <w:r w:rsidRPr="00B4645B">
        <w:rPr>
          <w:rFonts w:cs="Arial"/>
          <w:iCs/>
          <w:szCs w:val="24"/>
        </w:rPr>
        <w:t>Lastly, and also a result of public comments, the final rule detailed the process by which manufacturers subject to certain fee payments will self-identify and certify their fee responsibility. The ICR supporting statement for the final rule was updated to reflect this burden.</w:t>
      </w:r>
    </w:p>
    <w:p w14:paraId="6E68D807" w14:textId="77777777" w:rsidR="00886EEA" w:rsidRPr="00886EEA" w:rsidRDefault="0036683A" w:rsidP="00886EEA">
      <w:pPr>
        <w:pStyle w:val="Heading2"/>
        <w:tabs>
          <w:tab w:val="left" w:pos="1080"/>
        </w:tabs>
        <w:ind w:left="360"/>
        <w:rPr>
          <w:szCs w:val="24"/>
        </w:rPr>
      </w:pPr>
      <w:bookmarkStart w:id="14" w:name="_Toc447203173"/>
      <w:r>
        <w:rPr>
          <w:szCs w:val="24"/>
        </w:rPr>
        <w:t>3(c).</w:t>
      </w:r>
      <w:r>
        <w:rPr>
          <w:szCs w:val="24"/>
        </w:rPr>
        <w:tab/>
        <w:t>Consultations</w:t>
      </w:r>
      <w:bookmarkEnd w:id="14"/>
    </w:p>
    <w:p w14:paraId="473475D6" w14:textId="77777777" w:rsidR="0036683A" w:rsidRPr="00A44D8A" w:rsidRDefault="00A44D8A" w:rsidP="0036683A">
      <w:pPr>
        <w:pStyle w:val="NoSpacing"/>
      </w:pPr>
      <w:r w:rsidRPr="00A44D8A">
        <w:t xml:space="preserve">EPA engaged with </w:t>
      </w:r>
      <w:r w:rsidR="00D60B43">
        <w:t xml:space="preserve">the </w:t>
      </w:r>
      <w:r w:rsidRPr="00A44D8A">
        <w:t xml:space="preserve">members of the public (or their representatives) potentially subject to the fees. </w:t>
      </w:r>
      <w:r w:rsidR="00A846D9" w:rsidRPr="00A846D9">
        <w:t>EPA consulted and met with stakeholders that were potentially subject to fees in August 2016,</w:t>
      </w:r>
      <w:r w:rsidR="00A846D9">
        <w:t xml:space="preserve"> held and </w:t>
      </w:r>
      <w:r w:rsidR="00A846D9" w:rsidRPr="00A44D8A">
        <w:t xml:space="preserve">industry-specific consultation meeting </w:t>
      </w:r>
      <w:r w:rsidR="00A846D9">
        <w:t>and webinar i</w:t>
      </w:r>
      <w:r w:rsidR="00A846D9" w:rsidRPr="00A44D8A">
        <w:t>n September 2016</w:t>
      </w:r>
      <w:r w:rsidR="00A846D9">
        <w:t xml:space="preserve">, participated in </w:t>
      </w:r>
      <w:r w:rsidR="00A846D9" w:rsidRPr="00A846D9">
        <w:t xml:space="preserve">a Small Business Roundtable discussion </w:t>
      </w:r>
      <w:r w:rsidR="00A846D9">
        <w:t xml:space="preserve">in March 2018, </w:t>
      </w:r>
      <w:r w:rsidR="00A846D9" w:rsidRPr="00A846D9">
        <w:t>and had several meetings with individual stakeholders through the development of the final rule</w:t>
      </w:r>
      <w:r w:rsidR="00A846D9">
        <w:t xml:space="preserve"> </w:t>
      </w:r>
      <w:r w:rsidRPr="00A44D8A">
        <w:t>in accordance with TSCA section 26(b)(4)(E)</w:t>
      </w:r>
      <w:r w:rsidR="00A846D9">
        <w:t xml:space="preserve"> </w:t>
      </w:r>
      <w:r w:rsidR="006B6216" w:rsidRPr="006B6216">
        <w:t>requirement that EPA consult with parties potentially subject to fees</w:t>
      </w:r>
      <w:r w:rsidRPr="00A44D8A">
        <w:t>. The Agency sought comments from industry on various aspects of the proposed rulemaking, including the amendment of existing TSCA section 5 fees, the establishment of new fees for TSCA sections 4 and 6 activities, and</w:t>
      </w:r>
      <w:r w:rsidR="00D60B43">
        <w:t xml:space="preserve"> the</w:t>
      </w:r>
      <w:r w:rsidRPr="00A44D8A">
        <w:t xml:space="preserve"> small business considerations. As part of EPA’s efforts to consult with industry on the proposed fees and the methodology for establishing the fees, the Agency also opened a docket and collected written comments from stakeholder</w:t>
      </w:r>
      <w:r w:rsidR="00875475">
        <w:t>s. To view the comments</w:t>
      </w:r>
      <w:r w:rsidR="009A5254">
        <w:t xml:space="preserve"> and EPA’s detailed summary and response to public comments</w:t>
      </w:r>
      <w:r w:rsidRPr="00A44D8A">
        <w:t xml:space="preserve">, go to </w:t>
      </w:r>
      <w:hyperlink r:id="rId14" w:history="1">
        <w:r w:rsidR="009A5254" w:rsidRPr="007D5311">
          <w:rPr>
            <w:rStyle w:val="Hyperlink"/>
          </w:rPr>
          <w:t>http://www.regulation.gov</w:t>
        </w:r>
      </w:hyperlink>
      <w:r w:rsidR="009A5254">
        <w:rPr>
          <w:i/>
        </w:rPr>
        <w:t xml:space="preserve"> </w:t>
      </w:r>
      <w:r w:rsidRPr="00A44D8A">
        <w:t>and search for docket number:  EPA-HQ-OPPT-2016-0401.</w:t>
      </w:r>
    </w:p>
    <w:p w14:paraId="42995ECB" w14:textId="77777777" w:rsidR="00A44D8A" w:rsidRPr="0036683A" w:rsidRDefault="00A44D8A" w:rsidP="0036683A">
      <w:pPr>
        <w:pStyle w:val="NoSpacing"/>
        <w:rPr>
          <w:b/>
        </w:rPr>
      </w:pPr>
    </w:p>
    <w:p w14:paraId="10D6799A" w14:textId="77777777" w:rsidR="00512823" w:rsidRPr="001203BA" w:rsidRDefault="0036683A" w:rsidP="0036683A">
      <w:pPr>
        <w:pStyle w:val="Heading2"/>
        <w:tabs>
          <w:tab w:val="left" w:pos="1080"/>
        </w:tabs>
        <w:ind w:left="360"/>
        <w:rPr>
          <w:szCs w:val="24"/>
        </w:rPr>
      </w:pPr>
      <w:bookmarkStart w:id="15" w:name="_Toc447203174"/>
      <w:r>
        <w:rPr>
          <w:szCs w:val="24"/>
        </w:rPr>
        <w:t>3(d).</w:t>
      </w:r>
      <w:r>
        <w:rPr>
          <w:szCs w:val="24"/>
        </w:rPr>
        <w:tab/>
      </w:r>
      <w:r w:rsidR="00512823" w:rsidRPr="001203BA">
        <w:rPr>
          <w:szCs w:val="24"/>
        </w:rPr>
        <w:t>Effects of Less Frequent Collection</w:t>
      </w:r>
      <w:bookmarkEnd w:id="15"/>
    </w:p>
    <w:p w14:paraId="0F03B2FC" w14:textId="77777777" w:rsidR="00512823" w:rsidRPr="007919E5" w:rsidRDefault="00512823" w:rsidP="00512823">
      <w:pPr>
        <w:numPr>
          <w:ilvl w:val="12"/>
          <w:numId w:val="0"/>
        </w:numPr>
      </w:pPr>
      <w:r w:rsidRPr="007919E5">
        <w:t xml:space="preserve">Due to the nature of the </w:t>
      </w:r>
      <w:r w:rsidR="00F45153">
        <w:t xml:space="preserve">triggering events that initiate information collection activities under the </w:t>
      </w:r>
      <w:r w:rsidR="007B4183">
        <w:t>final</w:t>
      </w:r>
      <w:r w:rsidR="00F45153">
        <w:t xml:space="preserve"> rule, </w:t>
      </w:r>
      <w:r w:rsidRPr="007919E5">
        <w:t>less frequent collection is not feasible.</w:t>
      </w:r>
      <w:r w:rsidR="00BC1E84">
        <w:t xml:space="preserve"> T</w:t>
      </w:r>
      <w:r w:rsidR="0071097B" w:rsidRPr="0071097B">
        <w:t>here is no set collection schedule</w:t>
      </w:r>
      <w:r w:rsidR="00BC1E84">
        <w:t xml:space="preserve"> for the payment information </w:t>
      </w:r>
      <w:r w:rsidR="00163F68">
        <w:t xml:space="preserve">associated with </w:t>
      </w:r>
      <w:r w:rsidR="00BC1E84">
        <w:t>fee payments</w:t>
      </w:r>
      <w:r w:rsidR="00163F68">
        <w:t xml:space="preserve"> (e.g. payment method)</w:t>
      </w:r>
      <w:r w:rsidR="0071097B" w:rsidRPr="0071097B">
        <w:t xml:space="preserve">. </w:t>
      </w:r>
      <w:r w:rsidR="006A65E1">
        <w:t>CDX Submission and p</w:t>
      </w:r>
      <w:r w:rsidR="0071097B">
        <w:t>ayment</w:t>
      </w:r>
      <w:r w:rsidR="0071097B" w:rsidRPr="0071097B">
        <w:t xml:space="preserve"> </w:t>
      </w:r>
      <w:r w:rsidR="0071097B">
        <w:t xml:space="preserve">information </w:t>
      </w:r>
      <w:r w:rsidR="0071097B" w:rsidRPr="0071097B">
        <w:t xml:space="preserve">is collected each time a </w:t>
      </w:r>
      <w:r w:rsidR="0071097B">
        <w:t>fee payment is made</w:t>
      </w:r>
      <w:r w:rsidR="00163F68">
        <w:t xml:space="preserve"> via Pay.gov </w:t>
      </w:r>
      <w:r w:rsidR="00822BFA">
        <w:t>with t</w:t>
      </w:r>
      <w:r w:rsidR="0071097B" w:rsidRPr="0071097B">
        <w:t>he frequency of collection depend</w:t>
      </w:r>
      <w:r w:rsidR="00822BFA">
        <w:t>ing</w:t>
      </w:r>
      <w:r w:rsidR="0071097B" w:rsidRPr="0071097B">
        <w:t xml:space="preserve"> entirely on the frequency with which applicants submit </w:t>
      </w:r>
      <w:r w:rsidR="00163F68">
        <w:t>information</w:t>
      </w:r>
      <w:r w:rsidR="002D2B79">
        <w:t xml:space="preserve"> to EPA</w:t>
      </w:r>
      <w:r w:rsidR="00822BFA">
        <w:t xml:space="preserve"> </w:t>
      </w:r>
      <w:r w:rsidR="00172099">
        <w:t xml:space="preserve">and that EPA initiates activities </w:t>
      </w:r>
      <w:r w:rsidR="00822BFA">
        <w:t>under TSCA sections 4, 5 and 6</w:t>
      </w:r>
      <w:r w:rsidR="0071097B" w:rsidRPr="0071097B">
        <w:t>. Therefore, less frequent collection is not an option.</w:t>
      </w:r>
    </w:p>
    <w:p w14:paraId="1BF61D34" w14:textId="77777777" w:rsidR="00512823" w:rsidRPr="007919E5" w:rsidRDefault="00512823" w:rsidP="00512823">
      <w:pPr>
        <w:numPr>
          <w:ilvl w:val="12"/>
          <w:numId w:val="0"/>
        </w:numPr>
      </w:pPr>
    </w:p>
    <w:p w14:paraId="4BCB1B72" w14:textId="77777777" w:rsidR="00DB7F57" w:rsidRPr="0016501F" w:rsidRDefault="0036683A" w:rsidP="00081FA0">
      <w:pPr>
        <w:pStyle w:val="Heading2"/>
        <w:tabs>
          <w:tab w:val="left" w:pos="1080"/>
        </w:tabs>
        <w:ind w:left="360"/>
      </w:pPr>
      <w:bookmarkStart w:id="16" w:name="_Toc447203175"/>
      <w:r w:rsidRPr="0016501F">
        <w:t>3(e</w:t>
      </w:r>
      <w:r w:rsidR="00081FA0" w:rsidRPr="0016501F">
        <w:t>).</w:t>
      </w:r>
      <w:r w:rsidR="00081FA0" w:rsidRPr="0016501F">
        <w:tab/>
      </w:r>
      <w:r w:rsidR="00DB7F57" w:rsidRPr="0016501F">
        <w:t>Small Entity Flexibility</w:t>
      </w:r>
      <w:bookmarkEnd w:id="16"/>
    </w:p>
    <w:p w14:paraId="49E8D029" w14:textId="505ED6BF" w:rsidR="00F45153" w:rsidRPr="007919E5" w:rsidRDefault="00CE1A7E" w:rsidP="00F45153">
      <w:pPr>
        <w:numPr>
          <w:ilvl w:val="12"/>
          <w:numId w:val="0"/>
        </w:numPr>
      </w:pPr>
      <w:r w:rsidRPr="0016501F">
        <w:t xml:space="preserve">EPA believes that the regulatory requirements do not unduly burden small businesses. </w:t>
      </w:r>
      <w:r w:rsidR="00591651">
        <w:t xml:space="preserve">Although small businesses are required to submit the same information, they </w:t>
      </w:r>
      <w:r w:rsidR="006C0523">
        <w:t xml:space="preserve">pay a reduced fee. </w:t>
      </w:r>
      <w:r w:rsidR="00092D5D" w:rsidRPr="0016501F">
        <w:t xml:space="preserve">As stated in the preamble to the </w:t>
      </w:r>
      <w:r w:rsidR="00B366E9">
        <w:t>final</w:t>
      </w:r>
      <w:r w:rsidR="00092D5D" w:rsidRPr="0016501F">
        <w:t xml:space="preserve"> rule, </w:t>
      </w:r>
      <w:r w:rsidR="00B73C22" w:rsidRPr="0016501F">
        <w:t xml:space="preserve">EPA estimates that, of the </w:t>
      </w:r>
      <w:r w:rsidR="00106423">
        <w:t>298</w:t>
      </w:r>
      <w:r w:rsidR="00106423" w:rsidRPr="0016501F">
        <w:t xml:space="preserve"> </w:t>
      </w:r>
      <w:r w:rsidR="00B73C22" w:rsidRPr="0016501F">
        <w:t xml:space="preserve">small businesses paying fees every year, </w:t>
      </w:r>
      <w:r w:rsidR="00106423">
        <w:t xml:space="preserve">all firms </w:t>
      </w:r>
      <w:r w:rsidR="00B73C22" w:rsidRPr="0016501F">
        <w:t xml:space="preserve">may have annual cost-revenue impacts </w:t>
      </w:r>
      <w:r w:rsidR="00D60B43">
        <w:t xml:space="preserve">of </w:t>
      </w:r>
      <w:r w:rsidR="00B73C22" w:rsidRPr="0016501F">
        <w:t>less than 1%.</w:t>
      </w:r>
      <w:r w:rsidR="00136D0D">
        <w:t xml:space="preserve"> </w:t>
      </w:r>
    </w:p>
    <w:p w14:paraId="03869661" w14:textId="77777777" w:rsidR="00DB7F57" w:rsidRPr="007919E5" w:rsidRDefault="00DB7F57" w:rsidP="00DB7F57">
      <w:pPr>
        <w:tabs>
          <w:tab w:val="left" w:pos="1080"/>
        </w:tabs>
      </w:pPr>
    </w:p>
    <w:p w14:paraId="5D43C6C7" w14:textId="77777777" w:rsidR="00512823" w:rsidRPr="007919E5" w:rsidRDefault="0036683A" w:rsidP="00081FA0">
      <w:pPr>
        <w:pStyle w:val="Heading2"/>
        <w:tabs>
          <w:tab w:val="left" w:pos="1080"/>
        </w:tabs>
        <w:ind w:left="360"/>
      </w:pPr>
      <w:bookmarkStart w:id="17" w:name="_Toc447203176"/>
      <w:r>
        <w:t>3(f</w:t>
      </w:r>
      <w:r w:rsidR="00081FA0">
        <w:t>).</w:t>
      </w:r>
      <w:r w:rsidR="00081FA0">
        <w:tab/>
      </w:r>
      <w:r w:rsidR="00512823" w:rsidRPr="00C35AC7">
        <w:t xml:space="preserve">General </w:t>
      </w:r>
      <w:r w:rsidR="00E33A13" w:rsidRPr="00C35AC7">
        <w:t xml:space="preserve">PRA Related </w:t>
      </w:r>
      <w:r w:rsidR="00512823" w:rsidRPr="00C35AC7">
        <w:t>Guidelines</w:t>
      </w:r>
      <w:bookmarkEnd w:id="17"/>
    </w:p>
    <w:p w14:paraId="0C2D9B56" w14:textId="77777777" w:rsidR="00512823" w:rsidRPr="007919E5" w:rsidRDefault="00512823" w:rsidP="00512823">
      <w:pPr>
        <w:numPr>
          <w:ilvl w:val="12"/>
          <w:numId w:val="0"/>
        </w:numPr>
      </w:pPr>
      <w:r w:rsidRPr="007919E5">
        <w:t>This ICR is consistent with OMB’s general guidelines</w:t>
      </w:r>
      <w:r w:rsidR="00910791">
        <w:t xml:space="preserve"> </w:t>
      </w:r>
      <w:r w:rsidR="00910791" w:rsidRPr="007919E5">
        <w:t>do not exceed any of the Paperwork Reduction Act guidelines at 5 CFR 1320.5.</w:t>
      </w:r>
      <w:r w:rsidR="00910791">
        <w:t xml:space="preserve"> </w:t>
      </w:r>
    </w:p>
    <w:p w14:paraId="4CACD9F4" w14:textId="77777777" w:rsidR="00E33A13" w:rsidRPr="007919E5" w:rsidRDefault="00E33A13" w:rsidP="00E33A13"/>
    <w:p w14:paraId="1E3249D2" w14:textId="77777777" w:rsidR="00512823" w:rsidRPr="00F45153" w:rsidRDefault="0036683A" w:rsidP="00081FA0">
      <w:pPr>
        <w:pStyle w:val="Heading2"/>
        <w:tabs>
          <w:tab w:val="left" w:pos="1080"/>
        </w:tabs>
        <w:ind w:left="360"/>
        <w:rPr>
          <w:highlight w:val="yellow"/>
        </w:rPr>
      </w:pPr>
      <w:bookmarkStart w:id="18" w:name="_Toc447203177"/>
      <w:r>
        <w:t>3(g</w:t>
      </w:r>
      <w:r w:rsidR="00081FA0">
        <w:t>).</w:t>
      </w:r>
      <w:r w:rsidR="00081FA0">
        <w:tab/>
      </w:r>
      <w:r w:rsidR="00512823" w:rsidRPr="00081FA0">
        <w:t>Confidentiality</w:t>
      </w:r>
      <w:bookmarkEnd w:id="18"/>
    </w:p>
    <w:p w14:paraId="0A46D183" w14:textId="77777777" w:rsidR="00E33A13" w:rsidRDefault="00611E72" w:rsidP="00E33A13">
      <w:r w:rsidRPr="00611E72">
        <w:t xml:space="preserve">Since the </w:t>
      </w:r>
      <w:r>
        <w:t>information collected under this ICR involves only information related to payments</w:t>
      </w:r>
      <w:r w:rsidRPr="00611E72">
        <w:t xml:space="preserve">, EPA does not believe that respondents </w:t>
      </w:r>
      <w:r w:rsidR="00B26E7A">
        <w:t xml:space="preserve">will </w:t>
      </w:r>
      <w:r w:rsidRPr="00611E72">
        <w:t>submit any</w:t>
      </w:r>
      <w:r>
        <w:t xml:space="preserve"> confidential</w:t>
      </w:r>
      <w:r w:rsidRPr="00611E72">
        <w:t xml:space="preserve"> information collected under this ICR. However, to the extent information submitted by respondents is business confidential, procedures are in place to protect the information from improper disclosure consistent with section 14 of TSCA.</w:t>
      </w:r>
    </w:p>
    <w:p w14:paraId="59E0485C" w14:textId="77777777" w:rsidR="007658A4" w:rsidRPr="007658A4" w:rsidRDefault="007658A4" w:rsidP="007658A4">
      <w:pPr>
        <w:pStyle w:val="NoSpacing"/>
      </w:pPr>
    </w:p>
    <w:p w14:paraId="0C44CCFD" w14:textId="77777777" w:rsidR="00512823" w:rsidRPr="007919E5" w:rsidRDefault="0036683A" w:rsidP="0036683A">
      <w:pPr>
        <w:pStyle w:val="Heading2"/>
        <w:tabs>
          <w:tab w:val="left" w:pos="1080"/>
        </w:tabs>
        <w:ind w:left="360"/>
      </w:pPr>
      <w:bookmarkStart w:id="19" w:name="_Toc447203178"/>
      <w:r>
        <w:t>3(h).</w:t>
      </w:r>
      <w:r>
        <w:tab/>
      </w:r>
      <w:r w:rsidR="00512823" w:rsidRPr="007919E5">
        <w:t>Sensitive Questions</w:t>
      </w:r>
      <w:bookmarkEnd w:id="19"/>
    </w:p>
    <w:p w14:paraId="4678B80A" w14:textId="77777777" w:rsidR="008648B5" w:rsidRDefault="00081FA0" w:rsidP="00E33A13">
      <w:pPr>
        <w:numPr>
          <w:ilvl w:val="12"/>
          <w:numId w:val="0"/>
        </w:numPr>
      </w:pPr>
      <w:r>
        <w:t>The</w:t>
      </w:r>
      <w:r w:rsidR="00512823" w:rsidRPr="007919E5">
        <w:t xml:space="preserve"> information collection </w:t>
      </w:r>
      <w:r>
        <w:t>activities do</w:t>
      </w:r>
      <w:r w:rsidR="00512823" w:rsidRPr="007919E5">
        <w:t xml:space="preserve"> not include questions of a sensitive nature.</w:t>
      </w:r>
    </w:p>
    <w:p w14:paraId="20391EF8" w14:textId="77777777" w:rsidR="00D60B43" w:rsidRPr="00D60B43" w:rsidRDefault="00D60B43" w:rsidP="00FD497D">
      <w:pPr>
        <w:pStyle w:val="NoSpacing"/>
      </w:pPr>
    </w:p>
    <w:p w14:paraId="4A65C092" w14:textId="77777777" w:rsidR="008648B5" w:rsidRPr="007919E5" w:rsidRDefault="008648B5" w:rsidP="008648B5">
      <w:pPr>
        <w:pStyle w:val="NoSpacing"/>
      </w:pPr>
    </w:p>
    <w:p w14:paraId="3C998EE2" w14:textId="77777777" w:rsidR="00DB7F57" w:rsidRPr="00C80719" w:rsidRDefault="00DB7F57" w:rsidP="00081FA0">
      <w:pPr>
        <w:pStyle w:val="Heading1"/>
        <w:numPr>
          <w:ilvl w:val="0"/>
          <w:numId w:val="3"/>
        </w:numPr>
        <w:rPr>
          <w:sz w:val="24"/>
          <w:szCs w:val="24"/>
        </w:rPr>
      </w:pPr>
      <w:bookmarkStart w:id="20" w:name="_Toc447203179"/>
      <w:r w:rsidRPr="00C80719">
        <w:t>AGENCY ACTIVITIES, COLLECTION METHODOLOGY, AND INFORMATION MANAGEMENT</w:t>
      </w:r>
      <w:bookmarkEnd w:id="20"/>
    </w:p>
    <w:p w14:paraId="6A0B58E1" w14:textId="77777777" w:rsidR="00DB7F57" w:rsidRPr="00C80719" w:rsidRDefault="00DB7F57" w:rsidP="00FF6973">
      <w:pPr>
        <w:pStyle w:val="Heading1"/>
        <w:numPr>
          <w:ilvl w:val="1"/>
          <w:numId w:val="3"/>
        </w:numPr>
        <w:tabs>
          <w:tab w:val="left" w:pos="1080"/>
        </w:tabs>
        <w:rPr>
          <w:sz w:val="24"/>
          <w:szCs w:val="24"/>
        </w:rPr>
      </w:pPr>
      <w:bookmarkStart w:id="21" w:name="_Toc447203180"/>
      <w:r w:rsidRPr="00C80719">
        <w:rPr>
          <w:sz w:val="24"/>
          <w:szCs w:val="24"/>
        </w:rPr>
        <w:t>Agency Activities</w:t>
      </w:r>
      <w:bookmarkEnd w:id="21"/>
    </w:p>
    <w:p w14:paraId="505D9557" w14:textId="77777777" w:rsidR="007658A4" w:rsidRDefault="00DF245B" w:rsidP="007658A4">
      <w:pPr>
        <w:pStyle w:val="NoSpacing"/>
      </w:pPr>
      <w:r>
        <w:t xml:space="preserve">Agency activities include </w:t>
      </w:r>
      <w:r w:rsidR="00167866">
        <w:t>data management of the fee</w:t>
      </w:r>
      <w:r>
        <w:t xml:space="preserve"> information. </w:t>
      </w:r>
    </w:p>
    <w:p w14:paraId="31371022" w14:textId="77777777" w:rsidR="00DF245B" w:rsidRDefault="00DF245B" w:rsidP="007658A4">
      <w:pPr>
        <w:pStyle w:val="NoSpacing"/>
      </w:pPr>
    </w:p>
    <w:p w14:paraId="2872C6EA" w14:textId="77777777" w:rsidR="00660CEA" w:rsidRPr="0016501F" w:rsidRDefault="00660CEA" w:rsidP="00DB7F57">
      <w:pPr>
        <w:pStyle w:val="Heading2"/>
        <w:numPr>
          <w:ilvl w:val="1"/>
          <w:numId w:val="3"/>
        </w:numPr>
        <w:tabs>
          <w:tab w:val="left" w:pos="1080"/>
        </w:tabs>
      </w:pPr>
      <w:bookmarkStart w:id="22" w:name="_Toc447203181"/>
      <w:r w:rsidRPr="0016501F">
        <w:t>Estimated Agency Costs</w:t>
      </w:r>
      <w:bookmarkEnd w:id="22"/>
    </w:p>
    <w:p w14:paraId="5645BB53" w14:textId="77777777" w:rsidR="00FF6973" w:rsidRDefault="00CF6D5B" w:rsidP="005E5522">
      <w:pPr>
        <w:pStyle w:val="Heading2"/>
        <w:tabs>
          <w:tab w:val="left" w:pos="1080"/>
        </w:tabs>
        <w:rPr>
          <w:rFonts w:eastAsiaTheme="minorHAnsi" w:cstheme="minorBidi"/>
          <w:b w:val="0"/>
          <w:bCs w:val="0"/>
          <w:szCs w:val="22"/>
        </w:rPr>
      </w:pPr>
      <w:r w:rsidRPr="0016501F">
        <w:rPr>
          <w:rFonts w:eastAsiaTheme="minorHAnsi" w:cstheme="minorBidi"/>
          <w:b w:val="0"/>
          <w:bCs w:val="0"/>
          <w:szCs w:val="22"/>
        </w:rPr>
        <w:t xml:space="preserve">EPA estimates that managing the </w:t>
      </w:r>
      <w:r w:rsidR="00ED28BB" w:rsidRPr="0016501F">
        <w:rPr>
          <w:rFonts w:eastAsiaTheme="minorHAnsi" w:cstheme="minorBidi"/>
          <w:b w:val="0"/>
          <w:bCs w:val="0"/>
          <w:szCs w:val="22"/>
        </w:rPr>
        <w:t>information that is submitted at the time of the fee payment would</w:t>
      </w:r>
      <w:r w:rsidRPr="0016501F">
        <w:rPr>
          <w:rFonts w:eastAsiaTheme="minorHAnsi" w:cstheme="minorBidi"/>
          <w:b w:val="0"/>
          <w:bCs w:val="0"/>
          <w:szCs w:val="22"/>
        </w:rPr>
        <w:t xml:space="preserve"> require one </w:t>
      </w:r>
      <w:r w:rsidR="009F2663">
        <w:rPr>
          <w:rFonts w:eastAsiaTheme="minorHAnsi" w:cstheme="minorBidi"/>
          <w:b w:val="0"/>
          <w:bCs w:val="0"/>
          <w:szCs w:val="22"/>
        </w:rPr>
        <w:t xml:space="preserve">80-hour week </w:t>
      </w:r>
      <w:r w:rsidR="00ED28BB" w:rsidRPr="0016501F">
        <w:rPr>
          <w:rFonts w:eastAsiaTheme="minorHAnsi" w:cstheme="minorBidi"/>
          <w:b w:val="0"/>
          <w:bCs w:val="0"/>
          <w:szCs w:val="22"/>
        </w:rPr>
        <w:t>of labor</w:t>
      </w:r>
      <w:r w:rsidRPr="0016501F">
        <w:rPr>
          <w:rFonts w:eastAsiaTheme="minorHAnsi" w:cstheme="minorBidi"/>
          <w:b w:val="0"/>
          <w:bCs w:val="0"/>
          <w:szCs w:val="22"/>
        </w:rPr>
        <w:t xml:space="preserve"> per year for a GS-13, Step 5 employee in the Washington D.C. area, which will amount to an annual Agency cost associated with the </w:t>
      </w:r>
      <w:r w:rsidR="001809CF">
        <w:rPr>
          <w:rFonts w:eastAsiaTheme="minorHAnsi" w:cstheme="minorBidi"/>
          <w:b w:val="0"/>
          <w:bCs w:val="0"/>
          <w:szCs w:val="22"/>
        </w:rPr>
        <w:t>final</w:t>
      </w:r>
      <w:r w:rsidRPr="0016501F">
        <w:rPr>
          <w:rFonts w:eastAsiaTheme="minorHAnsi" w:cstheme="minorBidi"/>
          <w:b w:val="0"/>
          <w:bCs w:val="0"/>
          <w:szCs w:val="22"/>
        </w:rPr>
        <w:t xml:space="preserve"> rule of </w:t>
      </w:r>
      <w:r w:rsidR="009F2663" w:rsidRPr="009F2663">
        <w:rPr>
          <w:rFonts w:eastAsiaTheme="minorHAnsi" w:cstheme="minorBidi"/>
          <w:b w:val="0"/>
          <w:bCs w:val="0"/>
          <w:szCs w:val="22"/>
        </w:rPr>
        <w:t>$6,740.48</w:t>
      </w:r>
      <w:r w:rsidRPr="004C575A">
        <w:rPr>
          <w:rFonts w:eastAsiaTheme="minorHAnsi" w:cstheme="minorBidi"/>
          <w:b w:val="0"/>
          <w:bCs w:val="0"/>
          <w:szCs w:val="22"/>
        </w:rPr>
        <w:t xml:space="preserve"> (</w:t>
      </w:r>
      <w:r w:rsidR="00CD4201" w:rsidRPr="00F54137">
        <w:rPr>
          <w:rFonts w:eastAsiaTheme="minorHAnsi" w:cstheme="minorBidi"/>
          <w:b w:val="0"/>
          <w:bCs w:val="0"/>
          <w:szCs w:val="22"/>
        </w:rPr>
        <w:t>$</w:t>
      </w:r>
      <w:r w:rsidR="009F2663">
        <w:rPr>
          <w:rFonts w:eastAsiaTheme="minorHAnsi" w:cstheme="minorBidi"/>
          <w:b w:val="0"/>
          <w:bCs w:val="0"/>
          <w:szCs w:val="22"/>
        </w:rPr>
        <w:t>84.26</w:t>
      </w:r>
      <w:r w:rsidRPr="00F54137">
        <w:rPr>
          <w:rFonts w:eastAsiaTheme="minorHAnsi" w:cstheme="minorBidi"/>
          <w:b w:val="0"/>
          <w:bCs w:val="0"/>
          <w:szCs w:val="22"/>
        </w:rPr>
        <w:t xml:space="preserve"> x 8</w:t>
      </w:r>
      <w:r w:rsidR="009F2663">
        <w:rPr>
          <w:rFonts w:eastAsiaTheme="minorHAnsi" w:cstheme="minorBidi"/>
          <w:b w:val="0"/>
          <w:bCs w:val="0"/>
          <w:szCs w:val="22"/>
        </w:rPr>
        <w:t>0</w:t>
      </w:r>
      <w:r w:rsidRPr="00F54137">
        <w:rPr>
          <w:rFonts w:eastAsiaTheme="minorHAnsi" w:cstheme="minorBidi"/>
          <w:b w:val="0"/>
          <w:bCs w:val="0"/>
          <w:szCs w:val="22"/>
        </w:rPr>
        <w:t xml:space="preserve"> = </w:t>
      </w:r>
      <w:r w:rsidR="009F2663" w:rsidRPr="009F2663">
        <w:rPr>
          <w:rFonts w:eastAsiaTheme="minorHAnsi" w:cstheme="minorBidi"/>
          <w:b w:val="0"/>
          <w:bCs w:val="0"/>
          <w:szCs w:val="22"/>
        </w:rPr>
        <w:t>$6,740.48</w:t>
      </w:r>
      <w:r w:rsidRPr="00C13C7B">
        <w:rPr>
          <w:rFonts w:eastAsiaTheme="minorHAnsi" w:cstheme="minorBidi"/>
          <w:b w:val="0"/>
          <w:bCs w:val="0"/>
          <w:szCs w:val="22"/>
        </w:rPr>
        <w:t>).</w:t>
      </w:r>
      <w:r w:rsidRPr="0016501F">
        <w:rPr>
          <w:rFonts w:eastAsiaTheme="minorHAnsi" w:cstheme="minorBidi"/>
          <w:b w:val="0"/>
          <w:bCs w:val="0"/>
          <w:szCs w:val="22"/>
        </w:rPr>
        <w:t xml:space="preserve"> To calculate the loaded wage rate, EPA uses the wage rate for a GS-13, Step 5 employee in the Washington D.C. area, loaded with a combined fringe and overhead factor of 60% to obtain a loaded wage rate of </w:t>
      </w:r>
      <w:r w:rsidR="00CD4201" w:rsidRPr="00CD4201">
        <w:rPr>
          <w:rFonts w:eastAsiaTheme="minorHAnsi" w:cstheme="minorBidi"/>
          <w:b w:val="0"/>
          <w:bCs w:val="0"/>
          <w:szCs w:val="22"/>
        </w:rPr>
        <w:t>$17</w:t>
      </w:r>
      <w:r w:rsidR="009F2663">
        <w:rPr>
          <w:rFonts w:eastAsiaTheme="minorHAnsi" w:cstheme="minorBidi"/>
          <w:b w:val="0"/>
          <w:bCs w:val="0"/>
          <w:szCs w:val="22"/>
        </w:rPr>
        <w:t>5,252</w:t>
      </w:r>
      <w:r w:rsidRPr="0016501F">
        <w:rPr>
          <w:rFonts w:eastAsiaTheme="minorHAnsi" w:cstheme="minorBidi"/>
          <w:b w:val="0"/>
          <w:bCs w:val="0"/>
          <w:szCs w:val="22"/>
        </w:rPr>
        <w:t xml:space="preserve"> per year. Dividing this wage rate over </w:t>
      </w:r>
      <w:r w:rsidRPr="004C575A">
        <w:rPr>
          <w:rFonts w:eastAsiaTheme="minorHAnsi" w:cstheme="minorBidi"/>
          <w:b w:val="0"/>
          <w:bCs w:val="0"/>
          <w:szCs w:val="22"/>
        </w:rPr>
        <w:t>2,080 hours</w:t>
      </w:r>
      <w:r w:rsidRPr="0016501F">
        <w:rPr>
          <w:rFonts w:eastAsiaTheme="minorHAnsi" w:cstheme="minorBidi"/>
          <w:b w:val="0"/>
          <w:bCs w:val="0"/>
          <w:szCs w:val="22"/>
        </w:rPr>
        <w:t xml:space="preserve"> – the annual labor hours of a</w:t>
      </w:r>
      <w:r w:rsidR="002D36EA" w:rsidRPr="0016501F">
        <w:rPr>
          <w:rFonts w:eastAsiaTheme="minorHAnsi" w:cstheme="minorBidi"/>
          <w:b w:val="0"/>
          <w:bCs w:val="0"/>
          <w:szCs w:val="22"/>
        </w:rPr>
        <w:t xml:space="preserve"> full-</w:t>
      </w:r>
      <w:r w:rsidRPr="0016501F">
        <w:rPr>
          <w:rFonts w:eastAsiaTheme="minorHAnsi" w:cstheme="minorBidi"/>
          <w:b w:val="0"/>
          <w:bCs w:val="0"/>
          <w:szCs w:val="22"/>
        </w:rPr>
        <w:t xml:space="preserve">time employee – </w:t>
      </w:r>
      <w:r w:rsidR="00ED28BB" w:rsidRPr="0016501F">
        <w:rPr>
          <w:rFonts w:eastAsiaTheme="minorHAnsi" w:cstheme="minorBidi"/>
          <w:b w:val="0"/>
          <w:bCs w:val="0"/>
          <w:szCs w:val="22"/>
        </w:rPr>
        <w:t>results in</w:t>
      </w:r>
      <w:r w:rsidRPr="0016501F">
        <w:rPr>
          <w:rFonts w:eastAsiaTheme="minorHAnsi" w:cstheme="minorBidi"/>
          <w:b w:val="0"/>
          <w:bCs w:val="0"/>
          <w:szCs w:val="22"/>
        </w:rPr>
        <w:t xml:space="preserve"> an hourly wage rate of </w:t>
      </w:r>
      <w:r w:rsidR="00CD4201" w:rsidRPr="00CD4201">
        <w:rPr>
          <w:rFonts w:eastAsiaTheme="minorHAnsi" w:cstheme="minorBidi"/>
          <w:b w:val="0"/>
          <w:bCs w:val="0"/>
          <w:szCs w:val="22"/>
        </w:rPr>
        <w:t>$8</w:t>
      </w:r>
      <w:r w:rsidR="009F2663">
        <w:rPr>
          <w:rFonts w:eastAsiaTheme="minorHAnsi" w:cstheme="minorBidi"/>
          <w:b w:val="0"/>
          <w:bCs w:val="0"/>
          <w:szCs w:val="22"/>
        </w:rPr>
        <w:t>4.26</w:t>
      </w:r>
      <w:r w:rsidRPr="0016501F">
        <w:rPr>
          <w:rFonts w:eastAsiaTheme="minorHAnsi" w:cstheme="minorBidi"/>
          <w:b w:val="0"/>
          <w:bCs w:val="0"/>
          <w:szCs w:val="22"/>
        </w:rPr>
        <w:t>.</w:t>
      </w:r>
    </w:p>
    <w:p w14:paraId="4C304175" w14:textId="77777777" w:rsidR="00DB7F57" w:rsidRPr="007919E5" w:rsidRDefault="00DB7F57" w:rsidP="00660CEA">
      <w:pPr>
        <w:pStyle w:val="Heading2"/>
        <w:numPr>
          <w:ilvl w:val="2"/>
          <w:numId w:val="3"/>
        </w:numPr>
        <w:tabs>
          <w:tab w:val="left" w:pos="1080"/>
          <w:tab w:val="left" w:pos="1620"/>
        </w:tabs>
      </w:pPr>
      <w:bookmarkStart w:id="23" w:name="_Toc447203183"/>
      <w:r w:rsidRPr="00C80719">
        <w:t>Collection Schedule</w:t>
      </w:r>
      <w:bookmarkEnd w:id="23"/>
    </w:p>
    <w:p w14:paraId="724C0B54" w14:textId="77777777" w:rsidR="005E5522" w:rsidRDefault="005049FB" w:rsidP="003A6A0C">
      <w:r w:rsidRPr="005049FB">
        <w:t>This information collection activity does not have a calendar-based schedule</w:t>
      </w:r>
      <w:r>
        <w:t xml:space="preserve">. </w:t>
      </w:r>
      <w:r w:rsidR="00CF6D5B">
        <w:t xml:space="preserve">Fee payments are </w:t>
      </w:r>
      <w:r w:rsidR="00144085">
        <w:t xml:space="preserve">generally required </w:t>
      </w:r>
      <w:r w:rsidR="00CF6D5B">
        <w:t>when a manufacturer</w:t>
      </w:r>
      <w:r w:rsidR="00144085">
        <w:t xml:space="preserve"> (including importer) makes a submission under TSCA section 5, is required to submit information under TSCA section 4 or is subject to a risk evaluation under TSCA section 6</w:t>
      </w:r>
      <w:r w:rsidR="001D7822">
        <w:t xml:space="preserve">(b)(4).  EPA is required to have 20 EPA-initiated risk evaluations under way at all times starting in December 2019 and each risk evaluation is expected to conclude in 3 years with the option for an up to 6-month extension.  Therefore, TSCA section 6 fees for EPA-initiated risk evaluations will generally be predictable.  TSCA section 6 manufacturer-requested risk evaluations timing and frequency will depend on requests received.  EPA is required to have between 5-10 manufacturer-requested risk evaluations underway if sufficient applications have been received. </w:t>
      </w:r>
      <w:r w:rsidR="00290EFD">
        <w:t xml:space="preserve"> However,</w:t>
      </w:r>
      <w:r w:rsidR="001D7822">
        <w:t xml:space="preserve"> EPA is unsure how many such requests will be received.  Section 5 actions are entirely reliant on industry submissions.  Historical data is used for cost estimation purposes with and adjustment made for the impact of increased fees.  </w:t>
      </w:r>
      <w:r w:rsidR="00736648">
        <w:t>TSCA section 4 activities will be primarily driven by EPA’s data needs as the new statutory requirements continue to be implemented.  Because these activities</w:t>
      </w:r>
      <w:r>
        <w:t xml:space="preserve"> </w:t>
      </w:r>
      <w:r w:rsidR="002D2B79">
        <w:t xml:space="preserve">occur on </w:t>
      </w:r>
      <w:r w:rsidR="003A6A0C">
        <w:t xml:space="preserve">an </w:t>
      </w:r>
      <w:r w:rsidR="003A6A0C" w:rsidRPr="003A6A0C">
        <w:t xml:space="preserve">as-needed, on-occasion basis, </w:t>
      </w:r>
      <w:r w:rsidR="00736648">
        <w:t xml:space="preserve">often </w:t>
      </w:r>
      <w:r w:rsidR="003A6A0C" w:rsidRPr="003A6A0C">
        <w:t>initiated by the respondents</w:t>
      </w:r>
      <w:r w:rsidR="00736648">
        <w:t>, considerations for less frequent collection are not relevant</w:t>
      </w:r>
      <w:r>
        <w:t xml:space="preserve">. </w:t>
      </w:r>
    </w:p>
    <w:p w14:paraId="6A5B8FF2" w14:textId="77777777" w:rsidR="00DB7F57" w:rsidRPr="007919E5" w:rsidRDefault="00DB7F57" w:rsidP="00DB7F57"/>
    <w:p w14:paraId="55AE2F9F" w14:textId="77777777" w:rsidR="00660CEA" w:rsidRPr="007919E5" w:rsidRDefault="00660CEA" w:rsidP="00660CEA">
      <w:pPr>
        <w:pStyle w:val="Heading3"/>
        <w:numPr>
          <w:ilvl w:val="2"/>
          <w:numId w:val="3"/>
        </w:numPr>
        <w:tabs>
          <w:tab w:val="left" w:pos="1800"/>
        </w:tabs>
        <w:spacing w:after="200"/>
      </w:pPr>
      <w:bookmarkStart w:id="24" w:name="_Toc447203184"/>
      <w:r w:rsidRPr="00AF6755">
        <w:t>Use of Technology to Facilitate Collection Activities</w:t>
      </w:r>
      <w:bookmarkEnd w:id="24"/>
    </w:p>
    <w:p w14:paraId="298E6AE9" w14:textId="548545E2" w:rsidR="00FD497D" w:rsidRDefault="005049FB" w:rsidP="00FD497D">
      <w:pPr>
        <w:pStyle w:val="NoSpacing"/>
        <w:rPr>
          <w:lang w:bidi="en-US"/>
        </w:rPr>
      </w:pPr>
      <w:r w:rsidRPr="005049FB">
        <w:t xml:space="preserve">EPA will make use of existing technology to </w:t>
      </w:r>
      <w:r>
        <w:t>collect the information subject to this ICR</w:t>
      </w:r>
      <w:r w:rsidRPr="005049FB">
        <w:t xml:space="preserve">. </w:t>
      </w:r>
      <w:r>
        <w:t xml:space="preserve">Fee payments will be made electronically via Pay.gov. </w:t>
      </w:r>
      <w:r w:rsidR="00871408">
        <w:t xml:space="preserve">The collection of the </w:t>
      </w:r>
      <w:r w:rsidR="000102B1">
        <w:t xml:space="preserve">identifying number and </w:t>
      </w:r>
      <w:r w:rsidR="00871408">
        <w:t>payment identity number will be made thr</w:t>
      </w:r>
      <w:r w:rsidR="00B6603B">
        <w:t xml:space="preserve">ough </w:t>
      </w:r>
      <w:r w:rsidR="000D16B3">
        <w:t>C</w:t>
      </w:r>
      <w:r w:rsidR="00B6603B">
        <w:t>DX</w:t>
      </w:r>
      <w:r w:rsidR="00871408">
        <w:t>, EPA</w:t>
      </w:r>
      <w:r w:rsidR="000D16B3">
        <w:t>’s</w:t>
      </w:r>
      <w:r w:rsidR="00871408">
        <w:t xml:space="preserve"> portal for submitting information electronically. </w:t>
      </w:r>
      <w:r w:rsidR="0094063F">
        <w:t>Since electronic reporting through CDX is already required for TSCA submissions under sections 4, 5 and 6, EPA is amending those submis</w:t>
      </w:r>
      <w:r w:rsidR="00F653B5">
        <w:t>sion modules to incorporate t</w:t>
      </w:r>
      <w:r w:rsidR="00FD497D" w:rsidRPr="00C66CD8">
        <w:t xml:space="preserve">he reporting </w:t>
      </w:r>
      <w:r w:rsidR="00EF7443">
        <w:t>elements</w:t>
      </w:r>
      <w:r w:rsidR="00EF7443" w:rsidRPr="00C66CD8">
        <w:t xml:space="preserve"> </w:t>
      </w:r>
      <w:r w:rsidR="00FD497D" w:rsidRPr="00C66CD8">
        <w:t xml:space="preserve">that </w:t>
      </w:r>
      <w:r w:rsidR="0094063F">
        <w:t>are</w:t>
      </w:r>
      <w:r w:rsidR="0094063F" w:rsidRPr="00C66CD8">
        <w:t xml:space="preserve"> </w:t>
      </w:r>
      <w:r w:rsidR="00FD497D" w:rsidRPr="00C66CD8">
        <w:t xml:space="preserve">presented in Attachment 2, and registered as EPA Form Number </w:t>
      </w:r>
      <w:r w:rsidR="00FD497D" w:rsidRPr="00F95D12">
        <w:rPr>
          <w:lang w:bidi="en-US"/>
        </w:rPr>
        <w:t>9600-008:</w:t>
      </w:r>
      <w:r w:rsidR="00FD497D" w:rsidRPr="00F95D12">
        <w:t xml:space="preserve"> </w:t>
      </w:r>
      <w:r w:rsidR="00FD497D" w:rsidRPr="00F95D12">
        <w:rPr>
          <w:lang w:bidi="en-US"/>
        </w:rPr>
        <w:t>Certification of Attempt to Enter into an Agreement with Manufacturers/Processors to Share in TSCA Fees</w:t>
      </w:r>
      <w:r w:rsidR="00973D5B" w:rsidRPr="00F95D12">
        <w:rPr>
          <w:lang w:bidi="en-US"/>
        </w:rPr>
        <w:t>.</w:t>
      </w:r>
      <w:r w:rsidR="00A87452">
        <w:rPr>
          <w:lang w:bidi="en-US"/>
        </w:rPr>
        <w:t xml:space="preserve"> </w:t>
      </w:r>
      <w:r w:rsidR="00F653B5">
        <w:t xml:space="preserve">See </w:t>
      </w:r>
      <w:r w:rsidR="00BF7252">
        <w:t>A</w:t>
      </w:r>
      <w:r w:rsidR="00F653B5">
        <w:t xml:space="preserve">ttachment 3 for screen shots of the CDX modules for submissions under section 5 and 6. </w:t>
      </w:r>
      <w:r w:rsidR="00804E2F">
        <w:rPr>
          <w:lang w:bidi="en-US"/>
        </w:rPr>
        <w:t xml:space="preserve">Similarly, </w:t>
      </w:r>
      <w:r w:rsidR="00F653B5">
        <w:rPr>
          <w:lang w:bidi="en-US"/>
        </w:rPr>
        <w:t>the CDX</w:t>
      </w:r>
      <w:r w:rsidR="00804E2F">
        <w:rPr>
          <w:lang w:bidi="en-US"/>
        </w:rPr>
        <w:t xml:space="preserve"> module for section 4 </w:t>
      </w:r>
      <w:r w:rsidR="00F653B5">
        <w:rPr>
          <w:lang w:bidi="en-US"/>
        </w:rPr>
        <w:t>submissions will be revised to incorporate those elements</w:t>
      </w:r>
      <w:r w:rsidR="00804E2F">
        <w:rPr>
          <w:lang w:bidi="en-US"/>
        </w:rPr>
        <w:t>.</w:t>
      </w:r>
      <w:r w:rsidR="00973D5B" w:rsidRPr="00F95D12">
        <w:rPr>
          <w:lang w:bidi="en-US"/>
        </w:rPr>
        <w:t xml:space="preserve"> </w:t>
      </w:r>
      <w:r w:rsidR="00973D5B" w:rsidRPr="006B0EF8">
        <w:rPr>
          <w:lang w:bidi="en-US"/>
        </w:rPr>
        <w:t xml:space="preserve">As soon as the </w:t>
      </w:r>
      <w:r w:rsidR="00A87452" w:rsidRPr="006B0EF8">
        <w:rPr>
          <w:lang w:bidi="en-US"/>
        </w:rPr>
        <w:t xml:space="preserve">screen shots for the section 4 </w:t>
      </w:r>
      <w:r w:rsidR="00F653B5" w:rsidRPr="006B0EF8">
        <w:rPr>
          <w:lang w:bidi="en-US"/>
        </w:rPr>
        <w:t>submissions</w:t>
      </w:r>
      <w:r w:rsidR="00A87452" w:rsidRPr="006B0EF8">
        <w:rPr>
          <w:lang w:bidi="en-US"/>
        </w:rPr>
        <w:t xml:space="preserve"> are</w:t>
      </w:r>
      <w:r w:rsidR="00973D5B" w:rsidRPr="006B0EF8">
        <w:rPr>
          <w:lang w:bidi="en-US"/>
        </w:rPr>
        <w:t xml:space="preserve"> available, EPA will submit </w:t>
      </w:r>
      <w:r w:rsidR="00423BB7" w:rsidRPr="006B0EF8">
        <w:rPr>
          <w:lang w:bidi="en-US"/>
        </w:rPr>
        <w:t xml:space="preserve">a revised ICR </w:t>
      </w:r>
      <w:r w:rsidR="00F653B5" w:rsidRPr="006B0EF8">
        <w:rPr>
          <w:lang w:bidi="en-US"/>
        </w:rPr>
        <w:t xml:space="preserve">for a non-substantive change collection to </w:t>
      </w:r>
      <w:r w:rsidR="00973D5B" w:rsidRPr="006B0EF8">
        <w:rPr>
          <w:lang w:bidi="en-US"/>
        </w:rPr>
        <w:t xml:space="preserve">provide the relevant screen shots to </w:t>
      </w:r>
      <w:r w:rsidR="00F653B5" w:rsidRPr="006B0EF8">
        <w:rPr>
          <w:lang w:bidi="en-US"/>
        </w:rPr>
        <w:t xml:space="preserve">OIRA </w:t>
      </w:r>
      <w:r w:rsidR="00973D5B" w:rsidRPr="006B0EF8">
        <w:rPr>
          <w:lang w:bidi="en-US"/>
        </w:rPr>
        <w:t>for review and approval</w:t>
      </w:r>
      <w:r w:rsidR="00973D5B">
        <w:rPr>
          <w:lang w:bidi="en-US"/>
        </w:rPr>
        <w:t xml:space="preserve">. </w:t>
      </w:r>
    </w:p>
    <w:p w14:paraId="17D6E438" w14:textId="77777777" w:rsidR="006B653C" w:rsidRPr="00FD497D" w:rsidRDefault="006B653C" w:rsidP="00FD497D">
      <w:pPr>
        <w:pStyle w:val="NoSpacing"/>
      </w:pPr>
    </w:p>
    <w:p w14:paraId="57A83F4A" w14:textId="77777777" w:rsidR="00D60B43" w:rsidRPr="00D60B43" w:rsidRDefault="00D60B43" w:rsidP="00FD497D">
      <w:pPr>
        <w:pStyle w:val="NoSpacing"/>
      </w:pPr>
    </w:p>
    <w:p w14:paraId="0D19BABC" w14:textId="00817133" w:rsidR="006D7B41" w:rsidRPr="007919E5" w:rsidRDefault="00E33A13" w:rsidP="006B653C">
      <w:pPr>
        <w:pStyle w:val="Heading1"/>
        <w:numPr>
          <w:ilvl w:val="0"/>
          <w:numId w:val="3"/>
        </w:numPr>
      </w:pPr>
      <w:bookmarkStart w:id="25" w:name="_Toc447203185"/>
      <w:r w:rsidRPr="007919E5">
        <w:t xml:space="preserve">The RESPONDENTS AND </w:t>
      </w:r>
      <w:r w:rsidR="006D7B41" w:rsidRPr="007919E5">
        <w:t>INFORMATION COLLECTION (IC) ACTIVITIES</w:t>
      </w:r>
      <w:bookmarkEnd w:id="25"/>
    </w:p>
    <w:p w14:paraId="2F1D68A2" w14:textId="77777777"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r w:rsidR="004A492D" w:rsidRPr="007919E5">
        <w:t xml:space="preserve"> </w:t>
      </w:r>
    </w:p>
    <w:p w14:paraId="1643DA62" w14:textId="77777777" w:rsidR="00F44411" w:rsidRPr="007919E5" w:rsidRDefault="00F44411" w:rsidP="00F44411">
      <w:pPr>
        <w:pStyle w:val="NoSpacing"/>
        <w:rPr>
          <w:lang w:bidi="en-US"/>
        </w:rPr>
      </w:pPr>
    </w:p>
    <w:p w14:paraId="441D98AD" w14:textId="77777777" w:rsidR="00452297" w:rsidRPr="009462D5" w:rsidRDefault="00660CEA" w:rsidP="00452297">
      <w:pPr>
        <w:pStyle w:val="Heading2"/>
        <w:numPr>
          <w:ilvl w:val="1"/>
          <w:numId w:val="3"/>
        </w:numPr>
        <w:tabs>
          <w:tab w:val="left" w:pos="1080"/>
        </w:tabs>
      </w:pPr>
      <w:bookmarkStart w:id="26" w:name="_Toc447203186"/>
      <w:r w:rsidRPr="009462D5">
        <w:t>Methodology for Estimating Respondent Burden and Costs</w:t>
      </w:r>
      <w:bookmarkEnd w:id="26"/>
    </w:p>
    <w:p w14:paraId="3E76EBBB" w14:textId="77777777" w:rsidR="006A3A8A" w:rsidRPr="009462D5" w:rsidRDefault="006A3A8A" w:rsidP="006A3A8A">
      <w:r w:rsidRPr="009462D5">
        <w:t>The collection specifies fee payment</w:t>
      </w:r>
      <w:r w:rsidR="00A9598B" w:rsidRPr="009462D5">
        <w:t xml:space="preserve"> requirements </w:t>
      </w:r>
      <w:r w:rsidR="001E2772">
        <w:t xml:space="preserve">that </w:t>
      </w:r>
      <w:r w:rsidR="002C2AD8">
        <w:t>appl</w:t>
      </w:r>
      <w:r w:rsidR="001E2772">
        <w:t>y</w:t>
      </w:r>
      <w:r w:rsidR="002C2AD8">
        <w:t xml:space="preserve"> to</w:t>
      </w:r>
      <w:r w:rsidR="002C2AD8" w:rsidRPr="002C2AD8">
        <w:t xml:space="preserve"> manufacturers (including importers) who are required to submit information under </w:t>
      </w:r>
      <w:r w:rsidR="00D60B43">
        <w:t xml:space="preserve">TSCA </w:t>
      </w:r>
      <w:r w:rsidR="002C2AD8" w:rsidRPr="002C2AD8">
        <w:t xml:space="preserve">section 4, who submit certain notices and exemption requests to EPA under </w:t>
      </w:r>
      <w:r w:rsidR="00031F7F">
        <w:t xml:space="preserve">TSCA </w:t>
      </w:r>
      <w:r w:rsidR="002C2AD8" w:rsidRPr="002C2AD8">
        <w:t xml:space="preserve">section 5, who manufacture a chemical substance that is subject to a risk evaluation under TSCA section 6(b)(4), and who process a chemical substance that is the subject of a Significant New Use Notice (SNUN) or Test Market Exemption (TME) under </w:t>
      </w:r>
      <w:r w:rsidR="00371AF7">
        <w:t xml:space="preserve">TSCA </w:t>
      </w:r>
      <w:r w:rsidR="002C2AD8" w:rsidRPr="002C2AD8">
        <w:t xml:space="preserve">section 5 and who are required to submit information under </w:t>
      </w:r>
      <w:r w:rsidR="00371AF7">
        <w:t xml:space="preserve">TSCA </w:t>
      </w:r>
      <w:r w:rsidR="002C2AD8" w:rsidRPr="002C2AD8">
        <w:t>section 4</w:t>
      </w:r>
      <w:r w:rsidR="005062AF">
        <w:t xml:space="preserve"> related to a SNUN submission</w:t>
      </w:r>
      <w:r w:rsidR="00DA4B3B" w:rsidRPr="009462D5">
        <w:t xml:space="preserve">. The following list of NAICS codes is not intended to be exhaustive, but rather provides a guide to help readers determine whether this document applies to them. Potentially affected entities may include companies found in major NAICS </w:t>
      </w:r>
      <w:r w:rsidR="00371AF7">
        <w:t xml:space="preserve">code </w:t>
      </w:r>
      <w:r w:rsidR="00DA4B3B" w:rsidRPr="009462D5">
        <w:t>groups:</w:t>
      </w:r>
    </w:p>
    <w:p w14:paraId="733E3853" w14:textId="77777777" w:rsidR="00DA4B3B" w:rsidRPr="006B0F45" w:rsidRDefault="00DA4B3B" w:rsidP="00DA4B3B">
      <w:pPr>
        <w:pStyle w:val="NoSpacing"/>
      </w:pPr>
    </w:p>
    <w:p w14:paraId="3503CEB9" w14:textId="77777777" w:rsidR="006A3A8A" w:rsidRPr="006B0F45" w:rsidRDefault="006A3A8A" w:rsidP="00FD497D">
      <w:pPr>
        <w:pStyle w:val="ListParagraph"/>
        <w:numPr>
          <w:ilvl w:val="0"/>
          <w:numId w:val="26"/>
        </w:numPr>
      </w:pPr>
      <w:r w:rsidRPr="009462D5">
        <w:t>32</w:t>
      </w:r>
      <w:r w:rsidR="00C34DC8" w:rsidRPr="009462D5">
        <w:t>4</w:t>
      </w:r>
      <w:r w:rsidR="00C34DC8" w:rsidRPr="009462D5">
        <w:tab/>
      </w:r>
      <w:r w:rsidR="00C34DC8" w:rsidRPr="006B0F45">
        <w:t>Petroleum and Coal Products</w:t>
      </w:r>
    </w:p>
    <w:p w14:paraId="6E1E71BC" w14:textId="77777777" w:rsidR="006A3A8A" w:rsidRPr="006B0F45" w:rsidRDefault="00C34DC8" w:rsidP="00FD497D">
      <w:pPr>
        <w:pStyle w:val="ListParagraph"/>
        <w:numPr>
          <w:ilvl w:val="0"/>
          <w:numId w:val="26"/>
        </w:numPr>
      </w:pPr>
      <w:r w:rsidRPr="006B0F45">
        <w:t>325</w:t>
      </w:r>
      <w:r w:rsidRPr="006B0F45">
        <w:tab/>
        <w:t>Chemical M</w:t>
      </w:r>
      <w:r w:rsidR="006A3A8A" w:rsidRPr="006B0F45">
        <w:t>anufacturing</w:t>
      </w:r>
    </w:p>
    <w:p w14:paraId="20FE3408" w14:textId="77777777" w:rsidR="006A3A8A" w:rsidRPr="006B0F45" w:rsidRDefault="00C34DC8" w:rsidP="00FD497D">
      <w:pPr>
        <w:pStyle w:val="ListParagraph"/>
        <w:numPr>
          <w:ilvl w:val="0"/>
          <w:numId w:val="26"/>
        </w:numPr>
      </w:pPr>
      <w:r w:rsidRPr="006B0F45">
        <w:t>424</w:t>
      </w:r>
      <w:r w:rsidRPr="006B0F45">
        <w:tab/>
        <w:t>Chemical, Petroleum and Merchant Wholesalers</w:t>
      </w:r>
    </w:p>
    <w:p w14:paraId="531EDEC3" w14:textId="77777777" w:rsidR="006A3A8A" w:rsidRPr="006B0F45" w:rsidRDefault="006A3A8A" w:rsidP="006A3A8A">
      <w:pPr>
        <w:pStyle w:val="NoSpacing"/>
      </w:pPr>
    </w:p>
    <w:p w14:paraId="6254C018" w14:textId="77777777" w:rsidR="00371AF7" w:rsidRDefault="00371AF7" w:rsidP="006A3A8A">
      <w:r>
        <w:t>E</w:t>
      </w:r>
      <w:r w:rsidR="006A3A8A" w:rsidRPr="00E217AC">
        <w:t xml:space="preserve">ach firm </w:t>
      </w:r>
      <w:r w:rsidR="000B186E" w:rsidRPr="00E217AC">
        <w:t xml:space="preserve">subject to a fee </w:t>
      </w:r>
      <w:r>
        <w:t>is</w:t>
      </w:r>
      <w:r w:rsidR="00A9598B" w:rsidRPr="00E217AC">
        <w:t xml:space="preserve"> </w:t>
      </w:r>
      <w:r w:rsidR="000B186E" w:rsidRPr="00E217AC">
        <w:t xml:space="preserve">required to </w:t>
      </w:r>
      <w:r w:rsidR="00A9598B" w:rsidRPr="00E217AC">
        <w:t>pa</w:t>
      </w:r>
      <w:r w:rsidR="000B186E" w:rsidRPr="00E217AC">
        <w:t>y</w:t>
      </w:r>
      <w:r w:rsidR="006A3A8A" w:rsidRPr="00E217AC">
        <w:t xml:space="preserve"> </w:t>
      </w:r>
      <w:r w:rsidR="001E2772" w:rsidRPr="00E217AC">
        <w:t xml:space="preserve">the fee </w:t>
      </w:r>
      <w:r w:rsidR="006A3A8A" w:rsidRPr="00E217AC">
        <w:t>via Pay.gov. Firms also need to determine if they qualify as a</w:t>
      </w:r>
      <w:r w:rsidR="00AB6E44" w:rsidRPr="00E217AC">
        <w:t>n eligible</w:t>
      </w:r>
      <w:r w:rsidR="006A3A8A" w:rsidRPr="00E217AC">
        <w:t xml:space="preserve"> small business </w:t>
      </w:r>
      <w:r w:rsidR="00AB6E44" w:rsidRPr="00E217AC">
        <w:t>for</w:t>
      </w:r>
      <w:r w:rsidR="006A3A8A" w:rsidRPr="00E217AC">
        <w:t xml:space="preserve"> </w:t>
      </w:r>
      <w:r w:rsidR="001E2772" w:rsidRPr="00E217AC">
        <w:t xml:space="preserve">reduced </w:t>
      </w:r>
      <w:r w:rsidR="006A3A8A" w:rsidRPr="00E217AC">
        <w:t>fe</w:t>
      </w:r>
      <w:r w:rsidR="00DA4B3B" w:rsidRPr="00E217AC">
        <w:t>es</w:t>
      </w:r>
      <w:r w:rsidR="008A3C02" w:rsidRPr="00E217AC">
        <w:t xml:space="preserve"> and indicate if they plan to </w:t>
      </w:r>
      <w:r w:rsidR="00DB6DC3" w:rsidRPr="00E217AC">
        <w:t xml:space="preserve">be </w:t>
      </w:r>
      <w:r w:rsidR="008A3C02" w:rsidRPr="00E217AC">
        <w:t xml:space="preserve">or are already part of a </w:t>
      </w:r>
      <w:r w:rsidR="00B744EE" w:rsidRPr="00E217AC">
        <w:t>consortium</w:t>
      </w:r>
      <w:r w:rsidR="00DA4B3B" w:rsidRPr="00E217AC">
        <w:t>.</w:t>
      </w:r>
      <w:r w:rsidR="00D65351" w:rsidRPr="00E217AC">
        <w:t xml:space="preserve">  </w:t>
      </w:r>
      <w:r>
        <w:t>R</w:t>
      </w:r>
      <w:r w:rsidR="001473DF" w:rsidRPr="00E217AC">
        <w:t xml:space="preserve">educed </w:t>
      </w:r>
      <w:r w:rsidR="004A19BD" w:rsidRPr="00E217AC">
        <w:t xml:space="preserve">fees </w:t>
      </w:r>
      <w:r>
        <w:t xml:space="preserve">apply to </w:t>
      </w:r>
      <w:r w:rsidR="006A3A8A" w:rsidRPr="00E217AC">
        <w:t xml:space="preserve">small business with </w:t>
      </w:r>
      <w:r w:rsidR="00E217AC">
        <w:t xml:space="preserve">a number of employees below the thresholds list in section </w:t>
      </w:r>
      <w:r w:rsidR="00E217AC" w:rsidRPr="00E217AC">
        <w:t xml:space="preserve">§700.43 </w:t>
      </w:r>
      <w:r w:rsidR="00E217AC">
        <w:t>“</w:t>
      </w:r>
      <w:r w:rsidR="00E217AC" w:rsidRPr="00E217AC">
        <w:t>Definitions applicable to this subpart</w:t>
      </w:r>
      <w:r w:rsidR="00E217AC">
        <w:t>” of the final rule or fewer than 500 employees if the firm is not in an industry sector that appears in the table</w:t>
      </w:r>
      <w:r w:rsidR="006A3A8A" w:rsidRPr="00E217AC">
        <w:t xml:space="preserve">. </w:t>
      </w:r>
    </w:p>
    <w:p w14:paraId="685A5014" w14:textId="77777777" w:rsidR="00371AF7" w:rsidRDefault="00371AF7" w:rsidP="006A3A8A"/>
    <w:p w14:paraId="6BBEF6AA" w14:textId="77777777" w:rsidR="008168B2" w:rsidRDefault="001473DF" w:rsidP="006A3A8A">
      <w:r w:rsidRPr="00E217AC">
        <w:t>F</w:t>
      </w:r>
      <w:r w:rsidR="006A3A8A" w:rsidRPr="00E217AC">
        <w:t xml:space="preserve">irms </w:t>
      </w:r>
      <w:r w:rsidRPr="00E217AC">
        <w:t xml:space="preserve">subject to fees under TSCA section 4 and fees for Risk Evaluations under TSCA section 6 </w:t>
      </w:r>
      <w:r w:rsidR="008168B2">
        <w:t>may</w:t>
      </w:r>
      <w:r w:rsidR="006A3A8A" w:rsidRPr="00E217AC">
        <w:t xml:space="preserve"> </w:t>
      </w:r>
      <w:r w:rsidR="004A19BD" w:rsidRPr="00E217AC">
        <w:t xml:space="preserve">form </w:t>
      </w:r>
      <w:r w:rsidR="006A3A8A" w:rsidRPr="00E217AC">
        <w:t xml:space="preserve">a consortium </w:t>
      </w:r>
      <w:r w:rsidR="004A19BD" w:rsidRPr="00E217AC">
        <w:t xml:space="preserve">for paying the specified fees </w:t>
      </w:r>
      <w:r w:rsidR="006A3A8A" w:rsidRPr="00E217AC">
        <w:t xml:space="preserve">and </w:t>
      </w:r>
      <w:r w:rsidR="00371AF7">
        <w:t>are</w:t>
      </w:r>
      <w:r w:rsidR="00DA4B3B" w:rsidRPr="00E217AC">
        <w:t xml:space="preserve"> required to</w:t>
      </w:r>
      <w:r w:rsidR="006A3A8A" w:rsidRPr="00E217AC">
        <w:t xml:space="preserve"> </w:t>
      </w:r>
      <w:r w:rsidR="00580718" w:rsidRPr="00E217AC">
        <w:t>notify</w:t>
      </w:r>
      <w:r w:rsidR="006A3A8A" w:rsidRPr="00E217AC">
        <w:t xml:space="preserve"> EPA</w:t>
      </w:r>
      <w:r w:rsidR="00580718" w:rsidRPr="00E217AC">
        <w:t xml:space="preserve"> </w:t>
      </w:r>
      <w:r w:rsidRPr="00E217AC">
        <w:t xml:space="preserve">through a principal sponsor </w:t>
      </w:r>
      <w:r w:rsidR="00580718" w:rsidRPr="00E217AC">
        <w:t>that the consortium was formed</w:t>
      </w:r>
      <w:r w:rsidR="004A19BD" w:rsidRPr="00E217AC">
        <w:t>,</w:t>
      </w:r>
      <w:r w:rsidR="006A3A8A" w:rsidRPr="00E217AC">
        <w:t xml:space="preserve"> detailing the members of the consortium</w:t>
      </w:r>
      <w:r w:rsidRPr="00E217AC">
        <w:t xml:space="preserve"> and their contact information</w:t>
      </w:r>
      <w:r w:rsidR="006A3A8A" w:rsidRPr="00E217AC">
        <w:t xml:space="preserve">. This </w:t>
      </w:r>
      <w:r w:rsidR="00580718" w:rsidRPr="00E217AC">
        <w:t xml:space="preserve">notification </w:t>
      </w:r>
      <w:r w:rsidR="006A3A8A" w:rsidRPr="00E217AC">
        <w:t xml:space="preserve">must be submitted </w:t>
      </w:r>
      <w:r w:rsidR="008168B2">
        <w:t xml:space="preserve">to EPA </w:t>
      </w:r>
      <w:r w:rsidR="006A3A8A" w:rsidRPr="00E217AC">
        <w:t xml:space="preserve">electronically </w:t>
      </w:r>
      <w:r w:rsidR="002447F9" w:rsidRPr="00E217AC">
        <w:t xml:space="preserve">via </w:t>
      </w:r>
      <w:r w:rsidR="006A3A8A" w:rsidRPr="00E217AC">
        <w:t>CDX.</w:t>
      </w:r>
      <w:r w:rsidRPr="00E217AC">
        <w:t xml:space="preserve"> </w:t>
      </w:r>
    </w:p>
    <w:p w14:paraId="1809CB13" w14:textId="77777777" w:rsidR="008168B2" w:rsidRDefault="008168B2" w:rsidP="006A3A8A"/>
    <w:p w14:paraId="4AC0605C" w14:textId="77777777" w:rsidR="006A3A8A" w:rsidRPr="006B0F45" w:rsidRDefault="001473DF" w:rsidP="006A3A8A">
      <w:r w:rsidRPr="00E217AC">
        <w:t xml:space="preserve">Firms subject to Test Rules under TSCA section 4 and EPA-initiated Risk Evaluations under TSCA section 6 also need to review a preliminary list published by EPA of companies to which the action applies </w:t>
      </w:r>
      <w:r w:rsidR="008168B2">
        <w:t xml:space="preserve">so that they can </w:t>
      </w:r>
      <w:r w:rsidRPr="00E217AC">
        <w:t>determine whether their company is listed and certify via CDX accordingly.</w:t>
      </w:r>
    </w:p>
    <w:p w14:paraId="513D75B3" w14:textId="77777777" w:rsidR="006A3A8A" w:rsidRPr="006B0F45" w:rsidRDefault="006A3A8A" w:rsidP="006A3A8A"/>
    <w:p w14:paraId="3DD92A6C" w14:textId="77777777" w:rsidR="006A3A8A" w:rsidRPr="006B0F45" w:rsidRDefault="006A3A8A" w:rsidP="006A3A8A">
      <w:pPr>
        <w:rPr>
          <w:u w:val="single"/>
        </w:rPr>
      </w:pPr>
      <w:r w:rsidRPr="006B0F45">
        <w:rPr>
          <w:u w:val="single"/>
        </w:rPr>
        <w:t>Number of Entities Affected</w:t>
      </w:r>
    </w:p>
    <w:p w14:paraId="4F3D3545" w14:textId="77777777" w:rsidR="006A3A8A" w:rsidRPr="006B0F45" w:rsidRDefault="001473DF" w:rsidP="006A3A8A">
      <w:r w:rsidRPr="00F32C65">
        <w:rPr>
          <w:rFonts w:eastAsia="Times New Roman"/>
        </w:rPr>
        <w:t xml:space="preserve">EPA relied on past experience with </w:t>
      </w:r>
      <w:r w:rsidRPr="00B02938">
        <w:rPr>
          <w:rFonts w:eastAsia="Times New Roman"/>
        </w:rPr>
        <w:t xml:space="preserve">Test Rules for HPV chemicals under </w:t>
      </w:r>
      <w:r>
        <w:rPr>
          <w:rFonts w:eastAsia="Times New Roman"/>
        </w:rPr>
        <w:t xml:space="preserve">TSCA </w:t>
      </w:r>
      <w:r w:rsidRPr="00B02938">
        <w:rPr>
          <w:rFonts w:eastAsia="Times New Roman"/>
        </w:rPr>
        <w:t>section 4</w:t>
      </w:r>
      <w:r>
        <w:rPr>
          <w:rFonts w:eastAsia="Times New Roman"/>
        </w:rPr>
        <w:t>, submitter data for new chemical notices under TSCA section 5,</w:t>
      </w:r>
      <w:r w:rsidRPr="00B02938">
        <w:rPr>
          <w:rFonts w:eastAsia="Times New Roman"/>
        </w:rPr>
        <w:t xml:space="preserve"> </w:t>
      </w:r>
      <w:r>
        <w:rPr>
          <w:rFonts w:eastAsia="Times New Roman"/>
        </w:rPr>
        <w:t>and</w:t>
      </w:r>
      <w:r w:rsidRPr="00B02938">
        <w:rPr>
          <w:rFonts w:eastAsia="Times New Roman"/>
        </w:rPr>
        <w:t xml:space="preserve"> work to date on the first 10 chemicals currently undergoing Risk Evaluation</w:t>
      </w:r>
      <w:r w:rsidRPr="00F32C65">
        <w:rPr>
          <w:rFonts w:eastAsia="Times New Roman"/>
        </w:rPr>
        <w:t xml:space="preserve"> under </w:t>
      </w:r>
      <w:r>
        <w:rPr>
          <w:rFonts w:eastAsia="Times New Roman"/>
        </w:rPr>
        <w:t xml:space="preserve">TSCA </w:t>
      </w:r>
      <w:r w:rsidRPr="00F32C65">
        <w:rPr>
          <w:rFonts w:eastAsia="Times New Roman"/>
        </w:rPr>
        <w:t xml:space="preserve">section 6 to inform its estimates of average number of </w:t>
      </w:r>
      <w:r>
        <w:rPr>
          <w:rFonts w:eastAsia="Times New Roman"/>
        </w:rPr>
        <w:t>firms</w:t>
      </w:r>
      <w:r w:rsidRPr="00F32C65">
        <w:rPr>
          <w:rFonts w:eastAsia="Times New Roman"/>
        </w:rPr>
        <w:t xml:space="preserve"> impacted per action</w:t>
      </w:r>
      <w:r>
        <w:rPr>
          <w:rFonts w:eastAsia="Times New Roman"/>
        </w:rPr>
        <w:t xml:space="preserve">. </w:t>
      </w:r>
      <w:r w:rsidR="00C85B59">
        <w:t xml:space="preserve">Each TSCA section 4 action is expected to cover </w:t>
      </w:r>
      <w:r w:rsidR="006A3A8A" w:rsidRPr="006B0F45">
        <w:t xml:space="preserve">an average of seven chemicals and an average of four manufacturers per chemical, </w:t>
      </w:r>
      <w:r w:rsidR="00C85B59">
        <w:t xml:space="preserve">resulting in an estimate of 28 firms impacted per </w:t>
      </w:r>
      <w:r w:rsidR="002934B7">
        <w:t>TSCA s</w:t>
      </w:r>
      <w:r w:rsidR="006A3A8A" w:rsidRPr="006B0F45">
        <w:t xml:space="preserve">ection 4 action. </w:t>
      </w:r>
      <w:r w:rsidR="002934B7">
        <w:t>TSCA s</w:t>
      </w:r>
      <w:r w:rsidR="006A3A8A" w:rsidRPr="006B0F45">
        <w:t xml:space="preserve">ection 5 actions </w:t>
      </w:r>
      <w:r w:rsidR="00C85B59">
        <w:t xml:space="preserve">are expected to </w:t>
      </w:r>
      <w:r w:rsidR="006A3A8A" w:rsidRPr="006B0F45">
        <w:t xml:space="preserve">impact one firm per action. </w:t>
      </w:r>
      <w:r w:rsidR="00C85B59">
        <w:t>Risk Evaluations initiated by EPA under TSCA section 6 are expected to impact an average of one chemical and seven manufacturers per Risk Evaluation. Manufacturer requests for Risk Evaluations submitted to EPA are difficult to predict, but EPA expects that a single manufacturer will submit each request</w:t>
      </w:r>
      <w:r w:rsidR="006A3A8A" w:rsidRPr="006B0F45">
        <w:t>.</w:t>
      </w:r>
    </w:p>
    <w:p w14:paraId="7A316F34" w14:textId="77777777" w:rsidR="006A3A8A" w:rsidRPr="006B0F45" w:rsidRDefault="006A3A8A" w:rsidP="006A3A8A">
      <w:pPr>
        <w:pStyle w:val="NoSpacing"/>
      </w:pPr>
    </w:p>
    <w:p w14:paraId="5584279C" w14:textId="77777777" w:rsidR="006A3A8A" w:rsidRPr="006B0F45" w:rsidRDefault="006A3A8A" w:rsidP="006A3A8A">
      <w:pPr>
        <w:pStyle w:val="NoSpacing"/>
      </w:pPr>
      <w:r w:rsidRPr="006B0F45">
        <w:t xml:space="preserve">The total number of firms affected per year is the product of the number of firms affected per action and the estimated number of actions per year. EPA estimates the number of </w:t>
      </w:r>
      <w:r w:rsidR="002934B7">
        <w:t>TSCA s</w:t>
      </w:r>
      <w:r w:rsidRPr="006B0F45">
        <w:t>ection 4 actions</w:t>
      </w:r>
      <w:r w:rsidR="000A63A0" w:rsidRPr="006B0F45">
        <w:t xml:space="preserve"> </w:t>
      </w:r>
      <w:r w:rsidR="004C615A" w:rsidRPr="00F32C65">
        <w:t xml:space="preserve">based on </w:t>
      </w:r>
      <w:r w:rsidR="004C615A" w:rsidRPr="00B02938">
        <w:t>previous experience and expected work under TSCA as amended</w:t>
      </w:r>
      <w:r w:rsidR="004C615A">
        <w:t xml:space="preserve">, for a </w:t>
      </w:r>
      <w:r w:rsidR="00DA4B3B" w:rsidRPr="006B0F45">
        <w:t xml:space="preserve">total </w:t>
      </w:r>
      <w:r w:rsidR="004C615A">
        <w:t xml:space="preserve">of </w:t>
      </w:r>
      <w:r w:rsidRPr="006B0F45">
        <w:t xml:space="preserve">twelve actions per year. </w:t>
      </w:r>
      <w:r w:rsidR="002934B7">
        <w:t>TSCA s</w:t>
      </w:r>
      <w:r w:rsidRPr="006B0F45">
        <w:t>ect</w:t>
      </w:r>
      <w:r w:rsidR="00317B10">
        <w:t xml:space="preserve">ion 5 actions are estimated </w:t>
      </w:r>
      <w:r w:rsidR="00C85B59">
        <w:t>to</w:t>
      </w:r>
      <w:r w:rsidRPr="006B0F45">
        <w:t xml:space="preserve"> total 1,</w:t>
      </w:r>
      <w:r w:rsidR="00106423" w:rsidRPr="006B0F45">
        <w:t>0</w:t>
      </w:r>
      <w:r w:rsidR="00106423">
        <w:t>22</w:t>
      </w:r>
      <w:r w:rsidR="00106423" w:rsidRPr="006B0F45">
        <w:t xml:space="preserve"> </w:t>
      </w:r>
      <w:r w:rsidR="00DA4B3B" w:rsidRPr="006B0F45">
        <w:t xml:space="preserve">submissions </w:t>
      </w:r>
      <w:r w:rsidRPr="006B0F45">
        <w:t>per year</w:t>
      </w:r>
      <w:r w:rsidR="00C85B59">
        <w:t xml:space="preserve">, and this estimate is based on a 20% reduction in the number of PMNs received by EPA in FY16, to account for </w:t>
      </w:r>
      <w:r w:rsidR="00343EF8">
        <w:t xml:space="preserve">the impact of </w:t>
      </w:r>
      <w:r w:rsidR="00C85B59">
        <w:t>higher fees, plus the number of Exemption notices received by EPA in FY16</w:t>
      </w:r>
      <w:r w:rsidRPr="006B0F45">
        <w:t xml:space="preserve">. </w:t>
      </w:r>
      <w:r w:rsidR="004C615A" w:rsidRPr="00F32C65">
        <w:t>The Agency expects to have between 20 and 30 Risk Evaluations ongoing in any given year at different stages in the review process, including manufacturer-requested evaluations</w:t>
      </w:r>
      <w:r w:rsidR="004C615A">
        <w:t>, for an average of 10 Risk Evaluations</w:t>
      </w:r>
      <w:r w:rsidR="002F7B06">
        <w:t xml:space="preserve"> initiated</w:t>
      </w:r>
      <w:r w:rsidR="004C615A">
        <w:t xml:space="preserve"> per year</w:t>
      </w:r>
      <w:r w:rsidR="004C615A" w:rsidRPr="00F32C65">
        <w:t>.</w:t>
      </w:r>
      <w:r w:rsidR="004C615A">
        <w:t xml:space="preserve"> </w:t>
      </w:r>
      <w:r w:rsidRPr="006B0F45">
        <w:t>Combined with the number of firms affected per action, the total number of firms impacted per year is 1,</w:t>
      </w:r>
      <w:r w:rsidR="00106423" w:rsidRPr="006B0F45">
        <w:t>4</w:t>
      </w:r>
      <w:r w:rsidR="00106423">
        <w:t>1</w:t>
      </w:r>
      <w:r w:rsidR="004C615A">
        <w:t>8</w:t>
      </w:r>
      <w:r w:rsidR="00106423" w:rsidRPr="006B0F45">
        <w:t xml:space="preserve"> </w:t>
      </w:r>
      <w:r w:rsidR="00DA4B3B" w:rsidRPr="006B0F45">
        <w:t>firms;</w:t>
      </w:r>
      <w:r w:rsidRPr="006B0F45">
        <w:t xml:space="preserve"> 336 firms from </w:t>
      </w:r>
      <w:r w:rsidR="002934B7">
        <w:t>TSCA s</w:t>
      </w:r>
      <w:r w:rsidRPr="006B0F45">
        <w:t>ection 4 actions, 1,</w:t>
      </w:r>
      <w:r w:rsidR="00106423" w:rsidRPr="006B0F45">
        <w:t>0</w:t>
      </w:r>
      <w:r w:rsidR="00106423">
        <w:t>22</w:t>
      </w:r>
      <w:r w:rsidR="00106423" w:rsidRPr="006B0F45">
        <w:t xml:space="preserve"> </w:t>
      </w:r>
      <w:r w:rsidRPr="006B0F45">
        <w:t xml:space="preserve">firms from </w:t>
      </w:r>
      <w:r w:rsidR="002934B7">
        <w:t>TSCA s</w:t>
      </w:r>
      <w:r w:rsidRPr="006B0F45">
        <w:t>ection 5 actions</w:t>
      </w:r>
      <w:r w:rsidR="00DA4B3B" w:rsidRPr="006B0F45">
        <w:t>,</w:t>
      </w:r>
      <w:r w:rsidRPr="006B0F45">
        <w:t xml:space="preserve"> and </w:t>
      </w:r>
      <w:r w:rsidR="004C615A">
        <w:t>60</w:t>
      </w:r>
      <w:r w:rsidR="00106423" w:rsidRPr="006B0F45">
        <w:t xml:space="preserve"> </w:t>
      </w:r>
      <w:r w:rsidRPr="006B0F45">
        <w:t xml:space="preserve">firms from </w:t>
      </w:r>
      <w:r w:rsidR="002934B7">
        <w:t>TSCA s</w:t>
      </w:r>
      <w:r w:rsidRPr="006B0F45">
        <w:t>ection 6 actions.</w:t>
      </w:r>
    </w:p>
    <w:p w14:paraId="49F0601E" w14:textId="77777777" w:rsidR="006A3A8A" w:rsidRPr="006B0F45" w:rsidRDefault="006A3A8A" w:rsidP="006A3A8A">
      <w:pPr>
        <w:pStyle w:val="NoSpacing"/>
      </w:pPr>
    </w:p>
    <w:p w14:paraId="25A42D93" w14:textId="77777777" w:rsidR="006A3A8A" w:rsidRPr="006B0F45" w:rsidRDefault="006A3A8A" w:rsidP="006A3A8A">
      <w:pPr>
        <w:pStyle w:val="NoSpacing"/>
        <w:rPr>
          <w:u w:val="single"/>
        </w:rPr>
      </w:pPr>
      <w:r w:rsidRPr="006B0F45">
        <w:rPr>
          <w:u w:val="single"/>
        </w:rPr>
        <w:t>Rule Familiarization</w:t>
      </w:r>
    </w:p>
    <w:p w14:paraId="26752F9A" w14:textId="77777777" w:rsidR="006A3A8A" w:rsidRPr="006B0F45" w:rsidRDefault="006A3A8A" w:rsidP="006A3A8A">
      <w:r w:rsidRPr="006B0F45">
        <w:t xml:space="preserve">EPA assumes that each firm subject to a fee </w:t>
      </w:r>
      <w:r w:rsidR="00DA4B3B" w:rsidRPr="006B0F45">
        <w:t>will</w:t>
      </w:r>
      <w:r w:rsidRPr="006B0F45">
        <w:t xml:space="preserve"> spend </w:t>
      </w:r>
      <w:r w:rsidR="004367D6" w:rsidRPr="006B0F45">
        <w:t>0</w:t>
      </w:r>
      <w:r w:rsidR="00DA4B3B" w:rsidRPr="006B0F45">
        <w:t xml:space="preserve">.5 hours </w:t>
      </w:r>
      <w:r w:rsidRPr="006B0F45">
        <w:t xml:space="preserve">becoming familiar with the requirements and developing an understanding of what actions are necessary to comply with the fee payment requirements. This is estimated as a one-time burden. The burden is estimated to occur the first </w:t>
      </w:r>
      <w:r w:rsidR="004A19BD" w:rsidRPr="006B0F45">
        <w:t xml:space="preserve">time a firm is affected by the </w:t>
      </w:r>
      <w:r w:rsidR="008168B2">
        <w:t>requirements</w:t>
      </w:r>
      <w:r w:rsidRPr="006B0F45">
        <w:t xml:space="preserve">. </w:t>
      </w:r>
      <w:r w:rsidR="00FF1484">
        <w:t>For analytical purposes</w:t>
      </w:r>
      <w:r w:rsidR="007A499E">
        <w:t>,</w:t>
      </w:r>
      <w:r w:rsidR="004367D6" w:rsidRPr="006B0F45">
        <w:t xml:space="preserve"> EPA assumes that no firm will be subject to any of the </w:t>
      </w:r>
      <w:r w:rsidR="00FF1484">
        <w:t xml:space="preserve">fee-triggering actions under </w:t>
      </w:r>
      <w:r w:rsidR="002934B7">
        <w:t>TSCA section</w:t>
      </w:r>
      <w:r w:rsidR="00FF1484">
        <w:t>s</w:t>
      </w:r>
      <w:r w:rsidR="002934B7">
        <w:t xml:space="preserve"> 4,</w:t>
      </w:r>
      <w:r w:rsidR="004367D6" w:rsidRPr="006B0F45">
        <w:t xml:space="preserve"> 5, or 6 </w:t>
      </w:r>
      <w:r w:rsidR="00F30E98">
        <w:t>more than once over the three-</w:t>
      </w:r>
      <w:r w:rsidR="004367D6" w:rsidRPr="006B0F45">
        <w:t>year period of this ICR.</w:t>
      </w:r>
      <w:r w:rsidRPr="006B0F45">
        <w:t xml:space="preserve"> Therefore, </w:t>
      </w:r>
      <w:r w:rsidR="00FF1484">
        <w:t xml:space="preserve">the </w:t>
      </w:r>
      <w:r w:rsidRPr="006B0F45">
        <w:t xml:space="preserve">average burden per respondent for each </w:t>
      </w:r>
      <w:r w:rsidR="00FF1484">
        <w:t xml:space="preserve">of the three years of analysis </w:t>
      </w:r>
      <w:r w:rsidRPr="006B0F45">
        <w:t xml:space="preserve">is calculated as </w:t>
      </w:r>
      <w:r w:rsidR="002C15B0" w:rsidRPr="006B0F45">
        <w:t xml:space="preserve">0.5/3 = 0.167 </w:t>
      </w:r>
      <w:r w:rsidRPr="006B0F45">
        <w:t>hour</w:t>
      </w:r>
      <w:r w:rsidR="00D27C11" w:rsidRPr="006B0F45">
        <w:t>s</w:t>
      </w:r>
      <w:r w:rsidRPr="006B0F45">
        <w:t>/year.</w:t>
      </w:r>
    </w:p>
    <w:p w14:paraId="78B0008E" w14:textId="77777777" w:rsidR="006A3A8A" w:rsidRPr="006B0F45" w:rsidRDefault="006A3A8A" w:rsidP="006A3A8A">
      <w:pPr>
        <w:pStyle w:val="NoSpacing"/>
      </w:pPr>
    </w:p>
    <w:p w14:paraId="13125115" w14:textId="77777777" w:rsidR="006A3A8A" w:rsidRPr="006B0F45" w:rsidRDefault="00FF1484" w:rsidP="004A19BD">
      <w:pPr>
        <w:keepNext/>
        <w:rPr>
          <w:u w:val="single"/>
        </w:rPr>
      </w:pPr>
      <w:r>
        <w:rPr>
          <w:u w:val="single"/>
        </w:rPr>
        <w:t>Reduced</w:t>
      </w:r>
      <w:r w:rsidRPr="006B0F45">
        <w:rPr>
          <w:u w:val="single"/>
        </w:rPr>
        <w:t xml:space="preserve"> </w:t>
      </w:r>
      <w:r w:rsidR="002C15B0" w:rsidRPr="006B0F45">
        <w:rPr>
          <w:u w:val="single"/>
        </w:rPr>
        <w:t>Fee Eligibility Determination</w:t>
      </w:r>
    </w:p>
    <w:p w14:paraId="40BD5218" w14:textId="77777777" w:rsidR="006A3A8A" w:rsidRPr="00B744EE" w:rsidRDefault="004367D6" w:rsidP="00C13C7B">
      <w:pPr>
        <w:pStyle w:val="NormalBullets1"/>
        <w:numPr>
          <w:ilvl w:val="0"/>
          <w:numId w:val="0"/>
        </w:numPr>
        <w:rPr>
          <w:rFonts w:cs="Arial"/>
          <w:szCs w:val="24"/>
        </w:rPr>
      </w:pPr>
      <w:r w:rsidRPr="006B0F45">
        <w:rPr>
          <w:rFonts w:ascii="Arial" w:eastAsiaTheme="minorHAnsi" w:hAnsi="Arial" w:cstheme="minorBidi"/>
          <w:sz w:val="24"/>
          <w:szCs w:val="22"/>
        </w:rPr>
        <w:t xml:space="preserve">The </w:t>
      </w:r>
      <w:r w:rsidR="008168B2">
        <w:rPr>
          <w:rFonts w:ascii="Arial" w:eastAsiaTheme="minorHAnsi" w:hAnsi="Arial" w:cstheme="minorBidi"/>
          <w:sz w:val="24"/>
          <w:szCs w:val="22"/>
        </w:rPr>
        <w:t>regulation</w:t>
      </w:r>
      <w:r w:rsidRPr="006B0F45">
        <w:rPr>
          <w:rFonts w:ascii="Arial" w:eastAsiaTheme="minorHAnsi" w:hAnsi="Arial" w:cstheme="minorBidi"/>
          <w:sz w:val="24"/>
          <w:szCs w:val="22"/>
        </w:rPr>
        <w:t xml:space="preserve"> </w:t>
      </w:r>
      <w:r w:rsidR="00FF1484">
        <w:rPr>
          <w:rFonts w:ascii="Arial" w:eastAsiaTheme="minorHAnsi" w:hAnsi="Arial" w:cstheme="minorBidi"/>
          <w:sz w:val="24"/>
          <w:szCs w:val="22"/>
        </w:rPr>
        <w:t>establishes reduced</w:t>
      </w:r>
      <w:r w:rsidRPr="006B0F45">
        <w:rPr>
          <w:rFonts w:ascii="Arial" w:eastAsiaTheme="minorHAnsi" w:hAnsi="Arial" w:cstheme="minorBidi"/>
          <w:sz w:val="24"/>
          <w:szCs w:val="22"/>
        </w:rPr>
        <w:t xml:space="preserve"> fees for firms</w:t>
      </w:r>
      <w:r w:rsidR="006A3A8A" w:rsidRPr="006B0F45">
        <w:rPr>
          <w:rFonts w:ascii="Arial" w:eastAsiaTheme="minorHAnsi" w:hAnsi="Arial" w:cstheme="minorBidi"/>
          <w:sz w:val="24"/>
          <w:szCs w:val="22"/>
        </w:rPr>
        <w:t xml:space="preserve"> with </w:t>
      </w:r>
      <w:r w:rsidR="007A06CE" w:rsidRPr="007A06CE">
        <w:rPr>
          <w:rFonts w:ascii="Arial" w:eastAsiaTheme="minorHAnsi" w:hAnsi="Arial" w:cstheme="minorBidi"/>
          <w:sz w:val="24"/>
          <w:szCs w:val="22"/>
        </w:rPr>
        <w:t>a number of employees below the thresholds list</w:t>
      </w:r>
      <w:r w:rsidR="00851F51">
        <w:rPr>
          <w:rFonts w:ascii="Arial" w:eastAsiaTheme="minorHAnsi" w:hAnsi="Arial" w:cstheme="minorBidi"/>
          <w:sz w:val="24"/>
          <w:szCs w:val="22"/>
        </w:rPr>
        <w:t>ed</w:t>
      </w:r>
      <w:r w:rsidR="007A06CE" w:rsidRPr="007A06CE">
        <w:rPr>
          <w:rFonts w:ascii="Arial" w:eastAsiaTheme="minorHAnsi" w:hAnsi="Arial" w:cstheme="minorBidi"/>
          <w:sz w:val="24"/>
          <w:szCs w:val="22"/>
        </w:rPr>
        <w:t xml:space="preserve"> in </w:t>
      </w:r>
      <w:r w:rsidR="008168B2">
        <w:rPr>
          <w:rFonts w:ascii="Arial" w:eastAsiaTheme="minorHAnsi" w:hAnsi="Arial" w:cstheme="minorBidi"/>
          <w:sz w:val="24"/>
          <w:szCs w:val="22"/>
        </w:rPr>
        <w:t>40 CFR</w:t>
      </w:r>
      <w:r w:rsidR="007A06CE" w:rsidRPr="007A06CE">
        <w:rPr>
          <w:rFonts w:ascii="Arial" w:eastAsiaTheme="minorHAnsi" w:hAnsi="Arial" w:cstheme="minorBidi"/>
          <w:sz w:val="24"/>
          <w:szCs w:val="22"/>
        </w:rPr>
        <w:t xml:space="preserve"> 700.43 “Definitions applicable to this subpart” or fewer than 500 employees if the firm is not in an industry sector that appears in th</w:t>
      </w:r>
      <w:r w:rsidR="008168B2">
        <w:rPr>
          <w:rFonts w:ascii="Arial" w:eastAsiaTheme="minorHAnsi" w:hAnsi="Arial" w:cstheme="minorBidi"/>
          <w:sz w:val="24"/>
          <w:szCs w:val="22"/>
        </w:rPr>
        <w:t>at</w:t>
      </w:r>
      <w:r w:rsidR="007A06CE" w:rsidRPr="007A06CE">
        <w:rPr>
          <w:rFonts w:ascii="Arial" w:eastAsiaTheme="minorHAnsi" w:hAnsi="Arial" w:cstheme="minorBidi"/>
          <w:sz w:val="24"/>
          <w:szCs w:val="22"/>
        </w:rPr>
        <w:t xml:space="preserve"> table</w:t>
      </w:r>
      <w:r w:rsidR="006A3A8A" w:rsidRPr="006B0F45">
        <w:rPr>
          <w:rFonts w:ascii="Arial" w:eastAsiaTheme="minorHAnsi" w:hAnsi="Arial" w:cstheme="minorBidi"/>
          <w:sz w:val="24"/>
          <w:szCs w:val="22"/>
        </w:rPr>
        <w:t xml:space="preserve">. EPA estimates 0.5 hours of </w:t>
      </w:r>
      <w:r w:rsidR="00D27C11" w:rsidRPr="006B0F45">
        <w:rPr>
          <w:rFonts w:ascii="Arial" w:eastAsiaTheme="minorHAnsi" w:hAnsi="Arial" w:cstheme="minorBidi"/>
          <w:sz w:val="24"/>
          <w:szCs w:val="22"/>
        </w:rPr>
        <w:t>managerial burden</w:t>
      </w:r>
      <w:r w:rsidR="006A3A8A" w:rsidRPr="006B0F45">
        <w:rPr>
          <w:rFonts w:ascii="Arial" w:eastAsiaTheme="minorHAnsi" w:hAnsi="Arial" w:cstheme="minorBidi"/>
          <w:sz w:val="24"/>
          <w:szCs w:val="22"/>
        </w:rPr>
        <w:t xml:space="preserve"> to review the </w:t>
      </w:r>
      <w:r w:rsidR="000C09C9">
        <w:rPr>
          <w:rFonts w:ascii="Arial" w:eastAsiaTheme="minorHAnsi" w:hAnsi="Arial" w:cstheme="minorBidi"/>
          <w:sz w:val="24"/>
          <w:szCs w:val="22"/>
        </w:rPr>
        <w:t>employee-based</w:t>
      </w:r>
      <w:r w:rsidR="006A3A8A" w:rsidRPr="006B0F45">
        <w:rPr>
          <w:rFonts w:ascii="Arial" w:eastAsiaTheme="minorHAnsi" w:hAnsi="Arial" w:cstheme="minorBidi"/>
          <w:sz w:val="24"/>
          <w:szCs w:val="22"/>
        </w:rPr>
        <w:t xml:space="preserve"> threshold </w:t>
      </w:r>
      <w:r w:rsidR="00FF1484">
        <w:rPr>
          <w:rFonts w:ascii="Arial" w:eastAsiaTheme="minorHAnsi" w:hAnsi="Arial" w:cstheme="minorBidi"/>
          <w:sz w:val="24"/>
          <w:szCs w:val="22"/>
        </w:rPr>
        <w:t xml:space="preserve">established </w:t>
      </w:r>
      <w:r w:rsidR="00DE5648" w:rsidRPr="006B0F45">
        <w:rPr>
          <w:rFonts w:ascii="Arial" w:eastAsiaTheme="minorHAnsi" w:hAnsi="Arial" w:cstheme="minorBidi"/>
          <w:sz w:val="24"/>
          <w:szCs w:val="22"/>
        </w:rPr>
        <w:t xml:space="preserve">for firms eligible for a </w:t>
      </w:r>
      <w:r w:rsidR="00D76B48">
        <w:rPr>
          <w:rFonts w:ascii="Arial" w:eastAsiaTheme="minorHAnsi" w:hAnsi="Arial" w:cstheme="minorBidi"/>
          <w:sz w:val="24"/>
          <w:szCs w:val="22"/>
        </w:rPr>
        <w:t>reduced</w:t>
      </w:r>
      <w:r w:rsidR="00D76B48" w:rsidRPr="006B0F45">
        <w:rPr>
          <w:rFonts w:ascii="Arial" w:eastAsiaTheme="minorHAnsi" w:hAnsi="Arial" w:cstheme="minorBidi"/>
          <w:sz w:val="24"/>
          <w:szCs w:val="22"/>
        </w:rPr>
        <w:t xml:space="preserve"> </w:t>
      </w:r>
      <w:r w:rsidR="00DE5648" w:rsidRPr="006B0F45">
        <w:rPr>
          <w:rFonts w:ascii="Arial" w:eastAsiaTheme="minorHAnsi" w:hAnsi="Arial" w:cstheme="minorBidi"/>
          <w:sz w:val="24"/>
          <w:szCs w:val="22"/>
        </w:rPr>
        <w:t xml:space="preserve">fee </w:t>
      </w:r>
      <w:r w:rsidR="006A3A8A" w:rsidRPr="006B0F45">
        <w:rPr>
          <w:rFonts w:ascii="Arial" w:eastAsiaTheme="minorHAnsi" w:hAnsi="Arial" w:cstheme="minorBidi"/>
          <w:sz w:val="24"/>
          <w:szCs w:val="22"/>
        </w:rPr>
        <w:t xml:space="preserve">and compare </w:t>
      </w:r>
      <w:r w:rsidR="00FF1484">
        <w:rPr>
          <w:rFonts w:ascii="Arial" w:eastAsiaTheme="minorHAnsi" w:hAnsi="Arial" w:cstheme="minorBidi"/>
          <w:sz w:val="24"/>
          <w:szCs w:val="22"/>
        </w:rPr>
        <w:t>that threshold</w:t>
      </w:r>
      <w:r w:rsidR="00FF1484" w:rsidRPr="006B0F45">
        <w:rPr>
          <w:rFonts w:ascii="Arial" w:eastAsiaTheme="minorHAnsi" w:hAnsi="Arial" w:cstheme="minorBidi"/>
          <w:sz w:val="24"/>
          <w:szCs w:val="22"/>
        </w:rPr>
        <w:t xml:space="preserve"> </w:t>
      </w:r>
      <w:r w:rsidR="006A3A8A" w:rsidRPr="006B0F45">
        <w:rPr>
          <w:rFonts w:ascii="Arial" w:eastAsiaTheme="minorHAnsi" w:hAnsi="Arial" w:cstheme="minorBidi"/>
          <w:sz w:val="24"/>
          <w:szCs w:val="22"/>
        </w:rPr>
        <w:t>to the fi</w:t>
      </w:r>
      <w:r w:rsidR="00DE5648" w:rsidRPr="006B0F45">
        <w:rPr>
          <w:rFonts w:ascii="Arial" w:eastAsiaTheme="minorHAnsi" w:hAnsi="Arial" w:cstheme="minorBidi"/>
          <w:sz w:val="24"/>
          <w:szCs w:val="22"/>
        </w:rPr>
        <w:t xml:space="preserve">rm’s </w:t>
      </w:r>
      <w:r w:rsidR="00B900AD">
        <w:rPr>
          <w:rFonts w:ascii="Arial" w:eastAsiaTheme="minorHAnsi" w:hAnsi="Arial" w:cstheme="minorBidi"/>
          <w:sz w:val="24"/>
          <w:szCs w:val="22"/>
        </w:rPr>
        <w:t>number of employees to determine</w:t>
      </w:r>
      <w:r w:rsidR="006A3A8A" w:rsidRPr="006B0F45">
        <w:rPr>
          <w:rFonts w:ascii="Arial" w:eastAsiaTheme="minorHAnsi" w:hAnsi="Arial" w:cstheme="minorBidi"/>
          <w:sz w:val="24"/>
          <w:szCs w:val="22"/>
        </w:rPr>
        <w:t xml:space="preserve"> eligibility for the </w:t>
      </w:r>
      <w:r w:rsidR="00FF1484">
        <w:rPr>
          <w:rFonts w:ascii="Arial" w:eastAsiaTheme="minorHAnsi" w:hAnsi="Arial" w:cstheme="minorBidi"/>
          <w:sz w:val="24"/>
          <w:szCs w:val="22"/>
        </w:rPr>
        <w:t>reduced fee</w:t>
      </w:r>
      <w:r w:rsidR="006A3A8A" w:rsidRPr="006B0F45">
        <w:rPr>
          <w:rFonts w:ascii="Arial" w:eastAsiaTheme="minorHAnsi" w:hAnsi="Arial" w:cstheme="minorBidi"/>
          <w:sz w:val="24"/>
          <w:szCs w:val="22"/>
        </w:rPr>
        <w:t xml:space="preserve">. </w:t>
      </w:r>
      <w:r w:rsidR="00292275" w:rsidRPr="006B0F45">
        <w:rPr>
          <w:rFonts w:ascii="Arial" w:eastAsiaTheme="minorHAnsi" w:hAnsi="Arial" w:cstheme="minorBidi"/>
          <w:sz w:val="24"/>
          <w:szCs w:val="22"/>
        </w:rPr>
        <w:t xml:space="preserve">EPA assumes that the proportion of firms that will incur this </w:t>
      </w:r>
      <w:r w:rsidR="00292275">
        <w:rPr>
          <w:rFonts w:ascii="Arial" w:eastAsiaTheme="minorHAnsi" w:hAnsi="Arial" w:cstheme="minorBidi"/>
          <w:sz w:val="24"/>
          <w:szCs w:val="22"/>
        </w:rPr>
        <w:t xml:space="preserve">burden </w:t>
      </w:r>
      <w:r w:rsidR="00292275" w:rsidRPr="006B0F45">
        <w:rPr>
          <w:rFonts w:ascii="Arial" w:eastAsiaTheme="minorHAnsi" w:hAnsi="Arial" w:cstheme="minorBidi"/>
          <w:sz w:val="24"/>
          <w:szCs w:val="22"/>
        </w:rPr>
        <w:t>is roughly equivalent to the proportion of affected firms that are small</w:t>
      </w:r>
      <w:r w:rsidR="00292275">
        <w:rPr>
          <w:rFonts w:ascii="Arial" w:eastAsiaTheme="minorHAnsi" w:hAnsi="Arial" w:cstheme="minorBidi"/>
          <w:sz w:val="24"/>
          <w:szCs w:val="22"/>
        </w:rPr>
        <w:t xml:space="preserve"> businesses, as defined by the Small Business Administration (SBA)</w:t>
      </w:r>
      <w:r w:rsidR="00292275" w:rsidRPr="006B0F45">
        <w:rPr>
          <w:rFonts w:ascii="Arial" w:eastAsiaTheme="minorHAnsi" w:hAnsi="Arial" w:cstheme="minorBidi"/>
          <w:sz w:val="24"/>
          <w:szCs w:val="22"/>
        </w:rPr>
        <w:t xml:space="preserve">. </w:t>
      </w:r>
      <w:r w:rsidR="006A3A8A" w:rsidRPr="006B0F45">
        <w:rPr>
          <w:rFonts w:ascii="Arial" w:eastAsiaTheme="minorHAnsi" w:hAnsi="Arial" w:cstheme="minorBidi"/>
          <w:sz w:val="24"/>
          <w:szCs w:val="22"/>
        </w:rPr>
        <w:t xml:space="preserve">EPA estimates that </w:t>
      </w:r>
      <w:r w:rsidR="00292275">
        <w:rPr>
          <w:rFonts w:ascii="Arial" w:eastAsiaTheme="minorHAnsi" w:hAnsi="Arial" w:cstheme="minorBidi"/>
          <w:sz w:val="24"/>
          <w:szCs w:val="22"/>
        </w:rPr>
        <w:t xml:space="preserve">SBA-defined </w:t>
      </w:r>
      <w:r w:rsidR="006A3A8A" w:rsidRPr="006B0F45">
        <w:rPr>
          <w:rFonts w:ascii="Arial" w:eastAsiaTheme="minorHAnsi" w:hAnsi="Arial" w:cstheme="minorBidi"/>
          <w:sz w:val="24"/>
          <w:szCs w:val="22"/>
        </w:rPr>
        <w:t xml:space="preserve">small businesses account for one in four 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4</w:t>
      </w:r>
      <w:r w:rsidR="00803F2D" w:rsidRPr="006B0F45">
        <w:rPr>
          <w:rFonts w:ascii="Arial" w:eastAsiaTheme="minorHAnsi" w:hAnsi="Arial" w:cstheme="minorBidi"/>
          <w:sz w:val="24"/>
          <w:szCs w:val="22"/>
        </w:rPr>
        <w:t xml:space="preserve"> actions</w:t>
      </w:r>
      <w:r w:rsidR="006A3A8A" w:rsidRPr="006B0F45">
        <w:rPr>
          <w:rFonts w:ascii="Arial" w:eastAsiaTheme="minorHAnsi" w:hAnsi="Arial" w:cstheme="minorBidi"/>
          <w:sz w:val="24"/>
          <w:szCs w:val="22"/>
        </w:rPr>
        <w:t xml:space="preserve">, </w:t>
      </w:r>
      <w:r w:rsidR="00DE5648" w:rsidRPr="006B0F45">
        <w:rPr>
          <w:rFonts w:ascii="Arial" w:eastAsiaTheme="minorHAnsi" w:hAnsi="Arial" w:cstheme="minorBidi"/>
          <w:sz w:val="24"/>
          <w:szCs w:val="22"/>
        </w:rPr>
        <w:t>18.</w:t>
      </w:r>
      <w:r w:rsidR="003F7A09">
        <w:rPr>
          <w:rFonts w:ascii="Arial" w:eastAsiaTheme="minorHAnsi" w:hAnsi="Arial" w:cstheme="minorBidi"/>
          <w:sz w:val="24"/>
          <w:szCs w:val="22"/>
        </w:rPr>
        <w:t>6</w:t>
      </w:r>
      <w:r w:rsidR="00DE5648" w:rsidRPr="006B0F45">
        <w:rPr>
          <w:rFonts w:ascii="Arial" w:eastAsiaTheme="minorHAnsi" w:hAnsi="Arial" w:cstheme="minorBidi"/>
          <w:sz w:val="24"/>
          <w:szCs w:val="22"/>
        </w:rPr>
        <w:t>%</w:t>
      </w:r>
      <w:r w:rsidR="006A3A8A" w:rsidRPr="006B0F45">
        <w:rPr>
          <w:rFonts w:ascii="Arial" w:eastAsiaTheme="minorHAnsi" w:hAnsi="Arial" w:cstheme="minorBidi"/>
          <w:sz w:val="24"/>
          <w:szCs w:val="22"/>
        </w:rPr>
        <w:t xml:space="preserve"> of affected 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5</w:t>
      </w:r>
      <w:r w:rsidR="00803F2D" w:rsidRPr="006B0F45">
        <w:rPr>
          <w:rFonts w:ascii="Arial" w:eastAsiaTheme="minorHAnsi" w:hAnsi="Arial" w:cstheme="minorBidi"/>
          <w:sz w:val="24"/>
          <w:szCs w:val="22"/>
        </w:rPr>
        <w:t xml:space="preserve"> actions</w:t>
      </w:r>
      <w:r w:rsidR="00DE5648" w:rsidRPr="006B0F45">
        <w:rPr>
          <w:rFonts w:ascii="Arial" w:eastAsiaTheme="minorHAnsi" w:hAnsi="Arial" w:cstheme="minorBidi"/>
          <w:sz w:val="24"/>
          <w:szCs w:val="22"/>
        </w:rPr>
        <w:t>, and 2</w:t>
      </w:r>
      <w:r w:rsidR="00106423">
        <w:rPr>
          <w:rFonts w:ascii="Arial" w:eastAsiaTheme="minorHAnsi" w:hAnsi="Arial" w:cstheme="minorBidi"/>
          <w:sz w:val="24"/>
          <w:szCs w:val="22"/>
        </w:rPr>
        <w:t>4</w:t>
      </w:r>
      <w:r w:rsidR="00292275">
        <w:rPr>
          <w:rFonts w:ascii="Arial" w:eastAsiaTheme="minorHAnsi" w:hAnsi="Arial" w:cstheme="minorBidi"/>
          <w:sz w:val="24"/>
          <w:szCs w:val="22"/>
        </w:rPr>
        <w:t xml:space="preserve"> of the 60</w:t>
      </w:r>
      <w:r w:rsidR="006A3A8A" w:rsidRPr="006B0F45">
        <w:rPr>
          <w:rFonts w:ascii="Arial" w:eastAsiaTheme="minorHAnsi" w:hAnsi="Arial" w:cstheme="minorBidi"/>
          <w:sz w:val="24"/>
          <w:szCs w:val="22"/>
        </w:rPr>
        <w:t xml:space="preserve"> </w:t>
      </w:r>
      <w:r w:rsidR="00292275">
        <w:rPr>
          <w:rFonts w:ascii="Arial" w:eastAsiaTheme="minorHAnsi" w:hAnsi="Arial" w:cstheme="minorBidi"/>
          <w:sz w:val="24"/>
          <w:szCs w:val="22"/>
        </w:rPr>
        <w:t xml:space="preserve">total </w:t>
      </w:r>
      <w:r w:rsidR="006A3A8A" w:rsidRPr="006B0F45">
        <w:rPr>
          <w:rFonts w:ascii="Arial" w:eastAsiaTheme="minorHAnsi" w:hAnsi="Arial" w:cstheme="minorBidi"/>
          <w:sz w:val="24"/>
          <w:szCs w:val="22"/>
        </w:rPr>
        <w:t xml:space="preserve">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6</w:t>
      </w:r>
      <w:r w:rsidR="00D27C11" w:rsidRPr="006B0F45">
        <w:rPr>
          <w:rFonts w:ascii="Arial" w:eastAsiaTheme="minorHAnsi" w:hAnsi="Arial" w:cstheme="minorBidi"/>
          <w:sz w:val="24"/>
          <w:szCs w:val="22"/>
        </w:rPr>
        <w:t xml:space="preserve"> actions</w:t>
      </w:r>
      <w:r w:rsidR="006A3A8A" w:rsidRPr="006B0F45">
        <w:rPr>
          <w:rFonts w:ascii="Arial" w:eastAsiaTheme="minorHAnsi" w:hAnsi="Arial" w:cstheme="minorBidi"/>
          <w:sz w:val="24"/>
          <w:szCs w:val="22"/>
        </w:rPr>
        <w:t xml:space="preserve">. This </w:t>
      </w:r>
      <w:r w:rsidR="00DE5648" w:rsidRPr="006B0F45">
        <w:rPr>
          <w:rFonts w:ascii="Arial" w:eastAsiaTheme="minorHAnsi" w:hAnsi="Arial" w:cstheme="minorBidi"/>
          <w:sz w:val="24"/>
          <w:szCs w:val="22"/>
        </w:rPr>
        <w:t>may be an over</w:t>
      </w:r>
      <w:r w:rsidR="006A3A8A" w:rsidRPr="006B0F45">
        <w:rPr>
          <w:rFonts w:ascii="Arial" w:eastAsiaTheme="minorHAnsi" w:hAnsi="Arial" w:cstheme="minorBidi"/>
          <w:sz w:val="24"/>
          <w:szCs w:val="22"/>
        </w:rPr>
        <w:t xml:space="preserve">estimate </w:t>
      </w:r>
      <w:r w:rsidR="00DE5648" w:rsidRPr="006B0F45">
        <w:rPr>
          <w:rFonts w:ascii="Arial" w:eastAsiaTheme="minorHAnsi" w:hAnsi="Arial" w:cstheme="minorBidi"/>
          <w:sz w:val="24"/>
          <w:szCs w:val="22"/>
        </w:rPr>
        <w:t>as</w:t>
      </w:r>
      <w:r w:rsidR="006A3A8A" w:rsidRPr="006B0F45">
        <w:rPr>
          <w:rFonts w:ascii="Arial" w:eastAsiaTheme="minorHAnsi" w:hAnsi="Arial" w:cstheme="minorBidi"/>
          <w:sz w:val="24"/>
          <w:szCs w:val="22"/>
        </w:rPr>
        <w:t xml:space="preserve"> some small businesses will </w:t>
      </w:r>
      <w:r w:rsidR="00D76B48">
        <w:rPr>
          <w:rFonts w:ascii="Arial" w:eastAsiaTheme="minorHAnsi" w:hAnsi="Arial" w:cstheme="minorBidi"/>
          <w:sz w:val="24"/>
          <w:szCs w:val="22"/>
        </w:rPr>
        <w:t xml:space="preserve">already know their size status under SBA size standards and will, therefore, </w:t>
      </w:r>
      <w:r w:rsidR="006A3A8A" w:rsidRPr="006B0F45">
        <w:rPr>
          <w:rFonts w:ascii="Arial" w:eastAsiaTheme="minorHAnsi" w:hAnsi="Arial" w:cstheme="minorBidi"/>
          <w:sz w:val="24"/>
          <w:szCs w:val="22"/>
        </w:rPr>
        <w:t xml:space="preserve">not spend the time to confirm eligibility for the </w:t>
      </w:r>
      <w:r w:rsidR="00292275">
        <w:rPr>
          <w:rFonts w:ascii="Arial" w:eastAsiaTheme="minorHAnsi" w:hAnsi="Arial" w:cstheme="minorBidi"/>
          <w:sz w:val="24"/>
          <w:szCs w:val="22"/>
        </w:rPr>
        <w:t>reduced fee</w:t>
      </w:r>
      <w:r w:rsidR="00D76B48">
        <w:rPr>
          <w:rFonts w:ascii="Arial" w:eastAsiaTheme="minorHAnsi" w:hAnsi="Arial" w:cstheme="minorBidi"/>
          <w:sz w:val="24"/>
          <w:szCs w:val="22"/>
        </w:rPr>
        <w:t>.</w:t>
      </w:r>
      <w:r w:rsidR="003F7A09">
        <w:t xml:space="preserve"> </w:t>
      </w:r>
      <w:r w:rsidR="00D27C11" w:rsidRPr="00C13C7B">
        <w:rPr>
          <w:rFonts w:ascii="Arial" w:hAnsi="Arial" w:cs="Arial"/>
          <w:sz w:val="24"/>
          <w:szCs w:val="24"/>
        </w:rPr>
        <w:t>This</w:t>
      </w:r>
      <w:r w:rsidR="006A3A8A" w:rsidRPr="00C13C7B">
        <w:rPr>
          <w:rFonts w:ascii="Arial" w:hAnsi="Arial" w:cs="Arial"/>
          <w:sz w:val="24"/>
          <w:szCs w:val="24"/>
        </w:rPr>
        <w:t xml:space="preserve"> burden is </w:t>
      </w:r>
      <w:r w:rsidR="00D27C11" w:rsidRPr="00C13C7B">
        <w:rPr>
          <w:rFonts w:ascii="Arial" w:hAnsi="Arial" w:cs="Arial"/>
          <w:sz w:val="24"/>
          <w:szCs w:val="24"/>
        </w:rPr>
        <w:t>assumed t</w:t>
      </w:r>
      <w:r w:rsidR="006A3A8A" w:rsidRPr="00C13C7B">
        <w:rPr>
          <w:rFonts w:ascii="Arial" w:hAnsi="Arial" w:cs="Arial"/>
          <w:sz w:val="24"/>
          <w:szCs w:val="24"/>
        </w:rPr>
        <w:t xml:space="preserve">o </w:t>
      </w:r>
      <w:r w:rsidR="00DF53E1" w:rsidRPr="00C13C7B">
        <w:rPr>
          <w:rFonts w:ascii="Arial" w:hAnsi="Arial" w:cs="Arial"/>
          <w:sz w:val="24"/>
          <w:szCs w:val="24"/>
        </w:rPr>
        <w:t>oc</w:t>
      </w:r>
      <w:r w:rsidR="00803F2D" w:rsidRPr="00C13C7B">
        <w:rPr>
          <w:rFonts w:ascii="Arial" w:hAnsi="Arial" w:cs="Arial"/>
          <w:sz w:val="24"/>
          <w:szCs w:val="24"/>
        </w:rPr>
        <w:t xml:space="preserve">cur once </w:t>
      </w:r>
      <w:r w:rsidR="00892262" w:rsidRPr="00C13C7B">
        <w:rPr>
          <w:rFonts w:ascii="Arial" w:hAnsi="Arial" w:cs="Arial"/>
          <w:sz w:val="24"/>
          <w:szCs w:val="24"/>
        </w:rPr>
        <w:t>for each affected firm over the</w:t>
      </w:r>
      <w:r w:rsidR="00803F2D" w:rsidRPr="00C13C7B">
        <w:rPr>
          <w:rFonts w:ascii="Arial" w:hAnsi="Arial" w:cs="Arial"/>
          <w:sz w:val="24"/>
          <w:szCs w:val="24"/>
        </w:rPr>
        <w:t xml:space="preserve"> three-year period of this ICR</w:t>
      </w:r>
      <w:r w:rsidR="006A3A8A" w:rsidRPr="00C13C7B">
        <w:rPr>
          <w:rFonts w:ascii="Arial" w:hAnsi="Arial" w:cs="Arial"/>
          <w:sz w:val="24"/>
          <w:szCs w:val="24"/>
        </w:rPr>
        <w:t xml:space="preserve">. </w:t>
      </w:r>
      <w:r w:rsidR="00892262" w:rsidRPr="00C13C7B">
        <w:rPr>
          <w:rFonts w:ascii="Arial" w:hAnsi="Arial" w:cs="Arial"/>
          <w:sz w:val="24"/>
          <w:szCs w:val="24"/>
        </w:rPr>
        <w:t xml:space="preserve">Since EPA assumes that no firm will be subject to any of the </w:t>
      </w:r>
      <w:r w:rsidR="002934B7" w:rsidRPr="00C13C7B">
        <w:rPr>
          <w:rFonts w:ascii="Arial" w:hAnsi="Arial" w:cs="Arial"/>
          <w:sz w:val="24"/>
          <w:szCs w:val="24"/>
        </w:rPr>
        <w:t>TSCA s</w:t>
      </w:r>
      <w:r w:rsidR="00892262" w:rsidRPr="00C13C7B">
        <w:rPr>
          <w:rFonts w:ascii="Arial" w:hAnsi="Arial" w:cs="Arial"/>
          <w:sz w:val="24"/>
          <w:szCs w:val="24"/>
        </w:rPr>
        <w:t>ection 4, 5, or 6 action</w:t>
      </w:r>
      <w:r w:rsidR="00D27C11" w:rsidRPr="00C13C7B">
        <w:rPr>
          <w:rFonts w:ascii="Arial" w:hAnsi="Arial" w:cs="Arial"/>
          <w:sz w:val="24"/>
          <w:szCs w:val="24"/>
        </w:rPr>
        <w:t>s more than once over the three-</w:t>
      </w:r>
      <w:r w:rsidR="00892262" w:rsidRPr="00C13C7B">
        <w:rPr>
          <w:rFonts w:ascii="Arial" w:hAnsi="Arial" w:cs="Arial"/>
          <w:sz w:val="24"/>
          <w:szCs w:val="24"/>
        </w:rPr>
        <w:t>year period of this ICR</w:t>
      </w:r>
      <w:r w:rsidR="006A3A8A" w:rsidRPr="00C13C7B">
        <w:rPr>
          <w:rFonts w:ascii="Arial" w:hAnsi="Arial" w:cs="Arial"/>
          <w:sz w:val="24"/>
          <w:szCs w:val="24"/>
        </w:rPr>
        <w:t xml:space="preserve">, </w:t>
      </w:r>
      <w:r w:rsidR="00892262" w:rsidRPr="00C13C7B">
        <w:rPr>
          <w:rFonts w:ascii="Arial" w:hAnsi="Arial" w:cs="Arial"/>
          <w:sz w:val="24"/>
          <w:szCs w:val="24"/>
        </w:rPr>
        <w:t xml:space="preserve">the </w:t>
      </w:r>
      <w:r w:rsidR="006A3A8A" w:rsidRPr="00C13C7B">
        <w:rPr>
          <w:rFonts w:ascii="Arial" w:hAnsi="Arial" w:cs="Arial"/>
          <w:sz w:val="24"/>
          <w:szCs w:val="24"/>
        </w:rPr>
        <w:t xml:space="preserve">average burden per respondent is calculated as </w:t>
      </w:r>
      <w:r w:rsidR="00803F2D" w:rsidRPr="00C13C7B">
        <w:rPr>
          <w:rFonts w:ascii="Arial" w:hAnsi="Arial" w:cs="Arial"/>
          <w:sz w:val="24"/>
          <w:szCs w:val="24"/>
        </w:rPr>
        <w:t>0.5</w:t>
      </w:r>
      <w:r w:rsidR="002C15B0" w:rsidRPr="00C13C7B">
        <w:rPr>
          <w:rFonts w:ascii="Arial" w:hAnsi="Arial" w:cs="Arial"/>
          <w:sz w:val="24"/>
          <w:szCs w:val="24"/>
        </w:rPr>
        <w:t>/3 = 0.167</w:t>
      </w:r>
      <w:r w:rsidR="006A3A8A" w:rsidRPr="00C13C7B">
        <w:rPr>
          <w:rFonts w:ascii="Arial" w:hAnsi="Arial" w:cs="Arial"/>
          <w:sz w:val="24"/>
          <w:szCs w:val="24"/>
        </w:rPr>
        <w:t xml:space="preserve"> hour</w:t>
      </w:r>
      <w:r w:rsidR="00D27C11" w:rsidRPr="00C13C7B">
        <w:rPr>
          <w:rFonts w:ascii="Arial" w:hAnsi="Arial" w:cs="Arial"/>
          <w:sz w:val="24"/>
          <w:szCs w:val="24"/>
        </w:rPr>
        <w:t>s</w:t>
      </w:r>
      <w:r w:rsidR="006A3A8A" w:rsidRPr="00C13C7B">
        <w:rPr>
          <w:rFonts w:ascii="Arial" w:hAnsi="Arial" w:cs="Arial"/>
          <w:sz w:val="24"/>
          <w:szCs w:val="24"/>
        </w:rPr>
        <w:t>/year.</w:t>
      </w:r>
    </w:p>
    <w:p w14:paraId="1497D293" w14:textId="77777777" w:rsidR="00292275" w:rsidRDefault="00292275" w:rsidP="006A3A8A">
      <w:pPr>
        <w:rPr>
          <w:u w:val="single"/>
        </w:rPr>
      </w:pPr>
      <w:r>
        <w:rPr>
          <w:u w:val="single"/>
        </w:rPr>
        <w:t>CDX Registration</w:t>
      </w:r>
    </w:p>
    <w:p w14:paraId="1F7602C8" w14:textId="77777777" w:rsidR="00396B3F" w:rsidRDefault="003F5761" w:rsidP="00C13C7B">
      <w:pPr>
        <w:pStyle w:val="NoSpacing"/>
      </w:pPr>
      <w:r>
        <w:t xml:space="preserve">Firms subject to fee payments are required to submit information to EPA using CDX. </w:t>
      </w:r>
      <w:r w:rsidR="008168B2">
        <w:t>Since c</w:t>
      </w:r>
      <w:r>
        <w:t xml:space="preserve">ompanies submitting new chemical notices under TSCA section 5 are </w:t>
      </w:r>
      <w:r w:rsidR="008168B2">
        <w:t xml:space="preserve">already </w:t>
      </w:r>
      <w:r>
        <w:t>required th</w:t>
      </w:r>
      <w:r w:rsidR="008168B2">
        <w:t>r</w:t>
      </w:r>
      <w:r>
        <w:t xml:space="preserve">ough existing regulations to submit these notices using CDX, burden associated with new CDX registrants under TSCA section 5 is already accounted for </w:t>
      </w:r>
      <w:r w:rsidR="008168B2">
        <w:t xml:space="preserve">elsewhere </w:t>
      </w:r>
      <w:r>
        <w:t>in an existing ICR.</w:t>
      </w:r>
      <w:r w:rsidR="00992286" w:rsidRPr="00C13C7B">
        <w:rPr>
          <w:rStyle w:val="FootnoteReference"/>
          <w:vertAlign w:val="superscript"/>
        </w:rPr>
        <w:footnoteReference w:id="2"/>
      </w:r>
      <w:r>
        <w:t xml:space="preserve"> Similarly, firms subject to fee-triggering activities under TSCA section 4 are </w:t>
      </w:r>
      <w:r w:rsidR="008168B2">
        <w:t xml:space="preserve">already </w:t>
      </w:r>
      <w:r>
        <w:t>required to submit testing and other related information to EPA using CDX</w:t>
      </w:r>
      <w:r w:rsidR="00396B3F">
        <w:t xml:space="preserve">, so burden associated with new CDX registrants under TSCA section 4 is already accounted for </w:t>
      </w:r>
      <w:r w:rsidR="008168B2">
        <w:t xml:space="preserve">elsewhere </w:t>
      </w:r>
      <w:r w:rsidR="00396B3F">
        <w:t>in an existing ICR</w:t>
      </w:r>
      <w:r>
        <w:t>.</w:t>
      </w:r>
      <w:r w:rsidR="00992286" w:rsidRPr="00C13C7B">
        <w:rPr>
          <w:rStyle w:val="FootnoteReference"/>
          <w:vertAlign w:val="superscript"/>
        </w:rPr>
        <w:footnoteReference w:id="3"/>
      </w:r>
      <w:r>
        <w:t xml:space="preserve"> Manufacturers requesting Risk Evaluations are required to provide the submission package to EPA via CD</w:t>
      </w:r>
      <w:r w:rsidR="00396B3F">
        <w:t xml:space="preserve">X, so burden associated with new CDX registrants requesting Risk Evaluations is </w:t>
      </w:r>
      <w:r w:rsidR="008168B2">
        <w:t xml:space="preserve">also </w:t>
      </w:r>
      <w:r w:rsidR="00396B3F">
        <w:t xml:space="preserve">already accounted for </w:t>
      </w:r>
      <w:r w:rsidR="008168B2">
        <w:t xml:space="preserve">elsewhere </w:t>
      </w:r>
      <w:r w:rsidR="00396B3F">
        <w:t>in an existing ICR.</w:t>
      </w:r>
      <w:r w:rsidR="007A077F" w:rsidRPr="00C13C7B">
        <w:rPr>
          <w:rStyle w:val="FootnoteReference"/>
          <w:vertAlign w:val="superscript"/>
        </w:rPr>
        <w:footnoteReference w:id="4"/>
      </w:r>
      <w:r w:rsidR="00396B3F">
        <w:t xml:space="preserve"> While some manufacturers subject to Risk Evaluations initiated by EPA under TSCA section 6</w:t>
      </w:r>
      <w:r>
        <w:t xml:space="preserve"> may </w:t>
      </w:r>
      <w:r w:rsidR="00396B3F">
        <w:t xml:space="preserve">already </w:t>
      </w:r>
      <w:r>
        <w:t>be familiar with the CDX system and may be registered</w:t>
      </w:r>
      <w:r w:rsidR="00396B3F">
        <w:t xml:space="preserve"> CDX</w:t>
      </w:r>
      <w:r>
        <w:t xml:space="preserve"> users </w:t>
      </w:r>
      <w:r w:rsidR="00396B3F">
        <w:t xml:space="preserve">from prior experience with TSCA submissions, </w:t>
      </w:r>
      <w:r>
        <w:t>there is no way to</w:t>
      </w:r>
      <w:r w:rsidR="00B530C1">
        <w:t xml:space="preserve"> </w:t>
      </w:r>
      <w:r>
        <w:t>estimate which manufacturers are familiar with CDX and</w:t>
      </w:r>
      <w:r w:rsidR="00396B3F">
        <w:t xml:space="preserve"> which are new to the system. T</w:t>
      </w:r>
      <w:r>
        <w:t xml:space="preserve">herefore, EPA assumes </w:t>
      </w:r>
      <w:r w:rsidR="00396B3F">
        <w:t>that all 58 manufacturers subject to EPA-initiated Risk Evaluations under TSCA section 6 each year are</w:t>
      </w:r>
      <w:r>
        <w:t xml:space="preserve"> new </w:t>
      </w:r>
      <w:r w:rsidR="00396B3F">
        <w:t xml:space="preserve">CDX </w:t>
      </w:r>
      <w:r>
        <w:t xml:space="preserve">users </w:t>
      </w:r>
      <w:r w:rsidR="00396B3F">
        <w:t>and, therefore</w:t>
      </w:r>
      <w:r>
        <w:t xml:space="preserve">, </w:t>
      </w:r>
      <w:r w:rsidR="00396B3F">
        <w:t>are experiencing this burden for the first time</w:t>
      </w:r>
      <w:r>
        <w:t>.</w:t>
      </w:r>
      <w:r w:rsidR="00321D7B">
        <w:t xml:space="preserve"> </w:t>
      </w:r>
      <w:r w:rsidR="00396B3F" w:rsidRPr="006B0F45">
        <w:t xml:space="preserve">This burden is assumed to occur once for each affected firm over the three-year period of this ICR. Since EPA assumes that no firm will be subject to any </w:t>
      </w:r>
      <w:r w:rsidR="00396B3F">
        <w:t>action</w:t>
      </w:r>
      <w:r w:rsidR="00396B3F" w:rsidRPr="006B0F45">
        <w:t xml:space="preserve"> more than once over the three-year period of this ICR, the average burden per respondent is calculated as 0.5/3 = 0.167 hours/year.</w:t>
      </w:r>
    </w:p>
    <w:p w14:paraId="0D558109" w14:textId="77777777" w:rsidR="003F5761" w:rsidRPr="00C13C7B" w:rsidRDefault="003F5761" w:rsidP="00C13C7B">
      <w:pPr>
        <w:pStyle w:val="NoSpacing"/>
      </w:pPr>
    </w:p>
    <w:p w14:paraId="2443E999" w14:textId="77777777" w:rsidR="00396B3F" w:rsidRDefault="00396B3F" w:rsidP="006A3A8A">
      <w:pPr>
        <w:rPr>
          <w:u w:val="single"/>
        </w:rPr>
      </w:pPr>
      <w:r>
        <w:rPr>
          <w:u w:val="single"/>
        </w:rPr>
        <w:t xml:space="preserve">Notification of Participation in </w:t>
      </w:r>
      <w:r w:rsidR="00B744EE">
        <w:rPr>
          <w:u w:val="single"/>
        </w:rPr>
        <w:t>Consortium</w:t>
      </w:r>
    </w:p>
    <w:p w14:paraId="5C655651" w14:textId="77777777" w:rsidR="00321D7B" w:rsidRPr="006B0F45" w:rsidRDefault="00396B3F" w:rsidP="00321D7B">
      <w:pPr>
        <w:pStyle w:val="NoSpacing"/>
      </w:pPr>
      <w:r>
        <w:t xml:space="preserve">The principal sponsor for </w:t>
      </w:r>
      <w:r w:rsidR="00B530C1">
        <w:t xml:space="preserve">the </w:t>
      </w:r>
      <w:r>
        <w:t>f</w:t>
      </w:r>
      <w:r w:rsidRPr="006B0F45">
        <w:t xml:space="preserve">irms subject to </w:t>
      </w:r>
      <w:r w:rsidRPr="002934B7">
        <w:t>TSCA s</w:t>
      </w:r>
      <w:r w:rsidRPr="006B0F45">
        <w:t xml:space="preserve">ection 4 or 6 actions who decide to join consortium, must </w:t>
      </w:r>
      <w:r>
        <w:t>notify</w:t>
      </w:r>
      <w:r w:rsidRPr="009462D5">
        <w:t xml:space="preserve"> EPA </w:t>
      </w:r>
      <w:r w:rsidR="00321D7B">
        <w:t xml:space="preserve">via CDX of the formation </w:t>
      </w:r>
      <w:r w:rsidR="00B530C1">
        <w:t xml:space="preserve">about </w:t>
      </w:r>
      <w:r w:rsidR="00321D7B">
        <w:t>the consortium and provide the following information:</w:t>
      </w:r>
      <w:r w:rsidR="00321D7B" w:rsidRPr="00CB09DE">
        <w:t xml:space="preserve"> the name, address, telephone number and signature of the principle sponsor and the names and contact information for each manufacturer and/or processor associating with the </w:t>
      </w:r>
      <w:r w:rsidR="00B744EE">
        <w:t>consortium</w:t>
      </w:r>
      <w:r w:rsidR="00321D7B">
        <w:t>. For analytical purposes</w:t>
      </w:r>
      <w:r w:rsidRPr="009462D5">
        <w:t xml:space="preserve">, EPA assumes that all firms will </w:t>
      </w:r>
      <w:r w:rsidR="00321D7B">
        <w:t>opt to join</w:t>
      </w:r>
      <w:r w:rsidRPr="009462D5">
        <w:t xml:space="preserve"> a consortium when possible</w:t>
      </w:r>
      <w:r w:rsidR="00321D7B">
        <w:t xml:space="preserve">, such that only one firm per TSCA section 4 and TSCA section 6 action will identify themselves as the principal sponsor of the consortium and experience this burden. </w:t>
      </w:r>
      <w:r w:rsidR="00321D7B" w:rsidRPr="006B0F45">
        <w:t xml:space="preserve">EPA estimates that this will require 0.25 hours per year of technical burden to </w:t>
      </w:r>
      <w:r w:rsidR="00321D7B">
        <w:t>submit the information to EPA</w:t>
      </w:r>
      <w:r w:rsidR="00321D7B" w:rsidRPr="006B0F45">
        <w:t>.</w:t>
      </w:r>
      <w:r w:rsidR="00321D7B">
        <w:t xml:space="preserve"> </w:t>
      </w:r>
      <w:r w:rsidR="00321D7B" w:rsidRPr="009462D5">
        <w:t xml:space="preserve">EPA estimates this burden to </w:t>
      </w:r>
      <w:r w:rsidR="00321D7B" w:rsidRPr="006B0F45">
        <w:t xml:space="preserve">occur once over the three-year period of this ICR. Thus, the average annual burden is calculated as </w:t>
      </w:r>
      <w:r w:rsidR="00321D7B">
        <w:t>0.25</w:t>
      </w:r>
      <w:r w:rsidR="00321D7B" w:rsidRPr="006B0F45">
        <w:t>/3 = 0.</w:t>
      </w:r>
      <w:r w:rsidR="00321D7B">
        <w:t>083</w:t>
      </w:r>
      <w:r w:rsidR="00321D7B" w:rsidRPr="006B0F45">
        <w:t xml:space="preserve"> hours/year</w:t>
      </w:r>
      <w:r w:rsidR="00321D7B">
        <w:t>.</w:t>
      </w:r>
    </w:p>
    <w:p w14:paraId="36AD430F" w14:textId="77777777" w:rsidR="00396B3F" w:rsidRPr="00C13C7B" w:rsidRDefault="00396B3F" w:rsidP="006A3A8A"/>
    <w:p w14:paraId="2FF263ED" w14:textId="77777777" w:rsidR="00321D7B" w:rsidRDefault="00321D7B" w:rsidP="006A3A8A">
      <w:pPr>
        <w:rPr>
          <w:u w:val="single"/>
        </w:rPr>
      </w:pPr>
      <w:r>
        <w:rPr>
          <w:u w:val="single"/>
        </w:rPr>
        <w:t>Self-identification and Certification</w:t>
      </w:r>
    </w:p>
    <w:p w14:paraId="00F04DE6" w14:textId="77777777" w:rsidR="007A499E" w:rsidRPr="006B0F45" w:rsidRDefault="00FD3FCF" w:rsidP="007A499E">
      <w:pPr>
        <w:pStyle w:val="NoSpacing"/>
      </w:pPr>
      <w:r>
        <w:rPr>
          <w:rFonts w:cs="Arial"/>
        </w:rPr>
        <w:t>Firms that are either subject to fees or have been identified by EPA as being subject to fees under</w:t>
      </w:r>
      <w:r w:rsidRPr="00295815">
        <w:rPr>
          <w:rFonts w:cs="Arial"/>
        </w:rPr>
        <w:t xml:space="preserve"> </w:t>
      </w:r>
      <w:r>
        <w:rPr>
          <w:rFonts w:cs="Arial"/>
        </w:rPr>
        <w:t>TSCA</w:t>
      </w:r>
      <w:r w:rsidRPr="00295815">
        <w:rPr>
          <w:rFonts w:cs="Arial"/>
        </w:rPr>
        <w:t xml:space="preserve"> section 4 </w:t>
      </w:r>
      <w:r>
        <w:rPr>
          <w:rFonts w:cs="Arial"/>
        </w:rPr>
        <w:t>Test Rules</w:t>
      </w:r>
      <w:r w:rsidRPr="00295815">
        <w:rPr>
          <w:rFonts w:cs="Arial"/>
        </w:rPr>
        <w:t xml:space="preserve"> and </w:t>
      </w:r>
      <w:r>
        <w:rPr>
          <w:rFonts w:cs="Arial"/>
        </w:rPr>
        <w:t xml:space="preserve">TSCA </w:t>
      </w:r>
      <w:r w:rsidRPr="00295815">
        <w:rPr>
          <w:rFonts w:cs="Arial"/>
        </w:rPr>
        <w:t>section 6 EPA-initiated Risk Evaluations must submit notice to EPA</w:t>
      </w:r>
      <w:r>
        <w:rPr>
          <w:rFonts w:cs="Arial"/>
        </w:rPr>
        <w:t>, identifying whether</w:t>
      </w:r>
      <w:r w:rsidRPr="00FD3FCF">
        <w:rPr>
          <w:rFonts w:eastAsia="Times New Roman"/>
          <w:lang w:val="en"/>
        </w:rPr>
        <w:t xml:space="preserve"> </w:t>
      </w:r>
      <w:r>
        <w:rPr>
          <w:rFonts w:eastAsia="Times New Roman"/>
          <w:lang w:val="en"/>
        </w:rPr>
        <w:t xml:space="preserve">they (1) manufacture the identified chemical, (2) </w:t>
      </w:r>
      <w:r w:rsidRPr="00AC06FF">
        <w:rPr>
          <w:rFonts w:eastAsia="Times New Roman"/>
          <w:lang w:val="en"/>
        </w:rPr>
        <w:t xml:space="preserve">have </w:t>
      </w:r>
      <w:r>
        <w:rPr>
          <w:rFonts w:eastAsia="Times New Roman"/>
          <w:lang w:val="en"/>
        </w:rPr>
        <w:t xml:space="preserve">already </w:t>
      </w:r>
      <w:r w:rsidRPr="00AC06FF">
        <w:rPr>
          <w:rFonts w:eastAsia="Times New Roman"/>
          <w:lang w:val="en"/>
        </w:rPr>
        <w:t>ceased manufacturing</w:t>
      </w:r>
      <w:r>
        <w:rPr>
          <w:rFonts w:eastAsia="Times New Roman"/>
          <w:lang w:val="en"/>
        </w:rPr>
        <w:t xml:space="preserve"> prior to the defined cutoff dates and will not manufacture for five years into the future, or (3) have not ever manufactured the chemical substance</w:t>
      </w:r>
      <w:r w:rsidRPr="00AC06FF">
        <w:rPr>
          <w:rFonts w:eastAsia="Times New Roman"/>
          <w:lang w:val="en"/>
        </w:rPr>
        <w:t>.</w:t>
      </w:r>
      <w:r>
        <w:rPr>
          <w:rFonts w:cs="Arial"/>
        </w:rPr>
        <w:t xml:space="preserve"> Firms </w:t>
      </w:r>
      <w:r w:rsidR="00B530C1">
        <w:rPr>
          <w:rFonts w:cs="Arial"/>
        </w:rPr>
        <w:t>ar</w:t>
      </w:r>
      <w:r>
        <w:rPr>
          <w:rFonts w:cs="Arial"/>
        </w:rPr>
        <w:t xml:space="preserve">e required to provide certain basic contact information and certify their statements of Cessation and/or No Manufacture. </w:t>
      </w:r>
      <w:r w:rsidR="007A499E">
        <w:rPr>
          <w:rFonts w:cs="Arial"/>
        </w:rPr>
        <w:t xml:space="preserve">EPA estimates that 28 firms will report this information to EPA as a result of one Test Rule per year. Similarly, 58 firms are expected to report this information to EPA as a result of approximately eight EPA-initiated Risk Evaluations per year. </w:t>
      </w:r>
      <w:r w:rsidR="007A499E" w:rsidRPr="009462D5">
        <w:t xml:space="preserve">EPA estimates this burden to </w:t>
      </w:r>
      <w:r w:rsidR="007A499E" w:rsidRPr="006B0F45">
        <w:t xml:space="preserve">occur once </w:t>
      </w:r>
      <w:r w:rsidR="007A499E">
        <w:t xml:space="preserve">per respondent </w:t>
      </w:r>
      <w:r w:rsidR="007A499E" w:rsidRPr="006B0F45">
        <w:t xml:space="preserve">over the three-year period of this ICR. Thus, the average annual burden is calculated as </w:t>
      </w:r>
      <w:r w:rsidR="007A499E">
        <w:t>2.5</w:t>
      </w:r>
      <w:r w:rsidR="007A499E" w:rsidRPr="006B0F45">
        <w:t>/3 = 0.</w:t>
      </w:r>
      <w:r w:rsidR="007A499E">
        <w:t>833</w:t>
      </w:r>
      <w:r w:rsidR="007A499E" w:rsidRPr="006B0F45">
        <w:t xml:space="preserve"> hours/year</w:t>
      </w:r>
      <w:r w:rsidR="007A499E">
        <w:t>.</w:t>
      </w:r>
    </w:p>
    <w:p w14:paraId="1DE91905" w14:textId="3B59D1F1" w:rsidR="00321D7B" w:rsidRDefault="00321D7B" w:rsidP="006A3A8A">
      <w:pPr>
        <w:rPr>
          <w:rFonts w:cs="Arial"/>
        </w:rPr>
      </w:pPr>
    </w:p>
    <w:p w14:paraId="7FD7DB05" w14:textId="77777777" w:rsidR="006B0EF8" w:rsidRPr="006B0EF8" w:rsidRDefault="006B0EF8" w:rsidP="006B0EF8">
      <w:pPr>
        <w:pStyle w:val="NoSpacing"/>
      </w:pPr>
    </w:p>
    <w:p w14:paraId="12718B98" w14:textId="77777777" w:rsidR="006A3A8A" w:rsidRPr="006B0F45" w:rsidRDefault="006A3A8A" w:rsidP="006B0EF8">
      <w:pPr>
        <w:keepLines/>
        <w:rPr>
          <w:u w:val="single"/>
        </w:rPr>
      </w:pPr>
      <w:r w:rsidRPr="006B0F45">
        <w:rPr>
          <w:u w:val="single"/>
        </w:rPr>
        <w:t xml:space="preserve">Fee Payment </w:t>
      </w:r>
      <w:r w:rsidR="007A499E">
        <w:rPr>
          <w:u w:val="single"/>
        </w:rPr>
        <w:t>via Pay.gov</w:t>
      </w:r>
    </w:p>
    <w:p w14:paraId="2904FCBB" w14:textId="77777777" w:rsidR="006A3A8A" w:rsidRPr="006B0F45" w:rsidRDefault="00EE3D6D" w:rsidP="006B0EF8">
      <w:pPr>
        <w:keepLines/>
      </w:pPr>
      <w:r w:rsidRPr="006B0F45">
        <w:t xml:space="preserve">Firms </w:t>
      </w:r>
      <w:r w:rsidR="00F978BC">
        <w:t xml:space="preserve">are </w:t>
      </w:r>
      <w:r w:rsidRPr="006B0F45">
        <w:t xml:space="preserve">required to make fee payments electronically using </w:t>
      </w:r>
      <w:r w:rsidR="007A499E">
        <w:t>the</w:t>
      </w:r>
      <w:r w:rsidR="0001042C">
        <w:t xml:space="preserve"> secure, web-based</w:t>
      </w:r>
      <w:r w:rsidR="007A499E">
        <w:t xml:space="preserve"> collection portal</w:t>
      </w:r>
      <w:r w:rsidR="00B530C1">
        <w:t>, Pay.gov</w:t>
      </w:r>
      <w:r w:rsidRPr="006B0F45">
        <w:t xml:space="preserve">. Firms </w:t>
      </w:r>
      <w:r w:rsidR="00B530C1">
        <w:t>are</w:t>
      </w:r>
      <w:r w:rsidR="0001042C" w:rsidRPr="0001042C">
        <w:t xml:space="preserve"> expected to create payment accounts in Pay.gov and use one of the electronic payment methods currently supported by Pay.gov (e.g., Automated Clearing House debits (ACH) from bank accounts, credit card payments, debit card payments, PayPal or Dwolla). </w:t>
      </w:r>
      <w:r w:rsidRPr="006B0F45">
        <w:t xml:space="preserve">EPA estimates a burden of 0.5 hours per year of </w:t>
      </w:r>
      <w:r w:rsidR="00D27C11" w:rsidRPr="006B0F45">
        <w:t>technical burden</w:t>
      </w:r>
      <w:r w:rsidRPr="006B0F45">
        <w:t xml:space="preserve"> to collect </w:t>
      </w:r>
      <w:r w:rsidR="00D27C11" w:rsidRPr="006B0F45">
        <w:t>the required</w:t>
      </w:r>
      <w:r w:rsidRPr="006B0F45">
        <w:t xml:space="preserve"> information</w:t>
      </w:r>
      <w:r w:rsidR="0001042C">
        <w:t xml:space="preserve">, create a Pay.gov account, and submit the fee payment. In cases where a consortium is formed, EPA expects that the principal sponsor for the </w:t>
      </w:r>
      <w:r w:rsidR="00B744EE">
        <w:t>consortium</w:t>
      </w:r>
      <w:r w:rsidR="0001042C">
        <w:t xml:space="preserve"> </w:t>
      </w:r>
      <w:r w:rsidR="00B530C1">
        <w:t xml:space="preserve">to </w:t>
      </w:r>
      <w:r w:rsidR="0001042C">
        <w:t xml:space="preserve">be the one responsible for submitting the fee payment. </w:t>
      </w:r>
      <w:r w:rsidR="00A737F1" w:rsidRPr="006B0F45">
        <w:t xml:space="preserve">For each </w:t>
      </w:r>
      <w:r w:rsidR="0001042C">
        <w:t>firm submitting a fee payment through Pay.gov</w:t>
      </w:r>
      <w:r w:rsidR="00A737F1" w:rsidRPr="006B0F45">
        <w:t>, t</w:t>
      </w:r>
      <w:r w:rsidR="006A3A8A" w:rsidRPr="006B0F45">
        <w:t xml:space="preserve">he burden is estimated to occur </w:t>
      </w:r>
      <w:r w:rsidR="00DF53E1" w:rsidRPr="006B0F45">
        <w:t>once over the three-year period of this ICR</w:t>
      </w:r>
      <w:r w:rsidR="006A3A8A" w:rsidRPr="006B0F45">
        <w:t xml:space="preserve">. </w:t>
      </w:r>
      <w:r w:rsidR="00D27C11" w:rsidRPr="006B0F45">
        <w:t xml:space="preserve">Since </w:t>
      </w:r>
      <w:r w:rsidR="00A737F1" w:rsidRPr="006B0F45">
        <w:t xml:space="preserve">EPA assumes that no firm will be subject to any of the </w:t>
      </w:r>
      <w:r w:rsidR="002934B7">
        <w:t>TSCA s</w:t>
      </w:r>
      <w:r w:rsidR="00A737F1" w:rsidRPr="006B0F45">
        <w:t>ection 4, 5, or 6 actions more than once over the three</w:t>
      </w:r>
      <w:r w:rsidR="00D27C11" w:rsidRPr="006B0F45">
        <w:t>-</w:t>
      </w:r>
      <w:r w:rsidR="00A737F1" w:rsidRPr="006B0F45">
        <w:t xml:space="preserve">year period of this ICR, the average burden per respondent is calculated as </w:t>
      </w:r>
      <w:r w:rsidR="002C15B0" w:rsidRPr="006B0F45">
        <w:t xml:space="preserve">0.5/3 = 0.167 </w:t>
      </w:r>
      <w:r w:rsidR="00D27C11" w:rsidRPr="006B0F45">
        <w:t>hours</w:t>
      </w:r>
      <w:r w:rsidR="00A737F1" w:rsidRPr="006B0F45">
        <w:t>/year.</w:t>
      </w:r>
    </w:p>
    <w:p w14:paraId="3F605E19" w14:textId="77777777" w:rsidR="006A3A8A" w:rsidRDefault="006A3A8A" w:rsidP="000A65CA">
      <w:pPr>
        <w:pStyle w:val="NoSpacing"/>
      </w:pPr>
    </w:p>
    <w:p w14:paraId="6F06C433" w14:textId="77777777" w:rsidR="006A3A8A" w:rsidRPr="006B0F45" w:rsidRDefault="0001042C" w:rsidP="006A3A8A">
      <w:pPr>
        <w:rPr>
          <w:u w:val="single"/>
        </w:rPr>
      </w:pPr>
      <w:r>
        <w:rPr>
          <w:u w:val="single"/>
        </w:rPr>
        <w:t xml:space="preserve">Reporting </w:t>
      </w:r>
      <w:r w:rsidR="006A3A8A" w:rsidRPr="006B0F45">
        <w:rPr>
          <w:u w:val="single"/>
        </w:rPr>
        <w:t>Costs</w:t>
      </w:r>
    </w:p>
    <w:p w14:paraId="71A1DC40" w14:textId="77777777" w:rsidR="006A3A8A" w:rsidRPr="009462D5" w:rsidRDefault="006A3A8A" w:rsidP="00C744AE">
      <w:r w:rsidRPr="006B0F45">
        <w:t xml:space="preserve">Labor costs are based on fully loaded wage rates. </w:t>
      </w:r>
      <w:r w:rsidR="00C744AE" w:rsidRPr="006B0F45">
        <w:rPr>
          <w:rStyle w:val="BodyTextChar"/>
          <w:rFonts w:eastAsiaTheme="minorHAnsi"/>
        </w:rPr>
        <w:t>EPA obtained wage rates from the Employer Costs for Employee Compensation (ECEC) Supplementary Tables (</w:t>
      </w:r>
      <w:r w:rsidR="009F2663" w:rsidRPr="009462D5">
        <w:fldChar w:fldCharType="begin"/>
      </w:r>
      <w:r w:rsidR="009F2663" w:rsidRPr="006B0F45">
        <w:instrText xml:space="preserve"> ADDIN EN.CITE &lt;EndNote&gt;&lt;Cite ExcludeAuth="1"&gt;&lt;Author&gt;U.S. Bureau of Labor Statistics&lt;/Author&gt;&lt;Year&gt;2016&lt;/Year&gt;&lt;RecNum&gt;12&lt;/RecNum&gt;&lt;Prefix&gt;BLS`, &lt;/Prefix&gt;&lt;DisplayText&gt;BLS, 2016&lt;/DisplayText&gt;&lt;record&gt;&lt;rec-number&gt;12&lt;/rec-number&gt;&lt;foreign-keys&gt;&lt;key app="EN" db-id="vevfxsrp9dv5wbe52zs5vpvr09pvtwers59e" timestamp="1480361328"&gt;12&lt;/key&gt;&lt;/foreign-keys&gt;&lt;ref-type name="Generic"&gt;13&lt;/ref-type&gt;&lt;contributors&gt;&lt;authors&gt;&lt;author&gt;U.S. Bureau of Labor Statistics,&lt;/author&gt;&lt;/authors&gt;&lt;/contributors&gt;&lt;titles&gt;&lt;title&gt;Employer Costs for Employee Compensation (ECEC) Supplementary Tables: December 2015&lt;/title&gt;&lt;/titles&gt;&lt;dates&gt;&lt;year&gt;2016&lt;/year&gt;&lt;/dates&gt;&lt;urls&gt;&lt;related-urls&gt;&lt;url&gt;http://www.bls.gov/ncs/ect/sp/ecsuptc37.pdf&lt;/url&gt;&lt;/related-urls&gt;&lt;/urls&gt;&lt;/record&gt;&lt;/Cite&gt;&lt;/EndNote&gt;</w:instrText>
      </w:r>
      <w:r w:rsidR="009F2663" w:rsidRPr="009462D5">
        <w:fldChar w:fldCharType="separate"/>
      </w:r>
      <w:r w:rsidR="009F2663" w:rsidRPr="009462D5">
        <w:rPr>
          <w:noProof/>
        </w:rPr>
        <w:t>BLS, 201</w:t>
      </w:r>
      <w:r w:rsidR="009F2663">
        <w:rPr>
          <w:noProof/>
        </w:rPr>
        <w:t>8</w:t>
      </w:r>
      <w:r w:rsidR="009F2663" w:rsidRPr="009462D5">
        <w:fldChar w:fldCharType="end"/>
      </w:r>
      <w:r w:rsidR="00C744AE" w:rsidRPr="009462D5">
        <w:t>)</w:t>
      </w:r>
      <w:r w:rsidR="00C744AE" w:rsidRPr="009462D5">
        <w:rPr>
          <w:rStyle w:val="BodyTextChar"/>
          <w:rFonts w:eastAsiaTheme="minorHAnsi"/>
        </w:rPr>
        <w:t>.</w:t>
      </w:r>
      <w:r w:rsidR="00C744AE" w:rsidRPr="009462D5">
        <w:t xml:space="preserve"> EPA used the wage rate for Professional/Technical workers</w:t>
      </w:r>
      <w:r w:rsidR="009F2663">
        <w:t>,</w:t>
      </w:r>
      <w:r w:rsidR="00C744AE" w:rsidRPr="009462D5">
        <w:t xml:space="preserve"> </w:t>
      </w:r>
      <w:r w:rsidR="00D27C11" w:rsidRPr="006B0F45">
        <w:t>M</w:t>
      </w:r>
      <w:r w:rsidR="00AB6E44" w:rsidRPr="006B0F45">
        <w:t>anagers</w:t>
      </w:r>
      <w:r w:rsidR="009F2663">
        <w:t>, and Office and Administrative Support</w:t>
      </w:r>
      <w:r w:rsidR="00AB6E44" w:rsidRPr="006B0F45">
        <w:t xml:space="preserve"> </w:t>
      </w:r>
      <w:r w:rsidR="00C744AE" w:rsidRPr="006B0F45">
        <w:t xml:space="preserve">in private </w:t>
      </w:r>
      <w:r w:rsidR="00AB6E44" w:rsidRPr="006B0F45">
        <w:t xml:space="preserve">chemical </w:t>
      </w:r>
      <w:r w:rsidR="00C744AE" w:rsidRPr="006B0F45">
        <w:t xml:space="preserve">manufacturing industries. Fringe benefits are calculated based on the ratio of benefits to </w:t>
      </w:r>
      <w:r w:rsidR="00AB6E44" w:rsidRPr="006B0F45">
        <w:t xml:space="preserve">total compensation from the </w:t>
      </w:r>
      <w:r w:rsidR="009F2663" w:rsidRPr="006B0F45">
        <w:t>201</w:t>
      </w:r>
      <w:r w:rsidR="00480CAE">
        <w:t>8</w:t>
      </w:r>
      <w:r w:rsidR="009F2663" w:rsidRPr="006B0F45">
        <w:t xml:space="preserve"> </w:t>
      </w:r>
      <w:r w:rsidR="00C744AE" w:rsidRPr="006B0F45">
        <w:t>BLS Employer Costs for Employee Compensation data series (</w:t>
      </w:r>
      <w:r w:rsidR="009F2663" w:rsidRPr="009462D5">
        <w:fldChar w:fldCharType="begin"/>
      </w:r>
      <w:r w:rsidR="009F2663" w:rsidRPr="006B0F45">
        <w:instrText xml:space="preserve"> ADDIN EN.CITE &lt;EndNote&gt;&lt;Cite ExcludeAuth="1"&gt;&lt;Author&gt;U.S. Bureau of Labor Statistics&lt;/Author&gt;&lt;Year&gt;2016&lt;/Year&gt;&lt;RecNum&gt;12&lt;/RecNum&gt;&lt;Prefix&gt;BLS`, &lt;/Prefix&gt;&lt;DisplayText&gt;BLS, 2016&lt;/DisplayText&gt;&lt;record&gt;&lt;rec-number&gt;12&lt;/rec-number&gt;&lt;foreign-keys&gt;&lt;key app="EN" db-id="vevfxsrp9dv5wbe52zs5vpvr09pvtwers59e" timestamp="1480361328"&gt;12&lt;/key&gt;&lt;/foreign-keys&gt;&lt;ref-type name="Generic"&gt;13&lt;/ref-type&gt;&lt;contributors&gt;&lt;authors&gt;&lt;author&gt;U.S. Bureau of Labor Statistics,&lt;/author&gt;&lt;/authors&gt;&lt;/contributors&gt;&lt;titles&gt;&lt;title&gt;Employer Costs for Employee Compensation (ECEC) Supplementary Tables: December 2015&lt;/title&gt;&lt;/titles&gt;&lt;dates&gt;&lt;year&gt;2016&lt;/year&gt;&lt;/dates&gt;&lt;urls&gt;&lt;related-urls&gt;&lt;url&gt;http://www.bls.gov/ncs/ect/sp/ecsuptc37.pdf&lt;/url&gt;&lt;/related-urls&gt;&lt;/urls&gt;&lt;/record&gt;&lt;/Cite&gt;&lt;/EndNote&gt;</w:instrText>
      </w:r>
      <w:r w:rsidR="009F2663" w:rsidRPr="009462D5">
        <w:fldChar w:fldCharType="separate"/>
      </w:r>
      <w:r w:rsidR="009F2663" w:rsidRPr="009462D5">
        <w:rPr>
          <w:noProof/>
        </w:rPr>
        <w:t>BLS, 201</w:t>
      </w:r>
      <w:r w:rsidR="009F2663">
        <w:rPr>
          <w:noProof/>
        </w:rPr>
        <w:t>8</w:t>
      </w:r>
      <w:r w:rsidR="009F2663" w:rsidRPr="009462D5">
        <w:fldChar w:fldCharType="end"/>
      </w:r>
      <w:r w:rsidR="00C744AE" w:rsidRPr="009462D5">
        <w:t>). An overhead rate of 17 percent is used based on assumptions in Wage Rates for Economic Analysis of the Toxics Release Inventory Program (</w:t>
      </w:r>
      <w:r w:rsidR="00C744AE" w:rsidRPr="009462D5">
        <w:fldChar w:fldCharType="begin"/>
      </w:r>
      <w:r w:rsidR="00C744AE" w:rsidRPr="006B0F45">
        <w:instrText xml:space="preserve"> ADDIN EN.CITE &lt;EndNote&gt;&lt;Cite ExcludeAuth="1"&gt;&lt;Author&gt;Rice&lt;/Author&gt;&lt;Year&gt;2002&lt;/Year&gt;&lt;RecNum&gt;15&lt;/RecNum&gt;&lt;Prefix&gt;Rice`, &lt;/Prefix&gt;&lt;DisplayText&gt;Rice, 2002&lt;/DisplayText&gt;&lt;record&gt;&lt;rec-number&gt;15&lt;/rec-number&gt;&lt;foreign-keys&gt;&lt;key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Cite&gt;&lt;Author&gt;Rice&lt;/Author&gt;&lt;Year&gt;2002&lt;/Year&gt;&lt;RecNum&gt;15&lt;/RecNum&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Program&lt;/title&gt;&lt;/titles&gt;&lt;dates&gt;&lt;year&gt;2002&lt;/year&gt;&lt;/dates&gt;&lt;urls&gt;&lt;/urls&gt;&lt;/record&gt;&lt;/Cite&gt;&lt;/EndNote&gt;</w:instrText>
      </w:r>
      <w:r w:rsidR="00C744AE" w:rsidRPr="009462D5">
        <w:fldChar w:fldCharType="separate"/>
      </w:r>
      <w:r w:rsidR="00C744AE" w:rsidRPr="009462D5">
        <w:rPr>
          <w:noProof/>
        </w:rPr>
        <w:t>Rice, 2002</w:t>
      </w:r>
      <w:r w:rsidR="00C744AE" w:rsidRPr="009462D5">
        <w:fldChar w:fldCharType="end"/>
      </w:r>
      <w:r w:rsidR="00C744AE" w:rsidRPr="009462D5">
        <w:t xml:space="preserve">) and the Revised Economic Analysis for the Amended Inventory Update Rule: Final Report (EPA, 2001). </w:t>
      </w:r>
      <w:r w:rsidR="0037166D" w:rsidRPr="006B0F45">
        <w:t xml:space="preserve">The estimated </w:t>
      </w:r>
      <w:r w:rsidR="00126B70" w:rsidRPr="006B0F45">
        <w:t>fully loaded</w:t>
      </w:r>
      <w:r w:rsidR="00AB6E44" w:rsidRPr="006B0F45">
        <w:t xml:space="preserve"> hourly</w:t>
      </w:r>
      <w:r w:rsidR="00126B70" w:rsidRPr="006B0F45">
        <w:t xml:space="preserve"> </w:t>
      </w:r>
      <w:r w:rsidR="0037166D" w:rsidRPr="006B0F45">
        <w:t xml:space="preserve">wage </w:t>
      </w:r>
      <w:r w:rsidR="00126B70" w:rsidRPr="006B0F45">
        <w:t xml:space="preserve">rate </w:t>
      </w:r>
      <w:r w:rsidR="0037166D" w:rsidRPr="006B0F45">
        <w:t>for a technical worker</w:t>
      </w:r>
      <w:r w:rsidR="00A568A1" w:rsidRPr="006B0F45">
        <w:t xml:space="preserve"> </w:t>
      </w:r>
      <w:r w:rsidR="0037166D" w:rsidRPr="006B0F45">
        <w:t xml:space="preserve">in this industry is </w:t>
      </w:r>
      <w:r w:rsidR="006D7931" w:rsidRPr="006D7931">
        <w:t>$78.54</w:t>
      </w:r>
      <w:r w:rsidR="00D27C11" w:rsidRPr="006B0F45">
        <w:t xml:space="preserve">. The estimated fully loaded hourly wage rate for a manager in this industry is </w:t>
      </w:r>
      <w:r w:rsidR="006D7931" w:rsidRPr="006D7931">
        <w:t>$77.83</w:t>
      </w:r>
      <w:r w:rsidR="0037166D" w:rsidRPr="006B0F45">
        <w:t>.</w:t>
      </w:r>
      <w:r w:rsidR="00480CAE">
        <w:t xml:space="preserve"> The </w:t>
      </w:r>
      <w:r w:rsidR="00480CAE" w:rsidRPr="006B0F45">
        <w:t xml:space="preserve">estimated fully loaded hourly wage rate for </w:t>
      </w:r>
      <w:r w:rsidR="00480CAE">
        <w:t>clerical staff</w:t>
      </w:r>
      <w:r w:rsidR="00480CAE" w:rsidRPr="006B0F45">
        <w:t xml:space="preserve"> in this industry is </w:t>
      </w:r>
      <w:r w:rsidR="00480CAE" w:rsidRPr="006D7931">
        <w:t>$</w:t>
      </w:r>
      <w:r w:rsidR="00480CAE">
        <w:t>35.20.</w:t>
      </w:r>
    </w:p>
    <w:p w14:paraId="698B69AD" w14:textId="77777777" w:rsidR="006A384E" w:rsidRPr="006B0F45" w:rsidRDefault="006A384E" w:rsidP="00452297">
      <w:pPr>
        <w:pStyle w:val="NoSpacing"/>
        <w:rPr>
          <w:highlight w:val="yellow"/>
        </w:rPr>
      </w:pPr>
    </w:p>
    <w:p w14:paraId="2461F761" w14:textId="77777777" w:rsidR="00A568A1" w:rsidRDefault="000D1039" w:rsidP="00452297">
      <w:pPr>
        <w:pStyle w:val="NoSpacing"/>
      </w:pPr>
      <w:r w:rsidRPr="00C13C7B">
        <w:rPr>
          <w:b/>
        </w:rPr>
        <w:t>Table 1: Industry Wage Rates</w:t>
      </w:r>
    </w:p>
    <w:tbl>
      <w:tblPr>
        <w:tblW w:w="10844" w:type="dxa"/>
        <w:tblLook w:val="04A0" w:firstRow="1" w:lastRow="0" w:firstColumn="1" w:lastColumn="0" w:noHBand="0" w:noVBand="1"/>
      </w:tblPr>
      <w:tblGrid>
        <w:gridCol w:w="2445"/>
        <w:gridCol w:w="1795"/>
        <w:gridCol w:w="1299"/>
        <w:gridCol w:w="1656"/>
        <w:gridCol w:w="2119"/>
        <w:gridCol w:w="1530"/>
      </w:tblGrid>
      <w:tr w:rsidR="006D7931" w:rsidRPr="006D7931" w14:paraId="534132EC" w14:textId="77777777" w:rsidTr="00C13C7B">
        <w:trPr>
          <w:trHeight w:val="810"/>
        </w:trPr>
        <w:tc>
          <w:tcPr>
            <w:tcW w:w="2445" w:type="dxa"/>
            <w:vMerge w:val="restart"/>
            <w:tcBorders>
              <w:top w:val="single" w:sz="4" w:space="0" w:color="auto"/>
              <w:left w:val="single" w:sz="4" w:space="0" w:color="auto"/>
              <w:bottom w:val="single" w:sz="4" w:space="0" w:color="auto"/>
              <w:right w:val="single" w:sz="4" w:space="0" w:color="auto"/>
            </w:tcBorders>
            <w:shd w:val="clear" w:color="000000" w:fill="C3C6A8"/>
            <w:vAlign w:val="center"/>
            <w:hideMark/>
          </w:tcPr>
          <w:p w14:paraId="5D5BFC6F"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Labor Type</w:t>
            </w:r>
          </w:p>
        </w:tc>
        <w:tc>
          <w:tcPr>
            <w:tcW w:w="1795" w:type="dxa"/>
            <w:tcBorders>
              <w:top w:val="single" w:sz="4" w:space="0" w:color="auto"/>
              <w:left w:val="nil"/>
              <w:bottom w:val="single" w:sz="4" w:space="0" w:color="auto"/>
              <w:right w:val="single" w:sz="4" w:space="0" w:color="auto"/>
            </w:tcBorders>
            <w:shd w:val="clear" w:color="000000" w:fill="C3C6A8"/>
            <w:vAlign w:val="center"/>
            <w:hideMark/>
          </w:tcPr>
          <w:p w14:paraId="2CF01102"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Wage</w:t>
            </w:r>
          </w:p>
        </w:tc>
        <w:tc>
          <w:tcPr>
            <w:tcW w:w="1299" w:type="dxa"/>
            <w:tcBorders>
              <w:top w:val="single" w:sz="4" w:space="0" w:color="auto"/>
              <w:left w:val="nil"/>
              <w:bottom w:val="single" w:sz="4" w:space="0" w:color="auto"/>
              <w:right w:val="single" w:sz="4" w:space="0" w:color="auto"/>
            </w:tcBorders>
            <w:shd w:val="clear" w:color="000000" w:fill="C3C6A8"/>
            <w:vAlign w:val="center"/>
            <w:hideMark/>
          </w:tcPr>
          <w:p w14:paraId="10C935AC"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Fringes as % Wage</w:t>
            </w:r>
          </w:p>
        </w:tc>
        <w:tc>
          <w:tcPr>
            <w:tcW w:w="1656" w:type="dxa"/>
            <w:tcBorders>
              <w:top w:val="single" w:sz="4" w:space="0" w:color="auto"/>
              <w:left w:val="nil"/>
              <w:bottom w:val="single" w:sz="4" w:space="0" w:color="auto"/>
              <w:right w:val="single" w:sz="4" w:space="0" w:color="auto"/>
            </w:tcBorders>
            <w:shd w:val="clear" w:color="000000" w:fill="C3C6A8"/>
            <w:vAlign w:val="center"/>
            <w:hideMark/>
          </w:tcPr>
          <w:p w14:paraId="121CC6F4"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 xml:space="preserve">Over-head % wage </w:t>
            </w:r>
            <w:r>
              <w:rPr>
                <w:rFonts w:ascii="Arial Narrow" w:eastAsia="Times New Roman" w:hAnsi="Arial Narrow" w:cs="Times New Roman"/>
                <w:b/>
                <w:bCs/>
                <w:sz w:val="20"/>
                <w:szCs w:val="20"/>
                <w:vertAlign w:val="superscript"/>
              </w:rPr>
              <w:t>a</w:t>
            </w:r>
          </w:p>
        </w:tc>
        <w:tc>
          <w:tcPr>
            <w:tcW w:w="2119" w:type="dxa"/>
            <w:tcBorders>
              <w:top w:val="single" w:sz="4" w:space="0" w:color="auto"/>
              <w:left w:val="nil"/>
              <w:bottom w:val="single" w:sz="4" w:space="0" w:color="auto"/>
              <w:right w:val="single" w:sz="4" w:space="0" w:color="auto"/>
            </w:tcBorders>
            <w:shd w:val="clear" w:color="000000" w:fill="C3C6A8"/>
            <w:vAlign w:val="center"/>
            <w:hideMark/>
          </w:tcPr>
          <w:p w14:paraId="75092C58"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 xml:space="preserve">Fringe + Overhead Factor </w:t>
            </w:r>
            <w:r>
              <w:rPr>
                <w:rFonts w:ascii="Arial Narrow" w:eastAsia="Times New Roman" w:hAnsi="Arial Narrow" w:cs="Times New Roman"/>
                <w:b/>
                <w:bCs/>
                <w:sz w:val="20"/>
                <w:szCs w:val="20"/>
                <w:vertAlign w:val="superscript"/>
              </w:rPr>
              <w:t>b</w:t>
            </w:r>
          </w:p>
        </w:tc>
        <w:tc>
          <w:tcPr>
            <w:tcW w:w="1530" w:type="dxa"/>
            <w:tcBorders>
              <w:top w:val="single" w:sz="4" w:space="0" w:color="auto"/>
              <w:left w:val="nil"/>
              <w:bottom w:val="single" w:sz="4" w:space="0" w:color="auto"/>
              <w:right w:val="single" w:sz="4" w:space="0" w:color="auto"/>
            </w:tcBorders>
            <w:shd w:val="clear" w:color="000000" w:fill="C3C6A8"/>
            <w:vAlign w:val="center"/>
            <w:hideMark/>
          </w:tcPr>
          <w:p w14:paraId="7BF72486"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 xml:space="preserve">Loaded Wages </w:t>
            </w:r>
            <w:r>
              <w:rPr>
                <w:rFonts w:ascii="Arial Narrow" w:eastAsia="Times New Roman" w:hAnsi="Arial Narrow" w:cs="Times New Roman"/>
                <w:b/>
                <w:bCs/>
                <w:sz w:val="20"/>
                <w:szCs w:val="20"/>
                <w:vertAlign w:val="superscript"/>
              </w:rPr>
              <w:t>c</w:t>
            </w:r>
          </w:p>
        </w:tc>
      </w:tr>
      <w:tr w:rsidR="006D7931" w:rsidRPr="006D7931" w14:paraId="357BDA00" w14:textId="77777777" w:rsidTr="00C13C7B">
        <w:trPr>
          <w:trHeight w:val="435"/>
        </w:trPr>
        <w:tc>
          <w:tcPr>
            <w:tcW w:w="2445" w:type="dxa"/>
            <w:vMerge/>
            <w:tcBorders>
              <w:top w:val="single" w:sz="4" w:space="0" w:color="auto"/>
              <w:left w:val="single" w:sz="4" w:space="0" w:color="auto"/>
              <w:bottom w:val="single" w:sz="4" w:space="0" w:color="auto"/>
              <w:right w:val="single" w:sz="4" w:space="0" w:color="auto"/>
            </w:tcBorders>
            <w:vAlign w:val="center"/>
            <w:hideMark/>
          </w:tcPr>
          <w:p w14:paraId="074B6686" w14:textId="77777777" w:rsidR="006D7931" w:rsidRPr="006D7931" w:rsidRDefault="006D7931" w:rsidP="006D7931">
            <w:pPr>
              <w:rPr>
                <w:rFonts w:ascii="Arial Narrow" w:eastAsia="Times New Roman" w:hAnsi="Arial Narrow" w:cs="Times New Roman"/>
                <w:b/>
                <w:bCs/>
                <w:sz w:val="20"/>
                <w:szCs w:val="20"/>
              </w:rPr>
            </w:pPr>
          </w:p>
        </w:tc>
        <w:tc>
          <w:tcPr>
            <w:tcW w:w="1795" w:type="dxa"/>
            <w:tcBorders>
              <w:top w:val="nil"/>
              <w:left w:val="nil"/>
              <w:bottom w:val="single" w:sz="4" w:space="0" w:color="auto"/>
              <w:right w:val="single" w:sz="4" w:space="0" w:color="auto"/>
            </w:tcBorders>
            <w:shd w:val="clear" w:color="000000" w:fill="C3C6A8"/>
            <w:vAlign w:val="center"/>
            <w:hideMark/>
          </w:tcPr>
          <w:p w14:paraId="72A8CD89"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(a)</w:t>
            </w:r>
          </w:p>
        </w:tc>
        <w:tc>
          <w:tcPr>
            <w:tcW w:w="1299" w:type="dxa"/>
            <w:tcBorders>
              <w:top w:val="nil"/>
              <w:left w:val="nil"/>
              <w:bottom w:val="single" w:sz="4" w:space="0" w:color="auto"/>
              <w:right w:val="single" w:sz="4" w:space="0" w:color="auto"/>
            </w:tcBorders>
            <w:shd w:val="clear" w:color="000000" w:fill="C3C6A8"/>
            <w:vAlign w:val="center"/>
            <w:hideMark/>
          </w:tcPr>
          <w:p w14:paraId="50E1FD13"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(b)</w:t>
            </w:r>
          </w:p>
        </w:tc>
        <w:tc>
          <w:tcPr>
            <w:tcW w:w="1656" w:type="dxa"/>
            <w:tcBorders>
              <w:top w:val="nil"/>
              <w:left w:val="nil"/>
              <w:bottom w:val="single" w:sz="4" w:space="0" w:color="auto"/>
              <w:right w:val="single" w:sz="4" w:space="0" w:color="auto"/>
            </w:tcBorders>
            <w:shd w:val="clear" w:color="000000" w:fill="C3C6A8"/>
            <w:vAlign w:val="center"/>
            <w:hideMark/>
          </w:tcPr>
          <w:p w14:paraId="08B6A8EF"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(c)</w:t>
            </w:r>
          </w:p>
        </w:tc>
        <w:tc>
          <w:tcPr>
            <w:tcW w:w="2119" w:type="dxa"/>
            <w:tcBorders>
              <w:top w:val="nil"/>
              <w:left w:val="nil"/>
              <w:bottom w:val="single" w:sz="4" w:space="0" w:color="auto"/>
              <w:right w:val="single" w:sz="4" w:space="0" w:color="auto"/>
            </w:tcBorders>
            <w:shd w:val="clear" w:color="000000" w:fill="C3C6A8"/>
            <w:vAlign w:val="center"/>
            <w:hideMark/>
          </w:tcPr>
          <w:p w14:paraId="627B82EF"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(d)=(b)+(c)+1</w:t>
            </w:r>
          </w:p>
        </w:tc>
        <w:tc>
          <w:tcPr>
            <w:tcW w:w="1530" w:type="dxa"/>
            <w:tcBorders>
              <w:top w:val="nil"/>
              <w:left w:val="nil"/>
              <w:bottom w:val="single" w:sz="4" w:space="0" w:color="auto"/>
              <w:right w:val="single" w:sz="4" w:space="0" w:color="auto"/>
            </w:tcBorders>
            <w:shd w:val="clear" w:color="000000" w:fill="C3C6A8"/>
            <w:vAlign w:val="center"/>
            <w:hideMark/>
          </w:tcPr>
          <w:p w14:paraId="375AE7D0" w14:textId="77777777" w:rsidR="006D7931" w:rsidRPr="006D7931" w:rsidRDefault="006D7931" w:rsidP="006D7931">
            <w:pPr>
              <w:jc w:val="center"/>
              <w:rPr>
                <w:rFonts w:ascii="Arial Narrow" w:eastAsia="Times New Roman" w:hAnsi="Arial Narrow" w:cs="Times New Roman"/>
                <w:b/>
                <w:bCs/>
                <w:sz w:val="20"/>
                <w:szCs w:val="20"/>
              </w:rPr>
            </w:pPr>
            <w:r w:rsidRPr="006D7931">
              <w:rPr>
                <w:rFonts w:ascii="Arial Narrow" w:eastAsia="Times New Roman" w:hAnsi="Arial Narrow" w:cs="Times New Roman"/>
                <w:b/>
                <w:bCs/>
                <w:sz w:val="20"/>
                <w:szCs w:val="20"/>
              </w:rPr>
              <w:t>(a)×(d)</w:t>
            </w:r>
          </w:p>
        </w:tc>
      </w:tr>
      <w:tr w:rsidR="006D7931" w:rsidRPr="006D7931" w14:paraId="10BD6597" w14:textId="77777777" w:rsidTr="00C13C7B">
        <w:trPr>
          <w:trHeight w:val="35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6B66F7C2" w14:textId="77777777" w:rsidR="006D7931" w:rsidRPr="006D7931" w:rsidRDefault="006D7931" w:rsidP="006D7931">
            <w:pPr>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Professional / Technical</w:t>
            </w:r>
          </w:p>
        </w:tc>
        <w:tc>
          <w:tcPr>
            <w:tcW w:w="1795" w:type="dxa"/>
            <w:tcBorders>
              <w:top w:val="nil"/>
              <w:left w:val="nil"/>
              <w:bottom w:val="single" w:sz="4" w:space="0" w:color="auto"/>
              <w:right w:val="single" w:sz="4" w:space="0" w:color="auto"/>
            </w:tcBorders>
            <w:shd w:val="clear" w:color="auto" w:fill="auto"/>
            <w:vAlign w:val="center"/>
            <w:hideMark/>
          </w:tcPr>
          <w:p w14:paraId="683BAB6F"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$46.08 </w:t>
            </w:r>
          </w:p>
        </w:tc>
        <w:tc>
          <w:tcPr>
            <w:tcW w:w="1299" w:type="dxa"/>
            <w:tcBorders>
              <w:top w:val="nil"/>
              <w:left w:val="nil"/>
              <w:bottom w:val="single" w:sz="4" w:space="0" w:color="auto"/>
              <w:right w:val="single" w:sz="4" w:space="0" w:color="auto"/>
            </w:tcBorders>
            <w:shd w:val="clear" w:color="auto" w:fill="auto"/>
            <w:vAlign w:val="center"/>
            <w:hideMark/>
          </w:tcPr>
          <w:p w14:paraId="542CB922"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53%</w:t>
            </w:r>
          </w:p>
        </w:tc>
        <w:tc>
          <w:tcPr>
            <w:tcW w:w="1656" w:type="dxa"/>
            <w:tcBorders>
              <w:top w:val="nil"/>
              <w:left w:val="nil"/>
              <w:bottom w:val="single" w:sz="4" w:space="0" w:color="auto"/>
              <w:right w:val="single" w:sz="4" w:space="0" w:color="auto"/>
            </w:tcBorders>
            <w:shd w:val="clear" w:color="auto" w:fill="auto"/>
            <w:vAlign w:val="center"/>
            <w:hideMark/>
          </w:tcPr>
          <w:p w14:paraId="52C73833"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17%</w:t>
            </w:r>
          </w:p>
        </w:tc>
        <w:tc>
          <w:tcPr>
            <w:tcW w:w="2119" w:type="dxa"/>
            <w:tcBorders>
              <w:top w:val="nil"/>
              <w:left w:val="nil"/>
              <w:bottom w:val="single" w:sz="4" w:space="0" w:color="auto"/>
              <w:right w:val="single" w:sz="4" w:space="0" w:color="auto"/>
            </w:tcBorders>
            <w:shd w:val="clear" w:color="auto" w:fill="auto"/>
            <w:vAlign w:val="center"/>
            <w:hideMark/>
          </w:tcPr>
          <w:p w14:paraId="3FC3D71E"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1.70</w:t>
            </w:r>
          </w:p>
        </w:tc>
        <w:tc>
          <w:tcPr>
            <w:tcW w:w="1530" w:type="dxa"/>
            <w:tcBorders>
              <w:top w:val="nil"/>
              <w:left w:val="nil"/>
              <w:bottom w:val="single" w:sz="4" w:space="0" w:color="auto"/>
              <w:right w:val="single" w:sz="4" w:space="0" w:color="auto"/>
            </w:tcBorders>
            <w:shd w:val="clear" w:color="auto" w:fill="auto"/>
            <w:vAlign w:val="center"/>
            <w:hideMark/>
          </w:tcPr>
          <w:p w14:paraId="57206487"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$78.54 </w:t>
            </w:r>
          </w:p>
        </w:tc>
      </w:tr>
      <w:tr w:rsidR="006D7931" w:rsidRPr="006D7931" w14:paraId="6925CD53" w14:textId="77777777" w:rsidTr="00C13C7B">
        <w:trPr>
          <w:trHeight w:val="35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4CEEFD77" w14:textId="77777777" w:rsidR="006D7931" w:rsidRPr="006D7931" w:rsidRDefault="006D7931" w:rsidP="006D7931">
            <w:pPr>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Managerial</w:t>
            </w:r>
          </w:p>
        </w:tc>
        <w:tc>
          <w:tcPr>
            <w:tcW w:w="1795" w:type="dxa"/>
            <w:tcBorders>
              <w:top w:val="nil"/>
              <w:left w:val="nil"/>
              <w:bottom w:val="single" w:sz="4" w:space="0" w:color="auto"/>
              <w:right w:val="single" w:sz="4" w:space="0" w:color="auto"/>
            </w:tcBorders>
            <w:shd w:val="clear" w:color="auto" w:fill="auto"/>
            <w:vAlign w:val="center"/>
            <w:hideMark/>
          </w:tcPr>
          <w:p w14:paraId="077E8D22"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$47.19 </w:t>
            </w:r>
          </w:p>
        </w:tc>
        <w:tc>
          <w:tcPr>
            <w:tcW w:w="1299" w:type="dxa"/>
            <w:tcBorders>
              <w:top w:val="nil"/>
              <w:left w:val="nil"/>
              <w:bottom w:val="single" w:sz="4" w:space="0" w:color="auto"/>
              <w:right w:val="single" w:sz="4" w:space="0" w:color="auto"/>
            </w:tcBorders>
            <w:shd w:val="clear" w:color="auto" w:fill="auto"/>
            <w:vAlign w:val="center"/>
            <w:hideMark/>
          </w:tcPr>
          <w:p w14:paraId="1CF90F18"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48%</w:t>
            </w:r>
          </w:p>
        </w:tc>
        <w:tc>
          <w:tcPr>
            <w:tcW w:w="1656" w:type="dxa"/>
            <w:tcBorders>
              <w:top w:val="nil"/>
              <w:left w:val="nil"/>
              <w:bottom w:val="single" w:sz="4" w:space="0" w:color="auto"/>
              <w:right w:val="single" w:sz="4" w:space="0" w:color="auto"/>
            </w:tcBorders>
            <w:shd w:val="clear" w:color="auto" w:fill="auto"/>
            <w:vAlign w:val="center"/>
            <w:hideMark/>
          </w:tcPr>
          <w:p w14:paraId="19C4D8F9"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17%</w:t>
            </w:r>
          </w:p>
        </w:tc>
        <w:tc>
          <w:tcPr>
            <w:tcW w:w="2119" w:type="dxa"/>
            <w:tcBorders>
              <w:top w:val="nil"/>
              <w:left w:val="nil"/>
              <w:bottom w:val="single" w:sz="4" w:space="0" w:color="auto"/>
              <w:right w:val="single" w:sz="4" w:space="0" w:color="auto"/>
            </w:tcBorders>
            <w:shd w:val="clear" w:color="auto" w:fill="auto"/>
            <w:vAlign w:val="center"/>
            <w:hideMark/>
          </w:tcPr>
          <w:p w14:paraId="2FC48659"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1.65</w:t>
            </w:r>
          </w:p>
        </w:tc>
        <w:tc>
          <w:tcPr>
            <w:tcW w:w="1530" w:type="dxa"/>
            <w:tcBorders>
              <w:top w:val="nil"/>
              <w:left w:val="nil"/>
              <w:bottom w:val="single" w:sz="4" w:space="0" w:color="auto"/>
              <w:right w:val="single" w:sz="4" w:space="0" w:color="auto"/>
            </w:tcBorders>
            <w:shd w:val="clear" w:color="auto" w:fill="auto"/>
            <w:vAlign w:val="center"/>
            <w:hideMark/>
          </w:tcPr>
          <w:p w14:paraId="2162DF86"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$77.83 </w:t>
            </w:r>
          </w:p>
        </w:tc>
      </w:tr>
      <w:tr w:rsidR="006D7931" w:rsidRPr="006D7931" w14:paraId="2081C676" w14:textId="77777777" w:rsidTr="00C13C7B">
        <w:trPr>
          <w:trHeight w:val="440"/>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6A42EB73" w14:textId="77777777" w:rsidR="006D7931" w:rsidRPr="006D7931" w:rsidRDefault="006D7931" w:rsidP="006D7931">
            <w:pPr>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Clerical</w:t>
            </w:r>
          </w:p>
        </w:tc>
        <w:tc>
          <w:tcPr>
            <w:tcW w:w="1795" w:type="dxa"/>
            <w:tcBorders>
              <w:top w:val="nil"/>
              <w:left w:val="nil"/>
              <w:bottom w:val="single" w:sz="4" w:space="0" w:color="auto"/>
              <w:right w:val="single" w:sz="4" w:space="0" w:color="auto"/>
            </w:tcBorders>
            <w:shd w:val="clear" w:color="auto" w:fill="auto"/>
            <w:vAlign w:val="center"/>
            <w:hideMark/>
          </w:tcPr>
          <w:p w14:paraId="244F961C"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$20.55 </w:t>
            </w:r>
          </w:p>
        </w:tc>
        <w:tc>
          <w:tcPr>
            <w:tcW w:w="1299" w:type="dxa"/>
            <w:tcBorders>
              <w:top w:val="nil"/>
              <w:left w:val="nil"/>
              <w:bottom w:val="single" w:sz="4" w:space="0" w:color="auto"/>
              <w:right w:val="single" w:sz="4" w:space="0" w:color="auto"/>
            </w:tcBorders>
            <w:shd w:val="clear" w:color="auto" w:fill="auto"/>
            <w:vAlign w:val="center"/>
            <w:hideMark/>
          </w:tcPr>
          <w:p w14:paraId="1C3E8944"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54%</w:t>
            </w:r>
          </w:p>
        </w:tc>
        <w:tc>
          <w:tcPr>
            <w:tcW w:w="1656" w:type="dxa"/>
            <w:tcBorders>
              <w:top w:val="nil"/>
              <w:left w:val="nil"/>
              <w:bottom w:val="single" w:sz="4" w:space="0" w:color="auto"/>
              <w:right w:val="single" w:sz="4" w:space="0" w:color="auto"/>
            </w:tcBorders>
            <w:shd w:val="clear" w:color="auto" w:fill="auto"/>
            <w:vAlign w:val="center"/>
            <w:hideMark/>
          </w:tcPr>
          <w:p w14:paraId="2624A80F"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17%</w:t>
            </w:r>
          </w:p>
        </w:tc>
        <w:tc>
          <w:tcPr>
            <w:tcW w:w="2119" w:type="dxa"/>
            <w:tcBorders>
              <w:top w:val="nil"/>
              <w:left w:val="nil"/>
              <w:bottom w:val="single" w:sz="4" w:space="0" w:color="auto"/>
              <w:right w:val="single" w:sz="4" w:space="0" w:color="auto"/>
            </w:tcBorders>
            <w:shd w:val="clear" w:color="auto" w:fill="auto"/>
            <w:vAlign w:val="center"/>
            <w:hideMark/>
          </w:tcPr>
          <w:p w14:paraId="674FFD52"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1.71</w:t>
            </w:r>
          </w:p>
        </w:tc>
        <w:tc>
          <w:tcPr>
            <w:tcW w:w="1530" w:type="dxa"/>
            <w:tcBorders>
              <w:top w:val="nil"/>
              <w:left w:val="nil"/>
              <w:bottom w:val="single" w:sz="4" w:space="0" w:color="auto"/>
              <w:right w:val="single" w:sz="4" w:space="0" w:color="auto"/>
            </w:tcBorders>
            <w:shd w:val="clear" w:color="auto" w:fill="auto"/>
            <w:vAlign w:val="center"/>
            <w:hideMark/>
          </w:tcPr>
          <w:p w14:paraId="02B623A3" w14:textId="77777777" w:rsidR="006D7931" w:rsidRPr="006D7931" w:rsidRDefault="006D7931" w:rsidP="006D7931">
            <w:pPr>
              <w:jc w:val="right"/>
              <w:rPr>
                <w:rFonts w:ascii="Arial Narrow" w:eastAsia="Times New Roman" w:hAnsi="Arial Narrow" w:cs="Times New Roman"/>
                <w:color w:val="000000"/>
                <w:sz w:val="20"/>
                <w:szCs w:val="20"/>
              </w:rPr>
            </w:pPr>
            <w:r w:rsidRPr="006D7931">
              <w:rPr>
                <w:rFonts w:ascii="Arial Narrow" w:eastAsia="Times New Roman" w:hAnsi="Arial Narrow" w:cs="Times New Roman"/>
                <w:color w:val="000000"/>
                <w:sz w:val="20"/>
                <w:szCs w:val="20"/>
              </w:rPr>
              <w:t xml:space="preserve">$35.20 </w:t>
            </w:r>
          </w:p>
        </w:tc>
      </w:tr>
      <w:tr w:rsidR="006D7931" w:rsidRPr="006D7931" w14:paraId="50F38B49" w14:textId="77777777" w:rsidTr="00C13C7B">
        <w:trPr>
          <w:trHeight w:val="1200"/>
        </w:trPr>
        <w:tc>
          <w:tcPr>
            <w:tcW w:w="10844" w:type="dxa"/>
            <w:gridSpan w:val="6"/>
            <w:tcBorders>
              <w:top w:val="single" w:sz="4" w:space="0" w:color="auto"/>
              <w:left w:val="single" w:sz="4" w:space="0" w:color="auto"/>
              <w:bottom w:val="single" w:sz="4" w:space="0" w:color="auto"/>
              <w:right w:val="single" w:sz="4" w:space="0" w:color="auto"/>
            </w:tcBorders>
            <w:shd w:val="clear" w:color="auto" w:fill="auto"/>
          </w:tcPr>
          <w:p w14:paraId="2DA750B9" w14:textId="77777777" w:rsidR="006D7931" w:rsidRPr="00C13C7B" w:rsidRDefault="006D7931" w:rsidP="006D7931">
            <w:pPr>
              <w:rPr>
                <w:rFonts w:ascii="Arial Narrow" w:eastAsia="Times New Roman" w:hAnsi="Arial Narrow" w:cs="Times New Roman"/>
                <w:b/>
                <w:color w:val="000000"/>
                <w:sz w:val="20"/>
                <w:szCs w:val="20"/>
              </w:rPr>
            </w:pPr>
            <w:r w:rsidRPr="00C13C7B">
              <w:rPr>
                <w:rFonts w:ascii="Arial Narrow" w:eastAsia="Times New Roman" w:hAnsi="Arial Narrow" w:cs="Times New Roman"/>
                <w:b/>
                <w:color w:val="000000"/>
                <w:sz w:val="20"/>
                <w:szCs w:val="20"/>
              </w:rPr>
              <w:t>Footnotes:</w:t>
            </w:r>
          </w:p>
          <w:p w14:paraId="06D08800" w14:textId="77777777" w:rsidR="006D7931" w:rsidRPr="006D7931" w:rsidRDefault="006D7931" w:rsidP="006D7931">
            <w:pPr>
              <w:rPr>
                <w:rFonts w:ascii="Arial Narrow" w:eastAsia="Times New Roman" w:hAnsi="Arial Narrow" w:cs="Times New Roman"/>
                <w:color w:val="000000"/>
                <w:sz w:val="20"/>
                <w:szCs w:val="20"/>
              </w:rPr>
            </w:pPr>
          </w:p>
          <w:p w14:paraId="08FE23B9" w14:textId="77777777" w:rsidR="006D7931" w:rsidRPr="006D7931" w:rsidRDefault="006D7931" w:rsidP="006D7931">
            <w:pPr>
              <w:rPr>
                <w:rFonts w:ascii="Arial Narrow" w:eastAsia="Times New Roman" w:hAnsi="Arial Narrow" w:cs="Times New Roman"/>
                <w:color w:val="000000"/>
                <w:sz w:val="20"/>
                <w:szCs w:val="20"/>
              </w:rPr>
            </w:pPr>
            <w:r w:rsidRPr="00C13C7B">
              <w:rPr>
                <w:rFonts w:ascii="Arial Narrow" w:eastAsia="Times New Roman" w:hAnsi="Arial Narrow" w:cs="Times New Roman"/>
                <w:color w:val="000000"/>
                <w:sz w:val="20"/>
                <w:szCs w:val="20"/>
                <w:vertAlign w:val="superscript"/>
              </w:rPr>
              <w:t>a</w:t>
            </w:r>
            <w:r w:rsidRPr="006D7931">
              <w:rPr>
                <w:rFonts w:ascii="Arial Narrow" w:eastAsia="Times New Roman" w:hAnsi="Arial Narrow" w:cs="Times New Roman"/>
                <w:color w:val="000000"/>
                <w:sz w:val="20"/>
                <w:szCs w:val="20"/>
              </w:rPr>
              <w:t xml:space="preserve"> An overhead rate of 17% is used based on assumptions in Wage Rates for Economic Analysis of the Toxics Release Inventory Program (Rice, 2002), and the Revised Economic Analysis for the Amended Inventory Update Rule: Final Report (U.S. EPA, 2002).</w:t>
            </w:r>
          </w:p>
          <w:p w14:paraId="18AD1AC5" w14:textId="77777777" w:rsidR="006D7931" w:rsidRPr="006D7931" w:rsidRDefault="006D7931" w:rsidP="006D7931">
            <w:pPr>
              <w:rPr>
                <w:rFonts w:ascii="Arial Narrow" w:eastAsia="Times New Roman" w:hAnsi="Arial Narrow" w:cs="Times New Roman"/>
                <w:color w:val="000000"/>
                <w:sz w:val="20"/>
                <w:szCs w:val="20"/>
              </w:rPr>
            </w:pPr>
            <w:r w:rsidRPr="00C13C7B">
              <w:rPr>
                <w:rFonts w:ascii="Arial Narrow" w:eastAsia="Times New Roman" w:hAnsi="Arial Narrow" w:cs="Times New Roman"/>
                <w:color w:val="000000"/>
                <w:sz w:val="20"/>
                <w:szCs w:val="20"/>
                <w:vertAlign w:val="superscript"/>
              </w:rPr>
              <w:t>b</w:t>
            </w:r>
            <w:r w:rsidRPr="006D7931">
              <w:rPr>
                <w:rFonts w:ascii="Arial Narrow" w:eastAsia="Times New Roman" w:hAnsi="Arial Narrow" w:cs="Times New Roman"/>
                <w:color w:val="000000"/>
                <w:sz w:val="20"/>
                <w:szCs w:val="20"/>
              </w:rPr>
              <w:t xml:space="preserve"> The inflation factor of “1” in the formula for calculating the fringe + overhead factor means wage data are not escalated to reflect inflation.</w:t>
            </w:r>
          </w:p>
          <w:p w14:paraId="43E8B1A3" w14:textId="77777777" w:rsidR="006D7931" w:rsidRPr="006D7931" w:rsidRDefault="006D7931" w:rsidP="00C13C7B">
            <w:pPr>
              <w:rPr>
                <w:rFonts w:ascii="Arial Narrow" w:eastAsia="Times New Roman" w:hAnsi="Arial Narrow" w:cs="Times New Roman"/>
                <w:color w:val="000000"/>
                <w:sz w:val="20"/>
                <w:szCs w:val="20"/>
              </w:rPr>
            </w:pPr>
            <w:r w:rsidRPr="00C13C7B">
              <w:rPr>
                <w:rFonts w:ascii="Arial Narrow" w:eastAsia="Times New Roman" w:hAnsi="Arial Narrow" w:cs="Times New Roman"/>
                <w:color w:val="000000"/>
                <w:sz w:val="20"/>
                <w:szCs w:val="20"/>
                <w:vertAlign w:val="superscript"/>
              </w:rPr>
              <w:t>c</w:t>
            </w:r>
            <w:r w:rsidRPr="006D7931">
              <w:rPr>
                <w:rFonts w:ascii="Arial Narrow" w:eastAsia="Times New Roman" w:hAnsi="Arial Narrow" w:cs="Times New Roman"/>
                <w:color w:val="000000"/>
                <w:sz w:val="20"/>
                <w:szCs w:val="20"/>
              </w:rPr>
              <w:t xml:space="preserve"> Wage data are rounded to the closest cent in this analysis.</w:t>
            </w:r>
          </w:p>
        </w:tc>
      </w:tr>
    </w:tbl>
    <w:p w14:paraId="2A335DE4" w14:textId="77777777" w:rsidR="006D7931" w:rsidRDefault="006D7931" w:rsidP="00452297">
      <w:pPr>
        <w:pStyle w:val="NoSpacing"/>
      </w:pPr>
    </w:p>
    <w:p w14:paraId="08FF61F5" w14:textId="77777777" w:rsidR="004A0C06" w:rsidRDefault="004A0C06" w:rsidP="00452297">
      <w:pPr>
        <w:pStyle w:val="NoSpacing"/>
        <w:rPr>
          <w:u w:val="single"/>
        </w:rPr>
      </w:pPr>
      <w:r w:rsidRPr="00607C24">
        <w:rPr>
          <w:u w:val="single"/>
        </w:rPr>
        <w:t>Consortia</w:t>
      </w:r>
      <w:r>
        <w:rPr>
          <w:u w:val="single"/>
        </w:rPr>
        <w:t xml:space="preserve"> Non-Reporting Administrative Costs</w:t>
      </w:r>
    </w:p>
    <w:p w14:paraId="485DB9E9" w14:textId="77777777" w:rsidR="00B530C1" w:rsidRDefault="004A0C06" w:rsidP="00452297">
      <w:pPr>
        <w:pStyle w:val="NoSpacing"/>
      </w:pPr>
      <w:r>
        <w:t xml:space="preserve">The </w:t>
      </w:r>
      <w:r w:rsidR="00B530C1">
        <w:t>regulation</w:t>
      </w:r>
      <w:r>
        <w:t xml:space="preserve"> allows </w:t>
      </w:r>
      <w:r w:rsidRPr="004A0C06">
        <w:t xml:space="preserve">the formation of, and payment by, consortia for </w:t>
      </w:r>
      <w:r>
        <w:t>firms subject to actions</w:t>
      </w:r>
      <w:r w:rsidRPr="004A0C06">
        <w:t xml:space="preserve"> under TSCA sections 4 and 6.</w:t>
      </w:r>
      <w:r>
        <w:t xml:space="preserve"> </w:t>
      </w:r>
      <w:r w:rsidR="00C21419">
        <w:t xml:space="preserve">Administrative costs associated with managing </w:t>
      </w:r>
      <w:r w:rsidR="00B530C1">
        <w:t xml:space="preserve">a </w:t>
      </w:r>
      <w:r w:rsidR="00C21419">
        <w:t>testing consortia are estimated to total 15 percent of the total laboratory costs, which could be as high as approximately $1.7 million for a “standard” testing battery.</w:t>
      </w:r>
      <w:r w:rsidR="002C1893" w:rsidRPr="00C13C7B">
        <w:rPr>
          <w:rStyle w:val="FootnoteReference"/>
          <w:vertAlign w:val="superscript"/>
        </w:rPr>
        <w:footnoteReference w:id="5"/>
      </w:r>
      <w:r w:rsidR="00C21419">
        <w:t xml:space="preserve"> </w:t>
      </w:r>
      <w:r>
        <w:t xml:space="preserve">While EPA recognizes that there </w:t>
      </w:r>
      <w:r w:rsidR="00C21419">
        <w:t>may be significant</w:t>
      </w:r>
      <w:r>
        <w:t xml:space="preserve"> administrative costs associated with forming and managing consortia, for firms subject to testing requirements under TSCA section 4 actions, EPA expects that </w:t>
      </w:r>
      <w:r w:rsidR="00C21419">
        <w:t xml:space="preserve">testing </w:t>
      </w:r>
      <w:r>
        <w:t xml:space="preserve">consortia will be formed for purposes of coordinating the required testing and will, therefore, not incur significant additional costs for coordination of the fee payment. </w:t>
      </w:r>
    </w:p>
    <w:p w14:paraId="4EB20B8A" w14:textId="77777777" w:rsidR="00B530C1" w:rsidRDefault="00B530C1" w:rsidP="00452297">
      <w:pPr>
        <w:pStyle w:val="NoSpacing"/>
      </w:pPr>
    </w:p>
    <w:p w14:paraId="1F719C8E" w14:textId="77777777" w:rsidR="004A0C06" w:rsidRPr="00C13C7B" w:rsidRDefault="00C21419" w:rsidP="00452297">
      <w:pPr>
        <w:pStyle w:val="NoSpacing"/>
      </w:pPr>
      <w:r>
        <w:t xml:space="preserve">For firms subject to Risk Evaluations initiated by EPA under TSCA section 6, however, the ability to form consortia for coordination of fee payment is new under </w:t>
      </w:r>
      <w:r w:rsidR="00B530C1">
        <w:t>TSCA</w:t>
      </w:r>
      <w:r>
        <w:t xml:space="preserve"> and the estimated administrative costs associated with forming consortia are, therefore, accounted for in this ICR. EPA estimates the cost </w:t>
      </w:r>
      <w:r w:rsidR="00B71705">
        <w:t xml:space="preserve">per </w:t>
      </w:r>
      <w:r w:rsidR="00B744EE">
        <w:t>consortium</w:t>
      </w:r>
      <w:r w:rsidR="00B71705">
        <w:t xml:space="preserve"> </w:t>
      </w:r>
      <w:r>
        <w:t>to form an</w:t>
      </w:r>
      <w:r w:rsidR="00B71705">
        <w:t>d</w:t>
      </w:r>
      <w:r>
        <w:t xml:space="preserve"> coordinate the fee payment for an EPA-initiated Risk Evaluation </w:t>
      </w:r>
      <w:r w:rsidR="00B71705">
        <w:t>as</w:t>
      </w:r>
      <w:r>
        <w:t xml:space="preserve"> five</w:t>
      </w:r>
      <w:r w:rsidRPr="00C21419">
        <w:t xml:space="preserve"> percent of the fee </w:t>
      </w:r>
      <w:r>
        <w:t>for EPA-initiated Risk Evaluations</w:t>
      </w:r>
      <w:r w:rsidR="00B71705">
        <w:t xml:space="preserve"> (5% x</w:t>
      </w:r>
      <w:r w:rsidRPr="00C21419">
        <w:t xml:space="preserve"> $1.3 </w:t>
      </w:r>
      <w:r w:rsidR="00B71705">
        <w:t>million fee</w:t>
      </w:r>
      <w:r w:rsidR="003721D4">
        <w:t>/3</w:t>
      </w:r>
      <w:r w:rsidR="00B71705">
        <w:t xml:space="preserve">), for a total of </w:t>
      </w:r>
      <w:r w:rsidRPr="00C21419">
        <w:t>$</w:t>
      </w:r>
      <w:r w:rsidR="003721D4">
        <w:t>22</w:t>
      </w:r>
      <w:r w:rsidRPr="00C21419">
        <w:t xml:space="preserve">,500 </w:t>
      </w:r>
      <w:r w:rsidR="00B71705">
        <w:t xml:space="preserve">in administrative costs </w:t>
      </w:r>
      <w:r w:rsidRPr="00C21419">
        <w:t xml:space="preserve">per </w:t>
      </w:r>
      <w:r w:rsidR="00B71705">
        <w:t xml:space="preserve">TSCA section 6 </w:t>
      </w:r>
      <w:r w:rsidR="00B744EE">
        <w:t>consortium</w:t>
      </w:r>
      <w:r w:rsidR="003721D4">
        <w:t xml:space="preserve"> per year</w:t>
      </w:r>
      <w:r w:rsidR="00B71705">
        <w:t>. EPA estimates that one consortium will form for each Risk Evaluation initiated by EPA each year, for a total</w:t>
      </w:r>
      <w:r w:rsidR="00B71705" w:rsidRPr="00C21419">
        <w:t xml:space="preserve"> </w:t>
      </w:r>
      <w:r w:rsidR="00B71705">
        <w:t>of approximately eight consortia and approximately $</w:t>
      </w:r>
      <w:r w:rsidR="003721D4">
        <w:t>187</w:t>
      </w:r>
      <w:r w:rsidR="00B71705">
        <w:t xml:space="preserve">,000 in non-reporting administrative consortium costs each year. </w:t>
      </w:r>
    </w:p>
    <w:p w14:paraId="648FAAE2" w14:textId="77777777" w:rsidR="004A0C06" w:rsidRPr="00C13C7B" w:rsidRDefault="004A0C06" w:rsidP="00452297">
      <w:pPr>
        <w:pStyle w:val="NoSpacing"/>
        <w:rPr>
          <w:u w:val="single"/>
        </w:rPr>
      </w:pPr>
    </w:p>
    <w:p w14:paraId="769B7BE3" w14:textId="77777777" w:rsidR="00452297" w:rsidRPr="00452297" w:rsidRDefault="00452297" w:rsidP="008764B6">
      <w:pPr>
        <w:pStyle w:val="Heading2"/>
        <w:numPr>
          <w:ilvl w:val="1"/>
          <w:numId w:val="3"/>
        </w:numPr>
        <w:tabs>
          <w:tab w:val="left" w:pos="1080"/>
        </w:tabs>
      </w:pPr>
      <w:bookmarkStart w:id="27" w:name="_Toc447203187"/>
      <w:r>
        <w:t>Information Collections</w:t>
      </w:r>
      <w:bookmarkEnd w:id="27"/>
    </w:p>
    <w:p w14:paraId="45ECA0DC" w14:textId="77777777" w:rsidR="006A3A8A" w:rsidRDefault="006A3A8A" w:rsidP="006A3A8A">
      <w:pPr>
        <w:pStyle w:val="ListParagraph"/>
        <w:ind w:left="0"/>
      </w:pPr>
      <w:r>
        <w:t xml:space="preserve">Respondent NAICS codes associated with industries most likely affected by the paperwork requirements are listed in </w:t>
      </w:r>
      <w:r w:rsidR="002934B7" w:rsidRPr="002934B7">
        <w:t>s</w:t>
      </w:r>
      <w:r>
        <w:t>ection 5(a)</w:t>
      </w:r>
      <w:r w:rsidR="00F54137">
        <w:t xml:space="preserve"> of this ICR</w:t>
      </w:r>
      <w:r>
        <w:t>.</w:t>
      </w:r>
    </w:p>
    <w:p w14:paraId="21E3F942" w14:textId="77777777" w:rsidR="006A3A8A" w:rsidRPr="006A3A8A" w:rsidRDefault="006A3A8A" w:rsidP="006A3A8A">
      <w:pPr>
        <w:pStyle w:val="ListParagraph"/>
        <w:ind w:left="360"/>
        <w:rPr>
          <w:u w:val="single"/>
        </w:rPr>
      </w:pPr>
    </w:p>
    <w:p w14:paraId="41DE0A94" w14:textId="77777777" w:rsidR="006A3A8A" w:rsidRPr="009462D5" w:rsidRDefault="006A3A8A" w:rsidP="006A3A8A">
      <w:pPr>
        <w:pStyle w:val="ListParagraph"/>
        <w:ind w:left="0"/>
        <w:rPr>
          <w:u w:val="single"/>
        </w:rPr>
      </w:pPr>
      <w:r w:rsidRPr="009462D5">
        <w:rPr>
          <w:u w:val="single"/>
        </w:rPr>
        <w:t xml:space="preserve">Information Collection </w:t>
      </w:r>
      <w:r w:rsidR="000D1039">
        <w:rPr>
          <w:u w:val="single"/>
        </w:rPr>
        <w:t xml:space="preserve">(IC) </w:t>
      </w:r>
      <w:r w:rsidRPr="009462D5">
        <w:rPr>
          <w:u w:val="single"/>
        </w:rPr>
        <w:t>Activities</w:t>
      </w:r>
    </w:p>
    <w:p w14:paraId="7E48B30B" w14:textId="77777777" w:rsidR="006A384E" w:rsidRPr="00E94D9A" w:rsidRDefault="006A3A8A" w:rsidP="00973D5B">
      <w:pPr>
        <w:pStyle w:val="ListParagraph"/>
        <w:ind w:left="0"/>
      </w:pPr>
      <w:r w:rsidRPr="00C13C7B">
        <w:rPr>
          <w:szCs w:val="24"/>
        </w:rPr>
        <w:t xml:space="preserve">Table </w:t>
      </w:r>
      <w:r w:rsidR="000D1039" w:rsidRPr="00C13C7B">
        <w:rPr>
          <w:szCs w:val="24"/>
        </w:rPr>
        <w:t>2</w:t>
      </w:r>
      <w:r w:rsidR="000D1039">
        <w:rPr>
          <w:szCs w:val="24"/>
        </w:rPr>
        <w:t xml:space="preserve"> </w:t>
      </w:r>
      <w:r w:rsidRPr="006B0F45">
        <w:rPr>
          <w:szCs w:val="24"/>
        </w:rPr>
        <w:t xml:space="preserve">presents the estimated average annual burden for each </w:t>
      </w:r>
      <w:r w:rsidR="000D1039">
        <w:rPr>
          <w:szCs w:val="24"/>
        </w:rPr>
        <w:t xml:space="preserve">IC </w:t>
      </w:r>
      <w:r w:rsidRPr="006B0F45">
        <w:rPr>
          <w:szCs w:val="24"/>
        </w:rPr>
        <w:t xml:space="preserve">activity </w:t>
      </w:r>
      <w:r w:rsidR="000D1039">
        <w:rPr>
          <w:szCs w:val="24"/>
        </w:rPr>
        <w:t>described in section 5(a)</w:t>
      </w:r>
      <w:r w:rsidR="00F54137">
        <w:rPr>
          <w:szCs w:val="24"/>
        </w:rPr>
        <w:t xml:space="preserve"> of this ICR</w:t>
      </w:r>
      <w:r w:rsidRPr="006B0F45">
        <w:rPr>
          <w:szCs w:val="24"/>
        </w:rPr>
        <w:t>.</w:t>
      </w:r>
    </w:p>
    <w:p w14:paraId="4609A0AF" w14:textId="77777777" w:rsidR="00244924" w:rsidRDefault="00244924" w:rsidP="00C13C7B">
      <w:pPr>
        <w:pStyle w:val="NoSpacing"/>
      </w:pPr>
    </w:p>
    <w:p w14:paraId="7A6644CB" w14:textId="77777777" w:rsidR="00973D5B" w:rsidRPr="00973D5B" w:rsidRDefault="00973D5B" w:rsidP="00C13C7B">
      <w:pPr>
        <w:pStyle w:val="NoSpacing"/>
        <w:rPr>
          <w:szCs w:val="24"/>
        </w:rPr>
      </w:pPr>
      <w:r w:rsidRPr="00973D5B">
        <w:rPr>
          <w:rFonts w:eastAsia="Times New Roman" w:cs="Arial"/>
          <w:b/>
          <w:bCs/>
          <w:color w:val="000000"/>
          <w:szCs w:val="24"/>
        </w:rPr>
        <w:t>Table 2: Total Average Annual Burden and Costs</w:t>
      </w:r>
      <w:r w:rsidRPr="00973D5B">
        <w:rPr>
          <w:rFonts w:eastAsia="Times New Roman" w:cs="Arial"/>
          <w:b/>
          <w:bCs/>
          <w:color w:val="000000"/>
          <w:szCs w:val="24"/>
          <w:vertAlign w:val="superscript"/>
        </w:rPr>
        <w:t>1</w:t>
      </w:r>
    </w:p>
    <w:tbl>
      <w:tblPr>
        <w:tblW w:w="9710" w:type="dxa"/>
        <w:tblLook w:val="04A0" w:firstRow="1" w:lastRow="0" w:firstColumn="1" w:lastColumn="0" w:noHBand="0" w:noVBand="1"/>
      </w:tblPr>
      <w:tblGrid>
        <w:gridCol w:w="1970"/>
        <w:gridCol w:w="1710"/>
        <w:gridCol w:w="1710"/>
        <w:gridCol w:w="1440"/>
        <w:gridCol w:w="1440"/>
        <w:gridCol w:w="1440"/>
      </w:tblGrid>
      <w:tr w:rsidR="00095683" w:rsidRPr="00C13C7B" w14:paraId="63E64BA4" w14:textId="77777777" w:rsidTr="00973D5B">
        <w:trPr>
          <w:cantSplit/>
          <w:trHeight w:val="720"/>
        </w:trPr>
        <w:tc>
          <w:tcPr>
            <w:tcW w:w="1970" w:type="dxa"/>
            <w:tcBorders>
              <w:top w:val="single" w:sz="12" w:space="0" w:color="auto"/>
              <w:left w:val="single" w:sz="8" w:space="0" w:color="auto"/>
              <w:bottom w:val="nil"/>
              <w:right w:val="single" w:sz="8" w:space="0" w:color="auto"/>
            </w:tcBorders>
            <w:shd w:val="clear" w:color="000000" w:fill="BFBFBF"/>
            <w:vAlign w:val="center"/>
            <w:hideMark/>
          </w:tcPr>
          <w:p w14:paraId="406A1D2D"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Activity/Respondent</w:t>
            </w:r>
          </w:p>
        </w:tc>
        <w:tc>
          <w:tcPr>
            <w:tcW w:w="1710" w:type="dxa"/>
            <w:tcBorders>
              <w:top w:val="single" w:sz="12" w:space="0" w:color="auto"/>
              <w:left w:val="single" w:sz="8" w:space="0" w:color="auto"/>
              <w:bottom w:val="nil"/>
              <w:right w:val="nil"/>
            </w:tcBorders>
            <w:shd w:val="clear" w:color="000000" w:fill="BFBFBF"/>
            <w:vAlign w:val="center"/>
            <w:hideMark/>
          </w:tcPr>
          <w:p w14:paraId="41EE23E2"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Number of Respondents</w:t>
            </w:r>
          </w:p>
        </w:tc>
        <w:tc>
          <w:tcPr>
            <w:tcW w:w="1710" w:type="dxa"/>
            <w:tcBorders>
              <w:top w:val="single" w:sz="12" w:space="0" w:color="auto"/>
              <w:left w:val="nil"/>
              <w:right w:val="nil"/>
            </w:tcBorders>
            <w:shd w:val="clear" w:color="000000" w:fill="BFBFBF"/>
            <w:vAlign w:val="center"/>
            <w:hideMark/>
          </w:tcPr>
          <w:p w14:paraId="67E37B74"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Burden per Response</w:t>
            </w:r>
          </w:p>
          <w:p w14:paraId="1D03EFA1"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(hours)</w:t>
            </w:r>
          </w:p>
        </w:tc>
        <w:tc>
          <w:tcPr>
            <w:tcW w:w="1440" w:type="dxa"/>
            <w:tcBorders>
              <w:top w:val="single" w:sz="12" w:space="0" w:color="auto"/>
              <w:left w:val="nil"/>
              <w:bottom w:val="nil"/>
              <w:right w:val="nil"/>
            </w:tcBorders>
            <w:shd w:val="clear" w:color="000000" w:fill="BFBFBF"/>
            <w:vAlign w:val="center"/>
            <w:hideMark/>
          </w:tcPr>
          <w:p w14:paraId="3B0CA8D6"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Total Burden (hours)</w:t>
            </w:r>
          </w:p>
        </w:tc>
        <w:tc>
          <w:tcPr>
            <w:tcW w:w="1440" w:type="dxa"/>
            <w:tcBorders>
              <w:top w:val="single" w:sz="12" w:space="0" w:color="auto"/>
              <w:left w:val="single" w:sz="8" w:space="0" w:color="auto"/>
              <w:bottom w:val="nil"/>
              <w:right w:val="nil"/>
            </w:tcBorders>
            <w:shd w:val="clear" w:color="000000" w:fill="BFBFBF"/>
            <w:vAlign w:val="center"/>
            <w:hideMark/>
          </w:tcPr>
          <w:p w14:paraId="6FB6002B"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Cost per Respondent</w:t>
            </w:r>
          </w:p>
        </w:tc>
        <w:tc>
          <w:tcPr>
            <w:tcW w:w="1440" w:type="dxa"/>
            <w:tcBorders>
              <w:top w:val="single" w:sz="12" w:space="0" w:color="auto"/>
              <w:left w:val="single" w:sz="8" w:space="0" w:color="auto"/>
              <w:bottom w:val="nil"/>
              <w:right w:val="single" w:sz="8" w:space="0" w:color="auto"/>
            </w:tcBorders>
            <w:shd w:val="clear" w:color="000000" w:fill="BFBFBF"/>
            <w:vAlign w:val="center"/>
            <w:hideMark/>
          </w:tcPr>
          <w:p w14:paraId="34315713" w14:textId="77777777" w:rsidR="00095683" w:rsidRPr="00C13C7B" w:rsidRDefault="00095683" w:rsidP="00973D5B">
            <w:pPr>
              <w:jc w:val="center"/>
              <w:rPr>
                <w:rFonts w:eastAsia="Times New Roman" w:cs="Arial"/>
                <w:b/>
                <w:bCs/>
                <w:color w:val="000000"/>
                <w:sz w:val="18"/>
                <w:szCs w:val="18"/>
              </w:rPr>
            </w:pPr>
            <w:r w:rsidRPr="00C13C7B">
              <w:rPr>
                <w:rFonts w:eastAsia="Times New Roman" w:cs="Arial"/>
                <w:b/>
                <w:bCs/>
                <w:color w:val="000000"/>
                <w:sz w:val="18"/>
                <w:szCs w:val="18"/>
              </w:rPr>
              <w:t>Total Cost</w:t>
            </w:r>
          </w:p>
        </w:tc>
      </w:tr>
      <w:tr w:rsidR="003721D4" w:rsidRPr="00C13C7B" w14:paraId="741B481D" w14:textId="77777777" w:rsidTr="00973D5B">
        <w:trPr>
          <w:cantSplit/>
          <w:trHeight w:val="34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4F0C752" w14:textId="77777777" w:rsidR="003721D4" w:rsidRPr="00C13C7B"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 1: </w:t>
            </w:r>
            <w:r w:rsidR="003721D4" w:rsidRPr="00C13C7B">
              <w:rPr>
                <w:rFonts w:eastAsia="Times New Roman" w:cs="Arial"/>
                <w:b/>
                <w:bCs/>
                <w:color w:val="000000"/>
                <w:sz w:val="18"/>
                <w:szCs w:val="18"/>
              </w:rPr>
              <w:t xml:space="preserve">Rule </w:t>
            </w:r>
            <w:r w:rsidR="00244924">
              <w:rPr>
                <w:rFonts w:eastAsia="Times New Roman" w:cs="Arial"/>
                <w:b/>
                <w:bCs/>
                <w:color w:val="000000"/>
                <w:sz w:val="18"/>
                <w:szCs w:val="18"/>
              </w:rPr>
              <w:t>F</w:t>
            </w:r>
            <w:r w:rsidR="003721D4" w:rsidRPr="00C13C7B">
              <w:rPr>
                <w:rFonts w:eastAsia="Times New Roman" w:cs="Arial"/>
                <w:b/>
                <w:bCs/>
                <w:color w:val="000000"/>
                <w:sz w:val="18"/>
                <w:szCs w:val="18"/>
              </w:rPr>
              <w:t>amiliarization</w:t>
            </w:r>
          </w:p>
        </w:tc>
      </w:tr>
      <w:tr w:rsidR="003721D4" w:rsidRPr="00C13C7B" w14:paraId="3B5ABD23"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55AA6AA2"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05C9AA7D"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336</w:t>
            </w:r>
          </w:p>
        </w:tc>
        <w:tc>
          <w:tcPr>
            <w:tcW w:w="1710" w:type="dxa"/>
            <w:tcBorders>
              <w:top w:val="nil"/>
              <w:left w:val="nil"/>
              <w:bottom w:val="single" w:sz="8" w:space="0" w:color="auto"/>
              <w:right w:val="nil"/>
            </w:tcBorders>
            <w:shd w:val="clear" w:color="auto" w:fill="auto"/>
            <w:vAlign w:val="center"/>
            <w:hideMark/>
          </w:tcPr>
          <w:p w14:paraId="249E2486"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61EBFB79"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56</w:t>
            </w:r>
          </w:p>
        </w:tc>
        <w:tc>
          <w:tcPr>
            <w:tcW w:w="1440" w:type="dxa"/>
            <w:tcBorders>
              <w:top w:val="nil"/>
              <w:left w:val="single" w:sz="8" w:space="0" w:color="auto"/>
              <w:bottom w:val="single" w:sz="8" w:space="0" w:color="auto"/>
              <w:right w:val="nil"/>
            </w:tcBorders>
            <w:shd w:val="clear" w:color="auto" w:fill="auto"/>
            <w:vAlign w:val="center"/>
            <w:hideMark/>
          </w:tcPr>
          <w:p w14:paraId="351B462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single" w:sz="8" w:space="0" w:color="auto"/>
              <w:right w:val="single" w:sz="8" w:space="0" w:color="auto"/>
            </w:tcBorders>
            <w:shd w:val="clear" w:color="auto" w:fill="auto"/>
            <w:vAlign w:val="center"/>
            <w:hideMark/>
          </w:tcPr>
          <w:p w14:paraId="725ED69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$4,398</w:t>
            </w:r>
          </w:p>
        </w:tc>
      </w:tr>
      <w:tr w:rsidR="003721D4" w:rsidRPr="00C13C7B" w14:paraId="301B641F"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2316CBBF"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5 Actions</w:t>
            </w:r>
          </w:p>
        </w:tc>
        <w:tc>
          <w:tcPr>
            <w:tcW w:w="1710" w:type="dxa"/>
            <w:tcBorders>
              <w:top w:val="nil"/>
              <w:left w:val="nil"/>
              <w:bottom w:val="single" w:sz="8" w:space="0" w:color="auto"/>
              <w:right w:val="nil"/>
            </w:tcBorders>
            <w:shd w:val="clear" w:color="auto" w:fill="auto"/>
            <w:vAlign w:val="center"/>
            <w:hideMark/>
          </w:tcPr>
          <w:p w14:paraId="3C9324AC"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1,022</w:t>
            </w:r>
          </w:p>
        </w:tc>
        <w:tc>
          <w:tcPr>
            <w:tcW w:w="1710" w:type="dxa"/>
            <w:tcBorders>
              <w:top w:val="nil"/>
              <w:left w:val="nil"/>
              <w:bottom w:val="single" w:sz="8" w:space="0" w:color="auto"/>
              <w:right w:val="nil"/>
            </w:tcBorders>
            <w:shd w:val="clear" w:color="auto" w:fill="auto"/>
            <w:vAlign w:val="center"/>
            <w:hideMark/>
          </w:tcPr>
          <w:p w14:paraId="73F29C7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3D6A8EF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170</w:t>
            </w:r>
          </w:p>
        </w:tc>
        <w:tc>
          <w:tcPr>
            <w:tcW w:w="1440" w:type="dxa"/>
            <w:tcBorders>
              <w:top w:val="nil"/>
              <w:left w:val="single" w:sz="8" w:space="0" w:color="auto"/>
              <w:bottom w:val="single" w:sz="8" w:space="0" w:color="auto"/>
              <w:right w:val="nil"/>
            </w:tcBorders>
            <w:shd w:val="clear" w:color="auto" w:fill="auto"/>
            <w:vAlign w:val="center"/>
            <w:hideMark/>
          </w:tcPr>
          <w:p w14:paraId="3BFADFD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single" w:sz="8" w:space="0" w:color="auto"/>
              <w:right w:val="single" w:sz="8" w:space="0" w:color="auto"/>
            </w:tcBorders>
            <w:shd w:val="clear" w:color="auto" w:fill="auto"/>
            <w:vAlign w:val="center"/>
            <w:hideMark/>
          </w:tcPr>
          <w:p w14:paraId="2268F8B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$13,378</w:t>
            </w:r>
          </w:p>
        </w:tc>
      </w:tr>
      <w:tr w:rsidR="003721D4" w:rsidRPr="00C13C7B" w14:paraId="206DC359" w14:textId="77777777" w:rsidTr="00973D5B">
        <w:trPr>
          <w:cantSplit/>
          <w:trHeight w:val="315"/>
        </w:trPr>
        <w:tc>
          <w:tcPr>
            <w:tcW w:w="1970" w:type="dxa"/>
            <w:tcBorders>
              <w:top w:val="nil"/>
              <w:left w:val="single" w:sz="8" w:space="0" w:color="auto"/>
              <w:bottom w:val="nil"/>
              <w:right w:val="single" w:sz="8" w:space="0" w:color="auto"/>
            </w:tcBorders>
            <w:shd w:val="clear" w:color="auto" w:fill="auto"/>
            <w:vAlign w:val="center"/>
            <w:hideMark/>
          </w:tcPr>
          <w:p w14:paraId="25DCBD99"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nil"/>
              <w:right w:val="nil"/>
            </w:tcBorders>
            <w:shd w:val="clear" w:color="auto" w:fill="auto"/>
            <w:vAlign w:val="center"/>
            <w:hideMark/>
          </w:tcPr>
          <w:p w14:paraId="2062633C"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60</w:t>
            </w:r>
          </w:p>
        </w:tc>
        <w:tc>
          <w:tcPr>
            <w:tcW w:w="1710" w:type="dxa"/>
            <w:tcBorders>
              <w:top w:val="nil"/>
              <w:left w:val="nil"/>
              <w:bottom w:val="nil"/>
              <w:right w:val="nil"/>
            </w:tcBorders>
            <w:shd w:val="clear" w:color="auto" w:fill="auto"/>
            <w:vAlign w:val="center"/>
            <w:hideMark/>
          </w:tcPr>
          <w:p w14:paraId="7985C7AA"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nil"/>
              <w:right w:val="nil"/>
            </w:tcBorders>
            <w:shd w:val="clear" w:color="auto" w:fill="auto"/>
            <w:vAlign w:val="center"/>
            <w:hideMark/>
          </w:tcPr>
          <w:p w14:paraId="1C49C0EB"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w:t>
            </w:r>
          </w:p>
        </w:tc>
        <w:tc>
          <w:tcPr>
            <w:tcW w:w="1440" w:type="dxa"/>
            <w:tcBorders>
              <w:top w:val="nil"/>
              <w:left w:val="single" w:sz="8" w:space="0" w:color="auto"/>
              <w:bottom w:val="nil"/>
              <w:right w:val="nil"/>
            </w:tcBorders>
            <w:shd w:val="clear" w:color="auto" w:fill="auto"/>
            <w:vAlign w:val="center"/>
            <w:hideMark/>
          </w:tcPr>
          <w:p w14:paraId="547AAA19"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nil"/>
              <w:right w:val="single" w:sz="8" w:space="0" w:color="auto"/>
            </w:tcBorders>
            <w:shd w:val="clear" w:color="auto" w:fill="auto"/>
            <w:vAlign w:val="center"/>
            <w:hideMark/>
          </w:tcPr>
          <w:p w14:paraId="00DC59CD"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$785</w:t>
            </w:r>
          </w:p>
        </w:tc>
      </w:tr>
      <w:tr w:rsidR="003721D4" w:rsidRPr="00C13C7B" w14:paraId="508EBAAB" w14:textId="77777777" w:rsidTr="00973D5B">
        <w:trPr>
          <w:cantSplit/>
          <w:trHeight w:val="34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EBF7D0" w14:textId="77777777" w:rsidR="003721D4" w:rsidRPr="00F54137"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 2: </w:t>
            </w:r>
            <w:r w:rsidR="003721D4" w:rsidRPr="00C13C7B">
              <w:rPr>
                <w:rFonts w:eastAsia="Times New Roman" w:cs="Arial"/>
                <w:b/>
                <w:bCs/>
                <w:color w:val="000000"/>
                <w:sz w:val="18"/>
                <w:szCs w:val="18"/>
              </w:rPr>
              <w:t xml:space="preserve">Notification of </w:t>
            </w:r>
            <w:r w:rsidR="00244924">
              <w:rPr>
                <w:rFonts w:eastAsia="Times New Roman" w:cs="Arial"/>
                <w:b/>
                <w:bCs/>
                <w:color w:val="000000"/>
                <w:sz w:val="18"/>
                <w:szCs w:val="18"/>
              </w:rPr>
              <w:t>P</w:t>
            </w:r>
            <w:r w:rsidR="003721D4" w:rsidRPr="00F54137">
              <w:rPr>
                <w:rFonts w:eastAsia="Times New Roman" w:cs="Arial"/>
                <w:b/>
                <w:bCs/>
                <w:color w:val="000000"/>
                <w:sz w:val="18"/>
                <w:szCs w:val="18"/>
              </w:rPr>
              <w:t xml:space="preserve">articipation in </w:t>
            </w:r>
            <w:r w:rsidR="00244924">
              <w:rPr>
                <w:rFonts w:eastAsia="Times New Roman" w:cs="Arial"/>
                <w:b/>
                <w:bCs/>
                <w:color w:val="000000"/>
                <w:sz w:val="18"/>
                <w:szCs w:val="18"/>
              </w:rPr>
              <w:t>C</w:t>
            </w:r>
            <w:r w:rsidR="003721D4" w:rsidRPr="00F54137">
              <w:rPr>
                <w:rFonts w:eastAsia="Times New Roman" w:cs="Arial"/>
                <w:b/>
                <w:bCs/>
                <w:color w:val="000000"/>
                <w:sz w:val="18"/>
                <w:szCs w:val="18"/>
              </w:rPr>
              <w:t>onsortia</w:t>
            </w:r>
          </w:p>
        </w:tc>
      </w:tr>
      <w:tr w:rsidR="003721D4" w:rsidRPr="00C13C7B" w14:paraId="632370C8"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0E9C1AFD"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15C4041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12</w:t>
            </w:r>
          </w:p>
        </w:tc>
        <w:tc>
          <w:tcPr>
            <w:tcW w:w="1710" w:type="dxa"/>
            <w:tcBorders>
              <w:top w:val="nil"/>
              <w:left w:val="nil"/>
              <w:bottom w:val="single" w:sz="8" w:space="0" w:color="auto"/>
              <w:right w:val="nil"/>
            </w:tcBorders>
            <w:shd w:val="clear" w:color="auto" w:fill="auto"/>
            <w:vAlign w:val="center"/>
            <w:hideMark/>
          </w:tcPr>
          <w:p w14:paraId="1BDD0E2B"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0.083</w:t>
            </w:r>
          </w:p>
        </w:tc>
        <w:tc>
          <w:tcPr>
            <w:tcW w:w="1440" w:type="dxa"/>
            <w:tcBorders>
              <w:top w:val="nil"/>
              <w:left w:val="nil"/>
              <w:bottom w:val="single" w:sz="8" w:space="0" w:color="auto"/>
              <w:right w:val="single" w:sz="8" w:space="0" w:color="auto"/>
            </w:tcBorders>
            <w:shd w:val="clear" w:color="auto" w:fill="auto"/>
            <w:vAlign w:val="center"/>
            <w:hideMark/>
          </w:tcPr>
          <w:p w14:paraId="0A75431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1.00</w:t>
            </w:r>
          </w:p>
        </w:tc>
        <w:tc>
          <w:tcPr>
            <w:tcW w:w="1440" w:type="dxa"/>
            <w:tcBorders>
              <w:top w:val="nil"/>
              <w:left w:val="nil"/>
              <w:bottom w:val="single" w:sz="8" w:space="0" w:color="auto"/>
              <w:right w:val="nil"/>
            </w:tcBorders>
            <w:shd w:val="clear" w:color="auto" w:fill="auto"/>
            <w:vAlign w:val="center"/>
            <w:hideMark/>
          </w:tcPr>
          <w:p w14:paraId="4F9C91EA"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$6.55 </w:t>
            </w:r>
          </w:p>
        </w:tc>
        <w:tc>
          <w:tcPr>
            <w:tcW w:w="1440" w:type="dxa"/>
            <w:tcBorders>
              <w:top w:val="nil"/>
              <w:left w:val="nil"/>
              <w:bottom w:val="single" w:sz="8" w:space="0" w:color="auto"/>
              <w:right w:val="single" w:sz="8" w:space="0" w:color="auto"/>
            </w:tcBorders>
            <w:shd w:val="clear" w:color="auto" w:fill="auto"/>
            <w:vAlign w:val="center"/>
            <w:hideMark/>
          </w:tcPr>
          <w:p w14:paraId="4496AAC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$79 </w:t>
            </w:r>
          </w:p>
        </w:tc>
      </w:tr>
      <w:tr w:rsidR="003721D4" w:rsidRPr="00C13C7B" w14:paraId="4991EF0B"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61AAA197"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single" w:sz="8" w:space="0" w:color="auto"/>
              <w:right w:val="nil"/>
            </w:tcBorders>
            <w:shd w:val="clear" w:color="auto" w:fill="auto"/>
            <w:vAlign w:val="center"/>
            <w:hideMark/>
          </w:tcPr>
          <w:p w14:paraId="6A05FE2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8</w:t>
            </w:r>
          </w:p>
        </w:tc>
        <w:tc>
          <w:tcPr>
            <w:tcW w:w="1710" w:type="dxa"/>
            <w:tcBorders>
              <w:top w:val="nil"/>
              <w:left w:val="nil"/>
              <w:bottom w:val="single" w:sz="8" w:space="0" w:color="auto"/>
              <w:right w:val="nil"/>
            </w:tcBorders>
            <w:shd w:val="clear" w:color="auto" w:fill="auto"/>
            <w:vAlign w:val="center"/>
            <w:hideMark/>
          </w:tcPr>
          <w:p w14:paraId="02F36E38"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0.083</w:t>
            </w:r>
          </w:p>
        </w:tc>
        <w:tc>
          <w:tcPr>
            <w:tcW w:w="1440" w:type="dxa"/>
            <w:tcBorders>
              <w:top w:val="nil"/>
              <w:left w:val="nil"/>
              <w:bottom w:val="single" w:sz="8" w:space="0" w:color="auto"/>
              <w:right w:val="single" w:sz="8" w:space="0" w:color="auto"/>
            </w:tcBorders>
            <w:shd w:val="clear" w:color="auto" w:fill="auto"/>
            <w:vAlign w:val="center"/>
            <w:hideMark/>
          </w:tcPr>
          <w:p w14:paraId="4FD8043A"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0.69</w:t>
            </w:r>
          </w:p>
        </w:tc>
        <w:tc>
          <w:tcPr>
            <w:tcW w:w="1440" w:type="dxa"/>
            <w:tcBorders>
              <w:top w:val="nil"/>
              <w:left w:val="nil"/>
              <w:bottom w:val="single" w:sz="8" w:space="0" w:color="auto"/>
              <w:right w:val="nil"/>
            </w:tcBorders>
            <w:shd w:val="clear" w:color="auto" w:fill="auto"/>
            <w:vAlign w:val="center"/>
            <w:hideMark/>
          </w:tcPr>
          <w:p w14:paraId="2D27138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$6.55 </w:t>
            </w:r>
          </w:p>
        </w:tc>
        <w:tc>
          <w:tcPr>
            <w:tcW w:w="1440" w:type="dxa"/>
            <w:tcBorders>
              <w:top w:val="nil"/>
              <w:left w:val="nil"/>
              <w:bottom w:val="single" w:sz="8" w:space="0" w:color="auto"/>
              <w:right w:val="single" w:sz="8" w:space="0" w:color="auto"/>
            </w:tcBorders>
            <w:shd w:val="clear" w:color="auto" w:fill="auto"/>
            <w:vAlign w:val="center"/>
            <w:hideMark/>
          </w:tcPr>
          <w:p w14:paraId="4F2495C1"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$55 </w:t>
            </w:r>
          </w:p>
        </w:tc>
      </w:tr>
      <w:tr w:rsidR="003721D4" w:rsidRPr="00C13C7B" w14:paraId="6AA5B2A4" w14:textId="77777777" w:rsidTr="00973D5B">
        <w:trPr>
          <w:cantSplit/>
          <w:trHeight w:val="34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8C6257" w14:textId="77777777" w:rsidR="003721D4" w:rsidRPr="00C13C7B"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 3: </w:t>
            </w:r>
            <w:r w:rsidR="003721D4" w:rsidRPr="00C13C7B">
              <w:rPr>
                <w:rFonts w:eastAsia="Times New Roman" w:cs="Arial"/>
                <w:b/>
                <w:bCs/>
                <w:color w:val="000000"/>
                <w:sz w:val="18"/>
                <w:szCs w:val="18"/>
              </w:rPr>
              <w:t>CDX Registration</w:t>
            </w:r>
          </w:p>
        </w:tc>
      </w:tr>
      <w:tr w:rsidR="003721D4" w:rsidRPr="00C13C7B" w14:paraId="4EC7FD51" w14:textId="77777777" w:rsidTr="00973D5B">
        <w:trPr>
          <w:cantSplit/>
          <w:trHeight w:val="315"/>
        </w:trPr>
        <w:tc>
          <w:tcPr>
            <w:tcW w:w="1970" w:type="dxa"/>
            <w:tcBorders>
              <w:top w:val="nil"/>
              <w:left w:val="single" w:sz="8" w:space="0" w:color="auto"/>
              <w:bottom w:val="nil"/>
              <w:right w:val="single" w:sz="8" w:space="0" w:color="auto"/>
            </w:tcBorders>
            <w:shd w:val="clear" w:color="auto" w:fill="auto"/>
            <w:vAlign w:val="center"/>
            <w:hideMark/>
          </w:tcPr>
          <w:p w14:paraId="71C33456"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nil"/>
              <w:right w:val="nil"/>
            </w:tcBorders>
            <w:shd w:val="clear" w:color="auto" w:fill="auto"/>
            <w:vAlign w:val="center"/>
            <w:hideMark/>
          </w:tcPr>
          <w:p w14:paraId="68BBC39F"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58</w:t>
            </w:r>
          </w:p>
        </w:tc>
        <w:tc>
          <w:tcPr>
            <w:tcW w:w="1710" w:type="dxa"/>
            <w:tcBorders>
              <w:top w:val="nil"/>
              <w:left w:val="nil"/>
              <w:bottom w:val="nil"/>
              <w:right w:val="nil"/>
            </w:tcBorders>
            <w:shd w:val="clear" w:color="auto" w:fill="auto"/>
            <w:vAlign w:val="center"/>
            <w:hideMark/>
          </w:tcPr>
          <w:p w14:paraId="064C98AF"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0.17</w:t>
            </w:r>
          </w:p>
        </w:tc>
        <w:tc>
          <w:tcPr>
            <w:tcW w:w="1440" w:type="dxa"/>
            <w:tcBorders>
              <w:top w:val="nil"/>
              <w:left w:val="nil"/>
              <w:bottom w:val="nil"/>
              <w:right w:val="nil"/>
            </w:tcBorders>
            <w:shd w:val="clear" w:color="auto" w:fill="auto"/>
            <w:vAlign w:val="center"/>
            <w:hideMark/>
          </w:tcPr>
          <w:p w14:paraId="438A36F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9.67</w:t>
            </w:r>
          </w:p>
        </w:tc>
        <w:tc>
          <w:tcPr>
            <w:tcW w:w="1440" w:type="dxa"/>
            <w:tcBorders>
              <w:top w:val="nil"/>
              <w:left w:val="single" w:sz="8" w:space="0" w:color="auto"/>
              <w:bottom w:val="nil"/>
              <w:right w:val="nil"/>
            </w:tcBorders>
            <w:shd w:val="clear" w:color="auto" w:fill="auto"/>
            <w:vAlign w:val="center"/>
            <w:hideMark/>
          </w:tcPr>
          <w:p w14:paraId="286B367D"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nil"/>
              <w:right w:val="single" w:sz="8" w:space="0" w:color="auto"/>
            </w:tcBorders>
            <w:shd w:val="clear" w:color="auto" w:fill="auto"/>
            <w:vAlign w:val="center"/>
            <w:hideMark/>
          </w:tcPr>
          <w:p w14:paraId="341618F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$759 </w:t>
            </w:r>
          </w:p>
        </w:tc>
      </w:tr>
      <w:tr w:rsidR="003721D4" w:rsidRPr="00C13C7B" w14:paraId="6AC444AD" w14:textId="77777777" w:rsidTr="00973D5B">
        <w:trPr>
          <w:cantSplit/>
          <w:trHeight w:val="31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94DDA80" w14:textId="77777777" w:rsidR="003721D4" w:rsidRPr="00C13C7B"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 4: </w:t>
            </w:r>
            <w:r w:rsidR="003721D4" w:rsidRPr="00C13C7B">
              <w:rPr>
                <w:rFonts w:eastAsia="Times New Roman" w:cs="Arial"/>
                <w:b/>
                <w:bCs/>
                <w:color w:val="000000"/>
                <w:sz w:val="18"/>
                <w:szCs w:val="18"/>
              </w:rPr>
              <w:t xml:space="preserve">Reduced </w:t>
            </w:r>
            <w:r w:rsidR="00244924" w:rsidRPr="00C13C7B">
              <w:rPr>
                <w:rFonts w:eastAsia="Times New Roman" w:cs="Arial"/>
                <w:b/>
                <w:bCs/>
                <w:color w:val="000000"/>
                <w:sz w:val="18"/>
                <w:szCs w:val="18"/>
              </w:rPr>
              <w:t>Fee Eligibility Determination</w:t>
            </w:r>
          </w:p>
        </w:tc>
      </w:tr>
      <w:tr w:rsidR="003721D4" w:rsidRPr="00C13C7B" w14:paraId="3AFD06EE"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068B9B6F"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34D6AB18"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84</w:t>
            </w:r>
          </w:p>
        </w:tc>
        <w:tc>
          <w:tcPr>
            <w:tcW w:w="1710" w:type="dxa"/>
            <w:tcBorders>
              <w:top w:val="nil"/>
              <w:left w:val="nil"/>
              <w:bottom w:val="single" w:sz="8" w:space="0" w:color="auto"/>
              <w:right w:val="nil"/>
            </w:tcBorders>
            <w:shd w:val="clear" w:color="auto" w:fill="auto"/>
            <w:vAlign w:val="center"/>
            <w:hideMark/>
          </w:tcPr>
          <w:p w14:paraId="2A6E9348"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6F1509A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14</w:t>
            </w:r>
          </w:p>
        </w:tc>
        <w:tc>
          <w:tcPr>
            <w:tcW w:w="1440" w:type="dxa"/>
            <w:tcBorders>
              <w:top w:val="nil"/>
              <w:left w:val="single" w:sz="8" w:space="0" w:color="auto"/>
              <w:bottom w:val="single" w:sz="8" w:space="0" w:color="auto"/>
              <w:right w:val="nil"/>
            </w:tcBorders>
            <w:shd w:val="clear" w:color="auto" w:fill="auto"/>
            <w:vAlign w:val="center"/>
            <w:hideMark/>
          </w:tcPr>
          <w:p w14:paraId="151FECA4"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$12.97 </w:t>
            </w:r>
          </w:p>
        </w:tc>
        <w:tc>
          <w:tcPr>
            <w:tcW w:w="1440" w:type="dxa"/>
            <w:tcBorders>
              <w:top w:val="nil"/>
              <w:left w:val="nil"/>
              <w:bottom w:val="single" w:sz="8" w:space="0" w:color="auto"/>
              <w:right w:val="single" w:sz="8" w:space="0" w:color="auto"/>
            </w:tcBorders>
            <w:shd w:val="clear" w:color="auto" w:fill="auto"/>
            <w:vAlign w:val="center"/>
            <w:hideMark/>
          </w:tcPr>
          <w:p w14:paraId="04C6001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$1,090</w:t>
            </w:r>
          </w:p>
        </w:tc>
      </w:tr>
      <w:tr w:rsidR="003721D4" w:rsidRPr="00C13C7B" w14:paraId="74809850"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17FFBD3E"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5 Actions</w:t>
            </w:r>
          </w:p>
        </w:tc>
        <w:tc>
          <w:tcPr>
            <w:tcW w:w="1710" w:type="dxa"/>
            <w:tcBorders>
              <w:top w:val="nil"/>
              <w:left w:val="nil"/>
              <w:bottom w:val="single" w:sz="8" w:space="0" w:color="auto"/>
              <w:right w:val="nil"/>
            </w:tcBorders>
            <w:shd w:val="clear" w:color="auto" w:fill="auto"/>
            <w:vAlign w:val="center"/>
            <w:hideMark/>
          </w:tcPr>
          <w:p w14:paraId="490BB2C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164</w:t>
            </w:r>
          </w:p>
        </w:tc>
        <w:tc>
          <w:tcPr>
            <w:tcW w:w="1710" w:type="dxa"/>
            <w:tcBorders>
              <w:top w:val="nil"/>
              <w:left w:val="nil"/>
              <w:bottom w:val="single" w:sz="8" w:space="0" w:color="auto"/>
              <w:right w:val="nil"/>
            </w:tcBorders>
            <w:shd w:val="clear" w:color="auto" w:fill="auto"/>
            <w:vAlign w:val="center"/>
            <w:hideMark/>
          </w:tcPr>
          <w:p w14:paraId="60D5C85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04749CB6"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27</w:t>
            </w:r>
          </w:p>
        </w:tc>
        <w:tc>
          <w:tcPr>
            <w:tcW w:w="1440" w:type="dxa"/>
            <w:tcBorders>
              <w:top w:val="nil"/>
              <w:left w:val="single" w:sz="8" w:space="0" w:color="auto"/>
              <w:bottom w:val="single" w:sz="8" w:space="0" w:color="auto"/>
              <w:right w:val="nil"/>
            </w:tcBorders>
            <w:shd w:val="clear" w:color="auto" w:fill="auto"/>
            <w:vAlign w:val="center"/>
            <w:hideMark/>
          </w:tcPr>
          <w:p w14:paraId="08ACAE7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$12.97 </w:t>
            </w:r>
          </w:p>
        </w:tc>
        <w:tc>
          <w:tcPr>
            <w:tcW w:w="1440" w:type="dxa"/>
            <w:tcBorders>
              <w:top w:val="nil"/>
              <w:left w:val="nil"/>
              <w:bottom w:val="single" w:sz="8" w:space="0" w:color="auto"/>
              <w:right w:val="single" w:sz="8" w:space="0" w:color="auto"/>
            </w:tcBorders>
            <w:shd w:val="clear" w:color="auto" w:fill="auto"/>
            <w:vAlign w:val="center"/>
            <w:hideMark/>
          </w:tcPr>
          <w:p w14:paraId="63ACBAA1"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$2,127</w:t>
            </w:r>
          </w:p>
        </w:tc>
      </w:tr>
      <w:tr w:rsidR="003721D4" w:rsidRPr="00C13C7B" w14:paraId="32FAD636" w14:textId="77777777" w:rsidTr="00973D5B">
        <w:trPr>
          <w:cantSplit/>
          <w:trHeight w:val="315"/>
        </w:trPr>
        <w:tc>
          <w:tcPr>
            <w:tcW w:w="1970" w:type="dxa"/>
            <w:tcBorders>
              <w:top w:val="nil"/>
              <w:left w:val="single" w:sz="8" w:space="0" w:color="auto"/>
              <w:bottom w:val="nil"/>
              <w:right w:val="single" w:sz="8" w:space="0" w:color="000000"/>
            </w:tcBorders>
            <w:shd w:val="clear" w:color="auto" w:fill="auto"/>
            <w:vAlign w:val="center"/>
            <w:hideMark/>
          </w:tcPr>
          <w:p w14:paraId="04602F80"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nil"/>
              <w:right w:val="nil"/>
            </w:tcBorders>
            <w:shd w:val="clear" w:color="auto" w:fill="auto"/>
            <w:vAlign w:val="center"/>
            <w:hideMark/>
          </w:tcPr>
          <w:p w14:paraId="790AED7B"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24</w:t>
            </w:r>
          </w:p>
        </w:tc>
        <w:tc>
          <w:tcPr>
            <w:tcW w:w="1710" w:type="dxa"/>
            <w:tcBorders>
              <w:top w:val="nil"/>
              <w:left w:val="nil"/>
              <w:bottom w:val="nil"/>
              <w:right w:val="nil"/>
            </w:tcBorders>
            <w:shd w:val="clear" w:color="auto" w:fill="auto"/>
            <w:vAlign w:val="center"/>
            <w:hideMark/>
          </w:tcPr>
          <w:p w14:paraId="3345796D"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nil"/>
              <w:right w:val="nil"/>
            </w:tcBorders>
            <w:shd w:val="clear" w:color="auto" w:fill="auto"/>
            <w:vAlign w:val="center"/>
            <w:hideMark/>
          </w:tcPr>
          <w:p w14:paraId="0B501A4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4</w:t>
            </w:r>
          </w:p>
        </w:tc>
        <w:tc>
          <w:tcPr>
            <w:tcW w:w="1440" w:type="dxa"/>
            <w:tcBorders>
              <w:top w:val="nil"/>
              <w:left w:val="single" w:sz="8" w:space="0" w:color="auto"/>
              <w:bottom w:val="nil"/>
              <w:right w:val="nil"/>
            </w:tcBorders>
            <w:shd w:val="clear" w:color="auto" w:fill="auto"/>
            <w:vAlign w:val="center"/>
            <w:hideMark/>
          </w:tcPr>
          <w:p w14:paraId="1B0BBFF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$12.97 </w:t>
            </w:r>
          </w:p>
        </w:tc>
        <w:tc>
          <w:tcPr>
            <w:tcW w:w="1440" w:type="dxa"/>
            <w:tcBorders>
              <w:top w:val="nil"/>
              <w:left w:val="nil"/>
              <w:bottom w:val="nil"/>
              <w:right w:val="single" w:sz="8" w:space="0" w:color="auto"/>
            </w:tcBorders>
            <w:shd w:val="clear" w:color="auto" w:fill="auto"/>
            <w:vAlign w:val="center"/>
            <w:hideMark/>
          </w:tcPr>
          <w:p w14:paraId="2CCF97AF"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$311</w:t>
            </w:r>
          </w:p>
        </w:tc>
      </w:tr>
      <w:tr w:rsidR="003721D4" w:rsidRPr="00C13C7B" w14:paraId="6F1C656A" w14:textId="77777777" w:rsidTr="00973D5B">
        <w:trPr>
          <w:cantSplit/>
          <w:trHeight w:val="34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BF8B3F3" w14:textId="77777777" w:rsidR="003721D4" w:rsidRPr="00F54137"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ICS 5: </w:t>
            </w:r>
            <w:r w:rsidR="003721D4" w:rsidRPr="00C13C7B">
              <w:rPr>
                <w:rFonts w:eastAsia="Times New Roman" w:cs="Arial"/>
                <w:b/>
                <w:bCs/>
                <w:color w:val="000000"/>
                <w:sz w:val="18"/>
                <w:szCs w:val="18"/>
              </w:rPr>
              <w:t xml:space="preserve">Fee </w:t>
            </w:r>
            <w:r w:rsidR="00244924">
              <w:rPr>
                <w:rFonts w:eastAsia="Times New Roman" w:cs="Arial"/>
                <w:b/>
                <w:bCs/>
                <w:color w:val="000000"/>
                <w:sz w:val="18"/>
                <w:szCs w:val="18"/>
              </w:rPr>
              <w:t>P</w:t>
            </w:r>
            <w:r w:rsidR="003721D4" w:rsidRPr="00F54137">
              <w:rPr>
                <w:rFonts w:eastAsia="Times New Roman" w:cs="Arial"/>
                <w:b/>
                <w:bCs/>
                <w:color w:val="000000"/>
                <w:sz w:val="18"/>
                <w:szCs w:val="18"/>
              </w:rPr>
              <w:t>ayment</w:t>
            </w:r>
            <w:r w:rsidR="00244924">
              <w:rPr>
                <w:rFonts w:eastAsia="Times New Roman" w:cs="Arial"/>
                <w:b/>
                <w:bCs/>
                <w:color w:val="000000"/>
                <w:sz w:val="18"/>
                <w:szCs w:val="18"/>
              </w:rPr>
              <w:t xml:space="preserve"> through Pay.gov</w:t>
            </w:r>
          </w:p>
        </w:tc>
      </w:tr>
      <w:tr w:rsidR="003721D4" w:rsidRPr="00C13C7B" w14:paraId="309B6C10"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2F6B822E"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4A6DDD2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12</w:t>
            </w:r>
          </w:p>
        </w:tc>
        <w:tc>
          <w:tcPr>
            <w:tcW w:w="1710" w:type="dxa"/>
            <w:tcBorders>
              <w:top w:val="nil"/>
              <w:left w:val="nil"/>
              <w:bottom w:val="single" w:sz="8" w:space="0" w:color="auto"/>
              <w:right w:val="nil"/>
            </w:tcBorders>
            <w:shd w:val="clear" w:color="auto" w:fill="auto"/>
            <w:vAlign w:val="center"/>
            <w:hideMark/>
          </w:tcPr>
          <w:p w14:paraId="73C8FA3A"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0034689A"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w:t>
            </w:r>
          </w:p>
        </w:tc>
        <w:tc>
          <w:tcPr>
            <w:tcW w:w="1440" w:type="dxa"/>
            <w:tcBorders>
              <w:top w:val="nil"/>
              <w:left w:val="single" w:sz="8" w:space="0" w:color="auto"/>
              <w:bottom w:val="single" w:sz="8" w:space="0" w:color="auto"/>
              <w:right w:val="nil"/>
            </w:tcBorders>
            <w:shd w:val="clear" w:color="auto" w:fill="auto"/>
            <w:vAlign w:val="center"/>
            <w:hideMark/>
          </w:tcPr>
          <w:p w14:paraId="759D9437"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single" w:sz="8" w:space="0" w:color="auto"/>
              <w:right w:val="single" w:sz="8" w:space="0" w:color="auto"/>
            </w:tcBorders>
            <w:shd w:val="clear" w:color="auto" w:fill="auto"/>
            <w:vAlign w:val="center"/>
            <w:hideMark/>
          </w:tcPr>
          <w:p w14:paraId="394BEBA2"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$157</w:t>
            </w:r>
          </w:p>
        </w:tc>
      </w:tr>
      <w:tr w:rsidR="003721D4" w:rsidRPr="00C13C7B" w14:paraId="20D795D6"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558D5CDB"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5 Actions</w:t>
            </w:r>
          </w:p>
        </w:tc>
        <w:tc>
          <w:tcPr>
            <w:tcW w:w="1710" w:type="dxa"/>
            <w:tcBorders>
              <w:top w:val="nil"/>
              <w:left w:val="nil"/>
              <w:bottom w:val="single" w:sz="8" w:space="0" w:color="auto"/>
              <w:right w:val="nil"/>
            </w:tcBorders>
            <w:shd w:val="clear" w:color="auto" w:fill="auto"/>
            <w:vAlign w:val="center"/>
            <w:hideMark/>
          </w:tcPr>
          <w:p w14:paraId="2B301C7F"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1,022</w:t>
            </w:r>
          </w:p>
        </w:tc>
        <w:tc>
          <w:tcPr>
            <w:tcW w:w="1710" w:type="dxa"/>
            <w:tcBorders>
              <w:top w:val="nil"/>
              <w:left w:val="nil"/>
              <w:bottom w:val="single" w:sz="8" w:space="0" w:color="auto"/>
              <w:right w:val="nil"/>
            </w:tcBorders>
            <w:shd w:val="clear" w:color="auto" w:fill="auto"/>
            <w:vAlign w:val="center"/>
            <w:hideMark/>
          </w:tcPr>
          <w:p w14:paraId="6FC1ECE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single" w:sz="8" w:space="0" w:color="auto"/>
              <w:right w:val="nil"/>
            </w:tcBorders>
            <w:shd w:val="clear" w:color="auto" w:fill="auto"/>
            <w:vAlign w:val="center"/>
            <w:hideMark/>
          </w:tcPr>
          <w:p w14:paraId="7DAB5A8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170</w:t>
            </w:r>
          </w:p>
        </w:tc>
        <w:tc>
          <w:tcPr>
            <w:tcW w:w="1440" w:type="dxa"/>
            <w:tcBorders>
              <w:top w:val="nil"/>
              <w:left w:val="single" w:sz="8" w:space="0" w:color="auto"/>
              <w:bottom w:val="single" w:sz="8" w:space="0" w:color="auto"/>
              <w:right w:val="nil"/>
            </w:tcBorders>
            <w:shd w:val="clear" w:color="auto" w:fill="auto"/>
            <w:vAlign w:val="center"/>
            <w:hideMark/>
          </w:tcPr>
          <w:p w14:paraId="31BCAE7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single" w:sz="8" w:space="0" w:color="auto"/>
              <w:right w:val="single" w:sz="8" w:space="0" w:color="auto"/>
            </w:tcBorders>
            <w:shd w:val="clear" w:color="auto" w:fill="auto"/>
            <w:vAlign w:val="center"/>
            <w:hideMark/>
          </w:tcPr>
          <w:p w14:paraId="2E7D880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$13,378</w:t>
            </w:r>
          </w:p>
        </w:tc>
      </w:tr>
      <w:tr w:rsidR="003721D4" w:rsidRPr="00C13C7B" w14:paraId="030E23D8" w14:textId="77777777" w:rsidTr="00973D5B">
        <w:trPr>
          <w:cantSplit/>
          <w:trHeight w:val="315"/>
        </w:trPr>
        <w:tc>
          <w:tcPr>
            <w:tcW w:w="1970" w:type="dxa"/>
            <w:tcBorders>
              <w:top w:val="nil"/>
              <w:left w:val="single" w:sz="8" w:space="0" w:color="auto"/>
              <w:bottom w:val="nil"/>
              <w:right w:val="single" w:sz="8" w:space="0" w:color="000000"/>
            </w:tcBorders>
            <w:shd w:val="clear" w:color="auto" w:fill="auto"/>
            <w:vAlign w:val="center"/>
            <w:hideMark/>
          </w:tcPr>
          <w:p w14:paraId="099BF5CF"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nil"/>
              <w:right w:val="nil"/>
            </w:tcBorders>
            <w:shd w:val="clear" w:color="auto" w:fill="auto"/>
            <w:vAlign w:val="center"/>
            <w:hideMark/>
          </w:tcPr>
          <w:p w14:paraId="3F31A91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10</w:t>
            </w:r>
          </w:p>
        </w:tc>
        <w:tc>
          <w:tcPr>
            <w:tcW w:w="1710" w:type="dxa"/>
            <w:tcBorders>
              <w:top w:val="nil"/>
              <w:left w:val="nil"/>
              <w:bottom w:val="nil"/>
              <w:right w:val="nil"/>
            </w:tcBorders>
            <w:shd w:val="clear" w:color="auto" w:fill="auto"/>
            <w:vAlign w:val="center"/>
            <w:hideMark/>
          </w:tcPr>
          <w:p w14:paraId="6F31B019"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0.167</w:t>
            </w:r>
          </w:p>
        </w:tc>
        <w:tc>
          <w:tcPr>
            <w:tcW w:w="1440" w:type="dxa"/>
            <w:tcBorders>
              <w:top w:val="nil"/>
              <w:left w:val="nil"/>
              <w:bottom w:val="nil"/>
              <w:right w:val="nil"/>
            </w:tcBorders>
            <w:shd w:val="clear" w:color="auto" w:fill="auto"/>
            <w:vAlign w:val="center"/>
            <w:hideMark/>
          </w:tcPr>
          <w:p w14:paraId="603DA4D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w:t>
            </w:r>
          </w:p>
        </w:tc>
        <w:tc>
          <w:tcPr>
            <w:tcW w:w="1440" w:type="dxa"/>
            <w:tcBorders>
              <w:top w:val="nil"/>
              <w:left w:val="single" w:sz="8" w:space="0" w:color="auto"/>
              <w:bottom w:val="nil"/>
              <w:right w:val="nil"/>
            </w:tcBorders>
            <w:shd w:val="clear" w:color="auto" w:fill="auto"/>
            <w:vAlign w:val="center"/>
            <w:hideMark/>
          </w:tcPr>
          <w:p w14:paraId="37EAC72B"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$13.09 </w:t>
            </w:r>
          </w:p>
        </w:tc>
        <w:tc>
          <w:tcPr>
            <w:tcW w:w="1440" w:type="dxa"/>
            <w:tcBorders>
              <w:top w:val="nil"/>
              <w:left w:val="nil"/>
              <w:bottom w:val="nil"/>
              <w:right w:val="single" w:sz="8" w:space="0" w:color="auto"/>
            </w:tcBorders>
            <w:shd w:val="clear" w:color="auto" w:fill="auto"/>
            <w:vAlign w:val="center"/>
            <w:hideMark/>
          </w:tcPr>
          <w:p w14:paraId="44E7936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$131</w:t>
            </w:r>
          </w:p>
        </w:tc>
      </w:tr>
      <w:tr w:rsidR="003721D4" w:rsidRPr="00C13C7B" w14:paraId="20488399" w14:textId="77777777" w:rsidTr="00973D5B">
        <w:trPr>
          <w:cantSplit/>
          <w:trHeight w:val="34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081D801" w14:textId="77777777" w:rsidR="003721D4" w:rsidRPr="00C13C7B"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IC 6: </w:t>
            </w:r>
            <w:r w:rsidR="003721D4" w:rsidRPr="00C13C7B">
              <w:rPr>
                <w:rFonts w:eastAsia="Times New Roman" w:cs="Arial"/>
                <w:b/>
                <w:bCs/>
                <w:color w:val="000000"/>
                <w:sz w:val="18"/>
                <w:szCs w:val="18"/>
              </w:rPr>
              <w:t>Self-</w:t>
            </w:r>
            <w:r w:rsidR="00244924">
              <w:rPr>
                <w:rFonts w:eastAsia="Times New Roman" w:cs="Arial"/>
                <w:b/>
                <w:bCs/>
                <w:color w:val="000000"/>
                <w:sz w:val="18"/>
                <w:szCs w:val="18"/>
              </w:rPr>
              <w:t>I</w:t>
            </w:r>
            <w:r w:rsidR="003721D4" w:rsidRPr="00F54137">
              <w:rPr>
                <w:rFonts w:eastAsia="Times New Roman" w:cs="Arial"/>
                <w:b/>
                <w:bCs/>
                <w:color w:val="000000"/>
                <w:sz w:val="18"/>
                <w:szCs w:val="18"/>
              </w:rPr>
              <w:t>dentification and Certificatio</w:t>
            </w:r>
            <w:r w:rsidR="00244924">
              <w:rPr>
                <w:rFonts w:eastAsia="Times New Roman" w:cs="Arial"/>
                <w:b/>
                <w:bCs/>
                <w:color w:val="000000"/>
                <w:sz w:val="18"/>
                <w:szCs w:val="18"/>
              </w:rPr>
              <w:t>n</w:t>
            </w:r>
          </w:p>
        </w:tc>
      </w:tr>
      <w:tr w:rsidR="003721D4" w:rsidRPr="00C13C7B" w14:paraId="762B3166" w14:textId="77777777" w:rsidTr="00973D5B">
        <w:trPr>
          <w:cantSplit/>
          <w:trHeight w:val="34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18ED37E9"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5F86A961"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28</w:t>
            </w:r>
          </w:p>
        </w:tc>
        <w:tc>
          <w:tcPr>
            <w:tcW w:w="1710" w:type="dxa"/>
            <w:tcBorders>
              <w:top w:val="nil"/>
              <w:left w:val="nil"/>
              <w:bottom w:val="single" w:sz="8" w:space="0" w:color="auto"/>
              <w:right w:val="nil"/>
            </w:tcBorders>
            <w:shd w:val="clear" w:color="auto" w:fill="auto"/>
            <w:vAlign w:val="center"/>
            <w:hideMark/>
          </w:tcPr>
          <w:p w14:paraId="4C1CCFDF"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0.833</w:t>
            </w:r>
          </w:p>
        </w:tc>
        <w:tc>
          <w:tcPr>
            <w:tcW w:w="1440" w:type="dxa"/>
            <w:tcBorders>
              <w:top w:val="nil"/>
              <w:left w:val="nil"/>
              <w:bottom w:val="single" w:sz="8" w:space="0" w:color="auto"/>
              <w:right w:val="nil"/>
            </w:tcBorders>
            <w:shd w:val="clear" w:color="auto" w:fill="auto"/>
            <w:vAlign w:val="center"/>
            <w:hideMark/>
          </w:tcPr>
          <w:p w14:paraId="085F6B7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23</w:t>
            </w:r>
          </w:p>
        </w:tc>
        <w:tc>
          <w:tcPr>
            <w:tcW w:w="1440" w:type="dxa"/>
            <w:tcBorders>
              <w:top w:val="nil"/>
              <w:left w:val="single" w:sz="8" w:space="0" w:color="auto"/>
              <w:bottom w:val="single" w:sz="8" w:space="0" w:color="auto"/>
              <w:right w:val="nil"/>
            </w:tcBorders>
            <w:shd w:val="clear" w:color="auto" w:fill="auto"/>
            <w:vAlign w:val="center"/>
            <w:hideMark/>
          </w:tcPr>
          <w:p w14:paraId="4FAB6D3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$58.23 </w:t>
            </w:r>
          </w:p>
        </w:tc>
        <w:tc>
          <w:tcPr>
            <w:tcW w:w="1440" w:type="dxa"/>
            <w:tcBorders>
              <w:top w:val="nil"/>
              <w:left w:val="nil"/>
              <w:bottom w:val="single" w:sz="8" w:space="0" w:color="auto"/>
              <w:right w:val="single" w:sz="8" w:space="0" w:color="auto"/>
            </w:tcBorders>
            <w:shd w:val="clear" w:color="auto" w:fill="auto"/>
            <w:vAlign w:val="center"/>
            <w:hideMark/>
          </w:tcPr>
          <w:p w14:paraId="7E89591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$1,630</w:t>
            </w:r>
          </w:p>
        </w:tc>
      </w:tr>
      <w:tr w:rsidR="003721D4" w:rsidRPr="00C13C7B" w14:paraId="7002DDAA"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72130DDD"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nil"/>
              <w:right w:val="nil"/>
            </w:tcBorders>
            <w:shd w:val="clear" w:color="auto" w:fill="auto"/>
            <w:vAlign w:val="center"/>
            <w:hideMark/>
          </w:tcPr>
          <w:p w14:paraId="6007C235"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58</w:t>
            </w:r>
          </w:p>
        </w:tc>
        <w:tc>
          <w:tcPr>
            <w:tcW w:w="1710" w:type="dxa"/>
            <w:tcBorders>
              <w:top w:val="nil"/>
              <w:left w:val="nil"/>
              <w:bottom w:val="nil"/>
              <w:right w:val="nil"/>
            </w:tcBorders>
            <w:shd w:val="clear" w:color="auto" w:fill="auto"/>
            <w:vAlign w:val="center"/>
            <w:hideMark/>
          </w:tcPr>
          <w:p w14:paraId="24B24CE3"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0.833</w:t>
            </w:r>
          </w:p>
        </w:tc>
        <w:tc>
          <w:tcPr>
            <w:tcW w:w="1440" w:type="dxa"/>
            <w:tcBorders>
              <w:top w:val="nil"/>
              <w:left w:val="nil"/>
              <w:bottom w:val="nil"/>
              <w:right w:val="nil"/>
            </w:tcBorders>
            <w:shd w:val="clear" w:color="auto" w:fill="auto"/>
            <w:vAlign w:val="center"/>
            <w:hideMark/>
          </w:tcPr>
          <w:p w14:paraId="673C6DF0"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48</w:t>
            </w:r>
          </w:p>
        </w:tc>
        <w:tc>
          <w:tcPr>
            <w:tcW w:w="1440" w:type="dxa"/>
            <w:tcBorders>
              <w:top w:val="nil"/>
              <w:left w:val="single" w:sz="8" w:space="0" w:color="auto"/>
              <w:bottom w:val="nil"/>
              <w:right w:val="nil"/>
            </w:tcBorders>
            <w:shd w:val="clear" w:color="auto" w:fill="auto"/>
            <w:vAlign w:val="center"/>
            <w:hideMark/>
          </w:tcPr>
          <w:p w14:paraId="14528959"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 xml:space="preserve">$58.23 </w:t>
            </w:r>
          </w:p>
        </w:tc>
        <w:tc>
          <w:tcPr>
            <w:tcW w:w="1440" w:type="dxa"/>
            <w:tcBorders>
              <w:top w:val="nil"/>
              <w:left w:val="nil"/>
              <w:bottom w:val="nil"/>
              <w:right w:val="single" w:sz="8" w:space="0" w:color="auto"/>
            </w:tcBorders>
            <w:shd w:val="clear" w:color="auto" w:fill="auto"/>
            <w:vAlign w:val="center"/>
            <w:hideMark/>
          </w:tcPr>
          <w:p w14:paraId="3D6BEA28"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$3,377</w:t>
            </w:r>
          </w:p>
        </w:tc>
      </w:tr>
      <w:tr w:rsidR="003721D4" w:rsidRPr="00C13C7B" w14:paraId="1F4557CE" w14:textId="77777777" w:rsidTr="00973D5B">
        <w:trPr>
          <w:cantSplit/>
          <w:trHeight w:val="31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FEBA7E" w14:textId="77777777" w:rsidR="003721D4" w:rsidRPr="00C13C7B" w:rsidRDefault="003721D4" w:rsidP="003721D4">
            <w:pPr>
              <w:jc w:val="center"/>
              <w:rPr>
                <w:rFonts w:eastAsia="Times New Roman" w:cs="Arial"/>
                <w:b/>
                <w:bCs/>
                <w:color w:val="000000"/>
                <w:sz w:val="18"/>
                <w:szCs w:val="18"/>
              </w:rPr>
            </w:pPr>
            <w:r w:rsidRPr="00C13C7B">
              <w:rPr>
                <w:rFonts w:eastAsia="Times New Roman" w:cs="Arial"/>
                <w:b/>
                <w:bCs/>
                <w:color w:val="000000"/>
                <w:sz w:val="18"/>
                <w:szCs w:val="18"/>
              </w:rPr>
              <w:t>Total Burden for all Activities</w:t>
            </w:r>
          </w:p>
        </w:tc>
      </w:tr>
      <w:tr w:rsidR="003721D4" w:rsidRPr="00C13C7B" w14:paraId="2166DBD4"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4246401E" w14:textId="77777777" w:rsidR="003721D4" w:rsidRPr="00C13C7B" w:rsidRDefault="003721D4" w:rsidP="003721D4">
            <w:pPr>
              <w:rPr>
                <w:rFonts w:eastAsia="Times New Roman" w:cs="Arial"/>
                <w:b/>
                <w:bCs/>
                <w:color w:val="000000"/>
                <w:sz w:val="18"/>
                <w:szCs w:val="18"/>
              </w:rPr>
            </w:pPr>
            <w:r w:rsidRPr="00C13C7B">
              <w:rPr>
                <w:rFonts w:eastAsia="Times New Roman" w:cs="Arial"/>
                <w:b/>
                <w:bCs/>
                <w:color w:val="000000"/>
                <w:sz w:val="18"/>
                <w:szCs w:val="18"/>
              </w:rPr>
              <w:t>Section 4 Actions</w:t>
            </w:r>
          </w:p>
        </w:tc>
        <w:tc>
          <w:tcPr>
            <w:tcW w:w="1710" w:type="dxa"/>
            <w:tcBorders>
              <w:top w:val="nil"/>
              <w:left w:val="nil"/>
              <w:bottom w:val="single" w:sz="8" w:space="0" w:color="auto"/>
              <w:right w:val="nil"/>
            </w:tcBorders>
            <w:shd w:val="clear" w:color="auto" w:fill="auto"/>
            <w:vAlign w:val="center"/>
            <w:hideMark/>
          </w:tcPr>
          <w:p w14:paraId="1C16A747"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336</w:t>
            </w:r>
          </w:p>
        </w:tc>
        <w:tc>
          <w:tcPr>
            <w:tcW w:w="1710" w:type="dxa"/>
            <w:tcBorders>
              <w:top w:val="nil"/>
              <w:left w:val="nil"/>
              <w:bottom w:val="single" w:sz="8" w:space="0" w:color="auto"/>
              <w:right w:val="nil"/>
            </w:tcBorders>
            <w:shd w:val="clear" w:color="auto" w:fill="auto"/>
            <w:vAlign w:val="center"/>
            <w:hideMark/>
          </w:tcPr>
          <w:p w14:paraId="2C1C033F" w14:textId="77777777" w:rsidR="003721D4" w:rsidRPr="00C13C7B" w:rsidRDefault="003721D4" w:rsidP="003721D4">
            <w:pPr>
              <w:rPr>
                <w:rFonts w:eastAsia="Times New Roman" w:cs="Arial"/>
                <w:b/>
                <w:color w:val="000000"/>
                <w:sz w:val="18"/>
                <w:szCs w:val="18"/>
              </w:rPr>
            </w:pPr>
            <w:r w:rsidRPr="00C13C7B">
              <w:rPr>
                <w:rFonts w:eastAsia="Times New Roman" w:cs="Arial"/>
                <w:b/>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49B5410F"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96</w:t>
            </w:r>
          </w:p>
        </w:tc>
        <w:tc>
          <w:tcPr>
            <w:tcW w:w="1440" w:type="dxa"/>
            <w:tcBorders>
              <w:top w:val="nil"/>
              <w:left w:val="single" w:sz="8" w:space="0" w:color="auto"/>
              <w:bottom w:val="single" w:sz="8" w:space="0" w:color="auto"/>
              <w:right w:val="nil"/>
            </w:tcBorders>
            <w:shd w:val="clear" w:color="auto" w:fill="auto"/>
            <w:vAlign w:val="center"/>
            <w:hideMark/>
          </w:tcPr>
          <w:p w14:paraId="498DA6A1" w14:textId="77777777" w:rsidR="003721D4" w:rsidRPr="00F54137" w:rsidRDefault="003721D4" w:rsidP="003721D4">
            <w:pPr>
              <w:jc w:val="right"/>
              <w:rPr>
                <w:rFonts w:eastAsia="Times New Roman" w:cs="Arial"/>
                <w:color w:val="000000"/>
                <w:sz w:val="18"/>
                <w:szCs w:val="18"/>
              </w:rPr>
            </w:pPr>
            <w:r w:rsidRPr="00F54137">
              <w:rPr>
                <w:rFonts w:eastAsia="Times New Roman" w:cs="Arial"/>
                <w:color w:val="000000"/>
                <w:sz w:val="18"/>
                <w:szCs w:val="18"/>
              </w:rPr>
              <w:t xml:space="preserve">$21.89 </w:t>
            </w:r>
          </w:p>
        </w:tc>
        <w:tc>
          <w:tcPr>
            <w:tcW w:w="1440" w:type="dxa"/>
            <w:tcBorders>
              <w:top w:val="nil"/>
              <w:left w:val="nil"/>
              <w:bottom w:val="single" w:sz="8" w:space="0" w:color="auto"/>
              <w:right w:val="single" w:sz="8" w:space="0" w:color="auto"/>
            </w:tcBorders>
            <w:shd w:val="clear" w:color="auto" w:fill="auto"/>
            <w:vAlign w:val="center"/>
            <w:hideMark/>
          </w:tcPr>
          <w:p w14:paraId="5A3E4195"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$7,354</w:t>
            </w:r>
          </w:p>
        </w:tc>
      </w:tr>
      <w:tr w:rsidR="003721D4" w:rsidRPr="00C13C7B" w14:paraId="714C85B2"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020C20AC" w14:textId="77777777" w:rsidR="003721D4" w:rsidRPr="00C13C7B" w:rsidRDefault="003721D4" w:rsidP="003721D4">
            <w:pPr>
              <w:rPr>
                <w:rFonts w:eastAsia="Times New Roman" w:cs="Arial"/>
                <w:b/>
                <w:bCs/>
                <w:color w:val="000000"/>
                <w:sz w:val="18"/>
                <w:szCs w:val="18"/>
              </w:rPr>
            </w:pPr>
            <w:r w:rsidRPr="00C13C7B">
              <w:rPr>
                <w:rFonts w:eastAsia="Times New Roman" w:cs="Arial"/>
                <w:b/>
                <w:bCs/>
                <w:color w:val="000000"/>
                <w:sz w:val="18"/>
                <w:szCs w:val="18"/>
              </w:rPr>
              <w:t>Section 5 Actions</w:t>
            </w:r>
          </w:p>
        </w:tc>
        <w:tc>
          <w:tcPr>
            <w:tcW w:w="1710" w:type="dxa"/>
            <w:tcBorders>
              <w:top w:val="nil"/>
              <w:left w:val="nil"/>
              <w:bottom w:val="single" w:sz="8" w:space="0" w:color="auto"/>
              <w:right w:val="nil"/>
            </w:tcBorders>
            <w:shd w:val="clear" w:color="auto" w:fill="auto"/>
            <w:vAlign w:val="center"/>
            <w:hideMark/>
          </w:tcPr>
          <w:p w14:paraId="264E12FE"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1,022</w:t>
            </w:r>
          </w:p>
        </w:tc>
        <w:tc>
          <w:tcPr>
            <w:tcW w:w="1710" w:type="dxa"/>
            <w:tcBorders>
              <w:top w:val="nil"/>
              <w:left w:val="nil"/>
              <w:bottom w:val="single" w:sz="8" w:space="0" w:color="auto"/>
              <w:right w:val="nil"/>
            </w:tcBorders>
            <w:shd w:val="clear" w:color="auto" w:fill="auto"/>
            <w:vAlign w:val="center"/>
            <w:hideMark/>
          </w:tcPr>
          <w:p w14:paraId="1C3B7012" w14:textId="77777777" w:rsidR="003721D4" w:rsidRPr="00C13C7B" w:rsidRDefault="003721D4" w:rsidP="003721D4">
            <w:pPr>
              <w:rPr>
                <w:rFonts w:eastAsia="Times New Roman" w:cs="Arial"/>
                <w:b/>
                <w:color w:val="000000"/>
                <w:sz w:val="18"/>
                <w:szCs w:val="18"/>
              </w:rPr>
            </w:pPr>
            <w:r w:rsidRPr="00C13C7B">
              <w:rPr>
                <w:rFonts w:eastAsia="Times New Roman" w:cs="Arial"/>
                <w:b/>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2F472C32"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368</w:t>
            </w:r>
          </w:p>
        </w:tc>
        <w:tc>
          <w:tcPr>
            <w:tcW w:w="1440" w:type="dxa"/>
            <w:tcBorders>
              <w:top w:val="nil"/>
              <w:left w:val="single" w:sz="8" w:space="0" w:color="auto"/>
              <w:bottom w:val="single" w:sz="8" w:space="0" w:color="auto"/>
              <w:right w:val="nil"/>
            </w:tcBorders>
            <w:shd w:val="clear" w:color="auto" w:fill="auto"/>
            <w:vAlign w:val="center"/>
            <w:hideMark/>
          </w:tcPr>
          <w:p w14:paraId="587742D8" w14:textId="77777777" w:rsidR="003721D4" w:rsidRPr="00F54137" w:rsidRDefault="003721D4" w:rsidP="003721D4">
            <w:pPr>
              <w:jc w:val="right"/>
              <w:rPr>
                <w:rFonts w:eastAsia="Times New Roman" w:cs="Arial"/>
                <w:color w:val="000000"/>
                <w:sz w:val="18"/>
                <w:szCs w:val="18"/>
              </w:rPr>
            </w:pPr>
            <w:r w:rsidRPr="00F54137">
              <w:rPr>
                <w:rFonts w:eastAsia="Times New Roman" w:cs="Arial"/>
                <w:color w:val="000000"/>
                <w:sz w:val="18"/>
                <w:szCs w:val="18"/>
              </w:rPr>
              <w:t xml:space="preserve">$28.26 </w:t>
            </w:r>
          </w:p>
        </w:tc>
        <w:tc>
          <w:tcPr>
            <w:tcW w:w="1440" w:type="dxa"/>
            <w:tcBorders>
              <w:top w:val="nil"/>
              <w:left w:val="nil"/>
              <w:bottom w:val="single" w:sz="8" w:space="0" w:color="auto"/>
              <w:right w:val="single" w:sz="8" w:space="0" w:color="auto"/>
            </w:tcBorders>
            <w:shd w:val="clear" w:color="auto" w:fill="auto"/>
            <w:vAlign w:val="center"/>
            <w:hideMark/>
          </w:tcPr>
          <w:p w14:paraId="724C39A6"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$28,883</w:t>
            </w:r>
          </w:p>
        </w:tc>
      </w:tr>
      <w:tr w:rsidR="003721D4" w:rsidRPr="00C13C7B" w14:paraId="331CB518"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1FB1E930" w14:textId="77777777" w:rsidR="003721D4" w:rsidRPr="00C13C7B" w:rsidRDefault="003721D4" w:rsidP="003721D4">
            <w:pPr>
              <w:rPr>
                <w:rFonts w:eastAsia="Times New Roman" w:cs="Arial"/>
                <w:b/>
                <w:bCs/>
                <w:color w:val="000000"/>
                <w:sz w:val="18"/>
                <w:szCs w:val="18"/>
              </w:rPr>
            </w:pPr>
            <w:r w:rsidRPr="00C13C7B">
              <w:rPr>
                <w:rFonts w:eastAsia="Times New Roman" w:cs="Arial"/>
                <w:b/>
                <w:bCs/>
                <w:color w:val="000000"/>
                <w:sz w:val="18"/>
                <w:szCs w:val="18"/>
              </w:rPr>
              <w:t>Section 6 Actions</w:t>
            </w:r>
          </w:p>
        </w:tc>
        <w:tc>
          <w:tcPr>
            <w:tcW w:w="1710" w:type="dxa"/>
            <w:tcBorders>
              <w:top w:val="nil"/>
              <w:left w:val="nil"/>
              <w:bottom w:val="single" w:sz="8" w:space="0" w:color="auto"/>
              <w:right w:val="nil"/>
            </w:tcBorders>
            <w:shd w:val="clear" w:color="auto" w:fill="auto"/>
            <w:vAlign w:val="center"/>
            <w:hideMark/>
          </w:tcPr>
          <w:p w14:paraId="074BA318"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60</w:t>
            </w:r>
          </w:p>
        </w:tc>
        <w:tc>
          <w:tcPr>
            <w:tcW w:w="1710" w:type="dxa"/>
            <w:tcBorders>
              <w:top w:val="nil"/>
              <w:left w:val="nil"/>
              <w:bottom w:val="single" w:sz="8" w:space="0" w:color="auto"/>
              <w:right w:val="nil"/>
            </w:tcBorders>
            <w:shd w:val="clear" w:color="auto" w:fill="auto"/>
            <w:vAlign w:val="center"/>
            <w:hideMark/>
          </w:tcPr>
          <w:p w14:paraId="7BBC7C39" w14:textId="77777777" w:rsidR="003721D4" w:rsidRPr="00C13C7B" w:rsidRDefault="003721D4" w:rsidP="003721D4">
            <w:pPr>
              <w:rPr>
                <w:rFonts w:eastAsia="Times New Roman" w:cs="Arial"/>
                <w:b/>
                <w:color w:val="000000"/>
                <w:sz w:val="18"/>
                <w:szCs w:val="18"/>
              </w:rPr>
            </w:pPr>
            <w:r w:rsidRPr="00C13C7B">
              <w:rPr>
                <w:rFonts w:eastAsia="Times New Roman" w:cs="Arial"/>
                <w:b/>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08F692DE"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74</w:t>
            </w:r>
          </w:p>
        </w:tc>
        <w:tc>
          <w:tcPr>
            <w:tcW w:w="1440" w:type="dxa"/>
            <w:tcBorders>
              <w:top w:val="nil"/>
              <w:left w:val="single" w:sz="8" w:space="0" w:color="auto"/>
              <w:bottom w:val="single" w:sz="8" w:space="0" w:color="auto"/>
              <w:right w:val="nil"/>
            </w:tcBorders>
            <w:shd w:val="clear" w:color="auto" w:fill="auto"/>
            <w:vAlign w:val="center"/>
            <w:hideMark/>
          </w:tcPr>
          <w:p w14:paraId="766D015F" w14:textId="77777777" w:rsidR="003721D4" w:rsidRPr="00F54137" w:rsidRDefault="003721D4" w:rsidP="003721D4">
            <w:pPr>
              <w:jc w:val="right"/>
              <w:rPr>
                <w:rFonts w:eastAsia="Times New Roman" w:cs="Arial"/>
                <w:color w:val="000000"/>
                <w:sz w:val="18"/>
                <w:szCs w:val="18"/>
              </w:rPr>
            </w:pPr>
            <w:r w:rsidRPr="00F54137">
              <w:rPr>
                <w:rFonts w:eastAsia="Times New Roman" w:cs="Arial"/>
                <w:color w:val="000000"/>
                <w:sz w:val="18"/>
                <w:szCs w:val="18"/>
              </w:rPr>
              <w:t xml:space="preserve">$90.31 </w:t>
            </w:r>
          </w:p>
        </w:tc>
        <w:tc>
          <w:tcPr>
            <w:tcW w:w="1440" w:type="dxa"/>
            <w:tcBorders>
              <w:top w:val="nil"/>
              <w:left w:val="nil"/>
              <w:bottom w:val="single" w:sz="8" w:space="0" w:color="auto"/>
              <w:right w:val="single" w:sz="8" w:space="0" w:color="auto"/>
            </w:tcBorders>
            <w:shd w:val="clear" w:color="auto" w:fill="auto"/>
            <w:vAlign w:val="center"/>
            <w:hideMark/>
          </w:tcPr>
          <w:p w14:paraId="4EDA9897"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$5,419</w:t>
            </w:r>
          </w:p>
        </w:tc>
      </w:tr>
      <w:tr w:rsidR="003721D4" w:rsidRPr="00C13C7B" w14:paraId="2A0638EB"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6F5C2432" w14:textId="77777777" w:rsidR="003721D4" w:rsidRPr="00C13C7B" w:rsidRDefault="003721D4" w:rsidP="003721D4">
            <w:pPr>
              <w:rPr>
                <w:rFonts w:eastAsia="Times New Roman" w:cs="Arial"/>
                <w:b/>
                <w:bCs/>
                <w:color w:val="000000"/>
                <w:sz w:val="18"/>
                <w:szCs w:val="18"/>
              </w:rPr>
            </w:pPr>
            <w:r w:rsidRPr="00C13C7B">
              <w:rPr>
                <w:rFonts w:eastAsia="Times New Roman" w:cs="Arial"/>
                <w:b/>
                <w:bCs/>
                <w:color w:val="000000"/>
                <w:sz w:val="18"/>
                <w:szCs w:val="18"/>
              </w:rPr>
              <w:t>Total PRA</w:t>
            </w:r>
          </w:p>
        </w:tc>
        <w:tc>
          <w:tcPr>
            <w:tcW w:w="1710" w:type="dxa"/>
            <w:tcBorders>
              <w:top w:val="nil"/>
              <w:left w:val="nil"/>
              <w:bottom w:val="single" w:sz="8" w:space="0" w:color="auto"/>
              <w:right w:val="nil"/>
            </w:tcBorders>
            <w:shd w:val="clear" w:color="auto" w:fill="auto"/>
            <w:vAlign w:val="center"/>
            <w:hideMark/>
          </w:tcPr>
          <w:p w14:paraId="3CE58122"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1,418</w:t>
            </w:r>
          </w:p>
        </w:tc>
        <w:tc>
          <w:tcPr>
            <w:tcW w:w="1710" w:type="dxa"/>
            <w:tcBorders>
              <w:top w:val="nil"/>
              <w:left w:val="nil"/>
              <w:bottom w:val="single" w:sz="8" w:space="0" w:color="auto"/>
              <w:right w:val="nil"/>
            </w:tcBorders>
            <w:shd w:val="clear" w:color="auto" w:fill="auto"/>
            <w:vAlign w:val="center"/>
            <w:hideMark/>
          </w:tcPr>
          <w:p w14:paraId="4B97CFA4" w14:textId="77777777" w:rsidR="003721D4" w:rsidRPr="00C13C7B" w:rsidRDefault="003721D4" w:rsidP="003721D4">
            <w:pPr>
              <w:rPr>
                <w:rFonts w:eastAsia="Times New Roman" w:cs="Arial"/>
                <w:b/>
                <w:color w:val="000000"/>
                <w:sz w:val="18"/>
                <w:szCs w:val="18"/>
              </w:rPr>
            </w:pPr>
            <w:r w:rsidRPr="00C13C7B">
              <w:rPr>
                <w:rFonts w:eastAsia="Times New Roman" w:cs="Arial"/>
                <w:b/>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1A059BB3"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539</w:t>
            </w:r>
          </w:p>
        </w:tc>
        <w:tc>
          <w:tcPr>
            <w:tcW w:w="1440" w:type="dxa"/>
            <w:tcBorders>
              <w:top w:val="nil"/>
              <w:left w:val="single" w:sz="8" w:space="0" w:color="auto"/>
              <w:bottom w:val="single" w:sz="8" w:space="0" w:color="auto"/>
              <w:right w:val="nil"/>
            </w:tcBorders>
            <w:shd w:val="clear" w:color="auto" w:fill="auto"/>
            <w:vAlign w:val="center"/>
            <w:hideMark/>
          </w:tcPr>
          <w:p w14:paraId="6432E2B0" w14:textId="77777777" w:rsidR="003721D4" w:rsidRPr="00F54137" w:rsidRDefault="003721D4" w:rsidP="003721D4">
            <w:pPr>
              <w:rPr>
                <w:rFonts w:eastAsia="Times New Roman" w:cs="Arial"/>
                <w:b/>
                <w:bCs/>
                <w:color w:val="000000"/>
                <w:sz w:val="18"/>
                <w:szCs w:val="18"/>
              </w:rPr>
            </w:pPr>
            <w:r w:rsidRPr="00F54137">
              <w:rPr>
                <w:rFonts w:eastAsia="Times New Roman" w:cs="Arial"/>
                <w:b/>
                <w:bCs/>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0F2F70C7"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$43,182</w:t>
            </w:r>
          </w:p>
        </w:tc>
      </w:tr>
      <w:tr w:rsidR="003721D4" w:rsidRPr="00C13C7B" w14:paraId="78EF94F4" w14:textId="77777777" w:rsidTr="00973D5B">
        <w:trPr>
          <w:cantSplit/>
          <w:trHeight w:val="315"/>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C252CE" w14:textId="77777777" w:rsidR="003721D4" w:rsidRPr="00C13C7B" w:rsidRDefault="00095683" w:rsidP="003721D4">
            <w:pPr>
              <w:jc w:val="center"/>
              <w:rPr>
                <w:rFonts w:eastAsia="Times New Roman" w:cs="Arial"/>
                <w:b/>
                <w:bCs/>
                <w:color w:val="000000"/>
                <w:sz w:val="18"/>
                <w:szCs w:val="18"/>
              </w:rPr>
            </w:pPr>
            <w:r>
              <w:rPr>
                <w:rFonts w:eastAsia="Times New Roman" w:cs="Arial"/>
                <w:b/>
                <w:bCs/>
                <w:color w:val="000000"/>
                <w:sz w:val="18"/>
                <w:szCs w:val="18"/>
              </w:rPr>
              <w:t xml:space="preserve">Included in IC 2: </w:t>
            </w:r>
            <w:r w:rsidR="003721D4" w:rsidRPr="00C13C7B">
              <w:rPr>
                <w:rFonts w:eastAsia="Times New Roman" w:cs="Arial"/>
                <w:b/>
                <w:bCs/>
                <w:color w:val="000000"/>
                <w:sz w:val="18"/>
                <w:szCs w:val="18"/>
              </w:rPr>
              <w:t xml:space="preserve">Consortia </w:t>
            </w:r>
            <w:r w:rsidR="00244924">
              <w:rPr>
                <w:rFonts w:eastAsia="Times New Roman" w:cs="Arial"/>
                <w:b/>
                <w:bCs/>
                <w:color w:val="000000"/>
                <w:sz w:val="18"/>
                <w:szCs w:val="18"/>
              </w:rPr>
              <w:t>Non-Reporting C</w:t>
            </w:r>
            <w:r w:rsidR="003721D4" w:rsidRPr="00C13C7B">
              <w:rPr>
                <w:rFonts w:eastAsia="Times New Roman" w:cs="Arial"/>
                <w:b/>
                <w:bCs/>
                <w:color w:val="000000"/>
                <w:sz w:val="18"/>
                <w:szCs w:val="18"/>
              </w:rPr>
              <w:t>osts</w:t>
            </w:r>
          </w:p>
        </w:tc>
      </w:tr>
      <w:tr w:rsidR="003721D4" w:rsidRPr="00C13C7B" w14:paraId="56269FB9" w14:textId="77777777" w:rsidTr="00973D5B">
        <w:trPr>
          <w:cantSplit/>
          <w:trHeight w:val="315"/>
        </w:trPr>
        <w:tc>
          <w:tcPr>
            <w:tcW w:w="1970" w:type="dxa"/>
            <w:tcBorders>
              <w:top w:val="nil"/>
              <w:left w:val="single" w:sz="8" w:space="0" w:color="auto"/>
              <w:bottom w:val="single" w:sz="8" w:space="0" w:color="auto"/>
              <w:right w:val="single" w:sz="8" w:space="0" w:color="auto"/>
            </w:tcBorders>
            <w:shd w:val="clear" w:color="auto" w:fill="auto"/>
            <w:vAlign w:val="center"/>
            <w:hideMark/>
          </w:tcPr>
          <w:p w14:paraId="1A3258F7"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Section 6 Actions</w:t>
            </w:r>
          </w:p>
        </w:tc>
        <w:tc>
          <w:tcPr>
            <w:tcW w:w="1710" w:type="dxa"/>
            <w:tcBorders>
              <w:top w:val="nil"/>
              <w:left w:val="nil"/>
              <w:bottom w:val="single" w:sz="8" w:space="0" w:color="auto"/>
              <w:right w:val="nil"/>
            </w:tcBorders>
            <w:shd w:val="clear" w:color="auto" w:fill="auto"/>
            <w:noWrap/>
            <w:vAlign w:val="bottom"/>
            <w:hideMark/>
          </w:tcPr>
          <w:p w14:paraId="188BCD2E" w14:textId="77777777" w:rsidR="003721D4" w:rsidRPr="00C13C7B" w:rsidRDefault="003721D4" w:rsidP="003721D4">
            <w:pPr>
              <w:jc w:val="right"/>
              <w:rPr>
                <w:rFonts w:eastAsia="Times New Roman" w:cs="Arial"/>
                <w:color w:val="000000"/>
                <w:sz w:val="18"/>
                <w:szCs w:val="18"/>
              </w:rPr>
            </w:pPr>
            <w:r w:rsidRPr="00C13C7B">
              <w:rPr>
                <w:rFonts w:eastAsia="Times New Roman" w:cs="Arial"/>
                <w:color w:val="000000"/>
                <w:sz w:val="18"/>
                <w:szCs w:val="18"/>
              </w:rPr>
              <w:t>8</w:t>
            </w:r>
          </w:p>
        </w:tc>
        <w:tc>
          <w:tcPr>
            <w:tcW w:w="1710" w:type="dxa"/>
            <w:tcBorders>
              <w:top w:val="nil"/>
              <w:left w:val="nil"/>
              <w:bottom w:val="single" w:sz="8" w:space="0" w:color="auto"/>
              <w:right w:val="nil"/>
            </w:tcBorders>
            <w:shd w:val="clear" w:color="auto" w:fill="auto"/>
            <w:noWrap/>
            <w:vAlign w:val="bottom"/>
            <w:hideMark/>
          </w:tcPr>
          <w:p w14:paraId="464B2232"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 </w:t>
            </w:r>
          </w:p>
        </w:tc>
        <w:tc>
          <w:tcPr>
            <w:tcW w:w="1440" w:type="dxa"/>
            <w:tcBorders>
              <w:top w:val="nil"/>
              <w:left w:val="nil"/>
              <w:bottom w:val="single" w:sz="8" w:space="0" w:color="auto"/>
              <w:right w:val="single" w:sz="8" w:space="0" w:color="auto"/>
            </w:tcBorders>
            <w:shd w:val="clear" w:color="auto" w:fill="auto"/>
            <w:noWrap/>
            <w:vAlign w:val="bottom"/>
            <w:hideMark/>
          </w:tcPr>
          <w:p w14:paraId="4B6BB2C1"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7DB560BD" w14:textId="77777777" w:rsidR="003721D4" w:rsidRPr="00F54137" w:rsidRDefault="003721D4" w:rsidP="003721D4">
            <w:pPr>
              <w:jc w:val="right"/>
              <w:rPr>
                <w:rFonts w:eastAsia="Times New Roman" w:cs="Arial"/>
                <w:color w:val="000000"/>
                <w:sz w:val="18"/>
                <w:szCs w:val="18"/>
              </w:rPr>
            </w:pPr>
            <w:r w:rsidRPr="00F54137">
              <w:rPr>
                <w:rFonts w:eastAsia="Times New Roman" w:cs="Arial"/>
                <w:color w:val="000000"/>
                <w:sz w:val="18"/>
                <w:szCs w:val="18"/>
              </w:rPr>
              <w:t xml:space="preserve">$22,500 </w:t>
            </w:r>
          </w:p>
        </w:tc>
        <w:tc>
          <w:tcPr>
            <w:tcW w:w="1440" w:type="dxa"/>
            <w:tcBorders>
              <w:top w:val="nil"/>
              <w:left w:val="nil"/>
              <w:bottom w:val="single" w:sz="8" w:space="0" w:color="auto"/>
              <w:right w:val="single" w:sz="8" w:space="0" w:color="auto"/>
            </w:tcBorders>
            <w:shd w:val="clear" w:color="auto" w:fill="auto"/>
            <w:vAlign w:val="center"/>
            <w:hideMark/>
          </w:tcPr>
          <w:p w14:paraId="324D2F91"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$187,425</w:t>
            </w:r>
          </w:p>
        </w:tc>
      </w:tr>
      <w:tr w:rsidR="003721D4" w:rsidRPr="00C13C7B" w14:paraId="406F674E" w14:textId="77777777" w:rsidTr="00973D5B">
        <w:trPr>
          <w:cantSplit/>
          <w:trHeight w:val="315"/>
        </w:trPr>
        <w:tc>
          <w:tcPr>
            <w:tcW w:w="1970" w:type="dxa"/>
            <w:tcBorders>
              <w:top w:val="nil"/>
              <w:left w:val="single" w:sz="8" w:space="0" w:color="auto"/>
              <w:bottom w:val="single" w:sz="8" w:space="0" w:color="auto"/>
              <w:right w:val="single" w:sz="8" w:space="0" w:color="000000"/>
            </w:tcBorders>
            <w:shd w:val="clear" w:color="auto" w:fill="auto"/>
            <w:vAlign w:val="center"/>
            <w:hideMark/>
          </w:tcPr>
          <w:p w14:paraId="22CA5214" w14:textId="0F004EAA" w:rsidR="003721D4" w:rsidRPr="00C13C7B" w:rsidRDefault="003721D4" w:rsidP="00100358">
            <w:pPr>
              <w:rPr>
                <w:rFonts w:eastAsia="Times New Roman" w:cs="Arial"/>
                <w:b/>
                <w:bCs/>
                <w:color w:val="000000"/>
                <w:sz w:val="18"/>
                <w:szCs w:val="18"/>
              </w:rPr>
            </w:pPr>
            <w:r w:rsidRPr="00C13C7B">
              <w:rPr>
                <w:rFonts w:eastAsia="Times New Roman" w:cs="Arial"/>
                <w:b/>
                <w:bCs/>
                <w:color w:val="000000"/>
                <w:sz w:val="18"/>
                <w:szCs w:val="18"/>
              </w:rPr>
              <w:t>Total Costs</w:t>
            </w:r>
          </w:p>
        </w:tc>
        <w:tc>
          <w:tcPr>
            <w:tcW w:w="1710" w:type="dxa"/>
            <w:tcBorders>
              <w:top w:val="nil"/>
              <w:left w:val="nil"/>
              <w:bottom w:val="single" w:sz="8" w:space="0" w:color="auto"/>
              <w:right w:val="nil"/>
            </w:tcBorders>
            <w:shd w:val="clear" w:color="auto" w:fill="auto"/>
            <w:vAlign w:val="center"/>
            <w:hideMark/>
          </w:tcPr>
          <w:p w14:paraId="46BB82E3"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1,418</w:t>
            </w:r>
          </w:p>
        </w:tc>
        <w:tc>
          <w:tcPr>
            <w:tcW w:w="1710" w:type="dxa"/>
            <w:tcBorders>
              <w:top w:val="nil"/>
              <w:left w:val="nil"/>
              <w:bottom w:val="single" w:sz="8" w:space="0" w:color="auto"/>
              <w:right w:val="nil"/>
            </w:tcBorders>
            <w:shd w:val="clear" w:color="auto" w:fill="auto"/>
            <w:vAlign w:val="center"/>
            <w:hideMark/>
          </w:tcPr>
          <w:p w14:paraId="22990C18" w14:textId="77777777" w:rsidR="003721D4" w:rsidRPr="00C13C7B" w:rsidRDefault="003721D4" w:rsidP="003721D4">
            <w:pPr>
              <w:rPr>
                <w:rFonts w:eastAsia="Times New Roman" w:cs="Arial"/>
                <w:b/>
                <w:color w:val="000000"/>
                <w:sz w:val="18"/>
                <w:szCs w:val="18"/>
              </w:rPr>
            </w:pPr>
            <w:r w:rsidRPr="00C13C7B">
              <w:rPr>
                <w:rFonts w:eastAsia="Times New Roman" w:cs="Arial"/>
                <w:b/>
                <w:color w:val="000000"/>
                <w:sz w:val="18"/>
                <w:szCs w:val="18"/>
              </w:rPr>
              <w:t> </w:t>
            </w:r>
          </w:p>
        </w:tc>
        <w:tc>
          <w:tcPr>
            <w:tcW w:w="1440" w:type="dxa"/>
            <w:tcBorders>
              <w:top w:val="nil"/>
              <w:left w:val="nil"/>
              <w:bottom w:val="single" w:sz="8" w:space="0" w:color="auto"/>
              <w:right w:val="nil"/>
            </w:tcBorders>
            <w:shd w:val="clear" w:color="auto" w:fill="auto"/>
            <w:vAlign w:val="center"/>
            <w:hideMark/>
          </w:tcPr>
          <w:p w14:paraId="6471AF16" w14:textId="77777777" w:rsidR="003721D4" w:rsidRPr="00C13C7B" w:rsidRDefault="003721D4" w:rsidP="003721D4">
            <w:pPr>
              <w:jc w:val="right"/>
              <w:rPr>
                <w:rFonts w:eastAsia="Times New Roman" w:cs="Arial"/>
                <w:b/>
                <w:color w:val="000000"/>
                <w:sz w:val="18"/>
                <w:szCs w:val="18"/>
              </w:rPr>
            </w:pPr>
            <w:r w:rsidRPr="00C13C7B">
              <w:rPr>
                <w:rFonts w:eastAsia="Times New Roman" w:cs="Arial"/>
                <w:b/>
                <w:color w:val="000000"/>
                <w:sz w:val="18"/>
                <w:szCs w:val="18"/>
              </w:rPr>
              <w:t>539</w:t>
            </w:r>
          </w:p>
        </w:tc>
        <w:tc>
          <w:tcPr>
            <w:tcW w:w="1440" w:type="dxa"/>
            <w:tcBorders>
              <w:top w:val="nil"/>
              <w:left w:val="single" w:sz="8" w:space="0" w:color="auto"/>
              <w:bottom w:val="single" w:sz="8" w:space="0" w:color="auto"/>
              <w:right w:val="nil"/>
            </w:tcBorders>
            <w:shd w:val="clear" w:color="auto" w:fill="auto"/>
            <w:vAlign w:val="center"/>
            <w:hideMark/>
          </w:tcPr>
          <w:p w14:paraId="7856CBEF" w14:textId="77777777" w:rsidR="003721D4" w:rsidRPr="00F54137" w:rsidRDefault="003721D4" w:rsidP="003721D4">
            <w:pPr>
              <w:rPr>
                <w:rFonts w:eastAsia="Times New Roman" w:cs="Arial"/>
                <w:b/>
                <w:bCs/>
                <w:color w:val="000000"/>
                <w:sz w:val="18"/>
                <w:szCs w:val="18"/>
              </w:rPr>
            </w:pPr>
            <w:r w:rsidRPr="00F54137">
              <w:rPr>
                <w:rFonts w:eastAsia="Times New Roman" w:cs="Arial"/>
                <w:b/>
                <w:bCs/>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34DA9413" w14:textId="77777777" w:rsidR="003721D4" w:rsidRPr="00C13C7B" w:rsidRDefault="003721D4" w:rsidP="003721D4">
            <w:pPr>
              <w:jc w:val="right"/>
              <w:rPr>
                <w:rFonts w:eastAsia="Times New Roman" w:cs="Arial"/>
                <w:b/>
                <w:bCs/>
                <w:color w:val="000000"/>
                <w:sz w:val="18"/>
                <w:szCs w:val="18"/>
              </w:rPr>
            </w:pPr>
            <w:r w:rsidRPr="00C13C7B">
              <w:rPr>
                <w:rFonts w:eastAsia="Times New Roman" w:cs="Arial"/>
                <w:b/>
                <w:bCs/>
                <w:color w:val="000000"/>
                <w:sz w:val="18"/>
                <w:szCs w:val="18"/>
              </w:rPr>
              <w:t>$230,607</w:t>
            </w:r>
          </w:p>
        </w:tc>
      </w:tr>
      <w:tr w:rsidR="003721D4" w:rsidRPr="00C13C7B" w14:paraId="491BD894" w14:textId="77777777" w:rsidTr="00973D5B">
        <w:trPr>
          <w:cantSplit/>
          <w:trHeight w:val="493"/>
        </w:trPr>
        <w:tc>
          <w:tcPr>
            <w:tcW w:w="9710"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0CDB0357" w14:textId="77777777" w:rsidR="003721D4" w:rsidRPr="00C13C7B" w:rsidRDefault="003721D4" w:rsidP="003721D4">
            <w:pPr>
              <w:rPr>
                <w:rFonts w:eastAsia="Times New Roman" w:cs="Arial"/>
                <w:color w:val="000000"/>
                <w:sz w:val="18"/>
                <w:szCs w:val="18"/>
              </w:rPr>
            </w:pPr>
            <w:r w:rsidRPr="00C13C7B">
              <w:rPr>
                <w:rFonts w:eastAsia="Times New Roman" w:cs="Arial"/>
                <w:color w:val="000000"/>
                <w:sz w:val="18"/>
                <w:szCs w:val="18"/>
                <w:vertAlign w:val="superscript"/>
              </w:rPr>
              <w:t>1</w:t>
            </w:r>
            <w:r w:rsidRPr="00C13C7B">
              <w:rPr>
                <w:rFonts w:eastAsia="Times New Roman" w:cs="Arial"/>
                <w:color w:val="000000"/>
                <w:sz w:val="18"/>
                <w:szCs w:val="18"/>
              </w:rPr>
              <w:t xml:space="preserve"> Values may not calculate exactly due to rounding. Total burden and cost may be overestimated due to assumptions on the number of firms in consortia and first-time users of CDX.</w:t>
            </w:r>
          </w:p>
        </w:tc>
      </w:tr>
    </w:tbl>
    <w:p w14:paraId="4C50738A" w14:textId="77777777" w:rsidR="003721D4" w:rsidRDefault="003721D4" w:rsidP="00C13C7B">
      <w:pPr>
        <w:pStyle w:val="NoSpacing"/>
      </w:pPr>
    </w:p>
    <w:p w14:paraId="456D63CD" w14:textId="77777777" w:rsidR="003721D4" w:rsidRPr="003721D4" w:rsidRDefault="003721D4" w:rsidP="00C13C7B">
      <w:pPr>
        <w:pStyle w:val="NoSpacing"/>
      </w:pPr>
    </w:p>
    <w:p w14:paraId="109A942E" w14:textId="77777777" w:rsidR="00BD53A4" w:rsidRPr="007919E5" w:rsidRDefault="00BD53A4" w:rsidP="00BD53A4">
      <w:pPr>
        <w:pStyle w:val="Heading1"/>
        <w:numPr>
          <w:ilvl w:val="0"/>
          <w:numId w:val="3"/>
        </w:numPr>
      </w:pPr>
      <w:bookmarkStart w:id="28" w:name="_Toc447203190"/>
      <w:bookmarkStart w:id="29" w:name="_Toc447203189"/>
      <w:r>
        <w:t>PRA Burden Statement</w:t>
      </w:r>
      <w:bookmarkEnd w:id="28"/>
    </w:p>
    <w:p w14:paraId="153360FC" w14:textId="1A81B548" w:rsidR="00B530C1" w:rsidRDefault="00BD53A4" w:rsidP="002361E1">
      <w:pPr>
        <w:rPr>
          <w:color w:val="000000" w:themeColor="text1"/>
        </w:rPr>
      </w:pPr>
      <w:r w:rsidRPr="007919E5">
        <w:t>Under the PRA, b</w:t>
      </w:r>
      <w:r w:rsidRPr="007919E5">
        <w:rPr>
          <w:lang w:bidi="en-US"/>
        </w:rPr>
        <w:t xml:space="preserve">urden is defined at </w:t>
      </w:r>
      <w:hyperlink r:id="rId15" w:anchor="5:3.0.2.3.9.0.48.3" w:history="1">
        <w:r w:rsidRPr="007919E5">
          <w:rPr>
            <w:rStyle w:val="Hyperlink"/>
            <w:lang w:bidi="en-US"/>
          </w:rPr>
          <w:t>5 CFR 1320.3(b)</w:t>
        </w:r>
      </w:hyperlink>
      <w:r w:rsidRPr="007919E5">
        <w:rPr>
          <w:lang w:bidi="en-US"/>
        </w:rPr>
        <w:t>.</w:t>
      </w:r>
      <w:r w:rsidRPr="00BD53A4">
        <w:rPr>
          <w:color w:val="000000" w:themeColor="text1"/>
        </w:rPr>
        <w:t xml:space="preserve"> </w:t>
      </w:r>
      <w:r w:rsidRPr="007919E5">
        <w:rPr>
          <w:color w:val="000000" w:themeColor="text1"/>
        </w:rPr>
        <w:t xml:space="preserve">This </w:t>
      </w:r>
      <w:r w:rsidR="00136A83">
        <w:rPr>
          <w:color w:val="000000" w:themeColor="text1"/>
        </w:rPr>
        <w:t xml:space="preserve">is </w:t>
      </w:r>
      <w:r w:rsidR="006A384E">
        <w:rPr>
          <w:color w:val="000000" w:themeColor="text1"/>
        </w:rPr>
        <w:t xml:space="preserve">a </w:t>
      </w:r>
      <w:r w:rsidR="00136A83">
        <w:rPr>
          <w:color w:val="000000" w:themeColor="text1"/>
        </w:rPr>
        <w:t>new, rule-related</w:t>
      </w:r>
      <w:r w:rsidR="00136A83" w:rsidRPr="007919E5">
        <w:rPr>
          <w:color w:val="000000" w:themeColor="text1"/>
        </w:rPr>
        <w:t xml:space="preserve"> </w:t>
      </w:r>
      <w:r w:rsidRPr="007919E5">
        <w:rPr>
          <w:color w:val="000000" w:themeColor="text1"/>
        </w:rPr>
        <w:t xml:space="preserve">information collection. The total burden requested for this ICR is </w:t>
      </w:r>
      <w:r w:rsidR="000D1039">
        <w:rPr>
          <w:color w:val="000000" w:themeColor="text1"/>
        </w:rPr>
        <w:t>539</w:t>
      </w:r>
      <w:r w:rsidR="000D1039" w:rsidRPr="00C06385">
        <w:rPr>
          <w:color w:val="000000" w:themeColor="text1"/>
        </w:rPr>
        <w:t xml:space="preserve"> </w:t>
      </w:r>
      <w:r w:rsidRPr="00C06385">
        <w:rPr>
          <w:color w:val="000000" w:themeColor="text1"/>
        </w:rPr>
        <w:t>hours per year</w:t>
      </w:r>
      <w:r w:rsidR="002D36EA" w:rsidRPr="00C06385">
        <w:rPr>
          <w:color w:val="000000" w:themeColor="text1"/>
        </w:rPr>
        <w:t>, with a total of 1,</w:t>
      </w:r>
      <w:r w:rsidR="00724EC4" w:rsidRPr="00C06385">
        <w:rPr>
          <w:color w:val="000000" w:themeColor="text1"/>
        </w:rPr>
        <w:t>4</w:t>
      </w:r>
      <w:r w:rsidR="00724EC4">
        <w:rPr>
          <w:color w:val="000000" w:themeColor="text1"/>
        </w:rPr>
        <w:t>1</w:t>
      </w:r>
      <w:r w:rsidR="000D1039">
        <w:rPr>
          <w:color w:val="000000" w:themeColor="text1"/>
        </w:rPr>
        <w:t>8</w:t>
      </w:r>
      <w:r w:rsidR="00724EC4" w:rsidRPr="00C06385">
        <w:rPr>
          <w:color w:val="000000" w:themeColor="text1"/>
        </w:rPr>
        <w:t xml:space="preserve"> </w:t>
      </w:r>
      <w:r w:rsidR="002D36EA" w:rsidRPr="00C06385">
        <w:rPr>
          <w:color w:val="000000" w:themeColor="text1"/>
        </w:rPr>
        <w:t>respondents</w:t>
      </w:r>
      <w:r w:rsidR="00132E6E">
        <w:rPr>
          <w:color w:val="000000" w:themeColor="text1"/>
        </w:rPr>
        <w:t xml:space="preserve">, </w:t>
      </w:r>
      <w:r w:rsidR="00971C70">
        <w:rPr>
          <w:color w:val="000000" w:themeColor="text1"/>
        </w:rPr>
        <w:t xml:space="preserve">and is estimated to </w:t>
      </w:r>
      <w:r w:rsidR="00132E6E">
        <w:rPr>
          <w:color w:val="000000" w:themeColor="text1"/>
        </w:rPr>
        <w:t xml:space="preserve">average </w:t>
      </w:r>
      <w:r w:rsidR="00971C70">
        <w:rPr>
          <w:color w:val="000000" w:themeColor="text1"/>
        </w:rPr>
        <w:t>0.38 hours per respondent</w:t>
      </w:r>
      <w:r w:rsidRPr="00C06385">
        <w:rPr>
          <w:color w:val="000000" w:themeColor="text1"/>
        </w:rPr>
        <w:t xml:space="preserve">. The total </w:t>
      </w:r>
      <w:r w:rsidR="00971C70">
        <w:rPr>
          <w:color w:val="000000" w:themeColor="text1"/>
        </w:rPr>
        <w:t xml:space="preserve">estimated </w:t>
      </w:r>
      <w:r w:rsidRPr="00C06385">
        <w:rPr>
          <w:color w:val="000000" w:themeColor="text1"/>
        </w:rPr>
        <w:t xml:space="preserve">annual </w:t>
      </w:r>
      <w:r w:rsidR="00100358">
        <w:rPr>
          <w:color w:val="000000" w:themeColor="text1"/>
        </w:rPr>
        <w:t xml:space="preserve">reporting </w:t>
      </w:r>
      <w:r w:rsidR="00971C70">
        <w:rPr>
          <w:color w:val="000000" w:themeColor="text1"/>
        </w:rPr>
        <w:t xml:space="preserve">burden </w:t>
      </w:r>
      <w:r w:rsidRPr="00C06385">
        <w:rPr>
          <w:color w:val="000000" w:themeColor="text1"/>
        </w:rPr>
        <w:t xml:space="preserve">cost </w:t>
      </w:r>
      <w:r w:rsidR="004C676E" w:rsidRPr="00C06385">
        <w:rPr>
          <w:color w:val="000000" w:themeColor="text1"/>
        </w:rPr>
        <w:t xml:space="preserve">is </w:t>
      </w:r>
      <w:r w:rsidR="00CA4605" w:rsidRPr="00C06385">
        <w:rPr>
          <w:color w:val="000000" w:themeColor="text1"/>
        </w:rPr>
        <w:t>$</w:t>
      </w:r>
      <w:r w:rsidR="004A0C06">
        <w:rPr>
          <w:color w:val="000000" w:themeColor="text1"/>
        </w:rPr>
        <w:t>230,607</w:t>
      </w:r>
      <w:r w:rsidR="00971C70">
        <w:rPr>
          <w:color w:val="000000" w:themeColor="text1"/>
        </w:rPr>
        <w:t>, which</w:t>
      </w:r>
      <w:r w:rsidR="00971C70" w:rsidRPr="00971C70">
        <w:rPr>
          <w:color w:val="000000" w:themeColor="text1"/>
        </w:rPr>
        <w:t xml:space="preserve"> includes $0 annualized capital or operation and maintenance costs</w:t>
      </w:r>
      <w:r w:rsidRPr="007919E5">
        <w:rPr>
          <w:color w:val="000000" w:themeColor="text1"/>
        </w:rPr>
        <w:t xml:space="preserve">. </w:t>
      </w:r>
    </w:p>
    <w:p w14:paraId="6F1C66D4" w14:textId="77777777" w:rsidR="00973D5B" w:rsidRPr="00973D5B" w:rsidRDefault="00973D5B" w:rsidP="00973D5B">
      <w:pPr>
        <w:pStyle w:val="NoSpacing"/>
      </w:pPr>
    </w:p>
    <w:p w14:paraId="2FA1D791" w14:textId="77777777" w:rsidR="00C46CBF" w:rsidRPr="00FD497D" w:rsidRDefault="002361E1" w:rsidP="00973D5B">
      <w:r w:rsidRPr="003E7836">
        <w:t xml:space="preserve">You may submit comments regarding the accuracy of the provided burden estimates and any suggested methods for minimizing respondent burden, including the use of automated collection techniques. Comments, referencing Docket ID No. </w:t>
      </w:r>
      <w:r w:rsidR="00A44D8A" w:rsidRPr="00A44D8A">
        <w:rPr>
          <w:lang w:bidi="en-US"/>
        </w:rPr>
        <w:t>EPA-HQ-OPPT-2016-0401</w:t>
      </w:r>
      <w:r w:rsidR="00A44D8A">
        <w:rPr>
          <w:lang w:bidi="en-US"/>
        </w:rPr>
        <w:t xml:space="preserve"> </w:t>
      </w:r>
      <w:r w:rsidRPr="003E7836">
        <w:t xml:space="preserve">and OMB Control No. </w:t>
      </w:r>
      <w:r>
        <w:t>2070-</w:t>
      </w:r>
      <w:r w:rsidR="00095683">
        <w:t xml:space="preserve">0208 </w:t>
      </w:r>
      <w:r>
        <w:t xml:space="preserve">(EPA ICR No. </w:t>
      </w:r>
      <w:r w:rsidR="00B530C1">
        <w:rPr>
          <w:lang w:bidi="en-US"/>
        </w:rPr>
        <w:t>2569.01</w:t>
      </w:r>
      <w:r w:rsidRPr="003E7836">
        <w:t xml:space="preserve">), may be submitted to EPA electronically through </w:t>
      </w:r>
      <w:hyperlink r:id="rId16" w:history="1">
        <w:r w:rsidR="00973D5B" w:rsidRPr="00386F73">
          <w:rPr>
            <w:rStyle w:val="Hyperlink"/>
          </w:rPr>
          <w:t>http://www.regulations.gov</w:t>
        </w:r>
      </w:hyperlink>
      <w:r w:rsidR="00973D5B">
        <w:rPr>
          <w:i/>
        </w:rPr>
        <w:t xml:space="preserve"> </w:t>
      </w:r>
      <w:r>
        <w:t>and</w:t>
      </w:r>
      <w:r w:rsidRPr="003E7836">
        <w:t xml:space="preserve"> to OMB, addressed to “OMB Desk Officer for EPA” and referencing OMB Control No. </w:t>
      </w:r>
      <w:r>
        <w:t>2070-</w:t>
      </w:r>
      <w:r w:rsidR="00095683">
        <w:t xml:space="preserve">0208 </w:t>
      </w:r>
      <w:r>
        <w:t xml:space="preserve">(EPA ICR No. </w:t>
      </w:r>
      <w:r w:rsidR="00B530C1">
        <w:rPr>
          <w:lang w:bidi="en-US"/>
        </w:rPr>
        <w:t>2569.01</w:t>
      </w:r>
      <w:r w:rsidRPr="003E7836">
        <w:t xml:space="preserve">), via email to </w:t>
      </w:r>
      <w:hyperlink r:id="rId17" w:history="1">
        <w:r w:rsidRPr="002361E1">
          <w:rPr>
            <w:i/>
            <w:color w:val="0000FF"/>
            <w:u w:val="single"/>
          </w:rPr>
          <w:t>oira_submission@omb.eop.gov</w:t>
        </w:r>
      </w:hyperlink>
      <w:r w:rsidRPr="003E7836">
        <w:t>.</w:t>
      </w:r>
      <w:r w:rsidR="00973D5B">
        <w:t xml:space="preserve"> </w:t>
      </w:r>
      <w:r w:rsidRPr="003E7836">
        <w:t xml:space="preserve"> </w:t>
      </w:r>
    </w:p>
    <w:p w14:paraId="6ED79596" w14:textId="77777777" w:rsidR="00BD53A4" w:rsidRDefault="00BD53A4" w:rsidP="00BD53A4">
      <w:pPr>
        <w:pStyle w:val="NoSpacing"/>
      </w:pPr>
    </w:p>
    <w:p w14:paraId="5F92995F" w14:textId="77777777" w:rsidR="00973D5B" w:rsidRPr="00BD53A4" w:rsidRDefault="00973D5B" w:rsidP="00BD53A4">
      <w:pPr>
        <w:pStyle w:val="NoSpacing"/>
      </w:pPr>
    </w:p>
    <w:p w14:paraId="1612B159" w14:textId="77777777" w:rsidR="002A5DBC" w:rsidRPr="007919E5" w:rsidRDefault="002A5DBC" w:rsidP="00FD497D">
      <w:pPr>
        <w:pStyle w:val="Heading1"/>
        <w:numPr>
          <w:ilvl w:val="0"/>
          <w:numId w:val="3"/>
        </w:numPr>
      </w:pPr>
      <w:r>
        <w:t>References</w:t>
      </w:r>
      <w:bookmarkEnd w:id="29"/>
    </w:p>
    <w:p w14:paraId="662A6305" w14:textId="77777777" w:rsidR="00794756" w:rsidRPr="00FB6713" w:rsidRDefault="00794756" w:rsidP="00794756">
      <w:r w:rsidRPr="00FB6713">
        <w:t xml:space="preserve">Rice, C. (2002). Wage Rates for Economic Analysis of The Toxics Release Inventory Program. Office of Environmental Information: U.S. </w:t>
      </w:r>
      <w:r w:rsidR="00A345B9">
        <w:t>Environmental Protection Agency</w:t>
      </w:r>
      <w:r w:rsidR="00081249">
        <w:t>.</w:t>
      </w:r>
    </w:p>
    <w:p w14:paraId="03259FCC" w14:textId="77777777" w:rsidR="00794756" w:rsidRDefault="00794756" w:rsidP="00794756"/>
    <w:p w14:paraId="556FF494" w14:textId="77777777" w:rsidR="00794756" w:rsidRPr="00FB6713" w:rsidRDefault="00794756" w:rsidP="00794756">
      <w:r w:rsidRPr="00FB6713">
        <w:t>U.S. Bureau of Labor Statistics (</w:t>
      </w:r>
      <w:r w:rsidR="00480CAE" w:rsidRPr="00FB6713">
        <w:t>201</w:t>
      </w:r>
      <w:r w:rsidR="00480CAE">
        <w:t>8</w:t>
      </w:r>
      <w:r w:rsidRPr="00FB6713">
        <w:t>). Employer Costs for Employee Compensation (ECEC) Supplementary Tables: December</w:t>
      </w:r>
      <w:r w:rsidR="00480CAE">
        <w:t xml:space="preserve"> 2006 – March 2018.</w:t>
      </w:r>
      <w:r w:rsidRPr="00FB6713">
        <w:t xml:space="preserve"> 201</w:t>
      </w:r>
      <w:r w:rsidR="00480CAE">
        <w:t>8</w:t>
      </w:r>
      <w:r w:rsidRPr="00FB6713">
        <w:t>.</w:t>
      </w:r>
    </w:p>
    <w:p w14:paraId="4306B6B2" w14:textId="77777777" w:rsidR="00987C22" w:rsidRDefault="00987C22" w:rsidP="00F81FD4">
      <w:pPr>
        <w:pStyle w:val="NoSpacing"/>
      </w:pPr>
    </w:p>
    <w:p w14:paraId="739BAED7" w14:textId="77777777" w:rsidR="00794756" w:rsidRDefault="00794756" w:rsidP="00B80285">
      <w:pPr>
        <w:pStyle w:val="BodyText"/>
      </w:pPr>
      <w:r>
        <w:t xml:space="preserve">U.S. Environmental Protection Agency (EPA). (2001) “Revised Economic Analysis for the Amended Inventory Update Rule (IUR).” </w:t>
      </w:r>
      <w:r w:rsidRPr="004003C0">
        <w:t>Research Triangle Park</w:t>
      </w:r>
      <w:r>
        <w:t xml:space="preserve">. </w:t>
      </w:r>
    </w:p>
    <w:p w14:paraId="368F68B0" w14:textId="77777777" w:rsidR="007A1B37" w:rsidRDefault="001234E6" w:rsidP="00973D5B">
      <w:pPr>
        <w:pStyle w:val="BodyText"/>
      </w:pPr>
      <w:r>
        <w:t xml:space="preserve">U.S. Environmental Protection Agency (EPA). </w:t>
      </w:r>
      <w:r w:rsidR="00A345B9">
        <w:t xml:space="preserve">(2016) </w:t>
      </w:r>
      <w:r w:rsidR="00B80285">
        <w:t>Information Collection Request:</w:t>
      </w:r>
      <w:r w:rsidR="00A345B9">
        <w:t xml:space="preserve"> </w:t>
      </w:r>
      <w:r w:rsidR="00A345B9" w:rsidRPr="00A345B9">
        <w:t>Lead Training, Certification, Accreditation and Authorization Activities</w:t>
      </w:r>
      <w:r w:rsidR="00B80285">
        <w:t xml:space="preserve">. EPA ICR No: </w:t>
      </w:r>
      <w:r w:rsidR="00B80285" w:rsidRPr="00B80285">
        <w:t>2507.01</w:t>
      </w:r>
      <w:r w:rsidR="00B80285">
        <w:t xml:space="preserve">. OMB Control No: 2070-0195. Docket ID: </w:t>
      </w:r>
      <w:r w:rsidR="00B80285" w:rsidRPr="00B80285">
        <w:t>EPA-HQ-OPPT-2014-0486</w:t>
      </w:r>
      <w:r w:rsidR="00081249">
        <w:t>.</w:t>
      </w:r>
    </w:p>
    <w:p w14:paraId="36B00812" w14:textId="77777777" w:rsidR="00C46CBF" w:rsidRPr="00653F96" w:rsidRDefault="00C46CBF" w:rsidP="00C46CBF">
      <w:pPr>
        <w:pStyle w:val="NoSpacing"/>
      </w:pPr>
    </w:p>
    <w:p w14:paraId="1A32761B" w14:textId="77777777" w:rsidR="00C46CBF" w:rsidRPr="007919E5" w:rsidRDefault="00C46CBF" w:rsidP="00C46CBF">
      <w:pPr>
        <w:pStyle w:val="Heading1"/>
        <w:numPr>
          <w:ilvl w:val="0"/>
          <w:numId w:val="3"/>
        </w:numPr>
      </w:pPr>
      <w:r>
        <w:t>Attachments</w:t>
      </w:r>
    </w:p>
    <w:p w14:paraId="1CE99BF0" w14:textId="77777777" w:rsidR="002B34A0" w:rsidRDefault="00C46CBF" w:rsidP="00C46CBF">
      <w:pPr>
        <w:rPr>
          <w:lang w:bidi="en-US"/>
        </w:rPr>
      </w:pPr>
      <w:r w:rsidRPr="00FD497D">
        <w:rPr>
          <w:lang w:bidi="en-US"/>
        </w:rPr>
        <w:t xml:space="preserve">All of the attachments listed below can be found in the docket for this ICR or </w:t>
      </w:r>
      <w:r>
        <w:rPr>
          <w:lang w:bidi="en-US"/>
        </w:rPr>
        <w:t xml:space="preserve">using the </w:t>
      </w:r>
      <w:r w:rsidRPr="00FD497D">
        <w:rPr>
          <w:lang w:bidi="en-US"/>
        </w:rPr>
        <w:t xml:space="preserve">hyperlink </w:t>
      </w:r>
      <w:r>
        <w:rPr>
          <w:lang w:bidi="en-US"/>
        </w:rPr>
        <w:t xml:space="preserve">that </w:t>
      </w:r>
      <w:r w:rsidRPr="00FD497D">
        <w:rPr>
          <w:lang w:bidi="en-US"/>
        </w:rPr>
        <w:t xml:space="preserve">is provided for the source documentation. The docket for </w:t>
      </w:r>
      <w:r>
        <w:rPr>
          <w:lang w:bidi="en-US"/>
        </w:rPr>
        <w:t xml:space="preserve">this ICR </w:t>
      </w:r>
      <w:r w:rsidRPr="00FD497D">
        <w:rPr>
          <w:lang w:bidi="en-US"/>
        </w:rPr>
        <w:t xml:space="preserve">is accessible electronically through </w:t>
      </w:r>
      <w:hyperlink r:id="rId18" w:history="1">
        <w:r w:rsidRPr="00FD497D">
          <w:rPr>
            <w:rStyle w:val="Hyperlink"/>
          </w:rPr>
          <w:t>http://www.regulations.gov</w:t>
        </w:r>
      </w:hyperlink>
      <w:r>
        <w:rPr>
          <w:lang w:bidi="en-US"/>
        </w:rPr>
        <w:t xml:space="preserve"> </w:t>
      </w:r>
      <w:r w:rsidRPr="00FD497D">
        <w:rPr>
          <w:lang w:bidi="en-US"/>
        </w:rPr>
        <w:t>using</w:t>
      </w:r>
      <w:r>
        <w:rPr>
          <w:lang w:bidi="en-US"/>
        </w:rPr>
        <w:t xml:space="preserve"> Docket ID Number: EPA-HQ-OPPT-2016-0401.</w:t>
      </w:r>
    </w:p>
    <w:p w14:paraId="49100D85" w14:textId="77777777" w:rsidR="00C46CBF" w:rsidRDefault="00C46CBF" w:rsidP="00FD497D">
      <w:pPr>
        <w:pStyle w:val="NoSpacing"/>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530"/>
      </w:tblGrid>
      <w:tr w:rsidR="00973D5B" w14:paraId="3D6BB260" w14:textId="77777777" w:rsidTr="00251F61">
        <w:tc>
          <w:tcPr>
            <w:tcW w:w="10070" w:type="dxa"/>
            <w:gridSpan w:val="2"/>
          </w:tcPr>
          <w:p w14:paraId="07E37E29" w14:textId="77777777" w:rsidR="00973D5B" w:rsidRDefault="00973D5B" w:rsidP="00C46CBF">
            <w:pPr>
              <w:pStyle w:val="NoSpacing"/>
            </w:pPr>
            <w:r>
              <w:t>Attachments:</w:t>
            </w:r>
          </w:p>
        </w:tc>
      </w:tr>
      <w:tr w:rsidR="00C46CBF" w14:paraId="09E63199" w14:textId="77777777" w:rsidTr="00973D5B">
        <w:tc>
          <w:tcPr>
            <w:tcW w:w="540" w:type="dxa"/>
          </w:tcPr>
          <w:p w14:paraId="67A6F1A7" w14:textId="77777777" w:rsidR="00C46CBF" w:rsidRDefault="00C46CBF" w:rsidP="00973D5B">
            <w:pPr>
              <w:pStyle w:val="NoSpacing"/>
              <w:jc w:val="right"/>
            </w:pPr>
            <w:r>
              <w:t>1.</w:t>
            </w:r>
          </w:p>
        </w:tc>
        <w:tc>
          <w:tcPr>
            <w:tcW w:w="9530" w:type="dxa"/>
          </w:tcPr>
          <w:p w14:paraId="0A917946" w14:textId="3F0349B0" w:rsidR="00C46CBF" w:rsidRDefault="00E44667" w:rsidP="00FD497D">
            <w:pPr>
              <w:pStyle w:val="NoSpacing"/>
              <w:spacing w:after="160"/>
            </w:pPr>
            <w:r>
              <w:t xml:space="preserve">Prepublication Copy; </w:t>
            </w:r>
            <w:r w:rsidR="00C46CBF">
              <w:t>Final Rule; User Fees for the Administration of the Toxic Substances Control Act (RIN 2070-AK27). FRL-</w:t>
            </w:r>
            <w:r w:rsidR="00095683">
              <w:t>9984-41.</w:t>
            </w:r>
            <w:r w:rsidR="00C46CBF">
              <w:t xml:space="preserve"> 83 FR </w:t>
            </w:r>
            <w:r w:rsidR="009D3D97">
              <w:t>52694</w:t>
            </w:r>
            <w:r w:rsidR="00C46CBF">
              <w:t>, (</w:t>
            </w:r>
            <w:r w:rsidR="009D3D97">
              <w:t>October 17, 2018</w:t>
            </w:r>
            <w:r w:rsidR="00C46CBF">
              <w:t>)</w:t>
            </w:r>
            <w:r w:rsidR="00A266E3">
              <w:t>.</w:t>
            </w:r>
            <w:r w:rsidR="00095683">
              <w:t xml:space="preserve"> [Although publication was pending at the time that the ICR was submitted, the </w:t>
            </w:r>
            <w:r>
              <w:t xml:space="preserve">published </w:t>
            </w:r>
            <w:r w:rsidR="00095683">
              <w:t>final rule can also be accessed</w:t>
            </w:r>
            <w:r w:rsidR="009D3D97">
              <w:t xml:space="preserve"> at</w:t>
            </w:r>
            <w:r w:rsidR="00095683">
              <w:t xml:space="preserve"> </w:t>
            </w:r>
            <w:r w:rsidR="009D3D97" w:rsidRPr="009D3D97">
              <w:t>https://www.gpo.gov/fdsys/pkg/FR-2018-10-17/pdf/2018-22252.pdf</w:t>
            </w:r>
            <w:r w:rsidR="00095683">
              <w:t>]</w:t>
            </w:r>
            <w:r w:rsidR="00C46CBF">
              <w:t>.</w:t>
            </w:r>
            <w:r w:rsidR="006A3609">
              <w:t xml:space="preserve"> </w:t>
            </w:r>
          </w:p>
        </w:tc>
      </w:tr>
      <w:tr w:rsidR="00C46CBF" w14:paraId="760218C3" w14:textId="77777777" w:rsidTr="00973D5B">
        <w:tc>
          <w:tcPr>
            <w:tcW w:w="540" w:type="dxa"/>
          </w:tcPr>
          <w:p w14:paraId="5F0972C7" w14:textId="77777777" w:rsidR="00C46CBF" w:rsidRDefault="00C46CBF" w:rsidP="00973D5B">
            <w:pPr>
              <w:pStyle w:val="NoSpacing"/>
              <w:jc w:val="right"/>
            </w:pPr>
            <w:r>
              <w:t>2.</w:t>
            </w:r>
          </w:p>
        </w:tc>
        <w:tc>
          <w:tcPr>
            <w:tcW w:w="9530" w:type="dxa"/>
          </w:tcPr>
          <w:p w14:paraId="08851EFA" w14:textId="77777777" w:rsidR="00C46CBF" w:rsidRDefault="00C46CBF" w:rsidP="00FD497D">
            <w:pPr>
              <w:pStyle w:val="NoSpacing"/>
              <w:spacing w:after="160"/>
            </w:pPr>
            <w:r>
              <w:t>EPA Form No. 9600-008:</w:t>
            </w:r>
            <w:r w:rsidRPr="00FE2B03">
              <w:t xml:space="preserve"> </w:t>
            </w:r>
            <w:r w:rsidR="00251F61">
              <w:t>Notice o</w:t>
            </w:r>
            <w:r w:rsidR="00251F61" w:rsidRPr="00251F61">
              <w:t>f T</w:t>
            </w:r>
            <w:r w:rsidR="00251F61">
              <w:t>SCA</w:t>
            </w:r>
            <w:r w:rsidR="00251F61" w:rsidRPr="00251F61">
              <w:t xml:space="preserve"> Fee Action Participation</w:t>
            </w:r>
            <w:r>
              <w:t>.</w:t>
            </w:r>
            <w:r w:rsidRPr="007919E5">
              <w:t xml:space="preserve">  </w:t>
            </w:r>
          </w:p>
        </w:tc>
      </w:tr>
      <w:tr w:rsidR="00F63E90" w14:paraId="2C837C20" w14:textId="77777777" w:rsidTr="00973D5B">
        <w:tc>
          <w:tcPr>
            <w:tcW w:w="540" w:type="dxa"/>
          </w:tcPr>
          <w:p w14:paraId="19CBFFD3" w14:textId="4B3DAD91" w:rsidR="00F63E90" w:rsidRDefault="00F63E90" w:rsidP="00973D5B">
            <w:pPr>
              <w:pStyle w:val="NoSpacing"/>
              <w:jc w:val="right"/>
            </w:pPr>
            <w:r>
              <w:t>3.</w:t>
            </w:r>
          </w:p>
        </w:tc>
        <w:tc>
          <w:tcPr>
            <w:tcW w:w="9530" w:type="dxa"/>
          </w:tcPr>
          <w:p w14:paraId="4221FA13" w14:textId="1B59386B" w:rsidR="00F63E90" w:rsidRDefault="00F63E90" w:rsidP="00F63E90">
            <w:pPr>
              <w:pStyle w:val="NoSpacing"/>
              <w:spacing w:after="160"/>
            </w:pPr>
            <w:r>
              <w:t xml:space="preserve">CDX Screen Shots. Revised Modules for </w:t>
            </w:r>
            <w:r w:rsidR="00AD14D4">
              <w:t xml:space="preserve">TSCA </w:t>
            </w:r>
            <w:r>
              <w:t>Section 5 and Section 6 Submissions.</w:t>
            </w:r>
          </w:p>
        </w:tc>
      </w:tr>
    </w:tbl>
    <w:p w14:paraId="497CD6AB" w14:textId="77777777" w:rsidR="00C46CBF" w:rsidRPr="00FD497D" w:rsidRDefault="00C46CBF" w:rsidP="00FD497D">
      <w:pPr>
        <w:pStyle w:val="NoSpacing"/>
        <w:rPr>
          <w:lang w:bidi="en-US"/>
        </w:rPr>
      </w:pPr>
    </w:p>
    <w:sectPr w:rsidR="00C46CBF" w:rsidRPr="00FD497D" w:rsidSect="00FD497D">
      <w:footerReference w:type="default" r:id="rId19"/>
      <w:headerReference w:type="first" r:id="rId20"/>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573F1" w14:textId="77777777" w:rsidR="00230A1C" w:rsidRDefault="00230A1C" w:rsidP="002B34A0">
      <w:r>
        <w:separator/>
      </w:r>
    </w:p>
  </w:endnote>
  <w:endnote w:type="continuationSeparator" w:id="0">
    <w:p w14:paraId="3FA2D0E6" w14:textId="77777777" w:rsidR="00230A1C" w:rsidRDefault="00230A1C"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ICTFontTextStyleBody">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20684"/>
      <w:docPartObj>
        <w:docPartGallery w:val="Page Numbers (Bottom of Page)"/>
        <w:docPartUnique/>
      </w:docPartObj>
    </w:sdtPr>
    <w:sdtEndPr/>
    <w:sdtContent>
      <w:sdt>
        <w:sdtPr>
          <w:id w:val="-1801530361"/>
          <w:docPartObj>
            <w:docPartGallery w:val="Page Numbers (Top of Page)"/>
            <w:docPartUnique/>
          </w:docPartObj>
        </w:sdtPr>
        <w:sdtEndPr/>
        <w:sdtContent>
          <w:p w14:paraId="2F7154DE" w14:textId="69271141" w:rsidR="00EF7443" w:rsidRDefault="00EF7443" w:rsidP="00FD497D">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CE16A4">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CE16A4">
              <w:rPr>
                <w:noProof/>
                <w:sz w:val="20"/>
                <w:szCs w:val="20"/>
              </w:rPr>
              <w:t>2</w:t>
            </w:r>
            <w:r w:rsidRPr="002B34A0">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417DB" w14:textId="77777777" w:rsidR="00230A1C" w:rsidRDefault="00230A1C" w:rsidP="002B34A0">
      <w:r>
        <w:separator/>
      </w:r>
    </w:p>
  </w:footnote>
  <w:footnote w:type="continuationSeparator" w:id="0">
    <w:p w14:paraId="5FB33F3E" w14:textId="77777777" w:rsidR="00230A1C" w:rsidRDefault="00230A1C" w:rsidP="002B34A0">
      <w:r>
        <w:continuationSeparator/>
      </w:r>
    </w:p>
  </w:footnote>
  <w:footnote w:id="1">
    <w:p w14:paraId="013B3F29" w14:textId="77777777" w:rsidR="00EF7443" w:rsidRDefault="00EF7443" w:rsidP="00B70752">
      <w:pPr>
        <w:pStyle w:val="FootnoteText"/>
      </w:pPr>
      <w:r w:rsidRPr="007644A6">
        <w:rPr>
          <w:rStyle w:val="FootnoteReference"/>
          <w:vertAlign w:val="superscript"/>
        </w:rPr>
        <w:footnoteRef/>
      </w:r>
      <w:r>
        <w:t xml:space="preserve"> The Response to Comments document is available in Docket ID No. EPA-HQ-OPPT-2016-0401 at http://www.regulations.gov.</w:t>
      </w:r>
    </w:p>
  </w:footnote>
  <w:footnote w:id="2">
    <w:p w14:paraId="2F55003A" w14:textId="77777777" w:rsidR="00EF7443" w:rsidRDefault="00EF7443">
      <w:pPr>
        <w:pStyle w:val="FootnoteText"/>
      </w:pPr>
      <w:r w:rsidRPr="00C13C7B">
        <w:rPr>
          <w:rStyle w:val="FootnoteReference"/>
          <w:vertAlign w:val="superscript"/>
        </w:rPr>
        <w:footnoteRef/>
      </w:r>
      <w:r>
        <w:t xml:space="preserve"> See TSCA section 5 PMN ICR </w:t>
      </w:r>
      <w:hyperlink r:id="rId1" w:history="1">
        <w:r>
          <w:rPr>
            <w:rStyle w:val="Hyperlink"/>
            <w:rFonts w:eastAsia="Times New Roman"/>
          </w:rPr>
          <w:t>https://www.reginfo.gov/public/do/PRAViewICR?ref_nbr=201806-2070-001</w:t>
        </w:r>
      </w:hyperlink>
      <w:r>
        <w:rPr>
          <w:rFonts w:eastAsia="Times New Roman"/>
        </w:rPr>
        <w:t xml:space="preserve">. </w:t>
      </w:r>
    </w:p>
  </w:footnote>
  <w:footnote w:id="3">
    <w:p w14:paraId="6AF68B0F" w14:textId="77777777" w:rsidR="00EF7443" w:rsidRDefault="00EF7443">
      <w:pPr>
        <w:pStyle w:val="FootnoteText"/>
      </w:pPr>
      <w:r w:rsidRPr="00C13C7B">
        <w:rPr>
          <w:rStyle w:val="FootnoteReference"/>
          <w:vertAlign w:val="superscript"/>
        </w:rPr>
        <w:footnoteRef/>
      </w:r>
      <w:r>
        <w:t xml:space="preserve"> See TSCA section 4 ICR</w:t>
      </w:r>
      <w:r>
        <w:rPr>
          <w:rFonts w:eastAsia="Times New Roman"/>
        </w:rPr>
        <w:t xml:space="preserve"> </w:t>
      </w:r>
      <w:hyperlink r:id="rId2" w:history="1">
        <w:r>
          <w:rPr>
            <w:rStyle w:val="Hyperlink"/>
            <w:rFonts w:eastAsia="Times New Roman"/>
          </w:rPr>
          <w:t>https://www.reginfo.gov/public/do/PRAViewICR?ref_nbr=201712-2070-004</w:t>
        </w:r>
      </w:hyperlink>
      <w:r>
        <w:rPr>
          <w:rFonts w:eastAsia="Times New Roman"/>
        </w:rPr>
        <w:t xml:space="preserve"> </w:t>
      </w:r>
    </w:p>
  </w:footnote>
  <w:footnote w:id="4">
    <w:p w14:paraId="0F419E10" w14:textId="77777777" w:rsidR="00EF7443" w:rsidRDefault="00EF7443">
      <w:pPr>
        <w:pStyle w:val="FootnoteText"/>
      </w:pPr>
      <w:r w:rsidRPr="00C13C7B">
        <w:rPr>
          <w:rStyle w:val="FootnoteReference"/>
          <w:vertAlign w:val="superscript"/>
        </w:rPr>
        <w:footnoteRef/>
      </w:r>
      <w:r>
        <w:t xml:space="preserve"> See TSCA section 6 Risk Evaluations rule ICR </w:t>
      </w:r>
      <w:hyperlink r:id="rId3" w:history="1">
        <w:r>
          <w:rPr>
            <w:rStyle w:val="Hyperlink"/>
            <w:rFonts w:eastAsia="Times New Roman"/>
          </w:rPr>
          <w:t>https://www.reginfo.gov/public/do/PRAViewICR?ref_nbr=201707-2070-001</w:t>
        </w:r>
      </w:hyperlink>
      <w:r>
        <w:rPr>
          <w:rFonts w:eastAsia="Times New Roman"/>
        </w:rPr>
        <w:t xml:space="preserve"> </w:t>
      </w:r>
    </w:p>
  </w:footnote>
  <w:footnote w:id="5">
    <w:p w14:paraId="63597698" w14:textId="77777777" w:rsidR="00EF7443" w:rsidRDefault="00EF7443">
      <w:pPr>
        <w:pStyle w:val="FootnoteText"/>
      </w:pPr>
      <w:r w:rsidRPr="00C13C7B">
        <w:rPr>
          <w:rStyle w:val="FootnoteReference"/>
          <w:vertAlign w:val="superscript"/>
        </w:rPr>
        <w:footnoteRef/>
      </w:r>
      <w:r>
        <w:t xml:space="preserve"> See section 4 ICR </w:t>
      </w:r>
      <w:hyperlink r:id="rId4" w:history="1">
        <w:r w:rsidRPr="008C2A2A">
          <w:rPr>
            <w:rStyle w:val="Hyperlink"/>
          </w:rPr>
          <w:t>https://www.reginfo.gov/public/do/PRAICList?ref_nbr=201712-2070-004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56926" w14:textId="25D38A12" w:rsidR="00EF7443" w:rsidRPr="00E44667" w:rsidRDefault="00EF7443" w:rsidP="00292F1B">
    <w:pPr>
      <w:widowControl w:val="0"/>
      <w:pBdr>
        <w:bottom w:val="single" w:sz="6" w:space="1" w:color="auto"/>
      </w:pBdr>
      <w:rPr>
        <w:rFonts w:cs="Arial"/>
        <w:b/>
        <w:bCs/>
        <w:sz w:val="20"/>
        <w:szCs w:val="20"/>
      </w:rPr>
    </w:pPr>
    <w:r>
      <w:rPr>
        <w:rFonts w:cs="Arial"/>
        <w:bCs/>
        <w:sz w:val="20"/>
        <w:szCs w:val="20"/>
      </w:rPr>
      <w:t>October 1</w:t>
    </w:r>
    <w:r w:rsidR="00CA4575">
      <w:rPr>
        <w:rFonts w:cs="Arial"/>
        <w:bCs/>
        <w:sz w:val="20"/>
        <w:szCs w:val="20"/>
      </w:rPr>
      <w:t>9</w:t>
    </w:r>
    <w:r>
      <w:rPr>
        <w:rFonts w:cs="Arial"/>
        <w:bCs/>
        <w:sz w:val="20"/>
        <w:szCs w:val="20"/>
      </w:rPr>
      <w:t>, 2018</w:t>
    </w:r>
  </w:p>
  <w:p w14:paraId="383FCBC5" w14:textId="77777777" w:rsidR="00EF7443" w:rsidRPr="00BD53A4" w:rsidRDefault="00EF7443" w:rsidP="00BD53A4">
    <w:pPr>
      <w:widowControl w:val="0"/>
      <w:tabs>
        <w:tab w:val="center" w:pos="4320"/>
        <w:tab w:val="right" w:pos="8640"/>
      </w:tabs>
      <w:autoSpaceDE w:val="0"/>
      <w:autoSpaceDN w:val="0"/>
      <w:adjustRightInd w:val="0"/>
      <w:jc w:val="center"/>
      <w:rPr>
        <w:rFonts w:ascii="Times New Roman" w:eastAsia="Times New Roman" w:hAnsi="Times New Roman" w:cs="Times New Roman"/>
        <w:i/>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8BD6750"/>
    <w:multiLevelType w:val="hybridMultilevel"/>
    <w:tmpl w:val="656E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707FA"/>
    <w:multiLevelType w:val="hybridMultilevel"/>
    <w:tmpl w:val="1C66C61A"/>
    <w:lvl w:ilvl="0" w:tplc="66F8CE7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180FF2"/>
    <w:multiLevelType w:val="multilevel"/>
    <w:tmpl w:val="BED805E8"/>
    <w:lvl w:ilvl="0">
      <w:start w:val="1"/>
      <w:numFmt w:val="decimal"/>
      <w:lvlText w:val="(%1)"/>
      <w:lvlJc w:val="left"/>
      <w:pPr>
        <w:tabs>
          <w:tab w:val="num" w:pos="720"/>
        </w:tabs>
        <w:ind w:left="720" w:hanging="360"/>
      </w:pPr>
      <w:rPr>
        <w:rFonts w:ascii="Arial" w:eastAsia="Times New Roman" w:hAnsi="Arial" w:cs="Aria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E5606"/>
    <w:multiLevelType w:val="hybridMultilevel"/>
    <w:tmpl w:val="D3ECAB9E"/>
    <w:lvl w:ilvl="0" w:tplc="C05E90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3">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AD63DA6"/>
    <w:multiLevelType w:val="singleLevel"/>
    <w:tmpl w:val="35A8CB6A"/>
    <w:lvl w:ilvl="0">
      <w:start w:val="1"/>
      <w:numFmt w:val="bullet"/>
      <w:pStyle w:val="Bullets"/>
      <w:lvlText w:val=""/>
      <w:lvlJc w:val="left"/>
      <w:pPr>
        <w:ind w:left="360" w:hanging="360"/>
      </w:pPr>
      <w:rPr>
        <w:rFonts w:ascii="Symbol" w:hAnsi="Symbol" w:hint="default"/>
        <w:color w:val="DA291C"/>
        <w:sz w:val="22"/>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1"/>
  </w:num>
  <w:num w:numId="5">
    <w:abstractNumId w:val="23"/>
  </w:num>
  <w:num w:numId="6">
    <w:abstractNumId w:val="17"/>
  </w:num>
  <w:num w:numId="7">
    <w:abstractNumId w:val="25"/>
  </w:num>
  <w:num w:numId="8">
    <w:abstractNumId w:val="16"/>
  </w:num>
  <w:num w:numId="9">
    <w:abstractNumId w:val="26"/>
  </w:num>
  <w:num w:numId="10">
    <w:abstractNumId w:val="11"/>
  </w:num>
  <w:num w:numId="11">
    <w:abstractNumId w:val="10"/>
  </w:num>
  <w:num w:numId="12">
    <w:abstractNumId w:val="6"/>
  </w:num>
  <w:num w:numId="13">
    <w:abstractNumId w:val="12"/>
  </w:num>
  <w:num w:numId="14">
    <w:abstractNumId w:val="24"/>
  </w:num>
  <w:num w:numId="15">
    <w:abstractNumId w:val="15"/>
  </w:num>
  <w:num w:numId="16">
    <w:abstractNumId w:val="20"/>
  </w:num>
  <w:num w:numId="17">
    <w:abstractNumId w:val="14"/>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7"/>
  </w:num>
  <w:num w:numId="24">
    <w:abstractNumId w:val="9"/>
  </w:num>
  <w:num w:numId="25">
    <w:abstractNumId w:val="19"/>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01B4"/>
    <w:rsid w:val="00003C59"/>
    <w:rsid w:val="00003EFE"/>
    <w:rsid w:val="00004710"/>
    <w:rsid w:val="00005662"/>
    <w:rsid w:val="000069E3"/>
    <w:rsid w:val="000102B1"/>
    <w:rsid w:val="0001042C"/>
    <w:rsid w:val="00011514"/>
    <w:rsid w:val="00012C7C"/>
    <w:rsid w:val="0001558A"/>
    <w:rsid w:val="0002070E"/>
    <w:rsid w:val="0002255B"/>
    <w:rsid w:val="00022B29"/>
    <w:rsid w:val="000244E2"/>
    <w:rsid w:val="00025468"/>
    <w:rsid w:val="000255F1"/>
    <w:rsid w:val="00030A58"/>
    <w:rsid w:val="00030D36"/>
    <w:rsid w:val="00031F7F"/>
    <w:rsid w:val="00032FBE"/>
    <w:rsid w:val="00034CB4"/>
    <w:rsid w:val="00035C5E"/>
    <w:rsid w:val="000441D5"/>
    <w:rsid w:val="0004568C"/>
    <w:rsid w:val="00051254"/>
    <w:rsid w:val="000525A8"/>
    <w:rsid w:val="00052FA1"/>
    <w:rsid w:val="000530F2"/>
    <w:rsid w:val="00053361"/>
    <w:rsid w:val="00053D9D"/>
    <w:rsid w:val="0005433B"/>
    <w:rsid w:val="00054FE9"/>
    <w:rsid w:val="00055451"/>
    <w:rsid w:val="00056B1D"/>
    <w:rsid w:val="00056CFA"/>
    <w:rsid w:val="00063D08"/>
    <w:rsid w:val="00067FDB"/>
    <w:rsid w:val="00070ACE"/>
    <w:rsid w:val="00070BCF"/>
    <w:rsid w:val="00071069"/>
    <w:rsid w:val="00071571"/>
    <w:rsid w:val="00077910"/>
    <w:rsid w:val="0008007A"/>
    <w:rsid w:val="00080514"/>
    <w:rsid w:val="00081249"/>
    <w:rsid w:val="000812A8"/>
    <w:rsid w:val="00081D2D"/>
    <w:rsid w:val="00081FA0"/>
    <w:rsid w:val="000836DB"/>
    <w:rsid w:val="00086F52"/>
    <w:rsid w:val="000874F8"/>
    <w:rsid w:val="0009007E"/>
    <w:rsid w:val="00092D5D"/>
    <w:rsid w:val="00095683"/>
    <w:rsid w:val="00096E80"/>
    <w:rsid w:val="00097B26"/>
    <w:rsid w:val="000A02BA"/>
    <w:rsid w:val="000A185F"/>
    <w:rsid w:val="000A22C8"/>
    <w:rsid w:val="000A2F92"/>
    <w:rsid w:val="000A409C"/>
    <w:rsid w:val="000A45B1"/>
    <w:rsid w:val="000A475E"/>
    <w:rsid w:val="000A522E"/>
    <w:rsid w:val="000A63A0"/>
    <w:rsid w:val="000A65CA"/>
    <w:rsid w:val="000B186E"/>
    <w:rsid w:val="000B24B3"/>
    <w:rsid w:val="000B2A10"/>
    <w:rsid w:val="000B3E37"/>
    <w:rsid w:val="000B424E"/>
    <w:rsid w:val="000B46EF"/>
    <w:rsid w:val="000B530C"/>
    <w:rsid w:val="000C0271"/>
    <w:rsid w:val="000C09C9"/>
    <w:rsid w:val="000C42F1"/>
    <w:rsid w:val="000D0374"/>
    <w:rsid w:val="000D0F1B"/>
    <w:rsid w:val="000D1039"/>
    <w:rsid w:val="000D16B3"/>
    <w:rsid w:val="000D1990"/>
    <w:rsid w:val="000D3066"/>
    <w:rsid w:val="000D5722"/>
    <w:rsid w:val="000D7D7C"/>
    <w:rsid w:val="000D7F35"/>
    <w:rsid w:val="000E19FB"/>
    <w:rsid w:val="000E1C35"/>
    <w:rsid w:val="000E6951"/>
    <w:rsid w:val="000E778D"/>
    <w:rsid w:val="000E7B38"/>
    <w:rsid w:val="000F0C52"/>
    <w:rsid w:val="000F20E1"/>
    <w:rsid w:val="00100358"/>
    <w:rsid w:val="00102480"/>
    <w:rsid w:val="00103F89"/>
    <w:rsid w:val="00105F59"/>
    <w:rsid w:val="00106423"/>
    <w:rsid w:val="0010776C"/>
    <w:rsid w:val="00110EB7"/>
    <w:rsid w:val="00111C76"/>
    <w:rsid w:val="00117444"/>
    <w:rsid w:val="0011790C"/>
    <w:rsid w:val="001203BA"/>
    <w:rsid w:val="00121CD3"/>
    <w:rsid w:val="001234E6"/>
    <w:rsid w:val="00125B5B"/>
    <w:rsid w:val="00126B70"/>
    <w:rsid w:val="00126EAC"/>
    <w:rsid w:val="00132E6E"/>
    <w:rsid w:val="00136A83"/>
    <w:rsid w:val="00136D0D"/>
    <w:rsid w:val="00136D8F"/>
    <w:rsid w:val="00136F1D"/>
    <w:rsid w:val="001415B4"/>
    <w:rsid w:val="001417FF"/>
    <w:rsid w:val="00144085"/>
    <w:rsid w:val="00146061"/>
    <w:rsid w:val="001462BA"/>
    <w:rsid w:val="00146704"/>
    <w:rsid w:val="001473DF"/>
    <w:rsid w:val="0015601E"/>
    <w:rsid w:val="00157337"/>
    <w:rsid w:val="001606AF"/>
    <w:rsid w:val="001635AE"/>
    <w:rsid w:val="00163F68"/>
    <w:rsid w:val="0016501F"/>
    <w:rsid w:val="00165581"/>
    <w:rsid w:val="0016777D"/>
    <w:rsid w:val="00167866"/>
    <w:rsid w:val="00171D01"/>
    <w:rsid w:val="00172099"/>
    <w:rsid w:val="00173301"/>
    <w:rsid w:val="0017447C"/>
    <w:rsid w:val="00175529"/>
    <w:rsid w:val="00176015"/>
    <w:rsid w:val="00176685"/>
    <w:rsid w:val="001809CF"/>
    <w:rsid w:val="00181C48"/>
    <w:rsid w:val="0018203B"/>
    <w:rsid w:val="0018266B"/>
    <w:rsid w:val="001843D8"/>
    <w:rsid w:val="0018440A"/>
    <w:rsid w:val="00185866"/>
    <w:rsid w:val="00191899"/>
    <w:rsid w:val="0019305C"/>
    <w:rsid w:val="0019470B"/>
    <w:rsid w:val="001A11AE"/>
    <w:rsid w:val="001A2515"/>
    <w:rsid w:val="001A42FB"/>
    <w:rsid w:val="001B03EA"/>
    <w:rsid w:val="001B0EFE"/>
    <w:rsid w:val="001B2877"/>
    <w:rsid w:val="001B7446"/>
    <w:rsid w:val="001B7FB8"/>
    <w:rsid w:val="001C248D"/>
    <w:rsid w:val="001C3BC2"/>
    <w:rsid w:val="001C4A80"/>
    <w:rsid w:val="001D3125"/>
    <w:rsid w:val="001D3543"/>
    <w:rsid w:val="001D41E1"/>
    <w:rsid w:val="001D5708"/>
    <w:rsid w:val="001D7822"/>
    <w:rsid w:val="001E01CF"/>
    <w:rsid w:val="001E06E3"/>
    <w:rsid w:val="001E1EE6"/>
    <w:rsid w:val="001E2772"/>
    <w:rsid w:val="001E28DD"/>
    <w:rsid w:val="001E3039"/>
    <w:rsid w:val="001E6980"/>
    <w:rsid w:val="001E7129"/>
    <w:rsid w:val="001F67AA"/>
    <w:rsid w:val="00200219"/>
    <w:rsid w:val="002011E3"/>
    <w:rsid w:val="00202503"/>
    <w:rsid w:val="00204C29"/>
    <w:rsid w:val="00204D3F"/>
    <w:rsid w:val="00207B77"/>
    <w:rsid w:val="00210657"/>
    <w:rsid w:val="00212522"/>
    <w:rsid w:val="002132E5"/>
    <w:rsid w:val="00215F6B"/>
    <w:rsid w:val="00220449"/>
    <w:rsid w:val="0022191B"/>
    <w:rsid w:val="00230A1C"/>
    <w:rsid w:val="00230D29"/>
    <w:rsid w:val="002313B6"/>
    <w:rsid w:val="002321AA"/>
    <w:rsid w:val="002361E1"/>
    <w:rsid w:val="00236CBE"/>
    <w:rsid w:val="002406C5"/>
    <w:rsid w:val="0024149B"/>
    <w:rsid w:val="002447F9"/>
    <w:rsid w:val="00244924"/>
    <w:rsid w:val="00246E64"/>
    <w:rsid w:val="00247F31"/>
    <w:rsid w:val="00250322"/>
    <w:rsid w:val="00251F61"/>
    <w:rsid w:val="002526AB"/>
    <w:rsid w:val="002529E5"/>
    <w:rsid w:val="00260275"/>
    <w:rsid w:val="002679E0"/>
    <w:rsid w:val="00267B9E"/>
    <w:rsid w:val="00270944"/>
    <w:rsid w:val="00271BE5"/>
    <w:rsid w:val="0027662F"/>
    <w:rsid w:val="00277C19"/>
    <w:rsid w:val="00280301"/>
    <w:rsid w:val="00282443"/>
    <w:rsid w:val="002840C6"/>
    <w:rsid w:val="002849FA"/>
    <w:rsid w:val="00284B0F"/>
    <w:rsid w:val="00284D84"/>
    <w:rsid w:val="00286621"/>
    <w:rsid w:val="00286682"/>
    <w:rsid w:val="00290EFD"/>
    <w:rsid w:val="00292275"/>
    <w:rsid w:val="00292F1B"/>
    <w:rsid w:val="002934B7"/>
    <w:rsid w:val="00293DB1"/>
    <w:rsid w:val="00294C0D"/>
    <w:rsid w:val="002951E5"/>
    <w:rsid w:val="00295815"/>
    <w:rsid w:val="00295A23"/>
    <w:rsid w:val="00296D25"/>
    <w:rsid w:val="002A0BEE"/>
    <w:rsid w:val="002A13C4"/>
    <w:rsid w:val="002A22F0"/>
    <w:rsid w:val="002A5DBC"/>
    <w:rsid w:val="002A6F04"/>
    <w:rsid w:val="002B125C"/>
    <w:rsid w:val="002B34A0"/>
    <w:rsid w:val="002B5F8D"/>
    <w:rsid w:val="002C15B0"/>
    <w:rsid w:val="002C1893"/>
    <w:rsid w:val="002C2AD8"/>
    <w:rsid w:val="002C395B"/>
    <w:rsid w:val="002C3E17"/>
    <w:rsid w:val="002C5AA8"/>
    <w:rsid w:val="002C5DC6"/>
    <w:rsid w:val="002C66D1"/>
    <w:rsid w:val="002D00BA"/>
    <w:rsid w:val="002D04A7"/>
    <w:rsid w:val="002D0FCC"/>
    <w:rsid w:val="002D2665"/>
    <w:rsid w:val="002D2B79"/>
    <w:rsid w:val="002D3008"/>
    <w:rsid w:val="002D36EA"/>
    <w:rsid w:val="002D371B"/>
    <w:rsid w:val="002E0400"/>
    <w:rsid w:val="002E1029"/>
    <w:rsid w:val="002E2BC0"/>
    <w:rsid w:val="002E3969"/>
    <w:rsid w:val="002E51C6"/>
    <w:rsid w:val="002E58DE"/>
    <w:rsid w:val="002E73BC"/>
    <w:rsid w:val="002F01B9"/>
    <w:rsid w:val="002F5C6B"/>
    <w:rsid w:val="002F7B06"/>
    <w:rsid w:val="00300831"/>
    <w:rsid w:val="00301205"/>
    <w:rsid w:val="00304F9B"/>
    <w:rsid w:val="003057D9"/>
    <w:rsid w:val="00310CD3"/>
    <w:rsid w:val="00316FC3"/>
    <w:rsid w:val="00317B10"/>
    <w:rsid w:val="00321D7B"/>
    <w:rsid w:val="0032236E"/>
    <w:rsid w:val="0032425B"/>
    <w:rsid w:val="00325A55"/>
    <w:rsid w:val="00325C05"/>
    <w:rsid w:val="003269AC"/>
    <w:rsid w:val="00326BA2"/>
    <w:rsid w:val="00327C9E"/>
    <w:rsid w:val="00327CF3"/>
    <w:rsid w:val="00330422"/>
    <w:rsid w:val="00334223"/>
    <w:rsid w:val="00334380"/>
    <w:rsid w:val="0033540C"/>
    <w:rsid w:val="00335960"/>
    <w:rsid w:val="0033644F"/>
    <w:rsid w:val="0033668C"/>
    <w:rsid w:val="00340F3C"/>
    <w:rsid w:val="00342EA3"/>
    <w:rsid w:val="00343EF8"/>
    <w:rsid w:val="0034411C"/>
    <w:rsid w:val="0034717C"/>
    <w:rsid w:val="00347C15"/>
    <w:rsid w:val="00352760"/>
    <w:rsid w:val="0035280E"/>
    <w:rsid w:val="00352F6E"/>
    <w:rsid w:val="003552E0"/>
    <w:rsid w:val="00355DA6"/>
    <w:rsid w:val="00356529"/>
    <w:rsid w:val="00356731"/>
    <w:rsid w:val="00360250"/>
    <w:rsid w:val="0036061B"/>
    <w:rsid w:val="00360761"/>
    <w:rsid w:val="00360AD0"/>
    <w:rsid w:val="0036340C"/>
    <w:rsid w:val="0036430D"/>
    <w:rsid w:val="00364D69"/>
    <w:rsid w:val="00366294"/>
    <w:rsid w:val="0036683A"/>
    <w:rsid w:val="003676D1"/>
    <w:rsid w:val="0037166D"/>
    <w:rsid w:val="00371AF7"/>
    <w:rsid w:val="00371C40"/>
    <w:rsid w:val="003721D4"/>
    <w:rsid w:val="00372859"/>
    <w:rsid w:val="00374615"/>
    <w:rsid w:val="003750C6"/>
    <w:rsid w:val="003814D7"/>
    <w:rsid w:val="0038462B"/>
    <w:rsid w:val="003857D8"/>
    <w:rsid w:val="00386027"/>
    <w:rsid w:val="00387F20"/>
    <w:rsid w:val="003907B3"/>
    <w:rsid w:val="0039300D"/>
    <w:rsid w:val="00393451"/>
    <w:rsid w:val="003946EE"/>
    <w:rsid w:val="00396B3F"/>
    <w:rsid w:val="00396F7B"/>
    <w:rsid w:val="0039796F"/>
    <w:rsid w:val="00397D45"/>
    <w:rsid w:val="003A0601"/>
    <w:rsid w:val="003A1E25"/>
    <w:rsid w:val="003A268B"/>
    <w:rsid w:val="003A2D1D"/>
    <w:rsid w:val="003A46E9"/>
    <w:rsid w:val="003A5E99"/>
    <w:rsid w:val="003A6A0C"/>
    <w:rsid w:val="003A791C"/>
    <w:rsid w:val="003A7FD9"/>
    <w:rsid w:val="003B1154"/>
    <w:rsid w:val="003B53BD"/>
    <w:rsid w:val="003B7BC3"/>
    <w:rsid w:val="003C148D"/>
    <w:rsid w:val="003C1896"/>
    <w:rsid w:val="003C26C1"/>
    <w:rsid w:val="003C30C1"/>
    <w:rsid w:val="003C76C7"/>
    <w:rsid w:val="003C7E78"/>
    <w:rsid w:val="003D08A0"/>
    <w:rsid w:val="003D180B"/>
    <w:rsid w:val="003D238F"/>
    <w:rsid w:val="003D2F08"/>
    <w:rsid w:val="003E14CD"/>
    <w:rsid w:val="003E39A7"/>
    <w:rsid w:val="003E530C"/>
    <w:rsid w:val="003E563D"/>
    <w:rsid w:val="003E6001"/>
    <w:rsid w:val="003E6143"/>
    <w:rsid w:val="003E75A8"/>
    <w:rsid w:val="003F1086"/>
    <w:rsid w:val="003F14B2"/>
    <w:rsid w:val="003F4389"/>
    <w:rsid w:val="003F5761"/>
    <w:rsid w:val="003F7A09"/>
    <w:rsid w:val="00403F39"/>
    <w:rsid w:val="00404B68"/>
    <w:rsid w:val="00406130"/>
    <w:rsid w:val="00407BD1"/>
    <w:rsid w:val="004124F7"/>
    <w:rsid w:val="00412D81"/>
    <w:rsid w:val="00412E4C"/>
    <w:rsid w:val="00413204"/>
    <w:rsid w:val="0041558E"/>
    <w:rsid w:val="00416D2C"/>
    <w:rsid w:val="004206A2"/>
    <w:rsid w:val="004212D2"/>
    <w:rsid w:val="00423275"/>
    <w:rsid w:val="004236AE"/>
    <w:rsid w:val="00423A88"/>
    <w:rsid w:val="00423BB7"/>
    <w:rsid w:val="0042487F"/>
    <w:rsid w:val="0042502D"/>
    <w:rsid w:val="0042678C"/>
    <w:rsid w:val="00430D9C"/>
    <w:rsid w:val="0043139C"/>
    <w:rsid w:val="00431657"/>
    <w:rsid w:val="00431F33"/>
    <w:rsid w:val="0043426C"/>
    <w:rsid w:val="004367D6"/>
    <w:rsid w:val="00437482"/>
    <w:rsid w:val="00440EF2"/>
    <w:rsid w:val="00441F7E"/>
    <w:rsid w:val="0044471A"/>
    <w:rsid w:val="00446301"/>
    <w:rsid w:val="00452297"/>
    <w:rsid w:val="00461D76"/>
    <w:rsid w:val="0046257F"/>
    <w:rsid w:val="00471836"/>
    <w:rsid w:val="004737A7"/>
    <w:rsid w:val="0047567E"/>
    <w:rsid w:val="00476F7F"/>
    <w:rsid w:val="0047703D"/>
    <w:rsid w:val="00480CAE"/>
    <w:rsid w:val="0048229D"/>
    <w:rsid w:val="00483E28"/>
    <w:rsid w:val="004842E9"/>
    <w:rsid w:val="00484B2B"/>
    <w:rsid w:val="004965C5"/>
    <w:rsid w:val="0049732F"/>
    <w:rsid w:val="00497BC4"/>
    <w:rsid w:val="004A033B"/>
    <w:rsid w:val="004A0C06"/>
    <w:rsid w:val="004A19BD"/>
    <w:rsid w:val="004A239F"/>
    <w:rsid w:val="004A492D"/>
    <w:rsid w:val="004B1DCA"/>
    <w:rsid w:val="004B3889"/>
    <w:rsid w:val="004B7815"/>
    <w:rsid w:val="004C096D"/>
    <w:rsid w:val="004C575A"/>
    <w:rsid w:val="004C615A"/>
    <w:rsid w:val="004C676E"/>
    <w:rsid w:val="004C6935"/>
    <w:rsid w:val="004C7770"/>
    <w:rsid w:val="004D0A9E"/>
    <w:rsid w:val="004D7591"/>
    <w:rsid w:val="004E1DF2"/>
    <w:rsid w:val="004E2485"/>
    <w:rsid w:val="004E33E1"/>
    <w:rsid w:val="004E33EC"/>
    <w:rsid w:val="004E341A"/>
    <w:rsid w:val="004E3826"/>
    <w:rsid w:val="004E387D"/>
    <w:rsid w:val="004E4981"/>
    <w:rsid w:val="004E61F0"/>
    <w:rsid w:val="004E7767"/>
    <w:rsid w:val="004E7FE4"/>
    <w:rsid w:val="004F4446"/>
    <w:rsid w:val="004F48A8"/>
    <w:rsid w:val="005001E4"/>
    <w:rsid w:val="005017EF"/>
    <w:rsid w:val="00501DF2"/>
    <w:rsid w:val="00503C49"/>
    <w:rsid w:val="005049FB"/>
    <w:rsid w:val="0050524A"/>
    <w:rsid w:val="005062AF"/>
    <w:rsid w:val="0051135E"/>
    <w:rsid w:val="0051161C"/>
    <w:rsid w:val="00512823"/>
    <w:rsid w:val="005140F3"/>
    <w:rsid w:val="00521347"/>
    <w:rsid w:val="00527E3B"/>
    <w:rsid w:val="0053065B"/>
    <w:rsid w:val="00531A17"/>
    <w:rsid w:val="00532AEF"/>
    <w:rsid w:val="00532B03"/>
    <w:rsid w:val="00534F9B"/>
    <w:rsid w:val="005357E6"/>
    <w:rsid w:val="00536EBE"/>
    <w:rsid w:val="00537DD1"/>
    <w:rsid w:val="00541D82"/>
    <w:rsid w:val="00544CF7"/>
    <w:rsid w:val="00550544"/>
    <w:rsid w:val="005508AE"/>
    <w:rsid w:val="00550A1F"/>
    <w:rsid w:val="00551F16"/>
    <w:rsid w:val="00556801"/>
    <w:rsid w:val="00556CC3"/>
    <w:rsid w:val="00563634"/>
    <w:rsid w:val="005666FA"/>
    <w:rsid w:val="00566E19"/>
    <w:rsid w:val="00570FC3"/>
    <w:rsid w:val="00574388"/>
    <w:rsid w:val="00574A56"/>
    <w:rsid w:val="00575F41"/>
    <w:rsid w:val="00580718"/>
    <w:rsid w:val="00580AA0"/>
    <w:rsid w:val="00591280"/>
    <w:rsid w:val="005914B3"/>
    <w:rsid w:val="00591651"/>
    <w:rsid w:val="00595A26"/>
    <w:rsid w:val="00597302"/>
    <w:rsid w:val="005A1E50"/>
    <w:rsid w:val="005A30AA"/>
    <w:rsid w:val="005A31BA"/>
    <w:rsid w:val="005A411B"/>
    <w:rsid w:val="005A566C"/>
    <w:rsid w:val="005A6438"/>
    <w:rsid w:val="005A7AEA"/>
    <w:rsid w:val="005A7BF5"/>
    <w:rsid w:val="005B0214"/>
    <w:rsid w:val="005B0C89"/>
    <w:rsid w:val="005B1BE2"/>
    <w:rsid w:val="005B4F77"/>
    <w:rsid w:val="005B6996"/>
    <w:rsid w:val="005C72EA"/>
    <w:rsid w:val="005D283C"/>
    <w:rsid w:val="005D3611"/>
    <w:rsid w:val="005D6C36"/>
    <w:rsid w:val="005D7BD1"/>
    <w:rsid w:val="005E3164"/>
    <w:rsid w:val="005E5522"/>
    <w:rsid w:val="005E7D3F"/>
    <w:rsid w:val="005F359D"/>
    <w:rsid w:val="005F4BD9"/>
    <w:rsid w:val="005F7651"/>
    <w:rsid w:val="006023EF"/>
    <w:rsid w:val="00605066"/>
    <w:rsid w:val="00605607"/>
    <w:rsid w:val="00607C24"/>
    <w:rsid w:val="00611E72"/>
    <w:rsid w:val="0061240D"/>
    <w:rsid w:val="00624051"/>
    <w:rsid w:val="00625363"/>
    <w:rsid w:val="006253F1"/>
    <w:rsid w:val="00631575"/>
    <w:rsid w:val="00631EE9"/>
    <w:rsid w:val="00635782"/>
    <w:rsid w:val="00637AAC"/>
    <w:rsid w:val="00637FE8"/>
    <w:rsid w:val="006407F8"/>
    <w:rsid w:val="00640E29"/>
    <w:rsid w:val="00641732"/>
    <w:rsid w:val="00644578"/>
    <w:rsid w:val="0064488E"/>
    <w:rsid w:val="00645EFE"/>
    <w:rsid w:val="00647035"/>
    <w:rsid w:val="00647866"/>
    <w:rsid w:val="0064799A"/>
    <w:rsid w:val="006532BF"/>
    <w:rsid w:val="00654239"/>
    <w:rsid w:val="00654244"/>
    <w:rsid w:val="00654445"/>
    <w:rsid w:val="00654E8E"/>
    <w:rsid w:val="00660CEA"/>
    <w:rsid w:val="00662811"/>
    <w:rsid w:val="00665C30"/>
    <w:rsid w:val="00667805"/>
    <w:rsid w:val="00672040"/>
    <w:rsid w:val="00673434"/>
    <w:rsid w:val="00675BAE"/>
    <w:rsid w:val="00676283"/>
    <w:rsid w:val="00680F94"/>
    <w:rsid w:val="0068224E"/>
    <w:rsid w:val="00690CBF"/>
    <w:rsid w:val="00691208"/>
    <w:rsid w:val="00692305"/>
    <w:rsid w:val="0069338C"/>
    <w:rsid w:val="0069349F"/>
    <w:rsid w:val="00694FCA"/>
    <w:rsid w:val="00696C3C"/>
    <w:rsid w:val="00696F15"/>
    <w:rsid w:val="00697089"/>
    <w:rsid w:val="006A0683"/>
    <w:rsid w:val="006A29BC"/>
    <w:rsid w:val="006A3133"/>
    <w:rsid w:val="006A3609"/>
    <w:rsid w:val="006A384E"/>
    <w:rsid w:val="006A3A8A"/>
    <w:rsid w:val="006A4185"/>
    <w:rsid w:val="006A4CF9"/>
    <w:rsid w:val="006A65E1"/>
    <w:rsid w:val="006A6E98"/>
    <w:rsid w:val="006A7B38"/>
    <w:rsid w:val="006B090B"/>
    <w:rsid w:val="006B0CC4"/>
    <w:rsid w:val="006B0EF8"/>
    <w:rsid w:val="006B0F45"/>
    <w:rsid w:val="006B4509"/>
    <w:rsid w:val="006B51CE"/>
    <w:rsid w:val="006B6216"/>
    <w:rsid w:val="006B6311"/>
    <w:rsid w:val="006B653C"/>
    <w:rsid w:val="006B6ABE"/>
    <w:rsid w:val="006C0523"/>
    <w:rsid w:val="006C41FB"/>
    <w:rsid w:val="006C4B33"/>
    <w:rsid w:val="006C58CA"/>
    <w:rsid w:val="006C6CA1"/>
    <w:rsid w:val="006C7C07"/>
    <w:rsid w:val="006D33FB"/>
    <w:rsid w:val="006D46ED"/>
    <w:rsid w:val="006D53DD"/>
    <w:rsid w:val="006D581B"/>
    <w:rsid w:val="006D7931"/>
    <w:rsid w:val="006D7B41"/>
    <w:rsid w:val="006E10DE"/>
    <w:rsid w:val="006E19A1"/>
    <w:rsid w:val="006E344B"/>
    <w:rsid w:val="006F0D6F"/>
    <w:rsid w:val="006F1B29"/>
    <w:rsid w:val="00700045"/>
    <w:rsid w:val="00702929"/>
    <w:rsid w:val="00706899"/>
    <w:rsid w:val="00707599"/>
    <w:rsid w:val="0071097B"/>
    <w:rsid w:val="00721F73"/>
    <w:rsid w:val="00722434"/>
    <w:rsid w:val="0072355B"/>
    <w:rsid w:val="00724348"/>
    <w:rsid w:val="00724EC4"/>
    <w:rsid w:val="00727420"/>
    <w:rsid w:val="00727AD1"/>
    <w:rsid w:val="00731F56"/>
    <w:rsid w:val="007325B1"/>
    <w:rsid w:val="00733163"/>
    <w:rsid w:val="00733E58"/>
    <w:rsid w:val="00735492"/>
    <w:rsid w:val="00735A14"/>
    <w:rsid w:val="007363B2"/>
    <w:rsid w:val="00736648"/>
    <w:rsid w:val="00736998"/>
    <w:rsid w:val="00746158"/>
    <w:rsid w:val="00746333"/>
    <w:rsid w:val="0075081D"/>
    <w:rsid w:val="00751189"/>
    <w:rsid w:val="00751BE4"/>
    <w:rsid w:val="00755EF6"/>
    <w:rsid w:val="00761599"/>
    <w:rsid w:val="00761B5D"/>
    <w:rsid w:val="0076331C"/>
    <w:rsid w:val="007658A4"/>
    <w:rsid w:val="00767352"/>
    <w:rsid w:val="00774041"/>
    <w:rsid w:val="007756F8"/>
    <w:rsid w:val="00776AFC"/>
    <w:rsid w:val="007778E2"/>
    <w:rsid w:val="00777A60"/>
    <w:rsid w:val="0078022B"/>
    <w:rsid w:val="00785E8C"/>
    <w:rsid w:val="00787EC1"/>
    <w:rsid w:val="007919E5"/>
    <w:rsid w:val="007927DC"/>
    <w:rsid w:val="00792DDB"/>
    <w:rsid w:val="00793390"/>
    <w:rsid w:val="00794756"/>
    <w:rsid w:val="00794D78"/>
    <w:rsid w:val="00796AA3"/>
    <w:rsid w:val="007A06CE"/>
    <w:rsid w:val="007A077F"/>
    <w:rsid w:val="007A1B37"/>
    <w:rsid w:val="007A3649"/>
    <w:rsid w:val="007A499E"/>
    <w:rsid w:val="007A7EB2"/>
    <w:rsid w:val="007B075C"/>
    <w:rsid w:val="007B08F5"/>
    <w:rsid w:val="007B4183"/>
    <w:rsid w:val="007B621D"/>
    <w:rsid w:val="007C12EF"/>
    <w:rsid w:val="007C2DB3"/>
    <w:rsid w:val="007D36AF"/>
    <w:rsid w:val="007E0ED3"/>
    <w:rsid w:val="007E3DA7"/>
    <w:rsid w:val="007E6CD9"/>
    <w:rsid w:val="007F3A74"/>
    <w:rsid w:val="007F4564"/>
    <w:rsid w:val="007F50C4"/>
    <w:rsid w:val="007F5223"/>
    <w:rsid w:val="007F773B"/>
    <w:rsid w:val="0080337B"/>
    <w:rsid w:val="00803F2D"/>
    <w:rsid w:val="00804E2F"/>
    <w:rsid w:val="0080693E"/>
    <w:rsid w:val="008110FB"/>
    <w:rsid w:val="008168B2"/>
    <w:rsid w:val="008226B6"/>
    <w:rsid w:val="008226F2"/>
    <w:rsid w:val="00822BFA"/>
    <w:rsid w:val="00822D03"/>
    <w:rsid w:val="00826A89"/>
    <w:rsid w:val="0083312A"/>
    <w:rsid w:val="0083466F"/>
    <w:rsid w:val="00835A3D"/>
    <w:rsid w:val="008410E7"/>
    <w:rsid w:val="0084126C"/>
    <w:rsid w:val="00841864"/>
    <w:rsid w:val="008426FE"/>
    <w:rsid w:val="008427A3"/>
    <w:rsid w:val="00842AA6"/>
    <w:rsid w:val="00842C8C"/>
    <w:rsid w:val="00843F2F"/>
    <w:rsid w:val="008444CB"/>
    <w:rsid w:val="00844D1C"/>
    <w:rsid w:val="008469F4"/>
    <w:rsid w:val="00847766"/>
    <w:rsid w:val="00851F51"/>
    <w:rsid w:val="008528EB"/>
    <w:rsid w:val="008569D9"/>
    <w:rsid w:val="00857C49"/>
    <w:rsid w:val="008648B5"/>
    <w:rsid w:val="00865AE8"/>
    <w:rsid w:val="008660C5"/>
    <w:rsid w:val="008675BB"/>
    <w:rsid w:val="00871408"/>
    <w:rsid w:val="00874232"/>
    <w:rsid w:val="00875475"/>
    <w:rsid w:val="0087637A"/>
    <w:rsid w:val="008763E7"/>
    <w:rsid w:val="008764B6"/>
    <w:rsid w:val="008766FD"/>
    <w:rsid w:val="00880280"/>
    <w:rsid w:val="00884766"/>
    <w:rsid w:val="0088633C"/>
    <w:rsid w:val="00886666"/>
    <w:rsid w:val="00886EEA"/>
    <w:rsid w:val="00892262"/>
    <w:rsid w:val="0089356F"/>
    <w:rsid w:val="008A08C9"/>
    <w:rsid w:val="008A1581"/>
    <w:rsid w:val="008A3C02"/>
    <w:rsid w:val="008A3D62"/>
    <w:rsid w:val="008A516A"/>
    <w:rsid w:val="008A6F6A"/>
    <w:rsid w:val="008B1AF9"/>
    <w:rsid w:val="008B2652"/>
    <w:rsid w:val="008B4785"/>
    <w:rsid w:val="008B7176"/>
    <w:rsid w:val="008C3615"/>
    <w:rsid w:val="008D26A9"/>
    <w:rsid w:val="008D2A4F"/>
    <w:rsid w:val="008D35D1"/>
    <w:rsid w:val="008D604D"/>
    <w:rsid w:val="008D7033"/>
    <w:rsid w:val="008E15A1"/>
    <w:rsid w:val="008E2711"/>
    <w:rsid w:val="008E2771"/>
    <w:rsid w:val="008E3649"/>
    <w:rsid w:val="008E3797"/>
    <w:rsid w:val="008E4D1D"/>
    <w:rsid w:val="008E63B5"/>
    <w:rsid w:val="008E6C60"/>
    <w:rsid w:val="008F1492"/>
    <w:rsid w:val="008F3996"/>
    <w:rsid w:val="008F3DD7"/>
    <w:rsid w:val="008F4003"/>
    <w:rsid w:val="00901041"/>
    <w:rsid w:val="00902078"/>
    <w:rsid w:val="00904514"/>
    <w:rsid w:val="00905427"/>
    <w:rsid w:val="009103F9"/>
    <w:rsid w:val="00910791"/>
    <w:rsid w:val="0091244B"/>
    <w:rsid w:val="00913DF3"/>
    <w:rsid w:val="00914485"/>
    <w:rsid w:val="009151E0"/>
    <w:rsid w:val="00915CA6"/>
    <w:rsid w:val="00916BA4"/>
    <w:rsid w:val="0091773D"/>
    <w:rsid w:val="00926C52"/>
    <w:rsid w:val="00930BD3"/>
    <w:rsid w:val="00930FCC"/>
    <w:rsid w:val="0093149D"/>
    <w:rsid w:val="00932407"/>
    <w:rsid w:val="00932F42"/>
    <w:rsid w:val="009371C4"/>
    <w:rsid w:val="009377D8"/>
    <w:rsid w:val="00937B61"/>
    <w:rsid w:val="0094063F"/>
    <w:rsid w:val="00941034"/>
    <w:rsid w:val="00942BAB"/>
    <w:rsid w:val="00943756"/>
    <w:rsid w:val="00943DF6"/>
    <w:rsid w:val="00944D8B"/>
    <w:rsid w:val="009462D5"/>
    <w:rsid w:val="00951447"/>
    <w:rsid w:val="00952831"/>
    <w:rsid w:val="00953144"/>
    <w:rsid w:val="00956FF7"/>
    <w:rsid w:val="0095717E"/>
    <w:rsid w:val="009574FB"/>
    <w:rsid w:val="00957E5C"/>
    <w:rsid w:val="00961018"/>
    <w:rsid w:val="009614EF"/>
    <w:rsid w:val="00963C71"/>
    <w:rsid w:val="0096646D"/>
    <w:rsid w:val="0096786C"/>
    <w:rsid w:val="009700C5"/>
    <w:rsid w:val="00971C70"/>
    <w:rsid w:val="00973D5B"/>
    <w:rsid w:val="009746B0"/>
    <w:rsid w:val="00975B75"/>
    <w:rsid w:val="0097715D"/>
    <w:rsid w:val="009779DE"/>
    <w:rsid w:val="00981ED7"/>
    <w:rsid w:val="009837C4"/>
    <w:rsid w:val="00984C87"/>
    <w:rsid w:val="0098584B"/>
    <w:rsid w:val="00987C22"/>
    <w:rsid w:val="0099071F"/>
    <w:rsid w:val="009909A4"/>
    <w:rsid w:val="00990B05"/>
    <w:rsid w:val="00990D16"/>
    <w:rsid w:val="009920C4"/>
    <w:rsid w:val="00992286"/>
    <w:rsid w:val="00996704"/>
    <w:rsid w:val="009A3978"/>
    <w:rsid w:val="009A5254"/>
    <w:rsid w:val="009A6FD7"/>
    <w:rsid w:val="009A7344"/>
    <w:rsid w:val="009B060F"/>
    <w:rsid w:val="009B24C2"/>
    <w:rsid w:val="009B6193"/>
    <w:rsid w:val="009B6B48"/>
    <w:rsid w:val="009B7D75"/>
    <w:rsid w:val="009C196B"/>
    <w:rsid w:val="009C4CAC"/>
    <w:rsid w:val="009C6F48"/>
    <w:rsid w:val="009D1478"/>
    <w:rsid w:val="009D16EA"/>
    <w:rsid w:val="009D3D97"/>
    <w:rsid w:val="009D3FC5"/>
    <w:rsid w:val="009D497D"/>
    <w:rsid w:val="009D4AD6"/>
    <w:rsid w:val="009D68FF"/>
    <w:rsid w:val="009D77E6"/>
    <w:rsid w:val="009F2663"/>
    <w:rsid w:val="009F5C14"/>
    <w:rsid w:val="009F6013"/>
    <w:rsid w:val="00A04469"/>
    <w:rsid w:val="00A05BD4"/>
    <w:rsid w:val="00A07236"/>
    <w:rsid w:val="00A1161B"/>
    <w:rsid w:val="00A12976"/>
    <w:rsid w:val="00A131BF"/>
    <w:rsid w:val="00A1513C"/>
    <w:rsid w:val="00A2087C"/>
    <w:rsid w:val="00A20CE9"/>
    <w:rsid w:val="00A212D3"/>
    <w:rsid w:val="00A233EC"/>
    <w:rsid w:val="00A266E3"/>
    <w:rsid w:val="00A277B5"/>
    <w:rsid w:val="00A301A8"/>
    <w:rsid w:val="00A30310"/>
    <w:rsid w:val="00A322C3"/>
    <w:rsid w:val="00A328FD"/>
    <w:rsid w:val="00A345B9"/>
    <w:rsid w:val="00A3495C"/>
    <w:rsid w:val="00A34D0D"/>
    <w:rsid w:val="00A3693A"/>
    <w:rsid w:val="00A412C0"/>
    <w:rsid w:val="00A4169D"/>
    <w:rsid w:val="00A42AA9"/>
    <w:rsid w:val="00A4319A"/>
    <w:rsid w:val="00A446D1"/>
    <w:rsid w:val="00A44D8A"/>
    <w:rsid w:val="00A46202"/>
    <w:rsid w:val="00A468E2"/>
    <w:rsid w:val="00A46991"/>
    <w:rsid w:val="00A503CA"/>
    <w:rsid w:val="00A5122C"/>
    <w:rsid w:val="00A5188E"/>
    <w:rsid w:val="00A5495D"/>
    <w:rsid w:val="00A568A1"/>
    <w:rsid w:val="00A57D08"/>
    <w:rsid w:val="00A62F3F"/>
    <w:rsid w:val="00A63AA3"/>
    <w:rsid w:val="00A66927"/>
    <w:rsid w:val="00A737F1"/>
    <w:rsid w:val="00A80A5F"/>
    <w:rsid w:val="00A82C34"/>
    <w:rsid w:val="00A84026"/>
    <w:rsid w:val="00A846D9"/>
    <w:rsid w:val="00A87385"/>
    <w:rsid w:val="00A87452"/>
    <w:rsid w:val="00A904E9"/>
    <w:rsid w:val="00A93298"/>
    <w:rsid w:val="00A9598B"/>
    <w:rsid w:val="00AA30FD"/>
    <w:rsid w:val="00AA45A6"/>
    <w:rsid w:val="00AA6F17"/>
    <w:rsid w:val="00AA73A3"/>
    <w:rsid w:val="00AA777E"/>
    <w:rsid w:val="00AB0AA4"/>
    <w:rsid w:val="00AB1434"/>
    <w:rsid w:val="00AB22ED"/>
    <w:rsid w:val="00AB3026"/>
    <w:rsid w:val="00AB57A5"/>
    <w:rsid w:val="00AB5C04"/>
    <w:rsid w:val="00AB5C53"/>
    <w:rsid w:val="00AB6E44"/>
    <w:rsid w:val="00AC0031"/>
    <w:rsid w:val="00AC260B"/>
    <w:rsid w:val="00AC2D0F"/>
    <w:rsid w:val="00AC71EB"/>
    <w:rsid w:val="00AD14D4"/>
    <w:rsid w:val="00AD5C47"/>
    <w:rsid w:val="00AD5F3D"/>
    <w:rsid w:val="00AD70A9"/>
    <w:rsid w:val="00AE3BE9"/>
    <w:rsid w:val="00AE4E19"/>
    <w:rsid w:val="00AE5001"/>
    <w:rsid w:val="00AE5D54"/>
    <w:rsid w:val="00AE609F"/>
    <w:rsid w:val="00AE7157"/>
    <w:rsid w:val="00AF0DDD"/>
    <w:rsid w:val="00AF101E"/>
    <w:rsid w:val="00AF4CFB"/>
    <w:rsid w:val="00AF53E0"/>
    <w:rsid w:val="00AF5EBA"/>
    <w:rsid w:val="00AF6755"/>
    <w:rsid w:val="00AF6925"/>
    <w:rsid w:val="00B0057B"/>
    <w:rsid w:val="00B025D6"/>
    <w:rsid w:val="00B116F2"/>
    <w:rsid w:val="00B12414"/>
    <w:rsid w:val="00B14530"/>
    <w:rsid w:val="00B1466B"/>
    <w:rsid w:val="00B1587B"/>
    <w:rsid w:val="00B2037A"/>
    <w:rsid w:val="00B22528"/>
    <w:rsid w:val="00B267D3"/>
    <w:rsid w:val="00B26B2F"/>
    <w:rsid w:val="00B26E7A"/>
    <w:rsid w:val="00B302C6"/>
    <w:rsid w:val="00B34BBC"/>
    <w:rsid w:val="00B35FC9"/>
    <w:rsid w:val="00B366E9"/>
    <w:rsid w:val="00B40059"/>
    <w:rsid w:val="00B412A5"/>
    <w:rsid w:val="00B4381D"/>
    <w:rsid w:val="00B440E3"/>
    <w:rsid w:val="00B44AC6"/>
    <w:rsid w:val="00B4645B"/>
    <w:rsid w:val="00B464E8"/>
    <w:rsid w:val="00B4755C"/>
    <w:rsid w:val="00B516CE"/>
    <w:rsid w:val="00B530C1"/>
    <w:rsid w:val="00B55D88"/>
    <w:rsid w:val="00B628D9"/>
    <w:rsid w:val="00B63384"/>
    <w:rsid w:val="00B6603B"/>
    <w:rsid w:val="00B6613E"/>
    <w:rsid w:val="00B70752"/>
    <w:rsid w:val="00B71705"/>
    <w:rsid w:val="00B71800"/>
    <w:rsid w:val="00B7315B"/>
    <w:rsid w:val="00B737CA"/>
    <w:rsid w:val="00B73C22"/>
    <w:rsid w:val="00B7437D"/>
    <w:rsid w:val="00B744EE"/>
    <w:rsid w:val="00B75782"/>
    <w:rsid w:val="00B75F79"/>
    <w:rsid w:val="00B80285"/>
    <w:rsid w:val="00B80EE4"/>
    <w:rsid w:val="00B80F41"/>
    <w:rsid w:val="00B83574"/>
    <w:rsid w:val="00B8468B"/>
    <w:rsid w:val="00B900AD"/>
    <w:rsid w:val="00BA0426"/>
    <w:rsid w:val="00BA1CD4"/>
    <w:rsid w:val="00BA318E"/>
    <w:rsid w:val="00BA785D"/>
    <w:rsid w:val="00BB06BD"/>
    <w:rsid w:val="00BB1E37"/>
    <w:rsid w:val="00BB41F6"/>
    <w:rsid w:val="00BB57FB"/>
    <w:rsid w:val="00BB73AE"/>
    <w:rsid w:val="00BB7877"/>
    <w:rsid w:val="00BC1E84"/>
    <w:rsid w:val="00BC218F"/>
    <w:rsid w:val="00BC2963"/>
    <w:rsid w:val="00BC4C5F"/>
    <w:rsid w:val="00BC78BC"/>
    <w:rsid w:val="00BD0085"/>
    <w:rsid w:val="00BD0298"/>
    <w:rsid w:val="00BD1D8D"/>
    <w:rsid w:val="00BD217B"/>
    <w:rsid w:val="00BD2BFA"/>
    <w:rsid w:val="00BD46DF"/>
    <w:rsid w:val="00BD53A4"/>
    <w:rsid w:val="00BD5CAA"/>
    <w:rsid w:val="00BD6CBA"/>
    <w:rsid w:val="00BD757F"/>
    <w:rsid w:val="00BE0643"/>
    <w:rsid w:val="00BE066E"/>
    <w:rsid w:val="00BE3201"/>
    <w:rsid w:val="00BE5369"/>
    <w:rsid w:val="00BE5F80"/>
    <w:rsid w:val="00BE64E0"/>
    <w:rsid w:val="00BF03AD"/>
    <w:rsid w:val="00BF1A35"/>
    <w:rsid w:val="00BF281C"/>
    <w:rsid w:val="00BF7252"/>
    <w:rsid w:val="00C001AC"/>
    <w:rsid w:val="00C02691"/>
    <w:rsid w:val="00C0354B"/>
    <w:rsid w:val="00C062CB"/>
    <w:rsid w:val="00C06385"/>
    <w:rsid w:val="00C06E7A"/>
    <w:rsid w:val="00C11C59"/>
    <w:rsid w:val="00C11E60"/>
    <w:rsid w:val="00C13C7B"/>
    <w:rsid w:val="00C14432"/>
    <w:rsid w:val="00C21419"/>
    <w:rsid w:val="00C22F46"/>
    <w:rsid w:val="00C25222"/>
    <w:rsid w:val="00C2660B"/>
    <w:rsid w:val="00C267CB"/>
    <w:rsid w:val="00C30F54"/>
    <w:rsid w:val="00C31803"/>
    <w:rsid w:val="00C31DCB"/>
    <w:rsid w:val="00C32E01"/>
    <w:rsid w:val="00C3422C"/>
    <w:rsid w:val="00C34DC8"/>
    <w:rsid w:val="00C35AC7"/>
    <w:rsid w:val="00C35E29"/>
    <w:rsid w:val="00C360B9"/>
    <w:rsid w:val="00C41E06"/>
    <w:rsid w:val="00C43817"/>
    <w:rsid w:val="00C46CBF"/>
    <w:rsid w:val="00C4742B"/>
    <w:rsid w:val="00C5231E"/>
    <w:rsid w:val="00C5262E"/>
    <w:rsid w:val="00C54579"/>
    <w:rsid w:val="00C600DC"/>
    <w:rsid w:val="00C622B8"/>
    <w:rsid w:val="00C62F93"/>
    <w:rsid w:val="00C63425"/>
    <w:rsid w:val="00C636A1"/>
    <w:rsid w:val="00C656B4"/>
    <w:rsid w:val="00C65AD4"/>
    <w:rsid w:val="00C6615B"/>
    <w:rsid w:val="00C662CD"/>
    <w:rsid w:val="00C66CD8"/>
    <w:rsid w:val="00C679EB"/>
    <w:rsid w:val="00C744AE"/>
    <w:rsid w:val="00C74E75"/>
    <w:rsid w:val="00C75732"/>
    <w:rsid w:val="00C76F17"/>
    <w:rsid w:val="00C80719"/>
    <w:rsid w:val="00C85B59"/>
    <w:rsid w:val="00C85ED0"/>
    <w:rsid w:val="00C85F64"/>
    <w:rsid w:val="00C87678"/>
    <w:rsid w:val="00C8772F"/>
    <w:rsid w:val="00C944E8"/>
    <w:rsid w:val="00CA3DA7"/>
    <w:rsid w:val="00CA4575"/>
    <w:rsid w:val="00CA4605"/>
    <w:rsid w:val="00CA4D5A"/>
    <w:rsid w:val="00CB2070"/>
    <w:rsid w:val="00CB4A57"/>
    <w:rsid w:val="00CC11EF"/>
    <w:rsid w:val="00CC1840"/>
    <w:rsid w:val="00CC2874"/>
    <w:rsid w:val="00CD1CF1"/>
    <w:rsid w:val="00CD4201"/>
    <w:rsid w:val="00CD5437"/>
    <w:rsid w:val="00CD5980"/>
    <w:rsid w:val="00CD59BE"/>
    <w:rsid w:val="00CD5A48"/>
    <w:rsid w:val="00CE12C8"/>
    <w:rsid w:val="00CE16A4"/>
    <w:rsid w:val="00CE1A7E"/>
    <w:rsid w:val="00CE293D"/>
    <w:rsid w:val="00CF0960"/>
    <w:rsid w:val="00CF1F3F"/>
    <w:rsid w:val="00CF4847"/>
    <w:rsid w:val="00CF6D5B"/>
    <w:rsid w:val="00D00CC6"/>
    <w:rsid w:val="00D01934"/>
    <w:rsid w:val="00D048FA"/>
    <w:rsid w:val="00D049C2"/>
    <w:rsid w:val="00D21819"/>
    <w:rsid w:val="00D21FAA"/>
    <w:rsid w:val="00D24E7A"/>
    <w:rsid w:val="00D25245"/>
    <w:rsid w:val="00D2572E"/>
    <w:rsid w:val="00D260BE"/>
    <w:rsid w:val="00D2670C"/>
    <w:rsid w:val="00D27C11"/>
    <w:rsid w:val="00D33DD6"/>
    <w:rsid w:val="00D3479F"/>
    <w:rsid w:val="00D358D9"/>
    <w:rsid w:val="00D36F33"/>
    <w:rsid w:val="00D3733D"/>
    <w:rsid w:val="00D377EF"/>
    <w:rsid w:val="00D421B9"/>
    <w:rsid w:val="00D4574B"/>
    <w:rsid w:val="00D47701"/>
    <w:rsid w:val="00D4779C"/>
    <w:rsid w:val="00D5015E"/>
    <w:rsid w:val="00D53A9E"/>
    <w:rsid w:val="00D562C1"/>
    <w:rsid w:val="00D60B43"/>
    <w:rsid w:val="00D62750"/>
    <w:rsid w:val="00D63126"/>
    <w:rsid w:val="00D651D2"/>
    <w:rsid w:val="00D65351"/>
    <w:rsid w:val="00D672FE"/>
    <w:rsid w:val="00D67C21"/>
    <w:rsid w:val="00D70814"/>
    <w:rsid w:val="00D71846"/>
    <w:rsid w:val="00D74614"/>
    <w:rsid w:val="00D74E75"/>
    <w:rsid w:val="00D75079"/>
    <w:rsid w:val="00D76B48"/>
    <w:rsid w:val="00D838D6"/>
    <w:rsid w:val="00D83F2E"/>
    <w:rsid w:val="00D8631D"/>
    <w:rsid w:val="00D86DF5"/>
    <w:rsid w:val="00D8731C"/>
    <w:rsid w:val="00D873E1"/>
    <w:rsid w:val="00D95B40"/>
    <w:rsid w:val="00D96504"/>
    <w:rsid w:val="00DA1962"/>
    <w:rsid w:val="00DA47BE"/>
    <w:rsid w:val="00DA4B3B"/>
    <w:rsid w:val="00DA4D51"/>
    <w:rsid w:val="00DB067F"/>
    <w:rsid w:val="00DB17AB"/>
    <w:rsid w:val="00DB65B3"/>
    <w:rsid w:val="00DB69FE"/>
    <w:rsid w:val="00DB6DC3"/>
    <w:rsid w:val="00DB7C34"/>
    <w:rsid w:val="00DB7F57"/>
    <w:rsid w:val="00DC0752"/>
    <w:rsid w:val="00DC2121"/>
    <w:rsid w:val="00DC2E81"/>
    <w:rsid w:val="00DC68F6"/>
    <w:rsid w:val="00DD3AA1"/>
    <w:rsid w:val="00DD5D7D"/>
    <w:rsid w:val="00DD66CB"/>
    <w:rsid w:val="00DD758B"/>
    <w:rsid w:val="00DE1015"/>
    <w:rsid w:val="00DE2104"/>
    <w:rsid w:val="00DE3EB7"/>
    <w:rsid w:val="00DE4106"/>
    <w:rsid w:val="00DE5648"/>
    <w:rsid w:val="00DE6946"/>
    <w:rsid w:val="00DF1387"/>
    <w:rsid w:val="00DF245B"/>
    <w:rsid w:val="00DF45B7"/>
    <w:rsid w:val="00DF53E1"/>
    <w:rsid w:val="00E01C78"/>
    <w:rsid w:val="00E02920"/>
    <w:rsid w:val="00E030DE"/>
    <w:rsid w:val="00E05D9D"/>
    <w:rsid w:val="00E07EAA"/>
    <w:rsid w:val="00E1095D"/>
    <w:rsid w:val="00E217AC"/>
    <w:rsid w:val="00E23A39"/>
    <w:rsid w:val="00E24AB5"/>
    <w:rsid w:val="00E25D46"/>
    <w:rsid w:val="00E33A13"/>
    <w:rsid w:val="00E40B93"/>
    <w:rsid w:val="00E422FE"/>
    <w:rsid w:val="00E42F58"/>
    <w:rsid w:val="00E44667"/>
    <w:rsid w:val="00E47DCF"/>
    <w:rsid w:val="00E50CF3"/>
    <w:rsid w:val="00E51904"/>
    <w:rsid w:val="00E571A7"/>
    <w:rsid w:val="00E62F2E"/>
    <w:rsid w:val="00E643DA"/>
    <w:rsid w:val="00E650C2"/>
    <w:rsid w:val="00E65DB2"/>
    <w:rsid w:val="00E67053"/>
    <w:rsid w:val="00E67B3B"/>
    <w:rsid w:val="00E706C3"/>
    <w:rsid w:val="00E73CDA"/>
    <w:rsid w:val="00E741A2"/>
    <w:rsid w:val="00E7491B"/>
    <w:rsid w:val="00E7591A"/>
    <w:rsid w:val="00E808BE"/>
    <w:rsid w:val="00E8306D"/>
    <w:rsid w:val="00E8468E"/>
    <w:rsid w:val="00E85723"/>
    <w:rsid w:val="00E9323F"/>
    <w:rsid w:val="00E94D9A"/>
    <w:rsid w:val="00E94DDB"/>
    <w:rsid w:val="00E953E8"/>
    <w:rsid w:val="00E971AF"/>
    <w:rsid w:val="00E97E4F"/>
    <w:rsid w:val="00EA18A9"/>
    <w:rsid w:val="00EA260A"/>
    <w:rsid w:val="00EA2C44"/>
    <w:rsid w:val="00EA4817"/>
    <w:rsid w:val="00EA7743"/>
    <w:rsid w:val="00EB0C20"/>
    <w:rsid w:val="00EB2DAE"/>
    <w:rsid w:val="00EB3B66"/>
    <w:rsid w:val="00EB6143"/>
    <w:rsid w:val="00EB62AB"/>
    <w:rsid w:val="00EB62F7"/>
    <w:rsid w:val="00EB6901"/>
    <w:rsid w:val="00EB6DC1"/>
    <w:rsid w:val="00EC0D20"/>
    <w:rsid w:val="00EC2628"/>
    <w:rsid w:val="00EC3C02"/>
    <w:rsid w:val="00EC4165"/>
    <w:rsid w:val="00EC5C0D"/>
    <w:rsid w:val="00ED23D1"/>
    <w:rsid w:val="00ED28BB"/>
    <w:rsid w:val="00ED38D8"/>
    <w:rsid w:val="00ED48B9"/>
    <w:rsid w:val="00ED4B4E"/>
    <w:rsid w:val="00EE1DEB"/>
    <w:rsid w:val="00EE3D6D"/>
    <w:rsid w:val="00EE6696"/>
    <w:rsid w:val="00EE6976"/>
    <w:rsid w:val="00EE7D5D"/>
    <w:rsid w:val="00EF0B41"/>
    <w:rsid w:val="00EF45B5"/>
    <w:rsid w:val="00EF7443"/>
    <w:rsid w:val="00EF7C72"/>
    <w:rsid w:val="00F0035E"/>
    <w:rsid w:val="00F02D1D"/>
    <w:rsid w:val="00F0322F"/>
    <w:rsid w:val="00F03904"/>
    <w:rsid w:val="00F04535"/>
    <w:rsid w:val="00F06B4C"/>
    <w:rsid w:val="00F07228"/>
    <w:rsid w:val="00F11847"/>
    <w:rsid w:val="00F1407C"/>
    <w:rsid w:val="00F1637F"/>
    <w:rsid w:val="00F16CF5"/>
    <w:rsid w:val="00F20628"/>
    <w:rsid w:val="00F220DC"/>
    <w:rsid w:val="00F22AFD"/>
    <w:rsid w:val="00F24D66"/>
    <w:rsid w:val="00F260ED"/>
    <w:rsid w:val="00F30E98"/>
    <w:rsid w:val="00F31976"/>
    <w:rsid w:val="00F31B27"/>
    <w:rsid w:val="00F3647A"/>
    <w:rsid w:val="00F40219"/>
    <w:rsid w:val="00F41FE8"/>
    <w:rsid w:val="00F422C3"/>
    <w:rsid w:val="00F422C7"/>
    <w:rsid w:val="00F43336"/>
    <w:rsid w:val="00F44411"/>
    <w:rsid w:val="00F4454E"/>
    <w:rsid w:val="00F45153"/>
    <w:rsid w:val="00F53085"/>
    <w:rsid w:val="00F54137"/>
    <w:rsid w:val="00F55405"/>
    <w:rsid w:val="00F5691D"/>
    <w:rsid w:val="00F56F42"/>
    <w:rsid w:val="00F63E90"/>
    <w:rsid w:val="00F653B5"/>
    <w:rsid w:val="00F65D24"/>
    <w:rsid w:val="00F65E1C"/>
    <w:rsid w:val="00F72FBC"/>
    <w:rsid w:val="00F748A8"/>
    <w:rsid w:val="00F76B26"/>
    <w:rsid w:val="00F81FD4"/>
    <w:rsid w:val="00F8275F"/>
    <w:rsid w:val="00F82FAD"/>
    <w:rsid w:val="00F8475E"/>
    <w:rsid w:val="00F847F6"/>
    <w:rsid w:val="00F8480C"/>
    <w:rsid w:val="00F854A7"/>
    <w:rsid w:val="00F90D38"/>
    <w:rsid w:val="00F93707"/>
    <w:rsid w:val="00F95261"/>
    <w:rsid w:val="00F95D12"/>
    <w:rsid w:val="00F96538"/>
    <w:rsid w:val="00F978BC"/>
    <w:rsid w:val="00FA0190"/>
    <w:rsid w:val="00FA3C69"/>
    <w:rsid w:val="00FA6BBA"/>
    <w:rsid w:val="00FB077A"/>
    <w:rsid w:val="00FB0FC4"/>
    <w:rsid w:val="00FB1C04"/>
    <w:rsid w:val="00FB26CB"/>
    <w:rsid w:val="00FB4C77"/>
    <w:rsid w:val="00FC18EA"/>
    <w:rsid w:val="00FC583C"/>
    <w:rsid w:val="00FC6926"/>
    <w:rsid w:val="00FC6D19"/>
    <w:rsid w:val="00FD2D25"/>
    <w:rsid w:val="00FD3FCF"/>
    <w:rsid w:val="00FD497D"/>
    <w:rsid w:val="00FD5AA7"/>
    <w:rsid w:val="00FE1363"/>
    <w:rsid w:val="00FE2B03"/>
    <w:rsid w:val="00FE5445"/>
    <w:rsid w:val="00FE6240"/>
    <w:rsid w:val="00FE7F37"/>
    <w:rsid w:val="00FF1484"/>
    <w:rsid w:val="00FF1615"/>
    <w:rsid w:val="00FF2259"/>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D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18" w:qFormat="1"/>
    <w:lsdException w:name="footnote reference" w:uiPriority="0" w:qFormat="1"/>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Char,ALTS FOOTNOTE1,fn1"/>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aliases w:val="Caption1,Caption Char1 Char,Caption Char Char C... + 12 pt"/>
    <w:basedOn w:val="Normal"/>
    <w:next w:val="Normal"/>
    <w:link w:val="CaptionChar"/>
    <w:uiPriority w:val="18"/>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 w:type="paragraph" w:customStyle="1" w:styleId="Bullets">
    <w:name w:val="Bullets"/>
    <w:basedOn w:val="BodyText"/>
    <w:qFormat/>
    <w:rsid w:val="006A3A8A"/>
    <w:pPr>
      <w:numPr>
        <w:numId w:val="23"/>
      </w:numPr>
      <w:spacing w:line="264" w:lineRule="auto"/>
    </w:pPr>
    <w:rPr>
      <w:rFonts w:ascii="Times New Roman" w:eastAsia="Times New Roman" w:hAnsi="Times New Roman" w:cs="Times New Roman"/>
      <w:sz w:val="22"/>
      <w:szCs w:val="20"/>
      <w:lang w:bidi="ar-SA"/>
    </w:rPr>
  </w:style>
  <w:style w:type="paragraph" w:customStyle="1" w:styleId="NormalBullets1">
    <w:name w:val="Normal Bullets 1"/>
    <w:basedOn w:val="Bullets"/>
    <w:link w:val="NormalBullets1Char"/>
    <w:qFormat/>
    <w:rsid w:val="006A3A8A"/>
    <w:pPr>
      <w:ind w:left="1080"/>
    </w:pPr>
  </w:style>
  <w:style w:type="character" w:customStyle="1" w:styleId="NormalBullets1Char">
    <w:name w:val="Normal Bullets 1 Char"/>
    <w:basedOn w:val="DefaultParagraphFont"/>
    <w:link w:val="NormalBullets1"/>
    <w:rsid w:val="006A3A8A"/>
    <w:rPr>
      <w:rFonts w:ascii="Times New Roman" w:eastAsia="Times New Roman" w:hAnsi="Times New Roman" w:cs="Times New Roman"/>
      <w:szCs w:val="20"/>
    </w:rPr>
  </w:style>
  <w:style w:type="character" w:customStyle="1" w:styleId="CaptionChar">
    <w:name w:val="Caption Char"/>
    <w:aliases w:val="Caption1 Char,Caption Char1 Char Char,Caption Char Char C... + 12 pt Char"/>
    <w:basedOn w:val="DefaultParagraphFont"/>
    <w:link w:val="Caption"/>
    <w:uiPriority w:val="18"/>
    <w:rsid w:val="00A568A1"/>
    <w:rPr>
      <w:rFonts w:ascii="Arial" w:eastAsiaTheme="minorEastAsia" w:hAnsi="Arial"/>
      <w:b/>
      <w:bCs/>
      <w:color w:val="4F81BD" w:themeColor="accent1"/>
      <w:sz w:val="18"/>
      <w:szCs w:val="18"/>
      <w:lang w:bidi="en-US"/>
    </w:rPr>
  </w:style>
  <w:style w:type="character" w:customStyle="1" w:styleId="UnresolvedMention1">
    <w:name w:val="Unresolved Mention1"/>
    <w:basedOn w:val="DefaultParagraphFont"/>
    <w:uiPriority w:val="99"/>
    <w:semiHidden/>
    <w:unhideWhenUsed/>
    <w:rsid w:val="009574FB"/>
    <w:rPr>
      <w:color w:val="808080"/>
      <w:shd w:val="clear" w:color="auto" w:fill="E6E6E6"/>
    </w:rPr>
  </w:style>
  <w:style w:type="character" w:customStyle="1" w:styleId="UnresolvedMention2">
    <w:name w:val="Unresolved Mention2"/>
    <w:basedOn w:val="DefaultParagraphFont"/>
    <w:uiPriority w:val="99"/>
    <w:semiHidden/>
    <w:unhideWhenUsed/>
    <w:rsid w:val="00973D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18" w:qFormat="1"/>
    <w:lsdException w:name="footnote reference" w:uiPriority="0" w:qFormat="1"/>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Char,ALTS FOOTNOTE1,fn1"/>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aliases w:val="Caption1,Caption Char1 Char,Caption Char Char C... + 12 pt"/>
    <w:basedOn w:val="Normal"/>
    <w:next w:val="Normal"/>
    <w:link w:val="CaptionChar"/>
    <w:uiPriority w:val="18"/>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 w:type="paragraph" w:customStyle="1" w:styleId="Bullets">
    <w:name w:val="Bullets"/>
    <w:basedOn w:val="BodyText"/>
    <w:qFormat/>
    <w:rsid w:val="006A3A8A"/>
    <w:pPr>
      <w:numPr>
        <w:numId w:val="23"/>
      </w:numPr>
      <w:spacing w:line="264" w:lineRule="auto"/>
    </w:pPr>
    <w:rPr>
      <w:rFonts w:ascii="Times New Roman" w:eastAsia="Times New Roman" w:hAnsi="Times New Roman" w:cs="Times New Roman"/>
      <w:sz w:val="22"/>
      <w:szCs w:val="20"/>
      <w:lang w:bidi="ar-SA"/>
    </w:rPr>
  </w:style>
  <w:style w:type="paragraph" w:customStyle="1" w:styleId="NormalBullets1">
    <w:name w:val="Normal Bullets 1"/>
    <w:basedOn w:val="Bullets"/>
    <w:link w:val="NormalBullets1Char"/>
    <w:qFormat/>
    <w:rsid w:val="006A3A8A"/>
    <w:pPr>
      <w:ind w:left="1080"/>
    </w:pPr>
  </w:style>
  <w:style w:type="character" w:customStyle="1" w:styleId="NormalBullets1Char">
    <w:name w:val="Normal Bullets 1 Char"/>
    <w:basedOn w:val="DefaultParagraphFont"/>
    <w:link w:val="NormalBullets1"/>
    <w:rsid w:val="006A3A8A"/>
    <w:rPr>
      <w:rFonts w:ascii="Times New Roman" w:eastAsia="Times New Roman" w:hAnsi="Times New Roman" w:cs="Times New Roman"/>
      <w:szCs w:val="20"/>
    </w:rPr>
  </w:style>
  <w:style w:type="character" w:customStyle="1" w:styleId="CaptionChar">
    <w:name w:val="Caption Char"/>
    <w:aliases w:val="Caption1 Char,Caption Char1 Char Char,Caption Char Char C... + 12 pt Char"/>
    <w:basedOn w:val="DefaultParagraphFont"/>
    <w:link w:val="Caption"/>
    <w:uiPriority w:val="18"/>
    <w:rsid w:val="00A568A1"/>
    <w:rPr>
      <w:rFonts w:ascii="Arial" w:eastAsiaTheme="minorEastAsia" w:hAnsi="Arial"/>
      <w:b/>
      <w:bCs/>
      <w:color w:val="4F81BD" w:themeColor="accent1"/>
      <w:sz w:val="18"/>
      <w:szCs w:val="18"/>
      <w:lang w:bidi="en-US"/>
    </w:rPr>
  </w:style>
  <w:style w:type="character" w:customStyle="1" w:styleId="UnresolvedMention1">
    <w:name w:val="Unresolved Mention1"/>
    <w:basedOn w:val="DefaultParagraphFont"/>
    <w:uiPriority w:val="99"/>
    <w:semiHidden/>
    <w:unhideWhenUsed/>
    <w:rsid w:val="009574FB"/>
    <w:rPr>
      <w:color w:val="808080"/>
      <w:shd w:val="clear" w:color="auto" w:fill="E6E6E6"/>
    </w:rPr>
  </w:style>
  <w:style w:type="character" w:customStyle="1" w:styleId="UnresolvedMention2">
    <w:name w:val="Unresolved Mention2"/>
    <w:basedOn w:val="DefaultParagraphFont"/>
    <w:uiPriority w:val="99"/>
    <w:semiHidden/>
    <w:unhideWhenUsed/>
    <w:rsid w:val="00973D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8486">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55973415">
      <w:bodyDiv w:val="1"/>
      <w:marLeft w:val="0"/>
      <w:marRight w:val="0"/>
      <w:marTop w:val="0"/>
      <w:marBottom w:val="0"/>
      <w:divBdr>
        <w:top w:val="none" w:sz="0" w:space="0" w:color="auto"/>
        <w:left w:val="none" w:sz="0" w:space="0" w:color="auto"/>
        <w:bottom w:val="none" w:sz="0" w:space="0" w:color="auto"/>
        <w:right w:val="none" w:sz="0" w:space="0" w:color="auto"/>
      </w:divBdr>
    </w:div>
    <w:div w:id="650061345">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22669188">
      <w:bodyDiv w:val="1"/>
      <w:marLeft w:val="0"/>
      <w:marRight w:val="0"/>
      <w:marTop w:val="0"/>
      <w:marBottom w:val="0"/>
      <w:divBdr>
        <w:top w:val="none" w:sz="0" w:space="0" w:color="auto"/>
        <w:left w:val="none" w:sz="0" w:space="0" w:color="auto"/>
        <w:bottom w:val="none" w:sz="0" w:space="0" w:color="auto"/>
        <w:right w:val="none" w:sz="0" w:space="0" w:color="auto"/>
      </w:divBdr>
    </w:div>
    <w:div w:id="1576554510">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05515520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gi-bin/retrieveECFR?gp=1&amp;SID=67b7f8b06cce47cf338b3b52057016a4&amp;ty=HTML&amp;h=L&amp;n=5y3.0.2.3.9&amp;r=PART"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ay.gov/public/home" TargetMode="External"/><Relationship Id="rId17" Type="http://schemas.openxmlformats.org/officeDocument/2006/relationships/hyperlink" Target="mailto:oira_submission@omb.eop.gov"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dockets" TargetMode="External"/><Relationship Id="rId5" Type="http://schemas.openxmlformats.org/officeDocument/2006/relationships/settings" Target="settings.xml"/><Relationship Id="rId15" Type="http://schemas.openxmlformats.org/officeDocument/2006/relationships/hyperlink" Target="http://www.ecfr.gov/cgi-bin/retrieveECFR?gp=1&amp;SID=67b7f8b06cce47cf338b3b52057016a4&amp;ty=HTML&amp;h=L&amp;n=5y3.0.2.3.9&amp;r=PART" TargetMode="External"/><Relationship Id="rId10" Type="http://schemas.openxmlformats.org/officeDocument/2006/relationships/hyperlink" Target="http://www.regulation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gulations.gov/searchResults?rpp=25&amp;po=0&amp;s=EPA-HQ-OPPT-2016-0401&amp;fp=true&amp;ns=true" TargetMode="External"/><Relationship Id="rId14" Type="http://schemas.openxmlformats.org/officeDocument/2006/relationships/hyperlink" Target="http://www.regulation.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ICR?ref_nbr=201707-2070-001" TargetMode="External"/><Relationship Id="rId2" Type="http://schemas.openxmlformats.org/officeDocument/2006/relationships/hyperlink" Target="https://www.reginfo.gov/public/do/PRAViewICR?ref_nbr=201712-2070-004" TargetMode="External"/><Relationship Id="rId1" Type="http://schemas.openxmlformats.org/officeDocument/2006/relationships/hyperlink" Target="https://www.reginfo.gov/public/do/PRAViewICR?ref_nbr=201806-2070-001" TargetMode="External"/><Relationship Id="rId4" Type="http://schemas.openxmlformats.org/officeDocument/2006/relationships/hyperlink" Target="https://www.reginfo.gov/public/do/PRAICList?ref_nbr=201712-207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26C1-070C-4078-B984-F652AFE0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6082</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SYSTEM</cp:lastModifiedBy>
  <cp:revision>2</cp:revision>
  <cp:lastPrinted>2018-10-17T20:16:00Z</cp:lastPrinted>
  <dcterms:created xsi:type="dcterms:W3CDTF">2018-10-23T15:55:00Z</dcterms:created>
  <dcterms:modified xsi:type="dcterms:W3CDTF">2018-10-23T15:55:00Z</dcterms:modified>
</cp:coreProperties>
</file>