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30151" w14:textId="36F7A1F7" w:rsidR="002B34A0" w:rsidRPr="007919E5" w:rsidRDefault="000530F2" w:rsidP="002B34A0">
      <w:pPr>
        <w:jc w:val="center"/>
        <w:rPr>
          <w:b/>
          <w:lang w:bidi="en-US"/>
        </w:rPr>
      </w:pPr>
      <w:bookmarkStart w:id="0" w:name="_GoBack"/>
      <w:bookmarkEnd w:id="0"/>
      <w:r w:rsidRPr="007919E5">
        <w:rPr>
          <w:b/>
          <w:lang w:bidi="en-US"/>
        </w:rPr>
        <w:t xml:space="preserve">Supporting Statement for an Information Collection Request </w:t>
      </w:r>
      <w:r w:rsidR="002B34A0" w:rsidRPr="007919E5">
        <w:rPr>
          <w:b/>
          <w:lang w:bidi="en-US"/>
        </w:rPr>
        <w:t>(ICR)</w:t>
      </w:r>
    </w:p>
    <w:p w14:paraId="77567B9B" w14:textId="1001E407" w:rsidR="002B34A0" w:rsidRDefault="000530F2" w:rsidP="002B34A0">
      <w:pPr>
        <w:jc w:val="center"/>
        <w:rPr>
          <w:b/>
          <w:lang w:bidi="en-US"/>
        </w:rPr>
      </w:pPr>
      <w:r w:rsidRPr="007919E5">
        <w:rPr>
          <w:b/>
          <w:lang w:bidi="en-US"/>
        </w:rPr>
        <w:t xml:space="preserve">Under the Paperwork Reduction Act </w:t>
      </w:r>
      <w:r w:rsidR="002B34A0" w:rsidRPr="007919E5">
        <w:rPr>
          <w:b/>
          <w:lang w:bidi="en-US"/>
        </w:rPr>
        <w:t>(PRA)</w:t>
      </w:r>
    </w:p>
    <w:p w14:paraId="339590CC" w14:textId="4C7D6E06" w:rsidR="002B77B9" w:rsidRDefault="00941F3E" w:rsidP="00941F3E">
      <w:pPr>
        <w:pStyle w:val="NoSpacing"/>
        <w:tabs>
          <w:tab w:val="left" w:pos="3120"/>
        </w:tabs>
        <w:rPr>
          <w:lang w:bidi="en-US"/>
        </w:rPr>
      </w:pPr>
      <w:r>
        <w:rPr>
          <w:lang w:bidi="en-US"/>
        </w:rPr>
        <w:tab/>
      </w:r>
    </w:p>
    <w:p w14:paraId="4B6ED7CE" w14:textId="2B5E4759" w:rsidR="002B77B9" w:rsidRDefault="002B77B9" w:rsidP="002B77B9">
      <w:pPr>
        <w:pStyle w:val="NoSpacing"/>
        <w:rPr>
          <w:lang w:bidi="en-US"/>
        </w:rPr>
      </w:pPr>
    </w:p>
    <w:p w14:paraId="0D7B3D66" w14:textId="77777777" w:rsidR="002B34A0" w:rsidRPr="00436731" w:rsidRDefault="005B4F77" w:rsidP="002C395B">
      <w:pPr>
        <w:pStyle w:val="Heading1"/>
        <w:numPr>
          <w:ilvl w:val="0"/>
          <w:numId w:val="3"/>
        </w:numPr>
        <w:rPr>
          <w:sz w:val="24"/>
          <w:szCs w:val="24"/>
          <w:lang w:bidi="en-US"/>
        </w:rPr>
      </w:pPr>
      <w:r w:rsidRPr="00436731">
        <w:rPr>
          <w:sz w:val="24"/>
          <w:szCs w:val="24"/>
          <w:lang w:bidi="en-US"/>
        </w:rPr>
        <w:t>EXECUTIVE SUMMARY</w:t>
      </w:r>
    </w:p>
    <w:p w14:paraId="4BEF2561" w14:textId="77777777" w:rsidR="002B34A0" w:rsidRPr="00025CEE" w:rsidRDefault="005B4F77" w:rsidP="002C395B">
      <w:pPr>
        <w:pStyle w:val="Heading2"/>
        <w:numPr>
          <w:ilvl w:val="1"/>
          <w:numId w:val="3"/>
        </w:numPr>
        <w:tabs>
          <w:tab w:val="left" w:pos="1080"/>
        </w:tabs>
        <w:rPr>
          <w:lang w:bidi="en-US"/>
        </w:rPr>
      </w:pPr>
      <w:r w:rsidRPr="00025CEE">
        <w:rPr>
          <w:lang w:bidi="en-US"/>
        </w:rPr>
        <w:t xml:space="preserve">Identification of the </w:t>
      </w:r>
      <w:r w:rsidR="002B34A0" w:rsidRPr="00025CEE">
        <w:rPr>
          <w:lang w:bidi="en-US"/>
        </w:rPr>
        <w:t xml:space="preserve">Information Collection – Title and Numbers </w:t>
      </w:r>
    </w:p>
    <w:p w14:paraId="3079E457" w14:textId="04427C8A" w:rsidR="002B34A0" w:rsidRPr="00025CEE" w:rsidRDefault="00025CEE" w:rsidP="007E3DA7">
      <w:pPr>
        <w:spacing w:after="120"/>
        <w:ind w:firstLine="720"/>
        <w:rPr>
          <w:lang w:bidi="en-US"/>
        </w:rPr>
      </w:pPr>
      <w:r w:rsidRPr="00025CEE">
        <w:rPr>
          <w:b/>
          <w:lang w:bidi="en-US"/>
        </w:rPr>
        <w:t xml:space="preserve">Title: </w:t>
      </w:r>
      <w:r w:rsidRPr="00025CEE">
        <w:rPr>
          <w:lang w:bidi="en-US"/>
        </w:rPr>
        <w:t>Residential Lead-Based Paint Hazards Disclosure Requirements</w:t>
      </w:r>
      <w:r w:rsidR="002B34A0" w:rsidRPr="00025CEE">
        <w:rPr>
          <w:lang w:bidi="en-US"/>
        </w:rPr>
        <w:tab/>
      </w:r>
    </w:p>
    <w:p w14:paraId="4F3998E0" w14:textId="642D64FD" w:rsidR="002A0BEE" w:rsidRPr="00025CEE" w:rsidRDefault="007E3DA7" w:rsidP="007E3DA7">
      <w:pPr>
        <w:spacing w:after="120"/>
        <w:ind w:firstLine="720"/>
        <w:rPr>
          <w:lang w:bidi="en-US"/>
        </w:rPr>
      </w:pPr>
      <w:r w:rsidRPr="00025CEE">
        <w:rPr>
          <w:b/>
          <w:lang w:bidi="en-US"/>
        </w:rPr>
        <w:t xml:space="preserve">ICR </w:t>
      </w:r>
      <w:r w:rsidR="00C54579" w:rsidRPr="00025CEE">
        <w:rPr>
          <w:b/>
          <w:lang w:bidi="en-US"/>
        </w:rPr>
        <w:t>Number</w:t>
      </w:r>
      <w:r w:rsidRPr="00025CEE">
        <w:rPr>
          <w:b/>
          <w:lang w:bidi="en-US"/>
        </w:rPr>
        <w:t>s</w:t>
      </w:r>
      <w:r w:rsidR="00C54579" w:rsidRPr="00025CEE">
        <w:rPr>
          <w:b/>
          <w:lang w:bidi="en-US"/>
        </w:rPr>
        <w:t>:</w:t>
      </w:r>
      <w:r w:rsidR="00C54579" w:rsidRPr="00025CEE">
        <w:rPr>
          <w:lang w:bidi="en-US"/>
        </w:rPr>
        <w:t xml:space="preserve"> </w:t>
      </w:r>
      <w:r w:rsidR="002B34A0" w:rsidRPr="00025CEE">
        <w:rPr>
          <w:lang w:bidi="en-US"/>
        </w:rPr>
        <w:t xml:space="preserve">EPA ICR No.: </w:t>
      </w:r>
      <w:r w:rsidR="00025CEE" w:rsidRPr="00025CEE">
        <w:rPr>
          <w:lang w:bidi="en-US"/>
        </w:rPr>
        <w:t>1710.</w:t>
      </w:r>
      <w:r w:rsidR="00077591" w:rsidRPr="00025CEE">
        <w:rPr>
          <w:lang w:bidi="en-US"/>
        </w:rPr>
        <w:t>0</w:t>
      </w:r>
      <w:r w:rsidR="002B77B9">
        <w:rPr>
          <w:lang w:bidi="en-US"/>
        </w:rPr>
        <w:t>8</w:t>
      </w:r>
      <w:r w:rsidR="000A522E" w:rsidRPr="00025CEE">
        <w:rPr>
          <w:lang w:bidi="en-US"/>
        </w:rPr>
        <w:t>; OMB Control No.: 2070</w:t>
      </w:r>
      <w:r w:rsidR="00025CEE" w:rsidRPr="00025CEE">
        <w:rPr>
          <w:lang w:bidi="en-US"/>
        </w:rPr>
        <w:t>-0151</w:t>
      </w:r>
    </w:p>
    <w:p w14:paraId="6FAA96D9" w14:textId="3F16414E" w:rsidR="00735A14" w:rsidRPr="00025CEE" w:rsidRDefault="004124F7" w:rsidP="00025CEE">
      <w:pPr>
        <w:pStyle w:val="NoSpacing"/>
        <w:spacing w:after="120"/>
        <w:ind w:left="720"/>
        <w:rPr>
          <w:lang w:bidi="en-US"/>
        </w:rPr>
      </w:pPr>
      <w:r w:rsidRPr="00025CEE">
        <w:rPr>
          <w:b/>
          <w:lang w:bidi="en-US"/>
        </w:rPr>
        <w:t xml:space="preserve">EPA </w:t>
      </w:r>
      <w:r w:rsidR="007E3DA7" w:rsidRPr="00025CEE">
        <w:rPr>
          <w:b/>
          <w:lang w:bidi="en-US"/>
        </w:rPr>
        <w:t>Form N</w:t>
      </w:r>
      <w:r w:rsidR="00A84026" w:rsidRPr="00025CEE">
        <w:rPr>
          <w:b/>
          <w:lang w:bidi="en-US"/>
        </w:rPr>
        <w:t>umber</w:t>
      </w:r>
      <w:r w:rsidR="007E3DA7" w:rsidRPr="00025CEE">
        <w:rPr>
          <w:b/>
          <w:lang w:bidi="en-US"/>
        </w:rPr>
        <w:t>s:</w:t>
      </w:r>
      <w:r w:rsidR="007E3DA7" w:rsidRPr="00025CEE">
        <w:rPr>
          <w:lang w:bidi="en-US"/>
        </w:rPr>
        <w:t xml:space="preserve"> </w:t>
      </w:r>
      <w:r w:rsidR="008E6C60" w:rsidRPr="00025CEE">
        <w:t xml:space="preserve"> </w:t>
      </w:r>
      <w:r w:rsidR="00025CEE" w:rsidRPr="00025CEE">
        <w:t>Seller’s Disclosure of Information on Lead-Based Paint and/or Lead-Based Paint Hazards, Lessor’s Disclosure of Information on Lead-Based Paint and/or Leas-Based Paint Hazards, EPA747-K-99-001: Lead Hazard Information Pamphlet – “</w:t>
      </w:r>
      <w:r w:rsidR="00025CEE" w:rsidRPr="00025CEE">
        <w:rPr>
          <w:lang w:bidi="en-US"/>
        </w:rPr>
        <w:t xml:space="preserve">Protect Your Family </w:t>
      </w:r>
      <w:r w:rsidR="00025CEE">
        <w:rPr>
          <w:lang w:bidi="en-US"/>
        </w:rPr>
        <w:t>f</w:t>
      </w:r>
      <w:r w:rsidR="00025CEE" w:rsidRPr="00025CEE">
        <w:rPr>
          <w:lang w:bidi="en-US"/>
        </w:rPr>
        <w:t>ro</w:t>
      </w:r>
      <w:r w:rsidR="000D590F">
        <w:rPr>
          <w:lang w:bidi="en-US"/>
        </w:rPr>
        <w:t>m Lead in Your Home”</w:t>
      </w:r>
    </w:p>
    <w:p w14:paraId="7E69FBFD" w14:textId="02EF6621" w:rsidR="005B4F77" w:rsidRPr="00025CEE" w:rsidRDefault="005B4F77" w:rsidP="005B4F77">
      <w:pPr>
        <w:pStyle w:val="NoSpacing"/>
        <w:rPr>
          <w:rFonts w:cs="Arial"/>
          <w:bCs/>
        </w:rPr>
      </w:pPr>
      <w:r w:rsidRPr="00025CEE">
        <w:rPr>
          <w:lang w:bidi="en-US"/>
        </w:rPr>
        <w:tab/>
      </w:r>
      <w:r w:rsidRPr="00025CEE">
        <w:rPr>
          <w:b/>
          <w:lang w:bidi="en-US"/>
        </w:rPr>
        <w:t>Docket ID Number:</w:t>
      </w:r>
      <w:r w:rsidRPr="00025CEE">
        <w:rPr>
          <w:lang w:bidi="en-US"/>
        </w:rPr>
        <w:t xml:space="preserve"> EPA-HQ-</w:t>
      </w:r>
      <w:r w:rsidRPr="00025CEE">
        <w:rPr>
          <w:bCs/>
        </w:rPr>
        <w:t>OPPT-</w:t>
      </w:r>
      <w:r w:rsidR="002B77B9">
        <w:rPr>
          <w:bCs/>
        </w:rPr>
        <w:t>2017-</w:t>
      </w:r>
      <w:r w:rsidR="00D420F4">
        <w:rPr>
          <w:bCs/>
        </w:rPr>
        <w:t>0631</w:t>
      </w:r>
      <w:r w:rsidR="00C87678" w:rsidRPr="00025CEE">
        <w:rPr>
          <w:rFonts w:cs="Arial"/>
          <w:bCs/>
        </w:rPr>
        <w:t>.</w:t>
      </w:r>
    </w:p>
    <w:p w14:paraId="42F50E2C" w14:textId="77777777" w:rsidR="005B4F77" w:rsidRPr="00025CEE" w:rsidRDefault="005B4F77" w:rsidP="005B4F77">
      <w:pPr>
        <w:pStyle w:val="NoSpacing"/>
        <w:rPr>
          <w:lang w:bidi="en-US"/>
        </w:rPr>
      </w:pPr>
    </w:p>
    <w:p w14:paraId="4E2D922A" w14:textId="77777777" w:rsidR="0098584B" w:rsidRPr="00025CEE" w:rsidRDefault="005B4F77" w:rsidP="0098584B">
      <w:pPr>
        <w:pStyle w:val="Heading2"/>
        <w:numPr>
          <w:ilvl w:val="1"/>
          <w:numId w:val="3"/>
        </w:numPr>
        <w:tabs>
          <w:tab w:val="left" w:pos="1080"/>
        </w:tabs>
      </w:pPr>
      <w:r w:rsidRPr="00025CEE">
        <w:t>Docket Information</w:t>
      </w:r>
    </w:p>
    <w:p w14:paraId="454D297A" w14:textId="77777777" w:rsidR="00003EFE" w:rsidRPr="00025CEE" w:rsidRDefault="00003EFE" w:rsidP="00003EFE">
      <w:r w:rsidRPr="00025CEE">
        <w:t>The information collection request (ICR) that explains the information collection activities and related burden and cost estimates, as well as other supporting documents</w:t>
      </w:r>
      <w:r w:rsidR="00C76F17" w:rsidRPr="00025CEE">
        <w:t xml:space="preserve"> related to the ICR</w:t>
      </w:r>
      <w:r w:rsidRPr="00025CEE">
        <w:t xml:space="preserve">, are available in the docket </w:t>
      </w:r>
      <w:r w:rsidR="00C76F17" w:rsidRPr="00025CEE">
        <w:t xml:space="preserve">established </w:t>
      </w:r>
      <w:r w:rsidRPr="00025CEE">
        <w:t xml:space="preserve">for this ICR. The docket can be viewed online at http://www.regulations.gov or in person at the EPA Docket Center, West William Jefferson Clinton Bldg., Rm. 3334, 1301 Constitution Ave., NW., Washington, DC. The telephone number for the Docket Center is (202) 566-1744. For additional information about EPA’s public docket, visit </w:t>
      </w:r>
      <w:hyperlink r:id="rId9" w:history="1">
        <w:r w:rsidR="005B4F77" w:rsidRPr="00025CEE">
          <w:rPr>
            <w:rStyle w:val="Hyperlink"/>
            <w:color w:val="auto"/>
          </w:rPr>
          <w:t>http://www.epa.gov/dockets</w:t>
        </w:r>
      </w:hyperlink>
      <w:r w:rsidRPr="00025CEE">
        <w:t>.</w:t>
      </w:r>
    </w:p>
    <w:p w14:paraId="3C3D0D74" w14:textId="77777777" w:rsidR="005B4F77" w:rsidRPr="00025CEE" w:rsidRDefault="005B4F77" w:rsidP="005B4F77">
      <w:pPr>
        <w:pStyle w:val="NoSpacing"/>
        <w:rPr>
          <w:color w:val="FF33CC"/>
          <w:lang w:bidi="en-US"/>
        </w:rPr>
      </w:pPr>
    </w:p>
    <w:p w14:paraId="0D39F6B5" w14:textId="77777777" w:rsidR="005B4F77" w:rsidRPr="00614C2F" w:rsidRDefault="005B4F77" w:rsidP="005B4F77">
      <w:pPr>
        <w:pStyle w:val="Heading2"/>
        <w:numPr>
          <w:ilvl w:val="1"/>
          <w:numId w:val="3"/>
        </w:numPr>
        <w:tabs>
          <w:tab w:val="left" w:pos="1080"/>
        </w:tabs>
      </w:pPr>
      <w:r w:rsidRPr="00614C2F">
        <w:t xml:space="preserve">ICR Status </w:t>
      </w:r>
    </w:p>
    <w:p w14:paraId="03BA2FE3" w14:textId="77777777" w:rsidR="00003EFE" w:rsidRPr="00614C2F" w:rsidRDefault="00003EFE" w:rsidP="00003EFE">
      <w:r w:rsidRPr="00614C2F">
        <w:t xml:space="preserve">Under </w:t>
      </w:r>
      <w:r w:rsidR="003C30C1" w:rsidRPr="00614C2F">
        <w:t>the Paperwork Reduction Act (</w:t>
      </w:r>
      <w:r w:rsidRPr="00614C2F">
        <w:t>PRA</w:t>
      </w:r>
      <w:r w:rsidR="003C30C1" w:rsidRPr="00614C2F">
        <w:t>)</w:t>
      </w:r>
      <w:r w:rsidRPr="00614C2F">
        <w:t>, 44 U.S.C. 3501 et seq., an agency may not conduct or sponsor, and a person is not required to respond to, a collection of information, unless it displays a currently valid control number</w:t>
      </w:r>
      <w:r w:rsidR="003C30C1" w:rsidRPr="00614C2F">
        <w:t xml:space="preserve"> issued by the Office of Management and Budget (OMB)</w:t>
      </w:r>
      <w:r w:rsidRPr="00614C2F">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14:paraId="18CBB870" w14:textId="77777777" w:rsidR="008B4785" w:rsidRPr="00614C2F" w:rsidRDefault="008B4785" w:rsidP="008B4785">
      <w:pPr>
        <w:pStyle w:val="NoSpacing"/>
      </w:pPr>
    </w:p>
    <w:p w14:paraId="5A6F512A" w14:textId="77777777" w:rsidR="00E62F2E" w:rsidRPr="00614C2F" w:rsidRDefault="00E62F2E" w:rsidP="0098584B">
      <w:r w:rsidRPr="00614C2F">
        <w:t xml:space="preserve">Before submitting </w:t>
      </w:r>
      <w:r w:rsidR="00843F2F" w:rsidRPr="00614C2F">
        <w:t>an</w:t>
      </w:r>
      <w:r w:rsidRPr="00614C2F">
        <w:t xml:space="preserve"> ICR to </w:t>
      </w:r>
      <w:r w:rsidRPr="00614C2F">
        <w:rPr>
          <w:lang w:bidi="en-US"/>
        </w:rPr>
        <w:t xml:space="preserve">OMB </w:t>
      </w:r>
      <w:r w:rsidRPr="00614C2F">
        <w:t xml:space="preserve">for review and approval under the PRA, </w:t>
      </w:r>
      <w:r w:rsidR="003C30C1" w:rsidRPr="00614C2F">
        <w:t>an agency</w:t>
      </w:r>
      <w:r w:rsidRPr="00614C2F">
        <w:t xml:space="preserve"> </w:t>
      </w:r>
      <w:r w:rsidR="003C30C1" w:rsidRPr="00614C2F">
        <w:t xml:space="preserve">must </w:t>
      </w:r>
      <w:r w:rsidRPr="00614C2F">
        <w:t xml:space="preserve">solicit comments pursuant to PRA §3506(c)(2)(A) and </w:t>
      </w:r>
      <w:hyperlink r:id="rId10" w:anchor="5:3.0.2.3.9.0.48.8" w:history="1">
        <w:r w:rsidR="008B4785" w:rsidRPr="00614C2F">
          <w:rPr>
            <w:rStyle w:val="Hyperlink"/>
            <w:color w:val="auto"/>
          </w:rPr>
          <w:t>5 CFR 1320.8(d)(1)</w:t>
        </w:r>
      </w:hyperlink>
      <w:r w:rsidRPr="00614C2F">
        <w:t>.</w:t>
      </w:r>
      <w:r w:rsidR="003C30C1" w:rsidRPr="00614C2F">
        <w:t xml:space="preserve"> After considering comments</w:t>
      </w:r>
      <w:r w:rsidR="008B4785" w:rsidRPr="00614C2F">
        <w:t xml:space="preserve"> received on the draft ICR</w:t>
      </w:r>
      <w:r w:rsidR="003C30C1" w:rsidRPr="00614C2F">
        <w:t xml:space="preserve">, the agency </w:t>
      </w:r>
      <w:r w:rsidR="007F4564" w:rsidRPr="00614C2F">
        <w:t xml:space="preserve">must </w:t>
      </w:r>
      <w:r w:rsidR="008B4785" w:rsidRPr="00614C2F">
        <w:t xml:space="preserve">submit the ICR to </w:t>
      </w:r>
      <w:r w:rsidR="008B4785" w:rsidRPr="00614C2F">
        <w:rPr>
          <w:lang w:bidi="en-US"/>
        </w:rPr>
        <w:t xml:space="preserve">OMB </w:t>
      </w:r>
      <w:r w:rsidR="008B4785" w:rsidRPr="00614C2F">
        <w:t xml:space="preserve">for review and approval according to the procedures prescribed in </w:t>
      </w:r>
      <w:hyperlink r:id="rId11" w:anchor="5:3.0.2.3.9.0.48.12" w:history="1">
        <w:r w:rsidR="008B4785" w:rsidRPr="00614C2F">
          <w:rPr>
            <w:rStyle w:val="Hyperlink"/>
            <w:color w:val="auto"/>
          </w:rPr>
          <w:t>5 CFR 1320.12</w:t>
        </w:r>
      </w:hyperlink>
      <w:r w:rsidR="008B4785" w:rsidRPr="00614C2F">
        <w:t xml:space="preserve">. </w:t>
      </w:r>
      <w:r w:rsidR="007F4564" w:rsidRPr="00614C2F">
        <w:t>In announcing the submission of the final ICR to OMB for review and approval, the agency must provide another opportunity for public review and comments on the revised ICR pursuant to 5 CFR 1320.12(c).</w:t>
      </w:r>
    </w:p>
    <w:p w14:paraId="7B89A619" w14:textId="77777777" w:rsidR="00012C7C" w:rsidRPr="00614C2F" w:rsidRDefault="00012C7C" w:rsidP="00012C7C">
      <w:pPr>
        <w:pStyle w:val="NoSpacing"/>
      </w:pPr>
    </w:p>
    <w:p w14:paraId="6AB61839" w14:textId="305CE4F1" w:rsidR="00C87678" w:rsidRPr="00614C2F" w:rsidRDefault="00C87678" w:rsidP="00843F2F">
      <w:pPr>
        <w:pStyle w:val="NoSpacing"/>
      </w:pPr>
      <w:r w:rsidRPr="00614C2F">
        <w:t xml:space="preserve">This </w:t>
      </w:r>
      <w:r w:rsidR="00614C2F" w:rsidRPr="00614C2F">
        <w:t>is a renewal of existing an existing ICR for EPA ICR No. 1710.07; OMB Control No. 2070-0151; entitled “Residential Lead-Based Paint Hazards Disclosure Requirements; approved through October 31, 2018.</w:t>
      </w:r>
      <w:r w:rsidRPr="00614C2F">
        <w:t xml:space="preserve"> </w:t>
      </w:r>
    </w:p>
    <w:p w14:paraId="3B38DD4C" w14:textId="546337D5" w:rsidR="00E650C2" w:rsidRPr="00614C2F" w:rsidRDefault="00E650C2" w:rsidP="00E650C2">
      <w:pPr>
        <w:numPr>
          <w:ilvl w:val="12"/>
          <w:numId w:val="0"/>
        </w:numPr>
        <w:rPr>
          <w:szCs w:val="24"/>
        </w:rPr>
      </w:pPr>
    </w:p>
    <w:p w14:paraId="0F8E7DE9" w14:textId="7B7EA0D6" w:rsidR="00E650C2" w:rsidRPr="00614C2F" w:rsidRDefault="00E650C2" w:rsidP="00E650C2">
      <w:pPr>
        <w:rPr>
          <w:szCs w:val="24"/>
        </w:rPr>
      </w:pPr>
      <w:r w:rsidRPr="00614C2F">
        <w:rPr>
          <w:szCs w:val="24"/>
        </w:rPr>
        <w:fldChar w:fldCharType="begin"/>
      </w:r>
      <w:r w:rsidRPr="00614C2F">
        <w:rPr>
          <w:szCs w:val="24"/>
        </w:rPr>
        <w:instrText xml:space="preserve"> SEQ CHAPTER \h \r 1</w:instrText>
      </w:r>
      <w:r w:rsidRPr="00614C2F">
        <w:rPr>
          <w:szCs w:val="24"/>
        </w:rPr>
        <w:fldChar w:fldCharType="end"/>
      </w:r>
      <w:r w:rsidRPr="00614C2F">
        <w:rPr>
          <w:szCs w:val="24"/>
        </w:rPr>
        <w:t xml:space="preserve">In proposing to renew this ICR, EPA </w:t>
      </w:r>
      <w:r w:rsidR="00614C2F" w:rsidRPr="00614C2F">
        <w:rPr>
          <w:szCs w:val="24"/>
        </w:rPr>
        <w:t>will provide</w:t>
      </w:r>
      <w:r w:rsidRPr="00614C2F">
        <w:rPr>
          <w:szCs w:val="24"/>
        </w:rPr>
        <w:t xml:space="preserve"> a 60-day public notice and comment period</w:t>
      </w:r>
      <w:r w:rsidR="00614C2F" w:rsidRPr="00614C2F">
        <w:rPr>
          <w:szCs w:val="24"/>
        </w:rPr>
        <w:t>.</w:t>
      </w:r>
    </w:p>
    <w:p w14:paraId="68810A31" w14:textId="77777777" w:rsidR="005B4F77" w:rsidRPr="00614C2F" w:rsidRDefault="005B4F77" w:rsidP="005B4F77">
      <w:pPr>
        <w:pStyle w:val="NoSpacing"/>
        <w:rPr>
          <w:lang w:bidi="en-US"/>
        </w:rPr>
      </w:pPr>
    </w:p>
    <w:p w14:paraId="3970DCA2" w14:textId="77777777" w:rsidR="005B4F77" w:rsidRPr="00C87480" w:rsidRDefault="005B4F77" w:rsidP="005B4F77">
      <w:pPr>
        <w:pStyle w:val="Heading2"/>
        <w:numPr>
          <w:ilvl w:val="1"/>
          <w:numId w:val="3"/>
        </w:numPr>
        <w:tabs>
          <w:tab w:val="left" w:pos="1080"/>
        </w:tabs>
      </w:pPr>
      <w:r w:rsidRPr="00C87480">
        <w:lastRenderedPageBreak/>
        <w:t>Abstract</w:t>
      </w:r>
    </w:p>
    <w:p w14:paraId="39CCFCBB" w14:textId="539CB3C5" w:rsidR="008E63B5" w:rsidRPr="00C87480" w:rsidRDefault="00C54579" w:rsidP="00D4779C">
      <w:r w:rsidRPr="00C87480">
        <w:rPr>
          <w:rFonts w:cs="Arial"/>
          <w:lang w:bidi="en-US"/>
        </w:rPr>
        <w:t xml:space="preserve">This ICR </w:t>
      </w:r>
      <w:r w:rsidR="00570FC3" w:rsidRPr="00C87480">
        <w:rPr>
          <w:rFonts w:cs="Arial"/>
          <w:lang w:bidi="en-US"/>
        </w:rPr>
        <w:t xml:space="preserve">will </w:t>
      </w:r>
      <w:r w:rsidRPr="00C87480">
        <w:rPr>
          <w:rFonts w:cs="Arial"/>
          <w:lang w:bidi="en-US"/>
        </w:rPr>
        <w:t>cover the information collection activities associated with</w:t>
      </w:r>
      <w:r w:rsidR="008E63B5" w:rsidRPr="00C87480">
        <w:rPr>
          <w:rFonts w:cs="Arial"/>
          <w:lang w:bidi="en-US"/>
        </w:rPr>
        <w:t xml:space="preserve"> </w:t>
      </w:r>
      <w:r w:rsidR="008E63B5" w:rsidRPr="00C87480">
        <w:t xml:space="preserve">the reporting and recordkeeping requirements for </w:t>
      </w:r>
      <w:r w:rsidR="00173F47" w:rsidRPr="00C87480">
        <w:t xml:space="preserve">sellers, lessors, and their agents’ disclosure activities </w:t>
      </w:r>
      <w:r w:rsidR="00F87915" w:rsidRPr="00C87480">
        <w:t xml:space="preserve">in target housing </w:t>
      </w:r>
      <w:r w:rsidR="00173F47" w:rsidRPr="00C87480">
        <w:t xml:space="preserve">including the allowance of up to </w:t>
      </w:r>
      <w:r w:rsidR="00C36C17">
        <w:t>ten</w:t>
      </w:r>
      <w:r w:rsidR="00173F47" w:rsidRPr="00C87480">
        <w:t xml:space="preserve"> days</w:t>
      </w:r>
      <w:r w:rsidR="008E63B5" w:rsidRPr="00C87480">
        <w:t xml:space="preserve"> </w:t>
      </w:r>
      <w:r w:rsidR="00173F47" w:rsidRPr="00C87480">
        <w:t>for an optional risk assessment or inspection</w:t>
      </w:r>
      <w:r w:rsidR="00F87915" w:rsidRPr="00C87480">
        <w:t xml:space="preserve"> before being obligated under purchase or lease contract.</w:t>
      </w:r>
    </w:p>
    <w:p w14:paraId="08086F86" w14:textId="77777777" w:rsidR="008E63B5" w:rsidRPr="00C87480" w:rsidRDefault="008E63B5" w:rsidP="005A7AEA">
      <w:pPr>
        <w:rPr>
          <w:rFonts w:cs="Arial"/>
          <w:lang w:bidi="en-US"/>
        </w:rPr>
      </w:pPr>
    </w:p>
    <w:p w14:paraId="46AB1623" w14:textId="7E0EEDE9" w:rsidR="00F40219" w:rsidRPr="00C87480" w:rsidRDefault="00F40219" w:rsidP="00E65DB2">
      <w:pPr>
        <w:rPr>
          <w:lang w:bidi="en-US"/>
        </w:rPr>
      </w:pPr>
      <w:r w:rsidRPr="00C87480">
        <w:rPr>
          <w:i/>
        </w:rPr>
        <w:t xml:space="preserve">Legal </w:t>
      </w:r>
      <w:r w:rsidR="002406C5" w:rsidRPr="00C87480">
        <w:rPr>
          <w:i/>
        </w:rPr>
        <w:t>a</w:t>
      </w:r>
      <w:r w:rsidRPr="00C87480">
        <w:rPr>
          <w:i/>
        </w:rPr>
        <w:t>uthority:</w:t>
      </w:r>
      <w:r w:rsidRPr="00C87480">
        <w:t xml:space="preserve"> </w:t>
      </w:r>
      <w:r w:rsidR="003E41D1" w:rsidRPr="00C87480">
        <w:rPr>
          <w:rStyle w:val="Hyperlink"/>
          <w:color w:val="auto"/>
          <w:u w:val="none"/>
        </w:rPr>
        <w:t xml:space="preserve">Section 1018 of the Residential Lead Based Paint Hazard Reduction Act of 1992 (the Act) (42 U.S.C. 4852d) directs the Environmental Protection Agency (EPA) and the Department of Housing and Urban Development (HUD) to jointly issue regulations requiring disclosure of known lead based paint and/or lead based paint hazards by persons selling or leasing housing constructed before the phase out of residential lead based paint use in 1978. Under that authority, EPA and HUD established requirements at 40 CFR 745, Subpart F and 24 CFR 35, Subpart H. </w:t>
      </w:r>
      <w:r w:rsidR="00E65DB2" w:rsidRPr="00C87480">
        <w:rPr>
          <w:rStyle w:val="Hyperlink"/>
          <w:color w:val="auto"/>
          <w:u w:val="none"/>
        </w:rPr>
        <w:t>More details are provided in Unit 2(a) of this Supporting Statement.</w:t>
      </w:r>
    </w:p>
    <w:p w14:paraId="2C7D07DF" w14:textId="77777777" w:rsidR="005A7AEA" w:rsidRPr="00025CEE" w:rsidRDefault="005A7AEA" w:rsidP="005A7AEA">
      <w:pPr>
        <w:pStyle w:val="NoSpacing"/>
        <w:rPr>
          <w:color w:val="FF33CC"/>
        </w:rPr>
      </w:pPr>
    </w:p>
    <w:p w14:paraId="53A3B09B" w14:textId="52486AC8" w:rsidR="005A7AEA" w:rsidRPr="00E41A4C" w:rsidRDefault="005A7AEA" w:rsidP="005A7AEA">
      <w:pPr>
        <w:rPr>
          <w:rFonts w:eastAsia="Times New Roman" w:cs="Arial"/>
          <w:szCs w:val="24"/>
        </w:rPr>
      </w:pPr>
      <w:r w:rsidRPr="00E41A4C">
        <w:rPr>
          <w:rFonts w:eastAsia="Times New Roman" w:cs="Arial"/>
          <w:i/>
          <w:iCs/>
          <w:szCs w:val="24"/>
        </w:rPr>
        <w:t>Respondents/</w:t>
      </w:r>
      <w:r w:rsidR="002406C5" w:rsidRPr="00E41A4C">
        <w:rPr>
          <w:rFonts w:eastAsia="Times New Roman" w:cs="Arial"/>
          <w:i/>
          <w:iCs/>
          <w:szCs w:val="24"/>
        </w:rPr>
        <w:t>a</w:t>
      </w:r>
      <w:r w:rsidRPr="00E41A4C">
        <w:rPr>
          <w:rFonts w:eastAsia="Times New Roman" w:cs="Arial"/>
          <w:i/>
          <w:iCs/>
          <w:szCs w:val="24"/>
        </w:rPr>
        <w:t xml:space="preserve">ffected </w:t>
      </w:r>
      <w:r w:rsidR="002406C5" w:rsidRPr="00E41A4C">
        <w:rPr>
          <w:rFonts w:eastAsia="Times New Roman" w:cs="Arial"/>
          <w:i/>
          <w:iCs/>
          <w:szCs w:val="24"/>
        </w:rPr>
        <w:t>e</w:t>
      </w:r>
      <w:r w:rsidRPr="00E41A4C">
        <w:rPr>
          <w:rFonts w:eastAsia="Times New Roman" w:cs="Arial"/>
          <w:i/>
          <w:iCs/>
          <w:szCs w:val="24"/>
        </w:rPr>
        <w:t>ntities</w:t>
      </w:r>
      <w:r w:rsidRPr="00E41A4C">
        <w:rPr>
          <w:rFonts w:eastAsia="Times New Roman" w:cs="Arial"/>
          <w:szCs w:val="24"/>
        </w:rPr>
        <w:t xml:space="preserve">: Entities potentially affected by this ICR </w:t>
      </w:r>
      <w:r w:rsidR="00570FC3" w:rsidRPr="00E41A4C">
        <w:t xml:space="preserve">include </w:t>
      </w:r>
      <w:r w:rsidR="00E41A4C" w:rsidRPr="00E41A4C">
        <w:rPr>
          <w:bCs/>
        </w:rPr>
        <w:t>property owners and lessors, offerors/buyers and lessees/tenants, and agents acting on behalf of offerors/buyers or owner/lessors. Following prior analyses, it is assumed there are not agents acting on behalf of the lessees or tenants.</w:t>
      </w:r>
    </w:p>
    <w:p w14:paraId="49BB05CC" w14:textId="77777777" w:rsidR="005A7AEA" w:rsidRPr="00025CEE" w:rsidRDefault="005A7AEA" w:rsidP="005A7AEA">
      <w:pPr>
        <w:rPr>
          <w:rFonts w:eastAsia="Times New Roman" w:cs="Arial"/>
          <w:color w:val="FF33CC"/>
          <w:szCs w:val="24"/>
        </w:rPr>
      </w:pPr>
    </w:p>
    <w:p w14:paraId="71DDD236" w14:textId="77777777" w:rsidR="00853B7A" w:rsidRPr="00E41A4C" w:rsidRDefault="00853B7A" w:rsidP="00853B7A">
      <w:pPr>
        <w:rPr>
          <w:rFonts w:eastAsia="Times New Roman" w:cs="Arial"/>
          <w:bCs/>
          <w:szCs w:val="24"/>
        </w:rPr>
      </w:pPr>
      <w:r w:rsidRPr="00E41A4C">
        <w:rPr>
          <w:rFonts w:eastAsia="Times New Roman" w:cs="Arial"/>
          <w:i/>
          <w:szCs w:val="24"/>
        </w:rPr>
        <w:t>Respondent’s obligation to respond</w:t>
      </w:r>
      <w:r w:rsidRPr="00E41A4C">
        <w:rPr>
          <w:rFonts w:eastAsia="Times New Roman" w:cs="Arial"/>
          <w:szCs w:val="24"/>
        </w:rPr>
        <w:t xml:space="preserve">: </w:t>
      </w:r>
      <w:r w:rsidRPr="00E41A4C">
        <w:rPr>
          <w:bCs/>
        </w:rPr>
        <w:t>Responses are mandatory under TSCA (see also 40 CFR part 745).</w:t>
      </w:r>
    </w:p>
    <w:p w14:paraId="65D667A9" w14:textId="77777777" w:rsidR="00853B7A" w:rsidRPr="00E41A4C" w:rsidRDefault="00853B7A" w:rsidP="00853B7A">
      <w:pPr>
        <w:rPr>
          <w:rFonts w:eastAsia="Times New Roman" w:cs="Arial"/>
          <w:bCs/>
          <w:szCs w:val="24"/>
        </w:rPr>
      </w:pPr>
    </w:p>
    <w:p w14:paraId="6D53BCF2" w14:textId="77777777" w:rsidR="00853B7A" w:rsidRPr="001964BE" w:rsidRDefault="00853B7A" w:rsidP="00853B7A">
      <w:r w:rsidRPr="001964BE">
        <w:rPr>
          <w:rFonts w:eastAsia="Times New Roman" w:cs="Arial"/>
          <w:bCs/>
          <w:i/>
          <w:szCs w:val="24"/>
        </w:rPr>
        <w:t>Confidentiality of responses:</w:t>
      </w:r>
      <w:r w:rsidRPr="001964BE">
        <w:rPr>
          <w:rFonts w:eastAsia="Times New Roman" w:cs="Arial"/>
          <w:bCs/>
          <w:szCs w:val="24"/>
        </w:rPr>
        <w:t xml:space="preserve"> </w:t>
      </w:r>
      <w:r w:rsidRPr="001964BE">
        <w:t>This collection does not require the disclosure or retention of confidential information. The third party disclosure requirements also comply with the provisions of the Privacy Act of 1974 and OMB Circular A</w:t>
      </w:r>
      <w:r w:rsidRPr="001964BE">
        <w:noBreakHyphen/>
        <w:t>108.</w:t>
      </w:r>
    </w:p>
    <w:p w14:paraId="40848819" w14:textId="77777777" w:rsidR="00853B7A" w:rsidRPr="001964BE" w:rsidRDefault="00853B7A" w:rsidP="00853B7A">
      <w:pPr>
        <w:pStyle w:val="NoSpacing"/>
      </w:pPr>
    </w:p>
    <w:p w14:paraId="37660E69" w14:textId="249C3FAB" w:rsidR="00853B7A" w:rsidRPr="001964BE" w:rsidRDefault="00853B7A" w:rsidP="00853B7A">
      <w:pPr>
        <w:rPr>
          <w:rFonts w:eastAsia="Times New Roman" w:cs="Arial"/>
          <w:szCs w:val="24"/>
        </w:rPr>
      </w:pPr>
      <w:r w:rsidRPr="001964BE">
        <w:rPr>
          <w:rFonts w:eastAsia="Times New Roman" w:cs="Arial"/>
          <w:i/>
          <w:iCs/>
          <w:szCs w:val="24"/>
        </w:rPr>
        <w:t>Estimated total number of potential respondents</w:t>
      </w:r>
      <w:r w:rsidRPr="001964BE">
        <w:rPr>
          <w:rFonts w:eastAsia="Times New Roman" w:cs="Arial"/>
          <w:szCs w:val="24"/>
        </w:rPr>
        <w:t xml:space="preserve">: </w:t>
      </w:r>
      <w:r w:rsidR="005273DC" w:rsidRPr="005273DC">
        <w:rPr>
          <w:bCs/>
        </w:rPr>
        <w:t xml:space="preserve">EPA estimates that there are 604,926 Real Estate </w:t>
      </w:r>
      <w:r w:rsidR="00FE1A62">
        <w:rPr>
          <w:bCs/>
        </w:rPr>
        <w:t>A</w:t>
      </w:r>
      <w:r w:rsidR="005273DC" w:rsidRPr="005273DC">
        <w:rPr>
          <w:bCs/>
        </w:rPr>
        <w:t>gents, 2,700,000 private sellers, and 6,400,00 owners/lessors, for a total of 9,704,926 respondents among sellers and lessors of property. Additionally, EPA estimates that there are 5,400,000 buyers and 6,400,000 tenants, or 11,800,000 respondents among purchasers and leasers of property. There are, therefore, 21,504,926 total respondents to this information collection.</w:t>
      </w:r>
    </w:p>
    <w:p w14:paraId="61439820" w14:textId="77777777" w:rsidR="00853B7A" w:rsidRPr="001964BE" w:rsidRDefault="00853B7A" w:rsidP="00853B7A">
      <w:pPr>
        <w:rPr>
          <w:rFonts w:eastAsia="Times New Roman" w:cs="Arial"/>
          <w:i/>
          <w:iCs/>
          <w:szCs w:val="24"/>
        </w:rPr>
      </w:pPr>
    </w:p>
    <w:p w14:paraId="792FF67D" w14:textId="77777777" w:rsidR="00853B7A" w:rsidRPr="001964BE" w:rsidRDefault="00853B7A" w:rsidP="00853B7A">
      <w:pPr>
        <w:rPr>
          <w:rFonts w:eastAsia="Times New Roman" w:cs="Arial"/>
          <w:szCs w:val="24"/>
        </w:rPr>
      </w:pPr>
      <w:r w:rsidRPr="001964BE">
        <w:rPr>
          <w:rFonts w:eastAsia="Times New Roman" w:cs="Arial"/>
          <w:i/>
          <w:iCs/>
          <w:szCs w:val="24"/>
        </w:rPr>
        <w:t>Frequency of response</w:t>
      </w:r>
      <w:r w:rsidRPr="001964BE">
        <w:rPr>
          <w:rFonts w:eastAsia="Times New Roman" w:cs="Arial"/>
          <w:szCs w:val="24"/>
        </w:rPr>
        <w:t>: On occasion.</w:t>
      </w:r>
    </w:p>
    <w:p w14:paraId="401004B5" w14:textId="77777777" w:rsidR="00853B7A" w:rsidRPr="001964BE" w:rsidRDefault="00853B7A" w:rsidP="00853B7A">
      <w:pPr>
        <w:pStyle w:val="NoSpacing"/>
      </w:pPr>
    </w:p>
    <w:p w14:paraId="419171CA" w14:textId="77777777" w:rsidR="00853B7A" w:rsidRPr="00275937" w:rsidRDefault="00853B7A" w:rsidP="00853B7A">
      <w:pPr>
        <w:pStyle w:val="NoSpacing"/>
        <w:rPr>
          <w:rFonts w:eastAsia="Times New Roman" w:cs="Arial"/>
          <w:szCs w:val="24"/>
        </w:rPr>
      </w:pPr>
      <w:r w:rsidRPr="001964BE">
        <w:rPr>
          <w:rFonts w:eastAsia="Times New Roman" w:cs="Arial"/>
          <w:i/>
          <w:iCs/>
          <w:szCs w:val="24"/>
        </w:rPr>
        <w:t>Estimated total annual burden</w:t>
      </w:r>
      <w:r w:rsidRPr="001964BE">
        <w:rPr>
          <w:rFonts w:eastAsia="Times New Roman" w:cs="Arial"/>
          <w:szCs w:val="24"/>
        </w:rPr>
        <w:t xml:space="preserve">: </w:t>
      </w:r>
      <w:r w:rsidRPr="001964BE">
        <w:rPr>
          <w:bCs/>
        </w:rPr>
        <w:t>5,</w:t>
      </w:r>
      <w:r w:rsidRPr="00275937">
        <w:rPr>
          <w:bCs/>
        </w:rPr>
        <w:t xml:space="preserve">952,344 </w:t>
      </w:r>
      <w:r w:rsidRPr="00275937">
        <w:rPr>
          <w:rFonts w:eastAsia="Times New Roman" w:cs="Arial"/>
          <w:szCs w:val="24"/>
        </w:rPr>
        <w:t>hours. Burden is defined at 5 CFR 1320.3(b).</w:t>
      </w:r>
    </w:p>
    <w:p w14:paraId="03C72AA7" w14:textId="77777777" w:rsidR="00853B7A" w:rsidRPr="00275937" w:rsidRDefault="00853B7A" w:rsidP="00853B7A">
      <w:pPr>
        <w:rPr>
          <w:rFonts w:eastAsia="Times New Roman" w:cs="Arial"/>
          <w:i/>
          <w:iCs/>
          <w:szCs w:val="24"/>
        </w:rPr>
      </w:pPr>
    </w:p>
    <w:p w14:paraId="0ABBFB19" w14:textId="77777777" w:rsidR="00853B7A" w:rsidRPr="001964BE" w:rsidRDefault="00853B7A" w:rsidP="00853B7A">
      <w:pPr>
        <w:rPr>
          <w:rFonts w:eastAsia="Times New Roman" w:cs="Arial"/>
          <w:szCs w:val="24"/>
        </w:rPr>
      </w:pPr>
      <w:r w:rsidRPr="00275937">
        <w:rPr>
          <w:rFonts w:eastAsia="Times New Roman" w:cs="Arial"/>
          <w:i/>
          <w:iCs/>
          <w:szCs w:val="24"/>
        </w:rPr>
        <w:t xml:space="preserve">Estimated total </w:t>
      </w:r>
      <w:r w:rsidRPr="001964BE">
        <w:rPr>
          <w:rFonts w:eastAsia="Times New Roman" w:cs="Arial"/>
          <w:i/>
          <w:iCs/>
          <w:szCs w:val="24"/>
        </w:rPr>
        <w:t>annual costs</w:t>
      </w:r>
      <w:r w:rsidRPr="001964BE">
        <w:rPr>
          <w:rFonts w:eastAsia="Times New Roman" w:cs="Arial"/>
          <w:szCs w:val="24"/>
        </w:rPr>
        <w:t xml:space="preserve">: $ </w:t>
      </w:r>
      <w:r w:rsidRPr="001964BE">
        <w:rPr>
          <w:bCs/>
        </w:rPr>
        <w:t>130,067,754</w:t>
      </w:r>
      <w:r w:rsidRPr="001964BE">
        <w:rPr>
          <w:rFonts w:eastAsia="Times New Roman" w:cs="Arial"/>
          <w:bCs/>
          <w:szCs w:val="24"/>
        </w:rPr>
        <w:t xml:space="preserve">, includes no annualized </w:t>
      </w:r>
      <w:r w:rsidRPr="001964BE">
        <w:rPr>
          <w:rFonts w:eastAsia="Times New Roman" w:cs="Arial"/>
          <w:szCs w:val="24"/>
        </w:rPr>
        <w:t>capital investment or maintenance and operational costs.</w:t>
      </w:r>
    </w:p>
    <w:p w14:paraId="689CAAEC" w14:textId="77777777" w:rsidR="00853B7A" w:rsidRPr="001964BE" w:rsidRDefault="00853B7A" w:rsidP="00853B7A">
      <w:pPr>
        <w:pStyle w:val="NoSpacing"/>
      </w:pPr>
    </w:p>
    <w:p w14:paraId="5D560C74" w14:textId="7605A0CB" w:rsidR="00853B7A" w:rsidRPr="001964BE" w:rsidRDefault="00853B7A" w:rsidP="00853B7A">
      <w:pPr>
        <w:rPr>
          <w:rFonts w:cs="Arial"/>
          <w:lang w:bidi="en-US"/>
        </w:rPr>
      </w:pPr>
      <w:r w:rsidRPr="001964BE">
        <w:rPr>
          <w:rFonts w:eastAsia="Times New Roman" w:cs="Arial"/>
          <w:i/>
          <w:szCs w:val="24"/>
        </w:rPr>
        <w:t>Changes in the estimates</w:t>
      </w:r>
      <w:r w:rsidRPr="001964BE">
        <w:rPr>
          <w:rFonts w:eastAsia="Times New Roman" w:cs="Arial"/>
          <w:szCs w:val="24"/>
        </w:rPr>
        <w:t xml:space="preserve">: </w:t>
      </w:r>
      <w:r w:rsidRPr="001964BE">
        <w:t xml:space="preserve">There is an overall decrease of </w:t>
      </w:r>
      <w:r w:rsidRPr="001964BE">
        <w:rPr>
          <w:bCs/>
        </w:rPr>
        <w:t xml:space="preserve">514,832 </w:t>
      </w:r>
      <w:r w:rsidRPr="001964BE">
        <w:t xml:space="preserve">hours in the total respondent burden that is currently approved by OMB in this ICR. This decrease reflects changes in EPA's </w:t>
      </w:r>
      <w:r w:rsidRPr="001964BE">
        <w:rPr>
          <w:bCs/>
        </w:rPr>
        <w:t xml:space="preserve">estimates of the burden including: revisions to the estimated number of respondents based on recent data sources such as the American Housing Survey, Bureau of Labor Statistics, and the National Association of Realtors; changes in the housing market and related industries, primarily housing rentals with new occupants, and changes to the cost of </w:t>
      </w:r>
      <w:r w:rsidRPr="001964BE">
        <w:rPr>
          <w:bCs/>
        </w:rPr>
        <w:lastRenderedPageBreak/>
        <w:t xml:space="preserve">materials. Further details about these changes are included in this ICR </w:t>
      </w:r>
      <w:r w:rsidR="00FE1A62">
        <w:rPr>
          <w:bCs/>
        </w:rPr>
        <w:t>S</w:t>
      </w:r>
      <w:r w:rsidRPr="001964BE">
        <w:rPr>
          <w:bCs/>
        </w:rPr>
        <w:t xml:space="preserve">upporting </w:t>
      </w:r>
      <w:r w:rsidR="00FE1A62">
        <w:rPr>
          <w:bCs/>
        </w:rPr>
        <w:t>S</w:t>
      </w:r>
      <w:r w:rsidRPr="001964BE">
        <w:rPr>
          <w:bCs/>
        </w:rPr>
        <w:t>tatement.</w:t>
      </w:r>
      <w:r w:rsidRPr="001964BE">
        <w:t xml:space="preserve"> This change is an adjustment.</w:t>
      </w:r>
    </w:p>
    <w:p w14:paraId="19589705" w14:textId="03592443" w:rsidR="008B4785" w:rsidRPr="00025CEE" w:rsidRDefault="008B4785" w:rsidP="00D4779C">
      <w:pPr>
        <w:rPr>
          <w:rFonts w:cs="Arial"/>
          <w:color w:val="FF33CC"/>
          <w:lang w:bidi="en-US"/>
        </w:rPr>
      </w:pPr>
    </w:p>
    <w:p w14:paraId="76A65D93" w14:textId="77777777" w:rsidR="00E62F2E" w:rsidRPr="00025CEE" w:rsidRDefault="00E62F2E" w:rsidP="00AF4CFB">
      <w:pPr>
        <w:pStyle w:val="NoSpacing"/>
        <w:rPr>
          <w:color w:val="FF33CC"/>
          <w:lang w:bidi="en-US"/>
        </w:rPr>
      </w:pPr>
    </w:p>
    <w:p w14:paraId="6760CA89" w14:textId="77777777" w:rsidR="002B34A0" w:rsidRPr="00436731" w:rsidRDefault="00512823" w:rsidP="005B4F77">
      <w:pPr>
        <w:pStyle w:val="Heading1"/>
        <w:numPr>
          <w:ilvl w:val="0"/>
          <w:numId w:val="3"/>
        </w:numPr>
        <w:rPr>
          <w:sz w:val="24"/>
          <w:szCs w:val="24"/>
        </w:rPr>
      </w:pPr>
      <w:r w:rsidRPr="00436731">
        <w:rPr>
          <w:sz w:val="24"/>
          <w:szCs w:val="24"/>
        </w:rPr>
        <w:t>NECESSITY OF THE INFORMATION COLLECTION</w:t>
      </w:r>
    </w:p>
    <w:p w14:paraId="0746C69C" w14:textId="77777777" w:rsidR="00F40219" w:rsidRPr="00B14BF0" w:rsidRDefault="00F40219" w:rsidP="005B4F77">
      <w:pPr>
        <w:pStyle w:val="Heading2"/>
        <w:numPr>
          <w:ilvl w:val="1"/>
          <w:numId w:val="3"/>
        </w:numPr>
        <w:tabs>
          <w:tab w:val="left" w:pos="1080"/>
        </w:tabs>
      </w:pPr>
      <w:r w:rsidRPr="00B14BF0">
        <w:t>Related Legal and/or Administrative Requirements</w:t>
      </w:r>
    </w:p>
    <w:p w14:paraId="12DD83C5" w14:textId="77777777" w:rsidR="000C4228" w:rsidRDefault="008763E7" w:rsidP="00E65DB2">
      <w:pPr>
        <w:pStyle w:val="NoSpacing"/>
      </w:pPr>
      <w:r w:rsidRPr="00B14BF0">
        <w:t>The related legal authority is the Toxic Substances Control Act (TSCA), 15 U. S. C. 2601 et seq., with related requirements provided in 40 CFR part 745. The various applicable sections are provided in Attachment 1 and are briefly summarized here along with their implementing regulations, which are provided in Attachment 2.</w:t>
      </w:r>
      <w:r w:rsidR="000C4228">
        <w:t xml:space="preserve"> </w:t>
      </w:r>
      <w:r w:rsidR="00E65DB2" w:rsidRPr="00B14BF0">
        <w:t>TSCA section 401 defines target housing as any housing constructed before 1978 except housing for the elderly or disabled or 0-bedroom dwellings.</w:t>
      </w:r>
    </w:p>
    <w:p w14:paraId="50E175C2" w14:textId="74EBBDCE" w:rsidR="00E65DB2" w:rsidRPr="00B14BF0" w:rsidRDefault="00FE7F37" w:rsidP="00E65DB2">
      <w:pPr>
        <w:pStyle w:val="NoSpacing"/>
      </w:pPr>
      <w:r w:rsidRPr="00B14BF0">
        <w:t xml:space="preserve"> </w:t>
      </w:r>
    </w:p>
    <w:p w14:paraId="0C023E82" w14:textId="478754F2" w:rsidR="00270944" w:rsidRPr="00B14BF0" w:rsidRDefault="00E65DB2" w:rsidP="00270944">
      <w:r w:rsidRPr="00B14BF0">
        <w:t>The current regulations in 40 CFR part 745, subpart</w:t>
      </w:r>
      <w:r w:rsidR="000C4228">
        <w:t xml:space="preserve"> F </w:t>
      </w:r>
      <w:r w:rsidRPr="00B14BF0">
        <w:t>cover</w:t>
      </w:r>
      <w:r w:rsidR="00462B1A" w:rsidRPr="00B14BF0">
        <w:t xml:space="preserve"> </w:t>
      </w:r>
      <w:r w:rsidR="001F2B45" w:rsidRPr="00B14BF0">
        <w:t xml:space="preserve">the types of </w:t>
      </w:r>
      <w:r w:rsidR="00252BE8" w:rsidRPr="00B14BF0">
        <w:t xml:space="preserve">regulated </w:t>
      </w:r>
      <w:r w:rsidR="001F2B45" w:rsidRPr="00B14BF0">
        <w:t>sale and lease transactions in target housing, the disclosure</w:t>
      </w:r>
      <w:r w:rsidR="00252BE8" w:rsidRPr="00B14BF0">
        <w:t xml:space="preserve"> requirements</w:t>
      </w:r>
      <w:r w:rsidR="001F2B45" w:rsidRPr="00B14BF0">
        <w:t xml:space="preserve">, and </w:t>
      </w:r>
      <w:r w:rsidR="00A42D89" w:rsidRPr="00B14BF0">
        <w:t xml:space="preserve">the </w:t>
      </w:r>
      <w:r w:rsidR="001F2B45" w:rsidRPr="00B14BF0">
        <w:t>recordkeeping requirements.</w:t>
      </w:r>
    </w:p>
    <w:p w14:paraId="4D24C975" w14:textId="27C41D2D" w:rsidR="00AB22ED" w:rsidRPr="00B14BF0" w:rsidRDefault="00270944" w:rsidP="00AB22ED">
      <w:pPr>
        <w:pStyle w:val="NoSpacing"/>
        <w:spacing w:before="200"/>
        <w:rPr>
          <w:lang w:bidi="en-US"/>
        </w:rPr>
      </w:pPr>
      <w:r w:rsidRPr="00B14BF0">
        <w:rPr>
          <w:lang w:bidi="en-US"/>
        </w:rPr>
        <w:t xml:space="preserve">In addition, </w:t>
      </w:r>
      <w:r w:rsidR="00DE3EB7" w:rsidRPr="00B14BF0">
        <w:rPr>
          <w:lang w:bidi="en-US"/>
        </w:rPr>
        <w:t xml:space="preserve">the </w:t>
      </w:r>
      <w:r w:rsidRPr="00B14BF0">
        <w:rPr>
          <w:lang w:bidi="en-US"/>
        </w:rPr>
        <w:t xml:space="preserve">EPA has developed extensive guidance and other materials that are available at </w:t>
      </w:r>
      <w:hyperlink r:id="rId12" w:history="1">
        <w:r w:rsidR="00BE5F80" w:rsidRPr="00B14BF0">
          <w:rPr>
            <w:rStyle w:val="Hyperlink"/>
            <w:color w:val="auto"/>
            <w:lang w:bidi="en-US"/>
          </w:rPr>
          <w:t>http://www.epa.gov/lead</w:t>
        </w:r>
      </w:hyperlink>
      <w:r w:rsidRPr="00B14BF0">
        <w:rPr>
          <w:lang w:bidi="en-US"/>
        </w:rPr>
        <w:t>.</w:t>
      </w:r>
    </w:p>
    <w:p w14:paraId="17516B3E" w14:textId="77777777" w:rsidR="00AB22ED" w:rsidRPr="00F42B5F" w:rsidRDefault="00AB22ED" w:rsidP="00AB22ED">
      <w:pPr>
        <w:pStyle w:val="NoSpacing"/>
        <w:spacing w:before="200"/>
        <w:rPr>
          <w:lang w:bidi="en-US"/>
        </w:rPr>
      </w:pPr>
      <w:r w:rsidRPr="00F42B5F">
        <w:t>The following provides a general overview for requirements covered in this ICR for each entity:</w:t>
      </w:r>
    </w:p>
    <w:p w14:paraId="298BE5EB" w14:textId="7C1DA444" w:rsidR="00AB22ED" w:rsidRPr="00F42B5F" w:rsidRDefault="00AB22ED" w:rsidP="00AB22ED"/>
    <w:p w14:paraId="269DC40B" w14:textId="137EE5C6" w:rsidR="00614C2F" w:rsidRPr="00DE3A26" w:rsidRDefault="00614C2F" w:rsidP="00614C2F">
      <w:pPr>
        <w:tabs>
          <w:tab w:val="left" w:pos="720"/>
        </w:tabs>
      </w:pPr>
      <w:r w:rsidRPr="00F42B5F">
        <w:rPr>
          <w:b/>
        </w:rPr>
        <w:t>Sellers of Pre</w:t>
      </w:r>
      <w:r w:rsidRPr="00F42B5F">
        <w:rPr>
          <w:b/>
        </w:rPr>
        <w:noBreakHyphen/>
        <w:t>1978 Residential Housing</w:t>
      </w:r>
      <w:r w:rsidRPr="00F42B5F">
        <w:t>:  The rule requires that sellers of pre</w:t>
      </w:r>
      <w:r w:rsidRPr="00F42B5F">
        <w:noBreakHyphen/>
        <w:t xml:space="preserve">1978 housing (1) provide a lead hazard information pamphlet to contract offerors, </w:t>
      </w:r>
      <w:r w:rsidRPr="00DE3A26">
        <w:t>and (2) complete and attach a disclosure</w:t>
      </w:r>
      <w:r w:rsidR="000D590F">
        <w:t xml:space="preserve"> form to their sales contracts.</w:t>
      </w:r>
      <w:r w:rsidRPr="00DE3A26">
        <w:t xml:space="preserve"> A sample form is provided in the preamble to the regulations, but only the information elements are required, each respon</w:t>
      </w:r>
      <w:r w:rsidR="000D590F">
        <w:t xml:space="preserve">dent can develop its own form. </w:t>
      </w:r>
      <w:r w:rsidRPr="00DE3A26">
        <w:t>The form must be signed by the seller, purchaser, and any agent(s) acting on behalf of the seller.</w:t>
      </w:r>
    </w:p>
    <w:p w14:paraId="0D7691F9" w14:textId="77777777" w:rsidR="00614C2F" w:rsidRDefault="00614C2F" w:rsidP="00614C2F"/>
    <w:p w14:paraId="18CAA4DF" w14:textId="2C5A28E8" w:rsidR="00614C2F" w:rsidRDefault="00614C2F" w:rsidP="00614C2F">
      <w:r w:rsidRPr="00614C2F">
        <w:rPr>
          <w:b/>
        </w:rPr>
        <w:t>Lessors of Pre</w:t>
      </w:r>
      <w:r w:rsidRPr="00614C2F">
        <w:rPr>
          <w:b/>
        </w:rPr>
        <w:noBreakHyphen/>
        <w:t>1978 Residential Housing</w:t>
      </w:r>
      <w:r>
        <w:t>:  The rule requires lessors of pre</w:t>
      </w:r>
      <w:r>
        <w:noBreakHyphen/>
        <w:t>1978 housing to (1) provide a l</w:t>
      </w:r>
      <w:r w:rsidRPr="000F522A">
        <w:t xml:space="preserve">ead </w:t>
      </w:r>
      <w:r>
        <w:t>h</w:t>
      </w:r>
      <w:r w:rsidRPr="000F522A">
        <w:t xml:space="preserve">azard </w:t>
      </w:r>
      <w:r>
        <w:t>i</w:t>
      </w:r>
      <w:r w:rsidRPr="000F522A">
        <w:t xml:space="preserve">nformation </w:t>
      </w:r>
      <w:r>
        <w:t>p</w:t>
      </w:r>
      <w:r w:rsidRPr="000F522A">
        <w:t>amphlet</w:t>
      </w:r>
      <w:r>
        <w:t xml:space="preserve"> to lessees, and (2) complete and attach a disclosure f</w:t>
      </w:r>
      <w:r w:rsidR="000D590F">
        <w:t>orm to their leasing contracts.</w:t>
      </w:r>
      <w:r>
        <w:t xml:space="preserve"> Again, while a sample form is provided, each respondent is per</w:t>
      </w:r>
      <w:r w:rsidR="000D590F">
        <w:t>mitted to develop its own form.</w:t>
      </w:r>
      <w:r>
        <w:t xml:space="preserve"> The form must be signed by the lessor and any agent(s) </w:t>
      </w:r>
      <w:r w:rsidR="000D590F">
        <w:t>acting on behalf of the lessor.</w:t>
      </w:r>
      <w:r>
        <w:t xml:space="preserve"> The form must then be retained by the lessor, and any agents acting on their behalf.</w:t>
      </w:r>
    </w:p>
    <w:p w14:paraId="3123C752" w14:textId="77777777" w:rsidR="00614C2F" w:rsidRDefault="00614C2F" w:rsidP="00614C2F">
      <w:r>
        <w:t xml:space="preserve"> </w:t>
      </w:r>
    </w:p>
    <w:p w14:paraId="44A25321" w14:textId="77777777" w:rsidR="00614C2F" w:rsidRDefault="00614C2F" w:rsidP="00614C2F">
      <w:r w:rsidRPr="00F42B5F">
        <w:rPr>
          <w:b/>
        </w:rPr>
        <w:t>Agents Acting On Behalf of Sellers or Lessors</w:t>
      </w:r>
      <w:r>
        <w:t>:  Section 1018 of the Act specifically directs EPA to require agents acting on behalf of sellers or lessors to ensure compliance with the disclosure regulations.</w:t>
      </w:r>
    </w:p>
    <w:p w14:paraId="225BF7A0" w14:textId="77777777" w:rsidR="00614C2F" w:rsidRDefault="00614C2F" w:rsidP="00614C2F"/>
    <w:p w14:paraId="3D377869" w14:textId="63439A2A" w:rsidR="00614C2F" w:rsidRPr="00F42B5F" w:rsidRDefault="00614C2F" w:rsidP="00614C2F">
      <w:r>
        <w:t xml:space="preserve">EPA and HUD </w:t>
      </w:r>
      <w:r w:rsidRPr="00F936EE">
        <w:t>jointly administer and enforce the rule</w:t>
      </w:r>
      <w:r>
        <w:t>, and</w:t>
      </w:r>
      <w:r w:rsidRPr="00F936EE">
        <w:t xml:space="preserve"> </w:t>
      </w:r>
      <w:r>
        <w:t>have agreed to maintain a single ICR for these info</w:t>
      </w:r>
      <w:r w:rsidR="000D590F">
        <w:t xml:space="preserve">rmation collection activities. </w:t>
      </w:r>
      <w:r>
        <w:t xml:space="preserve">EPA will take the lead in preparing the </w:t>
      </w:r>
      <w:r w:rsidRPr="00F42B5F">
        <w:t>necessary documentation for renewals.</w:t>
      </w:r>
    </w:p>
    <w:p w14:paraId="5D1A06A5" w14:textId="6874DC0A" w:rsidR="00F40219" w:rsidRPr="00F42B5F" w:rsidRDefault="00F40219" w:rsidP="00F40219"/>
    <w:p w14:paraId="4A7DC334" w14:textId="77777777" w:rsidR="005B4F77" w:rsidRPr="00F42B5F" w:rsidRDefault="005B4F77" w:rsidP="005B4F77">
      <w:pPr>
        <w:pStyle w:val="Heading2"/>
        <w:numPr>
          <w:ilvl w:val="1"/>
          <w:numId w:val="3"/>
        </w:numPr>
        <w:tabs>
          <w:tab w:val="left" w:pos="1080"/>
        </w:tabs>
      </w:pPr>
      <w:r w:rsidRPr="00F42B5F">
        <w:t>Necessity of the Information Collection</w:t>
      </w:r>
    </w:p>
    <w:p w14:paraId="55B684DF" w14:textId="3DF36EEC" w:rsidR="005A7AEA" w:rsidRPr="00200EAC" w:rsidRDefault="00270944" w:rsidP="002B34A0">
      <w:pPr>
        <w:rPr>
          <w:lang w:bidi="en-US"/>
        </w:rPr>
      </w:pPr>
      <w:r w:rsidRPr="00F42B5F">
        <w:rPr>
          <w:lang w:bidi="en-US"/>
        </w:rPr>
        <w:t>The information collection activities covered by this ICR are necessary components of the Lead Program established under the TSCA mandates</w:t>
      </w:r>
      <w:r w:rsidR="00EC3C02" w:rsidRPr="00F42B5F">
        <w:rPr>
          <w:lang w:bidi="en-US"/>
        </w:rPr>
        <w:t xml:space="preserve"> discussed in section 2(a) of this </w:t>
      </w:r>
      <w:r w:rsidR="00FE1A62">
        <w:rPr>
          <w:lang w:bidi="en-US"/>
        </w:rPr>
        <w:t>S</w:t>
      </w:r>
      <w:r w:rsidR="00EC3C02" w:rsidRPr="00200EAC">
        <w:rPr>
          <w:lang w:bidi="en-US"/>
        </w:rPr>
        <w:t xml:space="preserve">upporting </w:t>
      </w:r>
      <w:r w:rsidR="00FE1A62">
        <w:rPr>
          <w:lang w:bidi="en-US"/>
        </w:rPr>
        <w:t>S</w:t>
      </w:r>
      <w:r w:rsidR="00EC3C02" w:rsidRPr="00200EAC">
        <w:rPr>
          <w:lang w:bidi="en-US"/>
        </w:rPr>
        <w:t>tatement</w:t>
      </w:r>
      <w:r w:rsidRPr="00200EAC">
        <w:rPr>
          <w:lang w:bidi="en-US"/>
        </w:rPr>
        <w:t>.</w:t>
      </w:r>
    </w:p>
    <w:p w14:paraId="561436D4" w14:textId="77777777" w:rsidR="00EC3C02" w:rsidRPr="00200EAC" w:rsidRDefault="00EC3C02" w:rsidP="002C66D1">
      <w:pPr>
        <w:pStyle w:val="NoSpacing"/>
        <w:rPr>
          <w:lang w:bidi="en-US"/>
        </w:rPr>
      </w:pPr>
    </w:p>
    <w:p w14:paraId="4337A05A" w14:textId="3B106771" w:rsidR="008648B5" w:rsidRPr="00200EAC" w:rsidRDefault="00F42B5F" w:rsidP="008648B5">
      <w:r w:rsidRPr="00200EAC">
        <w:t>The third party disclosure requirements that are contained in the regulations are specifically mandated by section 1018 of the Act. The recordkeeping requirements contained in the regulations are necessary for ensuring compliance with the provisions of the regulations.</w:t>
      </w:r>
    </w:p>
    <w:p w14:paraId="7475D62C" w14:textId="77777777" w:rsidR="00F42B5F" w:rsidRPr="00200EAC" w:rsidRDefault="00F42B5F" w:rsidP="00F42B5F">
      <w:pPr>
        <w:pStyle w:val="NoSpacing"/>
      </w:pPr>
    </w:p>
    <w:p w14:paraId="480F715D" w14:textId="77777777" w:rsidR="008648B5" w:rsidRPr="00200EAC" w:rsidRDefault="008648B5" w:rsidP="008648B5">
      <w:pPr>
        <w:pStyle w:val="Heading2"/>
        <w:numPr>
          <w:ilvl w:val="1"/>
          <w:numId w:val="3"/>
        </w:numPr>
        <w:tabs>
          <w:tab w:val="left" w:pos="1080"/>
        </w:tabs>
      </w:pPr>
      <w:r w:rsidRPr="00200EAC">
        <w:t>Uses, Users, and Purpose of the Information Collection</w:t>
      </w:r>
    </w:p>
    <w:p w14:paraId="5A3A20F7" w14:textId="49AF6C07" w:rsidR="00AB22ED" w:rsidRPr="00200EAC" w:rsidRDefault="00AB22ED" w:rsidP="00200EAC">
      <w:r w:rsidRPr="00200EAC">
        <w:rPr>
          <w:b/>
        </w:rPr>
        <w:t>Owners</w:t>
      </w:r>
      <w:r w:rsidR="00200EAC" w:rsidRPr="00200EAC">
        <w:rPr>
          <w:b/>
        </w:rPr>
        <w:t>/</w:t>
      </w:r>
      <w:r w:rsidRPr="00200EAC">
        <w:rPr>
          <w:b/>
        </w:rPr>
        <w:t>Occupants of target housing.</w:t>
      </w:r>
      <w:r w:rsidRPr="00200EAC">
        <w:t xml:space="preserve"> </w:t>
      </w:r>
      <w:r w:rsidR="00200EAC" w:rsidRPr="00200EAC">
        <w:t>The third party disclosure requirements attempt to ensure that families receive both specific information on the housing’s lead history and general information on lead exposure prevention. With this information, consumers may be able to make more informed decisions concerning home purchase, lease, and maintenance to protect families from lead hazard exposure.</w:t>
      </w:r>
    </w:p>
    <w:p w14:paraId="61920D53" w14:textId="77777777" w:rsidR="00200EAC" w:rsidRPr="00200EAC" w:rsidRDefault="00200EAC" w:rsidP="00200EAC">
      <w:pPr>
        <w:pStyle w:val="NoSpacing"/>
      </w:pPr>
    </w:p>
    <w:p w14:paraId="51144265" w14:textId="1FA2E99E" w:rsidR="00200EAC" w:rsidRPr="00200EAC" w:rsidRDefault="00AB22ED" w:rsidP="00200EAC">
      <w:pPr>
        <w:rPr>
          <w:b/>
          <w:bCs/>
        </w:rPr>
      </w:pPr>
      <w:r w:rsidRPr="00200EAC">
        <w:rPr>
          <w:b/>
        </w:rPr>
        <w:t>EPA</w:t>
      </w:r>
      <w:r w:rsidR="00200EAC" w:rsidRPr="00200EAC">
        <w:rPr>
          <w:b/>
        </w:rPr>
        <w:t>, HUD, Local Governments</w:t>
      </w:r>
      <w:r w:rsidRPr="00200EAC">
        <w:rPr>
          <w:b/>
        </w:rPr>
        <w:t>.</w:t>
      </w:r>
      <w:r w:rsidRPr="00200EAC">
        <w:t xml:space="preserve"> </w:t>
      </w:r>
      <w:r w:rsidR="00200EAC" w:rsidRPr="00200EAC">
        <w:t>The recordkeeping requirements enable EPA and HUD, as well as tribal governments, state and local regulators and the courts, to both determine compliance and effectively enforce section 1018 and the provisions of the rule. In addition, the Act provides a private cause of action for persons harmed by violations of section 1018, and records kept pursuant to this rule may be important evidence for these parties.</w:t>
      </w:r>
    </w:p>
    <w:p w14:paraId="075EF88A" w14:textId="6884FE14" w:rsidR="00AB22ED" w:rsidRPr="00200EAC" w:rsidRDefault="00AB22ED" w:rsidP="00200EAC"/>
    <w:p w14:paraId="5CE614BC" w14:textId="77777777" w:rsidR="00512823" w:rsidRPr="00200EAC" w:rsidRDefault="00512823" w:rsidP="00512823"/>
    <w:p w14:paraId="01B654DB" w14:textId="77777777" w:rsidR="00E33A13" w:rsidRPr="00200EAC" w:rsidRDefault="00512823" w:rsidP="00E33A13">
      <w:pPr>
        <w:pStyle w:val="Heading2"/>
        <w:numPr>
          <w:ilvl w:val="0"/>
          <w:numId w:val="3"/>
        </w:numPr>
        <w:tabs>
          <w:tab w:val="left" w:pos="1080"/>
        </w:tabs>
      </w:pPr>
      <w:r w:rsidRPr="00200EAC">
        <w:t>NON-DUPLICATION, CONSULTATIONS, AND OTHER COLLECTION CRITERIA</w:t>
      </w:r>
    </w:p>
    <w:p w14:paraId="4AE1FFE5" w14:textId="77777777" w:rsidR="00512823" w:rsidRPr="00200EAC" w:rsidRDefault="00512823" w:rsidP="00E33A13">
      <w:pPr>
        <w:pStyle w:val="Heading2"/>
        <w:numPr>
          <w:ilvl w:val="1"/>
          <w:numId w:val="3"/>
        </w:numPr>
        <w:tabs>
          <w:tab w:val="left" w:pos="1080"/>
        </w:tabs>
      </w:pPr>
      <w:r w:rsidRPr="00200EAC">
        <w:t>Non-Duplication</w:t>
      </w:r>
    </w:p>
    <w:p w14:paraId="5F21EA48" w14:textId="6EB6D8E4" w:rsidR="00E33A13" w:rsidRDefault="00F42B5F" w:rsidP="00E33A13">
      <w:r w:rsidRPr="00200EAC">
        <w:t xml:space="preserve">The third party disclosure and recordkeeping </w:t>
      </w:r>
      <w:r>
        <w:t>requirements covered by this ICR are unique and are not in any way duplicated by another information collection activity.</w:t>
      </w:r>
    </w:p>
    <w:p w14:paraId="77ABA4D3" w14:textId="77777777" w:rsidR="00200EAC" w:rsidRPr="00200EAC" w:rsidRDefault="00200EAC" w:rsidP="00200EAC">
      <w:pPr>
        <w:pStyle w:val="NoSpacing"/>
      </w:pPr>
    </w:p>
    <w:p w14:paraId="3325B056" w14:textId="01EA0404" w:rsidR="00512823" w:rsidRPr="00B14BF0" w:rsidRDefault="00512823" w:rsidP="00E33A13">
      <w:pPr>
        <w:pStyle w:val="Heading2"/>
        <w:numPr>
          <w:ilvl w:val="1"/>
          <w:numId w:val="3"/>
        </w:numPr>
        <w:tabs>
          <w:tab w:val="left" w:pos="1080"/>
        </w:tabs>
      </w:pPr>
      <w:r w:rsidRPr="00B14BF0">
        <w:t>Public Comments</w:t>
      </w:r>
    </w:p>
    <w:p w14:paraId="47EAA776" w14:textId="1F7843C3" w:rsidR="00512823" w:rsidRDefault="00512823" w:rsidP="00512823">
      <w:pPr>
        <w:numPr>
          <w:ilvl w:val="12"/>
          <w:numId w:val="0"/>
        </w:numPr>
      </w:pPr>
      <w:r w:rsidRPr="00B14BF0">
        <w:t xml:space="preserve">In </w:t>
      </w:r>
      <w:r w:rsidR="009859F3">
        <w:t>proposing to renew this ICR, EPA provided a 60-day public notice and comment period that ended on February 20, 2018 (82 FR 60396, December 20, 2017). EPA received one comment from the National Association of Realtors during the comment period. Copies of the public comment and of EPA’s response to the public comment appear in Attachment 7.</w:t>
      </w:r>
    </w:p>
    <w:p w14:paraId="63CC4B68" w14:textId="0FD27464" w:rsidR="00340C54" w:rsidRDefault="00340C54" w:rsidP="00340C54">
      <w:pPr>
        <w:pStyle w:val="NoSpacing"/>
      </w:pPr>
    </w:p>
    <w:p w14:paraId="17C7E80A" w14:textId="178300CD" w:rsidR="00340C54" w:rsidRDefault="00340C54" w:rsidP="00340C54">
      <w:pPr>
        <w:pStyle w:val="NoSpacing"/>
      </w:pPr>
    </w:p>
    <w:p w14:paraId="17C26D60" w14:textId="5BA2CCFC" w:rsidR="00340C54" w:rsidRDefault="00340C54" w:rsidP="00340C54">
      <w:pPr>
        <w:pStyle w:val="NoSpacing"/>
      </w:pPr>
    </w:p>
    <w:p w14:paraId="0F9ECF91" w14:textId="79F23B11" w:rsidR="00340C54" w:rsidRDefault="00340C54" w:rsidP="00340C54">
      <w:pPr>
        <w:pStyle w:val="NoSpacing"/>
      </w:pPr>
    </w:p>
    <w:p w14:paraId="5CD0E1AD" w14:textId="47BA11CC" w:rsidR="00340C54" w:rsidRDefault="00340C54" w:rsidP="00340C54">
      <w:pPr>
        <w:pStyle w:val="NoSpacing"/>
      </w:pPr>
    </w:p>
    <w:p w14:paraId="4849AC21" w14:textId="322A3CBC" w:rsidR="00340C54" w:rsidRDefault="00340C54" w:rsidP="00340C54">
      <w:pPr>
        <w:pStyle w:val="NoSpacing"/>
      </w:pPr>
    </w:p>
    <w:p w14:paraId="1968D223" w14:textId="3DA0300D" w:rsidR="00340C54" w:rsidRDefault="00340C54" w:rsidP="00340C54">
      <w:pPr>
        <w:pStyle w:val="NoSpacing"/>
      </w:pPr>
    </w:p>
    <w:p w14:paraId="4560294E" w14:textId="466176BA" w:rsidR="00340C54" w:rsidRDefault="00340C54" w:rsidP="00340C54">
      <w:pPr>
        <w:pStyle w:val="NoSpacing"/>
      </w:pPr>
    </w:p>
    <w:p w14:paraId="241498AF" w14:textId="77777777" w:rsidR="00340C54" w:rsidRPr="00340C54" w:rsidRDefault="00340C54" w:rsidP="00340C54">
      <w:pPr>
        <w:pStyle w:val="NoSpacing"/>
      </w:pPr>
    </w:p>
    <w:p w14:paraId="10273A01" w14:textId="77777777" w:rsidR="00BD46DF" w:rsidRPr="00025CEE" w:rsidRDefault="00BD46DF" w:rsidP="00BD46DF">
      <w:pPr>
        <w:pStyle w:val="NoSpacing"/>
        <w:rPr>
          <w:color w:val="FF33CC"/>
        </w:rPr>
      </w:pPr>
    </w:p>
    <w:p w14:paraId="7E5FB5E9" w14:textId="338205F2" w:rsidR="00512823" w:rsidRPr="00200EAC" w:rsidRDefault="009859F3" w:rsidP="00E33A13">
      <w:pPr>
        <w:pStyle w:val="Heading2"/>
        <w:numPr>
          <w:ilvl w:val="1"/>
          <w:numId w:val="3"/>
        </w:numPr>
        <w:tabs>
          <w:tab w:val="left" w:pos="1080"/>
        </w:tabs>
        <w:rPr>
          <w:szCs w:val="24"/>
        </w:rPr>
      </w:pPr>
      <w:r>
        <w:rPr>
          <w:szCs w:val="24"/>
        </w:rPr>
        <w:t xml:space="preserve">Consultations </w:t>
      </w:r>
    </w:p>
    <w:p w14:paraId="2E183CAF" w14:textId="77777777" w:rsidR="009859F3" w:rsidRDefault="009859F3" w:rsidP="009859F3">
      <w:r>
        <w:t xml:space="preserve">Additionally, under 5 CFR 1320.8(d)(1), OMB requires agencies to consult with </w:t>
      </w:r>
    </w:p>
    <w:p w14:paraId="72DCE27C" w14:textId="46B29CC8" w:rsidR="009859F3" w:rsidRDefault="009859F3" w:rsidP="009859F3">
      <w:r>
        <w:t xml:space="preserve">potential ICR respondents and data users about specific aspects of ICRs before </w:t>
      </w:r>
    </w:p>
    <w:p w14:paraId="1EE991E1" w14:textId="491BEEF6" w:rsidR="009859F3" w:rsidRDefault="009859F3" w:rsidP="009859F3">
      <w:r>
        <w:t xml:space="preserve">submitting an ICR to OMB for review and approval. In accordance with this regulation, </w:t>
      </w:r>
    </w:p>
    <w:p w14:paraId="018E2EB2" w14:textId="5764F4C0" w:rsidR="009859F3" w:rsidRDefault="009859F3" w:rsidP="009859F3">
      <w:r>
        <w:t xml:space="preserve">EPA submitted questions to several interested parties via e-mail. The individuals </w:t>
      </w:r>
    </w:p>
    <w:p w14:paraId="5626B1C0" w14:textId="691C750D" w:rsidR="00DB7F57" w:rsidRDefault="009859F3" w:rsidP="009859F3">
      <w:r>
        <w:t>contacted were:</w:t>
      </w:r>
    </w:p>
    <w:p w14:paraId="5C0CCEE2" w14:textId="75286ADB" w:rsidR="009859F3" w:rsidRDefault="009859F3" w:rsidP="009859F3">
      <w:pPr>
        <w:pStyle w:val="NoSpacing"/>
      </w:pPr>
    </w:p>
    <w:p w14:paraId="0D993522" w14:textId="77777777" w:rsidR="00C039EE" w:rsidRDefault="00C039EE" w:rsidP="00C039EE">
      <w:pPr>
        <w:pStyle w:val="NoSpacing"/>
      </w:pPr>
      <w:r>
        <w:t>Russell Riggs</w:t>
      </w:r>
    </w:p>
    <w:p w14:paraId="499814D8" w14:textId="77777777" w:rsidR="00C039EE" w:rsidRDefault="00C039EE" w:rsidP="00C039EE">
      <w:pPr>
        <w:pStyle w:val="NoSpacing"/>
      </w:pPr>
      <w:r>
        <w:t>National Association of Realtors</w:t>
      </w:r>
    </w:p>
    <w:p w14:paraId="6A6484D9" w14:textId="77777777" w:rsidR="00C039EE" w:rsidRDefault="00C039EE" w:rsidP="00C039EE">
      <w:pPr>
        <w:pStyle w:val="NoSpacing"/>
      </w:pPr>
      <w:r>
        <w:t xml:space="preserve">rriggs@realtors.org </w:t>
      </w:r>
    </w:p>
    <w:p w14:paraId="2D4965A1" w14:textId="77777777" w:rsidR="00C039EE" w:rsidRDefault="00C039EE" w:rsidP="00C039EE">
      <w:pPr>
        <w:pStyle w:val="NoSpacing"/>
      </w:pPr>
      <w:r>
        <w:t>(202) 383-1259</w:t>
      </w:r>
    </w:p>
    <w:p w14:paraId="73CCA16F" w14:textId="77777777" w:rsidR="00C039EE" w:rsidRDefault="00C039EE" w:rsidP="00C039EE">
      <w:pPr>
        <w:pStyle w:val="NoSpacing"/>
      </w:pPr>
    </w:p>
    <w:p w14:paraId="0C5A1843" w14:textId="77777777" w:rsidR="00C039EE" w:rsidRDefault="00C039EE" w:rsidP="00C039EE">
      <w:pPr>
        <w:pStyle w:val="NoSpacing"/>
      </w:pPr>
      <w:r>
        <w:t>Eileen Lee</w:t>
      </w:r>
    </w:p>
    <w:p w14:paraId="77617C68" w14:textId="77777777" w:rsidR="00C039EE" w:rsidRDefault="00C039EE" w:rsidP="00C039EE">
      <w:pPr>
        <w:pStyle w:val="NoSpacing"/>
      </w:pPr>
      <w:r>
        <w:t>National Multi Housing Council</w:t>
      </w:r>
    </w:p>
    <w:p w14:paraId="71EE9937" w14:textId="77777777" w:rsidR="00C039EE" w:rsidRDefault="00C039EE" w:rsidP="00C039EE">
      <w:pPr>
        <w:pStyle w:val="NoSpacing"/>
      </w:pPr>
      <w:r>
        <w:t xml:space="preserve">elee@nmhc.org </w:t>
      </w:r>
    </w:p>
    <w:p w14:paraId="6978C17F" w14:textId="77777777" w:rsidR="00C039EE" w:rsidRDefault="00C039EE" w:rsidP="00C039EE">
      <w:pPr>
        <w:pStyle w:val="NoSpacing"/>
      </w:pPr>
      <w:r>
        <w:t>(202) 974-2326</w:t>
      </w:r>
    </w:p>
    <w:p w14:paraId="58A42257" w14:textId="77777777" w:rsidR="00C039EE" w:rsidRDefault="00C039EE" w:rsidP="00C039EE">
      <w:pPr>
        <w:pStyle w:val="NoSpacing"/>
      </w:pPr>
    </w:p>
    <w:p w14:paraId="2BC65174" w14:textId="77777777" w:rsidR="00C039EE" w:rsidRDefault="00C039EE" w:rsidP="00C039EE">
      <w:pPr>
        <w:pStyle w:val="NoSpacing"/>
      </w:pPr>
      <w:r>
        <w:t xml:space="preserve">Judy Sullivan </w:t>
      </w:r>
    </w:p>
    <w:p w14:paraId="722F8D8E" w14:textId="77777777" w:rsidR="00C039EE" w:rsidRDefault="00C039EE" w:rsidP="00C039EE">
      <w:pPr>
        <w:pStyle w:val="NoSpacing"/>
      </w:pPr>
      <w:r>
        <w:t>Government Relations Representative</w:t>
      </w:r>
    </w:p>
    <w:p w14:paraId="25566631" w14:textId="77777777" w:rsidR="00C039EE" w:rsidRDefault="00C039EE" w:rsidP="00C039EE">
      <w:pPr>
        <w:pStyle w:val="NoSpacing"/>
      </w:pPr>
      <w:r>
        <w:t>National Association of Housing Cooperative</w:t>
      </w:r>
    </w:p>
    <w:p w14:paraId="7E9B24F6" w14:textId="77777777" w:rsidR="00C039EE" w:rsidRDefault="00C039EE" w:rsidP="00C039EE">
      <w:pPr>
        <w:pStyle w:val="NoSpacing"/>
      </w:pPr>
      <w:r>
        <w:t xml:space="preserve">jsullivan@nahc.coop </w:t>
      </w:r>
    </w:p>
    <w:p w14:paraId="20E5F64B" w14:textId="77777777" w:rsidR="00C039EE" w:rsidRDefault="00C039EE" w:rsidP="00C039EE">
      <w:pPr>
        <w:pStyle w:val="NoSpacing"/>
      </w:pPr>
      <w:r>
        <w:t xml:space="preserve"> (202) 737-0797</w:t>
      </w:r>
    </w:p>
    <w:p w14:paraId="312657B7" w14:textId="77777777" w:rsidR="00C039EE" w:rsidRDefault="00C039EE" w:rsidP="00C039EE">
      <w:pPr>
        <w:pStyle w:val="NoSpacing"/>
      </w:pPr>
    </w:p>
    <w:p w14:paraId="26FFD15D" w14:textId="77777777" w:rsidR="00C039EE" w:rsidRDefault="00C039EE" w:rsidP="00C039EE">
      <w:pPr>
        <w:pStyle w:val="NoSpacing"/>
      </w:pPr>
      <w:r>
        <w:t>Gail Phillips</w:t>
      </w:r>
    </w:p>
    <w:p w14:paraId="3F0F9402" w14:textId="77777777" w:rsidR="00C039EE" w:rsidRDefault="00C039EE" w:rsidP="00C039EE">
      <w:pPr>
        <w:pStyle w:val="NoSpacing"/>
      </w:pPr>
      <w:r>
        <w:t>National Association of Residential Property Managers</w:t>
      </w:r>
    </w:p>
    <w:p w14:paraId="53ADE58B" w14:textId="77777777" w:rsidR="00C039EE" w:rsidRDefault="00C039EE" w:rsidP="00C039EE">
      <w:pPr>
        <w:pStyle w:val="NoSpacing"/>
      </w:pPr>
      <w:r>
        <w:t xml:space="preserve">gphillips@narpm.org </w:t>
      </w:r>
    </w:p>
    <w:p w14:paraId="514BF703" w14:textId="77777777" w:rsidR="00C039EE" w:rsidRDefault="00C039EE" w:rsidP="00C039EE">
      <w:pPr>
        <w:pStyle w:val="NoSpacing"/>
      </w:pPr>
      <w:r>
        <w:t>(800) 782-3452 x116</w:t>
      </w:r>
    </w:p>
    <w:p w14:paraId="6A500F0B" w14:textId="77777777" w:rsidR="00C039EE" w:rsidRDefault="00C039EE" w:rsidP="00C039EE">
      <w:pPr>
        <w:pStyle w:val="NoSpacing"/>
      </w:pPr>
    </w:p>
    <w:p w14:paraId="1C5E1AD9" w14:textId="77777777" w:rsidR="00C039EE" w:rsidRDefault="00C039EE" w:rsidP="00C039EE">
      <w:pPr>
        <w:pStyle w:val="NoSpacing"/>
      </w:pPr>
      <w:r>
        <w:t>David E. Jacobs</w:t>
      </w:r>
    </w:p>
    <w:p w14:paraId="6138C85A" w14:textId="77777777" w:rsidR="00C039EE" w:rsidRDefault="00C039EE" w:rsidP="00C039EE">
      <w:pPr>
        <w:pStyle w:val="NoSpacing"/>
      </w:pPr>
      <w:r>
        <w:t>National Center for Healthy Housing</w:t>
      </w:r>
    </w:p>
    <w:p w14:paraId="5A6B1683" w14:textId="77777777" w:rsidR="00C039EE" w:rsidRDefault="00C039EE" w:rsidP="00C039EE">
      <w:pPr>
        <w:pStyle w:val="NoSpacing"/>
      </w:pPr>
      <w:r>
        <w:t xml:space="preserve">djacobs@nchh.org </w:t>
      </w:r>
    </w:p>
    <w:p w14:paraId="0AD2129B" w14:textId="1FB18F26" w:rsidR="009859F3" w:rsidRDefault="00C039EE" w:rsidP="00C039EE">
      <w:pPr>
        <w:pStyle w:val="NoSpacing"/>
      </w:pPr>
      <w:r>
        <w:t>(410) 992-0712</w:t>
      </w:r>
    </w:p>
    <w:p w14:paraId="79CD75F3" w14:textId="1E44BCC3" w:rsidR="00340C54" w:rsidRDefault="00340C54" w:rsidP="00C039EE">
      <w:pPr>
        <w:pStyle w:val="NoSpacing"/>
      </w:pPr>
    </w:p>
    <w:p w14:paraId="4E0A5756" w14:textId="0F5C1C9C" w:rsidR="00340C54" w:rsidRDefault="00340C54" w:rsidP="00C039EE">
      <w:pPr>
        <w:pStyle w:val="NoSpacing"/>
      </w:pPr>
      <w:r>
        <w:t>EPA received no responses to its solicitation for consultations. A copy of EPA’s consultation e-mail to the above potential respondents is included in Attachment 8.</w:t>
      </w:r>
    </w:p>
    <w:p w14:paraId="6A7F386C" w14:textId="77777777" w:rsidR="00C039EE" w:rsidRPr="009859F3" w:rsidRDefault="00C039EE" w:rsidP="00C039EE">
      <w:pPr>
        <w:pStyle w:val="NoSpacing"/>
      </w:pPr>
    </w:p>
    <w:p w14:paraId="257E0757" w14:textId="77777777" w:rsidR="00DB7F57" w:rsidRPr="00200EAC" w:rsidRDefault="00DB7F57" w:rsidP="00DB7F57">
      <w:pPr>
        <w:pStyle w:val="Heading2"/>
        <w:numPr>
          <w:ilvl w:val="1"/>
          <w:numId w:val="3"/>
        </w:numPr>
        <w:tabs>
          <w:tab w:val="left" w:pos="1080"/>
        </w:tabs>
      </w:pPr>
      <w:r w:rsidRPr="00200EAC">
        <w:t>Small Entity Flexibility</w:t>
      </w:r>
    </w:p>
    <w:p w14:paraId="2059AB17" w14:textId="3B8C50D4" w:rsidR="00DB7F57" w:rsidRPr="00200EAC" w:rsidRDefault="00200EAC" w:rsidP="00DB7F57">
      <w:pPr>
        <w:numPr>
          <w:ilvl w:val="12"/>
          <w:numId w:val="0"/>
        </w:numPr>
      </w:pPr>
      <w:r w:rsidRPr="00200EAC">
        <w:t xml:space="preserve">The affected population for this rule is largely comprised of small entities, and all of the requirements have been </w:t>
      </w:r>
      <w:r>
        <w:t>crafted to maximize flexibility</w:t>
      </w:r>
      <w:r w:rsidR="002A2EF8">
        <w:t xml:space="preserve">. </w:t>
      </w:r>
      <w:r>
        <w:t xml:space="preserve">EPA and HUD have also developed guidance and a </w:t>
      </w:r>
      <w:r w:rsidRPr="00200EAC">
        <w:t>sample form to further facilitate and assist small entities with compliance.</w:t>
      </w:r>
    </w:p>
    <w:p w14:paraId="2B054D86" w14:textId="77777777" w:rsidR="00DB7F57" w:rsidRPr="00200EAC" w:rsidRDefault="00DB7F57" w:rsidP="00DB7F57">
      <w:pPr>
        <w:tabs>
          <w:tab w:val="left" w:pos="1080"/>
        </w:tabs>
      </w:pPr>
    </w:p>
    <w:p w14:paraId="057BE20E" w14:textId="77777777" w:rsidR="00512823" w:rsidRPr="00200EAC" w:rsidRDefault="00512823" w:rsidP="00DB7F57">
      <w:pPr>
        <w:pStyle w:val="Heading2"/>
        <w:numPr>
          <w:ilvl w:val="1"/>
          <w:numId w:val="3"/>
        </w:numPr>
        <w:tabs>
          <w:tab w:val="left" w:pos="1080"/>
        </w:tabs>
      </w:pPr>
      <w:r w:rsidRPr="00200EAC">
        <w:t xml:space="preserve">General </w:t>
      </w:r>
      <w:r w:rsidR="00E33A13" w:rsidRPr="00200EAC">
        <w:t xml:space="preserve">PRA Related </w:t>
      </w:r>
      <w:r w:rsidRPr="00200EAC">
        <w:t>Guidelines</w:t>
      </w:r>
    </w:p>
    <w:p w14:paraId="7C9BD46D" w14:textId="5259F722" w:rsidR="00512823" w:rsidRPr="00F3427A" w:rsidRDefault="00512823" w:rsidP="00512823">
      <w:pPr>
        <w:numPr>
          <w:ilvl w:val="12"/>
          <w:numId w:val="0"/>
        </w:numPr>
      </w:pPr>
      <w:r w:rsidRPr="00200EAC">
        <w:t xml:space="preserve">This ICR is consistent </w:t>
      </w:r>
      <w:r w:rsidR="00200EAC" w:rsidRPr="00200EAC">
        <w:t>with OMB’s General Guidelines for information collections under the PRA. Although no form is imposed by the regulations, to fac</w:t>
      </w:r>
      <w:r w:rsidR="005273DC">
        <w:t>ilitate and simplify compliance</w:t>
      </w:r>
      <w:r w:rsidR="00200EAC" w:rsidRPr="00200EAC">
        <w:t xml:space="preserve"> EPA and HUD provide a sample form for respondents to </w:t>
      </w:r>
      <w:r w:rsidR="007001B7">
        <w:t xml:space="preserve">adopt or modify for their use. </w:t>
      </w:r>
      <w:r w:rsidR="00200EAC" w:rsidRPr="00200EAC">
        <w:t xml:space="preserve">Since this form is simply a </w:t>
      </w:r>
      <w:r w:rsidR="00200EAC" w:rsidRPr="00F3427A">
        <w:t>sample, it does not contain a PRA Notice, OMB number or expiration date. Agents</w:t>
      </w:r>
      <w:r w:rsidRPr="00F3427A">
        <w:t xml:space="preserve"> are </w:t>
      </w:r>
      <w:r w:rsidR="00200EAC" w:rsidRPr="00F3427A">
        <w:t>assumed to retain one sheet of paper containing a signed disclosure and acknowledgement statement per each sale or rental transaction.</w:t>
      </w:r>
    </w:p>
    <w:p w14:paraId="3BE56B58" w14:textId="005EAA60" w:rsidR="00E33A13" w:rsidRPr="00F3427A" w:rsidRDefault="00E33A13" w:rsidP="00E33A13"/>
    <w:p w14:paraId="6B53EE6D" w14:textId="77777777" w:rsidR="00512823" w:rsidRPr="00F3427A" w:rsidRDefault="00512823" w:rsidP="00DB7F57">
      <w:pPr>
        <w:pStyle w:val="Heading2"/>
        <w:numPr>
          <w:ilvl w:val="1"/>
          <w:numId w:val="3"/>
        </w:numPr>
        <w:tabs>
          <w:tab w:val="left" w:pos="1080"/>
        </w:tabs>
      </w:pPr>
      <w:r w:rsidRPr="00F3427A">
        <w:t>Confidentiality</w:t>
      </w:r>
    </w:p>
    <w:p w14:paraId="4B462B42" w14:textId="695A76CE" w:rsidR="00E33A13" w:rsidRPr="00F3427A" w:rsidRDefault="00F3427A" w:rsidP="00E33A13">
      <w:r w:rsidRPr="00F3427A">
        <w:t>This collection does not require the disclosure or retention of confidential information. The third party disclosure requirements also comply with the provisions of the Privacy Act of 1974 and OMB Circular A</w:t>
      </w:r>
      <w:r w:rsidRPr="00F3427A">
        <w:noBreakHyphen/>
        <w:t>108.</w:t>
      </w:r>
    </w:p>
    <w:p w14:paraId="4E8CB2D9" w14:textId="77777777" w:rsidR="00F3427A" w:rsidRPr="00F3427A" w:rsidRDefault="00F3427A" w:rsidP="00F3427A">
      <w:pPr>
        <w:pStyle w:val="NoSpacing"/>
      </w:pPr>
    </w:p>
    <w:p w14:paraId="5DF66AD3" w14:textId="77777777" w:rsidR="00512823" w:rsidRPr="00F3427A" w:rsidRDefault="00512823" w:rsidP="00DB7F57">
      <w:pPr>
        <w:pStyle w:val="Heading2"/>
        <w:numPr>
          <w:ilvl w:val="1"/>
          <w:numId w:val="3"/>
        </w:numPr>
        <w:tabs>
          <w:tab w:val="left" w:pos="1080"/>
        </w:tabs>
      </w:pPr>
      <w:r w:rsidRPr="00F3427A">
        <w:t>Sensitive Questions</w:t>
      </w:r>
    </w:p>
    <w:p w14:paraId="516D176A" w14:textId="70268EE1" w:rsidR="008648B5" w:rsidRPr="00F3427A" w:rsidRDefault="00512823" w:rsidP="00E33A13">
      <w:pPr>
        <w:numPr>
          <w:ilvl w:val="12"/>
          <w:numId w:val="0"/>
        </w:numPr>
      </w:pPr>
      <w:r w:rsidRPr="00F3427A">
        <w:t>This information collection does not include questions of a sensitive nature.</w:t>
      </w:r>
    </w:p>
    <w:p w14:paraId="12443C69" w14:textId="77777777" w:rsidR="00F3427A" w:rsidRPr="00F3427A" w:rsidRDefault="00F3427A" w:rsidP="00F3427A">
      <w:pPr>
        <w:pStyle w:val="NoSpacing"/>
      </w:pPr>
    </w:p>
    <w:p w14:paraId="61281386" w14:textId="77777777" w:rsidR="008648B5" w:rsidRPr="00F3427A" w:rsidRDefault="008648B5" w:rsidP="008648B5">
      <w:pPr>
        <w:pStyle w:val="NoSpacing"/>
      </w:pPr>
    </w:p>
    <w:p w14:paraId="5981E999" w14:textId="77777777" w:rsidR="00DB7F57" w:rsidRPr="00436731" w:rsidRDefault="00DB7F57" w:rsidP="00DB7F57">
      <w:pPr>
        <w:pStyle w:val="Heading1"/>
        <w:numPr>
          <w:ilvl w:val="0"/>
          <w:numId w:val="3"/>
        </w:numPr>
        <w:rPr>
          <w:sz w:val="24"/>
          <w:szCs w:val="24"/>
        </w:rPr>
      </w:pPr>
      <w:r w:rsidRPr="00436731">
        <w:rPr>
          <w:sz w:val="24"/>
          <w:szCs w:val="24"/>
        </w:rPr>
        <w:t>AGENCY ACTIVITIES, COLLECTION METHODOLOGY, AND INFORMATION MANAGEMENT</w:t>
      </w:r>
    </w:p>
    <w:p w14:paraId="67EB7E54" w14:textId="77777777" w:rsidR="00DB7F57" w:rsidRPr="00F3427A" w:rsidRDefault="00DB7F57" w:rsidP="00FF6973">
      <w:pPr>
        <w:pStyle w:val="Heading1"/>
        <w:numPr>
          <w:ilvl w:val="1"/>
          <w:numId w:val="3"/>
        </w:numPr>
        <w:tabs>
          <w:tab w:val="left" w:pos="1080"/>
        </w:tabs>
        <w:rPr>
          <w:sz w:val="24"/>
          <w:szCs w:val="24"/>
        </w:rPr>
      </w:pPr>
      <w:r w:rsidRPr="00F3427A">
        <w:rPr>
          <w:sz w:val="24"/>
          <w:szCs w:val="24"/>
        </w:rPr>
        <w:t>Agency Activities</w:t>
      </w:r>
    </w:p>
    <w:p w14:paraId="22571E39" w14:textId="0D3EDD9F" w:rsidR="00F3427A" w:rsidRPr="00F3427A" w:rsidRDefault="00F3427A" w:rsidP="00F3427A">
      <w:r w:rsidRPr="00F3427A">
        <w:t>The primary purpose of this information collection activity is the provision of certain information between two parties in a transaction, i.e., thir</w:t>
      </w:r>
      <w:r>
        <w:t xml:space="preserve">d party disclosure. </w:t>
      </w:r>
      <w:r w:rsidRPr="00F3427A">
        <w:t>The agencies are therefore primarily engaged in the following basic activities:</w:t>
      </w:r>
    </w:p>
    <w:p w14:paraId="032F4754" w14:textId="77777777" w:rsidR="00F3427A" w:rsidRPr="00F3427A" w:rsidRDefault="00F3427A" w:rsidP="00F3427A">
      <w:pPr>
        <w:ind w:firstLine="720"/>
      </w:pPr>
    </w:p>
    <w:p w14:paraId="47D01418" w14:textId="77777777" w:rsidR="00F3427A" w:rsidRDefault="00F3427A" w:rsidP="00F3427A">
      <w:pPr>
        <w:widowControl w:val="0"/>
        <w:numPr>
          <w:ilvl w:val="0"/>
          <w:numId w:val="20"/>
        </w:numPr>
        <w:autoSpaceDE w:val="0"/>
        <w:autoSpaceDN w:val="0"/>
        <w:adjustRightInd w:val="0"/>
      </w:pPr>
      <w:r>
        <w:t>Public outreach to assist in the understanding of, and compliance with, the rule requirements</w:t>
      </w:r>
    </w:p>
    <w:p w14:paraId="149FA781" w14:textId="77777777" w:rsidR="00F3427A" w:rsidRPr="00F3427A" w:rsidRDefault="00F3427A" w:rsidP="00F3427A">
      <w:pPr>
        <w:widowControl w:val="0"/>
        <w:numPr>
          <w:ilvl w:val="0"/>
          <w:numId w:val="19"/>
        </w:numPr>
        <w:autoSpaceDE w:val="0"/>
        <w:autoSpaceDN w:val="0"/>
        <w:adjustRightInd w:val="0"/>
      </w:pPr>
      <w:r>
        <w:t xml:space="preserve">The development and maintenance of an infrastructure for receiving tips and </w:t>
      </w:r>
      <w:r w:rsidRPr="00F3427A">
        <w:t>complaints regarding alleged violations of the regulations</w:t>
      </w:r>
    </w:p>
    <w:p w14:paraId="4BE9AE9E" w14:textId="77047E3C" w:rsidR="00F3427A" w:rsidRPr="00F3427A" w:rsidRDefault="00F3427A" w:rsidP="00F3427A">
      <w:pPr>
        <w:widowControl w:val="0"/>
        <w:numPr>
          <w:ilvl w:val="0"/>
          <w:numId w:val="21"/>
        </w:numPr>
        <w:autoSpaceDE w:val="0"/>
        <w:autoSpaceDN w:val="0"/>
        <w:adjustRightInd w:val="0"/>
      </w:pPr>
      <w:r w:rsidRPr="00F3427A">
        <w:t>Compliance monitoring and enforcement of the provisions in the regulation</w:t>
      </w:r>
    </w:p>
    <w:p w14:paraId="026BC3B4" w14:textId="77777777" w:rsidR="00F3427A" w:rsidRPr="00F3427A" w:rsidRDefault="00F3427A" w:rsidP="00F3427A">
      <w:pPr>
        <w:pStyle w:val="NoSpacing"/>
      </w:pPr>
    </w:p>
    <w:p w14:paraId="2EF54445" w14:textId="77777777" w:rsidR="00660CEA" w:rsidRPr="00F3427A" w:rsidRDefault="00660CEA" w:rsidP="00DB7F57">
      <w:pPr>
        <w:pStyle w:val="Heading2"/>
        <w:numPr>
          <w:ilvl w:val="1"/>
          <w:numId w:val="3"/>
        </w:numPr>
        <w:tabs>
          <w:tab w:val="left" w:pos="1080"/>
        </w:tabs>
      </w:pPr>
      <w:r w:rsidRPr="00F3427A">
        <w:t>Estimated Agency Costs</w:t>
      </w:r>
    </w:p>
    <w:p w14:paraId="01D102A0" w14:textId="501D94C3" w:rsidR="00DB7F57" w:rsidRPr="00F3427A" w:rsidRDefault="00F3427A" w:rsidP="00DB7F57">
      <w:r w:rsidRPr="00F3427A">
        <w:t>The primary purpose of this information collection activity is the provision of certain information between two parties in a trans</w:t>
      </w:r>
      <w:r w:rsidR="005273DC">
        <w:t>action, and constitutes a third-</w:t>
      </w:r>
      <w:r w:rsidRPr="00F3427A">
        <w:t>party disclosure under the PRA</w:t>
      </w:r>
      <w:r w:rsidR="002A2EF8">
        <w:t xml:space="preserve">. </w:t>
      </w:r>
      <w:r w:rsidRPr="00F3427A">
        <w:t>The Agency burden and costs associated with this activity are, therefore, limited to the provision of guidance and program oversight or enforcement</w:t>
      </w:r>
      <w:r w:rsidR="002A2EF8">
        <w:t xml:space="preserve">. </w:t>
      </w:r>
      <w:r w:rsidRPr="00F3427A">
        <w:t>As such, there is no need to estimate the related Agency burden and costs under the PRA.</w:t>
      </w:r>
    </w:p>
    <w:p w14:paraId="4A5E55C4" w14:textId="77777777" w:rsidR="00FF6973" w:rsidRPr="00F3427A" w:rsidRDefault="00FF6973" w:rsidP="00DB7F57"/>
    <w:p w14:paraId="200D2F67" w14:textId="77777777" w:rsidR="00DB7F57" w:rsidRPr="00F3427A" w:rsidRDefault="00DB7F57" w:rsidP="00660CEA">
      <w:pPr>
        <w:pStyle w:val="Heading2"/>
        <w:numPr>
          <w:ilvl w:val="2"/>
          <w:numId w:val="3"/>
        </w:numPr>
        <w:tabs>
          <w:tab w:val="left" w:pos="1080"/>
          <w:tab w:val="left" w:pos="1620"/>
        </w:tabs>
      </w:pPr>
      <w:r w:rsidRPr="00F3427A">
        <w:t>Collection Schedule</w:t>
      </w:r>
    </w:p>
    <w:p w14:paraId="5F11DF62" w14:textId="77777777" w:rsidR="00F3427A" w:rsidRDefault="00F3427A" w:rsidP="00F3427A">
      <w:pPr>
        <w:pStyle w:val="ListParagraph"/>
        <w:keepNext/>
        <w:ind w:left="360"/>
      </w:pPr>
      <w:r w:rsidRPr="00F3427A">
        <w:t xml:space="preserve">The third party disclosure is transaction specific and only occurs when the regulated entities are engaged in a specific transaction, i.e., the sale or lease </w:t>
      </w:r>
      <w:r>
        <w:t>of target housing.</w:t>
      </w:r>
    </w:p>
    <w:p w14:paraId="5AE5F364" w14:textId="77777777" w:rsidR="00660CEA" w:rsidRPr="00853B7A" w:rsidRDefault="00660CEA" w:rsidP="00660CEA">
      <w:pPr>
        <w:pStyle w:val="NoSpacing"/>
      </w:pPr>
    </w:p>
    <w:p w14:paraId="42B72569" w14:textId="77777777" w:rsidR="00660CEA" w:rsidRPr="00853B7A" w:rsidRDefault="00660CEA" w:rsidP="00660CEA">
      <w:pPr>
        <w:pStyle w:val="Heading3"/>
        <w:numPr>
          <w:ilvl w:val="2"/>
          <w:numId w:val="3"/>
        </w:numPr>
        <w:tabs>
          <w:tab w:val="left" w:pos="1800"/>
        </w:tabs>
        <w:spacing w:after="200"/>
      </w:pPr>
      <w:r w:rsidRPr="00853B7A">
        <w:t>Use of Technology to Facilitate Collection Activities</w:t>
      </w:r>
    </w:p>
    <w:p w14:paraId="0722FE12" w14:textId="12D6FC2C" w:rsidR="001E7129" w:rsidRPr="001B1831" w:rsidRDefault="001E7129" w:rsidP="001E7129">
      <w:pPr>
        <w:tabs>
          <w:tab w:val="left" w:pos="720"/>
          <w:tab w:val="left" w:pos="1080"/>
        </w:tabs>
      </w:pPr>
      <w:r w:rsidRPr="00853B7A">
        <w:t xml:space="preserve">The </w:t>
      </w:r>
      <w:r w:rsidR="0016777D" w:rsidRPr="00853B7A">
        <w:t>EPA</w:t>
      </w:r>
      <w:r w:rsidRPr="00853B7A">
        <w:t xml:space="preserve"> will make use of existing technology to simplify the application and notification processes where available</w:t>
      </w:r>
      <w:r w:rsidRPr="001B1831">
        <w:t>.</w:t>
      </w:r>
      <w:r w:rsidR="00FE7F37" w:rsidRPr="001B1831">
        <w:t xml:space="preserve"> </w:t>
      </w:r>
      <w:r w:rsidR="00853B7A" w:rsidRPr="001B1831">
        <w:t>However, due to the requirements outlined in this ICR, electronic submissions are not generally applicable as submissions are not required to the Agency. Responses to consultations can be sent via electronic mail or other means by preference of the respondent.</w:t>
      </w:r>
    </w:p>
    <w:p w14:paraId="6479B29B" w14:textId="77777777" w:rsidR="00660CEA" w:rsidRPr="00025CEE" w:rsidRDefault="00660CEA" w:rsidP="00660CEA">
      <w:pPr>
        <w:pStyle w:val="NoSpacing"/>
        <w:rPr>
          <w:color w:val="FF33CC"/>
        </w:rPr>
      </w:pPr>
    </w:p>
    <w:p w14:paraId="2BC5DBBF" w14:textId="77777777" w:rsidR="00DB7F57" w:rsidRPr="00E41A4C" w:rsidRDefault="00DB7F57" w:rsidP="00DB7F57">
      <w:pPr>
        <w:pStyle w:val="NoSpacing"/>
      </w:pPr>
    </w:p>
    <w:p w14:paraId="608BF664" w14:textId="3ECDD7D0" w:rsidR="006D7B41" w:rsidRPr="00436731" w:rsidRDefault="00E33A13" w:rsidP="00660CEA">
      <w:pPr>
        <w:pStyle w:val="Heading1"/>
        <w:numPr>
          <w:ilvl w:val="0"/>
          <w:numId w:val="3"/>
        </w:numPr>
        <w:rPr>
          <w:sz w:val="24"/>
          <w:szCs w:val="24"/>
        </w:rPr>
      </w:pPr>
      <w:r w:rsidRPr="00436731">
        <w:rPr>
          <w:sz w:val="24"/>
          <w:szCs w:val="24"/>
        </w:rPr>
        <w:t>T</w:t>
      </w:r>
      <w:r w:rsidR="007001B7" w:rsidRPr="00436731">
        <w:rPr>
          <w:sz w:val="24"/>
          <w:szCs w:val="24"/>
        </w:rPr>
        <w:t>HE</w:t>
      </w:r>
      <w:r w:rsidRPr="00436731">
        <w:rPr>
          <w:sz w:val="24"/>
          <w:szCs w:val="24"/>
        </w:rPr>
        <w:t xml:space="preserve"> RESPONDENTS AND </w:t>
      </w:r>
      <w:r w:rsidR="006D7B41" w:rsidRPr="00436731">
        <w:rPr>
          <w:sz w:val="24"/>
          <w:szCs w:val="24"/>
        </w:rPr>
        <w:t>INFORMATION COLLECTION (IC) ACTIVITIES</w:t>
      </w:r>
    </w:p>
    <w:p w14:paraId="74784985" w14:textId="77777777" w:rsidR="004A492D" w:rsidRPr="004A19D1" w:rsidRDefault="00E33A13" w:rsidP="004A492D">
      <w:r w:rsidRPr="00E41A4C">
        <w:t xml:space="preserve">For each </w:t>
      </w:r>
      <w:r w:rsidR="00512823" w:rsidRPr="00E41A4C">
        <w:t>respondent category</w:t>
      </w:r>
      <w:r w:rsidRPr="00E41A4C">
        <w:t xml:space="preserve">, this section of the ICR describes the respondents, the </w:t>
      </w:r>
      <w:r w:rsidRPr="004A19D1">
        <w:t>information collection activities and related estimates for burden and costs associated with those activities.</w:t>
      </w:r>
      <w:r w:rsidR="004A492D" w:rsidRPr="004A19D1">
        <w:t xml:space="preserve"> </w:t>
      </w:r>
    </w:p>
    <w:p w14:paraId="45A9626F" w14:textId="77777777" w:rsidR="00F44411" w:rsidRPr="004A19D1" w:rsidRDefault="00F44411" w:rsidP="00F44411">
      <w:pPr>
        <w:pStyle w:val="NoSpacing"/>
        <w:rPr>
          <w:lang w:bidi="en-US"/>
        </w:rPr>
      </w:pPr>
    </w:p>
    <w:p w14:paraId="0E32248E" w14:textId="77777777" w:rsidR="00660CEA" w:rsidRPr="004A19D1" w:rsidRDefault="00660CEA" w:rsidP="00660CEA">
      <w:pPr>
        <w:pStyle w:val="Heading2"/>
        <w:numPr>
          <w:ilvl w:val="1"/>
          <w:numId w:val="3"/>
        </w:numPr>
        <w:tabs>
          <w:tab w:val="left" w:pos="1080"/>
        </w:tabs>
      </w:pPr>
      <w:r w:rsidRPr="004A19D1">
        <w:t>Methodology for Estimating Respondent Burden and Costs</w:t>
      </w:r>
    </w:p>
    <w:p w14:paraId="34B1021A" w14:textId="5BF76B96" w:rsidR="0022191B" w:rsidRPr="004A19D1" w:rsidRDefault="0022191B" w:rsidP="00C74E75">
      <w:pPr>
        <w:pStyle w:val="NoSpacing"/>
      </w:pPr>
      <w:r w:rsidRPr="004A19D1">
        <w:t xml:space="preserve">The </w:t>
      </w:r>
      <w:r w:rsidR="0068315F" w:rsidRPr="004A19D1">
        <w:t>third party disclosure requirements</w:t>
      </w:r>
      <w:r w:rsidRPr="004A19D1">
        <w:t xml:space="preserve"> specify </w:t>
      </w:r>
      <w:r w:rsidR="004A19D1" w:rsidRPr="004A19D1">
        <w:t>the communication</w:t>
      </w:r>
      <w:r w:rsidRPr="004A19D1">
        <w:t xml:space="preserve"> and recordkeeping for </w:t>
      </w:r>
      <w:r w:rsidR="004A19D1" w:rsidRPr="004A19D1">
        <w:t>agents and individuals</w:t>
      </w:r>
      <w:r w:rsidRPr="004A19D1">
        <w:t xml:space="preserve"> undertaking </w:t>
      </w:r>
      <w:r w:rsidR="004A19D1" w:rsidRPr="004A19D1">
        <w:t>the purchase, sale, or rental of a target housing unit</w:t>
      </w:r>
      <w:r w:rsidRPr="004A19D1">
        <w:t>.</w:t>
      </w:r>
      <w:r w:rsidR="00FE7F37" w:rsidRPr="004A19D1">
        <w:t xml:space="preserve"> </w:t>
      </w:r>
    </w:p>
    <w:p w14:paraId="05AA60DD" w14:textId="77777777" w:rsidR="0022191B" w:rsidRPr="004A19D1" w:rsidRDefault="0022191B" w:rsidP="00C74E75">
      <w:pPr>
        <w:pStyle w:val="NoSpacing"/>
      </w:pPr>
    </w:p>
    <w:p w14:paraId="7452A159" w14:textId="77777777" w:rsidR="00C74E75" w:rsidRPr="004A19D1" w:rsidRDefault="00C74E75" w:rsidP="00C74E75">
      <w:pPr>
        <w:pStyle w:val="NoSpacing"/>
      </w:pPr>
      <w:r w:rsidRPr="004A19D1">
        <w:t xml:space="preserve">The North American Industrial Classification System (NAICS) codes associated with industries most likely affected by the paperwork requirements are described below: </w:t>
      </w:r>
    </w:p>
    <w:p w14:paraId="2104D3D6" w14:textId="77777777" w:rsidR="00C74E75" w:rsidRPr="004A19D1" w:rsidRDefault="00C74E75" w:rsidP="00C74E75">
      <w:pPr>
        <w:pStyle w:val="NoSpacing"/>
      </w:pPr>
    </w:p>
    <w:p w14:paraId="513F8000" w14:textId="73289EEA" w:rsidR="00C622B8" w:rsidRPr="004A19D1" w:rsidRDefault="004A19D1" w:rsidP="00C622B8">
      <w:pPr>
        <w:pStyle w:val="NoSpacing"/>
      </w:pPr>
      <w:r w:rsidRPr="004A19D1">
        <w:t>5312</w:t>
      </w:r>
      <w:r w:rsidRPr="004A19D1">
        <w:tab/>
      </w:r>
      <w:r w:rsidR="00C622B8" w:rsidRPr="004A19D1">
        <w:tab/>
      </w:r>
      <w:r w:rsidRPr="004A19D1">
        <w:t>Real Estate Agents</w:t>
      </w:r>
    </w:p>
    <w:p w14:paraId="0C1E4FE1" w14:textId="59F27617" w:rsidR="00C622B8" w:rsidRDefault="004A19D1" w:rsidP="00C622B8">
      <w:pPr>
        <w:pStyle w:val="NoSpacing"/>
      </w:pPr>
      <w:r w:rsidRPr="004A19D1">
        <w:t>5311</w:t>
      </w:r>
      <w:r w:rsidRPr="004A19D1">
        <w:tab/>
      </w:r>
      <w:r w:rsidR="00C622B8" w:rsidRPr="004A19D1">
        <w:tab/>
      </w:r>
      <w:r w:rsidRPr="004A19D1">
        <w:t>Lessors of Real Estate</w:t>
      </w:r>
    </w:p>
    <w:p w14:paraId="03FEBF3E" w14:textId="77777777" w:rsidR="00880AA5" w:rsidRDefault="00880AA5" w:rsidP="00C622B8">
      <w:pPr>
        <w:pStyle w:val="NoSpacing"/>
      </w:pPr>
    </w:p>
    <w:p w14:paraId="552A8C30" w14:textId="77777777" w:rsidR="00853B7A" w:rsidRPr="004F54C5" w:rsidRDefault="00853B7A" w:rsidP="00853B7A">
      <w:pPr>
        <w:pStyle w:val="Heading2"/>
        <w:numPr>
          <w:ilvl w:val="1"/>
          <w:numId w:val="3"/>
        </w:numPr>
        <w:tabs>
          <w:tab w:val="left" w:pos="1080"/>
        </w:tabs>
        <w:rPr>
          <w:lang w:bidi="en-US"/>
        </w:rPr>
      </w:pPr>
    </w:p>
    <w:p w14:paraId="5C50FFB4" w14:textId="77777777" w:rsidR="00853B7A" w:rsidRPr="004F54C5" w:rsidRDefault="00853B7A" w:rsidP="00853B7A">
      <w:pPr>
        <w:pStyle w:val="Heading2"/>
        <w:tabs>
          <w:tab w:val="left" w:pos="1080"/>
        </w:tabs>
        <w:ind w:left="360"/>
        <w:rPr>
          <w:lang w:bidi="en-US"/>
        </w:rPr>
      </w:pPr>
      <w:bookmarkStart w:id="1" w:name="_Toc494361017"/>
      <w:r w:rsidRPr="004F54C5">
        <w:t>IC #1: Agent Start-up, Disclosure and Record Preparation,</w:t>
      </w:r>
      <w:r>
        <w:t xml:space="preserve"> </w:t>
      </w:r>
      <w:r w:rsidRPr="004F54C5">
        <w:t xml:space="preserve">Recordkeeping </w:t>
      </w:r>
      <w:r>
        <w:t xml:space="preserve">and Materials </w:t>
      </w:r>
      <w:r w:rsidRPr="004F54C5">
        <w:t>Burden</w:t>
      </w:r>
      <w:bookmarkEnd w:id="1"/>
    </w:p>
    <w:p w14:paraId="2A6E764E" w14:textId="77777777" w:rsidR="00853B7A" w:rsidRPr="004F54C5" w:rsidRDefault="00853B7A" w:rsidP="00853B7A">
      <w:r w:rsidRPr="004F54C5">
        <w:rPr>
          <w:u w:val="single"/>
        </w:rPr>
        <w:t>Respondent NAICS Codes</w:t>
      </w:r>
    </w:p>
    <w:p w14:paraId="6ABD66F9" w14:textId="77777777" w:rsidR="00853B7A" w:rsidRPr="004F54C5" w:rsidRDefault="00853B7A" w:rsidP="00853B7A">
      <w:pPr>
        <w:pStyle w:val="NoSpacing"/>
      </w:pPr>
    </w:p>
    <w:p w14:paraId="7F245A16" w14:textId="77777777" w:rsidR="00853B7A" w:rsidRPr="004F54C5" w:rsidRDefault="00853B7A" w:rsidP="00853B7A">
      <w:pPr>
        <w:pStyle w:val="NoSpacing"/>
      </w:pPr>
      <w:r w:rsidRPr="004F54C5">
        <w:t>5312</w:t>
      </w:r>
      <w:r w:rsidRPr="004F54C5">
        <w:tab/>
      </w:r>
      <w:r w:rsidRPr="004F54C5">
        <w:tab/>
        <w:t>Real Estate Agents</w:t>
      </w:r>
    </w:p>
    <w:p w14:paraId="30A0F2F5" w14:textId="77777777" w:rsidR="00853B7A" w:rsidRPr="004F54C5" w:rsidRDefault="00853B7A" w:rsidP="00853B7A">
      <w:pPr>
        <w:pStyle w:val="NoSpacing"/>
      </w:pPr>
      <w:r w:rsidRPr="004F54C5">
        <w:t>5311</w:t>
      </w:r>
      <w:r w:rsidRPr="004F54C5">
        <w:tab/>
      </w:r>
      <w:r w:rsidRPr="004F54C5">
        <w:tab/>
        <w:t>Lessors of Real Estate</w:t>
      </w:r>
    </w:p>
    <w:p w14:paraId="29956950" w14:textId="77777777" w:rsidR="00853B7A" w:rsidRPr="004F54C5" w:rsidRDefault="00853B7A" w:rsidP="00853B7A">
      <w:pPr>
        <w:rPr>
          <w:u w:val="single"/>
        </w:rPr>
      </w:pPr>
    </w:p>
    <w:p w14:paraId="63F5E067" w14:textId="77777777" w:rsidR="00853B7A" w:rsidRPr="004F54C5" w:rsidRDefault="00853B7A" w:rsidP="00853B7A">
      <w:pPr>
        <w:rPr>
          <w:u w:val="single"/>
        </w:rPr>
      </w:pPr>
      <w:r w:rsidRPr="004F54C5">
        <w:rPr>
          <w:u w:val="single"/>
        </w:rPr>
        <w:t>Information Collection Activities</w:t>
      </w:r>
    </w:p>
    <w:p w14:paraId="6AAEAE0D" w14:textId="77777777" w:rsidR="00853B7A" w:rsidRPr="004F54C5" w:rsidRDefault="00853B7A" w:rsidP="00853B7A">
      <w:pPr>
        <w:ind w:left="720"/>
        <w:rPr>
          <w:lang w:val="en-CA"/>
        </w:rPr>
      </w:pPr>
    </w:p>
    <w:p w14:paraId="4A58125F" w14:textId="2EA103AD" w:rsidR="00853B7A" w:rsidRDefault="00853B7A" w:rsidP="00853B7A">
      <w:pPr>
        <w:pStyle w:val="NoSpacing"/>
      </w:pPr>
      <w:r w:rsidRPr="004F54C5">
        <w:t xml:space="preserve">The start-up burden involves the time and cost required </w:t>
      </w:r>
      <w:r w:rsidRPr="009F10C8">
        <w:t xml:space="preserve">for agents to learn the disclosure rule’s requirements and set up procedures for meeting those requirements. </w:t>
      </w:r>
      <w:r>
        <w:t xml:space="preserve">EPA estimates that </w:t>
      </w:r>
      <w:r w:rsidRPr="009F10C8">
        <w:t xml:space="preserve">the </w:t>
      </w:r>
      <w:r>
        <w:t xml:space="preserve">paperwork burden related to </w:t>
      </w:r>
      <w:r w:rsidRPr="009F10C8">
        <w:t>learn</w:t>
      </w:r>
      <w:r>
        <w:t>ing</w:t>
      </w:r>
      <w:r w:rsidRPr="009F10C8">
        <w:t xml:space="preserve"> the rule and set</w:t>
      </w:r>
      <w:r>
        <w:t>ting</w:t>
      </w:r>
      <w:r w:rsidRPr="009F10C8">
        <w:t xml:space="preserve"> up compliance procedures </w:t>
      </w:r>
      <w:r>
        <w:t xml:space="preserve">is </w:t>
      </w:r>
      <w:r w:rsidRPr="00E27E53">
        <w:t xml:space="preserve">one hour. This </w:t>
      </w:r>
      <w:r>
        <w:t>estimate</w:t>
      </w:r>
      <w:r w:rsidRPr="00E27E53">
        <w:t xml:space="preserve"> assumes real estate sales agents, sellers of rental property, and property managers only incur this start-up burden once, when they initially enter the profession. Since the rule’s initial year has passed, the calculation assumes each year has an average number of </w:t>
      </w:r>
      <w:r>
        <w:t xml:space="preserve">new entrants </w:t>
      </w:r>
      <w:r w:rsidRPr="00E27E53">
        <w:t>incurring the start-up costs in their first year</w:t>
      </w:r>
      <w:r w:rsidR="002A2EF8">
        <w:t xml:space="preserve">. </w:t>
      </w:r>
    </w:p>
    <w:p w14:paraId="2FC5A4B3" w14:textId="77777777" w:rsidR="00853B7A" w:rsidRPr="00025CEE" w:rsidRDefault="00853B7A" w:rsidP="00853B7A">
      <w:pPr>
        <w:pStyle w:val="NoSpacing"/>
        <w:rPr>
          <w:color w:val="FF33CC"/>
        </w:rPr>
      </w:pPr>
    </w:p>
    <w:p w14:paraId="4C4C26DE" w14:textId="71CD9FE9" w:rsidR="00853B7A" w:rsidRDefault="00853B7A" w:rsidP="00853B7A">
      <w:r w:rsidRPr="00932DFB">
        <w:t>The disclosure record preparation burden involves the time and cost for performing the disclosure activities in conjunction with the sale or rental of target housing as specified by the rule</w:t>
      </w:r>
      <w:r>
        <w:t xml:space="preserve">. </w:t>
      </w:r>
      <w:r w:rsidRPr="00932DFB">
        <w:t>Each instance is estimated to take five minutes for each of the parties. For each sale handled by an agent on the seller’s side, the agent is expected to explain the rule to the seller</w:t>
      </w:r>
      <w:r w:rsidR="002A2EF8">
        <w:t xml:space="preserve">. </w:t>
      </w:r>
      <w:r w:rsidRPr="00932DFB">
        <w:t>For each offer in each sale handled by an agent on the offeror’s side, the agent is expected to ex</w:t>
      </w:r>
      <w:r>
        <w:t>plain the rule to the offeror. T</w:t>
      </w:r>
      <w:r w:rsidRPr="00932DFB">
        <w:t>hus for each sale without an agent the analysis assumes a total burden of twenty minutes (five minutes on each of two sides, for two offers), and a total burden of thirty</w:t>
      </w:r>
      <w:r>
        <w:t>-</w:t>
      </w:r>
      <w:r w:rsidRPr="00932DFB">
        <w:t>five minutes when the sale has an agent for each offeror and for the seller (twenty minutes plus five minutes for each of three agents).</w:t>
      </w:r>
    </w:p>
    <w:p w14:paraId="207BE333" w14:textId="77777777" w:rsidR="00853B7A" w:rsidRPr="004F54C5" w:rsidRDefault="00853B7A" w:rsidP="00853B7A">
      <w:pPr>
        <w:pStyle w:val="NoSpacing"/>
      </w:pPr>
    </w:p>
    <w:p w14:paraId="4BC7D91E" w14:textId="77777777" w:rsidR="00853B7A" w:rsidRDefault="00853B7A" w:rsidP="00853B7A">
      <w:r w:rsidRPr="00932DFB">
        <w:t>The record-keeping provisions of this rule require the seller and the selling agent (or in the case of rentals, both the owners/lessors and their agents) maintain rec</w:t>
      </w:r>
      <w:r>
        <w:t xml:space="preserve">ords of the signed disclosure. </w:t>
      </w:r>
      <w:r w:rsidRPr="00932DFB">
        <w:t>The record-keeping requirement causes them to spend time in filing the specified documents</w:t>
      </w:r>
      <w:r>
        <w:t xml:space="preserve">. </w:t>
      </w:r>
      <w:r w:rsidRPr="00932DFB">
        <w:t>In all likelihood, some type of filing system already exists for each party. The incremental filing time that may reasonably be attributed to the disclosure rule itself should be very small, or approximately 0.5 minutes (0.0083 hours) per record.</w:t>
      </w:r>
    </w:p>
    <w:p w14:paraId="4CE13993" w14:textId="77777777" w:rsidR="00853B7A" w:rsidRPr="00025CEE" w:rsidRDefault="00853B7A" w:rsidP="00853B7A">
      <w:pPr>
        <w:rPr>
          <w:color w:val="FF33CC"/>
        </w:rPr>
      </w:pPr>
    </w:p>
    <w:p w14:paraId="776AA8E5" w14:textId="5EAB17AB" w:rsidR="00853B7A" w:rsidRDefault="00853B7A" w:rsidP="00853B7A">
      <w:pPr>
        <w:keepNext/>
        <w:keepLines/>
      </w:pPr>
      <w:r w:rsidRPr="00932DFB">
        <w:t>The materials burden involves the cost of materials</w:t>
      </w:r>
      <w:r>
        <w:t xml:space="preserve"> required for rule compliance. </w:t>
      </w:r>
      <w:r w:rsidRPr="00932DFB">
        <w:t xml:space="preserve">Materials costs include </w:t>
      </w:r>
      <w:r>
        <w:t>the l</w:t>
      </w:r>
      <w:r w:rsidRPr="000F522A">
        <w:t xml:space="preserve">ead </w:t>
      </w:r>
      <w:r>
        <w:t>h</w:t>
      </w:r>
      <w:r w:rsidRPr="000F522A">
        <w:t xml:space="preserve">azard </w:t>
      </w:r>
      <w:r>
        <w:t>i</w:t>
      </w:r>
      <w:r w:rsidRPr="000F522A">
        <w:t xml:space="preserve">nformation </w:t>
      </w:r>
      <w:r>
        <w:t>p</w:t>
      </w:r>
      <w:r w:rsidRPr="000F522A">
        <w:t>amphlet</w:t>
      </w:r>
      <w:r>
        <w:t>s</w:t>
      </w:r>
      <w:r w:rsidRPr="00932DFB">
        <w:t>, filing materials, and copies to be made</w:t>
      </w:r>
      <w:r w:rsidR="002A2EF8">
        <w:t xml:space="preserve">. </w:t>
      </w:r>
      <w:r w:rsidRPr="00932DFB">
        <w:t>The sellers and lessors may choose to provide these materials themselves or to have their</w:t>
      </w:r>
      <w:r>
        <w:t xml:space="preserve"> agents manage these materials.</w:t>
      </w:r>
      <w:r w:rsidRPr="00932DFB">
        <w:t xml:space="preserve"> But for simplicity, this analysis assumes that these costs are borne by the principals, the sellers and the lessors.</w:t>
      </w:r>
    </w:p>
    <w:p w14:paraId="51DE59FE" w14:textId="77777777" w:rsidR="00853B7A" w:rsidRDefault="00853B7A" w:rsidP="00853B7A">
      <w:pPr>
        <w:ind w:firstLine="720"/>
      </w:pPr>
    </w:p>
    <w:p w14:paraId="5A2F4867" w14:textId="190A658D" w:rsidR="00853B7A" w:rsidRDefault="00853B7A" w:rsidP="00853B7A">
      <w:r w:rsidRPr="00844E48">
        <w:t>It is assumed that there is one copy of a signed acknowledgment and disclosure statement for e</w:t>
      </w:r>
      <w:r>
        <w:t xml:space="preserve">very offer or rental contract. </w:t>
      </w:r>
      <w:r w:rsidRPr="00844E48">
        <w:t>It is assumed that each statement will require no more than one s</w:t>
      </w:r>
      <w:r>
        <w:t>ide of a single sheet of paper.</w:t>
      </w:r>
      <w:r w:rsidRPr="00844E48">
        <w:t xml:space="preserve"> For sales and rentals involving an agent, three sets of the contract must be generated by the agent (one for the buyer/lessee, one for the seller/lessor and one for the agent) for a total of three copies</w:t>
      </w:r>
      <w:r w:rsidR="002A2EF8">
        <w:t xml:space="preserve">. </w:t>
      </w:r>
      <w:r>
        <w:t>S</w:t>
      </w:r>
      <w:r w:rsidRPr="00844E48">
        <w:t>ales transactions will also require a one-page lead-based paint inspection cont</w:t>
      </w:r>
      <w:r>
        <w:t xml:space="preserve">ingency clause for each party. </w:t>
      </w:r>
      <w:r w:rsidRPr="00844E48">
        <w:t>Those are not required for rentals</w:t>
      </w:r>
      <w:r w:rsidR="002A2EF8">
        <w:t xml:space="preserve">. </w:t>
      </w:r>
      <w:r w:rsidRPr="00844E48">
        <w:t xml:space="preserve">This analysis assumes two offers per sale. </w:t>
      </w:r>
      <w:r>
        <w:t>Copy costs are assumed to be an average of $0.08 per page, the standard price per page at copy centers for black and white copies (September 2017). Not all sales transactions will involve two agents since 11 percent of sellers and 12 percent of offerors each are assumed to not use and agent. Of the percentage of sales not involving two agents, half the sales are assumed to occur with no agents and half are assumed to occur with one agent. A similar assumption was not made for rental transactions because only owner/lessors are assumed to use agents and all tenants are acting on their own behalf.</w:t>
      </w:r>
    </w:p>
    <w:p w14:paraId="62F97D2B" w14:textId="77777777" w:rsidR="00853B7A" w:rsidRPr="004F54C5" w:rsidRDefault="00853B7A" w:rsidP="00853B7A">
      <w:pPr>
        <w:pStyle w:val="NoSpacing"/>
      </w:pPr>
    </w:p>
    <w:p w14:paraId="1843CE17" w14:textId="626AAD5D" w:rsidR="00853B7A" w:rsidRDefault="00853B7A" w:rsidP="00853B7A">
      <w:r w:rsidRPr="00844E48">
        <w:t>Filing-related material costs include the cost of storing the signed disclosure and acknowledgment statements that result</w:t>
      </w:r>
      <w:r>
        <w:t xml:space="preserve"> from a completed transaction. </w:t>
      </w:r>
      <w:r w:rsidRPr="00844E48">
        <w:t>Filing costs for individual buyers and sellers and owners and renters are considered a negligible incidental expense</w:t>
      </w:r>
      <w:r w:rsidR="002A2EF8">
        <w:t xml:space="preserve">. </w:t>
      </w:r>
      <w:r w:rsidRPr="00844E48">
        <w:t xml:space="preserve">The filing costs </w:t>
      </w:r>
      <w:r>
        <w:t xml:space="preserve">are assumed to </w:t>
      </w:r>
      <w:r w:rsidR="005273DC">
        <w:t xml:space="preserve">apply </w:t>
      </w:r>
      <w:r>
        <w:t>only for agents.</w:t>
      </w:r>
      <w:r w:rsidRPr="00844E48">
        <w:t xml:space="preserve"> For filing materials, it is assumed a four</w:t>
      </w:r>
      <w:r w:rsidR="005273DC">
        <w:t>-</w:t>
      </w:r>
      <w:r w:rsidRPr="00844E48">
        <w:t xml:space="preserve">drawer, </w:t>
      </w:r>
      <w:r>
        <w:t>26.5</w:t>
      </w:r>
      <w:r w:rsidRPr="00844E48">
        <w:t xml:space="preserve">-inch deep filing cabinet can hold </w:t>
      </w:r>
      <w:r>
        <w:t>26,500</w:t>
      </w:r>
      <w:r w:rsidRPr="00844E48">
        <w:t xml:space="preserve"> sheets of paper and costs approximately $</w:t>
      </w:r>
      <w:r>
        <w:t>250</w:t>
      </w:r>
      <w:r w:rsidRPr="00844E48">
        <w:t xml:space="preserve"> (</w:t>
      </w:r>
      <w:r>
        <w:t xml:space="preserve">average price at large office supply stores, September 2017). </w:t>
      </w:r>
      <w:r w:rsidRPr="00844E48">
        <w:t>This translates into a $0.00</w:t>
      </w:r>
      <w:r>
        <w:t>9</w:t>
      </w:r>
      <w:r w:rsidRPr="00844E48">
        <w:t xml:space="preserve"> cost per sheet of paper</w:t>
      </w:r>
      <w:r>
        <w:t xml:space="preserve"> which was rounded to an even $0.01. </w:t>
      </w:r>
      <w:r w:rsidRPr="00844E48">
        <w:t>For each sale or rental transaction, agents are assumed to retain one sheet of paper containing a signed disclosure and acknowledgment statement</w:t>
      </w:r>
      <w:r>
        <w:t>.</w:t>
      </w:r>
    </w:p>
    <w:p w14:paraId="3189B6B5" w14:textId="77777777" w:rsidR="00FE1A62" w:rsidRPr="00FE1A62" w:rsidRDefault="00FE1A62" w:rsidP="00FE1A62">
      <w:pPr>
        <w:pStyle w:val="NoSpacing"/>
      </w:pPr>
    </w:p>
    <w:tbl>
      <w:tblPr>
        <w:tblW w:w="10540" w:type="dxa"/>
        <w:tblLook w:val="04A0" w:firstRow="1" w:lastRow="0" w:firstColumn="1" w:lastColumn="0" w:noHBand="0" w:noVBand="1"/>
      </w:tblPr>
      <w:tblGrid>
        <w:gridCol w:w="3692"/>
        <w:gridCol w:w="1788"/>
        <w:gridCol w:w="1406"/>
        <w:gridCol w:w="1017"/>
        <w:gridCol w:w="1117"/>
        <w:gridCol w:w="1520"/>
      </w:tblGrid>
      <w:tr w:rsidR="00853B7A" w:rsidRPr="00132496" w14:paraId="61B11753" w14:textId="77777777" w:rsidTr="00853B7A">
        <w:trPr>
          <w:trHeight w:val="315"/>
        </w:trPr>
        <w:tc>
          <w:tcPr>
            <w:tcW w:w="10540" w:type="dxa"/>
            <w:gridSpan w:val="6"/>
            <w:tcBorders>
              <w:top w:val="single" w:sz="8" w:space="0" w:color="auto"/>
              <w:left w:val="single" w:sz="8" w:space="0" w:color="auto"/>
              <w:bottom w:val="nil"/>
              <w:right w:val="single" w:sz="8" w:space="0" w:color="000000"/>
            </w:tcBorders>
            <w:shd w:val="clear" w:color="000000" w:fill="BFBFBF"/>
            <w:vAlign w:val="center"/>
            <w:hideMark/>
          </w:tcPr>
          <w:p w14:paraId="2353D222" w14:textId="37BEA60C" w:rsidR="00853B7A" w:rsidRPr="00132496" w:rsidRDefault="00245562" w:rsidP="00853B7A">
            <w:pPr>
              <w:jc w:val="center"/>
              <w:rPr>
                <w:rFonts w:eastAsia="Times New Roman" w:cs="Arial"/>
                <w:b/>
                <w:bCs/>
                <w:sz w:val="22"/>
              </w:rPr>
            </w:pPr>
            <w:r>
              <w:rPr>
                <w:color w:val="FF33CC"/>
              </w:rPr>
              <w:br w:type="page"/>
            </w:r>
            <w:r w:rsidR="00853B7A" w:rsidRPr="00132496">
              <w:rPr>
                <w:rFonts w:eastAsia="Times New Roman" w:cs="Arial"/>
                <w:b/>
                <w:bCs/>
                <w:sz w:val="22"/>
              </w:rPr>
              <w:t>IC# 1. Agent Start-up, Disclosure and Record Preparation, Recordkeeping, and Material Burden</w:t>
            </w:r>
          </w:p>
        </w:tc>
      </w:tr>
      <w:tr w:rsidR="00853B7A" w:rsidRPr="00132496" w14:paraId="51A87A24" w14:textId="77777777" w:rsidTr="00853B7A">
        <w:trPr>
          <w:trHeight w:val="315"/>
        </w:trPr>
        <w:tc>
          <w:tcPr>
            <w:tcW w:w="10540" w:type="dxa"/>
            <w:gridSpan w:val="6"/>
            <w:tcBorders>
              <w:top w:val="nil"/>
              <w:left w:val="single" w:sz="8" w:space="0" w:color="auto"/>
              <w:bottom w:val="single" w:sz="8" w:space="0" w:color="auto"/>
              <w:right w:val="single" w:sz="8" w:space="0" w:color="000000"/>
            </w:tcBorders>
            <w:shd w:val="clear" w:color="000000" w:fill="BFBFBF"/>
            <w:vAlign w:val="center"/>
            <w:hideMark/>
          </w:tcPr>
          <w:p w14:paraId="61D8B519" w14:textId="77777777" w:rsidR="00853B7A" w:rsidRPr="00132496" w:rsidRDefault="00853B7A" w:rsidP="00853B7A">
            <w:pPr>
              <w:jc w:val="center"/>
              <w:rPr>
                <w:rFonts w:eastAsia="Times New Roman" w:cs="Arial"/>
                <w:b/>
                <w:bCs/>
                <w:sz w:val="22"/>
              </w:rPr>
            </w:pPr>
            <w:r w:rsidRPr="00132496">
              <w:rPr>
                <w:rFonts w:eastAsia="Times New Roman" w:cs="Arial"/>
                <w:b/>
                <w:bCs/>
                <w:sz w:val="22"/>
              </w:rPr>
              <w:t>Citation: 40 CFR 745, subpart F</w:t>
            </w:r>
          </w:p>
        </w:tc>
      </w:tr>
      <w:tr w:rsidR="00853B7A" w:rsidRPr="00132496" w14:paraId="56D3D6B3" w14:textId="77777777" w:rsidTr="002A2EF8">
        <w:trPr>
          <w:trHeight w:val="315"/>
        </w:trPr>
        <w:tc>
          <w:tcPr>
            <w:tcW w:w="3692" w:type="dxa"/>
            <w:tcBorders>
              <w:top w:val="nil"/>
              <w:left w:val="single" w:sz="8" w:space="0" w:color="auto"/>
              <w:bottom w:val="single" w:sz="8" w:space="0" w:color="auto"/>
              <w:right w:val="single" w:sz="8" w:space="0" w:color="auto"/>
            </w:tcBorders>
            <w:shd w:val="clear" w:color="000000" w:fill="BFBFBF"/>
            <w:vAlign w:val="center"/>
            <w:hideMark/>
          </w:tcPr>
          <w:p w14:paraId="47628CCC"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Data Element</w:t>
            </w:r>
          </w:p>
        </w:tc>
        <w:tc>
          <w:tcPr>
            <w:tcW w:w="1788" w:type="dxa"/>
            <w:tcBorders>
              <w:top w:val="nil"/>
              <w:left w:val="nil"/>
              <w:bottom w:val="single" w:sz="8" w:space="0" w:color="auto"/>
              <w:right w:val="single" w:sz="8" w:space="0" w:color="auto"/>
            </w:tcBorders>
            <w:shd w:val="clear" w:color="000000" w:fill="BFBFBF"/>
            <w:vAlign w:val="center"/>
            <w:hideMark/>
          </w:tcPr>
          <w:p w14:paraId="2AC04028"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Form</w:t>
            </w:r>
          </w:p>
        </w:tc>
        <w:tc>
          <w:tcPr>
            <w:tcW w:w="1406" w:type="dxa"/>
            <w:tcBorders>
              <w:top w:val="nil"/>
              <w:left w:val="nil"/>
              <w:bottom w:val="single" w:sz="8" w:space="0" w:color="auto"/>
              <w:right w:val="single" w:sz="8" w:space="0" w:color="auto"/>
            </w:tcBorders>
            <w:shd w:val="clear" w:color="000000" w:fill="BFBFBF"/>
            <w:vAlign w:val="center"/>
            <w:hideMark/>
          </w:tcPr>
          <w:p w14:paraId="2C6A1467"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Responses</w:t>
            </w:r>
          </w:p>
        </w:tc>
        <w:tc>
          <w:tcPr>
            <w:tcW w:w="1017" w:type="dxa"/>
            <w:tcBorders>
              <w:top w:val="nil"/>
              <w:left w:val="nil"/>
              <w:bottom w:val="single" w:sz="8" w:space="0" w:color="auto"/>
              <w:right w:val="single" w:sz="8" w:space="0" w:color="auto"/>
            </w:tcBorders>
            <w:shd w:val="clear" w:color="000000" w:fill="BFBFBF"/>
            <w:vAlign w:val="center"/>
            <w:hideMark/>
          </w:tcPr>
          <w:p w14:paraId="7C9D6D09"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Burden (hours)</w:t>
            </w:r>
          </w:p>
        </w:tc>
        <w:tc>
          <w:tcPr>
            <w:tcW w:w="1117" w:type="dxa"/>
            <w:tcBorders>
              <w:top w:val="nil"/>
              <w:left w:val="nil"/>
              <w:bottom w:val="single" w:sz="8" w:space="0" w:color="auto"/>
              <w:right w:val="single" w:sz="8" w:space="0" w:color="auto"/>
            </w:tcBorders>
            <w:shd w:val="clear" w:color="000000" w:fill="BFBFBF"/>
            <w:vAlign w:val="center"/>
            <w:hideMark/>
          </w:tcPr>
          <w:p w14:paraId="3E6CE642"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Materials</w:t>
            </w:r>
          </w:p>
        </w:tc>
        <w:tc>
          <w:tcPr>
            <w:tcW w:w="1520" w:type="dxa"/>
            <w:tcBorders>
              <w:top w:val="nil"/>
              <w:left w:val="nil"/>
              <w:bottom w:val="single" w:sz="8" w:space="0" w:color="auto"/>
              <w:right w:val="single" w:sz="8" w:space="0" w:color="auto"/>
            </w:tcBorders>
            <w:shd w:val="clear" w:color="000000" w:fill="BFBFBF"/>
            <w:vAlign w:val="center"/>
            <w:hideMark/>
          </w:tcPr>
          <w:p w14:paraId="72CA52B5"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Cost ($)</w:t>
            </w:r>
          </w:p>
        </w:tc>
      </w:tr>
      <w:tr w:rsidR="00853B7A" w:rsidRPr="00132496" w14:paraId="3171E0BA" w14:textId="77777777" w:rsidTr="00853B7A">
        <w:trPr>
          <w:trHeight w:val="315"/>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17E06F11" w14:textId="77777777" w:rsidR="00853B7A" w:rsidRPr="00132496" w:rsidRDefault="00853B7A" w:rsidP="00853B7A">
            <w:pPr>
              <w:rPr>
                <w:rFonts w:eastAsia="Times New Roman" w:cs="Arial"/>
                <w:sz w:val="20"/>
                <w:szCs w:val="20"/>
              </w:rPr>
            </w:pPr>
            <w:r w:rsidRPr="00132496">
              <w:rPr>
                <w:rFonts w:eastAsia="Times New Roman" w:cs="Arial"/>
                <w:sz w:val="20"/>
                <w:szCs w:val="20"/>
              </w:rPr>
              <w:t>Start-up Burden Real Estate Agents</w:t>
            </w:r>
          </w:p>
        </w:tc>
        <w:tc>
          <w:tcPr>
            <w:tcW w:w="1788" w:type="dxa"/>
            <w:tcBorders>
              <w:top w:val="nil"/>
              <w:left w:val="nil"/>
              <w:bottom w:val="single" w:sz="8" w:space="0" w:color="auto"/>
              <w:right w:val="single" w:sz="8" w:space="0" w:color="auto"/>
            </w:tcBorders>
            <w:shd w:val="clear" w:color="auto" w:fill="auto"/>
            <w:vAlign w:val="center"/>
            <w:hideMark/>
          </w:tcPr>
          <w:p w14:paraId="18119115"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406" w:type="dxa"/>
            <w:tcBorders>
              <w:top w:val="nil"/>
              <w:left w:val="nil"/>
              <w:bottom w:val="single" w:sz="8" w:space="0" w:color="auto"/>
              <w:right w:val="single" w:sz="8" w:space="0" w:color="auto"/>
            </w:tcBorders>
            <w:shd w:val="clear" w:color="auto" w:fill="auto"/>
            <w:vAlign w:val="center"/>
            <w:hideMark/>
          </w:tcPr>
          <w:p w14:paraId="74F7850E"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 xml:space="preserve">         22,111 </w:t>
            </w:r>
          </w:p>
        </w:tc>
        <w:tc>
          <w:tcPr>
            <w:tcW w:w="1017" w:type="dxa"/>
            <w:tcBorders>
              <w:top w:val="nil"/>
              <w:left w:val="nil"/>
              <w:bottom w:val="single" w:sz="8" w:space="0" w:color="auto"/>
              <w:right w:val="single" w:sz="8" w:space="0" w:color="auto"/>
            </w:tcBorders>
            <w:shd w:val="clear" w:color="auto" w:fill="auto"/>
            <w:vAlign w:val="center"/>
            <w:hideMark/>
          </w:tcPr>
          <w:p w14:paraId="56B84D4A"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22,111</w:t>
            </w:r>
          </w:p>
        </w:tc>
        <w:tc>
          <w:tcPr>
            <w:tcW w:w="1117" w:type="dxa"/>
            <w:tcBorders>
              <w:top w:val="nil"/>
              <w:left w:val="nil"/>
              <w:bottom w:val="single" w:sz="8" w:space="0" w:color="auto"/>
              <w:right w:val="single" w:sz="8" w:space="0" w:color="auto"/>
            </w:tcBorders>
            <w:shd w:val="clear" w:color="auto" w:fill="auto"/>
            <w:vAlign w:val="center"/>
            <w:hideMark/>
          </w:tcPr>
          <w:p w14:paraId="7779FC9A"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1DDC8F4B"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829,605</w:t>
            </w:r>
          </w:p>
        </w:tc>
      </w:tr>
      <w:tr w:rsidR="00853B7A" w:rsidRPr="00132496" w14:paraId="573EA4E5" w14:textId="77777777" w:rsidTr="00853B7A">
        <w:trPr>
          <w:trHeight w:val="315"/>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78C7070C" w14:textId="77777777" w:rsidR="00853B7A" w:rsidRPr="00132496" w:rsidRDefault="00853B7A" w:rsidP="00853B7A">
            <w:pPr>
              <w:rPr>
                <w:rFonts w:eastAsia="Times New Roman" w:cs="Arial"/>
                <w:sz w:val="20"/>
                <w:szCs w:val="20"/>
              </w:rPr>
            </w:pPr>
            <w:r w:rsidRPr="00132496">
              <w:rPr>
                <w:rFonts w:eastAsia="Times New Roman" w:cs="Arial"/>
                <w:sz w:val="20"/>
                <w:szCs w:val="20"/>
              </w:rPr>
              <w:t>Start-up Burden Lessor Agents</w:t>
            </w:r>
          </w:p>
        </w:tc>
        <w:tc>
          <w:tcPr>
            <w:tcW w:w="1788" w:type="dxa"/>
            <w:tcBorders>
              <w:top w:val="nil"/>
              <w:left w:val="nil"/>
              <w:bottom w:val="single" w:sz="8" w:space="0" w:color="auto"/>
              <w:right w:val="single" w:sz="8" w:space="0" w:color="auto"/>
            </w:tcBorders>
            <w:shd w:val="clear" w:color="auto" w:fill="auto"/>
            <w:vAlign w:val="center"/>
            <w:hideMark/>
          </w:tcPr>
          <w:p w14:paraId="06666281"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406" w:type="dxa"/>
            <w:tcBorders>
              <w:top w:val="nil"/>
              <w:left w:val="nil"/>
              <w:bottom w:val="single" w:sz="8" w:space="0" w:color="auto"/>
              <w:right w:val="single" w:sz="8" w:space="0" w:color="auto"/>
            </w:tcBorders>
            <w:shd w:val="clear" w:color="auto" w:fill="auto"/>
            <w:vAlign w:val="center"/>
            <w:hideMark/>
          </w:tcPr>
          <w:p w14:paraId="20DDAE2E"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 xml:space="preserve">         55,762 </w:t>
            </w:r>
          </w:p>
        </w:tc>
        <w:tc>
          <w:tcPr>
            <w:tcW w:w="1017" w:type="dxa"/>
            <w:tcBorders>
              <w:top w:val="nil"/>
              <w:left w:val="nil"/>
              <w:bottom w:val="single" w:sz="8" w:space="0" w:color="auto"/>
              <w:right w:val="single" w:sz="8" w:space="0" w:color="auto"/>
            </w:tcBorders>
            <w:shd w:val="clear" w:color="auto" w:fill="auto"/>
            <w:vAlign w:val="center"/>
            <w:hideMark/>
          </w:tcPr>
          <w:p w14:paraId="736FE0D7"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55,762</w:t>
            </w:r>
          </w:p>
        </w:tc>
        <w:tc>
          <w:tcPr>
            <w:tcW w:w="1117" w:type="dxa"/>
            <w:tcBorders>
              <w:top w:val="nil"/>
              <w:left w:val="nil"/>
              <w:bottom w:val="single" w:sz="8" w:space="0" w:color="auto"/>
              <w:right w:val="single" w:sz="8" w:space="0" w:color="auto"/>
            </w:tcBorders>
            <w:shd w:val="clear" w:color="auto" w:fill="auto"/>
            <w:vAlign w:val="center"/>
            <w:hideMark/>
          </w:tcPr>
          <w:p w14:paraId="261198E9"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0C23DF6A"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1,723,046</w:t>
            </w:r>
          </w:p>
        </w:tc>
      </w:tr>
      <w:tr w:rsidR="00853B7A" w:rsidRPr="00132496" w14:paraId="4C04E4DA" w14:textId="77777777" w:rsidTr="00853B7A">
        <w:trPr>
          <w:trHeight w:val="525"/>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1948D8A9" w14:textId="77777777" w:rsidR="00853B7A" w:rsidRPr="00132496" w:rsidRDefault="00853B7A" w:rsidP="00853B7A">
            <w:pPr>
              <w:rPr>
                <w:rFonts w:eastAsia="Times New Roman" w:cs="Arial"/>
                <w:sz w:val="20"/>
                <w:szCs w:val="20"/>
              </w:rPr>
            </w:pPr>
            <w:r w:rsidRPr="00132496">
              <w:rPr>
                <w:rFonts w:eastAsia="Times New Roman" w:cs="Arial"/>
                <w:sz w:val="20"/>
                <w:szCs w:val="20"/>
              </w:rPr>
              <w:t>Disclosure and Record Preparation for Seller Agents (89%)</w:t>
            </w:r>
          </w:p>
        </w:tc>
        <w:tc>
          <w:tcPr>
            <w:tcW w:w="1788" w:type="dxa"/>
            <w:tcBorders>
              <w:top w:val="nil"/>
              <w:left w:val="nil"/>
              <w:bottom w:val="single" w:sz="8" w:space="0" w:color="auto"/>
              <w:right w:val="single" w:sz="8" w:space="0" w:color="auto"/>
            </w:tcBorders>
            <w:shd w:val="clear" w:color="auto" w:fill="auto"/>
            <w:vAlign w:val="center"/>
            <w:hideMark/>
          </w:tcPr>
          <w:p w14:paraId="1AAC7B5A" w14:textId="77777777" w:rsidR="00853B7A" w:rsidRPr="00132496" w:rsidRDefault="00853B7A" w:rsidP="00853B7A">
            <w:pPr>
              <w:rPr>
                <w:rFonts w:eastAsia="Times New Roman" w:cs="Arial"/>
                <w:sz w:val="18"/>
                <w:szCs w:val="18"/>
              </w:rPr>
            </w:pPr>
            <w:r w:rsidRPr="00132496">
              <w:rPr>
                <w:rFonts w:eastAsia="Times New Roman" w:cs="Arial"/>
                <w:sz w:val="18"/>
                <w:szCs w:val="18"/>
              </w:rPr>
              <w:t>Disclosure Form</w:t>
            </w:r>
          </w:p>
        </w:tc>
        <w:tc>
          <w:tcPr>
            <w:tcW w:w="1406" w:type="dxa"/>
            <w:tcBorders>
              <w:top w:val="nil"/>
              <w:left w:val="nil"/>
              <w:bottom w:val="single" w:sz="8" w:space="0" w:color="auto"/>
              <w:right w:val="single" w:sz="8" w:space="0" w:color="auto"/>
            </w:tcBorders>
            <w:shd w:val="clear" w:color="auto" w:fill="auto"/>
            <w:vAlign w:val="center"/>
            <w:hideMark/>
          </w:tcPr>
          <w:p w14:paraId="6604E8C3"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2,403,000</w:t>
            </w:r>
          </w:p>
        </w:tc>
        <w:tc>
          <w:tcPr>
            <w:tcW w:w="1017" w:type="dxa"/>
            <w:tcBorders>
              <w:top w:val="nil"/>
              <w:left w:val="nil"/>
              <w:bottom w:val="single" w:sz="8" w:space="0" w:color="auto"/>
              <w:right w:val="single" w:sz="8" w:space="0" w:color="auto"/>
            </w:tcBorders>
            <w:shd w:val="clear" w:color="auto" w:fill="auto"/>
            <w:vAlign w:val="center"/>
            <w:hideMark/>
          </w:tcPr>
          <w:p w14:paraId="65625C1A"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200,250</w:t>
            </w:r>
          </w:p>
        </w:tc>
        <w:tc>
          <w:tcPr>
            <w:tcW w:w="1117" w:type="dxa"/>
            <w:tcBorders>
              <w:top w:val="nil"/>
              <w:left w:val="nil"/>
              <w:bottom w:val="single" w:sz="8" w:space="0" w:color="auto"/>
              <w:right w:val="single" w:sz="8" w:space="0" w:color="auto"/>
            </w:tcBorders>
            <w:shd w:val="clear" w:color="auto" w:fill="auto"/>
            <w:vAlign w:val="center"/>
            <w:hideMark/>
          </w:tcPr>
          <w:p w14:paraId="0974346E"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4A0C116A"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7,513,380</w:t>
            </w:r>
          </w:p>
        </w:tc>
      </w:tr>
      <w:tr w:rsidR="00853B7A" w:rsidRPr="00132496" w14:paraId="76CE18B0" w14:textId="77777777" w:rsidTr="00853B7A">
        <w:trPr>
          <w:trHeight w:val="525"/>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72CC54C3" w14:textId="73BE8906" w:rsidR="00853B7A" w:rsidRPr="00132496" w:rsidRDefault="00853B7A" w:rsidP="00853B7A">
            <w:pPr>
              <w:rPr>
                <w:rFonts w:eastAsia="Times New Roman" w:cs="Arial"/>
                <w:sz w:val="20"/>
                <w:szCs w:val="20"/>
              </w:rPr>
            </w:pPr>
            <w:r w:rsidRPr="00132496">
              <w:rPr>
                <w:rFonts w:eastAsia="Times New Roman" w:cs="Arial"/>
                <w:sz w:val="20"/>
                <w:szCs w:val="20"/>
              </w:rPr>
              <w:t>Disclosure and Record Preparation for Offeror Agents (88% x</w:t>
            </w:r>
            <w:r w:rsidR="00FE1A62">
              <w:rPr>
                <w:rFonts w:eastAsia="Times New Roman" w:cs="Arial"/>
                <w:sz w:val="20"/>
                <w:szCs w:val="20"/>
              </w:rPr>
              <w:t xml:space="preserve"> </w:t>
            </w:r>
            <w:r w:rsidRPr="00132496">
              <w:rPr>
                <w:rFonts w:eastAsia="Times New Roman" w:cs="Arial"/>
                <w:sz w:val="20"/>
                <w:szCs w:val="20"/>
              </w:rPr>
              <w:t>2)</w:t>
            </w:r>
          </w:p>
        </w:tc>
        <w:tc>
          <w:tcPr>
            <w:tcW w:w="1788" w:type="dxa"/>
            <w:tcBorders>
              <w:top w:val="nil"/>
              <w:left w:val="nil"/>
              <w:bottom w:val="single" w:sz="8" w:space="0" w:color="auto"/>
              <w:right w:val="single" w:sz="8" w:space="0" w:color="auto"/>
            </w:tcBorders>
            <w:shd w:val="clear" w:color="auto" w:fill="auto"/>
            <w:vAlign w:val="center"/>
            <w:hideMark/>
          </w:tcPr>
          <w:p w14:paraId="23DCA751" w14:textId="77777777" w:rsidR="00853B7A" w:rsidRPr="00132496" w:rsidRDefault="00853B7A" w:rsidP="00853B7A">
            <w:pPr>
              <w:rPr>
                <w:rFonts w:eastAsia="Times New Roman" w:cs="Arial"/>
                <w:sz w:val="18"/>
                <w:szCs w:val="18"/>
              </w:rPr>
            </w:pPr>
            <w:r w:rsidRPr="00132496">
              <w:rPr>
                <w:rFonts w:eastAsia="Times New Roman" w:cs="Arial"/>
                <w:sz w:val="18"/>
                <w:szCs w:val="18"/>
              </w:rPr>
              <w:t>Disclosure Form</w:t>
            </w:r>
          </w:p>
        </w:tc>
        <w:tc>
          <w:tcPr>
            <w:tcW w:w="1406" w:type="dxa"/>
            <w:tcBorders>
              <w:top w:val="nil"/>
              <w:left w:val="nil"/>
              <w:bottom w:val="single" w:sz="8" w:space="0" w:color="auto"/>
              <w:right w:val="single" w:sz="8" w:space="0" w:color="auto"/>
            </w:tcBorders>
            <w:shd w:val="clear" w:color="auto" w:fill="auto"/>
            <w:vAlign w:val="center"/>
            <w:hideMark/>
          </w:tcPr>
          <w:p w14:paraId="630B863F"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 xml:space="preserve">   4,752,000 </w:t>
            </w:r>
          </w:p>
        </w:tc>
        <w:tc>
          <w:tcPr>
            <w:tcW w:w="1017" w:type="dxa"/>
            <w:tcBorders>
              <w:top w:val="nil"/>
              <w:left w:val="nil"/>
              <w:bottom w:val="single" w:sz="8" w:space="0" w:color="auto"/>
              <w:right w:val="single" w:sz="8" w:space="0" w:color="auto"/>
            </w:tcBorders>
            <w:shd w:val="clear" w:color="auto" w:fill="auto"/>
            <w:vAlign w:val="center"/>
            <w:hideMark/>
          </w:tcPr>
          <w:p w14:paraId="4C2A0517"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396,000</w:t>
            </w:r>
          </w:p>
        </w:tc>
        <w:tc>
          <w:tcPr>
            <w:tcW w:w="1117" w:type="dxa"/>
            <w:tcBorders>
              <w:top w:val="nil"/>
              <w:left w:val="nil"/>
              <w:bottom w:val="single" w:sz="8" w:space="0" w:color="auto"/>
              <w:right w:val="single" w:sz="8" w:space="0" w:color="auto"/>
            </w:tcBorders>
            <w:shd w:val="clear" w:color="auto" w:fill="auto"/>
            <w:vAlign w:val="center"/>
            <w:hideMark/>
          </w:tcPr>
          <w:p w14:paraId="031213E8"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679268DF"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14,857,920</w:t>
            </w:r>
          </w:p>
        </w:tc>
      </w:tr>
      <w:tr w:rsidR="00853B7A" w:rsidRPr="00132496" w14:paraId="3BC3ED77" w14:textId="77777777" w:rsidTr="00853B7A">
        <w:trPr>
          <w:trHeight w:val="525"/>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5B961B6F" w14:textId="77777777" w:rsidR="00853B7A" w:rsidRPr="00132496" w:rsidRDefault="00853B7A" w:rsidP="00853B7A">
            <w:pPr>
              <w:rPr>
                <w:rFonts w:eastAsia="Times New Roman" w:cs="Arial"/>
                <w:sz w:val="20"/>
                <w:szCs w:val="20"/>
              </w:rPr>
            </w:pPr>
            <w:r w:rsidRPr="00132496">
              <w:rPr>
                <w:rFonts w:eastAsia="Times New Roman" w:cs="Arial"/>
                <w:sz w:val="20"/>
                <w:szCs w:val="20"/>
              </w:rPr>
              <w:t>Disclosure and Record Preparation for Owner/Lessor Agents (88%)</w:t>
            </w:r>
          </w:p>
        </w:tc>
        <w:tc>
          <w:tcPr>
            <w:tcW w:w="1788" w:type="dxa"/>
            <w:tcBorders>
              <w:top w:val="nil"/>
              <w:left w:val="nil"/>
              <w:bottom w:val="single" w:sz="8" w:space="0" w:color="auto"/>
              <w:right w:val="single" w:sz="8" w:space="0" w:color="auto"/>
            </w:tcBorders>
            <w:shd w:val="clear" w:color="auto" w:fill="auto"/>
            <w:vAlign w:val="center"/>
            <w:hideMark/>
          </w:tcPr>
          <w:p w14:paraId="28A76923" w14:textId="77777777" w:rsidR="00853B7A" w:rsidRPr="00132496" w:rsidRDefault="00853B7A" w:rsidP="00853B7A">
            <w:pPr>
              <w:rPr>
                <w:rFonts w:eastAsia="Times New Roman" w:cs="Arial"/>
                <w:sz w:val="18"/>
                <w:szCs w:val="18"/>
              </w:rPr>
            </w:pPr>
            <w:r w:rsidRPr="00132496">
              <w:rPr>
                <w:rFonts w:eastAsia="Times New Roman" w:cs="Arial"/>
                <w:sz w:val="18"/>
                <w:szCs w:val="18"/>
              </w:rPr>
              <w:t>Disclosure Form</w:t>
            </w:r>
          </w:p>
        </w:tc>
        <w:tc>
          <w:tcPr>
            <w:tcW w:w="1406" w:type="dxa"/>
            <w:tcBorders>
              <w:top w:val="nil"/>
              <w:left w:val="nil"/>
              <w:bottom w:val="single" w:sz="8" w:space="0" w:color="auto"/>
              <w:right w:val="single" w:sz="8" w:space="0" w:color="auto"/>
            </w:tcBorders>
            <w:shd w:val="clear" w:color="auto" w:fill="auto"/>
            <w:vAlign w:val="center"/>
            <w:hideMark/>
          </w:tcPr>
          <w:p w14:paraId="39792833"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5,632,000</w:t>
            </w:r>
          </w:p>
        </w:tc>
        <w:tc>
          <w:tcPr>
            <w:tcW w:w="1017" w:type="dxa"/>
            <w:tcBorders>
              <w:top w:val="nil"/>
              <w:left w:val="nil"/>
              <w:bottom w:val="single" w:sz="8" w:space="0" w:color="auto"/>
              <w:right w:val="single" w:sz="8" w:space="0" w:color="auto"/>
            </w:tcBorders>
            <w:shd w:val="clear" w:color="auto" w:fill="auto"/>
            <w:vAlign w:val="center"/>
            <w:hideMark/>
          </w:tcPr>
          <w:p w14:paraId="7808071D"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469,333</w:t>
            </w:r>
          </w:p>
        </w:tc>
        <w:tc>
          <w:tcPr>
            <w:tcW w:w="1117" w:type="dxa"/>
            <w:tcBorders>
              <w:top w:val="nil"/>
              <w:left w:val="nil"/>
              <w:bottom w:val="single" w:sz="8" w:space="0" w:color="auto"/>
              <w:right w:val="single" w:sz="8" w:space="0" w:color="auto"/>
            </w:tcBorders>
            <w:shd w:val="clear" w:color="auto" w:fill="auto"/>
            <w:vAlign w:val="center"/>
            <w:hideMark/>
          </w:tcPr>
          <w:p w14:paraId="6705D486"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65B71595"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14,502,400</w:t>
            </w:r>
          </w:p>
        </w:tc>
      </w:tr>
      <w:tr w:rsidR="00853B7A" w:rsidRPr="00132496" w14:paraId="14576F3D" w14:textId="77777777" w:rsidTr="00853B7A">
        <w:trPr>
          <w:trHeight w:val="315"/>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6679BD21" w14:textId="77777777" w:rsidR="00853B7A" w:rsidRPr="00132496" w:rsidRDefault="00853B7A" w:rsidP="00853B7A">
            <w:pPr>
              <w:rPr>
                <w:rFonts w:eastAsia="Times New Roman" w:cs="Arial"/>
                <w:sz w:val="20"/>
                <w:szCs w:val="20"/>
              </w:rPr>
            </w:pPr>
            <w:r w:rsidRPr="00132496">
              <w:rPr>
                <w:rFonts w:eastAsia="Times New Roman" w:cs="Arial"/>
                <w:sz w:val="20"/>
                <w:szCs w:val="20"/>
              </w:rPr>
              <w:t>Recordkeeping for Seller Agents (89%)</w:t>
            </w:r>
          </w:p>
        </w:tc>
        <w:tc>
          <w:tcPr>
            <w:tcW w:w="1788" w:type="dxa"/>
            <w:tcBorders>
              <w:top w:val="nil"/>
              <w:left w:val="nil"/>
              <w:bottom w:val="single" w:sz="8" w:space="0" w:color="auto"/>
              <w:right w:val="single" w:sz="8" w:space="0" w:color="auto"/>
            </w:tcBorders>
            <w:shd w:val="clear" w:color="auto" w:fill="auto"/>
            <w:vAlign w:val="center"/>
            <w:hideMark/>
          </w:tcPr>
          <w:p w14:paraId="67597F17"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406" w:type="dxa"/>
            <w:tcBorders>
              <w:top w:val="nil"/>
              <w:left w:val="nil"/>
              <w:bottom w:val="single" w:sz="8" w:space="0" w:color="auto"/>
              <w:right w:val="single" w:sz="8" w:space="0" w:color="auto"/>
            </w:tcBorders>
            <w:shd w:val="clear" w:color="auto" w:fill="auto"/>
            <w:vAlign w:val="center"/>
            <w:hideMark/>
          </w:tcPr>
          <w:p w14:paraId="6F6D88F8"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2,403,000</w:t>
            </w:r>
          </w:p>
        </w:tc>
        <w:tc>
          <w:tcPr>
            <w:tcW w:w="1017" w:type="dxa"/>
            <w:tcBorders>
              <w:top w:val="nil"/>
              <w:left w:val="nil"/>
              <w:bottom w:val="single" w:sz="8" w:space="0" w:color="auto"/>
              <w:right w:val="single" w:sz="8" w:space="0" w:color="auto"/>
            </w:tcBorders>
            <w:shd w:val="clear" w:color="auto" w:fill="auto"/>
            <w:vAlign w:val="center"/>
            <w:hideMark/>
          </w:tcPr>
          <w:p w14:paraId="582C7659"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19,945</w:t>
            </w:r>
          </w:p>
        </w:tc>
        <w:tc>
          <w:tcPr>
            <w:tcW w:w="1117" w:type="dxa"/>
            <w:tcBorders>
              <w:top w:val="nil"/>
              <w:left w:val="nil"/>
              <w:bottom w:val="single" w:sz="8" w:space="0" w:color="auto"/>
              <w:right w:val="single" w:sz="8" w:space="0" w:color="auto"/>
            </w:tcBorders>
            <w:shd w:val="clear" w:color="auto" w:fill="auto"/>
            <w:vAlign w:val="center"/>
            <w:hideMark/>
          </w:tcPr>
          <w:p w14:paraId="3CC50FAC"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6EF6FD11"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748,333</w:t>
            </w:r>
          </w:p>
        </w:tc>
      </w:tr>
      <w:tr w:rsidR="00853B7A" w:rsidRPr="00132496" w14:paraId="2BE519D3" w14:textId="77777777" w:rsidTr="00853B7A">
        <w:trPr>
          <w:trHeight w:val="525"/>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79532696" w14:textId="77777777" w:rsidR="00853B7A" w:rsidRPr="00132496" w:rsidRDefault="00853B7A" w:rsidP="00853B7A">
            <w:pPr>
              <w:rPr>
                <w:rFonts w:eastAsia="Times New Roman" w:cs="Arial"/>
                <w:sz w:val="20"/>
                <w:szCs w:val="20"/>
              </w:rPr>
            </w:pPr>
            <w:r w:rsidRPr="00132496">
              <w:rPr>
                <w:rFonts w:eastAsia="Times New Roman" w:cs="Arial"/>
                <w:sz w:val="20"/>
                <w:szCs w:val="20"/>
              </w:rPr>
              <w:t>Recordkeeping for Owner/Lessor Agents (88%)</w:t>
            </w:r>
          </w:p>
        </w:tc>
        <w:tc>
          <w:tcPr>
            <w:tcW w:w="1788" w:type="dxa"/>
            <w:tcBorders>
              <w:top w:val="nil"/>
              <w:left w:val="nil"/>
              <w:bottom w:val="single" w:sz="8" w:space="0" w:color="auto"/>
              <w:right w:val="single" w:sz="8" w:space="0" w:color="auto"/>
            </w:tcBorders>
            <w:shd w:val="clear" w:color="auto" w:fill="auto"/>
            <w:vAlign w:val="center"/>
            <w:hideMark/>
          </w:tcPr>
          <w:p w14:paraId="05FC47E0"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406" w:type="dxa"/>
            <w:tcBorders>
              <w:top w:val="nil"/>
              <w:left w:val="nil"/>
              <w:bottom w:val="single" w:sz="8" w:space="0" w:color="auto"/>
              <w:right w:val="single" w:sz="8" w:space="0" w:color="auto"/>
            </w:tcBorders>
            <w:shd w:val="clear" w:color="auto" w:fill="auto"/>
            <w:vAlign w:val="center"/>
            <w:hideMark/>
          </w:tcPr>
          <w:p w14:paraId="3A5E07C2"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5,632,000</w:t>
            </w:r>
          </w:p>
        </w:tc>
        <w:tc>
          <w:tcPr>
            <w:tcW w:w="1017" w:type="dxa"/>
            <w:tcBorders>
              <w:top w:val="nil"/>
              <w:left w:val="nil"/>
              <w:bottom w:val="single" w:sz="8" w:space="0" w:color="auto"/>
              <w:right w:val="single" w:sz="8" w:space="0" w:color="auto"/>
            </w:tcBorders>
            <w:shd w:val="clear" w:color="auto" w:fill="auto"/>
            <w:vAlign w:val="center"/>
            <w:hideMark/>
          </w:tcPr>
          <w:p w14:paraId="445C7DD6"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46,746</w:t>
            </w:r>
          </w:p>
        </w:tc>
        <w:tc>
          <w:tcPr>
            <w:tcW w:w="1117" w:type="dxa"/>
            <w:tcBorders>
              <w:top w:val="nil"/>
              <w:left w:val="nil"/>
              <w:bottom w:val="single" w:sz="8" w:space="0" w:color="auto"/>
              <w:right w:val="single" w:sz="8" w:space="0" w:color="auto"/>
            </w:tcBorders>
            <w:shd w:val="clear" w:color="auto" w:fill="auto"/>
            <w:vAlign w:val="center"/>
            <w:hideMark/>
          </w:tcPr>
          <w:p w14:paraId="2B5444D9"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5AE204F5"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1,444,439</w:t>
            </w:r>
          </w:p>
        </w:tc>
      </w:tr>
      <w:tr w:rsidR="00853B7A" w:rsidRPr="00132496" w14:paraId="4C0A2C96" w14:textId="77777777" w:rsidTr="00853B7A">
        <w:trPr>
          <w:trHeight w:val="315"/>
        </w:trPr>
        <w:tc>
          <w:tcPr>
            <w:tcW w:w="54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F1C7FEF" w14:textId="77777777" w:rsidR="00853B7A" w:rsidRPr="00132496" w:rsidRDefault="00853B7A" w:rsidP="00853B7A">
            <w:pPr>
              <w:jc w:val="right"/>
              <w:rPr>
                <w:rFonts w:eastAsia="Times New Roman" w:cs="Arial"/>
                <w:i/>
                <w:iCs/>
                <w:sz w:val="20"/>
                <w:szCs w:val="20"/>
              </w:rPr>
            </w:pPr>
            <w:r w:rsidRPr="00132496">
              <w:rPr>
                <w:rFonts w:eastAsia="Times New Roman" w:cs="Arial"/>
                <w:i/>
                <w:iCs/>
                <w:sz w:val="20"/>
                <w:szCs w:val="20"/>
              </w:rPr>
              <w:t>Subtotal</w:t>
            </w:r>
          </w:p>
        </w:tc>
        <w:tc>
          <w:tcPr>
            <w:tcW w:w="1406" w:type="dxa"/>
            <w:tcBorders>
              <w:top w:val="nil"/>
              <w:left w:val="nil"/>
              <w:bottom w:val="single" w:sz="8" w:space="0" w:color="auto"/>
              <w:right w:val="single" w:sz="8" w:space="0" w:color="auto"/>
            </w:tcBorders>
            <w:shd w:val="clear" w:color="auto" w:fill="auto"/>
            <w:vAlign w:val="center"/>
            <w:hideMark/>
          </w:tcPr>
          <w:p w14:paraId="5364A3DA" w14:textId="77777777" w:rsidR="00853B7A" w:rsidRPr="00132496" w:rsidRDefault="00853B7A" w:rsidP="00853B7A">
            <w:pPr>
              <w:jc w:val="right"/>
              <w:rPr>
                <w:rFonts w:eastAsia="Times New Roman" w:cs="Arial"/>
                <w:i/>
                <w:sz w:val="18"/>
                <w:szCs w:val="18"/>
              </w:rPr>
            </w:pPr>
            <w:r w:rsidRPr="00132496">
              <w:rPr>
                <w:rFonts w:eastAsia="Times New Roman" w:cs="Arial"/>
                <w:i/>
                <w:sz w:val="18"/>
                <w:szCs w:val="18"/>
              </w:rPr>
              <w:t>20,899,873</w:t>
            </w:r>
          </w:p>
        </w:tc>
        <w:tc>
          <w:tcPr>
            <w:tcW w:w="1017" w:type="dxa"/>
            <w:tcBorders>
              <w:top w:val="nil"/>
              <w:left w:val="nil"/>
              <w:bottom w:val="single" w:sz="8" w:space="0" w:color="auto"/>
              <w:right w:val="single" w:sz="8" w:space="0" w:color="auto"/>
            </w:tcBorders>
            <w:shd w:val="clear" w:color="auto" w:fill="auto"/>
            <w:vAlign w:val="center"/>
            <w:hideMark/>
          </w:tcPr>
          <w:p w14:paraId="56EECC98" w14:textId="77777777" w:rsidR="00853B7A" w:rsidRPr="00132496" w:rsidRDefault="00853B7A" w:rsidP="00853B7A">
            <w:pPr>
              <w:jc w:val="right"/>
              <w:rPr>
                <w:rFonts w:eastAsia="Times New Roman" w:cs="Arial"/>
                <w:i/>
                <w:sz w:val="18"/>
                <w:szCs w:val="18"/>
              </w:rPr>
            </w:pPr>
            <w:r w:rsidRPr="00132496">
              <w:rPr>
                <w:rFonts w:eastAsia="Times New Roman" w:cs="Arial"/>
                <w:i/>
                <w:sz w:val="18"/>
                <w:szCs w:val="18"/>
              </w:rPr>
              <w:t>1,210,147</w:t>
            </w:r>
          </w:p>
        </w:tc>
        <w:tc>
          <w:tcPr>
            <w:tcW w:w="1117" w:type="dxa"/>
            <w:tcBorders>
              <w:top w:val="nil"/>
              <w:left w:val="nil"/>
              <w:bottom w:val="single" w:sz="8" w:space="0" w:color="auto"/>
              <w:right w:val="single" w:sz="8" w:space="0" w:color="auto"/>
            </w:tcBorders>
            <w:shd w:val="clear" w:color="auto" w:fill="auto"/>
            <w:vAlign w:val="center"/>
            <w:hideMark/>
          </w:tcPr>
          <w:p w14:paraId="222BBA5D" w14:textId="77777777" w:rsidR="00853B7A" w:rsidRPr="00132496" w:rsidRDefault="00853B7A" w:rsidP="00853B7A">
            <w:pPr>
              <w:rPr>
                <w:rFonts w:eastAsia="Times New Roman" w:cs="Arial"/>
                <w:i/>
                <w:sz w:val="18"/>
                <w:szCs w:val="18"/>
              </w:rPr>
            </w:pPr>
            <w:r w:rsidRPr="00132496">
              <w:rPr>
                <w:rFonts w:eastAsia="Times New Roman" w:cs="Arial"/>
                <w:i/>
                <w:sz w:val="18"/>
                <w:szCs w:val="18"/>
              </w:rPr>
              <w:t> </w:t>
            </w:r>
          </w:p>
        </w:tc>
        <w:tc>
          <w:tcPr>
            <w:tcW w:w="1520" w:type="dxa"/>
            <w:tcBorders>
              <w:top w:val="nil"/>
              <w:left w:val="nil"/>
              <w:bottom w:val="single" w:sz="8" w:space="0" w:color="auto"/>
              <w:right w:val="single" w:sz="8" w:space="0" w:color="auto"/>
            </w:tcBorders>
            <w:shd w:val="clear" w:color="auto" w:fill="auto"/>
            <w:vAlign w:val="center"/>
            <w:hideMark/>
          </w:tcPr>
          <w:p w14:paraId="02993EC8" w14:textId="77777777" w:rsidR="00853B7A" w:rsidRPr="00132496" w:rsidRDefault="00853B7A" w:rsidP="00853B7A">
            <w:pPr>
              <w:jc w:val="right"/>
              <w:rPr>
                <w:rFonts w:eastAsia="Times New Roman" w:cs="Arial"/>
                <w:i/>
                <w:sz w:val="18"/>
                <w:szCs w:val="18"/>
              </w:rPr>
            </w:pPr>
            <w:r>
              <w:rPr>
                <w:rFonts w:eastAsia="Times New Roman" w:cs="Arial"/>
                <w:i/>
                <w:sz w:val="18"/>
                <w:szCs w:val="18"/>
              </w:rPr>
              <w:t>$</w:t>
            </w:r>
            <w:r w:rsidRPr="00132496">
              <w:rPr>
                <w:rFonts w:eastAsia="Times New Roman" w:cs="Arial"/>
                <w:i/>
                <w:sz w:val="18"/>
                <w:szCs w:val="18"/>
              </w:rPr>
              <w:t>41,619,122</w:t>
            </w:r>
          </w:p>
        </w:tc>
      </w:tr>
      <w:tr w:rsidR="00853B7A" w:rsidRPr="00132496" w14:paraId="41DC7EAA" w14:textId="77777777" w:rsidTr="00853B7A">
        <w:trPr>
          <w:trHeight w:val="315"/>
        </w:trPr>
        <w:tc>
          <w:tcPr>
            <w:tcW w:w="1054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D5D5D99" w14:textId="77777777" w:rsidR="00853B7A" w:rsidRPr="00132496" w:rsidRDefault="00853B7A" w:rsidP="00853B7A">
            <w:pPr>
              <w:jc w:val="center"/>
              <w:rPr>
                <w:rFonts w:eastAsia="Times New Roman" w:cs="Arial"/>
                <w:b/>
                <w:bCs/>
                <w:sz w:val="20"/>
                <w:szCs w:val="20"/>
              </w:rPr>
            </w:pPr>
            <w:r w:rsidRPr="00132496">
              <w:rPr>
                <w:rFonts w:eastAsia="Times New Roman" w:cs="Arial"/>
                <w:b/>
                <w:bCs/>
                <w:sz w:val="20"/>
                <w:szCs w:val="20"/>
              </w:rPr>
              <w:t>Material Burden</w:t>
            </w:r>
          </w:p>
        </w:tc>
      </w:tr>
      <w:tr w:rsidR="00853B7A" w:rsidRPr="00132496" w14:paraId="32A31746" w14:textId="77777777" w:rsidTr="00FE1A62">
        <w:trPr>
          <w:trHeight w:val="270"/>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42F40F8E" w14:textId="6AA3AE4E" w:rsidR="00853B7A" w:rsidRPr="00132496" w:rsidRDefault="00853B7A" w:rsidP="00853B7A">
            <w:pPr>
              <w:rPr>
                <w:rFonts w:eastAsia="Times New Roman" w:cs="Arial"/>
                <w:sz w:val="20"/>
                <w:szCs w:val="20"/>
              </w:rPr>
            </w:pPr>
            <w:r w:rsidRPr="00132496">
              <w:rPr>
                <w:rFonts w:eastAsia="Times New Roman" w:cs="Arial"/>
                <w:sz w:val="20"/>
                <w:szCs w:val="20"/>
              </w:rPr>
              <w:t>Pamphlets for Sales (89% x</w:t>
            </w:r>
            <w:r w:rsidR="00FE1A62">
              <w:rPr>
                <w:rFonts w:eastAsia="Times New Roman" w:cs="Arial"/>
                <w:sz w:val="20"/>
                <w:szCs w:val="20"/>
              </w:rPr>
              <w:t xml:space="preserve"> </w:t>
            </w:r>
            <w:r w:rsidRPr="00132496">
              <w:rPr>
                <w:rFonts w:eastAsia="Times New Roman" w:cs="Arial"/>
                <w:sz w:val="20"/>
                <w:szCs w:val="20"/>
              </w:rPr>
              <w:t>2)</w:t>
            </w:r>
          </w:p>
        </w:tc>
        <w:tc>
          <w:tcPr>
            <w:tcW w:w="1788" w:type="dxa"/>
            <w:tcBorders>
              <w:top w:val="nil"/>
              <w:left w:val="nil"/>
              <w:bottom w:val="single" w:sz="8" w:space="0" w:color="auto"/>
              <w:right w:val="single" w:sz="8" w:space="0" w:color="auto"/>
            </w:tcBorders>
            <w:shd w:val="clear" w:color="auto" w:fill="auto"/>
            <w:vAlign w:val="center"/>
            <w:hideMark/>
          </w:tcPr>
          <w:p w14:paraId="2805A596" w14:textId="77777777" w:rsidR="00853B7A" w:rsidRPr="00132496" w:rsidRDefault="00853B7A" w:rsidP="00853B7A">
            <w:pPr>
              <w:rPr>
                <w:rFonts w:eastAsia="Times New Roman" w:cs="Arial"/>
                <w:sz w:val="18"/>
                <w:szCs w:val="18"/>
              </w:rPr>
            </w:pPr>
            <w:r w:rsidRPr="00132496">
              <w:rPr>
                <w:rFonts w:eastAsia="Times New Roman" w:cs="Arial"/>
                <w:sz w:val="18"/>
                <w:szCs w:val="18"/>
              </w:rPr>
              <w:t>EPA747-K-99-001</w:t>
            </w:r>
          </w:p>
        </w:tc>
        <w:tc>
          <w:tcPr>
            <w:tcW w:w="1406" w:type="dxa"/>
            <w:tcBorders>
              <w:top w:val="nil"/>
              <w:left w:val="nil"/>
              <w:bottom w:val="single" w:sz="8" w:space="0" w:color="auto"/>
              <w:right w:val="single" w:sz="8" w:space="0" w:color="auto"/>
            </w:tcBorders>
            <w:shd w:val="clear" w:color="auto" w:fill="auto"/>
            <w:vAlign w:val="center"/>
            <w:hideMark/>
          </w:tcPr>
          <w:p w14:paraId="7BAE2DA7"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17" w:type="dxa"/>
            <w:tcBorders>
              <w:top w:val="nil"/>
              <w:left w:val="nil"/>
              <w:bottom w:val="single" w:sz="8" w:space="0" w:color="auto"/>
              <w:right w:val="single" w:sz="8" w:space="0" w:color="auto"/>
            </w:tcBorders>
            <w:shd w:val="clear" w:color="auto" w:fill="auto"/>
            <w:vAlign w:val="center"/>
            <w:hideMark/>
          </w:tcPr>
          <w:p w14:paraId="641A486A"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17" w:type="dxa"/>
            <w:tcBorders>
              <w:top w:val="nil"/>
              <w:left w:val="nil"/>
              <w:bottom w:val="single" w:sz="8" w:space="0" w:color="auto"/>
              <w:right w:val="single" w:sz="8" w:space="0" w:color="auto"/>
            </w:tcBorders>
            <w:shd w:val="clear" w:color="auto" w:fill="auto"/>
            <w:vAlign w:val="center"/>
            <w:hideMark/>
          </w:tcPr>
          <w:p w14:paraId="5F590850"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4,806,000</w:t>
            </w:r>
          </w:p>
        </w:tc>
        <w:tc>
          <w:tcPr>
            <w:tcW w:w="1520" w:type="dxa"/>
            <w:tcBorders>
              <w:top w:val="nil"/>
              <w:left w:val="nil"/>
              <w:bottom w:val="single" w:sz="8" w:space="0" w:color="auto"/>
              <w:right w:val="single" w:sz="8" w:space="0" w:color="auto"/>
            </w:tcBorders>
            <w:shd w:val="clear" w:color="auto" w:fill="auto"/>
            <w:vAlign w:val="center"/>
            <w:hideMark/>
          </w:tcPr>
          <w:p w14:paraId="75A0BDED" w14:textId="40BDA47E" w:rsidR="00853B7A" w:rsidRPr="00132496" w:rsidRDefault="00853B7A" w:rsidP="00FE1A62">
            <w:pPr>
              <w:jc w:val="right"/>
              <w:rPr>
                <w:rFonts w:eastAsia="Times New Roman" w:cs="Arial"/>
                <w:sz w:val="18"/>
                <w:szCs w:val="18"/>
              </w:rPr>
            </w:pPr>
            <w:r w:rsidRPr="00132496">
              <w:rPr>
                <w:rFonts w:eastAsia="Times New Roman" w:cs="Arial"/>
                <w:sz w:val="18"/>
                <w:szCs w:val="18"/>
              </w:rPr>
              <w:t>3,460,320</w:t>
            </w:r>
          </w:p>
        </w:tc>
      </w:tr>
      <w:tr w:rsidR="00853B7A" w:rsidRPr="00132496" w14:paraId="1EE1D07D" w14:textId="77777777" w:rsidTr="00FE1A62">
        <w:trPr>
          <w:trHeight w:val="270"/>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35C09ABE" w14:textId="77777777" w:rsidR="00853B7A" w:rsidRPr="00132496" w:rsidRDefault="00853B7A" w:rsidP="00853B7A">
            <w:pPr>
              <w:rPr>
                <w:rFonts w:eastAsia="Times New Roman" w:cs="Arial"/>
                <w:sz w:val="20"/>
                <w:szCs w:val="20"/>
              </w:rPr>
            </w:pPr>
            <w:r w:rsidRPr="00132496">
              <w:rPr>
                <w:rFonts w:eastAsia="Times New Roman" w:cs="Arial"/>
                <w:sz w:val="20"/>
                <w:szCs w:val="20"/>
              </w:rPr>
              <w:t>Pamphlets for Rentals (88%)</w:t>
            </w:r>
          </w:p>
        </w:tc>
        <w:tc>
          <w:tcPr>
            <w:tcW w:w="1788" w:type="dxa"/>
            <w:tcBorders>
              <w:top w:val="nil"/>
              <w:left w:val="nil"/>
              <w:bottom w:val="single" w:sz="8" w:space="0" w:color="auto"/>
              <w:right w:val="single" w:sz="8" w:space="0" w:color="auto"/>
            </w:tcBorders>
            <w:shd w:val="clear" w:color="auto" w:fill="auto"/>
            <w:vAlign w:val="center"/>
            <w:hideMark/>
          </w:tcPr>
          <w:p w14:paraId="38FD3B59" w14:textId="77777777" w:rsidR="00853B7A" w:rsidRPr="00132496" w:rsidRDefault="00853B7A" w:rsidP="00853B7A">
            <w:pPr>
              <w:rPr>
                <w:rFonts w:eastAsia="Times New Roman" w:cs="Arial"/>
                <w:sz w:val="18"/>
                <w:szCs w:val="18"/>
              </w:rPr>
            </w:pPr>
            <w:r w:rsidRPr="00132496">
              <w:rPr>
                <w:rFonts w:eastAsia="Times New Roman" w:cs="Arial"/>
                <w:sz w:val="18"/>
                <w:szCs w:val="18"/>
              </w:rPr>
              <w:t>EPA747-K-99-001</w:t>
            </w:r>
          </w:p>
        </w:tc>
        <w:tc>
          <w:tcPr>
            <w:tcW w:w="1406" w:type="dxa"/>
            <w:tcBorders>
              <w:top w:val="nil"/>
              <w:left w:val="nil"/>
              <w:bottom w:val="single" w:sz="8" w:space="0" w:color="auto"/>
              <w:right w:val="single" w:sz="8" w:space="0" w:color="auto"/>
            </w:tcBorders>
            <w:shd w:val="clear" w:color="auto" w:fill="auto"/>
            <w:vAlign w:val="center"/>
            <w:hideMark/>
          </w:tcPr>
          <w:p w14:paraId="65DA9461"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17" w:type="dxa"/>
            <w:tcBorders>
              <w:top w:val="nil"/>
              <w:left w:val="nil"/>
              <w:bottom w:val="single" w:sz="8" w:space="0" w:color="auto"/>
              <w:right w:val="single" w:sz="8" w:space="0" w:color="auto"/>
            </w:tcBorders>
            <w:shd w:val="clear" w:color="auto" w:fill="auto"/>
            <w:vAlign w:val="center"/>
            <w:hideMark/>
          </w:tcPr>
          <w:p w14:paraId="0D7B3F48"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17" w:type="dxa"/>
            <w:tcBorders>
              <w:top w:val="nil"/>
              <w:left w:val="nil"/>
              <w:bottom w:val="single" w:sz="8" w:space="0" w:color="auto"/>
              <w:right w:val="single" w:sz="8" w:space="0" w:color="auto"/>
            </w:tcBorders>
            <w:shd w:val="clear" w:color="auto" w:fill="auto"/>
            <w:vAlign w:val="center"/>
            <w:hideMark/>
          </w:tcPr>
          <w:p w14:paraId="4C37722A"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5,632,000</w:t>
            </w:r>
          </w:p>
        </w:tc>
        <w:tc>
          <w:tcPr>
            <w:tcW w:w="1520" w:type="dxa"/>
            <w:tcBorders>
              <w:top w:val="nil"/>
              <w:left w:val="nil"/>
              <w:bottom w:val="single" w:sz="8" w:space="0" w:color="auto"/>
              <w:right w:val="single" w:sz="8" w:space="0" w:color="auto"/>
            </w:tcBorders>
            <w:shd w:val="clear" w:color="auto" w:fill="auto"/>
            <w:vAlign w:val="center"/>
            <w:hideMark/>
          </w:tcPr>
          <w:p w14:paraId="06239A44" w14:textId="5AE86863" w:rsidR="00853B7A" w:rsidRPr="00132496" w:rsidRDefault="00853B7A" w:rsidP="00FE1A62">
            <w:pPr>
              <w:jc w:val="right"/>
              <w:rPr>
                <w:rFonts w:eastAsia="Times New Roman" w:cs="Arial"/>
                <w:sz w:val="18"/>
                <w:szCs w:val="18"/>
              </w:rPr>
            </w:pPr>
            <w:r w:rsidRPr="00132496">
              <w:rPr>
                <w:rFonts w:eastAsia="Times New Roman" w:cs="Arial"/>
                <w:sz w:val="18"/>
                <w:szCs w:val="18"/>
              </w:rPr>
              <w:t>4,055,040</w:t>
            </w:r>
          </w:p>
        </w:tc>
      </w:tr>
      <w:tr w:rsidR="00853B7A" w:rsidRPr="00132496" w14:paraId="3FE79B06" w14:textId="77777777" w:rsidTr="00FE1A62">
        <w:trPr>
          <w:trHeight w:val="525"/>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5807FE36" w14:textId="77777777" w:rsidR="00853B7A" w:rsidRPr="00132496" w:rsidRDefault="00853B7A" w:rsidP="00853B7A">
            <w:pPr>
              <w:rPr>
                <w:rFonts w:eastAsia="Times New Roman" w:cs="Arial"/>
                <w:sz w:val="20"/>
                <w:szCs w:val="20"/>
              </w:rPr>
            </w:pPr>
            <w:r w:rsidRPr="00132496">
              <w:rPr>
                <w:rFonts w:eastAsia="Times New Roman" w:cs="Arial"/>
                <w:sz w:val="20"/>
                <w:szCs w:val="20"/>
              </w:rPr>
              <w:t>Copied Pages for Sales with 1 Agent (5.5%)</w:t>
            </w:r>
          </w:p>
        </w:tc>
        <w:tc>
          <w:tcPr>
            <w:tcW w:w="1788" w:type="dxa"/>
            <w:tcBorders>
              <w:top w:val="nil"/>
              <w:left w:val="nil"/>
              <w:bottom w:val="single" w:sz="8" w:space="0" w:color="auto"/>
              <w:right w:val="single" w:sz="8" w:space="0" w:color="auto"/>
            </w:tcBorders>
            <w:shd w:val="clear" w:color="auto" w:fill="auto"/>
            <w:vAlign w:val="center"/>
            <w:hideMark/>
          </w:tcPr>
          <w:p w14:paraId="45B03D4D"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406" w:type="dxa"/>
            <w:tcBorders>
              <w:top w:val="nil"/>
              <w:left w:val="nil"/>
              <w:bottom w:val="single" w:sz="8" w:space="0" w:color="auto"/>
              <w:right w:val="single" w:sz="8" w:space="0" w:color="auto"/>
            </w:tcBorders>
            <w:shd w:val="clear" w:color="auto" w:fill="auto"/>
            <w:vAlign w:val="center"/>
            <w:hideMark/>
          </w:tcPr>
          <w:p w14:paraId="152C8B17"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17" w:type="dxa"/>
            <w:tcBorders>
              <w:top w:val="nil"/>
              <w:left w:val="nil"/>
              <w:bottom w:val="single" w:sz="8" w:space="0" w:color="auto"/>
              <w:right w:val="single" w:sz="8" w:space="0" w:color="auto"/>
            </w:tcBorders>
            <w:shd w:val="clear" w:color="auto" w:fill="auto"/>
            <w:vAlign w:val="center"/>
            <w:hideMark/>
          </w:tcPr>
          <w:p w14:paraId="68E0BC35"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17" w:type="dxa"/>
            <w:tcBorders>
              <w:top w:val="nil"/>
              <w:left w:val="nil"/>
              <w:bottom w:val="single" w:sz="8" w:space="0" w:color="auto"/>
              <w:right w:val="single" w:sz="8" w:space="0" w:color="auto"/>
            </w:tcBorders>
            <w:shd w:val="clear" w:color="auto" w:fill="auto"/>
            <w:vAlign w:val="center"/>
            <w:hideMark/>
          </w:tcPr>
          <w:p w14:paraId="10A128B4"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1,485,000</w:t>
            </w:r>
          </w:p>
        </w:tc>
        <w:tc>
          <w:tcPr>
            <w:tcW w:w="1520" w:type="dxa"/>
            <w:tcBorders>
              <w:top w:val="nil"/>
              <w:left w:val="nil"/>
              <w:bottom w:val="single" w:sz="8" w:space="0" w:color="auto"/>
              <w:right w:val="single" w:sz="8" w:space="0" w:color="auto"/>
            </w:tcBorders>
            <w:shd w:val="clear" w:color="auto" w:fill="auto"/>
            <w:vAlign w:val="center"/>
            <w:hideMark/>
          </w:tcPr>
          <w:p w14:paraId="11A34701" w14:textId="1E19C423" w:rsidR="00853B7A" w:rsidRPr="00132496" w:rsidRDefault="00853B7A" w:rsidP="00FE1A62">
            <w:pPr>
              <w:jc w:val="right"/>
              <w:rPr>
                <w:rFonts w:eastAsia="Times New Roman" w:cs="Arial"/>
                <w:sz w:val="18"/>
                <w:szCs w:val="18"/>
              </w:rPr>
            </w:pPr>
            <w:r w:rsidRPr="00132496">
              <w:rPr>
                <w:rFonts w:eastAsia="Times New Roman" w:cs="Arial"/>
                <w:sz w:val="18"/>
                <w:szCs w:val="18"/>
              </w:rPr>
              <w:t>118,800</w:t>
            </w:r>
          </w:p>
        </w:tc>
      </w:tr>
      <w:tr w:rsidR="00853B7A" w:rsidRPr="00132496" w14:paraId="05498F1F" w14:textId="77777777" w:rsidTr="00FE1A62">
        <w:trPr>
          <w:trHeight w:val="525"/>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33330EB8" w14:textId="77777777" w:rsidR="00853B7A" w:rsidRPr="00132496" w:rsidRDefault="00853B7A" w:rsidP="00853B7A">
            <w:pPr>
              <w:rPr>
                <w:rFonts w:eastAsia="Times New Roman" w:cs="Arial"/>
                <w:sz w:val="20"/>
                <w:szCs w:val="20"/>
              </w:rPr>
            </w:pPr>
            <w:r w:rsidRPr="00132496">
              <w:rPr>
                <w:rFonts w:eastAsia="Times New Roman" w:cs="Arial"/>
                <w:sz w:val="20"/>
                <w:szCs w:val="20"/>
              </w:rPr>
              <w:t>Copied Pages for Sales with 2 Agents (89%)</w:t>
            </w:r>
          </w:p>
        </w:tc>
        <w:tc>
          <w:tcPr>
            <w:tcW w:w="1788" w:type="dxa"/>
            <w:tcBorders>
              <w:top w:val="nil"/>
              <w:left w:val="nil"/>
              <w:bottom w:val="single" w:sz="8" w:space="0" w:color="auto"/>
              <w:right w:val="single" w:sz="8" w:space="0" w:color="auto"/>
            </w:tcBorders>
            <w:shd w:val="clear" w:color="auto" w:fill="auto"/>
            <w:vAlign w:val="center"/>
            <w:hideMark/>
          </w:tcPr>
          <w:p w14:paraId="48C88501"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406" w:type="dxa"/>
            <w:tcBorders>
              <w:top w:val="nil"/>
              <w:left w:val="nil"/>
              <w:bottom w:val="single" w:sz="8" w:space="0" w:color="auto"/>
              <w:right w:val="single" w:sz="8" w:space="0" w:color="auto"/>
            </w:tcBorders>
            <w:shd w:val="clear" w:color="auto" w:fill="auto"/>
            <w:vAlign w:val="center"/>
            <w:hideMark/>
          </w:tcPr>
          <w:p w14:paraId="4FA3613C"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17" w:type="dxa"/>
            <w:tcBorders>
              <w:top w:val="nil"/>
              <w:left w:val="nil"/>
              <w:bottom w:val="single" w:sz="8" w:space="0" w:color="auto"/>
              <w:right w:val="single" w:sz="8" w:space="0" w:color="auto"/>
            </w:tcBorders>
            <w:shd w:val="clear" w:color="auto" w:fill="auto"/>
            <w:vAlign w:val="center"/>
            <w:hideMark/>
          </w:tcPr>
          <w:p w14:paraId="49D62DE3"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17" w:type="dxa"/>
            <w:tcBorders>
              <w:top w:val="nil"/>
              <w:left w:val="nil"/>
              <w:bottom w:val="single" w:sz="8" w:space="0" w:color="auto"/>
              <w:right w:val="single" w:sz="8" w:space="0" w:color="auto"/>
            </w:tcBorders>
            <w:shd w:val="clear" w:color="auto" w:fill="auto"/>
            <w:vAlign w:val="center"/>
            <w:hideMark/>
          </w:tcPr>
          <w:p w14:paraId="38AB374E"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28,836,000</w:t>
            </w:r>
          </w:p>
        </w:tc>
        <w:tc>
          <w:tcPr>
            <w:tcW w:w="1520" w:type="dxa"/>
            <w:tcBorders>
              <w:top w:val="nil"/>
              <w:left w:val="nil"/>
              <w:bottom w:val="single" w:sz="8" w:space="0" w:color="auto"/>
              <w:right w:val="single" w:sz="8" w:space="0" w:color="auto"/>
            </w:tcBorders>
            <w:shd w:val="clear" w:color="auto" w:fill="auto"/>
            <w:vAlign w:val="center"/>
            <w:hideMark/>
          </w:tcPr>
          <w:p w14:paraId="1B757D03" w14:textId="036D5E2F" w:rsidR="00853B7A" w:rsidRPr="00132496" w:rsidRDefault="00853B7A" w:rsidP="00FE1A62">
            <w:pPr>
              <w:jc w:val="right"/>
              <w:rPr>
                <w:rFonts w:eastAsia="Times New Roman" w:cs="Arial"/>
                <w:sz w:val="18"/>
                <w:szCs w:val="18"/>
              </w:rPr>
            </w:pPr>
            <w:r w:rsidRPr="00132496">
              <w:rPr>
                <w:rFonts w:eastAsia="Times New Roman" w:cs="Arial"/>
                <w:sz w:val="18"/>
                <w:szCs w:val="18"/>
              </w:rPr>
              <w:t>2,306,880</w:t>
            </w:r>
          </w:p>
        </w:tc>
      </w:tr>
      <w:tr w:rsidR="00853B7A" w:rsidRPr="00132496" w14:paraId="1E9650EA" w14:textId="77777777" w:rsidTr="00FE1A62">
        <w:trPr>
          <w:trHeight w:val="525"/>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7204401F" w14:textId="77777777" w:rsidR="00853B7A" w:rsidRPr="00132496" w:rsidRDefault="00853B7A" w:rsidP="00853B7A">
            <w:pPr>
              <w:rPr>
                <w:rFonts w:eastAsia="Times New Roman" w:cs="Arial"/>
                <w:sz w:val="20"/>
                <w:szCs w:val="20"/>
              </w:rPr>
            </w:pPr>
            <w:r w:rsidRPr="00132496">
              <w:rPr>
                <w:rFonts w:eastAsia="Times New Roman" w:cs="Arial"/>
                <w:sz w:val="20"/>
                <w:szCs w:val="20"/>
              </w:rPr>
              <w:t>Copied Pages for Rentals with Agents (88%)</w:t>
            </w:r>
          </w:p>
        </w:tc>
        <w:tc>
          <w:tcPr>
            <w:tcW w:w="1788" w:type="dxa"/>
            <w:tcBorders>
              <w:top w:val="nil"/>
              <w:left w:val="nil"/>
              <w:bottom w:val="single" w:sz="8" w:space="0" w:color="auto"/>
              <w:right w:val="single" w:sz="8" w:space="0" w:color="auto"/>
            </w:tcBorders>
            <w:shd w:val="clear" w:color="auto" w:fill="auto"/>
            <w:vAlign w:val="center"/>
            <w:hideMark/>
          </w:tcPr>
          <w:p w14:paraId="281CD761"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406" w:type="dxa"/>
            <w:tcBorders>
              <w:top w:val="nil"/>
              <w:left w:val="nil"/>
              <w:bottom w:val="single" w:sz="8" w:space="0" w:color="auto"/>
              <w:right w:val="single" w:sz="8" w:space="0" w:color="auto"/>
            </w:tcBorders>
            <w:shd w:val="clear" w:color="auto" w:fill="auto"/>
            <w:vAlign w:val="center"/>
            <w:hideMark/>
          </w:tcPr>
          <w:p w14:paraId="757F704A"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17" w:type="dxa"/>
            <w:tcBorders>
              <w:top w:val="nil"/>
              <w:left w:val="nil"/>
              <w:bottom w:val="single" w:sz="8" w:space="0" w:color="auto"/>
              <w:right w:val="single" w:sz="8" w:space="0" w:color="auto"/>
            </w:tcBorders>
            <w:shd w:val="clear" w:color="auto" w:fill="auto"/>
            <w:vAlign w:val="center"/>
            <w:hideMark/>
          </w:tcPr>
          <w:p w14:paraId="3503AEBC"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17" w:type="dxa"/>
            <w:tcBorders>
              <w:top w:val="nil"/>
              <w:left w:val="nil"/>
              <w:bottom w:val="single" w:sz="8" w:space="0" w:color="auto"/>
              <w:right w:val="single" w:sz="8" w:space="0" w:color="auto"/>
            </w:tcBorders>
            <w:shd w:val="clear" w:color="auto" w:fill="auto"/>
            <w:vAlign w:val="center"/>
            <w:hideMark/>
          </w:tcPr>
          <w:p w14:paraId="695332D8"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22,528,000</w:t>
            </w:r>
          </w:p>
        </w:tc>
        <w:tc>
          <w:tcPr>
            <w:tcW w:w="1520" w:type="dxa"/>
            <w:tcBorders>
              <w:top w:val="nil"/>
              <w:left w:val="nil"/>
              <w:bottom w:val="single" w:sz="8" w:space="0" w:color="auto"/>
              <w:right w:val="single" w:sz="8" w:space="0" w:color="auto"/>
            </w:tcBorders>
            <w:shd w:val="clear" w:color="auto" w:fill="auto"/>
            <w:vAlign w:val="center"/>
            <w:hideMark/>
          </w:tcPr>
          <w:p w14:paraId="37D26C6D" w14:textId="73140C61" w:rsidR="00853B7A" w:rsidRPr="00132496" w:rsidRDefault="00853B7A" w:rsidP="00FE1A62">
            <w:pPr>
              <w:jc w:val="right"/>
              <w:rPr>
                <w:rFonts w:eastAsia="Times New Roman" w:cs="Arial"/>
                <w:sz w:val="18"/>
                <w:szCs w:val="18"/>
              </w:rPr>
            </w:pPr>
            <w:r w:rsidRPr="00132496">
              <w:rPr>
                <w:rFonts w:eastAsia="Times New Roman" w:cs="Arial"/>
                <w:sz w:val="18"/>
                <w:szCs w:val="18"/>
              </w:rPr>
              <w:t>1,802,240</w:t>
            </w:r>
          </w:p>
        </w:tc>
      </w:tr>
      <w:tr w:rsidR="00853B7A" w:rsidRPr="00132496" w14:paraId="23C16EE4" w14:textId="77777777" w:rsidTr="00FE1A62">
        <w:trPr>
          <w:trHeight w:val="270"/>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07AAE725" w14:textId="77777777" w:rsidR="00853B7A" w:rsidRPr="00132496" w:rsidRDefault="00853B7A" w:rsidP="00853B7A">
            <w:pPr>
              <w:rPr>
                <w:rFonts w:eastAsia="Times New Roman" w:cs="Arial"/>
                <w:sz w:val="20"/>
                <w:szCs w:val="20"/>
              </w:rPr>
            </w:pPr>
            <w:r w:rsidRPr="00132496">
              <w:rPr>
                <w:rFonts w:eastAsia="Times New Roman" w:cs="Arial"/>
                <w:sz w:val="20"/>
                <w:szCs w:val="20"/>
              </w:rPr>
              <w:t>Filed Pages for Sales with 1 Agent (5.5%)</w:t>
            </w:r>
          </w:p>
        </w:tc>
        <w:tc>
          <w:tcPr>
            <w:tcW w:w="1788" w:type="dxa"/>
            <w:tcBorders>
              <w:top w:val="nil"/>
              <w:left w:val="nil"/>
              <w:bottom w:val="single" w:sz="8" w:space="0" w:color="auto"/>
              <w:right w:val="single" w:sz="8" w:space="0" w:color="auto"/>
            </w:tcBorders>
            <w:shd w:val="clear" w:color="auto" w:fill="auto"/>
            <w:vAlign w:val="center"/>
            <w:hideMark/>
          </w:tcPr>
          <w:p w14:paraId="42722A84"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406" w:type="dxa"/>
            <w:tcBorders>
              <w:top w:val="nil"/>
              <w:left w:val="nil"/>
              <w:bottom w:val="single" w:sz="8" w:space="0" w:color="auto"/>
              <w:right w:val="single" w:sz="8" w:space="0" w:color="auto"/>
            </w:tcBorders>
            <w:shd w:val="clear" w:color="auto" w:fill="auto"/>
            <w:vAlign w:val="center"/>
            <w:hideMark/>
          </w:tcPr>
          <w:p w14:paraId="30D5ED02"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17" w:type="dxa"/>
            <w:tcBorders>
              <w:top w:val="nil"/>
              <w:left w:val="nil"/>
              <w:bottom w:val="single" w:sz="8" w:space="0" w:color="auto"/>
              <w:right w:val="single" w:sz="8" w:space="0" w:color="auto"/>
            </w:tcBorders>
            <w:shd w:val="clear" w:color="auto" w:fill="auto"/>
            <w:vAlign w:val="center"/>
            <w:hideMark/>
          </w:tcPr>
          <w:p w14:paraId="19F24483"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17" w:type="dxa"/>
            <w:tcBorders>
              <w:top w:val="nil"/>
              <w:left w:val="nil"/>
              <w:bottom w:val="single" w:sz="8" w:space="0" w:color="auto"/>
              <w:right w:val="single" w:sz="8" w:space="0" w:color="auto"/>
            </w:tcBorders>
            <w:shd w:val="clear" w:color="auto" w:fill="auto"/>
            <w:vAlign w:val="center"/>
            <w:hideMark/>
          </w:tcPr>
          <w:p w14:paraId="7E3B26CF"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148,500</w:t>
            </w:r>
          </w:p>
        </w:tc>
        <w:tc>
          <w:tcPr>
            <w:tcW w:w="1520" w:type="dxa"/>
            <w:tcBorders>
              <w:top w:val="nil"/>
              <w:left w:val="nil"/>
              <w:bottom w:val="single" w:sz="8" w:space="0" w:color="auto"/>
              <w:right w:val="single" w:sz="8" w:space="0" w:color="auto"/>
            </w:tcBorders>
            <w:shd w:val="clear" w:color="auto" w:fill="auto"/>
            <w:vAlign w:val="center"/>
            <w:hideMark/>
          </w:tcPr>
          <w:p w14:paraId="3E4CCF81" w14:textId="25DD1413" w:rsidR="00853B7A" w:rsidRPr="00132496" w:rsidRDefault="00853B7A" w:rsidP="00FE1A62">
            <w:pPr>
              <w:jc w:val="right"/>
              <w:rPr>
                <w:rFonts w:eastAsia="Times New Roman" w:cs="Arial"/>
                <w:sz w:val="18"/>
                <w:szCs w:val="18"/>
              </w:rPr>
            </w:pPr>
            <w:r w:rsidRPr="00132496">
              <w:rPr>
                <w:rFonts w:eastAsia="Times New Roman" w:cs="Arial"/>
                <w:sz w:val="18"/>
                <w:szCs w:val="18"/>
              </w:rPr>
              <w:t>1,485</w:t>
            </w:r>
          </w:p>
        </w:tc>
      </w:tr>
      <w:tr w:rsidR="00853B7A" w:rsidRPr="00132496" w14:paraId="3EBA9FA3" w14:textId="77777777" w:rsidTr="00FE1A62">
        <w:trPr>
          <w:trHeight w:val="270"/>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4EC7F14D" w14:textId="77777777" w:rsidR="00853B7A" w:rsidRPr="00132496" w:rsidRDefault="00853B7A" w:rsidP="00853B7A">
            <w:pPr>
              <w:rPr>
                <w:rFonts w:eastAsia="Times New Roman" w:cs="Arial"/>
                <w:sz w:val="20"/>
                <w:szCs w:val="20"/>
              </w:rPr>
            </w:pPr>
            <w:r w:rsidRPr="00132496">
              <w:rPr>
                <w:rFonts w:eastAsia="Times New Roman" w:cs="Arial"/>
                <w:sz w:val="20"/>
                <w:szCs w:val="20"/>
              </w:rPr>
              <w:t>Filed Pages for Sales with 2 Agents (89%)</w:t>
            </w:r>
          </w:p>
        </w:tc>
        <w:tc>
          <w:tcPr>
            <w:tcW w:w="1788" w:type="dxa"/>
            <w:tcBorders>
              <w:top w:val="nil"/>
              <w:left w:val="nil"/>
              <w:bottom w:val="single" w:sz="8" w:space="0" w:color="auto"/>
              <w:right w:val="single" w:sz="8" w:space="0" w:color="auto"/>
            </w:tcBorders>
            <w:shd w:val="clear" w:color="auto" w:fill="auto"/>
            <w:vAlign w:val="center"/>
            <w:hideMark/>
          </w:tcPr>
          <w:p w14:paraId="6780F3F5"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406" w:type="dxa"/>
            <w:tcBorders>
              <w:top w:val="nil"/>
              <w:left w:val="nil"/>
              <w:bottom w:val="single" w:sz="8" w:space="0" w:color="auto"/>
              <w:right w:val="single" w:sz="8" w:space="0" w:color="auto"/>
            </w:tcBorders>
            <w:shd w:val="clear" w:color="auto" w:fill="auto"/>
            <w:vAlign w:val="center"/>
            <w:hideMark/>
          </w:tcPr>
          <w:p w14:paraId="591BE7CD"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17" w:type="dxa"/>
            <w:tcBorders>
              <w:top w:val="nil"/>
              <w:left w:val="nil"/>
              <w:bottom w:val="single" w:sz="8" w:space="0" w:color="auto"/>
              <w:right w:val="single" w:sz="8" w:space="0" w:color="auto"/>
            </w:tcBorders>
            <w:shd w:val="clear" w:color="auto" w:fill="auto"/>
            <w:vAlign w:val="center"/>
            <w:hideMark/>
          </w:tcPr>
          <w:p w14:paraId="1E988F99"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17" w:type="dxa"/>
            <w:tcBorders>
              <w:top w:val="nil"/>
              <w:left w:val="nil"/>
              <w:bottom w:val="single" w:sz="8" w:space="0" w:color="auto"/>
              <w:right w:val="single" w:sz="8" w:space="0" w:color="auto"/>
            </w:tcBorders>
            <w:shd w:val="clear" w:color="auto" w:fill="auto"/>
            <w:vAlign w:val="center"/>
            <w:hideMark/>
          </w:tcPr>
          <w:p w14:paraId="5DC9982D"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4,806,000</w:t>
            </w:r>
          </w:p>
        </w:tc>
        <w:tc>
          <w:tcPr>
            <w:tcW w:w="1520" w:type="dxa"/>
            <w:tcBorders>
              <w:top w:val="nil"/>
              <w:left w:val="nil"/>
              <w:bottom w:val="single" w:sz="8" w:space="0" w:color="auto"/>
              <w:right w:val="single" w:sz="8" w:space="0" w:color="auto"/>
            </w:tcBorders>
            <w:shd w:val="clear" w:color="auto" w:fill="auto"/>
            <w:vAlign w:val="center"/>
            <w:hideMark/>
          </w:tcPr>
          <w:p w14:paraId="19DFEE03" w14:textId="1DE77F25" w:rsidR="00853B7A" w:rsidRPr="00132496" w:rsidRDefault="00853B7A" w:rsidP="00FE1A62">
            <w:pPr>
              <w:jc w:val="right"/>
              <w:rPr>
                <w:rFonts w:eastAsia="Times New Roman" w:cs="Arial"/>
                <w:sz w:val="18"/>
                <w:szCs w:val="18"/>
              </w:rPr>
            </w:pPr>
            <w:r w:rsidRPr="00132496">
              <w:rPr>
                <w:rFonts w:eastAsia="Times New Roman" w:cs="Arial"/>
                <w:sz w:val="18"/>
                <w:szCs w:val="18"/>
              </w:rPr>
              <w:t>48,060</w:t>
            </w:r>
          </w:p>
        </w:tc>
      </w:tr>
      <w:tr w:rsidR="00853B7A" w:rsidRPr="00132496" w14:paraId="1C955605" w14:textId="77777777" w:rsidTr="00FE1A62">
        <w:trPr>
          <w:trHeight w:val="270"/>
        </w:trPr>
        <w:tc>
          <w:tcPr>
            <w:tcW w:w="3692" w:type="dxa"/>
            <w:tcBorders>
              <w:top w:val="nil"/>
              <w:left w:val="single" w:sz="8" w:space="0" w:color="auto"/>
              <w:bottom w:val="single" w:sz="8" w:space="0" w:color="auto"/>
              <w:right w:val="single" w:sz="8" w:space="0" w:color="auto"/>
            </w:tcBorders>
            <w:shd w:val="clear" w:color="auto" w:fill="auto"/>
            <w:vAlign w:val="center"/>
            <w:hideMark/>
          </w:tcPr>
          <w:p w14:paraId="188B130C" w14:textId="77777777" w:rsidR="00853B7A" w:rsidRPr="00132496" w:rsidRDefault="00853B7A" w:rsidP="00853B7A">
            <w:pPr>
              <w:rPr>
                <w:rFonts w:eastAsia="Times New Roman" w:cs="Arial"/>
                <w:sz w:val="20"/>
                <w:szCs w:val="20"/>
              </w:rPr>
            </w:pPr>
            <w:r w:rsidRPr="00132496">
              <w:rPr>
                <w:rFonts w:eastAsia="Times New Roman" w:cs="Arial"/>
                <w:sz w:val="20"/>
                <w:szCs w:val="20"/>
              </w:rPr>
              <w:t>Filed Pages for Rentals with Agents (88%)</w:t>
            </w:r>
          </w:p>
        </w:tc>
        <w:tc>
          <w:tcPr>
            <w:tcW w:w="1788" w:type="dxa"/>
            <w:tcBorders>
              <w:top w:val="nil"/>
              <w:left w:val="nil"/>
              <w:bottom w:val="single" w:sz="8" w:space="0" w:color="auto"/>
              <w:right w:val="single" w:sz="8" w:space="0" w:color="auto"/>
            </w:tcBorders>
            <w:shd w:val="clear" w:color="auto" w:fill="auto"/>
            <w:vAlign w:val="center"/>
            <w:hideMark/>
          </w:tcPr>
          <w:p w14:paraId="2A667D3E"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406" w:type="dxa"/>
            <w:tcBorders>
              <w:top w:val="nil"/>
              <w:left w:val="nil"/>
              <w:bottom w:val="single" w:sz="8" w:space="0" w:color="auto"/>
              <w:right w:val="single" w:sz="8" w:space="0" w:color="auto"/>
            </w:tcBorders>
            <w:shd w:val="clear" w:color="auto" w:fill="auto"/>
            <w:vAlign w:val="center"/>
            <w:hideMark/>
          </w:tcPr>
          <w:p w14:paraId="38DF6ABF"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17" w:type="dxa"/>
            <w:tcBorders>
              <w:top w:val="nil"/>
              <w:left w:val="nil"/>
              <w:bottom w:val="single" w:sz="8" w:space="0" w:color="auto"/>
              <w:right w:val="single" w:sz="8" w:space="0" w:color="auto"/>
            </w:tcBorders>
            <w:shd w:val="clear" w:color="auto" w:fill="auto"/>
            <w:vAlign w:val="center"/>
            <w:hideMark/>
          </w:tcPr>
          <w:p w14:paraId="6E0EF634"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17" w:type="dxa"/>
            <w:tcBorders>
              <w:top w:val="nil"/>
              <w:left w:val="nil"/>
              <w:bottom w:val="single" w:sz="8" w:space="0" w:color="auto"/>
              <w:right w:val="single" w:sz="8" w:space="0" w:color="auto"/>
            </w:tcBorders>
            <w:shd w:val="clear" w:color="auto" w:fill="auto"/>
            <w:vAlign w:val="center"/>
            <w:hideMark/>
          </w:tcPr>
          <w:p w14:paraId="4F081A68"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5,632,000</w:t>
            </w:r>
          </w:p>
        </w:tc>
        <w:tc>
          <w:tcPr>
            <w:tcW w:w="1520" w:type="dxa"/>
            <w:tcBorders>
              <w:top w:val="nil"/>
              <w:left w:val="nil"/>
              <w:bottom w:val="single" w:sz="8" w:space="0" w:color="auto"/>
              <w:right w:val="single" w:sz="8" w:space="0" w:color="auto"/>
            </w:tcBorders>
            <w:shd w:val="clear" w:color="auto" w:fill="auto"/>
            <w:vAlign w:val="center"/>
            <w:hideMark/>
          </w:tcPr>
          <w:p w14:paraId="04E9E8D1" w14:textId="4BC397F2" w:rsidR="00853B7A" w:rsidRPr="00132496" w:rsidRDefault="00853B7A" w:rsidP="00FE1A62">
            <w:pPr>
              <w:jc w:val="right"/>
              <w:rPr>
                <w:rFonts w:eastAsia="Times New Roman" w:cs="Arial"/>
                <w:sz w:val="18"/>
                <w:szCs w:val="18"/>
              </w:rPr>
            </w:pPr>
            <w:r w:rsidRPr="00132496">
              <w:rPr>
                <w:rFonts w:eastAsia="Times New Roman" w:cs="Arial"/>
                <w:sz w:val="18"/>
                <w:szCs w:val="18"/>
              </w:rPr>
              <w:t>56,320</w:t>
            </w:r>
          </w:p>
        </w:tc>
      </w:tr>
      <w:tr w:rsidR="00853B7A" w:rsidRPr="00132496" w14:paraId="0AFDB03A" w14:textId="77777777" w:rsidTr="00853B7A">
        <w:trPr>
          <w:trHeight w:val="270"/>
        </w:trPr>
        <w:tc>
          <w:tcPr>
            <w:tcW w:w="790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811CB38" w14:textId="77777777" w:rsidR="00853B7A" w:rsidRPr="00132496" w:rsidRDefault="00853B7A" w:rsidP="00853B7A">
            <w:pPr>
              <w:jc w:val="right"/>
              <w:rPr>
                <w:rFonts w:eastAsia="Times New Roman" w:cs="Arial"/>
                <w:i/>
                <w:iCs/>
                <w:sz w:val="20"/>
                <w:szCs w:val="20"/>
              </w:rPr>
            </w:pPr>
            <w:r w:rsidRPr="00132496">
              <w:rPr>
                <w:rFonts w:eastAsia="Times New Roman" w:cs="Arial"/>
                <w:i/>
                <w:iCs/>
                <w:sz w:val="20"/>
                <w:szCs w:val="20"/>
              </w:rPr>
              <w:t>Subtotal</w:t>
            </w:r>
          </w:p>
        </w:tc>
        <w:tc>
          <w:tcPr>
            <w:tcW w:w="1117" w:type="dxa"/>
            <w:tcBorders>
              <w:top w:val="nil"/>
              <w:left w:val="nil"/>
              <w:bottom w:val="single" w:sz="8" w:space="0" w:color="auto"/>
              <w:right w:val="single" w:sz="8" w:space="0" w:color="auto"/>
            </w:tcBorders>
            <w:shd w:val="clear" w:color="auto" w:fill="auto"/>
            <w:vAlign w:val="center"/>
            <w:hideMark/>
          </w:tcPr>
          <w:p w14:paraId="4DADEF2C" w14:textId="77777777" w:rsidR="00853B7A" w:rsidRPr="00132496" w:rsidRDefault="00853B7A" w:rsidP="00853B7A">
            <w:pPr>
              <w:rPr>
                <w:rFonts w:eastAsia="Times New Roman" w:cs="Arial"/>
                <w:sz w:val="18"/>
                <w:szCs w:val="18"/>
              </w:rPr>
            </w:pPr>
            <w:r w:rsidRPr="00132496">
              <w:rPr>
                <w:rFonts w:eastAsia="Times New Roman" w:cs="Arial"/>
                <w:sz w:val="18"/>
                <w:szCs w:val="18"/>
              </w:rPr>
              <w:t> </w:t>
            </w:r>
          </w:p>
        </w:tc>
        <w:tc>
          <w:tcPr>
            <w:tcW w:w="1520" w:type="dxa"/>
            <w:tcBorders>
              <w:top w:val="nil"/>
              <w:left w:val="nil"/>
              <w:bottom w:val="single" w:sz="8" w:space="0" w:color="auto"/>
              <w:right w:val="single" w:sz="8" w:space="0" w:color="auto"/>
            </w:tcBorders>
            <w:shd w:val="clear" w:color="auto" w:fill="auto"/>
            <w:vAlign w:val="center"/>
            <w:hideMark/>
          </w:tcPr>
          <w:p w14:paraId="24BD3DEF" w14:textId="77777777" w:rsidR="00853B7A" w:rsidRPr="00132496" w:rsidRDefault="00853B7A" w:rsidP="00853B7A">
            <w:pPr>
              <w:jc w:val="right"/>
              <w:rPr>
                <w:rFonts w:eastAsia="Times New Roman" w:cs="Arial"/>
                <w:i/>
                <w:sz w:val="18"/>
                <w:szCs w:val="18"/>
              </w:rPr>
            </w:pPr>
            <w:r>
              <w:rPr>
                <w:rFonts w:eastAsia="Times New Roman" w:cs="Arial"/>
                <w:i/>
                <w:sz w:val="18"/>
                <w:szCs w:val="18"/>
              </w:rPr>
              <w:t>$</w:t>
            </w:r>
            <w:r w:rsidRPr="00132496">
              <w:rPr>
                <w:rFonts w:eastAsia="Times New Roman" w:cs="Arial"/>
                <w:i/>
                <w:sz w:val="18"/>
                <w:szCs w:val="18"/>
              </w:rPr>
              <w:t>11,849,145</w:t>
            </w:r>
          </w:p>
        </w:tc>
      </w:tr>
      <w:tr w:rsidR="00853B7A" w:rsidRPr="00132496" w14:paraId="0091CACB" w14:textId="77777777" w:rsidTr="00853B7A">
        <w:trPr>
          <w:trHeight w:val="270"/>
        </w:trPr>
        <w:tc>
          <w:tcPr>
            <w:tcW w:w="54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5E4F9A" w14:textId="77777777" w:rsidR="00853B7A" w:rsidRPr="00132496" w:rsidRDefault="00853B7A" w:rsidP="00853B7A">
            <w:pPr>
              <w:jc w:val="right"/>
              <w:rPr>
                <w:rFonts w:eastAsia="Times New Roman" w:cs="Arial"/>
                <w:b/>
                <w:bCs/>
                <w:i/>
                <w:iCs/>
                <w:sz w:val="20"/>
                <w:szCs w:val="20"/>
              </w:rPr>
            </w:pPr>
            <w:r w:rsidRPr="00132496">
              <w:rPr>
                <w:rFonts w:eastAsia="Times New Roman" w:cs="Arial"/>
                <w:b/>
                <w:bCs/>
                <w:i/>
                <w:iCs/>
                <w:sz w:val="20"/>
                <w:szCs w:val="20"/>
              </w:rPr>
              <w:t>Grand Total</w:t>
            </w:r>
          </w:p>
        </w:tc>
        <w:tc>
          <w:tcPr>
            <w:tcW w:w="1406" w:type="dxa"/>
            <w:tcBorders>
              <w:top w:val="nil"/>
              <w:left w:val="nil"/>
              <w:bottom w:val="single" w:sz="8" w:space="0" w:color="auto"/>
              <w:right w:val="single" w:sz="8" w:space="0" w:color="auto"/>
            </w:tcBorders>
            <w:shd w:val="clear" w:color="auto" w:fill="auto"/>
            <w:vAlign w:val="center"/>
            <w:hideMark/>
          </w:tcPr>
          <w:p w14:paraId="5A209911" w14:textId="77777777" w:rsidR="00853B7A" w:rsidRPr="00132496" w:rsidRDefault="00853B7A" w:rsidP="00853B7A">
            <w:pPr>
              <w:jc w:val="right"/>
              <w:rPr>
                <w:rFonts w:eastAsia="Times New Roman" w:cs="Arial"/>
                <w:b/>
                <w:bCs/>
                <w:i/>
                <w:iCs/>
                <w:sz w:val="18"/>
                <w:szCs w:val="18"/>
              </w:rPr>
            </w:pPr>
            <w:r w:rsidRPr="00132496">
              <w:rPr>
                <w:rFonts w:eastAsia="Times New Roman" w:cs="Arial"/>
                <w:b/>
                <w:bCs/>
                <w:i/>
                <w:iCs/>
                <w:sz w:val="18"/>
                <w:szCs w:val="18"/>
              </w:rPr>
              <w:t>20,899,873</w:t>
            </w:r>
          </w:p>
        </w:tc>
        <w:tc>
          <w:tcPr>
            <w:tcW w:w="1017" w:type="dxa"/>
            <w:tcBorders>
              <w:top w:val="nil"/>
              <w:left w:val="nil"/>
              <w:bottom w:val="single" w:sz="8" w:space="0" w:color="auto"/>
              <w:right w:val="single" w:sz="8" w:space="0" w:color="auto"/>
            </w:tcBorders>
            <w:shd w:val="clear" w:color="auto" w:fill="auto"/>
            <w:vAlign w:val="center"/>
            <w:hideMark/>
          </w:tcPr>
          <w:p w14:paraId="2F9CFE03" w14:textId="77777777" w:rsidR="00853B7A" w:rsidRPr="00132496" w:rsidRDefault="00853B7A" w:rsidP="00853B7A">
            <w:pPr>
              <w:jc w:val="right"/>
              <w:rPr>
                <w:rFonts w:eastAsia="Times New Roman" w:cs="Arial"/>
                <w:b/>
                <w:bCs/>
                <w:i/>
                <w:iCs/>
                <w:sz w:val="18"/>
                <w:szCs w:val="18"/>
              </w:rPr>
            </w:pPr>
            <w:r w:rsidRPr="00132496">
              <w:rPr>
                <w:rFonts w:eastAsia="Times New Roman" w:cs="Arial"/>
                <w:b/>
                <w:bCs/>
                <w:i/>
                <w:iCs/>
                <w:sz w:val="18"/>
                <w:szCs w:val="18"/>
              </w:rPr>
              <w:t>1,210,147</w:t>
            </w:r>
          </w:p>
        </w:tc>
        <w:tc>
          <w:tcPr>
            <w:tcW w:w="1117" w:type="dxa"/>
            <w:tcBorders>
              <w:top w:val="nil"/>
              <w:left w:val="nil"/>
              <w:bottom w:val="single" w:sz="8" w:space="0" w:color="auto"/>
              <w:right w:val="single" w:sz="8" w:space="0" w:color="auto"/>
            </w:tcBorders>
            <w:shd w:val="clear" w:color="auto" w:fill="auto"/>
            <w:vAlign w:val="center"/>
            <w:hideMark/>
          </w:tcPr>
          <w:p w14:paraId="34C994F4" w14:textId="77777777" w:rsidR="00853B7A" w:rsidRPr="00132496" w:rsidRDefault="00853B7A" w:rsidP="00853B7A">
            <w:pPr>
              <w:rPr>
                <w:rFonts w:eastAsia="Times New Roman" w:cs="Arial"/>
                <w:b/>
                <w:bCs/>
                <w:i/>
                <w:iCs/>
                <w:sz w:val="18"/>
                <w:szCs w:val="18"/>
              </w:rPr>
            </w:pPr>
            <w:r w:rsidRPr="00132496">
              <w:rPr>
                <w:rFonts w:eastAsia="Times New Roman" w:cs="Arial"/>
                <w:b/>
                <w:bCs/>
                <w:i/>
                <w:iCs/>
                <w:sz w:val="18"/>
                <w:szCs w:val="18"/>
              </w:rPr>
              <w:t> </w:t>
            </w:r>
          </w:p>
        </w:tc>
        <w:tc>
          <w:tcPr>
            <w:tcW w:w="1520" w:type="dxa"/>
            <w:tcBorders>
              <w:top w:val="nil"/>
              <w:left w:val="nil"/>
              <w:bottom w:val="single" w:sz="8" w:space="0" w:color="auto"/>
              <w:right w:val="single" w:sz="8" w:space="0" w:color="auto"/>
            </w:tcBorders>
            <w:shd w:val="clear" w:color="auto" w:fill="auto"/>
            <w:vAlign w:val="center"/>
            <w:hideMark/>
          </w:tcPr>
          <w:p w14:paraId="346422A4" w14:textId="77777777" w:rsidR="00853B7A" w:rsidRPr="00132496" w:rsidRDefault="00853B7A" w:rsidP="00853B7A">
            <w:pPr>
              <w:jc w:val="right"/>
              <w:rPr>
                <w:rFonts w:eastAsia="Times New Roman" w:cs="Arial"/>
                <w:b/>
                <w:bCs/>
                <w:i/>
                <w:iCs/>
                <w:sz w:val="18"/>
                <w:szCs w:val="18"/>
              </w:rPr>
            </w:pPr>
            <w:r>
              <w:rPr>
                <w:rFonts w:eastAsia="Times New Roman" w:cs="Arial"/>
                <w:b/>
                <w:bCs/>
                <w:i/>
                <w:iCs/>
                <w:sz w:val="18"/>
                <w:szCs w:val="18"/>
              </w:rPr>
              <w:t>$</w:t>
            </w:r>
            <w:r w:rsidRPr="00132496">
              <w:rPr>
                <w:rFonts w:eastAsia="Times New Roman" w:cs="Arial"/>
                <w:b/>
                <w:bCs/>
                <w:i/>
                <w:iCs/>
                <w:sz w:val="18"/>
                <w:szCs w:val="18"/>
              </w:rPr>
              <w:t>53,468,267</w:t>
            </w:r>
          </w:p>
        </w:tc>
      </w:tr>
    </w:tbl>
    <w:p w14:paraId="2AB9BBF8" w14:textId="77777777" w:rsidR="00853B7A" w:rsidRPr="00E22CD4" w:rsidRDefault="00853B7A" w:rsidP="00853B7A">
      <w:pPr>
        <w:pStyle w:val="ListParagraph"/>
        <w:ind w:left="1440"/>
      </w:pPr>
    </w:p>
    <w:p w14:paraId="326CDD5B" w14:textId="77777777" w:rsidR="00853B7A" w:rsidRPr="00E22CD4" w:rsidRDefault="00853B7A" w:rsidP="00853B7A">
      <w:pPr>
        <w:pStyle w:val="Heading2"/>
        <w:tabs>
          <w:tab w:val="left" w:pos="1080"/>
        </w:tabs>
        <w:ind w:left="360"/>
        <w:rPr>
          <w:lang w:bidi="en-US"/>
        </w:rPr>
      </w:pPr>
      <w:bookmarkStart w:id="2" w:name="_Toc494361018"/>
      <w:r w:rsidRPr="00E22CD4">
        <w:t xml:space="preserve">IC #2: </w:t>
      </w:r>
      <w:r>
        <w:t>Individual Start-up,</w:t>
      </w:r>
      <w:r w:rsidRPr="00E22CD4">
        <w:t xml:space="preserve"> Disclosure and Record Preparation, Recordkeeping and Materials Burden</w:t>
      </w:r>
      <w:bookmarkEnd w:id="2"/>
    </w:p>
    <w:p w14:paraId="1574B1BF" w14:textId="77777777" w:rsidR="00853B7A" w:rsidRPr="00E22CD4" w:rsidRDefault="00853B7A" w:rsidP="00853B7A">
      <w:pPr>
        <w:rPr>
          <w:u w:val="single"/>
        </w:rPr>
      </w:pPr>
      <w:r w:rsidRPr="00E22CD4">
        <w:rPr>
          <w:u w:val="single"/>
        </w:rPr>
        <w:t>Respondent NAICS Codes</w:t>
      </w:r>
    </w:p>
    <w:p w14:paraId="38D39D04" w14:textId="77777777" w:rsidR="00853B7A" w:rsidRPr="00E22CD4" w:rsidRDefault="00853B7A" w:rsidP="00853B7A">
      <w:pPr>
        <w:pStyle w:val="ListParagraph"/>
        <w:ind w:left="1440"/>
      </w:pPr>
    </w:p>
    <w:p w14:paraId="293B77E0" w14:textId="77777777" w:rsidR="00853B7A" w:rsidRPr="00640C2D" w:rsidRDefault="00853B7A" w:rsidP="00853B7A">
      <w:r w:rsidRPr="00E22CD4">
        <w:t xml:space="preserve">None, </w:t>
      </w:r>
      <w:r w:rsidRPr="00640C2D">
        <w:t>this IC captures burden and cost estimates for sellers, offerors, and tenants therefore no NAICS code applies.</w:t>
      </w:r>
    </w:p>
    <w:p w14:paraId="6972828C" w14:textId="77777777" w:rsidR="00853B7A" w:rsidRPr="00640C2D" w:rsidRDefault="00853B7A" w:rsidP="00853B7A">
      <w:pPr>
        <w:pStyle w:val="ListParagraph"/>
        <w:ind w:left="1440"/>
      </w:pPr>
    </w:p>
    <w:p w14:paraId="05793C18" w14:textId="77777777" w:rsidR="00832825" w:rsidRDefault="00832825">
      <w:pPr>
        <w:spacing w:after="200" w:line="276" w:lineRule="auto"/>
        <w:rPr>
          <w:u w:val="single"/>
        </w:rPr>
      </w:pPr>
      <w:r>
        <w:rPr>
          <w:u w:val="single"/>
        </w:rPr>
        <w:br w:type="page"/>
      </w:r>
    </w:p>
    <w:p w14:paraId="69071B36" w14:textId="005CDC3A" w:rsidR="00853B7A" w:rsidRPr="00640C2D" w:rsidRDefault="00853B7A" w:rsidP="00853B7A">
      <w:pPr>
        <w:rPr>
          <w:u w:val="single"/>
        </w:rPr>
      </w:pPr>
      <w:r w:rsidRPr="00640C2D">
        <w:rPr>
          <w:u w:val="single"/>
        </w:rPr>
        <w:t>Information Collection Activities</w:t>
      </w:r>
    </w:p>
    <w:p w14:paraId="50ABC51A" w14:textId="77777777" w:rsidR="00853B7A" w:rsidRPr="00640C2D" w:rsidRDefault="00853B7A" w:rsidP="00853B7A">
      <w:pPr>
        <w:pStyle w:val="NoSpacing"/>
      </w:pPr>
    </w:p>
    <w:p w14:paraId="68B55228" w14:textId="77777777" w:rsidR="00853B7A" w:rsidRDefault="00853B7A" w:rsidP="00853B7A">
      <w:r w:rsidRPr="00640C2D">
        <w:t xml:space="preserve">The start-up burden involves the time and cost required for individuals to learn the disclosure rule’s requirements and set up procedures for meeting those requirements. EPA estimates that the paperwork burden </w:t>
      </w:r>
      <w:r>
        <w:t xml:space="preserve">related to </w:t>
      </w:r>
      <w:r w:rsidRPr="009F10C8">
        <w:t>learn</w:t>
      </w:r>
      <w:r>
        <w:t>ing</w:t>
      </w:r>
      <w:r w:rsidRPr="009F10C8">
        <w:t xml:space="preserve"> the rule and set</w:t>
      </w:r>
      <w:r>
        <w:t>ting</w:t>
      </w:r>
      <w:r w:rsidRPr="009F10C8">
        <w:t xml:space="preserve"> up compliance procedures </w:t>
      </w:r>
      <w:r>
        <w:t xml:space="preserve">is </w:t>
      </w:r>
      <w:r w:rsidRPr="00E27E53">
        <w:t xml:space="preserve">one hour. </w:t>
      </w:r>
      <w:r>
        <w:t>Each seller is assumed to incur the start-up burden</w:t>
      </w:r>
      <w:r w:rsidRPr="00E27E53">
        <w:t>.</w:t>
      </w:r>
    </w:p>
    <w:p w14:paraId="0F1DAEF6" w14:textId="77777777" w:rsidR="00853B7A" w:rsidRPr="002B43B9" w:rsidRDefault="00853B7A" w:rsidP="00853B7A">
      <w:pPr>
        <w:pStyle w:val="NoSpacing"/>
      </w:pPr>
    </w:p>
    <w:p w14:paraId="00CDD276" w14:textId="4FAE797B" w:rsidR="00853B7A" w:rsidRDefault="00853B7A" w:rsidP="00853B7A">
      <w:r w:rsidRPr="00932DFB">
        <w:t>The disclosure record preparation burden involves the time and cost for performing the disclosure activities in conjunction with the sale or rental of target housing as specified by the rule</w:t>
      </w:r>
      <w:r>
        <w:t xml:space="preserve">. </w:t>
      </w:r>
      <w:r w:rsidRPr="00932DFB">
        <w:t>Each instance is estimated to take five minutes for each of the parties. For each sale handled by an agent on the seller’s side, the agent is expected to explain the rule to the seller</w:t>
      </w:r>
      <w:r w:rsidR="002A2EF8">
        <w:t xml:space="preserve">. </w:t>
      </w:r>
      <w:r w:rsidRPr="00932DFB">
        <w:t>For each offer in each sale handled by an agent on the offeror’s side, the agent is expected to ex</w:t>
      </w:r>
      <w:r>
        <w:t>plain the rule to the offeror. T</w:t>
      </w:r>
      <w:r w:rsidRPr="00932DFB">
        <w:t>hus for each sale without an agent the analysis assumes a total burden of twenty minutes (five minutes on each of two sides, for two offers), and a total burden of thirty</w:t>
      </w:r>
      <w:r>
        <w:t>-</w:t>
      </w:r>
      <w:r w:rsidRPr="00932DFB">
        <w:t>five minutes when the sale has an agent for each offeror and for the seller (twenty minutes plus five minutes for each of three agents).</w:t>
      </w:r>
    </w:p>
    <w:p w14:paraId="730FAA18" w14:textId="77777777" w:rsidR="00853B7A" w:rsidRPr="004F54C5" w:rsidRDefault="00853B7A" w:rsidP="00853B7A">
      <w:pPr>
        <w:pStyle w:val="NoSpacing"/>
      </w:pPr>
    </w:p>
    <w:p w14:paraId="3AFD4186" w14:textId="77777777" w:rsidR="00853B7A" w:rsidRDefault="00853B7A" w:rsidP="00853B7A">
      <w:r w:rsidRPr="00932DFB">
        <w:t>The record-keeping provisions of this rule require the seller and the selling agent (or in the case of rentals, both the owners/lessors and their agents) maintain rec</w:t>
      </w:r>
      <w:r>
        <w:t xml:space="preserve">ords of the signed disclosure. </w:t>
      </w:r>
      <w:r w:rsidRPr="00932DFB">
        <w:t>The record-keeping requirement causes them to spend time in filing the specified documents</w:t>
      </w:r>
      <w:r>
        <w:t xml:space="preserve">. </w:t>
      </w:r>
      <w:r w:rsidRPr="00932DFB">
        <w:t>In all likelihood, some type of filing system already exists for each party. The incremental filing time that may reasonably be attributed to the disclosure rule itself should be very small, or approximately 0.5 minutes (0.0083 hours) per record.</w:t>
      </w:r>
    </w:p>
    <w:p w14:paraId="20C778CA" w14:textId="77777777" w:rsidR="00853B7A" w:rsidRPr="002B43B9" w:rsidRDefault="00853B7A" w:rsidP="00853B7A">
      <w:pPr>
        <w:pStyle w:val="NoSpacing"/>
      </w:pPr>
    </w:p>
    <w:p w14:paraId="1F719F52" w14:textId="021E5AB0" w:rsidR="00853B7A" w:rsidRDefault="00853B7A" w:rsidP="00853B7A">
      <w:r>
        <w:t>T</w:t>
      </w:r>
      <w:r w:rsidRPr="00932DFB">
        <w:t>he materials burden involves the cost of materials</w:t>
      </w:r>
      <w:r>
        <w:t xml:space="preserve"> required for rule compliance. </w:t>
      </w:r>
      <w:r w:rsidRPr="00932DFB">
        <w:t xml:space="preserve">Materials costs include </w:t>
      </w:r>
      <w:r>
        <w:t xml:space="preserve">pamphlets and </w:t>
      </w:r>
      <w:r w:rsidRPr="00932DFB">
        <w:t xml:space="preserve">copies </w:t>
      </w:r>
      <w:r>
        <w:t xml:space="preserve">provided by sellers or lessors who do not use agents. </w:t>
      </w:r>
      <w:r w:rsidRPr="00844E48">
        <w:t>It is assumed that there is one copy of a signed acknowledgment and disclosure statement for e</w:t>
      </w:r>
      <w:r>
        <w:t xml:space="preserve">very offer or rental contract. </w:t>
      </w:r>
      <w:r w:rsidRPr="00844E48">
        <w:t>It is assumed that each statement will require no more than one s</w:t>
      </w:r>
      <w:r>
        <w:t>ide of a single sheet of paper.</w:t>
      </w:r>
      <w:r w:rsidRPr="00844E48">
        <w:t xml:space="preserve"> For sales and rentals involving an agent, three sets of the contract must be generated by the agent (one for the buyer/lessee, one for the seller/lessor and one for the agent) for a total of three copies</w:t>
      </w:r>
      <w:r w:rsidR="002A2EF8">
        <w:t xml:space="preserve">. </w:t>
      </w:r>
      <w:r>
        <w:t>S</w:t>
      </w:r>
      <w:r w:rsidRPr="00844E48">
        <w:t>ales transactions will also require a one-page lead-based paint inspection cont</w:t>
      </w:r>
      <w:r>
        <w:t xml:space="preserve">ingency clause for each party. </w:t>
      </w:r>
      <w:r w:rsidRPr="00844E48">
        <w:t>Those are not required for rentals</w:t>
      </w:r>
      <w:r w:rsidR="002A2EF8">
        <w:t xml:space="preserve">. </w:t>
      </w:r>
      <w:r w:rsidRPr="00844E48">
        <w:t xml:space="preserve">This analysis assumes two offers per sale. </w:t>
      </w:r>
      <w:r>
        <w:t>Copy costs are assumed to be an average of $0.08 per page, the standard price per page at copy centers for black and white copies (September 2017). Not all sales transactions will involve two agents since 11 percent of sellers and 12 percent of offerors each are assumed to not use and agent. Of the percentage of sales not involving two agents, half the sales are assumed to occur with no agents and half are assumed to occur with one agent. A similar assumption was not made for rental transactions because only owner/lessors are assumed to use agents and all tenants are acting on their own behalf.</w:t>
      </w:r>
    </w:p>
    <w:p w14:paraId="64F9E0A2" w14:textId="5D321C1D" w:rsidR="002B77B9" w:rsidRDefault="002B77B9">
      <w:pPr>
        <w:spacing w:after="200" w:line="276" w:lineRule="auto"/>
      </w:pPr>
      <w:r>
        <w:br w:type="page"/>
      </w:r>
    </w:p>
    <w:p w14:paraId="666D7E4B" w14:textId="77777777" w:rsidR="00853B7A" w:rsidRDefault="00853B7A" w:rsidP="00853B7A">
      <w:pPr>
        <w:pStyle w:val="NoSpacing"/>
      </w:pPr>
    </w:p>
    <w:tbl>
      <w:tblPr>
        <w:tblW w:w="10540" w:type="dxa"/>
        <w:tblLook w:val="04A0" w:firstRow="1" w:lastRow="0" w:firstColumn="1" w:lastColumn="0" w:noHBand="0" w:noVBand="1"/>
      </w:tblPr>
      <w:tblGrid>
        <w:gridCol w:w="4040"/>
        <w:gridCol w:w="1703"/>
        <w:gridCol w:w="1177"/>
        <w:gridCol w:w="1060"/>
        <w:gridCol w:w="1040"/>
        <w:gridCol w:w="1520"/>
      </w:tblGrid>
      <w:tr w:rsidR="00853B7A" w:rsidRPr="00132496" w14:paraId="5E6D6708" w14:textId="77777777" w:rsidTr="00853B7A">
        <w:trPr>
          <w:trHeight w:val="300"/>
        </w:trPr>
        <w:tc>
          <w:tcPr>
            <w:tcW w:w="10540" w:type="dxa"/>
            <w:gridSpan w:val="6"/>
            <w:tcBorders>
              <w:top w:val="single" w:sz="8" w:space="0" w:color="auto"/>
              <w:left w:val="single" w:sz="8" w:space="0" w:color="auto"/>
              <w:bottom w:val="nil"/>
              <w:right w:val="single" w:sz="8" w:space="0" w:color="000000"/>
            </w:tcBorders>
            <w:shd w:val="clear" w:color="000000" w:fill="BFBFBF"/>
            <w:vAlign w:val="center"/>
            <w:hideMark/>
          </w:tcPr>
          <w:p w14:paraId="612B8A81" w14:textId="77777777" w:rsidR="00853B7A" w:rsidRPr="00132496" w:rsidRDefault="00853B7A" w:rsidP="00853B7A">
            <w:pPr>
              <w:jc w:val="center"/>
              <w:rPr>
                <w:rFonts w:eastAsia="Times New Roman" w:cs="Arial"/>
                <w:b/>
                <w:bCs/>
                <w:sz w:val="22"/>
              </w:rPr>
            </w:pPr>
            <w:r>
              <w:rPr>
                <w:rFonts w:eastAsia="Times New Roman" w:cs="Arial"/>
                <w:b/>
                <w:bCs/>
                <w:sz w:val="22"/>
              </w:rPr>
              <w:t>IC# 2. Seller, Offeror, and Te</w:t>
            </w:r>
            <w:r w:rsidRPr="00132496">
              <w:rPr>
                <w:rFonts w:eastAsia="Times New Roman" w:cs="Arial"/>
                <w:b/>
                <w:bCs/>
                <w:sz w:val="22"/>
              </w:rPr>
              <w:t>nant Disclosure and Record Preparation, Recordkeeping, and Material Burden</w:t>
            </w:r>
          </w:p>
        </w:tc>
      </w:tr>
      <w:tr w:rsidR="00853B7A" w:rsidRPr="00132496" w14:paraId="4681119F" w14:textId="77777777" w:rsidTr="00853B7A">
        <w:trPr>
          <w:trHeight w:val="315"/>
        </w:trPr>
        <w:tc>
          <w:tcPr>
            <w:tcW w:w="10540" w:type="dxa"/>
            <w:gridSpan w:val="6"/>
            <w:tcBorders>
              <w:top w:val="nil"/>
              <w:left w:val="single" w:sz="8" w:space="0" w:color="auto"/>
              <w:bottom w:val="single" w:sz="8" w:space="0" w:color="auto"/>
              <w:right w:val="single" w:sz="8" w:space="0" w:color="000000"/>
            </w:tcBorders>
            <w:shd w:val="clear" w:color="000000" w:fill="BFBFBF"/>
            <w:vAlign w:val="center"/>
            <w:hideMark/>
          </w:tcPr>
          <w:p w14:paraId="26167486" w14:textId="77777777" w:rsidR="00853B7A" w:rsidRPr="00132496" w:rsidRDefault="00853B7A" w:rsidP="00853B7A">
            <w:pPr>
              <w:jc w:val="center"/>
              <w:rPr>
                <w:rFonts w:eastAsia="Times New Roman" w:cs="Arial"/>
                <w:b/>
                <w:bCs/>
                <w:sz w:val="22"/>
              </w:rPr>
            </w:pPr>
            <w:r w:rsidRPr="00132496">
              <w:rPr>
                <w:rFonts w:eastAsia="Times New Roman" w:cs="Arial"/>
                <w:b/>
                <w:bCs/>
                <w:sz w:val="22"/>
              </w:rPr>
              <w:t>Citation: 40 CFR 745, subpart F</w:t>
            </w:r>
          </w:p>
        </w:tc>
      </w:tr>
      <w:tr w:rsidR="00853B7A" w:rsidRPr="00132496" w14:paraId="0201A23E" w14:textId="77777777" w:rsidTr="002A2EF8">
        <w:trPr>
          <w:trHeight w:val="270"/>
        </w:trPr>
        <w:tc>
          <w:tcPr>
            <w:tcW w:w="4040" w:type="dxa"/>
            <w:tcBorders>
              <w:top w:val="nil"/>
              <w:left w:val="single" w:sz="8" w:space="0" w:color="auto"/>
              <w:bottom w:val="single" w:sz="8" w:space="0" w:color="auto"/>
              <w:right w:val="single" w:sz="8" w:space="0" w:color="auto"/>
            </w:tcBorders>
            <w:shd w:val="clear" w:color="000000" w:fill="BFBFBF"/>
            <w:vAlign w:val="center"/>
            <w:hideMark/>
          </w:tcPr>
          <w:p w14:paraId="608DCB8A"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Data Element</w:t>
            </w:r>
          </w:p>
        </w:tc>
        <w:tc>
          <w:tcPr>
            <w:tcW w:w="1703" w:type="dxa"/>
            <w:tcBorders>
              <w:top w:val="nil"/>
              <w:left w:val="nil"/>
              <w:bottom w:val="single" w:sz="8" w:space="0" w:color="auto"/>
              <w:right w:val="single" w:sz="8" w:space="0" w:color="auto"/>
            </w:tcBorders>
            <w:shd w:val="clear" w:color="000000" w:fill="BFBFBF"/>
            <w:vAlign w:val="center"/>
            <w:hideMark/>
          </w:tcPr>
          <w:p w14:paraId="3AC6519D"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Form</w:t>
            </w:r>
          </w:p>
        </w:tc>
        <w:tc>
          <w:tcPr>
            <w:tcW w:w="1177" w:type="dxa"/>
            <w:tcBorders>
              <w:top w:val="nil"/>
              <w:left w:val="nil"/>
              <w:bottom w:val="single" w:sz="8" w:space="0" w:color="auto"/>
              <w:right w:val="single" w:sz="8" w:space="0" w:color="auto"/>
            </w:tcBorders>
            <w:shd w:val="clear" w:color="000000" w:fill="BFBFBF"/>
            <w:vAlign w:val="center"/>
            <w:hideMark/>
          </w:tcPr>
          <w:p w14:paraId="6535BDC3"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Responses</w:t>
            </w:r>
          </w:p>
        </w:tc>
        <w:tc>
          <w:tcPr>
            <w:tcW w:w="1060" w:type="dxa"/>
            <w:tcBorders>
              <w:top w:val="nil"/>
              <w:left w:val="nil"/>
              <w:bottom w:val="single" w:sz="8" w:space="0" w:color="auto"/>
              <w:right w:val="single" w:sz="8" w:space="0" w:color="auto"/>
            </w:tcBorders>
            <w:shd w:val="clear" w:color="000000" w:fill="BFBFBF"/>
            <w:vAlign w:val="center"/>
            <w:hideMark/>
          </w:tcPr>
          <w:p w14:paraId="59BDD7DA"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Burden (hours)</w:t>
            </w:r>
          </w:p>
        </w:tc>
        <w:tc>
          <w:tcPr>
            <w:tcW w:w="1040" w:type="dxa"/>
            <w:tcBorders>
              <w:top w:val="nil"/>
              <w:left w:val="nil"/>
              <w:bottom w:val="single" w:sz="8" w:space="0" w:color="auto"/>
              <w:right w:val="single" w:sz="8" w:space="0" w:color="auto"/>
            </w:tcBorders>
            <w:shd w:val="clear" w:color="000000" w:fill="BFBFBF"/>
            <w:vAlign w:val="center"/>
            <w:hideMark/>
          </w:tcPr>
          <w:p w14:paraId="630EA341"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Materials</w:t>
            </w:r>
          </w:p>
        </w:tc>
        <w:tc>
          <w:tcPr>
            <w:tcW w:w="1520" w:type="dxa"/>
            <w:tcBorders>
              <w:top w:val="nil"/>
              <w:left w:val="nil"/>
              <w:bottom w:val="single" w:sz="8" w:space="0" w:color="auto"/>
              <w:right w:val="single" w:sz="8" w:space="0" w:color="auto"/>
            </w:tcBorders>
            <w:shd w:val="clear" w:color="000000" w:fill="BFBFBF"/>
            <w:vAlign w:val="center"/>
            <w:hideMark/>
          </w:tcPr>
          <w:p w14:paraId="4399E561"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Cost ($)</w:t>
            </w:r>
          </w:p>
        </w:tc>
      </w:tr>
      <w:tr w:rsidR="00853B7A" w:rsidRPr="00132496" w14:paraId="1C386FCC" w14:textId="77777777" w:rsidTr="00853B7A">
        <w:trPr>
          <w:trHeight w:val="270"/>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13B9DC7F" w14:textId="77777777" w:rsidR="00853B7A" w:rsidRPr="00132496" w:rsidRDefault="00853B7A" w:rsidP="00853B7A">
            <w:pPr>
              <w:rPr>
                <w:rFonts w:eastAsia="Times New Roman" w:cs="Arial"/>
                <w:sz w:val="20"/>
                <w:szCs w:val="20"/>
              </w:rPr>
            </w:pPr>
            <w:r w:rsidRPr="00132496">
              <w:rPr>
                <w:rFonts w:eastAsia="Times New Roman" w:cs="Arial"/>
                <w:sz w:val="20"/>
                <w:szCs w:val="20"/>
              </w:rPr>
              <w:t>Start-up Burden Sellers</w:t>
            </w:r>
          </w:p>
        </w:tc>
        <w:tc>
          <w:tcPr>
            <w:tcW w:w="1703" w:type="dxa"/>
            <w:tcBorders>
              <w:top w:val="nil"/>
              <w:left w:val="nil"/>
              <w:bottom w:val="single" w:sz="8" w:space="0" w:color="auto"/>
              <w:right w:val="single" w:sz="8" w:space="0" w:color="auto"/>
            </w:tcBorders>
            <w:shd w:val="clear" w:color="auto" w:fill="auto"/>
            <w:vAlign w:val="center"/>
            <w:hideMark/>
          </w:tcPr>
          <w:p w14:paraId="5C4CC1EA"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77" w:type="dxa"/>
            <w:tcBorders>
              <w:top w:val="nil"/>
              <w:left w:val="nil"/>
              <w:bottom w:val="single" w:sz="8" w:space="0" w:color="auto"/>
              <w:right w:val="single" w:sz="8" w:space="0" w:color="auto"/>
            </w:tcBorders>
            <w:shd w:val="clear" w:color="auto" w:fill="auto"/>
            <w:vAlign w:val="center"/>
            <w:hideMark/>
          </w:tcPr>
          <w:p w14:paraId="07B80D52" w14:textId="77777777" w:rsidR="00853B7A" w:rsidRPr="00132496" w:rsidRDefault="00853B7A" w:rsidP="00853B7A">
            <w:pPr>
              <w:rPr>
                <w:rFonts w:eastAsia="Times New Roman" w:cs="Arial"/>
                <w:sz w:val="18"/>
                <w:szCs w:val="18"/>
              </w:rPr>
            </w:pPr>
            <w:r w:rsidRPr="00132496">
              <w:rPr>
                <w:rFonts w:eastAsia="Times New Roman" w:cs="Arial"/>
                <w:sz w:val="18"/>
                <w:szCs w:val="18"/>
              </w:rPr>
              <w:t xml:space="preserve">   2,700,000 </w:t>
            </w:r>
          </w:p>
        </w:tc>
        <w:tc>
          <w:tcPr>
            <w:tcW w:w="1060" w:type="dxa"/>
            <w:tcBorders>
              <w:top w:val="nil"/>
              <w:left w:val="nil"/>
              <w:bottom w:val="single" w:sz="8" w:space="0" w:color="auto"/>
              <w:right w:val="single" w:sz="8" w:space="0" w:color="auto"/>
            </w:tcBorders>
            <w:shd w:val="clear" w:color="auto" w:fill="auto"/>
            <w:vAlign w:val="center"/>
            <w:hideMark/>
          </w:tcPr>
          <w:p w14:paraId="3AE3B810"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2,700,000</w:t>
            </w:r>
          </w:p>
        </w:tc>
        <w:tc>
          <w:tcPr>
            <w:tcW w:w="1040" w:type="dxa"/>
            <w:tcBorders>
              <w:top w:val="nil"/>
              <w:left w:val="nil"/>
              <w:bottom w:val="single" w:sz="8" w:space="0" w:color="auto"/>
              <w:right w:val="single" w:sz="8" w:space="0" w:color="auto"/>
            </w:tcBorders>
            <w:shd w:val="clear" w:color="auto" w:fill="auto"/>
            <w:vAlign w:val="center"/>
            <w:hideMark/>
          </w:tcPr>
          <w:p w14:paraId="4D191D45"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5784C9A4"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42,930,000</w:t>
            </w:r>
          </w:p>
        </w:tc>
      </w:tr>
      <w:tr w:rsidR="00853B7A" w:rsidRPr="00132496" w14:paraId="2B3C07F4" w14:textId="77777777" w:rsidTr="00853B7A">
        <w:trPr>
          <w:trHeight w:val="525"/>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3C25A912" w14:textId="1D697D3C" w:rsidR="00853B7A" w:rsidRPr="00132496" w:rsidRDefault="00853B7A" w:rsidP="00853B7A">
            <w:pPr>
              <w:rPr>
                <w:rFonts w:eastAsia="Times New Roman" w:cs="Arial"/>
                <w:sz w:val="20"/>
                <w:szCs w:val="20"/>
              </w:rPr>
            </w:pPr>
            <w:r w:rsidRPr="00132496">
              <w:rPr>
                <w:rFonts w:eastAsia="Times New Roman" w:cs="Arial"/>
                <w:sz w:val="20"/>
                <w:szCs w:val="20"/>
              </w:rPr>
              <w:t>Disclosure and Record Preparation for Sellers (x</w:t>
            </w:r>
            <w:r w:rsidR="00FE1A62">
              <w:rPr>
                <w:rFonts w:eastAsia="Times New Roman" w:cs="Arial"/>
                <w:sz w:val="20"/>
                <w:szCs w:val="20"/>
              </w:rPr>
              <w:t xml:space="preserve"> </w:t>
            </w:r>
            <w:r w:rsidRPr="00132496">
              <w:rPr>
                <w:rFonts w:eastAsia="Times New Roman" w:cs="Arial"/>
                <w:sz w:val="20"/>
                <w:szCs w:val="20"/>
              </w:rPr>
              <w:t>2)</w:t>
            </w:r>
          </w:p>
        </w:tc>
        <w:tc>
          <w:tcPr>
            <w:tcW w:w="1703" w:type="dxa"/>
            <w:tcBorders>
              <w:top w:val="nil"/>
              <w:left w:val="nil"/>
              <w:bottom w:val="single" w:sz="8" w:space="0" w:color="auto"/>
              <w:right w:val="single" w:sz="8" w:space="0" w:color="auto"/>
            </w:tcBorders>
            <w:shd w:val="clear" w:color="auto" w:fill="auto"/>
            <w:vAlign w:val="center"/>
            <w:hideMark/>
          </w:tcPr>
          <w:p w14:paraId="0BD3E7B7" w14:textId="77777777" w:rsidR="00853B7A" w:rsidRPr="00132496" w:rsidRDefault="00853B7A" w:rsidP="00853B7A">
            <w:pPr>
              <w:rPr>
                <w:rFonts w:eastAsia="Times New Roman" w:cs="Arial"/>
                <w:sz w:val="18"/>
                <w:szCs w:val="18"/>
              </w:rPr>
            </w:pPr>
            <w:r w:rsidRPr="00132496">
              <w:rPr>
                <w:rFonts w:eastAsia="Times New Roman" w:cs="Arial"/>
                <w:sz w:val="18"/>
                <w:szCs w:val="18"/>
              </w:rPr>
              <w:t>Disclosure Form</w:t>
            </w:r>
          </w:p>
        </w:tc>
        <w:tc>
          <w:tcPr>
            <w:tcW w:w="1177" w:type="dxa"/>
            <w:tcBorders>
              <w:top w:val="nil"/>
              <w:left w:val="nil"/>
              <w:bottom w:val="single" w:sz="8" w:space="0" w:color="auto"/>
              <w:right w:val="single" w:sz="8" w:space="0" w:color="auto"/>
            </w:tcBorders>
            <w:shd w:val="clear" w:color="auto" w:fill="auto"/>
            <w:vAlign w:val="center"/>
            <w:hideMark/>
          </w:tcPr>
          <w:p w14:paraId="5B6D1898"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5,400,000</w:t>
            </w:r>
          </w:p>
        </w:tc>
        <w:tc>
          <w:tcPr>
            <w:tcW w:w="1060" w:type="dxa"/>
            <w:tcBorders>
              <w:top w:val="nil"/>
              <w:left w:val="nil"/>
              <w:bottom w:val="single" w:sz="8" w:space="0" w:color="auto"/>
              <w:right w:val="single" w:sz="8" w:space="0" w:color="auto"/>
            </w:tcBorders>
            <w:shd w:val="clear" w:color="auto" w:fill="auto"/>
            <w:vAlign w:val="center"/>
            <w:hideMark/>
          </w:tcPr>
          <w:p w14:paraId="03555324"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450,000</w:t>
            </w:r>
          </w:p>
        </w:tc>
        <w:tc>
          <w:tcPr>
            <w:tcW w:w="1040" w:type="dxa"/>
            <w:tcBorders>
              <w:top w:val="nil"/>
              <w:left w:val="nil"/>
              <w:bottom w:val="single" w:sz="8" w:space="0" w:color="auto"/>
              <w:right w:val="single" w:sz="8" w:space="0" w:color="auto"/>
            </w:tcBorders>
            <w:shd w:val="clear" w:color="auto" w:fill="auto"/>
            <w:vAlign w:val="center"/>
            <w:hideMark/>
          </w:tcPr>
          <w:p w14:paraId="7B635056"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2C0DDF4B"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7,155,000</w:t>
            </w:r>
          </w:p>
        </w:tc>
      </w:tr>
      <w:tr w:rsidR="00853B7A" w:rsidRPr="00132496" w14:paraId="0E19A3D3" w14:textId="77777777" w:rsidTr="00853B7A">
        <w:trPr>
          <w:trHeight w:val="525"/>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3909EEF6" w14:textId="78B5CC35" w:rsidR="00853B7A" w:rsidRPr="00132496" w:rsidRDefault="00853B7A" w:rsidP="00853B7A">
            <w:pPr>
              <w:rPr>
                <w:rFonts w:eastAsia="Times New Roman" w:cs="Arial"/>
                <w:sz w:val="20"/>
                <w:szCs w:val="20"/>
              </w:rPr>
            </w:pPr>
            <w:r w:rsidRPr="00132496">
              <w:rPr>
                <w:rFonts w:eastAsia="Times New Roman" w:cs="Arial"/>
                <w:sz w:val="20"/>
                <w:szCs w:val="20"/>
              </w:rPr>
              <w:t>Disclosure and Record Preparation for Offerors (x</w:t>
            </w:r>
            <w:r w:rsidR="00FE1A62">
              <w:rPr>
                <w:rFonts w:eastAsia="Times New Roman" w:cs="Arial"/>
                <w:sz w:val="20"/>
                <w:szCs w:val="20"/>
              </w:rPr>
              <w:t xml:space="preserve"> </w:t>
            </w:r>
            <w:r w:rsidRPr="00132496">
              <w:rPr>
                <w:rFonts w:eastAsia="Times New Roman" w:cs="Arial"/>
                <w:sz w:val="20"/>
                <w:szCs w:val="20"/>
              </w:rPr>
              <w:t>2)</w:t>
            </w:r>
          </w:p>
        </w:tc>
        <w:tc>
          <w:tcPr>
            <w:tcW w:w="1703" w:type="dxa"/>
            <w:tcBorders>
              <w:top w:val="nil"/>
              <w:left w:val="nil"/>
              <w:bottom w:val="single" w:sz="8" w:space="0" w:color="auto"/>
              <w:right w:val="single" w:sz="8" w:space="0" w:color="auto"/>
            </w:tcBorders>
            <w:shd w:val="clear" w:color="auto" w:fill="auto"/>
            <w:vAlign w:val="center"/>
            <w:hideMark/>
          </w:tcPr>
          <w:p w14:paraId="4D212C9B" w14:textId="77777777" w:rsidR="00853B7A" w:rsidRPr="00132496" w:rsidRDefault="00853B7A" w:rsidP="00853B7A">
            <w:pPr>
              <w:rPr>
                <w:rFonts w:eastAsia="Times New Roman" w:cs="Arial"/>
                <w:sz w:val="18"/>
                <w:szCs w:val="18"/>
              </w:rPr>
            </w:pPr>
            <w:r w:rsidRPr="00132496">
              <w:rPr>
                <w:rFonts w:eastAsia="Times New Roman" w:cs="Arial"/>
                <w:sz w:val="18"/>
                <w:szCs w:val="18"/>
              </w:rPr>
              <w:t>Disclosure Form</w:t>
            </w:r>
          </w:p>
        </w:tc>
        <w:tc>
          <w:tcPr>
            <w:tcW w:w="1177" w:type="dxa"/>
            <w:tcBorders>
              <w:top w:val="nil"/>
              <w:left w:val="nil"/>
              <w:bottom w:val="single" w:sz="8" w:space="0" w:color="auto"/>
              <w:right w:val="single" w:sz="8" w:space="0" w:color="auto"/>
            </w:tcBorders>
            <w:shd w:val="clear" w:color="auto" w:fill="auto"/>
            <w:vAlign w:val="center"/>
            <w:hideMark/>
          </w:tcPr>
          <w:p w14:paraId="0CB91CF7" w14:textId="77777777" w:rsidR="00853B7A" w:rsidRPr="00132496" w:rsidRDefault="00853B7A" w:rsidP="00853B7A">
            <w:pPr>
              <w:rPr>
                <w:rFonts w:eastAsia="Times New Roman" w:cs="Arial"/>
                <w:sz w:val="18"/>
                <w:szCs w:val="18"/>
              </w:rPr>
            </w:pPr>
            <w:r w:rsidRPr="00132496">
              <w:rPr>
                <w:rFonts w:eastAsia="Times New Roman" w:cs="Arial"/>
                <w:sz w:val="18"/>
                <w:szCs w:val="18"/>
              </w:rPr>
              <w:t xml:space="preserve">   5,400,000 </w:t>
            </w:r>
          </w:p>
        </w:tc>
        <w:tc>
          <w:tcPr>
            <w:tcW w:w="1060" w:type="dxa"/>
            <w:tcBorders>
              <w:top w:val="nil"/>
              <w:left w:val="nil"/>
              <w:bottom w:val="single" w:sz="8" w:space="0" w:color="auto"/>
              <w:right w:val="single" w:sz="8" w:space="0" w:color="auto"/>
            </w:tcBorders>
            <w:shd w:val="clear" w:color="auto" w:fill="auto"/>
            <w:vAlign w:val="center"/>
            <w:hideMark/>
          </w:tcPr>
          <w:p w14:paraId="3498DD5D"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450,000</w:t>
            </w:r>
          </w:p>
        </w:tc>
        <w:tc>
          <w:tcPr>
            <w:tcW w:w="1040" w:type="dxa"/>
            <w:tcBorders>
              <w:top w:val="nil"/>
              <w:left w:val="nil"/>
              <w:bottom w:val="single" w:sz="8" w:space="0" w:color="auto"/>
              <w:right w:val="single" w:sz="8" w:space="0" w:color="auto"/>
            </w:tcBorders>
            <w:shd w:val="clear" w:color="auto" w:fill="auto"/>
            <w:vAlign w:val="center"/>
            <w:hideMark/>
          </w:tcPr>
          <w:p w14:paraId="67710403"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75B3CF03"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7,155,000</w:t>
            </w:r>
          </w:p>
        </w:tc>
      </w:tr>
      <w:tr w:rsidR="00853B7A" w:rsidRPr="00132496" w14:paraId="5E002C67" w14:textId="77777777" w:rsidTr="00853B7A">
        <w:trPr>
          <w:trHeight w:val="525"/>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08AE8157" w14:textId="77777777" w:rsidR="00853B7A" w:rsidRPr="00132496" w:rsidRDefault="00853B7A" w:rsidP="00853B7A">
            <w:pPr>
              <w:rPr>
                <w:rFonts w:eastAsia="Times New Roman" w:cs="Arial"/>
                <w:sz w:val="20"/>
                <w:szCs w:val="20"/>
              </w:rPr>
            </w:pPr>
            <w:r w:rsidRPr="00132496">
              <w:rPr>
                <w:rFonts w:eastAsia="Times New Roman" w:cs="Arial"/>
                <w:sz w:val="20"/>
                <w:szCs w:val="20"/>
              </w:rPr>
              <w:t>Disclosure and Record Preparation for Owners/Lessors</w:t>
            </w:r>
          </w:p>
        </w:tc>
        <w:tc>
          <w:tcPr>
            <w:tcW w:w="1703" w:type="dxa"/>
            <w:tcBorders>
              <w:top w:val="nil"/>
              <w:left w:val="nil"/>
              <w:bottom w:val="single" w:sz="8" w:space="0" w:color="auto"/>
              <w:right w:val="single" w:sz="8" w:space="0" w:color="auto"/>
            </w:tcBorders>
            <w:shd w:val="clear" w:color="auto" w:fill="auto"/>
            <w:vAlign w:val="center"/>
            <w:hideMark/>
          </w:tcPr>
          <w:p w14:paraId="29A4961D" w14:textId="77777777" w:rsidR="00853B7A" w:rsidRPr="00132496" w:rsidRDefault="00853B7A" w:rsidP="00853B7A">
            <w:pPr>
              <w:rPr>
                <w:rFonts w:eastAsia="Times New Roman" w:cs="Arial"/>
                <w:sz w:val="18"/>
                <w:szCs w:val="18"/>
              </w:rPr>
            </w:pPr>
            <w:r w:rsidRPr="00132496">
              <w:rPr>
                <w:rFonts w:eastAsia="Times New Roman" w:cs="Arial"/>
                <w:sz w:val="18"/>
                <w:szCs w:val="18"/>
              </w:rPr>
              <w:t>Disclosure Form</w:t>
            </w:r>
          </w:p>
        </w:tc>
        <w:tc>
          <w:tcPr>
            <w:tcW w:w="1177" w:type="dxa"/>
            <w:tcBorders>
              <w:top w:val="nil"/>
              <w:left w:val="nil"/>
              <w:bottom w:val="single" w:sz="8" w:space="0" w:color="auto"/>
              <w:right w:val="single" w:sz="8" w:space="0" w:color="auto"/>
            </w:tcBorders>
            <w:shd w:val="clear" w:color="auto" w:fill="auto"/>
            <w:vAlign w:val="center"/>
            <w:hideMark/>
          </w:tcPr>
          <w:p w14:paraId="2A1F9028"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6,400,000</w:t>
            </w:r>
          </w:p>
        </w:tc>
        <w:tc>
          <w:tcPr>
            <w:tcW w:w="1060" w:type="dxa"/>
            <w:tcBorders>
              <w:top w:val="nil"/>
              <w:left w:val="nil"/>
              <w:bottom w:val="single" w:sz="8" w:space="0" w:color="auto"/>
              <w:right w:val="single" w:sz="8" w:space="0" w:color="auto"/>
            </w:tcBorders>
            <w:shd w:val="clear" w:color="auto" w:fill="auto"/>
            <w:vAlign w:val="center"/>
            <w:hideMark/>
          </w:tcPr>
          <w:p w14:paraId="17EA1C29"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533,333</w:t>
            </w:r>
          </w:p>
        </w:tc>
        <w:tc>
          <w:tcPr>
            <w:tcW w:w="1040" w:type="dxa"/>
            <w:tcBorders>
              <w:top w:val="nil"/>
              <w:left w:val="nil"/>
              <w:bottom w:val="single" w:sz="8" w:space="0" w:color="auto"/>
              <w:right w:val="single" w:sz="8" w:space="0" w:color="auto"/>
            </w:tcBorders>
            <w:shd w:val="clear" w:color="auto" w:fill="auto"/>
            <w:vAlign w:val="center"/>
            <w:hideMark/>
          </w:tcPr>
          <w:p w14:paraId="0B470B44"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3F87F649"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8,480,000</w:t>
            </w:r>
          </w:p>
        </w:tc>
      </w:tr>
      <w:tr w:rsidR="00853B7A" w:rsidRPr="00132496" w14:paraId="624EFB34" w14:textId="77777777" w:rsidTr="00853B7A">
        <w:trPr>
          <w:trHeight w:val="525"/>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47B45C1C" w14:textId="77777777" w:rsidR="00853B7A" w:rsidRPr="00132496" w:rsidRDefault="00853B7A" w:rsidP="00853B7A">
            <w:pPr>
              <w:rPr>
                <w:rFonts w:eastAsia="Times New Roman" w:cs="Arial"/>
                <w:sz w:val="20"/>
                <w:szCs w:val="20"/>
              </w:rPr>
            </w:pPr>
            <w:r w:rsidRPr="00132496">
              <w:rPr>
                <w:rFonts w:eastAsia="Times New Roman" w:cs="Arial"/>
                <w:sz w:val="20"/>
                <w:szCs w:val="20"/>
              </w:rPr>
              <w:t>Disclosur</w:t>
            </w:r>
            <w:r>
              <w:rPr>
                <w:rFonts w:eastAsia="Times New Roman" w:cs="Arial"/>
                <w:sz w:val="20"/>
                <w:szCs w:val="20"/>
              </w:rPr>
              <w:t>e and Record Preparation for Te</w:t>
            </w:r>
            <w:r w:rsidRPr="00132496">
              <w:rPr>
                <w:rFonts w:eastAsia="Times New Roman" w:cs="Arial"/>
                <w:sz w:val="20"/>
                <w:szCs w:val="20"/>
              </w:rPr>
              <w:t>nants</w:t>
            </w:r>
          </w:p>
        </w:tc>
        <w:tc>
          <w:tcPr>
            <w:tcW w:w="1703" w:type="dxa"/>
            <w:tcBorders>
              <w:top w:val="nil"/>
              <w:left w:val="nil"/>
              <w:bottom w:val="single" w:sz="8" w:space="0" w:color="auto"/>
              <w:right w:val="single" w:sz="8" w:space="0" w:color="auto"/>
            </w:tcBorders>
            <w:shd w:val="clear" w:color="auto" w:fill="auto"/>
            <w:vAlign w:val="center"/>
            <w:hideMark/>
          </w:tcPr>
          <w:p w14:paraId="6D3E7F34" w14:textId="77777777" w:rsidR="00853B7A" w:rsidRPr="00132496" w:rsidRDefault="00853B7A" w:rsidP="00853B7A">
            <w:pPr>
              <w:rPr>
                <w:rFonts w:eastAsia="Times New Roman" w:cs="Arial"/>
                <w:sz w:val="18"/>
                <w:szCs w:val="18"/>
              </w:rPr>
            </w:pPr>
            <w:r w:rsidRPr="00132496">
              <w:rPr>
                <w:rFonts w:eastAsia="Times New Roman" w:cs="Arial"/>
                <w:sz w:val="18"/>
                <w:szCs w:val="18"/>
              </w:rPr>
              <w:t>Disclosure Form</w:t>
            </w:r>
          </w:p>
        </w:tc>
        <w:tc>
          <w:tcPr>
            <w:tcW w:w="1177" w:type="dxa"/>
            <w:tcBorders>
              <w:top w:val="nil"/>
              <w:left w:val="nil"/>
              <w:bottom w:val="single" w:sz="8" w:space="0" w:color="auto"/>
              <w:right w:val="single" w:sz="8" w:space="0" w:color="auto"/>
            </w:tcBorders>
            <w:shd w:val="clear" w:color="auto" w:fill="auto"/>
            <w:vAlign w:val="center"/>
            <w:hideMark/>
          </w:tcPr>
          <w:p w14:paraId="11A2D059"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6,400,000</w:t>
            </w:r>
          </w:p>
        </w:tc>
        <w:tc>
          <w:tcPr>
            <w:tcW w:w="1060" w:type="dxa"/>
            <w:tcBorders>
              <w:top w:val="nil"/>
              <w:left w:val="nil"/>
              <w:bottom w:val="single" w:sz="8" w:space="0" w:color="auto"/>
              <w:right w:val="single" w:sz="8" w:space="0" w:color="auto"/>
            </w:tcBorders>
            <w:shd w:val="clear" w:color="auto" w:fill="auto"/>
            <w:vAlign w:val="center"/>
            <w:hideMark/>
          </w:tcPr>
          <w:p w14:paraId="2E1FB3E2"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533,333</w:t>
            </w:r>
          </w:p>
        </w:tc>
        <w:tc>
          <w:tcPr>
            <w:tcW w:w="1040" w:type="dxa"/>
            <w:tcBorders>
              <w:top w:val="nil"/>
              <w:left w:val="nil"/>
              <w:bottom w:val="single" w:sz="8" w:space="0" w:color="auto"/>
              <w:right w:val="single" w:sz="8" w:space="0" w:color="auto"/>
            </w:tcBorders>
            <w:shd w:val="clear" w:color="auto" w:fill="auto"/>
            <w:vAlign w:val="center"/>
            <w:hideMark/>
          </w:tcPr>
          <w:p w14:paraId="1144BEDE"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155B155B"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8,480,000</w:t>
            </w:r>
          </w:p>
        </w:tc>
      </w:tr>
      <w:tr w:rsidR="00853B7A" w:rsidRPr="00132496" w14:paraId="5C50BBBF" w14:textId="77777777" w:rsidTr="00853B7A">
        <w:trPr>
          <w:trHeight w:val="270"/>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0B07EE1C" w14:textId="77777777" w:rsidR="00853B7A" w:rsidRPr="00132496" w:rsidRDefault="00853B7A" w:rsidP="00853B7A">
            <w:pPr>
              <w:rPr>
                <w:rFonts w:eastAsia="Times New Roman" w:cs="Arial"/>
                <w:sz w:val="20"/>
                <w:szCs w:val="20"/>
              </w:rPr>
            </w:pPr>
            <w:r w:rsidRPr="00132496">
              <w:rPr>
                <w:rFonts w:eastAsia="Times New Roman" w:cs="Arial"/>
                <w:sz w:val="20"/>
                <w:szCs w:val="20"/>
              </w:rPr>
              <w:t>Recordkeeping for Sellers</w:t>
            </w:r>
          </w:p>
        </w:tc>
        <w:tc>
          <w:tcPr>
            <w:tcW w:w="1703" w:type="dxa"/>
            <w:tcBorders>
              <w:top w:val="nil"/>
              <w:left w:val="nil"/>
              <w:bottom w:val="single" w:sz="8" w:space="0" w:color="auto"/>
              <w:right w:val="single" w:sz="8" w:space="0" w:color="auto"/>
            </w:tcBorders>
            <w:shd w:val="clear" w:color="auto" w:fill="auto"/>
            <w:vAlign w:val="center"/>
            <w:hideMark/>
          </w:tcPr>
          <w:p w14:paraId="4A465115"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77" w:type="dxa"/>
            <w:tcBorders>
              <w:top w:val="nil"/>
              <w:left w:val="nil"/>
              <w:bottom w:val="single" w:sz="8" w:space="0" w:color="auto"/>
              <w:right w:val="single" w:sz="8" w:space="0" w:color="auto"/>
            </w:tcBorders>
            <w:shd w:val="clear" w:color="auto" w:fill="auto"/>
            <w:vAlign w:val="center"/>
            <w:hideMark/>
          </w:tcPr>
          <w:p w14:paraId="06A17337"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2,700,000</w:t>
            </w:r>
          </w:p>
        </w:tc>
        <w:tc>
          <w:tcPr>
            <w:tcW w:w="1060" w:type="dxa"/>
            <w:tcBorders>
              <w:top w:val="nil"/>
              <w:left w:val="nil"/>
              <w:bottom w:val="single" w:sz="8" w:space="0" w:color="auto"/>
              <w:right w:val="single" w:sz="8" w:space="0" w:color="auto"/>
            </w:tcBorders>
            <w:shd w:val="clear" w:color="auto" w:fill="auto"/>
            <w:vAlign w:val="center"/>
            <w:hideMark/>
          </w:tcPr>
          <w:p w14:paraId="7ACDBD9F"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22,410</w:t>
            </w:r>
          </w:p>
        </w:tc>
        <w:tc>
          <w:tcPr>
            <w:tcW w:w="1040" w:type="dxa"/>
            <w:tcBorders>
              <w:top w:val="nil"/>
              <w:left w:val="nil"/>
              <w:bottom w:val="single" w:sz="8" w:space="0" w:color="auto"/>
              <w:right w:val="single" w:sz="8" w:space="0" w:color="auto"/>
            </w:tcBorders>
            <w:shd w:val="clear" w:color="auto" w:fill="auto"/>
            <w:vAlign w:val="center"/>
            <w:hideMark/>
          </w:tcPr>
          <w:p w14:paraId="41F08941"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43CE4C45"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356,319</w:t>
            </w:r>
          </w:p>
        </w:tc>
      </w:tr>
      <w:tr w:rsidR="00853B7A" w:rsidRPr="00132496" w14:paraId="52C6E50C" w14:textId="77777777" w:rsidTr="00853B7A">
        <w:trPr>
          <w:trHeight w:val="270"/>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203F6F92" w14:textId="77777777" w:rsidR="00853B7A" w:rsidRPr="00132496" w:rsidRDefault="00853B7A" w:rsidP="00853B7A">
            <w:pPr>
              <w:rPr>
                <w:rFonts w:eastAsia="Times New Roman" w:cs="Arial"/>
                <w:sz w:val="20"/>
                <w:szCs w:val="20"/>
              </w:rPr>
            </w:pPr>
            <w:r w:rsidRPr="00132496">
              <w:rPr>
                <w:rFonts w:eastAsia="Times New Roman" w:cs="Arial"/>
                <w:sz w:val="20"/>
                <w:szCs w:val="20"/>
              </w:rPr>
              <w:t>Recordkeeping for Owner/Lessors</w:t>
            </w:r>
          </w:p>
        </w:tc>
        <w:tc>
          <w:tcPr>
            <w:tcW w:w="1703" w:type="dxa"/>
            <w:tcBorders>
              <w:top w:val="nil"/>
              <w:left w:val="nil"/>
              <w:bottom w:val="single" w:sz="8" w:space="0" w:color="auto"/>
              <w:right w:val="single" w:sz="8" w:space="0" w:color="auto"/>
            </w:tcBorders>
            <w:shd w:val="clear" w:color="auto" w:fill="auto"/>
            <w:vAlign w:val="center"/>
            <w:hideMark/>
          </w:tcPr>
          <w:p w14:paraId="3CA7FE12"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77" w:type="dxa"/>
            <w:tcBorders>
              <w:top w:val="nil"/>
              <w:left w:val="nil"/>
              <w:bottom w:val="single" w:sz="8" w:space="0" w:color="auto"/>
              <w:right w:val="single" w:sz="8" w:space="0" w:color="auto"/>
            </w:tcBorders>
            <w:shd w:val="clear" w:color="auto" w:fill="auto"/>
            <w:vAlign w:val="center"/>
            <w:hideMark/>
          </w:tcPr>
          <w:p w14:paraId="13CABDB3"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6,400,000</w:t>
            </w:r>
          </w:p>
        </w:tc>
        <w:tc>
          <w:tcPr>
            <w:tcW w:w="1060" w:type="dxa"/>
            <w:tcBorders>
              <w:top w:val="nil"/>
              <w:left w:val="nil"/>
              <w:bottom w:val="single" w:sz="8" w:space="0" w:color="auto"/>
              <w:right w:val="single" w:sz="8" w:space="0" w:color="auto"/>
            </w:tcBorders>
            <w:shd w:val="clear" w:color="auto" w:fill="auto"/>
            <w:vAlign w:val="center"/>
            <w:hideMark/>
          </w:tcPr>
          <w:p w14:paraId="63DC489A"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53,120</w:t>
            </w:r>
          </w:p>
        </w:tc>
        <w:tc>
          <w:tcPr>
            <w:tcW w:w="1040" w:type="dxa"/>
            <w:tcBorders>
              <w:top w:val="nil"/>
              <w:left w:val="nil"/>
              <w:bottom w:val="single" w:sz="8" w:space="0" w:color="auto"/>
              <w:right w:val="single" w:sz="8" w:space="0" w:color="auto"/>
            </w:tcBorders>
            <w:shd w:val="clear" w:color="auto" w:fill="auto"/>
            <w:vAlign w:val="center"/>
            <w:hideMark/>
          </w:tcPr>
          <w:p w14:paraId="14DA2E37"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520" w:type="dxa"/>
            <w:tcBorders>
              <w:top w:val="nil"/>
              <w:left w:val="nil"/>
              <w:bottom w:val="single" w:sz="8" w:space="0" w:color="auto"/>
              <w:right w:val="single" w:sz="8" w:space="0" w:color="auto"/>
            </w:tcBorders>
            <w:shd w:val="clear" w:color="auto" w:fill="auto"/>
            <w:vAlign w:val="center"/>
            <w:hideMark/>
          </w:tcPr>
          <w:p w14:paraId="112BA789"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844,608</w:t>
            </w:r>
          </w:p>
        </w:tc>
      </w:tr>
      <w:tr w:rsidR="00853B7A" w:rsidRPr="00132496" w14:paraId="7DC1B1EC" w14:textId="77777777" w:rsidTr="00853B7A">
        <w:trPr>
          <w:trHeight w:val="270"/>
        </w:trPr>
        <w:tc>
          <w:tcPr>
            <w:tcW w:w="574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4DD2A1" w14:textId="77777777" w:rsidR="00853B7A" w:rsidRPr="00132496" w:rsidRDefault="00853B7A" w:rsidP="00853B7A">
            <w:pPr>
              <w:jc w:val="right"/>
              <w:rPr>
                <w:rFonts w:eastAsia="Times New Roman" w:cs="Arial"/>
                <w:i/>
                <w:iCs/>
                <w:sz w:val="20"/>
                <w:szCs w:val="20"/>
              </w:rPr>
            </w:pPr>
            <w:r w:rsidRPr="00132496">
              <w:rPr>
                <w:rFonts w:eastAsia="Times New Roman" w:cs="Arial"/>
                <w:i/>
                <w:iCs/>
                <w:sz w:val="20"/>
                <w:szCs w:val="20"/>
              </w:rPr>
              <w:t>Subtotal</w:t>
            </w:r>
          </w:p>
        </w:tc>
        <w:tc>
          <w:tcPr>
            <w:tcW w:w="1177" w:type="dxa"/>
            <w:tcBorders>
              <w:top w:val="nil"/>
              <w:left w:val="nil"/>
              <w:bottom w:val="single" w:sz="8" w:space="0" w:color="auto"/>
              <w:right w:val="single" w:sz="8" w:space="0" w:color="auto"/>
            </w:tcBorders>
            <w:shd w:val="clear" w:color="auto" w:fill="auto"/>
            <w:vAlign w:val="center"/>
            <w:hideMark/>
          </w:tcPr>
          <w:p w14:paraId="4B963916" w14:textId="77777777" w:rsidR="00853B7A" w:rsidRPr="00132496" w:rsidRDefault="00853B7A" w:rsidP="00853B7A">
            <w:pPr>
              <w:jc w:val="right"/>
              <w:rPr>
                <w:rFonts w:eastAsia="Times New Roman" w:cs="Arial"/>
                <w:i/>
                <w:sz w:val="18"/>
                <w:szCs w:val="18"/>
              </w:rPr>
            </w:pPr>
            <w:r w:rsidRPr="00132496">
              <w:rPr>
                <w:rFonts w:eastAsia="Times New Roman" w:cs="Arial"/>
                <w:i/>
                <w:sz w:val="18"/>
                <w:szCs w:val="18"/>
              </w:rPr>
              <w:t>35,400,000</w:t>
            </w:r>
          </w:p>
        </w:tc>
        <w:tc>
          <w:tcPr>
            <w:tcW w:w="1060" w:type="dxa"/>
            <w:tcBorders>
              <w:top w:val="nil"/>
              <w:left w:val="nil"/>
              <w:bottom w:val="single" w:sz="8" w:space="0" w:color="auto"/>
              <w:right w:val="single" w:sz="8" w:space="0" w:color="auto"/>
            </w:tcBorders>
            <w:shd w:val="clear" w:color="auto" w:fill="auto"/>
            <w:vAlign w:val="center"/>
            <w:hideMark/>
          </w:tcPr>
          <w:p w14:paraId="5D18EF96" w14:textId="77777777" w:rsidR="00853B7A" w:rsidRPr="00132496" w:rsidRDefault="00853B7A" w:rsidP="00853B7A">
            <w:pPr>
              <w:jc w:val="right"/>
              <w:rPr>
                <w:rFonts w:eastAsia="Times New Roman" w:cs="Arial"/>
                <w:i/>
                <w:sz w:val="18"/>
                <w:szCs w:val="18"/>
              </w:rPr>
            </w:pPr>
            <w:r w:rsidRPr="00132496">
              <w:rPr>
                <w:rFonts w:eastAsia="Times New Roman" w:cs="Arial"/>
                <w:i/>
                <w:sz w:val="18"/>
                <w:szCs w:val="18"/>
              </w:rPr>
              <w:t>4,742,197</w:t>
            </w:r>
          </w:p>
        </w:tc>
        <w:tc>
          <w:tcPr>
            <w:tcW w:w="1040" w:type="dxa"/>
            <w:tcBorders>
              <w:top w:val="nil"/>
              <w:left w:val="nil"/>
              <w:bottom w:val="single" w:sz="8" w:space="0" w:color="auto"/>
              <w:right w:val="single" w:sz="8" w:space="0" w:color="auto"/>
            </w:tcBorders>
            <w:shd w:val="clear" w:color="auto" w:fill="auto"/>
            <w:vAlign w:val="center"/>
            <w:hideMark/>
          </w:tcPr>
          <w:p w14:paraId="20AC2B3B" w14:textId="77777777" w:rsidR="00853B7A" w:rsidRPr="00132496" w:rsidRDefault="00853B7A" w:rsidP="00853B7A">
            <w:pPr>
              <w:rPr>
                <w:rFonts w:eastAsia="Times New Roman" w:cs="Arial"/>
                <w:i/>
                <w:sz w:val="18"/>
                <w:szCs w:val="18"/>
              </w:rPr>
            </w:pPr>
            <w:r w:rsidRPr="00132496">
              <w:rPr>
                <w:rFonts w:eastAsia="Times New Roman" w:cs="Arial"/>
                <w:i/>
                <w:sz w:val="18"/>
                <w:szCs w:val="18"/>
              </w:rPr>
              <w:t> </w:t>
            </w:r>
          </w:p>
        </w:tc>
        <w:tc>
          <w:tcPr>
            <w:tcW w:w="1520" w:type="dxa"/>
            <w:tcBorders>
              <w:top w:val="nil"/>
              <w:left w:val="nil"/>
              <w:bottom w:val="single" w:sz="8" w:space="0" w:color="auto"/>
              <w:right w:val="single" w:sz="8" w:space="0" w:color="auto"/>
            </w:tcBorders>
            <w:shd w:val="clear" w:color="auto" w:fill="auto"/>
            <w:vAlign w:val="center"/>
            <w:hideMark/>
          </w:tcPr>
          <w:p w14:paraId="080332D4" w14:textId="77777777" w:rsidR="00853B7A" w:rsidRPr="00132496" w:rsidRDefault="00853B7A" w:rsidP="00853B7A">
            <w:pPr>
              <w:jc w:val="right"/>
              <w:rPr>
                <w:rFonts w:eastAsia="Times New Roman" w:cs="Arial"/>
                <w:i/>
                <w:sz w:val="18"/>
                <w:szCs w:val="18"/>
              </w:rPr>
            </w:pPr>
            <w:r>
              <w:rPr>
                <w:rFonts w:eastAsia="Times New Roman" w:cs="Arial"/>
                <w:i/>
                <w:sz w:val="18"/>
                <w:szCs w:val="18"/>
              </w:rPr>
              <w:t>$</w:t>
            </w:r>
            <w:r w:rsidRPr="00132496">
              <w:rPr>
                <w:rFonts w:eastAsia="Times New Roman" w:cs="Arial"/>
                <w:i/>
                <w:sz w:val="18"/>
                <w:szCs w:val="18"/>
              </w:rPr>
              <w:t>75,400,927</w:t>
            </w:r>
          </w:p>
        </w:tc>
      </w:tr>
      <w:tr w:rsidR="00853B7A" w:rsidRPr="00132496" w14:paraId="767F5D47" w14:textId="77777777" w:rsidTr="00853B7A">
        <w:trPr>
          <w:trHeight w:val="270"/>
        </w:trPr>
        <w:tc>
          <w:tcPr>
            <w:tcW w:w="1054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AD3B2CF" w14:textId="77777777" w:rsidR="00853B7A" w:rsidRPr="00132496" w:rsidRDefault="00853B7A" w:rsidP="00853B7A">
            <w:pPr>
              <w:jc w:val="center"/>
              <w:rPr>
                <w:rFonts w:eastAsia="Times New Roman" w:cs="Arial"/>
                <w:b/>
                <w:bCs/>
                <w:sz w:val="20"/>
                <w:szCs w:val="20"/>
              </w:rPr>
            </w:pPr>
            <w:r w:rsidRPr="00132496">
              <w:rPr>
                <w:rFonts w:eastAsia="Times New Roman" w:cs="Arial"/>
                <w:b/>
                <w:bCs/>
                <w:sz w:val="20"/>
                <w:szCs w:val="20"/>
              </w:rPr>
              <w:t>Material Burden</w:t>
            </w:r>
          </w:p>
        </w:tc>
      </w:tr>
      <w:tr w:rsidR="00853B7A" w:rsidRPr="00132496" w14:paraId="61BAA2F3" w14:textId="77777777" w:rsidTr="00FE1A62">
        <w:trPr>
          <w:trHeight w:val="270"/>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0F2A61D6" w14:textId="60BDE663" w:rsidR="00853B7A" w:rsidRPr="00132496" w:rsidRDefault="00853B7A" w:rsidP="00853B7A">
            <w:pPr>
              <w:rPr>
                <w:rFonts w:eastAsia="Times New Roman" w:cs="Arial"/>
                <w:sz w:val="20"/>
                <w:szCs w:val="20"/>
              </w:rPr>
            </w:pPr>
            <w:r w:rsidRPr="00132496">
              <w:rPr>
                <w:rFonts w:eastAsia="Times New Roman" w:cs="Arial"/>
                <w:sz w:val="20"/>
                <w:szCs w:val="20"/>
              </w:rPr>
              <w:t>Pamphlets for Sales, No Agent (11% x</w:t>
            </w:r>
            <w:r w:rsidR="00FE1A62">
              <w:rPr>
                <w:rFonts w:eastAsia="Times New Roman" w:cs="Arial"/>
                <w:sz w:val="20"/>
                <w:szCs w:val="20"/>
              </w:rPr>
              <w:t xml:space="preserve"> </w:t>
            </w:r>
            <w:r w:rsidRPr="00132496">
              <w:rPr>
                <w:rFonts w:eastAsia="Times New Roman" w:cs="Arial"/>
                <w:sz w:val="20"/>
                <w:szCs w:val="20"/>
              </w:rPr>
              <w:t>2)</w:t>
            </w:r>
          </w:p>
        </w:tc>
        <w:tc>
          <w:tcPr>
            <w:tcW w:w="1703" w:type="dxa"/>
            <w:tcBorders>
              <w:top w:val="nil"/>
              <w:left w:val="nil"/>
              <w:bottom w:val="single" w:sz="8" w:space="0" w:color="auto"/>
              <w:right w:val="single" w:sz="8" w:space="0" w:color="auto"/>
            </w:tcBorders>
            <w:shd w:val="clear" w:color="auto" w:fill="auto"/>
            <w:vAlign w:val="center"/>
            <w:hideMark/>
          </w:tcPr>
          <w:p w14:paraId="67F7F7BA" w14:textId="77777777" w:rsidR="00853B7A" w:rsidRPr="00132496" w:rsidRDefault="00853B7A" w:rsidP="00853B7A">
            <w:pPr>
              <w:rPr>
                <w:rFonts w:eastAsia="Times New Roman" w:cs="Arial"/>
                <w:sz w:val="18"/>
                <w:szCs w:val="18"/>
              </w:rPr>
            </w:pPr>
            <w:r w:rsidRPr="00132496">
              <w:rPr>
                <w:rFonts w:eastAsia="Times New Roman" w:cs="Arial"/>
                <w:sz w:val="18"/>
                <w:szCs w:val="18"/>
              </w:rPr>
              <w:t>EPA747-K-99-001</w:t>
            </w:r>
          </w:p>
        </w:tc>
        <w:tc>
          <w:tcPr>
            <w:tcW w:w="1177" w:type="dxa"/>
            <w:tcBorders>
              <w:top w:val="nil"/>
              <w:left w:val="nil"/>
              <w:bottom w:val="single" w:sz="8" w:space="0" w:color="auto"/>
              <w:right w:val="single" w:sz="8" w:space="0" w:color="auto"/>
            </w:tcBorders>
            <w:shd w:val="clear" w:color="auto" w:fill="auto"/>
            <w:vAlign w:val="center"/>
            <w:hideMark/>
          </w:tcPr>
          <w:p w14:paraId="2EE7821F"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60" w:type="dxa"/>
            <w:tcBorders>
              <w:top w:val="nil"/>
              <w:left w:val="nil"/>
              <w:bottom w:val="single" w:sz="8" w:space="0" w:color="auto"/>
              <w:right w:val="single" w:sz="8" w:space="0" w:color="auto"/>
            </w:tcBorders>
            <w:shd w:val="clear" w:color="auto" w:fill="auto"/>
            <w:vAlign w:val="center"/>
            <w:hideMark/>
          </w:tcPr>
          <w:p w14:paraId="0277BA27"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40" w:type="dxa"/>
            <w:tcBorders>
              <w:top w:val="nil"/>
              <w:left w:val="nil"/>
              <w:bottom w:val="single" w:sz="8" w:space="0" w:color="auto"/>
              <w:right w:val="single" w:sz="8" w:space="0" w:color="auto"/>
            </w:tcBorders>
            <w:shd w:val="clear" w:color="auto" w:fill="auto"/>
            <w:vAlign w:val="center"/>
            <w:hideMark/>
          </w:tcPr>
          <w:p w14:paraId="462D2A4E" w14:textId="77777777" w:rsidR="00853B7A" w:rsidRPr="00132496" w:rsidRDefault="00853B7A" w:rsidP="00FE1A62">
            <w:pPr>
              <w:jc w:val="right"/>
              <w:rPr>
                <w:rFonts w:eastAsia="Times New Roman" w:cs="Arial"/>
                <w:sz w:val="18"/>
                <w:szCs w:val="18"/>
              </w:rPr>
            </w:pPr>
            <w:r w:rsidRPr="00132496">
              <w:rPr>
                <w:rFonts w:eastAsia="Times New Roman" w:cs="Arial"/>
                <w:sz w:val="18"/>
                <w:szCs w:val="18"/>
              </w:rPr>
              <w:t>594,000</w:t>
            </w:r>
          </w:p>
        </w:tc>
        <w:tc>
          <w:tcPr>
            <w:tcW w:w="1520" w:type="dxa"/>
            <w:tcBorders>
              <w:top w:val="nil"/>
              <w:left w:val="nil"/>
              <w:bottom w:val="single" w:sz="8" w:space="0" w:color="auto"/>
              <w:right w:val="single" w:sz="8" w:space="0" w:color="auto"/>
            </w:tcBorders>
            <w:shd w:val="clear" w:color="auto" w:fill="auto"/>
            <w:vAlign w:val="center"/>
            <w:hideMark/>
          </w:tcPr>
          <w:p w14:paraId="4DBCDEC2" w14:textId="1FA0931D" w:rsidR="00853B7A" w:rsidRPr="00132496" w:rsidRDefault="00853B7A" w:rsidP="00FE1A62">
            <w:pPr>
              <w:jc w:val="right"/>
              <w:rPr>
                <w:rFonts w:eastAsia="Times New Roman" w:cs="Arial"/>
                <w:sz w:val="18"/>
                <w:szCs w:val="18"/>
              </w:rPr>
            </w:pPr>
            <w:r w:rsidRPr="00132496">
              <w:rPr>
                <w:rFonts w:eastAsia="Times New Roman" w:cs="Arial"/>
                <w:sz w:val="18"/>
                <w:szCs w:val="18"/>
              </w:rPr>
              <w:t>427,680</w:t>
            </w:r>
          </w:p>
        </w:tc>
      </w:tr>
      <w:tr w:rsidR="00853B7A" w:rsidRPr="00132496" w14:paraId="2A7D21FB" w14:textId="77777777" w:rsidTr="00FE1A62">
        <w:trPr>
          <w:trHeight w:val="270"/>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500A2263" w14:textId="77777777" w:rsidR="00853B7A" w:rsidRPr="00132496" w:rsidRDefault="00853B7A" w:rsidP="00853B7A">
            <w:pPr>
              <w:rPr>
                <w:rFonts w:eastAsia="Times New Roman" w:cs="Arial"/>
                <w:sz w:val="20"/>
                <w:szCs w:val="20"/>
              </w:rPr>
            </w:pPr>
            <w:r w:rsidRPr="00132496">
              <w:rPr>
                <w:rFonts w:eastAsia="Times New Roman" w:cs="Arial"/>
                <w:sz w:val="20"/>
                <w:szCs w:val="20"/>
              </w:rPr>
              <w:t>Pamphlets for Rentals, No Agent (12%)</w:t>
            </w:r>
          </w:p>
        </w:tc>
        <w:tc>
          <w:tcPr>
            <w:tcW w:w="1703" w:type="dxa"/>
            <w:tcBorders>
              <w:top w:val="nil"/>
              <w:left w:val="nil"/>
              <w:bottom w:val="single" w:sz="8" w:space="0" w:color="auto"/>
              <w:right w:val="single" w:sz="8" w:space="0" w:color="auto"/>
            </w:tcBorders>
            <w:shd w:val="clear" w:color="auto" w:fill="auto"/>
            <w:vAlign w:val="center"/>
            <w:hideMark/>
          </w:tcPr>
          <w:p w14:paraId="2FD60F33" w14:textId="77777777" w:rsidR="00853B7A" w:rsidRPr="00132496" w:rsidRDefault="00853B7A" w:rsidP="00853B7A">
            <w:pPr>
              <w:rPr>
                <w:rFonts w:eastAsia="Times New Roman" w:cs="Arial"/>
                <w:sz w:val="18"/>
                <w:szCs w:val="18"/>
              </w:rPr>
            </w:pPr>
            <w:r w:rsidRPr="00132496">
              <w:rPr>
                <w:rFonts w:eastAsia="Times New Roman" w:cs="Arial"/>
                <w:sz w:val="18"/>
                <w:szCs w:val="18"/>
              </w:rPr>
              <w:t>EPA747-K-99-001</w:t>
            </w:r>
          </w:p>
        </w:tc>
        <w:tc>
          <w:tcPr>
            <w:tcW w:w="1177" w:type="dxa"/>
            <w:tcBorders>
              <w:top w:val="nil"/>
              <w:left w:val="nil"/>
              <w:bottom w:val="single" w:sz="8" w:space="0" w:color="auto"/>
              <w:right w:val="single" w:sz="8" w:space="0" w:color="auto"/>
            </w:tcBorders>
            <w:shd w:val="clear" w:color="auto" w:fill="auto"/>
            <w:vAlign w:val="center"/>
            <w:hideMark/>
          </w:tcPr>
          <w:p w14:paraId="4211EC32"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60" w:type="dxa"/>
            <w:tcBorders>
              <w:top w:val="nil"/>
              <w:left w:val="nil"/>
              <w:bottom w:val="single" w:sz="8" w:space="0" w:color="auto"/>
              <w:right w:val="single" w:sz="8" w:space="0" w:color="auto"/>
            </w:tcBorders>
            <w:shd w:val="clear" w:color="auto" w:fill="auto"/>
            <w:vAlign w:val="center"/>
            <w:hideMark/>
          </w:tcPr>
          <w:p w14:paraId="449F1DBE"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40" w:type="dxa"/>
            <w:tcBorders>
              <w:top w:val="nil"/>
              <w:left w:val="nil"/>
              <w:bottom w:val="single" w:sz="8" w:space="0" w:color="auto"/>
              <w:right w:val="single" w:sz="8" w:space="0" w:color="auto"/>
            </w:tcBorders>
            <w:shd w:val="clear" w:color="auto" w:fill="auto"/>
            <w:vAlign w:val="center"/>
            <w:hideMark/>
          </w:tcPr>
          <w:p w14:paraId="2744EB39" w14:textId="77777777" w:rsidR="00853B7A" w:rsidRPr="00132496" w:rsidRDefault="00853B7A" w:rsidP="00FE1A62">
            <w:pPr>
              <w:jc w:val="right"/>
              <w:rPr>
                <w:rFonts w:eastAsia="Times New Roman" w:cs="Arial"/>
                <w:sz w:val="18"/>
                <w:szCs w:val="18"/>
              </w:rPr>
            </w:pPr>
            <w:r w:rsidRPr="00132496">
              <w:rPr>
                <w:rFonts w:eastAsia="Times New Roman" w:cs="Arial"/>
                <w:sz w:val="18"/>
                <w:szCs w:val="18"/>
              </w:rPr>
              <w:t>768,000</w:t>
            </w:r>
          </w:p>
        </w:tc>
        <w:tc>
          <w:tcPr>
            <w:tcW w:w="1520" w:type="dxa"/>
            <w:tcBorders>
              <w:top w:val="nil"/>
              <w:left w:val="nil"/>
              <w:bottom w:val="single" w:sz="8" w:space="0" w:color="auto"/>
              <w:right w:val="single" w:sz="8" w:space="0" w:color="auto"/>
            </w:tcBorders>
            <w:shd w:val="clear" w:color="auto" w:fill="auto"/>
            <w:vAlign w:val="center"/>
            <w:hideMark/>
          </w:tcPr>
          <w:p w14:paraId="1A00C473" w14:textId="0B5E1531" w:rsidR="00853B7A" w:rsidRPr="00132496" w:rsidRDefault="00853B7A" w:rsidP="00FE1A62">
            <w:pPr>
              <w:jc w:val="right"/>
              <w:rPr>
                <w:rFonts w:eastAsia="Times New Roman" w:cs="Arial"/>
                <w:sz w:val="18"/>
                <w:szCs w:val="18"/>
              </w:rPr>
            </w:pPr>
            <w:r w:rsidRPr="00132496">
              <w:rPr>
                <w:rFonts w:eastAsia="Times New Roman" w:cs="Arial"/>
                <w:sz w:val="18"/>
                <w:szCs w:val="18"/>
              </w:rPr>
              <w:t>552,960</w:t>
            </w:r>
          </w:p>
        </w:tc>
      </w:tr>
      <w:tr w:rsidR="00853B7A" w:rsidRPr="00132496" w14:paraId="018AA50D" w14:textId="77777777" w:rsidTr="00FE1A62">
        <w:trPr>
          <w:trHeight w:val="525"/>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1D8D687C" w14:textId="77777777" w:rsidR="00853B7A" w:rsidRPr="00132496" w:rsidRDefault="00853B7A" w:rsidP="00853B7A">
            <w:pPr>
              <w:rPr>
                <w:rFonts w:eastAsia="Times New Roman" w:cs="Arial"/>
                <w:sz w:val="20"/>
                <w:szCs w:val="20"/>
              </w:rPr>
            </w:pPr>
            <w:r w:rsidRPr="00132496">
              <w:rPr>
                <w:rFonts w:eastAsia="Times New Roman" w:cs="Arial"/>
                <w:sz w:val="20"/>
                <w:szCs w:val="20"/>
              </w:rPr>
              <w:t>Copied Pages for Sales without Agents (5.5%)</w:t>
            </w:r>
          </w:p>
        </w:tc>
        <w:tc>
          <w:tcPr>
            <w:tcW w:w="1703" w:type="dxa"/>
            <w:tcBorders>
              <w:top w:val="nil"/>
              <w:left w:val="nil"/>
              <w:bottom w:val="single" w:sz="8" w:space="0" w:color="auto"/>
              <w:right w:val="single" w:sz="8" w:space="0" w:color="auto"/>
            </w:tcBorders>
            <w:shd w:val="clear" w:color="auto" w:fill="auto"/>
            <w:vAlign w:val="center"/>
            <w:hideMark/>
          </w:tcPr>
          <w:p w14:paraId="54EE2FC4"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77" w:type="dxa"/>
            <w:tcBorders>
              <w:top w:val="nil"/>
              <w:left w:val="nil"/>
              <w:bottom w:val="single" w:sz="8" w:space="0" w:color="auto"/>
              <w:right w:val="single" w:sz="8" w:space="0" w:color="auto"/>
            </w:tcBorders>
            <w:shd w:val="clear" w:color="auto" w:fill="auto"/>
            <w:vAlign w:val="center"/>
            <w:hideMark/>
          </w:tcPr>
          <w:p w14:paraId="50AB606C"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60" w:type="dxa"/>
            <w:tcBorders>
              <w:top w:val="nil"/>
              <w:left w:val="nil"/>
              <w:bottom w:val="single" w:sz="8" w:space="0" w:color="auto"/>
              <w:right w:val="single" w:sz="8" w:space="0" w:color="auto"/>
            </w:tcBorders>
            <w:shd w:val="clear" w:color="auto" w:fill="auto"/>
            <w:vAlign w:val="center"/>
            <w:hideMark/>
          </w:tcPr>
          <w:p w14:paraId="599EF07D"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40" w:type="dxa"/>
            <w:tcBorders>
              <w:top w:val="nil"/>
              <w:left w:val="nil"/>
              <w:bottom w:val="single" w:sz="8" w:space="0" w:color="auto"/>
              <w:right w:val="single" w:sz="8" w:space="0" w:color="auto"/>
            </w:tcBorders>
            <w:shd w:val="clear" w:color="auto" w:fill="auto"/>
            <w:vAlign w:val="center"/>
            <w:hideMark/>
          </w:tcPr>
          <w:p w14:paraId="417CE2C5" w14:textId="77777777" w:rsidR="00853B7A" w:rsidRPr="00132496" w:rsidRDefault="00853B7A" w:rsidP="00FE1A62">
            <w:pPr>
              <w:jc w:val="right"/>
              <w:rPr>
                <w:rFonts w:eastAsia="Times New Roman" w:cs="Arial"/>
                <w:sz w:val="18"/>
                <w:szCs w:val="18"/>
              </w:rPr>
            </w:pPr>
            <w:r w:rsidRPr="00132496">
              <w:rPr>
                <w:rFonts w:eastAsia="Times New Roman" w:cs="Arial"/>
                <w:sz w:val="18"/>
                <w:szCs w:val="18"/>
              </w:rPr>
              <w:t>1,188,000</w:t>
            </w:r>
          </w:p>
        </w:tc>
        <w:tc>
          <w:tcPr>
            <w:tcW w:w="1520" w:type="dxa"/>
            <w:tcBorders>
              <w:top w:val="nil"/>
              <w:left w:val="nil"/>
              <w:bottom w:val="single" w:sz="8" w:space="0" w:color="auto"/>
              <w:right w:val="single" w:sz="8" w:space="0" w:color="auto"/>
            </w:tcBorders>
            <w:shd w:val="clear" w:color="auto" w:fill="auto"/>
            <w:vAlign w:val="center"/>
            <w:hideMark/>
          </w:tcPr>
          <w:p w14:paraId="6F1486F7" w14:textId="76670839" w:rsidR="00853B7A" w:rsidRPr="00132496" w:rsidRDefault="00853B7A" w:rsidP="00FE1A62">
            <w:pPr>
              <w:jc w:val="right"/>
              <w:rPr>
                <w:rFonts w:eastAsia="Times New Roman" w:cs="Arial"/>
                <w:sz w:val="18"/>
                <w:szCs w:val="18"/>
              </w:rPr>
            </w:pPr>
            <w:r w:rsidRPr="00132496">
              <w:rPr>
                <w:rFonts w:eastAsia="Times New Roman" w:cs="Arial"/>
                <w:sz w:val="18"/>
                <w:szCs w:val="18"/>
              </w:rPr>
              <w:t>95,040</w:t>
            </w:r>
          </w:p>
        </w:tc>
      </w:tr>
      <w:tr w:rsidR="00853B7A" w:rsidRPr="00132496" w14:paraId="0866CFDA" w14:textId="77777777" w:rsidTr="00FE1A62">
        <w:trPr>
          <w:trHeight w:val="525"/>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3EEA85D1" w14:textId="77777777" w:rsidR="00853B7A" w:rsidRPr="00132496" w:rsidRDefault="00853B7A" w:rsidP="00853B7A">
            <w:pPr>
              <w:rPr>
                <w:rFonts w:eastAsia="Times New Roman" w:cs="Arial"/>
                <w:sz w:val="20"/>
                <w:szCs w:val="20"/>
              </w:rPr>
            </w:pPr>
            <w:r w:rsidRPr="00132496">
              <w:rPr>
                <w:rFonts w:eastAsia="Times New Roman" w:cs="Arial"/>
                <w:sz w:val="20"/>
                <w:szCs w:val="20"/>
              </w:rPr>
              <w:t>Copied Pages for Rentals without Agents (12%)</w:t>
            </w:r>
          </w:p>
        </w:tc>
        <w:tc>
          <w:tcPr>
            <w:tcW w:w="1703" w:type="dxa"/>
            <w:tcBorders>
              <w:top w:val="nil"/>
              <w:left w:val="nil"/>
              <w:bottom w:val="single" w:sz="8" w:space="0" w:color="auto"/>
              <w:right w:val="single" w:sz="8" w:space="0" w:color="auto"/>
            </w:tcBorders>
            <w:shd w:val="clear" w:color="auto" w:fill="auto"/>
            <w:vAlign w:val="center"/>
            <w:hideMark/>
          </w:tcPr>
          <w:p w14:paraId="461C6F34"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177" w:type="dxa"/>
            <w:tcBorders>
              <w:top w:val="nil"/>
              <w:left w:val="nil"/>
              <w:bottom w:val="single" w:sz="8" w:space="0" w:color="auto"/>
              <w:right w:val="single" w:sz="8" w:space="0" w:color="auto"/>
            </w:tcBorders>
            <w:shd w:val="clear" w:color="auto" w:fill="auto"/>
            <w:vAlign w:val="center"/>
            <w:hideMark/>
          </w:tcPr>
          <w:p w14:paraId="4BE2FFBF"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60" w:type="dxa"/>
            <w:tcBorders>
              <w:top w:val="nil"/>
              <w:left w:val="nil"/>
              <w:bottom w:val="single" w:sz="8" w:space="0" w:color="auto"/>
              <w:right w:val="single" w:sz="8" w:space="0" w:color="auto"/>
            </w:tcBorders>
            <w:shd w:val="clear" w:color="auto" w:fill="auto"/>
            <w:vAlign w:val="center"/>
            <w:hideMark/>
          </w:tcPr>
          <w:p w14:paraId="5E7A24C4" w14:textId="77777777" w:rsidR="00853B7A" w:rsidRPr="00132496" w:rsidRDefault="00853B7A" w:rsidP="00853B7A">
            <w:pPr>
              <w:rPr>
                <w:rFonts w:eastAsia="Times New Roman" w:cs="Arial"/>
                <w:sz w:val="18"/>
                <w:szCs w:val="18"/>
              </w:rPr>
            </w:pPr>
            <w:r w:rsidRPr="00132496">
              <w:rPr>
                <w:rFonts w:eastAsia="Times New Roman" w:cs="Arial"/>
                <w:sz w:val="18"/>
                <w:szCs w:val="18"/>
              </w:rPr>
              <w:t>N/A</w:t>
            </w:r>
          </w:p>
        </w:tc>
        <w:tc>
          <w:tcPr>
            <w:tcW w:w="1040" w:type="dxa"/>
            <w:tcBorders>
              <w:top w:val="nil"/>
              <w:left w:val="nil"/>
              <w:bottom w:val="single" w:sz="8" w:space="0" w:color="auto"/>
              <w:right w:val="single" w:sz="8" w:space="0" w:color="auto"/>
            </w:tcBorders>
            <w:shd w:val="clear" w:color="auto" w:fill="auto"/>
            <w:vAlign w:val="center"/>
            <w:hideMark/>
          </w:tcPr>
          <w:p w14:paraId="0EE16001" w14:textId="77777777" w:rsidR="00853B7A" w:rsidRPr="00132496" w:rsidRDefault="00853B7A" w:rsidP="00FE1A62">
            <w:pPr>
              <w:jc w:val="right"/>
              <w:rPr>
                <w:rFonts w:eastAsia="Times New Roman" w:cs="Arial"/>
                <w:sz w:val="18"/>
                <w:szCs w:val="18"/>
              </w:rPr>
            </w:pPr>
            <w:r w:rsidRPr="00132496">
              <w:rPr>
                <w:rFonts w:eastAsia="Times New Roman" w:cs="Arial"/>
                <w:sz w:val="18"/>
                <w:szCs w:val="18"/>
              </w:rPr>
              <w:t>1,536,000</w:t>
            </w:r>
          </w:p>
        </w:tc>
        <w:tc>
          <w:tcPr>
            <w:tcW w:w="1520" w:type="dxa"/>
            <w:tcBorders>
              <w:top w:val="nil"/>
              <w:left w:val="nil"/>
              <w:bottom w:val="single" w:sz="8" w:space="0" w:color="auto"/>
              <w:right w:val="single" w:sz="8" w:space="0" w:color="auto"/>
            </w:tcBorders>
            <w:shd w:val="clear" w:color="auto" w:fill="auto"/>
            <w:vAlign w:val="center"/>
            <w:hideMark/>
          </w:tcPr>
          <w:p w14:paraId="772CAFF2" w14:textId="23B0ED60" w:rsidR="00853B7A" w:rsidRPr="00132496" w:rsidRDefault="00853B7A" w:rsidP="00FE1A62">
            <w:pPr>
              <w:jc w:val="right"/>
              <w:rPr>
                <w:rFonts w:eastAsia="Times New Roman" w:cs="Arial"/>
                <w:sz w:val="18"/>
                <w:szCs w:val="18"/>
              </w:rPr>
            </w:pPr>
            <w:r w:rsidRPr="00132496">
              <w:rPr>
                <w:rFonts w:eastAsia="Times New Roman" w:cs="Arial"/>
                <w:sz w:val="18"/>
                <w:szCs w:val="18"/>
              </w:rPr>
              <w:t>122,880</w:t>
            </w:r>
          </w:p>
        </w:tc>
      </w:tr>
      <w:tr w:rsidR="00853B7A" w:rsidRPr="00132496" w14:paraId="2343C58C" w14:textId="77777777" w:rsidTr="00853B7A">
        <w:trPr>
          <w:trHeight w:val="270"/>
        </w:trPr>
        <w:tc>
          <w:tcPr>
            <w:tcW w:w="798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B409843" w14:textId="77777777" w:rsidR="00853B7A" w:rsidRPr="00132496" w:rsidRDefault="00853B7A" w:rsidP="00853B7A">
            <w:pPr>
              <w:jc w:val="right"/>
              <w:rPr>
                <w:rFonts w:eastAsia="Times New Roman" w:cs="Arial"/>
                <w:i/>
                <w:iCs/>
                <w:sz w:val="20"/>
                <w:szCs w:val="20"/>
              </w:rPr>
            </w:pPr>
            <w:r w:rsidRPr="00132496">
              <w:rPr>
                <w:rFonts w:eastAsia="Times New Roman" w:cs="Arial"/>
                <w:i/>
                <w:iCs/>
                <w:sz w:val="20"/>
                <w:szCs w:val="20"/>
              </w:rPr>
              <w:t>Subtotal</w:t>
            </w:r>
          </w:p>
        </w:tc>
        <w:tc>
          <w:tcPr>
            <w:tcW w:w="1040" w:type="dxa"/>
            <w:tcBorders>
              <w:top w:val="nil"/>
              <w:left w:val="nil"/>
              <w:bottom w:val="single" w:sz="8" w:space="0" w:color="auto"/>
              <w:right w:val="single" w:sz="8" w:space="0" w:color="auto"/>
            </w:tcBorders>
            <w:shd w:val="clear" w:color="auto" w:fill="auto"/>
            <w:vAlign w:val="center"/>
            <w:hideMark/>
          </w:tcPr>
          <w:p w14:paraId="281E39C7" w14:textId="77777777" w:rsidR="00853B7A" w:rsidRPr="00132496" w:rsidRDefault="00853B7A" w:rsidP="00853B7A">
            <w:pPr>
              <w:rPr>
                <w:rFonts w:eastAsia="Times New Roman" w:cs="Arial"/>
                <w:sz w:val="18"/>
                <w:szCs w:val="18"/>
              </w:rPr>
            </w:pPr>
            <w:r w:rsidRPr="00132496">
              <w:rPr>
                <w:rFonts w:eastAsia="Times New Roman" w:cs="Arial"/>
                <w:sz w:val="18"/>
                <w:szCs w:val="18"/>
              </w:rPr>
              <w:t> </w:t>
            </w:r>
          </w:p>
        </w:tc>
        <w:tc>
          <w:tcPr>
            <w:tcW w:w="1520" w:type="dxa"/>
            <w:tcBorders>
              <w:top w:val="nil"/>
              <w:left w:val="nil"/>
              <w:bottom w:val="single" w:sz="8" w:space="0" w:color="auto"/>
              <w:right w:val="single" w:sz="8" w:space="0" w:color="auto"/>
            </w:tcBorders>
            <w:shd w:val="clear" w:color="auto" w:fill="auto"/>
            <w:vAlign w:val="center"/>
            <w:hideMark/>
          </w:tcPr>
          <w:p w14:paraId="2A9B4F73" w14:textId="77777777" w:rsidR="00853B7A" w:rsidRPr="00132496" w:rsidRDefault="00853B7A" w:rsidP="00853B7A">
            <w:pPr>
              <w:jc w:val="right"/>
              <w:rPr>
                <w:rFonts w:eastAsia="Times New Roman" w:cs="Arial"/>
                <w:i/>
                <w:sz w:val="18"/>
                <w:szCs w:val="18"/>
              </w:rPr>
            </w:pPr>
            <w:r>
              <w:rPr>
                <w:rFonts w:eastAsia="Times New Roman" w:cs="Arial"/>
                <w:i/>
                <w:sz w:val="18"/>
                <w:szCs w:val="18"/>
              </w:rPr>
              <w:t>$</w:t>
            </w:r>
            <w:r w:rsidRPr="00132496">
              <w:rPr>
                <w:rFonts w:eastAsia="Times New Roman" w:cs="Arial"/>
                <w:i/>
                <w:sz w:val="18"/>
                <w:szCs w:val="18"/>
              </w:rPr>
              <w:t>1,198,560</w:t>
            </w:r>
          </w:p>
        </w:tc>
      </w:tr>
      <w:tr w:rsidR="00853B7A" w:rsidRPr="00132496" w14:paraId="1C353958" w14:textId="77777777" w:rsidTr="00853B7A">
        <w:trPr>
          <w:trHeight w:val="270"/>
        </w:trPr>
        <w:tc>
          <w:tcPr>
            <w:tcW w:w="574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FE4C5F" w14:textId="77777777" w:rsidR="00853B7A" w:rsidRPr="00132496" w:rsidRDefault="00853B7A" w:rsidP="00853B7A">
            <w:pPr>
              <w:jc w:val="right"/>
              <w:rPr>
                <w:rFonts w:eastAsia="Times New Roman" w:cs="Arial"/>
                <w:b/>
                <w:bCs/>
                <w:i/>
                <w:iCs/>
                <w:sz w:val="20"/>
                <w:szCs w:val="20"/>
              </w:rPr>
            </w:pPr>
            <w:r w:rsidRPr="00132496">
              <w:rPr>
                <w:rFonts w:eastAsia="Times New Roman" w:cs="Arial"/>
                <w:b/>
                <w:bCs/>
                <w:i/>
                <w:iCs/>
                <w:sz w:val="20"/>
                <w:szCs w:val="20"/>
              </w:rPr>
              <w:t>Grand Total</w:t>
            </w:r>
          </w:p>
        </w:tc>
        <w:tc>
          <w:tcPr>
            <w:tcW w:w="1177" w:type="dxa"/>
            <w:tcBorders>
              <w:top w:val="nil"/>
              <w:left w:val="nil"/>
              <w:bottom w:val="single" w:sz="8" w:space="0" w:color="auto"/>
              <w:right w:val="single" w:sz="8" w:space="0" w:color="auto"/>
            </w:tcBorders>
            <w:shd w:val="clear" w:color="auto" w:fill="auto"/>
            <w:vAlign w:val="center"/>
            <w:hideMark/>
          </w:tcPr>
          <w:p w14:paraId="2BC4C16A" w14:textId="77777777" w:rsidR="00853B7A" w:rsidRPr="00132496" w:rsidRDefault="00853B7A" w:rsidP="00853B7A">
            <w:pPr>
              <w:jc w:val="right"/>
              <w:rPr>
                <w:rFonts w:eastAsia="Times New Roman" w:cs="Arial"/>
                <w:b/>
                <w:bCs/>
                <w:i/>
                <w:iCs/>
                <w:sz w:val="18"/>
                <w:szCs w:val="18"/>
              </w:rPr>
            </w:pPr>
            <w:r w:rsidRPr="00132496">
              <w:rPr>
                <w:rFonts w:eastAsia="Times New Roman" w:cs="Arial"/>
                <w:b/>
                <w:bCs/>
                <w:i/>
                <w:iCs/>
                <w:sz w:val="18"/>
                <w:szCs w:val="18"/>
              </w:rPr>
              <w:t>35,400,000</w:t>
            </w:r>
          </w:p>
        </w:tc>
        <w:tc>
          <w:tcPr>
            <w:tcW w:w="1060" w:type="dxa"/>
            <w:tcBorders>
              <w:top w:val="nil"/>
              <w:left w:val="nil"/>
              <w:bottom w:val="single" w:sz="8" w:space="0" w:color="auto"/>
              <w:right w:val="single" w:sz="8" w:space="0" w:color="auto"/>
            </w:tcBorders>
            <w:shd w:val="clear" w:color="auto" w:fill="auto"/>
            <w:vAlign w:val="center"/>
            <w:hideMark/>
          </w:tcPr>
          <w:p w14:paraId="363CBE60" w14:textId="77777777" w:rsidR="00853B7A" w:rsidRPr="00132496" w:rsidRDefault="00853B7A" w:rsidP="00853B7A">
            <w:pPr>
              <w:jc w:val="right"/>
              <w:rPr>
                <w:rFonts w:eastAsia="Times New Roman" w:cs="Arial"/>
                <w:b/>
                <w:bCs/>
                <w:i/>
                <w:iCs/>
                <w:sz w:val="18"/>
                <w:szCs w:val="18"/>
              </w:rPr>
            </w:pPr>
            <w:r w:rsidRPr="00132496">
              <w:rPr>
                <w:rFonts w:eastAsia="Times New Roman" w:cs="Arial"/>
                <w:b/>
                <w:bCs/>
                <w:i/>
                <w:iCs/>
                <w:sz w:val="18"/>
                <w:szCs w:val="18"/>
              </w:rPr>
              <w:t>4,742,197</w:t>
            </w:r>
          </w:p>
        </w:tc>
        <w:tc>
          <w:tcPr>
            <w:tcW w:w="1040" w:type="dxa"/>
            <w:tcBorders>
              <w:top w:val="nil"/>
              <w:left w:val="nil"/>
              <w:bottom w:val="single" w:sz="8" w:space="0" w:color="auto"/>
              <w:right w:val="single" w:sz="8" w:space="0" w:color="auto"/>
            </w:tcBorders>
            <w:shd w:val="clear" w:color="auto" w:fill="auto"/>
            <w:vAlign w:val="center"/>
            <w:hideMark/>
          </w:tcPr>
          <w:p w14:paraId="53602B8F" w14:textId="77777777" w:rsidR="00853B7A" w:rsidRPr="00132496" w:rsidRDefault="00853B7A" w:rsidP="00853B7A">
            <w:pPr>
              <w:rPr>
                <w:rFonts w:eastAsia="Times New Roman" w:cs="Arial"/>
                <w:b/>
                <w:bCs/>
                <w:i/>
                <w:iCs/>
                <w:sz w:val="18"/>
                <w:szCs w:val="18"/>
              </w:rPr>
            </w:pPr>
            <w:r w:rsidRPr="00132496">
              <w:rPr>
                <w:rFonts w:eastAsia="Times New Roman" w:cs="Arial"/>
                <w:b/>
                <w:bCs/>
                <w:i/>
                <w:iCs/>
                <w:sz w:val="18"/>
                <w:szCs w:val="18"/>
              </w:rPr>
              <w:t> </w:t>
            </w:r>
          </w:p>
        </w:tc>
        <w:tc>
          <w:tcPr>
            <w:tcW w:w="1520" w:type="dxa"/>
            <w:tcBorders>
              <w:top w:val="nil"/>
              <w:left w:val="nil"/>
              <w:bottom w:val="single" w:sz="8" w:space="0" w:color="auto"/>
              <w:right w:val="single" w:sz="8" w:space="0" w:color="auto"/>
            </w:tcBorders>
            <w:shd w:val="clear" w:color="auto" w:fill="auto"/>
            <w:vAlign w:val="center"/>
            <w:hideMark/>
          </w:tcPr>
          <w:p w14:paraId="2B74001E" w14:textId="77777777" w:rsidR="00853B7A" w:rsidRPr="00132496" w:rsidRDefault="00853B7A" w:rsidP="00853B7A">
            <w:pPr>
              <w:jc w:val="right"/>
              <w:rPr>
                <w:rFonts w:eastAsia="Times New Roman" w:cs="Arial"/>
                <w:b/>
                <w:bCs/>
                <w:i/>
                <w:iCs/>
                <w:sz w:val="18"/>
                <w:szCs w:val="18"/>
              </w:rPr>
            </w:pPr>
            <w:r>
              <w:rPr>
                <w:rFonts w:eastAsia="Times New Roman" w:cs="Arial"/>
                <w:b/>
                <w:bCs/>
                <w:i/>
                <w:iCs/>
                <w:sz w:val="18"/>
                <w:szCs w:val="18"/>
              </w:rPr>
              <w:t>$</w:t>
            </w:r>
            <w:r w:rsidRPr="00132496">
              <w:rPr>
                <w:rFonts w:eastAsia="Times New Roman" w:cs="Arial"/>
                <w:b/>
                <w:bCs/>
                <w:i/>
                <w:iCs/>
                <w:sz w:val="18"/>
                <w:szCs w:val="18"/>
              </w:rPr>
              <w:t>76,599,487</w:t>
            </w:r>
          </w:p>
        </w:tc>
      </w:tr>
    </w:tbl>
    <w:p w14:paraId="46FE7215" w14:textId="77777777" w:rsidR="00853B7A" w:rsidRPr="005F2516" w:rsidRDefault="00853B7A" w:rsidP="00853B7A">
      <w:pPr>
        <w:pStyle w:val="Heading2"/>
        <w:tabs>
          <w:tab w:val="left" w:pos="1080"/>
        </w:tabs>
        <w:rPr>
          <w:lang w:bidi="en-US"/>
        </w:rPr>
      </w:pPr>
    </w:p>
    <w:p w14:paraId="2A6B5A56" w14:textId="77777777" w:rsidR="00853B7A" w:rsidRPr="005F2516" w:rsidRDefault="00853B7A" w:rsidP="00853B7A">
      <w:pPr>
        <w:pStyle w:val="Heading2"/>
        <w:numPr>
          <w:ilvl w:val="1"/>
          <w:numId w:val="3"/>
        </w:numPr>
        <w:tabs>
          <w:tab w:val="left" w:pos="1080"/>
        </w:tabs>
        <w:rPr>
          <w:lang w:bidi="en-US"/>
        </w:rPr>
      </w:pPr>
      <w:bookmarkStart w:id="3" w:name="_Toc494361019"/>
      <w:r w:rsidRPr="005F2516">
        <w:t>Total Estimated Respondent Burden and Costs</w:t>
      </w:r>
      <w:bookmarkEnd w:id="3"/>
    </w:p>
    <w:tbl>
      <w:tblPr>
        <w:tblW w:w="8420" w:type="dxa"/>
        <w:jc w:val="center"/>
        <w:tblLook w:val="04A0" w:firstRow="1" w:lastRow="0" w:firstColumn="1" w:lastColumn="0" w:noHBand="0" w:noVBand="1"/>
      </w:tblPr>
      <w:tblGrid>
        <w:gridCol w:w="3480"/>
        <w:gridCol w:w="1400"/>
        <w:gridCol w:w="1700"/>
        <w:gridCol w:w="1840"/>
      </w:tblGrid>
      <w:tr w:rsidR="00853B7A" w:rsidRPr="00132496" w14:paraId="7600662D" w14:textId="77777777" w:rsidTr="00853B7A">
        <w:trPr>
          <w:trHeight w:val="315"/>
          <w:jc w:val="center"/>
        </w:trPr>
        <w:tc>
          <w:tcPr>
            <w:tcW w:w="8420"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73754C63" w14:textId="77777777" w:rsidR="00853B7A" w:rsidRPr="00132496" w:rsidRDefault="00853B7A" w:rsidP="00853B7A">
            <w:pPr>
              <w:jc w:val="center"/>
              <w:rPr>
                <w:rFonts w:eastAsia="Times New Roman" w:cs="Arial"/>
                <w:b/>
                <w:bCs/>
                <w:sz w:val="22"/>
              </w:rPr>
            </w:pPr>
            <w:r w:rsidRPr="00132496">
              <w:rPr>
                <w:rFonts w:eastAsia="Times New Roman" w:cs="Arial"/>
                <w:b/>
                <w:bCs/>
                <w:sz w:val="22"/>
              </w:rPr>
              <w:t>IC Summary Table</w:t>
            </w:r>
          </w:p>
        </w:tc>
      </w:tr>
      <w:tr w:rsidR="00853B7A" w:rsidRPr="00132496" w14:paraId="3DDA916E" w14:textId="77777777" w:rsidTr="002A2EF8">
        <w:trPr>
          <w:trHeight w:val="315"/>
          <w:jc w:val="center"/>
        </w:trPr>
        <w:tc>
          <w:tcPr>
            <w:tcW w:w="3480" w:type="dxa"/>
            <w:tcBorders>
              <w:top w:val="nil"/>
              <w:left w:val="single" w:sz="8" w:space="0" w:color="auto"/>
              <w:bottom w:val="single" w:sz="8" w:space="0" w:color="auto"/>
              <w:right w:val="single" w:sz="8" w:space="0" w:color="auto"/>
            </w:tcBorders>
            <w:shd w:val="clear" w:color="000000" w:fill="BFBFBF"/>
            <w:vAlign w:val="center"/>
            <w:hideMark/>
          </w:tcPr>
          <w:p w14:paraId="085CC210"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IC Category</w:t>
            </w:r>
          </w:p>
        </w:tc>
        <w:tc>
          <w:tcPr>
            <w:tcW w:w="1400" w:type="dxa"/>
            <w:tcBorders>
              <w:top w:val="nil"/>
              <w:left w:val="nil"/>
              <w:bottom w:val="single" w:sz="8" w:space="0" w:color="auto"/>
              <w:right w:val="single" w:sz="8" w:space="0" w:color="auto"/>
            </w:tcBorders>
            <w:shd w:val="clear" w:color="000000" w:fill="BFBFBF"/>
            <w:vAlign w:val="center"/>
            <w:hideMark/>
          </w:tcPr>
          <w:p w14:paraId="698DA113"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Responses</w:t>
            </w:r>
          </w:p>
        </w:tc>
        <w:tc>
          <w:tcPr>
            <w:tcW w:w="1700" w:type="dxa"/>
            <w:tcBorders>
              <w:top w:val="nil"/>
              <w:left w:val="nil"/>
              <w:bottom w:val="single" w:sz="8" w:space="0" w:color="auto"/>
              <w:right w:val="single" w:sz="8" w:space="0" w:color="auto"/>
            </w:tcBorders>
            <w:shd w:val="clear" w:color="000000" w:fill="BFBFBF"/>
            <w:vAlign w:val="center"/>
            <w:hideMark/>
          </w:tcPr>
          <w:p w14:paraId="796937C1"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Burden (hours)</w:t>
            </w:r>
          </w:p>
        </w:tc>
        <w:tc>
          <w:tcPr>
            <w:tcW w:w="1840" w:type="dxa"/>
            <w:tcBorders>
              <w:top w:val="nil"/>
              <w:left w:val="nil"/>
              <w:bottom w:val="single" w:sz="8" w:space="0" w:color="auto"/>
              <w:right w:val="single" w:sz="8" w:space="0" w:color="auto"/>
            </w:tcBorders>
            <w:shd w:val="clear" w:color="000000" w:fill="BFBFBF"/>
            <w:vAlign w:val="center"/>
            <w:hideMark/>
          </w:tcPr>
          <w:p w14:paraId="548CEFDB" w14:textId="77777777" w:rsidR="00853B7A" w:rsidRPr="00132496" w:rsidRDefault="00853B7A" w:rsidP="002A2EF8">
            <w:pPr>
              <w:jc w:val="center"/>
              <w:rPr>
                <w:rFonts w:eastAsia="Times New Roman" w:cs="Arial"/>
                <w:b/>
                <w:bCs/>
                <w:sz w:val="18"/>
                <w:szCs w:val="18"/>
              </w:rPr>
            </w:pPr>
            <w:r w:rsidRPr="00132496">
              <w:rPr>
                <w:rFonts w:eastAsia="Times New Roman" w:cs="Arial"/>
                <w:b/>
                <w:bCs/>
                <w:sz w:val="18"/>
                <w:szCs w:val="18"/>
              </w:rPr>
              <w:t>Cost ($)</w:t>
            </w:r>
          </w:p>
        </w:tc>
      </w:tr>
      <w:tr w:rsidR="00853B7A" w:rsidRPr="00132496" w14:paraId="3A46037D" w14:textId="77777777" w:rsidTr="00853B7A">
        <w:trPr>
          <w:trHeight w:val="315"/>
          <w:jc w:val="center"/>
        </w:trPr>
        <w:tc>
          <w:tcPr>
            <w:tcW w:w="3480" w:type="dxa"/>
            <w:tcBorders>
              <w:top w:val="nil"/>
              <w:left w:val="single" w:sz="8" w:space="0" w:color="auto"/>
              <w:bottom w:val="single" w:sz="8" w:space="0" w:color="auto"/>
              <w:right w:val="single" w:sz="8" w:space="0" w:color="auto"/>
            </w:tcBorders>
            <w:shd w:val="clear" w:color="auto" w:fill="auto"/>
            <w:vAlign w:val="center"/>
            <w:hideMark/>
          </w:tcPr>
          <w:p w14:paraId="0509FFE2" w14:textId="77777777" w:rsidR="00853B7A" w:rsidRPr="00132496" w:rsidRDefault="00853B7A" w:rsidP="00853B7A">
            <w:pPr>
              <w:rPr>
                <w:rFonts w:ascii="Calibri" w:eastAsia="Times New Roman" w:hAnsi="Calibri" w:cs="Calibri"/>
                <w:sz w:val="22"/>
              </w:rPr>
            </w:pPr>
            <w:r w:rsidRPr="00132496">
              <w:rPr>
                <w:rFonts w:ascii="Calibri" w:eastAsia="Times New Roman" w:hAnsi="Calibri" w:cs="Calibri"/>
                <w:sz w:val="22"/>
              </w:rPr>
              <w:t>IC 1: Real Estate and Lessor Agents</w:t>
            </w:r>
          </w:p>
        </w:tc>
        <w:tc>
          <w:tcPr>
            <w:tcW w:w="1400" w:type="dxa"/>
            <w:tcBorders>
              <w:top w:val="nil"/>
              <w:left w:val="nil"/>
              <w:bottom w:val="single" w:sz="8" w:space="0" w:color="auto"/>
              <w:right w:val="single" w:sz="8" w:space="0" w:color="auto"/>
            </w:tcBorders>
            <w:shd w:val="clear" w:color="auto" w:fill="auto"/>
            <w:vAlign w:val="center"/>
            <w:hideMark/>
          </w:tcPr>
          <w:p w14:paraId="6BAA2930"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20,899,873</w:t>
            </w:r>
          </w:p>
        </w:tc>
        <w:tc>
          <w:tcPr>
            <w:tcW w:w="1700" w:type="dxa"/>
            <w:tcBorders>
              <w:top w:val="nil"/>
              <w:left w:val="nil"/>
              <w:bottom w:val="single" w:sz="8" w:space="0" w:color="auto"/>
              <w:right w:val="single" w:sz="8" w:space="0" w:color="auto"/>
            </w:tcBorders>
            <w:shd w:val="clear" w:color="auto" w:fill="auto"/>
            <w:vAlign w:val="center"/>
            <w:hideMark/>
          </w:tcPr>
          <w:p w14:paraId="79FAF718"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1,210,147</w:t>
            </w:r>
          </w:p>
        </w:tc>
        <w:tc>
          <w:tcPr>
            <w:tcW w:w="1840" w:type="dxa"/>
            <w:tcBorders>
              <w:top w:val="nil"/>
              <w:left w:val="nil"/>
              <w:bottom w:val="single" w:sz="8" w:space="0" w:color="auto"/>
              <w:right w:val="single" w:sz="8" w:space="0" w:color="auto"/>
            </w:tcBorders>
            <w:shd w:val="clear" w:color="auto" w:fill="auto"/>
            <w:vAlign w:val="center"/>
            <w:hideMark/>
          </w:tcPr>
          <w:p w14:paraId="2BE639D9"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53,468,267</w:t>
            </w:r>
          </w:p>
        </w:tc>
      </w:tr>
      <w:tr w:rsidR="00853B7A" w:rsidRPr="00132496" w14:paraId="3B4E0773" w14:textId="77777777" w:rsidTr="00853B7A">
        <w:trPr>
          <w:trHeight w:val="315"/>
          <w:jc w:val="center"/>
        </w:trPr>
        <w:tc>
          <w:tcPr>
            <w:tcW w:w="3480" w:type="dxa"/>
            <w:tcBorders>
              <w:top w:val="nil"/>
              <w:left w:val="single" w:sz="8" w:space="0" w:color="auto"/>
              <w:bottom w:val="single" w:sz="8" w:space="0" w:color="auto"/>
              <w:right w:val="single" w:sz="8" w:space="0" w:color="auto"/>
            </w:tcBorders>
            <w:shd w:val="clear" w:color="auto" w:fill="auto"/>
            <w:vAlign w:val="center"/>
            <w:hideMark/>
          </w:tcPr>
          <w:p w14:paraId="2B009B18" w14:textId="77777777" w:rsidR="00853B7A" w:rsidRPr="00132496" w:rsidRDefault="00853B7A" w:rsidP="00853B7A">
            <w:pPr>
              <w:rPr>
                <w:rFonts w:ascii="Calibri" w:eastAsia="Times New Roman" w:hAnsi="Calibri" w:cs="Calibri"/>
                <w:sz w:val="22"/>
              </w:rPr>
            </w:pPr>
            <w:r w:rsidRPr="00132496">
              <w:rPr>
                <w:rFonts w:ascii="Calibri" w:eastAsia="Times New Roman" w:hAnsi="Calibri" w:cs="Calibri"/>
                <w:sz w:val="22"/>
              </w:rPr>
              <w:t>IC 2: Individuals</w:t>
            </w:r>
          </w:p>
        </w:tc>
        <w:tc>
          <w:tcPr>
            <w:tcW w:w="1400" w:type="dxa"/>
            <w:tcBorders>
              <w:top w:val="nil"/>
              <w:left w:val="nil"/>
              <w:bottom w:val="single" w:sz="8" w:space="0" w:color="auto"/>
              <w:right w:val="single" w:sz="8" w:space="0" w:color="auto"/>
            </w:tcBorders>
            <w:shd w:val="clear" w:color="auto" w:fill="auto"/>
            <w:vAlign w:val="center"/>
            <w:hideMark/>
          </w:tcPr>
          <w:p w14:paraId="514AA289"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35,400,000</w:t>
            </w:r>
          </w:p>
        </w:tc>
        <w:tc>
          <w:tcPr>
            <w:tcW w:w="1700" w:type="dxa"/>
            <w:tcBorders>
              <w:top w:val="nil"/>
              <w:left w:val="nil"/>
              <w:bottom w:val="single" w:sz="8" w:space="0" w:color="auto"/>
              <w:right w:val="single" w:sz="8" w:space="0" w:color="auto"/>
            </w:tcBorders>
            <w:shd w:val="clear" w:color="auto" w:fill="auto"/>
            <w:vAlign w:val="center"/>
            <w:hideMark/>
          </w:tcPr>
          <w:p w14:paraId="374A522A"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4,742,197</w:t>
            </w:r>
          </w:p>
        </w:tc>
        <w:tc>
          <w:tcPr>
            <w:tcW w:w="1840" w:type="dxa"/>
            <w:tcBorders>
              <w:top w:val="nil"/>
              <w:left w:val="nil"/>
              <w:bottom w:val="single" w:sz="8" w:space="0" w:color="auto"/>
              <w:right w:val="single" w:sz="8" w:space="0" w:color="auto"/>
            </w:tcBorders>
            <w:shd w:val="clear" w:color="auto" w:fill="auto"/>
            <w:vAlign w:val="center"/>
            <w:hideMark/>
          </w:tcPr>
          <w:p w14:paraId="393EDA6B" w14:textId="77777777" w:rsidR="00853B7A" w:rsidRPr="00132496" w:rsidRDefault="00853B7A" w:rsidP="00853B7A">
            <w:pPr>
              <w:jc w:val="right"/>
              <w:rPr>
                <w:rFonts w:eastAsia="Times New Roman" w:cs="Arial"/>
                <w:sz w:val="18"/>
                <w:szCs w:val="18"/>
              </w:rPr>
            </w:pPr>
            <w:r w:rsidRPr="00132496">
              <w:rPr>
                <w:rFonts w:eastAsia="Times New Roman" w:cs="Arial"/>
                <w:sz w:val="18"/>
                <w:szCs w:val="18"/>
              </w:rPr>
              <w:t>76,599,487</w:t>
            </w:r>
          </w:p>
        </w:tc>
      </w:tr>
      <w:tr w:rsidR="00853B7A" w:rsidRPr="00132496" w14:paraId="56DA870E" w14:textId="77777777" w:rsidTr="00853B7A">
        <w:trPr>
          <w:trHeight w:val="315"/>
          <w:jc w:val="center"/>
        </w:trPr>
        <w:tc>
          <w:tcPr>
            <w:tcW w:w="3480" w:type="dxa"/>
            <w:tcBorders>
              <w:top w:val="nil"/>
              <w:left w:val="single" w:sz="8" w:space="0" w:color="auto"/>
              <w:bottom w:val="single" w:sz="8" w:space="0" w:color="auto"/>
              <w:right w:val="nil"/>
            </w:tcBorders>
            <w:shd w:val="clear" w:color="auto" w:fill="auto"/>
            <w:vAlign w:val="center"/>
            <w:hideMark/>
          </w:tcPr>
          <w:p w14:paraId="3B8092AE" w14:textId="77777777" w:rsidR="00853B7A" w:rsidRPr="00132496" w:rsidRDefault="00853B7A" w:rsidP="00853B7A">
            <w:pPr>
              <w:rPr>
                <w:rFonts w:eastAsia="Times New Roman" w:cs="Arial"/>
                <w:b/>
                <w:bCs/>
                <w:sz w:val="18"/>
                <w:szCs w:val="18"/>
              </w:rPr>
            </w:pPr>
            <w:r w:rsidRPr="00132496">
              <w:rPr>
                <w:rFonts w:eastAsia="Times New Roman" w:cs="Arial"/>
                <w:b/>
                <w:bCs/>
                <w:sz w:val="18"/>
                <w:szCs w:val="18"/>
              </w:rPr>
              <w:t>Total</w:t>
            </w:r>
          </w:p>
        </w:tc>
        <w:tc>
          <w:tcPr>
            <w:tcW w:w="1400" w:type="dxa"/>
            <w:tcBorders>
              <w:top w:val="nil"/>
              <w:left w:val="single" w:sz="8" w:space="0" w:color="auto"/>
              <w:bottom w:val="single" w:sz="8" w:space="0" w:color="auto"/>
              <w:right w:val="single" w:sz="8" w:space="0" w:color="auto"/>
            </w:tcBorders>
            <w:shd w:val="clear" w:color="auto" w:fill="auto"/>
            <w:vAlign w:val="center"/>
            <w:hideMark/>
          </w:tcPr>
          <w:p w14:paraId="4E87F720" w14:textId="77777777" w:rsidR="00853B7A" w:rsidRPr="00132496" w:rsidRDefault="00853B7A" w:rsidP="00853B7A">
            <w:pPr>
              <w:jc w:val="right"/>
              <w:rPr>
                <w:rFonts w:eastAsia="Times New Roman" w:cs="Arial"/>
                <w:b/>
                <w:bCs/>
                <w:sz w:val="18"/>
                <w:szCs w:val="18"/>
              </w:rPr>
            </w:pPr>
            <w:r w:rsidRPr="00132496">
              <w:rPr>
                <w:rFonts w:eastAsia="Times New Roman" w:cs="Arial"/>
                <w:b/>
                <w:bCs/>
                <w:sz w:val="18"/>
                <w:szCs w:val="18"/>
              </w:rPr>
              <w:t>56,299,873</w:t>
            </w:r>
          </w:p>
        </w:tc>
        <w:tc>
          <w:tcPr>
            <w:tcW w:w="1700" w:type="dxa"/>
            <w:tcBorders>
              <w:top w:val="nil"/>
              <w:left w:val="nil"/>
              <w:bottom w:val="single" w:sz="8" w:space="0" w:color="auto"/>
              <w:right w:val="single" w:sz="8" w:space="0" w:color="auto"/>
            </w:tcBorders>
            <w:shd w:val="clear" w:color="auto" w:fill="auto"/>
            <w:vAlign w:val="center"/>
            <w:hideMark/>
          </w:tcPr>
          <w:p w14:paraId="51205F44" w14:textId="77777777" w:rsidR="00853B7A" w:rsidRPr="00132496" w:rsidRDefault="00853B7A" w:rsidP="00853B7A">
            <w:pPr>
              <w:jc w:val="right"/>
              <w:rPr>
                <w:rFonts w:eastAsia="Times New Roman" w:cs="Arial"/>
                <w:b/>
                <w:bCs/>
                <w:sz w:val="18"/>
                <w:szCs w:val="18"/>
              </w:rPr>
            </w:pPr>
            <w:r w:rsidRPr="00132496">
              <w:rPr>
                <w:rFonts w:eastAsia="Times New Roman" w:cs="Arial"/>
                <w:b/>
                <w:bCs/>
                <w:sz w:val="18"/>
                <w:szCs w:val="18"/>
              </w:rPr>
              <w:t>5,952,344</w:t>
            </w:r>
          </w:p>
        </w:tc>
        <w:tc>
          <w:tcPr>
            <w:tcW w:w="1840" w:type="dxa"/>
            <w:tcBorders>
              <w:top w:val="nil"/>
              <w:left w:val="nil"/>
              <w:bottom w:val="single" w:sz="8" w:space="0" w:color="auto"/>
              <w:right w:val="single" w:sz="8" w:space="0" w:color="auto"/>
            </w:tcBorders>
            <w:shd w:val="clear" w:color="auto" w:fill="auto"/>
            <w:vAlign w:val="center"/>
            <w:hideMark/>
          </w:tcPr>
          <w:p w14:paraId="61F388F8" w14:textId="77777777" w:rsidR="00853B7A" w:rsidRPr="00132496" w:rsidRDefault="00853B7A" w:rsidP="00853B7A">
            <w:pPr>
              <w:jc w:val="right"/>
              <w:rPr>
                <w:rFonts w:eastAsia="Times New Roman" w:cs="Arial"/>
                <w:b/>
                <w:bCs/>
                <w:sz w:val="18"/>
                <w:szCs w:val="18"/>
              </w:rPr>
            </w:pPr>
            <w:r w:rsidRPr="00132496">
              <w:rPr>
                <w:rFonts w:eastAsia="Times New Roman" w:cs="Arial"/>
                <w:b/>
                <w:bCs/>
                <w:sz w:val="18"/>
                <w:szCs w:val="18"/>
              </w:rPr>
              <w:t xml:space="preserve">$130,067,754 </w:t>
            </w:r>
          </w:p>
        </w:tc>
      </w:tr>
    </w:tbl>
    <w:p w14:paraId="27B28DBF" w14:textId="58D52D15" w:rsidR="00DB7F57" w:rsidRDefault="00DB7F57" w:rsidP="00C36C17"/>
    <w:p w14:paraId="052F6236" w14:textId="77777777" w:rsidR="00C36C17" w:rsidRPr="00C36C17" w:rsidRDefault="00C36C17" w:rsidP="00C36C17">
      <w:pPr>
        <w:pStyle w:val="NoSpacing"/>
      </w:pPr>
    </w:p>
    <w:p w14:paraId="07F49ADA" w14:textId="1D599ECF" w:rsidR="00F44411" w:rsidRPr="00436731" w:rsidRDefault="00EC3C02" w:rsidP="00853B7A">
      <w:pPr>
        <w:pStyle w:val="Heading1"/>
        <w:numPr>
          <w:ilvl w:val="0"/>
          <w:numId w:val="3"/>
        </w:numPr>
        <w:rPr>
          <w:sz w:val="24"/>
          <w:szCs w:val="24"/>
        </w:rPr>
      </w:pPr>
      <w:r w:rsidRPr="00436731">
        <w:rPr>
          <w:sz w:val="24"/>
          <w:szCs w:val="24"/>
        </w:rPr>
        <w:t xml:space="preserve">PRA </w:t>
      </w:r>
      <w:r w:rsidR="004A19D1" w:rsidRPr="00436731">
        <w:rPr>
          <w:sz w:val="24"/>
          <w:szCs w:val="24"/>
        </w:rPr>
        <w:t>BURDEN STATEMENT</w:t>
      </w:r>
    </w:p>
    <w:p w14:paraId="4DE55517" w14:textId="77777777" w:rsidR="00EC3C02" w:rsidRPr="00853B7A" w:rsidRDefault="00EC3C02" w:rsidP="002C66D1">
      <w:pPr>
        <w:pStyle w:val="NoSpacing"/>
        <w:rPr>
          <w:lang w:bidi="en-US"/>
        </w:rPr>
      </w:pPr>
      <w:r w:rsidRPr="00853B7A">
        <w:t>Under the PRA, b</w:t>
      </w:r>
      <w:r w:rsidRPr="00853B7A">
        <w:rPr>
          <w:lang w:bidi="en-US"/>
        </w:rPr>
        <w:t xml:space="preserve">urden is defined at </w:t>
      </w:r>
      <w:hyperlink r:id="rId13" w:anchor="5:3.0.2.3.9.0.48.3" w:history="1">
        <w:r w:rsidRPr="00853B7A">
          <w:rPr>
            <w:rStyle w:val="Hyperlink"/>
            <w:color w:val="auto"/>
            <w:lang w:bidi="en-US"/>
          </w:rPr>
          <w:t>5 CFR 1320.3(b)</w:t>
        </w:r>
      </w:hyperlink>
      <w:r w:rsidRPr="00853B7A">
        <w:rPr>
          <w:lang w:bidi="en-US"/>
        </w:rPr>
        <w:t>.</w:t>
      </w:r>
    </w:p>
    <w:p w14:paraId="71FE4086" w14:textId="77777777" w:rsidR="00EC3C02" w:rsidRPr="00853B7A" w:rsidRDefault="00EC3C02" w:rsidP="00902078"/>
    <w:p w14:paraId="386BBB68" w14:textId="77777777" w:rsidR="002762D9" w:rsidRDefault="00853B7A" w:rsidP="00853B7A">
      <w:r w:rsidRPr="00132496">
        <w:t xml:space="preserve">The annual public burden for this collection of information, which is approved under OMB Control No. 2070-0151, is estimated to average about 0.11 hours per response. An agency may not conduct or sponsor, and a person is not required to respond to, a collection of information unless it displays a current and valid OMB control number. The OMB control numbers for EPA’s regulations in title 40 of the CFR, after appearing in the Federal Register, are listed in 40 CFR part 9 and included on the related collection instrument or form, if applicable. </w:t>
      </w:r>
    </w:p>
    <w:p w14:paraId="1338308D" w14:textId="77777777" w:rsidR="002762D9" w:rsidRDefault="002762D9" w:rsidP="00853B7A"/>
    <w:p w14:paraId="6826A004" w14:textId="268D3BB4" w:rsidR="00853B7A" w:rsidRPr="000D0C56" w:rsidRDefault="00853B7A" w:rsidP="00853B7A">
      <w:r w:rsidRPr="00132496">
        <w:t xml:space="preserve">The burden from the previously approved ICR was 6,467,176 hours. The total burden requested for this ICR is 5,952,344 hours, or a decrease of </w:t>
      </w:r>
      <w:r w:rsidRPr="00132496">
        <w:rPr>
          <w:lang w:val="en-CA"/>
        </w:rPr>
        <w:t xml:space="preserve">514,832 hours from the </w:t>
      </w:r>
      <w:r w:rsidRPr="000D0C56">
        <w:rPr>
          <w:lang w:val="en-CA"/>
        </w:rPr>
        <w:t>previous total burden</w:t>
      </w:r>
      <w:r w:rsidRPr="000D0C56">
        <w:t>. The difference between the current burden request and the previously approved requests are due to adjustments in EPA’s estimates of the burden. Several adjustments to the estimates were made, including:</w:t>
      </w:r>
    </w:p>
    <w:p w14:paraId="2CD5BA42" w14:textId="77777777" w:rsidR="00853B7A" w:rsidRPr="000D0C56" w:rsidRDefault="00853B7A" w:rsidP="00853B7A">
      <w:pPr>
        <w:ind w:firstLine="720"/>
      </w:pPr>
    </w:p>
    <w:p w14:paraId="1E5732AC" w14:textId="77777777" w:rsidR="00853B7A" w:rsidRPr="000D0C56" w:rsidRDefault="00853B7A" w:rsidP="00853B7A">
      <w:pPr>
        <w:numPr>
          <w:ilvl w:val="0"/>
          <w:numId w:val="6"/>
        </w:numPr>
      </w:pPr>
      <w:r w:rsidRPr="000D0C56">
        <w:t>Revisions to the estimated number of respondents based on updates to data sources such as the American Housing Survey, Bureau of Labor Statistics, and the National Association of Realtors; and</w:t>
      </w:r>
    </w:p>
    <w:p w14:paraId="123FA8E9" w14:textId="1C68880B" w:rsidR="00853B7A" w:rsidRPr="000D0C56" w:rsidRDefault="00853B7A" w:rsidP="00853B7A">
      <w:pPr>
        <w:numPr>
          <w:ilvl w:val="0"/>
          <w:numId w:val="6"/>
        </w:numPr>
      </w:pPr>
      <w:r w:rsidRPr="000D0C56">
        <w:t xml:space="preserve">Revisions based on market factors. There was a decrease in new rentals of </w:t>
      </w:r>
      <w:r>
        <w:t>nearly two</w:t>
      </w:r>
      <w:r w:rsidRPr="000D0C56">
        <w:t xml:space="preserve"> million compared with the previous ICR. And a decrease in the amount of owner-occupied target housing in the market, so while sales have begun to rebound since the slump in the housing market</w:t>
      </w:r>
      <w:r w:rsidR="002762D9">
        <w:t>,</w:t>
      </w:r>
      <w:r w:rsidRPr="000D0C56">
        <w:t xml:space="preserve"> sales of target housing actually had a slight decrease. The percent of owner-occupied target housing stock during the previous ICR was 54.1 percent, for this ICR it is 50.2 percent. This change in stock percentage is expected as older houses </w:t>
      </w:r>
      <w:r w:rsidR="002762D9">
        <w:t>ar</w:t>
      </w:r>
      <w:r w:rsidRPr="000D0C56">
        <w:t>e torn down and as new houses are built and enter the market.</w:t>
      </w:r>
    </w:p>
    <w:p w14:paraId="2F3F9D81" w14:textId="77777777" w:rsidR="00853B7A" w:rsidRPr="000D0C56" w:rsidRDefault="00853B7A" w:rsidP="00853B7A">
      <w:pPr>
        <w:ind w:left="720"/>
      </w:pPr>
    </w:p>
    <w:p w14:paraId="368A33CF" w14:textId="36A26AF5" w:rsidR="00853B7A" w:rsidRDefault="00853B7A" w:rsidP="00853B7A">
      <w:r w:rsidRPr="000D0C56">
        <w:t xml:space="preserve">The total combined cost burden of the previously approved ICR was $125,683,576. The total cost burden requested for this ICR is $130,067,754. The difference </w:t>
      </w:r>
      <w:r>
        <w:t xml:space="preserve">of $4,384,178 </w:t>
      </w:r>
      <w:r w:rsidRPr="000D0C56">
        <w:t xml:space="preserve">between the current cost burden request and the previously approved requests </w:t>
      </w:r>
      <w:r w:rsidR="00FE1A62">
        <w:t>is</w:t>
      </w:r>
      <w:r w:rsidRPr="000D0C56">
        <w:t xml:space="preserve"> due only to adjustments in EPA’s estimates of the burden. In addition to the adjustments listed above, the wage rates and material costs were revised to reflect 2016 dollars for this information collection request. In all, wage rates have increased. And while increases to mate</w:t>
      </w:r>
      <w:r w:rsidR="00FE1A62">
        <w:t>rial costs are minimal on a per-</w:t>
      </w:r>
      <w:r w:rsidRPr="000D0C56">
        <w:t xml:space="preserve">unit basis, once aggregated over millions of responses, it causes a noticeable increase in the overall cost of the ICR. </w:t>
      </w:r>
    </w:p>
    <w:p w14:paraId="6EF24CC9" w14:textId="77777777" w:rsidR="00853B7A" w:rsidRDefault="00853B7A" w:rsidP="00853B7A">
      <w:pPr>
        <w:pStyle w:val="NoSpacing"/>
      </w:pPr>
    </w:p>
    <w:p w14:paraId="6078AAE3" w14:textId="556DEE53" w:rsidR="00853B7A" w:rsidRDefault="00853B7A" w:rsidP="00853B7A">
      <w:r>
        <w:t>Due to the volatility in the housing sale</w:t>
      </w:r>
      <w:r w:rsidR="00FE1A62">
        <w:t>s</w:t>
      </w:r>
      <w:r>
        <w:t xml:space="preserve"> and rental market</w:t>
      </w:r>
      <w:r w:rsidR="00FE1A62">
        <w:t>s</w:t>
      </w:r>
      <w:r>
        <w:t xml:space="preserve">, EPA considered the potential impact on estimated paperwork burden and cost if the sales or rentals were </w:t>
      </w:r>
      <w:r w:rsidR="00FE1A62">
        <w:t>five</w:t>
      </w:r>
      <w:r>
        <w:t xml:space="preserve"> percent greater than or five percent less than projected in the Supporting Statement. The total burden and cost could not simply be increased or decreased by five percent because not all burden and cost estimates are impacted by either sales or rentals. For example, the number of new entrants for Real Estate Agents is based on growth in the NACIS code, not on the number of sales or leases. Also while sale</w:t>
      </w:r>
      <w:r w:rsidR="00FE1A62">
        <w:t>s</w:t>
      </w:r>
      <w:r>
        <w:t xml:space="preserve"> and rental trends of housing are related</w:t>
      </w:r>
      <w:r w:rsidR="00FE1A62">
        <w:t>, there is not always a one-</w:t>
      </w:r>
      <w:r>
        <w:t>to</w:t>
      </w:r>
      <w:r w:rsidR="00FE1A62">
        <w:t>-</w:t>
      </w:r>
      <w:r>
        <w:t>one relationship; therefore, the increases and decreases were calculated separately instead of together.</w:t>
      </w:r>
    </w:p>
    <w:p w14:paraId="1040A7A6" w14:textId="77777777" w:rsidR="00853B7A" w:rsidRDefault="00853B7A" w:rsidP="00853B7A">
      <w:pPr>
        <w:ind w:firstLine="720"/>
      </w:pPr>
    </w:p>
    <w:p w14:paraId="1B6C5556" w14:textId="4870B230" w:rsidR="00853B7A" w:rsidRDefault="00853B7A" w:rsidP="00853B7A">
      <w:r>
        <w:t xml:space="preserve">A five percent change in housing sales results in the target housing changing by 130,000 units, creating a range from 2.6 million housing units to 2.87 million housing units. The Supporting Statement assumed target housing sales were 2.74 million units. Total </w:t>
      </w:r>
      <w:r w:rsidR="00FE1A62">
        <w:t>b</w:t>
      </w:r>
      <w:r>
        <w:t>urden in the Supporting Statement was an estimated 5,952,344 hours at a cost of $130,067,754. The five percent change would result in a change of 230,000 hours and $4.8 million dollars</w:t>
      </w:r>
      <w:r w:rsidR="002A2EF8">
        <w:t xml:space="preserve">. </w:t>
      </w:r>
      <w:r>
        <w:t>The total burden would range from 5,722,344 to 6,182,344 hours and the cost from $125,267,754 to $134,867,754. These ranges were calculated assuming no change in the rental estimate presented in the Supporting Statement.</w:t>
      </w:r>
    </w:p>
    <w:p w14:paraId="26128967" w14:textId="77777777" w:rsidR="00853B7A" w:rsidRDefault="00853B7A" w:rsidP="00853B7A">
      <w:pPr>
        <w:ind w:firstLine="720"/>
      </w:pPr>
    </w:p>
    <w:p w14:paraId="302E00FF" w14:textId="7769250E" w:rsidR="00853B7A" w:rsidRPr="00680B41" w:rsidRDefault="00853B7A" w:rsidP="00853B7A">
      <w:pPr>
        <w:pStyle w:val="NoSpacing"/>
      </w:pPr>
      <w:r>
        <w:t xml:space="preserve">A five percent change in target housing rentals results in a change of 400,000 units, creating a range from 6.1 million units to 8.7 million units. The Supporting Statement assumed new housing rentals were 6.4 million units. Total </w:t>
      </w:r>
      <w:r w:rsidR="00FE1A62">
        <w:t>b</w:t>
      </w:r>
      <w:r>
        <w:t xml:space="preserve">urden in the Supporting Statement was an estimated 5,952,344 hours at a cost of $130,067,754. The </w:t>
      </w:r>
      <w:r w:rsidR="00FE1A62">
        <w:t>five</w:t>
      </w:r>
      <w:r>
        <w:t xml:space="preserve"> percent change would result in a change of 130,000 hours and $2.95 million dollars</w:t>
      </w:r>
      <w:r w:rsidR="002A2EF8">
        <w:t xml:space="preserve">. </w:t>
      </w:r>
      <w:r>
        <w:t>The total burden would range from 5,822,344 to 6,082,344 hours and the cost from $127,117,754 to $133,017,754. These ranges were calculated assuming no change in the sales estimate presented in the Supporting Statement.</w:t>
      </w:r>
    </w:p>
    <w:p w14:paraId="648896BE" w14:textId="154AA382" w:rsidR="00EA7743" w:rsidRDefault="00EA7743" w:rsidP="00EA7743">
      <w:pPr>
        <w:pStyle w:val="NoSpacing"/>
        <w:rPr>
          <w:color w:val="FF33CC"/>
          <w:lang w:bidi="en-US"/>
        </w:rPr>
      </w:pPr>
    </w:p>
    <w:p w14:paraId="6B6F6CD1" w14:textId="77777777" w:rsidR="00941F3E" w:rsidRPr="00025CEE" w:rsidRDefault="00941F3E" w:rsidP="00EA7743">
      <w:pPr>
        <w:pStyle w:val="NoSpacing"/>
        <w:rPr>
          <w:color w:val="FF33CC"/>
          <w:lang w:bidi="en-US"/>
        </w:rPr>
      </w:pPr>
    </w:p>
    <w:p w14:paraId="4C8092A3" w14:textId="57AA8360" w:rsidR="002B34A0" w:rsidRPr="00436731" w:rsidRDefault="002B34A0" w:rsidP="00853B7A">
      <w:pPr>
        <w:pStyle w:val="Heading1"/>
        <w:numPr>
          <w:ilvl w:val="0"/>
          <w:numId w:val="3"/>
        </w:numPr>
        <w:rPr>
          <w:sz w:val="24"/>
          <w:szCs w:val="24"/>
          <w:lang w:bidi="en-US"/>
        </w:rPr>
      </w:pPr>
      <w:r w:rsidRPr="00436731">
        <w:rPr>
          <w:sz w:val="24"/>
          <w:szCs w:val="24"/>
          <w:lang w:bidi="en-US"/>
        </w:rPr>
        <w:t>A</w:t>
      </w:r>
      <w:r w:rsidR="002B77B9" w:rsidRPr="00436731">
        <w:rPr>
          <w:sz w:val="24"/>
          <w:szCs w:val="24"/>
          <w:lang w:bidi="en-US"/>
        </w:rPr>
        <w:t>TTACH</w:t>
      </w:r>
      <w:r w:rsidR="004A19D1" w:rsidRPr="00436731">
        <w:rPr>
          <w:sz w:val="24"/>
          <w:szCs w:val="24"/>
          <w:lang w:bidi="en-US"/>
        </w:rPr>
        <w:t>MENTS TO THE SUPPORTING STATEMENT</w:t>
      </w:r>
    </w:p>
    <w:p w14:paraId="7B864E21" w14:textId="54C489E1" w:rsidR="002B34A0" w:rsidRPr="0068315F" w:rsidRDefault="00FE1A62" w:rsidP="002B34A0">
      <w:pPr>
        <w:rPr>
          <w:lang w:bidi="en-US"/>
        </w:rPr>
      </w:pPr>
      <w:r>
        <w:rPr>
          <w:lang w:bidi="en-US"/>
        </w:rPr>
        <w:t>Attachments to the S</w:t>
      </w:r>
      <w:r w:rsidR="002B34A0" w:rsidRPr="0068315F">
        <w:rPr>
          <w:lang w:bidi="en-US"/>
        </w:rPr>
        <w:t xml:space="preserve">upporting </w:t>
      </w:r>
      <w:r>
        <w:rPr>
          <w:lang w:bidi="en-US"/>
        </w:rPr>
        <w:t>St</w:t>
      </w:r>
      <w:r w:rsidR="002B34A0" w:rsidRPr="0068315F">
        <w:rPr>
          <w:lang w:bidi="en-US"/>
        </w:rPr>
        <w:t xml:space="preserve">atement are available in the public docket established for this ICR under docket identification number </w:t>
      </w:r>
      <w:r w:rsidR="002B34A0" w:rsidRPr="0068315F">
        <w:rPr>
          <w:b/>
          <w:lang w:bidi="en-US"/>
        </w:rPr>
        <w:t>EPA-HQ-OPP</w:t>
      </w:r>
      <w:r w:rsidR="00A468E2" w:rsidRPr="0068315F">
        <w:rPr>
          <w:b/>
          <w:lang w:bidi="en-US"/>
        </w:rPr>
        <w:t>T</w:t>
      </w:r>
      <w:r w:rsidR="002B34A0" w:rsidRPr="0068315F">
        <w:rPr>
          <w:b/>
          <w:lang w:bidi="en-US"/>
        </w:rPr>
        <w:t>-201</w:t>
      </w:r>
      <w:r w:rsidR="008E38E4">
        <w:rPr>
          <w:b/>
          <w:lang w:bidi="en-US"/>
        </w:rPr>
        <w:t>7</w:t>
      </w:r>
      <w:r w:rsidR="002B34A0" w:rsidRPr="0068315F">
        <w:rPr>
          <w:b/>
          <w:lang w:bidi="en-US"/>
        </w:rPr>
        <w:t>-</w:t>
      </w:r>
      <w:r w:rsidR="00D420F4">
        <w:rPr>
          <w:b/>
          <w:lang w:bidi="en-US"/>
        </w:rPr>
        <w:t>0631</w:t>
      </w:r>
      <w:r w:rsidR="002B34A0" w:rsidRPr="0068315F">
        <w:rPr>
          <w:b/>
          <w:lang w:bidi="en-US"/>
        </w:rPr>
        <w:t>.</w:t>
      </w:r>
      <w:r w:rsidR="00FE7F37" w:rsidRPr="0068315F">
        <w:rPr>
          <w:b/>
          <w:lang w:bidi="en-US"/>
        </w:rPr>
        <w:t xml:space="preserve"> </w:t>
      </w:r>
      <w:r w:rsidR="002B34A0" w:rsidRPr="0068315F">
        <w:rPr>
          <w:lang w:bidi="en-US"/>
        </w:rPr>
        <w:t xml:space="preserve">These attachments are available for online viewing at </w:t>
      </w:r>
      <w:hyperlink r:id="rId14" w:history="1">
        <w:r w:rsidR="002B34A0" w:rsidRPr="0068315F">
          <w:rPr>
            <w:rStyle w:val="Hyperlink"/>
            <w:color w:val="auto"/>
            <w:lang w:bidi="en-US"/>
          </w:rPr>
          <w:t>www.regulations.gov</w:t>
        </w:r>
      </w:hyperlink>
      <w:r w:rsidR="002B34A0" w:rsidRPr="0068315F">
        <w:rPr>
          <w:lang w:bidi="en-US"/>
        </w:rPr>
        <w:t xml:space="preserve"> or otherwise accessed as described in th</w:t>
      </w:r>
      <w:r w:rsidR="00A468E2" w:rsidRPr="0068315F">
        <w:rPr>
          <w:lang w:bidi="en-US"/>
        </w:rPr>
        <w:t xml:space="preserve">e following listing. </w:t>
      </w:r>
    </w:p>
    <w:p w14:paraId="6A703CCD" w14:textId="77777777" w:rsidR="002B34A0" w:rsidRPr="00025CEE" w:rsidRDefault="002B34A0" w:rsidP="002B34A0">
      <w:pPr>
        <w:rPr>
          <w:b/>
          <w:color w:val="FF33CC"/>
          <w:lang w:bidi="en-US"/>
        </w:rPr>
      </w:pPr>
    </w:p>
    <w:tbl>
      <w:tblPr>
        <w:tblW w:w="9752" w:type="dxa"/>
        <w:tblLayout w:type="fixed"/>
        <w:tblLook w:val="01E0" w:firstRow="1" w:lastRow="1" w:firstColumn="1" w:lastColumn="1" w:noHBand="0" w:noVBand="0"/>
      </w:tblPr>
      <w:tblGrid>
        <w:gridCol w:w="2084"/>
        <w:gridCol w:w="7668"/>
      </w:tblGrid>
      <w:tr w:rsidR="00E41A4C" w:rsidRPr="00025CEE" w14:paraId="681EB7C6" w14:textId="77777777" w:rsidTr="00767352">
        <w:tc>
          <w:tcPr>
            <w:tcW w:w="2084" w:type="dxa"/>
          </w:tcPr>
          <w:p w14:paraId="6ED96534" w14:textId="7B578F63" w:rsidR="00E41A4C" w:rsidRPr="00025CEE" w:rsidRDefault="00E41A4C" w:rsidP="00E41A4C">
            <w:pPr>
              <w:rPr>
                <w:b/>
                <w:bCs/>
                <w:color w:val="FF33CC"/>
                <w:lang w:bidi="en-US"/>
              </w:rPr>
            </w:pPr>
            <w:r w:rsidRPr="009D797C">
              <w:rPr>
                <w:b/>
              </w:rPr>
              <w:t>Attachment 1:</w:t>
            </w:r>
          </w:p>
        </w:tc>
        <w:tc>
          <w:tcPr>
            <w:tcW w:w="7668" w:type="dxa"/>
          </w:tcPr>
          <w:p w14:paraId="250C68D7" w14:textId="3AAAC39F" w:rsidR="00E41A4C" w:rsidRPr="00E41A4C" w:rsidRDefault="0068315F" w:rsidP="00104A72">
            <w:pPr>
              <w:rPr>
                <w:bCs/>
                <w:lang w:bidi="en-US"/>
              </w:rPr>
            </w:pPr>
            <w:r w:rsidRPr="00F47ED9">
              <w:rPr>
                <w:b/>
                <w:bCs/>
                <w:color w:val="000000"/>
              </w:rPr>
              <w:t>42 USC 4852d</w:t>
            </w:r>
            <w:r w:rsidRPr="00F47ED9">
              <w:rPr>
                <w:b/>
              </w:rPr>
              <w:t xml:space="preserve"> - </w:t>
            </w:r>
            <w:r w:rsidRPr="00F47ED9">
              <w:rPr>
                <w:b/>
                <w:bCs/>
                <w:color w:val="000000"/>
              </w:rPr>
              <w:t>Residential Lead</w:t>
            </w:r>
            <w:r w:rsidRPr="00F47ED9">
              <w:rPr>
                <w:b/>
                <w:bCs/>
                <w:color w:val="000000"/>
              </w:rPr>
              <w:noBreakHyphen/>
              <w:t>Based Paint Hazard Reduction Act of 1992</w:t>
            </w:r>
            <w:r w:rsidR="00104A72">
              <w:rPr>
                <w:b/>
                <w:bCs/>
                <w:color w:val="000000"/>
              </w:rPr>
              <w:t xml:space="preserve">, </w:t>
            </w:r>
            <w:r w:rsidR="00104A72" w:rsidRPr="00104A72">
              <w:rPr>
                <w:b/>
                <w:bCs/>
                <w:color w:val="000000"/>
              </w:rPr>
              <w:t>Section 1018</w:t>
            </w:r>
            <w:r w:rsidRPr="00C4301D">
              <w:t>. Also available online at the U</w:t>
            </w:r>
            <w:r>
              <w:t>.</w:t>
            </w:r>
            <w:r w:rsidRPr="00C4301D">
              <w:t>S</w:t>
            </w:r>
            <w:r>
              <w:t>.</w:t>
            </w:r>
            <w:r w:rsidRPr="00C4301D">
              <w:t xml:space="preserve"> House of Representatives’ </w:t>
            </w:r>
            <w:hyperlink r:id="rId15" w:history="1">
              <w:r w:rsidRPr="00F47ED9">
                <w:rPr>
                  <w:color w:val="0000FF"/>
                  <w:u w:val="single"/>
                </w:rPr>
                <w:t>US Code website</w:t>
              </w:r>
            </w:hyperlink>
            <w:r>
              <w:rPr>
                <w:color w:val="0000FF"/>
                <w:u w:val="single"/>
              </w:rPr>
              <w:t>.</w:t>
            </w:r>
          </w:p>
        </w:tc>
      </w:tr>
      <w:tr w:rsidR="00E41A4C" w:rsidRPr="00025CEE" w14:paraId="0399CB24" w14:textId="77777777" w:rsidTr="00767352">
        <w:tc>
          <w:tcPr>
            <w:tcW w:w="2084" w:type="dxa"/>
          </w:tcPr>
          <w:p w14:paraId="776E8ED7" w14:textId="63ED6C66" w:rsidR="00E41A4C" w:rsidRPr="00025CEE" w:rsidRDefault="00E41A4C" w:rsidP="00E41A4C">
            <w:pPr>
              <w:rPr>
                <w:b/>
                <w:bCs/>
                <w:color w:val="FF33CC"/>
                <w:lang w:bidi="en-US"/>
              </w:rPr>
            </w:pPr>
          </w:p>
        </w:tc>
        <w:tc>
          <w:tcPr>
            <w:tcW w:w="7668" w:type="dxa"/>
          </w:tcPr>
          <w:p w14:paraId="676AB475" w14:textId="26646317" w:rsidR="00E41A4C" w:rsidRPr="00025CEE" w:rsidRDefault="00E41A4C" w:rsidP="00E41A4C">
            <w:pPr>
              <w:spacing w:after="120"/>
              <w:rPr>
                <w:color w:val="FF33CC"/>
                <w:lang w:bidi="en-US"/>
              </w:rPr>
            </w:pPr>
          </w:p>
        </w:tc>
      </w:tr>
      <w:tr w:rsidR="00E41A4C" w:rsidRPr="00025CEE" w14:paraId="78BEE84B" w14:textId="77777777" w:rsidTr="00767352">
        <w:tc>
          <w:tcPr>
            <w:tcW w:w="2084" w:type="dxa"/>
          </w:tcPr>
          <w:p w14:paraId="3E12E75D" w14:textId="79F4498C" w:rsidR="00E41A4C" w:rsidRPr="00025CEE" w:rsidRDefault="00E41A4C" w:rsidP="00E41A4C">
            <w:pPr>
              <w:rPr>
                <w:b/>
                <w:bCs/>
                <w:color w:val="FF33CC"/>
                <w:lang w:bidi="en-US"/>
              </w:rPr>
            </w:pPr>
            <w:r w:rsidRPr="009D797C">
              <w:rPr>
                <w:b/>
                <w:bCs/>
              </w:rPr>
              <w:t>Attachment 2:</w:t>
            </w:r>
          </w:p>
        </w:tc>
        <w:tc>
          <w:tcPr>
            <w:tcW w:w="7668" w:type="dxa"/>
          </w:tcPr>
          <w:p w14:paraId="04ADDF6F" w14:textId="48057E35" w:rsidR="00E41A4C" w:rsidRDefault="0068315F" w:rsidP="00B23AA8">
            <w:pPr>
              <w:rPr>
                <w:color w:val="0000FF"/>
                <w:u w:val="single"/>
              </w:rPr>
            </w:pPr>
            <w:r w:rsidRPr="00F47ED9">
              <w:rPr>
                <w:b/>
              </w:rPr>
              <w:t xml:space="preserve">40 CFR part 745, Subpart F </w:t>
            </w:r>
            <w:r w:rsidRPr="00F47ED9">
              <w:rPr>
                <w:b/>
                <w:i/>
              </w:rPr>
              <w:t>-</w:t>
            </w:r>
            <w:r w:rsidRPr="00F47ED9">
              <w:rPr>
                <w:b/>
              </w:rPr>
              <w:t xml:space="preserve"> Disclosure of Known Lead Based Paint and/or Lead Based Paint Hazards Upon Sale or Lease of Residential Property</w:t>
            </w:r>
            <w:r w:rsidRPr="00C4301D">
              <w:t>. Also available online at the National Archives and Records Administration’s</w:t>
            </w:r>
            <w:r w:rsidR="00B23AA8">
              <w:t xml:space="preserve"> </w:t>
            </w:r>
            <w:hyperlink r:id="rId16" w:anchor="40:30.0.1.1.13.4" w:history="1">
              <w:r w:rsidRPr="00F47ED9">
                <w:rPr>
                  <w:color w:val="0000FF"/>
                  <w:u w:val="single"/>
                </w:rPr>
                <w:t>Electronic CFR Website</w:t>
              </w:r>
            </w:hyperlink>
            <w:r w:rsidR="00B23AA8">
              <w:rPr>
                <w:color w:val="0000FF"/>
                <w:u w:val="single"/>
              </w:rPr>
              <w:t>.</w:t>
            </w:r>
          </w:p>
          <w:p w14:paraId="7642B8F8" w14:textId="25ECB379" w:rsidR="0068315F" w:rsidRPr="0068315F" w:rsidRDefault="0068315F" w:rsidP="0068315F">
            <w:pPr>
              <w:pStyle w:val="NoSpacing"/>
            </w:pPr>
          </w:p>
        </w:tc>
      </w:tr>
      <w:tr w:rsidR="00E41A4C" w:rsidRPr="00025CEE" w14:paraId="27500E71" w14:textId="77777777" w:rsidTr="00767352">
        <w:tc>
          <w:tcPr>
            <w:tcW w:w="2084" w:type="dxa"/>
          </w:tcPr>
          <w:p w14:paraId="4E378F1F" w14:textId="456DEDC6" w:rsidR="00E41A4C" w:rsidRPr="00025CEE" w:rsidRDefault="00E41A4C" w:rsidP="00E41A4C">
            <w:pPr>
              <w:rPr>
                <w:b/>
                <w:bCs/>
                <w:color w:val="FF33CC"/>
                <w:lang w:bidi="en-US"/>
              </w:rPr>
            </w:pPr>
            <w:r w:rsidRPr="009D797C">
              <w:rPr>
                <w:b/>
                <w:bCs/>
              </w:rPr>
              <w:t>Attachment 3:</w:t>
            </w:r>
          </w:p>
        </w:tc>
        <w:tc>
          <w:tcPr>
            <w:tcW w:w="7668" w:type="dxa"/>
          </w:tcPr>
          <w:p w14:paraId="0C7425CE" w14:textId="1D4AE699" w:rsidR="0068315F" w:rsidRPr="00C4301D" w:rsidRDefault="0068315F" w:rsidP="0068315F">
            <w:r w:rsidRPr="00F47ED9">
              <w:rPr>
                <w:b/>
              </w:rPr>
              <w:t xml:space="preserve">24 CFR part 35, Subpart H </w:t>
            </w:r>
            <w:r w:rsidRPr="00F47ED9">
              <w:rPr>
                <w:b/>
                <w:i/>
              </w:rPr>
              <w:t>-</w:t>
            </w:r>
            <w:r w:rsidRPr="00F47ED9">
              <w:rPr>
                <w:b/>
              </w:rPr>
              <w:t xml:space="preserve"> Project-Based Assistance</w:t>
            </w:r>
            <w:r w:rsidRPr="00C4301D">
              <w:t xml:space="preserve">. Also available online at the National Archives and Records Administration’s </w:t>
            </w:r>
            <w:hyperlink r:id="rId17" w:anchor="24:1.1.1.1.25.8" w:history="1">
              <w:r w:rsidRPr="00F47ED9">
                <w:rPr>
                  <w:color w:val="0000FF"/>
                  <w:u w:val="single"/>
                </w:rPr>
                <w:t>Electronic CFR Website</w:t>
              </w:r>
            </w:hyperlink>
            <w:r>
              <w:rPr>
                <w:color w:val="0000FF"/>
                <w:u w:val="single"/>
              </w:rPr>
              <w:t>.</w:t>
            </w:r>
          </w:p>
          <w:p w14:paraId="447A6A62" w14:textId="59FBCADC" w:rsidR="00E41A4C" w:rsidRPr="00025CEE" w:rsidRDefault="00E41A4C" w:rsidP="00E41A4C">
            <w:pPr>
              <w:spacing w:after="120"/>
              <w:rPr>
                <w:bCs/>
                <w:color w:val="FF33CC"/>
                <w:lang w:bidi="en-US"/>
              </w:rPr>
            </w:pPr>
          </w:p>
        </w:tc>
      </w:tr>
      <w:tr w:rsidR="0068315F" w:rsidRPr="00025CEE" w14:paraId="270AB2FB" w14:textId="77777777" w:rsidTr="00767352">
        <w:tc>
          <w:tcPr>
            <w:tcW w:w="2084" w:type="dxa"/>
          </w:tcPr>
          <w:p w14:paraId="05A14AB8" w14:textId="1855AD75" w:rsidR="0068315F" w:rsidRPr="009D797C" w:rsidRDefault="0068315F" w:rsidP="0068315F">
            <w:pPr>
              <w:rPr>
                <w:b/>
                <w:bCs/>
              </w:rPr>
            </w:pPr>
            <w:r w:rsidRPr="003E61E7">
              <w:rPr>
                <w:b/>
              </w:rPr>
              <w:t>Attachment 4:</w:t>
            </w:r>
          </w:p>
        </w:tc>
        <w:tc>
          <w:tcPr>
            <w:tcW w:w="7668" w:type="dxa"/>
          </w:tcPr>
          <w:p w14:paraId="69F3FC92" w14:textId="748F678A" w:rsidR="00B23AA8" w:rsidRPr="00B23AA8" w:rsidRDefault="0068315F" w:rsidP="00B23AA8">
            <w:r w:rsidRPr="00547065">
              <w:rPr>
                <w:b/>
              </w:rPr>
              <w:t>Seller's Disclosure of Information on Lead-Based Paint and/or Lead-Based Paint Hazards (Sample Form).</w:t>
            </w:r>
            <w:r>
              <w:t xml:space="preserve"> </w:t>
            </w:r>
            <w:r w:rsidRPr="00C4301D">
              <w:t>Also available online at</w:t>
            </w:r>
            <w:r>
              <w:t xml:space="preserve"> </w:t>
            </w:r>
            <w:hyperlink r:id="rId18" w:history="1">
              <w:r w:rsidRPr="00B3652B">
                <w:rPr>
                  <w:rStyle w:val="Hyperlink"/>
                </w:rPr>
                <w:t>http://www2.epa.gov/lead/sellers-disclosure-information-lead-based-paint-andor-lead-based-paint-hazards</w:t>
              </w:r>
            </w:hyperlink>
            <w:r>
              <w:rPr>
                <w:rStyle w:val="Hyperlink"/>
              </w:rPr>
              <w:t>.</w:t>
            </w:r>
          </w:p>
          <w:p w14:paraId="17BC1F55" w14:textId="579775AB" w:rsidR="0068315F" w:rsidRPr="00F47ED9" w:rsidRDefault="0068315F" w:rsidP="0068315F">
            <w:pPr>
              <w:rPr>
                <w:b/>
              </w:rPr>
            </w:pPr>
          </w:p>
        </w:tc>
      </w:tr>
    </w:tbl>
    <w:p w14:paraId="4546BA8D" w14:textId="63A889F4" w:rsidR="00FA3C69" w:rsidRDefault="00B23AA8" w:rsidP="0068315F">
      <w:pPr>
        <w:ind w:left="2160" w:hanging="2160"/>
        <w:rPr>
          <w:rStyle w:val="Hyperlink"/>
        </w:rPr>
      </w:pPr>
      <w:r>
        <w:rPr>
          <w:b/>
        </w:rPr>
        <w:t xml:space="preserve"> </w:t>
      </w:r>
      <w:r w:rsidR="0068315F" w:rsidRPr="009A7E13">
        <w:rPr>
          <w:b/>
        </w:rPr>
        <w:t xml:space="preserve">Attachment </w:t>
      </w:r>
      <w:r w:rsidR="0068315F">
        <w:rPr>
          <w:b/>
        </w:rPr>
        <w:t>5</w:t>
      </w:r>
      <w:r w:rsidR="0068315F" w:rsidRPr="00F47ED9">
        <w:rPr>
          <w:b/>
        </w:rPr>
        <w:t>:</w:t>
      </w:r>
      <w:r w:rsidR="0068315F">
        <w:rPr>
          <w:b/>
        </w:rPr>
        <w:tab/>
        <w:t>Lessor</w:t>
      </w:r>
      <w:r w:rsidR="0068315F" w:rsidRPr="00547065">
        <w:rPr>
          <w:b/>
        </w:rPr>
        <w:t>'s Disclosure of Information on Lead-Based Paint and/or Lead-Based Paint Hazards (Sample Form).</w:t>
      </w:r>
      <w:r w:rsidR="0068315F">
        <w:t xml:space="preserve"> </w:t>
      </w:r>
      <w:r w:rsidR="0068315F" w:rsidRPr="00C4301D">
        <w:t>Also available at online at</w:t>
      </w:r>
      <w:r w:rsidR="0068315F">
        <w:t xml:space="preserve"> </w:t>
      </w:r>
      <w:hyperlink r:id="rId19" w:history="1">
        <w:r w:rsidRPr="00826D33">
          <w:rPr>
            <w:rStyle w:val="Hyperlink"/>
          </w:rPr>
          <w:t>http://www2.epa.gov/lead/lessors-disclosure-information-lead-based-paint-andor-lead-based-paint-hazards</w:t>
        </w:r>
      </w:hyperlink>
      <w:r w:rsidR="0068315F">
        <w:rPr>
          <w:rStyle w:val="Hyperlink"/>
        </w:rPr>
        <w:t>.</w:t>
      </w:r>
    </w:p>
    <w:p w14:paraId="77F3D9C8" w14:textId="40E1A2EE" w:rsidR="0068315F" w:rsidRDefault="0068315F" w:rsidP="0068315F">
      <w:pPr>
        <w:pStyle w:val="NoSpacing"/>
      </w:pPr>
    </w:p>
    <w:p w14:paraId="3C7273FD" w14:textId="5C846107" w:rsidR="0068315F" w:rsidRPr="0068315F" w:rsidRDefault="0010013B" w:rsidP="0068315F">
      <w:pPr>
        <w:ind w:left="2160" w:hanging="2160"/>
        <w:rPr>
          <w:b/>
        </w:rPr>
      </w:pPr>
      <w:r>
        <w:rPr>
          <w:b/>
        </w:rPr>
        <w:t xml:space="preserve"> </w:t>
      </w:r>
      <w:r w:rsidR="0068315F" w:rsidRPr="009A7E13">
        <w:rPr>
          <w:b/>
        </w:rPr>
        <w:t xml:space="preserve">Attachment </w:t>
      </w:r>
      <w:r w:rsidR="0068315F">
        <w:rPr>
          <w:b/>
        </w:rPr>
        <w:t>6</w:t>
      </w:r>
      <w:r w:rsidR="0068315F" w:rsidRPr="00F47ED9">
        <w:rPr>
          <w:b/>
        </w:rPr>
        <w:t>:</w:t>
      </w:r>
      <w:r w:rsidR="0068315F">
        <w:rPr>
          <w:b/>
        </w:rPr>
        <w:tab/>
      </w:r>
      <w:r w:rsidR="0068315F" w:rsidRPr="00547065">
        <w:rPr>
          <w:b/>
        </w:rPr>
        <w:t>Lead Hazard Information P</w:t>
      </w:r>
      <w:r w:rsidR="0068315F">
        <w:rPr>
          <w:b/>
        </w:rPr>
        <w:t>amphlet - "Protect Your Family f</w:t>
      </w:r>
      <w:r w:rsidR="0068315F" w:rsidRPr="00547065">
        <w:rPr>
          <w:b/>
        </w:rPr>
        <w:t>rom Lead In Your Home" (EPA747-K-99-001)</w:t>
      </w:r>
      <w:r w:rsidR="0068315F">
        <w:rPr>
          <w:b/>
        </w:rPr>
        <w:t>.</w:t>
      </w:r>
      <w:r w:rsidR="0068315F">
        <w:t xml:space="preserve"> </w:t>
      </w:r>
      <w:r w:rsidR="0068315F" w:rsidRPr="00C4301D">
        <w:t>Also available at online at</w:t>
      </w:r>
      <w:r w:rsidR="0068315F">
        <w:t xml:space="preserve"> </w:t>
      </w:r>
    </w:p>
    <w:p w14:paraId="0DD888A8" w14:textId="6B7CFD10" w:rsidR="0068315F" w:rsidRDefault="0068315F" w:rsidP="0068315F">
      <w:pPr>
        <w:rPr>
          <w:rStyle w:val="Hyperlink"/>
        </w:rPr>
      </w:pPr>
      <w:r>
        <w:tab/>
      </w:r>
      <w:r>
        <w:tab/>
      </w:r>
      <w:r>
        <w:tab/>
      </w:r>
      <w:hyperlink r:id="rId20" w:history="1">
        <w:r w:rsidRPr="00B3652B">
          <w:rPr>
            <w:rStyle w:val="Hyperlink"/>
          </w:rPr>
          <w:t>http://www2.epa.gov/lead/protect-your-family-lead-your-home</w:t>
        </w:r>
      </w:hyperlink>
      <w:r>
        <w:rPr>
          <w:rStyle w:val="Hyperlink"/>
        </w:rPr>
        <w:t>.</w:t>
      </w:r>
    </w:p>
    <w:p w14:paraId="2B34499F" w14:textId="609DD64F" w:rsidR="0068315F" w:rsidRPr="0068315F" w:rsidRDefault="0068315F" w:rsidP="0068315F">
      <w:pPr>
        <w:pStyle w:val="NoSpacing"/>
      </w:pPr>
    </w:p>
    <w:sectPr w:rsidR="0068315F" w:rsidRPr="0068315F" w:rsidSect="00941F3E">
      <w:headerReference w:type="default" r:id="rId21"/>
      <w:footerReference w:type="default" r:id="rId22"/>
      <w:headerReference w:type="first" r:id="rId2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3FD45" w14:textId="77777777" w:rsidR="004014B2" w:rsidRDefault="004014B2" w:rsidP="002B34A0">
      <w:r>
        <w:separator/>
      </w:r>
    </w:p>
  </w:endnote>
  <w:endnote w:type="continuationSeparator" w:id="0">
    <w:p w14:paraId="21B3EA5E" w14:textId="77777777" w:rsidR="004014B2" w:rsidRDefault="004014B2" w:rsidP="002B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42879"/>
      <w:docPartObj>
        <w:docPartGallery w:val="Page Numbers (Bottom of Page)"/>
        <w:docPartUnique/>
      </w:docPartObj>
    </w:sdtPr>
    <w:sdtEndPr/>
    <w:sdtContent>
      <w:sdt>
        <w:sdtPr>
          <w:id w:val="565050477"/>
          <w:docPartObj>
            <w:docPartGallery w:val="Page Numbers (Top of Page)"/>
            <w:docPartUnique/>
          </w:docPartObj>
        </w:sdtPr>
        <w:sdtEndPr/>
        <w:sdtContent>
          <w:p w14:paraId="7794D73A" w14:textId="1B934F3C" w:rsidR="009859F3" w:rsidRDefault="009859F3" w:rsidP="002B34A0">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0F7184">
              <w:rPr>
                <w:noProof/>
                <w:sz w:val="20"/>
                <w:szCs w:val="20"/>
              </w:rPr>
              <w:t>2</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sidR="000F7184">
              <w:rPr>
                <w:noProof/>
                <w:sz w:val="20"/>
                <w:szCs w:val="20"/>
              </w:rPr>
              <w:t>2</w:t>
            </w:r>
            <w:r w:rsidRPr="002B34A0">
              <w:rPr>
                <w:sz w:val="20"/>
                <w:szCs w:val="20"/>
              </w:rPr>
              <w:fldChar w:fldCharType="end"/>
            </w:r>
          </w:p>
        </w:sdtContent>
      </w:sdt>
    </w:sdtContent>
  </w:sdt>
  <w:p w14:paraId="2411BCD7" w14:textId="77777777" w:rsidR="009859F3" w:rsidRDefault="009859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D8C12" w14:textId="77777777" w:rsidR="004014B2" w:rsidRDefault="004014B2" w:rsidP="002B34A0">
      <w:r>
        <w:separator/>
      </w:r>
    </w:p>
  </w:footnote>
  <w:footnote w:type="continuationSeparator" w:id="0">
    <w:p w14:paraId="05722D43" w14:textId="77777777" w:rsidR="004014B2" w:rsidRDefault="004014B2" w:rsidP="002B3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7A312" w14:textId="77777777" w:rsidR="009859F3" w:rsidRDefault="009859F3">
    <w:pPr>
      <w:pStyle w:val="Header"/>
    </w:pPr>
  </w:p>
  <w:p w14:paraId="26D7DA75" w14:textId="77777777" w:rsidR="009859F3" w:rsidRDefault="009859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25652" w14:textId="4D125046" w:rsidR="00941F3E" w:rsidRPr="00941F3E" w:rsidRDefault="00941F3E" w:rsidP="00941F3E">
    <w:pPr>
      <w:pStyle w:val="Header"/>
      <w:jc w:val="right"/>
      <w:rPr>
        <w:i/>
      </w:rPr>
    </w:pPr>
    <w:r w:rsidRPr="00941F3E">
      <w:rPr>
        <w:i/>
      </w:rPr>
      <w:t>May 7,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1BB0C35"/>
    <w:multiLevelType w:val="hybridMultilevel"/>
    <w:tmpl w:val="F8E28AC8"/>
    <w:lvl w:ilvl="0" w:tplc="2C6ED1E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DCD6A66"/>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3E4E9B"/>
    <w:multiLevelType w:val="hybridMultilevel"/>
    <w:tmpl w:val="CA026D66"/>
    <w:lvl w:ilvl="0" w:tplc="9DA2F6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CAF3C84"/>
    <w:multiLevelType w:val="hybridMultilevel"/>
    <w:tmpl w:val="194E2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5E2EC8"/>
    <w:multiLevelType w:val="hybridMultilevel"/>
    <w:tmpl w:val="B47EDA22"/>
    <w:lvl w:ilvl="0" w:tplc="2C6ED1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22">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8"/>
  </w:num>
  <w:num w:numId="4">
    <w:abstractNumId w:val="20"/>
  </w:num>
  <w:num w:numId="5">
    <w:abstractNumId w:val="22"/>
  </w:num>
  <w:num w:numId="6">
    <w:abstractNumId w:val="17"/>
  </w:num>
  <w:num w:numId="7">
    <w:abstractNumId w:val="24"/>
  </w:num>
  <w:num w:numId="8">
    <w:abstractNumId w:val="16"/>
  </w:num>
  <w:num w:numId="9">
    <w:abstractNumId w:val="25"/>
  </w:num>
  <w:num w:numId="10">
    <w:abstractNumId w:val="11"/>
  </w:num>
  <w:num w:numId="11">
    <w:abstractNumId w:val="10"/>
  </w:num>
  <w:num w:numId="12">
    <w:abstractNumId w:val="7"/>
  </w:num>
  <w:num w:numId="13">
    <w:abstractNumId w:val="12"/>
  </w:num>
  <w:num w:numId="14">
    <w:abstractNumId w:val="23"/>
  </w:num>
  <w:num w:numId="15">
    <w:abstractNumId w:val="15"/>
  </w:num>
  <w:num w:numId="16">
    <w:abstractNumId w:val="18"/>
  </w:num>
  <w:num w:numId="17">
    <w:abstractNumId w:val="14"/>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3"/>
  </w:num>
  <w:num w:numId="20">
    <w:abstractNumId w:val="19"/>
  </w:num>
  <w:num w:numId="21">
    <w:abstractNumId w:val="6"/>
  </w:num>
  <w:num w:numId="2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A0"/>
    <w:rsid w:val="00003C59"/>
    <w:rsid w:val="00003EFE"/>
    <w:rsid w:val="00005662"/>
    <w:rsid w:val="000069E3"/>
    <w:rsid w:val="00012C7C"/>
    <w:rsid w:val="00013174"/>
    <w:rsid w:val="0001558A"/>
    <w:rsid w:val="0002070E"/>
    <w:rsid w:val="0002255B"/>
    <w:rsid w:val="000244E2"/>
    <w:rsid w:val="00025468"/>
    <w:rsid w:val="00025CEE"/>
    <w:rsid w:val="00032FBE"/>
    <w:rsid w:val="00035C5E"/>
    <w:rsid w:val="000441D5"/>
    <w:rsid w:val="000525A8"/>
    <w:rsid w:val="000530F2"/>
    <w:rsid w:val="00053361"/>
    <w:rsid w:val="00053D9D"/>
    <w:rsid w:val="00055451"/>
    <w:rsid w:val="00070ACE"/>
    <w:rsid w:val="00070BCF"/>
    <w:rsid w:val="00071069"/>
    <w:rsid w:val="00071571"/>
    <w:rsid w:val="000718FF"/>
    <w:rsid w:val="00077591"/>
    <w:rsid w:val="00077910"/>
    <w:rsid w:val="0008007A"/>
    <w:rsid w:val="00080514"/>
    <w:rsid w:val="000836DB"/>
    <w:rsid w:val="00086F52"/>
    <w:rsid w:val="00096E80"/>
    <w:rsid w:val="00097B26"/>
    <w:rsid w:val="000A02BA"/>
    <w:rsid w:val="000A185F"/>
    <w:rsid w:val="000A22C8"/>
    <w:rsid w:val="000A2F92"/>
    <w:rsid w:val="000A409C"/>
    <w:rsid w:val="000A522E"/>
    <w:rsid w:val="000B24B3"/>
    <w:rsid w:val="000B424E"/>
    <w:rsid w:val="000C4228"/>
    <w:rsid w:val="000D0374"/>
    <w:rsid w:val="000D1990"/>
    <w:rsid w:val="000D3066"/>
    <w:rsid w:val="000D5722"/>
    <w:rsid w:val="000D590F"/>
    <w:rsid w:val="000E19FB"/>
    <w:rsid w:val="000E1C35"/>
    <w:rsid w:val="000E7B38"/>
    <w:rsid w:val="000F0C52"/>
    <w:rsid w:val="000F7184"/>
    <w:rsid w:val="0010013B"/>
    <w:rsid w:val="00102480"/>
    <w:rsid w:val="00103F89"/>
    <w:rsid w:val="00104A72"/>
    <w:rsid w:val="00105F59"/>
    <w:rsid w:val="00110EB7"/>
    <w:rsid w:val="0011790C"/>
    <w:rsid w:val="001203BA"/>
    <w:rsid w:val="00121CD3"/>
    <w:rsid w:val="00123684"/>
    <w:rsid w:val="00125B5B"/>
    <w:rsid w:val="00126EAC"/>
    <w:rsid w:val="00136D8F"/>
    <w:rsid w:val="001417FF"/>
    <w:rsid w:val="001462BA"/>
    <w:rsid w:val="0015601E"/>
    <w:rsid w:val="001606AF"/>
    <w:rsid w:val="001635AE"/>
    <w:rsid w:val="00165581"/>
    <w:rsid w:val="0016777D"/>
    <w:rsid w:val="00171D01"/>
    <w:rsid w:val="00173F47"/>
    <w:rsid w:val="0017447C"/>
    <w:rsid w:val="00176015"/>
    <w:rsid w:val="00176685"/>
    <w:rsid w:val="0018203B"/>
    <w:rsid w:val="0018440A"/>
    <w:rsid w:val="00185866"/>
    <w:rsid w:val="00191899"/>
    <w:rsid w:val="0019305C"/>
    <w:rsid w:val="0019470B"/>
    <w:rsid w:val="001A11AE"/>
    <w:rsid w:val="001A2515"/>
    <w:rsid w:val="001A42FB"/>
    <w:rsid w:val="001B1831"/>
    <w:rsid w:val="001B2877"/>
    <w:rsid w:val="001B756B"/>
    <w:rsid w:val="001C3BC2"/>
    <w:rsid w:val="001C4A80"/>
    <w:rsid w:val="001D3125"/>
    <w:rsid w:val="001D31CA"/>
    <w:rsid w:val="001D3543"/>
    <w:rsid w:val="001D41E1"/>
    <w:rsid w:val="001E01CF"/>
    <w:rsid w:val="001E06E3"/>
    <w:rsid w:val="001E28DD"/>
    <w:rsid w:val="001E6980"/>
    <w:rsid w:val="001E7129"/>
    <w:rsid w:val="001E7A72"/>
    <w:rsid w:val="001F2B45"/>
    <w:rsid w:val="00200219"/>
    <w:rsid w:val="00200EAC"/>
    <w:rsid w:val="002011E3"/>
    <w:rsid w:val="00204C29"/>
    <w:rsid w:val="00215F6B"/>
    <w:rsid w:val="0022191B"/>
    <w:rsid w:val="002321AA"/>
    <w:rsid w:val="002406C5"/>
    <w:rsid w:val="00245562"/>
    <w:rsid w:val="00247F31"/>
    <w:rsid w:val="00250322"/>
    <w:rsid w:val="002529E5"/>
    <w:rsid w:val="00252BE8"/>
    <w:rsid w:val="00260275"/>
    <w:rsid w:val="00270944"/>
    <w:rsid w:val="002762D9"/>
    <w:rsid w:val="00280301"/>
    <w:rsid w:val="00282443"/>
    <w:rsid w:val="002840C6"/>
    <w:rsid w:val="00284B0F"/>
    <w:rsid w:val="00286682"/>
    <w:rsid w:val="00294C0D"/>
    <w:rsid w:val="002951E5"/>
    <w:rsid w:val="00295A23"/>
    <w:rsid w:val="00296D25"/>
    <w:rsid w:val="002A0BEE"/>
    <w:rsid w:val="002A13C4"/>
    <w:rsid w:val="002A22F0"/>
    <w:rsid w:val="002A2EF8"/>
    <w:rsid w:val="002B34A0"/>
    <w:rsid w:val="002B77B9"/>
    <w:rsid w:val="002C395B"/>
    <w:rsid w:val="002C5DC6"/>
    <w:rsid w:val="002C66D1"/>
    <w:rsid w:val="002D00BA"/>
    <w:rsid w:val="002D04A7"/>
    <w:rsid w:val="002D0FCC"/>
    <w:rsid w:val="002D2665"/>
    <w:rsid w:val="002D3008"/>
    <w:rsid w:val="002D371B"/>
    <w:rsid w:val="002E0400"/>
    <w:rsid w:val="002E3969"/>
    <w:rsid w:val="002E51C6"/>
    <w:rsid w:val="002E58DE"/>
    <w:rsid w:val="002F01B9"/>
    <w:rsid w:val="002F5C6B"/>
    <w:rsid w:val="00300831"/>
    <w:rsid w:val="00301205"/>
    <w:rsid w:val="00304F9B"/>
    <w:rsid w:val="00310CD3"/>
    <w:rsid w:val="0032236E"/>
    <w:rsid w:val="0032425B"/>
    <w:rsid w:val="00326BA2"/>
    <w:rsid w:val="00327C9E"/>
    <w:rsid w:val="00327CF3"/>
    <w:rsid w:val="00330422"/>
    <w:rsid w:val="00334223"/>
    <w:rsid w:val="00334380"/>
    <w:rsid w:val="0033540C"/>
    <w:rsid w:val="0033668C"/>
    <w:rsid w:val="00340C54"/>
    <w:rsid w:val="0034411C"/>
    <w:rsid w:val="0034600B"/>
    <w:rsid w:val="0034717C"/>
    <w:rsid w:val="00352760"/>
    <w:rsid w:val="0035280E"/>
    <w:rsid w:val="003552E0"/>
    <w:rsid w:val="00355DA6"/>
    <w:rsid w:val="00356731"/>
    <w:rsid w:val="00360250"/>
    <w:rsid w:val="0036061B"/>
    <w:rsid w:val="00360761"/>
    <w:rsid w:val="0036340C"/>
    <w:rsid w:val="0036430D"/>
    <w:rsid w:val="00364D69"/>
    <w:rsid w:val="00371C40"/>
    <w:rsid w:val="003750C6"/>
    <w:rsid w:val="00387BE7"/>
    <w:rsid w:val="00387F20"/>
    <w:rsid w:val="00396F7B"/>
    <w:rsid w:val="003A1E25"/>
    <w:rsid w:val="003A268B"/>
    <w:rsid w:val="003A2D1D"/>
    <w:rsid w:val="003A5E99"/>
    <w:rsid w:val="003A7FD9"/>
    <w:rsid w:val="003B1154"/>
    <w:rsid w:val="003C08F2"/>
    <w:rsid w:val="003C148D"/>
    <w:rsid w:val="003C26C1"/>
    <w:rsid w:val="003C30C1"/>
    <w:rsid w:val="003C76C7"/>
    <w:rsid w:val="003D08A0"/>
    <w:rsid w:val="003D180B"/>
    <w:rsid w:val="003D2F08"/>
    <w:rsid w:val="003E14CD"/>
    <w:rsid w:val="003E39A7"/>
    <w:rsid w:val="003E41D1"/>
    <w:rsid w:val="003E6143"/>
    <w:rsid w:val="003E75A8"/>
    <w:rsid w:val="003F1086"/>
    <w:rsid w:val="004014B2"/>
    <w:rsid w:val="00403F39"/>
    <w:rsid w:val="00406130"/>
    <w:rsid w:val="004124F7"/>
    <w:rsid w:val="00412D81"/>
    <w:rsid w:val="00413204"/>
    <w:rsid w:val="00416D2C"/>
    <w:rsid w:val="004236AE"/>
    <w:rsid w:val="00423A88"/>
    <w:rsid w:val="00430D9C"/>
    <w:rsid w:val="0043426C"/>
    <w:rsid w:val="00436731"/>
    <w:rsid w:val="00437482"/>
    <w:rsid w:val="00441F7E"/>
    <w:rsid w:val="00446301"/>
    <w:rsid w:val="0046257F"/>
    <w:rsid w:val="00462B1A"/>
    <w:rsid w:val="00476F7F"/>
    <w:rsid w:val="0047703D"/>
    <w:rsid w:val="0048229D"/>
    <w:rsid w:val="004842E9"/>
    <w:rsid w:val="00484B2B"/>
    <w:rsid w:val="004A19D1"/>
    <w:rsid w:val="004A239F"/>
    <w:rsid w:val="004A492D"/>
    <w:rsid w:val="004B3889"/>
    <w:rsid w:val="004B7815"/>
    <w:rsid w:val="004C096D"/>
    <w:rsid w:val="004C7770"/>
    <w:rsid w:val="004E1DF2"/>
    <w:rsid w:val="004E341A"/>
    <w:rsid w:val="004E4981"/>
    <w:rsid w:val="004E61F0"/>
    <w:rsid w:val="004E7767"/>
    <w:rsid w:val="004F4446"/>
    <w:rsid w:val="00500E2E"/>
    <w:rsid w:val="005017EF"/>
    <w:rsid w:val="00501DF2"/>
    <w:rsid w:val="00503C49"/>
    <w:rsid w:val="0050524A"/>
    <w:rsid w:val="0051135E"/>
    <w:rsid w:val="0051161C"/>
    <w:rsid w:val="00512823"/>
    <w:rsid w:val="005250DD"/>
    <w:rsid w:val="005273DC"/>
    <w:rsid w:val="0053065B"/>
    <w:rsid w:val="00532AEF"/>
    <w:rsid w:val="00532B03"/>
    <w:rsid w:val="005357E6"/>
    <w:rsid w:val="00536EBE"/>
    <w:rsid w:val="00537DD1"/>
    <w:rsid w:val="00541D82"/>
    <w:rsid w:val="00544CF7"/>
    <w:rsid w:val="005508AE"/>
    <w:rsid w:val="00551F16"/>
    <w:rsid w:val="00556801"/>
    <w:rsid w:val="00556CC3"/>
    <w:rsid w:val="005666FA"/>
    <w:rsid w:val="00570FC3"/>
    <w:rsid w:val="00574388"/>
    <w:rsid w:val="00574A56"/>
    <w:rsid w:val="00575F41"/>
    <w:rsid w:val="005914B3"/>
    <w:rsid w:val="005A1E50"/>
    <w:rsid w:val="005A30AA"/>
    <w:rsid w:val="005A31BA"/>
    <w:rsid w:val="005A411B"/>
    <w:rsid w:val="005A566C"/>
    <w:rsid w:val="005A7AEA"/>
    <w:rsid w:val="005B0214"/>
    <w:rsid w:val="005B0C89"/>
    <w:rsid w:val="005B1BE2"/>
    <w:rsid w:val="005B4F77"/>
    <w:rsid w:val="005C72EA"/>
    <w:rsid w:val="005D283C"/>
    <w:rsid w:val="005D3611"/>
    <w:rsid w:val="005D7BD1"/>
    <w:rsid w:val="005E7D3F"/>
    <w:rsid w:val="005F7651"/>
    <w:rsid w:val="00605066"/>
    <w:rsid w:val="00605607"/>
    <w:rsid w:val="0061240D"/>
    <w:rsid w:val="00614C2F"/>
    <w:rsid w:val="00624051"/>
    <w:rsid w:val="006253F1"/>
    <w:rsid w:val="00637AAC"/>
    <w:rsid w:val="006407F8"/>
    <w:rsid w:val="00640E29"/>
    <w:rsid w:val="00641732"/>
    <w:rsid w:val="00642744"/>
    <w:rsid w:val="0064488E"/>
    <w:rsid w:val="0064799A"/>
    <w:rsid w:val="00654445"/>
    <w:rsid w:val="00654E8E"/>
    <w:rsid w:val="00660CEA"/>
    <w:rsid w:val="00662811"/>
    <w:rsid w:val="00663B30"/>
    <w:rsid w:val="00667805"/>
    <w:rsid w:val="00672040"/>
    <w:rsid w:val="00673434"/>
    <w:rsid w:val="00675BAE"/>
    <w:rsid w:val="00680F94"/>
    <w:rsid w:val="0068224E"/>
    <w:rsid w:val="0068315F"/>
    <w:rsid w:val="00690CBF"/>
    <w:rsid w:val="0069338C"/>
    <w:rsid w:val="00694FCA"/>
    <w:rsid w:val="00696C3C"/>
    <w:rsid w:val="006A3133"/>
    <w:rsid w:val="006A4CF9"/>
    <w:rsid w:val="006A6522"/>
    <w:rsid w:val="006B0CC4"/>
    <w:rsid w:val="006B4509"/>
    <w:rsid w:val="006B51CE"/>
    <w:rsid w:val="006C7C07"/>
    <w:rsid w:val="006D33FB"/>
    <w:rsid w:val="006D7B41"/>
    <w:rsid w:val="006E10DE"/>
    <w:rsid w:val="006F0D6F"/>
    <w:rsid w:val="007001B7"/>
    <w:rsid w:val="00702929"/>
    <w:rsid w:val="00707599"/>
    <w:rsid w:val="00721F73"/>
    <w:rsid w:val="00722434"/>
    <w:rsid w:val="00724348"/>
    <w:rsid w:val="00727AD1"/>
    <w:rsid w:val="00731F56"/>
    <w:rsid w:val="00733163"/>
    <w:rsid w:val="00735492"/>
    <w:rsid w:val="00735A14"/>
    <w:rsid w:val="007363B2"/>
    <w:rsid w:val="00736998"/>
    <w:rsid w:val="007374D4"/>
    <w:rsid w:val="0075081D"/>
    <w:rsid w:val="00761599"/>
    <w:rsid w:val="0076331C"/>
    <w:rsid w:val="00767352"/>
    <w:rsid w:val="00774041"/>
    <w:rsid w:val="007756F8"/>
    <w:rsid w:val="007919E5"/>
    <w:rsid w:val="00792DDB"/>
    <w:rsid w:val="00793390"/>
    <w:rsid w:val="00796AA3"/>
    <w:rsid w:val="007A0FCD"/>
    <w:rsid w:val="007A7EB2"/>
    <w:rsid w:val="007B075C"/>
    <w:rsid w:val="007B08F5"/>
    <w:rsid w:val="007B621D"/>
    <w:rsid w:val="007C12EF"/>
    <w:rsid w:val="007D36AF"/>
    <w:rsid w:val="007E3DA7"/>
    <w:rsid w:val="007F3A74"/>
    <w:rsid w:val="007F4564"/>
    <w:rsid w:val="007F50C4"/>
    <w:rsid w:val="007F5223"/>
    <w:rsid w:val="007F773B"/>
    <w:rsid w:val="0080337B"/>
    <w:rsid w:val="008226B6"/>
    <w:rsid w:val="00822D03"/>
    <w:rsid w:val="00832825"/>
    <w:rsid w:val="00835A3D"/>
    <w:rsid w:val="008410E7"/>
    <w:rsid w:val="008427A3"/>
    <w:rsid w:val="00842AA6"/>
    <w:rsid w:val="00842C8C"/>
    <w:rsid w:val="00843F2F"/>
    <w:rsid w:val="008444CB"/>
    <w:rsid w:val="00844D1C"/>
    <w:rsid w:val="00847766"/>
    <w:rsid w:val="00853B7A"/>
    <w:rsid w:val="008569D9"/>
    <w:rsid w:val="00857C49"/>
    <w:rsid w:val="008648B5"/>
    <w:rsid w:val="00865AE8"/>
    <w:rsid w:val="008660C5"/>
    <w:rsid w:val="008675BB"/>
    <w:rsid w:val="00874232"/>
    <w:rsid w:val="0087637A"/>
    <w:rsid w:val="008763E7"/>
    <w:rsid w:val="008766FD"/>
    <w:rsid w:val="00880280"/>
    <w:rsid w:val="00880AA5"/>
    <w:rsid w:val="00884766"/>
    <w:rsid w:val="0088633C"/>
    <w:rsid w:val="0089356F"/>
    <w:rsid w:val="008A7A7D"/>
    <w:rsid w:val="008B2652"/>
    <w:rsid w:val="008B4785"/>
    <w:rsid w:val="008B7176"/>
    <w:rsid w:val="008D26A9"/>
    <w:rsid w:val="008D2A4F"/>
    <w:rsid w:val="008D7033"/>
    <w:rsid w:val="008E2771"/>
    <w:rsid w:val="008E3649"/>
    <w:rsid w:val="008E3797"/>
    <w:rsid w:val="008E38E4"/>
    <w:rsid w:val="008E4D1D"/>
    <w:rsid w:val="008E63B5"/>
    <w:rsid w:val="008E6C60"/>
    <w:rsid w:val="008F3996"/>
    <w:rsid w:val="008F3DD7"/>
    <w:rsid w:val="008F4003"/>
    <w:rsid w:val="00901041"/>
    <w:rsid w:val="00902078"/>
    <w:rsid w:val="00904514"/>
    <w:rsid w:val="009103F9"/>
    <w:rsid w:val="0091244B"/>
    <w:rsid w:val="00915CA6"/>
    <w:rsid w:val="00916BA4"/>
    <w:rsid w:val="0091773D"/>
    <w:rsid w:val="00930BD3"/>
    <w:rsid w:val="00930FCC"/>
    <w:rsid w:val="009377D8"/>
    <w:rsid w:val="00941034"/>
    <w:rsid w:val="00941F3E"/>
    <w:rsid w:val="00942BAB"/>
    <w:rsid w:val="00943756"/>
    <w:rsid w:val="00944D8B"/>
    <w:rsid w:val="00952831"/>
    <w:rsid w:val="00956FF7"/>
    <w:rsid w:val="0095717E"/>
    <w:rsid w:val="00957E5C"/>
    <w:rsid w:val="00961018"/>
    <w:rsid w:val="00963C71"/>
    <w:rsid w:val="0096786C"/>
    <w:rsid w:val="009746B0"/>
    <w:rsid w:val="00975B75"/>
    <w:rsid w:val="009779DE"/>
    <w:rsid w:val="009837C4"/>
    <w:rsid w:val="00984C87"/>
    <w:rsid w:val="0098584B"/>
    <w:rsid w:val="009859F3"/>
    <w:rsid w:val="00990D16"/>
    <w:rsid w:val="009920C4"/>
    <w:rsid w:val="0099705C"/>
    <w:rsid w:val="009A7344"/>
    <w:rsid w:val="009B060F"/>
    <w:rsid w:val="009B24C2"/>
    <w:rsid w:val="009B6B48"/>
    <w:rsid w:val="009C196B"/>
    <w:rsid w:val="009C4CAC"/>
    <w:rsid w:val="009C6F48"/>
    <w:rsid w:val="009D1478"/>
    <w:rsid w:val="009D16EA"/>
    <w:rsid w:val="009D3FC5"/>
    <w:rsid w:val="009D497D"/>
    <w:rsid w:val="009D58CD"/>
    <w:rsid w:val="009D77E6"/>
    <w:rsid w:val="009F5C14"/>
    <w:rsid w:val="00A05BD4"/>
    <w:rsid w:val="00A06EB0"/>
    <w:rsid w:val="00A07236"/>
    <w:rsid w:val="00A12976"/>
    <w:rsid w:val="00A131BF"/>
    <w:rsid w:val="00A1513C"/>
    <w:rsid w:val="00A20CE9"/>
    <w:rsid w:val="00A322C3"/>
    <w:rsid w:val="00A328FD"/>
    <w:rsid w:val="00A412C0"/>
    <w:rsid w:val="00A4169D"/>
    <w:rsid w:val="00A42D89"/>
    <w:rsid w:val="00A446D1"/>
    <w:rsid w:val="00A46202"/>
    <w:rsid w:val="00A468E2"/>
    <w:rsid w:val="00A5122C"/>
    <w:rsid w:val="00A5188E"/>
    <w:rsid w:val="00A5495D"/>
    <w:rsid w:val="00A57D08"/>
    <w:rsid w:val="00A63AA3"/>
    <w:rsid w:val="00A66927"/>
    <w:rsid w:val="00A82C34"/>
    <w:rsid w:val="00A84026"/>
    <w:rsid w:val="00A93298"/>
    <w:rsid w:val="00AA6F17"/>
    <w:rsid w:val="00AA777E"/>
    <w:rsid w:val="00AB0AA4"/>
    <w:rsid w:val="00AB1434"/>
    <w:rsid w:val="00AB22ED"/>
    <w:rsid w:val="00AB5C53"/>
    <w:rsid w:val="00AC0031"/>
    <w:rsid w:val="00AC2D0F"/>
    <w:rsid w:val="00AC71EB"/>
    <w:rsid w:val="00AD70A9"/>
    <w:rsid w:val="00AE3BE9"/>
    <w:rsid w:val="00AE4E19"/>
    <w:rsid w:val="00AE5001"/>
    <w:rsid w:val="00AE5D54"/>
    <w:rsid w:val="00AF4CFB"/>
    <w:rsid w:val="00B0057B"/>
    <w:rsid w:val="00B025D6"/>
    <w:rsid w:val="00B12414"/>
    <w:rsid w:val="00B1466B"/>
    <w:rsid w:val="00B14BF0"/>
    <w:rsid w:val="00B2037A"/>
    <w:rsid w:val="00B222E7"/>
    <w:rsid w:val="00B23AA8"/>
    <w:rsid w:val="00B26B2F"/>
    <w:rsid w:val="00B302C6"/>
    <w:rsid w:val="00B35FC9"/>
    <w:rsid w:val="00B40059"/>
    <w:rsid w:val="00B4755C"/>
    <w:rsid w:val="00B55D88"/>
    <w:rsid w:val="00B628D9"/>
    <w:rsid w:val="00B63384"/>
    <w:rsid w:val="00B6613E"/>
    <w:rsid w:val="00B71800"/>
    <w:rsid w:val="00B7315B"/>
    <w:rsid w:val="00B737CA"/>
    <w:rsid w:val="00B7437D"/>
    <w:rsid w:val="00B75F79"/>
    <w:rsid w:val="00B80F41"/>
    <w:rsid w:val="00BA0426"/>
    <w:rsid w:val="00BA1CD4"/>
    <w:rsid w:val="00BA318E"/>
    <w:rsid w:val="00BA362E"/>
    <w:rsid w:val="00BB41F6"/>
    <w:rsid w:val="00BC2963"/>
    <w:rsid w:val="00BC4C5F"/>
    <w:rsid w:val="00BD1D8D"/>
    <w:rsid w:val="00BD46DF"/>
    <w:rsid w:val="00BD5CAA"/>
    <w:rsid w:val="00BD6CBA"/>
    <w:rsid w:val="00BD757F"/>
    <w:rsid w:val="00BE066E"/>
    <w:rsid w:val="00BE3201"/>
    <w:rsid w:val="00BE5369"/>
    <w:rsid w:val="00BE5F80"/>
    <w:rsid w:val="00BF03AD"/>
    <w:rsid w:val="00BF1A35"/>
    <w:rsid w:val="00C001AC"/>
    <w:rsid w:val="00C0354B"/>
    <w:rsid w:val="00C039EE"/>
    <w:rsid w:val="00C06E7A"/>
    <w:rsid w:val="00C11E60"/>
    <w:rsid w:val="00C2660B"/>
    <w:rsid w:val="00C267CB"/>
    <w:rsid w:val="00C31803"/>
    <w:rsid w:val="00C32E01"/>
    <w:rsid w:val="00C35E29"/>
    <w:rsid w:val="00C36C17"/>
    <w:rsid w:val="00C54579"/>
    <w:rsid w:val="00C622B8"/>
    <w:rsid w:val="00C62F93"/>
    <w:rsid w:val="00C63425"/>
    <w:rsid w:val="00C656B4"/>
    <w:rsid w:val="00C6615B"/>
    <w:rsid w:val="00C662CD"/>
    <w:rsid w:val="00C74E75"/>
    <w:rsid w:val="00C76F17"/>
    <w:rsid w:val="00C85ED0"/>
    <w:rsid w:val="00C85F64"/>
    <w:rsid w:val="00C87480"/>
    <w:rsid w:val="00C87678"/>
    <w:rsid w:val="00C8772F"/>
    <w:rsid w:val="00C944E8"/>
    <w:rsid w:val="00CA4D5A"/>
    <w:rsid w:val="00CC2874"/>
    <w:rsid w:val="00CD1CF1"/>
    <w:rsid w:val="00CD5980"/>
    <w:rsid w:val="00CD5A48"/>
    <w:rsid w:val="00CE12C8"/>
    <w:rsid w:val="00CE293D"/>
    <w:rsid w:val="00CF1F3F"/>
    <w:rsid w:val="00CF4847"/>
    <w:rsid w:val="00D049C2"/>
    <w:rsid w:val="00D21819"/>
    <w:rsid w:val="00D24E7A"/>
    <w:rsid w:val="00D2572E"/>
    <w:rsid w:val="00D33DD6"/>
    <w:rsid w:val="00D3510D"/>
    <w:rsid w:val="00D358D9"/>
    <w:rsid w:val="00D3733D"/>
    <w:rsid w:val="00D420F4"/>
    <w:rsid w:val="00D421B9"/>
    <w:rsid w:val="00D4574B"/>
    <w:rsid w:val="00D4779C"/>
    <w:rsid w:val="00D5015E"/>
    <w:rsid w:val="00D63126"/>
    <w:rsid w:val="00D651D2"/>
    <w:rsid w:val="00D672FE"/>
    <w:rsid w:val="00D70814"/>
    <w:rsid w:val="00D71846"/>
    <w:rsid w:val="00D74614"/>
    <w:rsid w:val="00D83F2E"/>
    <w:rsid w:val="00D8631D"/>
    <w:rsid w:val="00D86DF5"/>
    <w:rsid w:val="00D95B40"/>
    <w:rsid w:val="00DA1962"/>
    <w:rsid w:val="00DA3E3F"/>
    <w:rsid w:val="00DA47BE"/>
    <w:rsid w:val="00DA4D51"/>
    <w:rsid w:val="00DB17AB"/>
    <w:rsid w:val="00DB65B3"/>
    <w:rsid w:val="00DB7F57"/>
    <w:rsid w:val="00DC2121"/>
    <w:rsid w:val="00DC2E81"/>
    <w:rsid w:val="00DC68F6"/>
    <w:rsid w:val="00DD5D7D"/>
    <w:rsid w:val="00DD66CB"/>
    <w:rsid w:val="00DE3EB7"/>
    <w:rsid w:val="00E01C78"/>
    <w:rsid w:val="00E07EAA"/>
    <w:rsid w:val="00E1095D"/>
    <w:rsid w:val="00E24AB5"/>
    <w:rsid w:val="00E25D46"/>
    <w:rsid w:val="00E33A13"/>
    <w:rsid w:val="00E40B93"/>
    <w:rsid w:val="00E41A4C"/>
    <w:rsid w:val="00E50CF3"/>
    <w:rsid w:val="00E51904"/>
    <w:rsid w:val="00E62F2E"/>
    <w:rsid w:val="00E643DA"/>
    <w:rsid w:val="00E650C2"/>
    <w:rsid w:val="00E65DB2"/>
    <w:rsid w:val="00E67053"/>
    <w:rsid w:val="00E67B3B"/>
    <w:rsid w:val="00E706C3"/>
    <w:rsid w:val="00E73CDA"/>
    <w:rsid w:val="00E7591A"/>
    <w:rsid w:val="00E8306D"/>
    <w:rsid w:val="00E8468E"/>
    <w:rsid w:val="00E94DDB"/>
    <w:rsid w:val="00E971AF"/>
    <w:rsid w:val="00E97E4F"/>
    <w:rsid w:val="00EA260A"/>
    <w:rsid w:val="00EA2C44"/>
    <w:rsid w:val="00EA48E5"/>
    <w:rsid w:val="00EA7743"/>
    <w:rsid w:val="00EB3B66"/>
    <w:rsid w:val="00EB62F7"/>
    <w:rsid w:val="00EB6556"/>
    <w:rsid w:val="00EB6901"/>
    <w:rsid w:val="00EC0D20"/>
    <w:rsid w:val="00EC2628"/>
    <w:rsid w:val="00EC3C02"/>
    <w:rsid w:val="00EC5C0D"/>
    <w:rsid w:val="00ED23D1"/>
    <w:rsid w:val="00ED38D8"/>
    <w:rsid w:val="00ED48B9"/>
    <w:rsid w:val="00ED4B4E"/>
    <w:rsid w:val="00EE6696"/>
    <w:rsid w:val="00EF0B41"/>
    <w:rsid w:val="00EF45B5"/>
    <w:rsid w:val="00F0035E"/>
    <w:rsid w:val="00F03904"/>
    <w:rsid w:val="00F06B4C"/>
    <w:rsid w:val="00F07228"/>
    <w:rsid w:val="00F11847"/>
    <w:rsid w:val="00F1407C"/>
    <w:rsid w:val="00F1637F"/>
    <w:rsid w:val="00F20628"/>
    <w:rsid w:val="00F22AFD"/>
    <w:rsid w:val="00F24D66"/>
    <w:rsid w:val="00F31976"/>
    <w:rsid w:val="00F31B27"/>
    <w:rsid w:val="00F3427A"/>
    <w:rsid w:val="00F3647A"/>
    <w:rsid w:val="00F40219"/>
    <w:rsid w:val="00F415B6"/>
    <w:rsid w:val="00F42B5F"/>
    <w:rsid w:val="00F44411"/>
    <w:rsid w:val="00F5691D"/>
    <w:rsid w:val="00F65E1C"/>
    <w:rsid w:val="00F67307"/>
    <w:rsid w:val="00F748A8"/>
    <w:rsid w:val="00F854A7"/>
    <w:rsid w:val="00F87915"/>
    <w:rsid w:val="00F90D38"/>
    <w:rsid w:val="00F93707"/>
    <w:rsid w:val="00FA3C69"/>
    <w:rsid w:val="00FA4B3F"/>
    <w:rsid w:val="00FA6BBA"/>
    <w:rsid w:val="00FB077A"/>
    <w:rsid w:val="00FB0FC4"/>
    <w:rsid w:val="00FB1C04"/>
    <w:rsid w:val="00FC6D19"/>
    <w:rsid w:val="00FD5AA7"/>
    <w:rsid w:val="00FE1363"/>
    <w:rsid w:val="00FE1A62"/>
    <w:rsid w:val="00FE6240"/>
    <w:rsid w:val="00FE7F37"/>
    <w:rsid w:val="00FF362D"/>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0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semiHidden/>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semiHidden/>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semiHidden/>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semiHidden/>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retrieveECFR?gp=1&amp;SID=67b7f8b06cce47cf338b3b52057016a4&amp;ty=HTML&amp;h=L&amp;n=5y3.0.2.3.9&amp;r=PART" TargetMode="External"/><Relationship Id="rId18" Type="http://schemas.openxmlformats.org/officeDocument/2006/relationships/hyperlink" Target="http://www2.epa.gov/lead/sellers-disclosure-information-lead-based-paint-andor-lead-based-paint-hazard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pa.gov/lead" TargetMode="External"/><Relationship Id="rId17" Type="http://schemas.openxmlformats.org/officeDocument/2006/relationships/hyperlink" Target="http://ecfr.gpoaccess.gov/cgi/t/text/text-idx?c=ecfr&amp;sid=0173a51e96d9ede16ecabfb35f8e0683&amp;rgn=div5&amp;view=text&amp;node=24:1.1.1.1.25&amp;idno=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fr.gpoaccess.gov/cgi/t/text/text-idx?c=ecfr&amp;sid=752f3208b32284709cc3aa3408d23409&amp;rgn=div5&amp;view=text&amp;node=40:30.0.1.1.13&amp;idno=40" TargetMode="External"/><Relationship Id="rId20" Type="http://schemas.openxmlformats.org/officeDocument/2006/relationships/hyperlink" Target="http://www2.epa.gov/lead/protect-your-family-lead-your-h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retrieveECFR?gp=1&amp;SID=67b7f8b06cce47cf338b3b52057016a4&amp;ty=HTML&amp;h=L&amp;n=5y3.0.2.3.9&amp;r=PAR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uscode.house.gov/uscode-cgi/fastweb.exe?getdoc+uscview+t41t42+4827+0++%28%29%20%20A" TargetMode="External"/><Relationship Id="rId23" Type="http://schemas.openxmlformats.org/officeDocument/2006/relationships/header" Target="header2.xml"/><Relationship Id="rId10" Type="http://schemas.openxmlformats.org/officeDocument/2006/relationships/hyperlink" Target="http://www.ecfr.gov/cgi-bin/retrieveECFR?gp=1&amp;SID=67b7f8b06cce47cf338b3b52057016a4&amp;ty=HTML&amp;h=L&amp;n=5y3.0.2.3.9&amp;r=PART" TargetMode="External"/><Relationship Id="rId19" Type="http://schemas.openxmlformats.org/officeDocument/2006/relationships/hyperlink" Target="http://www2.epa.gov/lead/lessors-disclosure-information-lead-based-paint-andor-lead-based-paint-hazards" TargetMode="External"/><Relationship Id="rId4" Type="http://schemas.microsoft.com/office/2007/relationships/stylesWithEffects" Target="stylesWithEffects.xml"/><Relationship Id="rId9" Type="http://schemas.openxmlformats.org/officeDocument/2006/relationships/hyperlink" Target="http://www.epa.gov/dockets" TargetMode="External"/><Relationship Id="rId14" Type="http://schemas.openxmlformats.org/officeDocument/2006/relationships/hyperlink" Target="http://www.regulation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29511-833A-4F26-A83D-D4796C53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4982</Words>
  <Characters>28403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SYSTEM</cp:lastModifiedBy>
  <cp:revision>2</cp:revision>
  <cp:lastPrinted>2017-11-07T19:58:00Z</cp:lastPrinted>
  <dcterms:created xsi:type="dcterms:W3CDTF">2018-10-25T23:58:00Z</dcterms:created>
  <dcterms:modified xsi:type="dcterms:W3CDTF">2018-10-25T23:58:00Z</dcterms:modified>
</cp:coreProperties>
</file>