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64" w:rsidRPr="00460EDD" w:rsidRDefault="00DA5364" w:rsidP="00DA5364">
      <w:pPr>
        <w:suppressAutoHyphens/>
        <w:jc w:val="center"/>
      </w:pPr>
      <w:bookmarkStart w:id="0" w:name="_GoBack"/>
      <w:bookmarkEnd w:id="0"/>
      <w:r w:rsidRPr="00460EDD">
        <w:t>SUPPORTING STATEMENT</w:t>
      </w:r>
    </w:p>
    <w:p w:rsidR="00DA5364" w:rsidRPr="00460EDD" w:rsidRDefault="00DA5364" w:rsidP="00DA5364">
      <w:pPr>
        <w:suppressAutoHyphens/>
      </w:pPr>
    </w:p>
    <w:p w:rsidR="00DA5364" w:rsidRPr="00460EDD" w:rsidRDefault="00DA5364" w:rsidP="00DA5364">
      <w:pPr>
        <w:suppressAutoHyphens/>
        <w:jc w:val="center"/>
      </w:pPr>
      <w:r w:rsidRPr="00460EDD">
        <w:t>Consolidated Reports of Condition and Income</w:t>
      </w:r>
    </w:p>
    <w:p w:rsidR="00DA5364" w:rsidRPr="00460EDD" w:rsidRDefault="00DA5364" w:rsidP="00DA5364">
      <w:pPr>
        <w:suppressAutoHyphens/>
      </w:pPr>
    </w:p>
    <w:p w:rsidR="00DA5364" w:rsidRPr="00460EDD" w:rsidRDefault="00DA5364" w:rsidP="00DA5364">
      <w:pPr>
        <w:suppressAutoHyphens/>
        <w:jc w:val="center"/>
      </w:pPr>
      <w:r w:rsidRPr="00460EDD">
        <w:t>FFIEC 031</w:t>
      </w:r>
      <w:r w:rsidR="006245F5" w:rsidRPr="00460EDD">
        <w:t>,</w:t>
      </w:r>
      <w:r w:rsidRPr="00460EDD">
        <w:t xml:space="preserve"> 041</w:t>
      </w:r>
      <w:r w:rsidR="006245F5" w:rsidRPr="00460EDD">
        <w:t>, and 051</w:t>
      </w:r>
    </w:p>
    <w:p w:rsidR="00DA5364" w:rsidRPr="00460EDD" w:rsidRDefault="00DA5364" w:rsidP="00DA5364">
      <w:pPr>
        <w:suppressAutoHyphens/>
        <w:jc w:val="center"/>
      </w:pPr>
      <w:r w:rsidRPr="00460EDD">
        <w:t xml:space="preserve"> (OMB No. 3064-0052)</w:t>
      </w:r>
    </w:p>
    <w:p w:rsidR="00DA5364" w:rsidRPr="00460EDD" w:rsidRDefault="00DA5364" w:rsidP="00DA5364">
      <w:pPr>
        <w:suppressAutoHyphens/>
      </w:pPr>
    </w:p>
    <w:p w:rsidR="00DA5364" w:rsidRPr="00460EDD" w:rsidRDefault="00DA5364" w:rsidP="00DA5364">
      <w:pPr>
        <w:suppressAutoHyphens/>
      </w:pPr>
    </w:p>
    <w:p w:rsidR="00EE6476" w:rsidRPr="00460EDD" w:rsidRDefault="00EE6476" w:rsidP="00EE6476">
      <w:pPr>
        <w:suppressAutoHyphens/>
        <w:rPr>
          <w:u w:val="single"/>
        </w:rPr>
      </w:pPr>
      <w:r w:rsidRPr="00460EDD">
        <w:rPr>
          <w:b/>
          <w:u w:val="single"/>
        </w:rPr>
        <w:t>SUMMARY</w:t>
      </w:r>
    </w:p>
    <w:p w:rsidR="00EE6476" w:rsidRPr="00460EDD" w:rsidRDefault="00EE6476" w:rsidP="00EE6476">
      <w:pPr>
        <w:suppressAutoHyphens/>
      </w:pPr>
    </w:p>
    <w:p w:rsidR="00DC23C5" w:rsidRPr="00460EDD" w:rsidRDefault="00117853" w:rsidP="00DC23C5">
      <w:pPr>
        <w:suppressAutoHyphens/>
      </w:pPr>
      <w:r w:rsidRPr="00460EDD">
        <w:t xml:space="preserve">The Federal Deposit Insurance Corporation (FDIC) is requesting approval from the Office of Management and Budget (OMB) to extend for three years, with revision, the Federal Financial Institutions Examination Council (FFIEC) Consolidated Reports of Condition and Income (Call Reports) (FFIEC 031, FFIEC 041, and FFIEC 051; OMB No. 3064-0052).  These reports are required of insured state nonmember banks and insured state savings associations and are filed on a quarterly basis.  </w:t>
      </w:r>
      <w:r w:rsidR="00DC23C5" w:rsidRPr="00460EDD">
        <w:t xml:space="preserve">The FRB and the OCC are submitting these same Call Report changes to OMB for the institutions under their supervision.  </w:t>
      </w:r>
    </w:p>
    <w:p w:rsidR="00DC23C5" w:rsidRPr="00460EDD" w:rsidRDefault="00DC23C5" w:rsidP="00DC23C5">
      <w:pPr>
        <w:suppressAutoHyphens/>
      </w:pPr>
    </w:p>
    <w:p w:rsidR="00DC23C5" w:rsidRPr="00460EDD" w:rsidRDefault="00DC23C5" w:rsidP="00DC23C5">
      <w:pPr>
        <w:suppressAutoHyphens/>
      </w:pPr>
      <w:r w:rsidRPr="00460EDD">
        <w:t>The FDIC requires the information collected on the Call Reports to fulfill its statutory obligation to supervise insured state nonmember banks and insured state savings associations.  These FDIC-supervised institutions are required to file both detailed schedules of assets, liabilities, and capital accounts in the form of a condition report and summary statement as well as detailed schedules of operating income and expense, sources and disposition of income, and changes in equity capital.</w:t>
      </w:r>
    </w:p>
    <w:p w:rsidR="00DC23C5" w:rsidRPr="00460EDD" w:rsidRDefault="00DC23C5" w:rsidP="00DC23C5">
      <w:pPr>
        <w:suppressAutoHyphens/>
      </w:pPr>
    </w:p>
    <w:p w:rsidR="00DC38A3" w:rsidRPr="00460EDD" w:rsidRDefault="00117853" w:rsidP="00DC38A3">
      <w:pPr>
        <w:suppressAutoHyphens/>
      </w:pPr>
      <w:r w:rsidRPr="00460EDD">
        <w:t>The Call Report revisions that are the subject of this request</w:t>
      </w:r>
      <w:r w:rsidR="00406922" w:rsidRPr="00460EDD">
        <w:t xml:space="preserve">, which have been approved by the FFIEC, </w:t>
      </w:r>
      <w:r w:rsidRPr="00460EDD">
        <w:t>have been proposed in connection with a notice of proposed rulemaking</w:t>
      </w:r>
      <w:r w:rsidR="00406922" w:rsidRPr="00460EDD">
        <w:t xml:space="preserve"> </w:t>
      </w:r>
      <w:r w:rsidR="00DC38A3" w:rsidRPr="00460EDD">
        <w:t xml:space="preserve">(NPR) </w:t>
      </w:r>
      <w:r w:rsidR="00406922" w:rsidRPr="00460EDD">
        <w:t>published jointly with the Federal Reserve Board (FRB) and the Office of the Comptroller of the Currency (OCC) on November 19, 2018 (83 FR 58432)</w:t>
      </w:r>
      <w:r w:rsidRPr="00460EDD">
        <w:t xml:space="preserve">.  </w:t>
      </w:r>
      <w:r w:rsidR="00DC38A3" w:rsidRPr="00460EDD">
        <w:t xml:space="preserve">This proposed rule would implement Section 205 of the Economic Growth, Regulatory Relief, and Consumer Protection Act </w:t>
      </w:r>
      <w:r w:rsidR="00DF3008" w:rsidRPr="00460EDD">
        <w:t xml:space="preserve">(EGRRCPA) </w:t>
      </w:r>
      <w:r w:rsidR="00DC38A3" w:rsidRPr="00460EDD">
        <w:t>by:</w:t>
      </w:r>
    </w:p>
    <w:p w:rsidR="00DC38A3" w:rsidRPr="00460EDD" w:rsidRDefault="00DC38A3" w:rsidP="00DC38A3">
      <w:pPr>
        <w:pStyle w:val="ListParagraph"/>
        <w:numPr>
          <w:ilvl w:val="0"/>
          <w:numId w:val="4"/>
        </w:numPr>
        <w:suppressAutoHyphens/>
        <w:spacing w:after="0"/>
        <w:rPr>
          <w:rFonts w:ascii="Times New Roman" w:hAnsi="Times New Roman"/>
        </w:rPr>
      </w:pPr>
      <w:r w:rsidRPr="00460EDD">
        <w:rPr>
          <w:rFonts w:ascii="Times New Roman" w:hAnsi="Times New Roman"/>
        </w:rPr>
        <w:t xml:space="preserve">Expanding the eligibility to file the agencies’ most streamlined Call Report, the FFIEC 051 Call Report, to include certain insured depository institutions with less than $5 billion in total consolidated assets that meet other criteria, and </w:t>
      </w:r>
    </w:p>
    <w:p w:rsidR="00DC38A3" w:rsidRPr="00460EDD" w:rsidRDefault="00DC38A3" w:rsidP="00DC38A3">
      <w:pPr>
        <w:pStyle w:val="ListParagraph"/>
        <w:numPr>
          <w:ilvl w:val="0"/>
          <w:numId w:val="4"/>
        </w:numPr>
        <w:suppressAutoHyphens/>
        <w:spacing w:after="0"/>
        <w:rPr>
          <w:rFonts w:ascii="Times New Roman" w:hAnsi="Times New Roman"/>
        </w:rPr>
      </w:pPr>
      <w:r w:rsidRPr="00460EDD">
        <w:rPr>
          <w:rFonts w:ascii="Times New Roman" w:hAnsi="Times New Roman"/>
        </w:rPr>
        <w:t xml:space="preserve">Establishing reduced reporting on the FFIEC 051 Call Report for the first and third reports of condition for a year.  </w:t>
      </w:r>
    </w:p>
    <w:p w:rsidR="00DC38A3" w:rsidRPr="00460EDD" w:rsidRDefault="00DC38A3" w:rsidP="00DC38A3">
      <w:pPr>
        <w:suppressAutoHyphens/>
      </w:pPr>
    </w:p>
    <w:p w:rsidR="00F4678C" w:rsidRPr="00460EDD" w:rsidRDefault="005E09C3" w:rsidP="00EE6476">
      <w:pPr>
        <w:suppressAutoHyphens/>
      </w:pPr>
      <w:r w:rsidRPr="00460EDD">
        <w:t>In summary, t</w:t>
      </w:r>
      <w:r w:rsidR="00EE6476" w:rsidRPr="00460EDD">
        <w:t xml:space="preserve">he FDIC, the FRB, and the OCC (the agencies) </w:t>
      </w:r>
      <w:r w:rsidR="000B5800" w:rsidRPr="00460EDD">
        <w:t xml:space="preserve">are </w:t>
      </w:r>
      <w:r w:rsidR="00EE6476" w:rsidRPr="00460EDD">
        <w:t>propos</w:t>
      </w:r>
      <w:r w:rsidR="000B5800" w:rsidRPr="00460EDD">
        <w:t>ing</w:t>
      </w:r>
      <w:r w:rsidR="00EE6476" w:rsidRPr="00460EDD">
        <w:t xml:space="preserve"> to revise the </w:t>
      </w:r>
      <w:r w:rsidR="000B5800" w:rsidRPr="00460EDD">
        <w:t xml:space="preserve">FFIEC 051 </w:t>
      </w:r>
      <w:r w:rsidR="00EE6476" w:rsidRPr="00460EDD">
        <w:t xml:space="preserve">Call Report </w:t>
      </w:r>
      <w:r w:rsidR="00687EF5" w:rsidRPr="00460EDD">
        <w:t>effective</w:t>
      </w:r>
      <w:r w:rsidR="00EE6476" w:rsidRPr="00460EDD">
        <w:t xml:space="preserve"> </w:t>
      </w:r>
      <w:r w:rsidR="00F4678C" w:rsidRPr="00460EDD">
        <w:t>as of the March 31, 2019, report date, as follows:</w:t>
      </w:r>
    </w:p>
    <w:p w:rsidR="000B5800" w:rsidRPr="00460EDD" w:rsidRDefault="00F4678C" w:rsidP="00DC23C5">
      <w:pPr>
        <w:pStyle w:val="ListParagraph"/>
        <w:numPr>
          <w:ilvl w:val="0"/>
          <w:numId w:val="5"/>
        </w:numPr>
        <w:suppressAutoHyphens/>
        <w:spacing w:after="0"/>
        <w:rPr>
          <w:rFonts w:ascii="Times New Roman" w:hAnsi="Times New Roman"/>
        </w:rPr>
      </w:pPr>
      <w:r w:rsidRPr="00460EDD">
        <w:rPr>
          <w:rFonts w:ascii="Times New Roman" w:hAnsi="Times New Roman"/>
        </w:rPr>
        <w:t xml:space="preserve">The agencies are proposing to revise the criteria for determining whether an institution is eligible to file the FFIEC 051 Call Report to match the criteria in the proposed rule, i.e., eligibility would be extended to all eligible institutions with less than $5 billion in total assets that meet other criteria in the rule.  At present, the asset-size criterion for eligibility to file the FFIEC 051 Call Report is less than $1 billion in total assets. </w:t>
      </w:r>
    </w:p>
    <w:p w:rsidR="000B5800" w:rsidRPr="00460EDD" w:rsidRDefault="000B5800" w:rsidP="00DC23C5">
      <w:pPr>
        <w:pStyle w:val="ListParagraph"/>
        <w:numPr>
          <w:ilvl w:val="0"/>
          <w:numId w:val="5"/>
        </w:numPr>
        <w:suppressAutoHyphens/>
        <w:spacing w:after="0"/>
        <w:rPr>
          <w:rFonts w:ascii="Times New Roman" w:hAnsi="Times New Roman"/>
        </w:rPr>
      </w:pPr>
      <w:r w:rsidRPr="00460EDD">
        <w:rPr>
          <w:rFonts w:ascii="Times New Roman" w:hAnsi="Times New Roman"/>
        </w:rPr>
        <w:lastRenderedPageBreak/>
        <w:t xml:space="preserve">The agencies are proposing to reduce the reporting frequency of certain existing data items in the FFIEC 051 Call Report from quarterly to semiannual reporting.  This proposal would reduce reporting in the first and third calendar quarters.  </w:t>
      </w:r>
    </w:p>
    <w:p w:rsidR="00F4678C" w:rsidRPr="00460EDD" w:rsidRDefault="000B5800" w:rsidP="00DC23C5">
      <w:pPr>
        <w:pStyle w:val="ListParagraph"/>
        <w:numPr>
          <w:ilvl w:val="0"/>
          <w:numId w:val="5"/>
        </w:numPr>
        <w:suppressAutoHyphens/>
        <w:spacing w:after="0"/>
        <w:rPr>
          <w:rFonts w:ascii="Times New Roman" w:hAnsi="Times New Roman"/>
        </w:rPr>
      </w:pPr>
      <w:r w:rsidRPr="00460EDD">
        <w:rPr>
          <w:rFonts w:ascii="Times New Roman" w:hAnsi="Times New Roman"/>
        </w:rPr>
        <w:t xml:space="preserve">For institutions with total assets of $1 billion or more, but less than $5 billion, the agencies are proposing to add to the FFIEC 051 Call Report certain data items that these institutions currently report on the FFIEC 041 Call Report, but generally with reduced reporting frequency.  </w:t>
      </w:r>
    </w:p>
    <w:p w:rsidR="00F4678C" w:rsidRPr="00460EDD" w:rsidRDefault="00F4678C" w:rsidP="00DC23C5">
      <w:pPr>
        <w:suppressAutoHyphens/>
      </w:pPr>
      <w:r w:rsidRPr="00460EDD">
        <w:t xml:space="preserve"> </w:t>
      </w:r>
    </w:p>
    <w:p w:rsidR="00EE6476" w:rsidRPr="00460EDD" w:rsidRDefault="00955D1B" w:rsidP="00DC23C5">
      <w:pPr>
        <w:suppressAutoHyphens/>
      </w:pPr>
      <w:r w:rsidRPr="00460EDD">
        <w:t>For FDIC-supervised institutions, t</w:t>
      </w:r>
      <w:r w:rsidR="00EE6476" w:rsidRPr="00460EDD">
        <w:t xml:space="preserve">he current annual burden for the Call Reports is estimated to be </w:t>
      </w:r>
      <w:r w:rsidR="000D5593" w:rsidRPr="00460EDD">
        <w:t>63</w:t>
      </w:r>
      <w:r w:rsidR="00082BB5" w:rsidRPr="00460EDD">
        <w:t>7,664</w:t>
      </w:r>
      <w:r w:rsidR="000D5593" w:rsidRPr="00460EDD">
        <w:t xml:space="preserve"> </w:t>
      </w:r>
      <w:r w:rsidR="00EE6476" w:rsidRPr="00460EDD">
        <w:t xml:space="preserve">hours and the proposed revisions are estimated to </w:t>
      </w:r>
      <w:r w:rsidR="00082BB5" w:rsidRPr="00460EDD">
        <w:t>de</w:t>
      </w:r>
      <w:r w:rsidR="00EE6476" w:rsidRPr="00460EDD">
        <w:t xml:space="preserve">crease the annual burden by </w:t>
      </w:r>
      <w:r w:rsidR="00082BB5" w:rsidRPr="00460EDD">
        <w:t>27,878</w:t>
      </w:r>
      <w:r w:rsidR="00EE6476" w:rsidRPr="00460EDD">
        <w:t xml:space="preserve"> hours</w:t>
      </w:r>
      <w:r w:rsidRPr="00460EDD">
        <w:t xml:space="preserve"> to </w:t>
      </w:r>
      <w:r w:rsidR="00082BB5" w:rsidRPr="00460EDD">
        <w:t>609,786</w:t>
      </w:r>
      <w:r w:rsidRPr="00460EDD">
        <w:t xml:space="preserve"> hours</w:t>
      </w:r>
      <w:r w:rsidR="00EE6476" w:rsidRPr="00460EDD">
        <w:t>.</w:t>
      </w:r>
    </w:p>
    <w:p w:rsidR="000B5800" w:rsidRPr="00460EDD" w:rsidRDefault="000B5800" w:rsidP="00DC23C5">
      <w:pPr>
        <w:suppressAutoHyphens/>
      </w:pPr>
    </w:p>
    <w:p w:rsidR="00082BB5" w:rsidRPr="00460EDD" w:rsidRDefault="00082BB5" w:rsidP="00DC23C5">
      <w:pPr>
        <w:suppressAutoHyphens/>
      </w:pPr>
    </w:p>
    <w:p w:rsidR="00DA5364" w:rsidRPr="00460EDD" w:rsidRDefault="00DA5364" w:rsidP="00DC23C5">
      <w:pPr>
        <w:keepNext/>
        <w:suppressAutoHyphens/>
        <w:outlineLvl w:val="1"/>
        <w:rPr>
          <w:b/>
          <w:u w:val="single"/>
        </w:rPr>
      </w:pPr>
      <w:r w:rsidRPr="00460EDD">
        <w:rPr>
          <w:b/>
          <w:u w:val="single"/>
        </w:rPr>
        <w:t>JUSTIFICATION</w:t>
      </w:r>
    </w:p>
    <w:p w:rsidR="00DA5364" w:rsidRPr="00460EDD" w:rsidRDefault="00DA5364" w:rsidP="00DA5364">
      <w:pPr>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1.  </w:t>
      </w:r>
      <w:r w:rsidRPr="00460EDD">
        <w:rPr>
          <w:u w:val="single"/>
        </w:rPr>
        <w:t>Circumstances and Need</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517B6F" w:rsidP="00DA5364">
      <w:pPr>
        <w:tabs>
          <w:tab w:val="left" w:pos="-1440"/>
          <w:tab w:val="left" w:pos="-720"/>
          <w:tab w:val="left" w:pos="0"/>
          <w:tab w:val="left" w:pos="432"/>
          <w:tab w:val="left" w:pos="720"/>
          <w:tab w:val="left" w:pos="1008"/>
          <w:tab w:val="left" w:pos="1440"/>
        </w:tabs>
        <w:suppressAutoHyphens/>
      </w:pPr>
      <w:r w:rsidRPr="00460EDD">
        <w:t xml:space="preserve">Section 7 of the Federal Deposit Insurance Act requires all insured depository institutions to submit four “reports of condition” each year to their primary federal bank supervisory authority, i.e., </w:t>
      </w:r>
      <w:r w:rsidR="000074FE" w:rsidRPr="00460EDD">
        <w:t>the</w:t>
      </w:r>
      <w:r w:rsidRPr="00460EDD">
        <w:t xml:space="preserve"> FDIC, the OCC, or the FRB, as appropriate.  FDIC-supervised institutions, i.e., insured state nonmember banks and </w:t>
      </w:r>
      <w:r w:rsidR="002428BD" w:rsidRPr="00460EDD">
        <w:t xml:space="preserve">insured </w:t>
      </w:r>
      <w:r w:rsidRPr="00460EDD">
        <w:t>state savings associations</w:t>
      </w:r>
      <w:r w:rsidR="00703F70" w:rsidRPr="00460EDD">
        <w:t>,</w:t>
      </w:r>
      <w:r w:rsidRPr="00460EDD">
        <w:t xml:space="preserve"> submit these reports to the FDIC.  </w:t>
      </w:r>
      <w:r w:rsidR="00DA5364" w:rsidRPr="00460EDD">
        <w:t>The FDIC uses the quarterly Call Reports to monitor the condition</w:t>
      </w:r>
      <w:r w:rsidR="00D324B2" w:rsidRPr="00460EDD">
        <w:t>,</w:t>
      </w:r>
      <w:r w:rsidR="00DA5364" w:rsidRPr="00460EDD">
        <w:t xml:space="preserve"> performance</w:t>
      </w:r>
      <w:r w:rsidR="00D324B2" w:rsidRPr="00460EDD">
        <w:t xml:space="preserve">, and risk </w:t>
      </w:r>
      <w:r w:rsidR="00C37947" w:rsidRPr="00460EDD">
        <w:t>profile</w:t>
      </w:r>
      <w:r w:rsidR="00DA5364" w:rsidRPr="00460EDD">
        <w:t xml:space="preserve"> of individual </w:t>
      </w:r>
      <w:r w:rsidRPr="00460EDD">
        <w:t>institutions</w:t>
      </w:r>
      <w:r w:rsidR="00DA5364" w:rsidRPr="00460EDD">
        <w:t xml:space="preserve"> and the industry as a whole.  In addition, Call Reports provide the FDIC with the most current statistical data available for evaluating </w:t>
      </w:r>
      <w:r w:rsidRPr="00460EDD">
        <w:t>depository institution</w:t>
      </w:r>
      <w:r w:rsidR="00DA5364" w:rsidRPr="00460EDD">
        <w:t xml:space="preserve"> corporate applications such as mergers; identifying areas of </w:t>
      </w:r>
      <w:r w:rsidR="00BA75EF" w:rsidRPr="00460EDD">
        <w:t xml:space="preserve">heightened </w:t>
      </w:r>
      <w:r w:rsidR="00DA5364" w:rsidRPr="00460EDD">
        <w:t xml:space="preserve">focus </w:t>
      </w:r>
      <w:r w:rsidR="00BA75EF" w:rsidRPr="00460EDD">
        <w:t xml:space="preserve">and reduced emphasis </w:t>
      </w:r>
      <w:r w:rsidR="00DA5364" w:rsidRPr="00460EDD">
        <w:t xml:space="preserve">for both on-site and off-site examinations; calculating all </w:t>
      </w:r>
      <w:r w:rsidRPr="00460EDD">
        <w:t>insured institutions</w:t>
      </w:r>
      <w:r w:rsidR="00DA5364" w:rsidRPr="00460EDD">
        <w:t>’ deposit insurance</w:t>
      </w:r>
      <w:r w:rsidRPr="00460EDD">
        <w:t xml:space="preserve"> and</w:t>
      </w:r>
      <w:r w:rsidR="00DA5364" w:rsidRPr="00460EDD">
        <w:t xml:space="preserve"> Financing Corporation assessments; and other public purposes.</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324B2" w:rsidRPr="00460EDD" w:rsidRDefault="00DA5364" w:rsidP="00DA5364">
      <w:pPr>
        <w:tabs>
          <w:tab w:val="left" w:pos="-1440"/>
          <w:tab w:val="left" w:pos="-720"/>
          <w:tab w:val="left" w:pos="0"/>
          <w:tab w:val="left" w:pos="432"/>
          <w:tab w:val="left" w:pos="720"/>
          <w:tab w:val="left" w:pos="1008"/>
          <w:tab w:val="left" w:pos="1440"/>
        </w:tabs>
        <w:suppressAutoHyphens/>
      </w:pPr>
      <w:r w:rsidRPr="00460EDD">
        <w:t>Within the Call Report information collection system</w:t>
      </w:r>
      <w:r w:rsidR="00E666BA" w:rsidRPr="00460EDD">
        <w:t xml:space="preserve"> as </w:t>
      </w:r>
      <w:r w:rsidR="00BA75EF" w:rsidRPr="00460EDD">
        <w:t>a whole</w:t>
      </w:r>
      <w:r w:rsidRPr="00460EDD">
        <w:t xml:space="preserve">, separate </w:t>
      </w:r>
      <w:r w:rsidR="00E666BA" w:rsidRPr="00460EDD">
        <w:t xml:space="preserve">report </w:t>
      </w:r>
      <w:r w:rsidRPr="00460EDD">
        <w:t xml:space="preserve">forms apply to </w:t>
      </w:r>
      <w:r w:rsidR="00DB7D09" w:rsidRPr="00460EDD">
        <w:t xml:space="preserve">(1) </w:t>
      </w:r>
      <w:r w:rsidR="00517B6F" w:rsidRPr="00460EDD">
        <w:t>institutions</w:t>
      </w:r>
      <w:r w:rsidRPr="00460EDD">
        <w:t xml:space="preserve"> that have domestic and foreign offices </w:t>
      </w:r>
      <w:r w:rsidR="00DB7D09" w:rsidRPr="00460EDD">
        <w:t xml:space="preserve">and institutions with domestic offices only and consolidated total assets of $100 billion or more </w:t>
      </w:r>
      <w:r w:rsidRPr="00460EDD">
        <w:t>(FFIEC 031)</w:t>
      </w:r>
      <w:r w:rsidR="00BA75EF" w:rsidRPr="00460EDD">
        <w:t>,</w:t>
      </w:r>
      <w:r w:rsidRPr="00460EDD">
        <w:t xml:space="preserve"> </w:t>
      </w:r>
      <w:r w:rsidR="00DB7D09" w:rsidRPr="00460EDD">
        <w:t xml:space="preserve">(2) </w:t>
      </w:r>
      <w:r w:rsidR="00517B6F" w:rsidRPr="00460EDD">
        <w:t>institutions</w:t>
      </w:r>
      <w:r w:rsidR="00DB7D09" w:rsidRPr="00460EDD">
        <w:t xml:space="preserve"> with domestic offices only and consolidated total assets less than $100 billion, except those institutions that file the FFIEC 051 </w:t>
      </w:r>
      <w:r w:rsidRPr="00460EDD">
        <w:t>(FFIEC 041</w:t>
      </w:r>
      <w:r w:rsidR="00BA75EF" w:rsidRPr="00460EDD">
        <w:t>),</w:t>
      </w:r>
      <w:r w:rsidR="00E666BA" w:rsidRPr="00460EDD">
        <w:t xml:space="preserve"> and </w:t>
      </w:r>
      <w:r w:rsidR="00DB7D09" w:rsidRPr="00460EDD">
        <w:t>(3) </w:t>
      </w:r>
      <w:r w:rsidR="00BA75EF" w:rsidRPr="00460EDD">
        <w:t>institutions</w:t>
      </w:r>
      <w:r w:rsidR="00E666BA" w:rsidRPr="00460EDD">
        <w:t xml:space="preserve"> with </w:t>
      </w:r>
      <w:r w:rsidR="00BA75EF" w:rsidRPr="00460EDD">
        <w:t xml:space="preserve">domestic offices only and </w:t>
      </w:r>
      <w:r w:rsidR="00E666BA" w:rsidRPr="00460EDD">
        <w:t>total assets less than $1 billion</w:t>
      </w:r>
      <w:r w:rsidR="00BA75EF" w:rsidRPr="00460EDD">
        <w:t xml:space="preserve"> not otherwise required to file the FFIEC 041</w:t>
      </w:r>
      <w:r w:rsidR="00E666BA" w:rsidRPr="00460EDD">
        <w:t xml:space="preserve"> </w:t>
      </w:r>
      <w:r w:rsidR="00BA75EF" w:rsidRPr="00460EDD">
        <w:t>(</w:t>
      </w:r>
      <w:r w:rsidR="00E666BA" w:rsidRPr="00460EDD">
        <w:t>FFIEC 051</w:t>
      </w:r>
      <w:r w:rsidRPr="00460EDD">
        <w:t>).</w:t>
      </w:r>
      <w:r w:rsidR="00A735ED" w:rsidRPr="00460EDD">
        <w:t xml:space="preserve">  Under the current proposal, the asset-size criterion for eligibility to file the FFIEC 051 would be expanded to institutions with total assets less than $5 billion.  </w:t>
      </w:r>
    </w:p>
    <w:p w:rsidR="00C46827" w:rsidRPr="00460EDD" w:rsidRDefault="00C46827"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rPr>
          <w:color w:val="000000"/>
        </w:rPr>
        <w:t xml:space="preserve">The amount of data required to be reported varies between the </w:t>
      </w:r>
      <w:r w:rsidR="0053599A" w:rsidRPr="00460EDD">
        <w:rPr>
          <w:color w:val="000000"/>
        </w:rPr>
        <w:t>three</w:t>
      </w:r>
      <w:r w:rsidRPr="00460EDD">
        <w:rPr>
          <w:color w:val="000000"/>
        </w:rPr>
        <w:t xml:space="preserve"> versions of the report form, with the </w:t>
      </w:r>
      <w:r w:rsidR="00DB7D09" w:rsidRPr="00460EDD">
        <w:rPr>
          <w:color w:val="000000"/>
        </w:rPr>
        <w:t xml:space="preserve">FFIEC 031 </w:t>
      </w:r>
      <w:r w:rsidRPr="00460EDD">
        <w:rPr>
          <w:color w:val="000000"/>
        </w:rPr>
        <w:t xml:space="preserve">report form </w:t>
      </w:r>
      <w:r w:rsidR="00DB7D09" w:rsidRPr="00460EDD">
        <w:rPr>
          <w:color w:val="000000"/>
        </w:rPr>
        <w:t xml:space="preserve">that, in general, is filed by the largest </w:t>
      </w:r>
      <w:r w:rsidR="00517B6F" w:rsidRPr="00460EDD">
        <w:rPr>
          <w:color w:val="000000"/>
        </w:rPr>
        <w:t>institutions</w:t>
      </w:r>
      <w:r w:rsidRPr="00460EDD">
        <w:rPr>
          <w:color w:val="000000"/>
        </w:rPr>
        <w:t xml:space="preserve"> </w:t>
      </w:r>
      <w:r w:rsidR="00DB7D09" w:rsidRPr="00460EDD">
        <w:rPr>
          <w:color w:val="000000"/>
        </w:rPr>
        <w:t xml:space="preserve">(i.e., institutions </w:t>
      </w:r>
      <w:r w:rsidRPr="00460EDD">
        <w:rPr>
          <w:color w:val="000000"/>
        </w:rPr>
        <w:t xml:space="preserve">with domestic and foreign offices </w:t>
      </w:r>
      <w:r w:rsidR="00DB7D09" w:rsidRPr="00460EDD">
        <w:t>and institutions with domestic offices only and consolidated total assets of $100 billion or more</w:t>
      </w:r>
      <w:r w:rsidRPr="00460EDD">
        <w:rPr>
          <w:color w:val="000000"/>
        </w:rPr>
        <w:t xml:space="preserve">) </w:t>
      </w:r>
      <w:r w:rsidR="0053599A" w:rsidRPr="00460EDD">
        <w:rPr>
          <w:color w:val="000000"/>
        </w:rPr>
        <w:t xml:space="preserve">having more data items than </w:t>
      </w:r>
      <w:r w:rsidR="00DB7D09" w:rsidRPr="00460EDD">
        <w:rPr>
          <w:color w:val="000000"/>
        </w:rPr>
        <w:t>the FFIEC 041 and FFIEC 051</w:t>
      </w:r>
      <w:r w:rsidR="0053599A" w:rsidRPr="00460EDD">
        <w:rPr>
          <w:color w:val="000000"/>
        </w:rPr>
        <w:t xml:space="preserve"> </w:t>
      </w:r>
      <w:r w:rsidRPr="00460EDD">
        <w:rPr>
          <w:color w:val="000000"/>
        </w:rPr>
        <w:t xml:space="preserve">report forms </w:t>
      </w:r>
      <w:r w:rsidR="00DB7D09" w:rsidRPr="00460EDD">
        <w:rPr>
          <w:color w:val="000000"/>
        </w:rPr>
        <w:t xml:space="preserve">that, in general, are filed by smaller </w:t>
      </w:r>
      <w:r w:rsidR="00517B6F" w:rsidRPr="00460EDD">
        <w:rPr>
          <w:color w:val="000000"/>
        </w:rPr>
        <w:t>institutions</w:t>
      </w:r>
      <w:r w:rsidR="00DB7D09" w:rsidRPr="00460EDD">
        <w:rPr>
          <w:color w:val="000000"/>
        </w:rPr>
        <w:t>, i.e., institutions with domestic offices only and consolidated total assets less than $100 billion.  Further</w:t>
      </w:r>
      <w:r w:rsidRPr="00460EDD">
        <w:rPr>
          <w:color w:val="000000"/>
        </w:rPr>
        <w:t xml:space="preserve">more, </w:t>
      </w:r>
      <w:r w:rsidR="0053599A" w:rsidRPr="00460EDD">
        <w:rPr>
          <w:color w:val="000000"/>
        </w:rPr>
        <w:t xml:space="preserve">within the FFIEC 041 report form, </w:t>
      </w:r>
      <w:r w:rsidRPr="00460EDD">
        <w:rPr>
          <w:color w:val="000000"/>
        </w:rPr>
        <w:t xml:space="preserve">the amount of data </w:t>
      </w:r>
      <w:r w:rsidRPr="00460EDD">
        <w:rPr>
          <w:color w:val="000000"/>
        </w:rPr>
        <w:lastRenderedPageBreak/>
        <w:t xml:space="preserve">required to be reported varies, primarily based on the size of </w:t>
      </w:r>
      <w:r w:rsidR="00D324B2" w:rsidRPr="00460EDD">
        <w:rPr>
          <w:color w:val="000000"/>
        </w:rPr>
        <w:t>an</w:t>
      </w:r>
      <w:r w:rsidRPr="00460EDD">
        <w:rPr>
          <w:color w:val="000000"/>
        </w:rPr>
        <w:t xml:space="preserve"> </w:t>
      </w:r>
      <w:r w:rsidR="00517B6F" w:rsidRPr="00460EDD">
        <w:rPr>
          <w:color w:val="000000"/>
        </w:rPr>
        <w:t>institution</w:t>
      </w:r>
      <w:r w:rsidRPr="00460EDD">
        <w:rPr>
          <w:color w:val="000000"/>
        </w:rPr>
        <w:t xml:space="preserve">, but also in some cases based on activity levels.  </w:t>
      </w:r>
      <w:r w:rsidR="0053599A" w:rsidRPr="00460EDD">
        <w:rPr>
          <w:color w:val="000000"/>
        </w:rPr>
        <w:t xml:space="preserve">The FFIEC 051 report form is a </w:t>
      </w:r>
      <w:r w:rsidR="00BA75EF" w:rsidRPr="00460EDD">
        <w:rPr>
          <w:color w:val="000000"/>
        </w:rPr>
        <w:t xml:space="preserve">significantly </w:t>
      </w:r>
      <w:r w:rsidR="0053599A" w:rsidRPr="00460EDD">
        <w:rPr>
          <w:color w:val="000000"/>
        </w:rPr>
        <w:t>streamlined version of the FFIEC 041</w:t>
      </w:r>
      <w:r w:rsidR="004D49FC" w:rsidRPr="00460EDD">
        <w:rPr>
          <w:color w:val="000000"/>
        </w:rPr>
        <w:t xml:space="preserve"> that includes </w:t>
      </w:r>
      <w:r w:rsidR="00160A78" w:rsidRPr="00460EDD">
        <w:rPr>
          <w:color w:val="000000"/>
        </w:rPr>
        <w:t>a number of</w:t>
      </w:r>
      <w:r w:rsidR="004D49FC" w:rsidRPr="00460EDD">
        <w:rPr>
          <w:color w:val="000000"/>
        </w:rPr>
        <w:t xml:space="preserve"> data items that are collected less frequently quarterly</w:t>
      </w:r>
      <w:r w:rsidR="00160A78" w:rsidRPr="00460EDD">
        <w:rPr>
          <w:color w:val="000000"/>
        </w:rPr>
        <w:t>,</w:t>
      </w:r>
      <w:r w:rsidR="0053599A" w:rsidRPr="00460EDD">
        <w:rPr>
          <w:color w:val="000000"/>
        </w:rPr>
        <w:t xml:space="preserve"> but the amount of data required in the FFIEC 051 also varies depending on the size of an institution and activity levels.</w:t>
      </w:r>
      <w:r w:rsidR="00A735ED" w:rsidRPr="00460EDD">
        <w:rPr>
          <w:color w:val="000000"/>
        </w:rPr>
        <w:t xml:space="preserve">  </w:t>
      </w:r>
      <w:r w:rsidR="00160A78" w:rsidRPr="00460EDD">
        <w:rPr>
          <w:color w:val="000000"/>
        </w:rPr>
        <w:t>Under this proposal, t</w:t>
      </w:r>
      <w:r w:rsidR="004D49FC" w:rsidRPr="00460EDD">
        <w:t xml:space="preserve">he agencies are proposing to reduce the reporting frequency of certain existing data items in the FFIEC 051 Call Report from quarterly to semiannual reporting.  </w:t>
      </w:r>
      <w:r w:rsidR="00A735ED" w:rsidRPr="00460EDD">
        <w:rPr>
          <w:color w:val="000000"/>
        </w:rPr>
        <w:t xml:space="preserve"> </w:t>
      </w:r>
      <w:r w:rsidR="0053599A" w:rsidRPr="00460EDD">
        <w:rPr>
          <w:color w:val="000000"/>
        </w:rPr>
        <w:t xml:space="preserve">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036B3A" w:rsidRPr="00460EDD" w:rsidRDefault="002428BD" w:rsidP="002428BD">
      <w:r w:rsidRPr="00460EDD">
        <w:rPr>
          <w:u w:val="single"/>
        </w:rPr>
        <w:t>Proposed Revisions That are the Subject of This Proposal</w:t>
      </w:r>
      <w:r w:rsidRPr="00460EDD">
        <w:t xml:space="preserve"> </w:t>
      </w:r>
    </w:p>
    <w:p w:rsidR="00036B3A" w:rsidRPr="00460EDD" w:rsidRDefault="00036B3A" w:rsidP="002428BD"/>
    <w:p w:rsidR="00DC23C5" w:rsidRPr="00460EDD" w:rsidRDefault="00DC23C5" w:rsidP="00DC23C5">
      <w:pPr>
        <w:contextualSpacing/>
        <w:rPr>
          <w:i/>
        </w:rPr>
      </w:pPr>
      <w:r w:rsidRPr="00460EDD">
        <w:rPr>
          <w:i/>
        </w:rPr>
        <w:t>Overview</w:t>
      </w:r>
    </w:p>
    <w:p w:rsidR="00DC23C5" w:rsidRPr="00460EDD" w:rsidRDefault="00DC23C5" w:rsidP="00DC23C5">
      <w:pPr>
        <w:contextualSpacing/>
      </w:pPr>
    </w:p>
    <w:p w:rsidR="00DC23C5" w:rsidRPr="00460EDD" w:rsidRDefault="00DC23C5" w:rsidP="00DC23C5">
      <w:pPr>
        <w:contextualSpacing/>
      </w:pPr>
      <w:r w:rsidRPr="00460EDD">
        <w:t>First, the agencies are proposing to revise the criteria for determining whether an institution is eligible to file the FFIEC 051 Call Report to match the criteria in the proposed rule.  While the proposed rule provides for reduced reporting on reports filed for the first and third calendar quarters, the agencies also propose to revise the eligibility criteria to extend to all eligible institutions with less than $5 billion in total assets that meet other criteria in the rule the option to file the FFIEC 051 Call Report for all four calendar quarters.  Therefore, if an institution is eligible to file the FFIEC 051 Call Report for the first and third calendar quarters pursuant to the rule, the institution also could file the FFIEC 051 Call Report for the second and fourth calendar quarters provided the institution continues to meet the non-asset-size criteria.  The revisions to the filing eligibility would be made in the General Instructions section of the Call Report instructions and would include the increase in the asset</w:t>
      </w:r>
      <w:r w:rsidR="00460EDD">
        <w:t>-size threshold to less than $5 </w:t>
      </w:r>
      <w:r w:rsidRPr="00460EDD">
        <w:t>billion in total assets as well as the addition of a criterion to exclude institutions that are treated as large or highly complex institutions for deposit insurance assessment purposes.  The Call Report instructions currently provide that, beginning with the first quarterly report date following the effective date of a business combination, a transaction between entities under common control, or a branch acquisition that is not a business combination involving an institution and one or more other depository institutions, the resulting institution, regardless of its size prior to the transaction, must file the FFIEC 041 Call Report if its consolidated total assets after the consummation of the transaction are $1 billion or more.  The agencies are proposing to remove this provision from the instructions, but the resulting institution may be required to file the FFIEC 041 Call Report consistent with the reservation of authority in the rule.  Based on June 30, 2018, Call Report data, there were 547 institutions with $1 bi</w:t>
      </w:r>
      <w:r w:rsidR="00460EDD">
        <w:t>llion or more, but less than $5 </w:t>
      </w:r>
      <w:r w:rsidRPr="00460EDD">
        <w:t>billion in total assets that likely would meet the definition of “covered depository institution” in the proposed rule.</w:t>
      </w:r>
    </w:p>
    <w:p w:rsidR="00DC23C5" w:rsidRPr="00460EDD" w:rsidRDefault="00DC23C5" w:rsidP="00DC23C5">
      <w:pPr>
        <w:contextualSpacing/>
      </w:pPr>
    </w:p>
    <w:p w:rsidR="00460EDD" w:rsidRDefault="00DC23C5" w:rsidP="00DC23C5">
      <w:pPr>
        <w:contextualSpacing/>
      </w:pPr>
      <w:r w:rsidRPr="00460EDD">
        <w:t xml:space="preserve">Second, the agencies are proposing to revise the reporting frequency and applicability of certain data items in the FFIEC 051 Call Report.  Specifically, the agencies are proposing to reduce the reporting frequency of certain existing data items in the FFIEC 051 Call Report from quarterly to semiannual reporting.  This proposal would reduce reporting in </w:t>
      </w:r>
    </w:p>
    <w:p w:rsidR="00460EDD" w:rsidRDefault="00460EDD">
      <w:r>
        <w:br w:type="page"/>
      </w:r>
    </w:p>
    <w:p w:rsidR="00DC23C5" w:rsidRPr="00460EDD" w:rsidRDefault="00DC23C5" w:rsidP="00DC23C5">
      <w:pPr>
        <w:contextualSpacing/>
      </w:pPr>
      <w:r w:rsidRPr="00460EDD">
        <w:t>the first and third calendar quarters by 502 data items</w:t>
      </w:r>
      <w:r w:rsidRPr="00460EDD">
        <w:rPr>
          <w:rStyle w:val="FootnoteReference"/>
        </w:rPr>
        <w:footnoteReference w:id="1"/>
      </w:r>
      <w:r w:rsidRPr="00460EDD">
        <w:t xml:space="preserve"> or </w:t>
      </w:r>
      <w:r w:rsidR="00460EDD">
        <w:t>a reduction of approximately 37 </w:t>
      </w:r>
      <w:r w:rsidRPr="00460EDD">
        <w:t>percent of the data items included in the June 30, 2018, FFIEC 051 Call Report.</w:t>
      </w:r>
    </w:p>
    <w:p w:rsidR="00DC23C5" w:rsidRPr="00460EDD" w:rsidRDefault="00DC23C5" w:rsidP="00DC23C5">
      <w:pPr>
        <w:contextualSpacing/>
      </w:pPr>
    </w:p>
    <w:p w:rsidR="00DC23C5" w:rsidRPr="00460EDD" w:rsidRDefault="00DC23C5" w:rsidP="00DC23C5">
      <w:pPr>
        <w:contextualSpacing/>
      </w:pPr>
      <w:r w:rsidRPr="00460EDD">
        <w:t>Third, for covered depository institutions with total assets of $1 billion or more, but less than $5 billion, the agencies are proposing to add to the FFIEC 051 Call Report certain data items that these institutions currently report on the FFIEC 041 Call Report, but generally with reduced reporting frequency.  The agencies are proposing to add these items to meet the agencies’ data needs and assist the agencies in fulfilling their missions of ensuring the safety and soundness of depository institutions and the financial system, as well as the protection of consumer financial rights and providing deposit insurance.</w:t>
      </w:r>
    </w:p>
    <w:p w:rsidR="00DC23C5" w:rsidRPr="00460EDD" w:rsidRDefault="00DC23C5" w:rsidP="00DC23C5">
      <w:pPr>
        <w:contextualSpacing/>
      </w:pPr>
    </w:p>
    <w:p w:rsidR="00DC23C5" w:rsidRPr="00460EDD" w:rsidRDefault="00DC23C5" w:rsidP="00DC23C5">
      <w:pPr>
        <w:contextualSpacing/>
        <w:rPr>
          <w:i/>
        </w:rPr>
      </w:pPr>
      <w:r w:rsidRPr="00460EDD">
        <w:rPr>
          <w:i/>
        </w:rPr>
        <w:t>Changes to the Frequency of Data Collection in the FFIEC 051 Call Report</w:t>
      </w:r>
    </w:p>
    <w:p w:rsidR="00DC23C5" w:rsidRPr="00460EDD" w:rsidRDefault="00DC23C5" w:rsidP="00DC23C5">
      <w:pPr>
        <w:contextualSpacing/>
      </w:pPr>
    </w:p>
    <w:p w:rsidR="00DC23C5" w:rsidRPr="00460EDD" w:rsidRDefault="00DC23C5" w:rsidP="00DC23C5">
      <w:pPr>
        <w:contextualSpacing/>
      </w:pPr>
      <w:r w:rsidRPr="00460EDD">
        <w:t>The agencies are proposing to reduce the frequency of the following items on the FFIEC 051 Call Report from quarterly to semiannual (i.e., these items would be reported in the June 30 and December 31 Call Reports only):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RI, Income Statement, Memorandum item 14.</w:t>
      </w:r>
      <w:r w:rsidRPr="00460EDD">
        <w:rPr>
          <w:rFonts w:ascii="Times New Roman" w:hAnsi="Times New Roman"/>
        </w:rPr>
        <w:t xml:space="preserve">  Institutions currently report the amount of other-than-temporary impairment losses on certain debt securities that are recognized through earnings in this Memorandum item.  The agencies do not believe it is necessary for institutions eligible to file the FFIEC 051 Call Report to continue to provide this amount on a quarterly basis, as most of these institutions are not currently reporting losses in this item given current economic conditions.  The agencies note that changes in the accounting for credit losses will eliminate the need for this item for an ever increasing percentage of institutions through year-end 2022.  In the interim, the agencies can review other-than-temporary impairment information for the first and third calendar quarters, as necessary, as part of on-site examinations or through other periodic monitoring.</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RC-C, Part I, Loans and Leases, Memorandum items 1.a through 1.f, and Schedule RC-N, Past Due and Nonaccrual Loans, Leases, and Other Assets, Memorandum items 1.a through 1.f.</w:t>
      </w:r>
      <w:r w:rsidRPr="00460EDD">
        <w:rPr>
          <w:rFonts w:ascii="Times New Roman" w:hAnsi="Times New Roman"/>
        </w:rPr>
        <w:t xml:space="preserve">  Institutions currently report breakdowns of troubled debt restructurings by loan category, separately for those restructurings in compliance with their modified terms in Schedule RC-C and those restructurings that are past due 30 days or more or in nonaccrual status in Schedule RC-N.  Institutions would still be required to report the totals for their troubled debt restructurings in Schedule RC-C, Part I, Memorandum item 1.g, and Schedule RC-N, Memorandum item 1.g, on a quarterly basis.  The agencies do not believe it is necessary for institutions eligible to file the FFIEC 051 Call Report to continue to provide the breakdowns of troubled debt restructurings on a quarterly basis.  The agencies can review information on troubled debt restructurings by loan category for the first and third quarters as part of on-site examinations or through other periodic monitoring, as necessary.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RC-E, Deposit Liabilities, Memorandum item 1.a.</w:t>
      </w:r>
      <w:r w:rsidRPr="00460EDD">
        <w:rPr>
          <w:rFonts w:ascii="Times New Roman" w:hAnsi="Times New Roman"/>
        </w:rPr>
        <w:t xml:space="preserve">  Institutions currently report the total amount of Individual Retirement Account and Keogh plan deposits in this Memorandum item.  The agencies do not believe it is necessary for institutions eligible to file the FFIEC 051 Call Report to continue to provide these amounts on a quarterly basis as this item generally does not fluctuate significantly between quarters for most eligible institutions.  The agencies can review information on these deposits for the first and third quarters as part of on-site examinations or through other periodic monitoring, as necessary.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RC-E, Memorandum item 5.</w:t>
      </w:r>
      <w:r w:rsidRPr="00460EDD">
        <w:rPr>
          <w:rFonts w:ascii="Times New Roman" w:hAnsi="Times New Roman"/>
        </w:rPr>
        <w:t xml:space="preserve">  Institutions currently report whether they offer consumer deposit products in this Memorandum item.  The agencies do not believe it is necessary for institutions eligible to file the FFIEC 051 Call Report to continue to provide this information on a quarterly basis, as this item does not change frequently for most eligible institutions.</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RC-M, Memoranda, items 8.a through 8.c.</w:t>
      </w:r>
      <w:r w:rsidRPr="00460EDD">
        <w:rPr>
          <w:rFonts w:ascii="Times New Roman" w:hAnsi="Times New Roman"/>
        </w:rPr>
        <w:t xml:space="preserve">  In these items, institutions currently report their primary Internet website address, addresses for other websites used to solicit deposits, and alternate trade names used by the institutions.  The agencies do not believe it is necessary for institutions eligible to file the FFIEC 051 Call Report to continue to provide this information on a quarterly basis as these items do not change frequently for most eligible institutions.</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RC-R, Part II, Regulatory Capital Risk-Weighted Assets, items 1 through 25, columns A through S.</w:t>
      </w:r>
      <w:r w:rsidRPr="00460EDD">
        <w:rPr>
          <w:rFonts w:ascii="Times New Roman" w:hAnsi="Times New Roman"/>
        </w:rPr>
        <w:t xml:space="preserve">  In these items, institutions currently report detailed information about the risk-weighting of various types of assets and other exposures under the agencies’ regulatory capital rules.  Institutions still would need to calculate risk-weighted assets, maintain appropriate documentation for this calculation, and report items 26 through 31 of Part II, if applicable, on a quarterly basis.  The agencies do not believe it is necessary for institutions eligible to file the FFIEC 051 Call Report to continue to provide the details of their risk-weighting allocations and calculations in Schedule RC-R, Part II, on a quarterly basis as the agencies can adequately review regulatory capital calculations for the first and third calendar quarters as part of on-site examinations or through other types of periodic monitoring, as necessary.</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RC-R, Part II, Memorandum items 1 through 3, including all subitems and columns.</w:t>
      </w:r>
      <w:r w:rsidRPr="00460EDD">
        <w:rPr>
          <w:rFonts w:ascii="Times New Roman" w:hAnsi="Times New Roman"/>
        </w:rPr>
        <w:t xml:space="preserve">  Institutions currently report detailed information in these items about derivative exposures that are elements of the risk-weighting process for these exposures.  The agencies do not believe it is necessary for institutions eligible to file the FFIEC 051 Call Report to continue to report these amounts on a quarterly basis.  Generally, institutions eligible to file the FFIEC 051 Call Report do not have a significant amount of derivatives contracts, and the agencies can review information about institutions’ risk-weighting calculations for derivative exposures for the first and third calendar quarters, as necessary, as part of on-site examinations or through other periodic monitoring.</w:t>
      </w:r>
    </w:p>
    <w:p w:rsidR="00DC23C5" w:rsidRPr="00460EDD" w:rsidRDefault="00DC23C5" w:rsidP="00DC23C5">
      <w:pPr>
        <w:pStyle w:val="ListParagraph"/>
        <w:widowControl w:val="0"/>
        <w:numPr>
          <w:ilvl w:val="0"/>
          <w:numId w:val="6"/>
        </w:numPr>
        <w:autoSpaceDE w:val="0"/>
        <w:autoSpaceDN w:val="0"/>
        <w:adjustRightInd w:val="0"/>
        <w:spacing w:after="0"/>
        <w:ind w:left="360"/>
        <w:rPr>
          <w:rFonts w:ascii="Times New Roman" w:hAnsi="Times New Roman"/>
        </w:rPr>
      </w:pPr>
      <w:r w:rsidRPr="00460EDD">
        <w:rPr>
          <w:rFonts w:ascii="Times New Roman" w:hAnsi="Times New Roman"/>
          <w:i/>
        </w:rPr>
        <w:t>Schedule RC-T, Fiduciary and Related Services, items 4 through 13, columns A through D; items 14 through 22; and Memorandum items 3.a through 3.h, for institutions with total fiduciary assets greater than $250 million but less than or equal to $1 billion, and gross fiduciary and related services income less than or equal to 10 percent of total revenue.</w:t>
      </w:r>
      <w:r w:rsidRPr="00460EDD">
        <w:rPr>
          <w:rStyle w:val="FootnoteReference"/>
          <w:rFonts w:ascii="Times New Roman" w:hAnsi="Times New Roman"/>
        </w:rPr>
        <w:footnoteReference w:id="2"/>
      </w:r>
      <w:r w:rsidRPr="00460EDD">
        <w:rPr>
          <w:rFonts w:ascii="Times New Roman" w:hAnsi="Times New Roman"/>
        </w:rPr>
        <w:t xml:space="preserve">  Items 4 through 13 collect breakdowns for managed and non-managed accounts of the assets and number of accounts by type of fiduciary account.  Fiduciary and related services income by type of fiduciary account is reported in items 14 and 22.  Memorandum item 3 is used for reporting on the number and market value of collective investment funds.  Currently, institutions with total fiduciary assets greater than $250 million or with fiduciary income greater than 10 percent of total revenue must report these items on a quarterly basis.  The proposed change would reduce the reporting of these items to semiannual for institutions with total fiduciary assets greater than $250 million but less than or equal to $1 billion and with fiduciary income less than or equal to 10 percent of total revenue.  Institutions with total fiduciary assets less than or equal to $250 million that do not meet the fiduciary income test already have reduced reporting for these items (either through an exemption or annual reporting).  The agencies do not believe it is necessary for institutions eligible to file the FFIEC 051 Call Report with total fiduciary assets greater than $250 million but less than or equal to $1 billion that do not meet the fiduciary income test to continue to provide managed and non-managed account data and collective investment fund information on a quarterly basis, as these items generally do not fluctuate significantly between quarters for institutions with fiduciary assets in this size range.  In addition, when quarter-to-quarter and year-over-year comparisons of an institution’s year-to-date income from fiduciary activities, as reported in the Call Report income statement, raise supervisory concerns, the agencies can review information on the composition of fiduciary income for the first and third calendar quarters as part of on-site examinations or through other periodic monitoring.</w:t>
      </w:r>
    </w:p>
    <w:p w:rsidR="00DC23C5" w:rsidRPr="00460EDD" w:rsidRDefault="00DC23C5" w:rsidP="00DC23C5">
      <w:pPr>
        <w:contextualSpacing/>
      </w:pPr>
    </w:p>
    <w:p w:rsidR="00DC23C5" w:rsidRPr="00460EDD" w:rsidRDefault="00DC23C5" w:rsidP="00DC23C5">
      <w:pPr>
        <w:contextualSpacing/>
      </w:pPr>
      <w:r w:rsidRPr="00460EDD">
        <w:t>Detail for each affected data item described above is shown in Appendix A.</w:t>
      </w:r>
    </w:p>
    <w:p w:rsidR="00DC23C5" w:rsidRPr="00460EDD" w:rsidRDefault="00DC23C5" w:rsidP="00DC23C5">
      <w:pPr>
        <w:contextualSpacing/>
      </w:pPr>
    </w:p>
    <w:p w:rsidR="00DC23C5" w:rsidRPr="00460EDD" w:rsidRDefault="00DC23C5" w:rsidP="00DC23C5">
      <w:pPr>
        <w:contextualSpacing/>
        <w:rPr>
          <w:i/>
        </w:rPr>
      </w:pPr>
      <w:r w:rsidRPr="00460EDD">
        <w:rPr>
          <w:i/>
        </w:rPr>
        <w:t>Addition of Data Items to the FFIEC 051 Call Report for Institutions with Total Assets of $1 Billion or More</w:t>
      </w:r>
    </w:p>
    <w:p w:rsidR="00DC23C5" w:rsidRPr="00460EDD" w:rsidRDefault="00DC23C5" w:rsidP="00DC23C5">
      <w:pPr>
        <w:contextualSpacing/>
      </w:pPr>
    </w:p>
    <w:p w:rsidR="00DC23C5" w:rsidRPr="00460EDD" w:rsidRDefault="00DC23C5" w:rsidP="00A735ED">
      <w:pPr>
        <w:contextualSpacing/>
      </w:pPr>
      <w:r w:rsidRPr="00460EDD">
        <w:t>The agencies are proposing to add certain data items to the FFIEC 051 Call Report that would apply only to covered depository institutions with total assets of $1 billion or more.  These items are currently reported by institutions with total assets of $1 billion or more that file the FFIEC 031 or FFIEC 041 Call Report, but they are not required to be completed by institutions with less than $1 billion in total assets that file the FFIEC 031, FFIEC 041, or FFIEC 051 Call Reports.  Therefore, the additional data items would not represent new data items for covered depository institutions with total assets of $1 billion or more, but rather are items carried over from the FFIEC 041 version of the Call Report, generally using the same definitions and calculations and with reduced reporting frequency.</w:t>
      </w:r>
    </w:p>
    <w:p w:rsidR="00DC23C5" w:rsidRPr="00460EDD" w:rsidRDefault="00DC23C5" w:rsidP="00A735ED">
      <w:pPr>
        <w:contextualSpacing/>
      </w:pPr>
    </w:p>
    <w:p w:rsidR="00DC23C5" w:rsidRPr="00460EDD" w:rsidRDefault="00DC23C5" w:rsidP="00A735ED">
      <w:r w:rsidRPr="00460EDD">
        <w:rPr>
          <w:i/>
        </w:rPr>
        <w:t>Schedule RI, Memorandum items 15.a. through 15.d.</w:t>
      </w:r>
      <w:r w:rsidRPr="00460EDD">
        <w:t xml:space="preserve">  These items provide data on the three key categories of service charges on certain deposit accounts: overdraft-related service charges on consumer accounts, monthly maintenance charges on consumer accounts, and consumer ATM fees.  The agencies and the Bureau of Consumer Financial Protection (Bureau) propose to collect these items on an annual reporting frequency as they provide the only comprehensive data source from which supervisors and policymakers can estimate or evaluate the composition of consumer deposit account-related fees and how they affect consumers and a depository institution’s earnings stability.  The addition of these items to the Call Report in 2015 has supported the agencies and the Bureau in monitoring these types of transactional costs incurred by consumers.  The data specific to overdraft-related fees is particularly pertinent for supervisors and policymakers because they compose the majority of consumer deposit service charges (and for many institutions, of total deposit service charges).  Continuing to collect these data on an annual basis from covered depository institutions with $1 billion or more in total assets will support the agencies and the Bureau in monitoring these activities and informing any potential future rulemaking.  The agencies are proposing to add these items to the FFIEC 051 on an annual basis (December 31) for covered depository institutions with total assets of $1 billion or more that respond affirmatively to the screening question (Schedule RC-E, Memorandum item 5, regarding whether an institution offers a consumer deposit account product), while institutions with total assets less than $1 billion will not need to report these items regardless of their response to the screening question.  Institutions with total assets between $1 billion and less than $5 billion that file the FFIEC 041 Call Report currently report this information quarterly, so the proposed annual reporting would represent a frequency reduction for institutions filing the FFIEC 051 Call Report, while still meeting the agencies’ need for this information.</w:t>
      </w:r>
    </w:p>
    <w:p w:rsidR="00DC23C5" w:rsidRPr="00460EDD" w:rsidRDefault="00DC23C5" w:rsidP="00A735ED"/>
    <w:p w:rsidR="00DC23C5" w:rsidRPr="00460EDD" w:rsidRDefault="00DC23C5" w:rsidP="00A735ED">
      <w:r w:rsidRPr="00460EDD">
        <w:rPr>
          <w:i/>
        </w:rPr>
        <w:t>Schedule RI-C, Disaggregated Data on the Allowance for Loan and Lease Losses (ALLL).</w:t>
      </w:r>
      <w:r w:rsidRPr="00460EDD">
        <w:t xml:space="preserve">  The agencies are proposing to add a condensed version of the existing FFIEC 041 Schedule RI-C to the FFIEC 051 Call Report and reduce the reporting frequency of this condensed schedule from quarterly to semiannual (i.e., reported in the June 30 and December 31 Call Reports only).  The existing six columns in which institutions report the “recorded investment” and “related allowance” by loan category and allowance measurement method in Schedule RI-C in the FFIEC 041 Call Report would be combined into two columns in the FFIEC 051 Call Report, one for total recorded investment by loan category (sum of existing Columns A, C, and E) and the other for the total related allowance by loan category (su</w:t>
      </w:r>
      <w:r w:rsidR="00460EDD">
        <w:t>m of existing Columns B, D, and </w:t>
      </w:r>
      <w:r w:rsidRPr="00460EDD">
        <w:t>F) and any unallocated allowance.  Consistent with the agencies’ proposed revisions to the Call Report to address the changes in the accounting for credit losses resulting from the Financial Accounting Standards Board’s Accounting Standards Update 2016</w:t>
      </w:r>
      <w:r w:rsidR="00460EDD">
        <w:noBreakHyphen/>
      </w:r>
      <w:r w:rsidRPr="00460EDD">
        <w:t>13,</w:t>
      </w:r>
      <w:r w:rsidRPr="00460EDD">
        <w:rPr>
          <w:rStyle w:val="FootnoteReference"/>
        </w:rPr>
        <w:footnoteReference w:id="3"/>
      </w:r>
      <w:r w:rsidRPr="00460EDD">
        <w:t xml:space="preserve"> effective for the June 30, 2021, report date, text referencing “recorded investment” and “allowance for loan and lease losses” in the condensed version of the FFIEC 041 Schedule RI-C that would be added to the FFIEC 051 reporting form would be changed to “amortized cost” and “allowance for credit losses” (ACL), respectively.</w:t>
      </w:r>
      <w:r w:rsidRPr="00460EDD">
        <w:rPr>
          <w:rStyle w:val="FootnoteReference"/>
        </w:rPr>
        <w:footnoteReference w:id="4"/>
      </w:r>
      <w:r w:rsidRPr="00460EDD">
        <w:t xml:space="preserve">  From June 30, 2019, through December 31, 2020, the condensed allowance-related information on the FFIEC 051 Call Report and the related instructions would include guidance stating that institutions that have adopted ASU 2016-13 should report the amortized cost and related ACL by loan category (and any unallocated ACL).  For the transition period from June 30, 2021, through December 31, 2022, the reporting form and instructions for this condensed allowance-related information would be updated to include guidance stating that institutions that have not adopted ASU 2016-13 should report the “recorded investment” and the “allowance for loan and lease losses,” as applicable, in these items.  In addition, consistent with the proposed revisions to address the changes in accounting for credit losses, the agencies also propose adding data items for institutions to report the disaggregated allowance balances for each category of held-to-maturity (HTM) securities to the FFIEC 051.  The agencies believe the condensed semiannual information on the composition of ALLL (allowance for credit losses after adoption of ASU 2016-13) in relation to the total recorded investment (amortized cost after adoption of ASU 2016-13) for each loan category, and disaggregated information on HTM securities allowances, is necessary to adequately supervise covered depository institutions with total assets of $1 billion or more but less than $5 billion.  The information collected in Schedule RI-C as it is proposed to be included in the FFIEC 051 Call Report will support the agencies’ analyses of the allowance and credit risk management.  The data on allowance allocations by loan category, when reviewed in conjunction with the past due and nonaccrual data report</w:t>
      </w:r>
      <w:r w:rsidR="00460EDD">
        <w:t>ed by loan category in Schedule </w:t>
      </w:r>
      <w:r w:rsidRPr="00460EDD">
        <w:t>RC-N, which will continue to be reported on a quarterly basis, assist the agencies in assessing an institution’s credit risk exposures and evaluating the appropriateness of the overall level of its ALLL and its al</w:t>
      </w:r>
      <w:r w:rsidR="00460EDD">
        <w:t>locations by loan category.  If </w:t>
      </w:r>
      <w:r w:rsidRPr="00460EDD">
        <w:t>changes in the quarterly past due and nonaccrual data by loan category at individual institutions in quarters when the disaggregated allowance data would not be reported in the FFIEC 051 Call Report raise questions about the composition of the allowance, supervisory follow-up can be undertaken on a case-by-case basis.  The agencies note that many institutions with $1 billion or more but less than $5 billion in total assets do not publicly release quarterly financial statements, which makes the Call Report data the only information regularly available to the agencies on the composition of the allowance.  By providing this detail in the FFIEC 051 Call Report, which supports the identification of changes in the ALLL over time, examiners can better perform off-site monitoring of activity within the ALLL in periods between examinations and when planning for examinations.</w:t>
      </w:r>
    </w:p>
    <w:p w:rsidR="00DC23C5" w:rsidRPr="00460EDD" w:rsidRDefault="00DC23C5" w:rsidP="00A735ED"/>
    <w:p w:rsidR="00DC23C5" w:rsidRPr="00460EDD" w:rsidRDefault="00DC23C5" w:rsidP="00A735ED">
      <w:r w:rsidRPr="00460EDD">
        <w:rPr>
          <w:i/>
        </w:rPr>
        <w:t>Schedule RC-E, Memorandum items 6 and 7, including all subitems.</w:t>
      </w:r>
      <w:r w:rsidRPr="00460EDD">
        <w:t xml:space="preserve">  Institutions report disaggregated data on balances in consumer and non-consumer deposit accounts in these items.  These items are critical to the agencies’ and the Bureau’s consumer deposit product monitoring and rulemaking mandates for several reasons.  As noted in the agencies’ 2013 notice</w:t>
      </w:r>
      <w:r w:rsidRPr="00460EDD">
        <w:rPr>
          <w:rStyle w:val="FootnoteReference"/>
        </w:rPr>
        <w:footnoteReference w:id="5"/>
      </w:r>
      <w:r w:rsidRPr="00460EDD">
        <w:t xml:space="preserve"> proposing the addition of these items to the Call Report, surveys indicate that over 90 percent of U.S. households maintain at least one deposit account.  However, there are no other reliable sources from which to calculate the amount of funds held in consumer accounts.  The data now reported in these items on the Call Report significantly enhances the ability of the agencies and the Bureau to monitor how different tiers of banks serve consumers and, specifically, consumer use of deposit accounts as transactional, savings, and investment vehicles.  These data also permit the agencies to conduct improved assessments of institutional liquidity risk and significantly enhance the agencies’ ability to assess institutional funding stability.  The agencies are proposing to add these items to the FFIEC 051 on an annual basis (December 31) for institutions with total assets of $1 billion or more but less than $5 billion th</w:t>
      </w:r>
      <w:r w:rsidR="00460EDD">
        <w:t>at respond affirmatively to the </w:t>
      </w:r>
      <w:r w:rsidRPr="00460EDD">
        <w:t>screening question (Schedule RC-E, Memorandum item 5, regarding whether an institution offers a consumer deposit account product), while banks with total assets less than $1 billion will not need to report these items regardless of their response to the screening question.  Institutions with total assets of $1 b</w:t>
      </w:r>
      <w:r w:rsidR="00460EDD">
        <w:t>illion or more but less than $5 </w:t>
      </w:r>
      <w:r w:rsidRPr="00460EDD">
        <w:t>billion that file the FFIEC 041 currently report this information quarterly, so the proposed annual reporting would represent a frequency reduction for institutions filing the FFIEC 051, while still meeting the agencies’ need for this information.</w:t>
      </w:r>
    </w:p>
    <w:p w:rsidR="00DC23C5" w:rsidRPr="00460EDD" w:rsidRDefault="00DC23C5" w:rsidP="00A735ED"/>
    <w:p w:rsidR="00DC23C5" w:rsidRPr="00460EDD" w:rsidRDefault="00DC23C5" w:rsidP="00A735ED">
      <w:r w:rsidRPr="00460EDD">
        <w:rPr>
          <w:i/>
        </w:rPr>
        <w:t>Schedule RC-O, Other Data for Deposit Insurance and FICO Assessments, Memorandum item 2, “Estimated amount of uninsured deposits, including related interest accrued and unpaid.”</w:t>
      </w:r>
      <w:r w:rsidRPr="00460EDD">
        <w:t xml:space="preserve">  The agencies are proposing to add this data item on a quarterly basis for institutions with total assets of $1 billion or more but less than $5 billion.  The FDIC uses this data item for the calculation of estimated insured deposits, which is the denominator of the Deposit Insurance Fund (DIF) reserve ratio.  (The numerator is the balance of the DIF.)  The DIF reserve ratio is a key measure in assessing the adequacy and viability of the fund and is a driving force behind setting deposit insurance assessment rate schedules.  For example, the FDIC evaluates whether assessment rates are likely to be sufficient to meet statutory requirements related to the minimum reserve ratio.</w:t>
      </w:r>
      <w:r w:rsidRPr="00460EDD">
        <w:rPr>
          <w:rStyle w:val="FootnoteReference"/>
        </w:rPr>
        <w:footnoteReference w:id="6"/>
      </w:r>
      <w:r w:rsidRPr="00460EDD">
        <w:t xml:space="preserve">  The FDIC also has established a long-term DIF management plan that adjusts assessment rate schedules as the reserve ratio reaches certain levels.</w:t>
      </w:r>
      <w:r w:rsidRPr="00460EDD">
        <w:rPr>
          <w:rStyle w:val="FootnoteReference"/>
        </w:rPr>
        <w:footnoteReference w:id="7"/>
      </w:r>
      <w:r w:rsidRPr="00460EDD">
        <w:t xml:space="preserve">  Given that assessment regulations depend on the DIF reserve ratio, it is important that the best information be used in estimating insured deposits.  This item is necessary for a more accurate calculation of the DIF reserve ratio and to implement related statutory requirements.  This information is also important for safety and soundness purposes.  Uninsured deposit data are used to monitor liquidity in a stress event.  The higher the percentage of uninsured deposits to available liquidity sources, the greater the liquidity risk to an institution as uninsured depositors are more likely to quickly move funds at risk as a result of negative publicity or other adverse information about the institution.</w:t>
      </w:r>
    </w:p>
    <w:p w:rsidR="00DC23C5" w:rsidRPr="00460EDD" w:rsidRDefault="00DC23C5" w:rsidP="00A735ED">
      <w:pPr>
        <w:contextualSpacing/>
      </w:pPr>
    </w:p>
    <w:p w:rsidR="00DC23C5" w:rsidRPr="00460EDD" w:rsidRDefault="00DC23C5" w:rsidP="00A735ED">
      <w:pPr>
        <w:contextualSpacing/>
      </w:pPr>
      <w:r w:rsidRPr="00460EDD">
        <w:t>Detail for each affected data item described above is shown in Appendix B.</w:t>
      </w:r>
    </w:p>
    <w:p w:rsidR="00DC23C5" w:rsidRPr="00460EDD" w:rsidRDefault="00DC23C5" w:rsidP="00A735ED">
      <w:pPr>
        <w:contextualSpacing/>
      </w:pPr>
    </w:p>
    <w:p w:rsidR="00DC23C5" w:rsidRPr="00460EDD" w:rsidRDefault="00DC23C5" w:rsidP="00A735ED">
      <w:pPr>
        <w:contextualSpacing/>
      </w:pPr>
      <w:r w:rsidRPr="00460EDD">
        <w:t>The revisions to the FFIEC 051 Call Report described above are proposed to take effect as of the March 31, 2019, report date.  The less than $5 billion asset-size test for determining eligibility to file the FFIEC 051 Call Report beginning March 31, 2019, would be based on the total assets reported on an institution’s June 30, 2018, Call Report.  An institution eligible to file the FFIEC 051 Call Report also has the option to file the FFIEC 041 Call Report.  For an institution with less than $5 billion in total assets that qualifies to use the FFIEC 051 Call Report for the first time as a result of the agencies’ proposal to increase the asset reporting threshold for the FFIEC 051 Call Report from less than $1 billion to less than $5 billion, and that desires to use that report form but is unable to do so for the March 31, 2019, Call Report date, the institution may begin reporting on the FFIEC 051 Call Report as of the June 30, 2019, report date or in a subsequent calendar quarter of 2019.  Alternatively, the institution could wait until March 31, 2020, to begin reporting on the FFIEC 051 Call Report, assuming it meets the asset-size threshold for eligibility as of June 30, 2019, and meets the non-asset-size criteria as of March 31, 2020.  Beginning in 2020, an institution should file whichever version of the Call Report it was both eligible and chose to file in the first quarter of that year for the remainder of that year if it continues to meet the non-asset-size criteria.</w:t>
      </w:r>
    </w:p>
    <w:p w:rsidR="00DC23C5" w:rsidRPr="00460EDD" w:rsidRDefault="00DC23C5" w:rsidP="00DC23C5">
      <w:pPr>
        <w:contextualSpacing/>
      </w:pPr>
    </w:p>
    <w:p w:rsidR="002D2387" w:rsidRPr="00460EDD" w:rsidRDefault="002D2387" w:rsidP="00D324B2"/>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2.  </w:t>
      </w:r>
      <w:r w:rsidRPr="00460EDD">
        <w:rPr>
          <w:u w:val="single"/>
        </w:rPr>
        <w:t>Use of Information Collected</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The information collected in the Call Reports is used by the FDIC and the other federal bank</w:t>
      </w:r>
      <w:r w:rsidR="006570AF" w:rsidRPr="00460EDD">
        <w:t>ing</w:t>
      </w:r>
      <w:r w:rsidRPr="00460EDD">
        <w:t xml:space="preserve"> agencies both on an individual </w:t>
      </w:r>
      <w:r w:rsidR="006570AF" w:rsidRPr="00460EDD">
        <w:t>institution</w:t>
      </w:r>
      <w:r w:rsidRPr="00460EDD">
        <w:t xml:space="preserve"> basis and in aggregate form for supervisory, surveillance, regulatory, research, statistical, insurance assessment, and informational purposes.  Call Report data for all </w:t>
      </w:r>
      <w:r w:rsidR="006570AF" w:rsidRPr="00460EDD">
        <w:t>institutions</w:t>
      </w:r>
      <w:r w:rsidRPr="00460EDD">
        <w:t xml:space="preserve">, not just the </w:t>
      </w:r>
      <w:r w:rsidR="006570AF" w:rsidRPr="00460EDD">
        <w:t>institutions</w:t>
      </w:r>
      <w:r w:rsidRPr="00460EDD">
        <w:t xml:space="preserve"> under </w:t>
      </w:r>
      <w:r w:rsidR="006570AF" w:rsidRPr="00460EDD">
        <w:t>an individual banking agency’s</w:t>
      </w:r>
      <w:r w:rsidRPr="00460EDD">
        <w:t xml:space="preserve"> primary supervision, are available to each of the three banking agencies in order for each agency to have access to information for the </w:t>
      </w:r>
      <w:r w:rsidR="006570AF" w:rsidRPr="00460EDD">
        <w:t xml:space="preserve">insured depository institution </w:t>
      </w:r>
      <w:r w:rsidR="003B0251" w:rsidRPr="00460EDD">
        <w:t xml:space="preserve">system </w:t>
      </w:r>
      <w:r w:rsidRPr="00460EDD">
        <w:t>as a whole.</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The FDIC uses the data collected in the Call Reports extensively for supervisory and surveillance purposes in an effort to detect at an early date those </w:t>
      </w:r>
      <w:r w:rsidR="006570AF" w:rsidRPr="00460EDD">
        <w:t>institutions</w:t>
      </w:r>
      <w:r w:rsidRPr="00460EDD">
        <w:t xml:space="preserve"> that are experiencing deterioration or some other significant change in their condition</w:t>
      </w:r>
      <w:r w:rsidR="003A063D" w:rsidRPr="00460EDD">
        <w:t>, performance, or risk profile</w:t>
      </w:r>
      <w:r w:rsidRPr="00460EDD">
        <w:t xml:space="preserve">.  The underlying basis for this activity at the FDIC, as well as at the OCC and the FRB, is the goal of maintaining a safe and sound banking system and reducing the possibility of the failure of individual institutions and the concomitant exposure of the </w:t>
      </w:r>
      <w:r w:rsidR="006570AF" w:rsidRPr="00460EDD">
        <w:t>Deposit</w:t>
      </w:r>
      <w:r w:rsidRPr="00460EDD">
        <w:t xml:space="preserve"> </w:t>
      </w:r>
      <w:r w:rsidR="006570AF" w:rsidRPr="00460EDD">
        <w:t>I</w:t>
      </w:r>
      <w:r w:rsidRPr="00460EDD">
        <w:t xml:space="preserve">nsurance </w:t>
      </w:r>
      <w:r w:rsidR="006570AF" w:rsidRPr="00460EDD">
        <w:t>F</w:t>
      </w:r>
      <w:r w:rsidRPr="00460EDD">
        <w:t>und</w:t>
      </w:r>
      <w:r w:rsidR="006570AF" w:rsidRPr="00460EDD">
        <w:t xml:space="preserve"> administered by the FDIC</w:t>
      </w:r>
      <w:r w:rsidRPr="00460EDD">
        <w:t xml:space="preserve">.  The FDIC has two major surveillance programs (EWS and UBPR) for its use in performing off-site evaluation of the condition of </w:t>
      </w:r>
      <w:r w:rsidR="006570AF" w:rsidRPr="00460EDD">
        <w:t>banks and savings associations</w:t>
      </w:r>
      <w:r w:rsidRPr="00460EDD">
        <w:t>.  In addition, various quarterly management and supervisory reports used for off</w:t>
      </w:r>
      <w:r w:rsidR="0080408C" w:rsidRPr="00460EDD">
        <w:noBreakHyphen/>
      </w:r>
      <w:r w:rsidRPr="00460EDD">
        <w:t>site monitoring capabilities are available in web-based systems like ViSION (Virtual Supervisory Information on the Net) and distributed systems like ARIS (Automated Regional Information System).</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rPr>
          <w:u w:val="single"/>
        </w:rPr>
        <w:t>Early Warning Systems (EWS)</w:t>
      </w:r>
      <w:r w:rsidRPr="00460EDD">
        <w:t xml:space="preserve"> – The EWS is the FDIC’s umbrella of off-site surveillance models that are used to monitor the condition of insured institutions between regular </w:t>
      </w:r>
      <w:r w:rsidR="00471AEA" w:rsidRPr="00460EDD">
        <w:t>on-site</w:t>
      </w:r>
      <w:r w:rsidRPr="00460EDD">
        <w:t xml:space="preserve"> examinations.  Data collected from each </w:t>
      </w:r>
      <w:r w:rsidR="00471AEA" w:rsidRPr="00460EDD">
        <w:t>institution</w:t>
      </w:r>
      <w:r w:rsidRPr="00460EDD">
        <w:t xml:space="preserve">’s Call Report are subjected to a screening process in the EWS known as SCOR (Statistical CAMELS Off-site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000C59F7" w:rsidRPr="00460EDD">
        <w:t>monitor</w:t>
      </w:r>
      <w:r w:rsidRPr="00460EDD">
        <w:t xml:space="preserve"> risk to the banking and thrift system.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00471AEA" w:rsidRPr="00460EDD">
        <w:t>institutions</w:t>
      </w:r>
      <w:r w:rsidRPr="00460EDD">
        <w:t xml:space="preserve"> and institutions that failed during the New England crisis of the late 1980s and early 1990s.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Another part of the EWS includes the Uniform Bank Performance System (UBPS).  The UBPS is an on-line support subsystem that calculates for each </w:t>
      </w:r>
      <w:r w:rsidR="00471AEA" w:rsidRPr="00460EDD">
        <w:t>institution</w:t>
      </w:r>
      <w:r w:rsidRPr="00460EDD">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B900EA" w:rsidRPr="00460EDD" w:rsidRDefault="00DA5364" w:rsidP="00DA5364">
      <w:pPr>
        <w:tabs>
          <w:tab w:val="left" w:pos="-1440"/>
          <w:tab w:val="left" w:pos="-720"/>
          <w:tab w:val="left" w:pos="0"/>
          <w:tab w:val="left" w:pos="432"/>
          <w:tab w:val="left" w:pos="720"/>
          <w:tab w:val="left" w:pos="1008"/>
          <w:tab w:val="left" w:pos="1440"/>
        </w:tabs>
        <w:suppressAutoHyphens/>
      </w:pPr>
      <w:r w:rsidRPr="00460EDD">
        <w:rPr>
          <w:u w:val="single"/>
        </w:rPr>
        <w:t>Uniform Bank Performance Report (UBPR)</w:t>
      </w:r>
      <w:r w:rsidRPr="00460EDD">
        <w:t xml:space="preserve"> – This report is prepared quarterly for each insured </w:t>
      </w:r>
      <w:r w:rsidR="00471AEA" w:rsidRPr="00460EDD">
        <w:t>institution</w:t>
      </w:r>
      <w:r w:rsidRPr="00460EDD">
        <w:t xml:space="preserve"> from Call Report data and presents information for five periods on a</w:t>
      </w:r>
      <w:r w:rsidR="00471AEA" w:rsidRPr="00460EDD">
        <w:t>n institution</w:t>
      </w:r>
      <w:r w:rsidRPr="00460EDD">
        <w:t xml:space="preserve">’s performance and financial statement composition in the form of ratios, percentages, and dollar amounts.  Each UBPR also includes corresponding average data for the </w:t>
      </w:r>
      <w:r w:rsidR="00471AEA" w:rsidRPr="00460EDD">
        <w:t>institution</w:t>
      </w:r>
      <w:r w:rsidRPr="00460EDD">
        <w:t xml:space="preserve">’s peer group and percentile rankings for most ratios.  </w:t>
      </w:r>
      <w:r w:rsidR="00B900EA" w:rsidRPr="00460EDD">
        <w:t xml:space="preserve">In 2017, data visualization features (e.g., graphs and charts) were added to the UBPR to assist users in gaining further value from UBPR ratio data. </w:t>
      </w:r>
    </w:p>
    <w:p w:rsidR="00B900EA" w:rsidRPr="00460EDD" w:rsidRDefault="00B900EA"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The comparative and trend data contained in the</w:t>
      </w:r>
      <w:r w:rsidR="00B900EA" w:rsidRPr="00460EDD">
        <w:t xml:space="preserve"> UBPR</w:t>
      </w:r>
      <w:r w:rsidRPr="00460EDD">
        <w:t xml:space="preserve"> complement the EMS data and are utilized </w:t>
      </w:r>
      <w:r w:rsidR="00B900EA" w:rsidRPr="00460EDD">
        <w:t xml:space="preserve">by FDIC supervisory staff </w:t>
      </w:r>
      <w:r w:rsidRPr="00460EDD">
        <w:t xml:space="preserve">for further off-premises review of individual </w:t>
      </w:r>
      <w:r w:rsidR="00471AEA" w:rsidRPr="00460EDD">
        <w:t>institutions</w:t>
      </w:r>
      <w:r w:rsidRPr="00460EDD">
        <w:t>, particularly at the field office level.  Based on an analysis of the information in the UBPR, an examiner can set the priorities for the examination of a</w:t>
      </w:r>
      <w:r w:rsidR="00471AEA" w:rsidRPr="00460EDD">
        <w:t>n individual institution</w:t>
      </w:r>
      <w:r w:rsidRPr="00460EDD">
        <w:t xml:space="preserve">.  </w:t>
      </w:r>
      <w:r w:rsidR="00471AEA" w:rsidRPr="00460EDD">
        <w:t xml:space="preserve">An institution’s </w:t>
      </w:r>
      <w:r w:rsidRPr="00460EDD">
        <w:t>condition</w:t>
      </w:r>
      <w:r w:rsidR="003A063D" w:rsidRPr="00460EDD">
        <w:t>, performance, and risk profile</w:t>
      </w:r>
      <w:r w:rsidRPr="00460EDD">
        <w:t xml:space="preserve"> can then be evaluated during the examination in light of its recent trends and the examiner’s findings can be communicated to the </w:t>
      </w:r>
      <w:r w:rsidR="00471AEA" w:rsidRPr="00460EDD">
        <w:t>institution</w:t>
      </w:r>
      <w:r w:rsidRPr="00460EDD">
        <w:t xml:space="preserve">’s management.  Management can verify this trend data </w:t>
      </w:r>
      <w:r w:rsidR="00483AF4" w:rsidRPr="00460EDD">
        <w:t>for itself in the i</w:t>
      </w:r>
      <w:r w:rsidR="00471AEA" w:rsidRPr="00460EDD">
        <w:t>nstitution</w:t>
      </w:r>
      <w:r w:rsidRPr="00460EDD">
        <w:t xml:space="preserve">’s </w:t>
      </w:r>
      <w:r w:rsidR="00483AF4" w:rsidRPr="00460EDD">
        <w:t xml:space="preserve">own </w:t>
      </w:r>
      <w:r w:rsidRPr="00460EDD">
        <w:t xml:space="preserve">UBPRs.  UBPRs are available on-line on the Internet for access by </w:t>
      </w:r>
      <w:r w:rsidR="00471AEA" w:rsidRPr="00460EDD">
        <w:t>institutions</w:t>
      </w:r>
      <w:r w:rsidRPr="00460EDD">
        <w:t xml:space="preserve">, regulators, and the public. </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rPr>
          <w:u w:val="single"/>
        </w:rPr>
      </w:pPr>
      <w:r w:rsidRPr="00460EDD">
        <w:rPr>
          <w:u w:val="single"/>
        </w:rPr>
        <w:t>ViSION and ARIS</w:t>
      </w:r>
      <w:r w:rsidRPr="00460EDD">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00DA5364" w:rsidRPr="00460EDD" w:rsidRDefault="00DA5364" w:rsidP="00DA5364">
      <w:pPr>
        <w:tabs>
          <w:tab w:val="left" w:pos="-1440"/>
          <w:tab w:val="left" w:pos="-720"/>
          <w:tab w:val="left" w:pos="0"/>
          <w:tab w:val="left" w:pos="432"/>
          <w:tab w:val="left" w:pos="720"/>
          <w:tab w:val="left" w:pos="1008"/>
          <w:tab w:val="left" w:pos="1440"/>
        </w:tabs>
        <w:suppressAutoHyphens/>
        <w:rPr>
          <w:u w:val="single"/>
        </w:rPr>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Through the use of monitoring and surveillance systems that rely on Call Report information, the FDIC is able to more effectively and efficiently allocate resources to those institutions experiencing difficulties</w:t>
      </w:r>
      <w:r w:rsidR="003A063D" w:rsidRPr="00460EDD">
        <w:t xml:space="preserve"> or exhibiting heightened risk profiles</w:t>
      </w:r>
      <w:r w:rsidRPr="00460EDD">
        <w:t>.  Also, FDIC policy requires examiners to use information from Call Reports as well as data available from monitoring and surveillance systems to assist in their examination planning activities.  Through examination planning, examiners can determine the areas of a</w:t>
      </w:r>
      <w:r w:rsidR="00556F43" w:rsidRPr="00460EDD">
        <w:t>n institution</w:t>
      </w:r>
      <w:r w:rsidRPr="00460EDD">
        <w:t xml:space="preserve">’s operations and activities on which to focus </w:t>
      </w:r>
      <w:r w:rsidR="00321826" w:rsidRPr="00460EDD">
        <w:t>heightened</w:t>
      </w:r>
      <w:r w:rsidRPr="00460EDD">
        <w:t xml:space="preserve"> attention </w:t>
      </w:r>
      <w:r w:rsidR="00321826" w:rsidRPr="00460EDD">
        <w:t xml:space="preserve">or </w:t>
      </w:r>
      <w:r w:rsidR="00A844A8" w:rsidRPr="00460EDD">
        <w:t xml:space="preserve">to place </w:t>
      </w:r>
      <w:r w:rsidR="00321826" w:rsidRPr="00460EDD">
        <w:t xml:space="preserve">reduced emphasis </w:t>
      </w:r>
      <w:r w:rsidRPr="00460EDD">
        <w:t xml:space="preserve">during their time on-site at the </w:t>
      </w:r>
      <w:r w:rsidR="00556F43" w:rsidRPr="00460EDD">
        <w:t>institution</w:t>
      </w:r>
      <w:r w:rsidRPr="00460EDD">
        <w:t>.  Moreover, effective examination planning can help to limit the amount of time examiners need to spend on-site during an examination.  These efforts would not be feasible if Call Report</w:t>
      </w:r>
      <w:r w:rsidR="00321826" w:rsidRPr="00460EDD">
        <w:t xml:space="preserve"> data</w:t>
      </w:r>
      <w:r w:rsidRPr="00460EDD">
        <w:t xml:space="preserve">, with their emphasis on the collection of </w:t>
      </w:r>
      <w:r w:rsidR="00321826" w:rsidRPr="00460EDD">
        <w:t>information</w:t>
      </w:r>
      <w:r w:rsidRPr="00460EDD">
        <w:t xml:space="preserve"> for supervisory and surveillance purposes, were not available on a quarterly</w:t>
      </w:r>
      <w:r w:rsidR="00321826" w:rsidRPr="00460EDD">
        <w:t xml:space="preserve"> or, for certain data, a semiannual or annual,</w:t>
      </w:r>
      <w:r w:rsidRPr="00460EDD">
        <w:t xml:space="preserve"> basis.</w:t>
      </w:r>
    </w:p>
    <w:p w:rsidR="00DA5364" w:rsidRPr="00460EDD" w:rsidRDefault="00DA5364" w:rsidP="00DA5364">
      <w:pPr>
        <w:tabs>
          <w:tab w:val="left" w:pos="-1440"/>
          <w:tab w:val="left" w:pos="-720"/>
          <w:tab w:val="left" w:pos="0"/>
          <w:tab w:val="left" w:pos="432"/>
          <w:tab w:val="left" w:pos="720"/>
          <w:tab w:val="left" w:pos="1008"/>
          <w:tab w:val="left" w:pos="1440"/>
        </w:tabs>
        <w:suppressAutoHyphens/>
      </w:pPr>
    </w:p>
    <w:p w:rsidR="00DA5364" w:rsidRPr="00460EDD" w:rsidRDefault="00DA5364" w:rsidP="00DA5364">
      <w:pPr>
        <w:tabs>
          <w:tab w:val="left" w:pos="-1440"/>
          <w:tab w:val="left" w:pos="-720"/>
          <w:tab w:val="left" w:pos="0"/>
          <w:tab w:val="left" w:pos="432"/>
          <w:tab w:val="left" w:pos="720"/>
          <w:tab w:val="left" w:pos="1008"/>
          <w:tab w:val="left" w:pos="1440"/>
        </w:tabs>
        <w:suppressAutoHyphens/>
      </w:pPr>
      <w:r w:rsidRPr="00460EDD">
        <w:t xml:space="preserve">Call Reports also provide the most current statistical data available for evaluating statutory factors relating to the FDIC’s consideration of </w:t>
      </w:r>
      <w:r w:rsidR="00556F43" w:rsidRPr="00460EDD">
        <w:t xml:space="preserve">institutions’ </w:t>
      </w:r>
      <w:r w:rsidRPr="00460EDD">
        <w:t>applications for deposit insurance and for consent to merge, establish a branch, relocate an office, and retire capital</w:t>
      </w:r>
      <w:r w:rsidR="009D724D" w:rsidRPr="00460EDD">
        <w:t xml:space="preserve">.  </w:t>
      </w:r>
      <w:r w:rsidR="002B0368" w:rsidRPr="00460EDD">
        <w:t>T</w:t>
      </w:r>
      <w:r w:rsidRPr="00460EDD">
        <w:t xml:space="preserve">he amount of each individual </w:t>
      </w:r>
      <w:r w:rsidR="002B0368" w:rsidRPr="00460EDD">
        <w:t>institution</w:t>
      </w:r>
      <w:r w:rsidRPr="00460EDD">
        <w:t xml:space="preserve">’s </w:t>
      </w:r>
      <w:r w:rsidR="002B0368" w:rsidRPr="00460EDD">
        <w:t xml:space="preserve">deposit insurance and Financing Corporation </w:t>
      </w:r>
      <w:r w:rsidRPr="00460EDD">
        <w:t xml:space="preserve">assessments is calculated directly by the FDIC from the data reported </w:t>
      </w:r>
      <w:r w:rsidR="00672D93" w:rsidRPr="00460EDD">
        <w:t>i</w:t>
      </w:r>
      <w:r w:rsidRPr="00460EDD">
        <w:t>n the institution’s Call Report.  In addition, under the FDIC’s risk</w:t>
      </w:r>
      <w:r w:rsidRPr="00460EDD">
        <w:noBreakHyphen/>
        <w:t>related insurance assessment system, Call Report data are used to help determine the risk category to which each insured institution should be assigned.  The FDIC’s Division of Insurance and Research uses data collected in the Call Reports to prepare quarterly reports on the condition and performance of the banking system</w:t>
      </w:r>
      <w:r w:rsidR="0094763B" w:rsidRPr="00460EDD">
        <w:t xml:space="preserve">, with separate reports also prepared for community institutions, </w:t>
      </w:r>
      <w:r w:rsidRPr="00460EDD">
        <w:t>and for numerous economic studies and analyses of trends in banking that are incorporated into reports submitted to Congress and made available to the public.</w:t>
      </w:r>
    </w:p>
    <w:p w:rsidR="002A6B7A" w:rsidRPr="00460EDD" w:rsidRDefault="002A6B7A" w:rsidP="00DA5364">
      <w:pPr>
        <w:tabs>
          <w:tab w:val="left" w:pos="-1440"/>
          <w:tab w:val="left" w:pos="-720"/>
          <w:tab w:val="left" w:pos="0"/>
          <w:tab w:val="left" w:pos="432"/>
          <w:tab w:val="left" w:pos="720"/>
          <w:tab w:val="left" w:pos="1008"/>
          <w:tab w:val="left" w:pos="1440"/>
        </w:tabs>
        <w:suppressAutoHyphens/>
      </w:pPr>
    </w:p>
    <w:p w:rsidR="00B900EA" w:rsidRPr="00460EDD" w:rsidRDefault="00B900EA" w:rsidP="00EF33A8"/>
    <w:p w:rsidR="00DA5364" w:rsidRPr="00460EDD" w:rsidRDefault="00DA5364" w:rsidP="00DA5364">
      <w:pPr>
        <w:suppressAutoHyphens/>
      </w:pPr>
      <w:r w:rsidRPr="00460EDD">
        <w:t xml:space="preserve">3.  </w:t>
      </w:r>
      <w:r w:rsidRPr="00460EDD">
        <w:rPr>
          <w:u w:val="single"/>
        </w:rPr>
        <w:t>Use of Technology to Reduce Burden</w:t>
      </w:r>
    </w:p>
    <w:p w:rsidR="00DA5364" w:rsidRPr="00460EDD" w:rsidRDefault="00DA5364" w:rsidP="00DA5364">
      <w:pPr>
        <w:suppressAutoHyphens/>
      </w:pPr>
    </w:p>
    <w:p w:rsidR="00DA5364" w:rsidRPr="00460EDD" w:rsidRDefault="00DA5364" w:rsidP="00DA5364">
      <w:r w:rsidRPr="00460EDD">
        <w:t>All banks</w:t>
      </w:r>
      <w:r w:rsidR="009C692B" w:rsidRPr="00460EDD">
        <w:t xml:space="preserve"> and savings associations </w:t>
      </w:r>
      <w:r w:rsidRPr="00460EDD">
        <w:t>are subject to an electro</w:t>
      </w:r>
      <w:r w:rsidR="0085548F" w:rsidRPr="00460EDD">
        <w:t xml:space="preserve">nic filing requirement for </w:t>
      </w:r>
      <w:r w:rsidR="00832FFF" w:rsidRPr="00460EDD">
        <w:t xml:space="preserve">the </w:t>
      </w:r>
      <w:r w:rsidR="0085548F" w:rsidRPr="00460EDD">
        <w:t>Call </w:t>
      </w:r>
      <w:r w:rsidRPr="00460EDD">
        <w:t>Report.  In this regard, the agencies have created a secure shared database for collecting, managing, validating</w:t>
      </w:r>
      <w:r w:rsidR="000C55BB" w:rsidRPr="00460EDD">
        <w:t>,</w:t>
      </w:r>
      <w:r w:rsidRPr="00460EDD">
        <w:t xml:space="preserve"> and distributing Call Report data.  This database system, the Central Data Repository (CDR), was implemented </w:t>
      </w:r>
      <w:r w:rsidR="009C692B" w:rsidRPr="00460EDD">
        <w:t>in</w:t>
      </w:r>
      <w:r w:rsidRPr="00460EDD">
        <w:t xml:space="preserve"> 2005 and is the only method available </w:t>
      </w:r>
      <w:r w:rsidR="005803EC" w:rsidRPr="00460EDD">
        <w:t>to</w:t>
      </w:r>
      <w:r w:rsidRPr="00460EDD">
        <w:t xml:space="preserve"> banks </w:t>
      </w:r>
      <w:r w:rsidR="009C692B" w:rsidRPr="00460EDD">
        <w:t xml:space="preserve">and savings associations </w:t>
      </w:r>
      <w:r w:rsidR="005803EC" w:rsidRPr="00460EDD">
        <w:t>f</w:t>
      </w:r>
      <w:r w:rsidRPr="00460EDD">
        <w:t>o</w:t>
      </w:r>
      <w:r w:rsidR="005803EC" w:rsidRPr="00460EDD">
        <w:t>r</w:t>
      </w:r>
      <w:r w:rsidRPr="00460EDD">
        <w:t xml:space="preserve"> submit</w:t>
      </w:r>
      <w:r w:rsidR="005803EC" w:rsidRPr="00460EDD">
        <w:t>ting</w:t>
      </w:r>
      <w:r w:rsidRPr="00460EDD">
        <w:t xml:space="preserve"> their Call Report</w:t>
      </w:r>
      <w:r w:rsidR="000C55BB" w:rsidRPr="00460EDD">
        <w:t xml:space="preserve"> data</w:t>
      </w:r>
      <w:r w:rsidRPr="00460EDD">
        <w:t>.  Under the CD</w:t>
      </w:r>
      <w:r w:rsidR="00D30EB6" w:rsidRPr="00460EDD">
        <w:t xml:space="preserve">R system, </w:t>
      </w:r>
      <w:r w:rsidR="009C692B" w:rsidRPr="00460EDD">
        <w:t>institutions</w:t>
      </w:r>
      <w:r w:rsidR="00D30EB6" w:rsidRPr="00460EDD">
        <w:t xml:space="preserve"> file their Call </w:t>
      </w:r>
      <w:r w:rsidRPr="00460EDD">
        <w:t xml:space="preserve">Report data via the Internet using software that contains the FFIEC’s edits for validating Call Report data before submission. </w:t>
      </w:r>
    </w:p>
    <w:p w:rsidR="00DA5364" w:rsidRPr="00460EDD" w:rsidRDefault="00DA5364" w:rsidP="00DA5364">
      <w:pPr>
        <w:suppressAutoHyphens/>
      </w:pPr>
    </w:p>
    <w:p w:rsidR="00A04B01" w:rsidRPr="00460EDD" w:rsidRDefault="00A04B01" w:rsidP="00DA5364">
      <w:pPr>
        <w:suppressAutoHyphens/>
      </w:pPr>
    </w:p>
    <w:p w:rsidR="00DA5364" w:rsidRPr="00460EDD" w:rsidRDefault="00DA5364" w:rsidP="00DA5364">
      <w:pPr>
        <w:suppressAutoHyphens/>
      </w:pPr>
      <w:r w:rsidRPr="00460EDD">
        <w:t xml:space="preserve">4.  </w:t>
      </w:r>
      <w:r w:rsidRPr="00460EDD">
        <w:rPr>
          <w:u w:val="single"/>
        </w:rPr>
        <w:t>Efforts to Identify Duplication</w:t>
      </w:r>
    </w:p>
    <w:p w:rsidR="00DA5364" w:rsidRPr="00460EDD" w:rsidRDefault="00DA5364" w:rsidP="00DA5364">
      <w:pPr>
        <w:suppressAutoHyphens/>
      </w:pPr>
    </w:p>
    <w:p w:rsidR="00DA5364" w:rsidRPr="00460EDD" w:rsidRDefault="00DA5364" w:rsidP="00DA5364">
      <w:pPr>
        <w:suppressAutoHyphens/>
      </w:pPr>
      <w:r w:rsidRPr="00460EDD">
        <w:t xml:space="preserve">There is no other report or series of reports that collects from all </w:t>
      </w:r>
      <w:r w:rsidR="00F47099" w:rsidRPr="00460EDD">
        <w:t xml:space="preserve">insured </w:t>
      </w:r>
      <w:r w:rsidRPr="00460EDD">
        <w:t xml:space="preserve">banks </w:t>
      </w:r>
      <w:r w:rsidR="00F47099" w:rsidRPr="00460EDD">
        <w:t xml:space="preserve">and savings associations </w:t>
      </w:r>
      <w:r w:rsidRPr="00460EDD">
        <w:t>the</w:t>
      </w:r>
      <w:r w:rsidR="006529F2" w:rsidRPr="00460EDD">
        <w:t xml:space="preserve"> regulatory capital and other </w:t>
      </w:r>
      <w:r w:rsidRPr="00460EDD">
        <w:t xml:space="preserve">information gathered through the </w:t>
      </w:r>
      <w:r w:rsidR="00D30EB6" w:rsidRPr="00460EDD">
        <w:t xml:space="preserve">Consolidated </w:t>
      </w:r>
      <w:r w:rsidRPr="00460EDD">
        <w:t>Reports of Condi</w:t>
      </w:r>
      <w:r w:rsidR="006529F2" w:rsidRPr="00460EDD">
        <w:t>tion and Income taken as a whole</w:t>
      </w:r>
      <w:r w:rsidRPr="00460EDD">
        <w:t>.  There are other information collection systems which tend to duplicate certain parts of the Call Report; however, the information they provide would be of limited value as a replacement for the Call Report.</w:t>
      </w:r>
    </w:p>
    <w:p w:rsidR="00DA5364" w:rsidRPr="00460EDD" w:rsidRDefault="00DA5364" w:rsidP="00DA5364">
      <w:pPr>
        <w:suppressAutoHyphens/>
      </w:pPr>
    </w:p>
    <w:p w:rsidR="00DA5364" w:rsidRPr="00460EDD" w:rsidRDefault="00DA5364" w:rsidP="00DA5364">
      <w:pPr>
        <w:suppressAutoHyphens/>
      </w:pPr>
      <w:r w:rsidRPr="00460EDD">
        <w:t xml:space="preserve">For example, the FRB collects various reports in connection with its measurement of monetary aggregates, bank credit, and </w:t>
      </w:r>
      <w:r w:rsidR="00F47099" w:rsidRPr="00460EDD">
        <w:t>the</w:t>
      </w:r>
      <w:r w:rsidRPr="00460EDD">
        <w:t xml:space="preserve"> flow of funds.  Reporting </w:t>
      </w:r>
      <w:r w:rsidR="00F47099" w:rsidRPr="00460EDD">
        <w:t>institutions</w:t>
      </w:r>
      <w:r w:rsidRPr="00460EDD">
        <w:t xml:space="preserve"> supply the FRB with detailed information relating to such balance sheet accounts as balances due from depository institutions, loans, and deposit liabilities.  The FRB also collects financial data from bank holding companies on a regular basis.  Such data is presented for the holding company </w:t>
      </w:r>
      <w:r w:rsidR="00F47099" w:rsidRPr="00460EDD">
        <w:t xml:space="preserve">on a parent company only basis and, if certain conditions are met, </w:t>
      </w:r>
      <w:r w:rsidRPr="00460EDD">
        <w:t xml:space="preserve">on a consolidated basis, including </w:t>
      </w:r>
      <w:r w:rsidR="00F47099" w:rsidRPr="00460EDD">
        <w:t>the holding company’s</w:t>
      </w:r>
      <w:r w:rsidRPr="00460EDD">
        <w:t xml:space="preserve"> banking and nonbanking subsidiaries.</w:t>
      </w:r>
    </w:p>
    <w:p w:rsidR="00DA5364" w:rsidRPr="00460EDD" w:rsidRDefault="00DA5364" w:rsidP="00DA5364">
      <w:pPr>
        <w:suppressAutoHyphens/>
      </w:pPr>
    </w:p>
    <w:p w:rsidR="00DA5364" w:rsidRPr="00460EDD" w:rsidRDefault="00DA5364" w:rsidP="00DA5364">
      <w:pPr>
        <w:suppressAutoHyphens/>
      </w:pPr>
      <w:r w:rsidRPr="00460EDD">
        <w:t xml:space="preserve">However, FRB reports from </w:t>
      </w:r>
      <w:r w:rsidR="00F47099" w:rsidRPr="00460EDD">
        <w:t>insured institutions</w:t>
      </w:r>
      <w:r w:rsidRPr="00460EDD">
        <w:t xml:space="preserve"> are frequently obtained on a sample basis rather than from all insured </w:t>
      </w:r>
      <w:r w:rsidR="00F47099" w:rsidRPr="00460EDD">
        <w:t>institutions</w:t>
      </w:r>
      <w:r w:rsidRPr="00460EDD">
        <w:t xml:space="preserve">.  Moreover, these reports are often prepared as of dates other than the last business day of each quarter, which would seriously limit their comparability to the Call Report.  Institutions below a certain size are exempt entirely from some FRB reporting requirements.  FRB data collected from bank holding companies on a consolidated basis reflect an aggregate amount for all subsidiaries within the organization, both banking and nonbanking, so that the actual dollar amounts applicable to any </w:t>
      </w:r>
      <w:r w:rsidR="00F47099" w:rsidRPr="00460EDD">
        <w:t>depository institution</w:t>
      </w:r>
      <w:r w:rsidRPr="00460EDD">
        <w:t xml:space="preserve"> subsidiary are not determinable from the holding company reports.  Hence, FRB reports could not be a viable replacement for even a significant portion of the Call Reports since the FDIC, in its role as supervisor of insured state nonmember banks</w:t>
      </w:r>
      <w:r w:rsidR="00F47099" w:rsidRPr="00460EDD">
        <w:t xml:space="preserve"> and state savings associations</w:t>
      </w:r>
      <w:r w:rsidRPr="00460EDD">
        <w:t xml:space="preserve">, would be lacking the data necessary to assess the financial condition of individual </w:t>
      </w:r>
      <w:r w:rsidR="00F47099" w:rsidRPr="00460EDD">
        <w:t>institutions</w:t>
      </w:r>
      <w:r w:rsidRPr="00460EDD">
        <w:t xml:space="preserve"> to determine whether there had been any deterioration in their condition.</w:t>
      </w:r>
      <w:r w:rsidR="006529F2" w:rsidRPr="00460EDD">
        <w:t xml:space="preserve">  This is also the case for the FDIC in its role as </w:t>
      </w:r>
      <w:r w:rsidR="00E117B6" w:rsidRPr="00460EDD">
        <w:t xml:space="preserve">the </w:t>
      </w:r>
      <w:r w:rsidR="006529F2" w:rsidRPr="00460EDD">
        <w:t xml:space="preserve">deposit insurer of </w:t>
      </w:r>
      <w:r w:rsidR="00E117B6" w:rsidRPr="00460EDD">
        <w:t xml:space="preserve">all </w:t>
      </w:r>
      <w:r w:rsidR="006529F2" w:rsidRPr="00460EDD">
        <w:t>insured depository institutions because FRB reports would not provide the data required as inputs to the FDIC’s deposit insurance assessment systems.</w:t>
      </w:r>
    </w:p>
    <w:p w:rsidR="00DA5364" w:rsidRPr="00460EDD" w:rsidRDefault="00DA5364" w:rsidP="00DA5364">
      <w:pPr>
        <w:suppressAutoHyphens/>
      </w:pPr>
    </w:p>
    <w:p w:rsidR="00DA5364" w:rsidRPr="00460EDD" w:rsidRDefault="00DA5364" w:rsidP="00C55E55">
      <w:pPr>
        <w:suppressAutoHyphens/>
      </w:pPr>
      <w:r w:rsidRPr="00460EDD">
        <w:t xml:space="preserve">As another example, </w:t>
      </w:r>
      <w:r w:rsidR="00F47099" w:rsidRPr="00460EDD">
        <w:t>insured institutions</w:t>
      </w:r>
      <w:r w:rsidRPr="00460EDD">
        <w:t xml:space="preserve"> with </w:t>
      </w:r>
      <w:r w:rsidR="00C55E55" w:rsidRPr="00460EDD">
        <w:t xml:space="preserve">either </w:t>
      </w:r>
      <w:r w:rsidRPr="00460EDD">
        <w:t>500 or more</w:t>
      </w:r>
      <w:r w:rsidR="00C55E55" w:rsidRPr="00460EDD">
        <w:t>, or 2,000 or more,</w:t>
      </w:r>
      <w:r w:rsidRPr="00460EDD">
        <w:t xml:space="preserve"> shareholders </w:t>
      </w:r>
      <w:r w:rsidR="00C55E55" w:rsidRPr="00460EDD">
        <w:t xml:space="preserve">(depending on charter type) </w:t>
      </w:r>
      <w:r w:rsidR="00F47099" w:rsidRPr="00460EDD">
        <w:t xml:space="preserve">or with a class of equity securities listed on a securities exchange </w:t>
      </w:r>
      <w:r w:rsidRPr="00460EDD">
        <w:t>are required by the Securities Exchange Act of 1934, as amended</w:t>
      </w:r>
      <w:r w:rsidR="004828E0" w:rsidRPr="00460EDD">
        <w:t>,</w:t>
      </w:r>
      <w:r w:rsidR="00C55E55" w:rsidRPr="00460EDD">
        <w:t xml:space="preserve"> </w:t>
      </w:r>
      <w:r w:rsidRPr="00460EDD">
        <w:t>to register their stock with their primary federal bank</w:t>
      </w:r>
      <w:r w:rsidR="00F47099" w:rsidRPr="00460EDD">
        <w:t>ing</w:t>
      </w:r>
      <w:r w:rsidRPr="00460EDD">
        <w:t xml:space="preserve"> agency.  Following the effective date of the stock registration, quarterly and annual reports, which contain financial statements, must be filed with the appropriate </w:t>
      </w:r>
      <w:r w:rsidR="00F47099" w:rsidRPr="00460EDD">
        <w:t>banking</w:t>
      </w:r>
      <w:r w:rsidRPr="00460EDD">
        <w:t xml:space="preserve"> agency. </w:t>
      </w:r>
      <w:r w:rsidR="00F47099" w:rsidRPr="00460EDD">
        <w:t xml:space="preserve"> </w:t>
      </w:r>
      <w:r w:rsidRPr="00460EDD">
        <w:t xml:space="preserve">Of the </w:t>
      </w:r>
      <w:r w:rsidR="005803EC" w:rsidRPr="00460EDD">
        <w:t>3,</w:t>
      </w:r>
      <w:r w:rsidR="00460EDD" w:rsidRPr="00460EDD">
        <w:t>564</w:t>
      </w:r>
      <w:r w:rsidRPr="00460EDD">
        <w:t xml:space="preserve"> FDIC-supervised banks</w:t>
      </w:r>
      <w:r w:rsidR="00F47099" w:rsidRPr="00460EDD">
        <w:t xml:space="preserve"> and savings associations</w:t>
      </w:r>
      <w:r w:rsidRPr="00460EDD">
        <w:t xml:space="preserve">, </w:t>
      </w:r>
      <w:r w:rsidR="00652448" w:rsidRPr="00460EDD">
        <w:t>approximately 15</w:t>
      </w:r>
      <w:r w:rsidRPr="00460EDD">
        <w:t xml:space="preserve"> have stock that is registered with the FDIC pursuant to the Securities Exchange Act.  For this </w:t>
      </w:r>
      <w:r w:rsidR="00D66A7A" w:rsidRPr="00460EDD">
        <w:t>nominal</w:t>
      </w:r>
      <w:r w:rsidRPr="00460EDD">
        <w:t xml:space="preserve"> number of registered </w:t>
      </w:r>
      <w:r w:rsidR="00F47099" w:rsidRPr="00460EDD">
        <w:t>institutions</w:t>
      </w:r>
      <w:r w:rsidRPr="00460EDD">
        <w:t>, quarterly and annual reports generally need not be filed until as many as 45 days and 90 days after the report date, respectively, while Call Reports generally must be received no later than 30 days after the r</w:t>
      </w:r>
      <w:r w:rsidR="00460EDD">
        <w:t>eport date.  Moreover, the Call </w:t>
      </w:r>
      <w:r w:rsidRPr="00460EDD">
        <w:t xml:space="preserve">Reports have a fixed format to permit industry data aggregation by computer and automated monitoring of each individual institution’s performance and condition.  The financial statement format for registered </w:t>
      </w:r>
      <w:r w:rsidR="00F47099" w:rsidRPr="00460EDD">
        <w:t>institutions</w:t>
      </w:r>
      <w:r w:rsidRPr="00460EDD">
        <w:t xml:space="preserve"> is</w:t>
      </w:r>
      <w:r w:rsidR="00584287" w:rsidRPr="00460EDD">
        <w:t xml:space="preserve"> generally </w:t>
      </w:r>
      <w:r w:rsidRPr="00460EDD">
        <w:t xml:space="preserve">comparable to that of the Call Report, but each </w:t>
      </w:r>
      <w:r w:rsidR="00F47099" w:rsidRPr="00460EDD">
        <w:t>institution</w:t>
      </w:r>
      <w:r w:rsidRPr="00460EDD">
        <w:t xml:space="preserve"> has the flexibility to expand or contract the level of detail on individual items as circumstances warrant.  Such free-form reporting would make it extremely difficult for the FDIC to substitute the</w:t>
      </w:r>
      <w:r w:rsidR="00F47099" w:rsidRPr="00460EDD">
        <w:t>se</w:t>
      </w:r>
      <w:r w:rsidRPr="00460EDD">
        <w:t xml:space="preserve"> registered </w:t>
      </w:r>
      <w:r w:rsidR="00F47099" w:rsidRPr="00460EDD">
        <w:t>institutions’</w:t>
      </w:r>
      <w:r w:rsidRPr="00460EDD">
        <w:t xml:space="preserve"> quarterly and annual reports for Call Reports.</w:t>
      </w:r>
    </w:p>
    <w:p w:rsidR="00DA5364" w:rsidRPr="00460EDD" w:rsidRDefault="00DA5364" w:rsidP="00DA5364">
      <w:pPr>
        <w:suppressAutoHyphens/>
      </w:pPr>
    </w:p>
    <w:p w:rsidR="00DA5364" w:rsidRPr="00460EDD" w:rsidRDefault="00DA5364" w:rsidP="00DA5364">
      <w:pPr>
        <w:suppressAutoHyphens/>
      </w:pPr>
      <w:r w:rsidRPr="00460EDD">
        <w:t xml:space="preserve">Finally, some of the information contained in the Call Report is also developed by FDIC examiners during regular safety and soundness examinations of insured </w:t>
      </w:r>
      <w:r w:rsidR="00F47099" w:rsidRPr="00460EDD">
        <w:t>institution</w:t>
      </w:r>
      <w:r w:rsidRPr="00460EDD">
        <w:t xml:space="preserve">s.  In addition, examiners check the </w:t>
      </w:r>
      <w:r w:rsidR="00D30EB6" w:rsidRPr="00460EDD">
        <w:t xml:space="preserve">Consolidated </w:t>
      </w:r>
      <w:r w:rsidRPr="00460EDD">
        <w:t>Reports of Condition and Income th</w:t>
      </w:r>
      <w:r w:rsidR="00F47099" w:rsidRPr="00460EDD">
        <w:t>at an institution</w:t>
      </w:r>
      <w:r w:rsidRPr="00460EDD">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00F47099" w:rsidRPr="00460EDD">
        <w:t xml:space="preserve">the condition and performance of </w:t>
      </w:r>
      <w:r w:rsidRPr="00460EDD">
        <w:t xml:space="preserve">individual </w:t>
      </w:r>
      <w:r w:rsidR="00F47099" w:rsidRPr="00460EDD">
        <w:t>institutions</w:t>
      </w:r>
      <w:r w:rsidRPr="00460EDD">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00A62952" w:rsidRPr="00460EDD">
        <w:t>institutions</w:t>
      </w:r>
      <w:r w:rsidRPr="00460EDD">
        <w:t xml:space="preserve"> as of fixed dates each year.</w:t>
      </w:r>
    </w:p>
    <w:p w:rsidR="005E09C3" w:rsidRPr="00460EDD" w:rsidRDefault="005E09C3" w:rsidP="00DA5364">
      <w:pPr>
        <w:suppressAutoHyphens/>
      </w:pPr>
    </w:p>
    <w:p w:rsidR="005E09C3" w:rsidRPr="00460EDD" w:rsidRDefault="005E09C3" w:rsidP="00DA5364">
      <w:pPr>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5.  </w:t>
      </w:r>
      <w:r w:rsidRPr="00460EDD">
        <w:rPr>
          <w:u w:val="single"/>
        </w:rPr>
        <w:t xml:space="preserve">Minimizing the Burden on Small </w:t>
      </w:r>
      <w:r w:rsidR="00C66ECF" w:rsidRPr="00460EDD">
        <w:rPr>
          <w:u w:val="single"/>
        </w:rPr>
        <w:t>Institutions</w:t>
      </w:r>
    </w:p>
    <w:p w:rsidR="00DA5364" w:rsidRPr="00460EDD" w:rsidRDefault="00DA5364" w:rsidP="00DA5364">
      <w:pPr>
        <w:tabs>
          <w:tab w:val="left" w:pos="-1440"/>
          <w:tab w:val="left" w:pos="-720"/>
          <w:tab w:val="left" w:pos="0"/>
          <w:tab w:val="left" w:pos="432"/>
          <w:tab w:val="left" w:pos="720"/>
        </w:tabs>
        <w:suppressAutoHyphens/>
      </w:pPr>
    </w:p>
    <w:p w:rsidR="006C75EA" w:rsidRPr="00460EDD" w:rsidRDefault="00DA5364" w:rsidP="00DA5364">
      <w:pPr>
        <w:autoSpaceDE w:val="0"/>
        <w:autoSpaceDN w:val="0"/>
        <w:adjustRightInd w:val="0"/>
      </w:pPr>
      <w:r w:rsidRPr="00460EDD">
        <w:t xml:space="preserve">Pursuant to regulations issued by the Small Business Administration (13 CFR 121.201), a “small entity” includes </w:t>
      </w:r>
      <w:r w:rsidR="00C66ECF" w:rsidRPr="00460EDD">
        <w:t>depository institutions</w:t>
      </w:r>
      <w:r w:rsidRPr="00460EDD">
        <w:t xml:space="preserve"> with assets of $</w:t>
      </w:r>
      <w:r w:rsidR="00311F12" w:rsidRPr="00460EDD">
        <w:t>5</w:t>
      </w:r>
      <w:r w:rsidR="000A47AF" w:rsidRPr="00460EDD">
        <w:t>5</w:t>
      </w:r>
      <w:r w:rsidR="00311F12" w:rsidRPr="00460EDD">
        <w:t>0</w:t>
      </w:r>
      <w:r w:rsidRPr="00460EDD">
        <w:t xml:space="preserve"> million or less.  The</w:t>
      </w:r>
      <w:r w:rsidR="000A47AF" w:rsidRPr="00460EDD">
        <w:t xml:space="preserve"> FDIC supervises </w:t>
      </w:r>
      <w:r w:rsidR="001A78A4" w:rsidRPr="00460EDD">
        <w:t>3,</w:t>
      </w:r>
      <w:r w:rsidR="004A51F3" w:rsidRPr="00460EDD">
        <w:t>564</w:t>
      </w:r>
      <w:r w:rsidRPr="00460EDD">
        <w:t xml:space="preserve"> insured state nonmember banks </w:t>
      </w:r>
      <w:r w:rsidR="00C66ECF" w:rsidRPr="00460EDD">
        <w:t>and state savings associations</w:t>
      </w:r>
      <w:r w:rsidR="00460EDD">
        <w:t>.  Of </w:t>
      </w:r>
      <w:r w:rsidRPr="00460EDD">
        <w:t xml:space="preserve">this number, </w:t>
      </w:r>
      <w:r w:rsidR="00C069AA" w:rsidRPr="00460EDD">
        <w:t>about 2,</w:t>
      </w:r>
      <w:r w:rsidR="004A51F3" w:rsidRPr="00460EDD">
        <w:t>8</w:t>
      </w:r>
      <w:r w:rsidR="008D531F" w:rsidRPr="00460EDD">
        <w:t>00</w:t>
      </w:r>
      <w:r w:rsidRPr="00460EDD">
        <w:rPr>
          <w:b/>
        </w:rPr>
        <w:t xml:space="preserve"> </w:t>
      </w:r>
      <w:r w:rsidRPr="00460EDD">
        <w:t>have total assets of $</w:t>
      </w:r>
      <w:r w:rsidR="00311F12" w:rsidRPr="00460EDD">
        <w:t>5</w:t>
      </w:r>
      <w:r w:rsidR="000A47AF" w:rsidRPr="00460EDD">
        <w:t>5</w:t>
      </w:r>
      <w:r w:rsidR="00311F12" w:rsidRPr="00460EDD">
        <w:t>0</w:t>
      </w:r>
      <w:r w:rsidRPr="00460EDD">
        <w:t xml:space="preserve"> million or less.  </w:t>
      </w:r>
      <w:r w:rsidR="008262D9" w:rsidRPr="00460EDD">
        <w:t xml:space="preserve">Data collected in the Call Report information collection as a whole is tiered to the size and activity levels of reporting institutions.  </w:t>
      </w:r>
    </w:p>
    <w:p w:rsidR="006C75EA" w:rsidRPr="00460EDD" w:rsidRDefault="006C75EA" w:rsidP="00DA5364">
      <w:pPr>
        <w:autoSpaceDE w:val="0"/>
        <w:autoSpaceDN w:val="0"/>
        <w:adjustRightInd w:val="0"/>
      </w:pPr>
    </w:p>
    <w:p w:rsidR="005E09C3" w:rsidRPr="00460EDD" w:rsidRDefault="00A844A8" w:rsidP="00DA5364">
      <w:pPr>
        <w:autoSpaceDE w:val="0"/>
        <w:autoSpaceDN w:val="0"/>
        <w:adjustRightInd w:val="0"/>
      </w:pPr>
      <w:r w:rsidRPr="00460EDD">
        <w:rPr>
          <w:color w:val="000000"/>
        </w:rPr>
        <w:t>T</w:t>
      </w:r>
      <w:r w:rsidR="00DA5364" w:rsidRPr="00460EDD">
        <w:rPr>
          <w:color w:val="000000"/>
        </w:rPr>
        <w:t xml:space="preserve">he Call Report requires the least amount of data from </w:t>
      </w:r>
      <w:r w:rsidR="00ED02B4" w:rsidRPr="00460EDD">
        <w:rPr>
          <w:color w:val="000000"/>
        </w:rPr>
        <w:t xml:space="preserve">small </w:t>
      </w:r>
      <w:r w:rsidR="00C66ECF" w:rsidRPr="00460EDD">
        <w:rPr>
          <w:color w:val="000000"/>
        </w:rPr>
        <w:t>institutions</w:t>
      </w:r>
      <w:r w:rsidR="00DA5364" w:rsidRPr="00460EDD">
        <w:rPr>
          <w:color w:val="000000"/>
        </w:rPr>
        <w:t xml:space="preserve"> with </w:t>
      </w:r>
      <w:r w:rsidRPr="00460EDD">
        <w:rPr>
          <w:color w:val="000000"/>
        </w:rPr>
        <w:t xml:space="preserve">domestic offices only and </w:t>
      </w:r>
      <w:r w:rsidR="00DA5364" w:rsidRPr="00460EDD">
        <w:rPr>
          <w:color w:val="000000"/>
        </w:rPr>
        <w:t xml:space="preserve">less than $1 </w:t>
      </w:r>
      <w:r w:rsidRPr="00460EDD">
        <w:rPr>
          <w:color w:val="000000"/>
        </w:rPr>
        <w:t>b</w:t>
      </w:r>
      <w:r w:rsidR="00DA5364" w:rsidRPr="00460EDD">
        <w:rPr>
          <w:color w:val="000000"/>
        </w:rPr>
        <w:t>illion in total assets</w:t>
      </w:r>
      <w:r w:rsidR="00ED02B4" w:rsidRPr="00460EDD">
        <w:rPr>
          <w:color w:val="000000"/>
        </w:rPr>
        <w:t xml:space="preserve"> that file the streamlined FFIEC 051 report form</w:t>
      </w:r>
      <w:r w:rsidR="00DA5364" w:rsidRPr="00460EDD">
        <w:t xml:space="preserve">.  </w:t>
      </w:r>
      <w:r w:rsidR="005E09C3" w:rsidRPr="00460EDD">
        <w:t xml:space="preserve">Under the current proposal, the asset-size criterion for eligibility to file the FFIEC 051 would be expanded to institutions with total assets less than $5 billion.  </w:t>
      </w:r>
      <w:r w:rsidR="00261B6B" w:rsidRPr="00460EDD">
        <w:t>Within the FFIEC 051, certain institutions with less than $300 million in total assets have fewer items applicable to them than do institutions with $300 million t</w:t>
      </w:r>
      <w:r w:rsidR="00C069AA" w:rsidRPr="00460EDD">
        <w:t>o</w:t>
      </w:r>
      <w:r w:rsidR="00261B6B" w:rsidRPr="00460EDD">
        <w:t xml:space="preserve"> $1 billion in assets.  </w:t>
      </w:r>
      <w:r w:rsidR="00C069AA" w:rsidRPr="00460EDD">
        <w:t>In addition, the supplemental in</w:t>
      </w:r>
      <w:r w:rsidR="008D0856" w:rsidRPr="00460EDD">
        <w:t>formation schedule in the FFIEC </w:t>
      </w:r>
      <w:r w:rsidR="00C069AA" w:rsidRPr="00460EDD">
        <w:t>051</w:t>
      </w:r>
      <w:r w:rsidR="00234EF2" w:rsidRPr="00460EDD">
        <w:t>, which replaced five entire schedules and part</w:t>
      </w:r>
      <w:r w:rsidR="00BA5CB6" w:rsidRPr="00460EDD">
        <w:t>s</w:t>
      </w:r>
      <w:r w:rsidR="00234EF2" w:rsidRPr="00460EDD">
        <w:t xml:space="preserve"> of </w:t>
      </w:r>
      <w:r w:rsidR="00BA5CB6" w:rsidRPr="00460EDD">
        <w:t>certain other schedules that had been in the FFIEC 041,</w:t>
      </w:r>
      <w:r w:rsidR="00C069AA" w:rsidRPr="00460EDD">
        <w:t xml:space="preserve"> includes nine indicator questions with “yes”/”no” responses that ask about an institution’s involvement in certain complex or specialized activities.  Only if the response to a particular indicator question is a “yes” is an institution required to complete </w:t>
      </w:r>
      <w:r w:rsidR="00BA5CB6" w:rsidRPr="00460EDD">
        <w:t>an average of three</w:t>
      </w:r>
      <w:r w:rsidR="00234EF2" w:rsidRPr="00460EDD">
        <w:t xml:space="preserve"> indicator items that provide </w:t>
      </w:r>
      <w:r w:rsidR="00BA5CB6" w:rsidRPr="00460EDD">
        <w:t xml:space="preserve">data on the extent of the institution’s </w:t>
      </w:r>
      <w:r w:rsidR="00234EF2" w:rsidRPr="00460EDD">
        <w:t xml:space="preserve">involvement </w:t>
      </w:r>
      <w:r w:rsidR="00BA5CB6" w:rsidRPr="00460EDD">
        <w:t>in that activity.</w:t>
      </w:r>
      <w:r w:rsidR="00C069AA" w:rsidRPr="00460EDD">
        <w:t xml:space="preserve"> </w:t>
      </w:r>
      <w:r w:rsidR="00BA5CB6" w:rsidRPr="00460EDD">
        <w:t xml:space="preserve"> </w:t>
      </w:r>
      <w:r w:rsidR="005E09C3" w:rsidRPr="00460EDD">
        <w:t xml:space="preserve">  </w:t>
      </w:r>
    </w:p>
    <w:p w:rsidR="005E09C3" w:rsidRPr="00460EDD" w:rsidRDefault="005E09C3" w:rsidP="00DA5364">
      <w:pPr>
        <w:autoSpaceDE w:val="0"/>
        <w:autoSpaceDN w:val="0"/>
        <w:adjustRightInd w:val="0"/>
      </w:pPr>
    </w:p>
    <w:p w:rsidR="004A0A0C" w:rsidRPr="00460EDD" w:rsidRDefault="00DA5364" w:rsidP="00DA5364">
      <w:pPr>
        <w:autoSpaceDE w:val="0"/>
        <w:autoSpaceDN w:val="0"/>
        <w:adjustRightInd w:val="0"/>
      </w:pPr>
      <w:r w:rsidRPr="00460EDD">
        <w:t xml:space="preserve">The next least amount of data is collected from </w:t>
      </w:r>
      <w:r w:rsidR="00ED02B4" w:rsidRPr="00460EDD">
        <w:t xml:space="preserve">other </w:t>
      </w:r>
      <w:r w:rsidR="00C66ECF" w:rsidRPr="00460EDD">
        <w:t>institutions</w:t>
      </w:r>
      <w:r w:rsidRPr="00460EDD">
        <w:t xml:space="preserve"> with </w:t>
      </w:r>
      <w:r w:rsidR="00ED02B4" w:rsidRPr="00460EDD">
        <w:t>domestic offices only that file the FFIEC 0</w:t>
      </w:r>
      <w:r w:rsidR="003843E2" w:rsidRPr="00460EDD">
        <w:t>4</w:t>
      </w:r>
      <w:r w:rsidR="00ED02B4" w:rsidRPr="00460EDD">
        <w:t xml:space="preserve">1 </w:t>
      </w:r>
      <w:r w:rsidR="003843E2" w:rsidRPr="00460EDD">
        <w:t>r</w:t>
      </w:r>
      <w:r w:rsidR="00ED02B4" w:rsidRPr="00460EDD">
        <w:t xml:space="preserve">eport </w:t>
      </w:r>
      <w:r w:rsidR="003843E2" w:rsidRPr="00460EDD">
        <w:t>for</w:t>
      </w:r>
      <w:r w:rsidR="00261B6B" w:rsidRPr="00460EDD">
        <w:t>m</w:t>
      </w:r>
      <w:r w:rsidR="003843E2" w:rsidRPr="00460EDD">
        <w:t xml:space="preserve"> </w:t>
      </w:r>
      <w:r w:rsidR="00146A71" w:rsidRPr="00460EDD">
        <w:t xml:space="preserve">(even if they are eligible to file the FFIEC 051) </w:t>
      </w:r>
      <w:r w:rsidR="003843E2" w:rsidRPr="00460EDD">
        <w:t>and</w:t>
      </w:r>
      <w:r w:rsidR="00146A71" w:rsidRPr="00460EDD">
        <w:t xml:space="preserve"> have </w:t>
      </w:r>
      <w:r w:rsidR="003843E2" w:rsidRPr="00460EDD">
        <w:t xml:space="preserve">less than </w:t>
      </w:r>
      <w:r w:rsidRPr="00460EDD">
        <w:t>$</w:t>
      </w:r>
      <w:r w:rsidR="003843E2" w:rsidRPr="00460EDD">
        <w:t>3</w:t>
      </w:r>
      <w:r w:rsidRPr="00460EDD">
        <w:t>00 million in total assets.</w:t>
      </w:r>
      <w:r w:rsidR="00311F12" w:rsidRPr="00460EDD">
        <w:t xml:space="preserve">  </w:t>
      </w:r>
      <w:r w:rsidR="006D7587" w:rsidRPr="00460EDD">
        <w:t xml:space="preserve">Exemptions from reporting certain Call Report data </w:t>
      </w:r>
      <w:r w:rsidR="00C069AA" w:rsidRPr="00460EDD">
        <w:t xml:space="preserve">within the FFIEC 041 report form </w:t>
      </w:r>
      <w:r w:rsidR="006D7587" w:rsidRPr="00460EDD">
        <w:t xml:space="preserve">also apply </w:t>
      </w:r>
      <w:r w:rsidR="0085548F" w:rsidRPr="00460EDD">
        <w:t>to institutions with less than</w:t>
      </w:r>
      <w:r w:rsidR="006D7587" w:rsidRPr="00460EDD">
        <w:t xml:space="preserve"> $5</w:t>
      </w:r>
      <w:r w:rsidR="005E40BE" w:rsidRPr="00460EDD">
        <w:t>0</w:t>
      </w:r>
      <w:r w:rsidR="006D7587" w:rsidRPr="00460EDD">
        <w:t xml:space="preserve">0 million and $1 billion </w:t>
      </w:r>
      <w:r w:rsidR="0085548F" w:rsidRPr="00460EDD">
        <w:t xml:space="preserve">in total </w:t>
      </w:r>
      <w:r w:rsidR="006D7587" w:rsidRPr="00460EDD">
        <w:t>asset</w:t>
      </w:r>
      <w:r w:rsidR="0085548F" w:rsidRPr="00460EDD">
        <w:t>s</w:t>
      </w:r>
      <w:r w:rsidR="006D7587" w:rsidRPr="00460EDD">
        <w:t>.</w:t>
      </w:r>
      <w:r w:rsidR="00F2252B" w:rsidRPr="00460EDD">
        <w:t xml:space="preserve">  </w:t>
      </w:r>
      <w:r w:rsidR="00146A71" w:rsidRPr="00460EDD">
        <w:t>In both the FFIEC 051 and the FFIEC 041, o</w:t>
      </w:r>
      <w:r w:rsidR="00F2252B" w:rsidRPr="00460EDD">
        <w:t>ther exemptions are based on activity levels rather than total assets and these activity-based thresholds tend to benefit small institutions.</w:t>
      </w:r>
      <w:r w:rsidR="006D7587" w:rsidRPr="00460EDD">
        <w:t xml:space="preserve">  </w:t>
      </w:r>
      <w:r w:rsidR="0040051C" w:rsidRPr="00460EDD">
        <w:t xml:space="preserve">In addition, </w:t>
      </w:r>
      <w:r w:rsidR="00557895" w:rsidRPr="00460EDD">
        <w:t xml:space="preserve">a significant number of data items in the </w:t>
      </w:r>
      <w:r w:rsidR="003C3D4E" w:rsidRPr="00460EDD">
        <w:t>FFIEC </w:t>
      </w:r>
      <w:r w:rsidR="0040051C" w:rsidRPr="00460EDD">
        <w:t xml:space="preserve">051 report </w:t>
      </w:r>
      <w:r w:rsidR="003C3D4E" w:rsidRPr="00460EDD">
        <w:t>a</w:t>
      </w:r>
      <w:r w:rsidR="00557895" w:rsidRPr="00460EDD">
        <w:t xml:space="preserve">re now collected semiannually or annually </w:t>
      </w:r>
      <w:r w:rsidR="003D1A66" w:rsidRPr="00460EDD">
        <w:t xml:space="preserve">from </w:t>
      </w:r>
      <w:r w:rsidR="003D1A66" w:rsidRPr="00460EDD">
        <w:rPr>
          <w:color w:val="000000"/>
        </w:rPr>
        <w:t xml:space="preserve">small institutions with domestic offices only and less than $1 billion in total assets that file the FFIEC 051 report </w:t>
      </w:r>
      <w:r w:rsidR="00557895" w:rsidRPr="00460EDD">
        <w:t>rather than quarterly</w:t>
      </w:r>
      <w:r w:rsidR="003C3D4E" w:rsidRPr="00460EDD">
        <w:t xml:space="preserve"> as they had been </w:t>
      </w:r>
      <w:r w:rsidR="003D1A66" w:rsidRPr="00460EDD">
        <w:t xml:space="preserve">when these institutions filed </w:t>
      </w:r>
      <w:r w:rsidR="00EE2221" w:rsidRPr="00460EDD">
        <w:t>the FFIEC 0</w:t>
      </w:r>
      <w:r w:rsidR="003D1A66" w:rsidRPr="00460EDD">
        <w:t>4</w:t>
      </w:r>
      <w:r w:rsidR="00EE2221" w:rsidRPr="00460EDD">
        <w:t>1 report</w:t>
      </w:r>
      <w:r w:rsidR="00557895" w:rsidRPr="00460EDD">
        <w:t xml:space="preserve">. </w:t>
      </w:r>
      <w:r w:rsidR="00311F12" w:rsidRPr="00460EDD">
        <w:t xml:space="preserve"> </w:t>
      </w:r>
    </w:p>
    <w:p w:rsidR="004A0A0C" w:rsidRPr="00460EDD" w:rsidRDefault="004A0A0C" w:rsidP="00DA5364">
      <w:pPr>
        <w:autoSpaceDE w:val="0"/>
        <w:autoSpaceDN w:val="0"/>
        <w:adjustRightInd w:val="0"/>
      </w:pPr>
    </w:p>
    <w:p w:rsidR="00DA5364" w:rsidRPr="00460EDD" w:rsidRDefault="00311F12" w:rsidP="00DA5364">
      <w:pPr>
        <w:autoSpaceDE w:val="0"/>
        <w:autoSpaceDN w:val="0"/>
        <w:adjustRightInd w:val="0"/>
      </w:pPr>
      <w:r w:rsidRPr="00460EDD">
        <w:t xml:space="preserve"> </w:t>
      </w:r>
      <w:r w:rsidR="00DA5364" w:rsidRPr="00460EDD">
        <w:t xml:space="preserve">  </w:t>
      </w:r>
    </w:p>
    <w:p w:rsidR="00460EDD" w:rsidRDefault="00460EDD">
      <w:r>
        <w:br w:type="page"/>
      </w:r>
    </w:p>
    <w:p w:rsidR="00DA5364" w:rsidRPr="00460EDD" w:rsidRDefault="00DA5364" w:rsidP="00DA5364">
      <w:pPr>
        <w:tabs>
          <w:tab w:val="left" w:pos="-1440"/>
          <w:tab w:val="left" w:pos="-720"/>
          <w:tab w:val="left" w:pos="0"/>
          <w:tab w:val="left" w:pos="432"/>
          <w:tab w:val="left" w:pos="720"/>
        </w:tabs>
        <w:suppressAutoHyphens/>
      </w:pPr>
      <w:r w:rsidRPr="00460EDD">
        <w:t xml:space="preserve">6.  </w:t>
      </w:r>
      <w:r w:rsidRPr="00460EDD">
        <w:rPr>
          <w:u w:val="single"/>
        </w:rPr>
        <w:t>Consequences of Less Frequent Collection</w:t>
      </w:r>
    </w:p>
    <w:p w:rsidR="002337EF" w:rsidRPr="00460EDD" w:rsidRDefault="002337EF" w:rsidP="006540AB">
      <w:pPr>
        <w:tabs>
          <w:tab w:val="left" w:pos="-1440"/>
          <w:tab w:val="left" w:pos="-720"/>
          <w:tab w:val="left" w:pos="0"/>
          <w:tab w:val="left" w:pos="432"/>
          <w:tab w:val="left" w:pos="720"/>
        </w:tabs>
        <w:suppressAutoHyphens/>
      </w:pPr>
    </w:p>
    <w:p w:rsidR="002337EF" w:rsidRPr="00460EDD" w:rsidRDefault="00E564A5" w:rsidP="002337EF">
      <w:pPr>
        <w:tabs>
          <w:tab w:val="left" w:pos="-1440"/>
          <w:tab w:val="left" w:pos="-720"/>
          <w:tab w:val="left" w:pos="0"/>
          <w:tab w:val="left" w:pos="432"/>
          <w:tab w:val="left" w:pos="720"/>
        </w:tabs>
        <w:suppressAutoHyphens/>
      </w:pPr>
      <w:r w:rsidRPr="00460EDD">
        <w:t>Collecting</w:t>
      </w:r>
      <w:r w:rsidR="00086E0C" w:rsidRPr="00460EDD">
        <w:t xml:space="preserve"> Call Report data</w:t>
      </w:r>
      <w:r w:rsidR="002337EF" w:rsidRPr="00460EDD">
        <w:t xml:space="preserve"> </w:t>
      </w:r>
      <w:r w:rsidR="00D36B70" w:rsidRPr="00460EDD">
        <w:t xml:space="preserve">less frequently than quarterly </w:t>
      </w:r>
      <w:r w:rsidR="002337EF" w:rsidRPr="00460EDD">
        <w:t>would reduce the FDIC’s ability to identify on a timely basis those institutions experiencing adverse changes in their condition or risk profile</w:t>
      </w:r>
      <w:r w:rsidR="00086E0C" w:rsidRPr="00460EDD">
        <w:t>.  Timely identification enables the FDIC to work with the managements of such institutions to initiate</w:t>
      </w:r>
      <w:r w:rsidR="002337EF" w:rsidRPr="00460EDD">
        <w:t xml:space="preserve"> appropriate corrective measures at an early stage to restore the</w:t>
      </w:r>
      <w:r w:rsidR="00086E0C" w:rsidRPr="00460EDD">
        <w:t xml:space="preserve"> institutions’</w:t>
      </w:r>
      <w:r w:rsidR="002337EF" w:rsidRPr="00460EDD">
        <w:t xml:space="preserve"> safety and soundness.  </w:t>
      </w:r>
      <w:r w:rsidR="00086E0C" w:rsidRPr="00460EDD">
        <w:t>Timely</w:t>
      </w:r>
      <w:r w:rsidR="002337EF" w:rsidRPr="00460EDD">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003D1A66" w:rsidRPr="00460EDD">
        <w:t>Call Reports</w:t>
      </w:r>
      <w:r w:rsidR="002337EF" w:rsidRPr="00460EDD">
        <w:t xml:space="preserve"> less frequently than quarterly would permit deteriorating conditions at institutions to fester considerably longer before they would be detected through the FDIC’s monitoring systems, through the fortunate scheduling of an examination, or by other means. </w:t>
      </w:r>
      <w:r w:rsidR="00BB0792" w:rsidRPr="00460EDD">
        <w:t xml:space="preserve"> </w:t>
      </w:r>
      <w:r w:rsidR="002337EF" w:rsidRPr="00460EDD">
        <w:t>Such institutions would therefore run a greater risk of failure because of delays in effecting corrective action, either on institution management’s own initiative or at the behest of the FDIC.</w:t>
      </w:r>
      <w:r w:rsidR="00D36B70" w:rsidRPr="00460EDD">
        <w:t xml:space="preserve">  Nevertheless, </w:t>
      </w:r>
      <w:r w:rsidR="003D1A66" w:rsidRPr="00460EDD">
        <w:t>certain</w:t>
      </w:r>
      <w:r w:rsidR="00D36B70" w:rsidRPr="00460EDD">
        <w:t xml:space="preserve"> Call Report data items </w:t>
      </w:r>
      <w:r w:rsidR="003D1A66" w:rsidRPr="00460EDD">
        <w:t xml:space="preserve">are collected less frequently than </w:t>
      </w:r>
      <w:r w:rsidR="00D36B70" w:rsidRPr="00460EDD">
        <w:t xml:space="preserve">quarterly </w:t>
      </w:r>
      <w:r w:rsidR="003D1A66" w:rsidRPr="00460EDD">
        <w:t xml:space="preserve">from </w:t>
      </w:r>
      <w:r w:rsidR="00D36B70" w:rsidRPr="00460EDD">
        <w:t>some or all institutions, particularly in the streamlined FFIEC 051 Call Report for eligible small institutions.</w:t>
      </w:r>
      <w:r w:rsidR="007472FB" w:rsidRPr="00460EDD">
        <w:t xml:space="preserve">  Under the proposal, the reporting frequency of additional existing data items reportable in the FFIEC 051 would be reduced from quarterly to semiannual. </w:t>
      </w:r>
    </w:p>
    <w:p w:rsidR="002337EF" w:rsidRPr="00460EDD" w:rsidRDefault="002337EF" w:rsidP="006540AB">
      <w:pPr>
        <w:tabs>
          <w:tab w:val="left" w:pos="-1440"/>
          <w:tab w:val="left" w:pos="-720"/>
          <w:tab w:val="left" w:pos="0"/>
          <w:tab w:val="left" w:pos="432"/>
          <w:tab w:val="left" w:pos="720"/>
        </w:tabs>
        <w:suppressAutoHyphens/>
      </w:pPr>
    </w:p>
    <w:p w:rsidR="002337EF" w:rsidRPr="00460EDD" w:rsidRDefault="002337EF" w:rsidP="006540AB">
      <w:pPr>
        <w:tabs>
          <w:tab w:val="left" w:pos="-1440"/>
          <w:tab w:val="left" w:pos="-720"/>
          <w:tab w:val="left" w:pos="0"/>
          <w:tab w:val="left" w:pos="432"/>
          <w:tab w:val="left" w:pos="720"/>
        </w:tabs>
        <w:suppressAutoHyphens/>
      </w:pPr>
      <w:r w:rsidRPr="00460EDD">
        <w:t>In addition to supporting the identification</w:t>
      </w:r>
      <w:r w:rsidR="00086E0C" w:rsidRPr="00460EDD">
        <w:t xml:space="preserve"> of</w:t>
      </w:r>
      <w:r w:rsidRPr="00460EDD">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002337EF" w:rsidRPr="00460EDD" w:rsidRDefault="002337EF" w:rsidP="006540AB">
      <w:pPr>
        <w:tabs>
          <w:tab w:val="left" w:pos="-1440"/>
          <w:tab w:val="left" w:pos="-720"/>
          <w:tab w:val="left" w:pos="0"/>
          <w:tab w:val="left" w:pos="432"/>
          <w:tab w:val="left" w:pos="720"/>
        </w:tabs>
        <w:suppressAutoHyphens/>
      </w:pPr>
    </w:p>
    <w:p w:rsidR="002337EF" w:rsidRPr="00460EDD" w:rsidRDefault="002337EF" w:rsidP="006540AB">
      <w:pPr>
        <w:tabs>
          <w:tab w:val="left" w:pos="-1440"/>
          <w:tab w:val="left" w:pos="-720"/>
          <w:tab w:val="left" w:pos="0"/>
          <w:tab w:val="left" w:pos="432"/>
          <w:tab w:val="left" w:pos="720"/>
        </w:tabs>
        <w:suppressAutoHyphens/>
      </w:pPr>
      <w:r w:rsidRPr="00460EDD">
        <w:t>Furthermore, certain Call Report data items are required quarterly due to various statutes or regulations.</w:t>
      </w:r>
      <w:r w:rsidR="000C1FED" w:rsidRPr="00460EDD">
        <w:t xml:space="preserve">  Leverage ratios based on average quarter</w:t>
      </w:r>
      <w:r w:rsidR="00460EDD">
        <w:t>ly assets (reported on Schedule </w:t>
      </w:r>
      <w:r w:rsidR="000C1FED" w:rsidRPr="00460EDD">
        <w:t>RC-K) and risk-based capital ratios (reported on Schedule RC-R) are necessary under the prompt corrective action framework established under 12 U.S.C. 1831o.  Data on off</w:t>
      </w:r>
      <w:r w:rsidR="00205D6E" w:rsidRPr="00460EDD">
        <w:noBreakHyphen/>
      </w:r>
      <w:r w:rsidR="000C1FED" w:rsidRPr="00460EDD">
        <w:t>balance sheet assets and liabilities (reported on Schedule RC-L) are required every quarter for which an institution submits a balance sheet</w:t>
      </w:r>
      <w:r w:rsidR="008D0856" w:rsidRPr="00460EDD">
        <w:t xml:space="preserve"> to the agencies pursuant to 12 </w:t>
      </w:r>
      <w:r w:rsidR="000C1FED" w:rsidRPr="00460EDD">
        <w:t>U.S.C. 1831n.  Granular data on deposit liabilities and data affecting risk assessments for deposit insurance (reported on Schedules RC-E and RC-O) are required four times per year under 12 U.S.C. 1817.</w:t>
      </w:r>
    </w:p>
    <w:p w:rsidR="00F26A93" w:rsidRPr="00460EDD" w:rsidRDefault="00F26A93" w:rsidP="00DA5364">
      <w:pPr>
        <w:tabs>
          <w:tab w:val="left" w:pos="-1440"/>
          <w:tab w:val="left" w:pos="-720"/>
          <w:tab w:val="left" w:pos="0"/>
          <w:tab w:val="left" w:pos="432"/>
          <w:tab w:val="left" w:pos="720"/>
        </w:tabs>
        <w:suppressAutoHyphens/>
      </w:pPr>
    </w:p>
    <w:p w:rsidR="00F26A93" w:rsidRPr="00460EDD" w:rsidRDefault="00F26A93"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7.  </w:t>
      </w:r>
      <w:r w:rsidRPr="00460EDD">
        <w:rPr>
          <w:u w:val="single"/>
        </w:rPr>
        <w:t>Special Circumstances</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There are no special circumstances.</w:t>
      </w:r>
    </w:p>
    <w:p w:rsidR="00DA5364" w:rsidRPr="00460EDD" w:rsidRDefault="00DA5364" w:rsidP="00DA5364">
      <w:pPr>
        <w:tabs>
          <w:tab w:val="left" w:pos="-1440"/>
          <w:tab w:val="left" w:pos="-720"/>
          <w:tab w:val="left" w:pos="0"/>
          <w:tab w:val="left" w:pos="432"/>
          <w:tab w:val="left" w:pos="720"/>
        </w:tabs>
        <w:suppressAutoHyphens/>
      </w:pPr>
    </w:p>
    <w:p w:rsidR="00A04B01" w:rsidRPr="00460EDD" w:rsidRDefault="00A04B01" w:rsidP="00DA5364">
      <w:pPr>
        <w:tabs>
          <w:tab w:val="left" w:pos="-1440"/>
          <w:tab w:val="left" w:pos="-720"/>
          <w:tab w:val="left" w:pos="0"/>
          <w:tab w:val="left" w:pos="432"/>
          <w:tab w:val="left" w:pos="720"/>
        </w:tabs>
        <w:suppressAutoHyphens/>
      </w:pPr>
    </w:p>
    <w:p w:rsidR="00460EDD" w:rsidRDefault="00460EDD">
      <w:r>
        <w:br w:type="page"/>
      </w:r>
    </w:p>
    <w:p w:rsidR="00DA5364" w:rsidRPr="00460EDD" w:rsidRDefault="00DA5364" w:rsidP="00DA5364">
      <w:pPr>
        <w:suppressAutoHyphens/>
        <w:rPr>
          <w:u w:val="single"/>
        </w:rPr>
      </w:pPr>
      <w:r w:rsidRPr="00460EDD">
        <w:t xml:space="preserve">8.  </w:t>
      </w:r>
      <w:r w:rsidRPr="00460EDD">
        <w:rPr>
          <w:u w:val="single"/>
        </w:rPr>
        <w:t>Summary of Public Comments</w:t>
      </w:r>
    </w:p>
    <w:p w:rsidR="00DA5364" w:rsidRPr="00460EDD" w:rsidRDefault="00DA5364" w:rsidP="00DA5364">
      <w:pPr>
        <w:suppressAutoHyphens/>
        <w:rPr>
          <w:u w:val="single"/>
        </w:rPr>
      </w:pPr>
    </w:p>
    <w:p w:rsidR="007D73DA" w:rsidRPr="00460EDD" w:rsidRDefault="007D73DA" w:rsidP="007D73DA">
      <w:pPr>
        <w:tabs>
          <w:tab w:val="left" w:pos="-1440"/>
          <w:tab w:val="left" w:pos="-720"/>
          <w:tab w:val="left" w:pos="0"/>
          <w:tab w:val="left" w:pos="432"/>
          <w:tab w:val="left" w:pos="720"/>
        </w:tabs>
        <w:suppressAutoHyphens/>
      </w:pPr>
      <w:r w:rsidRPr="00460EDD">
        <w:t xml:space="preserve">The FDIC coordinated and consulted with the FRB and the OCC in proposing these revisions.  </w:t>
      </w:r>
      <w:r w:rsidR="007858F3" w:rsidRPr="00460EDD">
        <w:t>On November 19, 2018, the agencies jointly published a notice of proposed rulemaking notice in the Federal Register (83 FR</w:t>
      </w:r>
      <w:r w:rsidR="00122B7E" w:rsidRPr="00460EDD">
        <w:t xml:space="preserve"> 58432</w:t>
      </w:r>
      <w:r w:rsidR="007858F3" w:rsidRPr="00460EDD">
        <w:t>)</w:t>
      </w:r>
      <w:r w:rsidR="00122B7E" w:rsidRPr="00460EDD">
        <w:t xml:space="preserve"> that would implement Section 205 of </w:t>
      </w:r>
      <w:r w:rsidR="00DF3008" w:rsidRPr="00460EDD">
        <w:t>EGRRCPA, which</w:t>
      </w:r>
      <w:r w:rsidR="00122B7E" w:rsidRPr="00460EDD">
        <w:t xml:space="preserve"> includes a Paperwork Reduction Act (PRA) notice</w:t>
      </w:r>
      <w:r w:rsidR="007858F3" w:rsidRPr="00460EDD">
        <w:t xml:space="preserve"> requesting public comment for 60 days on the extension, with revision, of the Call Reports.  The comment period for this notice </w:t>
      </w:r>
      <w:r w:rsidR="00122B7E" w:rsidRPr="00460EDD">
        <w:t xml:space="preserve">of proposed rulemaking, including its PRA notice, </w:t>
      </w:r>
      <w:r w:rsidR="007858F3" w:rsidRPr="00460EDD">
        <w:t xml:space="preserve">expires on January </w:t>
      </w:r>
      <w:r w:rsidR="00122B7E" w:rsidRPr="00460EDD">
        <w:t>18</w:t>
      </w:r>
      <w:r w:rsidR="007858F3" w:rsidRPr="00460EDD">
        <w:t>, 2019.</w:t>
      </w:r>
    </w:p>
    <w:p w:rsidR="005E770A" w:rsidRPr="00460EDD" w:rsidRDefault="005E770A" w:rsidP="00A02204">
      <w:pPr>
        <w:tabs>
          <w:tab w:val="left" w:pos="-1440"/>
          <w:tab w:val="left" w:pos="-720"/>
          <w:tab w:val="left" w:pos="0"/>
          <w:tab w:val="left" w:pos="432"/>
          <w:tab w:val="left" w:pos="720"/>
        </w:tabs>
        <w:suppressAutoHyphens/>
      </w:pPr>
    </w:p>
    <w:p w:rsidR="00122B7E" w:rsidRPr="00460EDD" w:rsidRDefault="00122B7E" w:rsidP="00A02204">
      <w:pPr>
        <w:tabs>
          <w:tab w:val="left" w:pos="-1440"/>
          <w:tab w:val="left" w:pos="-720"/>
          <w:tab w:val="left" w:pos="0"/>
          <w:tab w:val="left" w:pos="432"/>
          <w:tab w:val="left" w:pos="720"/>
        </w:tabs>
        <w:suppressAutoHyphens/>
      </w:pPr>
    </w:p>
    <w:p w:rsidR="00DA5364" w:rsidRPr="00460EDD" w:rsidRDefault="00DA5364" w:rsidP="006C4F6D">
      <w:pPr>
        <w:suppressAutoHyphens/>
      </w:pPr>
      <w:r w:rsidRPr="00460EDD">
        <w:t xml:space="preserve">9.  </w:t>
      </w:r>
      <w:r w:rsidRPr="00460EDD">
        <w:rPr>
          <w:u w:val="single"/>
        </w:rPr>
        <w:t>Payment or Gift to Respondents</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No payment or gift will be provided to respondents.</w:t>
      </w:r>
    </w:p>
    <w:p w:rsidR="00576033" w:rsidRPr="00460EDD" w:rsidRDefault="00576033" w:rsidP="00DA5364">
      <w:pPr>
        <w:tabs>
          <w:tab w:val="left" w:pos="-1440"/>
          <w:tab w:val="left" w:pos="-720"/>
          <w:tab w:val="left" w:pos="0"/>
          <w:tab w:val="left" w:pos="432"/>
          <w:tab w:val="left" w:pos="720"/>
        </w:tabs>
        <w:suppressAutoHyphens/>
      </w:pPr>
    </w:p>
    <w:p w:rsidR="00205D6E" w:rsidRPr="00460EDD" w:rsidRDefault="00205D6E"/>
    <w:p w:rsidR="00DA5364" w:rsidRPr="00460EDD" w:rsidRDefault="00DA5364" w:rsidP="00DA5364">
      <w:pPr>
        <w:tabs>
          <w:tab w:val="left" w:pos="-1440"/>
          <w:tab w:val="left" w:pos="-720"/>
          <w:tab w:val="left" w:pos="0"/>
          <w:tab w:val="left" w:pos="432"/>
          <w:tab w:val="left" w:pos="720"/>
        </w:tabs>
        <w:suppressAutoHyphens/>
      </w:pPr>
      <w:r w:rsidRPr="00460EDD">
        <w:t xml:space="preserve">10.  </w:t>
      </w:r>
      <w:r w:rsidRPr="00460EDD">
        <w:rPr>
          <w:u w:val="single"/>
        </w:rPr>
        <w:t>Confidentiality</w:t>
      </w:r>
    </w:p>
    <w:p w:rsidR="00DA5364" w:rsidRPr="00460EDD" w:rsidRDefault="00DA5364" w:rsidP="00DA5364">
      <w:pPr>
        <w:tabs>
          <w:tab w:val="left" w:pos="-1440"/>
          <w:tab w:val="left" w:pos="-720"/>
          <w:tab w:val="left" w:pos="0"/>
          <w:tab w:val="left" w:pos="432"/>
          <w:tab w:val="left" w:pos="720"/>
        </w:tabs>
        <w:suppressAutoHyphens/>
      </w:pPr>
    </w:p>
    <w:p w:rsidR="00C35579" w:rsidRPr="00460EDD" w:rsidRDefault="00DA5364" w:rsidP="004E24F8">
      <w:pPr>
        <w:suppressAutoHyphens/>
        <w:rPr>
          <w:color w:val="000000"/>
        </w:rPr>
      </w:pPr>
      <w:r w:rsidRPr="00460EDD">
        <w:t xml:space="preserve">At present, </w:t>
      </w:r>
      <w:r w:rsidR="00B06302" w:rsidRPr="00460EDD">
        <w:t>all</w:t>
      </w:r>
      <w:r w:rsidRPr="00460EDD">
        <w:t xml:space="preserve"> data items collected from individual </w:t>
      </w:r>
      <w:r w:rsidR="009E266D" w:rsidRPr="00460EDD">
        <w:t>institutions</w:t>
      </w:r>
      <w:r w:rsidRPr="00460EDD">
        <w:t xml:space="preserve"> in the Call Report are publicly available with </w:t>
      </w:r>
      <w:r w:rsidR="00AE5103" w:rsidRPr="00460EDD">
        <w:t xml:space="preserve">limited </w:t>
      </w:r>
      <w:r w:rsidRPr="00460EDD">
        <w:t>exception</w:t>
      </w:r>
      <w:r w:rsidR="00AE5103" w:rsidRPr="00460EDD">
        <w:t xml:space="preserve">s.  </w:t>
      </w:r>
      <w:r w:rsidR="002404F2" w:rsidRPr="00460EDD">
        <w:t>In this regard, f</w:t>
      </w:r>
      <w:r w:rsidR="00AE5103" w:rsidRPr="00460EDD">
        <w:t xml:space="preserve">or all institutions, the </w:t>
      </w:r>
      <w:r w:rsidRPr="00460EDD">
        <w:t>amount</w:t>
      </w:r>
      <w:r w:rsidR="00AE5103" w:rsidRPr="00460EDD">
        <w:t xml:space="preserve">, if any, </w:t>
      </w:r>
      <w:r w:rsidRPr="00460EDD">
        <w:t>report</w:t>
      </w:r>
      <w:r w:rsidR="00AE5103" w:rsidRPr="00460EDD">
        <w:t xml:space="preserve">ed </w:t>
      </w:r>
      <w:r w:rsidRPr="00460EDD">
        <w:t>in</w:t>
      </w:r>
      <w:r w:rsidR="004144E4" w:rsidRPr="00460EDD">
        <w:t xml:space="preserve"> Schedule </w:t>
      </w:r>
      <w:r w:rsidR="00D53513" w:rsidRPr="00460EDD">
        <w:t>RI-E, item 2.g, “FDIC </w:t>
      </w:r>
      <w:r w:rsidRPr="00460EDD">
        <w:t>deposit insurance assessments</w:t>
      </w:r>
      <w:r w:rsidR="004E5CFF" w:rsidRPr="00460EDD">
        <w:t>,</w:t>
      </w:r>
      <w:r w:rsidRPr="00460EDD">
        <w:t>”</w:t>
      </w:r>
      <w:r w:rsidR="004E5CFF" w:rsidRPr="00460EDD">
        <w:t xml:space="preserve"> </w:t>
      </w:r>
      <w:r w:rsidR="00C35579" w:rsidRPr="00460EDD">
        <w:t xml:space="preserve">is treated as confidential on an individual institution basis.  </w:t>
      </w:r>
      <w:r w:rsidR="002404F2" w:rsidRPr="00460EDD">
        <w:t>In addition, o</w:t>
      </w:r>
      <w:r w:rsidR="00C35579" w:rsidRPr="00460EDD">
        <w:t xml:space="preserve">n the FFIEC 031 and FFIEC 041 versions of the Call Report, the following data are treated as confidential on an individual institution basis: </w:t>
      </w:r>
      <w:r w:rsidR="00C35579" w:rsidRPr="00460EDD">
        <w:rPr>
          <w:color w:val="000000"/>
        </w:rPr>
        <w:t xml:space="preserve"> </w:t>
      </w:r>
    </w:p>
    <w:p w:rsidR="00C35579" w:rsidRPr="00460EDD" w:rsidRDefault="00C35579" w:rsidP="004E24F8">
      <w:pPr>
        <w:suppressAutoHyphens/>
        <w:rPr>
          <w:color w:val="000000"/>
        </w:rPr>
      </w:pPr>
    </w:p>
    <w:p w:rsidR="00C35579" w:rsidRPr="00460EDD" w:rsidRDefault="00C35579" w:rsidP="00C35579">
      <w:pPr>
        <w:tabs>
          <w:tab w:val="left" w:pos="360"/>
        </w:tabs>
        <w:suppressAutoHyphens/>
        <w:ind w:left="360" w:hanging="360"/>
      </w:pPr>
      <w:r w:rsidRPr="00460EDD">
        <w:rPr>
          <w:color w:val="000000"/>
        </w:rPr>
        <w:t>(1)</w:t>
      </w:r>
      <w:r w:rsidRPr="00460EDD">
        <w:rPr>
          <w:color w:val="000000"/>
        </w:rPr>
        <w:tab/>
        <w:t>A</w:t>
      </w:r>
      <w:r w:rsidRPr="00460EDD">
        <w:t>mounts reported in</w:t>
      </w:r>
      <w:r w:rsidR="004E5CFF" w:rsidRPr="00460EDD">
        <w:t xml:space="preserve"> </w:t>
      </w:r>
      <w:r w:rsidR="004E24F8" w:rsidRPr="00460EDD">
        <w:t>Schedule RC-P, items 7.a and 7.b, for representation and warranty reserves for 1-4 family residential mortgages sold to specified parties</w:t>
      </w:r>
      <w:r w:rsidRPr="00460EDD">
        <w:t xml:space="preserve">; </w:t>
      </w:r>
    </w:p>
    <w:p w:rsidR="00C35579" w:rsidRPr="00460EDD" w:rsidRDefault="00C35579" w:rsidP="00C35579">
      <w:pPr>
        <w:tabs>
          <w:tab w:val="left" w:pos="360"/>
        </w:tabs>
        <w:suppressAutoHyphens/>
        <w:ind w:left="360" w:hanging="360"/>
        <w:rPr>
          <w:color w:val="000000"/>
        </w:rPr>
      </w:pPr>
      <w:r w:rsidRPr="00460EDD">
        <w:t>(2)</w:t>
      </w:r>
      <w:r w:rsidRPr="00460EDD">
        <w:tab/>
        <w:t>Information</w:t>
      </w:r>
      <w:r w:rsidR="00EE4362" w:rsidRPr="00460EDD">
        <w:rPr>
          <w:color w:val="000000"/>
        </w:rPr>
        <w:t xml:space="preserve"> that large and highly complex institutions</w:t>
      </w:r>
      <w:r w:rsidR="00910766" w:rsidRPr="00460EDD">
        <w:rPr>
          <w:color w:val="000000"/>
        </w:rPr>
        <w:t xml:space="preserve"> </w:t>
      </w:r>
      <w:r w:rsidR="00EE4362" w:rsidRPr="00460EDD">
        <w:rPr>
          <w:color w:val="000000"/>
        </w:rPr>
        <w:t xml:space="preserve">report on criticized and classified items, nontraditional </w:t>
      </w:r>
      <w:r w:rsidR="00427D73" w:rsidRPr="00460EDD">
        <w:rPr>
          <w:color w:val="000000"/>
        </w:rPr>
        <w:t xml:space="preserve">1-4 family residential </w:t>
      </w:r>
      <w:r w:rsidR="00EE4362" w:rsidRPr="00460EDD">
        <w:rPr>
          <w:color w:val="000000"/>
        </w:rPr>
        <w:t xml:space="preserve">mortgage loans, </w:t>
      </w:r>
      <w:r w:rsidR="00427D73" w:rsidRPr="00460EDD">
        <w:rPr>
          <w:color w:val="000000"/>
        </w:rPr>
        <w:t xml:space="preserve">higher-risk </w:t>
      </w:r>
      <w:r w:rsidR="00EE4362" w:rsidRPr="00460EDD">
        <w:rPr>
          <w:color w:val="000000"/>
        </w:rPr>
        <w:t xml:space="preserve">consumer loans, </w:t>
      </w:r>
      <w:r w:rsidR="00427D73" w:rsidRPr="00460EDD">
        <w:rPr>
          <w:color w:val="000000"/>
        </w:rPr>
        <w:t>higher risk commercial and industrial loans and securities</w:t>
      </w:r>
      <w:r w:rsidR="00EE4362" w:rsidRPr="00460EDD">
        <w:rPr>
          <w:color w:val="000000"/>
        </w:rPr>
        <w:t xml:space="preserve">, top 20 counterparty exposures, and largest counterparty exposure for assessment purposes in </w:t>
      </w:r>
      <w:r w:rsidR="009E266D" w:rsidRPr="00460EDD">
        <w:rPr>
          <w:color w:val="000000"/>
        </w:rPr>
        <w:t xml:space="preserve">Schedule RC-O, </w:t>
      </w:r>
      <w:r w:rsidR="00A04B01" w:rsidRPr="00460EDD">
        <w:rPr>
          <w:color w:val="000000"/>
        </w:rPr>
        <w:t xml:space="preserve">Memorandum </w:t>
      </w:r>
      <w:r w:rsidR="009E266D" w:rsidRPr="00460EDD">
        <w:rPr>
          <w:color w:val="000000"/>
        </w:rPr>
        <w:t xml:space="preserve">items 6 through 9, 14, and 15, which are used as inputs to scorecard measures in the FDIC’s </w:t>
      </w:r>
      <w:r w:rsidR="004E24F8" w:rsidRPr="00460EDD">
        <w:rPr>
          <w:color w:val="000000"/>
        </w:rPr>
        <w:t xml:space="preserve">deposit insurance assessment system for </w:t>
      </w:r>
      <w:r w:rsidRPr="00460EDD">
        <w:rPr>
          <w:color w:val="000000"/>
        </w:rPr>
        <w:t>these</w:t>
      </w:r>
      <w:r w:rsidR="004E24F8" w:rsidRPr="00460EDD">
        <w:rPr>
          <w:color w:val="000000"/>
        </w:rPr>
        <w:t xml:space="preserve"> institutions</w:t>
      </w:r>
      <w:r w:rsidRPr="00460EDD">
        <w:rPr>
          <w:color w:val="000000"/>
        </w:rPr>
        <w:t xml:space="preserve">; and </w:t>
      </w:r>
    </w:p>
    <w:p w:rsidR="00C35579" w:rsidRPr="00460EDD" w:rsidRDefault="00C35579" w:rsidP="00C35579">
      <w:pPr>
        <w:tabs>
          <w:tab w:val="left" w:pos="360"/>
        </w:tabs>
        <w:suppressAutoHyphens/>
        <w:ind w:left="360" w:hanging="360"/>
      </w:pPr>
      <w:r w:rsidRPr="00460EDD">
        <w:rPr>
          <w:color w:val="000000"/>
        </w:rPr>
        <w:t>(3)</w:t>
      </w:r>
      <w:r w:rsidRPr="00460EDD">
        <w:rPr>
          <w:color w:val="000000"/>
        </w:rPr>
        <w:tab/>
        <w:t>The</w:t>
      </w:r>
      <w:r w:rsidRPr="00460EDD">
        <w:t xml:space="preserve"> table of consumer loans by loan type and probability of default band </w:t>
      </w:r>
      <w:r w:rsidR="008A324D" w:rsidRPr="00460EDD">
        <w:t>reported</w:t>
      </w:r>
      <w:r w:rsidRPr="00460EDD">
        <w:t xml:space="preserve"> for deposit insurance assessment purposes</w:t>
      </w:r>
      <w:r w:rsidR="008A324D" w:rsidRPr="00460EDD">
        <w:t xml:space="preserve"> </w:t>
      </w:r>
      <w:r w:rsidR="00CC6D11" w:rsidRPr="00460EDD">
        <w:t xml:space="preserve">by large and highly complex institutions </w:t>
      </w:r>
      <w:r w:rsidR="00A04B01" w:rsidRPr="00460EDD">
        <w:t>in Schedule RC-O, Memorandum item 18</w:t>
      </w:r>
      <w:r w:rsidRPr="00460EDD">
        <w:t xml:space="preserve">.  </w:t>
      </w:r>
    </w:p>
    <w:p w:rsidR="00C35579" w:rsidRPr="00460EDD" w:rsidRDefault="00C35579" w:rsidP="004E24F8">
      <w:pPr>
        <w:suppressAutoHyphens/>
      </w:pPr>
    </w:p>
    <w:p w:rsidR="00DA5364" w:rsidRPr="00460EDD" w:rsidRDefault="002404F2" w:rsidP="004E24F8">
      <w:pPr>
        <w:suppressAutoHyphens/>
      </w:pPr>
      <w:r w:rsidRPr="00460EDD">
        <w:rPr>
          <w:color w:val="000000"/>
        </w:rPr>
        <w:t>Furthermore</w:t>
      </w:r>
      <w:r w:rsidR="009E266D" w:rsidRPr="00460EDD">
        <w:rPr>
          <w:color w:val="000000"/>
        </w:rPr>
        <w:t>, c</w:t>
      </w:r>
      <w:r w:rsidR="00DA5364" w:rsidRPr="00460EDD">
        <w:rPr>
          <w:color w:val="000000"/>
        </w:rPr>
        <w:t xml:space="preserve">ontact information for </w:t>
      </w:r>
      <w:r w:rsidR="009E266D" w:rsidRPr="00460EDD">
        <w:rPr>
          <w:color w:val="000000"/>
        </w:rPr>
        <w:t>depository institution</w:t>
      </w:r>
      <w:r w:rsidR="00DA5364" w:rsidRPr="00460EDD">
        <w:rPr>
          <w:color w:val="000000"/>
        </w:rPr>
        <w:t xml:space="preserve"> personnel that is provided in </w:t>
      </w:r>
      <w:r w:rsidR="009E266D" w:rsidRPr="00460EDD">
        <w:rPr>
          <w:color w:val="000000"/>
        </w:rPr>
        <w:t>institutions</w:t>
      </w:r>
      <w:r w:rsidR="00DA5364" w:rsidRPr="00460EDD">
        <w:rPr>
          <w:color w:val="000000"/>
        </w:rPr>
        <w:t xml:space="preserve">’ Call Report submissions is not available to the public.  </w:t>
      </w:r>
    </w:p>
    <w:p w:rsidR="00DA5364" w:rsidRPr="00460EDD" w:rsidRDefault="00DA5364" w:rsidP="00DA5364">
      <w:pPr>
        <w:tabs>
          <w:tab w:val="left" w:pos="-1440"/>
          <w:tab w:val="left" w:pos="-720"/>
          <w:tab w:val="left" w:pos="0"/>
          <w:tab w:val="left" w:pos="432"/>
          <w:tab w:val="left" w:pos="720"/>
        </w:tabs>
        <w:suppressAutoHyphens/>
      </w:pPr>
    </w:p>
    <w:p w:rsidR="00223DDF" w:rsidRPr="00460EDD" w:rsidRDefault="00223DDF"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11.  </w:t>
      </w:r>
      <w:r w:rsidRPr="00460EDD">
        <w:rPr>
          <w:u w:val="single"/>
        </w:rPr>
        <w:t>Information of a Sensitive Nature</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The Call Report contains no questions of a sensitive nature.</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tabs>
          <w:tab w:val="left" w:pos="-1440"/>
          <w:tab w:val="left" w:pos="-720"/>
          <w:tab w:val="left" w:pos="0"/>
          <w:tab w:val="left" w:pos="432"/>
          <w:tab w:val="left" w:pos="720"/>
        </w:tabs>
        <w:suppressAutoHyphens/>
      </w:pPr>
      <w:r w:rsidRPr="00460EDD">
        <w:t xml:space="preserve">12.  </w:t>
      </w:r>
      <w:r w:rsidRPr="00460EDD">
        <w:rPr>
          <w:u w:val="single"/>
        </w:rPr>
        <w:t>Estimate of Annual Burden</w:t>
      </w:r>
    </w:p>
    <w:p w:rsidR="00DA5364" w:rsidRPr="00460EDD" w:rsidRDefault="00DA5364" w:rsidP="00DA5364">
      <w:pPr>
        <w:tabs>
          <w:tab w:val="left" w:pos="-1440"/>
          <w:tab w:val="left" w:pos="-720"/>
          <w:tab w:val="left" w:pos="0"/>
          <w:tab w:val="left" w:pos="432"/>
          <w:tab w:val="left" w:pos="720"/>
        </w:tabs>
        <w:suppressAutoHyphens/>
      </w:pPr>
    </w:p>
    <w:p w:rsidR="006A2FCB" w:rsidRPr="00460EDD" w:rsidRDefault="0084243C" w:rsidP="0084243C">
      <w:pPr>
        <w:suppressAutoHyphens/>
      </w:pPr>
      <w:r w:rsidRPr="00460EDD">
        <w:t>It is estimated that, on average, it will take an FDIC-supervised</w:t>
      </w:r>
      <w:r w:rsidR="001C382B" w:rsidRPr="00460EDD">
        <w:t xml:space="preserve"> institution</w:t>
      </w:r>
      <w:r w:rsidRPr="00460EDD">
        <w:t xml:space="preserve"> approximately </w:t>
      </w:r>
      <w:r w:rsidRPr="00460EDD">
        <w:rPr>
          <w:u w:val="single"/>
        </w:rPr>
        <w:t>4</w:t>
      </w:r>
      <w:r w:rsidR="00560E9B" w:rsidRPr="00460EDD">
        <w:rPr>
          <w:u w:val="single"/>
        </w:rPr>
        <w:t>2.77</w:t>
      </w:r>
      <w:r w:rsidR="001C382B" w:rsidRPr="00460EDD">
        <w:t> </w:t>
      </w:r>
      <w:r w:rsidRPr="00460EDD">
        <w:t xml:space="preserve">hours each quarter </w:t>
      </w:r>
      <w:r w:rsidR="002404F2" w:rsidRPr="00460EDD">
        <w:t xml:space="preserve">on an ongoing basis </w:t>
      </w:r>
      <w:r w:rsidRPr="00460EDD">
        <w:t xml:space="preserve">to prepare and file its Call Report </w:t>
      </w:r>
      <w:r w:rsidR="00094016" w:rsidRPr="00460EDD">
        <w:t>as it is proposed to be revised</w:t>
      </w:r>
      <w:r w:rsidR="00BC3301" w:rsidRPr="00460EDD">
        <w:t xml:space="preserve">, an </w:t>
      </w:r>
      <w:r w:rsidR="00560E9B" w:rsidRPr="00460EDD">
        <w:t>de</w:t>
      </w:r>
      <w:r w:rsidR="00BC3301" w:rsidRPr="00460EDD">
        <w:t>crease from the currently estimated average reporting burden of 43.8</w:t>
      </w:r>
      <w:r w:rsidR="00560E9B" w:rsidRPr="00460EDD">
        <w:t>8</w:t>
      </w:r>
      <w:r w:rsidR="00BC3301" w:rsidRPr="00460EDD">
        <w:t xml:space="preserve"> hours per quarter</w:t>
      </w:r>
      <w:r w:rsidRPr="00460EDD">
        <w:t xml:space="preserve">.  </w:t>
      </w:r>
      <w:r w:rsidR="00BC3301" w:rsidRPr="00460EDD">
        <w:t>As a result, t</w:t>
      </w:r>
      <w:r w:rsidRPr="00460EDD">
        <w:t xml:space="preserve">he estimated </w:t>
      </w:r>
      <w:r w:rsidR="00BA1EF4" w:rsidRPr="00460EDD">
        <w:t xml:space="preserve">total </w:t>
      </w:r>
      <w:r w:rsidRPr="00460EDD">
        <w:t>annual ongoing reporting burden for the</w:t>
      </w:r>
      <w:r w:rsidR="001C382B" w:rsidRPr="00460EDD">
        <w:t xml:space="preserve"> </w:t>
      </w:r>
      <w:r w:rsidR="00BA1EF4" w:rsidRPr="00460EDD">
        <w:rPr>
          <w:u w:val="single"/>
        </w:rPr>
        <w:t>3,</w:t>
      </w:r>
      <w:r w:rsidR="00560E9B" w:rsidRPr="00460EDD">
        <w:rPr>
          <w:u w:val="single"/>
        </w:rPr>
        <w:t>564</w:t>
      </w:r>
      <w:r w:rsidR="001C382B" w:rsidRPr="00460EDD">
        <w:t xml:space="preserve"> FDIC-supervised institutions </w:t>
      </w:r>
      <w:r w:rsidRPr="00460EDD">
        <w:t xml:space="preserve">to </w:t>
      </w:r>
      <w:r w:rsidR="00094016" w:rsidRPr="00460EDD">
        <w:t>prepare and file the Call Report</w:t>
      </w:r>
      <w:r w:rsidR="001141BF" w:rsidRPr="00460EDD">
        <w:t xml:space="preserve"> </w:t>
      </w:r>
      <w:r w:rsidR="004B0A20" w:rsidRPr="00460EDD">
        <w:t xml:space="preserve">after </w:t>
      </w:r>
      <w:r w:rsidR="00A4241C" w:rsidRPr="00460EDD">
        <w:t>the proposed</w:t>
      </w:r>
      <w:r w:rsidR="004B0A20" w:rsidRPr="00460EDD">
        <w:t xml:space="preserve"> revisions have taken effect </w:t>
      </w:r>
      <w:r w:rsidR="009C4705" w:rsidRPr="00460EDD">
        <w:t xml:space="preserve">would </w:t>
      </w:r>
      <w:r w:rsidR="00560E9B" w:rsidRPr="00460EDD">
        <w:t>de</w:t>
      </w:r>
      <w:r w:rsidR="00BC3301" w:rsidRPr="00460EDD">
        <w:t>crease from the current annual estimate of 63</w:t>
      </w:r>
      <w:r w:rsidR="00560E9B" w:rsidRPr="00460EDD">
        <w:t>7,664</w:t>
      </w:r>
      <w:r w:rsidR="00BC3301" w:rsidRPr="00460EDD">
        <w:t xml:space="preserve"> hours to</w:t>
      </w:r>
      <w:r w:rsidRPr="00460EDD">
        <w:t xml:space="preserve"> </w:t>
      </w:r>
      <w:r w:rsidR="001A593F" w:rsidRPr="00460EDD">
        <w:rPr>
          <w:snapToGrid w:val="0"/>
          <w:u w:val="single"/>
          <w:lang w:eastAsia="ja-JP"/>
        </w:rPr>
        <w:t>6</w:t>
      </w:r>
      <w:r w:rsidR="00560E9B" w:rsidRPr="00460EDD">
        <w:rPr>
          <w:snapToGrid w:val="0"/>
          <w:u w:val="single"/>
          <w:lang w:eastAsia="ja-JP"/>
        </w:rPr>
        <w:t>09,786</w:t>
      </w:r>
      <w:r w:rsidR="00D760DD" w:rsidRPr="00460EDD">
        <w:rPr>
          <w:snapToGrid w:val="0"/>
          <w:lang w:eastAsia="ja-JP"/>
        </w:rPr>
        <w:t xml:space="preserve"> </w:t>
      </w:r>
      <w:r w:rsidRPr="00460EDD">
        <w:t>hours.</w:t>
      </w:r>
      <w:r w:rsidR="00BC3301" w:rsidRPr="00460EDD">
        <w:t xml:space="preserve">  </w:t>
      </w:r>
      <w:r w:rsidR="00B53D40" w:rsidRPr="00460EDD">
        <w:t>T</w:t>
      </w:r>
      <w:r w:rsidR="0051755B" w:rsidRPr="00460EDD">
        <w:t>he estimated burden per response for the quarterly filings of the Call Report is an average that varies by agency because of differences in the composition of the institutions under each agency’s supervision (e.g., size distribution of institutions, types of activities in which they are engaged, and existence of foreign offices)</w:t>
      </w:r>
      <w:r w:rsidR="00560E9B" w:rsidRPr="00460EDD">
        <w:t xml:space="preserve"> and differences in reporting frequency </w:t>
      </w:r>
      <w:r w:rsidR="00C075C9" w:rsidRPr="00460EDD">
        <w:t xml:space="preserve">for individual data items that are affected by the differences in </w:t>
      </w:r>
      <w:r w:rsidR="00460EDD">
        <w:t xml:space="preserve">the </w:t>
      </w:r>
      <w:r w:rsidR="00C075C9" w:rsidRPr="00460EDD">
        <w:t>composition</w:t>
      </w:r>
      <w:r w:rsidR="00460EDD">
        <w:t xml:space="preserve"> of institutions</w:t>
      </w:r>
      <w:r w:rsidR="0051755B" w:rsidRPr="00460EDD">
        <w:t>.</w:t>
      </w:r>
      <w:r w:rsidR="00460EDD">
        <w:t xml:space="preserve"> </w:t>
      </w:r>
      <w:r w:rsidR="0051755B" w:rsidRPr="00460EDD">
        <w:t xml:space="preserve">   </w:t>
      </w:r>
      <w:r w:rsidRPr="00460EDD">
        <w:t xml:space="preserve">  </w:t>
      </w:r>
    </w:p>
    <w:p w:rsidR="006A2FCB" w:rsidRPr="00460EDD" w:rsidRDefault="006A2FCB" w:rsidP="0084243C">
      <w:pPr>
        <w:suppressAutoHyphens/>
      </w:pPr>
    </w:p>
    <w:p w:rsidR="00CC72FE" w:rsidRPr="00460EDD" w:rsidRDefault="00CC72FE" w:rsidP="0084243C">
      <w:pPr>
        <w:suppressAutoHyphens/>
      </w:pPr>
      <w:r w:rsidRPr="00460EDD">
        <w:t>The agencies</w:t>
      </w:r>
      <w:r w:rsidR="00782E6F" w:rsidRPr="00460EDD">
        <w:t>’ burden estimate includes</w:t>
      </w:r>
      <w:r w:rsidRPr="00460EDD">
        <w:t xml:space="preserve"> the estimated time for gathering and maintaining data in the required form and completing those Call Report data items for which an institution has a reportable (nonzero) amount </w:t>
      </w:r>
      <w:r w:rsidR="00782E6F" w:rsidRPr="00460EDD">
        <w:t xml:space="preserve">as well as </w:t>
      </w:r>
      <w:r w:rsidRPr="00460EDD">
        <w:t>time for reviewing instructions for all items, even if the institution determines it does not have a reportable amount</w:t>
      </w:r>
      <w:r w:rsidR="00782E6F" w:rsidRPr="00460EDD">
        <w:t xml:space="preserve">, and time </w:t>
      </w:r>
      <w:r w:rsidRPr="00460EDD">
        <w:t xml:space="preserve">for verifying the accuracy of amounts reported in the Call Report.  The agencies’ estimates </w:t>
      </w:r>
      <w:r w:rsidR="00782E6F" w:rsidRPr="00460EDD">
        <w:t xml:space="preserve">of the </w:t>
      </w:r>
      <w:r w:rsidRPr="00460EDD">
        <w:t>average times to complete each Call Report data item factor in the varying levels of automation versus manual interventions that exist across institutions for every data item.</w:t>
      </w:r>
    </w:p>
    <w:p w:rsidR="00064713" w:rsidRPr="00460EDD" w:rsidRDefault="00064713" w:rsidP="0084243C">
      <w:pPr>
        <w:suppressAutoHyphens/>
      </w:pPr>
    </w:p>
    <w:p w:rsidR="00C075C9" w:rsidRPr="00460EDD" w:rsidRDefault="00C075C9" w:rsidP="00F0377A">
      <w:pPr>
        <w:suppressAutoHyphens/>
      </w:pPr>
      <w:r w:rsidRPr="00460EDD">
        <w:t xml:space="preserve">The current total annual cost to all </w:t>
      </w:r>
      <w:r w:rsidR="00F0377A" w:rsidRPr="00460EDD">
        <w:rPr>
          <w:u w:val="single"/>
        </w:rPr>
        <w:t>3,564</w:t>
      </w:r>
      <w:r w:rsidR="00F0377A" w:rsidRPr="00460EDD">
        <w:t xml:space="preserve"> </w:t>
      </w:r>
      <w:r w:rsidRPr="00460EDD">
        <w:t xml:space="preserve">FDIC-supervised institutions is estimated to be </w:t>
      </w:r>
      <w:r w:rsidRPr="00460EDD">
        <w:rPr>
          <w:u w:val="single"/>
        </w:rPr>
        <w:t>$</w:t>
      </w:r>
      <w:r w:rsidR="00F0377A" w:rsidRPr="00460EDD">
        <w:rPr>
          <w:u w:val="single"/>
        </w:rPr>
        <w:t>34,178,505</w:t>
      </w:r>
      <w:r w:rsidRPr="00460EDD">
        <w:t>.</w:t>
      </w:r>
      <w:r w:rsidR="00F0377A" w:rsidRPr="00460EDD">
        <w:t xml:space="preserve">  This estimate represents costs associated with recurring salary and employee benefits, and expenses associated with software, data processing, and bank records that are not used internally for management purposes but are necessary to complete the Call Reports.  </w:t>
      </w:r>
      <w:r w:rsidRPr="00460EDD">
        <w:t xml:space="preserve">For FDIC-supervised institutions, total cost to the public of the Call Report information collection was estimated using the following formula:  percent of staff time, multiplied by annual burden hours, multiplied by hourly rates (30% Office &amp; Administrative Support at $18, 45% Financial Managers at $69, 15% Lawyers at $68, and 10% Chief Executives at $94).  Hourly rates for each occupational group are the (rounded) mean hourly wages from the Bureau of Labor and Statistics (BLS), </w:t>
      </w:r>
      <w:r w:rsidRPr="00460EDD">
        <w:rPr>
          <w:i/>
        </w:rPr>
        <w:t>Occupational Employment and Wages May 2017</w:t>
      </w:r>
      <w:r w:rsidRPr="00460EDD">
        <w:t xml:space="preserve">, published March 30, 2018, </w:t>
      </w:r>
      <w:hyperlink r:id="rId9" w:history="1">
        <w:r w:rsidRPr="00460EDD">
          <w:rPr>
            <w:rStyle w:val="Hyperlink"/>
          </w:rPr>
          <w:t>www.bls.gov/news.release/ocwage.t01.htm</w:t>
        </w:r>
      </w:hyperlink>
      <w:r w:rsidRPr="00460EDD">
        <w:t xml:space="preserve">.  Occupations are defined using the BLS Occupational Classification System, </w:t>
      </w:r>
      <w:hyperlink r:id="rId10" w:history="1">
        <w:r w:rsidRPr="00460EDD">
          <w:rPr>
            <w:rStyle w:val="Hyperlink"/>
          </w:rPr>
          <w:t>www.bls.gov/soc/</w:t>
        </w:r>
      </w:hyperlink>
      <w:r w:rsidRPr="00460EDD">
        <w:t>.</w:t>
      </w:r>
    </w:p>
    <w:p w:rsidR="0084243C" w:rsidRPr="00460EDD" w:rsidRDefault="0084243C" w:rsidP="0084243C">
      <w:pPr>
        <w:keepLines/>
      </w:pPr>
    </w:p>
    <w:p w:rsidR="00C125E8" w:rsidRPr="00460EDD" w:rsidRDefault="00C125E8" w:rsidP="0084243C">
      <w:pPr>
        <w:keepLines/>
      </w:pPr>
    </w:p>
    <w:p w:rsidR="00DA5364" w:rsidRPr="00460EDD" w:rsidRDefault="00DA5364" w:rsidP="00DA5364">
      <w:pPr>
        <w:suppressAutoHyphens/>
      </w:pPr>
      <w:r w:rsidRPr="00460EDD">
        <w:t xml:space="preserve">13.  </w:t>
      </w:r>
      <w:r w:rsidRPr="00460EDD">
        <w:rPr>
          <w:u w:val="single"/>
        </w:rPr>
        <w:t>Estimate of Total Annual Cost Burden</w:t>
      </w:r>
    </w:p>
    <w:p w:rsidR="00CC72FE" w:rsidRPr="00460EDD" w:rsidRDefault="00CC72FE" w:rsidP="00CC72FE">
      <w:pPr>
        <w:suppressAutoHyphens/>
      </w:pPr>
    </w:p>
    <w:p w:rsidR="00BE6AAC" w:rsidRPr="00460EDD" w:rsidRDefault="00787E35" w:rsidP="00BE6AAC">
      <w:pPr>
        <w:rPr>
          <w:color w:val="000000"/>
        </w:rPr>
      </w:pPr>
      <w:r w:rsidRPr="00460EDD">
        <w:t>None.</w:t>
      </w:r>
    </w:p>
    <w:p w:rsidR="00DA5364" w:rsidRPr="00460EDD" w:rsidRDefault="00DA5364" w:rsidP="00DA5364">
      <w:pPr>
        <w:tabs>
          <w:tab w:val="left" w:pos="-1440"/>
          <w:tab w:val="left" w:pos="-720"/>
          <w:tab w:val="left" w:pos="0"/>
          <w:tab w:val="left" w:pos="432"/>
          <w:tab w:val="left" w:pos="720"/>
        </w:tabs>
        <w:suppressAutoHyphens/>
      </w:pPr>
    </w:p>
    <w:p w:rsidR="00D41818" w:rsidRPr="00460EDD" w:rsidRDefault="00D41818" w:rsidP="004C1B25">
      <w:pPr>
        <w:rPr>
          <w:snapToGrid w:val="0"/>
          <w:color w:val="000000"/>
        </w:rPr>
      </w:pPr>
    </w:p>
    <w:p w:rsidR="00CD3353" w:rsidRDefault="00CD3353">
      <w:r>
        <w:br w:type="page"/>
      </w:r>
    </w:p>
    <w:p w:rsidR="00DA5364" w:rsidRPr="00460EDD" w:rsidRDefault="00DA5364" w:rsidP="004C1B25">
      <w:r w:rsidRPr="00460EDD">
        <w:t xml:space="preserve">14.  </w:t>
      </w:r>
      <w:r w:rsidRPr="00460EDD">
        <w:rPr>
          <w:u w:val="single"/>
        </w:rPr>
        <w:t>Estimate of Total Annual Cost to the Federal Government</w:t>
      </w:r>
    </w:p>
    <w:p w:rsidR="00DA5364" w:rsidRPr="00460EDD" w:rsidRDefault="00DA5364" w:rsidP="00DA5364">
      <w:pPr>
        <w:suppressAutoHyphens/>
      </w:pPr>
    </w:p>
    <w:p w:rsidR="00DA5364" w:rsidRPr="00460EDD" w:rsidRDefault="00787E35" w:rsidP="00DA5364">
      <w:pPr>
        <w:tabs>
          <w:tab w:val="left" w:pos="-1440"/>
          <w:tab w:val="left" w:pos="-720"/>
          <w:tab w:val="left" w:pos="0"/>
          <w:tab w:val="left" w:pos="432"/>
          <w:tab w:val="left" w:pos="720"/>
        </w:tabs>
        <w:suppressAutoHyphens/>
      </w:pPr>
      <w:r w:rsidRPr="00460EDD">
        <w:t>None.</w:t>
      </w:r>
    </w:p>
    <w:p w:rsidR="00DA5364" w:rsidRPr="00460EDD" w:rsidRDefault="00DA5364" w:rsidP="00DA5364">
      <w:pPr>
        <w:tabs>
          <w:tab w:val="left" w:pos="-1440"/>
          <w:tab w:val="left" w:pos="-720"/>
          <w:tab w:val="left" w:pos="0"/>
          <w:tab w:val="left" w:pos="432"/>
          <w:tab w:val="left" w:pos="720"/>
        </w:tabs>
        <w:suppressAutoHyphens/>
      </w:pPr>
    </w:p>
    <w:p w:rsidR="00DA5364" w:rsidRPr="00460EDD" w:rsidRDefault="00DA5364" w:rsidP="00DA5364">
      <w:pPr>
        <w:suppressAutoHyphens/>
      </w:pPr>
    </w:p>
    <w:p w:rsidR="00DA5364" w:rsidRPr="00460EDD" w:rsidRDefault="00DA5364" w:rsidP="00DA5364">
      <w:pPr>
        <w:suppressAutoHyphens/>
      </w:pPr>
      <w:r w:rsidRPr="00460EDD">
        <w:t xml:space="preserve">15.  </w:t>
      </w:r>
      <w:r w:rsidRPr="00460EDD">
        <w:rPr>
          <w:u w:val="single"/>
        </w:rPr>
        <w:t>Reason for Change in Burden</w:t>
      </w:r>
    </w:p>
    <w:p w:rsidR="00DA5364" w:rsidRPr="00460EDD" w:rsidRDefault="00DA5364" w:rsidP="00DA5364">
      <w:pPr>
        <w:suppressAutoHyphens/>
      </w:pPr>
    </w:p>
    <w:p w:rsidR="00DF3008" w:rsidRPr="00460EDD" w:rsidRDefault="00DA5364" w:rsidP="000E2A0D">
      <w:pPr>
        <w:suppressAutoHyphens/>
      </w:pPr>
      <w:r w:rsidRPr="00460EDD">
        <w:t xml:space="preserve">The change in burden associated with this submission is caused by </w:t>
      </w:r>
      <w:r w:rsidR="00DC6382" w:rsidRPr="00460EDD">
        <w:t xml:space="preserve">the changes to the Call Report </w:t>
      </w:r>
      <w:r w:rsidR="00FE613D" w:rsidRPr="00460EDD">
        <w:t xml:space="preserve">information collection </w:t>
      </w:r>
      <w:r w:rsidR="00DF3008" w:rsidRPr="00460EDD">
        <w:t xml:space="preserve">associated with the agencies’ proposal to implement Section 205 of EGRRCPA, including the proposed expansion of eligibility to file the </w:t>
      </w:r>
      <w:r w:rsidR="0003363E">
        <w:t xml:space="preserve">streamlined </w:t>
      </w:r>
      <w:r w:rsidR="00DF3008" w:rsidRPr="00460EDD">
        <w:t xml:space="preserve">FFIEC 051 Call Report to institutions with less than $5 billion in total assets that meet other criteria in the rule (with a consequential reduction in the number of institutions that would file the </w:t>
      </w:r>
      <w:r w:rsidR="0003363E">
        <w:t xml:space="preserve">more detailed </w:t>
      </w:r>
      <w:r w:rsidR="00DF3008" w:rsidRPr="00460EDD">
        <w:t>FFIEC 041 Call Report), the proposed reduction in the reporting frequency of certain existing d</w:t>
      </w:r>
      <w:r w:rsidR="0003363E">
        <w:t>ata items in the FFIEC 051 Call </w:t>
      </w:r>
      <w:r w:rsidR="00DF3008" w:rsidRPr="00460EDD">
        <w:t>Report from quarterly to semiannual, and the proposed addition to the FFIEC 051 Call Report for institutions with $1 billion or more in total assets of certain data items currently reported in the FFIEC 041 Call Report, generally with reduced reporting frequency.</w:t>
      </w:r>
      <w:r w:rsidR="00C125E8" w:rsidRPr="00460EDD">
        <w:t xml:space="preserve">  </w:t>
      </w:r>
    </w:p>
    <w:p w:rsidR="00DF3008" w:rsidRPr="00460EDD" w:rsidRDefault="00DF3008" w:rsidP="000E2A0D">
      <w:pPr>
        <w:suppressAutoHyphens/>
      </w:pPr>
    </w:p>
    <w:p w:rsidR="00DA5364" w:rsidRPr="00460EDD" w:rsidRDefault="00E958B4" w:rsidP="000E2A0D">
      <w:pPr>
        <w:suppressAutoHyphens/>
      </w:pPr>
      <w:r w:rsidRPr="00460EDD">
        <w:t xml:space="preserve">An </w:t>
      </w:r>
      <w:r w:rsidR="00692EFB" w:rsidRPr="00460EDD">
        <w:t>analysis of the </w:t>
      </w:r>
      <w:r w:rsidR="00DA5364" w:rsidRPr="00460EDD">
        <w:t xml:space="preserve">change in </w:t>
      </w:r>
      <w:r w:rsidR="00C125E8" w:rsidRPr="00460EDD">
        <w:t xml:space="preserve">the overall </w:t>
      </w:r>
      <w:r w:rsidRPr="00460EDD">
        <w:t xml:space="preserve">estimated </w:t>
      </w:r>
      <w:r w:rsidR="00C125E8" w:rsidRPr="00460EDD">
        <w:t xml:space="preserve">annual </w:t>
      </w:r>
      <w:r w:rsidR="00DA5364" w:rsidRPr="00460EDD">
        <w:t xml:space="preserve">burden </w:t>
      </w:r>
      <w:r w:rsidR="00CD7A3A" w:rsidRPr="00460EDD">
        <w:t>for</w:t>
      </w:r>
      <w:r w:rsidR="00DF3008" w:rsidRPr="00460EDD">
        <w:t xml:space="preserve"> the</w:t>
      </w:r>
      <w:r w:rsidR="00CD7A3A" w:rsidRPr="00460EDD">
        <w:t xml:space="preserve"> </w:t>
      </w:r>
      <w:r w:rsidR="00C125E8" w:rsidRPr="00460EDD">
        <w:rPr>
          <w:u w:val="single"/>
        </w:rPr>
        <w:t>3,</w:t>
      </w:r>
      <w:r w:rsidR="00DF3008" w:rsidRPr="00460EDD">
        <w:rPr>
          <w:u w:val="single"/>
        </w:rPr>
        <w:t>564</w:t>
      </w:r>
      <w:r w:rsidR="00C125E8" w:rsidRPr="00460EDD">
        <w:t xml:space="preserve"> FDIC-supervised institutions</w:t>
      </w:r>
      <w:r w:rsidR="00DF3008" w:rsidRPr="00460EDD">
        <w:t xml:space="preserve"> currently</w:t>
      </w:r>
      <w:r w:rsidR="00C125E8" w:rsidRPr="00460EDD">
        <w:t xml:space="preserve"> subject to </w:t>
      </w:r>
      <w:r w:rsidR="00CD7A3A" w:rsidRPr="00460EDD">
        <w:t xml:space="preserve">the Call Report </w:t>
      </w:r>
      <w:r w:rsidRPr="00460EDD">
        <w:t xml:space="preserve">information collection as it is proposed to be revised </w:t>
      </w:r>
      <w:r w:rsidR="00893397" w:rsidRPr="00460EDD">
        <w:t>is a</w:t>
      </w:r>
      <w:r w:rsidR="00DA5364" w:rsidRPr="00460EDD">
        <w:t>s follows:</w:t>
      </w:r>
    </w:p>
    <w:p w:rsidR="00DF3008" w:rsidRPr="00460EDD" w:rsidRDefault="00DF3008" w:rsidP="000E2A0D">
      <w:pPr>
        <w:suppressAutoHyphens/>
      </w:pPr>
    </w:p>
    <w:p w:rsidR="008D0856" w:rsidRPr="00460EDD" w:rsidRDefault="008D0856" w:rsidP="005B2488">
      <w:pPr>
        <w:tabs>
          <w:tab w:val="left" w:pos="-1440"/>
          <w:tab w:val="left" w:pos="-720"/>
          <w:tab w:val="left" w:pos="0"/>
          <w:tab w:val="left" w:pos="432"/>
          <w:tab w:val="left" w:pos="720"/>
          <w:tab w:val="right" w:pos="6480"/>
        </w:tabs>
        <w:suppressAutoHyphens/>
      </w:pPr>
    </w:p>
    <w:tbl>
      <w:tblPr>
        <w:tblW w:w="9360" w:type="dxa"/>
        <w:tblInd w:w="120" w:type="dxa"/>
        <w:tblBorders>
          <w:top w:val="single" w:sz="8" w:space="0" w:color="000000"/>
          <w:bottom w:val="single" w:sz="8" w:space="0" w:color="000000"/>
        </w:tblBorders>
        <w:tblLayout w:type="fixed"/>
        <w:tblCellMar>
          <w:left w:w="120" w:type="dxa"/>
          <w:right w:w="120" w:type="dxa"/>
        </w:tblCellMar>
        <w:tblLook w:val="0000" w:firstRow="0" w:lastRow="0" w:firstColumn="0" w:lastColumn="0" w:noHBand="0" w:noVBand="0"/>
      </w:tblPr>
      <w:tblGrid>
        <w:gridCol w:w="3300"/>
        <w:gridCol w:w="1530"/>
        <w:gridCol w:w="1260"/>
        <w:gridCol w:w="1620"/>
        <w:gridCol w:w="1650"/>
      </w:tblGrid>
      <w:tr w:rsidR="004A51F3" w:rsidRPr="00460EDD" w:rsidTr="00CD3353">
        <w:trPr>
          <w:trHeight w:val="1002"/>
        </w:trPr>
        <w:tc>
          <w:tcPr>
            <w:tcW w:w="330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pPr>
            <w:r w:rsidRPr="00460EDD">
              <w:rPr>
                <w:b/>
              </w:rPr>
              <w:t>FFIEC 031, FFIEC 041, and FFIEC 051</w:t>
            </w:r>
          </w:p>
        </w:tc>
        <w:tc>
          <w:tcPr>
            <w:tcW w:w="153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Number of</w:t>
            </w:r>
          </w:p>
          <w:p w:rsidR="004A51F3" w:rsidRPr="00460EDD" w:rsidRDefault="004A51F3" w:rsidP="004A51F3">
            <w:pPr>
              <w:tabs>
                <w:tab w:val="left" w:pos="360"/>
              </w:tabs>
              <w:spacing w:after="58"/>
              <w:contextualSpacing/>
              <w:jc w:val="center"/>
              <w:rPr>
                <w:i/>
                <w:iCs/>
              </w:rPr>
            </w:pPr>
            <w:r w:rsidRPr="00460EDD">
              <w:rPr>
                <w:i/>
                <w:iCs/>
              </w:rPr>
              <w:t>respondents</w:t>
            </w:r>
          </w:p>
        </w:tc>
        <w:tc>
          <w:tcPr>
            <w:tcW w:w="126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Annual</w:t>
            </w:r>
          </w:p>
          <w:p w:rsidR="004A51F3" w:rsidRPr="00460EDD" w:rsidRDefault="004A51F3" w:rsidP="00CD3353">
            <w:pPr>
              <w:tabs>
                <w:tab w:val="left" w:pos="360"/>
              </w:tabs>
              <w:spacing w:after="58"/>
              <w:contextualSpacing/>
              <w:jc w:val="center"/>
              <w:rPr>
                <w:i/>
                <w:iCs/>
              </w:rPr>
            </w:pPr>
            <w:r w:rsidRPr="00460EDD">
              <w:rPr>
                <w:i/>
                <w:iCs/>
              </w:rPr>
              <w:t>frequency</w:t>
            </w:r>
          </w:p>
        </w:tc>
        <w:tc>
          <w:tcPr>
            <w:tcW w:w="162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Estimated</w:t>
            </w:r>
          </w:p>
          <w:p w:rsidR="004A51F3" w:rsidRPr="00460EDD" w:rsidRDefault="004A51F3" w:rsidP="00CD3353">
            <w:pPr>
              <w:tabs>
                <w:tab w:val="left" w:pos="360"/>
              </w:tabs>
              <w:spacing w:after="58"/>
              <w:contextualSpacing/>
              <w:jc w:val="center"/>
              <w:rPr>
                <w:i/>
                <w:iCs/>
              </w:rPr>
            </w:pPr>
            <w:r w:rsidRPr="00460EDD">
              <w:rPr>
                <w:i/>
                <w:iCs/>
              </w:rPr>
              <w:t>average hours</w:t>
            </w:r>
          </w:p>
          <w:p w:rsidR="004A51F3" w:rsidRPr="00460EDD" w:rsidRDefault="004A51F3" w:rsidP="00CD3353">
            <w:pPr>
              <w:tabs>
                <w:tab w:val="left" w:pos="360"/>
              </w:tabs>
              <w:spacing w:after="58"/>
              <w:contextualSpacing/>
              <w:jc w:val="center"/>
              <w:rPr>
                <w:i/>
                <w:iCs/>
              </w:rPr>
            </w:pPr>
            <w:r w:rsidRPr="00460EDD">
              <w:rPr>
                <w:i/>
                <w:iCs/>
              </w:rPr>
              <w:t>per response</w:t>
            </w:r>
          </w:p>
        </w:tc>
        <w:tc>
          <w:tcPr>
            <w:tcW w:w="1650" w:type="dxa"/>
            <w:tcBorders>
              <w:top w:val="single" w:sz="8" w:space="0" w:color="000000"/>
              <w:bottom w:val="single" w:sz="8" w:space="0" w:color="000000"/>
            </w:tcBorders>
            <w:vAlign w:val="center"/>
          </w:tcPr>
          <w:p w:rsidR="004A51F3" w:rsidRPr="00460EDD" w:rsidRDefault="004A51F3" w:rsidP="00CD3353">
            <w:pPr>
              <w:tabs>
                <w:tab w:val="left" w:pos="360"/>
              </w:tabs>
              <w:spacing w:after="58"/>
              <w:contextualSpacing/>
              <w:jc w:val="center"/>
              <w:rPr>
                <w:i/>
                <w:iCs/>
              </w:rPr>
            </w:pPr>
            <w:r w:rsidRPr="00460EDD">
              <w:rPr>
                <w:i/>
                <w:iCs/>
              </w:rPr>
              <w:t>Estimated</w:t>
            </w:r>
          </w:p>
          <w:p w:rsidR="004A51F3" w:rsidRPr="00460EDD" w:rsidRDefault="004A51F3" w:rsidP="00CD3353">
            <w:pPr>
              <w:tabs>
                <w:tab w:val="left" w:pos="360"/>
              </w:tabs>
              <w:spacing w:after="58"/>
              <w:contextualSpacing/>
              <w:jc w:val="center"/>
              <w:rPr>
                <w:i/>
                <w:iCs/>
              </w:rPr>
            </w:pPr>
            <w:r w:rsidRPr="00460EDD">
              <w:rPr>
                <w:i/>
                <w:iCs/>
              </w:rPr>
              <w:t>annual burden</w:t>
            </w:r>
          </w:p>
          <w:p w:rsidR="004A51F3" w:rsidRPr="00460EDD" w:rsidRDefault="004A51F3" w:rsidP="00CD3353">
            <w:pPr>
              <w:tabs>
                <w:tab w:val="left" w:pos="360"/>
              </w:tabs>
              <w:spacing w:after="58"/>
              <w:contextualSpacing/>
              <w:jc w:val="center"/>
              <w:rPr>
                <w:i/>
                <w:iCs/>
              </w:rPr>
            </w:pPr>
            <w:r w:rsidRPr="00460EDD">
              <w:rPr>
                <w:i/>
                <w:iCs/>
              </w:rPr>
              <w:t>hours</w:t>
            </w:r>
          </w:p>
        </w:tc>
      </w:tr>
      <w:tr w:rsidR="004A51F3" w:rsidRPr="00460EDD" w:rsidTr="00CD3353">
        <w:trPr>
          <w:trHeight w:val="469"/>
        </w:trPr>
        <w:tc>
          <w:tcPr>
            <w:tcW w:w="3300" w:type="dxa"/>
            <w:tcBorders>
              <w:top w:val="single" w:sz="8" w:space="0" w:color="000000"/>
            </w:tcBorders>
            <w:vAlign w:val="bottom"/>
          </w:tcPr>
          <w:p w:rsidR="004A51F3" w:rsidRPr="00460EDD" w:rsidRDefault="004A51F3" w:rsidP="00CD3353">
            <w:pPr>
              <w:tabs>
                <w:tab w:val="left" w:pos="360"/>
              </w:tabs>
              <w:spacing w:after="58"/>
              <w:rPr>
                <w:b/>
              </w:rPr>
            </w:pPr>
            <w:r w:rsidRPr="00460EDD">
              <w:rPr>
                <w:b/>
              </w:rPr>
              <w:t>Current</w:t>
            </w:r>
            <w:r w:rsidR="00DF3008" w:rsidRPr="00460EDD">
              <w:rPr>
                <w:b/>
              </w:rPr>
              <w:t>ly Approved Burden</w:t>
            </w:r>
          </w:p>
        </w:tc>
        <w:tc>
          <w:tcPr>
            <w:tcW w:w="1530" w:type="dxa"/>
            <w:tcBorders>
              <w:top w:val="single" w:sz="8" w:space="0" w:color="000000"/>
            </w:tcBorders>
            <w:vAlign w:val="bottom"/>
          </w:tcPr>
          <w:p w:rsidR="004A51F3" w:rsidRPr="00460EDD" w:rsidRDefault="004A51F3" w:rsidP="00CD3353">
            <w:pPr>
              <w:spacing w:after="58"/>
              <w:ind w:right="420"/>
              <w:jc w:val="right"/>
            </w:pPr>
            <w:r w:rsidRPr="00460EDD">
              <w:t>3,633</w:t>
            </w:r>
          </w:p>
        </w:tc>
        <w:tc>
          <w:tcPr>
            <w:tcW w:w="1260" w:type="dxa"/>
            <w:tcBorders>
              <w:top w:val="single" w:sz="8" w:space="0" w:color="000000"/>
            </w:tcBorders>
            <w:vAlign w:val="bottom"/>
          </w:tcPr>
          <w:p w:rsidR="004A51F3" w:rsidRPr="00460EDD" w:rsidRDefault="004A51F3" w:rsidP="00CD3353">
            <w:pPr>
              <w:tabs>
                <w:tab w:val="left" w:pos="360"/>
              </w:tabs>
              <w:spacing w:after="58"/>
              <w:jc w:val="center"/>
            </w:pPr>
            <w:r w:rsidRPr="00460EDD">
              <w:t>4</w:t>
            </w:r>
          </w:p>
        </w:tc>
        <w:tc>
          <w:tcPr>
            <w:tcW w:w="1620" w:type="dxa"/>
            <w:tcBorders>
              <w:top w:val="single" w:sz="8" w:space="0" w:color="000000"/>
            </w:tcBorders>
            <w:vAlign w:val="bottom"/>
          </w:tcPr>
          <w:p w:rsidR="004A51F3" w:rsidRPr="00460EDD" w:rsidRDefault="004A51F3" w:rsidP="00CD3353">
            <w:pPr>
              <w:tabs>
                <w:tab w:val="decimal" w:pos="688"/>
              </w:tabs>
              <w:spacing w:after="58"/>
            </w:pPr>
            <w:r w:rsidRPr="00460EDD">
              <w:t>43.88</w:t>
            </w:r>
          </w:p>
        </w:tc>
        <w:tc>
          <w:tcPr>
            <w:tcW w:w="1650" w:type="dxa"/>
            <w:tcBorders>
              <w:top w:val="single" w:sz="8" w:space="0" w:color="000000"/>
            </w:tcBorders>
            <w:vAlign w:val="bottom"/>
          </w:tcPr>
          <w:p w:rsidR="004A51F3" w:rsidRPr="00460EDD" w:rsidRDefault="004A51F3" w:rsidP="00CD3353">
            <w:pPr>
              <w:spacing w:after="58"/>
              <w:ind w:right="360"/>
              <w:jc w:val="right"/>
            </w:pPr>
            <w:r w:rsidRPr="00460EDD">
              <w:t>637,664</w:t>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p>
        </w:tc>
        <w:tc>
          <w:tcPr>
            <w:tcW w:w="1530" w:type="dxa"/>
            <w:vAlign w:val="bottom"/>
          </w:tcPr>
          <w:p w:rsidR="004A51F3" w:rsidRPr="00460EDD" w:rsidRDefault="004A51F3" w:rsidP="00CD3353">
            <w:pPr>
              <w:spacing w:after="58"/>
              <w:ind w:right="420"/>
              <w:jc w:val="right"/>
            </w:pPr>
          </w:p>
        </w:tc>
        <w:tc>
          <w:tcPr>
            <w:tcW w:w="1260" w:type="dxa"/>
            <w:vAlign w:val="bottom"/>
          </w:tcPr>
          <w:p w:rsidR="004A51F3" w:rsidRPr="00460EDD" w:rsidRDefault="004A51F3" w:rsidP="00CD3353">
            <w:pPr>
              <w:tabs>
                <w:tab w:val="left" w:pos="360"/>
              </w:tabs>
              <w:spacing w:after="58"/>
              <w:jc w:val="center"/>
            </w:pPr>
          </w:p>
        </w:tc>
        <w:tc>
          <w:tcPr>
            <w:tcW w:w="1620" w:type="dxa"/>
            <w:vAlign w:val="bottom"/>
          </w:tcPr>
          <w:p w:rsidR="004A51F3" w:rsidRPr="00460EDD" w:rsidRDefault="004A51F3" w:rsidP="00CD3353">
            <w:pPr>
              <w:tabs>
                <w:tab w:val="decimal" w:pos="688"/>
              </w:tabs>
              <w:spacing w:after="58"/>
            </w:pPr>
          </w:p>
        </w:tc>
        <w:tc>
          <w:tcPr>
            <w:tcW w:w="1650" w:type="dxa"/>
            <w:vAlign w:val="bottom"/>
          </w:tcPr>
          <w:p w:rsidR="004A51F3" w:rsidRPr="00460EDD" w:rsidRDefault="004A51F3" w:rsidP="00CD3353">
            <w:pPr>
              <w:spacing w:after="58"/>
              <w:ind w:right="360"/>
              <w:jc w:val="right"/>
              <w:rPr>
                <w:u w:val="single"/>
              </w:rPr>
            </w:pP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rPr>
                <w:b/>
              </w:rPr>
            </w:pPr>
            <w:r w:rsidRPr="00460EDD">
              <w:rPr>
                <w:b/>
              </w:rPr>
              <w:t>Proposed</w:t>
            </w:r>
            <w:r w:rsidR="00DF3008" w:rsidRPr="00460EDD">
              <w:rPr>
                <w:b/>
              </w:rPr>
              <w:t xml:space="preserve"> Burden</w:t>
            </w:r>
          </w:p>
        </w:tc>
        <w:tc>
          <w:tcPr>
            <w:tcW w:w="1530" w:type="dxa"/>
            <w:vAlign w:val="bottom"/>
          </w:tcPr>
          <w:p w:rsidR="004A51F3" w:rsidRPr="00460EDD" w:rsidRDefault="004A51F3" w:rsidP="00CD3353">
            <w:pPr>
              <w:spacing w:after="58"/>
              <w:ind w:right="420"/>
              <w:jc w:val="right"/>
            </w:pPr>
          </w:p>
        </w:tc>
        <w:tc>
          <w:tcPr>
            <w:tcW w:w="1260" w:type="dxa"/>
            <w:vAlign w:val="bottom"/>
          </w:tcPr>
          <w:p w:rsidR="004A51F3" w:rsidRPr="00460EDD" w:rsidRDefault="004A51F3" w:rsidP="00CD3353">
            <w:pPr>
              <w:tabs>
                <w:tab w:val="left" w:pos="360"/>
              </w:tabs>
              <w:spacing w:after="58"/>
              <w:jc w:val="center"/>
            </w:pPr>
          </w:p>
        </w:tc>
        <w:tc>
          <w:tcPr>
            <w:tcW w:w="1620" w:type="dxa"/>
            <w:vAlign w:val="bottom"/>
          </w:tcPr>
          <w:p w:rsidR="004A51F3" w:rsidRPr="00460EDD" w:rsidRDefault="004A51F3" w:rsidP="00CD3353">
            <w:pPr>
              <w:tabs>
                <w:tab w:val="decimal" w:pos="688"/>
              </w:tabs>
              <w:spacing w:after="58"/>
            </w:pPr>
          </w:p>
        </w:tc>
        <w:tc>
          <w:tcPr>
            <w:tcW w:w="1650" w:type="dxa"/>
            <w:vAlign w:val="bottom"/>
          </w:tcPr>
          <w:p w:rsidR="004A51F3" w:rsidRPr="00460EDD" w:rsidRDefault="004A51F3" w:rsidP="00CD3353">
            <w:pPr>
              <w:spacing w:after="58"/>
              <w:ind w:right="360"/>
              <w:jc w:val="right"/>
              <w:rPr>
                <w:u w:val="single"/>
              </w:rPr>
            </w:pP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r w:rsidRPr="00460EDD">
              <w:t>FFIEC 031</w:t>
            </w:r>
          </w:p>
        </w:tc>
        <w:tc>
          <w:tcPr>
            <w:tcW w:w="1530" w:type="dxa"/>
            <w:vAlign w:val="bottom"/>
          </w:tcPr>
          <w:p w:rsidR="004A51F3" w:rsidRPr="00460EDD" w:rsidRDefault="004A51F3" w:rsidP="00CD3353">
            <w:pPr>
              <w:spacing w:after="58"/>
              <w:ind w:right="420"/>
              <w:jc w:val="right"/>
            </w:pPr>
            <w:r w:rsidRPr="00460EDD">
              <w:t>23</w:t>
            </w:r>
          </w:p>
        </w:tc>
        <w:tc>
          <w:tcPr>
            <w:tcW w:w="1260" w:type="dxa"/>
            <w:vAlign w:val="bottom"/>
          </w:tcPr>
          <w:p w:rsidR="004A51F3" w:rsidRPr="00460EDD" w:rsidRDefault="004A51F3" w:rsidP="00CD3353">
            <w:pPr>
              <w:tabs>
                <w:tab w:val="left" w:pos="360"/>
              </w:tabs>
              <w:spacing w:after="58"/>
              <w:jc w:val="center"/>
            </w:pPr>
            <w:r w:rsidRPr="00460EDD">
              <w:t>4</w:t>
            </w:r>
          </w:p>
        </w:tc>
        <w:tc>
          <w:tcPr>
            <w:tcW w:w="1620" w:type="dxa"/>
            <w:vAlign w:val="bottom"/>
          </w:tcPr>
          <w:p w:rsidR="004A51F3" w:rsidRPr="00460EDD" w:rsidRDefault="004A51F3" w:rsidP="00CD3353">
            <w:pPr>
              <w:tabs>
                <w:tab w:val="decimal" w:pos="688"/>
              </w:tabs>
              <w:spacing w:after="58"/>
            </w:pPr>
            <w:r w:rsidRPr="00460EDD">
              <w:t>67.33</w:t>
            </w:r>
          </w:p>
        </w:tc>
        <w:tc>
          <w:tcPr>
            <w:tcW w:w="1650" w:type="dxa"/>
            <w:vAlign w:val="bottom"/>
          </w:tcPr>
          <w:p w:rsidR="004A51F3" w:rsidRPr="00460EDD" w:rsidRDefault="004A51F3" w:rsidP="004A51F3">
            <w:pPr>
              <w:spacing w:after="58"/>
              <w:ind w:right="360"/>
              <w:jc w:val="right"/>
            </w:pPr>
            <w:r w:rsidRPr="00460EDD">
              <w:t>6,194</w:t>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r w:rsidRPr="00460EDD">
              <w:t>FFIEC 041</w:t>
            </w:r>
          </w:p>
        </w:tc>
        <w:tc>
          <w:tcPr>
            <w:tcW w:w="1530" w:type="dxa"/>
            <w:vAlign w:val="bottom"/>
          </w:tcPr>
          <w:p w:rsidR="004A51F3" w:rsidRPr="00460EDD" w:rsidRDefault="004A51F3" w:rsidP="00CD3353">
            <w:pPr>
              <w:spacing w:after="58"/>
              <w:ind w:right="420"/>
              <w:jc w:val="right"/>
            </w:pPr>
            <w:r w:rsidRPr="00460EDD">
              <w:t>856</w:t>
            </w:r>
          </w:p>
        </w:tc>
        <w:tc>
          <w:tcPr>
            <w:tcW w:w="1260" w:type="dxa"/>
            <w:vAlign w:val="bottom"/>
          </w:tcPr>
          <w:p w:rsidR="004A51F3" w:rsidRPr="00460EDD" w:rsidRDefault="004A51F3" w:rsidP="00CD3353">
            <w:pPr>
              <w:tabs>
                <w:tab w:val="left" w:pos="360"/>
              </w:tabs>
              <w:spacing w:after="58"/>
              <w:jc w:val="center"/>
            </w:pPr>
            <w:r w:rsidRPr="00460EDD">
              <w:t>4</w:t>
            </w:r>
          </w:p>
        </w:tc>
        <w:tc>
          <w:tcPr>
            <w:tcW w:w="1620" w:type="dxa"/>
            <w:vAlign w:val="bottom"/>
          </w:tcPr>
          <w:p w:rsidR="004A51F3" w:rsidRPr="00460EDD" w:rsidRDefault="004A51F3" w:rsidP="004A51F3">
            <w:pPr>
              <w:tabs>
                <w:tab w:val="decimal" w:pos="688"/>
              </w:tabs>
              <w:spacing w:after="58"/>
            </w:pPr>
            <w:r w:rsidRPr="00460EDD">
              <w:t>52.07</w:t>
            </w:r>
          </w:p>
        </w:tc>
        <w:tc>
          <w:tcPr>
            <w:tcW w:w="1650" w:type="dxa"/>
            <w:vAlign w:val="bottom"/>
          </w:tcPr>
          <w:p w:rsidR="004A51F3" w:rsidRPr="00460EDD" w:rsidRDefault="004A51F3" w:rsidP="00CD3353">
            <w:pPr>
              <w:spacing w:after="58"/>
              <w:ind w:right="360"/>
              <w:jc w:val="right"/>
            </w:pPr>
            <w:r w:rsidRPr="00460EDD">
              <w:t>178,288</w:t>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pPr>
            <w:r w:rsidRPr="00460EDD">
              <w:t>FFIEC 051</w:t>
            </w:r>
          </w:p>
        </w:tc>
        <w:tc>
          <w:tcPr>
            <w:tcW w:w="1530" w:type="dxa"/>
            <w:vAlign w:val="bottom"/>
          </w:tcPr>
          <w:p w:rsidR="004A51F3" w:rsidRPr="00460EDD" w:rsidRDefault="004A51F3" w:rsidP="004A51F3">
            <w:pPr>
              <w:spacing w:after="58"/>
              <w:ind w:right="420"/>
              <w:jc w:val="right"/>
            </w:pPr>
            <w:r w:rsidRPr="00460EDD">
              <w:t>2,685</w:t>
            </w:r>
          </w:p>
        </w:tc>
        <w:tc>
          <w:tcPr>
            <w:tcW w:w="1260" w:type="dxa"/>
            <w:vAlign w:val="bottom"/>
          </w:tcPr>
          <w:p w:rsidR="004A51F3" w:rsidRPr="00460EDD" w:rsidRDefault="004A51F3" w:rsidP="00CD3353">
            <w:pPr>
              <w:tabs>
                <w:tab w:val="left" w:pos="360"/>
              </w:tabs>
              <w:spacing w:after="58"/>
              <w:jc w:val="center"/>
            </w:pPr>
            <w:r w:rsidRPr="00460EDD">
              <w:t>4</w:t>
            </w:r>
          </w:p>
        </w:tc>
        <w:tc>
          <w:tcPr>
            <w:tcW w:w="1620" w:type="dxa"/>
            <w:vAlign w:val="bottom"/>
          </w:tcPr>
          <w:p w:rsidR="004A51F3" w:rsidRPr="00460EDD" w:rsidRDefault="004A51F3" w:rsidP="00CD3353">
            <w:pPr>
              <w:tabs>
                <w:tab w:val="decimal" w:pos="688"/>
              </w:tabs>
              <w:spacing w:after="58"/>
            </w:pPr>
            <w:r w:rsidRPr="00460EDD">
              <w:t>39.60</w:t>
            </w:r>
          </w:p>
        </w:tc>
        <w:tc>
          <w:tcPr>
            <w:tcW w:w="1650" w:type="dxa"/>
            <w:vAlign w:val="bottom"/>
          </w:tcPr>
          <w:p w:rsidR="004A51F3" w:rsidRPr="00460EDD" w:rsidRDefault="004A51F3" w:rsidP="004A51F3">
            <w:pPr>
              <w:spacing w:after="58"/>
              <w:ind w:right="360"/>
              <w:jc w:val="right"/>
              <w:rPr>
                <w:u w:val="single"/>
              </w:rPr>
            </w:pPr>
            <w:r w:rsidRPr="00460EDD">
              <w:rPr>
                <w:u w:val="single"/>
              </w:rPr>
              <w:t>425,304</w:t>
            </w:r>
            <w:r w:rsidRPr="00460EDD">
              <w:rPr>
                <w:u w:val="single"/>
              </w:rPr>
              <w:fldChar w:fldCharType="begin"/>
            </w:r>
            <w:r w:rsidRPr="00460EDD">
              <w:rPr>
                <w:u w:val="single"/>
              </w:rPr>
              <w:instrText xml:space="preserve"> =b7*c7*d7 \# "#,##0" </w:instrText>
            </w:r>
            <w:r w:rsidRPr="00460EDD">
              <w:rPr>
                <w:u w:val="single"/>
              </w:rPr>
              <w:fldChar w:fldCharType="end"/>
            </w:r>
          </w:p>
        </w:tc>
      </w:tr>
      <w:tr w:rsidR="004A51F3" w:rsidRPr="00460EDD" w:rsidTr="00CD3353">
        <w:trPr>
          <w:trHeight w:val="469"/>
        </w:trPr>
        <w:tc>
          <w:tcPr>
            <w:tcW w:w="3300" w:type="dxa"/>
            <w:vAlign w:val="bottom"/>
          </w:tcPr>
          <w:p w:rsidR="004A51F3" w:rsidRPr="00460EDD" w:rsidRDefault="004A51F3" w:rsidP="00CD3353">
            <w:pPr>
              <w:tabs>
                <w:tab w:val="left" w:pos="360"/>
              </w:tabs>
              <w:spacing w:after="58"/>
              <w:jc w:val="right"/>
              <w:rPr>
                <w:i/>
              </w:rPr>
            </w:pPr>
            <w:r w:rsidRPr="00460EDD">
              <w:rPr>
                <w:i/>
              </w:rPr>
              <w:t>Total</w:t>
            </w:r>
          </w:p>
        </w:tc>
        <w:tc>
          <w:tcPr>
            <w:tcW w:w="1530" w:type="dxa"/>
            <w:vAlign w:val="bottom"/>
          </w:tcPr>
          <w:p w:rsidR="004A51F3" w:rsidRPr="00460EDD" w:rsidRDefault="00962484" w:rsidP="00CD3353">
            <w:pPr>
              <w:spacing w:after="58"/>
              <w:ind w:right="420"/>
              <w:jc w:val="right"/>
            </w:pPr>
            <w:r w:rsidRPr="00460EDD">
              <w:t>3,564</w:t>
            </w:r>
          </w:p>
        </w:tc>
        <w:tc>
          <w:tcPr>
            <w:tcW w:w="1260" w:type="dxa"/>
            <w:vAlign w:val="bottom"/>
          </w:tcPr>
          <w:p w:rsidR="004A51F3" w:rsidRPr="00460EDD" w:rsidRDefault="004A51F3" w:rsidP="00CD3353">
            <w:pPr>
              <w:tabs>
                <w:tab w:val="left" w:pos="360"/>
              </w:tabs>
              <w:spacing w:after="58"/>
              <w:jc w:val="center"/>
            </w:pPr>
          </w:p>
        </w:tc>
        <w:tc>
          <w:tcPr>
            <w:tcW w:w="1620" w:type="dxa"/>
            <w:vAlign w:val="bottom"/>
          </w:tcPr>
          <w:p w:rsidR="004A51F3" w:rsidRPr="00460EDD" w:rsidRDefault="004A51F3" w:rsidP="00CD3353">
            <w:pPr>
              <w:tabs>
                <w:tab w:val="decimal" w:pos="688"/>
              </w:tabs>
              <w:spacing w:after="58"/>
            </w:pPr>
          </w:p>
        </w:tc>
        <w:tc>
          <w:tcPr>
            <w:tcW w:w="1650" w:type="dxa"/>
            <w:vAlign w:val="bottom"/>
          </w:tcPr>
          <w:p w:rsidR="004A51F3" w:rsidRPr="00460EDD" w:rsidRDefault="006E4E12" w:rsidP="004A51F3">
            <w:pPr>
              <w:spacing w:after="58"/>
              <w:ind w:right="360"/>
              <w:jc w:val="right"/>
            </w:pPr>
            <w:r w:rsidRPr="00460EDD">
              <w:t>609,786</w:t>
            </w:r>
            <w:r w:rsidR="004A51F3" w:rsidRPr="00460EDD">
              <w:fldChar w:fldCharType="begin"/>
            </w:r>
            <w:r w:rsidR="004A51F3" w:rsidRPr="00460EDD">
              <w:instrText xml:space="preserve"> =e5+e6+e7 \# "#,##0;(#,##0)" </w:instrText>
            </w:r>
            <w:r w:rsidR="004A51F3" w:rsidRPr="00460EDD">
              <w:fldChar w:fldCharType="end"/>
            </w:r>
          </w:p>
        </w:tc>
      </w:tr>
      <w:tr w:rsidR="004A51F3" w:rsidRPr="00460EDD" w:rsidTr="00962484">
        <w:trPr>
          <w:trHeight w:val="469"/>
        </w:trPr>
        <w:tc>
          <w:tcPr>
            <w:tcW w:w="3300" w:type="dxa"/>
            <w:vAlign w:val="bottom"/>
          </w:tcPr>
          <w:p w:rsidR="004A51F3" w:rsidRPr="00460EDD" w:rsidRDefault="004A51F3" w:rsidP="00CD3353">
            <w:pPr>
              <w:tabs>
                <w:tab w:val="left" w:pos="360"/>
              </w:tabs>
              <w:spacing w:after="58"/>
              <w:jc w:val="right"/>
              <w:rPr>
                <w:i/>
                <w:iCs/>
              </w:rPr>
            </w:pPr>
            <w:r w:rsidRPr="00460EDD">
              <w:rPr>
                <w:i/>
                <w:iCs/>
              </w:rPr>
              <w:t>Change</w:t>
            </w:r>
          </w:p>
        </w:tc>
        <w:tc>
          <w:tcPr>
            <w:tcW w:w="1530" w:type="dxa"/>
            <w:vAlign w:val="bottom"/>
          </w:tcPr>
          <w:p w:rsidR="004A51F3" w:rsidRPr="00460EDD" w:rsidRDefault="00962484" w:rsidP="00962484">
            <w:pPr>
              <w:spacing w:after="58"/>
              <w:ind w:right="420"/>
              <w:jc w:val="right"/>
            </w:pPr>
            <w:r w:rsidRPr="00460EDD">
              <w:t>(69)</w:t>
            </w:r>
          </w:p>
        </w:tc>
        <w:tc>
          <w:tcPr>
            <w:tcW w:w="1260" w:type="dxa"/>
          </w:tcPr>
          <w:p w:rsidR="004A51F3" w:rsidRPr="00460EDD" w:rsidRDefault="004A51F3" w:rsidP="00CD3353">
            <w:pPr>
              <w:tabs>
                <w:tab w:val="left" w:pos="360"/>
              </w:tabs>
              <w:spacing w:after="58"/>
              <w:jc w:val="center"/>
            </w:pPr>
          </w:p>
        </w:tc>
        <w:tc>
          <w:tcPr>
            <w:tcW w:w="1620" w:type="dxa"/>
          </w:tcPr>
          <w:p w:rsidR="004A51F3" w:rsidRPr="00460EDD" w:rsidRDefault="004A51F3" w:rsidP="00CD3353">
            <w:pPr>
              <w:tabs>
                <w:tab w:val="decimal" w:pos="688"/>
              </w:tabs>
              <w:spacing w:after="58"/>
            </w:pPr>
          </w:p>
        </w:tc>
        <w:tc>
          <w:tcPr>
            <w:tcW w:w="1650" w:type="dxa"/>
            <w:vAlign w:val="bottom"/>
          </w:tcPr>
          <w:p w:rsidR="004A51F3" w:rsidRPr="00460EDD" w:rsidRDefault="004A51F3" w:rsidP="006E4E12">
            <w:pPr>
              <w:spacing w:after="58"/>
              <w:ind w:right="360"/>
              <w:jc w:val="right"/>
            </w:pPr>
            <w:r w:rsidRPr="00460EDD">
              <w:fldChar w:fldCharType="begin"/>
            </w:r>
            <w:r w:rsidRPr="00460EDD">
              <w:instrText xml:space="preserve"> =e8-e2 \# "#,##0;(#,##0)" </w:instrText>
            </w:r>
            <w:r w:rsidRPr="00460EDD">
              <w:fldChar w:fldCharType="separate"/>
            </w:r>
            <w:r w:rsidRPr="00460EDD">
              <w:rPr>
                <w:noProof/>
              </w:rPr>
              <w:t>(</w:t>
            </w:r>
            <w:r w:rsidR="006E4E12" w:rsidRPr="00460EDD">
              <w:rPr>
                <w:noProof/>
              </w:rPr>
              <w:t>27,878</w:t>
            </w:r>
            <w:r w:rsidRPr="00460EDD">
              <w:rPr>
                <w:noProof/>
              </w:rPr>
              <w:t>)</w:t>
            </w:r>
            <w:r w:rsidRPr="00460EDD">
              <w:fldChar w:fldCharType="end"/>
            </w:r>
          </w:p>
        </w:tc>
      </w:tr>
    </w:tbl>
    <w:p w:rsidR="004A51F3" w:rsidRPr="00460EDD" w:rsidRDefault="004A51F3" w:rsidP="004A51F3">
      <w:pPr>
        <w:jc w:val="both"/>
        <w:rPr>
          <w:highlight w:val="yellow"/>
        </w:rPr>
      </w:pPr>
    </w:p>
    <w:p w:rsidR="004A51F3" w:rsidRPr="00460EDD" w:rsidRDefault="004A51F3" w:rsidP="005B2488">
      <w:pPr>
        <w:tabs>
          <w:tab w:val="left" w:pos="-1440"/>
          <w:tab w:val="left" w:pos="-720"/>
          <w:tab w:val="left" w:pos="0"/>
          <w:tab w:val="left" w:pos="432"/>
          <w:tab w:val="left" w:pos="720"/>
          <w:tab w:val="right" w:pos="6480"/>
        </w:tabs>
        <w:suppressAutoHyphens/>
      </w:pPr>
    </w:p>
    <w:p w:rsidR="004A51F3" w:rsidRPr="00460EDD" w:rsidRDefault="004A51F3" w:rsidP="005B2488">
      <w:pPr>
        <w:tabs>
          <w:tab w:val="left" w:pos="-1440"/>
          <w:tab w:val="left" w:pos="-720"/>
          <w:tab w:val="left" w:pos="0"/>
          <w:tab w:val="left" w:pos="432"/>
          <w:tab w:val="left" w:pos="720"/>
          <w:tab w:val="right" w:pos="6480"/>
        </w:tabs>
        <w:suppressAutoHyphens/>
      </w:pPr>
    </w:p>
    <w:p w:rsidR="00FC2E2A" w:rsidRPr="00460EDD" w:rsidRDefault="00FC2E2A" w:rsidP="005B2488">
      <w:pPr>
        <w:tabs>
          <w:tab w:val="left" w:pos="-1440"/>
          <w:tab w:val="left" w:pos="-720"/>
          <w:tab w:val="left" w:pos="0"/>
          <w:tab w:val="left" w:pos="432"/>
          <w:tab w:val="left" w:pos="720"/>
          <w:tab w:val="right" w:pos="6480"/>
        </w:tabs>
        <w:suppressAutoHyphens/>
      </w:pPr>
    </w:p>
    <w:p w:rsidR="00CD3353" w:rsidRDefault="00CD3353">
      <w:r>
        <w:br w:type="page"/>
      </w:r>
    </w:p>
    <w:p w:rsidR="00DA5364" w:rsidRPr="00460EDD" w:rsidRDefault="00DA5364" w:rsidP="00DA5364">
      <w:pPr>
        <w:suppressAutoHyphens/>
      </w:pPr>
      <w:r w:rsidRPr="00460EDD">
        <w:t xml:space="preserve">16.  </w:t>
      </w:r>
      <w:r w:rsidRPr="00460EDD">
        <w:rPr>
          <w:u w:val="single"/>
        </w:rPr>
        <w:t>Publication</w:t>
      </w:r>
    </w:p>
    <w:p w:rsidR="00DA5364" w:rsidRPr="00460EDD" w:rsidRDefault="00DA5364" w:rsidP="00DA5364">
      <w:pPr>
        <w:suppressAutoHyphens/>
      </w:pPr>
    </w:p>
    <w:p w:rsidR="00DA3CD4" w:rsidRPr="00460EDD" w:rsidRDefault="00787E35" w:rsidP="00DA3CD4">
      <w:pPr>
        <w:suppressAutoHyphens/>
      </w:pPr>
      <w:r w:rsidRPr="00460EDD">
        <w:t>Not applicable</w:t>
      </w:r>
      <w:r w:rsidR="00DA3CD4" w:rsidRPr="00460EDD">
        <w:t>.</w:t>
      </w:r>
    </w:p>
    <w:p w:rsidR="00DA3CD4" w:rsidRPr="00460EDD" w:rsidRDefault="00DA3CD4" w:rsidP="00DA3CD4">
      <w:pPr>
        <w:suppressAutoHyphens/>
      </w:pPr>
    </w:p>
    <w:p w:rsidR="00787E35" w:rsidRPr="00460EDD" w:rsidRDefault="00787E35" w:rsidP="00DA5364">
      <w:pPr>
        <w:suppressAutoHyphens/>
      </w:pPr>
    </w:p>
    <w:p w:rsidR="00DA5364" w:rsidRPr="00460EDD" w:rsidRDefault="00DA5364" w:rsidP="00DA5364">
      <w:pPr>
        <w:suppressAutoHyphens/>
      </w:pPr>
      <w:r w:rsidRPr="00460EDD">
        <w:t xml:space="preserve">17.  </w:t>
      </w:r>
      <w:r w:rsidRPr="00460EDD">
        <w:rPr>
          <w:u w:val="single"/>
        </w:rPr>
        <w:t>Display of Expiration Date</w:t>
      </w:r>
    </w:p>
    <w:p w:rsidR="00DA5364" w:rsidRPr="00460EDD" w:rsidRDefault="00DA5364" w:rsidP="00DA5364">
      <w:pPr>
        <w:suppressAutoHyphens/>
      </w:pPr>
    </w:p>
    <w:p w:rsidR="00DA5364" w:rsidRPr="00460EDD" w:rsidRDefault="00DA5364" w:rsidP="00DA5364">
      <w:pPr>
        <w:suppressAutoHyphens/>
      </w:pPr>
      <w:r w:rsidRPr="00460EDD">
        <w:t>Not applicable.</w:t>
      </w:r>
    </w:p>
    <w:p w:rsidR="00DA5364" w:rsidRPr="00460EDD" w:rsidRDefault="00DA5364" w:rsidP="00DA5364">
      <w:pPr>
        <w:suppressAutoHyphens/>
      </w:pPr>
    </w:p>
    <w:p w:rsidR="00DA5364" w:rsidRPr="00460EDD" w:rsidRDefault="00DA5364" w:rsidP="00DA5364">
      <w:pPr>
        <w:suppressAutoHyphens/>
      </w:pPr>
    </w:p>
    <w:p w:rsidR="00DA5364" w:rsidRPr="00460EDD" w:rsidRDefault="00DA5364" w:rsidP="00DA5364">
      <w:pPr>
        <w:suppressAutoHyphens/>
      </w:pPr>
      <w:r w:rsidRPr="00460EDD">
        <w:t xml:space="preserve">18.  </w:t>
      </w:r>
      <w:r w:rsidRPr="00460EDD">
        <w:rPr>
          <w:u w:val="single"/>
        </w:rPr>
        <w:t>Exceptions to Certification</w:t>
      </w:r>
    </w:p>
    <w:p w:rsidR="00DA5364" w:rsidRPr="00460EDD" w:rsidRDefault="00DA5364" w:rsidP="00DA5364">
      <w:pPr>
        <w:suppressAutoHyphens/>
      </w:pPr>
    </w:p>
    <w:p w:rsidR="00DA5364" w:rsidRPr="00460EDD" w:rsidRDefault="00DA5364" w:rsidP="00DA5364">
      <w:pPr>
        <w:suppressAutoHyphens/>
      </w:pPr>
      <w:r w:rsidRPr="00460EDD">
        <w:t>None.</w:t>
      </w:r>
    </w:p>
    <w:p w:rsidR="00F6639B" w:rsidRPr="00460EDD" w:rsidRDefault="00F6639B" w:rsidP="00DA5364">
      <w:pPr>
        <w:suppressAutoHyphens/>
      </w:pPr>
    </w:p>
    <w:p w:rsidR="00F6639B" w:rsidRPr="00460EDD" w:rsidRDefault="00F6639B" w:rsidP="00DA5364">
      <w:pPr>
        <w:suppressAutoHyphens/>
      </w:pPr>
    </w:p>
    <w:p w:rsidR="00DA5364" w:rsidRPr="00460EDD" w:rsidRDefault="00DA5364" w:rsidP="00CA66AA">
      <w:pPr>
        <w:suppressAutoHyphens/>
      </w:pPr>
      <w:r w:rsidRPr="00460EDD">
        <w:t xml:space="preserve">B.  </w:t>
      </w:r>
      <w:r w:rsidRPr="00460EDD">
        <w:rPr>
          <w:u w:val="single"/>
        </w:rPr>
        <w:t>COLLECTION OF INFORMATION EMPLOYING STATISTICAL METHODS</w:t>
      </w:r>
    </w:p>
    <w:p w:rsidR="00DA5364" w:rsidRPr="00460EDD" w:rsidRDefault="00DA5364" w:rsidP="00CA66AA">
      <w:pPr>
        <w:suppressAutoHyphens/>
      </w:pPr>
    </w:p>
    <w:p w:rsidR="00DA5364" w:rsidRDefault="00DA5364" w:rsidP="00CA66AA">
      <w:pPr>
        <w:suppressAutoHyphens/>
      </w:pPr>
      <w:r w:rsidRPr="00460EDD">
        <w:t>Not applicable.</w:t>
      </w:r>
    </w:p>
    <w:p w:rsidR="00CD3353" w:rsidRDefault="00CD3353" w:rsidP="00CA66AA">
      <w:pPr>
        <w:suppressAutoHyphens/>
      </w:pPr>
    </w:p>
    <w:p w:rsidR="00CD3353" w:rsidRDefault="00CD3353" w:rsidP="00CA66AA">
      <w:pPr>
        <w:suppressAutoHyphens/>
      </w:pPr>
    </w:p>
    <w:p w:rsidR="00CD3353" w:rsidRDefault="00CD3353" w:rsidP="00CA66AA">
      <w:pPr>
        <w:suppressAutoHyphens/>
      </w:pPr>
    </w:p>
    <w:p w:rsidR="00CD3353" w:rsidRDefault="00CD3353">
      <w:r>
        <w:br w:type="page"/>
      </w:r>
    </w:p>
    <w:p w:rsidR="00CD3353" w:rsidRPr="00CD3353" w:rsidRDefault="00CD3353" w:rsidP="00CD3353">
      <w:pPr>
        <w:widowControl w:val="0"/>
        <w:autoSpaceDE w:val="0"/>
        <w:autoSpaceDN w:val="0"/>
        <w:adjustRightInd w:val="0"/>
        <w:rPr>
          <w:b/>
        </w:rPr>
      </w:pPr>
      <w:r w:rsidRPr="00CD3353">
        <w:rPr>
          <w:b/>
        </w:rPr>
        <w:t>Appendix A:  Proposed Reductions in Frequency of Collection for the FFIEC 051</w:t>
      </w:r>
    </w:p>
    <w:p w:rsidR="00CD3353" w:rsidRPr="00CD3353" w:rsidRDefault="00CD3353" w:rsidP="00CD3353">
      <w:pPr>
        <w:widowControl w:val="0"/>
        <w:autoSpaceDE w:val="0"/>
        <w:autoSpaceDN w:val="0"/>
        <w:adjustRightInd w:val="0"/>
      </w:pPr>
    </w:p>
    <w:p w:rsidR="00CD3353" w:rsidRPr="00CD3353" w:rsidRDefault="00CD3353" w:rsidP="00CD3353">
      <w:pPr>
        <w:widowControl w:val="0"/>
        <w:autoSpaceDE w:val="0"/>
        <w:autoSpaceDN w:val="0"/>
        <w:adjustRightInd w:val="0"/>
      </w:pPr>
      <w:r w:rsidRPr="00CD3353">
        <w:t>The following data items are currently collected on the FFIEC 051 quarterly.  The data items are proposed to be collected semiannually in the June and December reports only.</w:t>
      </w:r>
    </w:p>
    <w:p w:rsidR="00CD3353" w:rsidRPr="00CD3353" w:rsidRDefault="00CD3353" w:rsidP="00CD3353">
      <w:pPr>
        <w:widowControl w:val="0"/>
        <w:autoSpaceDE w:val="0"/>
        <w:autoSpaceDN w:val="0"/>
        <w:adjustRightInd w:val="0"/>
        <w:rPr>
          <w:bCs/>
          <w:color w:val="000000"/>
          <w:u w:val="single"/>
        </w:rPr>
      </w:pPr>
    </w:p>
    <w:tbl>
      <w:tblPr>
        <w:tblStyle w:val="TableGrid4"/>
        <w:tblW w:w="9350" w:type="dxa"/>
        <w:tblLayout w:type="fixed"/>
        <w:tblLook w:val="04A0" w:firstRow="1" w:lastRow="0" w:firstColumn="1" w:lastColumn="0" w:noHBand="0" w:noVBand="1"/>
      </w:tblPr>
      <w:tblGrid>
        <w:gridCol w:w="1140"/>
        <w:gridCol w:w="1465"/>
        <w:gridCol w:w="3780"/>
        <w:gridCol w:w="2965"/>
      </w:tblGrid>
      <w:tr w:rsidR="00CD3353" w:rsidRPr="00CD3353" w:rsidTr="00CD3353">
        <w:trPr>
          <w:trHeight w:val="312"/>
          <w:tblHeader/>
        </w:trPr>
        <w:tc>
          <w:tcPr>
            <w:tcW w:w="1140" w:type="dxa"/>
            <w:noWrap/>
            <w:hideMark/>
          </w:tcPr>
          <w:p w:rsidR="00CD3353" w:rsidRPr="00CD3353" w:rsidRDefault="00CD3353" w:rsidP="00CD3353">
            <w:pPr>
              <w:widowControl w:val="0"/>
              <w:autoSpaceDE w:val="0"/>
              <w:autoSpaceDN w:val="0"/>
              <w:adjustRightInd w:val="0"/>
              <w:rPr>
                <w:b/>
                <w:bCs/>
              </w:rPr>
            </w:pPr>
            <w:r w:rsidRPr="00CD3353">
              <w:rPr>
                <w:b/>
                <w:bCs/>
              </w:rPr>
              <w:t>Schedule</w:t>
            </w:r>
          </w:p>
        </w:tc>
        <w:tc>
          <w:tcPr>
            <w:tcW w:w="1465" w:type="dxa"/>
            <w:noWrap/>
            <w:hideMark/>
          </w:tcPr>
          <w:p w:rsidR="00CD3353" w:rsidRPr="00CD3353" w:rsidRDefault="00CD3353" w:rsidP="00CD3353">
            <w:pPr>
              <w:widowControl w:val="0"/>
              <w:autoSpaceDE w:val="0"/>
              <w:autoSpaceDN w:val="0"/>
              <w:adjustRightInd w:val="0"/>
              <w:rPr>
                <w:b/>
                <w:bCs/>
              </w:rPr>
            </w:pPr>
            <w:r w:rsidRPr="00CD3353">
              <w:rPr>
                <w:b/>
                <w:bCs/>
              </w:rPr>
              <w:t>Item</w:t>
            </w:r>
          </w:p>
        </w:tc>
        <w:tc>
          <w:tcPr>
            <w:tcW w:w="3780" w:type="dxa"/>
            <w:hideMark/>
          </w:tcPr>
          <w:p w:rsidR="00CD3353" w:rsidRPr="00CD3353" w:rsidRDefault="00CD3353" w:rsidP="00CD3353">
            <w:pPr>
              <w:widowControl w:val="0"/>
              <w:autoSpaceDE w:val="0"/>
              <w:autoSpaceDN w:val="0"/>
              <w:adjustRightInd w:val="0"/>
              <w:rPr>
                <w:b/>
                <w:bCs/>
              </w:rPr>
            </w:pPr>
            <w:r w:rsidRPr="00CD3353">
              <w:rPr>
                <w:b/>
                <w:bCs/>
              </w:rPr>
              <w:t>Item Name</w:t>
            </w:r>
          </w:p>
        </w:tc>
        <w:tc>
          <w:tcPr>
            <w:tcW w:w="2965" w:type="dxa"/>
            <w:hideMark/>
          </w:tcPr>
          <w:p w:rsidR="00CD3353" w:rsidRPr="00CD3353" w:rsidRDefault="00CD3353" w:rsidP="00CD3353">
            <w:pPr>
              <w:widowControl w:val="0"/>
              <w:autoSpaceDE w:val="0"/>
              <w:autoSpaceDN w:val="0"/>
              <w:adjustRightInd w:val="0"/>
              <w:rPr>
                <w:b/>
                <w:bCs/>
              </w:rPr>
            </w:pPr>
            <w:r w:rsidRPr="00CD3353">
              <w:rPr>
                <w:b/>
                <w:bCs/>
              </w:rPr>
              <w:t>MDRM Number(s)</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RI</w:t>
            </w:r>
          </w:p>
        </w:tc>
        <w:tc>
          <w:tcPr>
            <w:tcW w:w="1465" w:type="dxa"/>
            <w:noWrap/>
          </w:tcPr>
          <w:p w:rsidR="00CD3353" w:rsidRPr="00CD3353" w:rsidRDefault="00CD3353" w:rsidP="00CD3353">
            <w:pPr>
              <w:widowControl w:val="0"/>
              <w:autoSpaceDE w:val="0"/>
              <w:autoSpaceDN w:val="0"/>
              <w:adjustRightInd w:val="0"/>
            </w:pPr>
            <w:r w:rsidRPr="00CD3353">
              <w:t>M.14</w:t>
            </w:r>
          </w:p>
        </w:tc>
        <w:tc>
          <w:tcPr>
            <w:tcW w:w="3780" w:type="dxa"/>
          </w:tcPr>
          <w:p w:rsidR="00CD3353" w:rsidRPr="00CD3353" w:rsidRDefault="00CD3353" w:rsidP="00CD3353">
            <w:pPr>
              <w:widowControl w:val="0"/>
              <w:autoSpaceDE w:val="0"/>
              <w:autoSpaceDN w:val="0"/>
              <w:adjustRightInd w:val="0"/>
            </w:pPr>
            <w:r w:rsidRPr="00CD3353">
              <w:t>Other-than-temporary impairment losses on held-to-maturity and available-for-sale debt securities recognized in earnings</w:t>
            </w:r>
          </w:p>
        </w:tc>
        <w:tc>
          <w:tcPr>
            <w:tcW w:w="2965" w:type="dxa"/>
          </w:tcPr>
          <w:p w:rsidR="00CD3353" w:rsidRPr="00CD3353" w:rsidRDefault="00CD3353" w:rsidP="00CD3353">
            <w:pPr>
              <w:widowControl w:val="0"/>
              <w:autoSpaceDE w:val="0"/>
              <w:autoSpaceDN w:val="0"/>
              <w:adjustRightInd w:val="0"/>
            </w:pPr>
            <w:r w:rsidRPr="00CD3353">
              <w:t>RIADJ321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M.1.a.(1)</w:t>
            </w:r>
          </w:p>
        </w:tc>
        <w:tc>
          <w:tcPr>
            <w:tcW w:w="3780" w:type="dxa"/>
          </w:tcPr>
          <w:p w:rsidR="00CD3353" w:rsidRPr="00CD3353" w:rsidRDefault="00CD3353" w:rsidP="00CD3353">
            <w:pPr>
              <w:widowControl w:val="0"/>
              <w:autoSpaceDE w:val="0"/>
              <w:autoSpaceDN w:val="0"/>
              <w:adjustRightInd w:val="0"/>
            </w:pPr>
            <w:r w:rsidRPr="00CD3353">
              <w:t>Loans restructured in troubled debt restructurings (TDRs) that are in compliance with their modified terms: 1-4 family residential construction loans</w:t>
            </w:r>
          </w:p>
        </w:tc>
        <w:tc>
          <w:tcPr>
            <w:tcW w:w="2965" w:type="dxa"/>
          </w:tcPr>
          <w:p w:rsidR="00CD3353" w:rsidRPr="00CD3353" w:rsidRDefault="00CD3353" w:rsidP="00CD3353">
            <w:pPr>
              <w:widowControl w:val="0"/>
              <w:autoSpaceDE w:val="0"/>
              <w:autoSpaceDN w:val="0"/>
              <w:adjustRightInd w:val="0"/>
            </w:pPr>
            <w:r w:rsidRPr="00CD3353">
              <w:t>RCONK158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M.1.a.(2)</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Other construction loans and all land development and other land loans</w:t>
            </w:r>
          </w:p>
        </w:tc>
        <w:tc>
          <w:tcPr>
            <w:tcW w:w="2965" w:type="dxa"/>
          </w:tcPr>
          <w:p w:rsidR="00CD3353" w:rsidRPr="00CD3353" w:rsidRDefault="00CD3353" w:rsidP="00CD3353">
            <w:pPr>
              <w:widowControl w:val="0"/>
              <w:autoSpaceDE w:val="0"/>
              <w:autoSpaceDN w:val="0"/>
              <w:adjustRightInd w:val="0"/>
            </w:pPr>
            <w:r w:rsidRPr="00CD3353">
              <w:t>RCONK159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M.1.b</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1-4 family residential properties</w:t>
            </w:r>
          </w:p>
        </w:tc>
        <w:tc>
          <w:tcPr>
            <w:tcW w:w="2965" w:type="dxa"/>
          </w:tcPr>
          <w:p w:rsidR="00CD3353" w:rsidRPr="00CD3353" w:rsidRDefault="00CD3353" w:rsidP="00CD3353">
            <w:pPr>
              <w:widowControl w:val="0"/>
              <w:autoSpaceDE w:val="0"/>
              <w:autoSpaceDN w:val="0"/>
              <w:adjustRightInd w:val="0"/>
            </w:pPr>
            <w:r w:rsidRPr="00CD3353">
              <w:t>RCONF576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M.1.c</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Secured by multifamily (5 or more) residential properties</w:t>
            </w:r>
          </w:p>
        </w:tc>
        <w:tc>
          <w:tcPr>
            <w:tcW w:w="2965" w:type="dxa"/>
          </w:tcPr>
          <w:p w:rsidR="00CD3353" w:rsidRPr="00CD3353" w:rsidRDefault="00CD3353" w:rsidP="00CD3353">
            <w:pPr>
              <w:widowControl w:val="0"/>
              <w:autoSpaceDE w:val="0"/>
              <w:autoSpaceDN w:val="0"/>
              <w:adjustRightInd w:val="0"/>
            </w:pPr>
            <w:r w:rsidRPr="00CD3353">
              <w:t>RCONK160</w:t>
            </w:r>
          </w:p>
          <w:p w:rsidR="00CD3353" w:rsidRPr="00CD3353" w:rsidRDefault="00CD3353" w:rsidP="00CD3353">
            <w:pPr>
              <w:widowControl w:val="0"/>
              <w:autoSpaceDE w:val="0"/>
              <w:autoSpaceDN w:val="0"/>
              <w:adjustRightInd w:val="0"/>
            </w:pP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M.1.d.(1)</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owner-occupied nonfarm nonresidential properties</w:t>
            </w:r>
          </w:p>
        </w:tc>
        <w:tc>
          <w:tcPr>
            <w:tcW w:w="2965" w:type="dxa"/>
          </w:tcPr>
          <w:p w:rsidR="00CD3353" w:rsidRPr="00CD3353" w:rsidRDefault="00CD3353" w:rsidP="00CD3353">
            <w:pPr>
              <w:widowControl w:val="0"/>
              <w:autoSpaceDE w:val="0"/>
              <w:autoSpaceDN w:val="0"/>
              <w:adjustRightInd w:val="0"/>
            </w:pPr>
            <w:r w:rsidRPr="00CD3353">
              <w:t>RCONK161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M.1.d.(2)</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other nonfarm nonresidential properties</w:t>
            </w:r>
          </w:p>
        </w:tc>
        <w:tc>
          <w:tcPr>
            <w:tcW w:w="2965" w:type="dxa"/>
          </w:tcPr>
          <w:p w:rsidR="00CD3353" w:rsidRPr="00CD3353" w:rsidRDefault="00CD3353" w:rsidP="00CD3353">
            <w:pPr>
              <w:widowControl w:val="0"/>
              <w:autoSpaceDE w:val="0"/>
              <w:autoSpaceDN w:val="0"/>
              <w:adjustRightInd w:val="0"/>
            </w:pPr>
            <w:r w:rsidRPr="00CD3353">
              <w:t>RCONK162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M.1.e</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Commercial and industrial loans</w:t>
            </w:r>
          </w:p>
        </w:tc>
        <w:tc>
          <w:tcPr>
            <w:tcW w:w="2965" w:type="dxa"/>
          </w:tcPr>
          <w:p w:rsidR="00CD3353" w:rsidRPr="00CD3353" w:rsidRDefault="00CD3353" w:rsidP="00CD3353">
            <w:pPr>
              <w:widowControl w:val="0"/>
              <w:autoSpaceDE w:val="0"/>
              <w:autoSpaceDN w:val="0"/>
              <w:adjustRightInd w:val="0"/>
            </w:pPr>
            <w:r w:rsidRPr="00CD3353">
              <w:t>RCONK256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All other loans (include loans to individuals for household, family, and other personal expenditures)</w:t>
            </w:r>
          </w:p>
        </w:tc>
        <w:tc>
          <w:tcPr>
            <w:tcW w:w="2965" w:type="dxa"/>
          </w:tcPr>
          <w:p w:rsidR="00CD3353" w:rsidRPr="00CD3353" w:rsidRDefault="00CD3353" w:rsidP="00CD3353">
            <w:pPr>
              <w:widowControl w:val="0"/>
              <w:autoSpaceDE w:val="0"/>
              <w:autoSpaceDN w:val="0"/>
              <w:adjustRightInd w:val="0"/>
            </w:pPr>
            <w:r w:rsidRPr="00CD3353">
              <w:t>RCONK165</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M.1.f.(1)</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secured by farmland</w:t>
            </w:r>
          </w:p>
        </w:tc>
        <w:tc>
          <w:tcPr>
            <w:tcW w:w="2965" w:type="dxa"/>
          </w:tcPr>
          <w:p w:rsidR="00CD3353" w:rsidRPr="00CD3353" w:rsidRDefault="00CD3353" w:rsidP="00CD3353">
            <w:pPr>
              <w:widowControl w:val="0"/>
              <w:autoSpaceDE w:val="0"/>
              <w:autoSpaceDN w:val="0"/>
              <w:adjustRightInd w:val="0"/>
            </w:pPr>
            <w:r w:rsidRPr="00CD3353">
              <w:t>RCONK166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M.1.f.(4).(a)</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Credit cards</w:t>
            </w:r>
          </w:p>
        </w:tc>
        <w:tc>
          <w:tcPr>
            <w:tcW w:w="2965" w:type="dxa"/>
          </w:tcPr>
          <w:p w:rsidR="00CD3353" w:rsidRPr="00CD3353" w:rsidRDefault="00CD3353" w:rsidP="00CD3353">
            <w:pPr>
              <w:widowControl w:val="0"/>
              <w:autoSpaceDE w:val="0"/>
              <w:autoSpaceDN w:val="0"/>
              <w:adjustRightInd w:val="0"/>
            </w:pPr>
            <w:r w:rsidRPr="00CD3353">
              <w:t>RCONK098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M.1.f.(4).(b)</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Automobile loans</w:t>
            </w:r>
          </w:p>
        </w:tc>
        <w:tc>
          <w:tcPr>
            <w:tcW w:w="2965" w:type="dxa"/>
          </w:tcPr>
          <w:p w:rsidR="00CD3353" w:rsidRPr="00CD3353" w:rsidRDefault="00CD3353" w:rsidP="00CD3353">
            <w:pPr>
              <w:widowControl w:val="0"/>
              <w:autoSpaceDE w:val="0"/>
              <w:autoSpaceDN w:val="0"/>
              <w:adjustRightInd w:val="0"/>
            </w:pPr>
            <w:r w:rsidRPr="00CD3353">
              <w:t>RCONK203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M.1.f.(4).(c)</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Other (includes revolving credit plans other than credit cards and other consumer loans)</w:t>
            </w:r>
          </w:p>
        </w:tc>
        <w:tc>
          <w:tcPr>
            <w:tcW w:w="2965" w:type="dxa"/>
          </w:tcPr>
          <w:p w:rsidR="00CD3353" w:rsidRPr="00CD3353" w:rsidRDefault="00CD3353" w:rsidP="00CD3353">
            <w:pPr>
              <w:widowControl w:val="0"/>
              <w:autoSpaceDE w:val="0"/>
              <w:autoSpaceDN w:val="0"/>
              <w:adjustRightInd w:val="0"/>
            </w:pPr>
            <w:r w:rsidRPr="00CD3353">
              <w:t>RCONK204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RC-C, Part I</w:t>
            </w:r>
          </w:p>
        </w:tc>
        <w:tc>
          <w:tcPr>
            <w:tcW w:w="1465" w:type="dxa"/>
            <w:noWrap/>
          </w:tcPr>
          <w:p w:rsidR="00CD3353" w:rsidRPr="00CD3353" w:rsidRDefault="00CD3353" w:rsidP="00CD3353">
            <w:pPr>
              <w:widowControl w:val="0"/>
              <w:autoSpaceDE w:val="0"/>
              <w:autoSpaceDN w:val="0"/>
              <w:adjustRightInd w:val="0"/>
            </w:pPr>
            <w:r w:rsidRPr="00CD3353">
              <w:t>M.1.f.(5)</w:t>
            </w:r>
          </w:p>
        </w:tc>
        <w:tc>
          <w:tcPr>
            <w:tcW w:w="3780" w:type="dxa"/>
          </w:tcPr>
          <w:p w:rsidR="00CD3353" w:rsidRPr="00CD3353" w:rsidRDefault="00CD3353" w:rsidP="00CD3353">
            <w:pPr>
              <w:widowControl w:val="0"/>
              <w:autoSpaceDE w:val="0"/>
              <w:autoSpaceDN w:val="0"/>
              <w:adjustRightInd w:val="0"/>
            </w:pPr>
            <w:r w:rsidRPr="00CD3353">
              <w:t>Loans restructured in TDRs that are in compliance with their modified terms: Loans to finance agricultural production and other loans to farmers included in Schedule RC-C, part I, Memorandum item 1.f, above</w:t>
            </w:r>
          </w:p>
        </w:tc>
        <w:tc>
          <w:tcPr>
            <w:tcW w:w="2965" w:type="dxa"/>
          </w:tcPr>
          <w:p w:rsidR="00CD3353" w:rsidRPr="00CD3353" w:rsidRDefault="00CD3353" w:rsidP="00CD3353">
            <w:pPr>
              <w:widowControl w:val="0"/>
              <w:autoSpaceDE w:val="0"/>
              <w:autoSpaceDN w:val="0"/>
              <w:adjustRightInd w:val="0"/>
            </w:pPr>
            <w:r w:rsidRPr="00CD3353">
              <w:t>RCONK168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RC-E</w:t>
            </w:r>
          </w:p>
        </w:tc>
        <w:tc>
          <w:tcPr>
            <w:tcW w:w="1465" w:type="dxa"/>
            <w:noWrap/>
          </w:tcPr>
          <w:p w:rsidR="00CD3353" w:rsidRPr="00CD3353" w:rsidRDefault="00CD3353" w:rsidP="00CD3353">
            <w:pPr>
              <w:widowControl w:val="0"/>
              <w:autoSpaceDE w:val="0"/>
              <w:autoSpaceDN w:val="0"/>
              <w:adjustRightInd w:val="0"/>
            </w:pPr>
            <w:r w:rsidRPr="00CD3353">
              <w:t>M.1.a</w:t>
            </w:r>
          </w:p>
        </w:tc>
        <w:tc>
          <w:tcPr>
            <w:tcW w:w="3780" w:type="dxa"/>
          </w:tcPr>
          <w:p w:rsidR="00CD3353" w:rsidRPr="00CD3353" w:rsidRDefault="00CD3353" w:rsidP="00CD3353">
            <w:pPr>
              <w:widowControl w:val="0"/>
              <w:autoSpaceDE w:val="0"/>
              <w:autoSpaceDN w:val="0"/>
              <w:adjustRightInd w:val="0"/>
            </w:pPr>
            <w:r w:rsidRPr="00CD3353">
              <w:t>Total Individual Retirement Accounts (IRAs) and Keogh Plan accounts</w:t>
            </w:r>
          </w:p>
        </w:tc>
        <w:tc>
          <w:tcPr>
            <w:tcW w:w="2965" w:type="dxa"/>
          </w:tcPr>
          <w:p w:rsidR="00CD3353" w:rsidRPr="00CD3353" w:rsidRDefault="00CD3353" w:rsidP="00CD3353">
            <w:pPr>
              <w:widowControl w:val="0"/>
              <w:autoSpaceDE w:val="0"/>
              <w:autoSpaceDN w:val="0"/>
              <w:adjustRightInd w:val="0"/>
            </w:pPr>
            <w:r w:rsidRPr="00CD3353">
              <w:t>RCON6835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RC-E</w:t>
            </w:r>
          </w:p>
        </w:tc>
        <w:tc>
          <w:tcPr>
            <w:tcW w:w="1465" w:type="dxa"/>
            <w:noWrap/>
          </w:tcPr>
          <w:p w:rsidR="00CD3353" w:rsidRPr="00CD3353" w:rsidRDefault="00CD3353" w:rsidP="00CD3353">
            <w:pPr>
              <w:widowControl w:val="0"/>
              <w:autoSpaceDE w:val="0"/>
              <w:autoSpaceDN w:val="0"/>
              <w:adjustRightInd w:val="0"/>
            </w:pPr>
            <w:r w:rsidRPr="00CD3353">
              <w:t>M.5</w:t>
            </w:r>
          </w:p>
        </w:tc>
        <w:tc>
          <w:tcPr>
            <w:tcW w:w="3780" w:type="dxa"/>
          </w:tcPr>
          <w:p w:rsidR="00CD3353" w:rsidRPr="00CD3353" w:rsidRDefault="00CD3353" w:rsidP="00CD3353">
            <w:pPr>
              <w:widowControl w:val="0"/>
              <w:autoSpaceDE w:val="0"/>
              <w:autoSpaceDN w:val="0"/>
              <w:adjustRightInd w:val="0"/>
            </w:pPr>
            <w:r w:rsidRPr="00CD3353">
              <w:t>Does your institution offer one or more consumer deposit account products, i.e., transaction account or nontransaction savings account deposit products intended primarily for individuals for personal, household, or family use?</w:t>
            </w:r>
          </w:p>
        </w:tc>
        <w:tc>
          <w:tcPr>
            <w:tcW w:w="2965" w:type="dxa"/>
          </w:tcPr>
          <w:p w:rsidR="00CD3353" w:rsidRPr="00CD3353" w:rsidRDefault="00CD3353" w:rsidP="00CD3353">
            <w:pPr>
              <w:widowControl w:val="0"/>
              <w:autoSpaceDE w:val="0"/>
              <w:autoSpaceDN w:val="0"/>
              <w:adjustRightInd w:val="0"/>
            </w:pPr>
            <w:r w:rsidRPr="00CD3353">
              <w:t>RCONP752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RC-M</w:t>
            </w:r>
          </w:p>
        </w:tc>
        <w:tc>
          <w:tcPr>
            <w:tcW w:w="1465" w:type="dxa"/>
            <w:noWrap/>
          </w:tcPr>
          <w:p w:rsidR="00CD3353" w:rsidRPr="00CD3353" w:rsidRDefault="00CD3353" w:rsidP="00CD3353">
            <w:pPr>
              <w:widowControl w:val="0"/>
              <w:autoSpaceDE w:val="0"/>
              <w:autoSpaceDN w:val="0"/>
              <w:adjustRightInd w:val="0"/>
            </w:pPr>
            <w:r w:rsidRPr="00CD3353">
              <w:t>8.a</w:t>
            </w:r>
          </w:p>
        </w:tc>
        <w:tc>
          <w:tcPr>
            <w:tcW w:w="3780" w:type="dxa"/>
          </w:tcPr>
          <w:p w:rsidR="00CD3353" w:rsidRPr="00CD3353" w:rsidRDefault="00CD3353" w:rsidP="00CD3353">
            <w:pPr>
              <w:widowControl w:val="0"/>
              <w:autoSpaceDE w:val="0"/>
              <w:autoSpaceDN w:val="0"/>
              <w:adjustRightInd w:val="0"/>
            </w:pPr>
            <w:r w:rsidRPr="00CD3353">
              <w:t>Uniform Resource Locator (URL) of the reporting institution’s primary Internet Web site (home page), if any (Example: www.examplebank.com):</w:t>
            </w:r>
          </w:p>
        </w:tc>
        <w:tc>
          <w:tcPr>
            <w:tcW w:w="2965" w:type="dxa"/>
          </w:tcPr>
          <w:p w:rsidR="00CD3353" w:rsidRPr="00CD3353" w:rsidRDefault="00CD3353" w:rsidP="00CD3353">
            <w:pPr>
              <w:widowControl w:val="0"/>
              <w:autoSpaceDE w:val="0"/>
              <w:autoSpaceDN w:val="0"/>
              <w:adjustRightInd w:val="0"/>
            </w:pPr>
            <w:r w:rsidRPr="00CD3353">
              <w:t>TEXT4087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RC-M</w:t>
            </w:r>
          </w:p>
        </w:tc>
        <w:tc>
          <w:tcPr>
            <w:tcW w:w="1465" w:type="dxa"/>
            <w:noWrap/>
          </w:tcPr>
          <w:p w:rsidR="00CD3353" w:rsidRPr="00CD3353" w:rsidRDefault="00CD3353" w:rsidP="00CD3353">
            <w:pPr>
              <w:widowControl w:val="0"/>
              <w:autoSpaceDE w:val="0"/>
              <w:autoSpaceDN w:val="0"/>
              <w:adjustRightInd w:val="0"/>
            </w:pPr>
            <w:r w:rsidRPr="00CD3353">
              <w:t>8.b</w:t>
            </w:r>
          </w:p>
        </w:tc>
        <w:tc>
          <w:tcPr>
            <w:tcW w:w="3780" w:type="dxa"/>
          </w:tcPr>
          <w:p w:rsidR="00CD3353" w:rsidRPr="00CD3353" w:rsidRDefault="00CD3353" w:rsidP="00CD3353">
            <w:pPr>
              <w:widowControl w:val="0"/>
              <w:autoSpaceDE w:val="0"/>
              <w:autoSpaceDN w:val="0"/>
              <w:adjustRightInd w:val="0"/>
            </w:pPr>
            <w:r w:rsidRPr="00CD3353">
              <w:t>URLs of all other public-facing Internet websites that the reporting institution uses to accept or solicit deposits from the public, if any</w:t>
            </w:r>
          </w:p>
        </w:tc>
        <w:tc>
          <w:tcPr>
            <w:tcW w:w="2965" w:type="dxa"/>
          </w:tcPr>
          <w:p w:rsidR="00CD3353" w:rsidRPr="00CD3353" w:rsidRDefault="00CD3353" w:rsidP="00CD3353">
            <w:pPr>
              <w:widowControl w:val="0"/>
              <w:autoSpaceDE w:val="0"/>
              <w:autoSpaceDN w:val="0"/>
              <w:adjustRightInd w:val="0"/>
            </w:pPr>
            <w:r w:rsidRPr="00CD3353">
              <w:t>TE01N528, TE02N528, TE03N528, TE04N528, TE05N528, TE06N528, TE07N528, TE08N528, TE09N528, TE10N528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RC-M</w:t>
            </w:r>
          </w:p>
        </w:tc>
        <w:tc>
          <w:tcPr>
            <w:tcW w:w="1465" w:type="dxa"/>
            <w:noWrap/>
          </w:tcPr>
          <w:p w:rsidR="00CD3353" w:rsidRPr="00CD3353" w:rsidRDefault="00CD3353" w:rsidP="00CD3353">
            <w:pPr>
              <w:widowControl w:val="0"/>
              <w:autoSpaceDE w:val="0"/>
              <w:autoSpaceDN w:val="0"/>
              <w:adjustRightInd w:val="0"/>
            </w:pPr>
            <w:r w:rsidRPr="00CD3353">
              <w:t>8.c</w:t>
            </w:r>
          </w:p>
        </w:tc>
        <w:tc>
          <w:tcPr>
            <w:tcW w:w="3780" w:type="dxa"/>
          </w:tcPr>
          <w:p w:rsidR="00CD3353" w:rsidRPr="00CD3353" w:rsidRDefault="00CD3353" w:rsidP="00CD3353">
            <w:pPr>
              <w:widowControl w:val="0"/>
              <w:autoSpaceDE w:val="0"/>
              <w:autoSpaceDN w:val="0"/>
              <w:adjustRightInd w:val="0"/>
            </w:pPr>
            <w:r w:rsidRPr="00CD3353">
              <w:t>Trade names other than the reporting institution’s legal title used to identify one or more of the institution’s physical offices at which deposits are accepted or solicited from the public, if any</w:t>
            </w:r>
          </w:p>
        </w:tc>
        <w:tc>
          <w:tcPr>
            <w:tcW w:w="2965" w:type="dxa"/>
          </w:tcPr>
          <w:p w:rsidR="00CD3353" w:rsidRPr="00CD3353" w:rsidRDefault="00CD3353" w:rsidP="00CD3353">
            <w:pPr>
              <w:widowControl w:val="0"/>
              <w:autoSpaceDE w:val="0"/>
              <w:autoSpaceDN w:val="0"/>
              <w:adjustRightInd w:val="0"/>
            </w:pPr>
            <w:r w:rsidRPr="00CD3353">
              <w:t>TE01N529, TE02N529, TE03N529, TE04N529, TE05N529, TE06N529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M.1.a.(1)</w:t>
            </w:r>
          </w:p>
        </w:tc>
        <w:tc>
          <w:tcPr>
            <w:tcW w:w="3780" w:type="dxa"/>
          </w:tcPr>
          <w:p w:rsidR="00CD3353" w:rsidRPr="00CD3353" w:rsidRDefault="00CD3353" w:rsidP="00CD3353">
            <w:pPr>
              <w:widowControl w:val="0"/>
              <w:autoSpaceDE w:val="0"/>
              <w:autoSpaceDN w:val="0"/>
              <w:adjustRightInd w:val="0"/>
            </w:pPr>
            <w:r w:rsidRPr="00CD3353">
              <w:t>Loans restructured in troubled debt restructurings (TDRs) included in Schedule RC-N, items 1 through 7, above: 1-4 family residential construction loans</w:t>
            </w:r>
          </w:p>
        </w:tc>
        <w:tc>
          <w:tcPr>
            <w:tcW w:w="2965" w:type="dxa"/>
          </w:tcPr>
          <w:p w:rsidR="00CD3353" w:rsidRPr="00CD3353" w:rsidRDefault="00CD3353" w:rsidP="00CD3353">
            <w:pPr>
              <w:widowControl w:val="0"/>
              <w:autoSpaceDE w:val="0"/>
              <w:autoSpaceDN w:val="0"/>
              <w:adjustRightInd w:val="0"/>
            </w:pPr>
            <w:r w:rsidRPr="00CD3353">
              <w:t>RCONK105, RCONK106,</w:t>
            </w:r>
          </w:p>
          <w:p w:rsidR="00CD3353" w:rsidRPr="00CD3353" w:rsidRDefault="00CD3353" w:rsidP="00CD3353">
            <w:pPr>
              <w:widowControl w:val="0"/>
              <w:autoSpaceDE w:val="0"/>
              <w:autoSpaceDN w:val="0"/>
              <w:adjustRightInd w:val="0"/>
            </w:pPr>
            <w:r w:rsidRPr="00CD3353">
              <w:t xml:space="preserve">RCONK107 </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M.1.a.(2)</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Other construction loans and all land development and other land loans</w:t>
            </w:r>
          </w:p>
        </w:tc>
        <w:tc>
          <w:tcPr>
            <w:tcW w:w="2965" w:type="dxa"/>
          </w:tcPr>
          <w:p w:rsidR="00CD3353" w:rsidRPr="00CD3353" w:rsidRDefault="00CD3353" w:rsidP="00CD3353">
            <w:pPr>
              <w:widowControl w:val="0"/>
              <w:autoSpaceDE w:val="0"/>
              <w:autoSpaceDN w:val="0"/>
              <w:adjustRightInd w:val="0"/>
            </w:pPr>
            <w:r w:rsidRPr="00CD3353">
              <w:t>RCONK108, RCONK109,</w:t>
            </w:r>
          </w:p>
          <w:p w:rsidR="00CD3353" w:rsidRPr="00CD3353" w:rsidRDefault="00CD3353" w:rsidP="00CD3353">
            <w:pPr>
              <w:widowControl w:val="0"/>
              <w:autoSpaceDE w:val="0"/>
              <w:autoSpaceDN w:val="0"/>
              <w:adjustRightInd w:val="0"/>
            </w:pPr>
            <w:r w:rsidRPr="00CD3353">
              <w:t>RCONK110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M.1.b</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1-4 family residential properties</w:t>
            </w:r>
          </w:p>
        </w:tc>
        <w:tc>
          <w:tcPr>
            <w:tcW w:w="2965" w:type="dxa"/>
          </w:tcPr>
          <w:p w:rsidR="00CD3353" w:rsidRPr="00CD3353" w:rsidRDefault="00CD3353" w:rsidP="00CD3353">
            <w:pPr>
              <w:widowControl w:val="0"/>
              <w:autoSpaceDE w:val="0"/>
              <w:autoSpaceDN w:val="0"/>
              <w:adjustRightInd w:val="0"/>
            </w:pPr>
            <w:r w:rsidRPr="00CD3353">
              <w:t>RCONF661, RCONF662,</w:t>
            </w:r>
          </w:p>
          <w:p w:rsidR="00CD3353" w:rsidRPr="00CD3353" w:rsidRDefault="00CD3353" w:rsidP="00CD3353">
            <w:pPr>
              <w:widowControl w:val="0"/>
              <w:autoSpaceDE w:val="0"/>
              <w:autoSpaceDN w:val="0"/>
              <w:adjustRightInd w:val="0"/>
            </w:pPr>
            <w:r w:rsidRPr="00CD3353">
              <w:t>RCONF663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M.1.c</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Secured by multifamily (5 or more) residential properties</w:t>
            </w:r>
          </w:p>
        </w:tc>
        <w:tc>
          <w:tcPr>
            <w:tcW w:w="2965" w:type="dxa"/>
          </w:tcPr>
          <w:p w:rsidR="00CD3353" w:rsidRPr="00CD3353" w:rsidRDefault="00CD3353" w:rsidP="00CD3353">
            <w:pPr>
              <w:widowControl w:val="0"/>
              <w:autoSpaceDE w:val="0"/>
              <w:autoSpaceDN w:val="0"/>
              <w:adjustRightInd w:val="0"/>
            </w:pPr>
            <w:r w:rsidRPr="00CD3353">
              <w:t>RCONK111, RCONK112,</w:t>
            </w:r>
          </w:p>
          <w:p w:rsidR="00CD3353" w:rsidRPr="00CD3353" w:rsidRDefault="00CD3353" w:rsidP="00CD3353">
            <w:pPr>
              <w:widowControl w:val="0"/>
              <w:autoSpaceDE w:val="0"/>
              <w:autoSpaceDN w:val="0"/>
              <w:adjustRightInd w:val="0"/>
            </w:pPr>
            <w:r w:rsidRPr="00CD3353">
              <w:t>RCONK113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M.1.d.(1)</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owner-occupied nonfarm nonresidential properties</w:t>
            </w:r>
          </w:p>
        </w:tc>
        <w:tc>
          <w:tcPr>
            <w:tcW w:w="2965" w:type="dxa"/>
          </w:tcPr>
          <w:p w:rsidR="00CD3353" w:rsidRPr="00CD3353" w:rsidRDefault="00CD3353" w:rsidP="00CD3353">
            <w:pPr>
              <w:widowControl w:val="0"/>
              <w:autoSpaceDE w:val="0"/>
              <w:autoSpaceDN w:val="0"/>
              <w:adjustRightInd w:val="0"/>
            </w:pPr>
            <w:r w:rsidRPr="00CD3353">
              <w:t>RCONK114, RCONK115,</w:t>
            </w:r>
          </w:p>
          <w:p w:rsidR="00CD3353" w:rsidRPr="00CD3353" w:rsidRDefault="00CD3353" w:rsidP="00CD3353">
            <w:pPr>
              <w:widowControl w:val="0"/>
              <w:autoSpaceDE w:val="0"/>
              <w:autoSpaceDN w:val="0"/>
              <w:adjustRightInd w:val="0"/>
            </w:pPr>
            <w:r w:rsidRPr="00CD3353">
              <w:t>RCONK116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M.1.d.(2)</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other nonfarm nonresidential properties</w:t>
            </w:r>
          </w:p>
        </w:tc>
        <w:tc>
          <w:tcPr>
            <w:tcW w:w="2965" w:type="dxa"/>
          </w:tcPr>
          <w:p w:rsidR="00CD3353" w:rsidRPr="00CD3353" w:rsidRDefault="00CD3353" w:rsidP="00CD3353">
            <w:pPr>
              <w:widowControl w:val="0"/>
              <w:autoSpaceDE w:val="0"/>
              <w:autoSpaceDN w:val="0"/>
              <w:adjustRightInd w:val="0"/>
            </w:pPr>
            <w:r w:rsidRPr="00CD3353">
              <w:t>RCONK117, RCONK118,</w:t>
            </w:r>
          </w:p>
          <w:p w:rsidR="00CD3353" w:rsidRPr="00CD3353" w:rsidRDefault="00CD3353" w:rsidP="00CD3353">
            <w:pPr>
              <w:widowControl w:val="0"/>
              <w:autoSpaceDE w:val="0"/>
              <w:autoSpaceDN w:val="0"/>
              <w:adjustRightInd w:val="0"/>
            </w:pPr>
            <w:r w:rsidRPr="00CD3353">
              <w:t>RCONK119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M.1.e</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Commercial and industrial loans</w:t>
            </w:r>
          </w:p>
        </w:tc>
        <w:tc>
          <w:tcPr>
            <w:tcW w:w="2965" w:type="dxa"/>
          </w:tcPr>
          <w:p w:rsidR="00CD3353" w:rsidRPr="00CD3353" w:rsidRDefault="00CD3353" w:rsidP="00CD3353">
            <w:pPr>
              <w:widowControl w:val="0"/>
              <w:autoSpaceDE w:val="0"/>
              <w:autoSpaceDN w:val="0"/>
              <w:adjustRightInd w:val="0"/>
            </w:pPr>
            <w:r w:rsidRPr="00CD3353">
              <w:t>RCONK257, RCONK258,</w:t>
            </w:r>
          </w:p>
          <w:p w:rsidR="00CD3353" w:rsidRPr="00CD3353" w:rsidRDefault="00CD3353" w:rsidP="00CD3353">
            <w:pPr>
              <w:widowControl w:val="0"/>
              <w:autoSpaceDE w:val="0"/>
              <w:autoSpaceDN w:val="0"/>
              <w:adjustRightInd w:val="0"/>
            </w:pPr>
            <w:r w:rsidRPr="00CD3353">
              <w:t>RCONK259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All other loans (include loans to individuals for household, family, and other personal expenditures)</w:t>
            </w:r>
          </w:p>
        </w:tc>
        <w:tc>
          <w:tcPr>
            <w:tcW w:w="2965" w:type="dxa"/>
          </w:tcPr>
          <w:p w:rsidR="00CD3353" w:rsidRPr="00CD3353" w:rsidRDefault="00CD3353" w:rsidP="00CD3353">
            <w:pPr>
              <w:widowControl w:val="0"/>
              <w:autoSpaceDE w:val="0"/>
              <w:autoSpaceDN w:val="0"/>
              <w:adjustRightInd w:val="0"/>
            </w:pPr>
            <w:r w:rsidRPr="00CD3353">
              <w:t>RCONK126, RCONK127,</w:t>
            </w:r>
          </w:p>
          <w:p w:rsidR="00CD3353" w:rsidRPr="00CD3353" w:rsidRDefault="00CD3353" w:rsidP="00CD3353">
            <w:pPr>
              <w:widowControl w:val="0"/>
              <w:autoSpaceDE w:val="0"/>
              <w:autoSpaceDN w:val="0"/>
              <w:adjustRightInd w:val="0"/>
            </w:pPr>
            <w:r w:rsidRPr="00CD3353">
              <w:t>RCONK128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M.1.f.(1)</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secured by farmland</w:t>
            </w:r>
          </w:p>
        </w:tc>
        <w:tc>
          <w:tcPr>
            <w:tcW w:w="2965" w:type="dxa"/>
          </w:tcPr>
          <w:p w:rsidR="00CD3353" w:rsidRPr="00CD3353" w:rsidRDefault="00CD3353" w:rsidP="00CD3353">
            <w:pPr>
              <w:widowControl w:val="0"/>
              <w:autoSpaceDE w:val="0"/>
              <w:autoSpaceDN w:val="0"/>
              <w:adjustRightInd w:val="0"/>
            </w:pPr>
            <w:r w:rsidRPr="00CD3353">
              <w:t>RCONK130, RCONK131,</w:t>
            </w:r>
          </w:p>
          <w:p w:rsidR="00CD3353" w:rsidRPr="00CD3353" w:rsidRDefault="00CD3353" w:rsidP="00CD3353">
            <w:pPr>
              <w:widowControl w:val="0"/>
              <w:autoSpaceDE w:val="0"/>
              <w:autoSpaceDN w:val="0"/>
              <w:adjustRightInd w:val="0"/>
            </w:pPr>
            <w:r w:rsidRPr="00CD3353">
              <w:t>RCONK132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M.1.f.(4)(a)</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Credit cards</w:t>
            </w:r>
          </w:p>
        </w:tc>
        <w:tc>
          <w:tcPr>
            <w:tcW w:w="2965" w:type="dxa"/>
          </w:tcPr>
          <w:p w:rsidR="00CD3353" w:rsidRPr="00CD3353" w:rsidRDefault="00CD3353" w:rsidP="00CD3353">
            <w:pPr>
              <w:widowControl w:val="0"/>
              <w:autoSpaceDE w:val="0"/>
              <w:autoSpaceDN w:val="0"/>
              <w:adjustRightInd w:val="0"/>
            </w:pPr>
            <w:r w:rsidRPr="00CD3353">
              <w:t>RCONK274, RCONK275,</w:t>
            </w:r>
          </w:p>
          <w:p w:rsidR="00CD3353" w:rsidRPr="00CD3353" w:rsidRDefault="00CD3353" w:rsidP="00CD3353">
            <w:pPr>
              <w:widowControl w:val="0"/>
              <w:autoSpaceDE w:val="0"/>
              <w:autoSpaceDN w:val="0"/>
              <w:adjustRightInd w:val="0"/>
            </w:pPr>
            <w:r w:rsidRPr="00CD3353">
              <w:t>RCONK276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M.1.f.(4)(b)</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Automobile loans</w:t>
            </w:r>
          </w:p>
        </w:tc>
        <w:tc>
          <w:tcPr>
            <w:tcW w:w="2965" w:type="dxa"/>
          </w:tcPr>
          <w:p w:rsidR="00CD3353" w:rsidRPr="00CD3353" w:rsidRDefault="00CD3353" w:rsidP="00CD3353">
            <w:pPr>
              <w:widowControl w:val="0"/>
              <w:autoSpaceDE w:val="0"/>
              <w:autoSpaceDN w:val="0"/>
              <w:adjustRightInd w:val="0"/>
            </w:pPr>
            <w:r w:rsidRPr="00CD3353">
              <w:t>RCONK277, RCONK278,</w:t>
            </w:r>
          </w:p>
          <w:p w:rsidR="00CD3353" w:rsidRPr="00CD3353" w:rsidRDefault="00CD3353" w:rsidP="00CD3353">
            <w:pPr>
              <w:widowControl w:val="0"/>
              <w:autoSpaceDE w:val="0"/>
              <w:autoSpaceDN w:val="0"/>
              <w:adjustRightInd w:val="0"/>
            </w:pPr>
            <w:r w:rsidRPr="00CD3353">
              <w:t>RCONK279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M.1.f.(4)(c)</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Other (includes revolving credit plans other than credit cards and other consumer loans)</w:t>
            </w:r>
          </w:p>
        </w:tc>
        <w:tc>
          <w:tcPr>
            <w:tcW w:w="2965" w:type="dxa"/>
          </w:tcPr>
          <w:p w:rsidR="00CD3353" w:rsidRPr="00CD3353" w:rsidRDefault="00CD3353" w:rsidP="00CD3353">
            <w:pPr>
              <w:widowControl w:val="0"/>
              <w:autoSpaceDE w:val="0"/>
              <w:autoSpaceDN w:val="0"/>
              <w:adjustRightInd w:val="0"/>
            </w:pPr>
            <w:r w:rsidRPr="00CD3353">
              <w:t>RCONK280, RCONK281,</w:t>
            </w:r>
          </w:p>
          <w:p w:rsidR="00CD3353" w:rsidRPr="00CD3353" w:rsidRDefault="00CD3353" w:rsidP="00CD3353">
            <w:pPr>
              <w:widowControl w:val="0"/>
              <w:autoSpaceDE w:val="0"/>
              <w:autoSpaceDN w:val="0"/>
              <w:adjustRightInd w:val="0"/>
            </w:pPr>
            <w:r w:rsidRPr="00CD3353">
              <w:t>RCONK282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RC-N</w:t>
            </w:r>
          </w:p>
        </w:tc>
        <w:tc>
          <w:tcPr>
            <w:tcW w:w="1465" w:type="dxa"/>
            <w:noWrap/>
          </w:tcPr>
          <w:p w:rsidR="00CD3353" w:rsidRPr="00CD3353" w:rsidRDefault="00CD3353" w:rsidP="00CD3353">
            <w:pPr>
              <w:widowControl w:val="0"/>
              <w:autoSpaceDE w:val="0"/>
              <w:autoSpaceDN w:val="0"/>
              <w:adjustRightInd w:val="0"/>
            </w:pPr>
            <w:r w:rsidRPr="00CD3353">
              <w:t>M.1.f.(5)</w:t>
            </w:r>
          </w:p>
        </w:tc>
        <w:tc>
          <w:tcPr>
            <w:tcW w:w="3780" w:type="dxa"/>
          </w:tcPr>
          <w:p w:rsidR="00CD3353" w:rsidRPr="00CD3353" w:rsidRDefault="00CD3353" w:rsidP="00CD3353">
            <w:pPr>
              <w:widowControl w:val="0"/>
              <w:autoSpaceDE w:val="0"/>
              <w:autoSpaceDN w:val="0"/>
              <w:adjustRightInd w:val="0"/>
            </w:pPr>
            <w:r w:rsidRPr="00CD3353">
              <w:t>Loans restructured in TDRs included in Schedule RC-N, items 1 through 7, above: Loans to finance agricultural production and other loans to farmers</w:t>
            </w:r>
          </w:p>
        </w:tc>
        <w:tc>
          <w:tcPr>
            <w:tcW w:w="2965" w:type="dxa"/>
          </w:tcPr>
          <w:p w:rsidR="00CD3353" w:rsidRPr="00CD3353" w:rsidRDefault="00CD3353" w:rsidP="00CD3353">
            <w:pPr>
              <w:widowControl w:val="0"/>
              <w:autoSpaceDE w:val="0"/>
              <w:autoSpaceDN w:val="0"/>
              <w:adjustRightInd w:val="0"/>
            </w:pPr>
            <w:r w:rsidRPr="00CD3353">
              <w:t>RCONK138, RCONK139,</w:t>
            </w:r>
          </w:p>
          <w:p w:rsidR="00CD3353" w:rsidRPr="00CD3353" w:rsidRDefault="00CD3353" w:rsidP="00CD3353">
            <w:pPr>
              <w:widowControl w:val="0"/>
              <w:autoSpaceDE w:val="0"/>
              <w:autoSpaceDN w:val="0"/>
              <w:adjustRightInd w:val="0"/>
            </w:pPr>
            <w:r w:rsidRPr="00CD3353">
              <w:t>RCONK140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w:t>
            </w:r>
          </w:p>
        </w:tc>
        <w:tc>
          <w:tcPr>
            <w:tcW w:w="3780" w:type="dxa"/>
          </w:tcPr>
          <w:p w:rsidR="00CD3353" w:rsidRPr="00CD3353" w:rsidRDefault="00CD3353" w:rsidP="00CD3353">
            <w:pPr>
              <w:widowControl w:val="0"/>
              <w:autoSpaceDE w:val="0"/>
              <w:autoSpaceDN w:val="0"/>
              <w:adjustRightInd w:val="0"/>
            </w:pPr>
            <w:r w:rsidRPr="00CD3353">
              <w:t>Cash and balances due from depository institutions</w:t>
            </w:r>
          </w:p>
        </w:tc>
        <w:tc>
          <w:tcPr>
            <w:tcW w:w="2965" w:type="dxa"/>
          </w:tcPr>
          <w:p w:rsidR="00CD3353" w:rsidRPr="00CD3353" w:rsidRDefault="00CD3353" w:rsidP="00CD3353">
            <w:pPr>
              <w:widowControl w:val="0"/>
              <w:autoSpaceDE w:val="0"/>
              <w:autoSpaceDN w:val="0"/>
              <w:adjustRightInd w:val="0"/>
            </w:pPr>
            <w:r w:rsidRPr="00CD3353">
              <w:t>RCOND957, RCOND958,</w:t>
            </w:r>
          </w:p>
          <w:p w:rsidR="00CD3353" w:rsidRPr="00CD3353" w:rsidRDefault="00CD3353" w:rsidP="00CD3353">
            <w:pPr>
              <w:widowControl w:val="0"/>
              <w:autoSpaceDE w:val="0"/>
              <w:autoSpaceDN w:val="0"/>
              <w:adjustRightInd w:val="0"/>
            </w:pPr>
            <w:r w:rsidRPr="00CD3353">
              <w:t>RCOND959, RCOND960,</w:t>
            </w:r>
          </w:p>
          <w:p w:rsidR="00CD3353" w:rsidRPr="00CD3353" w:rsidRDefault="00CD3353" w:rsidP="00CD3353">
            <w:pPr>
              <w:widowControl w:val="0"/>
              <w:autoSpaceDE w:val="0"/>
              <w:autoSpaceDN w:val="0"/>
              <w:adjustRightInd w:val="0"/>
            </w:pPr>
            <w:r w:rsidRPr="00CD3353">
              <w:t>RCONS396, RCONS397,</w:t>
            </w:r>
          </w:p>
          <w:p w:rsidR="00CD3353" w:rsidRPr="00CD3353" w:rsidRDefault="00CD3353" w:rsidP="00CD3353">
            <w:pPr>
              <w:widowControl w:val="0"/>
              <w:autoSpaceDE w:val="0"/>
              <w:autoSpaceDN w:val="0"/>
              <w:adjustRightInd w:val="0"/>
            </w:pPr>
            <w:r w:rsidRPr="00CD3353">
              <w:t>RCONS398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2.a</w:t>
            </w:r>
          </w:p>
        </w:tc>
        <w:tc>
          <w:tcPr>
            <w:tcW w:w="3780" w:type="dxa"/>
          </w:tcPr>
          <w:p w:rsidR="00CD3353" w:rsidRPr="00CD3353" w:rsidRDefault="00CD3353" w:rsidP="00CD3353">
            <w:pPr>
              <w:widowControl w:val="0"/>
              <w:autoSpaceDE w:val="0"/>
              <w:autoSpaceDN w:val="0"/>
              <w:adjustRightInd w:val="0"/>
            </w:pPr>
            <w:r w:rsidRPr="00CD3353">
              <w:t>Held-to-maturity securities</w:t>
            </w:r>
          </w:p>
        </w:tc>
        <w:tc>
          <w:tcPr>
            <w:tcW w:w="2965" w:type="dxa"/>
          </w:tcPr>
          <w:p w:rsidR="00CD3353" w:rsidRPr="00CD3353" w:rsidRDefault="00CD3353" w:rsidP="00CD3353">
            <w:pPr>
              <w:widowControl w:val="0"/>
              <w:autoSpaceDE w:val="0"/>
              <w:autoSpaceDN w:val="0"/>
              <w:adjustRightInd w:val="0"/>
            </w:pPr>
            <w:r w:rsidRPr="00CD3353">
              <w:t>RCOND961, RCOND962,</w:t>
            </w:r>
          </w:p>
          <w:p w:rsidR="00CD3353" w:rsidRPr="00CD3353" w:rsidRDefault="00CD3353" w:rsidP="00CD3353">
            <w:pPr>
              <w:widowControl w:val="0"/>
              <w:autoSpaceDE w:val="0"/>
              <w:autoSpaceDN w:val="0"/>
              <w:adjustRightInd w:val="0"/>
            </w:pPr>
            <w:r w:rsidRPr="00CD3353">
              <w:t>RCOND963, RCOND964,</w:t>
            </w:r>
          </w:p>
          <w:p w:rsidR="00CD3353" w:rsidRPr="00CD3353" w:rsidRDefault="00CD3353" w:rsidP="00CD3353">
            <w:pPr>
              <w:widowControl w:val="0"/>
              <w:autoSpaceDE w:val="0"/>
              <w:autoSpaceDN w:val="0"/>
              <w:adjustRightInd w:val="0"/>
            </w:pPr>
            <w:r w:rsidRPr="00CD3353">
              <w:t>RCOND965, RCONHJ74,</w:t>
            </w:r>
          </w:p>
          <w:p w:rsidR="00CD3353" w:rsidRPr="00CD3353" w:rsidRDefault="00CD3353" w:rsidP="00CD3353">
            <w:pPr>
              <w:widowControl w:val="0"/>
              <w:autoSpaceDE w:val="0"/>
              <w:autoSpaceDN w:val="0"/>
              <w:adjustRightInd w:val="0"/>
            </w:pPr>
            <w:r w:rsidRPr="00CD3353">
              <w:t>RCONHJ75, RCONS399,</w:t>
            </w:r>
          </w:p>
          <w:p w:rsidR="00CD3353" w:rsidRPr="00CD3353" w:rsidRDefault="00CD3353" w:rsidP="00CD3353">
            <w:pPr>
              <w:widowControl w:val="0"/>
              <w:autoSpaceDE w:val="0"/>
              <w:autoSpaceDN w:val="0"/>
              <w:adjustRightInd w:val="0"/>
            </w:pPr>
            <w:r w:rsidRPr="00CD3353">
              <w:t>RCONS400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2.b</w:t>
            </w:r>
          </w:p>
        </w:tc>
        <w:tc>
          <w:tcPr>
            <w:tcW w:w="3780" w:type="dxa"/>
          </w:tcPr>
          <w:p w:rsidR="00CD3353" w:rsidRPr="00CD3353" w:rsidRDefault="00CD3353" w:rsidP="00CD3353">
            <w:pPr>
              <w:widowControl w:val="0"/>
              <w:autoSpaceDE w:val="0"/>
              <w:autoSpaceDN w:val="0"/>
              <w:adjustRightInd w:val="0"/>
            </w:pPr>
            <w:r w:rsidRPr="00CD3353">
              <w:t>Available-for-sale securities</w:t>
            </w:r>
          </w:p>
        </w:tc>
        <w:tc>
          <w:tcPr>
            <w:tcW w:w="2965" w:type="dxa"/>
          </w:tcPr>
          <w:p w:rsidR="00CD3353" w:rsidRPr="00CD3353" w:rsidRDefault="00CD3353" w:rsidP="00CD3353">
            <w:pPr>
              <w:widowControl w:val="0"/>
              <w:autoSpaceDE w:val="0"/>
              <w:autoSpaceDN w:val="0"/>
              <w:adjustRightInd w:val="0"/>
            </w:pPr>
            <w:r w:rsidRPr="00CD3353">
              <w:t>RCOND967, RCOND968,</w:t>
            </w:r>
          </w:p>
          <w:p w:rsidR="00CD3353" w:rsidRPr="00CD3353" w:rsidRDefault="00CD3353" w:rsidP="00CD3353">
            <w:pPr>
              <w:widowControl w:val="0"/>
              <w:autoSpaceDE w:val="0"/>
              <w:autoSpaceDN w:val="0"/>
              <w:adjustRightInd w:val="0"/>
            </w:pPr>
            <w:r w:rsidRPr="00CD3353">
              <w:t>RCOND969, RCOND970,</w:t>
            </w:r>
          </w:p>
          <w:p w:rsidR="00CD3353" w:rsidRPr="00CD3353" w:rsidRDefault="00CD3353" w:rsidP="00CD3353">
            <w:pPr>
              <w:widowControl w:val="0"/>
              <w:autoSpaceDE w:val="0"/>
              <w:autoSpaceDN w:val="0"/>
              <w:adjustRightInd w:val="0"/>
            </w:pPr>
            <w:r w:rsidRPr="00CD3353">
              <w:t>RCONH271, RCONH272,</w:t>
            </w:r>
          </w:p>
          <w:p w:rsidR="00CD3353" w:rsidRPr="00CD3353" w:rsidRDefault="00CD3353" w:rsidP="00CD3353">
            <w:pPr>
              <w:widowControl w:val="0"/>
              <w:autoSpaceDE w:val="0"/>
              <w:autoSpaceDN w:val="0"/>
              <w:adjustRightInd w:val="0"/>
            </w:pPr>
            <w:r w:rsidRPr="00CD3353">
              <w:t>RCONHJ76, RCONHJ77,</w:t>
            </w:r>
          </w:p>
          <w:p w:rsidR="00CD3353" w:rsidRPr="00CD3353" w:rsidRDefault="00CD3353" w:rsidP="00CD3353">
            <w:pPr>
              <w:widowControl w:val="0"/>
              <w:autoSpaceDE w:val="0"/>
              <w:autoSpaceDN w:val="0"/>
              <w:adjustRightInd w:val="0"/>
            </w:pPr>
            <w:r w:rsidRPr="00CD3353">
              <w:t>RCONJA21, RCONS402,</w:t>
            </w:r>
          </w:p>
          <w:p w:rsidR="00CD3353" w:rsidRPr="00CD3353" w:rsidRDefault="00CD3353" w:rsidP="00CD3353">
            <w:pPr>
              <w:widowControl w:val="0"/>
              <w:autoSpaceDE w:val="0"/>
              <w:autoSpaceDN w:val="0"/>
              <w:adjustRightInd w:val="0"/>
            </w:pPr>
            <w:r w:rsidRPr="00CD3353">
              <w:t>RCONS403, RCONS405, RCONS406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3.a</w:t>
            </w:r>
          </w:p>
        </w:tc>
        <w:tc>
          <w:tcPr>
            <w:tcW w:w="3780" w:type="dxa"/>
          </w:tcPr>
          <w:p w:rsidR="00CD3353" w:rsidRPr="00CD3353" w:rsidRDefault="00CD3353" w:rsidP="00CD3353">
            <w:pPr>
              <w:widowControl w:val="0"/>
              <w:autoSpaceDE w:val="0"/>
              <w:autoSpaceDN w:val="0"/>
              <w:adjustRightInd w:val="0"/>
            </w:pPr>
            <w:r w:rsidRPr="00CD3353">
              <w:t>Federal funds sold</w:t>
            </w:r>
          </w:p>
        </w:tc>
        <w:tc>
          <w:tcPr>
            <w:tcW w:w="2965" w:type="dxa"/>
          </w:tcPr>
          <w:p w:rsidR="00CD3353" w:rsidRPr="00CD3353" w:rsidRDefault="00CD3353" w:rsidP="00CD3353">
            <w:pPr>
              <w:widowControl w:val="0"/>
              <w:autoSpaceDE w:val="0"/>
              <w:autoSpaceDN w:val="0"/>
              <w:adjustRightInd w:val="0"/>
            </w:pPr>
            <w:r w:rsidRPr="00CD3353">
              <w:t>RCOND971, RCOND972,</w:t>
            </w:r>
          </w:p>
          <w:p w:rsidR="00CD3353" w:rsidRPr="00CD3353" w:rsidRDefault="00CD3353" w:rsidP="00CD3353">
            <w:pPr>
              <w:widowControl w:val="0"/>
              <w:autoSpaceDE w:val="0"/>
              <w:autoSpaceDN w:val="0"/>
              <w:adjustRightInd w:val="0"/>
            </w:pPr>
            <w:r w:rsidRPr="00CD3353">
              <w:t>RCOND973, RCOND974,</w:t>
            </w:r>
          </w:p>
          <w:p w:rsidR="00CD3353" w:rsidRPr="00CD3353" w:rsidRDefault="00CD3353" w:rsidP="00CD3353">
            <w:pPr>
              <w:widowControl w:val="0"/>
              <w:autoSpaceDE w:val="0"/>
              <w:autoSpaceDN w:val="0"/>
              <w:adjustRightInd w:val="0"/>
            </w:pPr>
            <w:r w:rsidRPr="00CD3353">
              <w:t>RCONS410, RCONS411</w:t>
            </w:r>
          </w:p>
          <w:p w:rsidR="00CD3353" w:rsidRPr="00CD3353" w:rsidRDefault="00CD3353" w:rsidP="00CD3353">
            <w:pPr>
              <w:widowControl w:val="0"/>
              <w:autoSpaceDE w:val="0"/>
              <w:autoSpaceDN w:val="0"/>
              <w:adjustRightInd w:val="0"/>
            </w:pP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3.b</w:t>
            </w:r>
          </w:p>
        </w:tc>
        <w:tc>
          <w:tcPr>
            <w:tcW w:w="3780" w:type="dxa"/>
          </w:tcPr>
          <w:p w:rsidR="00CD3353" w:rsidRPr="00CD3353" w:rsidRDefault="00CD3353" w:rsidP="00CD3353">
            <w:pPr>
              <w:widowControl w:val="0"/>
              <w:autoSpaceDE w:val="0"/>
              <w:autoSpaceDN w:val="0"/>
              <w:adjustRightInd w:val="0"/>
            </w:pPr>
            <w:r w:rsidRPr="00CD3353">
              <w:t>Securities purchased under agreements to resell</w:t>
            </w:r>
          </w:p>
        </w:tc>
        <w:tc>
          <w:tcPr>
            <w:tcW w:w="2965" w:type="dxa"/>
          </w:tcPr>
          <w:p w:rsidR="00CD3353" w:rsidRPr="00CD3353" w:rsidRDefault="00CD3353" w:rsidP="00CD3353">
            <w:pPr>
              <w:widowControl w:val="0"/>
              <w:autoSpaceDE w:val="0"/>
              <w:autoSpaceDN w:val="0"/>
              <w:adjustRightInd w:val="0"/>
            </w:pPr>
            <w:r w:rsidRPr="00CD3353">
              <w:t>RCONH171, RCONH172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4.a</w:t>
            </w:r>
          </w:p>
        </w:tc>
        <w:tc>
          <w:tcPr>
            <w:tcW w:w="3780" w:type="dxa"/>
          </w:tcPr>
          <w:p w:rsidR="00CD3353" w:rsidRPr="00CD3353" w:rsidRDefault="00CD3353" w:rsidP="00CD3353">
            <w:pPr>
              <w:widowControl w:val="0"/>
              <w:autoSpaceDE w:val="0"/>
              <w:autoSpaceDN w:val="0"/>
              <w:adjustRightInd w:val="0"/>
            </w:pPr>
            <w:r w:rsidRPr="00CD3353">
              <w:t>Loans and leases held for sale: Residential mortgage exposures</w:t>
            </w:r>
          </w:p>
        </w:tc>
        <w:tc>
          <w:tcPr>
            <w:tcW w:w="2965" w:type="dxa"/>
          </w:tcPr>
          <w:p w:rsidR="00CD3353" w:rsidRPr="00CD3353" w:rsidRDefault="00CD3353" w:rsidP="00CD3353">
            <w:pPr>
              <w:widowControl w:val="0"/>
              <w:autoSpaceDE w:val="0"/>
              <w:autoSpaceDN w:val="0"/>
              <w:adjustRightInd w:val="0"/>
            </w:pPr>
            <w:r w:rsidRPr="00CD3353">
              <w:t>RCONH173, RCONH273, RCONH274, RCONS413,</w:t>
            </w:r>
          </w:p>
          <w:p w:rsidR="00CD3353" w:rsidRPr="00CD3353" w:rsidRDefault="00CD3353" w:rsidP="00CD3353">
            <w:pPr>
              <w:widowControl w:val="0"/>
              <w:autoSpaceDE w:val="0"/>
              <w:autoSpaceDN w:val="0"/>
              <w:adjustRightInd w:val="0"/>
            </w:pPr>
            <w:r w:rsidRPr="00CD3353">
              <w:t>RCONS414, RCONS415, RCONS416, RCONS417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4.b</w:t>
            </w:r>
          </w:p>
        </w:tc>
        <w:tc>
          <w:tcPr>
            <w:tcW w:w="3780" w:type="dxa"/>
          </w:tcPr>
          <w:p w:rsidR="00CD3353" w:rsidRPr="00CD3353" w:rsidRDefault="00CD3353" w:rsidP="00CD3353">
            <w:pPr>
              <w:widowControl w:val="0"/>
              <w:autoSpaceDE w:val="0"/>
              <w:autoSpaceDN w:val="0"/>
              <w:adjustRightInd w:val="0"/>
            </w:pPr>
            <w:r w:rsidRPr="00CD3353">
              <w:t>Loans and leases held for sale: High volatility commercial real estate exposures</w:t>
            </w:r>
          </w:p>
        </w:tc>
        <w:tc>
          <w:tcPr>
            <w:tcW w:w="2965" w:type="dxa"/>
          </w:tcPr>
          <w:p w:rsidR="00CD3353" w:rsidRPr="00CD3353" w:rsidRDefault="00CD3353" w:rsidP="00CD3353">
            <w:pPr>
              <w:widowControl w:val="0"/>
              <w:autoSpaceDE w:val="0"/>
              <w:autoSpaceDN w:val="0"/>
              <w:adjustRightInd w:val="0"/>
            </w:pPr>
            <w:r w:rsidRPr="00CD3353">
              <w:t>RCONH174, RCONH175, RCONH176, RCONH177,</w:t>
            </w:r>
          </w:p>
          <w:p w:rsidR="00CD3353" w:rsidRPr="00CD3353" w:rsidRDefault="00CD3353" w:rsidP="00CD3353">
            <w:pPr>
              <w:widowControl w:val="0"/>
              <w:autoSpaceDE w:val="0"/>
              <w:autoSpaceDN w:val="0"/>
              <w:adjustRightInd w:val="0"/>
            </w:pPr>
            <w:r w:rsidRPr="00CD3353">
              <w:t>RCONH275, RCONH276, RCONS419, RCONS420, RCONS421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4.c</w:t>
            </w:r>
          </w:p>
        </w:tc>
        <w:tc>
          <w:tcPr>
            <w:tcW w:w="3780" w:type="dxa"/>
          </w:tcPr>
          <w:p w:rsidR="00CD3353" w:rsidRPr="00CD3353" w:rsidRDefault="00CD3353" w:rsidP="00CD3353">
            <w:pPr>
              <w:widowControl w:val="0"/>
              <w:autoSpaceDE w:val="0"/>
              <w:autoSpaceDN w:val="0"/>
              <w:adjustRightInd w:val="0"/>
            </w:pPr>
            <w:r w:rsidRPr="00CD3353">
              <w:t>Loans and leases held for sale: Exposures past due 90 days or more or on nonaccrual</w:t>
            </w:r>
          </w:p>
        </w:tc>
        <w:tc>
          <w:tcPr>
            <w:tcW w:w="2965" w:type="dxa"/>
          </w:tcPr>
          <w:p w:rsidR="00CD3353" w:rsidRPr="00CD3353" w:rsidRDefault="00CD3353" w:rsidP="00CD3353">
            <w:pPr>
              <w:widowControl w:val="0"/>
              <w:autoSpaceDE w:val="0"/>
              <w:autoSpaceDN w:val="0"/>
              <w:adjustRightInd w:val="0"/>
            </w:pPr>
            <w:r w:rsidRPr="00CD3353">
              <w:t>RCONH277, RCONH278, RCONHJ78, RCONHJ79,</w:t>
            </w:r>
          </w:p>
          <w:p w:rsidR="00CD3353" w:rsidRPr="00CD3353" w:rsidRDefault="00CD3353" w:rsidP="00CD3353">
            <w:pPr>
              <w:widowControl w:val="0"/>
              <w:autoSpaceDE w:val="0"/>
              <w:autoSpaceDN w:val="0"/>
              <w:adjustRightInd w:val="0"/>
            </w:pPr>
            <w:r w:rsidRPr="00CD3353">
              <w:t>RCONS423, RCONS424, RCONS425, RCONS426, RCONS427, RCONS428, RCONS429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4.d</w:t>
            </w:r>
          </w:p>
        </w:tc>
        <w:tc>
          <w:tcPr>
            <w:tcW w:w="3780" w:type="dxa"/>
          </w:tcPr>
          <w:p w:rsidR="00CD3353" w:rsidRPr="00CD3353" w:rsidRDefault="00CD3353" w:rsidP="00CD3353">
            <w:pPr>
              <w:widowControl w:val="0"/>
              <w:autoSpaceDE w:val="0"/>
              <w:autoSpaceDN w:val="0"/>
              <w:adjustRightInd w:val="0"/>
            </w:pPr>
            <w:r w:rsidRPr="00CD3353">
              <w:t>Loans and leases held for sale: All other exposures</w:t>
            </w:r>
          </w:p>
        </w:tc>
        <w:tc>
          <w:tcPr>
            <w:tcW w:w="2965" w:type="dxa"/>
          </w:tcPr>
          <w:p w:rsidR="00CD3353" w:rsidRPr="00CD3353" w:rsidRDefault="00CD3353" w:rsidP="00CD3353">
            <w:pPr>
              <w:widowControl w:val="0"/>
              <w:autoSpaceDE w:val="0"/>
              <w:autoSpaceDN w:val="0"/>
              <w:adjustRightInd w:val="0"/>
            </w:pPr>
            <w:r w:rsidRPr="00CD3353">
              <w:t>RCONH279, RCONH280, RCONHJ80, RCONHJ81,</w:t>
            </w:r>
          </w:p>
          <w:p w:rsidR="00CD3353" w:rsidRPr="00CD3353" w:rsidRDefault="00CD3353" w:rsidP="00CD3353">
            <w:pPr>
              <w:widowControl w:val="0"/>
              <w:autoSpaceDE w:val="0"/>
              <w:autoSpaceDN w:val="0"/>
              <w:adjustRightInd w:val="0"/>
            </w:pPr>
            <w:r w:rsidRPr="00CD3353">
              <w:t>RCONS431, RCONS432, RCONS433, RCONS434, RCONS435, RCONS436, RCONS437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5.a</w:t>
            </w:r>
          </w:p>
        </w:tc>
        <w:tc>
          <w:tcPr>
            <w:tcW w:w="3780" w:type="dxa"/>
          </w:tcPr>
          <w:p w:rsidR="00CD3353" w:rsidRPr="00CD3353" w:rsidRDefault="00CD3353" w:rsidP="00CD3353">
            <w:pPr>
              <w:widowControl w:val="0"/>
              <w:autoSpaceDE w:val="0"/>
              <w:autoSpaceDN w:val="0"/>
              <w:adjustRightInd w:val="0"/>
            </w:pPr>
            <w:r w:rsidRPr="00CD3353">
              <w:t>Loans and leases held for investment: Residential mortgage exposures</w:t>
            </w:r>
          </w:p>
        </w:tc>
        <w:tc>
          <w:tcPr>
            <w:tcW w:w="2965" w:type="dxa"/>
          </w:tcPr>
          <w:p w:rsidR="00CD3353" w:rsidRPr="00CD3353" w:rsidRDefault="00CD3353" w:rsidP="00CD3353">
            <w:pPr>
              <w:widowControl w:val="0"/>
              <w:autoSpaceDE w:val="0"/>
              <w:autoSpaceDN w:val="0"/>
              <w:adjustRightInd w:val="0"/>
            </w:pPr>
            <w:r w:rsidRPr="00CD3353">
              <w:t xml:space="preserve">RCONH178, RCONH281, RCONH282, RCONS439, RCONS440, RCONS441, RCONS442, RCONS443 </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5.b</w:t>
            </w:r>
          </w:p>
        </w:tc>
        <w:tc>
          <w:tcPr>
            <w:tcW w:w="3780" w:type="dxa"/>
          </w:tcPr>
          <w:p w:rsidR="00CD3353" w:rsidRPr="00CD3353" w:rsidRDefault="00CD3353" w:rsidP="00CD3353">
            <w:pPr>
              <w:widowControl w:val="0"/>
              <w:autoSpaceDE w:val="0"/>
              <w:autoSpaceDN w:val="0"/>
              <w:adjustRightInd w:val="0"/>
            </w:pPr>
            <w:r w:rsidRPr="00CD3353">
              <w:t>Loans and leases held for investment: High volatility commercial real estate exposures</w:t>
            </w:r>
          </w:p>
        </w:tc>
        <w:tc>
          <w:tcPr>
            <w:tcW w:w="2965" w:type="dxa"/>
          </w:tcPr>
          <w:p w:rsidR="00CD3353" w:rsidRPr="00CD3353" w:rsidRDefault="00CD3353" w:rsidP="00CD3353">
            <w:pPr>
              <w:widowControl w:val="0"/>
              <w:autoSpaceDE w:val="0"/>
              <w:autoSpaceDN w:val="0"/>
              <w:adjustRightInd w:val="0"/>
            </w:pPr>
            <w:r w:rsidRPr="00CD3353">
              <w:t>RCONH179, RCONH180, RCONH181, RCONH182,</w:t>
            </w:r>
          </w:p>
          <w:p w:rsidR="00CD3353" w:rsidRPr="00CD3353" w:rsidRDefault="00CD3353" w:rsidP="00CD3353">
            <w:pPr>
              <w:widowControl w:val="0"/>
              <w:autoSpaceDE w:val="0"/>
              <w:autoSpaceDN w:val="0"/>
              <w:adjustRightInd w:val="0"/>
            </w:pPr>
            <w:r w:rsidRPr="00CD3353">
              <w:t>RCONH283, RCONH284, RCONS445, RCONS446, RCONS447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5.c</w:t>
            </w:r>
          </w:p>
        </w:tc>
        <w:tc>
          <w:tcPr>
            <w:tcW w:w="3780" w:type="dxa"/>
          </w:tcPr>
          <w:p w:rsidR="00CD3353" w:rsidRPr="00CD3353" w:rsidRDefault="00CD3353" w:rsidP="00CD3353">
            <w:pPr>
              <w:widowControl w:val="0"/>
              <w:autoSpaceDE w:val="0"/>
              <w:autoSpaceDN w:val="0"/>
              <w:adjustRightInd w:val="0"/>
            </w:pPr>
            <w:r w:rsidRPr="00CD3353">
              <w:t>Loans and leases held for investment: Exposures past due 90 days or more or on nonaccrual</w:t>
            </w:r>
          </w:p>
        </w:tc>
        <w:tc>
          <w:tcPr>
            <w:tcW w:w="2965" w:type="dxa"/>
          </w:tcPr>
          <w:p w:rsidR="00CD3353" w:rsidRPr="00CD3353" w:rsidRDefault="00CD3353" w:rsidP="00CD3353">
            <w:pPr>
              <w:widowControl w:val="0"/>
              <w:autoSpaceDE w:val="0"/>
              <w:autoSpaceDN w:val="0"/>
              <w:adjustRightInd w:val="0"/>
            </w:pPr>
            <w:r w:rsidRPr="00CD3353">
              <w:t>RCONH285, RCONH286, RCONHJ82, RCONHJ83,</w:t>
            </w:r>
          </w:p>
          <w:p w:rsidR="00CD3353" w:rsidRPr="00CD3353" w:rsidRDefault="00CD3353" w:rsidP="00CD3353">
            <w:pPr>
              <w:widowControl w:val="0"/>
              <w:autoSpaceDE w:val="0"/>
              <w:autoSpaceDN w:val="0"/>
              <w:adjustRightInd w:val="0"/>
            </w:pPr>
            <w:r w:rsidRPr="00CD3353">
              <w:t>RCONS449, RCONS450, RCONS451, RCONS452, RCONS453, RCONS454, RCONS455</w:t>
            </w:r>
          </w:p>
        </w:tc>
      </w:tr>
      <w:tr w:rsidR="00CD3353" w:rsidRPr="00CD3353" w:rsidTr="00CD3353">
        <w:trPr>
          <w:trHeight w:val="936"/>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5.d</w:t>
            </w:r>
          </w:p>
        </w:tc>
        <w:tc>
          <w:tcPr>
            <w:tcW w:w="3780" w:type="dxa"/>
          </w:tcPr>
          <w:p w:rsidR="00CD3353" w:rsidRPr="00CD3353" w:rsidRDefault="00CD3353" w:rsidP="00CD3353">
            <w:pPr>
              <w:widowControl w:val="0"/>
              <w:autoSpaceDE w:val="0"/>
              <w:autoSpaceDN w:val="0"/>
              <w:adjustRightInd w:val="0"/>
            </w:pPr>
            <w:r w:rsidRPr="00CD3353">
              <w:t>Loans and leases held for investment: All other exposures</w:t>
            </w:r>
          </w:p>
        </w:tc>
        <w:tc>
          <w:tcPr>
            <w:tcW w:w="2965" w:type="dxa"/>
          </w:tcPr>
          <w:p w:rsidR="00CD3353" w:rsidRPr="00CD3353" w:rsidRDefault="00CD3353" w:rsidP="00CD3353">
            <w:pPr>
              <w:widowControl w:val="0"/>
              <w:autoSpaceDE w:val="0"/>
              <w:autoSpaceDN w:val="0"/>
              <w:adjustRightInd w:val="0"/>
            </w:pPr>
            <w:r w:rsidRPr="00CD3353">
              <w:t>RCONH287, RCONH288, RCONHJ84, RCONHJ85,</w:t>
            </w:r>
          </w:p>
          <w:p w:rsidR="00CD3353" w:rsidRPr="00CD3353" w:rsidRDefault="00CD3353" w:rsidP="00CD3353">
            <w:pPr>
              <w:widowControl w:val="0"/>
              <w:autoSpaceDE w:val="0"/>
              <w:autoSpaceDN w:val="0"/>
              <w:adjustRightInd w:val="0"/>
            </w:pPr>
            <w:r w:rsidRPr="00CD3353">
              <w:t>RCONS457, RCONS458, RCONS459, RCONS460, RCONS461, RCONS462, RCONS463</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6</w:t>
            </w:r>
          </w:p>
        </w:tc>
        <w:tc>
          <w:tcPr>
            <w:tcW w:w="3780" w:type="dxa"/>
          </w:tcPr>
          <w:p w:rsidR="00CD3353" w:rsidRPr="00CD3353" w:rsidRDefault="00CD3353" w:rsidP="00CD3353">
            <w:pPr>
              <w:widowControl w:val="0"/>
              <w:autoSpaceDE w:val="0"/>
              <w:autoSpaceDN w:val="0"/>
              <w:adjustRightInd w:val="0"/>
            </w:pPr>
            <w:r w:rsidRPr="00CD3353">
              <w:t>LESS: Allowance for loan and lease losses</w:t>
            </w:r>
          </w:p>
        </w:tc>
        <w:tc>
          <w:tcPr>
            <w:tcW w:w="2965" w:type="dxa"/>
          </w:tcPr>
          <w:p w:rsidR="00CD3353" w:rsidRPr="00CD3353" w:rsidRDefault="00CD3353" w:rsidP="00CD3353">
            <w:pPr>
              <w:widowControl w:val="0"/>
              <w:autoSpaceDE w:val="0"/>
              <w:autoSpaceDN w:val="0"/>
              <w:adjustRightInd w:val="0"/>
            </w:pPr>
            <w:r w:rsidRPr="00CD3353">
              <w:t>RCON3123 (column A), RCON3123 (column B)</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7</w:t>
            </w:r>
          </w:p>
        </w:tc>
        <w:tc>
          <w:tcPr>
            <w:tcW w:w="3780" w:type="dxa"/>
          </w:tcPr>
          <w:p w:rsidR="00CD3353" w:rsidRPr="00CD3353" w:rsidRDefault="00CD3353" w:rsidP="00CD3353">
            <w:pPr>
              <w:widowControl w:val="0"/>
              <w:autoSpaceDE w:val="0"/>
              <w:autoSpaceDN w:val="0"/>
              <w:adjustRightInd w:val="0"/>
            </w:pPr>
            <w:r w:rsidRPr="00CD3353">
              <w:t>Trading assets</w:t>
            </w:r>
          </w:p>
        </w:tc>
        <w:tc>
          <w:tcPr>
            <w:tcW w:w="2965" w:type="dxa"/>
          </w:tcPr>
          <w:p w:rsidR="00CD3353" w:rsidRPr="00CD3353" w:rsidRDefault="00CD3353" w:rsidP="00CD3353">
            <w:pPr>
              <w:widowControl w:val="0"/>
              <w:autoSpaceDE w:val="0"/>
              <w:autoSpaceDN w:val="0"/>
              <w:adjustRightInd w:val="0"/>
            </w:pPr>
            <w:r w:rsidRPr="00CD3353">
              <w:t>RCOND976, RCOND977, RCOND978, RCOND979,</w:t>
            </w:r>
          </w:p>
          <w:p w:rsidR="00CD3353" w:rsidRPr="00CD3353" w:rsidRDefault="00CD3353" w:rsidP="00CD3353">
            <w:pPr>
              <w:widowControl w:val="0"/>
              <w:autoSpaceDE w:val="0"/>
              <w:autoSpaceDN w:val="0"/>
              <w:adjustRightInd w:val="0"/>
            </w:pPr>
            <w:r w:rsidRPr="00CD3353">
              <w:t>RCOND980, RCONH186, RCONH187, RCONH290, RCONH291, RCONH292, RCONHJ86, RCONHJ87,</w:t>
            </w:r>
          </w:p>
          <w:p w:rsidR="00CD3353" w:rsidRPr="00CD3353" w:rsidRDefault="00CD3353" w:rsidP="00CD3353">
            <w:pPr>
              <w:widowControl w:val="0"/>
              <w:autoSpaceDE w:val="0"/>
              <w:autoSpaceDN w:val="0"/>
              <w:adjustRightInd w:val="0"/>
            </w:pPr>
            <w:r w:rsidRPr="00CD3353">
              <w:t>RCONS466, RCONS467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8</w:t>
            </w:r>
          </w:p>
        </w:tc>
        <w:tc>
          <w:tcPr>
            <w:tcW w:w="3780" w:type="dxa"/>
          </w:tcPr>
          <w:p w:rsidR="00CD3353" w:rsidRPr="00CD3353" w:rsidRDefault="00CD3353" w:rsidP="00CD3353">
            <w:pPr>
              <w:widowControl w:val="0"/>
              <w:autoSpaceDE w:val="0"/>
              <w:autoSpaceDN w:val="0"/>
              <w:adjustRightInd w:val="0"/>
            </w:pPr>
            <w:r w:rsidRPr="00CD3353">
              <w:t>All other assets</w:t>
            </w:r>
          </w:p>
        </w:tc>
        <w:tc>
          <w:tcPr>
            <w:tcW w:w="2965" w:type="dxa"/>
          </w:tcPr>
          <w:p w:rsidR="00CD3353" w:rsidRPr="00CD3353" w:rsidRDefault="00CD3353" w:rsidP="00CD3353">
            <w:pPr>
              <w:widowControl w:val="0"/>
              <w:autoSpaceDE w:val="0"/>
              <w:autoSpaceDN w:val="0"/>
              <w:adjustRightInd w:val="0"/>
            </w:pPr>
            <w:r w:rsidRPr="00CD3353">
              <w:t>RCOND981, RCOND982, RCOND983, RCOND984,</w:t>
            </w:r>
          </w:p>
          <w:p w:rsidR="00CD3353" w:rsidRPr="00CD3353" w:rsidRDefault="00CD3353" w:rsidP="00CD3353">
            <w:pPr>
              <w:widowControl w:val="0"/>
              <w:autoSpaceDE w:val="0"/>
              <w:autoSpaceDN w:val="0"/>
              <w:adjustRightInd w:val="0"/>
            </w:pPr>
            <w:r w:rsidRPr="00CD3353">
              <w:t>RCOND985, RCONH185, RCONH188, RCONH294, RCONH295, RCONHJ88, RCONHJ89, RCONS469,</w:t>
            </w:r>
          </w:p>
          <w:p w:rsidR="00CD3353" w:rsidRPr="00CD3353" w:rsidRDefault="00CD3353" w:rsidP="00CD3353">
            <w:pPr>
              <w:widowControl w:val="0"/>
              <w:autoSpaceDE w:val="0"/>
              <w:autoSpaceDN w:val="0"/>
              <w:adjustRightInd w:val="0"/>
            </w:pPr>
            <w:r w:rsidRPr="00CD3353">
              <w:t>RCONS470, RCONS471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8.a</w:t>
            </w:r>
          </w:p>
        </w:tc>
        <w:tc>
          <w:tcPr>
            <w:tcW w:w="3780" w:type="dxa"/>
          </w:tcPr>
          <w:p w:rsidR="00CD3353" w:rsidRPr="00CD3353" w:rsidRDefault="00CD3353" w:rsidP="00CD3353">
            <w:pPr>
              <w:widowControl w:val="0"/>
              <w:autoSpaceDE w:val="0"/>
              <w:autoSpaceDN w:val="0"/>
              <w:adjustRightInd w:val="0"/>
            </w:pPr>
            <w:r w:rsidRPr="00CD3353">
              <w:t>Separate account bank-owned life insurance</w:t>
            </w:r>
          </w:p>
        </w:tc>
        <w:tc>
          <w:tcPr>
            <w:tcW w:w="2965" w:type="dxa"/>
          </w:tcPr>
          <w:p w:rsidR="00CD3353" w:rsidRPr="00CD3353" w:rsidRDefault="00CD3353" w:rsidP="00CD3353">
            <w:pPr>
              <w:widowControl w:val="0"/>
              <w:autoSpaceDE w:val="0"/>
              <w:autoSpaceDN w:val="0"/>
              <w:adjustRightInd w:val="0"/>
            </w:pPr>
            <w:r w:rsidRPr="00CD3353">
              <w:t>RCONH296, RCONH297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8.b</w:t>
            </w:r>
          </w:p>
        </w:tc>
        <w:tc>
          <w:tcPr>
            <w:tcW w:w="3780" w:type="dxa"/>
          </w:tcPr>
          <w:p w:rsidR="00CD3353" w:rsidRPr="00CD3353" w:rsidRDefault="00CD3353" w:rsidP="00CD3353">
            <w:pPr>
              <w:widowControl w:val="0"/>
              <w:autoSpaceDE w:val="0"/>
              <w:autoSpaceDN w:val="0"/>
              <w:adjustRightInd w:val="0"/>
            </w:pPr>
            <w:r w:rsidRPr="00CD3353">
              <w:t>Default fund contributions to central counterparties</w:t>
            </w:r>
          </w:p>
        </w:tc>
        <w:tc>
          <w:tcPr>
            <w:tcW w:w="2965" w:type="dxa"/>
          </w:tcPr>
          <w:p w:rsidR="00CD3353" w:rsidRPr="00CD3353" w:rsidRDefault="00CD3353" w:rsidP="00CD3353">
            <w:pPr>
              <w:widowControl w:val="0"/>
              <w:autoSpaceDE w:val="0"/>
              <w:autoSpaceDN w:val="0"/>
              <w:adjustRightInd w:val="0"/>
            </w:pPr>
            <w:r w:rsidRPr="00CD3353">
              <w:t>RCONH298, RCONH299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9.a</w:t>
            </w:r>
          </w:p>
        </w:tc>
        <w:tc>
          <w:tcPr>
            <w:tcW w:w="3780" w:type="dxa"/>
          </w:tcPr>
          <w:p w:rsidR="00CD3353" w:rsidRPr="00CD3353" w:rsidRDefault="00CD3353" w:rsidP="00CD3353">
            <w:pPr>
              <w:widowControl w:val="0"/>
              <w:autoSpaceDE w:val="0"/>
              <w:autoSpaceDN w:val="0"/>
              <w:adjustRightInd w:val="0"/>
            </w:pPr>
            <w:r w:rsidRPr="00CD3353">
              <w:t>On-balance sheet securitization exposures: Held-to-maturity securities</w:t>
            </w:r>
          </w:p>
        </w:tc>
        <w:tc>
          <w:tcPr>
            <w:tcW w:w="2965" w:type="dxa"/>
          </w:tcPr>
          <w:p w:rsidR="00CD3353" w:rsidRPr="00CD3353" w:rsidRDefault="00CD3353" w:rsidP="00CD3353">
            <w:pPr>
              <w:widowControl w:val="0"/>
              <w:autoSpaceDE w:val="0"/>
              <w:autoSpaceDN w:val="0"/>
              <w:adjustRightInd w:val="0"/>
            </w:pPr>
            <w:r w:rsidRPr="00CD3353">
              <w:t>RCONS475, RCONS476,</w:t>
            </w:r>
          </w:p>
          <w:p w:rsidR="00CD3353" w:rsidRPr="00CD3353" w:rsidRDefault="00CD3353" w:rsidP="00CD3353">
            <w:pPr>
              <w:widowControl w:val="0"/>
              <w:autoSpaceDE w:val="0"/>
              <w:autoSpaceDN w:val="0"/>
              <w:adjustRightInd w:val="0"/>
            </w:pPr>
            <w:r w:rsidRPr="00CD3353">
              <w:t>RCONS477, RCONS478,</w:t>
            </w:r>
          </w:p>
          <w:p w:rsidR="00CD3353" w:rsidRPr="00CD3353" w:rsidRDefault="00CD3353" w:rsidP="00CD3353">
            <w:pPr>
              <w:widowControl w:val="0"/>
              <w:autoSpaceDE w:val="0"/>
              <w:autoSpaceDN w:val="0"/>
              <w:adjustRightInd w:val="0"/>
            </w:pPr>
            <w:r w:rsidRPr="00CD3353">
              <w:t>RCONS479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9.b</w:t>
            </w:r>
          </w:p>
        </w:tc>
        <w:tc>
          <w:tcPr>
            <w:tcW w:w="3780" w:type="dxa"/>
          </w:tcPr>
          <w:p w:rsidR="00CD3353" w:rsidRPr="00CD3353" w:rsidRDefault="00CD3353" w:rsidP="00CD3353">
            <w:pPr>
              <w:widowControl w:val="0"/>
              <w:autoSpaceDE w:val="0"/>
              <w:autoSpaceDN w:val="0"/>
              <w:adjustRightInd w:val="0"/>
            </w:pPr>
            <w:r w:rsidRPr="00CD3353">
              <w:t>On-balance sheet securitization exposures: Available-for-sale securities</w:t>
            </w:r>
          </w:p>
        </w:tc>
        <w:tc>
          <w:tcPr>
            <w:tcW w:w="2965" w:type="dxa"/>
          </w:tcPr>
          <w:p w:rsidR="00CD3353" w:rsidRPr="00CD3353" w:rsidRDefault="00CD3353" w:rsidP="00CD3353">
            <w:pPr>
              <w:widowControl w:val="0"/>
              <w:autoSpaceDE w:val="0"/>
              <w:autoSpaceDN w:val="0"/>
              <w:adjustRightInd w:val="0"/>
            </w:pPr>
            <w:r w:rsidRPr="00CD3353">
              <w:t>RCONS480, RCONS481,</w:t>
            </w:r>
          </w:p>
          <w:p w:rsidR="00CD3353" w:rsidRPr="00CD3353" w:rsidRDefault="00CD3353" w:rsidP="00CD3353">
            <w:pPr>
              <w:widowControl w:val="0"/>
              <w:autoSpaceDE w:val="0"/>
              <w:autoSpaceDN w:val="0"/>
              <w:adjustRightInd w:val="0"/>
            </w:pPr>
            <w:r w:rsidRPr="00CD3353">
              <w:t>RCONS482, RCONS483,</w:t>
            </w:r>
          </w:p>
          <w:p w:rsidR="00CD3353" w:rsidRPr="00CD3353" w:rsidRDefault="00CD3353" w:rsidP="00CD3353">
            <w:pPr>
              <w:widowControl w:val="0"/>
              <w:autoSpaceDE w:val="0"/>
              <w:autoSpaceDN w:val="0"/>
              <w:adjustRightInd w:val="0"/>
            </w:pPr>
            <w:r w:rsidRPr="00CD3353">
              <w:t>RCONS484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9.c</w:t>
            </w:r>
          </w:p>
        </w:tc>
        <w:tc>
          <w:tcPr>
            <w:tcW w:w="3780" w:type="dxa"/>
          </w:tcPr>
          <w:p w:rsidR="00CD3353" w:rsidRPr="00CD3353" w:rsidRDefault="00CD3353" w:rsidP="00CD3353">
            <w:pPr>
              <w:widowControl w:val="0"/>
              <w:autoSpaceDE w:val="0"/>
              <w:autoSpaceDN w:val="0"/>
              <w:adjustRightInd w:val="0"/>
            </w:pPr>
            <w:r w:rsidRPr="00CD3353">
              <w:t>On-balance sheet securitization exposures: Trading assets</w:t>
            </w:r>
          </w:p>
        </w:tc>
        <w:tc>
          <w:tcPr>
            <w:tcW w:w="2965" w:type="dxa"/>
          </w:tcPr>
          <w:p w:rsidR="00CD3353" w:rsidRPr="00CD3353" w:rsidRDefault="00CD3353" w:rsidP="00CD3353">
            <w:pPr>
              <w:widowControl w:val="0"/>
              <w:autoSpaceDE w:val="0"/>
              <w:autoSpaceDN w:val="0"/>
              <w:adjustRightInd w:val="0"/>
            </w:pPr>
            <w:r w:rsidRPr="00CD3353">
              <w:t>RCONS485, RCONS486,</w:t>
            </w:r>
          </w:p>
          <w:p w:rsidR="00CD3353" w:rsidRPr="00CD3353" w:rsidRDefault="00CD3353" w:rsidP="00CD3353">
            <w:pPr>
              <w:widowControl w:val="0"/>
              <w:autoSpaceDE w:val="0"/>
              <w:autoSpaceDN w:val="0"/>
              <w:adjustRightInd w:val="0"/>
            </w:pPr>
            <w:r w:rsidRPr="00CD3353">
              <w:t>RCONS487, RCONS488,</w:t>
            </w:r>
          </w:p>
          <w:p w:rsidR="00CD3353" w:rsidRPr="00CD3353" w:rsidRDefault="00CD3353" w:rsidP="00CD3353">
            <w:pPr>
              <w:widowControl w:val="0"/>
              <w:autoSpaceDE w:val="0"/>
              <w:autoSpaceDN w:val="0"/>
              <w:adjustRightInd w:val="0"/>
            </w:pPr>
            <w:r w:rsidRPr="00CD3353">
              <w:t>RCONS489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9.d</w:t>
            </w:r>
          </w:p>
        </w:tc>
        <w:tc>
          <w:tcPr>
            <w:tcW w:w="3780" w:type="dxa"/>
          </w:tcPr>
          <w:p w:rsidR="00CD3353" w:rsidRPr="00CD3353" w:rsidRDefault="00CD3353" w:rsidP="00CD3353">
            <w:pPr>
              <w:widowControl w:val="0"/>
              <w:autoSpaceDE w:val="0"/>
              <w:autoSpaceDN w:val="0"/>
              <w:adjustRightInd w:val="0"/>
            </w:pPr>
            <w:r w:rsidRPr="00CD3353">
              <w:t>On-balance sheet securitization exposures: All other on-balance sheet securitization exposures</w:t>
            </w:r>
          </w:p>
        </w:tc>
        <w:tc>
          <w:tcPr>
            <w:tcW w:w="2965" w:type="dxa"/>
          </w:tcPr>
          <w:p w:rsidR="00CD3353" w:rsidRPr="00CD3353" w:rsidRDefault="00CD3353" w:rsidP="00CD3353">
            <w:pPr>
              <w:widowControl w:val="0"/>
              <w:autoSpaceDE w:val="0"/>
              <w:autoSpaceDN w:val="0"/>
              <w:adjustRightInd w:val="0"/>
            </w:pPr>
            <w:r w:rsidRPr="00CD3353">
              <w:t>RCONS490, RCONS491,</w:t>
            </w:r>
          </w:p>
          <w:p w:rsidR="00CD3353" w:rsidRPr="00CD3353" w:rsidRDefault="00CD3353" w:rsidP="00CD3353">
            <w:pPr>
              <w:widowControl w:val="0"/>
              <w:autoSpaceDE w:val="0"/>
              <w:autoSpaceDN w:val="0"/>
              <w:adjustRightInd w:val="0"/>
            </w:pPr>
            <w:r w:rsidRPr="00CD3353">
              <w:t>RCONS492, RCONS493,</w:t>
            </w:r>
          </w:p>
          <w:p w:rsidR="00CD3353" w:rsidRPr="00CD3353" w:rsidRDefault="00CD3353" w:rsidP="00CD3353">
            <w:pPr>
              <w:widowControl w:val="0"/>
              <w:autoSpaceDE w:val="0"/>
              <w:autoSpaceDN w:val="0"/>
              <w:adjustRightInd w:val="0"/>
            </w:pPr>
            <w:r w:rsidRPr="00CD3353">
              <w:t>RCONS494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10</w:t>
            </w:r>
          </w:p>
        </w:tc>
        <w:tc>
          <w:tcPr>
            <w:tcW w:w="3780" w:type="dxa"/>
          </w:tcPr>
          <w:p w:rsidR="00CD3353" w:rsidRPr="00CD3353" w:rsidRDefault="00CD3353" w:rsidP="00CD3353">
            <w:pPr>
              <w:widowControl w:val="0"/>
              <w:autoSpaceDE w:val="0"/>
              <w:autoSpaceDN w:val="0"/>
              <w:adjustRightInd w:val="0"/>
            </w:pPr>
            <w:r w:rsidRPr="00CD3353">
              <w:t>Off-balance sheet securitization exposures</w:t>
            </w:r>
          </w:p>
        </w:tc>
        <w:tc>
          <w:tcPr>
            <w:tcW w:w="2965" w:type="dxa"/>
          </w:tcPr>
          <w:p w:rsidR="00CD3353" w:rsidRPr="00CD3353" w:rsidRDefault="00CD3353" w:rsidP="00CD3353">
            <w:pPr>
              <w:widowControl w:val="0"/>
              <w:autoSpaceDE w:val="0"/>
              <w:autoSpaceDN w:val="0"/>
              <w:adjustRightInd w:val="0"/>
            </w:pPr>
            <w:r w:rsidRPr="00CD3353">
              <w:t>RCONS495, RCONS496,</w:t>
            </w:r>
          </w:p>
          <w:p w:rsidR="00CD3353" w:rsidRPr="00CD3353" w:rsidRDefault="00CD3353" w:rsidP="00CD3353">
            <w:pPr>
              <w:widowControl w:val="0"/>
              <w:autoSpaceDE w:val="0"/>
              <w:autoSpaceDN w:val="0"/>
              <w:adjustRightInd w:val="0"/>
            </w:pPr>
            <w:r w:rsidRPr="00CD3353">
              <w:t>RCONS497, RCONS498,</w:t>
            </w:r>
          </w:p>
          <w:p w:rsidR="00CD3353" w:rsidRPr="00CD3353" w:rsidRDefault="00CD3353" w:rsidP="00CD3353">
            <w:pPr>
              <w:widowControl w:val="0"/>
              <w:autoSpaceDE w:val="0"/>
              <w:autoSpaceDN w:val="0"/>
              <w:adjustRightInd w:val="0"/>
            </w:pPr>
            <w:r w:rsidRPr="00CD3353">
              <w:t>RCONS499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11</w:t>
            </w:r>
          </w:p>
        </w:tc>
        <w:tc>
          <w:tcPr>
            <w:tcW w:w="3780" w:type="dxa"/>
          </w:tcPr>
          <w:p w:rsidR="00CD3353" w:rsidRPr="00CD3353" w:rsidRDefault="00CD3353" w:rsidP="00CD3353">
            <w:pPr>
              <w:widowControl w:val="0"/>
              <w:autoSpaceDE w:val="0"/>
              <w:autoSpaceDN w:val="0"/>
              <w:adjustRightInd w:val="0"/>
            </w:pPr>
            <w:r w:rsidRPr="00CD3353">
              <w:t>Total balance sheet assets</w:t>
            </w:r>
          </w:p>
        </w:tc>
        <w:tc>
          <w:tcPr>
            <w:tcW w:w="2965" w:type="dxa"/>
          </w:tcPr>
          <w:p w:rsidR="00CD3353" w:rsidRPr="00CD3353" w:rsidRDefault="00CD3353" w:rsidP="00CD3353">
            <w:pPr>
              <w:widowControl w:val="0"/>
              <w:autoSpaceDE w:val="0"/>
              <w:autoSpaceDN w:val="0"/>
              <w:adjustRightInd w:val="0"/>
            </w:pPr>
            <w:r w:rsidRPr="00CD3353">
              <w:t>RCON2170, RCOND987,</w:t>
            </w:r>
          </w:p>
          <w:p w:rsidR="00CD3353" w:rsidRPr="00CD3353" w:rsidRDefault="00CD3353" w:rsidP="00CD3353">
            <w:pPr>
              <w:widowControl w:val="0"/>
              <w:autoSpaceDE w:val="0"/>
              <w:autoSpaceDN w:val="0"/>
              <w:adjustRightInd w:val="0"/>
            </w:pPr>
            <w:r w:rsidRPr="00CD3353">
              <w:t>RCOND988, RCOND989,</w:t>
            </w:r>
          </w:p>
          <w:p w:rsidR="00CD3353" w:rsidRPr="00CD3353" w:rsidRDefault="00CD3353" w:rsidP="00CD3353">
            <w:pPr>
              <w:widowControl w:val="0"/>
              <w:autoSpaceDE w:val="0"/>
              <w:autoSpaceDN w:val="0"/>
              <w:adjustRightInd w:val="0"/>
            </w:pPr>
            <w:r w:rsidRPr="00CD3353">
              <w:t>RCOND990, RCONH300, RCONHJ90, RCONHJ91, RCONS500, RCONS503, RCONS505, RCONS506,</w:t>
            </w:r>
          </w:p>
          <w:p w:rsidR="00CD3353" w:rsidRPr="00CD3353" w:rsidRDefault="00CD3353" w:rsidP="00CD3353">
            <w:pPr>
              <w:widowControl w:val="0"/>
              <w:autoSpaceDE w:val="0"/>
              <w:autoSpaceDN w:val="0"/>
              <w:adjustRightInd w:val="0"/>
            </w:pPr>
            <w:r w:rsidRPr="00CD3353">
              <w:t>RCONS507, RCONS510</w:t>
            </w:r>
          </w:p>
        </w:tc>
      </w:tr>
      <w:tr w:rsidR="00CD3353" w:rsidRPr="00CD3353" w:rsidTr="00CD3353">
        <w:trPr>
          <w:trHeight w:val="530"/>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12</w:t>
            </w:r>
          </w:p>
        </w:tc>
        <w:tc>
          <w:tcPr>
            <w:tcW w:w="3780" w:type="dxa"/>
          </w:tcPr>
          <w:p w:rsidR="00CD3353" w:rsidRPr="00CD3353" w:rsidRDefault="00CD3353" w:rsidP="00CD3353">
            <w:pPr>
              <w:widowControl w:val="0"/>
              <w:autoSpaceDE w:val="0"/>
              <w:autoSpaceDN w:val="0"/>
              <w:adjustRightInd w:val="0"/>
            </w:pPr>
            <w:r w:rsidRPr="00CD3353">
              <w:t>Financial standby letters of credit</w:t>
            </w:r>
          </w:p>
        </w:tc>
        <w:tc>
          <w:tcPr>
            <w:tcW w:w="2965" w:type="dxa"/>
          </w:tcPr>
          <w:p w:rsidR="00CD3353" w:rsidRPr="00CD3353" w:rsidRDefault="00CD3353" w:rsidP="00CD3353">
            <w:pPr>
              <w:widowControl w:val="0"/>
              <w:autoSpaceDE w:val="0"/>
              <w:autoSpaceDN w:val="0"/>
              <w:adjustRightInd w:val="0"/>
            </w:pPr>
            <w:r w:rsidRPr="00CD3353">
              <w:t>RCOND991, RCOND992,</w:t>
            </w:r>
          </w:p>
          <w:p w:rsidR="00CD3353" w:rsidRPr="00CD3353" w:rsidRDefault="00CD3353" w:rsidP="00CD3353">
            <w:pPr>
              <w:widowControl w:val="0"/>
              <w:autoSpaceDE w:val="0"/>
              <w:autoSpaceDN w:val="0"/>
              <w:adjustRightInd w:val="0"/>
            </w:pPr>
            <w:r w:rsidRPr="00CD3353">
              <w:t>RCOND993, RCOND994,</w:t>
            </w:r>
          </w:p>
          <w:p w:rsidR="00CD3353" w:rsidRPr="00CD3353" w:rsidRDefault="00CD3353" w:rsidP="00CD3353">
            <w:pPr>
              <w:widowControl w:val="0"/>
              <w:autoSpaceDE w:val="0"/>
              <w:autoSpaceDN w:val="0"/>
              <w:adjustRightInd w:val="0"/>
            </w:pPr>
            <w:r w:rsidRPr="00CD3353">
              <w:t>RCOND995, RCOND996, RCONHJ92, RCONHJ93, RCONS511</w:t>
            </w:r>
          </w:p>
        </w:tc>
      </w:tr>
      <w:tr w:rsidR="00CD3353" w:rsidRPr="00CD3353" w:rsidTr="00CD3353">
        <w:trPr>
          <w:trHeight w:val="936"/>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13</w:t>
            </w:r>
          </w:p>
        </w:tc>
        <w:tc>
          <w:tcPr>
            <w:tcW w:w="3780" w:type="dxa"/>
          </w:tcPr>
          <w:p w:rsidR="00CD3353" w:rsidRPr="00CD3353" w:rsidRDefault="00CD3353" w:rsidP="00CD3353">
            <w:pPr>
              <w:widowControl w:val="0"/>
              <w:autoSpaceDE w:val="0"/>
              <w:autoSpaceDN w:val="0"/>
              <w:adjustRightInd w:val="0"/>
            </w:pPr>
            <w:r w:rsidRPr="00CD3353">
              <w:t>Performance standby letters of credit and transaction-related contingent items</w:t>
            </w:r>
          </w:p>
        </w:tc>
        <w:tc>
          <w:tcPr>
            <w:tcW w:w="2965" w:type="dxa"/>
          </w:tcPr>
          <w:p w:rsidR="00CD3353" w:rsidRPr="00CD3353" w:rsidRDefault="00CD3353" w:rsidP="00CD3353">
            <w:pPr>
              <w:widowControl w:val="0"/>
              <w:autoSpaceDE w:val="0"/>
              <w:autoSpaceDN w:val="0"/>
              <w:adjustRightInd w:val="0"/>
            </w:pPr>
            <w:r w:rsidRPr="00CD3353">
              <w:t>RCOND997, RCOND998,</w:t>
            </w:r>
          </w:p>
          <w:p w:rsidR="00CD3353" w:rsidRPr="00CD3353" w:rsidRDefault="00CD3353" w:rsidP="00CD3353">
            <w:pPr>
              <w:widowControl w:val="0"/>
              <w:autoSpaceDE w:val="0"/>
              <w:autoSpaceDN w:val="0"/>
              <w:adjustRightInd w:val="0"/>
            </w:pPr>
            <w:r w:rsidRPr="00CD3353">
              <w:t>RCOND999, RCONG603,</w:t>
            </w:r>
          </w:p>
          <w:p w:rsidR="00CD3353" w:rsidRPr="00CD3353" w:rsidRDefault="00CD3353" w:rsidP="00CD3353">
            <w:pPr>
              <w:widowControl w:val="0"/>
              <w:autoSpaceDE w:val="0"/>
              <w:autoSpaceDN w:val="0"/>
              <w:adjustRightInd w:val="0"/>
            </w:pPr>
            <w:r w:rsidRPr="00CD3353">
              <w:t>RCONG604, RCONG605, RCONS512</w:t>
            </w:r>
          </w:p>
        </w:tc>
      </w:tr>
      <w:tr w:rsidR="00CD3353" w:rsidRPr="00CD3353" w:rsidTr="00CD3353">
        <w:trPr>
          <w:trHeight w:val="936"/>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14</w:t>
            </w:r>
          </w:p>
        </w:tc>
        <w:tc>
          <w:tcPr>
            <w:tcW w:w="3780" w:type="dxa"/>
          </w:tcPr>
          <w:p w:rsidR="00CD3353" w:rsidRPr="00CD3353" w:rsidRDefault="00CD3353" w:rsidP="00CD3353">
            <w:pPr>
              <w:widowControl w:val="0"/>
              <w:autoSpaceDE w:val="0"/>
              <w:autoSpaceDN w:val="0"/>
              <w:adjustRightInd w:val="0"/>
            </w:pPr>
            <w:r w:rsidRPr="00CD3353">
              <w:t>Commercial and similar letters of credit with an original maturity of one year or less</w:t>
            </w:r>
          </w:p>
        </w:tc>
        <w:tc>
          <w:tcPr>
            <w:tcW w:w="2965" w:type="dxa"/>
          </w:tcPr>
          <w:p w:rsidR="00CD3353" w:rsidRPr="00CD3353" w:rsidRDefault="00CD3353" w:rsidP="00CD3353">
            <w:pPr>
              <w:widowControl w:val="0"/>
              <w:autoSpaceDE w:val="0"/>
              <w:autoSpaceDN w:val="0"/>
              <w:adjustRightInd w:val="0"/>
            </w:pPr>
            <w:r w:rsidRPr="00CD3353">
              <w:t>RCONG606, RCONG607,</w:t>
            </w:r>
          </w:p>
          <w:p w:rsidR="00CD3353" w:rsidRPr="00CD3353" w:rsidRDefault="00CD3353" w:rsidP="00CD3353">
            <w:pPr>
              <w:widowControl w:val="0"/>
              <w:autoSpaceDE w:val="0"/>
              <w:autoSpaceDN w:val="0"/>
              <w:adjustRightInd w:val="0"/>
            </w:pPr>
            <w:r w:rsidRPr="00CD3353">
              <w:t>RCONG608, RCONG609, RCONG610, RCONG611, RCONHJ94, RCONHJ95, RCONS513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15</w:t>
            </w:r>
          </w:p>
        </w:tc>
        <w:tc>
          <w:tcPr>
            <w:tcW w:w="3780" w:type="dxa"/>
          </w:tcPr>
          <w:p w:rsidR="00CD3353" w:rsidRPr="00CD3353" w:rsidRDefault="00CD3353" w:rsidP="00CD3353">
            <w:pPr>
              <w:widowControl w:val="0"/>
              <w:autoSpaceDE w:val="0"/>
              <w:autoSpaceDN w:val="0"/>
              <w:adjustRightInd w:val="0"/>
            </w:pPr>
            <w:r w:rsidRPr="00CD3353">
              <w:t>Retained recourse on small business obligations sold with recourse</w:t>
            </w:r>
          </w:p>
        </w:tc>
        <w:tc>
          <w:tcPr>
            <w:tcW w:w="2965" w:type="dxa"/>
          </w:tcPr>
          <w:p w:rsidR="00CD3353" w:rsidRPr="00CD3353" w:rsidRDefault="00CD3353" w:rsidP="00CD3353">
            <w:pPr>
              <w:widowControl w:val="0"/>
              <w:autoSpaceDE w:val="0"/>
              <w:autoSpaceDN w:val="0"/>
              <w:adjustRightInd w:val="0"/>
            </w:pPr>
            <w:r w:rsidRPr="00CD3353">
              <w:t>RCONG612, RCONG613,</w:t>
            </w:r>
          </w:p>
          <w:p w:rsidR="00CD3353" w:rsidRPr="00CD3353" w:rsidRDefault="00CD3353" w:rsidP="00CD3353">
            <w:pPr>
              <w:widowControl w:val="0"/>
              <w:autoSpaceDE w:val="0"/>
              <w:autoSpaceDN w:val="0"/>
              <w:adjustRightInd w:val="0"/>
            </w:pPr>
            <w:r w:rsidRPr="00CD3353">
              <w:t>RCONG614, RCONG615, RCONG616, RCONG617, RCONS514</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16</w:t>
            </w:r>
          </w:p>
        </w:tc>
        <w:tc>
          <w:tcPr>
            <w:tcW w:w="3780" w:type="dxa"/>
          </w:tcPr>
          <w:p w:rsidR="00CD3353" w:rsidRPr="00CD3353" w:rsidRDefault="00CD3353" w:rsidP="00CD3353">
            <w:pPr>
              <w:widowControl w:val="0"/>
              <w:autoSpaceDE w:val="0"/>
              <w:autoSpaceDN w:val="0"/>
              <w:adjustRightInd w:val="0"/>
            </w:pPr>
            <w:r w:rsidRPr="00CD3353">
              <w:t>Repo-style transactions</w:t>
            </w:r>
          </w:p>
        </w:tc>
        <w:tc>
          <w:tcPr>
            <w:tcW w:w="2965" w:type="dxa"/>
          </w:tcPr>
          <w:p w:rsidR="00CD3353" w:rsidRPr="00CD3353" w:rsidRDefault="00CD3353" w:rsidP="00CD3353">
            <w:pPr>
              <w:widowControl w:val="0"/>
              <w:autoSpaceDE w:val="0"/>
              <w:autoSpaceDN w:val="0"/>
              <w:adjustRightInd w:val="0"/>
            </w:pPr>
            <w:r w:rsidRPr="00CD3353">
              <w:t>RCONH301, RCONH302</w:t>
            </w:r>
          </w:p>
          <w:p w:rsidR="00CD3353" w:rsidRPr="00CD3353" w:rsidRDefault="00CD3353" w:rsidP="00CD3353">
            <w:pPr>
              <w:widowControl w:val="0"/>
              <w:autoSpaceDE w:val="0"/>
              <w:autoSpaceDN w:val="0"/>
              <w:adjustRightInd w:val="0"/>
            </w:pPr>
            <w:r w:rsidRPr="00CD3353">
              <w:t>RCONS515, RCONS516, RCONS517, RCONS518, RCONS519, RCONS520, RCONS521, RCONS522, RCONS523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17</w:t>
            </w:r>
          </w:p>
        </w:tc>
        <w:tc>
          <w:tcPr>
            <w:tcW w:w="3780" w:type="dxa"/>
          </w:tcPr>
          <w:p w:rsidR="00CD3353" w:rsidRPr="00CD3353" w:rsidRDefault="00CD3353" w:rsidP="00CD3353">
            <w:pPr>
              <w:widowControl w:val="0"/>
              <w:autoSpaceDE w:val="0"/>
              <w:autoSpaceDN w:val="0"/>
              <w:adjustRightInd w:val="0"/>
            </w:pPr>
            <w:r w:rsidRPr="00CD3353">
              <w:t>All other off-balance sheet liabilities</w:t>
            </w:r>
          </w:p>
        </w:tc>
        <w:tc>
          <w:tcPr>
            <w:tcW w:w="2965" w:type="dxa"/>
          </w:tcPr>
          <w:p w:rsidR="00CD3353" w:rsidRPr="00CD3353" w:rsidRDefault="00CD3353" w:rsidP="00CD3353">
            <w:pPr>
              <w:widowControl w:val="0"/>
              <w:autoSpaceDE w:val="0"/>
              <w:autoSpaceDN w:val="0"/>
              <w:adjustRightInd w:val="0"/>
            </w:pPr>
            <w:r w:rsidRPr="00CD3353">
              <w:t>RCONG618, RCONG619,</w:t>
            </w:r>
          </w:p>
          <w:p w:rsidR="00CD3353" w:rsidRPr="00CD3353" w:rsidRDefault="00CD3353" w:rsidP="00CD3353">
            <w:pPr>
              <w:widowControl w:val="0"/>
              <w:autoSpaceDE w:val="0"/>
              <w:autoSpaceDN w:val="0"/>
              <w:adjustRightInd w:val="0"/>
            </w:pPr>
            <w:r w:rsidRPr="00CD3353">
              <w:t>RCONG620, RCONG621, RCONG622, RCONG623, RCONS524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18.a</w:t>
            </w:r>
          </w:p>
        </w:tc>
        <w:tc>
          <w:tcPr>
            <w:tcW w:w="3780" w:type="dxa"/>
          </w:tcPr>
          <w:p w:rsidR="00CD3353" w:rsidRPr="00CD3353" w:rsidRDefault="00CD3353" w:rsidP="00CD3353">
            <w:pPr>
              <w:widowControl w:val="0"/>
              <w:autoSpaceDE w:val="0"/>
              <w:autoSpaceDN w:val="0"/>
              <w:adjustRightInd w:val="0"/>
            </w:pPr>
            <w:r w:rsidRPr="00CD3353">
              <w:t>Unused commitments: Original maturity of one year or less</w:t>
            </w:r>
          </w:p>
        </w:tc>
        <w:tc>
          <w:tcPr>
            <w:tcW w:w="2965" w:type="dxa"/>
          </w:tcPr>
          <w:p w:rsidR="00CD3353" w:rsidRPr="00CD3353" w:rsidRDefault="00CD3353" w:rsidP="00CD3353">
            <w:pPr>
              <w:widowControl w:val="0"/>
              <w:autoSpaceDE w:val="0"/>
              <w:autoSpaceDN w:val="0"/>
              <w:adjustRightInd w:val="0"/>
            </w:pPr>
            <w:r w:rsidRPr="00CD3353">
              <w:t>RCONH303, RCONH304,</w:t>
            </w:r>
          </w:p>
          <w:p w:rsidR="00CD3353" w:rsidRPr="00CD3353" w:rsidRDefault="00CD3353" w:rsidP="00CD3353">
            <w:pPr>
              <w:widowControl w:val="0"/>
              <w:autoSpaceDE w:val="0"/>
              <w:autoSpaceDN w:val="0"/>
              <w:adjustRightInd w:val="0"/>
            </w:pPr>
            <w:r w:rsidRPr="00CD3353">
              <w:t>RCONHJ96, RCONHJ97, RCONS525, RCONS526, RCONS527, RCONS528, RCONS529, RCONS530, RCONS531</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18.b</w:t>
            </w:r>
          </w:p>
        </w:tc>
        <w:tc>
          <w:tcPr>
            <w:tcW w:w="3780" w:type="dxa"/>
          </w:tcPr>
          <w:p w:rsidR="00CD3353" w:rsidRPr="00CD3353" w:rsidRDefault="00CD3353" w:rsidP="00CD3353">
            <w:pPr>
              <w:widowControl w:val="0"/>
              <w:autoSpaceDE w:val="0"/>
              <w:autoSpaceDN w:val="0"/>
              <w:adjustRightInd w:val="0"/>
            </w:pPr>
            <w:r w:rsidRPr="00CD3353">
              <w:t>Unused commitments: Original maturity exceeding one year</w:t>
            </w:r>
          </w:p>
        </w:tc>
        <w:tc>
          <w:tcPr>
            <w:tcW w:w="2965" w:type="dxa"/>
          </w:tcPr>
          <w:p w:rsidR="00CD3353" w:rsidRPr="00CD3353" w:rsidRDefault="00CD3353" w:rsidP="00CD3353">
            <w:pPr>
              <w:widowControl w:val="0"/>
              <w:autoSpaceDE w:val="0"/>
              <w:autoSpaceDN w:val="0"/>
              <w:adjustRightInd w:val="0"/>
            </w:pPr>
            <w:r w:rsidRPr="00CD3353">
              <w:t>RCONG624, RCONG625,</w:t>
            </w:r>
          </w:p>
          <w:p w:rsidR="00CD3353" w:rsidRPr="00CD3353" w:rsidRDefault="00CD3353" w:rsidP="00CD3353">
            <w:pPr>
              <w:widowControl w:val="0"/>
              <w:autoSpaceDE w:val="0"/>
              <w:autoSpaceDN w:val="0"/>
              <w:adjustRightInd w:val="0"/>
            </w:pPr>
            <w:r w:rsidRPr="00CD3353">
              <w:t>RCONG626, RCONG627, RCONG628, RCONG629, RCONH307, RCONH308, RCONHJ98, RCONHJ99, RCONS539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19</w:t>
            </w:r>
          </w:p>
        </w:tc>
        <w:tc>
          <w:tcPr>
            <w:tcW w:w="3780" w:type="dxa"/>
          </w:tcPr>
          <w:p w:rsidR="00CD3353" w:rsidRPr="00CD3353" w:rsidRDefault="00CD3353" w:rsidP="00CD3353">
            <w:pPr>
              <w:widowControl w:val="0"/>
              <w:autoSpaceDE w:val="0"/>
              <w:autoSpaceDN w:val="0"/>
              <w:adjustRightInd w:val="0"/>
            </w:pPr>
            <w:r w:rsidRPr="00CD3353">
              <w:t>Unconditionally cancelable commitments</w:t>
            </w:r>
          </w:p>
        </w:tc>
        <w:tc>
          <w:tcPr>
            <w:tcW w:w="2965" w:type="dxa"/>
          </w:tcPr>
          <w:p w:rsidR="00CD3353" w:rsidRPr="00CD3353" w:rsidRDefault="00CD3353" w:rsidP="00CD3353">
            <w:pPr>
              <w:widowControl w:val="0"/>
              <w:autoSpaceDE w:val="0"/>
              <w:autoSpaceDN w:val="0"/>
              <w:adjustRightInd w:val="0"/>
            </w:pPr>
            <w:r w:rsidRPr="00CD3353">
              <w:t>RCONS540, RCONS541</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20</w:t>
            </w:r>
          </w:p>
        </w:tc>
        <w:tc>
          <w:tcPr>
            <w:tcW w:w="3780" w:type="dxa"/>
          </w:tcPr>
          <w:p w:rsidR="00CD3353" w:rsidRPr="00CD3353" w:rsidRDefault="00CD3353" w:rsidP="00CD3353">
            <w:pPr>
              <w:widowControl w:val="0"/>
              <w:autoSpaceDE w:val="0"/>
              <w:autoSpaceDN w:val="0"/>
              <w:adjustRightInd w:val="0"/>
            </w:pPr>
            <w:r w:rsidRPr="00CD3353">
              <w:t>Over-the-counter derivatives</w:t>
            </w:r>
          </w:p>
        </w:tc>
        <w:tc>
          <w:tcPr>
            <w:tcW w:w="2965" w:type="dxa"/>
          </w:tcPr>
          <w:p w:rsidR="00CD3353" w:rsidRPr="00CD3353" w:rsidRDefault="00CD3353" w:rsidP="00CD3353">
            <w:pPr>
              <w:widowControl w:val="0"/>
              <w:autoSpaceDE w:val="0"/>
              <w:autoSpaceDN w:val="0"/>
              <w:adjustRightInd w:val="0"/>
            </w:pPr>
            <w:r w:rsidRPr="00CD3353">
              <w:t>RCONH309, RCONH310, RCONHK00, RCONHK01, RCONS542, RCONS543, RCONS544, RCONS545, RCONS546, RCONS547, RCONS548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21</w:t>
            </w:r>
          </w:p>
        </w:tc>
        <w:tc>
          <w:tcPr>
            <w:tcW w:w="3780" w:type="dxa"/>
          </w:tcPr>
          <w:p w:rsidR="00CD3353" w:rsidRPr="00CD3353" w:rsidRDefault="00CD3353" w:rsidP="00CD3353">
            <w:pPr>
              <w:widowControl w:val="0"/>
              <w:autoSpaceDE w:val="0"/>
              <w:autoSpaceDN w:val="0"/>
              <w:adjustRightInd w:val="0"/>
            </w:pPr>
            <w:r w:rsidRPr="00CD3353">
              <w:t>Centrally cleared derivatives</w:t>
            </w:r>
          </w:p>
        </w:tc>
        <w:tc>
          <w:tcPr>
            <w:tcW w:w="2965" w:type="dxa"/>
          </w:tcPr>
          <w:p w:rsidR="00CD3353" w:rsidRPr="00CD3353" w:rsidRDefault="00CD3353" w:rsidP="00CD3353">
            <w:pPr>
              <w:widowControl w:val="0"/>
              <w:autoSpaceDE w:val="0"/>
              <w:autoSpaceDN w:val="0"/>
              <w:adjustRightInd w:val="0"/>
            </w:pPr>
            <w:r w:rsidRPr="00CD3353">
              <w:t>RCONS549, RCONS550, RCONS551, RCONS552, RCONS554, RCONS555, RCONS556, RCONS557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22</w:t>
            </w:r>
          </w:p>
        </w:tc>
        <w:tc>
          <w:tcPr>
            <w:tcW w:w="3780" w:type="dxa"/>
          </w:tcPr>
          <w:p w:rsidR="00CD3353" w:rsidRPr="00CD3353" w:rsidRDefault="00CD3353" w:rsidP="00CD3353">
            <w:pPr>
              <w:widowControl w:val="0"/>
              <w:autoSpaceDE w:val="0"/>
              <w:autoSpaceDN w:val="0"/>
              <w:adjustRightInd w:val="0"/>
            </w:pPr>
            <w:r w:rsidRPr="00CD3353">
              <w:t>Unsettled transactions (failed trades)</w:t>
            </w:r>
          </w:p>
        </w:tc>
        <w:tc>
          <w:tcPr>
            <w:tcW w:w="2965" w:type="dxa"/>
          </w:tcPr>
          <w:p w:rsidR="00CD3353" w:rsidRPr="00CD3353" w:rsidRDefault="00CD3353" w:rsidP="00CD3353">
            <w:pPr>
              <w:widowControl w:val="0"/>
              <w:autoSpaceDE w:val="0"/>
              <w:autoSpaceDN w:val="0"/>
              <w:adjustRightInd w:val="0"/>
            </w:pPr>
            <w:r w:rsidRPr="00CD3353">
              <w:t>RCONH191, RCONH193, RCONH194, RCONH195, RCONK196, RCONH197, RCONH198, RCONH199, RCONH200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23</w:t>
            </w:r>
          </w:p>
        </w:tc>
        <w:tc>
          <w:tcPr>
            <w:tcW w:w="3780" w:type="dxa"/>
          </w:tcPr>
          <w:p w:rsidR="00CD3353" w:rsidRPr="00CD3353" w:rsidRDefault="00CD3353" w:rsidP="00CD3353">
            <w:pPr>
              <w:widowControl w:val="0"/>
              <w:autoSpaceDE w:val="0"/>
              <w:autoSpaceDN w:val="0"/>
              <w:adjustRightInd w:val="0"/>
            </w:pPr>
            <w:r w:rsidRPr="00CD3353">
              <w:t xml:space="preserve">Total assets, derivatives, off-balance sheet items, and other items subject to risk weighting by risk-weight category </w:t>
            </w:r>
          </w:p>
        </w:tc>
        <w:tc>
          <w:tcPr>
            <w:tcW w:w="2965" w:type="dxa"/>
          </w:tcPr>
          <w:p w:rsidR="00CD3353" w:rsidRPr="00CD3353" w:rsidRDefault="00CD3353" w:rsidP="00CD3353">
            <w:pPr>
              <w:widowControl w:val="0"/>
              <w:autoSpaceDE w:val="0"/>
              <w:autoSpaceDN w:val="0"/>
              <w:adjustRightInd w:val="0"/>
            </w:pPr>
            <w:r w:rsidRPr="00CD3353">
              <w:t>RCONG630, RCONG631, RCONG632, RCONG633, RCONS558, RCONS559,</w:t>
            </w:r>
          </w:p>
          <w:p w:rsidR="00CD3353" w:rsidRPr="00CD3353" w:rsidRDefault="00CD3353" w:rsidP="00CD3353">
            <w:pPr>
              <w:widowControl w:val="0"/>
              <w:autoSpaceDE w:val="0"/>
              <w:autoSpaceDN w:val="0"/>
              <w:adjustRightInd w:val="0"/>
            </w:pPr>
            <w:r w:rsidRPr="00CD3353">
              <w:t>RCONS560, RCONS561,</w:t>
            </w:r>
          </w:p>
          <w:p w:rsidR="00CD3353" w:rsidRPr="00CD3353" w:rsidRDefault="00CD3353" w:rsidP="00CD3353">
            <w:pPr>
              <w:widowControl w:val="0"/>
              <w:autoSpaceDE w:val="0"/>
              <w:autoSpaceDN w:val="0"/>
              <w:adjustRightInd w:val="0"/>
            </w:pPr>
            <w:r w:rsidRPr="00CD3353">
              <w:t>RCONS563, RCONS564,</w:t>
            </w:r>
          </w:p>
          <w:p w:rsidR="00CD3353" w:rsidRPr="00CD3353" w:rsidRDefault="00CD3353" w:rsidP="00CD3353">
            <w:pPr>
              <w:widowControl w:val="0"/>
              <w:autoSpaceDE w:val="0"/>
              <w:autoSpaceDN w:val="0"/>
              <w:adjustRightInd w:val="0"/>
            </w:pPr>
            <w:r w:rsidRPr="00CD3353">
              <w:t>RCONS565, RCONS566, RCONS567, RCONS568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25</w:t>
            </w:r>
          </w:p>
        </w:tc>
        <w:tc>
          <w:tcPr>
            <w:tcW w:w="3780" w:type="dxa"/>
          </w:tcPr>
          <w:p w:rsidR="00CD3353" w:rsidRPr="00CD3353" w:rsidRDefault="00CD3353" w:rsidP="00CD3353">
            <w:pPr>
              <w:widowControl w:val="0"/>
              <w:autoSpaceDE w:val="0"/>
              <w:autoSpaceDN w:val="0"/>
              <w:adjustRightInd w:val="0"/>
            </w:pPr>
            <w:r w:rsidRPr="00CD3353">
              <w:t>Risk-weighted assets by risk-weight category</w:t>
            </w:r>
          </w:p>
        </w:tc>
        <w:tc>
          <w:tcPr>
            <w:tcW w:w="2965" w:type="dxa"/>
          </w:tcPr>
          <w:p w:rsidR="00CD3353" w:rsidRPr="00CD3353" w:rsidRDefault="00CD3353" w:rsidP="00CD3353">
            <w:pPr>
              <w:widowControl w:val="0"/>
              <w:autoSpaceDE w:val="0"/>
              <w:autoSpaceDN w:val="0"/>
              <w:adjustRightInd w:val="0"/>
            </w:pPr>
            <w:r w:rsidRPr="00CD3353">
              <w:t>RCONG634, RCONG635, RCONG636, RCONG637, RCONS569, RCONS570,</w:t>
            </w:r>
          </w:p>
          <w:p w:rsidR="00CD3353" w:rsidRPr="00CD3353" w:rsidRDefault="00CD3353" w:rsidP="00CD3353">
            <w:pPr>
              <w:widowControl w:val="0"/>
              <w:autoSpaceDE w:val="0"/>
              <w:autoSpaceDN w:val="0"/>
              <w:adjustRightInd w:val="0"/>
            </w:pPr>
            <w:r w:rsidRPr="00CD3353">
              <w:t>RCONS571, RCONS572,</w:t>
            </w:r>
          </w:p>
          <w:p w:rsidR="00CD3353" w:rsidRPr="00CD3353" w:rsidRDefault="00CD3353" w:rsidP="00CD3353">
            <w:pPr>
              <w:widowControl w:val="0"/>
              <w:autoSpaceDE w:val="0"/>
              <w:autoSpaceDN w:val="0"/>
              <w:adjustRightInd w:val="0"/>
            </w:pPr>
            <w:r w:rsidRPr="00CD3353">
              <w:t>RCONS574, RCONS575,</w:t>
            </w:r>
          </w:p>
          <w:p w:rsidR="00CD3353" w:rsidRPr="00CD3353" w:rsidRDefault="00CD3353" w:rsidP="00CD3353">
            <w:pPr>
              <w:widowControl w:val="0"/>
              <w:autoSpaceDE w:val="0"/>
              <w:autoSpaceDN w:val="0"/>
              <w:adjustRightInd w:val="0"/>
            </w:pPr>
            <w:r w:rsidRPr="00CD3353">
              <w:t>RCONS576, RCONS577, RCONS578, RCONS579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M.1</w:t>
            </w:r>
          </w:p>
        </w:tc>
        <w:tc>
          <w:tcPr>
            <w:tcW w:w="3780" w:type="dxa"/>
          </w:tcPr>
          <w:p w:rsidR="00CD3353" w:rsidRPr="00CD3353" w:rsidRDefault="00CD3353" w:rsidP="00CD3353">
            <w:pPr>
              <w:widowControl w:val="0"/>
              <w:autoSpaceDE w:val="0"/>
              <w:autoSpaceDN w:val="0"/>
              <w:adjustRightInd w:val="0"/>
            </w:pPr>
            <w:r w:rsidRPr="00CD3353">
              <w:t>Current credit exposure across all derivative contracts covered by the regulatory capital rules</w:t>
            </w:r>
          </w:p>
        </w:tc>
        <w:tc>
          <w:tcPr>
            <w:tcW w:w="2965" w:type="dxa"/>
          </w:tcPr>
          <w:p w:rsidR="00CD3353" w:rsidRPr="00CD3353" w:rsidRDefault="00CD3353" w:rsidP="00CD3353">
            <w:pPr>
              <w:widowControl w:val="0"/>
              <w:autoSpaceDE w:val="0"/>
              <w:autoSpaceDN w:val="0"/>
              <w:adjustRightInd w:val="0"/>
            </w:pPr>
            <w:r w:rsidRPr="00CD3353">
              <w:t>RCONG642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M.2.a</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Interest rate</w:t>
            </w:r>
          </w:p>
        </w:tc>
        <w:tc>
          <w:tcPr>
            <w:tcW w:w="2965" w:type="dxa"/>
          </w:tcPr>
          <w:p w:rsidR="00CD3353" w:rsidRPr="00CD3353" w:rsidRDefault="00CD3353" w:rsidP="00CD3353">
            <w:pPr>
              <w:widowControl w:val="0"/>
              <w:autoSpaceDE w:val="0"/>
              <w:autoSpaceDN w:val="0"/>
              <w:adjustRightInd w:val="0"/>
            </w:pPr>
            <w:r w:rsidRPr="00CD3353">
              <w:t>RCONS582, RCONS583, RCONS584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M.2.b</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Foreign exchange rate and gold</w:t>
            </w:r>
          </w:p>
        </w:tc>
        <w:tc>
          <w:tcPr>
            <w:tcW w:w="2965" w:type="dxa"/>
          </w:tcPr>
          <w:p w:rsidR="00CD3353" w:rsidRPr="00CD3353" w:rsidRDefault="00CD3353" w:rsidP="00CD3353">
            <w:pPr>
              <w:widowControl w:val="0"/>
              <w:autoSpaceDE w:val="0"/>
              <w:autoSpaceDN w:val="0"/>
              <w:adjustRightInd w:val="0"/>
            </w:pPr>
            <w:r w:rsidRPr="00CD3353">
              <w:t>RCONS585, RCONS586, RCONS587</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M.2.c</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Credit (investment grade reference asset)</w:t>
            </w:r>
          </w:p>
        </w:tc>
        <w:tc>
          <w:tcPr>
            <w:tcW w:w="2965" w:type="dxa"/>
          </w:tcPr>
          <w:p w:rsidR="00CD3353" w:rsidRPr="00CD3353" w:rsidRDefault="00CD3353" w:rsidP="00CD3353">
            <w:pPr>
              <w:widowControl w:val="0"/>
              <w:autoSpaceDE w:val="0"/>
              <w:autoSpaceDN w:val="0"/>
              <w:adjustRightInd w:val="0"/>
            </w:pPr>
            <w:r w:rsidRPr="00CD3353">
              <w:t>RCONS588, RCONS589, RCONS590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M.2.d</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Credit (non-investment grade reference asset)</w:t>
            </w:r>
          </w:p>
        </w:tc>
        <w:tc>
          <w:tcPr>
            <w:tcW w:w="2965" w:type="dxa"/>
          </w:tcPr>
          <w:p w:rsidR="00CD3353" w:rsidRPr="00CD3353" w:rsidRDefault="00CD3353" w:rsidP="00CD3353">
            <w:pPr>
              <w:widowControl w:val="0"/>
              <w:autoSpaceDE w:val="0"/>
              <w:autoSpaceDN w:val="0"/>
              <w:adjustRightInd w:val="0"/>
            </w:pPr>
            <w:r w:rsidRPr="00CD3353">
              <w:t>RCONS591, RCONS592, RCONS593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M.2.e</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Equity</w:t>
            </w:r>
          </w:p>
        </w:tc>
        <w:tc>
          <w:tcPr>
            <w:tcW w:w="2965" w:type="dxa"/>
          </w:tcPr>
          <w:p w:rsidR="00CD3353" w:rsidRPr="00CD3353" w:rsidRDefault="00CD3353" w:rsidP="00CD3353">
            <w:pPr>
              <w:widowControl w:val="0"/>
              <w:autoSpaceDE w:val="0"/>
              <w:autoSpaceDN w:val="0"/>
              <w:adjustRightInd w:val="0"/>
            </w:pPr>
            <w:r w:rsidRPr="00CD3353">
              <w:t>RCONS594, RCONS595, RCONS596</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M.2.f</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 Precious metals (except gold)</w:t>
            </w:r>
          </w:p>
        </w:tc>
        <w:tc>
          <w:tcPr>
            <w:tcW w:w="2965" w:type="dxa"/>
          </w:tcPr>
          <w:p w:rsidR="00CD3353" w:rsidRPr="00CD3353" w:rsidRDefault="00CD3353" w:rsidP="00CD3353">
            <w:pPr>
              <w:widowControl w:val="0"/>
              <w:autoSpaceDE w:val="0"/>
              <w:autoSpaceDN w:val="0"/>
              <w:adjustRightInd w:val="0"/>
            </w:pPr>
            <w:r w:rsidRPr="00CD3353">
              <w:t>RCONS597, RCONS598, RCONS599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M.2.g</w:t>
            </w:r>
          </w:p>
        </w:tc>
        <w:tc>
          <w:tcPr>
            <w:tcW w:w="3780" w:type="dxa"/>
          </w:tcPr>
          <w:p w:rsidR="00CD3353" w:rsidRPr="00CD3353" w:rsidRDefault="00CD3353" w:rsidP="00CD3353">
            <w:pPr>
              <w:widowControl w:val="0"/>
              <w:autoSpaceDE w:val="0"/>
              <w:autoSpaceDN w:val="0"/>
              <w:adjustRightInd w:val="0"/>
            </w:pPr>
            <w:r w:rsidRPr="00CD3353">
              <w:t>Notional principal amounts of over-the-counter derivative contracts:</w:t>
            </w:r>
          </w:p>
        </w:tc>
        <w:tc>
          <w:tcPr>
            <w:tcW w:w="2965" w:type="dxa"/>
          </w:tcPr>
          <w:p w:rsidR="00CD3353" w:rsidRPr="00CD3353" w:rsidRDefault="00CD3353" w:rsidP="00CD3353">
            <w:pPr>
              <w:widowControl w:val="0"/>
              <w:autoSpaceDE w:val="0"/>
              <w:autoSpaceDN w:val="0"/>
              <w:adjustRightInd w:val="0"/>
            </w:pPr>
            <w:r w:rsidRPr="00CD3353">
              <w:t>RCONS600, RCONS601, RCONS602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M.3.a</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Interest rate</w:t>
            </w:r>
          </w:p>
        </w:tc>
        <w:tc>
          <w:tcPr>
            <w:tcW w:w="2965" w:type="dxa"/>
          </w:tcPr>
          <w:p w:rsidR="00CD3353" w:rsidRPr="00CD3353" w:rsidRDefault="00CD3353" w:rsidP="00CD3353">
            <w:pPr>
              <w:widowControl w:val="0"/>
              <w:autoSpaceDE w:val="0"/>
              <w:autoSpaceDN w:val="0"/>
              <w:adjustRightInd w:val="0"/>
            </w:pPr>
            <w:r w:rsidRPr="00CD3353">
              <w:t>RCONS603, RCONS604, RCONS605</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M.3.b</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Foreign exchange rate and gold</w:t>
            </w:r>
          </w:p>
        </w:tc>
        <w:tc>
          <w:tcPr>
            <w:tcW w:w="2965" w:type="dxa"/>
          </w:tcPr>
          <w:p w:rsidR="00CD3353" w:rsidRPr="00CD3353" w:rsidRDefault="00CD3353" w:rsidP="00CD3353">
            <w:pPr>
              <w:widowControl w:val="0"/>
              <w:autoSpaceDE w:val="0"/>
              <w:autoSpaceDN w:val="0"/>
              <w:adjustRightInd w:val="0"/>
            </w:pPr>
            <w:r w:rsidRPr="00CD3353">
              <w:t>RCONS606, RCONS607, RCONS608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M.3.c</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Credit (investment grade reference asset)</w:t>
            </w:r>
          </w:p>
        </w:tc>
        <w:tc>
          <w:tcPr>
            <w:tcW w:w="2965" w:type="dxa"/>
          </w:tcPr>
          <w:p w:rsidR="00CD3353" w:rsidRPr="00CD3353" w:rsidRDefault="00CD3353" w:rsidP="00CD3353">
            <w:pPr>
              <w:widowControl w:val="0"/>
              <w:autoSpaceDE w:val="0"/>
              <w:autoSpaceDN w:val="0"/>
              <w:adjustRightInd w:val="0"/>
            </w:pPr>
            <w:r w:rsidRPr="00CD3353">
              <w:t>RCONS609, RCONS610, RCONS611</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M.3.d</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Credit (non-investment grade reference asset)</w:t>
            </w:r>
          </w:p>
        </w:tc>
        <w:tc>
          <w:tcPr>
            <w:tcW w:w="2965" w:type="dxa"/>
          </w:tcPr>
          <w:p w:rsidR="00CD3353" w:rsidRPr="00CD3353" w:rsidRDefault="00CD3353" w:rsidP="00CD3353">
            <w:pPr>
              <w:widowControl w:val="0"/>
              <w:autoSpaceDE w:val="0"/>
              <w:autoSpaceDN w:val="0"/>
              <w:adjustRightInd w:val="0"/>
            </w:pPr>
            <w:r w:rsidRPr="00CD3353">
              <w:t>RCONS612, RCONS613, RCONS614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M.3.e</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Equity</w:t>
            </w:r>
          </w:p>
        </w:tc>
        <w:tc>
          <w:tcPr>
            <w:tcW w:w="2965" w:type="dxa"/>
          </w:tcPr>
          <w:p w:rsidR="00CD3353" w:rsidRPr="00CD3353" w:rsidRDefault="00CD3353" w:rsidP="00CD3353">
            <w:pPr>
              <w:widowControl w:val="0"/>
              <w:autoSpaceDE w:val="0"/>
              <w:autoSpaceDN w:val="0"/>
              <w:adjustRightInd w:val="0"/>
            </w:pPr>
            <w:r w:rsidRPr="00CD3353">
              <w:t>RCONS615, RCONS616, RCONS617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M.3.f</w:t>
            </w:r>
          </w:p>
        </w:tc>
        <w:tc>
          <w:tcPr>
            <w:tcW w:w="3780" w:type="dxa"/>
          </w:tcPr>
          <w:p w:rsidR="00CD3353" w:rsidRPr="00CD3353" w:rsidRDefault="00CD3353" w:rsidP="00CD3353">
            <w:pPr>
              <w:widowControl w:val="0"/>
              <w:autoSpaceDE w:val="0"/>
              <w:autoSpaceDN w:val="0"/>
              <w:adjustRightInd w:val="0"/>
            </w:pPr>
            <w:r w:rsidRPr="00CD3353">
              <w:t>Notional principal amounts of centrally cleared derivative contracts: Precious metals (except gold)</w:t>
            </w:r>
          </w:p>
        </w:tc>
        <w:tc>
          <w:tcPr>
            <w:tcW w:w="2965" w:type="dxa"/>
          </w:tcPr>
          <w:p w:rsidR="00CD3353" w:rsidRPr="00CD3353" w:rsidRDefault="00CD3353" w:rsidP="00CD3353">
            <w:pPr>
              <w:widowControl w:val="0"/>
              <w:autoSpaceDE w:val="0"/>
              <w:autoSpaceDN w:val="0"/>
              <w:adjustRightInd w:val="0"/>
            </w:pPr>
            <w:r w:rsidRPr="00CD3353">
              <w:t>RCONS618, RCONS619, RCONS620</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RC-R, Part II</w:t>
            </w:r>
          </w:p>
        </w:tc>
        <w:tc>
          <w:tcPr>
            <w:tcW w:w="1465" w:type="dxa"/>
            <w:noWrap/>
          </w:tcPr>
          <w:p w:rsidR="00CD3353" w:rsidRPr="00CD3353" w:rsidRDefault="00CD3353" w:rsidP="00CD3353">
            <w:pPr>
              <w:widowControl w:val="0"/>
              <w:autoSpaceDE w:val="0"/>
              <w:autoSpaceDN w:val="0"/>
              <w:adjustRightInd w:val="0"/>
            </w:pPr>
            <w:r w:rsidRPr="00CD3353">
              <w:t>M.3.g</w:t>
            </w:r>
          </w:p>
        </w:tc>
        <w:tc>
          <w:tcPr>
            <w:tcW w:w="3780" w:type="dxa"/>
          </w:tcPr>
          <w:p w:rsidR="00CD3353" w:rsidRPr="00CD3353" w:rsidRDefault="00CD3353" w:rsidP="00CD3353">
            <w:pPr>
              <w:widowControl w:val="0"/>
              <w:autoSpaceDE w:val="0"/>
              <w:autoSpaceDN w:val="0"/>
              <w:adjustRightInd w:val="0"/>
            </w:pPr>
            <w:r w:rsidRPr="00CD3353">
              <w:t>OtherNotional principal amounts of centrally cleared derivative contracts: Other</w:t>
            </w:r>
          </w:p>
        </w:tc>
        <w:tc>
          <w:tcPr>
            <w:tcW w:w="2965" w:type="dxa"/>
          </w:tcPr>
          <w:p w:rsidR="00CD3353" w:rsidRPr="00CD3353" w:rsidRDefault="00CD3353" w:rsidP="00CD3353">
            <w:pPr>
              <w:widowControl w:val="0"/>
              <w:autoSpaceDE w:val="0"/>
              <w:autoSpaceDN w:val="0"/>
              <w:adjustRightInd w:val="0"/>
            </w:pPr>
            <w:r w:rsidRPr="00CD3353">
              <w:t>RCONS621, RCONS622, RCONS623</w:t>
            </w:r>
          </w:p>
        </w:tc>
      </w:tr>
    </w:tbl>
    <w:p w:rsidR="00CD3353" w:rsidRPr="00CD3353" w:rsidRDefault="00CD3353" w:rsidP="00CD3353">
      <w:pPr>
        <w:widowControl w:val="0"/>
        <w:autoSpaceDE w:val="0"/>
        <w:autoSpaceDN w:val="0"/>
        <w:adjustRightInd w:val="0"/>
        <w:rPr>
          <w:bCs/>
          <w:color w:val="000000"/>
          <w:u w:val="single"/>
        </w:rPr>
      </w:pPr>
    </w:p>
    <w:p w:rsidR="00CD3353" w:rsidRPr="00CD3353" w:rsidRDefault="00CD3353" w:rsidP="00CD3353">
      <w:pPr>
        <w:widowControl w:val="0"/>
        <w:autoSpaceDE w:val="0"/>
        <w:autoSpaceDN w:val="0"/>
        <w:adjustRightInd w:val="0"/>
      </w:pPr>
      <w:r w:rsidRPr="00CD3353">
        <w:t>The following data items on Schedule RC-T are currently collected on the FFIEC 051 quarterly for institutions with total fiduciary assets greater than $250 million (as of the preceding December 31) or with gross fiduciary and related services income greater than 10 percent of revenue (net interest income plus noninterest income) for the preceding calendar year.</w:t>
      </w:r>
    </w:p>
    <w:p w:rsidR="00CD3353" w:rsidRPr="00CD3353" w:rsidRDefault="00CD3353" w:rsidP="00CD3353">
      <w:pPr>
        <w:widowControl w:val="0"/>
        <w:autoSpaceDE w:val="0"/>
        <w:autoSpaceDN w:val="0"/>
        <w:adjustRightInd w:val="0"/>
      </w:pPr>
    </w:p>
    <w:p w:rsidR="00CD3353" w:rsidRPr="00CD3353" w:rsidRDefault="00CD3353" w:rsidP="00CD3353">
      <w:pPr>
        <w:widowControl w:val="0"/>
        <w:autoSpaceDE w:val="0"/>
        <w:autoSpaceDN w:val="0"/>
        <w:adjustRightInd w:val="0"/>
      </w:pPr>
      <w:r w:rsidRPr="00CD3353">
        <w:t>The data items are proposed to be collected semiannually in the June and December reports only for institutions with total fiduciary assets greater than $250 million but less than or equal to $1 billion (as of the preceding December 31) that do not meet the fiduciary income test for quarterly reporting.</w:t>
      </w:r>
    </w:p>
    <w:p w:rsidR="00CD3353" w:rsidRPr="00CD3353" w:rsidRDefault="00CD3353" w:rsidP="00CD3353">
      <w:pPr>
        <w:widowControl w:val="0"/>
        <w:autoSpaceDE w:val="0"/>
        <w:autoSpaceDN w:val="0"/>
        <w:adjustRightInd w:val="0"/>
      </w:pPr>
    </w:p>
    <w:tbl>
      <w:tblPr>
        <w:tblStyle w:val="TableGrid4"/>
        <w:tblW w:w="0" w:type="auto"/>
        <w:tblLayout w:type="fixed"/>
        <w:tblLook w:val="04A0" w:firstRow="1" w:lastRow="0" w:firstColumn="1" w:lastColumn="0" w:noHBand="0" w:noVBand="1"/>
      </w:tblPr>
      <w:tblGrid>
        <w:gridCol w:w="1140"/>
        <w:gridCol w:w="1105"/>
        <w:gridCol w:w="4140"/>
        <w:gridCol w:w="2965"/>
      </w:tblGrid>
      <w:tr w:rsidR="00CD3353" w:rsidRPr="00CD3353" w:rsidTr="00CD3353">
        <w:trPr>
          <w:trHeight w:val="312"/>
          <w:tblHeader/>
        </w:trPr>
        <w:tc>
          <w:tcPr>
            <w:tcW w:w="1140" w:type="dxa"/>
            <w:noWrap/>
          </w:tcPr>
          <w:p w:rsidR="00CD3353" w:rsidRPr="00CD3353" w:rsidRDefault="00CD3353" w:rsidP="00CD3353">
            <w:pPr>
              <w:widowControl w:val="0"/>
              <w:autoSpaceDE w:val="0"/>
              <w:autoSpaceDN w:val="0"/>
              <w:adjustRightInd w:val="0"/>
              <w:rPr>
                <w:b/>
                <w:bCs/>
                <w:color w:val="000000"/>
              </w:rPr>
            </w:pPr>
            <w:r w:rsidRPr="00CD3353">
              <w:rPr>
                <w:b/>
                <w:bCs/>
                <w:color w:val="000000"/>
              </w:rPr>
              <w:t>Schedule</w:t>
            </w:r>
          </w:p>
        </w:tc>
        <w:tc>
          <w:tcPr>
            <w:tcW w:w="1105" w:type="dxa"/>
            <w:noWrap/>
          </w:tcPr>
          <w:p w:rsidR="00CD3353" w:rsidRPr="00CD3353" w:rsidRDefault="00CD3353" w:rsidP="00CD3353">
            <w:pPr>
              <w:widowControl w:val="0"/>
              <w:autoSpaceDE w:val="0"/>
              <w:autoSpaceDN w:val="0"/>
              <w:adjustRightInd w:val="0"/>
              <w:rPr>
                <w:b/>
                <w:bCs/>
                <w:color w:val="000000"/>
              </w:rPr>
            </w:pPr>
            <w:r w:rsidRPr="00CD3353">
              <w:rPr>
                <w:b/>
                <w:bCs/>
                <w:color w:val="000000"/>
              </w:rPr>
              <w:t>Item</w:t>
            </w:r>
          </w:p>
        </w:tc>
        <w:tc>
          <w:tcPr>
            <w:tcW w:w="4140" w:type="dxa"/>
          </w:tcPr>
          <w:p w:rsidR="00CD3353" w:rsidRPr="00CD3353" w:rsidRDefault="00CD3353" w:rsidP="00CD3353">
            <w:pPr>
              <w:widowControl w:val="0"/>
              <w:autoSpaceDE w:val="0"/>
              <w:autoSpaceDN w:val="0"/>
              <w:adjustRightInd w:val="0"/>
              <w:rPr>
                <w:b/>
                <w:bCs/>
                <w:color w:val="000000"/>
              </w:rPr>
            </w:pPr>
            <w:r w:rsidRPr="00CD3353">
              <w:rPr>
                <w:b/>
                <w:bCs/>
                <w:color w:val="000000"/>
              </w:rPr>
              <w:t>Item Name</w:t>
            </w:r>
          </w:p>
        </w:tc>
        <w:tc>
          <w:tcPr>
            <w:tcW w:w="2965" w:type="dxa"/>
          </w:tcPr>
          <w:p w:rsidR="00CD3353" w:rsidRPr="00CD3353" w:rsidRDefault="00CD3353" w:rsidP="00CD3353">
            <w:pPr>
              <w:widowControl w:val="0"/>
              <w:autoSpaceDE w:val="0"/>
              <w:autoSpaceDN w:val="0"/>
              <w:adjustRightInd w:val="0"/>
              <w:rPr>
                <w:b/>
                <w:bCs/>
                <w:color w:val="000000"/>
              </w:rPr>
            </w:pPr>
            <w:r w:rsidRPr="00CD3353">
              <w:rPr>
                <w:b/>
                <w:bCs/>
                <w:color w:val="000000"/>
              </w:rPr>
              <w:t>MDRM Number(s)</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4</w:t>
            </w:r>
          </w:p>
        </w:tc>
        <w:tc>
          <w:tcPr>
            <w:tcW w:w="4140" w:type="dxa"/>
          </w:tcPr>
          <w:p w:rsidR="00CD3353" w:rsidRPr="00CD3353" w:rsidRDefault="00CD3353" w:rsidP="00CD3353">
            <w:pPr>
              <w:widowControl w:val="0"/>
              <w:autoSpaceDE w:val="0"/>
              <w:autoSpaceDN w:val="0"/>
              <w:adjustRightInd w:val="0"/>
            </w:pPr>
            <w:r w:rsidRPr="00CD3353">
              <w:t>Fiduciary and Related Assets: Personal trust and agency accounts</w:t>
            </w:r>
          </w:p>
        </w:tc>
        <w:tc>
          <w:tcPr>
            <w:tcW w:w="2965" w:type="dxa"/>
          </w:tcPr>
          <w:p w:rsidR="00CD3353" w:rsidRPr="00CD3353" w:rsidRDefault="00CD3353" w:rsidP="00CD3353">
            <w:pPr>
              <w:widowControl w:val="0"/>
              <w:autoSpaceDE w:val="0"/>
              <w:autoSpaceDN w:val="0"/>
              <w:adjustRightInd w:val="0"/>
            </w:pPr>
            <w:r w:rsidRPr="00CD3353">
              <w:t>RCONB868, RCONB869, RCONB870, RCONB871</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5.a</w:t>
            </w:r>
          </w:p>
          <w:p w:rsidR="00CD3353" w:rsidRPr="00CD3353" w:rsidRDefault="00CD3353" w:rsidP="00CD3353">
            <w:pPr>
              <w:widowControl w:val="0"/>
              <w:autoSpaceDE w:val="0"/>
              <w:autoSpaceDN w:val="0"/>
              <w:adjustRightInd w:val="0"/>
            </w:pPr>
          </w:p>
        </w:tc>
        <w:tc>
          <w:tcPr>
            <w:tcW w:w="4140" w:type="dxa"/>
          </w:tcPr>
          <w:p w:rsidR="00CD3353" w:rsidRPr="00CD3353" w:rsidRDefault="00CD3353" w:rsidP="00CD3353">
            <w:pPr>
              <w:widowControl w:val="0"/>
              <w:autoSpaceDE w:val="0"/>
              <w:autoSpaceDN w:val="0"/>
              <w:adjustRightInd w:val="0"/>
            </w:pPr>
            <w:r w:rsidRPr="00CD3353">
              <w:t>Fiduciary and Related Assets: Employee benefit - defined contribution</w:t>
            </w:r>
          </w:p>
        </w:tc>
        <w:tc>
          <w:tcPr>
            <w:tcW w:w="2965" w:type="dxa"/>
          </w:tcPr>
          <w:p w:rsidR="00CD3353" w:rsidRPr="00CD3353" w:rsidRDefault="00CD3353" w:rsidP="00CD3353">
            <w:pPr>
              <w:widowControl w:val="0"/>
              <w:autoSpaceDE w:val="0"/>
              <w:autoSpaceDN w:val="0"/>
              <w:adjustRightInd w:val="0"/>
            </w:pPr>
            <w:r w:rsidRPr="00CD3353">
              <w:t>RCONB872, RCONB873, RCONB874, RCONB875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5.b</w:t>
            </w:r>
          </w:p>
          <w:p w:rsidR="00CD3353" w:rsidRPr="00CD3353" w:rsidRDefault="00CD3353" w:rsidP="00CD3353">
            <w:pPr>
              <w:widowControl w:val="0"/>
              <w:autoSpaceDE w:val="0"/>
              <w:autoSpaceDN w:val="0"/>
              <w:adjustRightInd w:val="0"/>
            </w:pPr>
          </w:p>
        </w:tc>
        <w:tc>
          <w:tcPr>
            <w:tcW w:w="4140" w:type="dxa"/>
          </w:tcPr>
          <w:p w:rsidR="00CD3353" w:rsidRPr="00CD3353" w:rsidRDefault="00CD3353" w:rsidP="00CD3353">
            <w:pPr>
              <w:widowControl w:val="0"/>
              <w:autoSpaceDE w:val="0"/>
              <w:autoSpaceDN w:val="0"/>
              <w:adjustRightInd w:val="0"/>
            </w:pPr>
            <w:r w:rsidRPr="00CD3353">
              <w:t>Fiduciary and Related Assets: Employee benefit - defined benefit</w:t>
            </w:r>
          </w:p>
        </w:tc>
        <w:tc>
          <w:tcPr>
            <w:tcW w:w="2965" w:type="dxa"/>
          </w:tcPr>
          <w:p w:rsidR="00CD3353" w:rsidRPr="00CD3353" w:rsidRDefault="00CD3353" w:rsidP="00CD3353">
            <w:pPr>
              <w:widowControl w:val="0"/>
              <w:autoSpaceDE w:val="0"/>
              <w:autoSpaceDN w:val="0"/>
              <w:adjustRightInd w:val="0"/>
            </w:pPr>
            <w:r w:rsidRPr="00CD3353">
              <w:t>RCONB876, RCONB877, RCONB878, RCONB879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5.c</w:t>
            </w:r>
          </w:p>
        </w:tc>
        <w:tc>
          <w:tcPr>
            <w:tcW w:w="4140" w:type="dxa"/>
          </w:tcPr>
          <w:p w:rsidR="00CD3353" w:rsidRPr="00CD3353" w:rsidRDefault="00CD3353" w:rsidP="00CD3353">
            <w:pPr>
              <w:widowControl w:val="0"/>
              <w:autoSpaceDE w:val="0"/>
              <w:autoSpaceDN w:val="0"/>
              <w:adjustRightInd w:val="0"/>
            </w:pPr>
            <w:r w:rsidRPr="00CD3353">
              <w:t>Fiduciary and Related Assets: Other employee benefit and retirement-related accounts</w:t>
            </w:r>
          </w:p>
        </w:tc>
        <w:tc>
          <w:tcPr>
            <w:tcW w:w="2965" w:type="dxa"/>
          </w:tcPr>
          <w:p w:rsidR="00CD3353" w:rsidRPr="00CD3353" w:rsidRDefault="00CD3353" w:rsidP="00CD3353">
            <w:pPr>
              <w:widowControl w:val="0"/>
              <w:autoSpaceDE w:val="0"/>
              <w:autoSpaceDN w:val="0"/>
              <w:adjustRightInd w:val="0"/>
            </w:pPr>
            <w:r w:rsidRPr="00CD3353">
              <w:t>RCONB880, RCONB881, RCONB882, RCONB883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6</w:t>
            </w:r>
          </w:p>
        </w:tc>
        <w:tc>
          <w:tcPr>
            <w:tcW w:w="4140" w:type="dxa"/>
          </w:tcPr>
          <w:p w:rsidR="00CD3353" w:rsidRPr="00CD3353" w:rsidRDefault="00CD3353" w:rsidP="00CD3353">
            <w:pPr>
              <w:widowControl w:val="0"/>
              <w:autoSpaceDE w:val="0"/>
              <w:autoSpaceDN w:val="0"/>
              <w:adjustRightInd w:val="0"/>
            </w:pPr>
            <w:r w:rsidRPr="00CD3353">
              <w:t>Fiduciary and Related Assets: Corporate trust and agency accounts</w:t>
            </w:r>
          </w:p>
        </w:tc>
        <w:tc>
          <w:tcPr>
            <w:tcW w:w="2965" w:type="dxa"/>
          </w:tcPr>
          <w:p w:rsidR="00CD3353" w:rsidRPr="00CD3353" w:rsidRDefault="00CD3353" w:rsidP="00CD3353">
            <w:pPr>
              <w:widowControl w:val="0"/>
              <w:autoSpaceDE w:val="0"/>
              <w:autoSpaceDN w:val="0"/>
              <w:adjustRightInd w:val="0"/>
            </w:pPr>
            <w:r w:rsidRPr="00CD3353">
              <w:t>RCONB884, RCONB885, RCONC001, RCONC002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7</w:t>
            </w:r>
          </w:p>
        </w:tc>
        <w:tc>
          <w:tcPr>
            <w:tcW w:w="4140" w:type="dxa"/>
          </w:tcPr>
          <w:p w:rsidR="00CD3353" w:rsidRPr="00CD3353" w:rsidRDefault="00CD3353" w:rsidP="00CD3353">
            <w:pPr>
              <w:widowControl w:val="0"/>
              <w:autoSpaceDE w:val="0"/>
              <w:autoSpaceDN w:val="0"/>
              <w:adjustRightInd w:val="0"/>
            </w:pPr>
            <w:r w:rsidRPr="00CD3353">
              <w:t>Fiduciary and Related Assets: Investment management and investment advisory agency accounts</w:t>
            </w:r>
          </w:p>
        </w:tc>
        <w:tc>
          <w:tcPr>
            <w:tcW w:w="2965" w:type="dxa"/>
          </w:tcPr>
          <w:p w:rsidR="00CD3353" w:rsidRPr="00CD3353" w:rsidRDefault="00CD3353" w:rsidP="00CD3353">
            <w:pPr>
              <w:widowControl w:val="0"/>
              <w:autoSpaceDE w:val="0"/>
              <w:autoSpaceDN w:val="0"/>
              <w:adjustRightInd w:val="0"/>
            </w:pPr>
            <w:r w:rsidRPr="00CD3353">
              <w:t>RCONB886, RCONB888, RCONJ253, RCONJ254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8</w:t>
            </w:r>
          </w:p>
        </w:tc>
        <w:tc>
          <w:tcPr>
            <w:tcW w:w="4140" w:type="dxa"/>
          </w:tcPr>
          <w:p w:rsidR="00CD3353" w:rsidRPr="00CD3353" w:rsidRDefault="00CD3353" w:rsidP="00CD3353">
            <w:pPr>
              <w:widowControl w:val="0"/>
              <w:autoSpaceDE w:val="0"/>
              <w:autoSpaceDN w:val="0"/>
              <w:adjustRightInd w:val="0"/>
            </w:pPr>
            <w:r w:rsidRPr="00CD3353">
              <w:t>Fiduciary and Related Assets: Foundation and endowment trust and agency accounts</w:t>
            </w:r>
          </w:p>
        </w:tc>
        <w:tc>
          <w:tcPr>
            <w:tcW w:w="2965" w:type="dxa"/>
          </w:tcPr>
          <w:p w:rsidR="00CD3353" w:rsidRPr="00CD3353" w:rsidRDefault="00CD3353" w:rsidP="00CD3353">
            <w:pPr>
              <w:widowControl w:val="0"/>
              <w:autoSpaceDE w:val="0"/>
              <w:autoSpaceDN w:val="0"/>
              <w:adjustRightInd w:val="0"/>
            </w:pPr>
            <w:r w:rsidRPr="00CD3353">
              <w:t>RCONJ255, RCONJ256, RCONJ257, RCONJ258</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9</w:t>
            </w:r>
          </w:p>
        </w:tc>
        <w:tc>
          <w:tcPr>
            <w:tcW w:w="4140" w:type="dxa"/>
          </w:tcPr>
          <w:p w:rsidR="00CD3353" w:rsidRPr="00CD3353" w:rsidRDefault="00CD3353" w:rsidP="00CD3353">
            <w:pPr>
              <w:widowControl w:val="0"/>
              <w:autoSpaceDE w:val="0"/>
              <w:autoSpaceDN w:val="0"/>
              <w:adjustRightInd w:val="0"/>
            </w:pPr>
            <w:r w:rsidRPr="00CD3353">
              <w:t>Fiduciary and Related Assets: Other fiduciary accounts</w:t>
            </w:r>
          </w:p>
        </w:tc>
        <w:tc>
          <w:tcPr>
            <w:tcW w:w="2965" w:type="dxa"/>
          </w:tcPr>
          <w:p w:rsidR="00CD3353" w:rsidRPr="00CD3353" w:rsidRDefault="00CD3353" w:rsidP="00CD3353">
            <w:pPr>
              <w:widowControl w:val="0"/>
              <w:autoSpaceDE w:val="0"/>
              <w:autoSpaceDN w:val="0"/>
              <w:adjustRightInd w:val="0"/>
            </w:pPr>
            <w:r w:rsidRPr="00CD3353">
              <w:t>RCONB890, RCONB891, RCONB892, RCONB893</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10</w:t>
            </w:r>
          </w:p>
        </w:tc>
        <w:tc>
          <w:tcPr>
            <w:tcW w:w="4140" w:type="dxa"/>
          </w:tcPr>
          <w:p w:rsidR="00CD3353" w:rsidRPr="00CD3353" w:rsidRDefault="00CD3353" w:rsidP="00CD3353">
            <w:pPr>
              <w:widowControl w:val="0"/>
              <w:autoSpaceDE w:val="0"/>
              <w:autoSpaceDN w:val="0"/>
              <w:adjustRightInd w:val="0"/>
            </w:pPr>
            <w:r w:rsidRPr="00CD3353">
              <w:t xml:space="preserve">Fiduciary and Related Assets: Total fiduciary accounts </w:t>
            </w:r>
          </w:p>
        </w:tc>
        <w:tc>
          <w:tcPr>
            <w:tcW w:w="2965" w:type="dxa"/>
          </w:tcPr>
          <w:p w:rsidR="00CD3353" w:rsidRPr="00CD3353" w:rsidRDefault="00CD3353" w:rsidP="00CD3353">
            <w:pPr>
              <w:widowControl w:val="0"/>
              <w:autoSpaceDE w:val="0"/>
              <w:autoSpaceDN w:val="0"/>
              <w:adjustRightInd w:val="0"/>
            </w:pPr>
            <w:r w:rsidRPr="00CD3353">
              <w:t>RCONB894, RCONB895, RCONB896, RCONB897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11</w:t>
            </w:r>
          </w:p>
        </w:tc>
        <w:tc>
          <w:tcPr>
            <w:tcW w:w="4140" w:type="dxa"/>
          </w:tcPr>
          <w:p w:rsidR="00CD3353" w:rsidRPr="00CD3353" w:rsidRDefault="00CD3353" w:rsidP="00CD3353">
            <w:pPr>
              <w:widowControl w:val="0"/>
              <w:autoSpaceDE w:val="0"/>
              <w:autoSpaceDN w:val="0"/>
              <w:adjustRightInd w:val="0"/>
            </w:pPr>
            <w:r w:rsidRPr="00CD3353">
              <w:t>Fiduciary and Related Assets: Custody and safekeeping accounts</w:t>
            </w:r>
          </w:p>
        </w:tc>
        <w:tc>
          <w:tcPr>
            <w:tcW w:w="2965" w:type="dxa"/>
          </w:tcPr>
          <w:p w:rsidR="00CD3353" w:rsidRPr="00CD3353" w:rsidRDefault="00CD3353" w:rsidP="00CD3353">
            <w:pPr>
              <w:widowControl w:val="0"/>
              <w:autoSpaceDE w:val="0"/>
              <w:autoSpaceDN w:val="0"/>
              <w:adjustRightInd w:val="0"/>
            </w:pPr>
            <w:r w:rsidRPr="00CD3353">
              <w:t xml:space="preserve">RCONB898, RCONB899 </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13</w:t>
            </w:r>
          </w:p>
        </w:tc>
        <w:tc>
          <w:tcPr>
            <w:tcW w:w="4140" w:type="dxa"/>
          </w:tcPr>
          <w:p w:rsidR="00CD3353" w:rsidRPr="00CD3353" w:rsidRDefault="00CD3353" w:rsidP="00CD3353">
            <w:pPr>
              <w:widowControl w:val="0"/>
              <w:autoSpaceDE w:val="0"/>
              <w:autoSpaceDN w:val="0"/>
              <w:adjustRightInd w:val="0"/>
            </w:pPr>
            <w:r w:rsidRPr="00CD3353">
              <w:t>Fiduciary and Related Assets: Individual Retirement Accounts, Health Savings Accounts, and other similar accounts (included in items 5.c and 11)</w:t>
            </w:r>
          </w:p>
        </w:tc>
        <w:tc>
          <w:tcPr>
            <w:tcW w:w="2965" w:type="dxa"/>
          </w:tcPr>
          <w:p w:rsidR="00CD3353" w:rsidRPr="00CD3353" w:rsidRDefault="00CD3353" w:rsidP="00CD3353">
            <w:pPr>
              <w:widowControl w:val="0"/>
              <w:autoSpaceDE w:val="0"/>
              <w:autoSpaceDN w:val="0"/>
              <w:adjustRightInd w:val="0"/>
            </w:pPr>
            <w:r w:rsidRPr="00CD3353">
              <w:t>RCONJ259, RCONJ260, RCONJ261, RCONJ262</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14</w:t>
            </w:r>
          </w:p>
        </w:tc>
        <w:tc>
          <w:tcPr>
            <w:tcW w:w="4140" w:type="dxa"/>
          </w:tcPr>
          <w:p w:rsidR="00CD3353" w:rsidRPr="00CD3353" w:rsidRDefault="00CD3353" w:rsidP="00CD3353">
            <w:pPr>
              <w:widowControl w:val="0"/>
              <w:autoSpaceDE w:val="0"/>
              <w:autoSpaceDN w:val="0"/>
              <w:adjustRightInd w:val="0"/>
            </w:pPr>
            <w:r w:rsidRPr="00CD3353">
              <w:t>Fiduciary and Related Services Income: Personal trust and agency accounts</w:t>
            </w:r>
          </w:p>
        </w:tc>
        <w:tc>
          <w:tcPr>
            <w:tcW w:w="2965" w:type="dxa"/>
          </w:tcPr>
          <w:p w:rsidR="00CD3353" w:rsidRPr="00CD3353" w:rsidRDefault="00CD3353" w:rsidP="00CD3353">
            <w:pPr>
              <w:widowControl w:val="0"/>
              <w:autoSpaceDE w:val="0"/>
              <w:autoSpaceDN w:val="0"/>
              <w:adjustRightInd w:val="0"/>
            </w:pPr>
            <w:r w:rsidRPr="00CD3353">
              <w:t>RIADB904</w:t>
            </w:r>
          </w:p>
          <w:p w:rsidR="00CD3353" w:rsidRPr="00CD3353" w:rsidRDefault="00CD3353" w:rsidP="00CD3353">
            <w:pPr>
              <w:widowControl w:val="0"/>
              <w:autoSpaceDE w:val="0"/>
              <w:autoSpaceDN w:val="0"/>
              <w:adjustRightInd w:val="0"/>
            </w:pP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15.a</w:t>
            </w:r>
          </w:p>
        </w:tc>
        <w:tc>
          <w:tcPr>
            <w:tcW w:w="4140" w:type="dxa"/>
          </w:tcPr>
          <w:p w:rsidR="00CD3353" w:rsidRPr="00CD3353" w:rsidRDefault="00CD3353" w:rsidP="00CD3353">
            <w:pPr>
              <w:widowControl w:val="0"/>
              <w:autoSpaceDE w:val="0"/>
              <w:autoSpaceDN w:val="0"/>
              <w:adjustRightInd w:val="0"/>
            </w:pPr>
            <w:r w:rsidRPr="00CD3353">
              <w:t>Fiduciary and Related Services Income: Employee benefit - defined contribution</w:t>
            </w:r>
          </w:p>
        </w:tc>
        <w:tc>
          <w:tcPr>
            <w:tcW w:w="2965" w:type="dxa"/>
          </w:tcPr>
          <w:p w:rsidR="00CD3353" w:rsidRPr="00CD3353" w:rsidRDefault="00CD3353" w:rsidP="00CD3353">
            <w:pPr>
              <w:widowControl w:val="0"/>
              <w:autoSpaceDE w:val="0"/>
              <w:autoSpaceDN w:val="0"/>
              <w:adjustRightInd w:val="0"/>
            </w:pPr>
            <w:r w:rsidRPr="00CD3353">
              <w:t>RIADB905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15.b</w:t>
            </w:r>
          </w:p>
        </w:tc>
        <w:tc>
          <w:tcPr>
            <w:tcW w:w="4140" w:type="dxa"/>
          </w:tcPr>
          <w:p w:rsidR="00CD3353" w:rsidRPr="00CD3353" w:rsidRDefault="00CD3353" w:rsidP="00CD3353">
            <w:pPr>
              <w:widowControl w:val="0"/>
              <w:autoSpaceDE w:val="0"/>
              <w:autoSpaceDN w:val="0"/>
              <w:adjustRightInd w:val="0"/>
            </w:pPr>
            <w:r w:rsidRPr="00CD3353">
              <w:t>Fiduciary and Related Services Income: Employee benefit - defined benefit</w:t>
            </w:r>
          </w:p>
        </w:tc>
        <w:tc>
          <w:tcPr>
            <w:tcW w:w="2965" w:type="dxa"/>
          </w:tcPr>
          <w:p w:rsidR="00CD3353" w:rsidRPr="00CD3353" w:rsidRDefault="00CD3353" w:rsidP="00CD3353">
            <w:pPr>
              <w:widowControl w:val="0"/>
              <w:autoSpaceDE w:val="0"/>
              <w:autoSpaceDN w:val="0"/>
              <w:adjustRightInd w:val="0"/>
            </w:pPr>
            <w:r w:rsidRPr="00CD3353">
              <w:t>RIADB906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15.c</w:t>
            </w:r>
          </w:p>
        </w:tc>
        <w:tc>
          <w:tcPr>
            <w:tcW w:w="4140" w:type="dxa"/>
          </w:tcPr>
          <w:p w:rsidR="00CD3353" w:rsidRPr="00CD3353" w:rsidRDefault="00CD3353" w:rsidP="00CD3353">
            <w:pPr>
              <w:widowControl w:val="0"/>
              <w:autoSpaceDE w:val="0"/>
              <w:autoSpaceDN w:val="0"/>
              <w:adjustRightInd w:val="0"/>
            </w:pPr>
            <w:r w:rsidRPr="00CD3353">
              <w:t>Fiduciary and Related Services Income: Other employee benefit and retirement-related accounts</w:t>
            </w:r>
          </w:p>
        </w:tc>
        <w:tc>
          <w:tcPr>
            <w:tcW w:w="2965" w:type="dxa"/>
          </w:tcPr>
          <w:p w:rsidR="00CD3353" w:rsidRPr="00CD3353" w:rsidRDefault="00CD3353" w:rsidP="00CD3353">
            <w:pPr>
              <w:widowControl w:val="0"/>
              <w:autoSpaceDE w:val="0"/>
              <w:autoSpaceDN w:val="0"/>
              <w:adjustRightInd w:val="0"/>
            </w:pPr>
            <w:r w:rsidRPr="00CD3353">
              <w:t>RIADB907</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16</w:t>
            </w:r>
          </w:p>
        </w:tc>
        <w:tc>
          <w:tcPr>
            <w:tcW w:w="4140" w:type="dxa"/>
          </w:tcPr>
          <w:p w:rsidR="00CD3353" w:rsidRPr="00CD3353" w:rsidRDefault="00CD3353" w:rsidP="00CD3353">
            <w:pPr>
              <w:widowControl w:val="0"/>
              <w:autoSpaceDE w:val="0"/>
              <w:autoSpaceDN w:val="0"/>
              <w:adjustRightInd w:val="0"/>
            </w:pPr>
            <w:r w:rsidRPr="00CD3353">
              <w:t>Fiduciary and Related Services Income: Corporate trust and agency accounts</w:t>
            </w:r>
          </w:p>
        </w:tc>
        <w:tc>
          <w:tcPr>
            <w:tcW w:w="2965" w:type="dxa"/>
          </w:tcPr>
          <w:p w:rsidR="00CD3353" w:rsidRPr="00CD3353" w:rsidRDefault="00CD3353" w:rsidP="00CD3353">
            <w:pPr>
              <w:widowControl w:val="0"/>
              <w:autoSpaceDE w:val="0"/>
              <w:autoSpaceDN w:val="0"/>
              <w:adjustRightInd w:val="0"/>
            </w:pPr>
            <w:r w:rsidRPr="00CD3353">
              <w:t>RIADA479</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17</w:t>
            </w:r>
          </w:p>
        </w:tc>
        <w:tc>
          <w:tcPr>
            <w:tcW w:w="4140" w:type="dxa"/>
          </w:tcPr>
          <w:p w:rsidR="00CD3353" w:rsidRPr="00CD3353" w:rsidRDefault="00CD3353" w:rsidP="00CD3353">
            <w:pPr>
              <w:widowControl w:val="0"/>
              <w:autoSpaceDE w:val="0"/>
              <w:autoSpaceDN w:val="0"/>
              <w:adjustRightInd w:val="0"/>
            </w:pPr>
            <w:r w:rsidRPr="00CD3353">
              <w:t>Fiduciary and Related Services Income: Investment management and investment advisory agency accounts</w:t>
            </w:r>
          </w:p>
        </w:tc>
        <w:tc>
          <w:tcPr>
            <w:tcW w:w="2965" w:type="dxa"/>
          </w:tcPr>
          <w:p w:rsidR="00CD3353" w:rsidRPr="00CD3353" w:rsidRDefault="00CD3353" w:rsidP="00CD3353">
            <w:pPr>
              <w:widowControl w:val="0"/>
              <w:autoSpaceDE w:val="0"/>
              <w:autoSpaceDN w:val="0"/>
              <w:adjustRightInd w:val="0"/>
            </w:pPr>
            <w:r w:rsidRPr="00CD3353">
              <w:t>RIADJ315</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18</w:t>
            </w:r>
          </w:p>
        </w:tc>
        <w:tc>
          <w:tcPr>
            <w:tcW w:w="4140" w:type="dxa"/>
          </w:tcPr>
          <w:p w:rsidR="00CD3353" w:rsidRPr="00CD3353" w:rsidRDefault="00CD3353" w:rsidP="00CD3353">
            <w:pPr>
              <w:widowControl w:val="0"/>
              <w:autoSpaceDE w:val="0"/>
              <w:autoSpaceDN w:val="0"/>
              <w:adjustRightInd w:val="0"/>
            </w:pPr>
            <w:r w:rsidRPr="00CD3353">
              <w:t>Fiduciary and Related Services Income: Foundation and endowment trust and agency accounts</w:t>
            </w:r>
          </w:p>
        </w:tc>
        <w:tc>
          <w:tcPr>
            <w:tcW w:w="2965" w:type="dxa"/>
          </w:tcPr>
          <w:p w:rsidR="00CD3353" w:rsidRPr="00CD3353" w:rsidRDefault="00CD3353" w:rsidP="00CD3353">
            <w:pPr>
              <w:widowControl w:val="0"/>
              <w:autoSpaceDE w:val="0"/>
              <w:autoSpaceDN w:val="0"/>
              <w:adjustRightInd w:val="0"/>
            </w:pPr>
            <w:r w:rsidRPr="00CD3353">
              <w:t>RIADJ316</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19</w:t>
            </w:r>
          </w:p>
        </w:tc>
        <w:tc>
          <w:tcPr>
            <w:tcW w:w="4140" w:type="dxa"/>
          </w:tcPr>
          <w:p w:rsidR="00CD3353" w:rsidRPr="00CD3353" w:rsidRDefault="00CD3353" w:rsidP="00CD3353">
            <w:pPr>
              <w:widowControl w:val="0"/>
              <w:autoSpaceDE w:val="0"/>
              <w:autoSpaceDN w:val="0"/>
              <w:adjustRightInd w:val="0"/>
            </w:pPr>
            <w:r w:rsidRPr="00CD3353">
              <w:t>Fiduciary and Related Services Income: Other fiduciary accounts</w:t>
            </w:r>
          </w:p>
        </w:tc>
        <w:tc>
          <w:tcPr>
            <w:tcW w:w="2965" w:type="dxa"/>
          </w:tcPr>
          <w:p w:rsidR="00CD3353" w:rsidRPr="00CD3353" w:rsidRDefault="00CD3353" w:rsidP="00CD3353">
            <w:pPr>
              <w:widowControl w:val="0"/>
              <w:autoSpaceDE w:val="0"/>
              <w:autoSpaceDN w:val="0"/>
              <w:adjustRightInd w:val="0"/>
            </w:pPr>
            <w:r w:rsidRPr="00CD3353">
              <w:t>RIADA480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20</w:t>
            </w:r>
          </w:p>
        </w:tc>
        <w:tc>
          <w:tcPr>
            <w:tcW w:w="4140" w:type="dxa"/>
          </w:tcPr>
          <w:p w:rsidR="00CD3353" w:rsidRPr="00CD3353" w:rsidRDefault="00CD3353" w:rsidP="00CD3353">
            <w:pPr>
              <w:widowControl w:val="0"/>
              <w:autoSpaceDE w:val="0"/>
              <w:autoSpaceDN w:val="0"/>
              <w:adjustRightInd w:val="0"/>
            </w:pPr>
            <w:r w:rsidRPr="00CD3353">
              <w:t>Fiduciary and Related Services Income: Custody and safekeeping accounts</w:t>
            </w:r>
          </w:p>
        </w:tc>
        <w:tc>
          <w:tcPr>
            <w:tcW w:w="2965" w:type="dxa"/>
          </w:tcPr>
          <w:p w:rsidR="00CD3353" w:rsidRPr="00CD3353" w:rsidRDefault="00CD3353" w:rsidP="00CD3353">
            <w:pPr>
              <w:widowControl w:val="0"/>
              <w:autoSpaceDE w:val="0"/>
              <w:autoSpaceDN w:val="0"/>
              <w:adjustRightInd w:val="0"/>
            </w:pPr>
            <w:r w:rsidRPr="00CD3353">
              <w:t>RIADB909</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21</w:t>
            </w:r>
          </w:p>
        </w:tc>
        <w:tc>
          <w:tcPr>
            <w:tcW w:w="4140" w:type="dxa"/>
          </w:tcPr>
          <w:p w:rsidR="00CD3353" w:rsidRPr="00CD3353" w:rsidRDefault="00CD3353" w:rsidP="00CD3353">
            <w:pPr>
              <w:widowControl w:val="0"/>
              <w:autoSpaceDE w:val="0"/>
              <w:autoSpaceDN w:val="0"/>
              <w:adjustRightInd w:val="0"/>
            </w:pPr>
            <w:r w:rsidRPr="00CD3353">
              <w:t>Fiduciary and Related Services Income: Other fiduciary and related services income</w:t>
            </w:r>
          </w:p>
        </w:tc>
        <w:tc>
          <w:tcPr>
            <w:tcW w:w="2965" w:type="dxa"/>
          </w:tcPr>
          <w:p w:rsidR="00CD3353" w:rsidRPr="00CD3353" w:rsidRDefault="00CD3353" w:rsidP="00CD3353">
            <w:pPr>
              <w:widowControl w:val="0"/>
              <w:autoSpaceDE w:val="0"/>
              <w:autoSpaceDN w:val="0"/>
              <w:adjustRightInd w:val="0"/>
            </w:pPr>
            <w:r w:rsidRPr="00CD3353">
              <w:t>RIADB910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22</w:t>
            </w:r>
          </w:p>
        </w:tc>
        <w:tc>
          <w:tcPr>
            <w:tcW w:w="4140" w:type="dxa"/>
          </w:tcPr>
          <w:p w:rsidR="00CD3353" w:rsidRPr="00CD3353" w:rsidRDefault="00CD3353" w:rsidP="00CD3353">
            <w:pPr>
              <w:widowControl w:val="0"/>
              <w:autoSpaceDE w:val="0"/>
              <w:autoSpaceDN w:val="0"/>
              <w:adjustRightInd w:val="0"/>
            </w:pPr>
            <w:r w:rsidRPr="00CD3353">
              <w:t>Fiduciary and Related Services Income: Total gross fiduciary and related services income</w:t>
            </w:r>
          </w:p>
        </w:tc>
        <w:tc>
          <w:tcPr>
            <w:tcW w:w="2965" w:type="dxa"/>
          </w:tcPr>
          <w:p w:rsidR="00CD3353" w:rsidRPr="00CD3353" w:rsidRDefault="00CD3353" w:rsidP="00CD3353">
            <w:pPr>
              <w:widowControl w:val="0"/>
              <w:autoSpaceDE w:val="0"/>
              <w:autoSpaceDN w:val="0"/>
              <w:adjustRightInd w:val="0"/>
            </w:pPr>
            <w:r w:rsidRPr="00CD3353">
              <w:t>RIAD4070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M.3.a</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Domestic equity</w:t>
            </w:r>
          </w:p>
        </w:tc>
        <w:tc>
          <w:tcPr>
            <w:tcW w:w="2965" w:type="dxa"/>
          </w:tcPr>
          <w:p w:rsidR="00CD3353" w:rsidRPr="00CD3353" w:rsidRDefault="00CD3353" w:rsidP="00CD3353">
            <w:pPr>
              <w:widowControl w:val="0"/>
              <w:autoSpaceDE w:val="0"/>
              <w:autoSpaceDN w:val="0"/>
              <w:adjustRightInd w:val="0"/>
            </w:pPr>
            <w:r w:rsidRPr="00CD3353">
              <w:t>RCONB931, RCONB932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M.3.b</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International/ Global equity</w:t>
            </w:r>
          </w:p>
        </w:tc>
        <w:tc>
          <w:tcPr>
            <w:tcW w:w="2965" w:type="dxa"/>
          </w:tcPr>
          <w:p w:rsidR="00CD3353" w:rsidRPr="00CD3353" w:rsidRDefault="00CD3353" w:rsidP="00CD3353">
            <w:pPr>
              <w:widowControl w:val="0"/>
              <w:autoSpaceDE w:val="0"/>
              <w:autoSpaceDN w:val="0"/>
              <w:adjustRightInd w:val="0"/>
            </w:pPr>
            <w:r w:rsidRPr="00CD3353">
              <w:t>RCONB933, RCONB934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M.3.c</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Stock/ Bond blend</w:t>
            </w:r>
          </w:p>
        </w:tc>
        <w:tc>
          <w:tcPr>
            <w:tcW w:w="2965" w:type="dxa"/>
          </w:tcPr>
          <w:p w:rsidR="00CD3353" w:rsidRPr="00CD3353" w:rsidRDefault="00CD3353" w:rsidP="00CD3353">
            <w:pPr>
              <w:widowControl w:val="0"/>
              <w:autoSpaceDE w:val="0"/>
              <w:autoSpaceDN w:val="0"/>
              <w:adjustRightInd w:val="0"/>
            </w:pPr>
            <w:r w:rsidRPr="00CD3353">
              <w:t>RCONB935, RCONB936</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M.3.d</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Taxable bond</w:t>
            </w:r>
          </w:p>
        </w:tc>
        <w:tc>
          <w:tcPr>
            <w:tcW w:w="2965" w:type="dxa"/>
          </w:tcPr>
          <w:p w:rsidR="00CD3353" w:rsidRPr="00CD3353" w:rsidRDefault="00CD3353" w:rsidP="00CD3353">
            <w:pPr>
              <w:widowControl w:val="0"/>
              <w:autoSpaceDE w:val="0"/>
              <w:autoSpaceDN w:val="0"/>
              <w:adjustRightInd w:val="0"/>
            </w:pPr>
            <w:r w:rsidRPr="00CD3353">
              <w:t>RCONB937, RCONB938</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M.3.e</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Municipal bond</w:t>
            </w:r>
          </w:p>
        </w:tc>
        <w:tc>
          <w:tcPr>
            <w:tcW w:w="2965" w:type="dxa"/>
          </w:tcPr>
          <w:p w:rsidR="00CD3353" w:rsidRPr="00CD3353" w:rsidRDefault="00CD3353" w:rsidP="00CD3353">
            <w:pPr>
              <w:widowControl w:val="0"/>
              <w:autoSpaceDE w:val="0"/>
              <w:autoSpaceDN w:val="0"/>
              <w:adjustRightInd w:val="0"/>
            </w:pPr>
            <w:r w:rsidRPr="00CD3353">
              <w:t>RCONB939, RCONB940</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M.3.f</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Short-term investments/ Money market</w:t>
            </w:r>
          </w:p>
        </w:tc>
        <w:tc>
          <w:tcPr>
            <w:tcW w:w="2965" w:type="dxa"/>
          </w:tcPr>
          <w:p w:rsidR="00CD3353" w:rsidRPr="00CD3353" w:rsidRDefault="00CD3353" w:rsidP="00CD3353">
            <w:pPr>
              <w:widowControl w:val="0"/>
              <w:autoSpaceDE w:val="0"/>
              <w:autoSpaceDN w:val="0"/>
              <w:adjustRightInd w:val="0"/>
            </w:pPr>
            <w:r w:rsidRPr="00CD3353">
              <w:t>RCONB941, RCONB942</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M.3.g</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Specialty/ Other</w:t>
            </w:r>
          </w:p>
        </w:tc>
        <w:tc>
          <w:tcPr>
            <w:tcW w:w="2965" w:type="dxa"/>
          </w:tcPr>
          <w:p w:rsidR="00CD3353" w:rsidRPr="00CD3353" w:rsidRDefault="00CD3353" w:rsidP="00CD3353">
            <w:pPr>
              <w:widowControl w:val="0"/>
              <w:autoSpaceDE w:val="0"/>
              <w:autoSpaceDN w:val="0"/>
              <w:adjustRightInd w:val="0"/>
            </w:pPr>
            <w:r w:rsidRPr="00CD3353">
              <w:t>RCONB943, RCONB944</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RC-T</w:t>
            </w:r>
          </w:p>
        </w:tc>
        <w:tc>
          <w:tcPr>
            <w:tcW w:w="1105" w:type="dxa"/>
            <w:noWrap/>
          </w:tcPr>
          <w:p w:rsidR="00CD3353" w:rsidRPr="00CD3353" w:rsidRDefault="00CD3353" w:rsidP="00CD3353">
            <w:pPr>
              <w:widowControl w:val="0"/>
              <w:autoSpaceDE w:val="0"/>
              <w:autoSpaceDN w:val="0"/>
              <w:adjustRightInd w:val="0"/>
            </w:pPr>
            <w:r w:rsidRPr="00CD3353">
              <w:t>M.3.h</w:t>
            </w:r>
          </w:p>
        </w:tc>
        <w:tc>
          <w:tcPr>
            <w:tcW w:w="4140" w:type="dxa"/>
          </w:tcPr>
          <w:p w:rsidR="00CD3353" w:rsidRPr="00CD3353" w:rsidRDefault="00CD3353" w:rsidP="00CD3353">
            <w:pPr>
              <w:widowControl w:val="0"/>
              <w:autoSpaceDE w:val="0"/>
              <w:autoSpaceDN w:val="0"/>
              <w:adjustRightInd w:val="0"/>
            </w:pPr>
            <w:r w:rsidRPr="00CD3353">
              <w:t>Collective investment funds and common trust funds: Total collective investment funds</w:t>
            </w:r>
          </w:p>
        </w:tc>
        <w:tc>
          <w:tcPr>
            <w:tcW w:w="2965" w:type="dxa"/>
          </w:tcPr>
          <w:p w:rsidR="00CD3353" w:rsidRPr="00CD3353" w:rsidRDefault="00CD3353" w:rsidP="00CD3353">
            <w:pPr>
              <w:widowControl w:val="0"/>
              <w:autoSpaceDE w:val="0"/>
              <w:autoSpaceDN w:val="0"/>
              <w:adjustRightInd w:val="0"/>
            </w:pPr>
            <w:r w:rsidRPr="00CD3353">
              <w:t>RCONB945, RCONB946</w:t>
            </w:r>
          </w:p>
        </w:tc>
      </w:tr>
    </w:tbl>
    <w:p w:rsidR="00CD3353" w:rsidRPr="00CD3353" w:rsidRDefault="00CD3353" w:rsidP="00CD3353">
      <w:pPr>
        <w:widowControl w:val="0"/>
        <w:autoSpaceDE w:val="0"/>
        <w:autoSpaceDN w:val="0"/>
        <w:adjustRightInd w:val="0"/>
        <w:rPr>
          <w:bCs/>
          <w:color w:val="000000"/>
        </w:rPr>
      </w:pPr>
    </w:p>
    <w:p w:rsidR="00CD3353" w:rsidRPr="00CD3353" w:rsidRDefault="00CD3353" w:rsidP="00CD3353">
      <w:pPr>
        <w:rPr>
          <w:b/>
          <w:bCs/>
          <w:color w:val="000000"/>
        </w:rPr>
      </w:pPr>
      <w:r w:rsidRPr="00CD3353">
        <w:rPr>
          <w:b/>
          <w:bCs/>
          <w:color w:val="000000"/>
        </w:rPr>
        <w:br w:type="page"/>
      </w:r>
    </w:p>
    <w:p w:rsidR="00CD3353" w:rsidRPr="00CD3353" w:rsidRDefault="00CD3353" w:rsidP="00CD3353">
      <w:pPr>
        <w:widowControl w:val="0"/>
        <w:autoSpaceDE w:val="0"/>
        <w:autoSpaceDN w:val="0"/>
        <w:adjustRightInd w:val="0"/>
        <w:rPr>
          <w:b/>
          <w:bCs/>
          <w:color w:val="000000"/>
        </w:rPr>
      </w:pPr>
      <w:r w:rsidRPr="00CD3353">
        <w:rPr>
          <w:b/>
          <w:bCs/>
          <w:color w:val="000000"/>
        </w:rPr>
        <w:t>Appendix B:  Data Items to be Collected from Institutions with $1 Billion or More in Total Assets on the FFIEC 051.</w:t>
      </w:r>
    </w:p>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u w:val="single"/>
        </w:rPr>
      </w:pPr>
      <w:r w:rsidRPr="00CD3353">
        <w:rPr>
          <w:bCs/>
          <w:color w:val="000000"/>
        </w:rPr>
        <w:t>The following data item is currently collected on the FFIEC </w:t>
      </w:r>
      <w:r>
        <w:rPr>
          <w:bCs/>
          <w:color w:val="000000"/>
        </w:rPr>
        <w:t>041 from institutions with $1 </w:t>
      </w:r>
      <w:r w:rsidRPr="00CD3353">
        <w:rPr>
          <w:bCs/>
          <w:color w:val="000000"/>
        </w:rPr>
        <w:t>billion or more in total assets.  The data item is proposed to be reported quarterly by institutions with $1 billion or more in total assets on the FFIEC 051.</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140"/>
        <w:gridCol w:w="1060"/>
        <w:gridCol w:w="4481"/>
        <w:gridCol w:w="2175"/>
      </w:tblGrid>
      <w:tr w:rsidR="00CD3353" w:rsidRPr="00CD3353" w:rsidTr="00CD3353">
        <w:trPr>
          <w:trHeight w:val="312"/>
        </w:trPr>
        <w:tc>
          <w:tcPr>
            <w:tcW w:w="1140"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Schedule</w:t>
            </w:r>
          </w:p>
        </w:tc>
        <w:tc>
          <w:tcPr>
            <w:tcW w:w="1060"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Item</w:t>
            </w:r>
          </w:p>
        </w:tc>
        <w:tc>
          <w:tcPr>
            <w:tcW w:w="4878" w:type="dxa"/>
            <w:hideMark/>
          </w:tcPr>
          <w:p w:rsidR="00CD3353" w:rsidRPr="00CD3353" w:rsidRDefault="00CD3353" w:rsidP="00CD3353">
            <w:pPr>
              <w:widowControl w:val="0"/>
              <w:autoSpaceDE w:val="0"/>
              <w:autoSpaceDN w:val="0"/>
              <w:adjustRightInd w:val="0"/>
              <w:rPr>
                <w:b/>
                <w:bCs/>
                <w:color w:val="000000"/>
              </w:rPr>
            </w:pPr>
            <w:r w:rsidRPr="00CD3353">
              <w:rPr>
                <w:b/>
                <w:bCs/>
                <w:color w:val="000000"/>
              </w:rPr>
              <w:t>Item Name</w:t>
            </w:r>
          </w:p>
        </w:tc>
        <w:tc>
          <w:tcPr>
            <w:tcW w:w="2272" w:type="dxa"/>
            <w:hideMark/>
          </w:tcPr>
          <w:p w:rsidR="00CD3353" w:rsidRPr="00CD3353" w:rsidRDefault="00CD3353" w:rsidP="00CD3353">
            <w:pPr>
              <w:widowControl w:val="0"/>
              <w:autoSpaceDE w:val="0"/>
              <w:autoSpaceDN w:val="0"/>
              <w:adjustRightInd w:val="0"/>
              <w:rPr>
                <w:b/>
                <w:bCs/>
                <w:color w:val="000000"/>
              </w:rPr>
            </w:pPr>
            <w:r w:rsidRPr="00CD3353">
              <w:rPr>
                <w:b/>
                <w:bCs/>
                <w:color w:val="000000"/>
              </w:rPr>
              <w:t>MDRM Number</w:t>
            </w:r>
          </w:p>
        </w:tc>
      </w:tr>
      <w:tr w:rsidR="00CD3353" w:rsidRPr="00CD3353" w:rsidTr="00CD3353">
        <w:trPr>
          <w:trHeight w:val="755"/>
        </w:trPr>
        <w:tc>
          <w:tcPr>
            <w:tcW w:w="1140" w:type="dxa"/>
            <w:noWrap/>
            <w:hideMark/>
          </w:tcPr>
          <w:p w:rsidR="00CD3353" w:rsidRPr="00CD3353" w:rsidRDefault="00CD3353" w:rsidP="00CD3353">
            <w:pPr>
              <w:widowControl w:val="0"/>
              <w:autoSpaceDE w:val="0"/>
              <w:autoSpaceDN w:val="0"/>
              <w:adjustRightInd w:val="0"/>
              <w:rPr>
                <w:bCs/>
                <w:color w:val="000000"/>
              </w:rPr>
            </w:pPr>
            <w:r w:rsidRPr="00CD3353">
              <w:rPr>
                <w:bCs/>
                <w:color w:val="000000"/>
              </w:rPr>
              <w:t>RC-O</w:t>
            </w:r>
          </w:p>
        </w:tc>
        <w:tc>
          <w:tcPr>
            <w:tcW w:w="1060" w:type="dxa"/>
            <w:hideMark/>
          </w:tcPr>
          <w:p w:rsidR="00CD3353" w:rsidRPr="00CD3353" w:rsidRDefault="00CD3353" w:rsidP="00CD3353">
            <w:pPr>
              <w:widowControl w:val="0"/>
              <w:autoSpaceDE w:val="0"/>
              <w:autoSpaceDN w:val="0"/>
              <w:adjustRightInd w:val="0"/>
              <w:rPr>
                <w:bCs/>
                <w:color w:val="000000"/>
              </w:rPr>
            </w:pPr>
            <w:r w:rsidRPr="00CD3353">
              <w:rPr>
                <w:bCs/>
                <w:color w:val="000000"/>
              </w:rPr>
              <w:t>M.2</w:t>
            </w:r>
          </w:p>
        </w:tc>
        <w:tc>
          <w:tcPr>
            <w:tcW w:w="4878" w:type="dxa"/>
            <w:hideMark/>
          </w:tcPr>
          <w:p w:rsidR="00CD3353" w:rsidRPr="00CD3353" w:rsidRDefault="00CD3353" w:rsidP="00CD3353">
            <w:pPr>
              <w:widowControl w:val="0"/>
              <w:autoSpaceDE w:val="0"/>
              <w:autoSpaceDN w:val="0"/>
              <w:adjustRightInd w:val="0"/>
              <w:rPr>
                <w:bCs/>
                <w:color w:val="000000"/>
              </w:rPr>
            </w:pPr>
            <w:r w:rsidRPr="00CD3353">
              <w:t>Estimated amount of uninsured deposits, including related interest accrued and unpaid</w:t>
            </w:r>
          </w:p>
        </w:tc>
        <w:tc>
          <w:tcPr>
            <w:tcW w:w="2272" w:type="dxa"/>
            <w:hideMark/>
          </w:tcPr>
          <w:p w:rsidR="00CD3353" w:rsidRPr="00CD3353" w:rsidRDefault="00CD3353" w:rsidP="00CD3353">
            <w:pPr>
              <w:widowControl w:val="0"/>
              <w:autoSpaceDE w:val="0"/>
              <w:autoSpaceDN w:val="0"/>
              <w:adjustRightInd w:val="0"/>
              <w:rPr>
                <w:bCs/>
                <w:color w:val="000000"/>
              </w:rPr>
            </w:pPr>
            <w:r w:rsidRPr="00CD3353">
              <w:rPr>
                <w:bCs/>
                <w:color w:val="000000"/>
              </w:rPr>
              <w:t>RCON5597</w:t>
            </w:r>
          </w:p>
        </w:tc>
      </w:tr>
    </w:tbl>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rPr>
      </w:pPr>
      <w:r w:rsidRPr="00CD3353">
        <w:rPr>
          <w:bCs/>
          <w:color w:val="000000"/>
        </w:rPr>
        <w:t>The following data items are currently collected quarterly on the FFIEC 041 from institutions with $1 billion or more in total assets.  The data items are proposed to be reported on the FFIEC 051 by institutions with $1 billion or more in total assets with a reduction in the frequency of collection.</w:t>
      </w:r>
    </w:p>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u w:val="single"/>
        </w:rPr>
      </w:pPr>
      <w:r w:rsidRPr="00CD3353">
        <w:rPr>
          <w:bCs/>
          <w:color w:val="000000"/>
          <w:u w:val="single"/>
        </w:rPr>
        <w:t>Semiannual Reporting (June and December only)</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094"/>
        <w:gridCol w:w="1019"/>
        <w:gridCol w:w="4603"/>
        <w:gridCol w:w="2140"/>
      </w:tblGrid>
      <w:tr w:rsidR="00CD3353" w:rsidRPr="00CD3353" w:rsidTr="00CD3353">
        <w:trPr>
          <w:trHeight w:val="312"/>
        </w:trPr>
        <w:tc>
          <w:tcPr>
            <w:tcW w:w="1140" w:type="dxa"/>
            <w:noWrap/>
            <w:hideMark/>
          </w:tcPr>
          <w:p w:rsidR="00CD3353" w:rsidRPr="00CD3353" w:rsidRDefault="00CD3353" w:rsidP="00CD3353">
            <w:pPr>
              <w:widowControl w:val="0"/>
              <w:autoSpaceDE w:val="0"/>
              <w:autoSpaceDN w:val="0"/>
              <w:adjustRightInd w:val="0"/>
              <w:rPr>
                <w:b/>
                <w:bCs/>
              </w:rPr>
            </w:pPr>
            <w:r w:rsidRPr="00CD3353">
              <w:rPr>
                <w:b/>
                <w:bCs/>
              </w:rPr>
              <w:t>Schedule</w:t>
            </w:r>
          </w:p>
        </w:tc>
        <w:tc>
          <w:tcPr>
            <w:tcW w:w="1060" w:type="dxa"/>
            <w:noWrap/>
            <w:hideMark/>
          </w:tcPr>
          <w:p w:rsidR="00CD3353" w:rsidRPr="00CD3353" w:rsidRDefault="00CD3353" w:rsidP="00CD3353">
            <w:pPr>
              <w:widowControl w:val="0"/>
              <w:autoSpaceDE w:val="0"/>
              <w:autoSpaceDN w:val="0"/>
              <w:adjustRightInd w:val="0"/>
              <w:rPr>
                <w:b/>
                <w:bCs/>
              </w:rPr>
            </w:pPr>
            <w:r w:rsidRPr="00CD3353">
              <w:rPr>
                <w:b/>
                <w:bCs/>
              </w:rPr>
              <w:t>Item</w:t>
            </w:r>
          </w:p>
        </w:tc>
        <w:tc>
          <w:tcPr>
            <w:tcW w:w="4827" w:type="dxa"/>
            <w:hideMark/>
          </w:tcPr>
          <w:p w:rsidR="00CD3353" w:rsidRPr="00CD3353" w:rsidRDefault="00CD3353" w:rsidP="00CD3353">
            <w:pPr>
              <w:widowControl w:val="0"/>
              <w:autoSpaceDE w:val="0"/>
              <w:autoSpaceDN w:val="0"/>
              <w:adjustRightInd w:val="0"/>
              <w:rPr>
                <w:b/>
                <w:bCs/>
              </w:rPr>
            </w:pPr>
            <w:r w:rsidRPr="00CD3353">
              <w:rPr>
                <w:b/>
                <w:bCs/>
              </w:rPr>
              <w:t>Item Name</w:t>
            </w:r>
          </w:p>
        </w:tc>
        <w:tc>
          <w:tcPr>
            <w:tcW w:w="2238" w:type="dxa"/>
            <w:hideMark/>
          </w:tcPr>
          <w:p w:rsidR="00CD3353" w:rsidRPr="00CD3353" w:rsidRDefault="00CD3353" w:rsidP="00CD3353">
            <w:pPr>
              <w:widowControl w:val="0"/>
              <w:autoSpaceDE w:val="0"/>
              <w:autoSpaceDN w:val="0"/>
              <w:adjustRightInd w:val="0"/>
              <w:rPr>
                <w:b/>
                <w:bCs/>
              </w:rPr>
            </w:pPr>
            <w:r w:rsidRPr="00CD3353">
              <w:rPr>
                <w:b/>
                <w:bCs/>
              </w:rPr>
              <w:t>MDRM Numbers</w:t>
            </w:r>
          </w:p>
        </w:tc>
      </w:tr>
      <w:tr w:rsidR="00CD3353" w:rsidRPr="00CD3353" w:rsidTr="00CD3353">
        <w:trPr>
          <w:trHeight w:val="624"/>
        </w:trPr>
        <w:tc>
          <w:tcPr>
            <w:tcW w:w="1140" w:type="dxa"/>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1.a</w:t>
            </w:r>
          </w:p>
        </w:tc>
        <w:tc>
          <w:tcPr>
            <w:tcW w:w="4827" w:type="dxa"/>
          </w:tcPr>
          <w:p w:rsidR="00CD3353" w:rsidRPr="00CD3353" w:rsidRDefault="00CD3353" w:rsidP="00CD3353">
            <w:pPr>
              <w:widowControl w:val="0"/>
              <w:autoSpaceDE w:val="0"/>
              <w:autoSpaceDN w:val="0"/>
              <w:adjustRightInd w:val="0"/>
            </w:pPr>
            <w:r w:rsidRPr="00CD3353">
              <w:t>Construction loans</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624"/>
        </w:trPr>
        <w:tc>
          <w:tcPr>
            <w:tcW w:w="1140" w:type="dxa"/>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1.b</w:t>
            </w:r>
          </w:p>
        </w:tc>
        <w:tc>
          <w:tcPr>
            <w:tcW w:w="4827" w:type="dxa"/>
          </w:tcPr>
          <w:p w:rsidR="00CD3353" w:rsidRPr="00CD3353" w:rsidRDefault="00CD3353" w:rsidP="00CD3353">
            <w:pPr>
              <w:widowControl w:val="0"/>
              <w:autoSpaceDE w:val="0"/>
              <w:autoSpaceDN w:val="0"/>
              <w:adjustRightInd w:val="0"/>
            </w:pPr>
            <w:r w:rsidRPr="00CD3353">
              <w:t>Commercial real estate loans</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624"/>
        </w:trPr>
        <w:tc>
          <w:tcPr>
            <w:tcW w:w="1140" w:type="dxa"/>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1.c</w:t>
            </w:r>
          </w:p>
        </w:tc>
        <w:tc>
          <w:tcPr>
            <w:tcW w:w="4827" w:type="dxa"/>
          </w:tcPr>
          <w:p w:rsidR="00CD3353" w:rsidRPr="00CD3353" w:rsidRDefault="00CD3353" w:rsidP="00CD3353">
            <w:pPr>
              <w:widowControl w:val="0"/>
              <w:autoSpaceDE w:val="0"/>
              <w:autoSpaceDN w:val="0"/>
              <w:adjustRightInd w:val="0"/>
            </w:pPr>
            <w:r w:rsidRPr="00CD3353">
              <w:t>Residential real estate loans</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2</w:t>
            </w:r>
          </w:p>
          <w:p w:rsidR="00CD3353" w:rsidRPr="00CD3353" w:rsidRDefault="00CD3353" w:rsidP="00CD3353">
            <w:pPr>
              <w:widowControl w:val="0"/>
              <w:autoSpaceDE w:val="0"/>
              <w:autoSpaceDN w:val="0"/>
              <w:adjustRightInd w:val="0"/>
            </w:pPr>
          </w:p>
        </w:tc>
        <w:tc>
          <w:tcPr>
            <w:tcW w:w="4827" w:type="dxa"/>
          </w:tcPr>
          <w:p w:rsidR="00CD3353" w:rsidRPr="00CD3353" w:rsidRDefault="00CD3353" w:rsidP="00CD3353">
            <w:pPr>
              <w:widowControl w:val="0"/>
              <w:autoSpaceDE w:val="0"/>
              <w:autoSpaceDN w:val="0"/>
              <w:adjustRightInd w:val="0"/>
            </w:pPr>
            <w:r w:rsidRPr="00CD3353">
              <w:t>Commercial loans</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3</w:t>
            </w:r>
          </w:p>
        </w:tc>
        <w:tc>
          <w:tcPr>
            <w:tcW w:w="4827" w:type="dxa"/>
          </w:tcPr>
          <w:p w:rsidR="00CD3353" w:rsidRPr="00CD3353" w:rsidRDefault="00CD3353" w:rsidP="00CD3353">
            <w:pPr>
              <w:widowControl w:val="0"/>
              <w:autoSpaceDE w:val="0"/>
              <w:autoSpaceDN w:val="0"/>
              <w:adjustRightInd w:val="0"/>
            </w:pPr>
            <w:r w:rsidRPr="00CD3353">
              <w:t>Credit cards</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4</w:t>
            </w:r>
          </w:p>
        </w:tc>
        <w:tc>
          <w:tcPr>
            <w:tcW w:w="4827" w:type="dxa"/>
          </w:tcPr>
          <w:p w:rsidR="00CD3353" w:rsidRPr="00CD3353" w:rsidRDefault="00CD3353" w:rsidP="00CD3353">
            <w:pPr>
              <w:widowControl w:val="0"/>
              <w:autoSpaceDE w:val="0"/>
              <w:autoSpaceDN w:val="0"/>
              <w:adjustRightInd w:val="0"/>
            </w:pPr>
            <w:r w:rsidRPr="00CD3353">
              <w:t>Other consumer loans</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5</w:t>
            </w:r>
          </w:p>
        </w:tc>
        <w:tc>
          <w:tcPr>
            <w:tcW w:w="4827" w:type="dxa"/>
          </w:tcPr>
          <w:p w:rsidR="00CD3353" w:rsidRPr="00CD3353" w:rsidRDefault="00CD3353" w:rsidP="00CD3353">
            <w:pPr>
              <w:widowControl w:val="0"/>
              <w:autoSpaceDE w:val="0"/>
              <w:autoSpaceDN w:val="0"/>
              <w:adjustRightInd w:val="0"/>
            </w:pPr>
            <w:r w:rsidRPr="00CD3353">
              <w:t>Unallocated, if any</w:t>
            </w:r>
          </w:p>
        </w:tc>
        <w:tc>
          <w:tcPr>
            <w:tcW w:w="2238" w:type="dxa"/>
          </w:tcPr>
          <w:p w:rsidR="00CD3353" w:rsidRPr="00CD3353" w:rsidRDefault="00CD3353" w:rsidP="00CD3353">
            <w:pPr>
              <w:widowControl w:val="0"/>
              <w:autoSpaceDE w:val="0"/>
              <w:autoSpaceDN w:val="0"/>
              <w:adjustRightInd w:val="0"/>
            </w:pPr>
            <w:r w:rsidRPr="00CD3353">
              <w:t>TBD (1 New MDRM Number)</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6</w:t>
            </w:r>
          </w:p>
        </w:tc>
        <w:tc>
          <w:tcPr>
            <w:tcW w:w="4827" w:type="dxa"/>
          </w:tcPr>
          <w:p w:rsidR="00CD3353" w:rsidRPr="00CD3353" w:rsidRDefault="00CD3353" w:rsidP="00CD3353">
            <w:pPr>
              <w:widowControl w:val="0"/>
              <w:autoSpaceDE w:val="0"/>
              <w:autoSpaceDN w:val="0"/>
              <w:adjustRightInd w:val="0"/>
            </w:pPr>
            <w:r w:rsidRPr="00CD3353">
              <w:t>Total</w:t>
            </w:r>
          </w:p>
        </w:tc>
        <w:tc>
          <w:tcPr>
            <w:tcW w:w="2238" w:type="dxa"/>
          </w:tcPr>
          <w:p w:rsidR="00CD3353" w:rsidRPr="00CD3353" w:rsidRDefault="00CD3353" w:rsidP="00CD3353">
            <w:pPr>
              <w:widowControl w:val="0"/>
              <w:autoSpaceDE w:val="0"/>
              <w:autoSpaceDN w:val="0"/>
              <w:adjustRightInd w:val="0"/>
            </w:pPr>
            <w:r w:rsidRPr="00CD3353">
              <w:t>TBD (2 New MDRM Numbers)</w:t>
            </w:r>
          </w:p>
        </w:tc>
      </w:tr>
      <w:tr w:rsidR="00CD3353" w:rsidRPr="00CD3353" w:rsidTr="00CD3353">
        <w:trPr>
          <w:trHeight w:val="634"/>
        </w:trPr>
        <w:tc>
          <w:tcPr>
            <w:tcW w:w="9265" w:type="dxa"/>
            <w:gridSpan w:val="4"/>
            <w:noWrap/>
          </w:tcPr>
          <w:p w:rsidR="00CD3353" w:rsidRPr="00CD3353" w:rsidRDefault="00CD3353" w:rsidP="00CD3353">
            <w:pPr>
              <w:widowControl w:val="0"/>
              <w:autoSpaceDE w:val="0"/>
              <w:autoSpaceDN w:val="0"/>
              <w:adjustRightInd w:val="0"/>
            </w:pPr>
            <w:r w:rsidRPr="00CD3353">
              <w:t>*The FFIEC 041 Schedule RI-C collects disaggregated data on the allowance for loan and lease losses by loan category and the related recorded investment based on whether the reported allowance relates to loans that are individually impaired, purchased credit-impaired, or collectively evaluated for impairment in six columns.  The proposed Schedule RI-C for the FFIEC 051 will consolidate the disaggregated data into two columns:  “Recorded Investment” (column A) and “Allowance Balance” (column B).</w:t>
            </w:r>
          </w:p>
          <w:p w:rsidR="00CD3353" w:rsidRPr="00CD3353" w:rsidRDefault="00CD3353" w:rsidP="00CD3353">
            <w:pPr>
              <w:widowControl w:val="0"/>
              <w:autoSpaceDE w:val="0"/>
              <w:autoSpaceDN w:val="0"/>
              <w:adjustRightInd w:val="0"/>
            </w:pPr>
            <w:r w:rsidRPr="00CD3353">
              <w:t xml:space="preserve">Effective June 30, 2021, the column captions would be changed to “Amortized Cost” (column A) and “Allowance for Credit Losses” (ACL) (column B).  From June 30, 2019, through December 31, 2020, institutions that have adopted </w:t>
            </w:r>
            <w:r w:rsidRPr="00CD3353">
              <w:rPr>
                <w:bCs/>
                <w:color w:val="000000"/>
              </w:rPr>
              <w:t>Accounting Standards Update No. 2016-13, “Financial Instruments – Credit Losses (Topic 326):  Measurement of Credit Losses on Financial Instruments” (</w:t>
            </w:r>
            <w:r w:rsidRPr="00CD3353">
              <w:t xml:space="preserve">ASU 2016-13) would report the amortized cost and related ACL by loan category in columns A and B, respectively.  From June 30, 2021, through December 31, 2022, institutions that have not adopted ASU 2016-13 would report the recorded investment and related allowance balance by loan category in columns A and B, respectively    </w:t>
            </w:r>
          </w:p>
        </w:tc>
      </w:tr>
    </w:tbl>
    <w:p w:rsidR="00CD3353" w:rsidRPr="00CD3353" w:rsidRDefault="00CD3353" w:rsidP="00CD3353">
      <w:pPr>
        <w:widowControl w:val="0"/>
        <w:autoSpaceDE w:val="0"/>
        <w:autoSpaceDN w:val="0"/>
        <w:adjustRightInd w:val="0"/>
        <w:rPr>
          <w:bCs/>
          <w:color w:val="000000"/>
          <w:u w:val="single"/>
        </w:rPr>
      </w:pPr>
    </w:p>
    <w:p w:rsidR="00CD3353" w:rsidRPr="00CD3353" w:rsidRDefault="00CD3353" w:rsidP="00CD3353">
      <w:pPr>
        <w:widowControl w:val="0"/>
        <w:autoSpaceDE w:val="0"/>
        <w:autoSpaceDN w:val="0"/>
        <w:adjustRightInd w:val="0"/>
        <w:rPr>
          <w:bCs/>
          <w:color w:val="000000"/>
          <w:u w:val="single"/>
        </w:rPr>
      </w:pPr>
      <w:r w:rsidRPr="00CD3353">
        <w:rPr>
          <w:bCs/>
          <w:color w:val="000000"/>
          <w:u w:val="single"/>
        </w:rPr>
        <w:t>Annual Reporting (December only)</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275"/>
        <w:gridCol w:w="1176"/>
        <w:gridCol w:w="4109"/>
        <w:gridCol w:w="2296"/>
      </w:tblGrid>
      <w:tr w:rsidR="00CD3353" w:rsidRPr="00CD3353" w:rsidTr="00CD3353">
        <w:trPr>
          <w:trHeight w:val="312"/>
          <w:tblHeader/>
        </w:trPr>
        <w:tc>
          <w:tcPr>
            <w:tcW w:w="1275"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Schedule</w:t>
            </w:r>
          </w:p>
        </w:tc>
        <w:tc>
          <w:tcPr>
            <w:tcW w:w="1176"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Item</w:t>
            </w:r>
          </w:p>
        </w:tc>
        <w:tc>
          <w:tcPr>
            <w:tcW w:w="4109" w:type="dxa"/>
            <w:hideMark/>
          </w:tcPr>
          <w:p w:rsidR="00CD3353" w:rsidRPr="00CD3353" w:rsidRDefault="00CD3353" w:rsidP="00CD3353">
            <w:pPr>
              <w:widowControl w:val="0"/>
              <w:autoSpaceDE w:val="0"/>
              <w:autoSpaceDN w:val="0"/>
              <w:adjustRightInd w:val="0"/>
              <w:rPr>
                <w:b/>
                <w:bCs/>
                <w:color w:val="000000"/>
              </w:rPr>
            </w:pPr>
            <w:r w:rsidRPr="00CD3353">
              <w:rPr>
                <w:b/>
                <w:bCs/>
                <w:color w:val="000000"/>
              </w:rPr>
              <w:t>Item Name</w:t>
            </w:r>
          </w:p>
        </w:tc>
        <w:tc>
          <w:tcPr>
            <w:tcW w:w="2296" w:type="dxa"/>
            <w:noWrap/>
            <w:hideMark/>
          </w:tcPr>
          <w:p w:rsidR="00CD3353" w:rsidRPr="00CD3353" w:rsidRDefault="00CD3353" w:rsidP="00CD3353">
            <w:pPr>
              <w:widowControl w:val="0"/>
              <w:autoSpaceDE w:val="0"/>
              <w:autoSpaceDN w:val="0"/>
              <w:adjustRightInd w:val="0"/>
              <w:rPr>
                <w:b/>
                <w:bCs/>
                <w:color w:val="000000"/>
              </w:rPr>
            </w:pPr>
            <w:r w:rsidRPr="00CD3353">
              <w:rPr>
                <w:b/>
                <w:bCs/>
                <w:color w:val="000000"/>
              </w:rPr>
              <w:t>MDRM Number</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M.15.a</w:t>
            </w:r>
          </w:p>
        </w:tc>
        <w:tc>
          <w:tcPr>
            <w:tcW w:w="4109" w:type="dxa"/>
          </w:tcPr>
          <w:p w:rsidR="00CD3353" w:rsidRPr="00CD3353" w:rsidRDefault="00CD3353" w:rsidP="00CD3353">
            <w:pPr>
              <w:widowControl w:val="0"/>
              <w:autoSpaceDE w:val="0"/>
              <w:autoSpaceDN w:val="0"/>
              <w:adjustRightInd w:val="0"/>
            </w:pPr>
            <w:r w:rsidRPr="00CD3353">
              <w:t>Consumer overdraft-related service charges levied on those transaction account and nontransaction savings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RIADH032</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M.15.b</w:t>
            </w:r>
          </w:p>
        </w:tc>
        <w:tc>
          <w:tcPr>
            <w:tcW w:w="4109" w:type="dxa"/>
          </w:tcPr>
          <w:p w:rsidR="00CD3353" w:rsidRPr="00CD3353" w:rsidRDefault="00CD3353" w:rsidP="00CD3353">
            <w:pPr>
              <w:widowControl w:val="0"/>
              <w:autoSpaceDE w:val="0"/>
              <w:autoSpaceDN w:val="0"/>
              <w:adjustRightInd w:val="0"/>
            </w:pPr>
            <w:r w:rsidRPr="00CD3353">
              <w:t>Consumer account periodic maintenance charges levied on those transaction account and nontransaction savings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RIADH033</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M.15.c</w:t>
            </w:r>
          </w:p>
        </w:tc>
        <w:tc>
          <w:tcPr>
            <w:tcW w:w="4109" w:type="dxa"/>
          </w:tcPr>
          <w:p w:rsidR="00CD3353" w:rsidRPr="00CD3353" w:rsidRDefault="00CD3353" w:rsidP="00CD3353">
            <w:pPr>
              <w:widowControl w:val="0"/>
              <w:autoSpaceDE w:val="0"/>
              <w:autoSpaceDN w:val="0"/>
              <w:adjustRightInd w:val="0"/>
            </w:pPr>
            <w:r w:rsidRPr="00CD3353">
              <w:t>Consumer customer automated teller machine (ATM) fees levied on those transaction account and nontransaction savings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RIADH034</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t>RI**</w:t>
            </w:r>
          </w:p>
        </w:tc>
        <w:tc>
          <w:tcPr>
            <w:tcW w:w="1176" w:type="dxa"/>
            <w:noWrap/>
          </w:tcPr>
          <w:p w:rsidR="00CD3353" w:rsidRPr="00CD3353" w:rsidRDefault="00CD3353" w:rsidP="00CD3353">
            <w:pPr>
              <w:widowControl w:val="0"/>
              <w:autoSpaceDE w:val="0"/>
              <w:autoSpaceDN w:val="0"/>
              <w:adjustRightInd w:val="0"/>
              <w:rPr>
                <w:bCs/>
                <w:color w:val="000000"/>
              </w:rPr>
            </w:pPr>
            <w:r w:rsidRPr="00CD3353">
              <w:t>M.15.d</w:t>
            </w:r>
          </w:p>
        </w:tc>
        <w:tc>
          <w:tcPr>
            <w:tcW w:w="4109" w:type="dxa"/>
          </w:tcPr>
          <w:p w:rsidR="00CD3353" w:rsidRPr="00CD3353" w:rsidRDefault="00CD3353" w:rsidP="00CD3353">
            <w:pPr>
              <w:widowControl w:val="0"/>
              <w:autoSpaceDE w:val="0"/>
              <w:autoSpaceDN w:val="0"/>
              <w:adjustRightInd w:val="0"/>
            </w:pPr>
            <w:r w:rsidRPr="00CD3353">
              <w:t>All other service charges on deposit accounts</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RIADH035</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M.6.a</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noninterest-bearing transaction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RCONP753</w:t>
            </w:r>
          </w:p>
        </w:tc>
      </w:tr>
      <w:tr w:rsidR="00CD3353" w:rsidRPr="00CD3353" w:rsidTr="00CD3353">
        <w:trPr>
          <w:trHeight w:val="936"/>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M.6.b</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interest-bearing transaction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RCONP754</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M.7.a.(1)</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MMDA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RCONP756</w:t>
            </w:r>
          </w:p>
        </w:tc>
      </w:tr>
      <w:tr w:rsidR="00CD3353" w:rsidRPr="00CD3353" w:rsidTr="00CD3353">
        <w:trPr>
          <w:trHeight w:val="624"/>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M.7.a.(2)</w:t>
            </w:r>
          </w:p>
        </w:tc>
        <w:tc>
          <w:tcPr>
            <w:tcW w:w="4109" w:type="dxa"/>
          </w:tcPr>
          <w:p w:rsidR="00CD3353" w:rsidRPr="00CD3353" w:rsidRDefault="00CD3353" w:rsidP="00CD3353">
            <w:pPr>
              <w:widowControl w:val="0"/>
              <w:autoSpaceDE w:val="0"/>
              <w:autoSpaceDN w:val="0"/>
              <w:adjustRightInd w:val="0"/>
              <w:rPr>
                <w:bCs/>
                <w:color w:val="000000"/>
              </w:rPr>
            </w:pPr>
            <w:r w:rsidRPr="00CD3353">
              <w:t>Deposits in all other MMDAs of individuals, partnerships, and corporations</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RCONP757</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M.7.b.(1)</w:t>
            </w:r>
          </w:p>
        </w:tc>
        <w:tc>
          <w:tcPr>
            <w:tcW w:w="4109" w:type="dxa"/>
          </w:tcPr>
          <w:p w:rsidR="00CD3353" w:rsidRPr="00CD3353" w:rsidRDefault="00CD3353" w:rsidP="00CD3353">
            <w:pPr>
              <w:widowControl w:val="0"/>
              <w:autoSpaceDE w:val="0"/>
              <w:autoSpaceDN w:val="0"/>
              <w:adjustRightInd w:val="0"/>
              <w:rPr>
                <w:bCs/>
                <w:color w:val="000000"/>
              </w:rPr>
            </w:pPr>
            <w:r w:rsidRPr="00CD3353">
              <w:t>Total deposits in those other savings deposit account deposit products intended primarily for individuals for personal, household, or family use</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RCONP758</w:t>
            </w:r>
          </w:p>
        </w:tc>
      </w:tr>
      <w:tr w:rsidR="00CD3353" w:rsidRPr="00CD3353" w:rsidTr="00CD3353">
        <w:trPr>
          <w:trHeight w:val="312"/>
        </w:trPr>
        <w:tc>
          <w:tcPr>
            <w:tcW w:w="1275" w:type="dxa"/>
            <w:noWrap/>
          </w:tcPr>
          <w:p w:rsidR="00CD3353" w:rsidRPr="00CD3353" w:rsidRDefault="00CD3353" w:rsidP="00CD3353">
            <w:pPr>
              <w:widowControl w:val="0"/>
              <w:autoSpaceDE w:val="0"/>
              <w:autoSpaceDN w:val="0"/>
              <w:adjustRightInd w:val="0"/>
              <w:rPr>
                <w:bCs/>
                <w:color w:val="000000"/>
              </w:rPr>
            </w:pPr>
            <w:r w:rsidRPr="00CD3353">
              <w:rPr>
                <w:bCs/>
                <w:color w:val="000000"/>
              </w:rPr>
              <w:t>RC-E**</w:t>
            </w:r>
          </w:p>
        </w:tc>
        <w:tc>
          <w:tcPr>
            <w:tcW w:w="1176" w:type="dxa"/>
            <w:noWrap/>
          </w:tcPr>
          <w:p w:rsidR="00CD3353" w:rsidRPr="00CD3353" w:rsidRDefault="00CD3353" w:rsidP="00CD3353">
            <w:pPr>
              <w:widowControl w:val="0"/>
              <w:autoSpaceDE w:val="0"/>
              <w:autoSpaceDN w:val="0"/>
              <w:adjustRightInd w:val="0"/>
              <w:rPr>
                <w:bCs/>
                <w:color w:val="000000"/>
              </w:rPr>
            </w:pPr>
            <w:r w:rsidRPr="00CD3353">
              <w:rPr>
                <w:bCs/>
                <w:color w:val="000000"/>
              </w:rPr>
              <w:t>M.7.b.(2)</w:t>
            </w:r>
          </w:p>
        </w:tc>
        <w:tc>
          <w:tcPr>
            <w:tcW w:w="4109" w:type="dxa"/>
          </w:tcPr>
          <w:p w:rsidR="00CD3353" w:rsidRPr="00CD3353" w:rsidRDefault="00CD3353" w:rsidP="00CD3353">
            <w:pPr>
              <w:widowControl w:val="0"/>
              <w:autoSpaceDE w:val="0"/>
              <w:autoSpaceDN w:val="0"/>
              <w:adjustRightInd w:val="0"/>
              <w:rPr>
                <w:bCs/>
                <w:color w:val="000000"/>
              </w:rPr>
            </w:pPr>
            <w:r w:rsidRPr="00CD3353">
              <w:t>Deposits in all other savings deposit accounts of individuals, partnerships, and corporations</w:t>
            </w:r>
          </w:p>
        </w:tc>
        <w:tc>
          <w:tcPr>
            <w:tcW w:w="2296" w:type="dxa"/>
            <w:noWrap/>
          </w:tcPr>
          <w:p w:rsidR="00CD3353" w:rsidRPr="00CD3353" w:rsidRDefault="00CD3353" w:rsidP="00CD3353">
            <w:pPr>
              <w:widowControl w:val="0"/>
              <w:autoSpaceDE w:val="0"/>
              <w:autoSpaceDN w:val="0"/>
              <w:adjustRightInd w:val="0"/>
              <w:rPr>
                <w:bCs/>
                <w:color w:val="000000"/>
              </w:rPr>
            </w:pPr>
            <w:r w:rsidRPr="00CD3353">
              <w:rPr>
                <w:bCs/>
                <w:color w:val="000000"/>
              </w:rPr>
              <w:t>RCONP759</w:t>
            </w:r>
          </w:p>
        </w:tc>
      </w:tr>
      <w:tr w:rsidR="00CD3353" w:rsidRPr="00CD3353" w:rsidTr="00CD3353">
        <w:trPr>
          <w:trHeight w:val="312"/>
        </w:trPr>
        <w:tc>
          <w:tcPr>
            <w:tcW w:w="8856" w:type="dxa"/>
            <w:gridSpan w:val="4"/>
            <w:noWrap/>
          </w:tcPr>
          <w:p w:rsidR="00CD3353" w:rsidRPr="00CD3353" w:rsidRDefault="00CD3353" w:rsidP="00CD3353">
            <w:pPr>
              <w:widowControl w:val="0"/>
              <w:autoSpaceDE w:val="0"/>
              <w:autoSpaceDN w:val="0"/>
              <w:adjustRightInd w:val="0"/>
              <w:rPr>
                <w:bCs/>
                <w:color w:val="000000"/>
              </w:rPr>
            </w:pPr>
            <w:r w:rsidRPr="00CD3353">
              <w:t>**Items are to be completed by institutions with $1 billion or more in total assets that answered “Yes” to Schedule RC-E, Memorandum item 5.</w:t>
            </w:r>
          </w:p>
        </w:tc>
      </w:tr>
    </w:tbl>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rPr>
      </w:pPr>
      <w:r w:rsidRPr="00CD3353">
        <w:rPr>
          <w:bCs/>
          <w:color w:val="000000"/>
        </w:rPr>
        <w:t>The following data items are currently being proposed to be collected quarterly on the FFIEC 041 by those institutions with $1 billion or more in total assets that have adopted ASU 2016-13.</w:t>
      </w:r>
      <w:r w:rsidRPr="00CD3353">
        <w:rPr>
          <w:bCs/>
          <w:color w:val="000000"/>
          <w:vertAlign w:val="superscript"/>
        </w:rPr>
        <w:footnoteReference w:id="8"/>
      </w:r>
    </w:p>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rPr>
      </w:pPr>
      <w:r w:rsidRPr="00CD3353">
        <w:rPr>
          <w:bCs/>
          <w:color w:val="000000"/>
        </w:rPr>
        <w:t>For this proposal, the data items are proposed to be reported on the FFIEC 051 by institutions with $1 billion or more in total assets that have adopted ASU 2016-13 with a reduction in the frequency of collection.</w:t>
      </w:r>
    </w:p>
    <w:p w:rsidR="00CD3353" w:rsidRPr="00CD3353" w:rsidRDefault="00CD3353" w:rsidP="00CD3353">
      <w:pPr>
        <w:widowControl w:val="0"/>
        <w:autoSpaceDE w:val="0"/>
        <w:autoSpaceDN w:val="0"/>
        <w:adjustRightInd w:val="0"/>
        <w:rPr>
          <w:bCs/>
          <w:color w:val="000000"/>
        </w:rPr>
      </w:pPr>
    </w:p>
    <w:p w:rsidR="00CD3353" w:rsidRPr="00CD3353" w:rsidRDefault="00CD3353" w:rsidP="00CD3353">
      <w:pPr>
        <w:widowControl w:val="0"/>
        <w:autoSpaceDE w:val="0"/>
        <w:autoSpaceDN w:val="0"/>
        <w:adjustRightInd w:val="0"/>
        <w:rPr>
          <w:bCs/>
          <w:color w:val="000000"/>
          <w:u w:val="single"/>
        </w:rPr>
      </w:pPr>
      <w:r w:rsidRPr="00CD3353">
        <w:rPr>
          <w:bCs/>
          <w:color w:val="000000"/>
          <w:u w:val="single"/>
        </w:rPr>
        <w:t>Semiannual Reporting (June and December only)</w:t>
      </w:r>
    </w:p>
    <w:p w:rsidR="00CD3353" w:rsidRPr="00CD3353" w:rsidRDefault="00CD3353" w:rsidP="00CD3353">
      <w:pPr>
        <w:widowControl w:val="0"/>
        <w:autoSpaceDE w:val="0"/>
        <w:autoSpaceDN w:val="0"/>
        <w:adjustRightInd w:val="0"/>
        <w:rPr>
          <w:bCs/>
          <w:color w:val="000000"/>
        </w:rPr>
      </w:pPr>
    </w:p>
    <w:tbl>
      <w:tblPr>
        <w:tblStyle w:val="TableGrid4"/>
        <w:tblW w:w="0" w:type="auto"/>
        <w:tblLook w:val="04A0" w:firstRow="1" w:lastRow="0" w:firstColumn="1" w:lastColumn="0" w:noHBand="0" w:noVBand="1"/>
      </w:tblPr>
      <w:tblGrid>
        <w:gridCol w:w="1140"/>
        <w:gridCol w:w="1060"/>
        <w:gridCol w:w="4516"/>
        <w:gridCol w:w="2140"/>
      </w:tblGrid>
      <w:tr w:rsidR="00CD3353" w:rsidRPr="00CD3353" w:rsidTr="00CD3353">
        <w:trPr>
          <w:trHeight w:val="312"/>
        </w:trPr>
        <w:tc>
          <w:tcPr>
            <w:tcW w:w="1140" w:type="dxa"/>
            <w:noWrap/>
            <w:hideMark/>
          </w:tcPr>
          <w:p w:rsidR="00CD3353" w:rsidRPr="00CD3353" w:rsidRDefault="00CD3353" w:rsidP="00CD3353">
            <w:pPr>
              <w:widowControl w:val="0"/>
              <w:autoSpaceDE w:val="0"/>
              <w:autoSpaceDN w:val="0"/>
              <w:adjustRightInd w:val="0"/>
              <w:rPr>
                <w:b/>
                <w:bCs/>
              </w:rPr>
            </w:pPr>
            <w:r w:rsidRPr="00CD3353">
              <w:rPr>
                <w:b/>
                <w:bCs/>
              </w:rPr>
              <w:t>Schedule</w:t>
            </w:r>
          </w:p>
        </w:tc>
        <w:tc>
          <w:tcPr>
            <w:tcW w:w="1060" w:type="dxa"/>
            <w:noWrap/>
            <w:hideMark/>
          </w:tcPr>
          <w:p w:rsidR="00CD3353" w:rsidRPr="00CD3353" w:rsidRDefault="00CD3353" w:rsidP="00CD3353">
            <w:pPr>
              <w:widowControl w:val="0"/>
              <w:autoSpaceDE w:val="0"/>
              <w:autoSpaceDN w:val="0"/>
              <w:adjustRightInd w:val="0"/>
              <w:rPr>
                <w:b/>
                <w:bCs/>
              </w:rPr>
            </w:pPr>
            <w:r w:rsidRPr="00CD3353">
              <w:rPr>
                <w:b/>
                <w:bCs/>
              </w:rPr>
              <w:t>Item</w:t>
            </w:r>
          </w:p>
        </w:tc>
        <w:tc>
          <w:tcPr>
            <w:tcW w:w="4827" w:type="dxa"/>
            <w:hideMark/>
          </w:tcPr>
          <w:p w:rsidR="00CD3353" w:rsidRPr="00CD3353" w:rsidRDefault="00CD3353" w:rsidP="00CD3353">
            <w:pPr>
              <w:widowControl w:val="0"/>
              <w:autoSpaceDE w:val="0"/>
              <w:autoSpaceDN w:val="0"/>
              <w:adjustRightInd w:val="0"/>
              <w:rPr>
                <w:b/>
                <w:bCs/>
              </w:rPr>
            </w:pPr>
            <w:r w:rsidRPr="00CD3353">
              <w:rPr>
                <w:b/>
                <w:bCs/>
              </w:rPr>
              <w:t>Item Name</w:t>
            </w:r>
          </w:p>
        </w:tc>
        <w:tc>
          <w:tcPr>
            <w:tcW w:w="2238" w:type="dxa"/>
            <w:hideMark/>
          </w:tcPr>
          <w:p w:rsidR="00CD3353" w:rsidRPr="00CD3353" w:rsidRDefault="00CD3353" w:rsidP="00CD3353">
            <w:pPr>
              <w:widowControl w:val="0"/>
              <w:autoSpaceDE w:val="0"/>
              <w:autoSpaceDN w:val="0"/>
              <w:adjustRightInd w:val="0"/>
              <w:rPr>
                <w:b/>
                <w:bCs/>
              </w:rPr>
            </w:pPr>
            <w:r w:rsidRPr="00CD3353">
              <w:rPr>
                <w:b/>
                <w:bCs/>
              </w:rPr>
              <w:t>MDRM Numbers</w:t>
            </w:r>
          </w:p>
        </w:tc>
      </w:tr>
      <w:tr w:rsidR="00CD3353" w:rsidRPr="00CD3353" w:rsidTr="00CD3353">
        <w:trPr>
          <w:trHeight w:val="624"/>
        </w:trPr>
        <w:tc>
          <w:tcPr>
            <w:tcW w:w="1140" w:type="dxa"/>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7</w:t>
            </w:r>
          </w:p>
        </w:tc>
        <w:tc>
          <w:tcPr>
            <w:tcW w:w="4827" w:type="dxa"/>
          </w:tcPr>
          <w:p w:rsidR="00CD3353" w:rsidRPr="00CD3353" w:rsidRDefault="00CD3353" w:rsidP="00CD3353">
            <w:pPr>
              <w:widowControl w:val="0"/>
              <w:autoSpaceDE w:val="0"/>
              <w:autoSpaceDN w:val="0"/>
              <w:adjustRightInd w:val="0"/>
            </w:pPr>
            <w:r w:rsidRPr="00CD3353">
              <w:t>Held-to-Maturity: Securities issued by states and political subdivisions in the U.S.</w:t>
            </w:r>
          </w:p>
        </w:tc>
        <w:tc>
          <w:tcPr>
            <w:tcW w:w="2238" w:type="dxa"/>
          </w:tcPr>
          <w:p w:rsidR="00CD3353" w:rsidRPr="00CD3353" w:rsidRDefault="00CD3353" w:rsidP="00CD3353">
            <w:pPr>
              <w:widowControl w:val="0"/>
              <w:autoSpaceDE w:val="0"/>
              <w:autoSpaceDN w:val="0"/>
              <w:adjustRightInd w:val="0"/>
            </w:pPr>
            <w:r w:rsidRPr="00CD3353">
              <w:t>TBD (1 New MDRM Number)</w:t>
            </w:r>
          </w:p>
        </w:tc>
      </w:tr>
      <w:tr w:rsidR="00CD3353" w:rsidRPr="00CD3353" w:rsidTr="00CD3353">
        <w:trPr>
          <w:trHeight w:val="624"/>
        </w:trPr>
        <w:tc>
          <w:tcPr>
            <w:tcW w:w="1140" w:type="dxa"/>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8.a</w:t>
            </w:r>
          </w:p>
        </w:tc>
        <w:tc>
          <w:tcPr>
            <w:tcW w:w="4827" w:type="dxa"/>
          </w:tcPr>
          <w:p w:rsidR="00CD3353" w:rsidRPr="00CD3353" w:rsidRDefault="00CD3353" w:rsidP="00CD3353">
            <w:pPr>
              <w:widowControl w:val="0"/>
              <w:autoSpaceDE w:val="0"/>
              <w:autoSpaceDN w:val="0"/>
              <w:adjustRightInd w:val="0"/>
            </w:pPr>
            <w:r w:rsidRPr="00CD3353">
              <w:t xml:space="preserve">Held-to-Maturity: Mortgage-backed securities issued or guaranteed by U.S. Government agencies or sponsored agencies </w:t>
            </w:r>
          </w:p>
        </w:tc>
        <w:tc>
          <w:tcPr>
            <w:tcW w:w="2238" w:type="dxa"/>
          </w:tcPr>
          <w:p w:rsidR="00CD3353" w:rsidRPr="00CD3353" w:rsidRDefault="00CD3353" w:rsidP="00CD3353">
            <w:pPr>
              <w:widowControl w:val="0"/>
              <w:autoSpaceDE w:val="0"/>
              <w:autoSpaceDN w:val="0"/>
              <w:adjustRightInd w:val="0"/>
            </w:pPr>
            <w:r w:rsidRPr="00CD3353">
              <w:t>TBD (1 New MDRM Number)</w:t>
            </w:r>
          </w:p>
        </w:tc>
      </w:tr>
      <w:tr w:rsidR="00CD3353" w:rsidRPr="00CD3353" w:rsidTr="00CD3353">
        <w:trPr>
          <w:trHeight w:val="624"/>
        </w:trPr>
        <w:tc>
          <w:tcPr>
            <w:tcW w:w="1140" w:type="dxa"/>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8.b</w:t>
            </w:r>
          </w:p>
        </w:tc>
        <w:tc>
          <w:tcPr>
            <w:tcW w:w="4827" w:type="dxa"/>
          </w:tcPr>
          <w:p w:rsidR="00CD3353" w:rsidRPr="00CD3353" w:rsidRDefault="00CD3353" w:rsidP="00CD3353">
            <w:pPr>
              <w:widowControl w:val="0"/>
              <w:autoSpaceDE w:val="0"/>
              <w:autoSpaceDN w:val="0"/>
              <w:adjustRightInd w:val="0"/>
            </w:pPr>
            <w:r w:rsidRPr="00CD3353">
              <w:t xml:space="preserve">Held-to-Maturity: Other mortgage-backed securities </w:t>
            </w:r>
          </w:p>
        </w:tc>
        <w:tc>
          <w:tcPr>
            <w:tcW w:w="2238" w:type="dxa"/>
          </w:tcPr>
          <w:p w:rsidR="00CD3353" w:rsidRPr="00CD3353" w:rsidRDefault="00CD3353" w:rsidP="00CD3353">
            <w:pPr>
              <w:widowControl w:val="0"/>
              <w:autoSpaceDE w:val="0"/>
              <w:autoSpaceDN w:val="0"/>
              <w:adjustRightInd w:val="0"/>
            </w:pPr>
            <w:r w:rsidRPr="00CD3353">
              <w:t>TBD (1 New MDRM Number)</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9</w:t>
            </w:r>
          </w:p>
        </w:tc>
        <w:tc>
          <w:tcPr>
            <w:tcW w:w="4827" w:type="dxa"/>
          </w:tcPr>
          <w:p w:rsidR="00CD3353" w:rsidRPr="00CD3353" w:rsidRDefault="00CD3353" w:rsidP="00CD3353">
            <w:pPr>
              <w:widowControl w:val="0"/>
              <w:autoSpaceDE w:val="0"/>
              <w:autoSpaceDN w:val="0"/>
              <w:adjustRightInd w:val="0"/>
            </w:pPr>
            <w:r w:rsidRPr="00CD3353">
              <w:t xml:space="preserve">Held-to-Maturity: Asset-backed securities and structured financial products </w:t>
            </w:r>
          </w:p>
        </w:tc>
        <w:tc>
          <w:tcPr>
            <w:tcW w:w="2238" w:type="dxa"/>
          </w:tcPr>
          <w:p w:rsidR="00CD3353" w:rsidRPr="00CD3353" w:rsidRDefault="00CD3353" w:rsidP="00CD3353">
            <w:pPr>
              <w:widowControl w:val="0"/>
              <w:autoSpaceDE w:val="0"/>
              <w:autoSpaceDN w:val="0"/>
              <w:adjustRightInd w:val="0"/>
            </w:pPr>
            <w:r w:rsidRPr="00CD3353">
              <w:t>TBD (1 New MDRM Number)</w:t>
            </w:r>
          </w:p>
        </w:tc>
      </w:tr>
      <w:tr w:rsidR="00CD3353" w:rsidRPr="00CD3353" w:rsidTr="00CD3353">
        <w:trPr>
          <w:trHeight w:val="312"/>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10</w:t>
            </w:r>
          </w:p>
        </w:tc>
        <w:tc>
          <w:tcPr>
            <w:tcW w:w="4827" w:type="dxa"/>
          </w:tcPr>
          <w:p w:rsidR="00CD3353" w:rsidRPr="00CD3353" w:rsidRDefault="00CD3353" w:rsidP="00CD3353">
            <w:pPr>
              <w:widowControl w:val="0"/>
              <w:autoSpaceDE w:val="0"/>
              <w:autoSpaceDN w:val="0"/>
              <w:adjustRightInd w:val="0"/>
            </w:pPr>
            <w:r w:rsidRPr="00CD3353">
              <w:t xml:space="preserve">Held-to-Maturity: Other debt securities </w:t>
            </w:r>
          </w:p>
        </w:tc>
        <w:tc>
          <w:tcPr>
            <w:tcW w:w="2238" w:type="dxa"/>
          </w:tcPr>
          <w:p w:rsidR="00CD3353" w:rsidRPr="00CD3353" w:rsidRDefault="00CD3353" w:rsidP="00CD3353">
            <w:pPr>
              <w:widowControl w:val="0"/>
              <w:autoSpaceDE w:val="0"/>
              <w:autoSpaceDN w:val="0"/>
              <w:adjustRightInd w:val="0"/>
            </w:pPr>
            <w:r w:rsidRPr="00CD3353">
              <w:t>TBD (1 New MDRM Number)</w:t>
            </w:r>
          </w:p>
        </w:tc>
      </w:tr>
      <w:tr w:rsidR="00CD3353" w:rsidRPr="00CD3353" w:rsidTr="00CD3353">
        <w:trPr>
          <w:trHeight w:val="624"/>
        </w:trPr>
        <w:tc>
          <w:tcPr>
            <w:tcW w:w="1140" w:type="dxa"/>
            <w:noWrap/>
          </w:tcPr>
          <w:p w:rsidR="00CD3353" w:rsidRPr="00CD3353" w:rsidRDefault="00CD3353" w:rsidP="00CD3353">
            <w:pPr>
              <w:widowControl w:val="0"/>
              <w:autoSpaceDE w:val="0"/>
              <w:autoSpaceDN w:val="0"/>
              <w:adjustRightInd w:val="0"/>
            </w:pPr>
            <w:r w:rsidRPr="00CD3353">
              <w:t>RI-C</w:t>
            </w:r>
          </w:p>
        </w:tc>
        <w:tc>
          <w:tcPr>
            <w:tcW w:w="1060" w:type="dxa"/>
            <w:noWrap/>
          </w:tcPr>
          <w:p w:rsidR="00CD3353" w:rsidRPr="00CD3353" w:rsidRDefault="00CD3353" w:rsidP="00CD3353">
            <w:pPr>
              <w:widowControl w:val="0"/>
              <w:autoSpaceDE w:val="0"/>
              <w:autoSpaceDN w:val="0"/>
              <w:adjustRightInd w:val="0"/>
            </w:pPr>
            <w:r w:rsidRPr="00CD3353">
              <w:t>11</w:t>
            </w:r>
          </w:p>
        </w:tc>
        <w:tc>
          <w:tcPr>
            <w:tcW w:w="4827" w:type="dxa"/>
          </w:tcPr>
          <w:p w:rsidR="00CD3353" w:rsidRPr="00CD3353" w:rsidRDefault="00CD3353" w:rsidP="00CD3353">
            <w:pPr>
              <w:widowControl w:val="0"/>
              <w:autoSpaceDE w:val="0"/>
              <w:autoSpaceDN w:val="0"/>
              <w:adjustRightInd w:val="0"/>
            </w:pPr>
            <w:r w:rsidRPr="00CD3353">
              <w:t>Held-to-Maturity: Total</w:t>
            </w:r>
          </w:p>
        </w:tc>
        <w:tc>
          <w:tcPr>
            <w:tcW w:w="2238" w:type="dxa"/>
          </w:tcPr>
          <w:p w:rsidR="00CD3353" w:rsidRPr="00CD3353" w:rsidRDefault="00CD3353" w:rsidP="00CD3353">
            <w:pPr>
              <w:widowControl w:val="0"/>
              <w:autoSpaceDE w:val="0"/>
              <w:autoSpaceDN w:val="0"/>
              <w:adjustRightInd w:val="0"/>
            </w:pPr>
            <w:r w:rsidRPr="00CD3353">
              <w:t>TBD (1 New MDRM Number)</w:t>
            </w:r>
          </w:p>
        </w:tc>
      </w:tr>
    </w:tbl>
    <w:p w:rsidR="00CD3353" w:rsidRPr="00CD3353" w:rsidRDefault="00CD3353" w:rsidP="00CD3353">
      <w:pPr>
        <w:widowControl w:val="0"/>
        <w:autoSpaceDE w:val="0"/>
        <w:autoSpaceDN w:val="0"/>
        <w:adjustRightInd w:val="0"/>
      </w:pPr>
    </w:p>
    <w:p w:rsidR="00CD3353" w:rsidRPr="00460EDD" w:rsidRDefault="00CD3353" w:rsidP="00CA66AA">
      <w:pPr>
        <w:suppressAutoHyphens/>
      </w:pPr>
    </w:p>
    <w:sectPr w:rsidR="00CD3353" w:rsidRPr="00460EDD" w:rsidSect="007D3E19">
      <w:headerReference w:type="default" r:id="rId11"/>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53" w:rsidRDefault="00CD3353">
      <w:r>
        <w:separator/>
      </w:r>
    </w:p>
  </w:endnote>
  <w:endnote w:type="continuationSeparator" w:id="0">
    <w:p w:rsidR="00CD3353" w:rsidRDefault="00CD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53" w:rsidRDefault="00CD3353">
      <w:r>
        <w:separator/>
      </w:r>
    </w:p>
  </w:footnote>
  <w:footnote w:type="continuationSeparator" w:id="0">
    <w:p w:rsidR="00CD3353" w:rsidRDefault="00CD3353">
      <w:r>
        <w:continuationSeparator/>
      </w:r>
    </w:p>
  </w:footnote>
  <w:footnote w:id="1">
    <w:p w:rsidR="00CD3353" w:rsidRPr="00134E28" w:rsidRDefault="00CD3353" w:rsidP="00DC23C5">
      <w:pPr>
        <w:pStyle w:val="FootnoteText"/>
        <w:rPr>
          <w:rFonts w:ascii="Times New Roman" w:hAnsi="Times New Roman"/>
          <w:sz w:val="20"/>
        </w:rPr>
      </w:pPr>
      <w:r w:rsidRPr="00134E28">
        <w:rPr>
          <w:rStyle w:val="FootnoteReference"/>
          <w:rFonts w:ascii="Times New Roman" w:hAnsi="Times New Roman"/>
          <w:sz w:val="20"/>
        </w:rPr>
        <w:footnoteRef/>
      </w:r>
      <w:r w:rsidRPr="00134E28">
        <w:rPr>
          <w:rFonts w:ascii="Times New Roman" w:hAnsi="Times New Roman"/>
          <w:sz w:val="20"/>
        </w:rPr>
        <w:t xml:space="preserve">  This number includes 69 data items collected on Schedule RC-T, Fiduciary and Related Services, that are only reported by certain institutions with fiduciary powers that have fiduciary activity to report.</w:t>
      </w:r>
    </w:p>
  </w:footnote>
  <w:footnote w:id="2">
    <w:p w:rsidR="00CD3353" w:rsidRPr="00D43309" w:rsidRDefault="00CD3353" w:rsidP="00DC23C5">
      <w:pPr>
        <w:pStyle w:val="FootnoteText"/>
        <w:rPr>
          <w:rFonts w:ascii="Times New Roman" w:hAnsi="Times New Roman"/>
          <w:sz w:val="20"/>
        </w:rPr>
      </w:pPr>
      <w:r w:rsidRPr="00D43309">
        <w:rPr>
          <w:rStyle w:val="FootnoteReference"/>
          <w:rFonts w:ascii="Times New Roman" w:hAnsi="Times New Roman"/>
          <w:sz w:val="20"/>
        </w:rPr>
        <w:footnoteRef/>
      </w:r>
      <w:r w:rsidRPr="00D43309">
        <w:rPr>
          <w:rFonts w:ascii="Times New Roman" w:hAnsi="Times New Roman"/>
          <w:sz w:val="20"/>
        </w:rPr>
        <w:t xml:space="preserve">  Total fiduciary assets are measured as of the preceding December 31.  Gross fiduciary and related services income is measured as a percentage of revenue (net interest income plus noninterest income) for the preceding calendar year.</w:t>
      </w:r>
    </w:p>
  </w:footnote>
  <w:footnote w:id="3">
    <w:p w:rsidR="00CD3353" w:rsidRPr="00D43309" w:rsidRDefault="00CD3353" w:rsidP="00DC23C5">
      <w:pPr>
        <w:pStyle w:val="FootnoteText"/>
        <w:rPr>
          <w:rFonts w:ascii="Times New Roman" w:hAnsi="Times New Roman"/>
          <w:sz w:val="20"/>
        </w:rPr>
      </w:pPr>
      <w:r w:rsidRPr="00D43309">
        <w:rPr>
          <w:rStyle w:val="FootnoteReference"/>
          <w:rFonts w:ascii="Times New Roman" w:hAnsi="Times New Roman"/>
          <w:sz w:val="20"/>
        </w:rPr>
        <w:footnoteRef/>
      </w:r>
      <w:r w:rsidRPr="00D43309">
        <w:rPr>
          <w:rFonts w:ascii="Times New Roman" w:hAnsi="Times New Roman"/>
          <w:sz w:val="20"/>
        </w:rPr>
        <w:t xml:space="preserve">  See 83 FR 49160 (September 28, 2018).</w:t>
      </w:r>
    </w:p>
  </w:footnote>
  <w:footnote w:id="4">
    <w:p w:rsidR="00CD3353" w:rsidRPr="00D43309" w:rsidRDefault="00CD3353" w:rsidP="00DC23C5">
      <w:pPr>
        <w:pStyle w:val="FootnoteText"/>
        <w:rPr>
          <w:rFonts w:ascii="Times New Roman" w:hAnsi="Times New Roman"/>
          <w:sz w:val="20"/>
        </w:rPr>
      </w:pPr>
      <w:r w:rsidRPr="00D43309">
        <w:rPr>
          <w:rStyle w:val="FootnoteReference"/>
          <w:rFonts w:ascii="Times New Roman" w:hAnsi="Times New Roman"/>
          <w:sz w:val="20"/>
        </w:rPr>
        <w:footnoteRef/>
      </w:r>
      <w:r w:rsidRPr="00D43309">
        <w:rPr>
          <w:rFonts w:ascii="Times New Roman" w:hAnsi="Times New Roman"/>
          <w:sz w:val="20"/>
        </w:rPr>
        <w:t xml:space="preserve">  The amortized cost amounts to be reported would exclude any accrued interest receivable that is reported in </w:t>
      </w:r>
      <w:r>
        <w:rPr>
          <w:rFonts w:ascii="Times New Roman" w:hAnsi="Times New Roman"/>
          <w:sz w:val="20"/>
        </w:rPr>
        <w:t>“</w:t>
      </w:r>
      <w:r w:rsidRPr="00D43309">
        <w:rPr>
          <w:rFonts w:ascii="Times New Roman" w:hAnsi="Times New Roman"/>
          <w:sz w:val="20"/>
        </w:rPr>
        <w:t>Other assets</w:t>
      </w:r>
      <w:r>
        <w:rPr>
          <w:rFonts w:ascii="Times New Roman" w:hAnsi="Times New Roman"/>
          <w:sz w:val="20"/>
        </w:rPr>
        <w:t>”</w:t>
      </w:r>
      <w:r w:rsidRPr="00D43309">
        <w:rPr>
          <w:rFonts w:ascii="Times New Roman" w:hAnsi="Times New Roman"/>
          <w:sz w:val="20"/>
        </w:rPr>
        <w:t xml:space="preserve"> on the Call Report balance sheet.</w:t>
      </w:r>
    </w:p>
  </w:footnote>
  <w:footnote w:id="5">
    <w:p w:rsidR="00CD3353" w:rsidRPr="00CF58B4" w:rsidRDefault="00CD3353" w:rsidP="00DC23C5">
      <w:pPr>
        <w:pStyle w:val="FootnoteText"/>
        <w:rPr>
          <w:rFonts w:ascii="Times New Roman" w:hAnsi="Times New Roman"/>
          <w:sz w:val="20"/>
        </w:rPr>
      </w:pPr>
      <w:r w:rsidRPr="00CF58B4">
        <w:rPr>
          <w:rStyle w:val="FootnoteReference"/>
          <w:rFonts w:ascii="Times New Roman" w:hAnsi="Times New Roman"/>
          <w:sz w:val="20"/>
        </w:rPr>
        <w:footnoteRef/>
      </w:r>
      <w:r w:rsidRPr="00CF58B4">
        <w:rPr>
          <w:rFonts w:ascii="Times New Roman" w:hAnsi="Times New Roman"/>
          <w:sz w:val="20"/>
        </w:rPr>
        <w:t xml:space="preserve">  See 78 FR 12141 (February 21, 2013).</w:t>
      </w:r>
    </w:p>
  </w:footnote>
  <w:footnote w:id="6">
    <w:p w:rsidR="00CD3353" w:rsidRPr="00CF58B4" w:rsidRDefault="00CD3353" w:rsidP="00DC23C5">
      <w:pPr>
        <w:pStyle w:val="FootnoteText"/>
        <w:rPr>
          <w:rFonts w:ascii="Times New Roman" w:hAnsi="Times New Roman"/>
          <w:sz w:val="20"/>
        </w:rPr>
      </w:pPr>
      <w:r w:rsidRPr="00CF58B4">
        <w:rPr>
          <w:rStyle w:val="FootnoteReference"/>
          <w:rFonts w:ascii="Times New Roman" w:hAnsi="Times New Roman"/>
          <w:sz w:val="20"/>
        </w:rPr>
        <w:footnoteRef/>
      </w:r>
      <w:r w:rsidRPr="00CF58B4">
        <w:rPr>
          <w:rFonts w:ascii="Times New Roman" w:hAnsi="Times New Roman"/>
          <w:sz w:val="20"/>
        </w:rPr>
        <w:t xml:space="preserve">  See e.g., 12 U.S.C. 1817 note.  Generally, the FDIC shall take such steps as may be necessary for the reserve ratio of the DIF to reach 1.35 percent of estimated insured deposits by September 30, 2020.</w:t>
      </w:r>
    </w:p>
  </w:footnote>
  <w:footnote w:id="7">
    <w:p w:rsidR="00CD3353" w:rsidRPr="00CF58B4" w:rsidRDefault="00CD3353" w:rsidP="00DC23C5">
      <w:pPr>
        <w:pStyle w:val="FootnoteText"/>
        <w:rPr>
          <w:rFonts w:ascii="Times New Roman" w:hAnsi="Times New Roman"/>
          <w:sz w:val="20"/>
        </w:rPr>
      </w:pPr>
      <w:r w:rsidRPr="00CF58B4">
        <w:rPr>
          <w:rStyle w:val="FootnoteReference"/>
          <w:rFonts w:ascii="Times New Roman" w:hAnsi="Times New Roman"/>
          <w:sz w:val="20"/>
        </w:rPr>
        <w:footnoteRef/>
      </w:r>
      <w:r w:rsidRPr="00CF58B4">
        <w:rPr>
          <w:rFonts w:ascii="Times New Roman" w:hAnsi="Times New Roman"/>
          <w:sz w:val="20"/>
        </w:rPr>
        <w:t xml:space="preserve">  See 12 CFR 327.10.</w:t>
      </w:r>
    </w:p>
  </w:footnote>
  <w:footnote w:id="8">
    <w:p w:rsidR="00CD3353" w:rsidRPr="007B416D" w:rsidRDefault="00CD3353" w:rsidP="00CD3353">
      <w:pPr>
        <w:pStyle w:val="FootnoteText"/>
        <w:rPr>
          <w:rFonts w:ascii="Times New Roman" w:hAnsi="Times New Roman"/>
          <w:sz w:val="20"/>
        </w:rPr>
      </w:pPr>
      <w:r w:rsidRPr="007B416D">
        <w:rPr>
          <w:rStyle w:val="FootnoteReference"/>
          <w:rFonts w:ascii="Times New Roman" w:hAnsi="Times New Roman"/>
          <w:sz w:val="20"/>
        </w:rPr>
        <w:footnoteRef/>
      </w:r>
      <w:r w:rsidRPr="007B416D">
        <w:rPr>
          <w:rFonts w:ascii="Times New Roman" w:hAnsi="Times New Roman"/>
          <w:sz w:val="20"/>
        </w:rPr>
        <w:t xml:space="preserve"> </w:t>
      </w:r>
      <w:r>
        <w:rPr>
          <w:rFonts w:ascii="Times New Roman" w:hAnsi="Times New Roman"/>
          <w:sz w:val="20"/>
        </w:rPr>
        <w:t xml:space="preserve"> </w:t>
      </w:r>
      <w:r w:rsidRPr="007B416D">
        <w:rPr>
          <w:rFonts w:ascii="Times New Roman" w:hAnsi="Times New Roman"/>
          <w:sz w:val="20"/>
        </w:rPr>
        <w:t>See 83 FR 49160 (September 28,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53" w:rsidRDefault="00CD3353">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795B367A" wp14:editId="3B45E237">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D3353" w:rsidRPr="00C02911" w:rsidRDefault="00CD3353">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9339F1">
                            <w:rPr>
                              <w:noProof/>
                              <w:spacing w:val="-2"/>
                            </w:rPr>
                            <w:t>2</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rsidR="00CD3353" w:rsidRPr="00C02911" w:rsidRDefault="00CD3353">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9339F1">
                      <w:rPr>
                        <w:noProof/>
                        <w:spacing w:val="-2"/>
                      </w:rPr>
                      <w:t>2</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rsidR="00CD3353" w:rsidRDefault="00CD3353">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24">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6"/>
  </w:num>
  <w:num w:numId="2">
    <w:abstractNumId w:val="11"/>
  </w:num>
  <w:num w:numId="3">
    <w:abstractNumId w:val="29"/>
  </w:num>
  <w:num w:numId="4">
    <w:abstractNumId w:val="21"/>
  </w:num>
  <w:num w:numId="5">
    <w:abstractNumId w:val="3"/>
  </w:num>
  <w:num w:numId="6">
    <w:abstractNumId w:val="9"/>
  </w:num>
  <w:num w:numId="7">
    <w:abstractNumId w:val="23"/>
  </w:num>
  <w:num w:numId="8">
    <w:abstractNumId w:val="30"/>
  </w:num>
  <w:num w:numId="9">
    <w:abstractNumId w:val="24"/>
  </w:num>
  <w:num w:numId="10">
    <w:abstractNumId w:val="33"/>
  </w:num>
  <w:num w:numId="11">
    <w:abstractNumId w:val="20"/>
  </w:num>
  <w:num w:numId="12">
    <w:abstractNumId w:val="19"/>
  </w:num>
  <w:num w:numId="13">
    <w:abstractNumId w:val="27"/>
  </w:num>
  <w:num w:numId="14">
    <w:abstractNumId w:val="5"/>
  </w:num>
  <w:num w:numId="15">
    <w:abstractNumId w:val="2"/>
  </w:num>
  <w:num w:numId="16">
    <w:abstractNumId w:val="13"/>
  </w:num>
  <w:num w:numId="17">
    <w:abstractNumId w:val="7"/>
  </w:num>
  <w:num w:numId="18">
    <w:abstractNumId w:val="26"/>
  </w:num>
  <w:num w:numId="19">
    <w:abstractNumId w:val="0"/>
  </w:num>
  <w:num w:numId="20">
    <w:abstractNumId w:val="8"/>
  </w:num>
  <w:num w:numId="21">
    <w:abstractNumId w:val="12"/>
  </w:num>
  <w:num w:numId="22">
    <w:abstractNumId w:val="6"/>
  </w:num>
  <w:num w:numId="23">
    <w:abstractNumId w:val="18"/>
  </w:num>
  <w:num w:numId="24">
    <w:abstractNumId w:val="15"/>
  </w:num>
  <w:num w:numId="25">
    <w:abstractNumId w:val="31"/>
  </w:num>
  <w:num w:numId="26">
    <w:abstractNumId w:val="32"/>
  </w:num>
  <w:num w:numId="27">
    <w:abstractNumId w:val="4"/>
  </w:num>
  <w:num w:numId="28">
    <w:abstractNumId w:val="1"/>
  </w:num>
  <w:num w:numId="29">
    <w:abstractNumId w:val="14"/>
  </w:num>
  <w:num w:numId="30">
    <w:abstractNumId w:val="25"/>
  </w:num>
  <w:num w:numId="31">
    <w:abstractNumId w:val="28"/>
  </w:num>
  <w:num w:numId="32">
    <w:abstractNumId w:val="10"/>
  </w:num>
  <w:num w:numId="33">
    <w:abstractNumId w:val="22"/>
  </w:num>
  <w:num w:numId="3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64"/>
    <w:rsid w:val="0000034D"/>
    <w:rsid w:val="00000EBE"/>
    <w:rsid w:val="0000182B"/>
    <w:rsid w:val="000036AE"/>
    <w:rsid w:val="000074FE"/>
    <w:rsid w:val="000079F8"/>
    <w:rsid w:val="000121CB"/>
    <w:rsid w:val="0001344D"/>
    <w:rsid w:val="00013774"/>
    <w:rsid w:val="000138E6"/>
    <w:rsid w:val="0001708F"/>
    <w:rsid w:val="00017F32"/>
    <w:rsid w:val="000246B3"/>
    <w:rsid w:val="0003363E"/>
    <w:rsid w:val="00035820"/>
    <w:rsid w:val="00036B3A"/>
    <w:rsid w:val="0004681D"/>
    <w:rsid w:val="000504D3"/>
    <w:rsid w:val="00052442"/>
    <w:rsid w:val="00060FCC"/>
    <w:rsid w:val="00061E58"/>
    <w:rsid w:val="00064713"/>
    <w:rsid w:val="0007005A"/>
    <w:rsid w:val="00070BC9"/>
    <w:rsid w:val="0007320C"/>
    <w:rsid w:val="000766EB"/>
    <w:rsid w:val="000820B4"/>
    <w:rsid w:val="00082BB5"/>
    <w:rsid w:val="00086E0C"/>
    <w:rsid w:val="00091262"/>
    <w:rsid w:val="00091C72"/>
    <w:rsid w:val="00094016"/>
    <w:rsid w:val="000A08BA"/>
    <w:rsid w:val="000A2BB4"/>
    <w:rsid w:val="000A47AF"/>
    <w:rsid w:val="000B1734"/>
    <w:rsid w:val="000B1A2D"/>
    <w:rsid w:val="000B3D55"/>
    <w:rsid w:val="000B42B8"/>
    <w:rsid w:val="000B5092"/>
    <w:rsid w:val="000B5800"/>
    <w:rsid w:val="000C1028"/>
    <w:rsid w:val="000C1FED"/>
    <w:rsid w:val="000C3103"/>
    <w:rsid w:val="000C3205"/>
    <w:rsid w:val="000C55BB"/>
    <w:rsid w:val="000C59F7"/>
    <w:rsid w:val="000D020F"/>
    <w:rsid w:val="000D0BC0"/>
    <w:rsid w:val="000D21D5"/>
    <w:rsid w:val="000D5593"/>
    <w:rsid w:val="000D668C"/>
    <w:rsid w:val="000E023B"/>
    <w:rsid w:val="000E2097"/>
    <w:rsid w:val="000E2A0D"/>
    <w:rsid w:val="000F19E2"/>
    <w:rsid w:val="000F3773"/>
    <w:rsid w:val="00100A5A"/>
    <w:rsid w:val="001017BF"/>
    <w:rsid w:val="001141BF"/>
    <w:rsid w:val="00115F28"/>
    <w:rsid w:val="00117853"/>
    <w:rsid w:val="0012031D"/>
    <w:rsid w:val="00121A06"/>
    <w:rsid w:val="00122B7E"/>
    <w:rsid w:val="00122B87"/>
    <w:rsid w:val="00123871"/>
    <w:rsid w:val="0012415F"/>
    <w:rsid w:val="00135DF9"/>
    <w:rsid w:val="00137215"/>
    <w:rsid w:val="00140673"/>
    <w:rsid w:val="00140841"/>
    <w:rsid w:val="00146A71"/>
    <w:rsid w:val="001571F8"/>
    <w:rsid w:val="001577FD"/>
    <w:rsid w:val="00160A78"/>
    <w:rsid w:val="00162226"/>
    <w:rsid w:val="00166426"/>
    <w:rsid w:val="001762E5"/>
    <w:rsid w:val="001813E0"/>
    <w:rsid w:val="00183A52"/>
    <w:rsid w:val="00193B9D"/>
    <w:rsid w:val="0019630E"/>
    <w:rsid w:val="0019721C"/>
    <w:rsid w:val="001A37D0"/>
    <w:rsid w:val="001A3CF9"/>
    <w:rsid w:val="001A3EED"/>
    <w:rsid w:val="001A593F"/>
    <w:rsid w:val="001A5A9C"/>
    <w:rsid w:val="001A6CB3"/>
    <w:rsid w:val="001A78A4"/>
    <w:rsid w:val="001A7CA2"/>
    <w:rsid w:val="001B06DF"/>
    <w:rsid w:val="001B0D70"/>
    <w:rsid w:val="001B0DA0"/>
    <w:rsid w:val="001B1079"/>
    <w:rsid w:val="001B21EF"/>
    <w:rsid w:val="001C067A"/>
    <w:rsid w:val="001C382B"/>
    <w:rsid w:val="001C49FA"/>
    <w:rsid w:val="001D4BCB"/>
    <w:rsid w:val="001E0EEE"/>
    <w:rsid w:val="001E45AB"/>
    <w:rsid w:val="001E5DA3"/>
    <w:rsid w:val="001F615B"/>
    <w:rsid w:val="002026E3"/>
    <w:rsid w:val="00205D6E"/>
    <w:rsid w:val="00207645"/>
    <w:rsid w:val="0021415E"/>
    <w:rsid w:val="00214D21"/>
    <w:rsid w:val="00214E69"/>
    <w:rsid w:val="00221033"/>
    <w:rsid w:val="002226D8"/>
    <w:rsid w:val="00222F70"/>
    <w:rsid w:val="00223DDF"/>
    <w:rsid w:val="00225344"/>
    <w:rsid w:val="002337EF"/>
    <w:rsid w:val="00234B6E"/>
    <w:rsid w:val="00234EF2"/>
    <w:rsid w:val="002351BE"/>
    <w:rsid w:val="0023786A"/>
    <w:rsid w:val="002404F2"/>
    <w:rsid w:val="002428BD"/>
    <w:rsid w:val="00247568"/>
    <w:rsid w:val="00256704"/>
    <w:rsid w:val="00257989"/>
    <w:rsid w:val="00260913"/>
    <w:rsid w:val="00261B6B"/>
    <w:rsid w:val="00266648"/>
    <w:rsid w:val="00266F21"/>
    <w:rsid w:val="00275E56"/>
    <w:rsid w:val="002823DE"/>
    <w:rsid w:val="00291F56"/>
    <w:rsid w:val="0029572A"/>
    <w:rsid w:val="00295F47"/>
    <w:rsid w:val="002973FE"/>
    <w:rsid w:val="002A6B7A"/>
    <w:rsid w:val="002A75F8"/>
    <w:rsid w:val="002B0368"/>
    <w:rsid w:val="002B5653"/>
    <w:rsid w:val="002B5B2F"/>
    <w:rsid w:val="002C241E"/>
    <w:rsid w:val="002C4878"/>
    <w:rsid w:val="002D2387"/>
    <w:rsid w:val="002D2E46"/>
    <w:rsid w:val="002D3C32"/>
    <w:rsid w:val="002D558C"/>
    <w:rsid w:val="002D6604"/>
    <w:rsid w:val="002E0B6F"/>
    <w:rsid w:val="002E256C"/>
    <w:rsid w:val="002E4255"/>
    <w:rsid w:val="002F7078"/>
    <w:rsid w:val="003069D4"/>
    <w:rsid w:val="00306CB6"/>
    <w:rsid w:val="003112DB"/>
    <w:rsid w:val="00311F12"/>
    <w:rsid w:val="00321826"/>
    <w:rsid w:val="00322909"/>
    <w:rsid w:val="0032328D"/>
    <w:rsid w:val="00331F7D"/>
    <w:rsid w:val="00332CC1"/>
    <w:rsid w:val="00341D99"/>
    <w:rsid w:val="00343E7B"/>
    <w:rsid w:val="00354901"/>
    <w:rsid w:val="00356D0D"/>
    <w:rsid w:val="00357CAF"/>
    <w:rsid w:val="0036259A"/>
    <w:rsid w:val="00363125"/>
    <w:rsid w:val="00364554"/>
    <w:rsid w:val="0036490D"/>
    <w:rsid w:val="00375C43"/>
    <w:rsid w:val="0038366B"/>
    <w:rsid w:val="00384313"/>
    <w:rsid w:val="003843E2"/>
    <w:rsid w:val="0038505B"/>
    <w:rsid w:val="00387778"/>
    <w:rsid w:val="003939B7"/>
    <w:rsid w:val="003A063D"/>
    <w:rsid w:val="003B0251"/>
    <w:rsid w:val="003B0DF1"/>
    <w:rsid w:val="003B14B2"/>
    <w:rsid w:val="003B2407"/>
    <w:rsid w:val="003B512A"/>
    <w:rsid w:val="003B63B9"/>
    <w:rsid w:val="003C3D4E"/>
    <w:rsid w:val="003C4D51"/>
    <w:rsid w:val="003C665B"/>
    <w:rsid w:val="003C6F63"/>
    <w:rsid w:val="003D0D30"/>
    <w:rsid w:val="003D1A66"/>
    <w:rsid w:val="003D7DD0"/>
    <w:rsid w:val="003E1F7F"/>
    <w:rsid w:val="003E6C6E"/>
    <w:rsid w:val="003F05DD"/>
    <w:rsid w:val="003F108B"/>
    <w:rsid w:val="003F162A"/>
    <w:rsid w:val="003F28F3"/>
    <w:rsid w:val="003F7944"/>
    <w:rsid w:val="0040051C"/>
    <w:rsid w:val="00406922"/>
    <w:rsid w:val="004144E4"/>
    <w:rsid w:val="00414A3B"/>
    <w:rsid w:val="00420FEE"/>
    <w:rsid w:val="00427D73"/>
    <w:rsid w:val="00437B51"/>
    <w:rsid w:val="00437E79"/>
    <w:rsid w:val="00442A0F"/>
    <w:rsid w:val="00445803"/>
    <w:rsid w:val="00454EAB"/>
    <w:rsid w:val="00456548"/>
    <w:rsid w:val="00460EDD"/>
    <w:rsid w:val="00460FB2"/>
    <w:rsid w:val="00470DC5"/>
    <w:rsid w:val="00471AEA"/>
    <w:rsid w:val="00473C02"/>
    <w:rsid w:val="00475E7B"/>
    <w:rsid w:val="00477194"/>
    <w:rsid w:val="00477711"/>
    <w:rsid w:val="004828E0"/>
    <w:rsid w:val="00483AF4"/>
    <w:rsid w:val="00484D0A"/>
    <w:rsid w:val="004A0A0C"/>
    <w:rsid w:val="004A5001"/>
    <w:rsid w:val="004A51F3"/>
    <w:rsid w:val="004B0A20"/>
    <w:rsid w:val="004C1B25"/>
    <w:rsid w:val="004D069D"/>
    <w:rsid w:val="004D2B88"/>
    <w:rsid w:val="004D49FC"/>
    <w:rsid w:val="004E138D"/>
    <w:rsid w:val="004E24F8"/>
    <w:rsid w:val="004E2820"/>
    <w:rsid w:val="004E2FAE"/>
    <w:rsid w:val="004E5180"/>
    <w:rsid w:val="004E57E2"/>
    <w:rsid w:val="004E5CFF"/>
    <w:rsid w:val="004F11FC"/>
    <w:rsid w:val="004F5C64"/>
    <w:rsid w:val="00501A83"/>
    <w:rsid w:val="0050661F"/>
    <w:rsid w:val="00510B5B"/>
    <w:rsid w:val="00512A98"/>
    <w:rsid w:val="00513E7C"/>
    <w:rsid w:val="00514799"/>
    <w:rsid w:val="0051755B"/>
    <w:rsid w:val="005175B2"/>
    <w:rsid w:val="00517B6F"/>
    <w:rsid w:val="005202B2"/>
    <w:rsid w:val="00520417"/>
    <w:rsid w:val="00524653"/>
    <w:rsid w:val="00532EE2"/>
    <w:rsid w:val="0053599A"/>
    <w:rsid w:val="00536074"/>
    <w:rsid w:val="0054038B"/>
    <w:rsid w:val="00542E2B"/>
    <w:rsid w:val="00542F5C"/>
    <w:rsid w:val="005456DE"/>
    <w:rsid w:val="00545984"/>
    <w:rsid w:val="00551533"/>
    <w:rsid w:val="005567C1"/>
    <w:rsid w:val="00556F43"/>
    <w:rsid w:val="00557895"/>
    <w:rsid w:val="00560E9B"/>
    <w:rsid w:val="00561426"/>
    <w:rsid w:val="005643CB"/>
    <w:rsid w:val="00570AE2"/>
    <w:rsid w:val="0057408F"/>
    <w:rsid w:val="00576033"/>
    <w:rsid w:val="00577CD7"/>
    <w:rsid w:val="005803EC"/>
    <w:rsid w:val="00580D33"/>
    <w:rsid w:val="00584287"/>
    <w:rsid w:val="00584D3B"/>
    <w:rsid w:val="00590603"/>
    <w:rsid w:val="00590B99"/>
    <w:rsid w:val="005A0C4D"/>
    <w:rsid w:val="005A2811"/>
    <w:rsid w:val="005A4949"/>
    <w:rsid w:val="005A6496"/>
    <w:rsid w:val="005A7F78"/>
    <w:rsid w:val="005B2488"/>
    <w:rsid w:val="005B60AE"/>
    <w:rsid w:val="005B6ED9"/>
    <w:rsid w:val="005C26DD"/>
    <w:rsid w:val="005C272B"/>
    <w:rsid w:val="005D362F"/>
    <w:rsid w:val="005D5552"/>
    <w:rsid w:val="005E09C3"/>
    <w:rsid w:val="005E40BE"/>
    <w:rsid w:val="005E770A"/>
    <w:rsid w:val="005E7A56"/>
    <w:rsid w:val="005F0363"/>
    <w:rsid w:val="005F48D6"/>
    <w:rsid w:val="0060317E"/>
    <w:rsid w:val="00603C68"/>
    <w:rsid w:val="00604EFE"/>
    <w:rsid w:val="00623EB2"/>
    <w:rsid w:val="006245F5"/>
    <w:rsid w:val="006321CC"/>
    <w:rsid w:val="006331DE"/>
    <w:rsid w:val="00641E3F"/>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6A12"/>
    <w:rsid w:val="006725F5"/>
    <w:rsid w:val="00672D93"/>
    <w:rsid w:val="00675CAF"/>
    <w:rsid w:val="00680338"/>
    <w:rsid w:val="00685F1E"/>
    <w:rsid w:val="00687140"/>
    <w:rsid w:val="00687583"/>
    <w:rsid w:val="006878D8"/>
    <w:rsid w:val="00687EF5"/>
    <w:rsid w:val="00691F42"/>
    <w:rsid w:val="00692EFB"/>
    <w:rsid w:val="0069536E"/>
    <w:rsid w:val="006A2FCB"/>
    <w:rsid w:val="006B61A3"/>
    <w:rsid w:val="006B6856"/>
    <w:rsid w:val="006C3F0B"/>
    <w:rsid w:val="006C4A38"/>
    <w:rsid w:val="006C4F6D"/>
    <w:rsid w:val="006C75EA"/>
    <w:rsid w:val="006D21BB"/>
    <w:rsid w:val="006D38B0"/>
    <w:rsid w:val="006D7587"/>
    <w:rsid w:val="006E1587"/>
    <w:rsid w:val="006E4E12"/>
    <w:rsid w:val="006F55CB"/>
    <w:rsid w:val="007019E9"/>
    <w:rsid w:val="00703F70"/>
    <w:rsid w:val="00707506"/>
    <w:rsid w:val="007105BC"/>
    <w:rsid w:val="00713650"/>
    <w:rsid w:val="00720AA2"/>
    <w:rsid w:val="00720E04"/>
    <w:rsid w:val="00723AC5"/>
    <w:rsid w:val="00724873"/>
    <w:rsid w:val="00726404"/>
    <w:rsid w:val="00726E05"/>
    <w:rsid w:val="007343A6"/>
    <w:rsid w:val="00734A36"/>
    <w:rsid w:val="00737AF5"/>
    <w:rsid w:val="007425C0"/>
    <w:rsid w:val="007472FB"/>
    <w:rsid w:val="00750E48"/>
    <w:rsid w:val="0075329F"/>
    <w:rsid w:val="007546C1"/>
    <w:rsid w:val="0075493F"/>
    <w:rsid w:val="00760FB9"/>
    <w:rsid w:val="00764CEC"/>
    <w:rsid w:val="00766EBA"/>
    <w:rsid w:val="00780C09"/>
    <w:rsid w:val="00782E6F"/>
    <w:rsid w:val="0078514E"/>
    <w:rsid w:val="007858F3"/>
    <w:rsid w:val="00787717"/>
    <w:rsid w:val="00787E35"/>
    <w:rsid w:val="007959F4"/>
    <w:rsid w:val="00795BA6"/>
    <w:rsid w:val="007966B7"/>
    <w:rsid w:val="007A222A"/>
    <w:rsid w:val="007A2B2A"/>
    <w:rsid w:val="007A2D6B"/>
    <w:rsid w:val="007A5532"/>
    <w:rsid w:val="007A5D9C"/>
    <w:rsid w:val="007A5E10"/>
    <w:rsid w:val="007A7581"/>
    <w:rsid w:val="007B0B7C"/>
    <w:rsid w:val="007B35C1"/>
    <w:rsid w:val="007B3EB8"/>
    <w:rsid w:val="007B4D7E"/>
    <w:rsid w:val="007C1FE7"/>
    <w:rsid w:val="007D3E19"/>
    <w:rsid w:val="007D66E1"/>
    <w:rsid w:val="007D717B"/>
    <w:rsid w:val="007D73DA"/>
    <w:rsid w:val="007E0FC2"/>
    <w:rsid w:val="007E183E"/>
    <w:rsid w:val="00802672"/>
    <w:rsid w:val="00802744"/>
    <w:rsid w:val="0080408C"/>
    <w:rsid w:val="00806B46"/>
    <w:rsid w:val="00812ACB"/>
    <w:rsid w:val="00813D23"/>
    <w:rsid w:val="00820791"/>
    <w:rsid w:val="00823F99"/>
    <w:rsid w:val="008262D9"/>
    <w:rsid w:val="00826976"/>
    <w:rsid w:val="008275E3"/>
    <w:rsid w:val="00830D6E"/>
    <w:rsid w:val="008316C5"/>
    <w:rsid w:val="00831B5E"/>
    <w:rsid w:val="00832FFF"/>
    <w:rsid w:val="0084243C"/>
    <w:rsid w:val="00850D87"/>
    <w:rsid w:val="0085548F"/>
    <w:rsid w:val="00865D90"/>
    <w:rsid w:val="00867ADA"/>
    <w:rsid w:val="00870DA2"/>
    <w:rsid w:val="00877012"/>
    <w:rsid w:val="008805CF"/>
    <w:rsid w:val="00882268"/>
    <w:rsid w:val="00882A96"/>
    <w:rsid w:val="00884F62"/>
    <w:rsid w:val="0089245A"/>
    <w:rsid w:val="00893397"/>
    <w:rsid w:val="008A14BB"/>
    <w:rsid w:val="008A2ACE"/>
    <w:rsid w:val="008A310B"/>
    <w:rsid w:val="008A324D"/>
    <w:rsid w:val="008A5659"/>
    <w:rsid w:val="008A58BA"/>
    <w:rsid w:val="008C2640"/>
    <w:rsid w:val="008C3C0E"/>
    <w:rsid w:val="008C6D62"/>
    <w:rsid w:val="008D0856"/>
    <w:rsid w:val="008D4ED8"/>
    <w:rsid w:val="008D531F"/>
    <w:rsid w:val="008E6A02"/>
    <w:rsid w:val="008E727F"/>
    <w:rsid w:val="008F0C8F"/>
    <w:rsid w:val="008F3AF7"/>
    <w:rsid w:val="008F7E31"/>
    <w:rsid w:val="009022A3"/>
    <w:rsid w:val="009024B8"/>
    <w:rsid w:val="00905C36"/>
    <w:rsid w:val="00910766"/>
    <w:rsid w:val="00921B17"/>
    <w:rsid w:val="00921F16"/>
    <w:rsid w:val="009339F1"/>
    <w:rsid w:val="0094481F"/>
    <w:rsid w:val="0094763B"/>
    <w:rsid w:val="0095003E"/>
    <w:rsid w:val="009503EA"/>
    <w:rsid w:val="00955D1B"/>
    <w:rsid w:val="00955F60"/>
    <w:rsid w:val="009574CA"/>
    <w:rsid w:val="00960CF3"/>
    <w:rsid w:val="00962484"/>
    <w:rsid w:val="00962B61"/>
    <w:rsid w:val="00962D3D"/>
    <w:rsid w:val="00963752"/>
    <w:rsid w:val="00964559"/>
    <w:rsid w:val="009667B6"/>
    <w:rsid w:val="009812B5"/>
    <w:rsid w:val="0099278A"/>
    <w:rsid w:val="0099354B"/>
    <w:rsid w:val="009953A2"/>
    <w:rsid w:val="0099773F"/>
    <w:rsid w:val="009A5A06"/>
    <w:rsid w:val="009A7B49"/>
    <w:rsid w:val="009B052B"/>
    <w:rsid w:val="009B314D"/>
    <w:rsid w:val="009B356A"/>
    <w:rsid w:val="009B5328"/>
    <w:rsid w:val="009B6B1C"/>
    <w:rsid w:val="009C19A2"/>
    <w:rsid w:val="009C4705"/>
    <w:rsid w:val="009C692B"/>
    <w:rsid w:val="009C6BFC"/>
    <w:rsid w:val="009C7470"/>
    <w:rsid w:val="009D65A9"/>
    <w:rsid w:val="009D724D"/>
    <w:rsid w:val="009E266D"/>
    <w:rsid w:val="009E54CC"/>
    <w:rsid w:val="009F3193"/>
    <w:rsid w:val="009F36BC"/>
    <w:rsid w:val="009F3BB3"/>
    <w:rsid w:val="009F61BB"/>
    <w:rsid w:val="00A015D9"/>
    <w:rsid w:val="00A01D2B"/>
    <w:rsid w:val="00A02204"/>
    <w:rsid w:val="00A04B01"/>
    <w:rsid w:val="00A053B3"/>
    <w:rsid w:val="00A1272F"/>
    <w:rsid w:val="00A144CB"/>
    <w:rsid w:val="00A22D88"/>
    <w:rsid w:val="00A23940"/>
    <w:rsid w:val="00A24EF1"/>
    <w:rsid w:val="00A25779"/>
    <w:rsid w:val="00A25C45"/>
    <w:rsid w:val="00A31A5A"/>
    <w:rsid w:val="00A3300E"/>
    <w:rsid w:val="00A34FEB"/>
    <w:rsid w:val="00A35909"/>
    <w:rsid w:val="00A3619E"/>
    <w:rsid w:val="00A410BA"/>
    <w:rsid w:val="00A4241C"/>
    <w:rsid w:val="00A427C6"/>
    <w:rsid w:val="00A51C44"/>
    <w:rsid w:val="00A54926"/>
    <w:rsid w:val="00A5522A"/>
    <w:rsid w:val="00A62952"/>
    <w:rsid w:val="00A630E6"/>
    <w:rsid w:val="00A735ED"/>
    <w:rsid w:val="00A80C02"/>
    <w:rsid w:val="00A81C36"/>
    <w:rsid w:val="00A844A8"/>
    <w:rsid w:val="00A8621D"/>
    <w:rsid w:val="00A94D32"/>
    <w:rsid w:val="00A95190"/>
    <w:rsid w:val="00A955C9"/>
    <w:rsid w:val="00A963D3"/>
    <w:rsid w:val="00AA022C"/>
    <w:rsid w:val="00AA21C1"/>
    <w:rsid w:val="00AA448B"/>
    <w:rsid w:val="00AB5665"/>
    <w:rsid w:val="00AD1FAE"/>
    <w:rsid w:val="00AE4626"/>
    <w:rsid w:val="00AE5103"/>
    <w:rsid w:val="00AE7BB5"/>
    <w:rsid w:val="00AF0E5C"/>
    <w:rsid w:val="00AF5C7A"/>
    <w:rsid w:val="00B06302"/>
    <w:rsid w:val="00B06EA6"/>
    <w:rsid w:val="00B16F11"/>
    <w:rsid w:val="00B21038"/>
    <w:rsid w:val="00B23C00"/>
    <w:rsid w:val="00B30622"/>
    <w:rsid w:val="00B41F9D"/>
    <w:rsid w:val="00B42A17"/>
    <w:rsid w:val="00B5109C"/>
    <w:rsid w:val="00B513AE"/>
    <w:rsid w:val="00B53D40"/>
    <w:rsid w:val="00B5498B"/>
    <w:rsid w:val="00B559B0"/>
    <w:rsid w:val="00B613DE"/>
    <w:rsid w:val="00B62DA4"/>
    <w:rsid w:val="00B64F3B"/>
    <w:rsid w:val="00B65953"/>
    <w:rsid w:val="00B77AB8"/>
    <w:rsid w:val="00B77E90"/>
    <w:rsid w:val="00B77F7B"/>
    <w:rsid w:val="00B81675"/>
    <w:rsid w:val="00B82250"/>
    <w:rsid w:val="00B82A61"/>
    <w:rsid w:val="00B84A36"/>
    <w:rsid w:val="00B84D66"/>
    <w:rsid w:val="00B900EA"/>
    <w:rsid w:val="00B94FE7"/>
    <w:rsid w:val="00B95F16"/>
    <w:rsid w:val="00B96D95"/>
    <w:rsid w:val="00BA1D4A"/>
    <w:rsid w:val="00BA1EF4"/>
    <w:rsid w:val="00BA2ADE"/>
    <w:rsid w:val="00BA3195"/>
    <w:rsid w:val="00BA5CB6"/>
    <w:rsid w:val="00BA75EF"/>
    <w:rsid w:val="00BA7DA9"/>
    <w:rsid w:val="00BB0792"/>
    <w:rsid w:val="00BB0B34"/>
    <w:rsid w:val="00BB2B9E"/>
    <w:rsid w:val="00BB2F69"/>
    <w:rsid w:val="00BB5224"/>
    <w:rsid w:val="00BB5A92"/>
    <w:rsid w:val="00BB6817"/>
    <w:rsid w:val="00BC037F"/>
    <w:rsid w:val="00BC1A7A"/>
    <w:rsid w:val="00BC3301"/>
    <w:rsid w:val="00BC45C1"/>
    <w:rsid w:val="00BC4CDD"/>
    <w:rsid w:val="00BD1971"/>
    <w:rsid w:val="00BD718C"/>
    <w:rsid w:val="00BD7C7E"/>
    <w:rsid w:val="00BE26B0"/>
    <w:rsid w:val="00BE6AAC"/>
    <w:rsid w:val="00BE77E3"/>
    <w:rsid w:val="00BF1A78"/>
    <w:rsid w:val="00BF2DBE"/>
    <w:rsid w:val="00BF34FF"/>
    <w:rsid w:val="00C006D4"/>
    <w:rsid w:val="00C02911"/>
    <w:rsid w:val="00C069AA"/>
    <w:rsid w:val="00C075C9"/>
    <w:rsid w:val="00C106AE"/>
    <w:rsid w:val="00C125E8"/>
    <w:rsid w:val="00C15EF8"/>
    <w:rsid w:val="00C35579"/>
    <w:rsid w:val="00C37947"/>
    <w:rsid w:val="00C402F9"/>
    <w:rsid w:val="00C41991"/>
    <w:rsid w:val="00C46827"/>
    <w:rsid w:val="00C479C0"/>
    <w:rsid w:val="00C55E55"/>
    <w:rsid w:val="00C61ACC"/>
    <w:rsid w:val="00C63A8B"/>
    <w:rsid w:val="00C66ECF"/>
    <w:rsid w:val="00C72CFB"/>
    <w:rsid w:val="00C95C6E"/>
    <w:rsid w:val="00CA0A00"/>
    <w:rsid w:val="00CA66AA"/>
    <w:rsid w:val="00CA7986"/>
    <w:rsid w:val="00CB3002"/>
    <w:rsid w:val="00CB54BB"/>
    <w:rsid w:val="00CC0068"/>
    <w:rsid w:val="00CC6D11"/>
    <w:rsid w:val="00CC72FE"/>
    <w:rsid w:val="00CD286C"/>
    <w:rsid w:val="00CD3353"/>
    <w:rsid w:val="00CD3A8D"/>
    <w:rsid w:val="00CD7247"/>
    <w:rsid w:val="00CD7A3A"/>
    <w:rsid w:val="00CE044D"/>
    <w:rsid w:val="00CE2163"/>
    <w:rsid w:val="00CF015F"/>
    <w:rsid w:val="00D04094"/>
    <w:rsid w:val="00D0552A"/>
    <w:rsid w:val="00D10EB4"/>
    <w:rsid w:val="00D115E1"/>
    <w:rsid w:val="00D146FC"/>
    <w:rsid w:val="00D1478E"/>
    <w:rsid w:val="00D21794"/>
    <w:rsid w:val="00D22AF8"/>
    <w:rsid w:val="00D25AC7"/>
    <w:rsid w:val="00D26777"/>
    <w:rsid w:val="00D30EB6"/>
    <w:rsid w:val="00D324B2"/>
    <w:rsid w:val="00D36B70"/>
    <w:rsid w:val="00D41818"/>
    <w:rsid w:val="00D44000"/>
    <w:rsid w:val="00D46565"/>
    <w:rsid w:val="00D472B7"/>
    <w:rsid w:val="00D473EB"/>
    <w:rsid w:val="00D50DA8"/>
    <w:rsid w:val="00D53513"/>
    <w:rsid w:val="00D53964"/>
    <w:rsid w:val="00D55B36"/>
    <w:rsid w:val="00D55BCC"/>
    <w:rsid w:val="00D5792C"/>
    <w:rsid w:val="00D65633"/>
    <w:rsid w:val="00D661B1"/>
    <w:rsid w:val="00D66781"/>
    <w:rsid w:val="00D66A7A"/>
    <w:rsid w:val="00D67D3C"/>
    <w:rsid w:val="00D72F85"/>
    <w:rsid w:val="00D750D0"/>
    <w:rsid w:val="00D7519D"/>
    <w:rsid w:val="00D760DD"/>
    <w:rsid w:val="00D844A9"/>
    <w:rsid w:val="00D86A56"/>
    <w:rsid w:val="00D87955"/>
    <w:rsid w:val="00DA3CD4"/>
    <w:rsid w:val="00DA5364"/>
    <w:rsid w:val="00DA6FE7"/>
    <w:rsid w:val="00DB01E6"/>
    <w:rsid w:val="00DB1995"/>
    <w:rsid w:val="00DB7D09"/>
    <w:rsid w:val="00DC228E"/>
    <w:rsid w:val="00DC23C5"/>
    <w:rsid w:val="00DC38A3"/>
    <w:rsid w:val="00DC3E3F"/>
    <w:rsid w:val="00DC6382"/>
    <w:rsid w:val="00DC6D92"/>
    <w:rsid w:val="00DD0F29"/>
    <w:rsid w:val="00DD14AD"/>
    <w:rsid w:val="00DD63F1"/>
    <w:rsid w:val="00DD6612"/>
    <w:rsid w:val="00DD6E55"/>
    <w:rsid w:val="00DD7C78"/>
    <w:rsid w:val="00DE0C9B"/>
    <w:rsid w:val="00DE30DE"/>
    <w:rsid w:val="00DE71FB"/>
    <w:rsid w:val="00DE72F6"/>
    <w:rsid w:val="00DF3008"/>
    <w:rsid w:val="00DF3B48"/>
    <w:rsid w:val="00DF5E03"/>
    <w:rsid w:val="00DF758E"/>
    <w:rsid w:val="00E002E1"/>
    <w:rsid w:val="00E04C1D"/>
    <w:rsid w:val="00E06A11"/>
    <w:rsid w:val="00E07E55"/>
    <w:rsid w:val="00E11542"/>
    <w:rsid w:val="00E117B6"/>
    <w:rsid w:val="00E16854"/>
    <w:rsid w:val="00E220B5"/>
    <w:rsid w:val="00E236F5"/>
    <w:rsid w:val="00E23CCC"/>
    <w:rsid w:val="00E53E5A"/>
    <w:rsid w:val="00E564A5"/>
    <w:rsid w:val="00E565C8"/>
    <w:rsid w:val="00E57B52"/>
    <w:rsid w:val="00E62859"/>
    <w:rsid w:val="00E6391F"/>
    <w:rsid w:val="00E666BA"/>
    <w:rsid w:val="00E66AF3"/>
    <w:rsid w:val="00E736CF"/>
    <w:rsid w:val="00E83F3A"/>
    <w:rsid w:val="00E93001"/>
    <w:rsid w:val="00E958B4"/>
    <w:rsid w:val="00EA0C3E"/>
    <w:rsid w:val="00EA3C51"/>
    <w:rsid w:val="00EB108D"/>
    <w:rsid w:val="00EB29FC"/>
    <w:rsid w:val="00EB3C6C"/>
    <w:rsid w:val="00EB4CCA"/>
    <w:rsid w:val="00EB580D"/>
    <w:rsid w:val="00EC0CC4"/>
    <w:rsid w:val="00EC14E4"/>
    <w:rsid w:val="00EC5572"/>
    <w:rsid w:val="00EC6270"/>
    <w:rsid w:val="00ED02B4"/>
    <w:rsid w:val="00ED0435"/>
    <w:rsid w:val="00ED3B52"/>
    <w:rsid w:val="00ED518B"/>
    <w:rsid w:val="00ED65B0"/>
    <w:rsid w:val="00EE2221"/>
    <w:rsid w:val="00EE4362"/>
    <w:rsid w:val="00EE6476"/>
    <w:rsid w:val="00EF0F2F"/>
    <w:rsid w:val="00EF181B"/>
    <w:rsid w:val="00EF33A8"/>
    <w:rsid w:val="00F0377A"/>
    <w:rsid w:val="00F06F2E"/>
    <w:rsid w:val="00F10848"/>
    <w:rsid w:val="00F123CF"/>
    <w:rsid w:val="00F130AE"/>
    <w:rsid w:val="00F14853"/>
    <w:rsid w:val="00F2252B"/>
    <w:rsid w:val="00F227C6"/>
    <w:rsid w:val="00F233D0"/>
    <w:rsid w:val="00F26A93"/>
    <w:rsid w:val="00F35036"/>
    <w:rsid w:val="00F4678C"/>
    <w:rsid w:val="00F47099"/>
    <w:rsid w:val="00F472DF"/>
    <w:rsid w:val="00F4787E"/>
    <w:rsid w:val="00F47E8D"/>
    <w:rsid w:val="00F5166B"/>
    <w:rsid w:val="00F605D0"/>
    <w:rsid w:val="00F642BD"/>
    <w:rsid w:val="00F643AC"/>
    <w:rsid w:val="00F6639B"/>
    <w:rsid w:val="00F70EE6"/>
    <w:rsid w:val="00F714A2"/>
    <w:rsid w:val="00F84DC9"/>
    <w:rsid w:val="00F86DE5"/>
    <w:rsid w:val="00F879D3"/>
    <w:rsid w:val="00F90958"/>
    <w:rsid w:val="00F974AA"/>
    <w:rsid w:val="00FA011B"/>
    <w:rsid w:val="00FA03D3"/>
    <w:rsid w:val="00FA10C4"/>
    <w:rsid w:val="00FA14A1"/>
    <w:rsid w:val="00FA3CDE"/>
    <w:rsid w:val="00FA48C2"/>
    <w:rsid w:val="00FB1744"/>
    <w:rsid w:val="00FB6FCB"/>
    <w:rsid w:val="00FC1AF8"/>
    <w:rsid w:val="00FC2E2A"/>
    <w:rsid w:val="00FC76CD"/>
    <w:rsid w:val="00FE613D"/>
    <w:rsid w:val="00FE7BC7"/>
    <w:rsid w:val="00FF2D57"/>
    <w:rsid w:val="00FF3426"/>
    <w:rsid w:val="00FF4A3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uiPriority w:val="99"/>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uiPriority w:val="99"/>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soc/" TargetMode="External"/><Relationship Id="rId4" Type="http://schemas.microsoft.com/office/2007/relationships/stylesWithEffects" Target="stylesWithEffects.xml"/><Relationship Id="rId9" Type="http://schemas.openxmlformats.org/officeDocument/2006/relationships/hyperlink" Target="http://www.bls.gov/news.release/ocwage.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540B-F814-4C55-B34A-E8B2B174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11919</Words>
  <Characters>67940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79700</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2018-11-19T18:34:00Z</cp:lastPrinted>
  <dcterms:created xsi:type="dcterms:W3CDTF">2018-11-19T20:07:00Z</dcterms:created>
  <dcterms:modified xsi:type="dcterms:W3CDTF">2018-11-19T20:07:00Z</dcterms:modified>
</cp:coreProperties>
</file>