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52" w:rsidRPr="00A658D8" w:rsidRDefault="004E3E52" w:rsidP="004E3E52">
      <w:pPr>
        <w:pStyle w:val="Header"/>
        <w:widowControl/>
        <w:tabs>
          <w:tab w:val="clear" w:pos="4320"/>
          <w:tab w:val="clear" w:pos="8640"/>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szCs w:val="24"/>
        </w:rPr>
      </w:pPr>
      <w:bookmarkStart w:id="0" w:name="_GoBack"/>
      <w:bookmarkEnd w:id="0"/>
      <w:r w:rsidRPr="00A658D8">
        <w:rPr>
          <w:rFonts w:ascii="Times New Roman" w:hAnsi="Times New Roman"/>
          <w:szCs w:val="24"/>
        </w:rPr>
        <w:t>SUPPORTING STATEMENT</w:t>
      </w:r>
    </w:p>
    <w:p w:rsidR="004E3E52" w:rsidRPr="00A658D8" w:rsidRDefault="004E3E52" w:rsidP="004E3E52">
      <w:pPr>
        <w:jc w:val="center"/>
        <w:rPr>
          <w:rFonts w:ascii="Times New Roman" w:hAnsi="Times New Roman"/>
          <w:szCs w:val="24"/>
        </w:rPr>
      </w:pPr>
      <w:r w:rsidRPr="00A658D8">
        <w:rPr>
          <w:rFonts w:ascii="Times New Roman" w:hAnsi="Times New Roman"/>
          <w:szCs w:val="24"/>
        </w:rPr>
        <w:t xml:space="preserve">RESOLUTION PLANS REQUIRED FOR INSURED DEPOSITORY </w:t>
      </w:r>
    </w:p>
    <w:p w:rsidR="004E3E52" w:rsidRPr="00A658D8" w:rsidRDefault="004E3E52" w:rsidP="004E3E52">
      <w:pPr>
        <w:jc w:val="center"/>
        <w:rPr>
          <w:rFonts w:ascii="Times New Roman" w:hAnsi="Times New Roman"/>
          <w:bCs/>
          <w:szCs w:val="24"/>
        </w:rPr>
      </w:pPr>
      <w:r w:rsidRPr="00A658D8">
        <w:rPr>
          <w:rFonts w:ascii="Times New Roman" w:hAnsi="Times New Roman"/>
          <w:szCs w:val="24"/>
        </w:rPr>
        <w:t>INSTITUTIONS WITH OVER $50 BILLION IN TOTAL ASSETS</w:t>
      </w:r>
      <w:r w:rsidRPr="00A658D8">
        <w:rPr>
          <w:rFonts w:ascii="Times New Roman" w:hAnsi="Times New Roman"/>
          <w:bCs/>
          <w:szCs w:val="24"/>
        </w:rPr>
        <w:t xml:space="preserve"> </w:t>
      </w:r>
    </w:p>
    <w:p w:rsidR="004E3E52" w:rsidRPr="00A658D8" w:rsidRDefault="004E3E52" w:rsidP="004E3E52">
      <w:pPr>
        <w:widowControl/>
        <w:tabs>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szCs w:val="24"/>
        </w:rPr>
      </w:pPr>
      <w:r w:rsidRPr="00A658D8">
        <w:rPr>
          <w:rFonts w:ascii="Times New Roman" w:hAnsi="Times New Roman"/>
          <w:szCs w:val="24"/>
        </w:rPr>
        <w:t xml:space="preserve"> (OMB CONTROL NO. 3064</w:t>
      </w:r>
      <w:r w:rsidRPr="00A658D8">
        <w:rPr>
          <w:rFonts w:ascii="Times New Roman" w:hAnsi="Times New Roman"/>
          <w:szCs w:val="24"/>
        </w:rPr>
        <w:noBreakHyphen/>
        <w:t>0185)</w:t>
      </w:r>
    </w:p>
    <w:p w:rsidR="004E3E52" w:rsidRPr="00A658D8" w:rsidRDefault="004E3E52" w:rsidP="004513D4">
      <w:pPr>
        <w:jc w:val="center"/>
        <w:rPr>
          <w:rFonts w:ascii="Times New Roman" w:hAnsi="Times New Roman"/>
          <w:b/>
          <w:bCs/>
          <w:szCs w:val="24"/>
        </w:rPr>
      </w:pPr>
    </w:p>
    <w:p w:rsidR="008D5DF3" w:rsidRPr="00A658D8" w:rsidRDefault="008D5DF3" w:rsidP="00850D6B">
      <w:pPr>
        <w:jc w:val="center"/>
        <w:outlineLvl w:val="0"/>
        <w:rPr>
          <w:rFonts w:ascii="Times New Roman" w:hAnsi="Times New Roman"/>
          <w:b/>
          <w:bCs/>
          <w:szCs w:val="24"/>
        </w:rPr>
      </w:pPr>
    </w:p>
    <w:p w:rsidR="004E3E52" w:rsidRPr="00A658D8" w:rsidRDefault="004E3E52" w:rsidP="004E3E5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r w:rsidRPr="00A658D8">
        <w:rPr>
          <w:rFonts w:ascii="Times New Roman" w:hAnsi="Times New Roman"/>
          <w:szCs w:val="24"/>
          <w:u w:val="single"/>
        </w:rPr>
        <w:t>INTRODUCTION</w:t>
      </w:r>
    </w:p>
    <w:p w:rsidR="004E3E52" w:rsidRPr="00A658D8" w:rsidRDefault="004E3E52" w:rsidP="004E3E5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BF6EB1" w:rsidRPr="00A658D8" w:rsidRDefault="004E3E52" w:rsidP="00BF6EB1">
      <w:pPr>
        <w:rPr>
          <w:rFonts w:ascii="Times New Roman" w:hAnsi="Times New Roman"/>
          <w:szCs w:val="24"/>
        </w:rPr>
      </w:pPr>
      <w:r w:rsidRPr="00A658D8">
        <w:rPr>
          <w:rFonts w:ascii="Times New Roman" w:hAnsi="Times New Roman"/>
          <w:szCs w:val="24"/>
        </w:rPr>
        <w:t xml:space="preserve">The Federal Deposit Insurance Corporation (FDIC) is requesting a three-year renewal of the </w:t>
      </w:r>
      <w:r w:rsidRPr="00A658D8">
        <w:rPr>
          <w:rFonts w:ascii="Times New Roman" w:hAnsi="Times New Roman"/>
          <w:spacing w:val="-3"/>
          <w:szCs w:val="24"/>
        </w:rPr>
        <w:t xml:space="preserve">information collection </w:t>
      </w:r>
      <w:r w:rsidR="00BF6EB1" w:rsidRPr="00A658D8">
        <w:rPr>
          <w:rFonts w:ascii="Times New Roman" w:hAnsi="Times New Roman"/>
          <w:color w:val="000000"/>
          <w:szCs w:val="24"/>
        </w:rPr>
        <w:t>titled, “</w:t>
      </w:r>
      <w:r w:rsidR="00BF6EB1" w:rsidRPr="00A658D8">
        <w:rPr>
          <w:rFonts w:ascii="Times New Roman" w:hAnsi="Times New Roman"/>
          <w:szCs w:val="24"/>
        </w:rPr>
        <w:t xml:space="preserve">Resolution Plans Required for Insured Depository Institutions With Over $50 Billion In Total Assets” (3064-0185) </w:t>
      </w:r>
      <w:r w:rsidRPr="00A658D8">
        <w:rPr>
          <w:rFonts w:ascii="Times New Roman" w:hAnsi="Times New Roman"/>
          <w:szCs w:val="24"/>
        </w:rPr>
        <w:t xml:space="preserve">specified in 12 C.F.R. Part </w:t>
      </w:r>
      <w:r w:rsidR="00BF6EB1" w:rsidRPr="00A658D8">
        <w:rPr>
          <w:rFonts w:ascii="Times New Roman" w:hAnsi="Times New Roman"/>
          <w:szCs w:val="24"/>
        </w:rPr>
        <w:t>360.10 (the Rule)</w:t>
      </w:r>
      <w:r w:rsidRPr="00A658D8">
        <w:rPr>
          <w:rFonts w:ascii="Times New Roman" w:hAnsi="Times New Roman"/>
          <w:color w:val="000000"/>
          <w:szCs w:val="24"/>
        </w:rPr>
        <w:t xml:space="preserve">.  </w:t>
      </w:r>
      <w:r w:rsidRPr="00A658D8">
        <w:rPr>
          <w:rFonts w:ascii="Times New Roman" w:hAnsi="Times New Roman"/>
          <w:spacing w:val="-3"/>
          <w:szCs w:val="24"/>
        </w:rPr>
        <w:t xml:space="preserve">The current clearance for the collection expires on </w:t>
      </w:r>
      <w:r w:rsidR="00BF6EB1" w:rsidRPr="00A658D8">
        <w:rPr>
          <w:rFonts w:ascii="Times New Roman" w:hAnsi="Times New Roman"/>
          <w:spacing w:val="-3"/>
          <w:szCs w:val="24"/>
        </w:rPr>
        <w:t>October 31</w:t>
      </w:r>
      <w:r w:rsidRPr="00A658D8">
        <w:rPr>
          <w:rFonts w:ascii="Times New Roman" w:hAnsi="Times New Roman"/>
          <w:spacing w:val="-3"/>
          <w:szCs w:val="24"/>
        </w:rPr>
        <w:t xml:space="preserve">, 2018.  </w:t>
      </w:r>
      <w:r w:rsidRPr="00A658D8">
        <w:rPr>
          <w:rFonts w:ascii="Times New Roman" w:hAnsi="Times New Roman"/>
          <w:szCs w:val="24"/>
        </w:rPr>
        <w:t>There</w:t>
      </w:r>
      <w:r w:rsidRPr="00A658D8">
        <w:rPr>
          <w:rFonts w:ascii="Times New Roman" w:hAnsi="Times New Roman"/>
          <w:spacing w:val="-6"/>
          <w:szCs w:val="24"/>
        </w:rPr>
        <w:t xml:space="preserve"> </w:t>
      </w:r>
      <w:r w:rsidRPr="00A658D8">
        <w:rPr>
          <w:rFonts w:ascii="Times New Roman" w:hAnsi="Times New Roman"/>
          <w:szCs w:val="24"/>
        </w:rPr>
        <w:t>is no change</w:t>
      </w:r>
      <w:r w:rsidRPr="00A658D8">
        <w:rPr>
          <w:rFonts w:ascii="Times New Roman" w:hAnsi="Times New Roman"/>
          <w:spacing w:val="-7"/>
          <w:szCs w:val="24"/>
        </w:rPr>
        <w:t xml:space="preserve"> </w:t>
      </w:r>
      <w:r w:rsidRPr="00A658D8">
        <w:rPr>
          <w:rFonts w:ascii="Times New Roman" w:hAnsi="Times New Roman"/>
          <w:szCs w:val="24"/>
        </w:rPr>
        <w:t>in</w:t>
      </w:r>
      <w:r w:rsidRPr="00A658D8">
        <w:rPr>
          <w:rFonts w:ascii="Times New Roman" w:hAnsi="Times New Roman"/>
          <w:spacing w:val="-2"/>
          <w:szCs w:val="24"/>
        </w:rPr>
        <w:t xml:space="preserve"> </w:t>
      </w:r>
      <w:r w:rsidRPr="00A658D8">
        <w:rPr>
          <w:rFonts w:ascii="Times New Roman" w:hAnsi="Times New Roman"/>
          <w:szCs w:val="24"/>
        </w:rPr>
        <w:t>the</w:t>
      </w:r>
      <w:r w:rsidRPr="00A658D8">
        <w:rPr>
          <w:rFonts w:ascii="Times New Roman" w:hAnsi="Times New Roman"/>
          <w:spacing w:val="-3"/>
          <w:szCs w:val="24"/>
        </w:rPr>
        <w:t xml:space="preserve"> </w:t>
      </w:r>
      <w:r w:rsidRPr="00A658D8">
        <w:rPr>
          <w:rFonts w:ascii="Times New Roman" w:hAnsi="Times New Roman"/>
          <w:spacing w:val="-2"/>
          <w:szCs w:val="24"/>
        </w:rPr>
        <w:t>m</w:t>
      </w:r>
      <w:r w:rsidRPr="00A658D8">
        <w:rPr>
          <w:rFonts w:ascii="Times New Roman" w:hAnsi="Times New Roman"/>
          <w:szCs w:val="24"/>
        </w:rPr>
        <w:t>ethod</w:t>
      </w:r>
      <w:r w:rsidRPr="00A658D8">
        <w:rPr>
          <w:rFonts w:ascii="Times New Roman" w:hAnsi="Times New Roman"/>
          <w:spacing w:val="-7"/>
          <w:szCs w:val="24"/>
        </w:rPr>
        <w:t xml:space="preserve"> </w:t>
      </w:r>
      <w:r w:rsidRPr="00A658D8">
        <w:rPr>
          <w:rFonts w:ascii="Times New Roman" w:hAnsi="Times New Roman"/>
          <w:szCs w:val="24"/>
        </w:rPr>
        <w:t>or substance</w:t>
      </w:r>
      <w:r w:rsidRPr="00A658D8">
        <w:rPr>
          <w:rFonts w:ascii="Times New Roman" w:hAnsi="Times New Roman"/>
          <w:spacing w:val="-9"/>
          <w:szCs w:val="24"/>
        </w:rPr>
        <w:t xml:space="preserve"> </w:t>
      </w:r>
      <w:r w:rsidRPr="00A658D8">
        <w:rPr>
          <w:rFonts w:ascii="Times New Roman" w:hAnsi="Times New Roman"/>
          <w:szCs w:val="24"/>
        </w:rPr>
        <w:t>of the</w:t>
      </w:r>
      <w:r w:rsidRPr="00A658D8">
        <w:rPr>
          <w:rFonts w:ascii="Times New Roman" w:hAnsi="Times New Roman"/>
          <w:spacing w:val="-3"/>
          <w:szCs w:val="24"/>
        </w:rPr>
        <w:t xml:space="preserve"> </w:t>
      </w:r>
      <w:r w:rsidRPr="00A658D8">
        <w:rPr>
          <w:rFonts w:ascii="Times New Roman" w:hAnsi="Times New Roman"/>
          <w:szCs w:val="24"/>
        </w:rPr>
        <w:t xml:space="preserve">collection.  However, the FDIC has reviewed its previous PRA submission and </w:t>
      </w:r>
      <w:r w:rsidR="00BF6EB1" w:rsidRPr="00A658D8">
        <w:rPr>
          <w:rFonts w:ascii="Times New Roman" w:hAnsi="Times New Roman"/>
          <w:szCs w:val="24"/>
        </w:rPr>
        <w:t xml:space="preserve">reassessed its burden hours associated with responding to the existing requirements of the Rule and to guidance, feedback, and additional requests for information by the FDIC as part of the iterative resolution planning process.  The revised estimates are informed by feedback received from the covered insured depository institutions over the past year.  </w:t>
      </w:r>
    </w:p>
    <w:p w:rsidR="004E3E52" w:rsidRPr="00A658D8" w:rsidRDefault="004E3E52" w:rsidP="004E3E5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4E3E52" w:rsidRPr="00A658D8" w:rsidRDefault="004E3E52" w:rsidP="004E3E52">
      <w:pPr>
        <w:widowControl/>
        <w:numPr>
          <w:ilvl w:val="0"/>
          <w:numId w:val="18"/>
        </w:numPr>
        <w:rPr>
          <w:rFonts w:ascii="Times New Roman" w:hAnsi="Times New Roman"/>
          <w:szCs w:val="24"/>
        </w:rPr>
      </w:pPr>
      <w:r w:rsidRPr="00A658D8">
        <w:rPr>
          <w:rFonts w:ascii="Times New Roman" w:hAnsi="Times New Roman"/>
          <w:szCs w:val="24"/>
          <w:u w:val="single"/>
        </w:rPr>
        <w:t>JUSTIFICATION</w:t>
      </w:r>
    </w:p>
    <w:p w:rsidR="008D5DF3" w:rsidRPr="00A658D8" w:rsidRDefault="008D5DF3" w:rsidP="00850D6B">
      <w:pPr>
        <w:rPr>
          <w:rFonts w:ascii="Times New Roman" w:hAnsi="Times New Roman"/>
          <w:szCs w:val="24"/>
        </w:rPr>
      </w:pPr>
    </w:p>
    <w:p w:rsidR="004E3E52" w:rsidRPr="00A658D8" w:rsidRDefault="004E3E52" w:rsidP="004E3E52">
      <w:pPr>
        <w:widowControl/>
        <w:numPr>
          <w:ilvl w:val="1"/>
          <w:numId w:val="18"/>
        </w:numPr>
        <w:rPr>
          <w:rFonts w:ascii="Times New Roman" w:hAnsi="Times New Roman"/>
          <w:szCs w:val="24"/>
        </w:rPr>
      </w:pPr>
      <w:r w:rsidRPr="00A658D8">
        <w:rPr>
          <w:rFonts w:ascii="Times New Roman" w:hAnsi="Times New Roman"/>
          <w:szCs w:val="24"/>
          <w:u w:val="single"/>
        </w:rPr>
        <w:t>Circumstances and Need</w:t>
      </w:r>
    </w:p>
    <w:p w:rsidR="004E3E52" w:rsidRPr="00A658D8" w:rsidRDefault="004E3E52" w:rsidP="00850D6B">
      <w:pPr>
        <w:rPr>
          <w:rFonts w:ascii="Times New Roman" w:hAnsi="Times New Roman"/>
          <w:szCs w:val="24"/>
        </w:rPr>
      </w:pPr>
    </w:p>
    <w:p w:rsidR="008D5DF3" w:rsidRPr="00A658D8" w:rsidRDefault="00BF6EB1" w:rsidP="00BF6EB1">
      <w:pPr>
        <w:pStyle w:val="HTMLPreformatted"/>
        <w:ind w:left="1080"/>
        <w:rPr>
          <w:rFonts w:ascii="Times New Roman" w:hAnsi="Times New Roman" w:cs="Times New Roman"/>
          <w:sz w:val="24"/>
          <w:szCs w:val="24"/>
        </w:rPr>
      </w:pPr>
      <w:r w:rsidRPr="00A658D8">
        <w:rPr>
          <w:rFonts w:ascii="Times New Roman" w:hAnsi="Times New Roman" w:cs="Times New Roman"/>
          <w:sz w:val="24"/>
          <w:szCs w:val="24"/>
        </w:rPr>
        <w:t>The FDIC’</w:t>
      </w:r>
      <w:r w:rsidR="008D5DF3" w:rsidRPr="00A658D8">
        <w:rPr>
          <w:rFonts w:ascii="Times New Roman" w:hAnsi="Times New Roman" w:cs="Times New Roman"/>
          <w:sz w:val="24"/>
          <w:szCs w:val="24"/>
        </w:rPr>
        <w:t xml:space="preserve">s roles as insurer and receiver require a distinct focus on potential loss severities, default risks, complexities in structure and operations, and other factors that impact risk to the Deposit Insurance Fund and the ability of the FDIC to conduct an orderly resolution. The </w:t>
      </w:r>
      <w:r w:rsidRPr="00A658D8">
        <w:rPr>
          <w:rFonts w:ascii="Times New Roman" w:hAnsi="Times New Roman" w:cs="Times New Roman"/>
          <w:sz w:val="24"/>
          <w:szCs w:val="24"/>
        </w:rPr>
        <w:t>Federal Deposit Insurance Act (</w:t>
      </w:r>
      <w:r w:rsidR="008D5DF3" w:rsidRPr="00A658D8">
        <w:rPr>
          <w:rFonts w:ascii="Times New Roman" w:hAnsi="Times New Roman" w:cs="Times New Roman"/>
          <w:sz w:val="24"/>
          <w:szCs w:val="24"/>
        </w:rPr>
        <w:t>FDI Act</w:t>
      </w:r>
      <w:r w:rsidRPr="00A658D8">
        <w:rPr>
          <w:rFonts w:ascii="Times New Roman" w:hAnsi="Times New Roman" w:cs="Times New Roman"/>
          <w:sz w:val="24"/>
          <w:szCs w:val="24"/>
        </w:rPr>
        <w:t>)</w:t>
      </w:r>
      <w:r w:rsidR="008D5DF3" w:rsidRPr="00A658D8">
        <w:rPr>
          <w:rFonts w:ascii="Times New Roman" w:hAnsi="Times New Roman" w:cs="Times New Roman"/>
          <w:sz w:val="24"/>
          <w:szCs w:val="24"/>
        </w:rPr>
        <w:t xml:space="preserve"> gives the FDIC broad authority to carry out its statutory responsibilities, and to obtain the information required by the Rule.   The FDI Act gives the FDIC broad authority to carry out its statutory responsibilities, and to obtain the information required by the Rule. The authority to issue the Rule is provided by Section 9(a) Tenth of the FDI Act, 12 U.S.C. 1819(a) Tenth, which authorizes the FDIC to prescribe, by its Board of Directors, such rules and regulations as it may deem necessary to carry out the provisions of the FDI Act or of any other law that the FDIC is responsible for administering or enforcing. </w:t>
      </w:r>
    </w:p>
    <w:p w:rsidR="008D5DF3" w:rsidRPr="00A658D8" w:rsidRDefault="008D5DF3" w:rsidP="006915D9">
      <w:pPr>
        <w:pStyle w:val="HTMLPreformatted"/>
        <w:rPr>
          <w:rFonts w:ascii="Times New Roman" w:hAnsi="Times New Roman" w:cs="Times New Roman"/>
          <w:sz w:val="24"/>
          <w:szCs w:val="24"/>
        </w:rPr>
      </w:pPr>
    </w:p>
    <w:p w:rsidR="008D5DF3" w:rsidRPr="00A658D8" w:rsidRDefault="008D5DF3" w:rsidP="00BF6EB1">
      <w:pPr>
        <w:pStyle w:val="HTMLPreformatted"/>
        <w:ind w:left="1080"/>
        <w:rPr>
          <w:rFonts w:ascii="Times New Roman" w:hAnsi="Times New Roman" w:cs="Times New Roman"/>
          <w:sz w:val="24"/>
          <w:szCs w:val="24"/>
        </w:rPr>
      </w:pPr>
      <w:r w:rsidRPr="00A658D8">
        <w:rPr>
          <w:rFonts w:ascii="Times New Roman" w:hAnsi="Times New Roman" w:cs="Times New Roman"/>
          <w:sz w:val="24"/>
          <w:szCs w:val="24"/>
        </w:rPr>
        <w:t xml:space="preserve">Since the recent financial crisis began in late 2008, financial authorities throughout the world have recognized and agreed that advance planning for the resolution of large, complex financial institutions is critical to minimizing the disruption that a failure of such an institution may have as well as the costs of its resolution. </w:t>
      </w:r>
    </w:p>
    <w:p w:rsidR="00BF6EB1" w:rsidRPr="00A658D8" w:rsidRDefault="00BF6EB1">
      <w:pPr>
        <w:widowControl/>
        <w:rPr>
          <w:rFonts w:ascii="Times New Roman" w:eastAsia="Arial Unicode MS" w:hAnsi="Times New Roman"/>
          <w:szCs w:val="24"/>
        </w:rPr>
      </w:pPr>
      <w:r w:rsidRPr="00A658D8">
        <w:rPr>
          <w:rFonts w:ascii="Times New Roman" w:eastAsia="Arial Unicode MS" w:hAnsi="Times New Roman"/>
          <w:szCs w:val="24"/>
        </w:rPr>
        <w:br w:type="page"/>
      </w:r>
    </w:p>
    <w:p w:rsidR="008D5DF3" w:rsidRPr="00A658D8" w:rsidRDefault="00BF6EB1" w:rsidP="00BF6EB1">
      <w:pPr>
        <w:pStyle w:val="ListParagraph"/>
        <w:numPr>
          <w:ilvl w:val="1"/>
          <w:numId w:val="18"/>
        </w:numPr>
        <w:spacing w:after="240"/>
        <w:rPr>
          <w:rFonts w:ascii="Times New Roman" w:hAnsi="Times New Roman"/>
          <w:sz w:val="24"/>
          <w:szCs w:val="24"/>
        </w:rPr>
      </w:pPr>
      <w:r w:rsidRPr="00A658D8">
        <w:rPr>
          <w:rFonts w:ascii="Times New Roman" w:hAnsi="Times New Roman"/>
          <w:sz w:val="24"/>
          <w:szCs w:val="24"/>
          <w:u w:val="single"/>
        </w:rPr>
        <w:lastRenderedPageBreak/>
        <w:t>Use of Information Collected</w:t>
      </w:r>
      <w:r w:rsidR="008D5DF3" w:rsidRPr="00A658D8">
        <w:rPr>
          <w:rFonts w:ascii="Times New Roman" w:hAnsi="Times New Roman"/>
          <w:sz w:val="24"/>
          <w:szCs w:val="24"/>
        </w:rPr>
        <w:tab/>
      </w:r>
    </w:p>
    <w:p w:rsidR="002C53C5" w:rsidRPr="002C53C5" w:rsidRDefault="002C53C5" w:rsidP="002C53C5">
      <w:pPr>
        <w:ind w:left="1080"/>
        <w:jc w:val="both"/>
        <w:rPr>
          <w:rFonts w:ascii="Times New Roman" w:hAnsi="Times New Roman"/>
          <w:szCs w:val="24"/>
        </w:rPr>
      </w:pPr>
      <w:r w:rsidRPr="002C53C5">
        <w:rPr>
          <w:rFonts w:ascii="Times New Roman" w:hAnsi="Times New Roman"/>
          <w:szCs w:val="24"/>
        </w:rPr>
        <w:t>The Rule requires certain insured depository institutions (IDIs) to submit a Resolution Plan that should enable the FDIC, as receiver, to resolve the institution under Sections 11 and 13 of the FD</w:t>
      </w:r>
      <w:r>
        <w:rPr>
          <w:rFonts w:ascii="Times New Roman" w:hAnsi="Times New Roman"/>
          <w:szCs w:val="24"/>
        </w:rPr>
        <w:t>I Act</w:t>
      </w:r>
      <w:r w:rsidRPr="002C53C5">
        <w:rPr>
          <w:rFonts w:ascii="Times New Roman" w:hAnsi="Times New Roman"/>
          <w:szCs w:val="24"/>
        </w:rPr>
        <w:t>, 12 U.S.C. 1821 and 1823, in a manner that ensures that depositors receive access to their insured deposits within one business day of the institution’s failure (two business days if the failure occurs on a day other than Friday), maximizes the net present value return from the sale or disposition of its assets, and minimizes the amount of any loss to be realized by the institution’s creditors.  An IDI with $50 billion or more in total assets (i.e., a covered IDI or CIDI) is required to submit periodically to the FDIC a contingent plan for the resolution of such institution in the event of its failure.  </w:t>
      </w:r>
    </w:p>
    <w:p w:rsidR="002C53C5" w:rsidRPr="002C53C5" w:rsidRDefault="002C53C5" w:rsidP="002C53C5">
      <w:pPr>
        <w:ind w:left="1080"/>
        <w:jc w:val="both"/>
        <w:rPr>
          <w:rFonts w:ascii="Times New Roman" w:hAnsi="Times New Roman"/>
          <w:szCs w:val="24"/>
        </w:rPr>
      </w:pPr>
    </w:p>
    <w:p w:rsidR="002C53C5" w:rsidRPr="002C53C5" w:rsidRDefault="002C53C5" w:rsidP="002C53C5">
      <w:pPr>
        <w:ind w:left="1080"/>
        <w:jc w:val="both"/>
        <w:rPr>
          <w:rFonts w:ascii="Times New Roman" w:hAnsi="Times New Roman"/>
          <w:szCs w:val="24"/>
        </w:rPr>
      </w:pPr>
      <w:r w:rsidRPr="002C53C5">
        <w:rPr>
          <w:rFonts w:ascii="Times New Roman" w:hAnsi="Times New Roman"/>
          <w:szCs w:val="24"/>
        </w:rPr>
        <w:t xml:space="preserve">The Rule established the requirements for submission and content of a Resolution Plan, as well as procedures for review by the FDIC.  After the initial submission, the Rule requires plan submissions on an annual basis (Annual Update) unless the FDIC determines to change the submission date.  A CIDI must notify the FDIC of any event, occurrence, change in conditions or circumstances or other change which results in, or reasonably could be foreseen to have, a material effect on the CIDI’s resolution plan.  </w:t>
      </w:r>
    </w:p>
    <w:p w:rsidR="002C53C5" w:rsidRPr="002C53C5" w:rsidRDefault="002C53C5" w:rsidP="002C53C5">
      <w:pPr>
        <w:ind w:left="1080"/>
        <w:jc w:val="both"/>
        <w:rPr>
          <w:rFonts w:ascii="Times New Roman" w:hAnsi="Times New Roman"/>
          <w:szCs w:val="24"/>
        </w:rPr>
      </w:pPr>
    </w:p>
    <w:p w:rsidR="002C53C5" w:rsidRPr="002C53C5" w:rsidRDefault="002C53C5" w:rsidP="002C53C5">
      <w:pPr>
        <w:ind w:left="1080"/>
        <w:jc w:val="both"/>
        <w:rPr>
          <w:rFonts w:ascii="Times New Roman" w:hAnsi="Times New Roman"/>
        </w:rPr>
      </w:pPr>
      <w:r w:rsidRPr="002C53C5">
        <w:rPr>
          <w:rFonts w:ascii="Times New Roman" w:hAnsi="Times New Roman"/>
          <w:szCs w:val="24"/>
        </w:rPr>
        <w:t xml:space="preserve">The Rule is intended to address the continuing exposure of the banking industry to the risks of insolvency of large and complex IDIs that can be mitigated with proper resolution planning.  The Interim Final Rule, which preceded the Rule, became effective January 1, 2012, and remained in effect until it was superseded by the Rule on April 1, 2012.  </w:t>
      </w:r>
    </w:p>
    <w:p w:rsidR="008D5DF3" w:rsidRPr="00A658D8" w:rsidRDefault="008D5DF3" w:rsidP="00232C01">
      <w:pPr>
        <w:ind w:left="720"/>
        <w:rPr>
          <w:rFonts w:ascii="Times New Roman" w:hAnsi="Times New Roman"/>
          <w:szCs w:val="24"/>
        </w:rPr>
      </w:pPr>
    </w:p>
    <w:p w:rsidR="008D5DF3" w:rsidRPr="00A658D8" w:rsidRDefault="006D1B84" w:rsidP="006D1B84">
      <w:pPr>
        <w:pStyle w:val="ListParagraph"/>
        <w:numPr>
          <w:ilvl w:val="1"/>
          <w:numId w:val="18"/>
        </w:numPr>
        <w:tabs>
          <w:tab w:val="left" w:pos="-1440"/>
        </w:tabs>
        <w:outlineLvl w:val="0"/>
        <w:rPr>
          <w:rFonts w:ascii="Times New Roman" w:hAnsi="Times New Roman"/>
          <w:sz w:val="24"/>
          <w:szCs w:val="24"/>
          <w:u w:val="single"/>
        </w:rPr>
      </w:pPr>
      <w:r w:rsidRPr="00A658D8">
        <w:rPr>
          <w:rFonts w:ascii="Times New Roman" w:hAnsi="Times New Roman"/>
          <w:sz w:val="24"/>
          <w:szCs w:val="24"/>
          <w:u w:val="single"/>
        </w:rPr>
        <w:t>Use of Technology to Reduce Burden</w:t>
      </w:r>
    </w:p>
    <w:p w:rsidR="008D5DF3" w:rsidRPr="00A658D8" w:rsidRDefault="008D5DF3" w:rsidP="006D1B84">
      <w:pPr>
        <w:pStyle w:val="BodyText"/>
        <w:ind w:left="1080"/>
        <w:rPr>
          <w:i w:val="0"/>
          <w:iCs w:val="0"/>
          <w:szCs w:val="24"/>
        </w:rPr>
      </w:pPr>
      <w:r w:rsidRPr="00A658D8">
        <w:rPr>
          <w:i w:val="0"/>
          <w:iCs w:val="0"/>
          <w:szCs w:val="24"/>
        </w:rPr>
        <w:t>Respondents may use any information technology that permits review by FDIC examiners.</w:t>
      </w:r>
    </w:p>
    <w:p w:rsidR="008D5DF3" w:rsidRPr="00A658D8" w:rsidRDefault="008D5DF3" w:rsidP="00850D6B">
      <w:pPr>
        <w:tabs>
          <w:tab w:val="left" w:pos="-1440"/>
        </w:tabs>
        <w:ind w:left="720" w:hanging="720"/>
        <w:rPr>
          <w:rFonts w:ascii="Times New Roman" w:hAnsi="Times New Roman"/>
          <w:szCs w:val="24"/>
        </w:rPr>
      </w:pPr>
    </w:p>
    <w:p w:rsidR="006D1B84" w:rsidRPr="00A658D8" w:rsidRDefault="006D1B84" w:rsidP="006D1B84">
      <w:pPr>
        <w:pStyle w:val="ListParagraph"/>
        <w:numPr>
          <w:ilvl w:val="1"/>
          <w:numId w:val="18"/>
        </w:numPr>
        <w:rPr>
          <w:rFonts w:ascii="Times New Roman" w:hAnsi="Times New Roman"/>
          <w:sz w:val="24"/>
          <w:szCs w:val="24"/>
          <w:u w:val="single"/>
        </w:rPr>
      </w:pPr>
      <w:r w:rsidRPr="00A658D8">
        <w:rPr>
          <w:rFonts w:ascii="Times New Roman" w:hAnsi="Times New Roman"/>
          <w:sz w:val="24"/>
          <w:szCs w:val="24"/>
          <w:u w:val="single"/>
        </w:rPr>
        <w:t>Efforts to Identify Duplication</w:t>
      </w:r>
    </w:p>
    <w:p w:rsidR="008D5DF3" w:rsidRPr="00A658D8" w:rsidRDefault="008D5DF3" w:rsidP="006D1B84">
      <w:pPr>
        <w:ind w:left="1080"/>
        <w:rPr>
          <w:rFonts w:ascii="Times New Roman" w:hAnsi="Times New Roman"/>
          <w:szCs w:val="24"/>
        </w:rPr>
      </w:pPr>
      <w:r w:rsidRPr="00A658D8">
        <w:rPr>
          <w:rFonts w:ascii="Times New Roman" w:hAnsi="Times New Roman"/>
          <w:szCs w:val="24"/>
        </w:rPr>
        <w:t>The information required is unique.  It is not duplicated elsewhere.</w:t>
      </w:r>
    </w:p>
    <w:p w:rsidR="00CF5845" w:rsidRPr="00A658D8" w:rsidRDefault="00CF5845" w:rsidP="00CF5845">
      <w:pPr>
        <w:widowControl/>
        <w:rPr>
          <w:rFonts w:ascii="Times New Roman" w:hAnsi="Times New Roman"/>
          <w:szCs w:val="24"/>
        </w:rPr>
      </w:pPr>
    </w:p>
    <w:p w:rsidR="00CF5845" w:rsidRPr="00A658D8" w:rsidRDefault="00CF5845" w:rsidP="00CF5845">
      <w:pPr>
        <w:pStyle w:val="ListParagraph"/>
        <w:numPr>
          <w:ilvl w:val="1"/>
          <w:numId w:val="18"/>
        </w:numPr>
        <w:rPr>
          <w:rFonts w:ascii="Times New Roman" w:hAnsi="Times New Roman"/>
          <w:sz w:val="24"/>
          <w:szCs w:val="24"/>
          <w:u w:val="single"/>
        </w:rPr>
      </w:pPr>
      <w:r w:rsidRPr="00A658D8">
        <w:rPr>
          <w:rFonts w:ascii="Times New Roman" w:hAnsi="Times New Roman"/>
          <w:sz w:val="24"/>
          <w:szCs w:val="24"/>
          <w:u w:val="single"/>
        </w:rPr>
        <w:t>Minimizing Burden on Small Entities</w:t>
      </w:r>
    </w:p>
    <w:p w:rsidR="008D5DF3" w:rsidRPr="00A658D8" w:rsidRDefault="008D5DF3" w:rsidP="00CF5845">
      <w:pPr>
        <w:ind w:left="360" w:firstLine="720"/>
        <w:outlineLvl w:val="0"/>
        <w:rPr>
          <w:rFonts w:ascii="Times New Roman" w:hAnsi="Times New Roman"/>
          <w:szCs w:val="24"/>
        </w:rPr>
      </w:pPr>
      <w:r w:rsidRPr="00A658D8">
        <w:rPr>
          <w:rFonts w:ascii="Times New Roman" w:hAnsi="Times New Roman"/>
          <w:szCs w:val="24"/>
        </w:rPr>
        <w:t xml:space="preserve">Not applicable. </w:t>
      </w:r>
    </w:p>
    <w:p w:rsidR="008D5DF3" w:rsidRPr="00A658D8" w:rsidRDefault="008D5DF3" w:rsidP="00850D6B">
      <w:pPr>
        <w:tabs>
          <w:tab w:val="left" w:pos="-1440"/>
        </w:tabs>
        <w:ind w:left="720" w:hanging="720"/>
        <w:outlineLvl w:val="0"/>
        <w:rPr>
          <w:rFonts w:ascii="Times New Roman" w:hAnsi="Times New Roman"/>
          <w:szCs w:val="24"/>
        </w:rPr>
      </w:pPr>
    </w:p>
    <w:p w:rsidR="008D5DF3" w:rsidRPr="00A658D8" w:rsidRDefault="008D5DF3" w:rsidP="00CF5845">
      <w:pPr>
        <w:pStyle w:val="ListParagraph"/>
        <w:numPr>
          <w:ilvl w:val="1"/>
          <w:numId w:val="18"/>
        </w:numPr>
        <w:tabs>
          <w:tab w:val="left" w:pos="-1440"/>
        </w:tabs>
        <w:outlineLvl w:val="0"/>
        <w:rPr>
          <w:rFonts w:ascii="Times New Roman" w:hAnsi="Times New Roman"/>
          <w:sz w:val="24"/>
          <w:szCs w:val="24"/>
        </w:rPr>
      </w:pPr>
      <w:r w:rsidRPr="00A658D8">
        <w:rPr>
          <w:rFonts w:ascii="Times New Roman" w:hAnsi="Times New Roman"/>
          <w:sz w:val="24"/>
          <w:szCs w:val="24"/>
          <w:u w:val="single"/>
        </w:rPr>
        <w:t xml:space="preserve">Consequences to </w:t>
      </w:r>
      <w:r w:rsidR="00CF5845" w:rsidRPr="00A658D8">
        <w:rPr>
          <w:rFonts w:ascii="Times New Roman" w:hAnsi="Times New Roman"/>
          <w:sz w:val="24"/>
          <w:szCs w:val="24"/>
          <w:u w:val="single"/>
        </w:rPr>
        <w:t>Less Frequent Collections</w:t>
      </w:r>
    </w:p>
    <w:p w:rsidR="008D5DF3" w:rsidRPr="00A658D8" w:rsidRDefault="008D5DF3" w:rsidP="00CF5845">
      <w:pPr>
        <w:ind w:left="1080"/>
        <w:rPr>
          <w:rFonts w:ascii="Times New Roman" w:hAnsi="Times New Roman"/>
          <w:szCs w:val="24"/>
        </w:rPr>
      </w:pPr>
      <w:r w:rsidRPr="00A658D8">
        <w:rPr>
          <w:rFonts w:ascii="Times New Roman" w:hAnsi="Times New Roman"/>
          <w:szCs w:val="24"/>
        </w:rPr>
        <w:t>Conducting the collection less frequently would present safety and soundness risks.</w:t>
      </w:r>
    </w:p>
    <w:p w:rsidR="00CF5845" w:rsidRDefault="00CF5845" w:rsidP="004D5F88">
      <w:pPr>
        <w:tabs>
          <w:tab w:val="left" w:pos="-1440"/>
        </w:tabs>
        <w:outlineLvl w:val="0"/>
        <w:rPr>
          <w:rFonts w:ascii="Times New Roman" w:hAnsi="Times New Roman"/>
          <w:szCs w:val="24"/>
        </w:rPr>
      </w:pPr>
    </w:p>
    <w:p w:rsidR="00226BAF" w:rsidRDefault="00226BAF" w:rsidP="004D5F88">
      <w:pPr>
        <w:tabs>
          <w:tab w:val="left" w:pos="-1440"/>
        </w:tabs>
        <w:outlineLvl w:val="0"/>
        <w:rPr>
          <w:rFonts w:ascii="Times New Roman" w:hAnsi="Times New Roman"/>
          <w:szCs w:val="24"/>
        </w:rPr>
      </w:pPr>
    </w:p>
    <w:p w:rsidR="00226BAF" w:rsidRPr="00A658D8" w:rsidRDefault="00226BAF" w:rsidP="004D5F88">
      <w:pPr>
        <w:tabs>
          <w:tab w:val="left" w:pos="-1440"/>
        </w:tabs>
        <w:outlineLvl w:val="0"/>
        <w:rPr>
          <w:rFonts w:ascii="Times New Roman" w:hAnsi="Times New Roman"/>
          <w:szCs w:val="24"/>
        </w:rPr>
      </w:pPr>
    </w:p>
    <w:p w:rsidR="008D5DF3" w:rsidRPr="00A658D8" w:rsidRDefault="008D5DF3" w:rsidP="00CF5845">
      <w:pPr>
        <w:pStyle w:val="ListParagraph"/>
        <w:numPr>
          <w:ilvl w:val="1"/>
          <w:numId w:val="18"/>
        </w:numPr>
        <w:tabs>
          <w:tab w:val="left" w:pos="-1440"/>
        </w:tabs>
        <w:outlineLvl w:val="0"/>
        <w:rPr>
          <w:rFonts w:ascii="Times New Roman" w:hAnsi="Times New Roman"/>
          <w:sz w:val="24"/>
          <w:szCs w:val="24"/>
        </w:rPr>
      </w:pPr>
      <w:r w:rsidRPr="00A658D8">
        <w:rPr>
          <w:rFonts w:ascii="Times New Roman" w:hAnsi="Times New Roman"/>
          <w:sz w:val="24"/>
          <w:szCs w:val="24"/>
          <w:u w:val="single"/>
        </w:rPr>
        <w:t xml:space="preserve">Special </w:t>
      </w:r>
      <w:r w:rsidR="00CF5845" w:rsidRPr="00A658D8">
        <w:rPr>
          <w:rFonts w:ascii="Times New Roman" w:hAnsi="Times New Roman"/>
          <w:sz w:val="24"/>
          <w:szCs w:val="24"/>
          <w:u w:val="single"/>
        </w:rPr>
        <w:t>Circumstances</w:t>
      </w:r>
    </w:p>
    <w:p w:rsidR="008D5DF3" w:rsidRPr="00A658D8" w:rsidRDefault="008D5DF3" w:rsidP="00CF5845">
      <w:pPr>
        <w:ind w:left="1080"/>
        <w:rPr>
          <w:rFonts w:ascii="Times New Roman" w:hAnsi="Times New Roman"/>
          <w:szCs w:val="24"/>
        </w:rPr>
      </w:pPr>
      <w:r w:rsidRPr="00A658D8">
        <w:rPr>
          <w:rFonts w:ascii="Times New Roman" w:hAnsi="Times New Roman"/>
          <w:szCs w:val="24"/>
        </w:rPr>
        <w:t xml:space="preserve">None.  </w:t>
      </w:r>
    </w:p>
    <w:p w:rsidR="008D5DF3" w:rsidRPr="00A658D8" w:rsidRDefault="008D5DF3" w:rsidP="00850D6B">
      <w:pPr>
        <w:rPr>
          <w:rFonts w:ascii="Times New Roman" w:hAnsi="Times New Roman"/>
          <w:szCs w:val="24"/>
        </w:rPr>
      </w:pPr>
    </w:p>
    <w:p w:rsidR="00CF5845" w:rsidRPr="00A658D8" w:rsidRDefault="00CF5845" w:rsidP="00CF5845">
      <w:pPr>
        <w:pStyle w:val="ListParagraph"/>
        <w:numPr>
          <w:ilvl w:val="1"/>
          <w:numId w:val="18"/>
        </w:numPr>
        <w:rPr>
          <w:rFonts w:ascii="Times New Roman" w:hAnsi="Times New Roman"/>
          <w:sz w:val="24"/>
          <w:szCs w:val="24"/>
          <w:u w:val="single"/>
        </w:rPr>
      </w:pPr>
      <w:r w:rsidRPr="00A658D8">
        <w:rPr>
          <w:rFonts w:ascii="Times New Roman" w:hAnsi="Times New Roman"/>
          <w:sz w:val="24"/>
          <w:szCs w:val="24"/>
          <w:u w:val="single"/>
        </w:rPr>
        <w:t>Consultation with Persons Outside the FDIC</w:t>
      </w:r>
    </w:p>
    <w:p w:rsidR="00A658D8" w:rsidRPr="00A658D8" w:rsidRDefault="00A658D8" w:rsidP="00A658D8">
      <w:pPr>
        <w:ind w:left="1080"/>
        <w:outlineLvl w:val="0"/>
        <w:rPr>
          <w:rFonts w:ascii="Times New Roman" w:hAnsi="Times New Roman"/>
          <w:szCs w:val="24"/>
        </w:rPr>
      </w:pPr>
      <w:r w:rsidRPr="00A658D8">
        <w:rPr>
          <w:rFonts w:ascii="Times New Roman" w:hAnsi="Times New Roman"/>
        </w:rPr>
        <w:t xml:space="preserve">A notice seeking public comment for a 60-day period was published in the </w:t>
      </w:r>
      <w:r w:rsidRPr="00A658D8">
        <w:rPr>
          <w:rFonts w:ascii="Times New Roman" w:hAnsi="Times New Roman"/>
          <w:i/>
        </w:rPr>
        <w:t>Federal</w:t>
      </w:r>
      <w:r w:rsidRPr="00A658D8">
        <w:rPr>
          <w:rFonts w:ascii="Times New Roman" w:hAnsi="Times New Roman"/>
        </w:rPr>
        <w:t xml:space="preserve"> </w:t>
      </w:r>
      <w:r w:rsidRPr="00A658D8">
        <w:rPr>
          <w:rFonts w:ascii="Times New Roman" w:hAnsi="Times New Roman"/>
          <w:i/>
        </w:rPr>
        <w:t>Register</w:t>
      </w:r>
      <w:r w:rsidRPr="00A658D8">
        <w:rPr>
          <w:rFonts w:ascii="Times New Roman" w:hAnsi="Times New Roman"/>
        </w:rPr>
        <w:t xml:space="preserve"> on July 30, 2018 (83 FR 36589).  </w:t>
      </w:r>
      <w:r w:rsidRPr="00A658D8">
        <w:rPr>
          <w:rFonts w:ascii="Times New Roman" w:hAnsi="Times New Roman"/>
          <w:szCs w:val="24"/>
        </w:rPr>
        <w:t xml:space="preserve">One comment was received which suggested policy changes to the </w:t>
      </w:r>
      <w:r>
        <w:rPr>
          <w:rFonts w:ascii="Times New Roman" w:hAnsi="Times New Roman"/>
          <w:szCs w:val="24"/>
        </w:rPr>
        <w:t xml:space="preserve">Rule, </w:t>
      </w:r>
      <w:r w:rsidRPr="00A658D8">
        <w:rPr>
          <w:rFonts w:ascii="Times New Roman" w:hAnsi="Times New Roman"/>
          <w:szCs w:val="24"/>
        </w:rPr>
        <w:t>which is currently under review.  However, the comment did not address the accuracy of the PRA estimates. </w:t>
      </w:r>
    </w:p>
    <w:p w:rsidR="00A658D8" w:rsidRPr="00A658D8" w:rsidRDefault="00A658D8" w:rsidP="00A658D8">
      <w:pPr>
        <w:ind w:left="1080"/>
        <w:outlineLvl w:val="0"/>
        <w:rPr>
          <w:rFonts w:ascii="Times New Roman" w:hAnsi="Times New Roman"/>
          <w:szCs w:val="24"/>
        </w:rPr>
      </w:pPr>
    </w:p>
    <w:p w:rsidR="008D5DF3" w:rsidRPr="00A658D8" w:rsidRDefault="008D5DF3" w:rsidP="00CF5845">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 xml:space="preserve">Payment </w:t>
      </w:r>
      <w:r w:rsidR="00CF5845" w:rsidRPr="00A658D8">
        <w:rPr>
          <w:rFonts w:ascii="Times New Roman" w:hAnsi="Times New Roman"/>
          <w:sz w:val="24"/>
          <w:szCs w:val="24"/>
          <w:u w:val="single"/>
        </w:rPr>
        <w:t>or Gifts to R</w:t>
      </w:r>
      <w:r w:rsidRPr="00A658D8">
        <w:rPr>
          <w:rFonts w:ascii="Times New Roman" w:hAnsi="Times New Roman"/>
          <w:sz w:val="24"/>
          <w:szCs w:val="24"/>
          <w:u w:val="single"/>
        </w:rPr>
        <w:t>espondents</w:t>
      </w:r>
    </w:p>
    <w:p w:rsidR="008D5DF3" w:rsidRDefault="008D5DF3" w:rsidP="00CF5845">
      <w:pPr>
        <w:ind w:left="360" w:firstLine="720"/>
        <w:outlineLvl w:val="0"/>
        <w:rPr>
          <w:rFonts w:ascii="Times New Roman" w:hAnsi="Times New Roman"/>
          <w:szCs w:val="24"/>
        </w:rPr>
      </w:pPr>
      <w:r w:rsidRPr="00A658D8">
        <w:rPr>
          <w:rFonts w:ascii="Times New Roman" w:hAnsi="Times New Roman"/>
          <w:szCs w:val="24"/>
        </w:rPr>
        <w:t>None.</w:t>
      </w:r>
    </w:p>
    <w:p w:rsidR="008D5DF3" w:rsidRPr="00A658D8" w:rsidRDefault="008D5DF3" w:rsidP="00850D6B">
      <w:pPr>
        <w:rPr>
          <w:rFonts w:ascii="Times New Roman" w:hAnsi="Times New Roman"/>
          <w:szCs w:val="24"/>
        </w:rPr>
      </w:pPr>
    </w:p>
    <w:p w:rsidR="00A658D8" w:rsidRDefault="00CF5845" w:rsidP="00A658D8">
      <w:pPr>
        <w:pStyle w:val="ListParagraph"/>
        <w:numPr>
          <w:ilvl w:val="1"/>
          <w:numId w:val="18"/>
        </w:numPr>
        <w:tabs>
          <w:tab w:val="left" w:pos="-1440"/>
        </w:tabs>
        <w:outlineLvl w:val="0"/>
        <w:rPr>
          <w:rFonts w:ascii="Times New Roman" w:hAnsi="Times New Roman"/>
          <w:sz w:val="24"/>
          <w:szCs w:val="24"/>
          <w:u w:val="single"/>
        </w:rPr>
      </w:pPr>
      <w:r w:rsidRPr="00A658D8">
        <w:rPr>
          <w:rFonts w:ascii="Times New Roman" w:hAnsi="Times New Roman"/>
          <w:sz w:val="24"/>
          <w:szCs w:val="24"/>
          <w:u w:val="single"/>
        </w:rPr>
        <w:t>C</w:t>
      </w:r>
      <w:r w:rsidR="008D5DF3" w:rsidRPr="00A658D8">
        <w:rPr>
          <w:rFonts w:ascii="Times New Roman" w:hAnsi="Times New Roman"/>
          <w:sz w:val="24"/>
          <w:szCs w:val="24"/>
          <w:u w:val="single"/>
        </w:rPr>
        <w:t>onfidentialit</w:t>
      </w:r>
      <w:r w:rsidRPr="00A658D8">
        <w:rPr>
          <w:rFonts w:ascii="Times New Roman" w:hAnsi="Times New Roman"/>
          <w:sz w:val="24"/>
          <w:szCs w:val="24"/>
          <w:u w:val="single"/>
        </w:rPr>
        <w:t>y</w:t>
      </w:r>
    </w:p>
    <w:p w:rsidR="008D5DF3" w:rsidRPr="00A658D8" w:rsidRDefault="00A658D8" w:rsidP="00A658D8">
      <w:pPr>
        <w:tabs>
          <w:tab w:val="left" w:pos="-1440"/>
        </w:tabs>
        <w:ind w:left="1080"/>
        <w:outlineLvl w:val="0"/>
        <w:rPr>
          <w:rFonts w:ascii="Times New Roman" w:hAnsi="Times New Roman"/>
          <w:szCs w:val="24"/>
          <w:u w:val="single"/>
        </w:rPr>
      </w:pPr>
      <w:r w:rsidRPr="00A658D8">
        <w:rPr>
          <w:rFonts w:ascii="Times New Roman" w:hAnsi="Times New Roman"/>
        </w:rPr>
        <w:t>Any information deemed to be of a confidential nature would be exempt from public disclosure in accordance with the provisions of the Freedom of Information Act (5 U.S.C. 552</w:t>
      </w:r>
      <w:r w:rsidRPr="00A658D8">
        <w:rPr>
          <w:rFonts w:ascii="Times New Roman" w:hAnsi="Times New Roman"/>
          <w:szCs w:val="24"/>
        </w:rPr>
        <w:t xml:space="preserve">). </w:t>
      </w:r>
    </w:p>
    <w:p w:rsidR="00A658D8" w:rsidRDefault="00A658D8" w:rsidP="00CF5845">
      <w:pPr>
        <w:tabs>
          <w:tab w:val="left" w:pos="-1440"/>
        </w:tabs>
        <w:ind w:left="1800" w:hanging="720"/>
        <w:outlineLvl w:val="0"/>
        <w:rPr>
          <w:rFonts w:ascii="Times New Roman" w:hAnsi="Times New Roman"/>
          <w:szCs w:val="24"/>
        </w:rPr>
      </w:pPr>
    </w:p>
    <w:p w:rsidR="008D5DF3" w:rsidRPr="00A658D8" w:rsidRDefault="00CF5845" w:rsidP="00CF5845">
      <w:pPr>
        <w:pStyle w:val="ListParagraph"/>
        <w:numPr>
          <w:ilvl w:val="1"/>
          <w:numId w:val="18"/>
        </w:numPr>
        <w:tabs>
          <w:tab w:val="left" w:pos="-1440"/>
        </w:tabs>
        <w:outlineLvl w:val="0"/>
        <w:rPr>
          <w:rFonts w:ascii="Times New Roman" w:hAnsi="Times New Roman"/>
          <w:sz w:val="24"/>
          <w:szCs w:val="24"/>
          <w:u w:val="single"/>
        </w:rPr>
      </w:pPr>
      <w:r w:rsidRPr="00A658D8">
        <w:rPr>
          <w:rFonts w:ascii="Times New Roman" w:hAnsi="Times New Roman"/>
          <w:sz w:val="24"/>
          <w:szCs w:val="24"/>
          <w:u w:val="single"/>
        </w:rPr>
        <w:t>Information of a Sensitive Nature</w:t>
      </w:r>
    </w:p>
    <w:p w:rsidR="008D5DF3" w:rsidRPr="00A658D8" w:rsidRDefault="008D5DF3" w:rsidP="00CF5845">
      <w:pPr>
        <w:ind w:left="1080"/>
        <w:outlineLvl w:val="0"/>
        <w:rPr>
          <w:rFonts w:ascii="Times New Roman" w:hAnsi="Times New Roman"/>
          <w:szCs w:val="24"/>
        </w:rPr>
      </w:pPr>
      <w:r w:rsidRPr="00A658D8">
        <w:rPr>
          <w:rFonts w:ascii="Times New Roman" w:hAnsi="Times New Roman"/>
          <w:szCs w:val="24"/>
        </w:rPr>
        <w:t>There are no questions of a sensitive nature.</w:t>
      </w:r>
    </w:p>
    <w:p w:rsidR="008D5DF3" w:rsidRPr="00A658D8" w:rsidRDefault="008D5DF3" w:rsidP="00850D6B">
      <w:pPr>
        <w:rPr>
          <w:rFonts w:ascii="Times New Roman" w:hAnsi="Times New Roman"/>
          <w:szCs w:val="24"/>
        </w:rPr>
      </w:pPr>
    </w:p>
    <w:p w:rsidR="008D5DF3" w:rsidRPr="00A658D8" w:rsidRDefault="00CF5845" w:rsidP="00CF5845">
      <w:pPr>
        <w:pStyle w:val="ListParagraph"/>
        <w:numPr>
          <w:ilvl w:val="1"/>
          <w:numId w:val="18"/>
        </w:numPr>
        <w:tabs>
          <w:tab w:val="left" w:pos="-1440"/>
        </w:tabs>
        <w:outlineLvl w:val="0"/>
        <w:rPr>
          <w:rFonts w:ascii="Times New Roman" w:hAnsi="Times New Roman"/>
          <w:sz w:val="24"/>
          <w:szCs w:val="24"/>
        </w:rPr>
      </w:pPr>
      <w:r w:rsidRPr="00A658D8">
        <w:rPr>
          <w:rFonts w:ascii="Times New Roman" w:hAnsi="Times New Roman"/>
          <w:spacing w:val="-3"/>
          <w:sz w:val="24"/>
          <w:szCs w:val="24"/>
          <w:u w:val="single"/>
        </w:rPr>
        <w:t>Estimates of Hour Burden and Annualized Cost</w:t>
      </w:r>
    </w:p>
    <w:p w:rsidR="008D5DF3" w:rsidRDefault="008D5DF3" w:rsidP="00490EEF">
      <w:pPr>
        <w:tabs>
          <w:tab w:val="left" w:pos="-1440"/>
        </w:tabs>
        <w:ind w:left="720" w:hanging="720"/>
        <w:outlineLvl w:val="0"/>
        <w:rPr>
          <w:rFonts w:ascii="Times New Roman" w:hAnsi="Times New Roman"/>
          <w:szCs w:val="24"/>
        </w:rPr>
      </w:pPr>
    </w:p>
    <w:tbl>
      <w:tblPr>
        <w:tblW w:w="10570" w:type="dxa"/>
        <w:jc w:val="center"/>
        <w:tblInd w:w="763" w:type="dxa"/>
        <w:tblLook w:val="04A0" w:firstRow="1" w:lastRow="0" w:firstColumn="1" w:lastColumn="0" w:noHBand="0" w:noVBand="1"/>
      </w:tblPr>
      <w:tblGrid>
        <w:gridCol w:w="2650"/>
        <w:gridCol w:w="1304"/>
        <w:gridCol w:w="1180"/>
        <w:gridCol w:w="1140"/>
        <w:gridCol w:w="1100"/>
        <w:gridCol w:w="900"/>
        <w:gridCol w:w="1080"/>
        <w:gridCol w:w="1216"/>
      </w:tblGrid>
      <w:tr w:rsidR="00A658D8" w:rsidRPr="00A658D8" w:rsidTr="00A658D8">
        <w:trPr>
          <w:trHeight w:val="288"/>
          <w:jc w:val="center"/>
        </w:trPr>
        <w:tc>
          <w:tcPr>
            <w:tcW w:w="1057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b/>
                <w:bCs/>
                <w:color w:val="000000"/>
                <w:sz w:val="16"/>
                <w:szCs w:val="16"/>
              </w:rPr>
            </w:pPr>
            <w:r w:rsidRPr="00A658D8">
              <w:rPr>
                <w:rFonts w:ascii="Times New Roman" w:hAnsi="Times New Roman"/>
                <w:b/>
                <w:bCs/>
                <w:color w:val="000000"/>
                <w:sz w:val="16"/>
                <w:szCs w:val="16"/>
              </w:rPr>
              <w:t>2018 Summary of Annual Burden and Internal Cost (3064-0185)</w:t>
            </w:r>
          </w:p>
        </w:tc>
      </w:tr>
      <w:tr w:rsidR="00A658D8" w:rsidRPr="00A658D8" w:rsidTr="00A658D8">
        <w:trPr>
          <w:trHeight w:val="612"/>
          <w:jc w:val="center"/>
        </w:trPr>
        <w:tc>
          <w:tcPr>
            <w:tcW w:w="2650" w:type="dxa"/>
            <w:tcBorders>
              <w:top w:val="nil"/>
              <w:left w:val="single" w:sz="4" w:space="0" w:color="auto"/>
              <w:bottom w:val="single" w:sz="4" w:space="0" w:color="auto"/>
              <w:right w:val="single" w:sz="4" w:space="0" w:color="auto"/>
            </w:tcBorders>
            <w:shd w:val="clear" w:color="auto" w:fill="auto"/>
            <w:noWrap/>
            <w:vAlign w:val="bottom"/>
            <w:hideMark/>
          </w:tcPr>
          <w:p w:rsidR="00A658D8" w:rsidRPr="00A658D8" w:rsidRDefault="00A658D8" w:rsidP="00A658D8">
            <w:pPr>
              <w:widowControl/>
              <w:rPr>
                <w:rFonts w:ascii="Times New Roman" w:hAnsi="Times New Roman"/>
                <w:color w:val="000000"/>
                <w:sz w:val="16"/>
                <w:szCs w:val="16"/>
              </w:rPr>
            </w:pPr>
            <w:r w:rsidRPr="00A658D8">
              <w:rPr>
                <w:rFonts w:ascii="Times New Roman" w:hAnsi="Times New Roman"/>
                <w:color w:val="000000"/>
                <w:sz w:val="16"/>
                <w:szCs w:val="16"/>
              </w:rPr>
              <w:t> </w:t>
            </w:r>
          </w:p>
        </w:tc>
        <w:tc>
          <w:tcPr>
            <w:tcW w:w="1304"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Type of Burden</w:t>
            </w:r>
          </w:p>
        </w:tc>
        <w:tc>
          <w:tcPr>
            <w:tcW w:w="11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Obligation to Respond</w:t>
            </w:r>
          </w:p>
        </w:tc>
        <w:tc>
          <w:tcPr>
            <w:tcW w:w="114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Estimated Number of Respondents</w:t>
            </w:r>
          </w:p>
        </w:tc>
        <w:tc>
          <w:tcPr>
            <w:tcW w:w="11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Estimated Frequency of Responses</w:t>
            </w:r>
          </w:p>
        </w:tc>
        <w:tc>
          <w:tcPr>
            <w:tcW w:w="9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Estimated Time per Response</w:t>
            </w:r>
          </w:p>
        </w:tc>
        <w:tc>
          <w:tcPr>
            <w:tcW w:w="10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Frequency of Response</w:t>
            </w:r>
          </w:p>
        </w:tc>
        <w:tc>
          <w:tcPr>
            <w:tcW w:w="1216"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Total Annual Estimated Burden</w:t>
            </w:r>
          </w:p>
        </w:tc>
      </w:tr>
      <w:tr w:rsidR="00A658D8" w:rsidRPr="00A658D8" w:rsidTr="00A658D8">
        <w:trPr>
          <w:trHeight w:val="612"/>
          <w:jc w:val="center"/>
        </w:trPr>
        <w:tc>
          <w:tcPr>
            <w:tcW w:w="2650" w:type="dxa"/>
            <w:tcBorders>
              <w:top w:val="nil"/>
              <w:left w:val="single" w:sz="4" w:space="0" w:color="auto"/>
              <w:bottom w:val="single" w:sz="4" w:space="0" w:color="auto"/>
              <w:right w:val="single" w:sz="4" w:space="0" w:color="auto"/>
            </w:tcBorders>
            <w:shd w:val="clear" w:color="auto" w:fill="auto"/>
            <w:vAlign w:val="center"/>
            <w:hideMark/>
          </w:tcPr>
          <w:p w:rsidR="00A658D8" w:rsidRPr="00A658D8" w:rsidRDefault="00A658D8" w:rsidP="00A658D8">
            <w:pPr>
              <w:widowControl/>
              <w:rPr>
                <w:rFonts w:ascii="Times New Roman" w:hAnsi="Times New Roman"/>
                <w:b/>
                <w:bCs/>
                <w:color w:val="000000"/>
                <w:sz w:val="16"/>
                <w:szCs w:val="16"/>
              </w:rPr>
            </w:pPr>
            <w:r w:rsidRPr="00A658D8">
              <w:rPr>
                <w:rFonts w:ascii="Times New Roman" w:hAnsi="Times New Roman"/>
                <w:b/>
                <w:bCs/>
                <w:color w:val="000000"/>
                <w:sz w:val="16"/>
                <w:szCs w:val="16"/>
              </w:rPr>
              <w:t xml:space="preserve">Contingent Resolution Plan </w:t>
            </w:r>
            <w:r w:rsidRPr="00A658D8">
              <w:rPr>
                <w:rFonts w:ascii="Times New Roman" w:hAnsi="Times New Roman"/>
                <w:color w:val="000000"/>
                <w:sz w:val="16"/>
                <w:szCs w:val="16"/>
              </w:rPr>
              <w:t>(CIDI Subsidiaries of Regional Bank Holding Companies and CIDI Subsidiaries of U.S. GSIFIs)</w:t>
            </w:r>
          </w:p>
        </w:tc>
        <w:tc>
          <w:tcPr>
            <w:tcW w:w="1304"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Reporting</w:t>
            </w:r>
          </w:p>
        </w:tc>
        <w:tc>
          <w:tcPr>
            <w:tcW w:w="11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Mandatory</w:t>
            </w:r>
          </w:p>
        </w:tc>
        <w:tc>
          <w:tcPr>
            <w:tcW w:w="114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7,200</w:t>
            </w:r>
          </w:p>
        </w:tc>
        <w:tc>
          <w:tcPr>
            <w:tcW w:w="10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On Occasion</w:t>
            </w:r>
          </w:p>
        </w:tc>
        <w:tc>
          <w:tcPr>
            <w:tcW w:w="1216"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28,800</w:t>
            </w:r>
          </w:p>
        </w:tc>
      </w:tr>
      <w:tr w:rsidR="00A658D8" w:rsidRPr="00A658D8" w:rsidTr="00A658D8">
        <w:trPr>
          <w:trHeight w:val="612"/>
          <w:jc w:val="center"/>
        </w:trPr>
        <w:tc>
          <w:tcPr>
            <w:tcW w:w="2650" w:type="dxa"/>
            <w:tcBorders>
              <w:top w:val="nil"/>
              <w:left w:val="single" w:sz="4" w:space="0" w:color="auto"/>
              <w:bottom w:val="single" w:sz="4" w:space="0" w:color="auto"/>
              <w:right w:val="single" w:sz="4" w:space="0" w:color="auto"/>
            </w:tcBorders>
            <w:shd w:val="clear" w:color="auto" w:fill="auto"/>
            <w:vAlign w:val="center"/>
            <w:hideMark/>
          </w:tcPr>
          <w:p w:rsidR="00A658D8" w:rsidRPr="00A658D8" w:rsidRDefault="00A658D8" w:rsidP="00A658D8">
            <w:pPr>
              <w:widowControl/>
              <w:rPr>
                <w:rFonts w:ascii="Times New Roman" w:hAnsi="Times New Roman"/>
                <w:b/>
                <w:bCs/>
                <w:color w:val="000000"/>
                <w:sz w:val="16"/>
                <w:szCs w:val="16"/>
              </w:rPr>
            </w:pPr>
            <w:r w:rsidRPr="00A658D8">
              <w:rPr>
                <w:rFonts w:ascii="Times New Roman" w:hAnsi="Times New Roman"/>
                <w:b/>
                <w:bCs/>
                <w:color w:val="000000"/>
                <w:sz w:val="16"/>
                <w:szCs w:val="16"/>
              </w:rPr>
              <w:t xml:space="preserve">Contingent Resolution Plan - Annual Update </w:t>
            </w:r>
            <w:r w:rsidRPr="00A658D8">
              <w:rPr>
                <w:rFonts w:ascii="Times New Roman" w:hAnsi="Times New Roman"/>
                <w:color w:val="000000"/>
                <w:sz w:val="16"/>
                <w:szCs w:val="16"/>
              </w:rPr>
              <w:t>(CIDI Subsidiaries of Regional Bank Holding Companies)*</w:t>
            </w:r>
          </w:p>
        </w:tc>
        <w:tc>
          <w:tcPr>
            <w:tcW w:w="1304"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Reporting</w:t>
            </w:r>
          </w:p>
        </w:tc>
        <w:tc>
          <w:tcPr>
            <w:tcW w:w="11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Mandatory</w:t>
            </w:r>
          </w:p>
        </w:tc>
        <w:tc>
          <w:tcPr>
            <w:tcW w:w="114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28</w:t>
            </w:r>
          </w:p>
        </w:tc>
        <w:tc>
          <w:tcPr>
            <w:tcW w:w="11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6,613</w:t>
            </w:r>
          </w:p>
        </w:tc>
        <w:tc>
          <w:tcPr>
            <w:tcW w:w="10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Annual</w:t>
            </w:r>
          </w:p>
        </w:tc>
        <w:tc>
          <w:tcPr>
            <w:tcW w:w="1216"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185,164</w:t>
            </w:r>
          </w:p>
        </w:tc>
      </w:tr>
      <w:tr w:rsidR="00A658D8" w:rsidRPr="00A658D8" w:rsidTr="00A658D8">
        <w:trPr>
          <w:trHeight w:val="408"/>
          <w:jc w:val="center"/>
        </w:trPr>
        <w:tc>
          <w:tcPr>
            <w:tcW w:w="2650" w:type="dxa"/>
            <w:tcBorders>
              <w:top w:val="nil"/>
              <w:left w:val="single" w:sz="4" w:space="0" w:color="auto"/>
              <w:bottom w:val="single" w:sz="4" w:space="0" w:color="auto"/>
              <w:right w:val="single" w:sz="4" w:space="0" w:color="auto"/>
            </w:tcBorders>
            <w:shd w:val="clear" w:color="auto" w:fill="auto"/>
            <w:vAlign w:val="center"/>
            <w:hideMark/>
          </w:tcPr>
          <w:p w:rsidR="00A658D8" w:rsidRPr="00A658D8" w:rsidRDefault="00A658D8" w:rsidP="00A658D8">
            <w:pPr>
              <w:widowControl/>
              <w:rPr>
                <w:rFonts w:ascii="Times New Roman" w:hAnsi="Times New Roman"/>
                <w:b/>
                <w:bCs/>
                <w:color w:val="000000"/>
                <w:sz w:val="16"/>
                <w:szCs w:val="16"/>
              </w:rPr>
            </w:pPr>
            <w:r w:rsidRPr="00A658D8">
              <w:rPr>
                <w:rFonts w:ascii="Times New Roman" w:hAnsi="Times New Roman"/>
                <w:b/>
                <w:bCs/>
                <w:color w:val="000000"/>
                <w:sz w:val="16"/>
                <w:szCs w:val="16"/>
              </w:rPr>
              <w:t xml:space="preserve">Contingent Resolution Plan - Annual Update </w:t>
            </w:r>
            <w:r w:rsidRPr="00A658D8">
              <w:rPr>
                <w:rFonts w:ascii="Times New Roman" w:hAnsi="Times New Roman"/>
                <w:color w:val="000000"/>
                <w:sz w:val="16"/>
                <w:szCs w:val="16"/>
              </w:rPr>
              <w:t>(CIDI Subsidiaries of U.S. GSIFIs)*</w:t>
            </w:r>
          </w:p>
        </w:tc>
        <w:tc>
          <w:tcPr>
            <w:tcW w:w="1304"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Reporting</w:t>
            </w:r>
          </w:p>
        </w:tc>
        <w:tc>
          <w:tcPr>
            <w:tcW w:w="11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Mandatory</w:t>
            </w:r>
          </w:p>
        </w:tc>
        <w:tc>
          <w:tcPr>
            <w:tcW w:w="114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39,843</w:t>
            </w:r>
          </w:p>
        </w:tc>
        <w:tc>
          <w:tcPr>
            <w:tcW w:w="10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Annual</w:t>
            </w:r>
          </w:p>
        </w:tc>
        <w:tc>
          <w:tcPr>
            <w:tcW w:w="1216"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358,587</w:t>
            </w:r>
          </w:p>
        </w:tc>
      </w:tr>
      <w:tr w:rsidR="00A658D8" w:rsidRPr="00A658D8" w:rsidTr="00A658D8">
        <w:trPr>
          <w:trHeight w:val="612"/>
          <w:jc w:val="center"/>
        </w:trPr>
        <w:tc>
          <w:tcPr>
            <w:tcW w:w="2650" w:type="dxa"/>
            <w:tcBorders>
              <w:top w:val="nil"/>
              <w:left w:val="single" w:sz="4" w:space="0" w:color="auto"/>
              <w:bottom w:val="single" w:sz="4" w:space="0" w:color="auto"/>
              <w:right w:val="single" w:sz="4" w:space="0" w:color="auto"/>
            </w:tcBorders>
            <w:shd w:val="clear" w:color="auto" w:fill="auto"/>
            <w:vAlign w:val="center"/>
            <w:hideMark/>
          </w:tcPr>
          <w:p w:rsidR="00A658D8" w:rsidRPr="00A658D8" w:rsidRDefault="00A658D8" w:rsidP="00A658D8">
            <w:pPr>
              <w:widowControl/>
              <w:rPr>
                <w:rFonts w:ascii="Times New Roman" w:hAnsi="Times New Roman"/>
                <w:b/>
                <w:bCs/>
                <w:color w:val="000000"/>
                <w:sz w:val="16"/>
                <w:szCs w:val="16"/>
              </w:rPr>
            </w:pPr>
            <w:r w:rsidRPr="00A658D8">
              <w:rPr>
                <w:rFonts w:ascii="Times New Roman" w:hAnsi="Times New Roman"/>
                <w:b/>
                <w:bCs/>
                <w:color w:val="000000"/>
                <w:sz w:val="16"/>
                <w:szCs w:val="16"/>
              </w:rPr>
              <w:t xml:space="preserve">Notice of Material Change </w:t>
            </w:r>
            <w:r w:rsidRPr="00A658D8">
              <w:rPr>
                <w:rFonts w:ascii="Times New Roman" w:hAnsi="Times New Roman"/>
                <w:color w:val="000000"/>
                <w:sz w:val="16"/>
                <w:szCs w:val="16"/>
              </w:rPr>
              <w:t>(CIDI Subsidiaries of Regional Bank Holding Companies and CIDI Subsidiaries of U.S. GSIFIs)</w:t>
            </w:r>
          </w:p>
        </w:tc>
        <w:tc>
          <w:tcPr>
            <w:tcW w:w="1304"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Reporting</w:t>
            </w:r>
          </w:p>
        </w:tc>
        <w:tc>
          <w:tcPr>
            <w:tcW w:w="11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Mandatory</w:t>
            </w:r>
          </w:p>
        </w:tc>
        <w:tc>
          <w:tcPr>
            <w:tcW w:w="114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2</w:t>
            </w:r>
          </w:p>
        </w:tc>
        <w:tc>
          <w:tcPr>
            <w:tcW w:w="90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120</w:t>
            </w:r>
          </w:p>
        </w:tc>
        <w:tc>
          <w:tcPr>
            <w:tcW w:w="1080"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On Occasion</w:t>
            </w:r>
          </w:p>
        </w:tc>
        <w:tc>
          <w:tcPr>
            <w:tcW w:w="1216" w:type="dxa"/>
            <w:tcBorders>
              <w:top w:val="nil"/>
              <w:left w:val="nil"/>
              <w:bottom w:val="single" w:sz="4" w:space="0" w:color="auto"/>
              <w:right w:val="single" w:sz="4" w:space="0" w:color="auto"/>
            </w:tcBorders>
            <w:shd w:val="clear" w:color="auto" w:fill="auto"/>
            <w:vAlign w:val="center"/>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240</w:t>
            </w:r>
          </w:p>
        </w:tc>
      </w:tr>
      <w:tr w:rsidR="00A658D8" w:rsidRPr="00A658D8" w:rsidTr="00A658D8">
        <w:trPr>
          <w:trHeight w:val="204"/>
          <w:jc w:val="center"/>
        </w:trPr>
        <w:tc>
          <w:tcPr>
            <w:tcW w:w="2650" w:type="dxa"/>
            <w:tcBorders>
              <w:top w:val="nil"/>
              <w:left w:val="single" w:sz="4" w:space="0" w:color="auto"/>
              <w:bottom w:val="single" w:sz="4" w:space="0" w:color="auto"/>
              <w:right w:val="single" w:sz="4" w:space="0" w:color="auto"/>
            </w:tcBorders>
            <w:shd w:val="clear" w:color="auto" w:fill="auto"/>
            <w:vAlign w:val="bottom"/>
            <w:hideMark/>
          </w:tcPr>
          <w:p w:rsidR="00A658D8" w:rsidRPr="00A658D8" w:rsidRDefault="00A658D8" w:rsidP="00A658D8">
            <w:pPr>
              <w:widowControl/>
              <w:jc w:val="right"/>
              <w:rPr>
                <w:rFonts w:ascii="Times New Roman" w:hAnsi="Times New Roman"/>
                <w:b/>
                <w:bCs/>
                <w:color w:val="000000"/>
                <w:sz w:val="16"/>
                <w:szCs w:val="16"/>
              </w:rPr>
            </w:pPr>
            <w:r w:rsidRPr="00A658D8">
              <w:rPr>
                <w:rFonts w:ascii="Times New Roman" w:hAnsi="Times New Roman"/>
                <w:b/>
                <w:bCs/>
                <w:color w:val="000000"/>
                <w:sz w:val="16"/>
                <w:szCs w:val="16"/>
              </w:rPr>
              <w:t>TOTAL HOURLY BURDEN</w:t>
            </w:r>
          </w:p>
        </w:tc>
        <w:tc>
          <w:tcPr>
            <w:tcW w:w="1304" w:type="dxa"/>
            <w:tcBorders>
              <w:top w:val="nil"/>
              <w:left w:val="nil"/>
              <w:bottom w:val="single" w:sz="4" w:space="0" w:color="auto"/>
              <w:right w:val="single" w:sz="4" w:space="0" w:color="auto"/>
            </w:tcBorders>
            <w:shd w:val="clear" w:color="auto" w:fill="auto"/>
            <w:vAlign w:val="bottom"/>
            <w:hideMark/>
          </w:tcPr>
          <w:p w:rsidR="00A658D8" w:rsidRPr="00A658D8" w:rsidRDefault="00A658D8" w:rsidP="00A658D8">
            <w:pPr>
              <w:widowControl/>
              <w:rPr>
                <w:rFonts w:ascii="Times New Roman" w:hAnsi="Times New Roman"/>
                <w:color w:val="000000"/>
                <w:sz w:val="16"/>
                <w:szCs w:val="16"/>
              </w:rPr>
            </w:pPr>
            <w:r w:rsidRPr="00A658D8">
              <w:rPr>
                <w:rFonts w:ascii="Times New Roman" w:hAnsi="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572,791</w:t>
            </w:r>
          </w:p>
        </w:tc>
      </w:tr>
      <w:tr w:rsidR="00A658D8" w:rsidRPr="00A658D8" w:rsidTr="00A658D8">
        <w:trPr>
          <w:trHeight w:val="204"/>
          <w:jc w:val="center"/>
        </w:trPr>
        <w:tc>
          <w:tcPr>
            <w:tcW w:w="2650" w:type="dxa"/>
            <w:tcBorders>
              <w:top w:val="nil"/>
              <w:left w:val="single" w:sz="4" w:space="0" w:color="auto"/>
              <w:bottom w:val="single" w:sz="4" w:space="0" w:color="auto"/>
              <w:right w:val="single" w:sz="4" w:space="0" w:color="auto"/>
            </w:tcBorders>
            <w:shd w:val="clear" w:color="auto" w:fill="auto"/>
            <w:vAlign w:val="bottom"/>
            <w:hideMark/>
          </w:tcPr>
          <w:p w:rsidR="00A658D8" w:rsidRPr="00A658D8" w:rsidRDefault="00A658D8" w:rsidP="00A658D8">
            <w:pPr>
              <w:widowControl/>
              <w:jc w:val="right"/>
              <w:rPr>
                <w:rFonts w:ascii="Times New Roman" w:hAnsi="Times New Roman"/>
                <w:b/>
                <w:bCs/>
                <w:color w:val="000000"/>
                <w:sz w:val="16"/>
                <w:szCs w:val="16"/>
              </w:rPr>
            </w:pPr>
            <w:r w:rsidRPr="00A658D8">
              <w:rPr>
                <w:rFonts w:ascii="Times New Roman" w:hAnsi="Times New Roman"/>
                <w:b/>
                <w:bCs/>
                <w:color w:val="000000"/>
                <w:sz w:val="16"/>
                <w:szCs w:val="16"/>
              </w:rPr>
              <w:t>TOTAL INTERNAL COST</w:t>
            </w:r>
          </w:p>
        </w:tc>
        <w:tc>
          <w:tcPr>
            <w:tcW w:w="1304" w:type="dxa"/>
            <w:tcBorders>
              <w:top w:val="nil"/>
              <w:left w:val="nil"/>
              <w:bottom w:val="single" w:sz="4" w:space="0" w:color="auto"/>
              <w:right w:val="single" w:sz="4" w:space="0" w:color="auto"/>
            </w:tcBorders>
            <w:shd w:val="clear" w:color="auto" w:fill="auto"/>
            <w:vAlign w:val="bottom"/>
            <w:hideMark/>
          </w:tcPr>
          <w:p w:rsidR="00A658D8" w:rsidRPr="00A658D8" w:rsidRDefault="00A658D8" w:rsidP="00A658D8">
            <w:pPr>
              <w:widowControl/>
              <w:jc w:val="right"/>
              <w:rPr>
                <w:rFonts w:ascii="Times New Roman" w:hAnsi="Times New Roman"/>
                <w:color w:val="000000"/>
                <w:sz w:val="16"/>
                <w:szCs w:val="16"/>
              </w:rPr>
            </w:pPr>
            <w:r w:rsidRPr="00A658D8">
              <w:rPr>
                <w:rFonts w:ascii="Times New Roman" w:hAnsi="Times New Roman"/>
                <w:color w:val="000000"/>
                <w:sz w:val="16"/>
                <w:szCs w:val="16"/>
              </w:rPr>
              <w:t>$94.38</w:t>
            </w:r>
          </w:p>
        </w:tc>
        <w:tc>
          <w:tcPr>
            <w:tcW w:w="118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rPr>
                <w:rFonts w:ascii="Times New Roman" w:hAnsi="Times New Roman"/>
                <w:color w:val="000000"/>
                <w:sz w:val="16"/>
                <w:szCs w:val="16"/>
              </w:rPr>
            </w:pPr>
            <w:r w:rsidRPr="00A658D8">
              <w:rPr>
                <w:rFonts w:ascii="Times New Roman" w:hAnsi="Times New Roman"/>
                <w:color w:val="000000"/>
                <w:sz w:val="16"/>
                <w:szCs w:val="16"/>
              </w:rPr>
              <w:t>/HR</w:t>
            </w:r>
          </w:p>
        </w:tc>
        <w:tc>
          <w:tcPr>
            <w:tcW w:w="114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rPr>
                <w:rFonts w:ascii="Times New Roman" w:hAnsi="Times New Roman"/>
                <w:color w:val="000000"/>
                <w:sz w:val="16"/>
                <w:szCs w:val="16"/>
              </w:rPr>
            </w:pPr>
            <w:r w:rsidRPr="00A658D8">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rPr>
                <w:rFonts w:ascii="Times New Roman" w:hAnsi="Times New Roman"/>
                <w:color w:val="000000"/>
                <w:sz w:val="16"/>
                <w:szCs w:val="16"/>
              </w:rPr>
            </w:pPr>
            <w:r w:rsidRPr="00A658D8">
              <w:rPr>
                <w:rFonts w:ascii="Times New Roman" w:hAnsi="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rPr>
                <w:rFonts w:ascii="Times New Roman" w:hAnsi="Times New Roman"/>
                <w:color w:val="000000"/>
                <w:sz w:val="16"/>
                <w:szCs w:val="16"/>
              </w:rPr>
            </w:pPr>
            <w:r w:rsidRPr="00A658D8">
              <w:rPr>
                <w:rFonts w:ascii="Times New Roman" w:hAnsi="Times New Roman"/>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rPr>
                <w:rFonts w:ascii="Times New Roman" w:hAnsi="Times New Roman"/>
                <w:color w:val="000000"/>
                <w:sz w:val="16"/>
                <w:szCs w:val="16"/>
              </w:rPr>
            </w:pPr>
            <w:r w:rsidRPr="00A658D8">
              <w:rPr>
                <w:rFonts w:ascii="Times New Roman" w:hAnsi="Times New Roman"/>
                <w:color w:val="000000"/>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rsidR="00A658D8" w:rsidRPr="00A658D8" w:rsidRDefault="00A658D8" w:rsidP="00A658D8">
            <w:pPr>
              <w:widowControl/>
              <w:jc w:val="center"/>
              <w:rPr>
                <w:rFonts w:ascii="Times New Roman" w:hAnsi="Times New Roman"/>
                <w:color w:val="000000"/>
                <w:sz w:val="16"/>
                <w:szCs w:val="16"/>
              </w:rPr>
            </w:pPr>
            <w:r w:rsidRPr="00A658D8">
              <w:rPr>
                <w:rFonts w:ascii="Times New Roman" w:hAnsi="Times New Roman"/>
                <w:color w:val="000000"/>
                <w:sz w:val="16"/>
                <w:szCs w:val="16"/>
              </w:rPr>
              <w:t>$54,060,014.58</w:t>
            </w:r>
          </w:p>
        </w:tc>
      </w:tr>
    </w:tbl>
    <w:p w:rsidR="00053B9D" w:rsidRPr="00053B9D" w:rsidRDefault="00053B9D" w:rsidP="00053B9D">
      <w:pPr>
        <w:rPr>
          <w:rFonts w:ascii="Times New Roman" w:hAnsi="Times New Roman"/>
          <w:sz w:val="16"/>
          <w:szCs w:val="16"/>
        </w:rPr>
      </w:pPr>
      <w:r w:rsidRPr="00053B9D">
        <w:rPr>
          <w:rFonts w:ascii="Times New Roman" w:hAnsi="Times New Roman"/>
          <w:sz w:val="16"/>
          <w:szCs w:val="16"/>
        </w:rPr>
        <w:t>* Because submissions have been required no more frequently than biennially, the burden associated with the Annual Update has been multiplied by 2/3 to represent two Annual Update filings over the three-year period contemplated by this notice and renewal.</w:t>
      </w:r>
    </w:p>
    <w:p w:rsidR="00A658D8" w:rsidRPr="00A658D8" w:rsidRDefault="00A658D8" w:rsidP="00490EEF">
      <w:pPr>
        <w:tabs>
          <w:tab w:val="left" w:pos="-1440"/>
        </w:tabs>
        <w:ind w:left="720" w:hanging="720"/>
        <w:outlineLvl w:val="0"/>
        <w:rPr>
          <w:rFonts w:ascii="Times New Roman" w:hAnsi="Times New Roman"/>
          <w:szCs w:val="24"/>
        </w:rPr>
      </w:pPr>
    </w:p>
    <w:p w:rsidR="00A658D8" w:rsidRPr="00A658D8" w:rsidRDefault="00A658D8" w:rsidP="00A658D8">
      <w:pPr>
        <w:ind w:left="720"/>
        <w:jc w:val="center"/>
        <w:rPr>
          <w:rFonts w:ascii="Times New Roman" w:hAnsi="Times New Roman"/>
          <w:szCs w:val="24"/>
        </w:rPr>
      </w:pPr>
      <w:r w:rsidRPr="00A658D8">
        <w:rPr>
          <w:rFonts w:ascii="Times New Roman" w:hAnsi="Times New Roman"/>
          <w:szCs w:val="24"/>
        </w:rPr>
        <w:t>Annualized Cost of Internal Hourly Burden:</w:t>
      </w:r>
    </w:p>
    <w:p w:rsidR="00A658D8" w:rsidRPr="00A658D8" w:rsidRDefault="00A658D8" w:rsidP="00A658D8">
      <w:pPr>
        <w:ind w:left="720"/>
        <w:jc w:val="center"/>
        <w:rPr>
          <w:rFonts w:ascii="Times New Roman" w:hAnsi="Times New Roman"/>
          <w:szCs w:val="24"/>
        </w:rPr>
      </w:pPr>
      <w:r>
        <w:rPr>
          <w:rFonts w:ascii="Times New Roman" w:hAnsi="Times New Roman"/>
          <w:szCs w:val="24"/>
        </w:rPr>
        <w:t>572,791 hours x $94</w:t>
      </w:r>
      <w:r w:rsidRPr="00A658D8">
        <w:rPr>
          <w:rFonts w:ascii="Times New Roman" w:hAnsi="Times New Roman"/>
          <w:szCs w:val="24"/>
        </w:rPr>
        <w:t>.38 per hour</w:t>
      </w:r>
      <w:r w:rsidRPr="00A658D8">
        <w:rPr>
          <w:rStyle w:val="FootnoteReference"/>
          <w:rFonts w:ascii="Times New Roman" w:hAnsi="Times New Roman"/>
          <w:szCs w:val="24"/>
          <w:vertAlign w:val="superscript"/>
        </w:rPr>
        <w:footnoteReference w:id="1"/>
      </w:r>
      <w:r w:rsidRPr="00A658D8">
        <w:rPr>
          <w:rFonts w:ascii="Times New Roman" w:hAnsi="Times New Roman"/>
          <w:szCs w:val="24"/>
          <w:vertAlign w:val="superscript"/>
        </w:rPr>
        <w:t xml:space="preserve"> </w:t>
      </w:r>
      <w:r w:rsidRPr="00A658D8">
        <w:rPr>
          <w:rFonts w:ascii="Times New Roman" w:hAnsi="Times New Roman"/>
          <w:szCs w:val="24"/>
        </w:rPr>
        <w:t>= $</w:t>
      </w:r>
      <w:r>
        <w:rPr>
          <w:rFonts w:ascii="Times New Roman" w:hAnsi="Times New Roman"/>
          <w:szCs w:val="24"/>
        </w:rPr>
        <w:t>54,060,014.58</w:t>
      </w:r>
      <w:r w:rsidRPr="00A658D8">
        <w:rPr>
          <w:rFonts w:ascii="Times New Roman" w:hAnsi="Times New Roman"/>
          <w:szCs w:val="24"/>
        </w:rPr>
        <w:t>.</w:t>
      </w:r>
    </w:p>
    <w:p w:rsidR="008D5DF3" w:rsidRPr="00A658D8" w:rsidRDefault="008D5DF3" w:rsidP="00FD6C9D">
      <w:pPr>
        <w:rPr>
          <w:rFonts w:ascii="Times New Roman" w:hAnsi="Times New Roman"/>
          <w:szCs w:val="24"/>
        </w:rPr>
      </w:pPr>
    </w:p>
    <w:p w:rsidR="008D5DF3" w:rsidRPr="00A658D8" w:rsidRDefault="00DC4739" w:rsidP="00A658D8">
      <w:pPr>
        <w:pStyle w:val="ListParagraph"/>
        <w:numPr>
          <w:ilvl w:val="1"/>
          <w:numId w:val="18"/>
        </w:numPr>
        <w:tabs>
          <w:tab w:val="left" w:pos="-1440"/>
        </w:tabs>
        <w:outlineLvl w:val="0"/>
        <w:rPr>
          <w:rFonts w:ascii="Times New Roman" w:hAnsi="Times New Roman"/>
          <w:sz w:val="24"/>
          <w:szCs w:val="24"/>
        </w:rPr>
      </w:pPr>
      <w:r>
        <w:rPr>
          <w:rFonts w:ascii="Times New Roman" w:hAnsi="Times New Roman"/>
          <w:sz w:val="24"/>
          <w:szCs w:val="24"/>
          <w:u w:val="single"/>
        </w:rPr>
        <w:t>Capital, Start-up, Operating, and Maintenance Costs</w:t>
      </w:r>
    </w:p>
    <w:p w:rsidR="008D5DF3" w:rsidRPr="00A658D8" w:rsidRDefault="008D5DF3" w:rsidP="00A658D8">
      <w:pPr>
        <w:ind w:left="1080"/>
        <w:rPr>
          <w:rFonts w:ascii="Times New Roman" w:hAnsi="Times New Roman"/>
          <w:szCs w:val="24"/>
        </w:rPr>
      </w:pPr>
      <w:r w:rsidRPr="00A658D8">
        <w:rPr>
          <w:rFonts w:ascii="Times New Roman" w:hAnsi="Times New Roman"/>
          <w:szCs w:val="24"/>
        </w:rPr>
        <w:t>None.</w:t>
      </w:r>
    </w:p>
    <w:p w:rsidR="00A658D8" w:rsidRPr="00A658D8" w:rsidRDefault="00A658D8" w:rsidP="00850D6B">
      <w:pPr>
        <w:outlineLvl w:val="0"/>
        <w:rPr>
          <w:rFonts w:ascii="Times New Roman" w:hAnsi="Times New Roman"/>
          <w:szCs w:val="24"/>
        </w:rPr>
      </w:pPr>
    </w:p>
    <w:p w:rsidR="008D5DF3" w:rsidRPr="00A658D8" w:rsidRDefault="008D5DF3" w:rsidP="00A658D8">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Estimate</w:t>
      </w:r>
      <w:r w:rsidR="00DC4739">
        <w:rPr>
          <w:rFonts w:ascii="Times New Roman" w:hAnsi="Times New Roman"/>
          <w:sz w:val="24"/>
          <w:szCs w:val="24"/>
          <w:u w:val="single"/>
        </w:rPr>
        <w:t>d Annualized Cost</w:t>
      </w:r>
      <w:r w:rsidRPr="00A658D8">
        <w:rPr>
          <w:rFonts w:ascii="Times New Roman" w:hAnsi="Times New Roman"/>
          <w:sz w:val="24"/>
          <w:szCs w:val="24"/>
          <w:u w:val="single"/>
        </w:rPr>
        <w:t xml:space="preserve"> to </w:t>
      </w:r>
      <w:r w:rsidR="00DC4739">
        <w:rPr>
          <w:rFonts w:ascii="Times New Roman" w:hAnsi="Times New Roman"/>
          <w:sz w:val="24"/>
          <w:szCs w:val="24"/>
          <w:u w:val="single"/>
        </w:rPr>
        <w:t>the Federal Government</w:t>
      </w:r>
    </w:p>
    <w:p w:rsidR="008D5DF3" w:rsidRPr="00A658D8" w:rsidRDefault="008D5DF3" w:rsidP="00A658D8">
      <w:pPr>
        <w:ind w:left="1080"/>
        <w:outlineLvl w:val="0"/>
        <w:rPr>
          <w:rFonts w:ascii="Times New Roman" w:hAnsi="Times New Roman"/>
          <w:szCs w:val="24"/>
        </w:rPr>
      </w:pPr>
      <w:r w:rsidRPr="00A658D8">
        <w:rPr>
          <w:rFonts w:ascii="Times New Roman" w:hAnsi="Times New Roman"/>
          <w:szCs w:val="24"/>
        </w:rPr>
        <w:t>None.</w:t>
      </w:r>
    </w:p>
    <w:p w:rsidR="008D5DF3" w:rsidRPr="00A658D8" w:rsidRDefault="008D5DF3" w:rsidP="00850D6B">
      <w:pPr>
        <w:rPr>
          <w:rFonts w:ascii="Times New Roman" w:hAnsi="Times New Roman"/>
          <w:szCs w:val="24"/>
        </w:rPr>
      </w:pPr>
    </w:p>
    <w:p w:rsidR="008D5DF3" w:rsidRPr="00DC4739" w:rsidRDefault="00DC4739" w:rsidP="00A658D8">
      <w:pPr>
        <w:pStyle w:val="ListParagraph"/>
        <w:numPr>
          <w:ilvl w:val="1"/>
          <w:numId w:val="18"/>
        </w:numPr>
        <w:tabs>
          <w:tab w:val="left" w:pos="-1440"/>
        </w:tabs>
        <w:outlineLvl w:val="0"/>
        <w:rPr>
          <w:rFonts w:ascii="Times New Roman" w:hAnsi="Times New Roman"/>
          <w:sz w:val="24"/>
          <w:szCs w:val="24"/>
        </w:rPr>
      </w:pPr>
      <w:r>
        <w:rPr>
          <w:rFonts w:ascii="Times New Roman" w:hAnsi="Times New Roman"/>
          <w:sz w:val="24"/>
          <w:szCs w:val="24"/>
          <w:u w:val="single"/>
        </w:rPr>
        <w:t>Reason for Change in Burden</w:t>
      </w:r>
    </w:p>
    <w:p w:rsidR="008D5DF3" w:rsidRPr="00DC4739" w:rsidRDefault="00DC4739" w:rsidP="00DC4739">
      <w:pPr>
        <w:ind w:left="1080"/>
        <w:rPr>
          <w:rFonts w:ascii="Times New Roman" w:hAnsi="Times New Roman"/>
          <w:szCs w:val="24"/>
        </w:rPr>
      </w:pPr>
      <w:r w:rsidRPr="00DC4739">
        <w:rPr>
          <w:rFonts w:ascii="Times New Roman" w:hAnsi="Times New Roman"/>
          <w:szCs w:val="24"/>
        </w:rPr>
        <w:t>The annual burden for this information collection is estimated to be 572,791 hours. This represents an increase of 281,305 hours from the current burden estimate of 291,486 hours.  This increase is not due to any new requirements imposed by the FDIC.  Rather, it is due to FDIC’s reassessment of the burden hours associated with responding to the existing requirements of the Rule and to guidance, feedback, and additional requests for information by the FDIC as part of the iterative resolution planning process.  The revised estimates are informed by feedback received from the CIDIs over the past year.  Because submissions have been required no more frequently than biennially, the burden associated with the Annual Update has been multiplied by 2/3 to represent two Annual Update filings over the three-year period contemplated by this notice and renewal.</w:t>
      </w:r>
      <w:r w:rsidR="008D5DF3" w:rsidRPr="00DC4739">
        <w:rPr>
          <w:rFonts w:ascii="Times New Roman" w:hAnsi="Times New Roman"/>
          <w:szCs w:val="24"/>
        </w:rPr>
        <w:t xml:space="preserve"> </w:t>
      </w:r>
    </w:p>
    <w:p w:rsidR="008D5DF3" w:rsidRPr="00A658D8" w:rsidRDefault="008D5DF3" w:rsidP="00850D6B">
      <w:pPr>
        <w:rPr>
          <w:rFonts w:ascii="Times New Roman" w:hAnsi="Times New Roman"/>
          <w:szCs w:val="24"/>
        </w:rPr>
      </w:pPr>
    </w:p>
    <w:p w:rsidR="008D5DF3" w:rsidRPr="00DC4739" w:rsidRDefault="00DC4739" w:rsidP="00DC4739">
      <w:pPr>
        <w:pStyle w:val="ListParagraph"/>
        <w:numPr>
          <w:ilvl w:val="1"/>
          <w:numId w:val="18"/>
        </w:numPr>
        <w:tabs>
          <w:tab w:val="left" w:pos="-1440"/>
        </w:tabs>
        <w:outlineLvl w:val="0"/>
        <w:rPr>
          <w:rFonts w:ascii="Times New Roman" w:hAnsi="Times New Roman"/>
          <w:sz w:val="24"/>
          <w:szCs w:val="24"/>
        </w:rPr>
      </w:pPr>
      <w:r w:rsidRPr="00DC4739">
        <w:rPr>
          <w:rFonts w:ascii="Times New Roman" w:hAnsi="Times New Roman"/>
          <w:sz w:val="24"/>
          <w:szCs w:val="24"/>
          <w:u w:val="single"/>
        </w:rPr>
        <w:t>Publication</w:t>
      </w:r>
    </w:p>
    <w:p w:rsidR="008D5DF3" w:rsidRPr="00A658D8" w:rsidRDefault="008D5DF3" w:rsidP="00A658D8">
      <w:pPr>
        <w:ind w:left="1080"/>
        <w:outlineLvl w:val="0"/>
        <w:rPr>
          <w:rFonts w:ascii="Times New Roman" w:hAnsi="Times New Roman"/>
          <w:szCs w:val="24"/>
        </w:rPr>
      </w:pPr>
      <w:r w:rsidRPr="00A658D8">
        <w:rPr>
          <w:rFonts w:ascii="Times New Roman" w:hAnsi="Times New Roman"/>
          <w:szCs w:val="24"/>
        </w:rPr>
        <w:t>No publication for statistical use is contemplated.</w:t>
      </w:r>
    </w:p>
    <w:p w:rsidR="008D5DF3" w:rsidRPr="00A658D8" w:rsidRDefault="008D5DF3" w:rsidP="00850D6B">
      <w:pPr>
        <w:rPr>
          <w:rFonts w:ascii="Times New Roman" w:hAnsi="Times New Roman"/>
          <w:szCs w:val="24"/>
        </w:rPr>
      </w:pPr>
    </w:p>
    <w:p w:rsidR="008D5DF3" w:rsidRPr="00A658D8" w:rsidRDefault="008D5DF3" w:rsidP="00A658D8">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 xml:space="preserve">Display of </w:t>
      </w:r>
      <w:r w:rsidR="00DC4739">
        <w:rPr>
          <w:rFonts w:ascii="Times New Roman" w:hAnsi="Times New Roman"/>
          <w:sz w:val="24"/>
          <w:szCs w:val="24"/>
          <w:u w:val="single"/>
        </w:rPr>
        <w:t>Expiration D</w:t>
      </w:r>
      <w:r w:rsidRPr="00A658D8">
        <w:rPr>
          <w:rFonts w:ascii="Times New Roman" w:hAnsi="Times New Roman"/>
          <w:sz w:val="24"/>
          <w:szCs w:val="24"/>
          <w:u w:val="single"/>
        </w:rPr>
        <w:t>ate</w:t>
      </w:r>
    </w:p>
    <w:p w:rsidR="008D5DF3" w:rsidRPr="00A658D8" w:rsidRDefault="008D5DF3" w:rsidP="00A658D8">
      <w:pPr>
        <w:ind w:left="1080"/>
        <w:outlineLvl w:val="0"/>
        <w:rPr>
          <w:rFonts w:ascii="Times New Roman" w:hAnsi="Times New Roman"/>
          <w:szCs w:val="24"/>
        </w:rPr>
      </w:pPr>
      <w:r w:rsidRPr="00A658D8">
        <w:rPr>
          <w:rFonts w:ascii="Times New Roman" w:hAnsi="Times New Roman"/>
          <w:szCs w:val="24"/>
        </w:rPr>
        <w:t>Not applicable.</w:t>
      </w:r>
    </w:p>
    <w:p w:rsidR="00A658D8" w:rsidRPr="00A658D8" w:rsidRDefault="00A658D8" w:rsidP="00850D6B">
      <w:pPr>
        <w:outlineLvl w:val="0"/>
        <w:rPr>
          <w:rFonts w:ascii="Times New Roman" w:hAnsi="Times New Roman"/>
          <w:szCs w:val="24"/>
        </w:rPr>
      </w:pPr>
    </w:p>
    <w:p w:rsidR="008D5DF3" w:rsidRPr="00A658D8" w:rsidRDefault="008D5DF3" w:rsidP="00A658D8">
      <w:pPr>
        <w:pStyle w:val="ListParagraph"/>
        <w:numPr>
          <w:ilvl w:val="1"/>
          <w:numId w:val="18"/>
        </w:numPr>
        <w:outlineLvl w:val="0"/>
        <w:rPr>
          <w:rFonts w:ascii="Times New Roman" w:hAnsi="Times New Roman"/>
          <w:sz w:val="24"/>
          <w:szCs w:val="24"/>
        </w:rPr>
      </w:pPr>
      <w:r w:rsidRPr="00A658D8">
        <w:rPr>
          <w:rFonts w:ascii="Times New Roman" w:hAnsi="Times New Roman"/>
          <w:sz w:val="24"/>
          <w:szCs w:val="24"/>
          <w:u w:val="single"/>
        </w:rPr>
        <w:t xml:space="preserve">Exceptions to </w:t>
      </w:r>
      <w:r w:rsidR="00DC4739">
        <w:rPr>
          <w:rFonts w:ascii="Times New Roman" w:hAnsi="Times New Roman"/>
          <w:sz w:val="24"/>
          <w:szCs w:val="24"/>
          <w:u w:val="single"/>
        </w:rPr>
        <w:t>Certification S</w:t>
      </w:r>
      <w:r w:rsidRPr="00A658D8">
        <w:rPr>
          <w:rFonts w:ascii="Times New Roman" w:hAnsi="Times New Roman"/>
          <w:sz w:val="24"/>
          <w:szCs w:val="24"/>
          <w:u w:val="single"/>
        </w:rPr>
        <w:t>tatement</w:t>
      </w:r>
    </w:p>
    <w:p w:rsidR="008D5DF3" w:rsidRPr="00A658D8" w:rsidRDefault="00DC4739" w:rsidP="00A658D8">
      <w:pPr>
        <w:ind w:left="1080"/>
        <w:outlineLvl w:val="0"/>
        <w:rPr>
          <w:rFonts w:ascii="Times New Roman" w:hAnsi="Times New Roman"/>
          <w:szCs w:val="24"/>
        </w:rPr>
      </w:pPr>
      <w:r>
        <w:rPr>
          <w:rFonts w:ascii="Times New Roman" w:hAnsi="Times New Roman"/>
          <w:szCs w:val="24"/>
        </w:rPr>
        <w:t>None.</w:t>
      </w:r>
    </w:p>
    <w:p w:rsidR="008D5DF3" w:rsidRPr="00A658D8" w:rsidRDefault="008D5DF3" w:rsidP="00850D6B">
      <w:pPr>
        <w:outlineLvl w:val="0"/>
        <w:rPr>
          <w:rFonts w:ascii="Times New Roman" w:hAnsi="Times New Roman"/>
          <w:szCs w:val="24"/>
        </w:rPr>
      </w:pPr>
    </w:p>
    <w:p w:rsidR="00A658D8" w:rsidRPr="00A658D8" w:rsidRDefault="00DC4739" w:rsidP="00A658D8">
      <w:pPr>
        <w:widowControl/>
        <w:numPr>
          <w:ilvl w:val="0"/>
          <w:numId w:val="18"/>
        </w:numPr>
        <w:rPr>
          <w:rFonts w:ascii="Times New Roman" w:hAnsi="Times New Roman"/>
          <w:szCs w:val="24"/>
        </w:rPr>
      </w:pPr>
      <w:r>
        <w:rPr>
          <w:rFonts w:ascii="Times New Roman" w:hAnsi="Times New Roman"/>
          <w:szCs w:val="24"/>
          <w:u w:val="single"/>
        </w:rPr>
        <w:t>STATISTICAL METHODS</w:t>
      </w:r>
    </w:p>
    <w:p w:rsidR="00A658D8" w:rsidRPr="00A658D8" w:rsidRDefault="00A658D8" w:rsidP="00850D6B">
      <w:pPr>
        <w:outlineLvl w:val="0"/>
        <w:rPr>
          <w:rFonts w:ascii="Times New Roman" w:hAnsi="Times New Roman"/>
          <w:szCs w:val="24"/>
        </w:rPr>
      </w:pPr>
    </w:p>
    <w:p w:rsidR="008D5DF3" w:rsidRPr="00A658D8" w:rsidRDefault="008D5DF3" w:rsidP="00DC4739">
      <w:pPr>
        <w:ind w:firstLine="360"/>
        <w:rPr>
          <w:rFonts w:ascii="Times New Roman" w:hAnsi="Times New Roman"/>
          <w:szCs w:val="24"/>
        </w:rPr>
      </w:pPr>
      <w:r w:rsidRPr="00A658D8">
        <w:rPr>
          <w:rFonts w:ascii="Times New Roman" w:hAnsi="Times New Roman"/>
          <w:szCs w:val="24"/>
        </w:rPr>
        <w:t>Not applicable.</w:t>
      </w:r>
    </w:p>
    <w:sectPr w:rsidR="008D5DF3" w:rsidRPr="00A658D8" w:rsidSect="00E67FC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DF3" w:rsidRDefault="008D5DF3">
      <w:r>
        <w:separator/>
      </w:r>
    </w:p>
  </w:endnote>
  <w:endnote w:type="continuationSeparator" w:id="0">
    <w:p w:rsidR="008D5DF3" w:rsidRDefault="008D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F3" w:rsidRDefault="008D5DF3" w:rsidP="009E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5DF3" w:rsidRDefault="008D5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F3" w:rsidRPr="00D44A17" w:rsidRDefault="008D5DF3"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B6274E">
      <w:rPr>
        <w:rStyle w:val="PageNumber"/>
        <w:rFonts w:ascii="Times New Roman" w:hAnsi="Times New Roman"/>
        <w:noProof/>
      </w:rPr>
      <w:t>1</w:t>
    </w:r>
    <w:r w:rsidRPr="00D44A17">
      <w:rPr>
        <w:rStyle w:val="PageNumber"/>
        <w:rFonts w:ascii="Times New Roman" w:hAnsi="Times New Roman"/>
      </w:rPr>
      <w:fldChar w:fldCharType="end"/>
    </w:r>
  </w:p>
  <w:p w:rsidR="008D5DF3" w:rsidRDefault="008D5D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D3" w:rsidRDefault="00F61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DF3" w:rsidRDefault="008D5DF3">
      <w:r>
        <w:separator/>
      </w:r>
    </w:p>
  </w:footnote>
  <w:footnote w:type="continuationSeparator" w:id="0">
    <w:p w:rsidR="008D5DF3" w:rsidRDefault="008D5DF3">
      <w:r>
        <w:continuationSeparator/>
      </w:r>
    </w:p>
  </w:footnote>
  <w:footnote w:id="1">
    <w:p w:rsidR="00A658D8" w:rsidRPr="008A6421" w:rsidRDefault="00A658D8" w:rsidP="00A658D8">
      <w:pPr>
        <w:tabs>
          <w:tab w:val="left" w:pos="1440"/>
          <w:tab w:val="left" w:pos="5040"/>
        </w:tabs>
        <w:rPr>
          <w:rFonts w:ascii="Times New Roman" w:hAnsi="Times New Roman"/>
        </w:rPr>
      </w:pPr>
      <w:r w:rsidRPr="008A6421">
        <w:rPr>
          <w:rStyle w:val="FootnoteReference"/>
          <w:rFonts w:ascii="Times New Roman" w:hAnsi="Times New Roman"/>
          <w:vertAlign w:val="superscript"/>
        </w:rPr>
        <w:footnoteRef/>
      </w:r>
      <w:r w:rsidRPr="008A6421">
        <w:rPr>
          <w:rFonts w:ascii="Times New Roman" w:hAnsi="Times New Roman"/>
          <w:vertAlign w:val="superscript"/>
        </w:rPr>
        <w:t xml:space="preserve"> </w:t>
      </w:r>
      <w:r w:rsidRPr="00A658D8">
        <w:rPr>
          <w:rFonts w:ascii="Times New Roman" w:hAnsi="Times New Roman"/>
          <w:sz w:val="20"/>
        </w:rPr>
        <w:t>Total burden cost estimate was based on data gathered from the Bureau of Labor Statistics (BLS) as of March 2018.  According to the May 2017 National Industry-Specific Occupational Employment and Wage Estimates for the Depository Credit Intermediation sector the 75th percentile hourly wage for Management Occupations (110000) and Financial Analysts (132051) is $78.28 and $53.27, respectively. The wage information reported by the BLS in the Specific Occupational Employment and Wage Estimates does not include health benefits and other non-monetary benefits. According to the March 2018 Employer Cost of Employee Compensation data compensation rates for health and other benefits are 35.5 percent of total compensation.  The wage has therefore been inflation adjusted according to the BLS data on the Consumer Price Index for Urban Consumers (CPI-U) so that it is contemporaneous with the non-wage compensation statistic. The inflation rate was 2.28 percent between May 2017 and March 2018. Therefore, the adjusted average wage is $94.38 per 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D3" w:rsidRDefault="00F61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D3" w:rsidRDefault="00F61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D3" w:rsidRDefault="00F61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E6A"/>
    <w:multiLevelType w:val="singleLevel"/>
    <w:tmpl w:val="948EAEF4"/>
    <w:lvl w:ilvl="0">
      <w:start w:val="2"/>
      <w:numFmt w:val="decimal"/>
      <w:lvlText w:val="%1."/>
      <w:lvlJc w:val="left"/>
      <w:pPr>
        <w:tabs>
          <w:tab w:val="num" w:pos="720"/>
        </w:tabs>
        <w:ind w:left="720" w:hanging="360"/>
      </w:pPr>
      <w:rPr>
        <w:rFonts w:hint="default"/>
        <w:u w:val="none"/>
      </w:rPr>
    </w:lvl>
  </w:abstractNum>
  <w:abstractNum w:abstractNumId="1">
    <w:nsid w:val="0F09122C"/>
    <w:multiLevelType w:val="hybridMultilevel"/>
    <w:tmpl w:val="8A62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79F7457"/>
    <w:multiLevelType w:val="hybridMultilevel"/>
    <w:tmpl w:val="DCD2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3594C"/>
    <w:multiLevelType w:val="hybridMultilevel"/>
    <w:tmpl w:val="647AFC4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9124418"/>
    <w:multiLevelType w:val="hybridMultilevel"/>
    <w:tmpl w:val="0E8A1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3">
    <w:nsid w:val="72D05624"/>
    <w:multiLevelType w:val="hybridMultilevel"/>
    <w:tmpl w:val="D7961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9330B2"/>
    <w:multiLevelType w:val="hybridMultilevel"/>
    <w:tmpl w:val="AA1CA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E3F080B"/>
    <w:multiLevelType w:val="hybridMultilevel"/>
    <w:tmpl w:val="DB20E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4"/>
  </w:num>
  <w:num w:numId="4">
    <w:abstractNumId w:val="2"/>
  </w:num>
  <w:num w:numId="5">
    <w:abstractNumId w:val="15"/>
  </w:num>
  <w:num w:numId="6">
    <w:abstractNumId w:val="9"/>
  </w:num>
  <w:num w:numId="7">
    <w:abstractNumId w:val="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16"/>
  </w:num>
  <w:num w:numId="16">
    <w:abstractNumId w:val="6"/>
  </w:num>
  <w:num w:numId="17">
    <w:abstractNumId w:val="3"/>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A9"/>
    <w:rsid w:val="00015F7E"/>
    <w:rsid w:val="00024493"/>
    <w:rsid w:val="0002477D"/>
    <w:rsid w:val="000260FD"/>
    <w:rsid w:val="00040171"/>
    <w:rsid w:val="00040EDD"/>
    <w:rsid w:val="00053B9D"/>
    <w:rsid w:val="000841A0"/>
    <w:rsid w:val="0008718C"/>
    <w:rsid w:val="00094D94"/>
    <w:rsid w:val="00096502"/>
    <w:rsid w:val="000B6DF0"/>
    <w:rsid w:val="000C7953"/>
    <w:rsid w:val="000D71BF"/>
    <w:rsid w:val="000E0ACC"/>
    <w:rsid w:val="000E3D1D"/>
    <w:rsid w:val="000E739A"/>
    <w:rsid w:val="000F0705"/>
    <w:rsid w:val="000F0AD0"/>
    <w:rsid w:val="000F39F2"/>
    <w:rsid w:val="000F4771"/>
    <w:rsid w:val="000F6328"/>
    <w:rsid w:val="001067D8"/>
    <w:rsid w:val="00112142"/>
    <w:rsid w:val="0011233B"/>
    <w:rsid w:val="00124A8A"/>
    <w:rsid w:val="00126C08"/>
    <w:rsid w:val="00127D85"/>
    <w:rsid w:val="00140D33"/>
    <w:rsid w:val="00155060"/>
    <w:rsid w:val="00176A39"/>
    <w:rsid w:val="0018255F"/>
    <w:rsid w:val="00185D39"/>
    <w:rsid w:val="001870F5"/>
    <w:rsid w:val="00190528"/>
    <w:rsid w:val="001B096A"/>
    <w:rsid w:val="001B3324"/>
    <w:rsid w:val="001B3A0E"/>
    <w:rsid w:val="001B4368"/>
    <w:rsid w:val="001C665A"/>
    <w:rsid w:val="001D77CC"/>
    <w:rsid w:val="001E69B5"/>
    <w:rsid w:val="001F20B1"/>
    <w:rsid w:val="002170A9"/>
    <w:rsid w:val="00226BAF"/>
    <w:rsid w:val="00227FA9"/>
    <w:rsid w:val="002301EF"/>
    <w:rsid w:val="00232C01"/>
    <w:rsid w:val="00234E23"/>
    <w:rsid w:val="00256276"/>
    <w:rsid w:val="00256905"/>
    <w:rsid w:val="002614B3"/>
    <w:rsid w:val="00262DF4"/>
    <w:rsid w:val="0028762A"/>
    <w:rsid w:val="00287A09"/>
    <w:rsid w:val="00290B4E"/>
    <w:rsid w:val="0029200F"/>
    <w:rsid w:val="00292F82"/>
    <w:rsid w:val="002A404B"/>
    <w:rsid w:val="002B051E"/>
    <w:rsid w:val="002B408A"/>
    <w:rsid w:val="002C48F4"/>
    <w:rsid w:val="002C53C5"/>
    <w:rsid w:val="002F3E29"/>
    <w:rsid w:val="002F5062"/>
    <w:rsid w:val="00310CE0"/>
    <w:rsid w:val="0031284F"/>
    <w:rsid w:val="00312ECF"/>
    <w:rsid w:val="00315751"/>
    <w:rsid w:val="003175D7"/>
    <w:rsid w:val="00317C12"/>
    <w:rsid w:val="003357F5"/>
    <w:rsid w:val="003362F9"/>
    <w:rsid w:val="00345464"/>
    <w:rsid w:val="00350F70"/>
    <w:rsid w:val="00377909"/>
    <w:rsid w:val="003826B0"/>
    <w:rsid w:val="00382A5D"/>
    <w:rsid w:val="00392208"/>
    <w:rsid w:val="003C41D9"/>
    <w:rsid w:val="003E6C02"/>
    <w:rsid w:val="003E7DCF"/>
    <w:rsid w:val="003F29AE"/>
    <w:rsid w:val="003F3502"/>
    <w:rsid w:val="0041183F"/>
    <w:rsid w:val="00420F7B"/>
    <w:rsid w:val="0043250F"/>
    <w:rsid w:val="004513D4"/>
    <w:rsid w:val="0045298C"/>
    <w:rsid w:val="004545FE"/>
    <w:rsid w:val="004600FF"/>
    <w:rsid w:val="00464D95"/>
    <w:rsid w:val="00465614"/>
    <w:rsid w:val="004762BF"/>
    <w:rsid w:val="004849F9"/>
    <w:rsid w:val="004901EF"/>
    <w:rsid w:val="00490EEF"/>
    <w:rsid w:val="0049101F"/>
    <w:rsid w:val="004955DD"/>
    <w:rsid w:val="004A5C84"/>
    <w:rsid w:val="004A605B"/>
    <w:rsid w:val="004B0ADA"/>
    <w:rsid w:val="004B4DB0"/>
    <w:rsid w:val="004D18A2"/>
    <w:rsid w:val="004D49AE"/>
    <w:rsid w:val="004D5F88"/>
    <w:rsid w:val="004E118F"/>
    <w:rsid w:val="004E2BE7"/>
    <w:rsid w:val="004E3361"/>
    <w:rsid w:val="004E3939"/>
    <w:rsid w:val="004E3E52"/>
    <w:rsid w:val="004F1101"/>
    <w:rsid w:val="00503353"/>
    <w:rsid w:val="005102F8"/>
    <w:rsid w:val="0051073D"/>
    <w:rsid w:val="00531257"/>
    <w:rsid w:val="00541136"/>
    <w:rsid w:val="0056028A"/>
    <w:rsid w:val="00561856"/>
    <w:rsid w:val="0057102C"/>
    <w:rsid w:val="005723EE"/>
    <w:rsid w:val="0057362F"/>
    <w:rsid w:val="0057656B"/>
    <w:rsid w:val="005813FD"/>
    <w:rsid w:val="005828C6"/>
    <w:rsid w:val="00592BD0"/>
    <w:rsid w:val="00594137"/>
    <w:rsid w:val="005A5D9A"/>
    <w:rsid w:val="005B0EA7"/>
    <w:rsid w:val="005C7D7E"/>
    <w:rsid w:val="005D5CAD"/>
    <w:rsid w:val="005D666A"/>
    <w:rsid w:val="005E032E"/>
    <w:rsid w:val="005E1E82"/>
    <w:rsid w:val="005F3A57"/>
    <w:rsid w:val="00600057"/>
    <w:rsid w:val="00603617"/>
    <w:rsid w:val="006057E5"/>
    <w:rsid w:val="0061243E"/>
    <w:rsid w:val="00615C5F"/>
    <w:rsid w:val="006266B0"/>
    <w:rsid w:val="006312DA"/>
    <w:rsid w:val="006352DD"/>
    <w:rsid w:val="00650B31"/>
    <w:rsid w:val="006610B6"/>
    <w:rsid w:val="00677966"/>
    <w:rsid w:val="00677F6F"/>
    <w:rsid w:val="00681014"/>
    <w:rsid w:val="006853BE"/>
    <w:rsid w:val="006914A9"/>
    <w:rsid w:val="006915D9"/>
    <w:rsid w:val="006917AE"/>
    <w:rsid w:val="006A2529"/>
    <w:rsid w:val="006C2B19"/>
    <w:rsid w:val="006D02C2"/>
    <w:rsid w:val="006D1B84"/>
    <w:rsid w:val="006D43C5"/>
    <w:rsid w:val="006E6279"/>
    <w:rsid w:val="0070054A"/>
    <w:rsid w:val="00702457"/>
    <w:rsid w:val="007142B0"/>
    <w:rsid w:val="0072471D"/>
    <w:rsid w:val="00734B23"/>
    <w:rsid w:val="00745F2F"/>
    <w:rsid w:val="00780279"/>
    <w:rsid w:val="00782DF2"/>
    <w:rsid w:val="00787035"/>
    <w:rsid w:val="007903FB"/>
    <w:rsid w:val="00792888"/>
    <w:rsid w:val="007A5D30"/>
    <w:rsid w:val="007C0AB8"/>
    <w:rsid w:val="007C0BCC"/>
    <w:rsid w:val="007C7882"/>
    <w:rsid w:val="007D405E"/>
    <w:rsid w:val="007D4B8C"/>
    <w:rsid w:val="007D701B"/>
    <w:rsid w:val="007F1558"/>
    <w:rsid w:val="007F574F"/>
    <w:rsid w:val="00812C0C"/>
    <w:rsid w:val="00813F52"/>
    <w:rsid w:val="00815BA0"/>
    <w:rsid w:val="00815BF3"/>
    <w:rsid w:val="008258B0"/>
    <w:rsid w:val="008262BC"/>
    <w:rsid w:val="00832F4D"/>
    <w:rsid w:val="008424FE"/>
    <w:rsid w:val="00850D6B"/>
    <w:rsid w:val="00853CE9"/>
    <w:rsid w:val="00855435"/>
    <w:rsid w:val="00855657"/>
    <w:rsid w:val="00861894"/>
    <w:rsid w:val="00892D77"/>
    <w:rsid w:val="008945FE"/>
    <w:rsid w:val="0089610B"/>
    <w:rsid w:val="008A7570"/>
    <w:rsid w:val="008D08B8"/>
    <w:rsid w:val="008D1F22"/>
    <w:rsid w:val="008D4DFA"/>
    <w:rsid w:val="008D5DF3"/>
    <w:rsid w:val="008D7F91"/>
    <w:rsid w:val="008F65F9"/>
    <w:rsid w:val="008F7601"/>
    <w:rsid w:val="009005D0"/>
    <w:rsid w:val="00901670"/>
    <w:rsid w:val="00905047"/>
    <w:rsid w:val="00921AC7"/>
    <w:rsid w:val="00934FDA"/>
    <w:rsid w:val="00950FE9"/>
    <w:rsid w:val="00957F5B"/>
    <w:rsid w:val="00980B27"/>
    <w:rsid w:val="00982C52"/>
    <w:rsid w:val="00984A05"/>
    <w:rsid w:val="009873A8"/>
    <w:rsid w:val="009E334E"/>
    <w:rsid w:val="009E3EF8"/>
    <w:rsid w:val="009F3F7C"/>
    <w:rsid w:val="00A05524"/>
    <w:rsid w:val="00A118AA"/>
    <w:rsid w:val="00A26F7E"/>
    <w:rsid w:val="00A30089"/>
    <w:rsid w:val="00A42208"/>
    <w:rsid w:val="00A5661D"/>
    <w:rsid w:val="00A658D8"/>
    <w:rsid w:val="00A7066E"/>
    <w:rsid w:val="00A76A56"/>
    <w:rsid w:val="00A87D23"/>
    <w:rsid w:val="00A92C99"/>
    <w:rsid w:val="00A95005"/>
    <w:rsid w:val="00AA4AD0"/>
    <w:rsid w:val="00AA773B"/>
    <w:rsid w:val="00AC662C"/>
    <w:rsid w:val="00AD0380"/>
    <w:rsid w:val="00AE10C8"/>
    <w:rsid w:val="00AF2C38"/>
    <w:rsid w:val="00B0188F"/>
    <w:rsid w:val="00B20204"/>
    <w:rsid w:val="00B3056A"/>
    <w:rsid w:val="00B30C27"/>
    <w:rsid w:val="00B31017"/>
    <w:rsid w:val="00B359B1"/>
    <w:rsid w:val="00B36BA5"/>
    <w:rsid w:val="00B37324"/>
    <w:rsid w:val="00B45CDB"/>
    <w:rsid w:val="00B46745"/>
    <w:rsid w:val="00B46E0A"/>
    <w:rsid w:val="00B473A1"/>
    <w:rsid w:val="00B620ED"/>
    <w:rsid w:val="00B6274E"/>
    <w:rsid w:val="00B62B63"/>
    <w:rsid w:val="00B66D61"/>
    <w:rsid w:val="00B72A05"/>
    <w:rsid w:val="00BA4483"/>
    <w:rsid w:val="00BB10F6"/>
    <w:rsid w:val="00BD6331"/>
    <w:rsid w:val="00BE162F"/>
    <w:rsid w:val="00BE5CFB"/>
    <w:rsid w:val="00BF3DBF"/>
    <w:rsid w:val="00BF6EB1"/>
    <w:rsid w:val="00C06211"/>
    <w:rsid w:val="00C26121"/>
    <w:rsid w:val="00C27F84"/>
    <w:rsid w:val="00C31329"/>
    <w:rsid w:val="00C40BE8"/>
    <w:rsid w:val="00C85B53"/>
    <w:rsid w:val="00C872FF"/>
    <w:rsid w:val="00CA41B1"/>
    <w:rsid w:val="00CC7F5B"/>
    <w:rsid w:val="00CE1B4B"/>
    <w:rsid w:val="00CE41FF"/>
    <w:rsid w:val="00CF316A"/>
    <w:rsid w:val="00CF4B0A"/>
    <w:rsid w:val="00CF5845"/>
    <w:rsid w:val="00D0065D"/>
    <w:rsid w:val="00D03D50"/>
    <w:rsid w:val="00D04E0C"/>
    <w:rsid w:val="00D07187"/>
    <w:rsid w:val="00D15997"/>
    <w:rsid w:val="00D2791C"/>
    <w:rsid w:val="00D30EFA"/>
    <w:rsid w:val="00D44A17"/>
    <w:rsid w:val="00D62E18"/>
    <w:rsid w:val="00D63E61"/>
    <w:rsid w:val="00D75ABD"/>
    <w:rsid w:val="00D76413"/>
    <w:rsid w:val="00D83E34"/>
    <w:rsid w:val="00D855D3"/>
    <w:rsid w:val="00D87272"/>
    <w:rsid w:val="00DA5D4F"/>
    <w:rsid w:val="00DA617B"/>
    <w:rsid w:val="00DA7769"/>
    <w:rsid w:val="00DB42F5"/>
    <w:rsid w:val="00DB63AD"/>
    <w:rsid w:val="00DB73FE"/>
    <w:rsid w:val="00DC4739"/>
    <w:rsid w:val="00DD30D3"/>
    <w:rsid w:val="00DD59A9"/>
    <w:rsid w:val="00DE7404"/>
    <w:rsid w:val="00E00061"/>
    <w:rsid w:val="00E04B07"/>
    <w:rsid w:val="00E1180C"/>
    <w:rsid w:val="00E129E6"/>
    <w:rsid w:val="00E13B07"/>
    <w:rsid w:val="00E1513D"/>
    <w:rsid w:val="00E16125"/>
    <w:rsid w:val="00E1693B"/>
    <w:rsid w:val="00E277DB"/>
    <w:rsid w:val="00E27BD7"/>
    <w:rsid w:val="00E32813"/>
    <w:rsid w:val="00E370B8"/>
    <w:rsid w:val="00E439F7"/>
    <w:rsid w:val="00E53C0F"/>
    <w:rsid w:val="00E674A3"/>
    <w:rsid w:val="00E67FC4"/>
    <w:rsid w:val="00E80F08"/>
    <w:rsid w:val="00E83806"/>
    <w:rsid w:val="00E86D48"/>
    <w:rsid w:val="00E922CF"/>
    <w:rsid w:val="00E93140"/>
    <w:rsid w:val="00E93E3A"/>
    <w:rsid w:val="00E94E0E"/>
    <w:rsid w:val="00E9580B"/>
    <w:rsid w:val="00EA052D"/>
    <w:rsid w:val="00EA1240"/>
    <w:rsid w:val="00EA4C7F"/>
    <w:rsid w:val="00EC2B07"/>
    <w:rsid w:val="00EC319A"/>
    <w:rsid w:val="00ED4BE7"/>
    <w:rsid w:val="00ED6060"/>
    <w:rsid w:val="00EF1FAE"/>
    <w:rsid w:val="00EF3127"/>
    <w:rsid w:val="00EF7930"/>
    <w:rsid w:val="00F0437F"/>
    <w:rsid w:val="00F1200B"/>
    <w:rsid w:val="00F1641D"/>
    <w:rsid w:val="00F34F78"/>
    <w:rsid w:val="00F5332D"/>
    <w:rsid w:val="00F61FD3"/>
    <w:rsid w:val="00F66314"/>
    <w:rsid w:val="00F66734"/>
    <w:rsid w:val="00F71FF3"/>
    <w:rsid w:val="00F8634C"/>
    <w:rsid w:val="00FC7D00"/>
    <w:rsid w:val="00FD6C9D"/>
    <w:rsid w:val="00FE151E"/>
    <w:rsid w:val="00FE25C4"/>
    <w:rsid w:val="00FE5BE2"/>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00"/>
    <w:rPr>
      <w:rFonts w:cs="Times New Roman"/>
      <w:sz w:val="2"/>
    </w:rPr>
  </w:style>
  <w:style w:type="character" w:styleId="FootnoteReference">
    <w:name w:val="footnote reference"/>
    <w:aliases w:val="fr"/>
    <w:basedOn w:val="DefaultParagraphFont"/>
    <w:uiPriority w:val="99"/>
    <w:semiHidden/>
    <w:rsid w:val="00541136"/>
    <w:rPr>
      <w:rFonts w:cs="Times New Roman"/>
    </w:rPr>
  </w:style>
  <w:style w:type="paragraph" w:styleId="Header">
    <w:name w:val="header"/>
    <w:basedOn w:val="Normal"/>
    <w:link w:val="HeaderChar"/>
    <w:rsid w:val="00541136"/>
    <w:pPr>
      <w:tabs>
        <w:tab w:val="center" w:pos="4320"/>
        <w:tab w:val="right" w:pos="8640"/>
      </w:tabs>
    </w:pPr>
  </w:style>
  <w:style w:type="character" w:customStyle="1" w:styleId="HeaderChar">
    <w:name w:val="Header Char"/>
    <w:basedOn w:val="DefaultParagraphFont"/>
    <w:link w:val="Header"/>
    <w:uiPriority w:val="99"/>
    <w:locked/>
    <w:rsid w:val="005B0EA7"/>
    <w:rPr>
      <w:rFonts w:ascii="Courier" w:hAnsi="Courier" w:cs="Times New Roman"/>
      <w:snapToGrid w:val="0"/>
      <w:sz w:val="24"/>
    </w:rPr>
  </w:style>
  <w:style w:type="character" w:styleId="PageNumber">
    <w:name w:val="page number"/>
    <w:basedOn w:val="DefaultParagraphFont"/>
    <w:uiPriority w:val="99"/>
    <w:rsid w:val="00541136"/>
    <w:rPr>
      <w:rFonts w:cs="Times New Roman"/>
    </w:rPr>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basedOn w:val="DefaultParagraphFont"/>
    <w:link w:val="Footer"/>
    <w:uiPriority w:val="99"/>
    <w:semiHidden/>
    <w:locked/>
    <w:rsid w:val="00FC7D00"/>
    <w:rPr>
      <w:rFonts w:ascii="Courier" w:hAnsi="Courier" w:cs="Times New Roman"/>
      <w:sz w:val="20"/>
      <w:szCs w:val="20"/>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semiHidden/>
    <w:rsid w:val="00541136"/>
    <w:pPr>
      <w:autoSpaceDE w:val="0"/>
      <w:autoSpaceDN w:val="0"/>
      <w:adjustRightInd w:val="0"/>
    </w:pPr>
    <w:rPr>
      <w:rFonts w:ascii="CourierPS" w:hAnsi="CourierPS"/>
      <w:sz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locked/>
    <w:rsid w:val="008262BC"/>
    <w:rPr>
      <w:rFonts w:ascii="CourierPS" w:hAnsi="CourierPS" w:cs="Times New Roman"/>
      <w:lang w:val="en-US" w:eastAsia="en-US" w:bidi="ar-SA"/>
    </w:rPr>
  </w:style>
  <w:style w:type="paragraph" w:styleId="BodyText">
    <w:name w:val="Body Text"/>
    <w:basedOn w:val="Normal"/>
    <w:link w:val="BodyTextChar"/>
    <w:uiPriority w:val="99"/>
    <w:rsid w:val="00EC319A"/>
    <w:pPr>
      <w:widowControl/>
    </w:pPr>
    <w:rPr>
      <w:rFonts w:ascii="Times New Roman" w:hAnsi="Times New Roman"/>
      <w:i/>
      <w:iCs/>
    </w:rPr>
  </w:style>
  <w:style w:type="character" w:customStyle="1" w:styleId="BodyTextChar">
    <w:name w:val="Body Text Char"/>
    <w:basedOn w:val="DefaultParagraphFont"/>
    <w:link w:val="BodyText"/>
    <w:uiPriority w:val="99"/>
    <w:semiHidden/>
    <w:locked/>
    <w:rsid w:val="00EC319A"/>
    <w:rPr>
      <w:rFonts w:cs="Times New Roman"/>
      <w:i/>
      <w:iCs/>
      <w:sz w:val="24"/>
      <w:lang w:val="en-US" w:eastAsia="en-US" w:bidi="ar-SA"/>
    </w:rPr>
  </w:style>
  <w:style w:type="character" w:customStyle="1" w:styleId="documentbody1">
    <w:name w:val="documentbody1"/>
    <w:basedOn w:val="DefaultParagraphFont"/>
    <w:uiPriority w:val="99"/>
    <w:rsid w:val="00EA1240"/>
    <w:rPr>
      <w:rFonts w:ascii="Verdana" w:hAnsi="Verdana" w:cs="Times New Roman"/>
      <w:sz w:val="19"/>
      <w:szCs w:val="19"/>
    </w:rPr>
  </w:style>
  <w:style w:type="paragraph" w:customStyle="1" w:styleId="DoubleSpace">
    <w:name w:val="Double Space"/>
    <w:basedOn w:val="Normal"/>
    <w:uiPriority w:val="99"/>
    <w:rsid w:val="00EA1240"/>
    <w:pPr>
      <w:widowControl/>
      <w:spacing w:line="480" w:lineRule="auto"/>
    </w:pPr>
    <w:rPr>
      <w:rFonts w:ascii="CG Times" w:hAnsi="CG Times"/>
    </w:rPr>
  </w:style>
  <w:style w:type="paragraph" w:styleId="ListParagraph">
    <w:name w:val="List Paragraph"/>
    <w:basedOn w:val="Normal"/>
    <w:uiPriority w:val="99"/>
    <w:qFormat/>
    <w:rsid w:val="00EA1240"/>
    <w:pPr>
      <w:widowControl/>
      <w:spacing w:after="200" w:line="276" w:lineRule="auto"/>
      <w:ind w:left="720"/>
      <w:contextualSpacing/>
    </w:pPr>
    <w:rPr>
      <w:rFonts w:ascii="Calibri" w:hAnsi="Calibri"/>
      <w:sz w:val="22"/>
      <w:szCs w:val="22"/>
    </w:rPr>
  </w:style>
  <w:style w:type="paragraph" w:customStyle="1" w:styleId="doublespace0">
    <w:name w:val="doublespace"/>
    <w:basedOn w:val="Normal"/>
    <w:uiPriority w:val="99"/>
    <w:rsid w:val="00792888"/>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41183F"/>
    <w:rPr>
      <w:rFonts w:eastAsia="Times New Roman" w:cs="Times New Roman"/>
      <w:lang w:val="en-US" w:eastAsia="en-US" w:bidi="ar-SA"/>
    </w:rPr>
  </w:style>
  <w:style w:type="table" w:styleId="TableGrid">
    <w:name w:val="Table Grid"/>
    <w:basedOn w:val="TableNormal"/>
    <w:uiPriority w:val="99"/>
    <w:rsid w:val="00EC2B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CharChar2">
    <w:name w:val="ft Char Char2"/>
    <w:basedOn w:val="DefaultParagraphFont"/>
    <w:uiPriority w:val="99"/>
    <w:rsid w:val="001B4368"/>
    <w:rPr>
      <w:rFonts w:ascii="Times New Roman" w:hAnsi="Times New Roman" w:cs="Times New Roman"/>
      <w:color w:val="000000"/>
      <w:lang w:val="en-US" w:eastAsia="en-US" w:bidi="ar-SA"/>
    </w:rPr>
  </w:style>
  <w:style w:type="paragraph" w:customStyle="1" w:styleId="msonormalcxspmiddle">
    <w:name w:val="msonormalcxspmiddle"/>
    <w:basedOn w:val="Normal"/>
    <w:uiPriority w:val="99"/>
    <w:rsid w:val="001B4368"/>
    <w:pPr>
      <w:widowControl/>
      <w:spacing w:before="100" w:beforeAutospacing="1" w:after="100" w:afterAutospacing="1"/>
    </w:pPr>
    <w:rPr>
      <w:rFonts w:ascii="Times New Roman" w:hAnsi="Times New Roman"/>
      <w:szCs w:val="24"/>
    </w:rPr>
  </w:style>
  <w:style w:type="paragraph" w:customStyle="1" w:styleId="msonormalcxsplast">
    <w:name w:val="msonormalcxsplast"/>
    <w:basedOn w:val="Normal"/>
    <w:uiPriority w:val="99"/>
    <w:rsid w:val="001B4368"/>
    <w:pPr>
      <w:widowControl/>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locked/>
    <w:rsid w:val="005B0EA7"/>
    <w:rPr>
      <w:rFonts w:cs="Times New Roman"/>
      <w:sz w:val="20"/>
    </w:rPr>
  </w:style>
  <w:style w:type="character" w:customStyle="1" w:styleId="FootnoteTextChar1">
    <w:name w:val="Footnote Text Char1"/>
    <w:aliases w:val="ft Char1"/>
    <w:basedOn w:val="DefaultParagraphFont"/>
    <w:uiPriority w:val="99"/>
    <w:semiHidden/>
    <w:locked/>
    <w:rsid w:val="005B0EA7"/>
    <w:rPr>
      <w:rFonts w:eastAsia="Times New Roman" w:cs="Times New Roman"/>
      <w:sz w:val="20"/>
    </w:rPr>
  </w:style>
  <w:style w:type="paragraph" w:styleId="CommentSubject">
    <w:name w:val="annotation subject"/>
    <w:basedOn w:val="CommentText"/>
    <w:next w:val="CommentText"/>
    <w:link w:val="CommentSubjectChar"/>
    <w:uiPriority w:val="99"/>
    <w:semiHidden/>
    <w:rsid w:val="00B46E0A"/>
    <w:pPr>
      <w:widowControl w:val="0"/>
    </w:pPr>
    <w:rPr>
      <w:rFonts w:ascii="Courier" w:hAnsi="Courier"/>
      <w:b/>
      <w:bCs/>
    </w:rPr>
  </w:style>
  <w:style w:type="character" w:customStyle="1" w:styleId="CommentSubjectChar">
    <w:name w:val="Comment Subject Char"/>
    <w:basedOn w:val="CommentTextChar"/>
    <w:link w:val="CommentSubject"/>
    <w:uiPriority w:val="99"/>
    <w:semiHidden/>
    <w:locked/>
    <w:rsid w:val="00FC7D00"/>
    <w:rPr>
      <w:rFonts w:ascii="Courier" w:eastAsia="Times New Roman" w:hAnsi="Courier" w:cs="Times New Roman"/>
      <w:b/>
      <w:bCs/>
      <w:sz w:val="20"/>
      <w:szCs w:val="20"/>
      <w:lang w:val="en-US" w:eastAsia="en-US" w:bidi="ar-SA"/>
    </w:rPr>
  </w:style>
  <w:style w:type="paragraph" w:styleId="HTMLPreformatted">
    <w:name w:val="HTML Preformatted"/>
    <w:basedOn w:val="Normal"/>
    <w:link w:val="HTMLPreformattedChar"/>
    <w:uiPriority w:val="99"/>
    <w:rsid w:val="00E32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934FDA"/>
    <w:rPr>
      <w:rFonts w:ascii="Courier New" w:hAnsi="Courier New" w:cs="Courier New"/>
      <w:sz w:val="20"/>
      <w:szCs w:val="20"/>
    </w:rPr>
  </w:style>
  <w:style w:type="paragraph" w:customStyle="1" w:styleId="msolistparagraph0">
    <w:name w:val="msolistparagraph"/>
    <w:basedOn w:val="Normal"/>
    <w:uiPriority w:val="99"/>
    <w:rsid w:val="003362F9"/>
    <w:pPr>
      <w:widowControl/>
      <w:ind w:left="720"/>
    </w:pPr>
    <w:rPr>
      <w:rFonts w:ascii="Times New Roman" w:hAnsi="Times New Roman"/>
      <w:szCs w:val="24"/>
    </w:rPr>
  </w:style>
  <w:style w:type="paragraph" w:styleId="BodyTextIndent2">
    <w:name w:val="Body Text Indent 2"/>
    <w:basedOn w:val="Normal"/>
    <w:link w:val="BodyTextIndent2Char"/>
    <w:uiPriority w:val="99"/>
    <w:semiHidden/>
    <w:unhideWhenUsed/>
    <w:rsid w:val="00CF5845"/>
    <w:pPr>
      <w:spacing w:after="120" w:line="480" w:lineRule="auto"/>
      <w:ind w:left="360"/>
    </w:pPr>
  </w:style>
  <w:style w:type="character" w:customStyle="1" w:styleId="BodyTextIndent2Char">
    <w:name w:val="Body Text Indent 2 Char"/>
    <w:basedOn w:val="DefaultParagraphFont"/>
    <w:link w:val="BodyTextIndent2"/>
    <w:uiPriority w:val="99"/>
    <w:semiHidden/>
    <w:rsid w:val="00CF5845"/>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00"/>
    <w:rPr>
      <w:rFonts w:cs="Times New Roman"/>
      <w:sz w:val="2"/>
    </w:rPr>
  </w:style>
  <w:style w:type="character" w:styleId="FootnoteReference">
    <w:name w:val="footnote reference"/>
    <w:aliases w:val="fr"/>
    <w:basedOn w:val="DefaultParagraphFont"/>
    <w:uiPriority w:val="99"/>
    <w:semiHidden/>
    <w:rsid w:val="00541136"/>
    <w:rPr>
      <w:rFonts w:cs="Times New Roman"/>
    </w:rPr>
  </w:style>
  <w:style w:type="paragraph" w:styleId="Header">
    <w:name w:val="header"/>
    <w:basedOn w:val="Normal"/>
    <w:link w:val="HeaderChar"/>
    <w:rsid w:val="00541136"/>
    <w:pPr>
      <w:tabs>
        <w:tab w:val="center" w:pos="4320"/>
        <w:tab w:val="right" w:pos="8640"/>
      </w:tabs>
    </w:pPr>
  </w:style>
  <w:style w:type="character" w:customStyle="1" w:styleId="HeaderChar">
    <w:name w:val="Header Char"/>
    <w:basedOn w:val="DefaultParagraphFont"/>
    <w:link w:val="Header"/>
    <w:uiPriority w:val="99"/>
    <w:locked/>
    <w:rsid w:val="005B0EA7"/>
    <w:rPr>
      <w:rFonts w:ascii="Courier" w:hAnsi="Courier" w:cs="Times New Roman"/>
      <w:snapToGrid w:val="0"/>
      <w:sz w:val="24"/>
    </w:rPr>
  </w:style>
  <w:style w:type="character" w:styleId="PageNumber">
    <w:name w:val="page number"/>
    <w:basedOn w:val="DefaultParagraphFont"/>
    <w:uiPriority w:val="99"/>
    <w:rsid w:val="00541136"/>
    <w:rPr>
      <w:rFonts w:cs="Times New Roman"/>
    </w:rPr>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basedOn w:val="DefaultParagraphFont"/>
    <w:link w:val="Footer"/>
    <w:uiPriority w:val="99"/>
    <w:semiHidden/>
    <w:locked/>
    <w:rsid w:val="00FC7D00"/>
    <w:rPr>
      <w:rFonts w:ascii="Courier" w:hAnsi="Courier" w:cs="Times New Roman"/>
      <w:sz w:val="20"/>
      <w:szCs w:val="20"/>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semiHidden/>
    <w:rsid w:val="00541136"/>
    <w:pPr>
      <w:autoSpaceDE w:val="0"/>
      <w:autoSpaceDN w:val="0"/>
      <w:adjustRightInd w:val="0"/>
    </w:pPr>
    <w:rPr>
      <w:rFonts w:ascii="CourierPS" w:hAnsi="CourierPS"/>
      <w:sz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locked/>
    <w:rsid w:val="008262BC"/>
    <w:rPr>
      <w:rFonts w:ascii="CourierPS" w:hAnsi="CourierPS" w:cs="Times New Roman"/>
      <w:lang w:val="en-US" w:eastAsia="en-US" w:bidi="ar-SA"/>
    </w:rPr>
  </w:style>
  <w:style w:type="paragraph" w:styleId="BodyText">
    <w:name w:val="Body Text"/>
    <w:basedOn w:val="Normal"/>
    <w:link w:val="BodyTextChar"/>
    <w:uiPriority w:val="99"/>
    <w:rsid w:val="00EC319A"/>
    <w:pPr>
      <w:widowControl/>
    </w:pPr>
    <w:rPr>
      <w:rFonts w:ascii="Times New Roman" w:hAnsi="Times New Roman"/>
      <w:i/>
      <w:iCs/>
    </w:rPr>
  </w:style>
  <w:style w:type="character" w:customStyle="1" w:styleId="BodyTextChar">
    <w:name w:val="Body Text Char"/>
    <w:basedOn w:val="DefaultParagraphFont"/>
    <w:link w:val="BodyText"/>
    <w:uiPriority w:val="99"/>
    <w:semiHidden/>
    <w:locked/>
    <w:rsid w:val="00EC319A"/>
    <w:rPr>
      <w:rFonts w:cs="Times New Roman"/>
      <w:i/>
      <w:iCs/>
      <w:sz w:val="24"/>
      <w:lang w:val="en-US" w:eastAsia="en-US" w:bidi="ar-SA"/>
    </w:rPr>
  </w:style>
  <w:style w:type="character" w:customStyle="1" w:styleId="documentbody1">
    <w:name w:val="documentbody1"/>
    <w:basedOn w:val="DefaultParagraphFont"/>
    <w:uiPriority w:val="99"/>
    <w:rsid w:val="00EA1240"/>
    <w:rPr>
      <w:rFonts w:ascii="Verdana" w:hAnsi="Verdana" w:cs="Times New Roman"/>
      <w:sz w:val="19"/>
      <w:szCs w:val="19"/>
    </w:rPr>
  </w:style>
  <w:style w:type="paragraph" w:customStyle="1" w:styleId="DoubleSpace">
    <w:name w:val="Double Space"/>
    <w:basedOn w:val="Normal"/>
    <w:uiPriority w:val="99"/>
    <w:rsid w:val="00EA1240"/>
    <w:pPr>
      <w:widowControl/>
      <w:spacing w:line="480" w:lineRule="auto"/>
    </w:pPr>
    <w:rPr>
      <w:rFonts w:ascii="CG Times" w:hAnsi="CG Times"/>
    </w:rPr>
  </w:style>
  <w:style w:type="paragraph" w:styleId="ListParagraph">
    <w:name w:val="List Paragraph"/>
    <w:basedOn w:val="Normal"/>
    <w:uiPriority w:val="99"/>
    <w:qFormat/>
    <w:rsid w:val="00EA1240"/>
    <w:pPr>
      <w:widowControl/>
      <w:spacing w:after="200" w:line="276" w:lineRule="auto"/>
      <w:ind w:left="720"/>
      <w:contextualSpacing/>
    </w:pPr>
    <w:rPr>
      <w:rFonts w:ascii="Calibri" w:hAnsi="Calibri"/>
      <w:sz w:val="22"/>
      <w:szCs w:val="22"/>
    </w:rPr>
  </w:style>
  <w:style w:type="paragraph" w:customStyle="1" w:styleId="doublespace0">
    <w:name w:val="doublespace"/>
    <w:basedOn w:val="Normal"/>
    <w:uiPriority w:val="99"/>
    <w:rsid w:val="00792888"/>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41183F"/>
    <w:rPr>
      <w:rFonts w:eastAsia="Times New Roman" w:cs="Times New Roman"/>
      <w:lang w:val="en-US" w:eastAsia="en-US" w:bidi="ar-SA"/>
    </w:rPr>
  </w:style>
  <w:style w:type="table" w:styleId="TableGrid">
    <w:name w:val="Table Grid"/>
    <w:basedOn w:val="TableNormal"/>
    <w:uiPriority w:val="99"/>
    <w:rsid w:val="00EC2B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CharChar2">
    <w:name w:val="ft Char Char2"/>
    <w:basedOn w:val="DefaultParagraphFont"/>
    <w:uiPriority w:val="99"/>
    <w:rsid w:val="001B4368"/>
    <w:rPr>
      <w:rFonts w:ascii="Times New Roman" w:hAnsi="Times New Roman" w:cs="Times New Roman"/>
      <w:color w:val="000000"/>
      <w:lang w:val="en-US" w:eastAsia="en-US" w:bidi="ar-SA"/>
    </w:rPr>
  </w:style>
  <w:style w:type="paragraph" w:customStyle="1" w:styleId="msonormalcxspmiddle">
    <w:name w:val="msonormalcxspmiddle"/>
    <w:basedOn w:val="Normal"/>
    <w:uiPriority w:val="99"/>
    <w:rsid w:val="001B4368"/>
    <w:pPr>
      <w:widowControl/>
      <w:spacing w:before="100" w:beforeAutospacing="1" w:after="100" w:afterAutospacing="1"/>
    </w:pPr>
    <w:rPr>
      <w:rFonts w:ascii="Times New Roman" w:hAnsi="Times New Roman"/>
      <w:szCs w:val="24"/>
    </w:rPr>
  </w:style>
  <w:style w:type="paragraph" w:customStyle="1" w:styleId="msonormalcxsplast">
    <w:name w:val="msonormalcxsplast"/>
    <w:basedOn w:val="Normal"/>
    <w:uiPriority w:val="99"/>
    <w:rsid w:val="001B4368"/>
    <w:pPr>
      <w:widowControl/>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locked/>
    <w:rsid w:val="005B0EA7"/>
    <w:rPr>
      <w:rFonts w:cs="Times New Roman"/>
      <w:sz w:val="20"/>
    </w:rPr>
  </w:style>
  <w:style w:type="character" w:customStyle="1" w:styleId="FootnoteTextChar1">
    <w:name w:val="Footnote Text Char1"/>
    <w:aliases w:val="ft Char1"/>
    <w:basedOn w:val="DefaultParagraphFont"/>
    <w:uiPriority w:val="99"/>
    <w:semiHidden/>
    <w:locked/>
    <w:rsid w:val="005B0EA7"/>
    <w:rPr>
      <w:rFonts w:eastAsia="Times New Roman" w:cs="Times New Roman"/>
      <w:sz w:val="20"/>
    </w:rPr>
  </w:style>
  <w:style w:type="paragraph" w:styleId="CommentSubject">
    <w:name w:val="annotation subject"/>
    <w:basedOn w:val="CommentText"/>
    <w:next w:val="CommentText"/>
    <w:link w:val="CommentSubjectChar"/>
    <w:uiPriority w:val="99"/>
    <w:semiHidden/>
    <w:rsid w:val="00B46E0A"/>
    <w:pPr>
      <w:widowControl w:val="0"/>
    </w:pPr>
    <w:rPr>
      <w:rFonts w:ascii="Courier" w:hAnsi="Courier"/>
      <w:b/>
      <w:bCs/>
    </w:rPr>
  </w:style>
  <w:style w:type="character" w:customStyle="1" w:styleId="CommentSubjectChar">
    <w:name w:val="Comment Subject Char"/>
    <w:basedOn w:val="CommentTextChar"/>
    <w:link w:val="CommentSubject"/>
    <w:uiPriority w:val="99"/>
    <w:semiHidden/>
    <w:locked/>
    <w:rsid w:val="00FC7D00"/>
    <w:rPr>
      <w:rFonts w:ascii="Courier" w:eastAsia="Times New Roman" w:hAnsi="Courier" w:cs="Times New Roman"/>
      <w:b/>
      <w:bCs/>
      <w:sz w:val="20"/>
      <w:szCs w:val="20"/>
      <w:lang w:val="en-US" w:eastAsia="en-US" w:bidi="ar-SA"/>
    </w:rPr>
  </w:style>
  <w:style w:type="paragraph" w:styleId="HTMLPreformatted">
    <w:name w:val="HTML Preformatted"/>
    <w:basedOn w:val="Normal"/>
    <w:link w:val="HTMLPreformattedChar"/>
    <w:uiPriority w:val="99"/>
    <w:rsid w:val="00E32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934FDA"/>
    <w:rPr>
      <w:rFonts w:ascii="Courier New" w:hAnsi="Courier New" w:cs="Courier New"/>
      <w:sz w:val="20"/>
      <w:szCs w:val="20"/>
    </w:rPr>
  </w:style>
  <w:style w:type="paragraph" w:customStyle="1" w:styleId="msolistparagraph0">
    <w:name w:val="msolistparagraph"/>
    <w:basedOn w:val="Normal"/>
    <w:uiPriority w:val="99"/>
    <w:rsid w:val="003362F9"/>
    <w:pPr>
      <w:widowControl/>
      <w:ind w:left="720"/>
    </w:pPr>
    <w:rPr>
      <w:rFonts w:ascii="Times New Roman" w:hAnsi="Times New Roman"/>
      <w:szCs w:val="24"/>
    </w:rPr>
  </w:style>
  <w:style w:type="paragraph" w:styleId="BodyTextIndent2">
    <w:name w:val="Body Text Indent 2"/>
    <w:basedOn w:val="Normal"/>
    <w:link w:val="BodyTextIndent2Char"/>
    <w:uiPriority w:val="99"/>
    <w:semiHidden/>
    <w:unhideWhenUsed/>
    <w:rsid w:val="00CF5845"/>
    <w:pPr>
      <w:spacing w:after="120" w:line="480" w:lineRule="auto"/>
      <w:ind w:left="360"/>
    </w:pPr>
  </w:style>
  <w:style w:type="character" w:customStyle="1" w:styleId="BodyTextIndent2Char">
    <w:name w:val="Body Text Indent 2 Char"/>
    <w:basedOn w:val="DefaultParagraphFont"/>
    <w:link w:val="BodyTextIndent2"/>
    <w:uiPriority w:val="99"/>
    <w:semiHidden/>
    <w:rsid w:val="00CF5845"/>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133">
      <w:marLeft w:val="0"/>
      <w:marRight w:val="0"/>
      <w:marTop w:val="0"/>
      <w:marBottom w:val="0"/>
      <w:divBdr>
        <w:top w:val="none" w:sz="0" w:space="0" w:color="auto"/>
        <w:left w:val="none" w:sz="0" w:space="0" w:color="auto"/>
        <w:bottom w:val="none" w:sz="0" w:space="0" w:color="auto"/>
        <w:right w:val="none" w:sz="0" w:space="0" w:color="auto"/>
      </w:divBdr>
    </w:div>
    <w:div w:id="27534134">
      <w:marLeft w:val="0"/>
      <w:marRight w:val="0"/>
      <w:marTop w:val="0"/>
      <w:marBottom w:val="0"/>
      <w:divBdr>
        <w:top w:val="none" w:sz="0" w:space="0" w:color="auto"/>
        <w:left w:val="none" w:sz="0" w:space="0" w:color="auto"/>
        <w:bottom w:val="none" w:sz="0" w:space="0" w:color="auto"/>
        <w:right w:val="none" w:sz="0" w:space="0" w:color="auto"/>
      </w:divBdr>
    </w:div>
    <w:div w:id="27534135">
      <w:marLeft w:val="0"/>
      <w:marRight w:val="0"/>
      <w:marTop w:val="0"/>
      <w:marBottom w:val="0"/>
      <w:divBdr>
        <w:top w:val="none" w:sz="0" w:space="0" w:color="auto"/>
        <w:left w:val="none" w:sz="0" w:space="0" w:color="auto"/>
        <w:bottom w:val="none" w:sz="0" w:space="0" w:color="auto"/>
        <w:right w:val="none" w:sz="0" w:space="0" w:color="auto"/>
      </w:divBdr>
      <w:divsChild>
        <w:div w:id="27534132">
          <w:marLeft w:val="0"/>
          <w:marRight w:val="0"/>
          <w:marTop w:val="0"/>
          <w:marBottom w:val="0"/>
          <w:divBdr>
            <w:top w:val="none" w:sz="0" w:space="0" w:color="auto"/>
            <w:left w:val="none" w:sz="0" w:space="0" w:color="auto"/>
            <w:bottom w:val="none" w:sz="0" w:space="0" w:color="auto"/>
            <w:right w:val="none" w:sz="0" w:space="0" w:color="auto"/>
          </w:divBdr>
        </w:div>
      </w:divsChild>
    </w:div>
    <w:div w:id="27534136">
      <w:marLeft w:val="0"/>
      <w:marRight w:val="0"/>
      <w:marTop w:val="0"/>
      <w:marBottom w:val="0"/>
      <w:divBdr>
        <w:top w:val="none" w:sz="0" w:space="0" w:color="auto"/>
        <w:left w:val="none" w:sz="0" w:space="0" w:color="auto"/>
        <w:bottom w:val="none" w:sz="0" w:space="0" w:color="auto"/>
        <w:right w:val="none" w:sz="0" w:space="0" w:color="auto"/>
      </w:divBdr>
    </w:div>
    <w:div w:id="27534137">
      <w:marLeft w:val="0"/>
      <w:marRight w:val="0"/>
      <w:marTop w:val="0"/>
      <w:marBottom w:val="0"/>
      <w:divBdr>
        <w:top w:val="none" w:sz="0" w:space="0" w:color="auto"/>
        <w:left w:val="none" w:sz="0" w:space="0" w:color="auto"/>
        <w:bottom w:val="none" w:sz="0" w:space="0" w:color="auto"/>
        <w:right w:val="none" w:sz="0" w:space="0" w:color="auto"/>
      </w:divBdr>
    </w:div>
    <w:div w:id="27534138">
      <w:marLeft w:val="0"/>
      <w:marRight w:val="0"/>
      <w:marTop w:val="0"/>
      <w:marBottom w:val="0"/>
      <w:divBdr>
        <w:top w:val="none" w:sz="0" w:space="0" w:color="auto"/>
        <w:left w:val="none" w:sz="0" w:space="0" w:color="auto"/>
        <w:bottom w:val="none" w:sz="0" w:space="0" w:color="auto"/>
        <w:right w:val="none" w:sz="0" w:space="0" w:color="auto"/>
      </w:divBdr>
    </w:div>
    <w:div w:id="27534139">
      <w:marLeft w:val="0"/>
      <w:marRight w:val="0"/>
      <w:marTop w:val="0"/>
      <w:marBottom w:val="0"/>
      <w:divBdr>
        <w:top w:val="none" w:sz="0" w:space="0" w:color="auto"/>
        <w:left w:val="none" w:sz="0" w:space="0" w:color="auto"/>
        <w:bottom w:val="none" w:sz="0" w:space="0" w:color="auto"/>
        <w:right w:val="none" w:sz="0" w:space="0" w:color="auto"/>
      </w:divBdr>
    </w:div>
    <w:div w:id="27534140">
      <w:marLeft w:val="0"/>
      <w:marRight w:val="0"/>
      <w:marTop w:val="0"/>
      <w:marBottom w:val="0"/>
      <w:divBdr>
        <w:top w:val="none" w:sz="0" w:space="0" w:color="auto"/>
        <w:left w:val="none" w:sz="0" w:space="0" w:color="auto"/>
        <w:bottom w:val="none" w:sz="0" w:space="0" w:color="auto"/>
        <w:right w:val="none" w:sz="0" w:space="0" w:color="auto"/>
      </w:divBdr>
    </w:div>
    <w:div w:id="27534141">
      <w:marLeft w:val="0"/>
      <w:marRight w:val="0"/>
      <w:marTop w:val="0"/>
      <w:marBottom w:val="0"/>
      <w:divBdr>
        <w:top w:val="none" w:sz="0" w:space="0" w:color="auto"/>
        <w:left w:val="none" w:sz="0" w:space="0" w:color="auto"/>
        <w:bottom w:val="none" w:sz="0" w:space="0" w:color="auto"/>
        <w:right w:val="none" w:sz="0" w:space="0" w:color="auto"/>
      </w:divBdr>
    </w:div>
    <w:div w:id="27534142">
      <w:marLeft w:val="0"/>
      <w:marRight w:val="0"/>
      <w:marTop w:val="0"/>
      <w:marBottom w:val="0"/>
      <w:divBdr>
        <w:top w:val="none" w:sz="0" w:space="0" w:color="auto"/>
        <w:left w:val="none" w:sz="0" w:space="0" w:color="auto"/>
        <w:bottom w:val="none" w:sz="0" w:space="0" w:color="auto"/>
        <w:right w:val="none" w:sz="0" w:space="0" w:color="auto"/>
      </w:divBdr>
    </w:div>
    <w:div w:id="27534143">
      <w:marLeft w:val="0"/>
      <w:marRight w:val="0"/>
      <w:marTop w:val="0"/>
      <w:marBottom w:val="0"/>
      <w:divBdr>
        <w:top w:val="none" w:sz="0" w:space="0" w:color="auto"/>
        <w:left w:val="none" w:sz="0" w:space="0" w:color="auto"/>
        <w:bottom w:val="none" w:sz="0" w:space="0" w:color="auto"/>
        <w:right w:val="none" w:sz="0" w:space="0" w:color="auto"/>
      </w:divBdr>
    </w:div>
    <w:div w:id="14520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6535</Characters>
  <Application>Microsoft Office Word</Application>
  <DocSecurity>0</DocSecurity>
  <Lines>54</Lines>
  <Paragraphs>15</Paragraphs>
  <ScaleCrop>false</ScaleCrop>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2018-10-31T19:23:00Z</dcterms:created>
  <dcterms:modified xsi:type="dcterms:W3CDTF">2018-10-31T19:23:00Z</dcterms:modified>
</cp:coreProperties>
</file>