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FBE45" w14:textId="43C2F248" w:rsidR="008014CE" w:rsidRPr="00555E4A" w:rsidRDefault="008014CE" w:rsidP="008014CE">
      <w:pPr>
        <w:jc w:val="center"/>
      </w:pPr>
      <w:r w:rsidRPr="00555E4A">
        <w:rPr>
          <w:b/>
        </w:rPr>
        <w:t xml:space="preserve">Supporting Statement for </w:t>
      </w:r>
      <w:r w:rsidRPr="00555E4A">
        <w:t xml:space="preserve"> </w:t>
      </w:r>
    </w:p>
    <w:p w14:paraId="20E3587A" w14:textId="77777777" w:rsidR="007D0A19" w:rsidRPr="009C6442" w:rsidRDefault="007D0A19" w:rsidP="007D0A19">
      <w:pPr>
        <w:jc w:val="center"/>
        <w:rPr>
          <w:b/>
        </w:rPr>
      </w:pPr>
      <w:r>
        <w:rPr>
          <w:b/>
        </w:rPr>
        <w:t>Risk Preferences and Demand for Crop Insurance and Cover Crop Programs</w:t>
      </w:r>
    </w:p>
    <w:p w14:paraId="4CC5FA17" w14:textId="77777777" w:rsidR="007F5247" w:rsidRPr="00555E4A" w:rsidRDefault="007F5247" w:rsidP="008014CE">
      <w:pPr>
        <w:pStyle w:val="BodyText"/>
        <w:jc w:val="center"/>
        <w:rPr>
          <w:b/>
        </w:rPr>
      </w:pPr>
      <w:r>
        <w:rPr>
          <w:b/>
        </w:rPr>
        <w:t>Section B</w:t>
      </w:r>
    </w:p>
    <w:p w14:paraId="528D52DC" w14:textId="77777777" w:rsidR="008014CE" w:rsidRDefault="008014CE" w:rsidP="008014CE">
      <w:pPr>
        <w:pStyle w:val="BodyText2"/>
        <w:rPr>
          <w:b/>
          <w:u w:val="none"/>
        </w:rPr>
      </w:pPr>
    </w:p>
    <w:p w14:paraId="12B0AF9F" w14:textId="77777777" w:rsidR="008014CE" w:rsidRDefault="008014CE" w:rsidP="008014CE">
      <w:pPr>
        <w:pStyle w:val="BodyText2"/>
        <w:rPr>
          <w:b/>
          <w:u w:val="none"/>
        </w:rPr>
      </w:pPr>
    </w:p>
    <w:p w14:paraId="1F4E173E" w14:textId="77777777" w:rsidR="008014CE" w:rsidRDefault="008014CE" w:rsidP="008014CE">
      <w:pPr>
        <w:pStyle w:val="BodyText2"/>
        <w:rPr>
          <w:b/>
          <w:u w:val="none"/>
        </w:rPr>
      </w:pPr>
      <w:r>
        <w:rPr>
          <w:b/>
          <w:u w:val="none"/>
        </w:rPr>
        <w:t>B.  COLLECTION OF INFORMATION USING STATISTICAL METHODS</w:t>
      </w:r>
    </w:p>
    <w:p w14:paraId="11DE6D02" w14:textId="77777777" w:rsidR="008014CE" w:rsidRDefault="008014CE" w:rsidP="008014CE">
      <w:pPr>
        <w:pStyle w:val="BodyText2"/>
        <w:ind w:left="360"/>
      </w:pPr>
    </w:p>
    <w:p w14:paraId="5EE45244" w14:textId="77777777" w:rsidR="002500A9" w:rsidRPr="00432DF0" w:rsidRDefault="002500A9" w:rsidP="002500A9">
      <w:pPr>
        <w:rPr>
          <w:b/>
        </w:rPr>
      </w:pPr>
      <w:r>
        <w:rPr>
          <w:b/>
        </w:rPr>
        <w:t xml:space="preserve">1.   </w:t>
      </w:r>
      <w:r w:rsidRPr="00432DF0">
        <w:rPr>
          <w:b/>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14:paraId="6F8DDEAE" w14:textId="77777777" w:rsidR="008014CE" w:rsidRDefault="008014CE" w:rsidP="008014CE">
      <w:pPr>
        <w:pStyle w:val="BodyText2"/>
        <w:ind w:firstLine="360"/>
        <w:rPr>
          <w:b/>
          <w:u w:val="none"/>
        </w:rPr>
      </w:pPr>
    </w:p>
    <w:p w14:paraId="30A49EBD" w14:textId="102F05D1" w:rsidR="00B54C93" w:rsidRDefault="00F504F2" w:rsidP="00B54C93">
      <w:pPr>
        <w:ind w:left="720"/>
      </w:pPr>
      <w:r>
        <w:t xml:space="preserve">The data collected will be used for research activities which </w:t>
      </w:r>
      <w:r w:rsidR="00CE044C" w:rsidRPr="00FC1788">
        <w:rPr>
          <w:color w:val="000000" w:themeColor="text1"/>
        </w:rPr>
        <w:t xml:space="preserve">address an important question </w:t>
      </w:r>
      <w:r w:rsidR="00D415B6">
        <w:rPr>
          <w:color w:val="000000" w:themeColor="text1"/>
        </w:rPr>
        <w:t>about the link between risk preferences and demand for crop insurance</w:t>
      </w:r>
      <w:r>
        <w:t xml:space="preserve">, rather than to produce estimates about </w:t>
      </w:r>
      <w:r w:rsidR="00117F0F">
        <w:t xml:space="preserve">a </w:t>
      </w:r>
      <w:r>
        <w:t>population.</w:t>
      </w:r>
      <w:r w:rsidR="00B54C93">
        <w:t xml:space="preserve">  We </w:t>
      </w:r>
      <w:r w:rsidR="00D41B21">
        <w:t>will</w:t>
      </w:r>
      <w:r w:rsidR="00B54C93">
        <w:t xml:space="preserve"> conduct this experiment using a convenience sample of student subjects.  It is common practice in academic research to test experiments with student subjects before replicating the experiment with more difficult to reach populations (</w:t>
      </w:r>
      <w:proofErr w:type="spellStart"/>
      <w:r w:rsidR="00B54C93">
        <w:t>Gneezy</w:t>
      </w:r>
      <w:proofErr w:type="spellEnd"/>
      <w:r w:rsidR="00B54C93">
        <w:t xml:space="preserve"> and Potters, 1997; Harrison and List, 2004; Levitt and List, 2007).  Additionally, our proposed experiment will test the theoretical predictions of behavioral </w:t>
      </w:r>
      <w:r w:rsidR="00CD70D9">
        <w:t xml:space="preserve">economics </w:t>
      </w:r>
      <w:r w:rsidR="00B54C93">
        <w:t>risk models</w:t>
      </w:r>
      <w:r w:rsidR="00B21D4F">
        <w:t xml:space="preserve">—noting that </w:t>
      </w:r>
      <w:r w:rsidR="00B54C93">
        <w:t>results of tests of theoretical predictions are more likely to generalize across diverse subject pools than measurements of idiosyncratic preferences alone.</w:t>
      </w:r>
      <w:r w:rsidR="00B54C93">
        <w:rPr>
          <w:rStyle w:val="FootnoteReference"/>
        </w:rPr>
        <w:footnoteReference w:id="1"/>
      </w:r>
      <w:r w:rsidR="00B54C93">
        <w:t xml:space="preserve">  </w:t>
      </w:r>
    </w:p>
    <w:p w14:paraId="366A974C" w14:textId="77777777" w:rsidR="00B54C93" w:rsidRDefault="00B54C93" w:rsidP="00B54C93">
      <w:pPr>
        <w:ind w:left="720"/>
      </w:pPr>
    </w:p>
    <w:p w14:paraId="323B01E5" w14:textId="35F82C43" w:rsidR="008014CE" w:rsidRDefault="008014CE" w:rsidP="00B54C93">
      <w:pPr>
        <w:ind w:left="720"/>
      </w:pPr>
      <w:r>
        <w:t xml:space="preserve">The study uses a convenience sample </w:t>
      </w:r>
      <w:r w:rsidR="00D415B6">
        <w:t>of 500</w:t>
      </w:r>
      <w:r w:rsidR="00E62472">
        <w:t xml:space="preserve"> students </w:t>
      </w:r>
      <w:r w:rsidR="00CA2878">
        <w:t>recruited</w:t>
      </w:r>
      <w:r>
        <w:t xml:space="preserve"> from </w:t>
      </w:r>
      <w:r w:rsidR="00AD1063">
        <w:t>a respondent</w:t>
      </w:r>
      <w:r w:rsidR="00AC07C9">
        <w:t xml:space="preserve"> pool of </w:t>
      </w:r>
      <w:r w:rsidR="002A6223">
        <w:t>2,000</w:t>
      </w:r>
      <w:r w:rsidR="007760ED">
        <w:t xml:space="preserve"> </w:t>
      </w:r>
      <w:r>
        <w:t>student</w:t>
      </w:r>
      <w:r w:rsidR="007760ED">
        <w:t>s</w:t>
      </w:r>
      <w:r>
        <w:t xml:space="preserve"> </w:t>
      </w:r>
      <w:r w:rsidR="00540622">
        <w:rPr>
          <w:bCs/>
        </w:rPr>
        <w:t xml:space="preserve">at </w:t>
      </w:r>
      <w:r w:rsidR="00C0767F">
        <w:rPr>
          <w:bCs/>
        </w:rPr>
        <w:t>the University of Rhode Island</w:t>
      </w:r>
      <w:r w:rsidR="00540622">
        <w:rPr>
          <w:bCs/>
        </w:rPr>
        <w:t xml:space="preserve"> </w:t>
      </w:r>
      <w:r w:rsidR="007760ED">
        <w:rPr>
          <w:bCs/>
        </w:rPr>
        <w:t>who have expressed interest in participating in economics experiments and who have shared their emai</w:t>
      </w:r>
      <w:r w:rsidR="0053307A">
        <w:rPr>
          <w:bCs/>
        </w:rPr>
        <w:t>l addresses with the D</w:t>
      </w:r>
      <w:r w:rsidR="007760ED">
        <w:rPr>
          <w:bCs/>
        </w:rPr>
        <w:t>epartment</w:t>
      </w:r>
      <w:r w:rsidR="0053307A">
        <w:rPr>
          <w:bCs/>
        </w:rPr>
        <w:t xml:space="preserve"> of Environmental and Natural Resource Economics</w:t>
      </w:r>
      <w:r w:rsidR="007760ED">
        <w:rPr>
          <w:bCs/>
        </w:rPr>
        <w:t>.</w:t>
      </w:r>
      <w:r w:rsidR="00285582">
        <w:rPr>
          <w:bCs/>
        </w:rPr>
        <w:t xml:space="preserve">  </w:t>
      </w:r>
      <w:r w:rsidR="00AD1063">
        <w:rPr>
          <w:bCs/>
        </w:rPr>
        <w:t xml:space="preserve">Participants </w:t>
      </w:r>
      <w:r w:rsidR="0057354B" w:rsidRPr="00791976">
        <w:rPr>
          <w:color w:val="000000" w:themeColor="text1"/>
        </w:rPr>
        <w:t xml:space="preserve">will be randomly assigned to </w:t>
      </w:r>
      <w:r w:rsidR="002E644B">
        <w:rPr>
          <w:color w:val="000000" w:themeColor="text1"/>
        </w:rPr>
        <w:t>one of four risk environment treatments</w:t>
      </w:r>
      <w:r w:rsidR="0057354B" w:rsidRPr="00791976">
        <w:rPr>
          <w:color w:val="000000" w:themeColor="text1"/>
        </w:rPr>
        <w:t xml:space="preserve">.  </w:t>
      </w:r>
      <w:r w:rsidR="00841F89">
        <w:t>R</w:t>
      </w:r>
      <w:r>
        <w:t xml:space="preserve">esults </w:t>
      </w:r>
      <w:r w:rsidR="00113437">
        <w:t>of</w:t>
      </w:r>
      <w:r w:rsidR="00A53411">
        <w:t xml:space="preserve"> the study </w:t>
      </w:r>
      <w:r>
        <w:t>are not meant to be used to make policy decisions, and the sample is not meant to be nationally representative.</w:t>
      </w:r>
    </w:p>
    <w:p w14:paraId="1CC48C61" w14:textId="77777777" w:rsidR="00834C24" w:rsidRDefault="00834C24" w:rsidP="008014CE"/>
    <w:p w14:paraId="6AC416BF" w14:textId="77777777" w:rsidR="00AE10A0" w:rsidRDefault="00AE10A0" w:rsidP="008014CE"/>
    <w:p w14:paraId="267D40D1" w14:textId="5ACF2320" w:rsidR="008014CE" w:rsidRDefault="00F706AD" w:rsidP="00086AD6">
      <w:pPr>
        <w:rPr>
          <w:b/>
        </w:rPr>
      </w:pPr>
      <w:r>
        <w:rPr>
          <w:b/>
        </w:rPr>
        <w:t xml:space="preserve">2.  </w:t>
      </w:r>
      <w:r w:rsidRPr="00405BB7">
        <w:rPr>
          <w:b/>
        </w:rPr>
        <w:t>Describe the procedures for the collection of information.</w:t>
      </w:r>
    </w:p>
    <w:p w14:paraId="2E2C4F85" w14:textId="77777777" w:rsidR="00E37BB0" w:rsidRDefault="00E37BB0" w:rsidP="008014CE">
      <w:pPr>
        <w:pStyle w:val="BodyText2"/>
        <w:ind w:firstLine="360"/>
        <w:rPr>
          <w:b/>
          <w:u w:val="none"/>
        </w:rPr>
      </w:pPr>
    </w:p>
    <w:p w14:paraId="44EF19EA" w14:textId="23C206AB" w:rsidR="003F594E" w:rsidRDefault="003F594E" w:rsidP="008014CE">
      <w:pPr>
        <w:pStyle w:val="BodyText2"/>
        <w:ind w:firstLine="360"/>
        <w:rPr>
          <w:u w:val="none"/>
        </w:rPr>
      </w:pPr>
      <w:r>
        <w:rPr>
          <w:b/>
          <w:u w:val="none"/>
        </w:rPr>
        <w:t>Frequency of Collection:</w:t>
      </w:r>
    </w:p>
    <w:p w14:paraId="65868DBC" w14:textId="093072E1" w:rsidR="003F594E" w:rsidRDefault="007E3D5B" w:rsidP="007E3D5B">
      <w:pPr>
        <w:pStyle w:val="BodyText2"/>
        <w:ind w:left="720"/>
        <w:rPr>
          <w:u w:val="none"/>
        </w:rPr>
      </w:pPr>
      <w:r>
        <w:rPr>
          <w:u w:val="none"/>
        </w:rPr>
        <w:t xml:space="preserve">Each respondent will participate in at most one session.  </w:t>
      </w:r>
      <w:r w:rsidR="003F594E">
        <w:rPr>
          <w:u w:val="none"/>
        </w:rPr>
        <w:tab/>
      </w:r>
    </w:p>
    <w:p w14:paraId="22B3CDE0" w14:textId="77777777" w:rsidR="003E6EB9" w:rsidRDefault="003E6EB9" w:rsidP="007E3D5B">
      <w:pPr>
        <w:pStyle w:val="BodyText2"/>
        <w:ind w:left="720"/>
        <w:rPr>
          <w:u w:val="none"/>
        </w:rPr>
      </w:pPr>
    </w:p>
    <w:p w14:paraId="74F360A1" w14:textId="77777777" w:rsidR="00E37BB0" w:rsidRDefault="00E37BB0" w:rsidP="008014CE">
      <w:pPr>
        <w:pStyle w:val="BodyText2"/>
        <w:ind w:firstLine="360"/>
        <w:rPr>
          <w:b/>
          <w:u w:val="none"/>
        </w:rPr>
      </w:pPr>
      <w:r>
        <w:rPr>
          <w:b/>
          <w:u w:val="none"/>
        </w:rPr>
        <w:t>Recruitment:</w:t>
      </w:r>
    </w:p>
    <w:p w14:paraId="37CEECFC" w14:textId="77777777" w:rsidR="00834C24" w:rsidRDefault="00834C24">
      <w:pPr>
        <w:rPr>
          <w:u w:val="single"/>
        </w:rPr>
      </w:pPr>
    </w:p>
    <w:p w14:paraId="186659FD" w14:textId="048C542C" w:rsidR="003B512C" w:rsidRDefault="003B512C" w:rsidP="00131351">
      <w:pPr>
        <w:ind w:left="720"/>
      </w:pPr>
      <w:r>
        <w:t>Potential participants will be recruited to participate in the ex</w:t>
      </w:r>
      <w:r w:rsidR="001327B1">
        <w:t>periment via email (Attachment J</w:t>
      </w:r>
      <w:r>
        <w:t xml:space="preserve">: </w:t>
      </w:r>
      <w:r w:rsidR="001327B1">
        <w:t>Recr</w:t>
      </w:r>
      <w:r>
        <w:t>uitment</w:t>
      </w:r>
      <w:r w:rsidR="001327B1">
        <w:t xml:space="preserve"> Message</w:t>
      </w:r>
      <w:r>
        <w:t xml:space="preserve">) and in-class solicitations.  </w:t>
      </w:r>
      <w:r w:rsidR="000B1883">
        <w:t xml:space="preserve">The respondent pool consists of undergraduate and graduate students at the University of Rhode Island who take classes within the </w:t>
      </w:r>
      <w:r w:rsidR="000B1883">
        <w:rPr>
          <w:bCs/>
        </w:rPr>
        <w:t xml:space="preserve">Department of Environmental and Natural Resource Economics and/or register to participate in the </w:t>
      </w:r>
      <w:proofErr w:type="spellStart"/>
      <w:r w:rsidR="000B1883">
        <w:rPr>
          <w:bCs/>
        </w:rPr>
        <w:t>SimLab</w:t>
      </w:r>
      <w:proofErr w:type="spellEnd"/>
      <w:r w:rsidR="000B1883">
        <w:rPr>
          <w:bCs/>
        </w:rPr>
        <w:t xml:space="preserve"> database.  </w:t>
      </w:r>
    </w:p>
    <w:p w14:paraId="2996FB9B" w14:textId="77777777" w:rsidR="003B512C" w:rsidRDefault="003B512C" w:rsidP="00131351">
      <w:pPr>
        <w:ind w:left="720"/>
      </w:pPr>
    </w:p>
    <w:p w14:paraId="203F21BB" w14:textId="77777777" w:rsidR="008C705E" w:rsidRDefault="00DC2DE7" w:rsidP="00131351">
      <w:pPr>
        <w:ind w:left="720"/>
      </w:pPr>
      <w:r w:rsidRPr="00772ED2">
        <w:t xml:space="preserve">Because it is common to get a number of no-shows and last-minute cancellations for a given experiment session, </w:t>
      </w:r>
      <w:r>
        <w:t>each session will also be</w:t>
      </w:r>
      <w:r w:rsidRPr="00FC1788">
        <w:t xml:space="preserve"> “overbook</w:t>
      </w:r>
      <w:r>
        <w:t>ed</w:t>
      </w:r>
      <w:r w:rsidRPr="00FC1788">
        <w:t xml:space="preserve">” </w:t>
      </w:r>
      <w:r w:rsidRPr="00136618">
        <w:t xml:space="preserve">by 2 potential participants </w:t>
      </w:r>
      <w:r>
        <w:t xml:space="preserve">as backups </w:t>
      </w:r>
      <w:r w:rsidRPr="00FC1788">
        <w:t xml:space="preserve">to ensure </w:t>
      </w:r>
      <w:r w:rsidR="00A54381">
        <w:t>efficient use of scare economics laboratory time</w:t>
      </w:r>
      <w:r w:rsidRPr="00FC1788">
        <w:t>.</w:t>
      </w:r>
      <w:r w:rsidRPr="00772ED2">
        <w:t xml:space="preserve"> </w:t>
      </w:r>
      <w:r w:rsidR="00A54381">
        <w:t xml:space="preserve"> </w:t>
      </w:r>
      <w:r w:rsidRPr="00772ED2">
        <w:t>In case</w:t>
      </w:r>
      <w:r w:rsidR="00E36969">
        <w:t>s</w:t>
      </w:r>
      <w:r w:rsidR="00E2331D">
        <w:t xml:space="preserve"> </w:t>
      </w:r>
      <w:r w:rsidR="006178F6">
        <w:t>where</w:t>
      </w:r>
      <w:r w:rsidR="00E2331D">
        <w:t xml:space="preserve"> </w:t>
      </w:r>
      <w:r w:rsidR="00E2331D" w:rsidRPr="00FC1788">
        <w:t xml:space="preserve">more people show up than can be accommodated </w:t>
      </w:r>
      <w:r w:rsidR="00B55187">
        <w:t>in</w:t>
      </w:r>
      <w:r w:rsidR="00E12CEB">
        <w:t xml:space="preserve"> </w:t>
      </w:r>
      <w:r w:rsidR="00E2331D" w:rsidRPr="00FC1788">
        <w:t>a  session</w:t>
      </w:r>
      <w:r w:rsidRPr="00772ED2">
        <w:t>, any extras who show up before the schedu</w:t>
      </w:r>
      <w:r w:rsidR="00A54381">
        <w:t>led start time will receive a $10</w:t>
      </w:r>
      <w:r w:rsidRPr="00772ED2">
        <w:t xml:space="preserve"> payment for time and travel and can reschedule for another session.  This is common practice among experimentalists</w:t>
      </w:r>
      <w:r w:rsidR="00BA3E94">
        <w:t xml:space="preserve"> and the norm for experiments conducted at </w:t>
      </w:r>
      <w:proofErr w:type="spellStart"/>
      <w:r w:rsidR="00BA3E94">
        <w:t>SimLab</w:t>
      </w:r>
      <w:proofErr w:type="spellEnd"/>
      <w:r w:rsidRPr="00772ED2">
        <w:t>.</w:t>
      </w:r>
    </w:p>
    <w:p w14:paraId="30FDD428" w14:textId="77777777" w:rsidR="008C705E" w:rsidRDefault="008C705E" w:rsidP="00131351">
      <w:pPr>
        <w:ind w:left="720"/>
      </w:pPr>
    </w:p>
    <w:p w14:paraId="14C0D87A" w14:textId="366B015D" w:rsidR="00865CF5" w:rsidRDefault="008C705E" w:rsidP="008C705E">
      <w:pPr>
        <w:ind w:left="720"/>
      </w:pPr>
      <w:r>
        <w:t>Prior to giving their consent</w:t>
      </w:r>
      <w:r w:rsidR="00E5419B">
        <w:t>, potential participants</w:t>
      </w:r>
      <w:r>
        <w:t xml:space="preserve"> </w:t>
      </w:r>
      <w:r w:rsidR="00A74874">
        <w:t xml:space="preserve">at the beginning of each experimental session will </w:t>
      </w:r>
      <w:r>
        <w:t xml:space="preserve">be provided with: (1) </w:t>
      </w:r>
      <w:r w:rsidR="007E7450">
        <w:t xml:space="preserve">a Consent </w:t>
      </w:r>
      <w:r w:rsidR="00D247D1">
        <w:t>Form (Attachment F</w:t>
      </w:r>
      <w:r w:rsidR="004C55A3">
        <w:t>: Consent F</w:t>
      </w:r>
      <w:r w:rsidR="001A1106">
        <w:t>orm</w:t>
      </w:r>
      <w:r w:rsidR="00D247D1">
        <w:t xml:space="preserve">) </w:t>
      </w:r>
      <w:r w:rsidR="004D340F">
        <w:t xml:space="preserve">that contains </w:t>
      </w:r>
      <w:r w:rsidR="00D41B7B">
        <w:t xml:space="preserve">a </w:t>
      </w:r>
      <w:r w:rsidR="004D340F">
        <w:t>description of the study, including details of study purpose, data collection methodology, and burden estimate</w:t>
      </w:r>
      <w:r w:rsidR="00D41B7B">
        <w:t>,</w:t>
      </w:r>
      <w:r w:rsidR="004D340F">
        <w:t xml:space="preserve"> as well as the use of the information collected and the voluntary n</w:t>
      </w:r>
      <w:r w:rsidR="00C1419D">
        <w:t>ature of the study</w:t>
      </w:r>
      <w:r>
        <w:t xml:space="preserve">; </w:t>
      </w:r>
      <w:r w:rsidR="00C1419D">
        <w:t xml:space="preserve">and </w:t>
      </w:r>
      <w:r>
        <w:t xml:space="preserve">(2) a copy of the </w:t>
      </w:r>
      <w:r w:rsidR="00F34D52">
        <w:t>data protection disclaimer</w:t>
      </w:r>
      <w:r w:rsidR="0005318F">
        <w:t xml:space="preserve"> (Attachment </w:t>
      </w:r>
      <w:r w:rsidR="00ED3C93">
        <w:t>G</w:t>
      </w:r>
      <w:r w:rsidR="008669FC">
        <w:t>: Disclaimer</w:t>
      </w:r>
      <w:r w:rsidR="00ED3C93">
        <w:t>)</w:t>
      </w:r>
      <w:r w:rsidR="00F34D52">
        <w:t>.</w:t>
      </w:r>
    </w:p>
    <w:p w14:paraId="453D80E9" w14:textId="77777777" w:rsidR="00DD1FA4" w:rsidRDefault="00DD1FA4" w:rsidP="00772ED2"/>
    <w:p w14:paraId="63873426" w14:textId="77777777" w:rsidR="00DD1FA4" w:rsidRPr="00772ED2" w:rsidRDefault="00DD1FA4" w:rsidP="00772ED2">
      <w:pPr>
        <w:rPr>
          <w:b/>
        </w:rPr>
      </w:pPr>
      <w:r w:rsidRPr="00772ED2">
        <w:rPr>
          <w:b/>
        </w:rPr>
        <w:t>Experiment:</w:t>
      </w:r>
    </w:p>
    <w:p w14:paraId="54E876E9" w14:textId="77777777" w:rsidR="00DD1FA4" w:rsidRDefault="00DD1FA4" w:rsidP="00772ED2"/>
    <w:p w14:paraId="220F207F" w14:textId="77777777" w:rsidR="00431DF2" w:rsidRDefault="001102A9" w:rsidP="00772ED2">
      <w:pPr>
        <w:ind w:left="720"/>
      </w:pPr>
      <w:r>
        <w:t xml:space="preserve">The goals of this experiment are to (1) characterize the relationship between cover crop usage and crop insurance purchases, and (2) explore how this relationship depends on individuals’ risk preferences and demographic characteristics.  </w:t>
      </w:r>
    </w:p>
    <w:p w14:paraId="631D0249" w14:textId="77777777" w:rsidR="00431DF2" w:rsidRDefault="00431DF2" w:rsidP="00772ED2">
      <w:pPr>
        <w:ind w:left="720"/>
      </w:pPr>
    </w:p>
    <w:p w14:paraId="34EA9B0D" w14:textId="77777777" w:rsidR="00431DF2" w:rsidRDefault="00431DF2" w:rsidP="00431DF2">
      <w:pPr>
        <w:ind w:left="720"/>
      </w:pPr>
      <w:r>
        <w:t>Figure 1 provides a schematic of the experimental design.  Each subject will be randomly assigned to one of four possible risk environments.  Within their assigned risk environment treatment, e</w:t>
      </w:r>
      <w:r w:rsidRPr="00604E9B">
        <w:t>ach subject w</w:t>
      </w:r>
      <w:r>
        <w:t xml:space="preserve">ill complete </w:t>
      </w:r>
      <w:r w:rsidRPr="00604E9B">
        <w:t xml:space="preserve">three different tasks: </w:t>
      </w:r>
      <w:r>
        <w:t xml:space="preserve">a task to measure Cumulative Prospect Theory (CPT) risk preferences, a task to measure Myopic Loss Aversion (MLA) risk preferences, a task to measure insurance and cover crop demand elasticities.  The CPT and MLA tasks will measure different types of risk preferences using methods which are standard for the academic literature.  The third task will measure demand elasticities jointly for stylized crop insurance purchases and cover crop decisions.  </w:t>
      </w:r>
    </w:p>
    <w:p w14:paraId="488BC3FD" w14:textId="77777777" w:rsidR="00431DF2" w:rsidRDefault="00431DF2" w:rsidP="00772ED2">
      <w:pPr>
        <w:ind w:left="720"/>
      </w:pPr>
    </w:p>
    <w:p w14:paraId="56FBE39C" w14:textId="55C70ED8" w:rsidR="00431DF2" w:rsidRPr="00604E9B" w:rsidRDefault="00431DF2" w:rsidP="00431DF2">
      <w:pPr>
        <w:ind w:left="720"/>
      </w:pPr>
      <w:r>
        <w:t xml:space="preserve">The CPT, MLA, and demand elasticities tasks will consist of a number of rounds where subjects’ make a series of decisions involving risk.  The CPT task will consist of 20 rounds, the MLA task will consist of 30 rounds, and the demand elasticities task will consist of 15 rounds. </w:t>
      </w:r>
      <w:r w:rsidRPr="00604E9B">
        <w:t xml:space="preserve">Each round of each task will require a subject to evaluate one or more risky decisions.  </w:t>
      </w:r>
      <w:r>
        <w:t xml:space="preserve">Detailed descriptions of all tasks are included in Attachment B: Experimental Design Protocol.  </w:t>
      </w:r>
      <w:r w:rsidRPr="00604E9B">
        <w:t xml:space="preserve">Each subject will </w:t>
      </w:r>
      <w:r w:rsidRPr="00604E9B">
        <w:lastRenderedPageBreak/>
        <w:t xml:space="preserve">complete all 65 rounds </w:t>
      </w:r>
      <w:r>
        <w:t xml:space="preserve">and a brief demographic questionnaire within a 90 minute period.  </w:t>
      </w:r>
    </w:p>
    <w:p w14:paraId="35DBC502" w14:textId="77777777" w:rsidR="00431DF2" w:rsidRDefault="00431DF2" w:rsidP="00431DF2"/>
    <w:p w14:paraId="4B21A894" w14:textId="77777777" w:rsidR="00431DF2" w:rsidRDefault="00431DF2" w:rsidP="00431DF2">
      <w:pPr>
        <w:pStyle w:val="Caption"/>
        <w:keepNext/>
      </w:pPr>
      <w:r>
        <w:t xml:space="preserve">Figure </w:t>
      </w:r>
      <w:fldSimple w:instr=" SEQ Figure \* ARABIC ">
        <w:r>
          <w:rPr>
            <w:noProof/>
          </w:rPr>
          <w:t>1</w:t>
        </w:r>
      </w:fldSimple>
      <w:r>
        <w:t>: Schematic of Experimental Design</w:t>
      </w:r>
    </w:p>
    <w:p w14:paraId="654D2136" w14:textId="77777777" w:rsidR="00431DF2" w:rsidRDefault="00431DF2" w:rsidP="00431DF2">
      <w:pPr>
        <w:keepNext/>
      </w:pPr>
      <w:r>
        <w:rPr>
          <w:noProof/>
        </w:rPr>
        <w:drawing>
          <wp:inline distT="0" distB="0" distL="0" distR="0" wp14:anchorId="220B9EBF" wp14:editId="32D5CFF1">
            <wp:extent cx="5943600" cy="23983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matic of experimental desig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398395"/>
                    </a:xfrm>
                    <a:prstGeom prst="rect">
                      <a:avLst/>
                    </a:prstGeom>
                  </pic:spPr>
                </pic:pic>
              </a:graphicData>
            </a:graphic>
          </wp:inline>
        </w:drawing>
      </w:r>
    </w:p>
    <w:p w14:paraId="5B000096" w14:textId="772E5BFC" w:rsidR="00431DF2" w:rsidRDefault="00431DF2" w:rsidP="00431DF2">
      <w:r>
        <w:br/>
      </w:r>
    </w:p>
    <w:p w14:paraId="2CAE4147" w14:textId="77777777" w:rsidR="00431DF2" w:rsidRDefault="00431DF2" w:rsidP="00431DF2">
      <w:pPr>
        <w:ind w:left="720"/>
      </w:pPr>
      <w:r>
        <w:t xml:space="preserve">Risk environment treatments will vary the amount of risk attached to subjects’ earnings in the MLA and demand elasticities tasks.  The four possible risk environment treatments are (1) low expected revenue and low revenue risk, (2) high expected revenue and low revenue risk, (3) low expected revenue and high revenue risk, and (4) high expected revenue and high revenue risk.  Detailed descriptions of all risk environment treatments are included in Attachment B: Experimental Design Protocol.  Subjects will be equally allocated to all treatments as shown in the Table 1. </w:t>
      </w:r>
    </w:p>
    <w:p w14:paraId="7B946E78" w14:textId="77777777" w:rsidR="00431DF2" w:rsidRDefault="00431DF2" w:rsidP="00431DF2">
      <w:pPr>
        <w:ind w:left="720"/>
      </w:pPr>
    </w:p>
    <w:p w14:paraId="340B1CF5" w14:textId="77777777" w:rsidR="00431DF2" w:rsidRDefault="00431DF2" w:rsidP="00431DF2">
      <w:pPr>
        <w:pStyle w:val="Caption"/>
        <w:keepNext/>
      </w:pPr>
      <w:r>
        <w:t xml:space="preserve">Table </w:t>
      </w:r>
      <w:fldSimple w:instr=" SEQ Table \* ARABIC ">
        <w:r>
          <w:rPr>
            <w:noProof/>
          </w:rPr>
          <w:t>1</w:t>
        </w:r>
      </w:fldSimple>
      <w:r>
        <w:t>: Allocation of Subjects to Risk Environment Treatments</w:t>
      </w:r>
    </w:p>
    <w:tbl>
      <w:tblPr>
        <w:tblStyle w:val="TableGrid"/>
        <w:tblW w:w="0" w:type="auto"/>
        <w:jc w:val="center"/>
        <w:tblLook w:val="04A0" w:firstRow="1" w:lastRow="0" w:firstColumn="1" w:lastColumn="0" w:noHBand="0" w:noVBand="1"/>
      </w:tblPr>
      <w:tblGrid>
        <w:gridCol w:w="2052"/>
        <w:gridCol w:w="2513"/>
        <w:gridCol w:w="2557"/>
        <w:gridCol w:w="725"/>
      </w:tblGrid>
      <w:tr w:rsidR="00431DF2" w14:paraId="33B0AF3B" w14:textId="77777777" w:rsidTr="00547CAC">
        <w:trPr>
          <w:jc w:val="center"/>
        </w:trPr>
        <w:tc>
          <w:tcPr>
            <w:tcW w:w="0" w:type="auto"/>
          </w:tcPr>
          <w:p w14:paraId="2962A684" w14:textId="77777777" w:rsidR="00431DF2" w:rsidRDefault="00431DF2" w:rsidP="00547CAC"/>
        </w:tc>
        <w:tc>
          <w:tcPr>
            <w:tcW w:w="0" w:type="auto"/>
          </w:tcPr>
          <w:p w14:paraId="489AE2AE" w14:textId="77777777" w:rsidR="00431DF2" w:rsidRPr="00296630" w:rsidRDefault="00431DF2" w:rsidP="00547CAC">
            <w:pPr>
              <w:rPr>
                <w:b/>
              </w:rPr>
            </w:pPr>
            <w:r w:rsidRPr="00296630">
              <w:rPr>
                <w:b/>
              </w:rPr>
              <w:t>Low Expected Revenue</w:t>
            </w:r>
          </w:p>
        </w:tc>
        <w:tc>
          <w:tcPr>
            <w:tcW w:w="0" w:type="auto"/>
          </w:tcPr>
          <w:p w14:paraId="78F7070C" w14:textId="77777777" w:rsidR="00431DF2" w:rsidRPr="00296630" w:rsidRDefault="00431DF2" w:rsidP="00547CAC">
            <w:pPr>
              <w:rPr>
                <w:b/>
              </w:rPr>
            </w:pPr>
            <w:r w:rsidRPr="00296630">
              <w:rPr>
                <w:b/>
              </w:rPr>
              <w:t>High Expected Revenue</w:t>
            </w:r>
          </w:p>
        </w:tc>
        <w:tc>
          <w:tcPr>
            <w:tcW w:w="0" w:type="auto"/>
          </w:tcPr>
          <w:p w14:paraId="37D64F65" w14:textId="77777777" w:rsidR="00431DF2" w:rsidRPr="00296630" w:rsidRDefault="00431DF2" w:rsidP="00547CAC">
            <w:pPr>
              <w:rPr>
                <w:b/>
              </w:rPr>
            </w:pPr>
            <w:r w:rsidRPr="00296630">
              <w:rPr>
                <w:b/>
              </w:rPr>
              <w:t>Total</w:t>
            </w:r>
          </w:p>
        </w:tc>
      </w:tr>
      <w:tr w:rsidR="00431DF2" w14:paraId="2DAD4A49" w14:textId="77777777" w:rsidTr="00547CAC">
        <w:trPr>
          <w:jc w:val="center"/>
        </w:trPr>
        <w:tc>
          <w:tcPr>
            <w:tcW w:w="0" w:type="auto"/>
          </w:tcPr>
          <w:p w14:paraId="1C3F4699" w14:textId="77777777" w:rsidR="00431DF2" w:rsidRPr="00296630" w:rsidRDefault="00431DF2" w:rsidP="00547CAC">
            <w:pPr>
              <w:rPr>
                <w:b/>
              </w:rPr>
            </w:pPr>
            <w:r w:rsidRPr="00296630">
              <w:rPr>
                <w:b/>
              </w:rPr>
              <w:t>Low Revenue Risk</w:t>
            </w:r>
          </w:p>
        </w:tc>
        <w:tc>
          <w:tcPr>
            <w:tcW w:w="0" w:type="auto"/>
          </w:tcPr>
          <w:p w14:paraId="42841F18" w14:textId="77777777" w:rsidR="00431DF2" w:rsidRDefault="00431DF2" w:rsidP="00547CAC">
            <w:pPr>
              <w:jc w:val="center"/>
            </w:pPr>
            <w:r>
              <w:t>125</w:t>
            </w:r>
          </w:p>
        </w:tc>
        <w:tc>
          <w:tcPr>
            <w:tcW w:w="0" w:type="auto"/>
          </w:tcPr>
          <w:p w14:paraId="61A9A872" w14:textId="77777777" w:rsidR="00431DF2" w:rsidRDefault="00431DF2" w:rsidP="00547CAC">
            <w:pPr>
              <w:jc w:val="center"/>
            </w:pPr>
            <w:r>
              <w:t>125</w:t>
            </w:r>
          </w:p>
        </w:tc>
        <w:tc>
          <w:tcPr>
            <w:tcW w:w="0" w:type="auto"/>
          </w:tcPr>
          <w:p w14:paraId="44AFF741" w14:textId="77777777" w:rsidR="00431DF2" w:rsidRDefault="00431DF2" w:rsidP="00547CAC">
            <w:pPr>
              <w:jc w:val="center"/>
            </w:pPr>
            <w:r>
              <w:t>250</w:t>
            </w:r>
          </w:p>
        </w:tc>
      </w:tr>
      <w:tr w:rsidR="00431DF2" w14:paraId="1AAEDD77" w14:textId="77777777" w:rsidTr="00547CAC">
        <w:trPr>
          <w:jc w:val="center"/>
        </w:trPr>
        <w:tc>
          <w:tcPr>
            <w:tcW w:w="0" w:type="auto"/>
          </w:tcPr>
          <w:p w14:paraId="6C07ABE8" w14:textId="77777777" w:rsidR="00431DF2" w:rsidRPr="00296630" w:rsidRDefault="00431DF2" w:rsidP="00547CAC">
            <w:pPr>
              <w:rPr>
                <w:b/>
              </w:rPr>
            </w:pPr>
            <w:r w:rsidRPr="00296630">
              <w:rPr>
                <w:b/>
              </w:rPr>
              <w:t>High Revenue Risk</w:t>
            </w:r>
          </w:p>
        </w:tc>
        <w:tc>
          <w:tcPr>
            <w:tcW w:w="0" w:type="auto"/>
          </w:tcPr>
          <w:p w14:paraId="7D5AD7DE" w14:textId="77777777" w:rsidR="00431DF2" w:rsidRDefault="00431DF2" w:rsidP="00547CAC">
            <w:pPr>
              <w:jc w:val="center"/>
            </w:pPr>
            <w:r>
              <w:t>125</w:t>
            </w:r>
          </w:p>
        </w:tc>
        <w:tc>
          <w:tcPr>
            <w:tcW w:w="0" w:type="auto"/>
          </w:tcPr>
          <w:p w14:paraId="211851C4" w14:textId="77777777" w:rsidR="00431DF2" w:rsidRDefault="00431DF2" w:rsidP="00547CAC">
            <w:pPr>
              <w:jc w:val="center"/>
            </w:pPr>
            <w:r>
              <w:t>125</w:t>
            </w:r>
          </w:p>
        </w:tc>
        <w:tc>
          <w:tcPr>
            <w:tcW w:w="0" w:type="auto"/>
          </w:tcPr>
          <w:p w14:paraId="3D059841" w14:textId="77777777" w:rsidR="00431DF2" w:rsidRDefault="00431DF2" w:rsidP="00547CAC">
            <w:pPr>
              <w:jc w:val="center"/>
            </w:pPr>
            <w:r>
              <w:t>250</w:t>
            </w:r>
          </w:p>
        </w:tc>
      </w:tr>
      <w:tr w:rsidR="00431DF2" w14:paraId="4918F2C5" w14:textId="77777777" w:rsidTr="00547CAC">
        <w:trPr>
          <w:jc w:val="center"/>
        </w:trPr>
        <w:tc>
          <w:tcPr>
            <w:tcW w:w="0" w:type="auto"/>
          </w:tcPr>
          <w:p w14:paraId="4172EEA1" w14:textId="77777777" w:rsidR="00431DF2" w:rsidRPr="00296630" w:rsidRDefault="00431DF2" w:rsidP="00547CAC">
            <w:pPr>
              <w:rPr>
                <w:b/>
              </w:rPr>
            </w:pPr>
            <w:r w:rsidRPr="00296630">
              <w:rPr>
                <w:b/>
              </w:rPr>
              <w:t>Total</w:t>
            </w:r>
          </w:p>
        </w:tc>
        <w:tc>
          <w:tcPr>
            <w:tcW w:w="0" w:type="auto"/>
          </w:tcPr>
          <w:p w14:paraId="71396C81" w14:textId="77777777" w:rsidR="00431DF2" w:rsidRDefault="00431DF2" w:rsidP="00547CAC">
            <w:pPr>
              <w:jc w:val="center"/>
            </w:pPr>
            <w:r>
              <w:t>250</w:t>
            </w:r>
          </w:p>
        </w:tc>
        <w:tc>
          <w:tcPr>
            <w:tcW w:w="0" w:type="auto"/>
          </w:tcPr>
          <w:p w14:paraId="43047EC9" w14:textId="77777777" w:rsidR="00431DF2" w:rsidRDefault="00431DF2" w:rsidP="00547CAC">
            <w:pPr>
              <w:jc w:val="center"/>
            </w:pPr>
            <w:r>
              <w:t>250</w:t>
            </w:r>
          </w:p>
        </w:tc>
        <w:tc>
          <w:tcPr>
            <w:tcW w:w="0" w:type="auto"/>
          </w:tcPr>
          <w:p w14:paraId="1E80AA7B" w14:textId="77777777" w:rsidR="00431DF2" w:rsidRDefault="00431DF2" w:rsidP="00547CAC">
            <w:pPr>
              <w:jc w:val="center"/>
            </w:pPr>
            <w:r>
              <w:t>500</w:t>
            </w:r>
          </w:p>
        </w:tc>
      </w:tr>
    </w:tbl>
    <w:p w14:paraId="688A25D1" w14:textId="7548F20A" w:rsidR="001102A9" w:rsidRDefault="00431DF2" w:rsidP="00431DF2">
      <w:r>
        <w:t xml:space="preserve"> </w:t>
      </w:r>
    </w:p>
    <w:p w14:paraId="16D9B5A5" w14:textId="51CC3496" w:rsidR="00AD4BE7" w:rsidRDefault="00003D2C" w:rsidP="00772ED2">
      <w:pPr>
        <w:ind w:left="720"/>
      </w:pPr>
      <w:r>
        <w:t>Respondents will participate in at most one session, and</w:t>
      </w:r>
      <w:r w:rsidR="00890CB3">
        <w:t xml:space="preserve"> </w:t>
      </w:r>
      <w:r w:rsidR="00890CB3" w:rsidRPr="00292581">
        <w:t xml:space="preserve">will be randomly assigned </w:t>
      </w:r>
      <w:r>
        <w:t xml:space="preserve">to </w:t>
      </w:r>
      <w:r w:rsidR="00F5246F">
        <w:t>only one risk environment treatment</w:t>
      </w:r>
      <w:r w:rsidR="00890CB3">
        <w:t>.</w:t>
      </w:r>
      <w:r w:rsidR="00F5246F">
        <w:t xml:space="preserve">  Participants will accrue earnings based on decisions made in all elicitation tasks as well as a $10 show-up fee.  E</w:t>
      </w:r>
      <w:r w:rsidR="00372183">
        <w:t>arnings will be paid to them in cas</w:t>
      </w:r>
      <w:r w:rsidR="001A237C">
        <w:t>h</w:t>
      </w:r>
      <w:r w:rsidR="00372183">
        <w:t xml:space="preserve"> at the end of the experiment.  </w:t>
      </w:r>
      <w:r w:rsidR="003375FA">
        <w:t xml:space="preserve">Subjects will complete all components of the experiment within </w:t>
      </w:r>
      <w:r w:rsidR="00EE5505" w:rsidRPr="00BA025C">
        <w:t>9</w:t>
      </w:r>
      <w:r w:rsidR="003375FA">
        <w:t>0 minutes</w:t>
      </w:r>
      <w:r w:rsidR="00EE5505" w:rsidRPr="00BA025C">
        <w:t>.</w:t>
      </w:r>
      <w:r w:rsidR="007842FC">
        <w:t xml:space="preserve">  More details for </w:t>
      </w:r>
      <w:r w:rsidR="00D45F3B">
        <w:t xml:space="preserve">the </w:t>
      </w:r>
      <w:r w:rsidR="007842FC">
        <w:t>experimental design are presented in the Attachment B: Experimental Design</w:t>
      </w:r>
      <w:r w:rsidR="00345216">
        <w:t xml:space="preserve"> Protocol</w:t>
      </w:r>
      <w:r w:rsidR="007842FC">
        <w:t>.</w:t>
      </w:r>
    </w:p>
    <w:p w14:paraId="391A31F1" w14:textId="77777777" w:rsidR="00AD4BE7" w:rsidRDefault="00AD4BE7" w:rsidP="00772ED2">
      <w:pPr>
        <w:ind w:left="720"/>
      </w:pPr>
    </w:p>
    <w:p w14:paraId="3CFAAA77" w14:textId="77777777" w:rsidR="00F02FCB" w:rsidRDefault="009B003F" w:rsidP="001F0C27">
      <w:pPr>
        <w:ind w:left="720"/>
        <w:rPr>
          <w:color w:val="000000"/>
        </w:rPr>
      </w:pPr>
      <w:r>
        <w:t>Once an experimental session is scheduled, it is the responsibility of the respondent</w:t>
      </w:r>
      <w:r w:rsidR="0000616B">
        <w:t>s</w:t>
      </w:r>
      <w:r>
        <w:t xml:space="preserve"> to travel to the experiment site. </w:t>
      </w:r>
      <w:r w:rsidR="005F6765">
        <w:t xml:space="preserve">URI’s </w:t>
      </w:r>
      <w:proofErr w:type="spellStart"/>
      <w:r w:rsidR="005F6765">
        <w:t>SimLab</w:t>
      </w:r>
      <w:proofErr w:type="spellEnd"/>
      <w:r>
        <w:t xml:space="preserve"> </w:t>
      </w:r>
      <w:r w:rsidR="00E37943">
        <w:t>is</w:t>
      </w:r>
      <w:r>
        <w:t xml:space="preserve"> located in </w:t>
      </w:r>
      <w:r w:rsidR="001F0C27">
        <w:rPr>
          <w:color w:val="000000"/>
        </w:rPr>
        <w:t xml:space="preserve">Rm. </w:t>
      </w:r>
      <w:r w:rsidR="001F0C27">
        <w:rPr>
          <w:color w:val="000000"/>
        </w:rPr>
        <w:lastRenderedPageBreak/>
        <w:t xml:space="preserve">200A Coastal Institute Building, University of Rhode Island, </w:t>
      </w:r>
      <w:proofErr w:type="gramStart"/>
      <w:r w:rsidR="001F0C27">
        <w:rPr>
          <w:color w:val="000000"/>
        </w:rPr>
        <w:t>1</w:t>
      </w:r>
      <w:proofErr w:type="gramEnd"/>
      <w:r w:rsidR="001F0C27">
        <w:rPr>
          <w:color w:val="000000"/>
        </w:rPr>
        <w:t xml:space="preserve"> Greenhouse Rd., Kingston RI 02881.</w:t>
      </w:r>
    </w:p>
    <w:p w14:paraId="776A6EBE" w14:textId="77777777" w:rsidR="001F0C27" w:rsidRDefault="001F0C27" w:rsidP="001F0C27">
      <w:pPr>
        <w:ind w:left="720"/>
      </w:pPr>
    </w:p>
    <w:p w14:paraId="49277538" w14:textId="77777777" w:rsidR="00502625" w:rsidRDefault="00B51E0D" w:rsidP="0045634C">
      <w:pPr>
        <w:ind w:left="720"/>
      </w:pPr>
      <w:r w:rsidRPr="0080400C">
        <w:t xml:space="preserve">The </w:t>
      </w:r>
      <w:r w:rsidR="001003F8">
        <w:t>experiment is</w:t>
      </w:r>
      <w:r w:rsidR="00311F0C">
        <w:t xml:space="preserve"> </w:t>
      </w:r>
      <w:r w:rsidR="001003F8">
        <w:t xml:space="preserve">programmed in Python and accessible </w:t>
      </w:r>
      <w:r w:rsidRPr="0017055C">
        <w:t>via</w:t>
      </w:r>
      <w:r w:rsidR="0017055C">
        <w:t xml:space="preserve"> </w:t>
      </w:r>
      <w:r w:rsidR="005B401A">
        <w:t>a</w:t>
      </w:r>
      <w:r w:rsidR="001003F8">
        <w:t xml:space="preserve"> Chrome web browser</w:t>
      </w:r>
      <w:r w:rsidR="005B401A">
        <w:t xml:space="preserve"> on laboratory computers</w:t>
      </w:r>
      <w:r w:rsidR="00315BA9">
        <w:t xml:space="preserve">.  At the beginning </w:t>
      </w:r>
      <w:r w:rsidR="001464C7">
        <w:t xml:space="preserve">of each </w:t>
      </w:r>
      <w:r w:rsidR="00315BA9">
        <w:t>session</w:t>
      </w:r>
      <w:r w:rsidR="001203F6">
        <w:t xml:space="preserve"> and elicitation task</w:t>
      </w:r>
      <w:r w:rsidR="001464C7">
        <w:t>, participants are given detailed explanations</w:t>
      </w:r>
      <w:r w:rsidR="00CF1051">
        <w:t xml:space="preserve"> and instructions</w:t>
      </w:r>
      <w:r w:rsidR="00045798">
        <w:t xml:space="preserve"> for </w:t>
      </w:r>
      <w:r w:rsidR="009B3D64">
        <w:t>all</w:t>
      </w:r>
      <w:r w:rsidR="00381CD4">
        <w:t xml:space="preserve"> </w:t>
      </w:r>
      <w:r w:rsidR="00045798">
        <w:t>procedure</w:t>
      </w:r>
      <w:r w:rsidR="00381CD4">
        <w:t>s (Attachment D: Instructions).</w:t>
      </w:r>
      <w:r w:rsidR="00045798">
        <w:t xml:space="preserve"> </w:t>
      </w:r>
      <w:r w:rsidR="00C218E4">
        <w:t xml:space="preserve">A short demographic questionnaire (Attachment E: Questionnaire) will also be </w:t>
      </w:r>
      <w:r w:rsidR="009B3D64">
        <w:t>given to participants at</w:t>
      </w:r>
      <w:r w:rsidR="00E81662">
        <w:t xml:space="preserve"> the </w:t>
      </w:r>
      <w:r w:rsidR="009B3D64">
        <w:t xml:space="preserve">end of the </w:t>
      </w:r>
      <w:r w:rsidR="00E81662">
        <w:t>experiment</w:t>
      </w:r>
      <w:r w:rsidR="00C218E4">
        <w:t>, for the purposes of collecting control variables useful in basic regression analysis on laboratory experimental data.</w:t>
      </w:r>
      <w:r w:rsidR="00712688">
        <w:t xml:space="preserve"> </w:t>
      </w:r>
    </w:p>
    <w:p w14:paraId="09C8CB7A" w14:textId="77777777" w:rsidR="009C27C8" w:rsidRDefault="009C27C8" w:rsidP="00652369">
      <w:pPr>
        <w:rPr>
          <w:b/>
        </w:rPr>
      </w:pPr>
      <w:bookmarkStart w:id="0" w:name="_GoBack"/>
      <w:bookmarkEnd w:id="0"/>
    </w:p>
    <w:p w14:paraId="7732AA89" w14:textId="77777777" w:rsidR="00652369" w:rsidRDefault="00652369" w:rsidP="00652369">
      <w:r>
        <w:rPr>
          <w:b/>
        </w:rPr>
        <w:t>Debriefing and Payment</w:t>
      </w:r>
      <w:r>
        <w:t xml:space="preserve">:  </w:t>
      </w:r>
      <w:r>
        <w:br/>
      </w:r>
    </w:p>
    <w:p w14:paraId="6DC531D8" w14:textId="77777777" w:rsidR="00EB431D" w:rsidRPr="006F5D71" w:rsidRDefault="00423E15" w:rsidP="00652369">
      <w:pPr>
        <w:ind w:left="720"/>
      </w:pPr>
      <w:r w:rsidRPr="006F5D71">
        <w:t>At the end of each session, a</w:t>
      </w:r>
      <w:r w:rsidR="00652369" w:rsidRPr="006F5D71">
        <w:t xml:space="preserve">ll respondents will be debriefed. This </w:t>
      </w:r>
      <w:r w:rsidR="002A3018" w:rsidRPr="006F5D71">
        <w:t xml:space="preserve">gives an opportunity </w:t>
      </w:r>
      <w:r w:rsidR="00D528E3" w:rsidRPr="006F5D71">
        <w:t>to address</w:t>
      </w:r>
      <w:r w:rsidR="00652369" w:rsidRPr="006F5D71">
        <w:t xml:space="preserve"> respondents' questions regarding the study.  </w:t>
      </w:r>
    </w:p>
    <w:p w14:paraId="411610D9" w14:textId="77777777" w:rsidR="00EB431D" w:rsidRPr="006F5D71" w:rsidRDefault="00EB431D" w:rsidP="00652369">
      <w:pPr>
        <w:ind w:left="720"/>
      </w:pPr>
    </w:p>
    <w:p w14:paraId="06912589" w14:textId="30E84260" w:rsidR="00886C4A" w:rsidRDefault="00110E44" w:rsidP="00381194">
      <w:pPr>
        <w:pStyle w:val="Num-DocParagraph"/>
        <w:ind w:left="720"/>
        <w:rPr>
          <w:rFonts w:ascii="Times New Roman" w:hAnsi="Times New Roman" w:cs="Times New Roman"/>
          <w:sz w:val="24"/>
          <w:szCs w:val="24"/>
        </w:rPr>
      </w:pPr>
      <w:r w:rsidRPr="006F5D71">
        <w:rPr>
          <w:rFonts w:ascii="Times New Roman" w:hAnsi="Times New Roman" w:cs="Times New Roman"/>
          <w:sz w:val="24"/>
          <w:szCs w:val="24"/>
        </w:rPr>
        <w:t xml:space="preserve">Each participant will </w:t>
      </w:r>
      <w:r w:rsidR="00D528E3" w:rsidRPr="006F5D71">
        <w:rPr>
          <w:rFonts w:ascii="Times New Roman" w:hAnsi="Times New Roman" w:cs="Times New Roman"/>
          <w:sz w:val="24"/>
          <w:szCs w:val="24"/>
        </w:rPr>
        <w:t xml:space="preserve">also </w:t>
      </w:r>
      <w:r w:rsidRPr="006F5D71">
        <w:rPr>
          <w:rFonts w:ascii="Times New Roman" w:hAnsi="Times New Roman" w:cs="Times New Roman"/>
          <w:sz w:val="24"/>
          <w:szCs w:val="24"/>
        </w:rPr>
        <w:t xml:space="preserve">receive a cash payment </w:t>
      </w:r>
      <w:r w:rsidR="00AE5A77" w:rsidRPr="006F5D71">
        <w:rPr>
          <w:rFonts w:ascii="Times New Roman" w:hAnsi="Times New Roman" w:cs="Times New Roman"/>
          <w:sz w:val="24"/>
          <w:szCs w:val="24"/>
        </w:rPr>
        <w:t xml:space="preserve">at the end of </w:t>
      </w:r>
      <w:r w:rsidR="00C138D6" w:rsidRPr="006F5D71">
        <w:rPr>
          <w:rFonts w:ascii="Times New Roman" w:hAnsi="Times New Roman" w:cs="Times New Roman"/>
          <w:sz w:val="24"/>
          <w:szCs w:val="24"/>
        </w:rPr>
        <w:t>each 90 minute</w:t>
      </w:r>
      <w:r w:rsidR="00AE5A77" w:rsidRPr="006F5D71">
        <w:rPr>
          <w:rFonts w:ascii="Times New Roman" w:hAnsi="Times New Roman" w:cs="Times New Roman"/>
          <w:sz w:val="24"/>
          <w:szCs w:val="24"/>
        </w:rPr>
        <w:t xml:space="preserve"> session. </w:t>
      </w:r>
      <w:r w:rsidR="00C138D6" w:rsidRPr="006F5D71">
        <w:rPr>
          <w:rFonts w:ascii="Times New Roman" w:hAnsi="Times New Roman" w:cs="Times New Roman"/>
          <w:sz w:val="24"/>
          <w:szCs w:val="24"/>
        </w:rPr>
        <w:t xml:space="preserve">The cash payment will </w:t>
      </w:r>
      <w:r w:rsidR="00104D06">
        <w:rPr>
          <w:rFonts w:ascii="Times New Roman" w:hAnsi="Times New Roman" w:cs="Times New Roman"/>
          <w:sz w:val="24"/>
          <w:szCs w:val="24"/>
        </w:rPr>
        <w:t xml:space="preserve">consist of earnings from the experiment plus a $10 show up fee.  The value of the total cash payment will </w:t>
      </w:r>
      <w:r w:rsidR="00C138D6" w:rsidRPr="006F5D71">
        <w:rPr>
          <w:rFonts w:ascii="Times New Roman" w:hAnsi="Times New Roman" w:cs="Times New Roman"/>
          <w:sz w:val="24"/>
          <w:szCs w:val="24"/>
        </w:rPr>
        <w:t>be uncertain before the experiments take place,</w:t>
      </w:r>
      <w:r w:rsidR="002F131C" w:rsidRPr="006F5D71">
        <w:rPr>
          <w:rFonts w:ascii="Times New Roman" w:hAnsi="Times New Roman" w:cs="Times New Roman"/>
          <w:sz w:val="24"/>
          <w:szCs w:val="24"/>
        </w:rPr>
        <w:t xml:space="preserve"> </w:t>
      </w:r>
      <w:r w:rsidR="00104D06">
        <w:rPr>
          <w:rFonts w:ascii="Times New Roman" w:hAnsi="Times New Roman" w:cs="Times New Roman"/>
          <w:sz w:val="24"/>
          <w:szCs w:val="24"/>
        </w:rPr>
        <w:t xml:space="preserve">and </w:t>
      </w:r>
      <w:r w:rsidR="00E82F08">
        <w:rPr>
          <w:rFonts w:ascii="Times New Roman" w:hAnsi="Times New Roman" w:cs="Times New Roman"/>
          <w:sz w:val="24"/>
          <w:szCs w:val="24"/>
        </w:rPr>
        <w:t xml:space="preserve">average payments are </w:t>
      </w:r>
      <w:r w:rsidR="00104D06">
        <w:rPr>
          <w:rFonts w:ascii="Times New Roman" w:hAnsi="Times New Roman" w:cs="Times New Roman"/>
          <w:sz w:val="24"/>
          <w:szCs w:val="24"/>
        </w:rPr>
        <w:t>expected to range between $20-25</w:t>
      </w:r>
      <w:r w:rsidR="00C138D6" w:rsidRPr="006F5D71">
        <w:rPr>
          <w:rFonts w:ascii="Times New Roman" w:hAnsi="Times New Roman" w:cs="Times New Roman"/>
          <w:sz w:val="24"/>
          <w:szCs w:val="24"/>
        </w:rPr>
        <w:t xml:space="preserve">.  </w:t>
      </w:r>
      <w:r w:rsidR="00886C4A">
        <w:rPr>
          <w:rFonts w:ascii="Times New Roman" w:hAnsi="Times New Roman" w:cs="Times New Roman"/>
          <w:sz w:val="24"/>
          <w:szCs w:val="24"/>
        </w:rPr>
        <w:t xml:space="preserve">The range of </w:t>
      </w:r>
      <w:r w:rsidR="00B40C8C">
        <w:rPr>
          <w:rFonts w:ascii="Times New Roman" w:hAnsi="Times New Roman" w:cs="Times New Roman"/>
          <w:sz w:val="24"/>
          <w:szCs w:val="24"/>
        </w:rPr>
        <w:t xml:space="preserve">earnings from the experiment is -$4.50 - $100, and the </w:t>
      </w:r>
      <w:r w:rsidR="00886C4A">
        <w:rPr>
          <w:rFonts w:ascii="Times New Roman" w:hAnsi="Times New Roman" w:cs="Times New Roman"/>
          <w:sz w:val="24"/>
          <w:szCs w:val="24"/>
        </w:rPr>
        <w:t>feasible total payments</w:t>
      </w:r>
      <w:r w:rsidR="00B40C8C">
        <w:rPr>
          <w:rFonts w:ascii="Times New Roman" w:hAnsi="Times New Roman" w:cs="Times New Roman"/>
          <w:sz w:val="24"/>
          <w:szCs w:val="24"/>
        </w:rPr>
        <w:t xml:space="preserve"> including the show up fee</w:t>
      </w:r>
      <w:r w:rsidR="00886C4A">
        <w:rPr>
          <w:rFonts w:ascii="Times New Roman" w:hAnsi="Times New Roman" w:cs="Times New Roman"/>
          <w:sz w:val="24"/>
          <w:szCs w:val="24"/>
        </w:rPr>
        <w:t xml:space="preserve"> is $5</w:t>
      </w:r>
      <w:r w:rsidR="00B40C8C">
        <w:rPr>
          <w:rFonts w:ascii="Times New Roman" w:hAnsi="Times New Roman" w:cs="Times New Roman"/>
          <w:sz w:val="24"/>
          <w:szCs w:val="24"/>
        </w:rPr>
        <w:t>.50</w:t>
      </w:r>
      <w:r w:rsidR="00886C4A">
        <w:rPr>
          <w:rFonts w:ascii="Times New Roman" w:hAnsi="Times New Roman" w:cs="Times New Roman"/>
          <w:sz w:val="24"/>
          <w:szCs w:val="24"/>
        </w:rPr>
        <w:t xml:space="preserve"> - $1</w:t>
      </w:r>
      <w:r w:rsidR="00876220">
        <w:rPr>
          <w:rFonts w:ascii="Times New Roman" w:hAnsi="Times New Roman" w:cs="Times New Roman"/>
          <w:sz w:val="24"/>
          <w:szCs w:val="24"/>
        </w:rPr>
        <w:t>10</w:t>
      </w:r>
      <w:r w:rsidR="00886C4A">
        <w:rPr>
          <w:rFonts w:ascii="Times New Roman" w:hAnsi="Times New Roman" w:cs="Times New Roman"/>
          <w:sz w:val="24"/>
          <w:szCs w:val="24"/>
        </w:rPr>
        <w:t xml:space="preserve">.  </w:t>
      </w:r>
      <w:r w:rsidR="00622B71">
        <w:rPr>
          <w:rFonts w:ascii="Times New Roman" w:hAnsi="Times New Roman" w:cs="Times New Roman"/>
          <w:sz w:val="24"/>
          <w:szCs w:val="24"/>
        </w:rPr>
        <w:t xml:space="preserve">While subjects may lose up to $4.50 through their choices in the experiment, all subjects are certain to receive a positive payment for the session overall.  </w:t>
      </w:r>
      <w:r w:rsidR="005752ED">
        <w:rPr>
          <w:rFonts w:ascii="Times New Roman" w:hAnsi="Times New Roman" w:cs="Times New Roman"/>
          <w:sz w:val="24"/>
          <w:szCs w:val="24"/>
        </w:rPr>
        <w:t xml:space="preserve">The probability of realizing a payment of $50 or more is </w:t>
      </w:r>
      <w:r w:rsidR="008D3664">
        <w:rPr>
          <w:rFonts w:ascii="Times New Roman" w:hAnsi="Times New Roman" w:cs="Times New Roman"/>
          <w:sz w:val="24"/>
          <w:szCs w:val="24"/>
        </w:rPr>
        <w:t>2.29</w:t>
      </w:r>
      <w:r w:rsidR="005752ED">
        <w:rPr>
          <w:rFonts w:ascii="Times New Roman" w:hAnsi="Times New Roman" w:cs="Times New Roman"/>
          <w:sz w:val="24"/>
          <w:szCs w:val="24"/>
        </w:rPr>
        <w:t>%, conditional on the subjects’ decisions within the experiment.  The conditional probability of realizing a payment of $</w:t>
      </w:r>
      <w:r w:rsidR="00AF4938">
        <w:rPr>
          <w:rFonts w:ascii="Times New Roman" w:hAnsi="Times New Roman" w:cs="Times New Roman"/>
          <w:sz w:val="24"/>
          <w:szCs w:val="24"/>
        </w:rPr>
        <w:t xml:space="preserve">75 </w:t>
      </w:r>
      <w:r w:rsidR="005752ED">
        <w:rPr>
          <w:rFonts w:ascii="Times New Roman" w:hAnsi="Times New Roman" w:cs="Times New Roman"/>
          <w:sz w:val="24"/>
          <w:szCs w:val="24"/>
        </w:rPr>
        <w:t>or more is 0.</w:t>
      </w:r>
      <w:r w:rsidR="00AF4938">
        <w:rPr>
          <w:rFonts w:ascii="Times New Roman" w:hAnsi="Times New Roman" w:cs="Times New Roman"/>
          <w:sz w:val="24"/>
          <w:szCs w:val="24"/>
        </w:rPr>
        <w:t>692</w:t>
      </w:r>
      <w:r w:rsidR="005752ED">
        <w:rPr>
          <w:rFonts w:ascii="Times New Roman" w:hAnsi="Times New Roman" w:cs="Times New Roman"/>
          <w:sz w:val="24"/>
          <w:szCs w:val="24"/>
        </w:rPr>
        <w:t xml:space="preserve">%.   </w:t>
      </w:r>
    </w:p>
    <w:p w14:paraId="09599DF0" w14:textId="308C3637" w:rsidR="00381194" w:rsidRPr="006F5D71" w:rsidRDefault="00381194" w:rsidP="00217E1E">
      <w:pPr>
        <w:pStyle w:val="Num-DocParagraph"/>
        <w:ind w:left="720"/>
        <w:rPr>
          <w:rFonts w:ascii="Times New Roman" w:hAnsi="Times New Roman" w:cs="Times New Roman"/>
          <w:sz w:val="24"/>
          <w:szCs w:val="24"/>
        </w:rPr>
      </w:pPr>
      <w:r w:rsidRPr="006F5D71">
        <w:rPr>
          <w:rFonts w:ascii="Times New Roman" w:hAnsi="Times New Roman" w:cs="Times New Roman"/>
          <w:sz w:val="24"/>
          <w:szCs w:val="24"/>
        </w:rPr>
        <w:t xml:space="preserve">The payments listed </w:t>
      </w:r>
      <w:r w:rsidR="00FC4F6D">
        <w:rPr>
          <w:rFonts w:ascii="Times New Roman" w:hAnsi="Times New Roman" w:cs="Times New Roman"/>
          <w:sz w:val="24"/>
          <w:szCs w:val="24"/>
        </w:rPr>
        <w:t>above</w:t>
      </w:r>
      <w:r w:rsidR="00FC4F6D" w:rsidRPr="006F5D71">
        <w:rPr>
          <w:rFonts w:ascii="Times New Roman" w:hAnsi="Times New Roman" w:cs="Times New Roman"/>
          <w:sz w:val="24"/>
          <w:szCs w:val="24"/>
        </w:rPr>
        <w:t xml:space="preserve"> </w:t>
      </w:r>
      <w:r w:rsidRPr="006F5D71">
        <w:rPr>
          <w:rFonts w:ascii="Times New Roman" w:hAnsi="Times New Roman" w:cs="Times New Roman"/>
          <w:sz w:val="24"/>
          <w:szCs w:val="24"/>
        </w:rPr>
        <w:t xml:space="preserve">are for the entire 90 minute session.  </w:t>
      </w:r>
      <w:r w:rsidR="00F76747">
        <w:rPr>
          <w:rFonts w:ascii="Times New Roman" w:hAnsi="Times New Roman" w:cs="Times New Roman"/>
          <w:sz w:val="24"/>
          <w:szCs w:val="24"/>
        </w:rPr>
        <w:t>Within the session, subjects will complete three elicitation tasks (65 rounds total)</w:t>
      </w:r>
      <w:r w:rsidR="00374F9F">
        <w:rPr>
          <w:rFonts w:ascii="Times New Roman" w:hAnsi="Times New Roman" w:cs="Times New Roman"/>
          <w:sz w:val="24"/>
          <w:szCs w:val="24"/>
        </w:rPr>
        <w:t xml:space="preserve"> and a </w:t>
      </w:r>
      <w:r w:rsidR="00374F9F" w:rsidRPr="00F90076">
        <w:rPr>
          <w:rFonts w:ascii="Times New Roman" w:hAnsi="Times New Roman" w:cs="Times New Roman"/>
          <w:sz w:val="24"/>
          <w:szCs w:val="24"/>
        </w:rPr>
        <w:t>demographic questionnaire</w:t>
      </w:r>
      <w:r w:rsidR="00F76747">
        <w:rPr>
          <w:rFonts w:ascii="Times New Roman" w:hAnsi="Times New Roman" w:cs="Times New Roman"/>
          <w:sz w:val="24"/>
          <w:szCs w:val="24"/>
        </w:rPr>
        <w:t xml:space="preserve">.  </w:t>
      </w:r>
      <w:r w:rsidR="00A865C1">
        <w:rPr>
          <w:rFonts w:ascii="Times New Roman" w:hAnsi="Times New Roman" w:cs="Times New Roman"/>
          <w:sz w:val="24"/>
          <w:szCs w:val="24"/>
        </w:rPr>
        <w:t>Subjects will be paid based on the results of one randomly selected round</w:t>
      </w:r>
      <w:r w:rsidR="00F82E82">
        <w:rPr>
          <w:rFonts w:ascii="Times New Roman" w:hAnsi="Times New Roman" w:cs="Times New Roman"/>
          <w:sz w:val="24"/>
          <w:szCs w:val="24"/>
        </w:rPr>
        <w:t xml:space="preserve"> fr</w:t>
      </w:r>
      <w:r w:rsidR="000E53EA">
        <w:rPr>
          <w:rFonts w:ascii="Times New Roman" w:hAnsi="Times New Roman" w:cs="Times New Roman"/>
          <w:sz w:val="24"/>
          <w:szCs w:val="24"/>
        </w:rPr>
        <w:t xml:space="preserve">om the full experiment.  By paying subjects for one randomly drawn round, we </w:t>
      </w:r>
      <w:r w:rsidRPr="006F5D71">
        <w:rPr>
          <w:rFonts w:ascii="Times New Roman" w:hAnsi="Times New Roman" w:cs="Times New Roman"/>
          <w:sz w:val="24"/>
          <w:szCs w:val="24"/>
        </w:rPr>
        <w:t>prevent any wealth effects from distorting the findings of the experiment</w:t>
      </w:r>
      <w:r w:rsidR="000E53EA">
        <w:rPr>
          <w:rFonts w:ascii="Times New Roman" w:hAnsi="Times New Roman" w:cs="Times New Roman"/>
          <w:sz w:val="24"/>
          <w:szCs w:val="24"/>
        </w:rPr>
        <w:t>.</w:t>
      </w:r>
      <w:r w:rsidRPr="000E53EA">
        <w:rPr>
          <w:vertAlign w:val="superscript"/>
        </w:rPr>
        <w:footnoteReference w:id="2"/>
      </w:r>
      <w:r w:rsidRPr="006F5D71">
        <w:rPr>
          <w:rFonts w:ascii="Times New Roman" w:hAnsi="Times New Roman" w:cs="Times New Roman"/>
          <w:sz w:val="24"/>
          <w:szCs w:val="24"/>
        </w:rPr>
        <w:t xml:space="preserve">  This practice is standard in the literature</w:t>
      </w:r>
      <w:r w:rsidR="0028221D">
        <w:rPr>
          <w:rFonts w:ascii="Times New Roman" w:hAnsi="Times New Roman" w:cs="Times New Roman"/>
          <w:sz w:val="24"/>
          <w:szCs w:val="24"/>
        </w:rPr>
        <w:t xml:space="preserve"> (</w:t>
      </w:r>
      <w:proofErr w:type="spellStart"/>
      <w:r w:rsidR="0028221D">
        <w:rPr>
          <w:rFonts w:ascii="Times New Roman" w:hAnsi="Times New Roman" w:cs="Times New Roman"/>
          <w:sz w:val="24"/>
          <w:szCs w:val="24"/>
        </w:rPr>
        <w:t>Azrieli</w:t>
      </w:r>
      <w:proofErr w:type="spellEnd"/>
      <w:r w:rsidR="0028221D">
        <w:rPr>
          <w:rFonts w:ascii="Times New Roman" w:hAnsi="Times New Roman" w:cs="Times New Roman"/>
          <w:sz w:val="24"/>
          <w:szCs w:val="24"/>
        </w:rPr>
        <w:t xml:space="preserve"> et al, 2012)</w:t>
      </w:r>
      <w:r w:rsidRPr="006F5D71">
        <w:rPr>
          <w:rFonts w:ascii="Times New Roman" w:hAnsi="Times New Roman" w:cs="Times New Roman"/>
          <w:sz w:val="24"/>
          <w:szCs w:val="24"/>
        </w:rPr>
        <w:t xml:space="preserve">. </w:t>
      </w:r>
      <w:r w:rsidR="00E45558">
        <w:rPr>
          <w:rFonts w:ascii="Times New Roman" w:hAnsi="Times New Roman" w:cs="Times New Roman"/>
          <w:sz w:val="24"/>
          <w:szCs w:val="24"/>
        </w:rPr>
        <w:t xml:space="preserve"> </w:t>
      </w:r>
      <w:r w:rsidRPr="006F5D71">
        <w:rPr>
          <w:rFonts w:ascii="Times New Roman" w:hAnsi="Times New Roman" w:cs="Times New Roman"/>
          <w:sz w:val="24"/>
          <w:szCs w:val="24"/>
        </w:rPr>
        <w:t>More detailed explanation for payment method and justifications</w:t>
      </w:r>
      <w:r w:rsidR="00DF0C62">
        <w:rPr>
          <w:rFonts w:ascii="Times New Roman" w:hAnsi="Times New Roman" w:cs="Times New Roman"/>
          <w:sz w:val="24"/>
          <w:szCs w:val="24"/>
        </w:rPr>
        <w:t xml:space="preserve"> are given in S</w:t>
      </w:r>
      <w:r w:rsidRPr="006F5D71">
        <w:rPr>
          <w:rFonts w:ascii="Times New Roman" w:hAnsi="Times New Roman" w:cs="Times New Roman"/>
          <w:sz w:val="24"/>
          <w:szCs w:val="24"/>
        </w:rPr>
        <w:t xml:space="preserve">upporting </w:t>
      </w:r>
      <w:r w:rsidR="00DF0C62">
        <w:rPr>
          <w:rFonts w:ascii="Times New Roman" w:hAnsi="Times New Roman" w:cs="Times New Roman"/>
          <w:sz w:val="24"/>
          <w:szCs w:val="24"/>
        </w:rPr>
        <w:t>S</w:t>
      </w:r>
      <w:r w:rsidRPr="006F5D71">
        <w:rPr>
          <w:rFonts w:ascii="Times New Roman" w:hAnsi="Times New Roman" w:cs="Times New Roman"/>
          <w:sz w:val="24"/>
          <w:szCs w:val="24"/>
        </w:rPr>
        <w:t>tatement</w:t>
      </w:r>
      <w:r w:rsidR="00DF0C62">
        <w:rPr>
          <w:rFonts w:ascii="Times New Roman" w:hAnsi="Times New Roman" w:cs="Times New Roman"/>
          <w:sz w:val="24"/>
          <w:szCs w:val="24"/>
        </w:rPr>
        <w:t xml:space="preserve"> </w:t>
      </w:r>
      <w:proofErr w:type="gramStart"/>
      <w:r w:rsidR="00DF0C62">
        <w:rPr>
          <w:rFonts w:ascii="Times New Roman" w:hAnsi="Times New Roman" w:cs="Times New Roman"/>
          <w:sz w:val="24"/>
          <w:szCs w:val="24"/>
        </w:rPr>
        <w:t>A</w:t>
      </w:r>
      <w:proofErr w:type="gramEnd"/>
      <w:r w:rsidR="00DF0C62">
        <w:rPr>
          <w:rFonts w:ascii="Times New Roman" w:hAnsi="Times New Roman" w:cs="Times New Roman"/>
          <w:sz w:val="24"/>
          <w:szCs w:val="24"/>
        </w:rPr>
        <w:t xml:space="preserve"> (section 9)</w:t>
      </w:r>
      <w:r w:rsidR="00217E1E">
        <w:rPr>
          <w:rFonts w:ascii="Times New Roman" w:hAnsi="Times New Roman" w:cs="Times New Roman"/>
          <w:sz w:val="24"/>
          <w:szCs w:val="24"/>
        </w:rPr>
        <w:t xml:space="preserve"> and in Attachment B: Experimental Design</w:t>
      </w:r>
      <w:r w:rsidRPr="006F5D71">
        <w:rPr>
          <w:rFonts w:ascii="Times New Roman" w:hAnsi="Times New Roman" w:cs="Times New Roman"/>
          <w:sz w:val="24"/>
          <w:szCs w:val="24"/>
        </w:rPr>
        <w:t xml:space="preserve">. </w:t>
      </w:r>
    </w:p>
    <w:p w14:paraId="4E0CB742" w14:textId="77777777" w:rsidR="002C2786" w:rsidRPr="00DB3AEF" w:rsidRDefault="002C2786" w:rsidP="00DB3AEF">
      <w:pPr>
        <w:rPr>
          <w:b/>
        </w:rPr>
      </w:pPr>
      <w:r w:rsidRPr="00DB3AEF">
        <w:rPr>
          <w:b/>
        </w:rPr>
        <w:t>Power Analysis:</w:t>
      </w:r>
    </w:p>
    <w:p w14:paraId="58DF4C39" w14:textId="77777777" w:rsidR="00652369" w:rsidRDefault="006258A2" w:rsidP="00DB3AEF">
      <w:r>
        <w:t xml:space="preserve"> </w:t>
      </w:r>
    </w:p>
    <w:p w14:paraId="097BFA1B" w14:textId="77777777" w:rsidR="00CE5595" w:rsidRDefault="00511DCF" w:rsidP="00CE5595">
      <w:pPr>
        <w:pStyle w:val="Num-DocParagraph"/>
        <w:ind w:left="72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The experiment has four between-subjects treatments to vary the risk environment in which subjects make their insurance purchases.  We </w:t>
      </w:r>
      <w:r w:rsidR="00E25669">
        <w:rPr>
          <w:rFonts w:ascii="Times New Roman" w:hAnsi="Times New Roman" w:cs="Times New Roman"/>
          <w:bCs/>
          <w:color w:val="000000" w:themeColor="text1"/>
          <w:sz w:val="24"/>
          <w:szCs w:val="24"/>
        </w:rPr>
        <w:t xml:space="preserve">design our sample size </w:t>
      </w:r>
      <w:r w:rsidR="007E09DD">
        <w:rPr>
          <w:rFonts w:ascii="Times New Roman" w:hAnsi="Times New Roman" w:cs="Times New Roman"/>
          <w:bCs/>
          <w:color w:val="000000" w:themeColor="text1"/>
          <w:sz w:val="24"/>
          <w:szCs w:val="24"/>
        </w:rPr>
        <w:t xml:space="preserve">to </w:t>
      </w:r>
      <w:r w:rsidR="007E09DD">
        <w:rPr>
          <w:rFonts w:ascii="Times New Roman" w:hAnsi="Times New Roman" w:cs="Times New Roman"/>
          <w:bCs/>
          <w:color w:val="000000" w:themeColor="text1"/>
          <w:sz w:val="24"/>
          <w:szCs w:val="24"/>
        </w:rPr>
        <w:lastRenderedPageBreak/>
        <w:t>provide</w:t>
      </w:r>
      <w:r>
        <w:rPr>
          <w:rFonts w:ascii="Times New Roman" w:hAnsi="Times New Roman" w:cs="Times New Roman"/>
          <w:bCs/>
          <w:color w:val="000000" w:themeColor="text1"/>
          <w:sz w:val="24"/>
          <w:szCs w:val="24"/>
        </w:rPr>
        <w:t xml:space="preserve"> a minimum detectable effect (MDE) of 20% average difference in insurance demand elasticities across treatments.</w:t>
      </w:r>
      <w:r w:rsidR="007E09DD">
        <w:rPr>
          <w:rFonts w:ascii="Times New Roman" w:hAnsi="Times New Roman" w:cs="Times New Roman"/>
          <w:bCs/>
          <w:color w:val="000000" w:themeColor="text1"/>
          <w:sz w:val="24"/>
          <w:szCs w:val="24"/>
        </w:rPr>
        <w:t xml:space="preserve">  We select an MDE of 20% average differences as this corresponds to the range of demand elasticities provided in the literature.  </w:t>
      </w:r>
      <w:r>
        <w:rPr>
          <w:rFonts w:ascii="Times New Roman" w:hAnsi="Times New Roman" w:cs="Times New Roman"/>
          <w:bCs/>
          <w:color w:val="000000" w:themeColor="text1"/>
          <w:sz w:val="24"/>
          <w:szCs w:val="24"/>
        </w:rPr>
        <w:t xml:space="preserve">  </w:t>
      </w:r>
    </w:p>
    <w:p w14:paraId="743697A6" w14:textId="49950C24" w:rsidR="00CE5595" w:rsidRPr="006D0C62" w:rsidRDefault="00CE5595" w:rsidP="006D0C62">
      <w:pPr>
        <w:pStyle w:val="Num-DocParagraph"/>
        <w:ind w:left="720"/>
        <w:rPr>
          <w:rFonts w:ascii="Times New Roman" w:hAnsi="Times New Roman" w:cs="Times New Roman"/>
          <w:sz w:val="24"/>
          <w:szCs w:val="24"/>
        </w:rPr>
      </w:pPr>
      <w:r w:rsidRPr="006D0C62">
        <w:rPr>
          <w:rFonts w:ascii="Times New Roman" w:hAnsi="Times New Roman" w:cs="Times New Roman"/>
          <w:sz w:val="24"/>
          <w:szCs w:val="24"/>
        </w:rPr>
        <w:t xml:space="preserve">We use the power command in Stata/IC 14.1 to calculate the required sample size for a two-sample means test </w:t>
      </w:r>
      <w:r w:rsidR="00A84061">
        <w:rPr>
          <w:rFonts w:ascii="Times New Roman" w:hAnsi="Times New Roman" w:cs="Times New Roman"/>
          <w:sz w:val="24"/>
          <w:szCs w:val="24"/>
        </w:rPr>
        <w:t>(</w:t>
      </w:r>
      <w:r w:rsidR="008F01CB">
        <w:rPr>
          <w:rFonts w:ascii="Times New Roman" w:hAnsi="Times New Roman" w:cs="Times New Roman"/>
          <w:sz w:val="24"/>
          <w:szCs w:val="24"/>
        </w:rPr>
        <w:t xml:space="preserve">independent samples </w:t>
      </w:r>
      <w:r w:rsidR="00A84061">
        <w:rPr>
          <w:rFonts w:ascii="Times New Roman" w:hAnsi="Times New Roman" w:cs="Times New Roman"/>
          <w:sz w:val="24"/>
          <w:szCs w:val="24"/>
        </w:rPr>
        <w:t xml:space="preserve">t-test) </w:t>
      </w:r>
      <w:r w:rsidRPr="006D0C62">
        <w:rPr>
          <w:rFonts w:ascii="Times New Roman" w:hAnsi="Times New Roman" w:cs="Times New Roman"/>
          <w:sz w:val="24"/>
          <w:szCs w:val="24"/>
        </w:rPr>
        <w:t xml:space="preserve">of a 20% MDE between treatments against the null hypothesis of no difference in average insurance demand elasticity between treatments.  Following the literature, we assume a population mean </w:t>
      </w:r>
      <w:r w:rsidR="000C5CD6">
        <w:rPr>
          <w:rFonts w:ascii="Times New Roman" w:hAnsi="Times New Roman" w:cs="Times New Roman"/>
          <w:sz w:val="24"/>
          <w:szCs w:val="24"/>
        </w:rPr>
        <w:t xml:space="preserve">difference </w:t>
      </w:r>
      <w:r w:rsidRPr="006D0C62">
        <w:rPr>
          <w:rFonts w:ascii="Times New Roman" w:hAnsi="Times New Roman" w:cs="Times New Roman"/>
          <w:sz w:val="24"/>
          <w:szCs w:val="24"/>
        </w:rPr>
        <w:t xml:space="preserve">of -0.32, a </w:t>
      </w:r>
      <w:r w:rsidR="000C5CD6">
        <w:rPr>
          <w:rFonts w:ascii="Times New Roman" w:hAnsi="Times New Roman" w:cs="Times New Roman"/>
          <w:sz w:val="24"/>
          <w:szCs w:val="24"/>
        </w:rPr>
        <w:t xml:space="preserve">standard deviation of the </w:t>
      </w:r>
      <w:r w:rsidRPr="006D0C62">
        <w:rPr>
          <w:rFonts w:ascii="Times New Roman" w:hAnsi="Times New Roman" w:cs="Times New Roman"/>
          <w:sz w:val="24"/>
          <w:szCs w:val="24"/>
        </w:rPr>
        <w:t>population</w:t>
      </w:r>
      <w:r w:rsidR="000C5CD6">
        <w:rPr>
          <w:rFonts w:ascii="Times New Roman" w:hAnsi="Times New Roman" w:cs="Times New Roman"/>
          <w:sz w:val="24"/>
          <w:szCs w:val="24"/>
        </w:rPr>
        <w:t xml:space="preserve"> mean</w:t>
      </w:r>
      <w:r w:rsidRPr="006D0C62">
        <w:rPr>
          <w:rFonts w:ascii="Times New Roman" w:hAnsi="Times New Roman" w:cs="Times New Roman"/>
          <w:sz w:val="24"/>
          <w:szCs w:val="24"/>
        </w:rPr>
        <w:t xml:space="preserve"> </w:t>
      </w:r>
      <w:r w:rsidR="000C5CD6">
        <w:rPr>
          <w:rFonts w:ascii="Times New Roman" w:hAnsi="Times New Roman" w:cs="Times New Roman"/>
          <w:sz w:val="24"/>
          <w:szCs w:val="24"/>
        </w:rPr>
        <w:t>difference equal to</w:t>
      </w:r>
      <w:r w:rsidRPr="006D0C62">
        <w:rPr>
          <w:rFonts w:ascii="Times New Roman" w:hAnsi="Times New Roman" w:cs="Times New Roman"/>
          <w:sz w:val="24"/>
          <w:szCs w:val="24"/>
        </w:rPr>
        <w:t xml:space="preserve"> 0.1582, and 80% power for a two-tailed test of statistical significance at the 95% confidence level.  </w:t>
      </w:r>
    </w:p>
    <w:p w14:paraId="6D64C432" w14:textId="373984E3" w:rsidR="00CE5595" w:rsidRPr="006D0C62" w:rsidRDefault="00CE5595" w:rsidP="00CE5595">
      <w:pPr>
        <w:pStyle w:val="Num-DocParagraph"/>
        <w:ind w:left="720"/>
        <w:rPr>
          <w:rFonts w:ascii="Times New Roman" w:hAnsi="Times New Roman" w:cs="Times New Roman"/>
          <w:bCs/>
          <w:color w:val="000000" w:themeColor="text1"/>
          <w:sz w:val="24"/>
          <w:szCs w:val="24"/>
        </w:rPr>
      </w:pPr>
      <w:r w:rsidRPr="006D0C62">
        <w:rPr>
          <w:rFonts w:ascii="Times New Roman" w:hAnsi="Times New Roman" w:cs="Times New Roman"/>
          <w:sz w:val="24"/>
          <w:szCs w:val="24"/>
        </w:rPr>
        <w:t xml:space="preserve">Under these assumptions, we require at least 111 subjects per treatment group to have adequate power to detect differences in average insurance demand elasticities across treatments.  This implies a minimum total sample size of 444 subjects for the full experiment.  We plan to recruit no more than 500 subjects.  We have selected our sample size at slightly higher than </w:t>
      </w:r>
      <w:r w:rsidR="00872BEE" w:rsidRPr="006D0C62">
        <w:rPr>
          <w:rFonts w:ascii="Times New Roman" w:hAnsi="Times New Roman" w:cs="Times New Roman"/>
          <w:sz w:val="24"/>
          <w:szCs w:val="24"/>
        </w:rPr>
        <w:t>the minimum</w:t>
      </w:r>
      <w:r w:rsidRPr="006D0C62">
        <w:rPr>
          <w:rFonts w:ascii="Times New Roman" w:hAnsi="Times New Roman" w:cs="Times New Roman"/>
          <w:sz w:val="24"/>
          <w:szCs w:val="24"/>
        </w:rPr>
        <w:t xml:space="preserve"> required sample size to accommodate (1) any subjects who respond to recruitment emails but </w:t>
      </w:r>
      <w:r w:rsidR="00552C75">
        <w:rPr>
          <w:rFonts w:ascii="Times New Roman" w:hAnsi="Times New Roman" w:cs="Times New Roman"/>
          <w:sz w:val="24"/>
          <w:szCs w:val="24"/>
        </w:rPr>
        <w:t xml:space="preserve">are </w:t>
      </w:r>
      <w:r w:rsidRPr="006D0C62">
        <w:rPr>
          <w:rFonts w:ascii="Times New Roman" w:hAnsi="Times New Roman" w:cs="Times New Roman"/>
          <w:sz w:val="24"/>
          <w:szCs w:val="24"/>
        </w:rPr>
        <w:t>unable to participate because the session is over-subscribed, and (2) any subjects who decide to withdraw from the experiment before completing the full procedure.</w:t>
      </w:r>
    </w:p>
    <w:p w14:paraId="4DC7ACF9" w14:textId="77777777" w:rsidR="004671F3" w:rsidRDefault="004671F3" w:rsidP="00FE0DFA">
      <w:pPr>
        <w:ind w:left="720"/>
      </w:pPr>
    </w:p>
    <w:p w14:paraId="665DBD2D" w14:textId="77777777" w:rsidR="00F514E8" w:rsidRPr="00405BB7" w:rsidRDefault="00F514E8" w:rsidP="00F514E8">
      <w:pPr>
        <w:rPr>
          <w:b/>
        </w:rPr>
      </w:pPr>
      <w:r>
        <w:rPr>
          <w:b/>
        </w:rPr>
        <w:t xml:space="preserve">3.  </w:t>
      </w:r>
      <w:r w:rsidRPr="00405BB7">
        <w:rPr>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w:t>
      </w:r>
      <w:r>
        <w:rPr>
          <w:b/>
        </w:rPr>
        <w:t>“</w:t>
      </w:r>
      <w:r w:rsidRPr="00405BB7">
        <w:rPr>
          <w:b/>
        </w:rPr>
        <w:t>reliable</w:t>
      </w:r>
      <w:r>
        <w:rPr>
          <w:b/>
        </w:rPr>
        <w:t>”</w:t>
      </w:r>
      <w:r w:rsidRPr="00405BB7">
        <w:rPr>
          <w:b/>
        </w:rPr>
        <w:t xml:space="preserve"> data that can be generalized to the universe studied.</w:t>
      </w:r>
    </w:p>
    <w:p w14:paraId="3CA6166C" w14:textId="77777777" w:rsidR="008014CE" w:rsidRDefault="008014CE" w:rsidP="008014CE">
      <w:pPr>
        <w:pStyle w:val="BodyText2"/>
        <w:ind w:left="360"/>
        <w:rPr>
          <w:u w:val="none"/>
        </w:rPr>
      </w:pPr>
    </w:p>
    <w:p w14:paraId="4AB702BB" w14:textId="77777777" w:rsidR="008014CE" w:rsidRDefault="00131351" w:rsidP="008014CE">
      <w:pPr>
        <w:pStyle w:val="BodyText2"/>
        <w:ind w:left="720"/>
        <w:rPr>
          <w:u w:val="none"/>
        </w:rPr>
      </w:pPr>
      <w:r>
        <w:rPr>
          <w:u w:val="none"/>
        </w:rPr>
        <w:t>Potential p</w:t>
      </w:r>
      <w:r w:rsidR="008014CE">
        <w:rPr>
          <w:u w:val="none"/>
        </w:rPr>
        <w:t xml:space="preserve">articipants </w:t>
      </w:r>
      <w:r w:rsidR="006A5737">
        <w:rPr>
          <w:u w:val="none"/>
        </w:rPr>
        <w:t>are recruited via email and in-class solicitations</w:t>
      </w:r>
      <w:r>
        <w:rPr>
          <w:u w:val="none"/>
        </w:rPr>
        <w:t>.  Many participants will have participated in similar economic experiments conducted on the campus of the University</w:t>
      </w:r>
      <w:r w:rsidR="00F15701">
        <w:rPr>
          <w:u w:val="none"/>
        </w:rPr>
        <w:t xml:space="preserve"> of Rhode Island</w:t>
      </w:r>
      <w:r>
        <w:rPr>
          <w:u w:val="none"/>
        </w:rPr>
        <w:t>.</w:t>
      </w:r>
      <w:r w:rsidR="00025225">
        <w:rPr>
          <w:u w:val="none"/>
        </w:rPr>
        <w:t xml:space="preserve">  Typically, a single solicitation email </w:t>
      </w:r>
      <w:r w:rsidR="00D404E4">
        <w:rPr>
          <w:u w:val="none"/>
        </w:rPr>
        <w:t xml:space="preserve">or in-class request </w:t>
      </w:r>
      <w:r w:rsidR="00025225">
        <w:rPr>
          <w:u w:val="none"/>
        </w:rPr>
        <w:t>is sufficient to recruit enough subjects t</w:t>
      </w:r>
      <w:r w:rsidR="00E552A4">
        <w:rPr>
          <w:u w:val="none"/>
        </w:rPr>
        <w:t>o complete an experimental session</w:t>
      </w:r>
      <w:r w:rsidR="00025225">
        <w:rPr>
          <w:u w:val="none"/>
        </w:rPr>
        <w:t>.</w:t>
      </w:r>
    </w:p>
    <w:p w14:paraId="69F08B76" w14:textId="77777777" w:rsidR="00DF148A" w:rsidRDefault="00DF148A" w:rsidP="008014CE">
      <w:pPr>
        <w:pStyle w:val="BodyText2"/>
        <w:ind w:left="720"/>
        <w:rPr>
          <w:u w:val="none"/>
        </w:rPr>
      </w:pPr>
    </w:p>
    <w:p w14:paraId="3452B22B" w14:textId="77777777" w:rsidR="0008118E" w:rsidRDefault="00DF148A" w:rsidP="0008118E">
      <w:pPr>
        <w:pStyle w:val="BodyText2"/>
        <w:ind w:left="720"/>
        <w:rPr>
          <w:u w:val="none"/>
        </w:rPr>
      </w:pPr>
      <w:r w:rsidRPr="00DF148A">
        <w:rPr>
          <w:u w:val="none"/>
        </w:rPr>
        <w:t xml:space="preserve">Because it is common to get a number of no-shows and last-minute cancellations for a given experiment session, each session will also be “overbooked” by 2 potential participants as backups to ensure efficient use of scare economics laboratory time.  In cases where more people show up than can be accommodated in a  session, any extras who show up before the scheduled start time will receive a $10 payment for time and travel and can reschedule for another session.  This is common practice among experimentalists and the norm for experiments conducted at </w:t>
      </w:r>
      <w:proofErr w:type="spellStart"/>
      <w:r w:rsidRPr="00DF148A">
        <w:rPr>
          <w:u w:val="none"/>
        </w:rPr>
        <w:t>SimLab</w:t>
      </w:r>
      <w:proofErr w:type="spellEnd"/>
      <w:r w:rsidRPr="00DF148A">
        <w:rPr>
          <w:u w:val="none"/>
        </w:rPr>
        <w:t>.</w:t>
      </w:r>
    </w:p>
    <w:p w14:paraId="1CAB7405" w14:textId="77777777" w:rsidR="006F494E" w:rsidRDefault="006F494E" w:rsidP="0008118E">
      <w:pPr>
        <w:pStyle w:val="BodyText2"/>
        <w:ind w:left="720"/>
        <w:rPr>
          <w:u w:val="none"/>
        </w:rPr>
      </w:pPr>
    </w:p>
    <w:p w14:paraId="788EB2DD" w14:textId="53B7D3F1" w:rsidR="006F494E" w:rsidRDefault="006F494E" w:rsidP="0008118E">
      <w:pPr>
        <w:pStyle w:val="BodyText2"/>
        <w:ind w:left="720"/>
        <w:rPr>
          <w:u w:val="none"/>
        </w:rPr>
      </w:pPr>
      <w:r>
        <w:rPr>
          <w:u w:val="none"/>
        </w:rPr>
        <w:t>Experimental procedures were carefully designed to optimize the accuracy and reliability of information collected</w:t>
      </w:r>
      <w:r w:rsidRPr="00A856DA">
        <w:rPr>
          <w:u w:val="none"/>
        </w:rPr>
        <w:t xml:space="preserve">.  </w:t>
      </w:r>
      <w:r w:rsidR="00A856DA" w:rsidRPr="00A856DA">
        <w:rPr>
          <w:u w:val="none"/>
        </w:rPr>
        <w:t xml:space="preserve">In designing our experimental procedures and payment levels, we took into consideration academic standards for normal payoff ranges for student and non-student populations, statistical power considerations, budgetary limitations, and the history of discussions between OMB and ERS regarding other research approved under the </w:t>
      </w:r>
      <w:r w:rsidR="00C55505">
        <w:rPr>
          <w:u w:val="none"/>
        </w:rPr>
        <w:t>previous</w:t>
      </w:r>
      <w:r w:rsidR="00A856DA" w:rsidRPr="00A856DA">
        <w:rPr>
          <w:u w:val="none"/>
        </w:rPr>
        <w:t xml:space="preserve"> generic clearance (OMB control # 0536</w:t>
      </w:r>
      <w:r w:rsidR="00A856DA" w:rsidRPr="005C6531">
        <w:rPr>
          <w:u w:val="none"/>
        </w:rPr>
        <w:t>-0070).</w:t>
      </w:r>
      <w:r w:rsidR="00963C93" w:rsidRPr="005C6531">
        <w:rPr>
          <w:u w:val="none"/>
        </w:rPr>
        <w:t xml:space="preserve">  More detailed explanations of calibrations of risk elicitation tasks is provided in Attachment B: Experimental Design.</w:t>
      </w:r>
    </w:p>
    <w:p w14:paraId="3CA3782C" w14:textId="77777777" w:rsidR="0008118E" w:rsidRDefault="0008118E" w:rsidP="0008118E">
      <w:pPr>
        <w:pStyle w:val="BodyText2"/>
        <w:ind w:left="720"/>
        <w:rPr>
          <w:u w:val="none"/>
        </w:rPr>
      </w:pPr>
    </w:p>
    <w:p w14:paraId="73222336" w14:textId="47DF2699" w:rsidR="0008118E" w:rsidRPr="006F494E" w:rsidRDefault="0008118E" w:rsidP="0008118E">
      <w:pPr>
        <w:pStyle w:val="BodyText2"/>
        <w:ind w:left="720"/>
        <w:rPr>
          <w:u w:val="none"/>
        </w:rPr>
      </w:pPr>
      <w:r w:rsidRPr="006F494E">
        <w:rPr>
          <w:u w:val="none"/>
        </w:rPr>
        <w:t>Results will be inform future experiments to study risk management decision-making with farmer subjects.  Results may be shared with other agencies within USDA</w:t>
      </w:r>
      <w:r w:rsidR="00482EC0">
        <w:rPr>
          <w:u w:val="none"/>
        </w:rPr>
        <w:t xml:space="preserve"> for research purposes</w:t>
      </w:r>
      <w:r w:rsidRPr="006F494E">
        <w:rPr>
          <w:u w:val="none"/>
        </w:rPr>
        <w:t>, but will not be used to evaluate existing policies or directly inform new policy making.  Results may be disseminated as presentations and publications for academic and professional audiences, but will not be used to prepare official agency statistics.</w:t>
      </w:r>
    </w:p>
    <w:p w14:paraId="704515BC" w14:textId="77777777" w:rsidR="008014CE" w:rsidRDefault="008014CE" w:rsidP="008014CE">
      <w:pPr>
        <w:pStyle w:val="BodyText2"/>
        <w:rPr>
          <w:b/>
          <w:u w:val="none"/>
        </w:rPr>
      </w:pPr>
    </w:p>
    <w:p w14:paraId="1D788A6B" w14:textId="77777777" w:rsidR="00CE5EE4" w:rsidRDefault="00CE5EE4" w:rsidP="008014CE">
      <w:pPr>
        <w:pStyle w:val="BodyText2"/>
        <w:rPr>
          <w:b/>
          <w:u w:val="none"/>
        </w:rPr>
      </w:pPr>
    </w:p>
    <w:p w14:paraId="51EA17A1" w14:textId="77777777" w:rsidR="00CE5EE4" w:rsidRPr="00B53B6C" w:rsidRDefault="00CE5EE4" w:rsidP="00CE5EE4">
      <w:pPr>
        <w:rPr>
          <w:b/>
        </w:rPr>
      </w:pPr>
      <w:r>
        <w:rPr>
          <w:b/>
        </w:rPr>
        <w:t xml:space="preserve">4.  </w:t>
      </w:r>
      <w:r w:rsidRPr="00B53B6C">
        <w:rPr>
          <w:b/>
        </w:rPr>
        <w:t>Describe any tests of procedures or methods to be undertaken.</w:t>
      </w:r>
    </w:p>
    <w:p w14:paraId="6852AE1F" w14:textId="77777777" w:rsidR="008014CE" w:rsidRDefault="008014CE" w:rsidP="008014CE">
      <w:pPr>
        <w:pStyle w:val="BodyText2"/>
        <w:rPr>
          <w:b/>
          <w:u w:val="none"/>
        </w:rPr>
      </w:pPr>
    </w:p>
    <w:p w14:paraId="46EED8D7" w14:textId="77777777" w:rsidR="008014CE" w:rsidRDefault="00131351" w:rsidP="008014CE">
      <w:pPr>
        <w:pStyle w:val="BodyText2"/>
        <w:ind w:left="720"/>
        <w:rPr>
          <w:u w:val="none"/>
        </w:rPr>
      </w:pPr>
      <w:r>
        <w:rPr>
          <w:u w:val="none"/>
        </w:rPr>
        <w:t>The methods and procedures in use in this experiment have been used widely in the literature</w:t>
      </w:r>
      <w:r w:rsidR="0080013F">
        <w:rPr>
          <w:u w:val="none"/>
        </w:rPr>
        <w:t xml:space="preserve"> </w:t>
      </w:r>
      <w:r w:rsidR="0080013F" w:rsidRPr="00FF2A78">
        <w:rPr>
          <w:u w:val="none"/>
        </w:rPr>
        <w:t>(</w:t>
      </w:r>
      <w:r w:rsidR="0080013F" w:rsidRPr="0080013F">
        <w:rPr>
          <w:u w:val="none"/>
        </w:rPr>
        <w:t xml:space="preserve">see for example Holt and </w:t>
      </w:r>
      <w:proofErr w:type="spellStart"/>
      <w:r w:rsidR="0080013F" w:rsidRPr="0080013F">
        <w:rPr>
          <w:u w:val="none"/>
        </w:rPr>
        <w:t>Laury</w:t>
      </w:r>
      <w:proofErr w:type="spellEnd"/>
      <w:r w:rsidR="0080013F" w:rsidRPr="0080013F">
        <w:rPr>
          <w:u w:val="none"/>
        </w:rPr>
        <w:t xml:space="preserve"> (2002, 2005), Tanaka, </w:t>
      </w:r>
      <w:proofErr w:type="spellStart"/>
      <w:r w:rsidR="0080013F" w:rsidRPr="0080013F">
        <w:rPr>
          <w:u w:val="none"/>
        </w:rPr>
        <w:t>Camerer</w:t>
      </w:r>
      <w:proofErr w:type="spellEnd"/>
      <w:r w:rsidR="0080013F" w:rsidRPr="0080013F">
        <w:rPr>
          <w:u w:val="none"/>
        </w:rPr>
        <w:t xml:space="preserve"> and Nguyen (2010), </w:t>
      </w:r>
      <w:proofErr w:type="spellStart"/>
      <w:r w:rsidR="0080013F" w:rsidRPr="0080013F">
        <w:rPr>
          <w:u w:val="none"/>
        </w:rPr>
        <w:t>Bruhin</w:t>
      </w:r>
      <w:proofErr w:type="spellEnd"/>
      <w:r w:rsidR="0080013F" w:rsidRPr="0080013F">
        <w:rPr>
          <w:u w:val="none"/>
        </w:rPr>
        <w:t xml:space="preserve">, </w:t>
      </w:r>
      <w:proofErr w:type="spellStart"/>
      <w:r w:rsidR="0080013F" w:rsidRPr="0080013F">
        <w:rPr>
          <w:u w:val="none"/>
        </w:rPr>
        <w:t>Epper</w:t>
      </w:r>
      <w:proofErr w:type="spellEnd"/>
      <w:r w:rsidR="0080013F" w:rsidRPr="0080013F">
        <w:rPr>
          <w:u w:val="none"/>
        </w:rPr>
        <w:t xml:space="preserve"> and Fehr-</w:t>
      </w:r>
      <w:proofErr w:type="spellStart"/>
      <w:r w:rsidR="0080013F" w:rsidRPr="0080013F">
        <w:rPr>
          <w:u w:val="none"/>
        </w:rPr>
        <w:t>Duda</w:t>
      </w:r>
      <w:proofErr w:type="spellEnd"/>
      <w:r w:rsidR="0080013F" w:rsidRPr="0080013F">
        <w:rPr>
          <w:u w:val="none"/>
        </w:rPr>
        <w:t xml:space="preserve"> (2010), and </w:t>
      </w:r>
      <w:proofErr w:type="spellStart"/>
      <w:r w:rsidR="0080013F" w:rsidRPr="0080013F">
        <w:rPr>
          <w:u w:val="none"/>
        </w:rPr>
        <w:t>Gneezy</w:t>
      </w:r>
      <w:proofErr w:type="spellEnd"/>
      <w:r w:rsidR="0080013F" w:rsidRPr="0080013F">
        <w:rPr>
          <w:u w:val="none"/>
        </w:rPr>
        <w:t xml:space="preserve"> and Potters (1997))</w:t>
      </w:r>
      <w:r w:rsidR="008014CE">
        <w:rPr>
          <w:u w:val="none"/>
        </w:rPr>
        <w:t>.</w:t>
      </w:r>
      <w:r w:rsidR="005F5482">
        <w:rPr>
          <w:u w:val="none"/>
        </w:rPr>
        <w:t xml:space="preserve">  </w:t>
      </w:r>
    </w:p>
    <w:p w14:paraId="54019A6E" w14:textId="77777777" w:rsidR="003C349C" w:rsidRDefault="003C349C" w:rsidP="008014CE">
      <w:pPr>
        <w:pStyle w:val="BodyText2"/>
        <w:ind w:left="720"/>
        <w:rPr>
          <w:b/>
          <w:u w:val="none"/>
        </w:rPr>
      </w:pPr>
    </w:p>
    <w:p w14:paraId="5D6B1621" w14:textId="77777777" w:rsidR="000062C1" w:rsidRDefault="00CD093A" w:rsidP="008E2B0B">
      <w:pPr>
        <w:ind w:left="720"/>
      </w:pPr>
      <w:r>
        <w:t xml:space="preserve">Pre-tests were conducted at </w:t>
      </w:r>
      <w:proofErr w:type="spellStart"/>
      <w:r>
        <w:t>SimLab</w:t>
      </w:r>
      <w:proofErr w:type="spellEnd"/>
      <w:r>
        <w:t xml:space="preserve"> with</w:t>
      </w:r>
      <w:r w:rsidR="00495103" w:rsidRPr="00495103">
        <w:t xml:space="preserve"> </w:t>
      </w:r>
      <w:r w:rsidR="001915AC">
        <w:t xml:space="preserve">9 students </w:t>
      </w:r>
      <w:r>
        <w:t xml:space="preserve">over the period 12-15 April 2016 </w:t>
      </w:r>
      <w:r w:rsidR="00977FF2">
        <w:t>to test the experimental procedures, instructions, and interface; and to observe a distribution of payments and completion times</w:t>
      </w:r>
      <w:r w:rsidR="00495103" w:rsidRPr="00495103">
        <w:t>.</w:t>
      </w:r>
      <w:r w:rsidR="00671EE8">
        <w:t xml:space="preserve">  Subjects were undergraduate and graduate students recruited at the University of Rhode Island.</w:t>
      </w:r>
    </w:p>
    <w:p w14:paraId="69E07B9D" w14:textId="77777777" w:rsidR="000062C1" w:rsidRDefault="00977FF2" w:rsidP="008E2B0B">
      <w:pPr>
        <w:ind w:left="720"/>
      </w:pPr>
      <w:r>
        <w:t xml:space="preserve">  </w:t>
      </w:r>
    </w:p>
    <w:p w14:paraId="5C8E3E22" w14:textId="63F31D5C" w:rsidR="00977FF2" w:rsidRDefault="00977FF2" w:rsidP="008E2B0B">
      <w:pPr>
        <w:ind w:left="720"/>
      </w:pPr>
      <w:r>
        <w:t xml:space="preserve">Specifically, the pre-tests:  </w:t>
      </w:r>
    </w:p>
    <w:p w14:paraId="57F285D4" w14:textId="77777777" w:rsidR="00977FF2" w:rsidRDefault="00977FF2" w:rsidP="008E2B0B">
      <w:pPr>
        <w:ind w:left="720"/>
      </w:pPr>
    </w:p>
    <w:p w14:paraId="0E04E9F0" w14:textId="77777777" w:rsidR="00DE538D" w:rsidRPr="00DE538D" w:rsidRDefault="00977FF2" w:rsidP="00DE538D">
      <w:pPr>
        <w:ind w:left="720"/>
      </w:pPr>
      <w:r>
        <w:t xml:space="preserve">1) Checked for bugs within the experimental software.  </w:t>
      </w:r>
      <w:r w:rsidR="00B23A9E">
        <w:br/>
      </w:r>
      <w:r w:rsidR="00B23A9E">
        <w:br/>
      </w:r>
      <w:r w:rsidR="00DE538D">
        <w:rPr>
          <w:b/>
        </w:rPr>
        <w:t xml:space="preserve">Result: </w:t>
      </w:r>
      <w:r w:rsidR="00DE538D" w:rsidRPr="00DE538D">
        <w:t>Minor software bugs identified and corrected with the layout of menus in the CPT task.</w:t>
      </w:r>
      <w:r w:rsidR="00DE538D">
        <w:rPr>
          <w:b/>
        </w:rPr>
        <w:t xml:space="preserve"> </w:t>
      </w:r>
    </w:p>
    <w:p w14:paraId="6D8F6072" w14:textId="77777777" w:rsidR="00DE538D" w:rsidRDefault="00DE538D" w:rsidP="008E2B0B">
      <w:pPr>
        <w:ind w:left="720"/>
        <w:rPr>
          <w:b/>
        </w:rPr>
      </w:pPr>
    </w:p>
    <w:p w14:paraId="3073E176" w14:textId="77777777" w:rsidR="00977FF2" w:rsidRDefault="00DE538D" w:rsidP="008E2B0B">
      <w:pPr>
        <w:ind w:left="720"/>
      </w:pPr>
      <w:r>
        <w:t xml:space="preserve">2) Collected subject feedback on aspects of instructions that were unclear during the pretest.  </w:t>
      </w:r>
      <w:r w:rsidR="00B23A9E">
        <w:br/>
      </w:r>
      <w:r w:rsidR="00B23A9E">
        <w:br/>
      </w:r>
      <w:r>
        <w:rPr>
          <w:b/>
        </w:rPr>
        <w:t xml:space="preserve">Result: </w:t>
      </w:r>
      <w:r>
        <w:t xml:space="preserve">Feedback received and instructions updated accordingly. </w:t>
      </w:r>
      <w:r w:rsidR="00495103" w:rsidRPr="00495103">
        <w:t xml:space="preserve">  </w:t>
      </w:r>
    </w:p>
    <w:p w14:paraId="689D4302" w14:textId="77777777" w:rsidR="00DE538D" w:rsidRDefault="00DE538D" w:rsidP="008E2B0B">
      <w:pPr>
        <w:ind w:left="720"/>
      </w:pPr>
    </w:p>
    <w:p w14:paraId="74208714" w14:textId="77777777" w:rsidR="00DE538D" w:rsidRPr="00B23A9E" w:rsidRDefault="00DE538D" w:rsidP="008E2B0B">
      <w:pPr>
        <w:ind w:left="720"/>
      </w:pPr>
      <w:r>
        <w:t>3) Tested total running time for the experiment, including completing informed consent, reading instructions, completing all experimental rounds, completing demographic questionnaire, and paying subjects</w:t>
      </w:r>
      <w:r w:rsidR="00B23A9E">
        <w:t xml:space="preserve">.  </w:t>
      </w:r>
      <w:r w:rsidR="00B23A9E">
        <w:br/>
      </w:r>
      <w:r w:rsidR="00B23A9E">
        <w:br/>
      </w:r>
      <w:r w:rsidR="00B23A9E">
        <w:rPr>
          <w:b/>
        </w:rPr>
        <w:lastRenderedPageBreak/>
        <w:t>Result:</w:t>
      </w:r>
      <w:r w:rsidR="00B23A9E">
        <w:t xml:space="preserve"> Session lengths ranged from 47-74 minutes, with a median run time of 62 minutes.  </w:t>
      </w:r>
    </w:p>
    <w:p w14:paraId="1EEB04ED" w14:textId="77777777" w:rsidR="00977FF2" w:rsidRDefault="00977FF2" w:rsidP="008E2B0B">
      <w:pPr>
        <w:ind w:left="720"/>
      </w:pPr>
    </w:p>
    <w:p w14:paraId="3928B8E9" w14:textId="77777777" w:rsidR="00072460" w:rsidRDefault="002C43C2" w:rsidP="00EB1CA8">
      <w:pPr>
        <w:ind w:left="720"/>
      </w:pPr>
      <w:r>
        <w:t xml:space="preserve">4) Tested the distribution of subject payments.  </w:t>
      </w:r>
      <w:r>
        <w:br/>
      </w:r>
      <w:r>
        <w:br/>
      </w:r>
      <w:r>
        <w:rPr>
          <w:b/>
        </w:rPr>
        <w:t>Result</w:t>
      </w:r>
      <w:r>
        <w:t xml:space="preserve">: Payments ranged from $10-29.80, with a median payment of $23.33.  </w:t>
      </w:r>
    </w:p>
    <w:p w14:paraId="6A4AA10D" w14:textId="77777777" w:rsidR="00EB1CA8" w:rsidRDefault="00EB1CA8" w:rsidP="00EB1CA8">
      <w:pPr>
        <w:ind w:left="720"/>
      </w:pPr>
    </w:p>
    <w:p w14:paraId="4C116AD4" w14:textId="77777777" w:rsidR="00F744D1" w:rsidRDefault="00F744D1" w:rsidP="00EB1CA8">
      <w:pPr>
        <w:ind w:left="720"/>
      </w:pPr>
      <w:r>
        <w:t xml:space="preserve">Additional details are available in Attachment H: Pretest Report.  </w:t>
      </w:r>
    </w:p>
    <w:p w14:paraId="1133D6D6" w14:textId="77777777" w:rsidR="006C2920" w:rsidRDefault="006C2920" w:rsidP="003C783F"/>
    <w:p w14:paraId="031ED50D" w14:textId="77777777" w:rsidR="003C783F" w:rsidRDefault="003C783F" w:rsidP="003C783F"/>
    <w:p w14:paraId="6E074570" w14:textId="713EF31F" w:rsidR="008014CE" w:rsidRDefault="008014CE" w:rsidP="003C783F">
      <w:pPr>
        <w:pStyle w:val="BodyText2"/>
      </w:pPr>
      <w:r>
        <w:rPr>
          <w:b/>
          <w:u w:val="none"/>
        </w:rPr>
        <w:t>5.</w:t>
      </w:r>
      <w:r w:rsidR="003C783F">
        <w:rPr>
          <w:b/>
          <w:u w:val="none"/>
        </w:rPr>
        <w:t xml:space="preserve">  </w:t>
      </w:r>
      <w:r w:rsidR="003C783F" w:rsidRPr="00375617">
        <w:rPr>
          <w:b/>
          <w:u w:val="none"/>
        </w:rPr>
        <w:t>Provide the name and telephone number of individuals consulted on statistical aspects of the design and the name of the agency unit, contractor(s), grantee(s), or other person(s) who will actually collect and/or analyze the information for the agency.</w:t>
      </w:r>
      <w:r>
        <w:rPr>
          <w:b/>
          <w:u w:val="none"/>
        </w:rPr>
        <w:t xml:space="preserve">  </w:t>
      </w:r>
    </w:p>
    <w:p w14:paraId="27FFD519" w14:textId="77777777" w:rsidR="008014CE" w:rsidRDefault="008014CE" w:rsidP="008014CE">
      <w:pPr>
        <w:pStyle w:val="BodyText2"/>
        <w:ind w:left="360"/>
        <w:rPr>
          <w:u w:val="none"/>
        </w:rPr>
      </w:pPr>
    </w:p>
    <w:p w14:paraId="1C9ED9DB" w14:textId="77777777" w:rsidR="008014CE" w:rsidRDefault="003E1E3F" w:rsidP="008014CE">
      <w:pPr>
        <w:pStyle w:val="BodyText2"/>
        <w:ind w:left="720"/>
        <w:rPr>
          <w:u w:val="none"/>
        </w:rPr>
      </w:pPr>
      <w:r>
        <w:rPr>
          <w:u w:val="none"/>
        </w:rPr>
        <w:t>The contact individual for this research is</w:t>
      </w:r>
      <w:r w:rsidR="008014CE">
        <w:rPr>
          <w:u w:val="none"/>
        </w:rPr>
        <w:t xml:space="preserve"> </w:t>
      </w:r>
      <w:r w:rsidR="00CF0562">
        <w:rPr>
          <w:u w:val="none"/>
        </w:rPr>
        <w:t>Stephanie Rosch</w:t>
      </w:r>
      <w:r w:rsidR="008014CE">
        <w:rPr>
          <w:u w:val="none"/>
        </w:rPr>
        <w:t xml:space="preserve">, Ph.D., </w:t>
      </w:r>
      <w:r>
        <w:rPr>
          <w:u w:val="none"/>
        </w:rPr>
        <w:t>Economic Research Service</w:t>
      </w:r>
      <w:r w:rsidR="008014CE">
        <w:rPr>
          <w:u w:val="none"/>
        </w:rPr>
        <w:t xml:space="preserve">, </w:t>
      </w:r>
      <w:r>
        <w:rPr>
          <w:u w:val="none"/>
        </w:rPr>
        <w:t>USDA</w:t>
      </w:r>
      <w:r w:rsidR="008014CE">
        <w:rPr>
          <w:u w:val="none"/>
        </w:rPr>
        <w:t>, telephone (</w:t>
      </w:r>
      <w:r>
        <w:rPr>
          <w:u w:val="none"/>
        </w:rPr>
        <w:t>202</w:t>
      </w:r>
      <w:r w:rsidR="008014CE">
        <w:rPr>
          <w:u w:val="none"/>
        </w:rPr>
        <w:t xml:space="preserve">) </w:t>
      </w:r>
      <w:r>
        <w:rPr>
          <w:u w:val="none"/>
        </w:rPr>
        <w:t>694</w:t>
      </w:r>
      <w:r w:rsidR="008014CE">
        <w:rPr>
          <w:u w:val="none"/>
        </w:rPr>
        <w:t>-</w:t>
      </w:r>
      <w:r w:rsidR="00CF0562">
        <w:rPr>
          <w:u w:val="none"/>
        </w:rPr>
        <w:t>5049</w:t>
      </w:r>
      <w:r w:rsidR="008014CE">
        <w:rPr>
          <w:u w:val="none"/>
        </w:rPr>
        <w:t>.</w:t>
      </w:r>
    </w:p>
    <w:p w14:paraId="15185BC3" w14:textId="77777777" w:rsidR="00025225" w:rsidRDefault="00025225" w:rsidP="008014CE">
      <w:pPr>
        <w:pStyle w:val="BodyText2"/>
        <w:ind w:left="720"/>
        <w:rPr>
          <w:u w:val="none"/>
        </w:rPr>
      </w:pPr>
    </w:p>
    <w:p w14:paraId="6284F9F7" w14:textId="77777777" w:rsidR="00025225" w:rsidRDefault="00025225" w:rsidP="008014CE">
      <w:pPr>
        <w:pStyle w:val="BodyText2"/>
        <w:ind w:left="720"/>
        <w:rPr>
          <w:u w:val="none"/>
        </w:rPr>
      </w:pPr>
      <w:r>
        <w:rPr>
          <w:u w:val="none"/>
        </w:rPr>
        <w:t>The research is being conducted under a cooperative agreement between th</w:t>
      </w:r>
      <w:r w:rsidR="00AD0804">
        <w:rPr>
          <w:u w:val="none"/>
        </w:rPr>
        <w:t>e Economic Research Service and t</w:t>
      </w:r>
      <w:r>
        <w:rPr>
          <w:u w:val="none"/>
        </w:rPr>
        <w:t>he University</w:t>
      </w:r>
      <w:r w:rsidR="00AD0804">
        <w:rPr>
          <w:u w:val="none"/>
        </w:rPr>
        <w:t xml:space="preserve"> of </w:t>
      </w:r>
      <w:r w:rsidR="00A1584A">
        <w:rPr>
          <w:u w:val="none"/>
        </w:rPr>
        <w:t>Rhode Island</w:t>
      </w:r>
      <w:r>
        <w:rPr>
          <w:u w:val="none"/>
        </w:rPr>
        <w:t xml:space="preserve">.  Data will be collected, entered, and provided to ERS by </w:t>
      </w:r>
      <w:r w:rsidRPr="00025225">
        <w:rPr>
          <w:u w:val="none"/>
        </w:rPr>
        <w:t>Professor</w:t>
      </w:r>
      <w:r>
        <w:rPr>
          <w:u w:val="none"/>
        </w:rPr>
        <w:t xml:space="preserve"> </w:t>
      </w:r>
      <w:r w:rsidR="00A1584A">
        <w:rPr>
          <w:u w:val="none"/>
        </w:rPr>
        <w:t>Tom Sproul</w:t>
      </w:r>
      <w:r w:rsidR="00AD0804">
        <w:rPr>
          <w:u w:val="none"/>
        </w:rPr>
        <w:t xml:space="preserve"> </w:t>
      </w:r>
      <w:r>
        <w:rPr>
          <w:u w:val="none"/>
        </w:rPr>
        <w:t xml:space="preserve">at </w:t>
      </w:r>
      <w:r w:rsidR="00AD0804">
        <w:rPr>
          <w:u w:val="none"/>
        </w:rPr>
        <w:t>t</w:t>
      </w:r>
      <w:r>
        <w:rPr>
          <w:u w:val="none"/>
        </w:rPr>
        <w:t>he University</w:t>
      </w:r>
      <w:r w:rsidR="00AD0804">
        <w:rPr>
          <w:u w:val="none"/>
        </w:rPr>
        <w:t xml:space="preserve"> of </w:t>
      </w:r>
      <w:r w:rsidR="00A1584A">
        <w:rPr>
          <w:u w:val="none"/>
        </w:rPr>
        <w:t>Rhode Island</w:t>
      </w:r>
      <w:r>
        <w:rPr>
          <w:u w:val="none"/>
        </w:rPr>
        <w:t>, telephone (</w:t>
      </w:r>
      <w:r w:rsidR="00703F8F">
        <w:rPr>
          <w:u w:val="none"/>
        </w:rPr>
        <w:t>401) 874-9197</w:t>
      </w:r>
      <w:r w:rsidR="006767F8">
        <w:rPr>
          <w:u w:val="none"/>
        </w:rPr>
        <w:t>.</w:t>
      </w:r>
    </w:p>
    <w:p w14:paraId="2276666D" w14:textId="77777777" w:rsidR="00B54C93" w:rsidRPr="00AE2575" w:rsidRDefault="008014CE" w:rsidP="00AE2575">
      <w:pPr>
        <w:pStyle w:val="BodyText2"/>
        <w:spacing w:line="480" w:lineRule="auto"/>
        <w:ind w:left="360"/>
        <w:jc w:val="center"/>
        <w:rPr>
          <w:b/>
          <w:u w:val="none"/>
        </w:rPr>
      </w:pPr>
      <w:r>
        <w:rPr>
          <w:u w:val="none"/>
        </w:rPr>
        <w:br w:type="page"/>
      </w:r>
      <w:r w:rsidRPr="00F727B1">
        <w:rPr>
          <w:b/>
          <w:u w:val="none"/>
        </w:rPr>
        <w:lastRenderedPageBreak/>
        <w:t>REFERENCES</w:t>
      </w:r>
    </w:p>
    <w:p w14:paraId="680B62D8" w14:textId="77777777" w:rsidR="00A06198" w:rsidRDefault="00A06198" w:rsidP="00A06198">
      <w:proofErr w:type="spellStart"/>
      <w:r>
        <w:t>Azrieli</w:t>
      </w:r>
      <w:proofErr w:type="spellEnd"/>
      <w:r>
        <w:t xml:space="preserve">, Y., Chambers, C. P., &amp; Healy, P. J. (2012). Incentives in experiments: A theoretical analysis. In </w:t>
      </w:r>
      <w:r>
        <w:rPr>
          <w:i/>
          <w:iCs/>
        </w:rPr>
        <w:t>Working Paper</w:t>
      </w:r>
      <w:r>
        <w:t>.</w:t>
      </w:r>
    </w:p>
    <w:p w14:paraId="0C5D7C23" w14:textId="77777777" w:rsidR="00A06198" w:rsidRDefault="00A06198" w:rsidP="00B54C93"/>
    <w:p w14:paraId="33443A71" w14:textId="77777777" w:rsidR="00B54C93" w:rsidRDefault="00B54C93" w:rsidP="00B54C93">
      <w:proofErr w:type="spellStart"/>
      <w:r>
        <w:t>Bardsley</w:t>
      </w:r>
      <w:proofErr w:type="spellEnd"/>
      <w:r>
        <w:t xml:space="preserve">, N. (2010). </w:t>
      </w:r>
      <w:r>
        <w:rPr>
          <w:i/>
          <w:iCs/>
        </w:rPr>
        <w:t>Experimental economics: Rethinking the rules</w:t>
      </w:r>
      <w:r>
        <w:t>. Princeton University Press.</w:t>
      </w:r>
    </w:p>
    <w:p w14:paraId="5B82C888" w14:textId="77777777" w:rsidR="006A6D70" w:rsidRDefault="006A6D70" w:rsidP="00B54C93"/>
    <w:p w14:paraId="4353EE2F" w14:textId="77777777" w:rsidR="00B54C93" w:rsidRDefault="00B54C93" w:rsidP="00B54C93">
      <w:proofErr w:type="spellStart"/>
      <w:r>
        <w:t>Bruhin</w:t>
      </w:r>
      <w:proofErr w:type="spellEnd"/>
      <w:r>
        <w:t>, A., Fehr‐</w:t>
      </w:r>
      <w:proofErr w:type="spellStart"/>
      <w:r>
        <w:t>Duda</w:t>
      </w:r>
      <w:proofErr w:type="spellEnd"/>
      <w:r>
        <w:t xml:space="preserve">, H., &amp; </w:t>
      </w:r>
      <w:proofErr w:type="spellStart"/>
      <w:r>
        <w:t>Epper</w:t>
      </w:r>
      <w:proofErr w:type="spellEnd"/>
      <w:r>
        <w:t xml:space="preserve">, T. (2010). Risk and rationality: Uncovering heterogeneity in probability distortion. </w:t>
      </w:r>
      <w:proofErr w:type="spellStart"/>
      <w:r>
        <w:rPr>
          <w:i/>
          <w:iCs/>
        </w:rPr>
        <w:t>Econometrica</w:t>
      </w:r>
      <w:proofErr w:type="spellEnd"/>
      <w:r>
        <w:t xml:space="preserve">, </w:t>
      </w:r>
      <w:r>
        <w:rPr>
          <w:i/>
          <w:iCs/>
        </w:rPr>
        <w:t>78</w:t>
      </w:r>
      <w:r>
        <w:t>(4), 1375-1412.</w:t>
      </w:r>
    </w:p>
    <w:p w14:paraId="05E566AE" w14:textId="77777777" w:rsidR="006A6D70" w:rsidRDefault="006A6D70" w:rsidP="00B54C93"/>
    <w:p w14:paraId="4CA0E060" w14:textId="77777777" w:rsidR="00B54C93" w:rsidRDefault="00B54C93" w:rsidP="00B54C93">
      <w:proofErr w:type="spellStart"/>
      <w:r>
        <w:t>Camerer</w:t>
      </w:r>
      <w:proofErr w:type="spellEnd"/>
      <w:r>
        <w:t xml:space="preserve">, C. (2011). The promise and success of lab-field generalizability in experimental economics: A critical reply to Levitt and List. </w:t>
      </w:r>
      <w:r>
        <w:rPr>
          <w:i/>
          <w:iCs/>
        </w:rPr>
        <w:t>Available at SSRN 1977749</w:t>
      </w:r>
      <w:r>
        <w:t>.</w:t>
      </w:r>
    </w:p>
    <w:p w14:paraId="52CCA16F" w14:textId="77777777" w:rsidR="006A6D70" w:rsidRDefault="006A6D70" w:rsidP="00B54C93"/>
    <w:p w14:paraId="0F5A0202" w14:textId="77777777" w:rsidR="00B54C93" w:rsidRDefault="00B54C93" w:rsidP="00B54C93">
      <w:proofErr w:type="spellStart"/>
      <w:r>
        <w:t>Croson</w:t>
      </w:r>
      <w:proofErr w:type="spellEnd"/>
      <w:r>
        <w:t xml:space="preserve">, R., &amp; </w:t>
      </w:r>
      <w:proofErr w:type="spellStart"/>
      <w:r>
        <w:t>Gächter</w:t>
      </w:r>
      <w:proofErr w:type="spellEnd"/>
      <w:r>
        <w:t xml:space="preserve">, S. (2010). The science of experimental economics. </w:t>
      </w:r>
      <w:r>
        <w:rPr>
          <w:i/>
          <w:iCs/>
        </w:rPr>
        <w:t>Journal of Economic Behavior &amp; Organization</w:t>
      </w:r>
      <w:r>
        <w:t xml:space="preserve">, </w:t>
      </w:r>
      <w:r>
        <w:rPr>
          <w:i/>
          <w:iCs/>
        </w:rPr>
        <w:t>73</w:t>
      </w:r>
      <w:r>
        <w:t>(1), 122-131.</w:t>
      </w:r>
    </w:p>
    <w:p w14:paraId="0B0BC2AC" w14:textId="77777777" w:rsidR="006A6D70" w:rsidRDefault="006A6D70" w:rsidP="00B54C93"/>
    <w:p w14:paraId="5D37FFF2" w14:textId="3BF4B9D8" w:rsidR="00B54C93" w:rsidRDefault="00B54C93" w:rsidP="00B54C93">
      <w:pPr>
        <w:rPr>
          <w:i/>
          <w:iCs/>
        </w:rPr>
      </w:pPr>
      <w:proofErr w:type="spellStart"/>
      <w:r>
        <w:t>Druckman</w:t>
      </w:r>
      <w:proofErr w:type="spellEnd"/>
      <w:r>
        <w:t>, J. N., &amp; Kam, C. D. (2009). Students as experimental participants: A defense of the</w:t>
      </w:r>
      <w:r w:rsidR="00E60833">
        <w:t xml:space="preserve"> </w:t>
      </w:r>
      <w:r>
        <w:t xml:space="preserve">'narrow data base'. </w:t>
      </w:r>
      <w:r>
        <w:rPr>
          <w:i/>
          <w:iCs/>
        </w:rPr>
        <w:t>Available at SSRN 1498843</w:t>
      </w:r>
    </w:p>
    <w:p w14:paraId="4862E159" w14:textId="77777777" w:rsidR="006A6D70" w:rsidRDefault="006A6D70" w:rsidP="00B54C93"/>
    <w:p w14:paraId="146BE588" w14:textId="77777777" w:rsidR="00B54C93" w:rsidRDefault="00B54C93" w:rsidP="00B54C93">
      <w:proofErr w:type="spellStart"/>
      <w:r>
        <w:t>Gneezy</w:t>
      </w:r>
      <w:proofErr w:type="spellEnd"/>
      <w:r>
        <w:t xml:space="preserve">, U., &amp; Potters, J. (1997). An experiment on risk taking and evaluation periods. </w:t>
      </w:r>
      <w:r>
        <w:rPr>
          <w:i/>
          <w:iCs/>
        </w:rPr>
        <w:t>The Quarterly Journal of Economics</w:t>
      </w:r>
      <w:r>
        <w:t>, 631-645.</w:t>
      </w:r>
    </w:p>
    <w:p w14:paraId="0A514FDA" w14:textId="77777777" w:rsidR="006A6D70" w:rsidRDefault="006A6D70" w:rsidP="00B54C93"/>
    <w:p w14:paraId="6C710F92" w14:textId="77777777" w:rsidR="00B54C93" w:rsidRDefault="00B54C93" w:rsidP="00B54C93">
      <w:proofErr w:type="spellStart"/>
      <w:r>
        <w:t>Guala</w:t>
      </w:r>
      <w:proofErr w:type="spellEnd"/>
      <w:r>
        <w:t xml:space="preserve">, F. (2005). </w:t>
      </w:r>
      <w:r>
        <w:rPr>
          <w:i/>
          <w:iCs/>
        </w:rPr>
        <w:t>The methodology of experimental economics</w:t>
      </w:r>
      <w:r>
        <w:t>. Cambridge University Press.</w:t>
      </w:r>
    </w:p>
    <w:p w14:paraId="486F48C7" w14:textId="77777777" w:rsidR="006A6D70" w:rsidRDefault="006A6D70" w:rsidP="00B54C93"/>
    <w:p w14:paraId="7047D421" w14:textId="77777777" w:rsidR="00B54C93" w:rsidRDefault="00B54C93" w:rsidP="00B54C93">
      <w:r>
        <w:t xml:space="preserve">Harrison, G. W., &amp; List, J. A. (2004). Field experiments. </w:t>
      </w:r>
      <w:r>
        <w:rPr>
          <w:i/>
          <w:iCs/>
        </w:rPr>
        <w:t>Journal of Economic literature</w:t>
      </w:r>
      <w:r>
        <w:t xml:space="preserve">, </w:t>
      </w:r>
      <w:r>
        <w:rPr>
          <w:i/>
          <w:iCs/>
        </w:rPr>
        <w:t>42</w:t>
      </w:r>
      <w:r>
        <w:t>(4), 1009-1055.</w:t>
      </w:r>
    </w:p>
    <w:p w14:paraId="0EA1EE07" w14:textId="77777777" w:rsidR="006A6D70" w:rsidRDefault="006A6D70" w:rsidP="00B54C93"/>
    <w:p w14:paraId="753535B7" w14:textId="77777777" w:rsidR="00F855AA" w:rsidRDefault="00F855AA" w:rsidP="00F855AA">
      <w:r>
        <w:t xml:space="preserve">Holt, C. A., &amp; </w:t>
      </w:r>
      <w:proofErr w:type="spellStart"/>
      <w:r>
        <w:t>Laury</w:t>
      </w:r>
      <w:proofErr w:type="spellEnd"/>
      <w:r>
        <w:t xml:space="preserve">, S. K. (2002). Risk aversion and incentive effects. </w:t>
      </w:r>
      <w:r>
        <w:rPr>
          <w:i/>
          <w:iCs/>
        </w:rPr>
        <w:t>American economic review</w:t>
      </w:r>
      <w:r>
        <w:t xml:space="preserve">, </w:t>
      </w:r>
      <w:r>
        <w:rPr>
          <w:i/>
          <w:iCs/>
        </w:rPr>
        <w:t>92</w:t>
      </w:r>
      <w:r>
        <w:t>(5), 1644-1655.</w:t>
      </w:r>
    </w:p>
    <w:p w14:paraId="155AB002" w14:textId="77777777" w:rsidR="00F855AA" w:rsidRDefault="00F855AA" w:rsidP="00F855AA"/>
    <w:p w14:paraId="531F0063" w14:textId="77777777" w:rsidR="00F855AA" w:rsidRDefault="00F855AA" w:rsidP="00F855AA">
      <w:r>
        <w:t xml:space="preserve">Holt, C. A., &amp; </w:t>
      </w:r>
      <w:proofErr w:type="spellStart"/>
      <w:r>
        <w:t>Laury</w:t>
      </w:r>
      <w:proofErr w:type="spellEnd"/>
      <w:r>
        <w:t xml:space="preserve">, S. K. (2005). Risk aversion and incentive effects: New data without order effects. </w:t>
      </w:r>
      <w:r>
        <w:rPr>
          <w:i/>
          <w:iCs/>
        </w:rPr>
        <w:t>The American economic review</w:t>
      </w:r>
      <w:r>
        <w:t xml:space="preserve">, </w:t>
      </w:r>
      <w:r>
        <w:rPr>
          <w:i/>
          <w:iCs/>
        </w:rPr>
        <w:t>95</w:t>
      </w:r>
      <w:r>
        <w:t>(3), 902-904.</w:t>
      </w:r>
    </w:p>
    <w:p w14:paraId="675EB0A0" w14:textId="77777777" w:rsidR="00F855AA" w:rsidRDefault="00F855AA" w:rsidP="00B54C93"/>
    <w:p w14:paraId="36AAE216" w14:textId="6CD71D84" w:rsidR="00B54C93" w:rsidRDefault="00B54C93" w:rsidP="00B54C93">
      <w:r>
        <w:t xml:space="preserve">Levitt, S. D., &amp; List, J. A. (2007). What do laboratory experiments measuring social preferences reveal about the real world? </w:t>
      </w:r>
      <w:r>
        <w:rPr>
          <w:i/>
          <w:iCs/>
        </w:rPr>
        <w:t>The journal of economic perspectives</w:t>
      </w:r>
      <w:r>
        <w:t xml:space="preserve">, </w:t>
      </w:r>
      <w:r>
        <w:rPr>
          <w:i/>
          <w:iCs/>
        </w:rPr>
        <w:t>21</w:t>
      </w:r>
      <w:r>
        <w:t>(2), 153-174.</w:t>
      </w:r>
    </w:p>
    <w:p w14:paraId="54B0386A" w14:textId="77777777" w:rsidR="006A6D70" w:rsidRPr="00A73871" w:rsidRDefault="006A6D70" w:rsidP="00B54C93"/>
    <w:p w14:paraId="07710CDC" w14:textId="77777777" w:rsidR="00B54C93" w:rsidRDefault="00B54C93" w:rsidP="00B54C93">
      <w:proofErr w:type="spellStart"/>
      <w:r>
        <w:t>Plott</w:t>
      </w:r>
      <w:proofErr w:type="spellEnd"/>
      <w:r>
        <w:t xml:space="preserve">, C. R. (1991). Will economics become an experimental science?  </w:t>
      </w:r>
      <w:r>
        <w:rPr>
          <w:i/>
          <w:iCs/>
        </w:rPr>
        <w:t>Southern Economic Journal</w:t>
      </w:r>
      <w:r>
        <w:t>, 901-919.</w:t>
      </w:r>
    </w:p>
    <w:p w14:paraId="1706F8F0" w14:textId="77777777" w:rsidR="00CF4892" w:rsidRDefault="00CF4892" w:rsidP="00CF4892"/>
    <w:p w14:paraId="0188DEB1" w14:textId="77777777" w:rsidR="00CF4892" w:rsidRPr="00DA714C" w:rsidRDefault="00CF4892" w:rsidP="00CF4892">
      <w:r>
        <w:t xml:space="preserve">Tanaka, T., </w:t>
      </w:r>
      <w:proofErr w:type="spellStart"/>
      <w:r>
        <w:t>Camerer</w:t>
      </w:r>
      <w:proofErr w:type="spellEnd"/>
      <w:r>
        <w:t xml:space="preserve">, C. F., &amp; Nguyen, Q. (2010). Risk and Time Preferences: Linking Experimental and Household Survey Data from Vietnam. </w:t>
      </w:r>
      <w:r>
        <w:rPr>
          <w:i/>
          <w:iCs/>
        </w:rPr>
        <w:t>American Economic Review</w:t>
      </w:r>
      <w:r>
        <w:t xml:space="preserve">, </w:t>
      </w:r>
      <w:r>
        <w:rPr>
          <w:i/>
          <w:iCs/>
        </w:rPr>
        <w:t>100</w:t>
      </w:r>
      <w:r>
        <w:t>(1), 557-571.</w:t>
      </w:r>
    </w:p>
    <w:p w14:paraId="7AD3D50F" w14:textId="77777777" w:rsidR="00CF4892" w:rsidRPr="003E1E3F" w:rsidRDefault="00CF4892" w:rsidP="003E1E3F">
      <w:pPr>
        <w:pStyle w:val="BodyText2"/>
        <w:ind w:left="360"/>
        <w:rPr>
          <w:u w:val="none"/>
        </w:rPr>
      </w:pPr>
    </w:p>
    <w:sectPr w:rsidR="00CF4892" w:rsidRPr="003E1E3F">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FF5985" w14:textId="77777777" w:rsidR="009251CB" w:rsidRDefault="009251CB" w:rsidP="00D13C51">
      <w:r>
        <w:separator/>
      </w:r>
    </w:p>
  </w:endnote>
  <w:endnote w:type="continuationSeparator" w:id="0">
    <w:p w14:paraId="6E5CD892" w14:textId="77777777" w:rsidR="009251CB" w:rsidRDefault="009251CB" w:rsidP="00D13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10A68" w14:textId="518A5A9C" w:rsidR="00B0483A" w:rsidRDefault="00D421AD">
    <w:pPr>
      <w:pStyle w:val="Footer"/>
    </w:pPr>
    <w:r>
      <w:t>Supporting Statement: Part B</w:t>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sidR="00BF6628">
      <w:rPr>
        <w:b/>
        <w:bCs/>
        <w:noProof/>
      </w:rPr>
      <w:t>8</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BF6628">
      <w:rPr>
        <w:b/>
        <w:bCs/>
        <w:noProof/>
      </w:rPr>
      <w:t>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50A55" w14:textId="77777777" w:rsidR="009251CB" w:rsidRDefault="009251CB" w:rsidP="00D13C51">
      <w:r>
        <w:separator/>
      </w:r>
    </w:p>
  </w:footnote>
  <w:footnote w:type="continuationSeparator" w:id="0">
    <w:p w14:paraId="295EB844" w14:textId="77777777" w:rsidR="009251CB" w:rsidRDefault="009251CB" w:rsidP="00D13C51">
      <w:r>
        <w:continuationSeparator/>
      </w:r>
    </w:p>
  </w:footnote>
  <w:footnote w:id="1">
    <w:p w14:paraId="7F766E72" w14:textId="77777777" w:rsidR="00B54C93" w:rsidRDefault="00B54C93" w:rsidP="00B54C93">
      <w:pPr>
        <w:pStyle w:val="FootnoteText"/>
      </w:pPr>
      <w:r>
        <w:rPr>
          <w:rStyle w:val="FootnoteReference"/>
        </w:rPr>
        <w:footnoteRef/>
      </w:r>
      <w:r>
        <w:t xml:space="preserve"> </w:t>
      </w:r>
      <w:proofErr w:type="spellStart"/>
      <w:r>
        <w:t>Druckman</w:t>
      </w:r>
      <w:proofErr w:type="spellEnd"/>
      <w:r>
        <w:t xml:space="preserve"> and Kam (2011) provide extensive discussion of the external validity of experiments with student subjects that are specifically to test economic theories. See also </w:t>
      </w:r>
      <w:proofErr w:type="spellStart"/>
      <w:r>
        <w:t>Plott</w:t>
      </w:r>
      <w:proofErr w:type="spellEnd"/>
      <w:r>
        <w:t xml:space="preserve"> (1991), </w:t>
      </w:r>
      <w:proofErr w:type="spellStart"/>
      <w:r>
        <w:t>Guala</w:t>
      </w:r>
      <w:proofErr w:type="spellEnd"/>
      <w:r>
        <w:t xml:space="preserve"> (2005), </w:t>
      </w:r>
      <w:proofErr w:type="spellStart"/>
      <w:r>
        <w:t>Bardsley</w:t>
      </w:r>
      <w:proofErr w:type="spellEnd"/>
      <w:r>
        <w:t xml:space="preserve"> (2010), </w:t>
      </w:r>
      <w:proofErr w:type="spellStart"/>
      <w:r>
        <w:t>Croson</w:t>
      </w:r>
      <w:proofErr w:type="spellEnd"/>
      <w:r>
        <w:t xml:space="preserve"> and </w:t>
      </w:r>
      <w:proofErr w:type="spellStart"/>
      <w:r>
        <w:t>Gachter</w:t>
      </w:r>
      <w:proofErr w:type="spellEnd"/>
      <w:r>
        <w:t xml:space="preserve"> (2010), and </w:t>
      </w:r>
      <w:proofErr w:type="spellStart"/>
      <w:r>
        <w:t>Camerer</w:t>
      </w:r>
      <w:proofErr w:type="spellEnd"/>
      <w:r>
        <w:t xml:space="preserve"> (2011).  </w:t>
      </w:r>
    </w:p>
  </w:footnote>
  <w:footnote w:id="2">
    <w:p w14:paraId="7D77F6A2" w14:textId="77777777" w:rsidR="00381194" w:rsidRDefault="00381194" w:rsidP="00381194">
      <w:pPr>
        <w:pStyle w:val="FootnoteText"/>
      </w:pPr>
      <w:r>
        <w:rPr>
          <w:rStyle w:val="FootnoteReference"/>
        </w:rPr>
        <w:footnoteRef/>
      </w:r>
      <w:r>
        <w:t xml:space="preserve"> </w:t>
      </w:r>
      <w:r w:rsidRPr="0062404A">
        <w:rPr>
          <w:i/>
        </w:rPr>
        <w:t>Wealth effects</w:t>
      </w:r>
      <w:r>
        <w:t xml:space="preserve"> are the theoretical changes in behavior that occur after a given individuals’ wealth increases.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E2654"/>
    <w:multiLevelType w:val="hybridMultilevel"/>
    <w:tmpl w:val="B3C28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016D4"/>
    <w:multiLevelType w:val="hybridMultilevel"/>
    <w:tmpl w:val="E136682E"/>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335F7C79"/>
    <w:multiLevelType w:val="hybridMultilevel"/>
    <w:tmpl w:val="61F44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97195F"/>
    <w:multiLevelType w:val="hybridMultilevel"/>
    <w:tmpl w:val="4B067A56"/>
    <w:lvl w:ilvl="0" w:tplc="FFFFFFFF">
      <w:start w:val="2"/>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4" w15:restartNumberingAfterBreak="0">
    <w:nsid w:val="647778D5"/>
    <w:multiLevelType w:val="hybridMultilevel"/>
    <w:tmpl w:val="48323CC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8A1B23"/>
    <w:multiLevelType w:val="hybridMultilevel"/>
    <w:tmpl w:val="C31A4F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577EFA"/>
    <w:multiLevelType w:val="hybridMultilevel"/>
    <w:tmpl w:val="093EE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5"/>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4CE"/>
    <w:rsid w:val="00000883"/>
    <w:rsid w:val="00003382"/>
    <w:rsid w:val="00003D2C"/>
    <w:rsid w:val="00006063"/>
    <w:rsid w:val="0000616B"/>
    <w:rsid w:val="000062C1"/>
    <w:rsid w:val="000072FF"/>
    <w:rsid w:val="00013FC2"/>
    <w:rsid w:val="0001479F"/>
    <w:rsid w:val="0002212C"/>
    <w:rsid w:val="00022D08"/>
    <w:rsid w:val="000234FD"/>
    <w:rsid w:val="00024C69"/>
    <w:rsid w:val="00025225"/>
    <w:rsid w:val="00025CAF"/>
    <w:rsid w:val="00026F9A"/>
    <w:rsid w:val="00033362"/>
    <w:rsid w:val="000353E3"/>
    <w:rsid w:val="00040D96"/>
    <w:rsid w:val="00045798"/>
    <w:rsid w:val="0005318F"/>
    <w:rsid w:val="00054E46"/>
    <w:rsid w:val="00055AFB"/>
    <w:rsid w:val="000600CB"/>
    <w:rsid w:val="000600D1"/>
    <w:rsid w:val="00072460"/>
    <w:rsid w:val="0008118E"/>
    <w:rsid w:val="00086AD6"/>
    <w:rsid w:val="0008709E"/>
    <w:rsid w:val="00087102"/>
    <w:rsid w:val="00087DD1"/>
    <w:rsid w:val="00093A52"/>
    <w:rsid w:val="00097D9F"/>
    <w:rsid w:val="000B07F4"/>
    <w:rsid w:val="000B1883"/>
    <w:rsid w:val="000C5CD6"/>
    <w:rsid w:val="000C74F1"/>
    <w:rsid w:val="000D03BC"/>
    <w:rsid w:val="000D0751"/>
    <w:rsid w:val="000D260B"/>
    <w:rsid w:val="000D4F5C"/>
    <w:rsid w:val="000E132C"/>
    <w:rsid w:val="000E217B"/>
    <w:rsid w:val="000E2579"/>
    <w:rsid w:val="000E3A16"/>
    <w:rsid w:val="000E53EA"/>
    <w:rsid w:val="000E6CB4"/>
    <w:rsid w:val="000F3E22"/>
    <w:rsid w:val="000F52EA"/>
    <w:rsid w:val="000F6E22"/>
    <w:rsid w:val="001003F8"/>
    <w:rsid w:val="00104A2E"/>
    <w:rsid w:val="00104C44"/>
    <w:rsid w:val="00104D06"/>
    <w:rsid w:val="00107C8B"/>
    <w:rsid w:val="001102A9"/>
    <w:rsid w:val="00110E44"/>
    <w:rsid w:val="001117AC"/>
    <w:rsid w:val="00112291"/>
    <w:rsid w:val="00113437"/>
    <w:rsid w:val="0011657F"/>
    <w:rsid w:val="00117C17"/>
    <w:rsid w:val="00117F0F"/>
    <w:rsid w:val="00117F37"/>
    <w:rsid w:val="001203F6"/>
    <w:rsid w:val="00120528"/>
    <w:rsid w:val="00124DF9"/>
    <w:rsid w:val="00131351"/>
    <w:rsid w:val="001327B1"/>
    <w:rsid w:val="00145230"/>
    <w:rsid w:val="001464C7"/>
    <w:rsid w:val="001505E4"/>
    <w:rsid w:val="0016193D"/>
    <w:rsid w:val="00161A02"/>
    <w:rsid w:val="0017055C"/>
    <w:rsid w:val="0017109A"/>
    <w:rsid w:val="00181AD4"/>
    <w:rsid w:val="00182BF9"/>
    <w:rsid w:val="001845C7"/>
    <w:rsid w:val="00187D52"/>
    <w:rsid w:val="00187E7D"/>
    <w:rsid w:val="0019016A"/>
    <w:rsid w:val="00191295"/>
    <w:rsid w:val="001915AC"/>
    <w:rsid w:val="00193B10"/>
    <w:rsid w:val="001943CB"/>
    <w:rsid w:val="001A1106"/>
    <w:rsid w:val="001A237C"/>
    <w:rsid w:val="001A32B5"/>
    <w:rsid w:val="001A6186"/>
    <w:rsid w:val="001B06AF"/>
    <w:rsid w:val="001B2F26"/>
    <w:rsid w:val="001B33A3"/>
    <w:rsid w:val="001B76AD"/>
    <w:rsid w:val="001D7392"/>
    <w:rsid w:val="001E64C9"/>
    <w:rsid w:val="001E7F43"/>
    <w:rsid w:val="001F0C27"/>
    <w:rsid w:val="001F16FB"/>
    <w:rsid w:val="001F4915"/>
    <w:rsid w:val="001F6BD4"/>
    <w:rsid w:val="00201E7C"/>
    <w:rsid w:val="00204968"/>
    <w:rsid w:val="002106BD"/>
    <w:rsid w:val="0021102B"/>
    <w:rsid w:val="00211F1D"/>
    <w:rsid w:val="002150D9"/>
    <w:rsid w:val="002162B9"/>
    <w:rsid w:val="00217338"/>
    <w:rsid w:val="00217E1E"/>
    <w:rsid w:val="00224591"/>
    <w:rsid w:val="00225AB6"/>
    <w:rsid w:val="002300C0"/>
    <w:rsid w:val="00236AA9"/>
    <w:rsid w:val="0024102B"/>
    <w:rsid w:val="002478CD"/>
    <w:rsid w:val="002500A9"/>
    <w:rsid w:val="00252DCA"/>
    <w:rsid w:val="002544D4"/>
    <w:rsid w:val="00257981"/>
    <w:rsid w:val="00257CDA"/>
    <w:rsid w:val="00262D2B"/>
    <w:rsid w:val="00263495"/>
    <w:rsid w:val="00263DD9"/>
    <w:rsid w:val="00265CEA"/>
    <w:rsid w:val="002702EF"/>
    <w:rsid w:val="0027610A"/>
    <w:rsid w:val="0028100B"/>
    <w:rsid w:val="002810C8"/>
    <w:rsid w:val="00282200"/>
    <w:rsid w:val="0028221D"/>
    <w:rsid w:val="00285582"/>
    <w:rsid w:val="00292581"/>
    <w:rsid w:val="00292F84"/>
    <w:rsid w:val="002962AB"/>
    <w:rsid w:val="002A0594"/>
    <w:rsid w:val="002A3018"/>
    <w:rsid w:val="002A3269"/>
    <w:rsid w:val="002A6223"/>
    <w:rsid w:val="002B06EB"/>
    <w:rsid w:val="002B176C"/>
    <w:rsid w:val="002B1F7B"/>
    <w:rsid w:val="002B2236"/>
    <w:rsid w:val="002B2BB8"/>
    <w:rsid w:val="002B3E78"/>
    <w:rsid w:val="002C2786"/>
    <w:rsid w:val="002C2D1A"/>
    <w:rsid w:val="002C43C2"/>
    <w:rsid w:val="002E0CC4"/>
    <w:rsid w:val="002E29E7"/>
    <w:rsid w:val="002E3DFA"/>
    <w:rsid w:val="002E4EE7"/>
    <w:rsid w:val="002E644B"/>
    <w:rsid w:val="002E75B9"/>
    <w:rsid w:val="002E7D3A"/>
    <w:rsid w:val="002F131C"/>
    <w:rsid w:val="00300035"/>
    <w:rsid w:val="003019C4"/>
    <w:rsid w:val="00310329"/>
    <w:rsid w:val="00310FF1"/>
    <w:rsid w:val="0031117E"/>
    <w:rsid w:val="00311F0C"/>
    <w:rsid w:val="003156E8"/>
    <w:rsid w:val="00315BA9"/>
    <w:rsid w:val="00324B2C"/>
    <w:rsid w:val="00325793"/>
    <w:rsid w:val="00326212"/>
    <w:rsid w:val="003309EE"/>
    <w:rsid w:val="00335072"/>
    <w:rsid w:val="003375FA"/>
    <w:rsid w:val="003402C9"/>
    <w:rsid w:val="003412AD"/>
    <w:rsid w:val="00345216"/>
    <w:rsid w:val="00345BEE"/>
    <w:rsid w:val="00360E31"/>
    <w:rsid w:val="00364755"/>
    <w:rsid w:val="003653A2"/>
    <w:rsid w:val="0036664A"/>
    <w:rsid w:val="00372183"/>
    <w:rsid w:val="00374D76"/>
    <w:rsid w:val="00374F9F"/>
    <w:rsid w:val="003754E3"/>
    <w:rsid w:val="00375617"/>
    <w:rsid w:val="0037650B"/>
    <w:rsid w:val="00381194"/>
    <w:rsid w:val="00381478"/>
    <w:rsid w:val="003817A1"/>
    <w:rsid w:val="00381CD4"/>
    <w:rsid w:val="0038205C"/>
    <w:rsid w:val="0039442D"/>
    <w:rsid w:val="00395AC5"/>
    <w:rsid w:val="00396B5C"/>
    <w:rsid w:val="00396C3A"/>
    <w:rsid w:val="003A22CE"/>
    <w:rsid w:val="003A3671"/>
    <w:rsid w:val="003B0292"/>
    <w:rsid w:val="003B3BAD"/>
    <w:rsid w:val="003B4AD6"/>
    <w:rsid w:val="003B512C"/>
    <w:rsid w:val="003B5E84"/>
    <w:rsid w:val="003C008A"/>
    <w:rsid w:val="003C1293"/>
    <w:rsid w:val="003C349C"/>
    <w:rsid w:val="003C5B4E"/>
    <w:rsid w:val="003C783F"/>
    <w:rsid w:val="003D12B9"/>
    <w:rsid w:val="003D261A"/>
    <w:rsid w:val="003E0018"/>
    <w:rsid w:val="003E1280"/>
    <w:rsid w:val="003E1E3F"/>
    <w:rsid w:val="003E4E6D"/>
    <w:rsid w:val="003E6EB9"/>
    <w:rsid w:val="003F0806"/>
    <w:rsid w:val="003F0BC1"/>
    <w:rsid w:val="003F594E"/>
    <w:rsid w:val="00400A81"/>
    <w:rsid w:val="00416306"/>
    <w:rsid w:val="0041672B"/>
    <w:rsid w:val="00423E15"/>
    <w:rsid w:val="00424168"/>
    <w:rsid w:val="00425DAA"/>
    <w:rsid w:val="00425E0A"/>
    <w:rsid w:val="00425F40"/>
    <w:rsid w:val="00430254"/>
    <w:rsid w:val="00430749"/>
    <w:rsid w:val="00431DF2"/>
    <w:rsid w:val="0043267B"/>
    <w:rsid w:val="0043375C"/>
    <w:rsid w:val="00435750"/>
    <w:rsid w:val="00437844"/>
    <w:rsid w:val="00452146"/>
    <w:rsid w:val="00454E9E"/>
    <w:rsid w:val="0045634C"/>
    <w:rsid w:val="00461E44"/>
    <w:rsid w:val="00462471"/>
    <w:rsid w:val="004671F3"/>
    <w:rsid w:val="00482EC0"/>
    <w:rsid w:val="00485360"/>
    <w:rsid w:val="0048568F"/>
    <w:rsid w:val="00493F6E"/>
    <w:rsid w:val="00495103"/>
    <w:rsid w:val="00497501"/>
    <w:rsid w:val="004B10FB"/>
    <w:rsid w:val="004B2717"/>
    <w:rsid w:val="004B303B"/>
    <w:rsid w:val="004B4230"/>
    <w:rsid w:val="004B68BD"/>
    <w:rsid w:val="004C5323"/>
    <w:rsid w:val="004C54AB"/>
    <w:rsid w:val="004C55A3"/>
    <w:rsid w:val="004C56BD"/>
    <w:rsid w:val="004C690B"/>
    <w:rsid w:val="004C7C23"/>
    <w:rsid w:val="004D340F"/>
    <w:rsid w:val="004E643C"/>
    <w:rsid w:val="004F18B1"/>
    <w:rsid w:val="005010B9"/>
    <w:rsid w:val="0050126D"/>
    <w:rsid w:val="005014E7"/>
    <w:rsid w:val="00502625"/>
    <w:rsid w:val="005035EC"/>
    <w:rsid w:val="0050693B"/>
    <w:rsid w:val="00511DCF"/>
    <w:rsid w:val="005301B6"/>
    <w:rsid w:val="00530958"/>
    <w:rsid w:val="005329E1"/>
    <w:rsid w:val="0053307A"/>
    <w:rsid w:val="00540622"/>
    <w:rsid w:val="0055058D"/>
    <w:rsid w:val="00552576"/>
    <w:rsid w:val="00552C75"/>
    <w:rsid w:val="00565A12"/>
    <w:rsid w:val="005675F8"/>
    <w:rsid w:val="00567747"/>
    <w:rsid w:val="0056795F"/>
    <w:rsid w:val="0057096D"/>
    <w:rsid w:val="005711B7"/>
    <w:rsid w:val="0057354B"/>
    <w:rsid w:val="00575294"/>
    <w:rsid w:val="005752ED"/>
    <w:rsid w:val="00580C5F"/>
    <w:rsid w:val="005853D1"/>
    <w:rsid w:val="00590640"/>
    <w:rsid w:val="005A3327"/>
    <w:rsid w:val="005B401A"/>
    <w:rsid w:val="005B6CD8"/>
    <w:rsid w:val="005B7FB3"/>
    <w:rsid w:val="005C6531"/>
    <w:rsid w:val="005D1526"/>
    <w:rsid w:val="005D5C27"/>
    <w:rsid w:val="005D6F3E"/>
    <w:rsid w:val="005E05D1"/>
    <w:rsid w:val="005F5482"/>
    <w:rsid w:val="005F6765"/>
    <w:rsid w:val="005F7BC4"/>
    <w:rsid w:val="00600A0C"/>
    <w:rsid w:val="00603E68"/>
    <w:rsid w:val="006178F6"/>
    <w:rsid w:val="006219CC"/>
    <w:rsid w:val="00622B71"/>
    <w:rsid w:val="00623232"/>
    <w:rsid w:val="00624F19"/>
    <w:rsid w:val="006258A2"/>
    <w:rsid w:val="0063146F"/>
    <w:rsid w:val="00635D6B"/>
    <w:rsid w:val="0064620C"/>
    <w:rsid w:val="00652369"/>
    <w:rsid w:val="00653894"/>
    <w:rsid w:val="00670041"/>
    <w:rsid w:val="0067009D"/>
    <w:rsid w:val="00671EE8"/>
    <w:rsid w:val="00673C41"/>
    <w:rsid w:val="006767F8"/>
    <w:rsid w:val="006808D7"/>
    <w:rsid w:val="006830D1"/>
    <w:rsid w:val="0068412D"/>
    <w:rsid w:val="0068729F"/>
    <w:rsid w:val="006942EE"/>
    <w:rsid w:val="00694BBF"/>
    <w:rsid w:val="006A42F7"/>
    <w:rsid w:val="006A5704"/>
    <w:rsid w:val="006A5737"/>
    <w:rsid w:val="006A589C"/>
    <w:rsid w:val="006A58A9"/>
    <w:rsid w:val="006A6D70"/>
    <w:rsid w:val="006A79DC"/>
    <w:rsid w:val="006B3D7D"/>
    <w:rsid w:val="006B4028"/>
    <w:rsid w:val="006B73A5"/>
    <w:rsid w:val="006C2920"/>
    <w:rsid w:val="006C2AB5"/>
    <w:rsid w:val="006C6559"/>
    <w:rsid w:val="006D0C62"/>
    <w:rsid w:val="006E24FE"/>
    <w:rsid w:val="006E48D1"/>
    <w:rsid w:val="006F230F"/>
    <w:rsid w:val="006F494E"/>
    <w:rsid w:val="006F49FF"/>
    <w:rsid w:val="006F5D71"/>
    <w:rsid w:val="006F62F1"/>
    <w:rsid w:val="00703281"/>
    <w:rsid w:val="00703F8F"/>
    <w:rsid w:val="00707449"/>
    <w:rsid w:val="00711A71"/>
    <w:rsid w:val="00712688"/>
    <w:rsid w:val="00712797"/>
    <w:rsid w:val="00715E1A"/>
    <w:rsid w:val="00716574"/>
    <w:rsid w:val="00717ADD"/>
    <w:rsid w:val="00720498"/>
    <w:rsid w:val="0072350B"/>
    <w:rsid w:val="007244ED"/>
    <w:rsid w:val="007252CC"/>
    <w:rsid w:val="00725FE1"/>
    <w:rsid w:val="00726B4B"/>
    <w:rsid w:val="00727809"/>
    <w:rsid w:val="00730004"/>
    <w:rsid w:val="00730DDC"/>
    <w:rsid w:val="00744FEF"/>
    <w:rsid w:val="00747D3D"/>
    <w:rsid w:val="0075061A"/>
    <w:rsid w:val="0075133B"/>
    <w:rsid w:val="007515BC"/>
    <w:rsid w:val="00754BFA"/>
    <w:rsid w:val="007646AF"/>
    <w:rsid w:val="00772ED2"/>
    <w:rsid w:val="007760ED"/>
    <w:rsid w:val="0078056C"/>
    <w:rsid w:val="007842FC"/>
    <w:rsid w:val="00786052"/>
    <w:rsid w:val="007865A9"/>
    <w:rsid w:val="00791976"/>
    <w:rsid w:val="0079224E"/>
    <w:rsid w:val="007934D2"/>
    <w:rsid w:val="007941F1"/>
    <w:rsid w:val="0079744F"/>
    <w:rsid w:val="007A096B"/>
    <w:rsid w:val="007A0DA8"/>
    <w:rsid w:val="007A4C91"/>
    <w:rsid w:val="007B01DE"/>
    <w:rsid w:val="007B0776"/>
    <w:rsid w:val="007B23E5"/>
    <w:rsid w:val="007B5290"/>
    <w:rsid w:val="007B6485"/>
    <w:rsid w:val="007C0EC7"/>
    <w:rsid w:val="007C751B"/>
    <w:rsid w:val="007D0A19"/>
    <w:rsid w:val="007D5D96"/>
    <w:rsid w:val="007D7BA5"/>
    <w:rsid w:val="007D7F76"/>
    <w:rsid w:val="007E09DD"/>
    <w:rsid w:val="007E2473"/>
    <w:rsid w:val="007E30BF"/>
    <w:rsid w:val="007E3D5B"/>
    <w:rsid w:val="007E7450"/>
    <w:rsid w:val="007E75F5"/>
    <w:rsid w:val="007E7ACA"/>
    <w:rsid w:val="007F2FF6"/>
    <w:rsid w:val="007F5247"/>
    <w:rsid w:val="007F7A99"/>
    <w:rsid w:val="0080013F"/>
    <w:rsid w:val="008014CE"/>
    <w:rsid w:val="0080400C"/>
    <w:rsid w:val="00804809"/>
    <w:rsid w:val="00807AD9"/>
    <w:rsid w:val="00810A22"/>
    <w:rsid w:val="00813210"/>
    <w:rsid w:val="00813E82"/>
    <w:rsid w:val="008148E7"/>
    <w:rsid w:val="00824F4E"/>
    <w:rsid w:val="00834C24"/>
    <w:rsid w:val="008379DD"/>
    <w:rsid w:val="00841D1B"/>
    <w:rsid w:val="00841F89"/>
    <w:rsid w:val="00843629"/>
    <w:rsid w:val="00851D97"/>
    <w:rsid w:val="00854449"/>
    <w:rsid w:val="00865405"/>
    <w:rsid w:val="00865A5B"/>
    <w:rsid w:val="00865CF5"/>
    <w:rsid w:val="0086682D"/>
    <w:rsid w:val="008669FC"/>
    <w:rsid w:val="00872BEE"/>
    <w:rsid w:val="00876220"/>
    <w:rsid w:val="008826DB"/>
    <w:rsid w:val="00884244"/>
    <w:rsid w:val="00886C4A"/>
    <w:rsid w:val="00887417"/>
    <w:rsid w:val="00890CB3"/>
    <w:rsid w:val="008A5A9F"/>
    <w:rsid w:val="008A6CB3"/>
    <w:rsid w:val="008B4B60"/>
    <w:rsid w:val="008C502D"/>
    <w:rsid w:val="008C705E"/>
    <w:rsid w:val="008D3664"/>
    <w:rsid w:val="008D3BCE"/>
    <w:rsid w:val="008E2B0B"/>
    <w:rsid w:val="008E46F0"/>
    <w:rsid w:val="008E59EA"/>
    <w:rsid w:val="008F01CB"/>
    <w:rsid w:val="008F1BFC"/>
    <w:rsid w:val="00902000"/>
    <w:rsid w:val="009027DD"/>
    <w:rsid w:val="00903F2A"/>
    <w:rsid w:val="009165DC"/>
    <w:rsid w:val="00923B9C"/>
    <w:rsid w:val="00924754"/>
    <w:rsid w:val="009251CB"/>
    <w:rsid w:val="00933657"/>
    <w:rsid w:val="00934614"/>
    <w:rsid w:val="00940A56"/>
    <w:rsid w:val="00941DA7"/>
    <w:rsid w:val="00942E49"/>
    <w:rsid w:val="009440D1"/>
    <w:rsid w:val="00950746"/>
    <w:rsid w:val="00953EAA"/>
    <w:rsid w:val="0095509D"/>
    <w:rsid w:val="00955F3D"/>
    <w:rsid w:val="00963C93"/>
    <w:rsid w:val="00966C4B"/>
    <w:rsid w:val="00972E3A"/>
    <w:rsid w:val="00977FF2"/>
    <w:rsid w:val="0098086D"/>
    <w:rsid w:val="0098426E"/>
    <w:rsid w:val="00993A51"/>
    <w:rsid w:val="009958D4"/>
    <w:rsid w:val="009A35D0"/>
    <w:rsid w:val="009B003F"/>
    <w:rsid w:val="009B3D64"/>
    <w:rsid w:val="009B414B"/>
    <w:rsid w:val="009B4E62"/>
    <w:rsid w:val="009B6E45"/>
    <w:rsid w:val="009C27C8"/>
    <w:rsid w:val="009C4B44"/>
    <w:rsid w:val="009C6D26"/>
    <w:rsid w:val="009D3DCB"/>
    <w:rsid w:val="009D6DE1"/>
    <w:rsid w:val="009D7688"/>
    <w:rsid w:val="009E227F"/>
    <w:rsid w:val="009E531D"/>
    <w:rsid w:val="009F1030"/>
    <w:rsid w:val="009F5678"/>
    <w:rsid w:val="009F6D15"/>
    <w:rsid w:val="00A007BF"/>
    <w:rsid w:val="00A01290"/>
    <w:rsid w:val="00A01D05"/>
    <w:rsid w:val="00A027BF"/>
    <w:rsid w:val="00A06198"/>
    <w:rsid w:val="00A06C7C"/>
    <w:rsid w:val="00A1584A"/>
    <w:rsid w:val="00A1764E"/>
    <w:rsid w:val="00A3451A"/>
    <w:rsid w:val="00A366C5"/>
    <w:rsid w:val="00A37033"/>
    <w:rsid w:val="00A378D8"/>
    <w:rsid w:val="00A43BCA"/>
    <w:rsid w:val="00A46903"/>
    <w:rsid w:val="00A53411"/>
    <w:rsid w:val="00A54381"/>
    <w:rsid w:val="00A54F04"/>
    <w:rsid w:val="00A56236"/>
    <w:rsid w:val="00A66D07"/>
    <w:rsid w:val="00A74874"/>
    <w:rsid w:val="00A75970"/>
    <w:rsid w:val="00A81EDE"/>
    <w:rsid w:val="00A84061"/>
    <w:rsid w:val="00A84530"/>
    <w:rsid w:val="00A856DA"/>
    <w:rsid w:val="00A865C1"/>
    <w:rsid w:val="00A90B05"/>
    <w:rsid w:val="00A952F3"/>
    <w:rsid w:val="00AA0723"/>
    <w:rsid w:val="00AB6F5B"/>
    <w:rsid w:val="00AC07C9"/>
    <w:rsid w:val="00AD0804"/>
    <w:rsid w:val="00AD0FD2"/>
    <w:rsid w:val="00AD1063"/>
    <w:rsid w:val="00AD1852"/>
    <w:rsid w:val="00AD3579"/>
    <w:rsid w:val="00AD4BE7"/>
    <w:rsid w:val="00AD5405"/>
    <w:rsid w:val="00AE10A0"/>
    <w:rsid w:val="00AE1937"/>
    <w:rsid w:val="00AE2575"/>
    <w:rsid w:val="00AE5A77"/>
    <w:rsid w:val="00AF4938"/>
    <w:rsid w:val="00AF4FC4"/>
    <w:rsid w:val="00AF71D2"/>
    <w:rsid w:val="00B0483A"/>
    <w:rsid w:val="00B1117A"/>
    <w:rsid w:val="00B12D8F"/>
    <w:rsid w:val="00B1457A"/>
    <w:rsid w:val="00B14857"/>
    <w:rsid w:val="00B17289"/>
    <w:rsid w:val="00B21D4F"/>
    <w:rsid w:val="00B235D3"/>
    <w:rsid w:val="00B23A9E"/>
    <w:rsid w:val="00B267F4"/>
    <w:rsid w:val="00B30BA3"/>
    <w:rsid w:val="00B310FA"/>
    <w:rsid w:val="00B40C8C"/>
    <w:rsid w:val="00B40E77"/>
    <w:rsid w:val="00B44C0A"/>
    <w:rsid w:val="00B47926"/>
    <w:rsid w:val="00B51E0D"/>
    <w:rsid w:val="00B52537"/>
    <w:rsid w:val="00B5452E"/>
    <w:rsid w:val="00B54C93"/>
    <w:rsid w:val="00B55187"/>
    <w:rsid w:val="00B56735"/>
    <w:rsid w:val="00B61922"/>
    <w:rsid w:val="00B76129"/>
    <w:rsid w:val="00B84D66"/>
    <w:rsid w:val="00B96A9F"/>
    <w:rsid w:val="00BA1FCF"/>
    <w:rsid w:val="00BA3E94"/>
    <w:rsid w:val="00BA6E2D"/>
    <w:rsid w:val="00BB4BBE"/>
    <w:rsid w:val="00BB586E"/>
    <w:rsid w:val="00BC071F"/>
    <w:rsid w:val="00BC4174"/>
    <w:rsid w:val="00BD3D6C"/>
    <w:rsid w:val="00BE3955"/>
    <w:rsid w:val="00BE5A14"/>
    <w:rsid w:val="00BE618F"/>
    <w:rsid w:val="00BE7E8E"/>
    <w:rsid w:val="00BF6628"/>
    <w:rsid w:val="00C0767F"/>
    <w:rsid w:val="00C138D6"/>
    <w:rsid w:val="00C1419D"/>
    <w:rsid w:val="00C14478"/>
    <w:rsid w:val="00C20761"/>
    <w:rsid w:val="00C218E4"/>
    <w:rsid w:val="00C23F77"/>
    <w:rsid w:val="00C25C78"/>
    <w:rsid w:val="00C344A0"/>
    <w:rsid w:val="00C45A95"/>
    <w:rsid w:val="00C474E0"/>
    <w:rsid w:val="00C55505"/>
    <w:rsid w:val="00C556F8"/>
    <w:rsid w:val="00C637EB"/>
    <w:rsid w:val="00C64B10"/>
    <w:rsid w:val="00C67368"/>
    <w:rsid w:val="00C80147"/>
    <w:rsid w:val="00C81093"/>
    <w:rsid w:val="00C855C0"/>
    <w:rsid w:val="00C929A2"/>
    <w:rsid w:val="00CA2878"/>
    <w:rsid w:val="00CA76A7"/>
    <w:rsid w:val="00CA7AB3"/>
    <w:rsid w:val="00CB189A"/>
    <w:rsid w:val="00CB3D6B"/>
    <w:rsid w:val="00CB3FB6"/>
    <w:rsid w:val="00CB5215"/>
    <w:rsid w:val="00CB7FCE"/>
    <w:rsid w:val="00CC201E"/>
    <w:rsid w:val="00CC2288"/>
    <w:rsid w:val="00CC7777"/>
    <w:rsid w:val="00CD044B"/>
    <w:rsid w:val="00CD048C"/>
    <w:rsid w:val="00CD093A"/>
    <w:rsid w:val="00CD1547"/>
    <w:rsid w:val="00CD26F8"/>
    <w:rsid w:val="00CD70D9"/>
    <w:rsid w:val="00CE044C"/>
    <w:rsid w:val="00CE244B"/>
    <w:rsid w:val="00CE5595"/>
    <w:rsid w:val="00CE5EE4"/>
    <w:rsid w:val="00CE66E1"/>
    <w:rsid w:val="00CE71E4"/>
    <w:rsid w:val="00CF0562"/>
    <w:rsid w:val="00CF1051"/>
    <w:rsid w:val="00CF3F9D"/>
    <w:rsid w:val="00CF4892"/>
    <w:rsid w:val="00CF60BA"/>
    <w:rsid w:val="00D0692A"/>
    <w:rsid w:val="00D0716A"/>
    <w:rsid w:val="00D109CE"/>
    <w:rsid w:val="00D13BB5"/>
    <w:rsid w:val="00D13C51"/>
    <w:rsid w:val="00D14A47"/>
    <w:rsid w:val="00D247D1"/>
    <w:rsid w:val="00D271CA"/>
    <w:rsid w:val="00D31669"/>
    <w:rsid w:val="00D404E4"/>
    <w:rsid w:val="00D415B6"/>
    <w:rsid w:val="00D41664"/>
    <w:rsid w:val="00D41B21"/>
    <w:rsid w:val="00D41B7B"/>
    <w:rsid w:val="00D421AD"/>
    <w:rsid w:val="00D42286"/>
    <w:rsid w:val="00D42ABD"/>
    <w:rsid w:val="00D45F3B"/>
    <w:rsid w:val="00D471CD"/>
    <w:rsid w:val="00D47FB2"/>
    <w:rsid w:val="00D528E3"/>
    <w:rsid w:val="00D52FB7"/>
    <w:rsid w:val="00D56A78"/>
    <w:rsid w:val="00D5740F"/>
    <w:rsid w:val="00D60F1C"/>
    <w:rsid w:val="00D72D31"/>
    <w:rsid w:val="00D75929"/>
    <w:rsid w:val="00D821C3"/>
    <w:rsid w:val="00D83B88"/>
    <w:rsid w:val="00D846E7"/>
    <w:rsid w:val="00D876CE"/>
    <w:rsid w:val="00D90ED4"/>
    <w:rsid w:val="00D930AA"/>
    <w:rsid w:val="00D93B49"/>
    <w:rsid w:val="00D94065"/>
    <w:rsid w:val="00DB1FA6"/>
    <w:rsid w:val="00DB290C"/>
    <w:rsid w:val="00DB3AEF"/>
    <w:rsid w:val="00DB61A1"/>
    <w:rsid w:val="00DC2DE7"/>
    <w:rsid w:val="00DC437B"/>
    <w:rsid w:val="00DC643E"/>
    <w:rsid w:val="00DD1CE5"/>
    <w:rsid w:val="00DD1FA4"/>
    <w:rsid w:val="00DD39B2"/>
    <w:rsid w:val="00DD3F1F"/>
    <w:rsid w:val="00DD5092"/>
    <w:rsid w:val="00DD50A7"/>
    <w:rsid w:val="00DD5399"/>
    <w:rsid w:val="00DD6CF3"/>
    <w:rsid w:val="00DE536B"/>
    <w:rsid w:val="00DE538D"/>
    <w:rsid w:val="00DE749A"/>
    <w:rsid w:val="00DF0C62"/>
    <w:rsid w:val="00DF148A"/>
    <w:rsid w:val="00DF1C13"/>
    <w:rsid w:val="00E0160D"/>
    <w:rsid w:val="00E02717"/>
    <w:rsid w:val="00E06027"/>
    <w:rsid w:val="00E11BA5"/>
    <w:rsid w:val="00E12CEB"/>
    <w:rsid w:val="00E1597B"/>
    <w:rsid w:val="00E22015"/>
    <w:rsid w:val="00E2331D"/>
    <w:rsid w:val="00E25669"/>
    <w:rsid w:val="00E35779"/>
    <w:rsid w:val="00E36969"/>
    <w:rsid w:val="00E37943"/>
    <w:rsid w:val="00E37BB0"/>
    <w:rsid w:val="00E411B9"/>
    <w:rsid w:val="00E45558"/>
    <w:rsid w:val="00E52961"/>
    <w:rsid w:val="00E5419B"/>
    <w:rsid w:val="00E552A4"/>
    <w:rsid w:val="00E55F64"/>
    <w:rsid w:val="00E60833"/>
    <w:rsid w:val="00E62472"/>
    <w:rsid w:val="00E64FAE"/>
    <w:rsid w:val="00E76ABC"/>
    <w:rsid w:val="00E81565"/>
    <w:rsid w:val="00E81662"/>
    <w:rsid w:val="00E82F08"/>
    <w:rsid w:val="00E92061"/>
    <w:rsid w:val="00E934C9"/>
    <w:rsid w:val="00E95FC3"/>
    <w:rsid w:val="00E96566"/>
    <w:rsid w:val="00EA247F"/>
    <w:rsid w:val="00EB1CA8"/>
    <w:rsid w:val="00EB2BD6"/>
    <w:rsid w:val="00EB431D"/>
    <w:rsid w:val="00EC4A1B"/>
    <w:rsid w:val="00EC6049"/>
    <w:rsid w:val="00EC6942"/>
    <w:rsid w:val="00ED03FF"/>
    <w:rsid w:val="00ED1BE3"/>
    <w:rsid w:val="00ED3C93"/>
    <w:rsid w:val="00ED3F2C"/>
    <w:rsid w:val="00ED63B4"/>
    <w:rsid w:val="00EE5505"/>
    <w:rsid w:val="00EE712A"/>
    <w:rsid w:val="00EF6C16"/>
    <w:rsid w:val="00F02FCB"/>
    <w:rsid w:val="00F10971"/>
    <w:rsid w:val="00F11078"/>
    <w:rsid w:val="00F12D54"/>
    <w:rsid w:val="00F13D2B"/>
    <w:rsid w:val="00F15701"/>
    <w:rsid w:val="00F15BB2"/>
    <w:rsid w:val="00F15D97"/>
    <w:rsid w:val="00F213FC"/>
    <w:rsid w:val="00F247BA"/>
    <w:rsid w:val="00F24AFC"/>
    <w:rsid w:val="00F27917"/>
    <w:rsid w:val="00F27AFD"/>
    <w:rsid w:val="00F30E52"/>
    <w:rsid w:val="00F34D52"/>
    <w:rsid w:val="00F368B7"/>
    <w:rsid w:val="00F41544"/>
    <w:rsid w:val="00F504F2"/>
    <w:rsid w:val="00F514E8"/>
    <w:rsid w:val="00F5246F"/>
    <w:rsid w:val="00F529F3"/>
    <w:rsid w:val="00F62269"/>
    <w:rsid w:val="00F66E3B"/>
    <w:rsid w:val="00F67189"/>
    <w:rsid w:val="00F67F5B"/>
    <w:rsid w:val="00F706AD"/>
    <w:rsid w:val="00F744D1"/>
    <w:rsid w:val="00F76747"/>
    <w:rsid w:val="00F82DA7"/>
    <w:rsid w:val="00F82E82"/>
    <w:rsid w:val="00F83213"/>
    <w:rsid w:val="00F84EB3"/>
    <w:rsid w:val="00F855AA"/>
    <w:rsid w:val="00F90076"/>
    <w:rsid w:val="00F90A32"/>
    <w:rsid w:val="00FB2B45"/>
    <w:rsid w:val="00FB2FF3"/>
    <w:rsid w:val="00FB7A87"/>
    <w:rsid w:val="00FC4F6D"/>
    <w:rsid w:val="00FC6A78"/>
    <w:rsid w:val="00FD0628"/>
    <w:rsid w:val="00FD2CA1"/>
    <w:rsid w:val="00FD3B9B"/>
    <w:rsid w:val="00FD5FBA"/>
    <w:rsid w:val="00FE0DFA"/>
    <w:rsid w:val="00FF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C6756"/>
  <w15:docId w15:val="{19A266C2-2D96-474E-9CB8-1F6B30025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4CE"/>
    <w:rPr>
      <w:rFonts w:eastAsia="Times New Roman"/>
      <w:sz w:val="24"/>
      <w:szCs w:val="24"/>
    </w:rPr>
  </w:style>
  <w:style w:type="paragraph" w:styleId="Heading1">
    <w:name w:val="heading 1"/>
    <w:basedOn w:val="Normal"/>
    <w:next w:val="Normal"/>
    <w:link w:val="Heading1Char"/>
    <w:qFormat/>
    <w:rsid w:val="008014CE"/>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14CE"/>
    <w:rPr>
      <w:rFonts w:eastAsia="Times New Roman"/>
      <w:sz w:val="24"/>
      <w:szCs w:val="24"/>
      <w:u w:val="single"/>
    </w:rPr>
  </w:style>
  <w:style w:type="paragraph" w:styleId="BodyText">
    <w:name w:val="Body Text"/>
    <w:basedOn w:val="Normal"/>
    <w:link w:val="BodyTextChar"/>
    <w:rsid w:val="008014CE"/>
  </w:style>
  <w:style w:type="character" w:customStyle="1" w:styleId="BodyTextChar">
    <w:name w:val="Body Text Char"/>
    <w:basedOn w:val="DefaultParagraphFont"/>
    <w:link w:val="BodyText"/>
    <w:rsid w:val="008014CE"/>
    <w:rPr>
      <w:rFonts w:eastAsia="Times New Roman"/>
      <w:sz w:val="24"/>
      <w:szCs w:val="24"/>
    </w:rPr>
  </w:style>
  <w:style w:type="paragraph" w:styleId="BodyText2">
    <w:name w:val="Body Text 2"/>
    <w:basedOn w:val="Normal"/>
    <w:link w:val="BodyText2Char"/>
    <w:rsid w:val="008014CE"/>
    <w:rPr>
      <w:u w:val="single"/>
    </w:rPr>
  </w:style>
  <w:style w:type="character" w:customStyle="1" w:styleId="BodyText2Char">
    <w:name w:val="Body Text 2 Char"/>
    <w:basedOn w:val="DefaultParagraphFont"/>
    <w:link w:val="BodyText2"/>
    <w:rsid w:val="008014CE"/>
    <w:rPr>
      <w:rFonts w:eastAsia="Times New Roman"/>
      <w:sz w:val="24"/>
      <w:szCs w:val="24"/>
      <w:u w:val="single"/>
    </w:rPr>
  </w:style>
  <w:style w:type="paragraph" w:styleId="BodyTextIndent3">
    <w:name w:val="Body Text Indent 3"/>
    <w:basedOn w:val="Normal"/>
    <w:link w:val="BodyTextIndent3Char"/>
    <w:rsid w:val="008014CE"/>
    <w:pPr>
      <w:spacing w:line="480" w:lineRule="auto"/>
      <w:ind w:firstLine="360"/>
    </w:pPr>
  </w:style>
  <w:style w:type="character" w:customStyle="1" w:styleId="BodyTextIndent3Char">
    <w:name w:val="Body Text Indent 3 Char"/>
    <w:basedOn w:val="DefaultParagraphFont"/>
    <w:link w:val="BodyTextIndent3"/>
    <w:rsid w:val="008014CE"/>
    <w:rPr>
      <w:rFonts w:eastAsia="Times New Roman"/>
      <w:sz w:val="24"/>
      <w:szCs w:val="24"/>
    </w:rPr>
  </w:style>
  <w:style w:type="character" w:styleId="Hyperlink">
    <w:name w:val="Hyperlink"/>
    <w:basedOn w:val="DefaultParagraphFont"/>
    <w:rsid w:val="008014CE"/>
    <w:rPr>
      <w:color w:val="0000FF"/>
      <w:u w:val="single"/>
    </w:rPr>
  </w:style>
  <w:style w:type="character" w:customStyle="1" w:styleId="desc">
    <w:name w:val="desc"/>
    <w:basedOn w:val="DefaultParagraphFont"/>
    <w:rsid w:val="008014CE"/>
  </w:style>
  <w:style w:type="paragraph" w:styleId="NormalWeb">
    <w:name w:val="Normal (Web)"/>
    <w:basedOn w:val="Normal"/>
    <w:rsid w:val="008014CE"/>
    <w:pPr>
      <w:spacing w:before="100" w:beforeAutospacing="1" w:after="100" w:afterAutospacing="1"/>
    </w:pPr>
    <w:rPr>
      <w:rFonts w:ascii="Arial Unicode MS" w:eastAsia="Arial Unicode MS" w:hAnsi="Arial Unicode MS" w:cs="Arial Unicode MS"/>
    </w:rPr>
  </w:style>
  <w:style w:type="paragraph" w:styleId="Header">
    <w:name w:val="header"/>
    <w:basedOn w:val="Normal"/>
    <w:link w:val="HeaderChar"/>
    <w:uiPriority w:val="99"/>
    <w:rsid w:val="00D13C51"/>
    <w:pPr>
      <w:tabs>
        <w:tab w:val="center" w:pos="4680"/>
        <w:tab w:val="right" w:pos="9360"/>
      </w:tabs>
    </w:pPr>
  </w:style>
  <w:style w:type="character" w:customStyle="1" w:styleId="HeaderChar">
    <w:name w:val="Header Char"/>
    <w:basedOn w:val="DefaultParagraphFont"/>
    <w:link w:val="Header"/>
    <w:uiPriority w:val="99"/>
    <w:rsid w:val="00D13C51"/>
    <w:rPr>
      <w:rFonts w:eastAsia="Times New Roman"/>
      <w:sz w:val="24"/>
      <w:szCs w:val="24"/>
    </w:rPr>
  </w:style>
  <w:style w:type="paragraph" w:styleId="Footer">
    <w:name w:val="footer"/>
    <w:basedOn w:val="Normal"/>
    <w:link w:val="FooterChar"/>
    <w:uiPriority w:val="99"/>
    <w:rsid w:val="00D13C51"/>
    <w:pPr>
      <w:tabs>
        <w:tab w:val="center" w:pos="4680"/>
        <w:tab w:val="right" w:pos="9360"/>
      </w:tabs>
    </w:pPr>
  </w:style>
  <w:style w:type="character" w:customStyle="1" w:styleId="FooterChar">
    <w:name w:val="Footer Char"/>
    <w:basedOn w:val="DefaultParagraphFont"/>
    <w:link w:val="Footer"/>
    <w:uiPriority w:val="99"/>
    <w:rsid w:val="00D13C51"/>
    <w:rPr>
      <w:rFonts w:eastAsia="Times New Roman"/>
      <w:sz w:val="24"/>
      <w:szCs w:val="24"/>
    </w:rPr>
  </w:style>
  <w:style w:type="character" w:styleId="CommentReference">
    <w:name w:val="annotation reference"/>
    <w:basedOn w:val="DefaultParagraphFont"/>
    <w:uiPriority w:val="99"/>
    <w:rsid w:val="006E48D1"/>
    <w:rPr>
      <w:sz w:val="16"/>
      <w:szCs w:val="16"/>
    </w:rPr>
  </w:style>
  <w:style w:type="paragraph" w:styleId="CommentText">
    <w:name w:val="annotation text"/>
    <w:basedOn w:val="Normal"/>
    <w:link w:val="CommentTextChar"/>
    <w:uiPriority w:val="99"/>
    <w:rsid w:val="006E48D1"/>
    <w:rPr>
      <w:sz w:val="20"/>
      <w:szCs w:val="20"/>
    </w:rPr>
  </w:style>
  <w:style w:type="character" w:customStyle="1" w:styleId="CommentTextChar">
    <w:name w:val="Comment Text Char"/>
    <w:basedOn w:val="DefaultParagraphFont"/>
    <w:link w:val="CommentText"/>
    <w:uiPriority w:val="99"/>
    <w:rsid w:val="006E48D1"/>
    <w:rPr>
      <w:rFonts w:eastAsia="Times New Roman"/>
    </w:rPr>
  </w:style>
  <w:style w:type="paragraph" w:styleId="CommentSubject">
    <w:name w:val="annotation subject"/>
    <w:basedOn w:val="CommentText"/>
    <w:next w:val="CommentText"/>
    <w:link w:val="CommentSubjectChar"/>
    <w:rsid w:val="006E48D1"/>
    <w:rPr>
      <w:b/>
      <w:bCs/>
    </w:rPr>
  </w:style>
  <w:style w:type="character" w:customStyle="1" w:styleId="CommentSubjectChar">
    <w:name w:val="Comment Subject Char"/>
    <w:basedOn w:val="CommentTextChar"/>
    <w:link w:val="CommentSubject"/>
    <w:rsid w:val="006E48D1"/>
    <w:rPr>
      <w:rFonts w:eastAsia="Times New Roman"/>
      <w:b/>
      <w:bCs/>
    </w:rPr>
  </w:style>
  <w:style w:type="paragraph" w:styleId="BalloonText">
    <w:name w:val="Balloon Text"/>
    <w:basedOn w:val="Normal"/>
    <w:link w:val="BalloonTextChar"/>
    <w:rsid w:val="006E48D1"/>
    <w:rPr>
      <w:rFonts w:ascii="Tahoma" w:hAnsi="Tahoma" w:cs="Tahoma"/>
      <w:sz w:val="16"/>
      <w:szCs w:val="16"/>
    </w:rPr>
  </w:style>
  <w:style w:type="character" w:customStyle="1" w:styleId="BalloonTextChar">
    <w:name w:val="Balloon Text Char"/>
    <w:basedOn w:val="DefaultParagraphFont"/>
    <w:link w:val="BalloonText"/>
    <w:rsid w:val="006E48D1"/>
    <w:rPr>
      <w:rFonts w:ascii="Tahoma" w:eastAsia="Times New Roman" w:hAnsi="Tahoma" w:cs="Tahoma"/>
      <w:sz w:val="16"/>
      <w:szCs w:val="16"/>
    </w:rPr>
  </w:style>
  <w:style w:type="paragraph" w:styleId="ListParagraph">
    <w:name w:val="List Paragraph"/>
    <w:basedOn w:val="Normal"/>
    <w:uiPriority w:val="34"/>
    <w:qFormat/>
    <w:rsid w:val="0001479F"/>
    <w:pPr>
      <w:ind w:left="720"/>
      <w:contextualSpacing/>
    </w:pPr>
    <w:rPr>
      <w:rFonts w:ascii="Calibri" w:eastAsiaTheme="minorHAnsi" w:hAnsi="Calibri"/>
      <w:lang w:eastAsia="ja-JP"/>
    </w:rPr>
  </w:style>
  <w:style w:type="paragraph" w:styleId="FootnoteText">
    <w:name w:val="footnote text"/>
    <w:basedOn w:val="Normal"/>
    <w:link w:val="FootnoteTextChar"/>
    <w:uiPriority w:val="99"/>
    <w:unhideWhenUsed/>
    <w:rsid w:val="00110E44"/>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110E44"/>
    <w:rPr>
      <w:rFonts w:asciiTheme="minorHAnsi" w:hAnsiTheme="minorHAnsi" w:cstheme="minorBidi"/>
    </w:rPr>
  </w:style>
  <w:style w:type="character" w:styleId="FootnoteReference">
    <w:name w:val="footnote reference"/>
    <w:basedOn w:val="DefaultParagraphFont"/>
    <w:uiPriority w:val="99"/>
    <w:unhideWhenUsed/>
    <w:rsid w:val="00110E44"/>
    <w:rPr>
      <w:vertAlign w:val="superscript"/>
    </w:rPr>
  </w:style>
  <w:style w:type="paragraph" w:customStyle="1" w:styleId="Num-DocParagraph">
    <w:name w:val="Num-Doc Paragraph"/>
    <w:link w:val="Num-DocParagraphChar1"/>
    <w:uiPriority w:val="99"/>
    <w:rsid w:val="00D821C3"/>
    <w:pPr>
      <w:spacing w:after="200" w:line="276" w:lineRule="auto"/>
    </w:pPr>
    <w:rPr>
      <w:rFonts w:ascii="Calibri" w:eastAsia="Calibri" w:hAnsi="Calibri" w:cs="Calibri"/>
      <w:sz w:val="22"/>
      <w:szCs w:val="22"/>
    </w:rPr>
  </w:style>
  <w:style w:type="character" w:customStyle="1" w:styleId="Num-DocParagraphChar1">
    <w:name w:val="Num-Doc Paragraph Char1"/>
    <w:basedOn w:val="DefaultParagraphFont"/>
    <w:link w:val="Num-DocParagraph"/>
    <w:uiPriority w:val="99"/>
    <w:rsid w:val="00D821C3"/>
    <w:rPr>
      <w:rFonts w:ascii="Calibri" w:eastAsia="Calibri" w:hAnsi="Calibri" w:cs="Calibri"/>
      <w:sz w:val="22"/>
      <w:szCs w:val="22"/>
    </w:rPr>
  </w:style>
  <w:style w:type="table" w:styleId="TableGrid">
    <w:name w:val="Table Grid"/>
    <w:basedOn w:val="TableNormal"/>
    <w:uiPriority w:val="39"/>
    <w:rsid w:val="002150D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38D6"/>
    <w:rPr>
      <w:rFonts w:eastAsia="Times New Roman"/>
      <w:sz w:val="24"/>
      <w:szCs w:val="24"/>
    </w:rPr>
  </w:style>
  <w:style w:type="paragraph" w:styleId="Caption">
    <w:name w:val="caption"/>
    <w:basedOn w:val="Normal"/>
    <w:next w:val="Normal"/>
    <w:uiPriority w:val="35"/>
    <w:unhideWhenUsed/>
    <w:qFormat/>
    <w:rsid w:val="00431DF2"/>
    <w:pPr>
      <w:spacing w:after="200"/>
    </w:pPr>
    <w:rPr>
      <w:rFonts w:asciiTheme="minorHAnsi" w:eastAsiaTheme="minorHAnsi" w:hAnsiTheme="minorHAnsi" w:cstheme="minorBidi"/>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46103">
      <w:bodyDiv w:val="1"/>
      <w:marLeft w:val="0"/>
      <w:marRight w:val="0"/>
      <w:marTop w:val="0"/>
      <w:marBottom w:val="0"/>
      <w:divBdr>
        <w:top w:val="none" w:sz="0" w:space="0" w:color="auto"/>
        <w:left w:val="none" w:sz="0" w:space="0" w:color="auto"/>
        <w:bottom w:val="none" w:sz="0" w:space="0" w:color="auto"/>
        <w:right w:val="none" w:sz="0" w:space="0" w:color="auto"/>
      </w:divBdr>
    </w:div>
    <w:div w:id="352342591">
      <w:bodyDiv w:val="1"/>
      <w:marLeft w:val="0"/>
      <w:marRight w:val="0"/>
      <w:marTop w:val="0"/>
      <w:marBottom w:val="0"/>
      <w:divBdr>
        <w:top w:val="none" w:sz="0" w:space="0" w:color="auto"/>
        <w:left w:val="none" w:sz="0" w:space="0" w:color="auto"/>
        <w:bottom w:val="none" w:sz="0" w:space="0" w:color="auto"/>
        <w:right w:val="none" w:sz="0" w:space="0" w:color="auto"/>
      </w:divBdr>
    </w:div>
    <w:div w:id="380977754">
      <w:bodyDiv w:val="1"/>
      <w:marLeft w:val="0"/>
      <w:marRight w:val="0"/>
      <w:marTop w:val="0"/>
      <w:marBottom w:val="0"/>
      <w:divBdr>
        <w:top w:val="none" w:sz="0" w:space="0" w:color="auto"/>
        <w:left w:val="none" w:sz="0" w:space="0" w:color="auto"/>
        <w:bottom w:val="none" w:sz="0" w:space="0" w:color="auto"/>
        <w:right w:val="none" w:sz="0" w:space="0" w:color="auto"/>
      </w:divBdr>
      <w:divsChild>
        <w:div w:id="1925871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4C6C7-5CC5-460C-A602-2C4F9B6F2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2537</Words>
  <Characters>14463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USDA-ERS</Company>
  <LinksUpToDate>false</LinksUpToDate>
  <CharactersWithSpaces>16967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Higgins, Nathaniel - ERS</dc:creator>
  <cp:lastModifiedBy>Rosch, Stephanie - ERS</cp:lastModifiedBy>
  <cp:revision>7</cp:revision>
  <cp:lastPrinted>2016-06-28T18:49:00Z</cp:lastPrinted>
  <dcterms:created xsi:type="dcterms:W3CDTF">2017-07-06T17:21:00Z</dcterms:created>
  <dcterms:modified xsi:type="dcterms:W3CDTF">2017-07-06T20:39:00Z</dcterms:modified>
</cp:coreProperties>
</file>