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66845" w14:textId="77777777" w:rsidR="00DA1FAE" w:rsidRDefault="00783437" w:rsidP="00783437">
      <w:pPr>
        <w:pStyle w:val="NoSpacing"/>
        <w:jc w:val="center"/>
        <w:rPr>
          <w:b/>
        </w:rPr>
      </w:pPr>
      <w:bookmarkStart w:id="0" w:name="_GoBack"/>
      <w:bookmarkEnd w:id="0"/>
      <w:r>
        <w:rPr>
          <w:b/>
        </w:rPr>
        <w:t>JUSTIFICATION FOR NONMATERIAL/NONSUBSTANTIVE CHANGE</w:t>
      </w:r>
    </w:p>
    <w:p w14:paraId="72F66846" w14:textId="77777777" w:rsidR="00783437" w:rsidRDefault="00783437" w:rsidP="00783437">
      <w:pPr>
        <w:pStyle w:val="NoSpacing"/>
        <w:jc w:val="center"/>
        <w:rPr>
          <w:b/>
        </w:rPr>
      </w:pPr>
      <w:r>
        <w:rPr>
          <w:b/>
        </w:rPr>
        <w:t xml:space="preserve">Patent Review and Derivation Proceedings </w:t>
      </w:r>
    </w:p>
    <w:p w14:paraId="72F66847" w14:textId="77777777" w:rsidR="00783437" w:rsidRDefault="00783437" w:rsidP="00783437">
      <w:pPr>
        <w:pStyle w:val="NoSpacing"/>
        <w:jc w:val="center"/>
        <w:rPr>
          <w:b/>
        </w:rPr>
      </w:pPr>
      <w:r>
        <w:rPr>
          <w:b/>
        </w:rPr>
        <w:t>OMB Control Number 0651-0069</w:t>
      </w:r>
    </w:p>
    <w:p w14:paraId="72F66848" w14:textId="77777777" w:rsidR="00783437" w:rsidRDefault="00783437" w:rsidP="00783437">
      <w:pPr>
        <w:pStyle w:val="NoSpacing"/>
      </w:pPr>
    </w:p>
    <w:p w14:paraId="72F66849" w14:textId="77777777" w:rsidR="00783437" w:rsidRDefault="00783437" w:rsidP="00783437">
      <w:pPr>
        <w:pStyle w:val="NoSpacing"/>
        <w:rPr>
          <w:rFonts w:cs="Arial"/>
          <w:u w:val="single"/>
        </w:rPr>
      </w:pPr>
      <w:r>
        <w:rPr>
          <w:rFonts w:cs="Arial"/>
          <w:u w:val="single"/>
        </w:rPr>
        <w:t>Background</w:t>
      </w:r>
    </w:p>
    <w:p w14:paraId="72F6684A" w14:textId="77777777" w:rsidR="00783437" w:rsidRDefault="00783437" w:rsidP="00783437">
      <w:pPr>
        <w:pStyle w:val="NoSpacing"/>
        <w:jc w:val="both"/>
        <w:rPr>
          <w:rFonts w:cs="Arial"/>
        </w:rPr>
      </w:pPr>
    </w:p>
    <w:p w14:paraId="72F6684B" w14:textId="77777777" w:rsidR="00783437" w:rsidRDefault="00783437" w:rsidP="00783437">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72F6684C" w14:textId="77777777" w:rsidR="00783437" w:rsidRDefault="00783437" w:rsidP="00783437">
      <w:pPr>
        <w:pStyle w:val="NoSpacing"/>
        <w:jc w:val="both"/>
        <w:rPr>
          <w:rFonts w:cs="Arial"/>
        </w:rPr>
      </w:pPr>
    </w:p>
    <w:p w14:paraId="72F6684D" w14:textId="77777777" w:rsidR="000D4FFE" w:rsidRDefault="00783437" w:rsidP="00783437">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Respondent numbers are also changing due to agency discretion in conjunction with the rule. </w:t>
      </w:r>
    </w:p>
    <w:p w14:paraId="72F6684E" w14:textId="77777777" w:rsidR="00E25250" w:rsidRDefault="00E25250" w:rsidP="00783437">
      <w:pPr>
        <w:pStyle w:val="NoSpacing"/>
        <w:jc w:val="both"/>
        <w:rPr>
          <w:rFonts w:cs="Arial"/>
        </w:rPr>
      </w:pPr>
    </w:p>
    <w:p w14:paraId="72F6684F" w14:textId="0E51DA9E" w:rsidR="00E07A85" w:rsidRDefault="00E25250" w:rsidP="00783437">
      <w:pPr>
        <w:pStyle w:val="NoSpacing"/>
        <w:jc w:val="both"/>
        <w:rPr>
          <w:rFonts w:cs="Arial"/>
        </w:rPr>
      </w:pPr>
      <w:r>
        <w:rPr>
          <w:rFonts w:cs="Arial"/>
        </w:rPr>
        <w:t xml:space="preserve">There are </w:t>
      </w:r>
      <w:r w:rsidR="000939FC">
        <w:rPr>
          <w:rFonts w:cs="Arial"/>
        </w:rPr>
        <w:t>eight</w:t>
      </w:r>
      <w:r>
        <w:rPr>
          <w:rFonts w:cs="Arial"/>
        </w:rPr>
        <w:t xml:space="preserve"> fees being adjusted as a result of the 2016 Biennial Fee Review. </w:t>
      </w:r>
      <w:r w:rsidR="000939FC">
        <w:rPr>
          <w:rFonts w:cs="Arial"/>
        </w:rPr>
        <w:t xml:space="preserve">These </w:t>
      </w:r>
      <w:r w:rsidR="00C67BEB">
        <w:rPr>
          <w:rFonts w:cs="Arial"/>
        </w:rPr>
        <w:t>had previously been housed in collection 0651-0072 (America Invents Act Section 10 Patent Fee Adjustment), which was discontinued in March 2016.</w:t>
      </w:r>
      <w:r w:rsidR="000939FC">
        <w:rPr>
          <w:rFonts w:cs="Arial"/>
        </w:rPr>
        <w:t xml:space="preserve"> </w:t>
      </w:r>
    </w:p>
    <w:p w14:paraId="72F6686D" w14:textId="4225889E" w:rsidR="009826BB" w:rsidRDefault="009826BB" w:rsidP="00783437">
      <w:pPr>
        <w:pStyle w:val="NoSpacing"/>
        <w:jc w:val="both"/>
        <w:rPr>
          <w:rFonts w:cs="Arial"/>
        </w:rPr>
      </w:pPr>
    </w:p>
    <w:p w14:paraId="6B394990" w14:textId="4C9573E6" w:rsidR="00A55BF5" w:rsidRPr="00A55BF5" w:rsidRDefault="009F1C55" w:rsidP="00783437">
      <w:pPr>
        <w:pStyle w:val="NoSpacing"/>
        <w:jc w:val="both"/>
        <w:rPr>
          <w:rFonts w:cs="Arial"/>
          <w:b/>
        </w:rPr>
      </w:pPr>
      <w:r>
        <w:rPr>
          <w:rFonts w:cs="Arial"/>
          <w:b/>
        </w:rPr>
        <w:t>Table 1</w:t>
      </w:r>
      <w:r w:rsidR="00A55BF5">
        <w:rPr>
          <w:rFonts w:cs="Arial"/>
          <w:b/>
        </w:rPr>
        <w:t>: Total Fee and Respondent Increases</w:t>
      </w:r>
    </w:p>
    <w:tbl>
      <w:tblPr>
        <w:tblStyle w:val="TableGrid"/>
        <w:tblW w:w="0" w:type="auto"/>
        <w:tblLook w:val="04A0" w:firstRow="1" w:lastRow="0" w:firstColumn="1" w:lastColumn="0" w:noHBand="0" w:noVBand="1"/>
      </w:tblPr>
      <w:tblGrid>
        <w:gridCol w:w="467"/>
        <w:gridCol w:w="4552"/>
        <w:gridCol w:w="1517"/>
        <w:gridCol w:w="1432"/>
        <w:gridCol w:w="1608"/>
      </w:tblGrid>
      <w:tr w:rsidR="00A55BF5" w14:paraId="1E9A07CE" w14:textId="77777777" w:rsidTr="00A55BF5">
        <w:tc>
          <w:tcPr>
            <w:tcW w:w="467" w:type="dxa"/>
            <w:vAlign w:val="center"/>
          </w:tcPr>
          <w:p w14:paraId="14EE9B67" w14:textId="77777777" w:rsidR="00A55BF5" w:rsidRPr="001179E3" w:rsidRDefault="00A55BF5" w:rsidP="009A2B87">
            <w:pPr>
              <w:pStyle w:val="NoSpacing"/>
              <w:jc w:val="center"/>
              <w:rPr>
                <w:b/>
              </w:rPr>
            </w:pPr>
            <w:r>
              <w:rPr>
                <w:b/>
              </w:rPr>
              <w:t>IC #</w:t>
            </w:r>
          </w:p>
        </w:tc>
        <w:tc>
          <w:tcPr>
            <w:tcW w:w="4552" w:type="dxa"/>
            <w:vAlign w:val="center"/>
          </w:tcPr>
          <w:p w14:paraId="20CC872D" w14:textId="77777777" w:rsidR="00A55BF5" w:rsidRPr="001179E3" w:rsidRDefault="00A55BF5" w:rsidP="009A2B87">
            <w:pPr>
              <w:pStyle w:val="NoSpacing"/>
              <w:jc w:val="center"/>
              <w:rPr>
                <w:b/>
              </w:rPr>
            </w:pPr>
            <w:r>
              <w:rPr>
                <w:b/>
              </w:rPr>
              <w:t>Item</w:t>
            </w:r>
          </w:p>
        </w:tc>
        <w:tc>
          <w:tcPr>
            <w:tcW w:w="1517" w:type="dxa"/>
            <w:vAlign w:val="center"/>
          </w:tcPr>
          <w:p w14:paraId="616A9980" w14:textId="4183FC6A" w:rsidR="00A55BF5" w:rsidRPr="001179E3" w:rsidRDefault="009F1C55" w:rsidP="009A2B87">
            <w:pPr>
              <w:pStyle w:val="NoSpacing"/>
              <w:jc w:val="center"/>
              <w:rPr>
                <w:b/>
              </w:rPr>
            </w:pPr>
            <w:r>
              <w:rPr>
                <w:b/>
              </w:rPr>
              <w:t xml:space="preserve">Proposed </w:t>
            </w:r>
            <w:r w:rsidR="00A55BF5">
              <w:rPr>
                <w:b/>
              </w:rPr>
              <w:t>Responses</w:t>
            </w:r>
          </w:p>
        </w:tc>
        <w:tc>
          <w:tcPr>
            <w:tcW w:w="1432" w:type="dxa"/>
            <w:vAlign w:val="center"/>
          </w:tcPr>
          <w:p w14:paraId="518FB2D8" w14:textId="6340A197" w:rsidR="00A55BF5" w:rsidRPr="001179E3" w:rsidRDefault="009F1C55" w:rsidP="009A2B87">
            <w:pPr>
              <w:pStyle w:val="NoSpacing"/>
              <w:jc w:val="center"/>
              <w:rPr>
                <w:b/>
              </w:rPr>
            </w:pPr>
            <w:r>
              <w:rPr>
                <w:b/>
              </w:rPr>
              <w:t>Proposed</w:t>
            </w:r>
            <w:r w:rsidR="00A55BF5">
              <w:rPr>
                <w:b/>
              </w:rPr>
              <w:t xml:space="preserve"> Fee</w:t>
            </w:r>
          </w:p>
        </w:tc>
        <w:tc>
          <w:tcPr>
            <w:tcW w:w="1608" w:type="dxa"/>
            <w:vAlign w:val="center"/>
          </w:tcPr>
          <w:p w14:paraId="10CCDF2A" w14:textId="1F7280BF" w:rsidR="00A55BF5" w:rsidRPr="00D26274" w:rsidRDefault="009F1C55" w:rsidP="009A2B87">
            <w:pPr>
              <w:pStyle w:val="NoSpacing"/>
              <w:jc w:val="center"/>
              <w:rPr>
                <w:b/>
              </w:rPr>
            </w:pPr>
            <w:r>
              <w:rPr>
                <w:b/>
              </w:rPr>
              <w:t>Proposed</w:t>
            </w:r>
            <w:r w:rsidR="00A55BF5">
              <w:rPr>
                <w:b/>
              </w:rPr>
              <w:t xml:space="preserve"> Non-hour Burden ($)</w:t>
            </w:r>
          </w:p>
        </w:tc>
      </w:tr>
      <w:tr w:rsidR="00A55BF5" w14:paraId="60C92A01" w14:textId="77777777" w:rsidTr="00A55BF5">
        <w:tc>
          <w:tcPr>
            <w:tcW w:w="467" w:type="dxa"/>
            <w:vAlign w:val="center"/>
          </w:tcPr>
          <w:p w14:paraId="162A307F" w14:textId="77777777" w:rsidR="00A55BF5" w:rsidRDefault="00A55BF5" w:rsidP="009A2B87">
            <w:pPr>
              <w:pStyle w:val="NoSpacing"/>
              <w:jc w:val="center"/>
            </w:pPr>
            <w:r>
              <w:t>1</w:t>
            </w:r>
          </w:p>
        </w:tc>
        <w:tc>
          <w:tcPr>
            <w:tcW w:w="4552" w:type="dxa"/>
            <w:vAlign w:val="center"/>
          </w:tcPr>
          <w:p w14:paraId="6B9336A0" w14:textId="77390480" w:rsidR="00A55BF5" w:rsidRDefault="00A55BF5" w:rsidP="00207BC4">
            <w:pPr>
              <w:pStyle w:val="NoSpacing"/>
            </w:pPr>
            <w:r>
              <w:t>Inter Partes Review Request Fee</w:t>
            </w:r>
          </w:p>
        </w:tc>
        <w:tc>
          <w:tcPr>
            <w:tcW w:w="1517" w:type="dxa"/>
            <w:vAlign w:val="center"/>
          </w:tcPr>
          <w:p w14:paraId="09A384B3" w14:textId="77777777" w:rsidR="00A55BF5" w:rsidRDefault="00A55BF5" w:rsidP="009A2B87">
            <w:pPr>
              <w:pStyle w:val="NoSpacing"/>
              <w:jc w:val="center"/>
            </w:pPr>
            <w:r>
              <w:t>1,565</w:t>
            </w:r>
          </w:p>
        </w:tc>
        <w:tc>
          <w:tcPr>
            <w:tcW w:w="1432" w:type="dxa"/>
            <w:vAlign w:val="center"/>
          </w:tcPr>
          <w:p w14:paraId="61268225" w14:textId="6C9C390A" w:rsidR="00A55BF5" w:rsidRDefault="00A55BF5" w:rsidP="00207BC4">
            <w:pPr>
              <w:pStyle w:val="NoSpacing"/>
              <w:jc w:val="center"/>
            </w:pPr>
            <w:r>
              <w:t>$1</w:t>
            </w:r>
            <w:r w:rsidR="00AC0973">
              <w:t>5</w:t>
            </w:r>
            <w:r>
              <w:t>,</w:t>
            </w:r>
            <w:r w:rsidR="00207BC4">
              <w:t>500</w:t>
            </w:r>
          </w:p>
        </w:tc>
        <w:tc>
          <w:tcPr>
            <w:tcW w:w="1608" w:type="dxa"/>
            <w:vAlign w:val="center"/>
          </w:tcPr>
          <w:p w14:paraId="1D5BAB59" w14:textId="428F4AAB" w:rsidR="00A55BF5" w:rsidRDefault="00A55BF5" w:rsidP="00207BC4">
            <w:pPr>
              <w:pStyle w:val="NoSpacing"/>
              <w:jc w:val="center"/>
            </w:pPr>
            <w:r>
              <w:t>$</w:t>
            </w:r>
            <w:r w:rsidR="009227CA" w:rsidRPr="009227CA">
              <w:t>24,257,500</w:t>
            </w:r>
          </w:p>
        </w:tc>
      </w:tr>
      <w:tr w:rsidR="00A55BF5" w14:paraId="697A16CD" w14:textId="77777777" w:rsidTr="00A55BF5">
        <w:tc>
          <w:tcPr>
            <w:tcW w:w="467" w:type="dxa"/>
            <w:vAlign w:val="center"/>
          </w:tcPr>
          <w:p w14:paraId="205D5CCE" w14:textId="77777777" w:rsidR="00A55BF5" w:rsidRDefault="00A55BF5" w:rsidP="009A2B87">
            <w:pPr>
              <w:pStyle w:val="NoSpacing"/>
              <w:jc w:val="center"/>
            </w:pPr>
            <w:r>
              <w:t>1</w:t>
            </w:r>
          </w:p>
        </w:tc>
        <w:tc>
          <w:tcPr>
            <w:tcW w:w="4552" w:type="dxa"/>
            <w:vAlign w:val="center"/>
          </w:tcPr>
          <w:p w14:paraId="38BE08A7" w14:textId="6565E21E" w:rsidR="00A55BF5" w:rsidRDefault="00A55BF5" w:rsidP="00207BC4">
            <w:pPr>
              <w:pStyle w:val="NoSpacing"/>
            </w:pPr>
            <w:r>
              <w:t xml:space="preserve">Inter Partes Review Post-Institution Fee </w:t>
            </w:r>
          </w:p>
        </w:tc>
        <w:tc>
          <w:tcPr>
            <w:tcW w:w="1517" w:type="dxa"/>
            <w:vAlign w:val="center"/>
          </w:tcPr>
          <w:p w14:paraId="6D5EC2E3" w14:textId="77777777" w:rsidR="00A55BF5" w:rsidRDefault="00A55BF5" w:rsidP="009A2B87">
            <w:pPr>
              <w:pStyle w:val="NoSpacing"/>
              <w:jc w:val="center"/>
            </w:pPr>
            <w:r>
              <w:t>1,565</w:t>
            </w:r>
          </w:p>
        </w:tc>
        <w:tc>
          <w:tcPr>
            <w:tcW w:w="1432" w:type="dxa"/>
            <w:vAlign w:val="center"/>
          </w:tcPr>
          <w:p w14:paraId="67675E99" w14:textId="569EF728" w:rsidR="00A55BF5" w:rsidRDefault="00A55BF5" w:rsidP="00AC0973">
            <w:pPr>
              <w:pStyle w:val="NoSpacing"/>
              <w:jc w:val="center"/>
            </w:pPr>
            <w:r>
              <w:t>$</w:t>
            </w:r>
            <w:r w:rsidR="00207BC4">
              <w:t>1</w:t>
            </w:r>
            <w:r w:rsidR="00AC0973">
              <w:t>5,000</w:t>
            </w:r>
          </w:p>
        </w:tc>
        <w:tc>
          <w:tcPr>
            <w:tcW w:w="1608" w:type="dxa"/>
            <w:vAlign w:val="center"/>
          </w:tcPr>
          <w:p w14:paraId="03A4EF39" w14:textId="54876194" w:rsidR="00A55BF5" w:rsidRDefault="00A55BF5" w:rsidP="00207BC4">
            <w:pPr>
              <w:pStyle w:val="NoSpacing"/>
              <w:jc w:val="center"/>
            </w:pPr>
            <w:r>
              <w:t>$</w:t>
            </w:r>
            <w:r w:rsidR="009227CA" w:rsidRPr="009227CA">
              <w:t>23,475,000</w:t>
            </w:r>
          </w:p>
        </w:tc>
      </w:tr>
      <w:tr w:rsidR="00A55BF5" w14:paraId="1734317F" w14:textId="77777777" w:rsidTr="00A55BF5">
        <w:tc>
          <w:tcPr>
            <w:tcW w:w="467" w:type="dxa"/>
            <w:vAlign w:val="center"/>
          </w:tcPr>
          <w:p w14:paraId="0BC9A00D" w14:textId="77777777" w:rsidR="00A55BF5" w:rsidRDefault="00A55BF5" w:rsidP="009A2B87">
            <w:pPr>
              <w:pStyle w:val="NoSpacing"/>
              <w:jc w:val="center"/>
            </w:pPr>
            <w:r>
              <w:t>1</w:t>
            </w:r>
          </w:p>
        </w:tc>
        <w:tc>
          <w:tcPr>
            <w:tcW w:w="4552" w:type="dxa"/>
            <w:vAlign w:val="center"/>
          </w:tcPr>
          <w:p w14:paraId="510DC393" w14:textId="77777777" w:rsidR="00A55BF5" w:rsidRDefault="00A55BF5" w:rsidP="009A2B87">
            <w:pPr>
              <w:pStyle w:val="NoSpacing"/>
            </w:pPr>
            <w:r>
              <w:t>Inter Partes Review Request of Each Claim in Excess of 20</w:t>
            </w:r>
          </w:p>
        </w:tc>
        <w:tc>
          <w:tcPr>
            <w:tcW w:w="1517" w:type="dxa"/>
            <w:vAlign w:val="center"/>
          </w:tcPr>
          <w:p w14:paraId="1814C8BA" w14:textId="77777777" w:rsidR="00A55BF5" w:rsidRDefault="00A55BF5" w:rsidP="009A2B87">
            <w:pPr>
              <w:pStyle w:val="NoSpacing"/>
              <w:jc w:val="center"/>
            </w:pPr>
            <w:r>
              <w:t>4,476</w:t>
            </w:r>
          </w:p>
        </w:tc>
        <w:tc>
          <w:tcPr>
            <w:tcW w:w="1432" w:type="dxa"/>
            <w:vAlign w:val="center"/>
          </w:tcPr>
          <w:p w14:paraId="706557BE" w14:textId="73A33AF6" w:rsidR="00A55BF5" w:rsidRDefault="00207BC4" w:rsidP="009A2B87">
            <w:pPr>
              <w:pStyle w:val="NoSpacing"/>
              <w:jc w:val="center"/>
            </w:pPr>
            <w:r>
              <w:t>$300</w:t>
            </w:r>
          </w:p>
        </w:tc>
        <w:tc>
          <w:tcPr>
            <w:tcW w:w="1608" w:type="dxa"/>
            <w:vAlign w:val="center"/>
          </w:tcPr>
          <w:p w14:paraId="7AE3FB7F" w14:textId="2D4C8643" w:rsidR="00A55BF5" w:rsidRDefault="00A55BF5" w:rsidP="00207BC4">
            <w:pPr>
              <w:pStyle w:val="NoSpacing"/>
              <w:jc w:val="center"/>
            </w:pPr>
            <w:r>
              <w:t>$</w:t>
            </w:r>
            <w:r w:rsidR="009227CA" w:rsidRPr="009227CA">
              <w:t>1,342,800</w:t>
            </w:r>
          </w:p>
        </w:tc>
      </w:tr>
      <w:tr w:rsidR="00A55BF5" w14:paraId="2770407E" w14:textId="77777777" w:rsidTr="00A55BF5">
        <w:tc>
          <w:tcPr>
            <w:tcW w:w="467" w:type="dxa"/>
            <w:vAlign w:val="center"/>
          </w:tcPr>
          <w:p w14:paraId="485BA071" w14:textId="77777777" w:rsidR="00A55BF5" w:rsidRDefault="00A55BF5" w:rsidP="009A2B87">
            <w:pPr>
              <w:pStyle w:val="NoSpacing"/>
              <w:jc w:val="center"/>
            </w:pPr>
            <w:r>
              <w:t>1</w:t>
            </w:r>
          </w:p>
        </w:tc>
        <w:tc>
          <w:tcPr>
            <w:tcW w:w="4552" w:type="dxa"/>
            <w:vAlign w:val="center"/>
          </w:tcPr>
          <w:p w14:paraId="7E26D794" w14:textId="77777777" w:rsidR="00A55BF5" w:rsidRDefault="00A55BF5" w:rsidP="009A2B87">
            <w:pPr>
              <w:pStyle w:val="NoSpacing"/>
            </w:pPr>
            <w:r>
              <w:t>Inter Partes Post-Institution Request of Each Claim in Excess of 15</w:t>
            </w:r>
          </w:p>
        </w:tc>
        <w:tc>
          <w:tcPr>
            <w:tcW w:w="1517" w:type="dxa"/>
            <w:vAlign w:val="center"/>
          </w:tcPr>
          <w:p w14:paraId="33294260" w14:textId="77777777" w:rsidR="00A55BF5" w:rsidRDefault="00A55BF5" w:rsidP="009A2B87">
            <w:pPr>
              <w:pStyle w:val="NoSpacing"/>
              <w:jc w:val="center"/>
            </w:pPr>
            <w:r>
              <w:t>7,051</w:t>
            </w:r>
          </w:p>
        </w:tc>
        <w:tc>
          <w:tcPr>
            <w:tcW w:w="1432" w:type="dxa"/>
            <w:vAlign w:val="center"/>
          </w:tcPr>
          <w:p w14:paraId="50E42F38" w14:textId="4CD2142B" w:rsidR="00A55BF5" w:rsidRDefault="00207BC4" w:rsidP="009A2B87">
            <w:pPr>
              <w:pStyle w:val="NoSpacing"/>
              <w:jc w:val="center"/>
            </w:pPr>
            <w:r>
              <w:t>$600</w:t>
            </w:r>
          </w:p>
        </w:tc>
        <w:tc>
          <w:tcPr>
            <w:tcW w:w="1608" w:type="dxa"/>
            <w:vAlign w:val="center"/>
          </w:tcPr>
          <w:p w14:paraId="5CF46915" w14:textId="7D7E774E" w:rsidR="00A55BF5" w:rsidRDefault="00A55BF5" w:rsidP="00207BC4">
            <w:pPr>
              <w:pStyle w:val="NoSpacing"/>
              <w:jc w:val="center"/>
            </w:pPr>
            <w:r>
              <w:t>$</w:t>
            </w:r>
            <w:r w:rsidR="009227CA" w:rsidRPr="009227CA">
              <w:t>4,230,600</w:t>
            </w:r>
          </w:p>
        </w:tc>
      </w:tr>
      <w:tr w:rsidR="00A55BF5" w14:paraId="0610D1BC" w14:textId="77777777" w:rsidTr="00A55BF5">
        <w:tc>
          <w:tcPr>
            <w:tcW w:w="467" w:type="dxa"/>
            <w:vAlign w:val="center"/>
          </w:tcPr>
          <w:p w14:paraId="1866F0E7" w14:textId="77777777" w:rsidR="00A55BF5" w:rsidRDefault="00A55BF5" w:rsidP="009A2B87">
            <w:pPr>
              <w:pStyle w:val="NoSpacing"/>
              <w:jc w:val="center"/>
            </w:pPr>
            <w:r>
              <w:t>2</w:t>
            </w:r>
          </w:p>
        </w:tc>
        <w:tc>
          <w:tcPr>
            <w:tcW w:w="4552" w:type="dxa"/>
            <w:vAlign w:val="center"/>
          </w:tcPr>
          <w:p w14:paraId="40347A33" w14:textId="77777777" w:rsidR="00A55BF5" w:rsidRDefault="00A55BF5" w:rsidP="009A2B87">
            <w:pPr>
              <w:pStyle w:val="NoSpacing"/>
            </w:pPr>
            <w:r>
              <w:t>Post-Grant or Covered Business Method Review Request Fee – Up to 20 Claims</w:t>
            </w:r>
          </w:p>
        </w:tc>
        <w:tc>
          <w:tcPr>
            <w:tcW w:w="1517" w:type="dxa"/>
            <w:vAlign w:val="center"/>
          </w:tcPr>
          <w:p w14:paraId="3840DDC8" w14:textId="77777777" w:rsidR="00A55BF5" w:rsidRDefault="00A55BF5" w:rsidP="009A2B87">
            <w:pPr>
              <w:pStyle w:val="NoSpacing"/>
              <w:jc w:val="center"/>
            </w:pPr>
            <w:r>
              <w:t>118</w:t>
            </w:r>
          </w:p>
        </w:tc>
        <w:tc>
          <w:tcPr>
            <w:tcW w:w="1432" w:type="dxa"/>
            <w:vAlign w:val="center"/>
          </w:tcPr>
          <w:p w14:paraId="2B8900AC" w14:textId="4E8F376A" w:rsidR="00A55BF5" w:rsidRDefault="00207BC4" w:rsidP="009A2B87">
            <w:pPr>
              <w:pStyle w:val="NoSpacing"/>
              <w:jc w:val="center"/>
            </w:pPr>
            <w:r>
              <w:t>$16,000</w:t>
            </w:r>
          </w:p>
        </w:tc>
        <w:tc>
          <w:tcPr>
            <w:tcW w:w="1608" w:type="dxa"/>
            <w:vAlign w:val="center"/>
          </w:tcPr>
          <w:p w14:paraId="41EB971C" w14:textId="430FD6C3" w:rsidR="00A55BF5" w:rsidRDefault="00A55BF5" w:rsidP="00207BC4">
            <w:pPr>
              <w:pStyle w:val="NoSpacing"/>
              <w:jc w:val="center"/>
            </w:pPr>
            <w:r>
              <w:t>$</w:t>
            </w:r>
            <w:r w:rsidR="009227CA" w:rsidRPr="009227CA">
              <w:t>1,888,000</w:t>
            </w:r>
          </w:p>
        </w:tc>
      </w:tr>
      <w:tr w:rsidR="00A55BF5" w14:paraId="5CB5DBAC" w14:textId="77777777" w:rsidTr="00A55BF5">
        <w:tc>
          <w:tcPr>
            <w:tcW w:w="467" w:type="dxa"/>
            <w:vAlign w:val="center"/>
          </w:tcPr>
          <w:p w14:paraId="4E4AD47D" w14:textId="77777777" w:rsidR="00A55BF5" w:rsidRDefault="00A55BF5" w:rsidP="009A2B87">
            <w:pPr>
              <w:pStyle w:val="NoSpacing"/>
              <w:jc w:val="center"/>
            </w:pPr>
            <w:r>
              <w:t>2</w:t>
            </w:r>
          </w:p>
        </w:tc>
        <w:tc>
          <w:tcPr>
            <w:tcW w:w="4552" w:type="dxa"/>
            <w:vAlign w:val="center"/>
          </w:tcPr>
          <w:p w14:paraId="27C6AC48" w14:textId="77777777" w:rsidR="00A55BF5" w:rsidRDefault="00A55BF5" w:rsidP="009A2B87">
            <w:pPr>
              <w:pStyle w:val="NoSpacing"/>
            </w:pPr>
            <w:r>
              <w:t>Post-Grant or Covered Business Method Review Post-Institution Fee – Up to 15 Claims</w:t>
            </w:r>
          </w:p>
        </w:tc>
        <w:tc>
          <w:tcPr>
            <w:tcW w:w="1517" w:type="dxa"/>
            <w:vAlign w:val="center"/>
          </w:tcPr>
          <w:p w14:paraId="0BCC1D14" w14:textId="77777777" w:rsidR="00A55BF5" w:rsidRDefault="00A55BF5" w:rsidP="009A2B87">
            <w:pPr>
              <w:pStyle w:val="NoSpacing"/>
              <w:jc w:val="center"/>
            </w:pPr>
            <w:r>
              <w:t>118</w:t>
            </w:r>
          </w:p>
        </w:tc>
        <w:tc>
          <w:tcPr>
            <w:tcW w:w="1432" w:type="dxa"/>
            <w:vAlign w:val="center"/>
          </w:tcPr>
          <w:p w14:paraId="3084305B" w14:textId="0E478BEB" w:rsidR="00A55BF5" w:rsidRDefault="00207BC4" w:rsidP="009A2B87">
            <w:pPr>
              <w:pStyle w:val="NoSpacing"/>
              <w:jc w:val="center"/>
            </w:pPr>
            <w:r>
              <w:t>$22,000</w:t>
            </w:r>
          </w:p>
        </w:tc>
        <w:tc>
          <w:tcPr>
            <w:tcW w:w="1608" w:type="dxa"/>
            <w:vAlign w:val="center"/>
          </w:tcPr>
          <w:p w14:paraId="5A3FCD5A" w14:textId="7830C3DD" w:rsidR="00A55BF5" w:rsidRDefault="00A55BF5" w:rsidP="00207BC4">
            <w:pPr>
              <w:pStyle w:val="NoSpacing"/>
              <w:jc w:val="center"/>
            </w:pPr>
            <w:r>
              <w:t>$</w:t>
            </w:r>
            <w:r w:rsidR="009227CA" w:rsidRPr="009227CA">
              <w:t>2,596,000</w:t>
            </w:r>
          </w:p>
        </w:tc>
      </w:tr>
      <w:tr w:rsidR="00A55BF5" w14:paraId="538235A5" w14:textId="77777777" w:rsidTr="00A55BF5">
        <w:tc>
          <w:tcPr>
            <w:tcW w:w="467" w:type="dxa"/>
            <w:vAlign w:val="center"/>
          </w:tcPr>
          <w:p w14:paraId="47B9377E" w14:textId="77777777" w:rsidR="00A55BF5" w:rsidRDefault="00A55BF5" w:rsidP="009A2B87">
            <w:pPr>
              <w:pStyle w:val="NoSpacing"/>
              <w:jc w:val="center"/>
            </w:pPr>
            <w:r>
              <w:t>2</w:t>
            </w:r>
          </w:p>
        </w:tc>
        <w:tc>
          <w:tcPr>
            <w:tcW w:w="4552" w:type="dxa"/>
            <w:vAlign w:val="center"/>
          </w:tcPr>
          <w:p w14:paraId="2792A6BB" w14:textId="77777777" w:rsidR="00A55BF5" w:rsidRDefault="00A55BF5" w:rsidP="009A2B87">
            <w:pPr>
              <w:pStyle w:val="NoSpacing"/>
            </w:pPr>
            <w:r>
              <w:t>Post-Grant or Covered Business Method Review Request of Each Claim in Excess of 20</w:t>
            </w:r>
          </w:p>
        </w:tc>
        <w:tc>
          <w:tcPr>
            <w:tcW w:w="1517" w:type="dxa"/>
            <w:vAlign w:val="center"/>
          </w:tcPr>
          <w:p w14:paraId="40131220" w14:textId="77777777" w:rsidR="00A55BF5" w:rsidRDefault="00A55BF5" w:rsidP="009A2B87">
            <w:pPr>
              <w:pStyle w:val="NoSpacing"/>
              <w:jc w:val="center"/>
            </w:pPr>
            <w:r>
              <w:t>937</w:t>
            </w:r>
          </w:p>
        </w:tc>
        <w:tc>
          <w:tcPr>
            <w:tcW w:w="1432" w:type="dxa"/>
            <w:vAlign w:val="center"/>
          </w:tcPr>
          <w:p w14:paraId="36AB2653" w14:textId="56BD448A" w:rsidR="00A55BF5" w:rsidRDefault="00207BC4" w:rsidP="009A2B87">
            <w:pPr>
              <w:pStyle w:val="NoSpacing"/>
              <w:jc w:val="center"/>
            </w:pPr>
            <w:r>
              <w:t>$375</w:t>
            </w:r>
          </w:p>
        </w:tc>
        <w:tc>
          <w:tcPr>
            <w:tcW w:w="1608" w:type="dxa"/>
            <w:vAlign w:val="center"/>
          </w:tcPr>
          <w:p w14:paraId="5EEA09AE" w14:textId="2C6BB4BB" w:rsidR="00A55BF5" w:rsidRDefault="00A55BF5" w:rsidP="00207BC4">
            <w:pPr>
              <w:pStyle w:val="NoSpacing"/>
              <w:jc w:val="center"/>
            </w:pPr>
            <w:r>
              <w:t>$</w:t>
            </w:r>
            <w:r w:rsidR="009227CA" w:rsidRPr="009227CA">
              <w:t>351,375</w:t>
            </w:r>
          </w:p>
        </w:tc>
      </w:tr>
      <w:tr w:rsidR="00A55BF5" w14:paraId="0CD98315" w14:textId="77777777" w:rsidTr="00A55BF5">
        <w:tc>
          <w:tcPr>
            <w:tcW w:w="467" w:type="dxa"/>
            <w:vAlign w:val="center"/>
          </w:tcPr>
          <w:p w14:paraId="4550E830" w14:textId="77777777" w:rsidR="00A55BF5" w:rsidRDefault="00A55BF5" w:rsidP="009A2B87">
            <w:pPr>
              <w:pStyle w:val="NoSpacing"/>
              <w:jc w:val="center"/>
            </w:pPr>
            <w:r>
              <w:t>2</w:t>
            </w:r>
          </w:p>
        </w:tc>
        <w:tc>
          <w:tcPr>
            <w:tcW w:w="4552" w:type="dxa"/>
            <w:vAlign w:val="center"/>
          </w:tcPr>
          <w:p w14:paraId="4BE84CD5" w14:textId="77777777" w:rsidR="00A55BF5" w:rsidRDefault="00A55BF5" w:rsidP="009A2B87">
            <w:pPr>
              <w:pStyle w:val="NoSpacing"/>
            </w:pPr>
            <w:r>
              <w:t xml:space="preserve">Post-Grant or Covered Business Method Review Request of Each Claim in Excess of 15 </w:t>
            </w:r>
          </w:p>
        </w:tc>
        <w:tc>
          <w:tcPr>
            <w:tcW w:w="1517" w:type="dxa"/>
            <w:vAlign w:val="center"/>
          </w:tcPr>
          <w:p w14:paraId="29D86797" w14:textId="77777777" w:rsidR="00A55BF5" w:rsidRDefault="00A55BF5" w:rsidP="009A2B87">
            <w:pPr>
              <w:pStyle w:val="NoSpacing"/>
              <w:jc w:val="center"/>
            </w:pPr>
            <w:r>
              <w:t>1,290</w:t>
            </w:r>
          </w:p>
        </w:tc>
        <w:tc>
          <w:tcPr>
            <w:tcW w:w="1432" w:type="dxa"/>
            <w:vAlign w:val="center"/>
          </w:tcPr>
          <w:p w14:paraId="6E0AC805" w14:textId="02F0C663" w:rsidR="00A55BF5" w:rsidRDefault="00207BC4" w:rsidP="009A2B87">
            <w:pPr>
              <w:pStyle w:val="NoSpacing"/>
              <w:jc w:val="center"/>
            </w:pPr>
            <w:r>
              <w:t>$825</w:t>
            </w:r>
          </w:p>
        </w:tc>
        <w:tc>
          <w:tcPr>
            <w:tcW w:w="1608" w:type="dxa"/>
            <w:vAlign w:val="center"/>
          </w:tcPr>
          <w:p w14:paraId="2EA8628D" w14:textId="69E9AC8C" w:rsidR="00A55BF5" w:rsidRDefault="00A55BF5" w:rsidP="00207BC4">
            <w:pPr>
              <w:pStyle w:val="NoSpacing"/>
              <w:jc w:val="center"/>
            </w:pPr>
            <w:r>
              <w:t>$</w:t>
            </w:r>
            <w:r w:rsidR="009227CA" w:rsidRPr="009227CA">
              <w:t>1,064,250</w:t>
            </w:r>
          </w:p>
        </w:tc>
      </w:tr>
      <w:tr w:rsidR="00A55BF5" w14:paraId="32914D51" w14:textId="77777777" w:rsidTr="00A55BF5">
        <w:tc>
          <w:tcPr>
            <w:tcW w:w="467" w:type="dxa"/>
          </w:tcPr>
          <w:p w14:paraId="160A6723" w14:textId="77777777" w:rsidR="00A55BF5" w:rsidRPr="00543366" w:rsidRDefault="00A55BF5" w:rsidP="009A2B87">
            <w:pPr>
              <w:pStyle w:val="NoSpacing"/>
              <w:rPr>
                <w:b/>
              </w:rPr>
            </w:pPr>
          </w:p>
        </w:tc>
        <w:tc>
          <w:tcPr>
            <w:tcW w:w="4552" w:type="dxa"/>
          </w:tcPr>
          <w:p w14:paraId="2823795E" w14:textId="77777777" w:rsidR="00A55BF5" w:rsidRPr="00543366" w:rsidRDefault="00A55BF5" w:rsidP="009A2B87">
            <w:pPr>
              <w:pStyle w:val="NoSpacing"/>
              <w:rPr>
                <w:b/>
              </w:rPr>
            </w:pPr>
            <w:r>
              <w:rPr>
                <w:b/>
              </w:rPr>
              <w:t>Totals</w:t>
            </w:r>
          </w:p>
        </w:tc>
        <w:tc>
          <w:tcPr>
            <w:tcW w:w="1517" w:type="dxa"/>
            <w:vAlign w:val="center"/>
          </w:tcPr>
          <w:p w14:paraId="73F3C1D8" w14:textId="4D285DE6" w:rsidR="00A55BF5" w:rsidRPr="00543366" w:rsidRDefault="00AC0973" w:rsidP="009A2B87">
            <w:pPr>
              <w:pStyle w:val="NoSpacing"/>
              <w:jc w:val="center"/>
              <w:rPr>
                <w:b/>
              </w:rPr>
            </w:pPr>
            <w:r>
              <w:rPr>
                <w:b/>
              </w:rPr>
              <w:t>17,120</w:t>
            </w:r>
          </w:p>
        </w:tc>
        <w:tc>
          <w:tcPr>
            <w:tcW w:w="1432" w:type="dxa"/>
          </w:tcPr>
          <w:p w14:paraId="69606C3C" w14:textId="7E3F958C" w:rsidR="00A55BF5" w:rsidRPr="00543366" w:rsidRDefault="00207BC4" w:rsidP="00207BC4">
            <w:pPr>
              <w:pStyle w:val="NoSpacing"/>
              <w:jc w:val="center"/>
              <w:rPr>
                <w:b/>
              </w:rPr>
            </w:pPr>
            <w:r>
              <w:rPr>
                <w:b/>
              </w:rPr>
              <w:t>- - -</w:t>
            </w:r>
          </w:p>
        </w:tc>
        <w:tc>
          <w:tcPr>
            <w:tcW w:w="1608" w:type="dxa"/>
            <w:vAlign w:val="center"/>
          </w:tcPr>
          <w:p w14:paraId="332521E0" w14:textId="007F9093" w:rsidR="00A55BF5" w:rsidRPr="00543366" w:rsidRDefault="00AC0973" w:rsidP="00207BC4">
            <w:pPr>
              <w:pStyle w:val="NoSpacing"/>
              <w:jc w:val="center"/>
              <w:rPr>
                <w:b/>
              </w:rPr>
            </w:pPr>
            <w:r>
              <w:rPr>
                <w:b/>
              </w:rPr>
              <w:t>$</w:t>
            </w:r>
            <w:r w:rsidR="009227CA">
              <w:rPr>
                <w:b/>
              </w:rPr>
              <w:t>59,205,525</w:t>
            </w:r>
          </w:p>
        </w:tc>
      </w:tr>
    </w:tbl>
    <w:p w14:paraId="0FC81BD7" w14:textId="77777777" w:rsidR="00A55BF5" w:rsidRDefault="00A55BF5" w:rsidP="00783437">
      <w:pPr>
        <w:pStyle w:val="NoSpacing"/>
        <w:jc w:val="both"/>
        <w:rPr>
          <w:rFonts w:cs="Arial"/>
        </w:rPr>
      </w:pPr>
    </w:p>
    <w:p w14:paraId="72F6686E" w14:textId="24C648A3" w:rsidR="00783437" w:rsidRDefault="009F1C55" w:rsidP="00783437">
      <w:pPr>
        <w:pStyle w:val="NoSpacing"/>
        <w:jc w:val="both"/>
        <w:rPr>
          <w:rFonts w:cs="Arial"/>
        </w:rPr>
      </w:pPr>
      <w:r>
        <w:rPr>
          <w:rFonts w:cs="Arial"/>
          <w:b/>
        </w:rPr>
        <w:t>Table 2</w:t>
      </w:r>
      <w:r w:rsidR="00A55BF5">
        <w:rPr>
          <w:rFonts w:cs="Arial"/>
          <w:b/>
        </w:rPr>
        <w:t>: Increases in Fee Amounts</w:t>
      </w:r>
    </w:p>
    <w:tbl>
      <w:tblPr>
        <w:tblStyle w:val="TableGrid"/>
        <w:tblW w:w="9540" w:type="dxa"/>
        <w:tblInd w:w="18" w:type="dxa"/>
        <w:tblLayout w:type="fixed"/>
        <w:tblLook w:val="04A0" w:firstRow="1" w:lastRow="0" w:firstColumn="1" w:lastColumn="0" w:noHBand="0" w:noVBand="1"/>
      </w:tblPr>
      <w:tblGrid>
        <w:gridCol w:w="450"/>
        <w:gridCol w:w="4500"/>
        <w:gridCol w:w="1530"/>
        <w:gridCol w:w="1440"/>
        <w:gridCol w:w="1620"/>
      </w:tblGrid>
      <w:tr w:rsidR="00CB219A" w14:paraId="72F66874" w14:textId="77777777" w:rsidTr="00207BC4">
        <w:trPr>
          <w:cantSplit/>
        </w:trPr>
        <w:tc>
          <w:tcPr>
            <w:tcW w:w="450" w:type="dxa"/>
            <w:vAlign w:val="center"/>
          </w:tcPr>
          <w:p w14:paraId="72F6686F" w14:textId="77777777" w:rsidR="00CB219A" w:rsidRPr="005A2703" w:rsidRDefault="00CB219A" w:rsidP="00A55BF5">
            <w:pPr>
              <w:pStyle w:val="NoSpacing"/>
              <w:jc w:val="center"/>
              <w:rPr>
                <w:b/>
              </w:rPr>
            </w:pPr>
            <w:r>
              <w:rPr>
                <w:b/>
              </w:rPr>
              <w:t>IC #</w:t>
            </w:r>
          </w:p>
        </w:tc>
        <w:tc>
          <w:tcPr>
            <w:tcW w:w="4500" w:type="dxa"/>
            <w:vAlign w:val="center"/>
          </w:tcPr>
          <w:p w14:paraId="72F66870" w14:textId="77777777" w:rsidR="00CB219A" w:rsidRPr="005A2703" w:rsidRDefault="00CB219A" w:rsidP="00A55BF5">
            <w:pPr>
              <w:pStyle w:val="NoSpacing"/>
              <w:jc w:val="center"/>
              <w:rPr>
                <w:b/>
              </w:rPr>
            </w:pPr>
            <w:r>
              <w:rPr>
                <w:b/>
              </w:rPr>
              <w:t>Item</w:t>
            </w:r>
          </w:p>
        </w:tc>
        <w:tc>
          <w:tcPr>
            <w:tcW w:w="1530" w:type="dxa"/>
            <w:vAlign w:val="center"/>
          </w:tcPr>
          <w:p w14:paraId="72F66871" w14:textId="77777777" w:rsidR="00CB219A" w:rsidRPr="005A2703" w:rsidRDefault="00CB219A" w:rsidP="00A55BF5">
            <w:pPr>
              <w:pStyle w:val="NoSpacing"/>
              <w:jc w:val="center"/>
              <w:rPr>
                <w:b/>
              </w:rPr>
            </w:pPr>
            <w:r>
              <w:rPr>
                <w:b/>
              </w:rPr>
              <w:t>Current Fee</w:t>
            </w:r>
          </w:p>
        </w:tc>
        <w:tc>
          <w:tcPr>
            <w:tcW w:w="1440" w:type="dxa"/>
            <w:vAlign w:val="center"/>
          </w:tcPr>
          <w:p w14:paraId="72F66872" w14:textId="77777777" w:rsidR="00CB219A" w:rsidRPr="005A2703" w:rsidRDefault="00CB219A" w:rsidP="00A55BF5">
            <w:pPr>
              <w:pStyle w:val="NoSpacing"/>
              <w:jc w:val="center"/>
              <w:rPr>
                <w:b/>
              </w:rPr>
            </w:pPr>
            <w:r>
              <w:rPr>
                <w:b/>
              </w:rPr>
              <w:t>Proposed Fee</w:t>
            </w:r>
          </w:p>
        </w:tc>
        <w:tc>
          <w:tcPr>
            <w:tcW w:w="1620" w:type="dxa"/>
            <w:vAlign w:val="center"/>
          </w:tcPr>
          <w:p w14:paraId="72F66873" w14:textId="6339CAFC" w:rsidR="00CB219A" w:rsidRPr="005A2703" w:rsidRDefault="00CB219A" w:rsidP="00A55BF5">
            <w:pPr>
              <w:pStyle w:val="NoSpacing"/>
              <w:jc w:val="center"/>
              <w:rPr>
                <w:b/>
              </w:rPr>
            </w:pPr>
            <w:r>
              <w:rPr>
                <w:b/>
              </w:rPr>
              <w:t>Fee Increase</w:t>
            </w:r>
          </w:p>
        </w:tc>
      </w:tr>
      <w:tr w:rsidR="00CB219A" w14:paraId="72F6687A" w14:textId="77777777" w:rsidTr="00207BC4">
        <w:trPr>
          <w:cantSplit/>
        </w:trPr>
        <w:tc>
          <w:tcPr>
            <w:tcW w:w="450" w:type="dxa"/>
            <w:vAlign w:val="center"/>
          </w:tcPr>
          <w:p w14:paraId="72F66875" w14:textId="77777777" w:rsidR="00CB219A" w:rsidRDefault="00CB219A" w:rsidP="00A71FC4">
            <w:pPr>
              <w:pStyle w:val="NoSpacing"/>
              <w:jc w:val="center"/>
            </w:pPr>
            <w:r>
              <w:t>1</w:t>
            </w:r>
          </w:p>
        </w:tc>
        <w:tc>
          <w:tcPr>
            <w:tcW w:w="4500" w:type="dxa"/>
            <w:vAlign w:val="center"/>
          </w:tcPr>
          <w:p w14:paraId="72F66876" w14:textId="45F3FEF1" w:rsidR="00CB219A" w:rsidRDefault="00CB219A" w:rsidP="00207BC4">
            <w:pPr>
              <w:pStyle w:val="NoSpacing"/>
            </w:pPr>
            <w:r>
              <w:t xml:space="preserve">Inter Partes Review Request Fee </w:t>
            </w:r>
          </w:p>
        </w:tc>
        <w:tc>
          <w:tcPr>
            <w:tcW w:w="1530" w:type="dxa"/>
            <w:vAlign w:val="center"/>
          </w:tcPr>
          <w:p w14:paraId="72F66877" w14:textId="54D4114F" w:rsidR="00CB219A" w:rsidRDefault="00CB219A" w:rsidP="00A71FC4">
            <w:pPr>
              <w:pStyle w:val="NoSpacing"/>
              <w:jc w:val="center"/>
            </w:pPr>
            <w:r>
              <w:t>$9,000</w:t>
            </w:r>
          </w:p>
        </w:tc>
        <w:tc>
          <w:tcPr>
            <w:tcW w:w="1440" w:type="dxa"/>
            <w:vAlign w:val="center"/>
          </w:tcPr>
          <w:p w14:paraId="72F66878" w14:textId="7D7EE3FD" w:rsidR="00CB219A" w:rsidRDefault="00CB219A" w:rsidP="00AC0973">
            <w:pPr>
              <w:pStyle w:val="NoSpacing"/>
              <w:jc w:val="center"/>
            </w:pPr>
            <w:r>
              <w:t>$1</w:t>
            </w:r>
            <w:r w:rsidR="00AC0973">
              <w:t>5</w:t>
            </w:r>
            <w:r w:rsidR="00207BC4">
              <w:t>,5</w:t>
            </w:r>
            <w:r>
              <w:t>00</w:t>
            </w:r>
          </w:p>
        </w:tc>
        <w:tc>
          <w:tcPr>
            <w:tcW w:w="1620" w:type="dxa"/>
            <w:vAlign w:val="center"/>
          </w:tcPr>
          <w:p w14:paraId="72F66879" w14:textId="41A3FB5B" w:rsidR="00CB219A" w:rsidRDefault="00CB219A" w:rsidP="00AC0973">
            <w:pPr>
              <w:pStyle w:val="NoSpacing"/>
              <w:jc w:val="center"/>
            </w:pPr>
            <w:r>
              <w:t>$</w:t>
            </w:r>
            <w:r w:rsidR="00AC0973">
              <w:t>6</w:t>
            </w:r>
            <w:r w:rsidR="00207BC4">
              <w:t>,5</w:t>
            </w:r>
            <w:r>
              <w:t>00</w:t>
            </w:r>
          </w:p>
        </w:tc>
      </w:tr>
      <w:tr w:rsidR="00CB219A" w14:paraId="72F66880" w14:textId="77777777" w:rsidTr="00207BC4">
        <w:trPr>
          <w:cantSplit/>
        </w:trPr>
        <w:tc>
          <w:tcPr>
            <w:tcW w:w="450" w:type="dxa"/>
            <w:vAlign w:val="center"/>
          </w:tcPr>
          <w:p w14:paraId="72F6687B" w14:textId="77777777" w:rsidR="00CB219A" w:rsidRDefault="00CB219A" w:rsidP="00A71FC4">
            <w:pPr>
              <w:pStyle w:val="NoSpacing"/>
              <w:jc w:val="center"/>
            </w:pPr>
            <w:r>
              <w:t>1</w:t>
            </w:r>
          </w:p>
        </w:tc>
        <w:tc>
          <w:tcPr>
            <w:tcW w:w="4500" w:type="dxa"/>
            <w:vAlign w:val="center"/>
          </w:tcPr>
          <w:p w14:paraId="72F6687C" w14:textId="3C884CD3" w:rsidR="00CB219A" w:rsidRDefault="00CB219A" w:rsidP="00207BC4">
            <w:pPr>
              <w:pStyle w:val="NoSpacing"/>
            </w:pPr>
            <w:r>
              <w:t>Inter Partes Review Post-Institution Fee</w:t>
            </w:r>
          </w:p>
        </w:tc>
        <w:tc>
          <w:tcPr>
            <w:tcW w:w="1530" w:type="dxa"/>
            <w:vAlign w:val="center"/>
          </w:tcPr>
          <w:p w14:paraId="72F6687D" w14:textId="504F1586" w:rsidR="00CB219A" w:rsidRDefault="00CB219A" w:rsidP="00A71FC4">
            <w:pPr>
              <w:pStyle w:val="NoSpacing"/>
              <w:jc w:val="center"/>
            </w:pPr>
            <w:r>
              <w:t>$14,000</w:t>
            </w:r>
          </w:p>
        </w:tc>
        <w:tc>
          <w:tcPr>
            <w:tcW w:w="1440" w:type="dxa"/>
            <w:vAlign w:val="center"/>
          </w:tcPr>
          <w:p w14:paraId="72F6687E" w14:textId="6993140C" w:rsidR="00CB219A" w:rsidRDefault="00CB219A" w:rsidP="00AC0973">
            <w:pPr>
              <w:pStyle w:val="NoSpacing"/>
              <w:jc w:val="center"/>
            </w:pPr>
            <w:r>
              <w:t>$</w:t>
            </w:r>
            <w:r w:rsidR="00AC0973">
              <w:t>15,000</w:t>
            </w:r>
          </w:p>
        </w:tc>
        <w:tc>
          <w:tcPr>
            <w:tcW w:w="1620" w:type="dxa"/>
            <w:vAlign w:val="center"/>
          </w:tcPr>
          <w:p w14:paraId="72F6687F" w14:textId="787AD590" w:rsidR="00CB219A" w:rsidRDefault="00CB219A" w:rsidP="00AC0973">
            <w:pPr>
              <w:pStyle w:val="NoSpacing"/>
              <w:jc w:val="center"/>
            </w:pPr>
            <w:r>
              <w:t>$</w:t>
            </w:r>
            <w:r w:rsidR="00AC0973">
              <w:t>1,000</w:t>
            </w:r>
          </w:p>
        </w:tc>
      </w:tr>
      <w:tr w:rsidR="00CB219A" w14:paraId="72F66886" w14:textId="77777777" w:rsidTr="00207BC4">
        <w:trPr>
          <w:cantSplit/>
        </w:trPr>
        <w:tc>
          <w:tcPr>
            <w:tcW w:w="450" w:type="dxa"/>
            <w:vAlign w:val="center"/>
          </w:tcPr>
          <w:p w14:paraId="72F66881" w14:textId="77777777" w:rsidR="00CB219A" w:rsidRDefault="00CB219A" w:rsidP="00A71FC4">
            <w:pPr>
              <w:pStyle w:val="NoSpacing"/>
              <w:jc w:val="center"/>
            </w:pPr>
            <w:r>
              <w:lastRenderedPageBreak/>
              <w:t>1</w:t>
            </w:r>
          </w:p>
        </w:tc>
        <w:tc>
          <w:tcPr>
            <w:tcW w:w="4500" w:type="dxa"/>
            <w:vAlign w:val="center"/>
          </w:tcPr>
          <w:p w14:paraId="72F66882" w14:textId="77777777" w:rsidR="00CB219A" w:rsidRDefault="00CB219A" w:rsidP="00A71FC4">
            <w:pPr>
              <w:pStyle w:val="NoSpacing"/>
            </w:pPr>
            <w:r>
              <w:t>Inter Partes Review Request of Each Claim in Excess of 20</w:t>
            </w:r>
          </w:p>
        </w:tc>
        <w:tc>
          <w:tcPr>
            <w:tcW w:w="1530" w:type="dxa"/>
            <w:vAlign w:val="center"/>
          </w:tcPr>
          <w:p w14:paraId="72F66883" w14:textId="75955209" w:rsidR="00CB219A" w:rsidRDefault="00CB219A" w:rsidP="00A71FC4">
            <w:pPr>
              <w:pStyle w:val="NoSpacing"/>
              <w:jc w:val="center"/>
            </w:pPr>
            <w:r>
              <w:t>$200</w:t>
            </w:r>
          </w:p>
        </w:tc>
        <w:tc>
          <w:tcPr>
            <w:tcW w:w="1440" w:type="dxa"/>
            <w:vAlign w:val="center"/>
          </w:tcPr>
          <w:p w14:paraId="72F66884" w14:textId="0F03B0D4" w:rsidR="00CB219A" w:rsidRDefault="00CB219A" w:rsidP="00A71FC4">
            <w:pPr>
              <w:pStyle w:val="NoSpacing"/>
              <w:jc w:val="center"/>
            </w:pPr>
            <w:r>
              <w:t>$300</w:t>
            </w:r>
          </w:p>
        </w:tc>
        <w:tc>
          <w:tcPr>
            <w:tcW w:w="1620" w:type="dxa"/>
            <w:vAlign w:val="center"/>
          </w:tcPr>
          <w:p w14:paraId="72F66885" w14:textId="351DEE98" w:rsidR="00CB219A" w:rsidRDefault="00CB219A" w:rsidP="00A71FC4">
            <w:pPr>
              <w:pStyle w:val="NoSpacing"/>
              <w:jc w:val="center"/>
            </w:pPr>
            <w:r>
              <w:t>$100</w:t>
            </w:r>
          </w:p>
        </w:tc>
      </w:tr>
      <w:tr w:rsidR="00CB219A" w14:paraId="72F6688C" w14:textId="77777777" w:rsidTr="00207BC4">
        <w:trPr>
          <w:cantSplit/>
        </w:trPr>
        <w:tc>
          <w:tcPr>
            <w:tcW w:w="450" w:type="dxa"/>
            <w:vAlign w:val="center"/>
          </w:tcPr>
          <w:p w14:paraId="72F66887" w14:textId="77777777" w:rsidR="00CB219A" w:rsidRDefault="00CB219A" w:rsidP="00A71FC4">
            <w:pPr>
              <w:pStyle w:val="NoSpacing"/>
              <w:jc w:val="center"/>
            </w:pPr>
            <w:r>
              <w:t>1</w:t>
            </w:r>
          </w:p>
        </w:tc>
        <w:tc>
          <w:tcPr>
            <w:tcW w:w="4500" w:type="dxa"/>
            <w:vAlign w:val="center"/>
          </w:tcPr>
          <w:p w14:paraId="72F66888" w14:textId="77777777" w:rsidR="00CB219A" w:rsidRDefault="00CB219A" w:rsidP="00A71FC4">
            <w:pPr>
              <w:pStyle w:val="NoSpacing"/>
            </w:pPr>
            <w:r>
              <w:t>Inter Partes Post-Institution Request of Each Claim in Excess of 15</w:t>
            </w:r>
          </w:p>
        </w:tc>
        <w:tc>
          <w:tcPr>
            <w:tcW w:w="1530" w:type="dxa"/>
            <w:vAlign w:val="center"/>
          </w:tcPr>
          <w:p w14:paraId="72F66889" w14:textId="010134DB" w:rsidR="00CB219A" w:rsidRDefault="00CB219A" w:rsidP="00A71FC4">
            <w:pPr>
              <w:pStyle w:val="NoSpacing"/>
              <w:jc w:val="center"/>
            </w:pPr>
            <w:r>
              <w:t>$400</w:t>
            </w:r>
          </w:p>
        </w:tc>
        <w:tc>
          <w:tcPr>
            <w:tcW w:w="1440" w:type="dxa"/>
            <w:vAlign w:val="center"/>
          </w:tcPr>
          <w:p w14:paraId="72F6688A" w14:textId="5039121A" w:rsidR="00CB219A" w:rsidRDefault="00CB219A" w:rsidP="00A71FC4">
            <w:pPr>
              <w:pStyle w:val="NoSpacing"/>
              <w:jc w:val="center"/>
            </w:pPr>
            <w:r>
              <w:t>$600</w:t>
            </w:r>
          </w:p>
        </w:tc>
        <w:tc>
          <w:tcPr>
            <w:tcW w:w="1620" w:type="dxa"/>
            <w:vAlign w:val="center"/>
          </w:tcPr>
          <w:p w14:paraId="72F6688B" w14:textId="24804D87" w:rsidR="00CB219A" w:rsidRDefault="00CB219A" w:rsidP="00A71FC4">
            <w:pPr>
              <w:pStyle w:val="NoSpacing"/>
              <w:jc w:val="center"/>
            </w:pPr>
            <w:r>
              <w:t>$200</w:t>
            </w:r>
          </w:p>
        </w:tc>
      </w:tr>
      <w:tr w:rsidR="00CB219A" w14:paraId="72F66892" w14:textId="77777777" w:rsidTr="00207BC4">
        <w:trPr>
          <w:cantSplit/>
        </w:trPr>
        <w:tc>
          <w:tcPr>
            <w:tcW w:w="450" w:type="dxa"/>
            <w:vAlign w:val="center"/>
          </w:tcPr>
          <w:p w14:paraId="72F6688D" w14:textId="77777777" w:rsidR="00CB219A" w:rsidRDefault="00CB219A" w:rsidP="00A71FC4">
            <w:pPr>
              <w:pStyle w:val="NoSpacing"/>
              <w:jc w:val="center"/>
            </w:pPr>
            <w:r>
              <w:t>2</w:t>
            </w:r>
          </w:p>
        </w:tc>
        <w:tc>
          <w:tcPr>
            <w:tcW w:w="4500" w:type="dxa"/>
            <w:vAlign w:val="center"/>
          </w:tcPr>
          <w:p w14:paraId="72F6688E" w14:textId="77777777" w:rsidR="00CB219A" w:rsidRDefault="00CB219A" w:rsidP="00A71FC4">
            <w:pPr>
              <w:pStyle w:val="NoSpacing"/>
            </w:pPr>
            <w:r>
              <w:t>Post-Grant or Covered Business Method Review Request Fee – Up to 20 Claims</w:t>
            </w:r>
          </w:p>
        </w:tc>
        <w:tc>
          <w:tcPr>
            <w:tcW w:w="1530" w:type="dxa"/>
            <w:vAlign w:val="center"/>
          </w:tcPr>
          <w:p w14:paraId="72F6688F" w14:textId="002170E7" w:rsidR="00CB219A" w:rsidRDefault="00CB219A" w:rsidP="00A71FC4">
            <w:pPr>
              <w:pStyle w:val="NoSpacing"/>
              <w:jc w:val="center"/>
            </w:pPr>
            <w:r>
              <w:t>$12,000</w:t>
            </w:r>
          </w:p>
        </w:tc>
        <w:tc>
          <w:tcPr>
            <w:tcW w:w="1440" w:type="dxa"/>
            <w:vAlign w:val="center"/>
          </w:tcPr>
          <w:p w14:paraId="72F66890" w14:textId="44C57AA8" w:rsidR="00CB219A" w:rsidRDefault="00CB219A" w:rsidP="00A71FC4">
            <w:pPr>
              <w:pStyle w:val="NoSpacing"/>
              <w:jc w:val="center"/>
            </w:pPr>
            <w:r>
              <w:t>$16,000</w:t>
            </w:r>
          </w:p>
        </w:tc>
        <w:tc>
          <w:tcPr>
            <w:tcW w:w="1620" w:type="dxa"/>
            <w:vAlign w:val="center"/>
          </w:tcPr>
          <w:p w14:paraId="72F66891" w14:textId="1F5BB9ED" w:rsidR="00CB219A" w:rsidRDefault="00CB219A" w:rsidP="00A71FC4">
            <w:pPr>
              <w:pStyle w:val="NoSpacing"/>
              <w:jc w:val="center"/>
            </w:pPr>
            <w:r>
              <w:t>$4,000</w:t>
            </w:r>
          </w:p>
        </w:tc>
      </w:tr>
      <w:tr w:rsidR="00CB219A" w14:paraId="72F66898" w14:textId="77777777" w:rsidTr="00207BC4">
        <w:trPr>
          <w:cantSplit/>
        </w:trPr>
        <w:tc>
          <w:tcPr>
            <w:tcW w:w="450" w:type="dxa"/>
            <w:vAlign w:val="center"/>
          </w:tcPr>
          <w:p w14:paraId="72F66893" w14:textId="77777777" w:rsidR="00CB219A" w:rsidRDefault="00CB219A" w:rsidP="00A71FC4">
            <w:pPr>
              <w:pStyle w:val="NoSpacing"/>
              <w:jc w:val="center"/>
            </w:pPr>
            <w:r>
              <w:t>2</w:t>
            </w:r>
          </w:p>
        </w:tc>
        <w:tc>
          <w:tcPr>
            <w:tcW w:w="4500" w:type="dxa"/>
            <w:vAlign w:val="center"/>
          </w:tcPr>
          <w:p w14:paraId="72F66894" w14:textId="77777777" w:rsidR="00CB219A" w:rsidRDefault="00CB219A" w:rsidP="00A71FC4">
            <w:pPr>
              <w:pStyle w:val="NoSpacing"/>
            </w:pPr>
            <w:r>
              <w:t>Post-Grant or Covered Business Method Review Post-Institution Fee – Up to 15 Claims</w:t>
            </w:r>
          </w:p>
        </w:tc>
        <w:tc>
          <w:tcPr>
            <w:tcW w:w="1530" w:type="dxa"/>
            <w:vAlign w:val="center"/>
          </w:tcPr>
          <w:p w14:paraId="72F66895" w14:textId="0BA44009" w:rsidR="00CB219A" w:rsidRDefault="00207BC4" w:rsidP="00A71FC4">
            <w:pPr>
              <w:pStyle w:val="NoSpacing"/>
              <w:jc w:val="center"/>
            </w:pPr>
            <w:r>
              <w:t>$18,000</w:t>
            </w:r>
          </w:p>
        </w:tc>
        <w:tc>
          <w:tcPr>
            <w:tcW w:w="1440" w:type="dxa"/>
            <w:vAlign w:val="center"/>
          </w:tcPr>
          <w:p w14:paraId="72F66896" w14:textId="01EBC469" w:rsidR="00CB219A" w:rsidRDefault="00CB219A" w:rsidP="00A71FC4">
            <w:pPr>
              <w:pStyle w:val="NoSpacing"/>
              <w:jc w:val="center"/>
            </w:pPr>
            <w:r>
              <w:t>$22,000</w:t>
            </w:r>
          </w:p>
        </w:tc>
        <w:tc>
          <w:tcPr>
            <w:tcW w:w="1620" w:type="dxa"/>
            <w:vAlign w:val="center"/>
          </w:tcPr>
          <w:p w14:paraId="72F66897" w14:textId="40C98F31" w:rsidR="00CB219A" w:rsidRDefault="00CB219A" w:rsidP="00A71FC4">
            <w:pPr>
              <w:pStyle w:val="NoSpacing"/>
              <w:jc w:val="center"/>
            </w:pPr>
            <w:r>
              <w:t>$4,000</w:t>
            </w:r>
          </w:p>
        </w:tc>
      </w:tr>
      <w:tr w:rsidR="00CB219A" w14:paraId="72F6689E" w14:textId="77777777" w:rsidTr="00207BC4">
        <w:trPr>
          <w:cantSplit/>
        </w:trPr>
        <w:tc>
          <w:tcPr>
            <w:tcW w:w="450" w:type="dxa"/>
            <w:vAlign w:val="center"/>
          </w:tcPr>
          <w:p w14:paraId="72F66899" w14:textId="77777777" w:rsidR="00CB219A" w:rsidRDefault="00CB219A" w:rsidP="00A71FC4">
            <w:pPr>
              <w:pStyle w:val="NoSpacing"/>
              <w:jc w:val="center"/>
            </w:pPr>
            <w:r>
              <w:t>2</w:t>
            </w:r>
          </w:p>
        </w:tc>
        <w:tc>
          <w:tcPr>
            <w:tcW w:w="4500" w:type="dxa"/>
            <w:vAlign w:val="center"/>
          </w:tcPr>
          <w:p w14:paraId="72F6689A" w14:textId="77777777" w:rsidR="00CB219A" w:rsidRDefault="00CB219A" w:rsidP="00A71FC4">
            <w:pPr>
              <w:pStyle w:val="NoSpacing"/>
            </w:pPr>
            <w:r>
              <w:t>Post-Grant or Covered Business Method Review Request of Each Claim in Excess of 20</w:t>
            </w:r>
          </w:p>
        </w:tc>
        <w:tc>
          <w:tcPr>
            <w:tcW w:w="1530" w:type="dxa"/>
            <w:vAlign w:val="center"/>
          </w:tcPr>
          <w:p w14:paraId="72F6689B" w14:textId="618E44FA" w:rsidR="00CB219A" w:rsidRDefault="00CB219A" w:rsidP="00A71FC4">
            <w:pPr>
              <w:pStyle w:val="NoSpacing"/>
              <w:jc w:val="center"/>
            </w:pPr>
            <w:r>
              <w:t>$250</w:t>
            </w:r>
          </w:p>
        </w:tc>
        <w:tc>
          <w:tcPr>
            <w:tcW w:w="1440" w:type="dxa"/>
            <w:vAlign w:val="center"/>
          </w:tcPr>
          <w:p w14:paraId="72F6689C" w14:textId="787628DB" w:rsidR="00CB219A" w:rsidRDefault="00CB219A" w:rsidP="00A71FC4">
            <w:pPr>
              <w:pStyle w:val="NoSpacing"/>
              <w:jc w:val="center"/>
            </w:pPr>
            <w:r>
              <w:t>$375</w:t>
            </w:r>
          </w:p>
        </w:tc>
        <w:tc>
          <w:tcPr>
            <w:tcW w:w="1620" w:type="dxa"/>
            <w:vAlign w:val="center"/>
          </w:tcPr>
          <w:p w14:paraId="72F6689D" w14:textId="027B4589" w:rsidR="00CB219A" w:rsidRDefault="00CB219A" w:rsidP="00A71FC4">
            <w:pPr>
              <w:pStyle w:val="NoSpacing"/>
              <w:jc w:val="center"/>
            </w:pPr>
            <w:r>
              <w:t>$125</w:t>
            </w:r>
          </w:p>
        </w:tc>
      </w:tr>
      <w:tr w:rsidR="00CB219A" w14:paraId="72F668A4" w14:textId="77777777" w:rsidTr="00207BC4">
        <w:trPr>
          <w:cantSplit/>
        </w:trPr>
        <w:tc>
          <w:tcPr>
            <w:tcW w:w="450" w:type="dxa"/>
            <w:vAlign w:val="center"/>
          </w:tcPr>
          <w:p w14:paraId="72F6689F" w14:textId="77777777" w:rsidR="00CB219A" w:rsidRDefault="00CB219A" w:rsidP="00A71FC4">
            <w:pPr>
              <w:pStyle w:val="NoSpacing"/>
              <w:jc w:val="center"/>
            </w:pPr>
            <w:r>
              <w:t>2</w:t>
            </w:r>
          </w:p>
        </w:tc>
        <w:tc>
          <w:tcPr>
            <w:tcW w:w="4500" w:type="dxa"/>
            <w:vAlign w:val="center"/>
          </w:tcPr>
          <w:p w14:paraId="72F668A0" w14:textId="77777777" w:rsidR="00CB219A" w:rsidRDefault="00CB219A" w:rsidP="00A71FC4">
            <w:pPr>
              <w:pStyle w:val="NoSpacing"/>
            </w:pPr>
            <w:r>
              <w:t xml:space="preserve">Post-Grant or Covered Business Method Review Request of Each Claim in Excess of 15 </w:t>
            </w:r>
          </w:p>
        </w:tc>
        <w:tc>
          <w:tcPr>
            <w:tcW w:w="1530" w:type="dxa"/>
            <w:vAlign w:val="center"/>
          </w:tcPr>
          <w:p w14:paraId="72F668A1" w14:textId="162B1430" w:rsidR="00CB219A" w:rsidRDefault="00CB219A" w:rsidP="00A71FC4">
            <w:pPr>
              <w:pStyle w:val="NoSpacing"/>
              <w:jc w:val="center"/>
            </w:pPr>
            <w:r>
              <w:t>$550</w:t>
            </w:r>
          </w:p>
        </w:tc>
        <w:tc>
          <w:tcPr>
            <w:tcW w:w="1440" w:type="dxa"/>
            <w:vAlign w:val="center"/>
          </w:tcPr>
          <w:p w14:paraId="72F668A2" w14:textId="534BF129" w:rsidR="00CB219A" w:rsidRDefault="00CB219A" w:rsidP="00A71FC4">
            <w:pPr>
              <w:pStyle w:val="NoSpacing"/>
              <w:jc w:val="center"/>
            </w:pPr>
            <w:r>
              <w:t>$825</w:t>
            </w:r>
          </w:p>
        </w:tc>
        <w:tc>
          <w:tcPr>
            <w:tcW w:w="1620" w:type="dxa"/>
            <w:vAlign w:val="center"/>
          </w:tcPr>
          <w:p w14:paraId="72F668A3" w14:textId="55F04979" w:rsidR="00CB219A" w:rsidRDefault="00CB219A" w:rsidP="00A71FC4">
            <w:pPr>
              <w:pStyle w:val="NoSpacing"/>
              <w:jc w:val="center"/>
            </w:pPr>
            <w:r>
              <w:t>$275</w:t>
            </w:r>
          </w:p>
        </w:tc>
      </w:tr>
    </w:tbl>
    <w:p w14:paraId="72F668B1" w14:textId="77777777" w:rsidR="00783437" w:rsidRDefault="00783437" w:rsidP="00783437">
      <w:pPr>
        <w:pStyle w:val="NoSpacing"/>
      </w:pPr>
    </w:p>
    <w:p w14:paraId="72F668F5" w14:textId="03BF7912" w:rsidR="00783437" w:rsidRPr="00A55BF5" w:rsidRDefault="009F1C55" w:rsidP="00783437">
      <w:pPr>
        <w:pStyle w:val="NoSpacing"/>
        <w:rPr>
          <w:b/>
        </w:rPr>
      </w:pPr>
      <w:r>
        <w:rPr>
          <w:b/>
        </w:rPr>
        <w:t>Table 3</w:t>
      </w:r>
      <w:r w:rsidR="00A55BF5">
        <w:rPr>
          <w:b/>
        </w:rPr>
        <w:t>: Increases in Hourly Burden Respondents</w:t>
      </w:r>
    </w:p>
    <w:tbl>
      <w:tblPr>
        <w:tblStyle w:val="TableGrid"/>
        <w:tblW w:w="0" w:type="auto"/>
        <w:tblLook w:val="04A0" w:firstRow="1" w:lastRow="0" w:firstColumn="1" w:lastColumn="0" w:noHBand="0" w:noVBand="1"/>
      </w:tblPr>
      <w:tblGrid>
        <w:gridCol w:w="468"/>
        <w:gridCol w:w="4500"/>
        <w:gridCol w:w="1530"/>
        <w:gridCol w:w="1620"/>
        <w:gridCol w:w="1458"/>
      </w:tblGrid>
      <w:tr w:rsidR="00A55BF5" w14:paraId="7090DB23" w14:textId="77777777" w:rsidTr="00A55BF5">
        <w:tc>
          <w:tcPr>
            <w:tcW w:w="468" w:type="dxa"/>
            <w:vAlign w:val="center"/>
          </w:tcPr>
          <w:p w14:paraId="30A250FD" w14:textId="66E7A52A" w:rsidR="00A55BF5" w:rsidRPr="00A55BF5" w:rsidRDefault="00A55BF5" w:rsidP="00A55BF5">
            <w:pPr>
              <w:pStyle w:val="NoSpacing"/>
              <w:jc w:val="center"/>
              <w:rPr>
                <w:b/>
              </w:rPr>
            </w:pPr>
            <w:r>
              <w:rPr>
                <w:b/>
              </w:rPr>
              <w:t>IC #</w:t>
            </w:r>
          </w:p>
        </w:tc>
        <w:tc>
          <w:tcPr>
            <w:tcW w:w="4500" w:type="dxa"/>
            <w:vAlign w:val="center"/>
          </w:tcPr>
          <w:p w14:paraId="5E09C031" w14:textId="5FB832A5" w:rsidR="00A55BF5" w:rsidRPr="00A55BF5" w:rsidRDefault="00A55BF5" w:rsidP="00A55BF5">
            <w:pPr>
              <w:pStyle w:val="NoSpacing"/>
              <w:jc w:val="center"/>
              <w:rPr>
                <w:b/>
              </w:rPr>
            </w:pPr>
            <w:r>
              <w:rPr>
                <w:b/>
              </w:rPr>
              <w:t>Item</w:t>
            </w:r>
          </w:p>
        </w:tc>
        <w:tc>
          <w:tcPr>
            <w:tcW w:w="1530" w:type="dxa"/>
            <w:vAlign w:val="center"/>
          </w:tcPr>
          <w:p w14:paraId="371F002D" w14:textId="387BBD7B" w:rsidR="00A55BF5" w:rsidRPr="00A55BF5" w:rsidRDefault="00A55BF5" w:rsidP="00A55BF5">
            <w:pPr>
              <w:pStyle w:val="NoSpacing"/>
              <w:jc w:val="center"/>
              <w:rPr>
                <w:b/>
              </w:rPr>
            </w:pPr>
            <w:r>
              <w:rPr>
                <w:b/>
              </w:rPr>
              <w:t>Current Annual Responses</w:t>
            </w:r>
          </w:p>
        </w:tc>
        <w:tc>
          <w:tcPr>
            <w:tcW w:w="1620" w:type="dxa"/>
            <w:vAlign w:val="center"/>
          </w:tcPr>
          <w:p w14:paraId="3B569929" w14:textId="7E20F3D8" w:rsidR="00A55BF5" w:rsidRPr="00A55BF5" w:rsidRDefault="00A55BF5" w:rsidP="00A55BF5">
            <w:pPr>
              <w:pStyle w:val="NoSpacing"/>
              <w:jc w:val="center"/>
              <w:rPr>
                <w:b/>
              </w:rPr>
            </w:pPr>
            <w:r>
              <w:rPr>
                <w:b/>
              </w:rPr>
              <w:t>Proposed Annual Responses</w:t>
            </w:r>
          </w:p>
        </w:tc>
        <w:tc>
          <w:tcPr>
            <w:tcW w:w="1458" w:type="dxa"/>
            <w:vAlign w:val="center"/>
          </w:tcPr>
          <w:p w14:paraId="043E996F" w14:textId="51378F57" w:rsidR="00A55BF5" w:rsidRPr="00A55BF5" w:rsidRDefault="00A55BF5" w:rsidP="00A55BF5">
            <w:pPr>
              <w:pStyle w:val="NoSpacing"/>
              <w:jc w:val="center"/>
              <w:rPr>
                <w:b/>
              </w:rPr>
            </w:pPr>
            <w:r>
              <w:rPr>
                <w:b/>
              </w:rPr>
              <w:t>Increases in Responses</w:t>
            </w:r>
          </w:p>
        </w:tc>
      </w:tr>
      <w:tr w:rsidR="00A55BF5" w14:paraId="00C0E85D" w14:textId="77777777" w:rsidTr="00A55BF5">
        <w:tc>
          <w:tcPr>
            <w:tcW w:w="468" w:type="dxa"/>
            <w:vAlign w:val="center"/>
          </w:tcPr>
          <w:p w14:paraId="0033C72E" w14:textId="0CFDC3D4" w:rsidR="00A55BF5" w:rsidRDefault="00A55BF5" w:rsidP="00A55BF5">
            <w:pPr>
              <w:pStyle w:val="NoSpacing"/>
              <w:jc w:val="center"/>
            </w:pPr>
            <w:r>
              <w:t>1</w:t>
            </w:r>
          </w:p>
        </w:tc>
        <w:tc>
          <w:tcPr>
            <w:tcW w:w="4500" w:type="dxa"/>
            <w:vAlign w:val="center"/>
          </w:tcPr>
          <w:p w14:paraId="5D6CCDC1" w14:textId="5B37D886" w:rsidR="00A55BF5" w:rsidRDefault="00A55BF5" w:rsidP="00DC72F4">
            <w:pPr>
              <w:pStyle w:val="NoSpacing"/>
            </w:pPr>
            <w:r>
              <w:t xml:space="preserve">Inter Partes Review Request Fee </w:t>
            </w:r>
          </w:p>
        </w:tc>
        <w:tc>
          <w:tcPr>
            <w:tcW w:w="1530" w:type="dxa"/>
            <w:vAlign w:val="center"/>
          </w:tcPr>
          <w:p w14:paraId="321E5F19" w14:textId="6B320BB4" w:rsidR="00A55BF5" w:rsidRDefault="0091098E" w:rsidP="00A55BF5">
            <w:pPr>
              <w:pStyle w:val="NoSpacing"/>
              <w:jc w:val="center"/>
            </w:pPr>
            <w:r>
              <w:t>398</w:t>
            </w:r>
          </w:p>
        </w:tc>
        <w:tc>
          <w:tcPr>
            <w:tcW w:w="1620" w:type="dxa"/>
            <w:vAlign w:val="center"/>
          </w:tcPr>
          <w:p w14:paraId="52331F38" w14:textId="188E879D" w:rsidR="00A55BF5" w:rsidRDefault="00A55BF5" w:rsidP="00A55BF5">
            <w:pPr>
              <w:pStyle w:val="NoSpacing"/>
              <w:jc w:val="center"/>
            </w:pPr>
            <w:r>
              <w:t>1,565</w:t>
            </w:r>
          </w:p>
        </w:tc>
        <w:tc>
          <w:tcPr>
            <w:tcW w:w="1458" w:type="dxa"/>
            <w:vAlign w:val="center"/>
          </w:tcPr>
          <w:p w14:paraId="0E4178B8" w14:textId="570B3864" w:rsidR="00A55BF5" w:rsidRDefault="0091098E" w:rsidP="00A55BF5">
            <w:pPr>
              <w:pStyle w:val="NoSpacing"/>
              <w:jc w:val="center"/>
            </w:pPr>
            <w:r>
              <w:t>1,167</w:t>
            </w:r>
          </w:p>
        </w:tc>
      </w:tr>
      <w:tr w:rsidR="00A55BF5" w14:paraId="0ACF7322" w14:textId="77777777" w:rsidTr="00A55BF5">
        <w:tc>
          <w:tcPr>
            <w:tcW w:w="468" w:type="dxa"/>
            <w:vAlign w:val="center"/>
          </w:tcPr>
          <w:p w14:paraId="039EF023" w14:textId="1E2C9C5C" w:rsidR="00A55BF5" w:rsidRDefault="00A55BF5" w:rsidP="00A55BF5">
            <w:pPr>
              <w:pStyle w:val="NoSpacing"/>
              <w:jc w:val="center"/>
            </w:pPr>
            <w:r>
              <w:t>1</w:t>
            </w:r>
          </w:p>
        </w:tc>
        <w:tc>
          <w:tcPr>
            <w:tcW w:w="4500" w:type="dxa"/>
            <w:vAlign w:val="center"/>
          </w:tcPr>
          <w:p w14:paraId="036F129C" w14:textId="087A6386" w:rsidR="00A55BF5" w:rsidRDefault="00A55BF5" w:rsidP="00DC72F4">
            <w:pPr>
              <w:pStyle w:val="NoSpacing"/>
            </w:pPr>
            <w:r>
              <w:t xml:space="preserve">Inter Partes Review Post-Institution Fee </w:t>
            </w:r>
          </w:p>
        </w:tc>
        <w:tc>
          <w:tcPr>
            <w:tcW w:w="1530" w:type="dxa"/>
            <w:vAlign w:val="center"/>
          </w:tcPr>
          <w:p w14:paraId="5729A9DE" w14:textId="79F7ECD3" w:rsidR="00A55BF5" w:rsidRDefault="0091098E" w:rsidP="00A55BF5">
            <w:pPr>
              <w:pStyle w:val="NoSpacing"/>
              <w:jc w:val="center"/>
            </w:pPr>
            <w:r>
              <w:t>398</w:t>
            </w:r>
          </w:p>
        </w:tc>
        <w:tc>
          <w:tcPr>
            <w:tcW w:w="1620" w:type="dxa"/>
            <w:vAlign w:val="center"/>
          </w:tcPr>
          <w:p w14:paraId="7466973E" w14:textId="2EF5550F" w:rsidR="00A55BF5" w:rsidRDefault="00A55BF5" w:rsidP="00A55BF5">
            <w:pPr>
              <w:pStyle w:val="NoSpacing"/>
              <w:jc w:val="center"/>
            </w:pPr>
            <w:r>
              <w:t>1,565</w:t>
            </w:r>
          </w:p>
        </w:tc>
        <w:tc>
          <w:tcPr>
            <w:tcW w:w="1458" w:type="dxa"/>
            <w:vAlign w:val="center"/>
          </w:tcPr>
          <w:p w14:paraId="1EC51BFD" w14:textId="647F2CAB" w:rsidR="00A55BF5" w:rsidRDefault="0091098E" w:rsidP="00A55BF5">
            <w:pPr>
              <w:pStyle w:val="NoSpacing"/>
              <w:jc w:val="center"/>
            </w:pPr>
            <w:r>
              <w:t>15,258</w:t>
            </w:r>
          </w:p>
        </w:tc>
      </w:tr>
      <w:tr w:rsidR="00A55BF5" w14:paraId="3ADF9BD1" w14:textId="77777777" w:rsidTr="00A55BF5">
        <w:tc>
          <w:tcPr>
            <w:tcW w:w="468" w:type="dxa"/>
            <w:vAlign w:val="center"/>
          </w:tcPr>
          <w:p w14:paraId="538097FF" w14:textId="69E9A8E0" w:rsidR="00A55BF5" w:rsidRDefault="00A55BF5" w:rsidP="00A55BF5">
            <w:pPr>
              <w:pStyle w:val="NoSpacing"/>
              <w:jc w:val="center"/>
            </w:pPr>
            <w:r>
              <w:t>1</w:t>
            </w:r>
          </w:p>
        </w:tc>
        <w:tc>
          <w:tcPr>
            <w:tcW w:w="4500" w:type="dxa"/>
            <w:vAlign w:val="center"/>
          </w:tcPr>
          <w:p w14:paraId="0753F7C5" w14:textId="44008559" w:rsidR="00A55BF5" w:rsidRDefault="00A55BF5" w:rsidP="00A55BF5">
            <w:pPr>
              <w:pStyle w:val="NoSpacing"/>
            </w:pPr>
            <w:r>
              <w:t>Inter Partes Review Request of Each Claim in Excess of 20</w:t>
            </w:r>
          </w:p>
        </w:tc>
        <w:tc>
          <w:tcPr>
            <w:tcW w:w="1530" w:type="dxa"/>
            <w:vAlign w:val="center"/>
          </w:tcPr>
          <w:p w14:paraId="3B54E3C9" w14:textId="0DF833C1" w:rsidR="00A55BF5" w:rsidRDefault="0091098E" w:rsidP="00A55BF5">
            <w:pPr>
              <w:pStyle w:val="NoSpacing"/>
              <w:jc w:val="center"/>
            </w:pPr>
            <w:r>
              <w:t>2,788</w:t>
            </w:r>
          </w:p>
        </w:tc>
        <w:tc>
          <w:tcPr>
            <w:tcW w:w="1620" w:type="dxa"/>
            <w:vAlign w:val="center"/>
          </w:tcPr>
          <w:p w14:paraId="42B357BB" w14:textId="14CCF96E" w:rsidR="00A55BF5" w:rsidRDefault="00A55BF5" w:rsidP="00A55BF5">
            <w:pPr>
              <w:pStyle w:val="NoSpacing"/>
              <w:jc w:val="center"/>
            </w:pPr>
            <w:r>
              <w:t>4,476</w:t>
            </w:r>
          </w:p>
        </w:tc>
        <w:tc>
          <w:tcPr>
            <w:tcW w:w="1458" w:type="dxa"/>
            <w:vAlign w:val="center"/>
          </w:tcPr>
          <w:p w14:paraId="7539863C" w14:textId="7DE17BE0" w:rsidR="00A55BF5" w:rsidRDefault="0091098E" w:rsidP="00A55BF5">
            <w:pPr>
              <w:pStyle w:val="NoSpacing"/>
              <w:jc w:val="center"/>
            </w:pPr>
            <w:r>
              <w:t>1,688</w:t>
            </w:r>
          </w:p>
        </w:tc>
      </w:tr>
      <w:tr w:rsidR="00A55BF5" w14:paraId="60955FAE" w14:textId="77777777" w:rsidTr="00A55BF5">
        <w:tc>
          <w:tcPr>
            <w:tcW w:w="468" w:type="dxa"/>
            <w:vAlign w:val="center"/>
          </w:tcPr>
          <w:p w14:paraId="2F6969AF" w14:textId="6308775B" w:rsidR="00A55BF5" w:rsidRDefault="00A55BF5" w:rsidP="00A55BF5">
            <w:pPr>
              <w:pStyle w:val="NoSpacing"/>
              <w:jc w:val="center"/>
            </w:pPr>
            <w:r>
              <w:t>1</w:t>
            </w:r>
          </w:p>
        </w:tc>
        <w:tc>
          <w:tcPr>
            <w:tcW w:w="4500" w:type="dxa"/>
            <w:vAlign w:val="center"/>
          </w:tcPr>
          <w:p w14:paraId="7A08205C" w14:textId="56D7B799" w:rsidR="00A55BF5" w:rsidRDefault="00A55BF5" w:rsidP="00A55BF5">
            <w:pPr>
              <w:pStyle w:val="NoSpacing"/>
            </w:pPr>
            <w:r>
              <w:t>Inter Partes Post-Institution Request of Each Claim in Excess of 15</w:t>
            </w:r>
          </w:p>
        </w:tc>
        <w:tc>
          <w:tcPr>
            <w:tcW w:w="1530" w:type="dxa"/>
            <w:vAlign w:val="center"/>
          </w:tcPr>
          <w:p w14:paraId="24CE55B2" w14:textId="05E632A8" w:rsidR="00A55BF5" w:rsidRDefault="0091098E" w:rsidP="00A55BF5">
            <w:pPr>
              <w:pStyle w:val="NoSpacing"/>
              <w:jc w:val="center"/>
            </w:pPr>
            <w:r>
              <w:t>2,091</w:t>
            </w:r>
          </w:p>
        </w:tc>
        <w:tc>
          <w:tcPr>
            <w:tcW w:w="1620" w:type="dxa"/>
            <w:vAlign w:val="center"/>
          </w:tcPr>
          <w:p w14:paraId="1ABA5346" w14:textId="1689AC0B" w:rsidR="00A55BF5" w:rsidRDefault="00A55BF5" w:rsidP="00A55BF5">
            <w:pPr>
              <w:pStyle w:val="NoSpacing"/>
              <w:jc w:val="center"/>
            </w:pPr>
            <w:r>
              <w:t>7,051</w:t>
            </w:r>
          </w:p>
        </w:tc>
        <w:tc>
          <w:tcPr>
            <w:tcW w:w="1458" w:type="dxa"/>
            <w:vAlign w:val="center"/>
          </w:tcPr>
          <w:p w14:paraId="79197473" w14:textId="4E5A45D2" w:rsidR="00A55BF5" w:rsidRDefault="0091098E" w:rsidP="00A55BF5">
            <w:pPr>
              <w:pStyle w:val="NoSpacing"/>
              <w:jc w:val="center"/>
            </w:pPr>
            <w:r>
              <w:t>4,960</w:t>
            </w:r>
          </w:p>
        </w:tc>
      </w:tr>
      <w:tr w:rsidR="00A55BF5" w14:paraId="35DF9A0C" w14:textId="77777777" w:rsidTr="00A55BF5">
        <w:tc>
          <w:tcPr>
            <w:tcW w:w="468" w:type="dxa"/>
            <w:vAlign w:val="center"/>
          </w:tcPr>
          <w:p w14:paraId="5D847272" w14:textId="2CAB44BF" w:rsidR="00A55BF5" w:rsidRDefault="00A55BF5" w:rsidP="00A55BF5">
            <w:pPr>
              <w:pStyle w:val="NoSpacing"/>
              <w:jc w:val="center"/>
            </w:pPr>
            <w:r>
              <w:t>2</w:t>
            </w:r>
          </w:p>
        </w:tc>
        <w:tc>
          <w:tcPr>
            <w:tcW w:w="4500" w:type="dxa"/>
            <w:vAlign w:val="center"/>
          </w:tcPr>
          <w:p w14:paraId="3D277042" w14:textId="417916E6" w:rsidR="00A55BF5" w:rsidRDefault="00A55BF5" w:rsidP="00A55BF5">
            <w:pPr>
              <w:pStyle w:val="NoSpacing"/>
            </w:pPr>
            <w:r>
              <w:t>Post-Grant or Covered Business Method Review Request Fee – Up to 20 Claims</w:t>
            </w:r>
          </w:p>
        </w:tc>
        <w:tc>
          <w:tcPr>
            <w:tcW w:w="1530" w:type="dxa"/>
            <w:vAlign w:val="center"/>
          </w:tcPr>
          <w:p w14:paraId="2D0A5C95" w14:textId="71290CE3" w:rsidR="00A55BF5" w:rsidRDefault="0091098E" w:rsidP="00A55BF5">
            <w:pPr>
              <w:pStyle w:val="NoSpacing"/>
              <w:jc w:val="center"/>
            </w:pPr>
            <w:r>
              <w:t>67</w:t>
            </w:r>
          </w:p>
        </w:tc>
        <w:tc>
          <w:tcPr>
            <w:tcW w:w="1620" w:type="dxa"/>
            <w:vAlign w:val="center"/>
          </w:tcPr>
          <w:p w14:paraId="018E9A59" w14:textId="3A99F13C" w:rsidR="00A55BF5" w:rsidRDefault="00A55BF5" w:rsidP="00A55BF5">
            <w:pPr>
              <w:pStyle w:val="NoSpacing"/>
              <w:jc w:val="center"/>
            </w:pPr>
            <w:r>
              <w:t>118</w:t>
            </w:r>
          </w:p>
        </w:tc>
        <w:tc>
          <w:tcPr>
            <w:tcW w:w="1458" w:type="dxa"/>
            <w:vAlign w:val="center"/>
          </w:tcPr>
          <w:p w14:paraId="56C3F01E" w14:textId="78357675" w:rsidR="00A55BF5" w:rsidRDefault="0091098E" w:rsidP="00A55BF5">
            <w:pPr>
              <w:pStyle w:val="NoSpacing"/>
              <w:jc w:val="center"/>
            </w:pPr>
            <w:r>
              <w:t>51</w:t>
            </w:r>
          </w:p>
        </w:tc>
      </w:tr>
      <w:tr w:rsidR="00A55BF5" w14:paraId="08CC32F1" w14:textId="77777777" w:rsidTr="00A55BF5">
        <w:tc>
          <w:tcPr>
            <w:tcW w:w="468" w:type="dxa"/>
            <w:vAlign w:val="center"/>
          </w:tcPr>
          <w:p w14:paraId="5E2599EC" w14:textId="5D704248" w:rsidR="00A55BF5" w:rsidRDefault="00A55BF5" w:rsidP="00A55BF5">
            <w:pPr>
              <w:pStyle w:val="NoSpacing"/>
              <w:jc w:val="center"/>
            </w:pPr>
            <w:r>
              <w:t>2</w:t>
            </w:r>
          </w:p>
        </w:tc>
        <w:tc>
          <w:tcPr>
            <w:tcW w:w="4500" w:type="dxa"/>
            <w:vAlign w:val="center"/>
          </w:tcPr>
          <w:p w14:paraId="638ECB39" w14:textId="36AB9DFF" w:rsidR="00A55BF5" w:rsidRDefault="00A55BF5" w:rsidP="00A55BF5">
            <w:pPr>
              <w:pStyle w:val="NoSpacing"/>
            </w:pPr>
            <w:r>
              <w:t>Post-Grant or Covered Business Method Review Post-Institution Fee – Up to 15 Claims</w:t>
            </w:r>
          </w:p>
        </w:tc>
        <w:tc>
          <w:tcPr>
            <w:tcW w:w="1530" w:type="dxa"/>
            <w:vAlign w:val="center"/>
          </w:tcPr>
          <w:p w14:paraId="78173766" w14:textId="4EE04D09" w:rsidR="00A55BF5" w:rsidRDefault="0091098E" w:rsidP="00A55BF5">
            <w:pPr>
              <w:pStyle w:val="NoSpacing"/>
              <w:jc w:val="center"/>
            </w:pPr>
            <w:r>
              <w:t>67</w:t>
            </w:r>
          </w:p>
        </w:tc>
        <w:tc>
          <w:tcPr>
            <w:tcW w:w="1620" w:type="dxa"/>
            <w:vAlign w:val="center"/>
          </w:tcPr>
          <w:p w14:paraId="2DB54143" w14:textId="3EC854B7" w:rsidR="00A55BF5" w:rsidRDefault="00A55BF5" w:rsidP="00A55BF5">
            <w:pPr>
              <w:pStyle w:val="NoSpacing"/>
              <w:jc w:val="center"/>
            </w:pPr>
            <w:r>
              <w:t>118</w:t>
            </w:r>
          </w:p>
        </w:tc>
        <w:tc>
          <w:tcPr>
            <w:tcW w:w="1458" w:type="dxa"/>
            <w:vAlign w:val="center"/>
          </w:tcPr>
          <w:p w14:paraId="1D956EE6" w14:textId="360E594C" w:rsidR="00A55BF5" w:rsidRDefault="0091098E" w:rsidP="00A55BF5">
            <w:pPr>
              <w:pStyle w:val="NoSpacing"/>
              <w:jc w:val="center"/>
            </w:pPr>
            <w:r>
              <w:t>51</w:t>
            </w:r>
          </w:p>
        </w:tc>
      </w:tr>
      <w:tr w:rsidR="00A55BF5" w14:paraId="542026F1" w14:textId="77777777" w:rsidTr="00A55BF5">
        <w:tc>
          <w:tcPr>
            <w:tcW w:w="468" w:type="dxa"/>
            <w:vAlign w:val="center"/>
          </w:tcPr>
          <w:p w14:paraId="1CCB02AC" w14:textId="70D9114E" w:rsidR="00A55BF5" w:rsidRDefault="00A55BF5" w:rsidP="00A55BF5">
            <w:pPr>
              <w:pStyle w:val="NoSpacing"/>
              <w:jc w:val="center"/>
            </w:pPr>
            <w:r>
              <w:t>2</w:t>
            </w:r>
          </w:p>
        </w:tc>
        <w:tc>
          <w:tcPr>
            <w:tcW w:w="4500" w:type="dxa"/>
            <w:vAlign w:val="center"/>
          </w:tcPr>
          <w:p w14:paraId="33324006" w14:textId="5279DD16" w:rsidR="00A55BF5" w:rsidRDefault="00A55BF5" w:rsidP="00A55BF5">
            <w:pPr>
              <w:pStyle w:val="NoSpacing"/>
            </w:pPr>
            <w:r>
              <w:t>Post-Grant or Covered Business Method Review Request of Each Claim in Excess of 20</w:t>
            </w:r>
          </w:p>
        </w:tc>
        <w:tc>
          <w:tcPr>
            <w:tcW w:w="1530" w:type="dxa"/>
            <w:vAlign w:val="center"/>
          </w:tcPr>
          <w:p w14:paraId="29CF0138" w14:textId="3BC01179" w:rsidR="00A55BF5" w:rsidRDefault="0091098E" w:rsidP="00A55BF5">
            <w:pPr>
              <w:pStyle w:val="NoSpacing"/>
              <w:jc w:val="center"/>
            </w:pPr>
            <w:r>
              <w:t>467</w:t>
            </w:r>
          </w:p>
        </w:tc>
        <w:tc>
          <w:tcPr>
            <w:tcW w:w="1620" w:type="dxa"/>
            <w:vAlign w:val="center"/>
          </w:tcPr>
          <w:p w14:paraId="056E8F6C" w14:textId="2666BE68" w:rsidR="00A55BF5" w:rsidRDefault="00A55BF5" w:rsidP="00A55BF5">
            <w:pPr>
              <w:pStyle w:val="NoSpacing"/>
              <w:jc w:val="center"/>
            </w:pPr>
            <w:r>
              <w:t>937</w:t>
            </w:r>
          </w:p>
        </w:tc>
        <w:tc>
          <w:tcPr>
            <w:tcW w:w="1458" w:type="dxa"/>
            <w:vAlign w:val="center"/>
          </w:tcPr>
          <w:p w14:paraId="7D80E00C" w14:textId="5F847693" w:rsidR="00A55BF5" w:rsidRDefault="0091098E" w:rsidP="00A55BF5">
            <w:pPr>
              <w:pStyle w:val="NoSpacing"/>
              <w:jc w:val="center"/>
            </w:pPr>
            <w:r>
              <w:t>470</w:t>
            </w:r>
          </w:p>
        </w:tc>
      </w:tr>
      <w:tr w:rsidR="00A55BF5" w14:paraId="6580B721" w14:textId="77777777" w:rsidTr="00A55BF5">
        <w:tc>
          <w:tcPr>
            <w:tcW w:w="468" w:type="dxa"/>
            <w:vAlign w:val="center"/>
          </w:tcPr>
          <w:p w14:paraId="7082CBAE" w14:textId="282389A8" w:rsidR="00A55BF5" w:rsidRDefault="00A55BF5" w:rsidP="00A55BF5">
            <w:pPr>
              <w:pStyle w:val="NoSpacing"/>
              <w:jc w:val="center"/>
            </w:pPr>
            <w:r>
              <w:t>2</w:t>
            </w:r>
          </w:p>
        </w:tc>
        <w:tc>
          <w:tcPr>
            <w:tcW w:w="4500" w:type="dxa"/>
            <w:vAlign w:val="center"/>
          </w:tcPr>
          <w:p w14:paraId="64CCD422" w14:textId="7664C4C0" w:rsidR="00A55BF5" w:rsidRDefault="00A55BF5" w:rsidP="00A55BF5">
            <w:pPr>
              <w:pStyle w:val="NoSpacing"/>
            </w:pPr>
            <w:r>
              <w:t xml:space="preserve">Post-Grant or Covered Business Method Review Request of Each Claim in Excess of 15 </w:t>
            </w:r>
          </w:p>
        </w:tc>
        <w:tc>
          <w:tcPr>
            <w:tcW w:w="1530" w:type="dxa"/>
            <w:vAlign w:val="center"/>
          </w:tcPr>
          <w:p w14:paraId="20F31B5B" w14:textId="526B159D" w:rsidR="00A55BF5" w:rsidRDefault="0091098E" w:rsidP="00A55BF5">
            <w:pPr>
              <w:pStyle w:val="NoSpacing"/>
              <w:jc w:val="center"/>
            </w:pPr>
            <w:r>
              <w:t>350</w:t>
            </w:r>
          </w:p>
        </w:tc>
        <w:tc>
          <w:tcPr>
            <w:tcW w:w="1620" w:type="dxa"/>
            <w:vAlign w:val="center"/>
          </w:tcPr>
          <w:p w14:paraId="296D4754" w14:textId="4EA37206" w:rsidR="00A55BF5" w:rsidRDefault="00A55BF5" w:rsidP="00A55BF5">
            <w:pPr>
              <w:pStyle w:val="NoSpacing"/>
              <w:jc w:val="center"/>
            </w:pPr>
            <w:r>
              <w:t>1,290</w:t>
            </w:r>
          </w:p>
        </w:tc>
        <w:tc>
          <w:tcPr>
            <w:tcW w:w="1458" w:type="dxa"/>
            <w:vAlign w:val="center"/>
          </w:tcPr>
          <w:p w14:paraId="6056301D" w14:textId="77C5C78E" w:rsidR="00A55BF5" w:rsidRDefault="0091098E" w:rsidP="00A55BF5">
            <w:pPr>
              <w:pStyle w:val="NoSpacing"/>
              <w:jc w:val="center"/>
            </w:pPr>
            <w:r>
              <w:t>940</w:t>
            </w:r>
          </w:p>
        </w:tc>
      </w:tr>
      <w:tr w:rsidR="00A55BF5" w14:paraId="12EE8F2C" w14:textId="77777777" w:rsidTr="00A55BF5">
        <w:tc>
          <w:tcPr>
            <w:tcW w:w="468" w:type="dxa"/>
            <w:vAlign w:val="center"/>
          </w:tcPr>
          <w:p w14:paraId="0B7A6ED8" w14:textId="77777777" w:rsidR="00A55BF5" w:rsidRPr="00A55BF5" w:rsidRDefault="00A55BF5" w:rsidP="00A55BF5">
            <w:pPr>
              <w:pStyle w:val="NoSpacing"/>
              <w:jc w:val="center"/>
              <w:rPr>
                <w:b/>
              </w:rPr>
            </w:pPr>
          </w:p>
        </w:tc>
        <w:tc>
          <w:tcPr>
            <w:tcW w:w="4500" w:type="dxa"/>
            <w:vAlign w:val="center"/>
          </w:tcPr>
          <w:p w14:paraId="72FB095E" w14:textId="64F74F78" w:rsidR="00A55BF5" w:rsidRPr="00A55BF5" w:rsidRDefault="00A55BF5" w:rsidP="00A55BF5">
            <w:pPr>
              <w:pStyle w:val="NoSpacing"/>
              <w:rPr>
                <w:b/>
              </w:rPr>
            </w:pPr>
            <w:r>
              <w:rPr>
                <w:b/>
              </w:rPr>
              <w:t>Totals</w:t>
            </w:r>
          </w:p>
        </w:tc>
        <w:tc>
          <w:tcPr>
            <w:tcW w:w="1530" w:type="dxa"/>
            <w:vAlign w:val="center"/>
          </w:tcPr>
          <w:p w14:paraId="23A33E21" w14:textId="5CDC5ABD" w:rsidR="00A55BF5" w:rsidRPr="00A55BF5" w:rsidRDefault="0091098E" w:rsidP="00A55BF5">
            <w:pPr>
              <w:pStyle w:val="NoSpacing"/>
              <w:jc w:val="center"/>
              <w:rPr>
                <w:b/>
              </w:rPr>
            </w:pPr>
            <w:r>
              <w:rPr>
                <w:b/>
              </w:rPr>
              <w:t>6,626</w:t>
            </w:r>
          </w:p>
        </w:tc>
        <w:tc>
          <w:tcPr>
            <w:tcW w:w="1620" w:type="dxa"/>
            <w:vAlign w:val="center"/>
          </w:tcPr>
          <w:p w14:paraId="48934FE1" w14:textId="0C91F907" w:rsidR="00A55BF5" w:rsidRPr="00A55BF5" w:rsidRDefault="0091098E" w:rsidP="00A55BF5">
            <w:pPr>
              <w:pStyle w:val="NoSpacing"/>
              <w:jc w:val="center"/>
              <w:rPr>
                <w:b/>
              </w:rPr>
            </w:pPr>
            <w:r>
              <w:rPr>
                <w:b/>
              </w:rPr>
              <w:t>31,211</w:t>
            </w:r>
          </w:p>
        </w:tc>
        <w:tc>
          <w:tcPr>
            <w:tcW w:w="1458" w:type="dxa"/>
            <w:vAlign w:val="center"/>
          </w:tcPr>
          <w:p w14:paraId="566C470D" w14:textId="798590D6" w:rsidR="00A55BF5" w:rsidRPr="00A55BF5" w:rsidRDefault="0091098E" w:rsidP="00A55BF5">
            <w:pPr>
              <w:pStyle w:val="NoSpacing"/>
              <w:jc w:val="center"/>
              <w:rPr>
                <w:b/>
              </w:rPr>
            </w:pPr>
            <w:r>
              <w:rPr>
                <w:b/>
              </w:rPr>
              <w:t>24,585</w:t>
            </w:r>
          </w:p>
        </w:tc>
      </w:tr>
    </w:tbl>
    <w:p w14:paraId="25447598" w14:textId="77777777" w:rsidR="00A55BF5" w:rsidRDefault="00A55BF5" w:rsidP="00783437">
      <w:pPr>
        <w:pStyle w:val="NoSpacing"/>
      </w:pPr>
    </w:p>
    <w:p w14:paraId="45BFC3E2" w14:textId="636220F2" w:rsidR="00A55BF5" w:rsidRPr="00A55BF5" w:rsidRDefault="009F1C55" w:rsidP="00783437">
      <w:pPr>
        <w:pStyle w:val="NoSpacing"/>
        <w:rPr>
          <w:b/>
        </w:rPr>
      </w:pPr>
      <w:r>
        <w:rPr>
          <w:b/>
        </w:rPr>
        <w:t>Table 3</w:t>
      </w:r>
      <w:r w:rsidR="00A55BF5">
        <w:rPr>
          <w:b/>
        </w:rPr>
        <w:t>: Increases in Non-Hourly Costs (Fees)</w:t>
      </w:r>
    </w:p>
    <w:tbl>
      <w:tblPr>
        <w:tblStyle w:val="TableGrid"/>
        <w:tblW w:w="0" w:type="auto"/>
        <w:tblLook w:val="04A0" w:firstRow="1" w:lastRow="0" w:firstColumn="1" w:lastColumn="0" w:noHBand="0" w:noVBand="1"/>
      </w:tblPr>
      <w:tblGrid>
        <w:gridCol w:w="460"/>
        <w:gridCol w:w="4271"/>
        <w:gridCol w:w="1615"/>
        <w:gridCol w:w="1615"/>
        <w:gridCol w:w="1615"/>
      </w:tblGrid>
      <w:tr w:rsidR="0091098E" w14:paraId="39422538" w14:textId="77777777" w:rsidTr="00AC0973">
        <w:tc>
          <w:tcPr>
            <w:tcW w:w="460" w:type="dxa"/>
            <w:vAlign w:val="center"/>
          </w:tcPr>
          <w:p w14:paraId="6DEC9455" w14:textId="5B82EFC5" w:rsidR="00A55BF5" w:rsidRPr="00A55BF5" w:rsidRDefault="00A55BF5" w:rsidP="009A2B87">
            <w:pPr>
              <w:pStyle w:val="NoSpacing"/>
              <w:jc w:val="center"/>
              <w:rPr>
                <w:b/>
              </w:rPr>
            </w:pPr>
            <w:r>
              <w:rPr>
                <w:b/>
              </w:rPr>
              <w:t>IC #</w:t>
            </w:r>
          </w:p>
        </w:tc>
        <w:tc>
          <w:tcPr>
            <w:tcW w:w="4271" w:type="dxa"/>
            <w:vAlign w:val="center"/>
          </w:tcPr>
          <w:p w14:paraId="28037685" w14:textId="49353960" w:rsidR="00A55BF5" w:rsidRPr="00A55BF5" w:rsidRDefault="00A55BF5" w:rsidP="009A2B87">
            <w:pPr>
              <w:pStyle w:val="NoSpacing"/>
              <w:jc w:val="center"/>
              <w:rPr>
                <w:b/>
              </w:rPr>
            </w:pPr>
            <w:r>
              <w:rPr>
                <w:b/>
              </w:rPr>
              <w:t>Item</w:t>
            </w:r>
          </w:p>
        </w:tc>
        <w:tc>
          <w:tcPr>
            <w:tcW w:w="1615" w:type="dxa"/>
            <w:vAlign w:val="center"/>
          </w:tcPr>
          <w:p w14:paraId="27E686B0" w14:textId="75788AEB" w:rsidR="00A55BF5" w:rsidRPr="00A55BF5" w:rsidRDefault="00A55BF5" w:rsidP="009A2B87">
            <w:pPr>
              <w:pStyle w:val="NoSpacing"/>
              <w:jc w:val="center"/>
              <w:rPr>
                <w:b/>
              </w:rPr>
            </w:pPr>
            <w:r>
              <w:rPr>
                <w:b/>
              </w:rPr>
              <w:t>Current Total Amount ($)</w:t>
            </w:r>
          </w:p>
        </w:tc>
        <w:tc>
          <w:tcPr>
            <w:tcW w:w="1615" w:type="dxa"/>
            <w:vAlign w:val="center"/>
          </w:tcPr>
          <w:p w14:paraId="51C9D485" w14:textId="669019A8" w:rsidR="00A55BF5" w:rsidRPr="00A55BF5" w:rsidRDefault="00A55BF5" w:rsidP="009A2B87">
            <w:pPr>
              <w:pStyle w:val="NoSpacing"/>
              <w:jc w:val="center"/>
              <w:rPr>
                <w:b/>
              </w:rPr>
            </w:pPr>
            <w:r>
              <w:rPr>
                <w:b/>
              </w:rPr>
              <w:t>Proposed Total Cost ($)</w:t>
            </w:r>
          </w:p>
        </w:tc>
        <w:tc>
          <w:tcPr>
            <w:tcW w:w="1615" w:type="dxa"/>
            <w:vAlign w:val="center"/>
          </w:tcPr>
          <w:p w14:paraId="46EAD034" w14:textId="41351CEB" w:rsidR="00A55BF5" w:rsidRPr="00A55BF5" w:rsidRDefault="00A55BF5" w:rsidP="009A2B87">
            <w:pPr>
              <w:pStyle w:val="NoSpacing"/>
              <w:jc w:val="center"/>
              <w:rPr>
                <w:b/>
              </w:rPr>
            </w:pPr>
            <w:r>
              <w:rPr>
                <w:b/>
              </w:rPr>
              <w:t>Total Cost Increase</w:t>
            </w:r>
          </w:p>
        </w:tc>
      </w:tr>
      <w:tr w:rsidR="00AC0973" w14:paraId="5FC8286C" w14:textId="77777777" w:rsidTr="00AC0973">
        <w:tc>
          <w:tcPr>
            <w:tcW w:w="460" w:type="dxa"/>
            <w:vAlign w:val="center"/>
          </w:tcPr>
          <w:p w14:paraId="399AB660" w14:textId="23B61453" w:rsidR="00AC0973" w:rsidRDefault="00AC0973" w:rsidP="009A2B87">
            <w:pPr>
              <w:pStyle w:val="NoSpacing"/>
              <w:jc w:val="center"/>
            </w:pPr>
            <w:r>
              <w:t>1</w:t>
            </w:r>
          </w:p>
        </w:tc>
        <w:tc>
          <w:tcPr>
            <w:tcW w:w="4271" w:type="dxa"/>
            <w:vAlign w:val="center"/>
          </w:tcPr>
          <w:p w14:paraId="7F536354" w14:textId="5A48D329" w:rsidR="00AC0973" w:rsidRDefault="00AC0973" w:rsidP="00DC72F4">
            <w:pPr>
              <w:pStyle w:val="NoSpacing"/>
            </w:pPr>
            <w:r>
              <w:t xml:space="preserve">Inter Partes Review Request Fee </w:t>
            </w:r>
          </w:p>
        </w:tc>
        <w:tc>
          <w:tcPr>
            <w:tcW w:w="1615" w:type="dxa"/>
            <w:vAlign w:val="center"/>
          </w:tcPr>
          <w:p w14:paraId="3D168148" w14:textId="3CD443AC" w:rsidR="00AC0973" w:rsidRDefault="006176ED" w:rsidP="009A2B87">
            <w:pPr>
              <w:pStyle w:val="NoSpacing"/>
              <w:jc w:val="center"/>
            </w:pPr>
            <w:r>
              <w:t>$3,582,000</w:t>
            </w:r>
          </w:p>
        </w:tc>
        <w:tc>
          <w:tcPr>
            <w:tcW w:w="1615" w:type="dxa"/>
            <w:vAlign w:val="center"/>
          </w:tcPr>
          <w:p w14:paraId="236A7310" w14:textId="2D99D07A" w:rsidR="00AC0973" w:rsidRDefault="00AC0973" w:rsidP="006176ED">
            <w:pPr>
              <w:pStyle w:val="NoSpacing"/>
              <w:jc w:val="center"/>
            </w:pPr>
            <w:r>
              <w:t>$2</w:t>
            </w:r>
            <w:r w:rsidR="006176ED">
              <w:t>4,257,500</w:t>
            </w:r>
          </w:p>
        </w:tc>
        <w:tc>
          <w:tcPr>
            <w:tcW w:w="1615" w:type="dxa"/>
            <w:vAlign w:val="center"/>
          </w:tcPr>
          <w:p w14:paraId="45CCE05D" w14:textId="66E90A4C" w:rsidR="00AC0973" w:rsidRPr="0040413C" w:rsidRDefault="0040413C" w:rsidP="00AC0973">
            <w:pPr>
              <w:pStyle w:val="NoSpacing"/>
              <w:jc w:val="center"/>
            </w:pPr>
            <w:r w:rsidRPr="0040413C">
              <w:t>$20,675,500</w:t>
            </w:r>
          </w:p>
        </w:tc>
      </w:tr>
      <w:tr w:rsidR="00AC0973" w14:paraId="1705168D" w14:textId="77777777" w:rsidTr="00AC0973">
        <w:tc>
          <w:tcPr>
            <w:tcW w:w="460" w:type="dxa"/>
            <w:vAlign w:val="center"/>
          </w:tcPr>
          <w:p w14:paraId="1CC3B2DE" w14:textId="1320C6EB" w:rsidR="00AC0973" w:rsidRDefault="00AC0973" w:rsidP="009A2B87">
            <w:pPr>
              <w:pStyle w:val="NoSpacing"/>
              <w:jc w:val="center"/>
            </w:pPr>
            <w:r>
              <w:t>1</w:t>
            </w:r>
          </w:p>
        </w:tc>
        <w:tc>
          <w:tcPr>
            <w:tcW w:w="4271" w:type="dxa"/>
            <w:vAlign w:val="center"/>
          </w:tcPr>
          <w:p w14:paraId="1AB1BD40" w14:textId="36D9B0AD" w:rsidR="00AC0973" w:rsidRDefault="00AC0973" w:rsidP="00DC72F4">
            <w:pPr>
              <w:pStyle w:val="NoSpacing"/>
            </w:pPr>
            <w:r>
              <w:t xml:space="preserve">Inter Partes Review Post-Institution Fee </w:t>
            </w:r>
          </w:p>
        </w:tc>
        <w:tc>
          <w:tcPr>
            <w:tcW w:w="1615" w:type="dxa"/>
            <w:vAlign w:val="center"/>
          </w:tcPr>
          <w:p w14:paraId="2FB6087B" w14:textId="4424D4C1" w:rsidR="00AC0973" w:rsidRDefault="006176ED" w:rsidP="009A2B87">
            <w:pPr>
              <w:pStyle w:val="NoSpacing"/>
              <w:jc w:val="center"/>
            </w:pPr>
            <w:r>
              <w:t>$5,572,000</w:t>
            </w:r>
          </w:p>
        </w:tc>
        <w:tc>
          <w:tcPr>
            <w:tcW w:w="1615" w:type="dxa"/>
            <w:vAlign w:val="center"/>
          </w:tcPr>
          <w:p w14:paraId="7570346A" w14:textId="32C752FC" w:rsidR="00AC0973" w:rsidRDefault="006176ED" w:rsidP="009A2B87">
            <w:pPr>
              <w:pStyle w:val="NoSpacing"/>
              <w:jc w:val="center"/>
            </w:pPr>
            <w:r>
              <w:t>$23,475,000</w:t>
            </w:r>
          </w:p>
        </w:tc>
        <w:tc>
          <w:tcPr>
            <w:tcW w:w="1615" w:type="dxa"/>
            <w:vAlign w:val="center"/>
          </w:tcPr>
          <w:p w14:paraId="6C97CFA0" w14:textId="5EA7EA2B" w:rsidR="00AC0973" w:rsidRPr="0040413C" w:rsidRDefault="006176ED" w:rsidP="0040413C">
            <w:pPr>
              <w:pStyle w:val="NoSpacing"/>
              <w:jc w:val="center"/>
            </w:pPr>
            <w:r w:rsidRPr="0040413C">
              <w:t>$</w:t>
            </w:r>
            <w:r w:rsidR="0040413C" w:rsidRPr="0040413C">
              <w:t>17,903,000</w:t>
            </w:r>
          </w:p>
        </w:tc>
      </w:tr>
      <w:tr w:rsidR="0091098E" w14:paraId="3C8EC967" w14:textId="77777777" w:rsidTr="00AC0973">
        <w:tc>
          <w:tcPr>
            <w:tcW w:w="460" w:type="dxa"/>
            <w:vAlign w:val="center"/>
          </w:tcPr>
          <w:p w14:paraId="393EE894" w14:textId="0C2BECA0" w:rsidR="0091098E" w:rsidRDefault="0091098E" w:rsidP="009A2B87">
            <w:pPr>
              <w:pStyle w:val="NoSpacing"/>
              <w:jc w:val="center"/>
            </w:pPr>
            <w:r>
              <w:t>1</w:t>
            </w:r>
          </w:p>
        </w:tc>
        <w:tc>
          <w:tcPr>
            <w:tcW w:w="4271" w:type="dxa"/>
            <w:vAlign w:val="center"/>
          </w:tcPr>
          <w:p w14:paraId="3D6D48F0" w14:textId="0C21639C" w:rsidR="0091098E" w:rsidRDefault="0091098E" w:rsidP="009A2B87">
            <w:pPr>
              <w:pStyle w:val="NoSpacing"/>
            </w:pPr>
            <w:r>
              <w:t>Inter Partes Review Request of Each Claim in Excess of 20</w:t>
            </w:r>
          </w:p>
        </w:tc>
        <w:tc>
          <w:tcPr>
            <w:tcW w:w="1615" w:type="dxa"/>
            <w:vAlign w:val="center"/>
          </w:tcPr>
          <w:p w14:paraId="2493EA7E" w14:textId="58BCE55F" w:rsidR="0091098E" w:rsidRDefault="006176ED" w:rsidP="0091098E">
            <w:pPr>
              <w:pStyle w:val="NoSpacing"/>
              <w:jc w:val="center"/>
            </w:pPr>
            <w:r>
              <w:t>$557,600</w:t>
            </w:r>
          </w:p>
        </w:tc>
        <w:tc>
          <w:tcPr>
            <w:tcW w:w="1615" w:type="dxa"/>
            <w:vAlign w:val="center"/>
          </w:tcPr>
          <w:p w14:paraId="5997AC4E" w14:textId="255431DB" w:rsidR="0091098E" w:rsidRDefault="006176ED" w:rsidP="009A2B87">
            <w:pPr>
              <w:pStyle w:val="NoSpacing"/>
              <w:jc w:val="center"/>
            </w:pPr>
            <w:r>
              <w:t>$1,342,800</w:t>
            </w:r>
          </w:p>
        </w:tc>
        <w:tc>
          <w:tcPr>
            <w:tcW w:w="1615" w:type="dxa"/>
            <w:vAlign w:val="center"/>
          </w:tcPr>
          <w:p w14:paraId="2AB9FF95" w14:textId="47AAC06A" w:rsidR="0091098E" w:rsidRPr="0040413C" w:rsidRDefault="006176ED" w:rsidP="009A2B87">
            <w:pPr>
              <w:pStyle w:val="NoSpacing"/>
              <w:jc w:val="center"/>
            </w:pPr>
            <w:r w:rsidRPr="0040413C">
              <w:t>$785,200</w:t>
            </w:r>
          </w:p>
        </w:tc>
      </w:tr>
      <w:tr w:rsidR="0091098E" w14:paraId="413720DD" w14:textId="77777777" w:rsidTr="00AC0973">
        <w:tc>
          <w:tcPr>
            <w:tcW w:w="460" w:type="dxa"/>
            <w:vAlign w:val="center"/>
          </w:tcPr>
          <w:p w14:paraId="4CD138D4" w14:textId="77F714F6" w:rsidR="0091098E" w:rsidRDefault="0091098E" w:rsidP="009A2B87">
            <w:pPr>
              <w:pStyle w:val="NoSpacing"/>
              <w:jc w:val="center"/>
            </w:pPr>
            <w:r>
              <w:t>1</w:t>
            </w:r>
          </w:p>
        </w:tc>
        <w:tc>
          <w:tcPr>
            <w:tcW w:w="4271" w:type="dxa"/>
            <w:vAlign w:val="center"/>
          </w:tcPr>
          <w:p w14:paraId="117DF0A4" w14:textId="5CEC1189" w:rsidR="0091098E" w:rsidRDefault="0091098E" w:rsidP="009A2B87">
            <w:pPr>
              <w:pStyle w:val="NoSpacing"/>
            </w:pPr>
            <w:r>
              <w:t>Inter Partes Post-Institution Request of Each Claim in Excess of 15</w:t>
            </w:r>
          </w:p>
        </w:tc>
        <w:tc>
          <w:tcPr>
            <w:tcW w:w="1615" w:type="dxa"/>
            <w:vAlign w:val="center"/>
          </w:tcPr>
          <w:p w14:paraId="27856BF7" w14:textId="1C6097AA" w:rsidR="0091098E" w:rsidRDefault="006176ED" w:rsidP="0091098E">
            <w:pPr>
              <w:pStyle w:val="NoSpacing"/>
              <w:jc w:val="center"/>
            </w:pPr>
            <w:r>
              <w:t>$836,400</w:t>
            </w:r>
          </w:p>
        </w:tc>
        <w:tc>
          <w:tcPr>
            <w:tcW w:w="1615" w:type="dxa"/>
            <w:vAlign w:val="center"/>
          </w:tcPr>
          <w:p w14:paraId="448BB8E6" w14:textId="4401FCD3" w:rsidR="0091098E" w:rsidRDefault="006176ED" w:rsidP="009A2B87">
            <w:pPr>
              <w:pStyle w:val="NoSpacing"/>
              <w:jc w:val="center"/>
            </w:pPr>
            <w:r>
              <w:t>$4,230,600</w:t>
            </w:r>
          </w:p>
        </w:tc>
        <w:tc>
          <w:tcPr>
            <w:tcW w:w="1615" w:type="dxa"/>
            <w:vAlign w:val="center"/>
          </w:tcPr>
          <w:p w14:paraId="3F41250C" w14:textId="00D1122A" w:rsidR="0091098E" w:rsidRPr="0040413C" w:rsidRDefault="006176ED" w:rsidP="009A2B87">
            <w:pPr>
              <w:pStyle w:val="NoSpacing"/>
              <w:jc w:val="center"/>
            </w:pPr>
            <w:r w:rsidRPr="0040413C">
              <w:t>$3,394,200</w:t>
            </w:r>
          </w:p>
        </w:tc>
      </w:tr>
      <w:tr w:rsidR="0091098E" w14:paraId="0A9A308F" w14:textId="77777777" w:rsidTr="00AC0973">
        <w:tc>
          <w:tcPr>
            <w:tcW w:w="460" w:type="dxa"/>
            <w:vAlign w:val="center"/>
          </w:tcPr>
          <w:p w14:paraId="7AF4A083" w14:textId="67698B76" w:rsidR="0091098E" w:rsidRDefault="0091098E" w:rsidP="009A2B87">
            <w:pPr>
              <w:pStyle w:val="NoSpacing"/>
              <w:jc w:val="center"/>
            </w:pPr>
            <w:r>
              <w:t>2</w:t>
            </w:r>
          </w:p>
        </w:tc>
        <w:tc>
          <w:tcPr>
            <w:tcW w:w="4271" w:type="dxa"/>
            <w:vAlign w:val="center"/>
          </w:tcPr>
          <w:p w14:paraId="15BEC6D1" w14:textId="57180DC6" w:rsidR="0091098E" w:rsidRDefault="0091098E" w:rsidP="009A2B87">
            <w:pPr>
              <w:pStyle w:val="NoSpacing"/>
            </w:pPr>
            <w:r>
              <w:t>Post-Grant or Covered Business Method Review Request Fee – Up to 20 Claims</w:t>
            </w:r>
          </w:p>
        </w:tc>
        <w:tc>
          <w:tcPr>
            <w:tcW w:w="1615" w:type="dxa"/>
            <w:vAlign w:val="center"/>
          </w:tcPr>
          <w:p w14:paraId="52DDF1E7" w14:textId="6B983BAF" w:rsidR="0091098E" w:rsidRDefault="006176ED" w:rsidP="0091098E">
            <w:pPr>
              <w:pStyle w:val="NoSpacing"/>
              <w:jc w:val="center"/>
            </w:pPr>
            <w:r>
              <w:t>$804,000</w:t>
            </w:r>
          </w:p>
        </w:tc>
        <w:tc>
          <w:tcPr>
            <w:tcW w:w="1615" w:type="dxa"/>
            <w:vAlign w:val="center"/>
          </w:tcPr>
          <w:p w14:paraId="27960AAE" w14:textId="4814ECAB" w:rsidR="0091098E" w:rsidRDefault="006176ED" w:rsidP="009A2B87">
            <w:pPr>
              <w:pStyle w:val="NoSpacing"/>
              <w:jc w:val="center"/>
            </w:pPr>
            <w:r>
              <w:t>$1,888,000</w:t>
            </w:r>
          </w:p>
        </w:tc>
        <w:tc>
          <w:tcPr>
            <w:tcW w:w="1615" w:type="dxa"/>
            <w:vAlign w:val="center"/>
          </w:tcPr>
          <w:p w14:paraId="42246DEF" w14:textId="28F7E049" w:rsidR="0091098E" w:rsidRPr="0040413C" w:rsidRDefault="006176ED" w:rsidP="009A2B87">
            <w:pPr>
              <w:pStyle w:val="NoSpacing"/>
              <w:jc w:val="center"/>
            </w:pPr>
            <w:r w:rsidRPr="0040413C">
              <w:t>$1,084,000</w:t>
            </w:r>
          </w:p>
        </w:tc>
      </w:tr>
      <w:tr w:rsidR="0091098E" w14:paraId="14F678E6" w14:textId="77777777" w:rsidTr="00AC0973">
        <w:tc>
          <w:tcPr>
            <w:tcW w:w="460" w:type="dxa"/>
            <w:vAlign w:val="center"/>
          </w:tcPr>
          <w:p w14:paraId="5845A368" w14:textId="50D551F3" w:rsidR="0091098E" w:rsidRDefault="0091098E" w:rsidP="009A2B87">
            <w:pPr>
              <w:pStyle w:val="NoSpacing"/>
              <w:jc w:val="center"/>
            </w:pPr>
            <w:r>
              <w:t>2</w:t>
            </w:r>
          </w:p>
        </w:tc>
        <w:tc>
          <w:tcPr>
            <w:tcW w:w="4271" w:type="dxa"/>
            <w:vAlign w:val="center"/>
          </w:tcPr>
          <w:p w14:paraId="029AB53C" w14:textId="22B5BC22" w:rsidR="0091098E" w:rsidRDefault="0091098E" w:rsidP="009A2B87">
            <w:pPr>
              <w:pStyle w:val="NoSpacing"/>
            </w:pPr>
            <w:r>
              <w:t>Post-Grant or Covered Business Method Review Post-Institution Fee – Up to 15 Claims</w:t>
            </w:r>
          </w:p>
        </w:tc>
        <w:tc>
          <w:tcPr>
            <w:tcW w:w="1615" w:type="dxa"/>
            <w:vAlign w:val="center"/>
          </w:tcPr>
          <w:p w14:paraId="04277A38" w14:textId="521213E4" w:rsidR="0091098E" w:rsidRDefault="006176ED" w:rsidP="0091098E">
            <w:pPr>
              <w:pStyle w:val="NoSpacing"/>
              <w:jc w:val="center"/>
            </w:pPr>
            <w:r>
              <w:t>$1,206,000</w:t>
            </w:r>
          </w:p>
        </w:tc>
        <w:tc>
          <w:tcPr>
            <w:tcW w:w="1615" w:type="dxa"/>
            <w:vAlign w:val="center"/>
          </w:tcPr>
          <w:p w14:paraId="79886B64" w14:textId="6A40098D" w:rsidR="0091098E" w:rsidRDefault="006176ED" w:rsidP="009A2B87">
            <w:pPr>
              <w:pStyle w:val="NoSpacing"/>
              <w:jc w:val="center"/>
            </w:pPr>
            <w:r>
              <w:t>$2,596,000</w:t>
            </w:r>
          </w:p>
        </w:tc>
        <w:tc>
          <w:tcPr>
            <w:tcW w:w="1615" w:type="dxa"/>
            <w:vAlign w:val="center"/>
          </w:tcPr>
          <w:p w14:paraId="018CE33E" w14:textId="4FF4F779" w:rsidR="0091098E" w:rsidRPr="0040413C" w:rsidRDefault="006176ED" w:rsidP="009A2B87">
            <w:pPr>
              <w:pStyle w:val="NoSpacing"/>
              <w:jc w:val="center"/>
            </w:pPr>
            <w:r w:rsidRPr="0040413C">
              <w:t>$1,390,000</w:t>
            </w:r>
          </w:p>
        </w:tc>
      </w:tr>
      <w:tr w:rsidR="0091098E" w14:paraId="7B42C8AB" w14:textId="77777777" w:rsidTr="00AC0973">
        <w:tc>
          <w:tcPr>
            <w:tcW w:w="460" w:type="dxa"/>
            <w:vAlign w:val="center"/>
          </w:tcPr>
          <w:p w14:paraId="4E88CBF3" w14:textId="30FF2A90" w:rsidR="0091098E" w:rsidRDefault="0091098E" w:rsidP="009A2B87">
            <w:pPr>
              <w:pStyle w:val="NoSpacing"/>
              <w:jc w:val="center"/>
            </w:pPr>
            <w:r>
              <w:t>2</w:t>
            </w:r>
          </w:p>
        </w:tc>
        <w:tc>
          <w:tcPr>
            <w:tcW w:w="4271" w:type="dxa"/>
            <w:vAlign w:val="center"/>
          </w:tcPr>
          <w:p w14:paraId="7104F7B0" w14:textId="4810915B" w:rsidR="0091098E" w:rsidRDefault="0091098E" w:rsidP="009A2B87">
            <w:pPr>
              <w:pStyle w:val="NoSpacing"/>
            </w:pPr>
            <w:r>
              <w:t>Post-Grant or Covered Business Method Review Request of Each Claim in Excess of 20</w:t>
            </w:r>
          </w:p>
        </w:tc>
        <w:tc>
          <w:tcPr>
            <w:tcW w:w="1615" w:type="dxa"/>
            <w:vAlign w:val="center"/>
          </w:tcPr>
          <w:p w14:paraId="669F0B54" w14:textId="26064B11" w:rsidR="0091098E" w:rsidRDefault="006176ED" w:rsidP="0091098E">
            <w:pPr>
              <w:pStyle w:val="NoSpacing"/>
              <w:jc w:val="center"/>
            </w:pPr>
            <w:r>
              <w:t>$116,750</w:t>
            </w:r>
          </w:p>
        </w:tc>
        <w:tc>
          <w:tcPr>
            <w:tcW w:w="1615" w:type="dxa"/>
            <w:vAlign w:val="center"/>
          </w:tcPr>
          <w:p w14:paraId="7E828109" w14:textId="2D216923" w:rsidR="0091098E" w:rsidRDefault="006176ED" w:rsidP="009A2B87">
            <w:pPr>
              <w:pStyle w:val="NoSpacing"/>
              <w:jc w:val="center"/>
            </w:pPr>
            <w:r>
              <w:t>$351,375</w:t>
            </w:r>
          </w:p>
        </w:tc>
        <w:tc>
          <w:tcPr>
            <w:tcW w:w="1615" w:type="dxa"/>
            <w:vAlign w:val="center"/>
          </w:tcPr>
          <w:p w14:paraId="6F9D2935" w14:textId="51300749" w:rsidR="0091098E" w:rsidRPr="0040413C" w:rsidRDefault="006176ED" w:rsidP="009A2B87">
            <w:pPr>
              <w:pStyle w:val="NoSpacing"/>
              <w:jc w:val="center"/>
            </w:pPr>
            <w:r w:rsidRPr="0040413C">
              <w:t>$234,625</w:t>
            </w:r>
          </w:p>
        </w:tc>
      </w:tr>
      <w:tr w:rsidR="0091098E" w14:paraId="5F0BDB4E" w14:textId="77777777" w:rsidTr="00AC0973">
        <w:tc>
          <w:tcPr>
            <w:tcW w:w="460" w:type="dxa"/>
            <w:vAlign w:val="center"/>
          </w:tcPr>
          <w:p w14:paraId="4C19300C" w14:textId="3EA52EFE" w:rsidR="0091098E" w:rsidRDefault="0091098E" w:rsidP="009A2B87">
            <w:pPr>
              <w:pStyle w:val="NoSpacing"/>
              <w:jc w:val="center"/>
            </w:pPr>
            <w:r>
              <w:t>2</w:t>
            </w:r>
          </w:p>
        </w:tc>
        <w:tc>
          <w:tcPr>
            <w:tcW w:w="4271" w:type="dxa"/>
            <w:vAlign w:val="center"/>
          </w:tcPr>
          <w:p w14:paraId="7D5513CC" w14:textId="6208A56E" w:rsidR="0091098E" w:rsidRDefault="0091098E" w:rsidP="009A2B87">
            <w:pPr>
              <w:pStyle w:val="NoSpacing"/>
            </w:pPr>
            <w:r>
              <w:t xml:space="preserve">Post-Grant or Covered Business Method Review Request of Each Claim in Excess of 15 </w:t>
            </w:r>
          </w:p>
        </w:tc>
        <w:tc>
          <w:tcPr>
            <w:tcW w:w="1615" w:type="dxa"/>
            <w:vAlign w:val="center"/>
          </w:tcPr>
          <w:p w14:paraId="43E57856" w14:textId="3800726E" w:rsidR="0091098E" w:rsidRDefault="006176ED" w:rsidP="0091098E">
            <w:pPr>
              <w:pStyle w:val="NoSpacing"/>
              <w:jc w:val="center"/>
            </w:pPr>
            <w:r>
              <w:t>$192,500</w:t>
            </w:r>
          </w:p>
        </w:tc>
        <w:tc>
          <w:tcPr>
            <w:tcW w:w="1615" w:type="dxa"/>
            <w:vAlign w:val="center"/>
          </w:tcPr>
          <w:p w14:paraId="55466591" w14:textId="734BDEE7" w:rsidR="0091098E" w:rsidRDefault="006176ED" w:rsidP="009A2B87">
            <w:pPr>
              <w:pStyle w:val="NoSpacing"/>
              <w:jc w:val="center"/>
            </w:pPr>
            <w:r>
              <w:t>$1,064,250</w:t>
            </w:r>
          </w:p>
        </w:tc>
        <w:tc>
          <w:tcPr>
            <w:tcW w:w="1615" w:type="dxa"/>
            <w:vAlign w:val="center"/>
          </w:tcPr>
          <w:p w14:paraId="08B33BDA" w14:textId="21E04DF8" w:rsidR="0091098E" w:rsidRPr="0040413C" w:rsidRDefault="006176ED" w:rsidP="009A2B87">
            <w:pPr>
              <w:pStyle w:val="NoSpacing"/>
              <w:jc w:val="center"/>
            </w:pPr>
            <w:r w:rsidRPr="0040413C">
              <w:t>$871,750</w:t>
            </w:r>
          </w:p>
        </w:tc>
      </w:tr>
      <w:tr w:rsidR="0091098E" w14:paraId="652566DA" w14:textId="77777777" w:rsidTr="00AC0973">
        <w:tc>
          <w:tcPr>
            <w:tcW w:w="460" w:type="dxa"/>
            <w:vAlign w:val="center"/>
          </w:tcPr>
          <w:p w14:paraId="6820695E" w14:textId="77777777" w:rsidR="0091098E" w:rsidRPr="00A55BF5" w:rsidRDefault="0091098E" w:rsidP="009A2B87">
            <w:pPr>
              <w:pStyle w:val="NoSpacing"/>
              <w:jc w:val="center"/>
              <w:rPr>
                <w:b/>
              </w:rPr>
            </w:pPr>
          </w:p>
        </w:tc>
        <w:tc>
          <w:tcPr>
            <w:tcW w:w="4271" w:type="dxa"/>
            <w:vAlign w:val="center"/>
          </w:tcPr>
          <w:p w14:paraId="3E773AAD" w14:textId="77777777" w:rsidR="0091098E" w:rsidRPr="00A55BF5" w:rsidRDefault="0091098E" w:rsidP="009A2B87">
            <w:pPr>
              <w:pStyle w:val="NoSpacing"/>
              <w:rPr>
                <w:b/>
              </w:rPr>
            </w:pPr>
            <w:r>
              <w:rPr>
                <w:b/>
              </w:rPr>
              <w:t>Totals</w:t>
            </w:r>
          </w:p>
        </w:tc>
        <w:tc>
          <w:tcPr>
            <w:tcW w:w="1615" w:type="dxa"/>
            <w:vAlign w:val="center"/>
          </w:tcPr>
          <w:p w14:paraId="7F12DE87" w14:textId="36EAAFCA" w:rsidR="0091098E" w:rsidRPr="00A55BF5" w:rsidRDefault="006176ED" w:rsidP="009A2B87">
            <w:pPr>
              <w:pStyle w:val="NoSpacing"/>
              <w:jc w:val="center"/>
              <w:rPr>
                <w:b/>
              </w:rPr>
            </w:pPr>
            <w:r>
              <w:rPr>
                <w:b/>
              </w:rPr>
              <w:t>$12,867,250</w:t>
            </w:r>
          </w:p>
        </w:tc>
        <w:tc>
          <w:tcPr>
            <w:tcW w:w="1615" w:type="dxa"/>
            <w:vAlign w:val="center"/>
          </w:tcPr>
          <w:p w14:paraId="11EFDF86" w14:textId="75678C61" w:rsidR="0091098E" w:rsidRPr="00A55BF5" w:rsidRDefault="001C7E13" w:rsidP="00AC0973">
            <w:pPr>
              <w:pStyle w:val="NoSpacing"/>
              <w:jc w:val="center"/>
              <w:rPr>
                <w:b/>
              </w:rPr>
            </w:pPr>
            <w:r w:rsidRPr="001C7E13">
              <w:rPr>
                <w:b/>
              </w:rPr>
              <w:t>$59,205,525</w:t>
            </w:r>
          </w:p>
        </w:tc>
        <w:tc>
          <w:tcPr>
            <w:tcW w:w="1615" w:type="dxa"/>
            <w:vAlign w:val="center"/>
          </w:tcPr>
          <w:p w14:paraId="3A5EE289" w14:textId="2EF52CDE" w:rsidR="0091098E" w:rsidRPr="0040413C" w:rsidRDefault="0091098E" w:rsidP="0040413C">
            <w:pPr>
              <w:pStyle w:val="NoSpacing"/>
              <w:jc w:val="center"/>
              <w:rPr>
                <w:b/>
              </w:rPr>
            </w:pPr>
            <w:r w:rsidRPr="0040413C">
              <w:rPr>
                <w:b/>
              </w:rPr>
              <w:t>$</w:t>
            </w:r>
            <w:r w:rsidR="0040413C" w:rsidRPr="0040413C">
              <w:rPr>
                <w:b/>
              </w:rPr>
              <w:t>46,338,275</w:t>
            </w:r>
          </w:p>
        </w:tc>
      </w:tr>
    </w:tbl>
    <w:p w14:paraId="68CA7F21" w14:textId="77777777" w:rsidR="00A55BF5" w:rsidRDefault="00A55BF5" w:rsidP="00783437">
      <w:pPr>
        <w:pStyle w:val="NoSpacing"/>
      </w:pPr>
    </w:p>
    <w:p w14:paraId="72F668F6" w14:textId="77777777" w:rsidR="00783437" w:rsidRDefault="00783437" w:rsidP="00783437">
      <w:pPr>
        <w:pStyle w:val="NoSpacing"/>
        <w:jc w:val="both"/>
        <w:rPr>
          <w:rFonts w:cs="Arial"/>
        </w:rPr>
      </w:pPr>
      <w:r>
        <w:rPr>
          <w:rFonts w:cs="Arial"/>
          <w:u w:val="single"/>
        </w:rPr>
        <w:t>Summary of Changes</w:t>
      </w:r>
    </w:p>
    <w:p w14:paraId="72F668F7" w14:textId="77777777" w:rsidR="00783437" w:rsidRDefault="00783437" w:rsidP="00783437">
      <w:pPr>
        <w:pStyle w:val="NoSpacing"/>
        <w:jc w:val="both"/>
        <w:rPr>
          <w:rFonts w:cs="Arial"/>
        </w:rPr>
      </w:pPr>
    </w:p>
    <w:p w14:paraId="0E79ECD2" w14:textId="0EDE00FD" w:rsidR="00595E48" w:rsidRDefault="008A366C" w:rsidP="00783437">
      <w:pPr>
        <w:pStyle w:val="NoSpacing"/>
        <w:jc w:val="both"/>
        <w:rPr>
          <w:rFonts w:cs="Arial"/>
        </w:rPr>
      </w:pPr>
      <w:r>
        <w:rPr>
          <w:rFonts w:cs="Arial"/>
        </w:rPr>
        <w:t>The addition of 8 fees results in the addition of $46,338,275 in non-hourly costs to collection 0651-0069. These additions account for the changes following the rulemaking action NPRM 0651-AD02.</w:t>
      </w:r>
    </w:p>
    <w:p w14:paraId="78CEF4C6" w14:textId="77777777" w:rsidR="008A366C" w:rsidRDefault="008A366C" w:rsidP="00783437">
      <w:pPr>
        <w:pStyle w:val="NoSpacing"/>
        <w:jc w:val="both"/>
        <w:rPr>
          <w:rFonts w:cs="Arial"/>
        </w:rPr>
      </w:pPr>
    </w:p>
    <w:p w14:paraId="72F668F8" w14:textId="77777777" w:rsidR="00783437" w:rsidRPr="00225708" w:rsidRDefault="00783437" w:rsidP="00783437">
      <w:pPr>
        <w:pStyle w:val="NoSpacing"/>
        <w:jc w:val="both"/>
        <w:rPr>
          <w:rFonts w:cs="Arial"/>
        </w:rPr>
      </w:pPr>
      <w:r>
        <w:rPr>
          <w:rFonts w:cs="Arial"/>
          <w:u w:val="single"/>
        </w:rPr>
        <w:t>Changes in Burden</w:t>
      </w:r>
    </w:p>
    <w:p w14:paraId="72F668F9" w14:textId="77777777" w:rsidR="00783437" w:rsidRDefault="00783437" w:rsidP="00783437">
      <w:pPr>
        <w:pStyle w:val="NoSpacing"/>
      </w:pPr>
    </w:p>
    <w:tbl>
      <w:tblPr>
        <w:tblStyle w:val="TableGrid"/>
        <w:tblW w:w="0" w:type="auto"/>
        <w:tblLook w:val="04A0" w:firstRow="1" w:lastRow="0" w:firstColumn="1" w:lastColumn="0" w:noHBand="0" w:noVBand="1"/>
      </w:tblPr>
      <w:tblGrid>
        <w:gridCol w:w="2394"/>
        <w:gridCol w:w="2394"/>
        <w:gridCol w:w="2394"/>
        <w:gridCol w:w="2394"/>
      </w:tblGrid>
      <w:tr w:rsidR="00595E48" w14:paraId="348A3478" w14:textId="77777777" w:rsidTr="00595E48">
        <w:tc>
          <w:tcPr>
            <w:tcW w:w="2394" w:type="dxa"/>
            <w:vAlign w:val="center"/>
          </w:tcPr>
          <w:p w14:paraId="6DEFA1B1" w14:textId="70B4727C" w:rsidR="00595E48" w:rsidRPr="00595E48" w:rsidRDefault="00595E48" w:rsidP="00595E48">
            <w:pPr>
              <w:pStyle w:val="NoSpacing"/>
              <w:jc w:val="center"/>
              <w:rPr>
                <w:b/>
              </w:rPr>
            </w:pPr>
            <w:r>
              <w:rPr>
                <w:b/>
              </w:rPr>
              <w:t>Burden Type</w:t>
            </w:r>
          </w:p>
        </w:tc>
        <w:tc>
          <w:tcPr>
            <w:tcW w:w="2394" w:type="dxa"/>
            <w:vAlign w:val="center"/>
          </w:tcPr>
          <w:p w14:paraId="1D1AFF9C" w14:textId="5598ECAA" w:rsidR="00595E48" w:rsidRPr="00595E48" w:rsidRDefault="00595E48" w:rsidP="00595E48">
            <w:pPr>
              <w:pStyle w:val="NoSpacing"/>
              <w:jc w:val="center"/>
              <w:rPr>
                <w:b/>
              </w:rPr>
            </w:pPr>
            <w:r>
              <w:rPr>
                <w:b/>
              </w:rPr>
              <w:t>Currently Approved</w:t>
            </w:r>
          </w:p>
        </w:tc>
        <w:tc>
          <w:tcPr>
            <w:tcW w:w="2394" w:type="dxa"/>
            <w:vAlign w:val="center"/>
          </w:tcPr>
          <w:p w14:paraId="2FCCC456" w14:textId="66BC2C11" w:rsidR="00595E48" w:rsidRPr="00595E48" w:rsidRDefault="00595E48" w:rsidP="00595E48">
            <w:pPr>
              <w:pStyle w:val="NoSpacing"/>
              <w:jc w:val="center"/>
              <w:rPr>
                <w:b/>
              </w:rPr>
            </w:pPr>
            <w:r>
              <w:rPr>
                <w:b/>
              </w:rPr>
              <w:t>Proposed Change</w:t>
            </w:r>
          </w:p>
        </w:tc>
        <w:tc>
          <w:tcPr>
            <w:tcW w:w="2394" w:type="dxa"/>
            <w:vAlign w:val="center"/>
          </w:tcPr>
          <w:p w14:paraId="5D94E7B7" w14:textId="5BF3811C" w:rsidR="00595E48" w:rsidRPr="00595E48" w:rsidRDefault="00595E48" w:rsidP="00595E48">
            <w:pPr>
              <w:pStyle w:val="NoSpacing"/>
              <w:jc w:val="center"/>
              <w:rPr>
                <w:b/>
              </w:rPr>
            </w:pPr>
            <w:r>
              <w:rPr>
                <w:b/>
              </w:rPr>
              <w:t>New Estimate</w:t>
            </w:r>
          </w:p>
        </w:tc>
      </w:tr>
      <w:tr w:rsidR="00595E48" w14:paraId="3606CFFD" w14:textId="77777777" w:rsidTr="00595E48">
        <w:tc>
          <w:tcPr>
            <w:tcW w:w="2394" w:type="dxa"/>
            <w:vAlign w:val="center"/>
          </w:tcPr>
          <w:p w14:paraId="350BA308" w14:textId="27ACEF75" w:rsidR="00595E48" w:rsidRDefault="00595E48" w:rsidP="00595E48">
            <w:pPr>
              <w:pStyle w:val="NoSpacing"/>
            </w:pPr>
            <w:r>
              <w:t xml:space="preserve">Respondents </w:t>
            </w:r>
          </w:p>
        </w:tc>
        <w:tc>
          <w:tcPr>
            <w:tcW w:w="2394" w:type="dxa"/>
            <w:vAlign w:val="center"/>
          </w:tcPr>
          <w:p w14:paraId="1A7A2FAB" w14:textId="26E5EE33" w:rsidR="00595E48" w:rsidRDefault="004072D8" w:rsidP="00595E48">
            <w:pPr>
              <w:pStyle w:val="NoSpacing"/>
              <w:jc w:val="right"/>
            </w:pPr>
            <w:r>
              <w:t>11,349</w:t>
            </w:r>
          </w:p>
        </w:tc>
        <w:tc>
          <w:tcPr>
            <w:tcW w:w="2394" w:type="dxa"/>
            <w:vAlign w:val="center"/>
          </w:tcPr>
          <w:p w14:paraId="5C836AB7" w14:textId="18F74E08" w:rsidR="00595E48" w:rsidRDefault="004072D8" w:rsidP="00595E48">
            <w:pPr>
              <w:pStyle w:val="NoSpacing"/>
              <w:jc w:val="right"/>
            </w:pPr>
            <w:r>
              <w:t>0</w:t>
            </w:r>
          </w:p>
        </w:tc>
        <w:tc>
          <w:tcPr>
            <w:tcW w:w="2394" w:type="dxa"/>
            <w:vAlign w:val="center"/>
          </w:tcPr>
          <w:p w14:paraId="38A1E624" w14:textId="56CDBCC5" w:rsidR="00595E48" w:rsidRDefault="004072D8" w:rsidP="00595E48">
            <w:pPr>
              <w:pStyle w:val="NoSpacing"/>
              <w:jc w:val="right"/>
            </w:pPr>
            <w:r w:rsidRPr="004072D8">
              <w:t>11,349</w:t>
            </w:r>
          </w:p>
        </w:tc>
      </w:tr>
      <w:tr w:rsidR="004072D8" w14:paraId="74D6C4BC" w14:textId="77777777" w:rsidTr="00595E48">
        <w:tc>
          <w:tcPr>
            <w:tcW w:w="2394" w:type="dxa"/>
            <w:vAlign w:val="center"/>
          </w:tcPr>
          <w:p w14:paraId="3F9A299D" w14:textId="14AFF248" w:rsidR="004072D8" w:rsidRDefault="004072D8" w:rsidP="00595E48">
            <w:pPr>
              <w:pStyle w:val="NoSpacing"/>
            </w:pPr>
            <w:r>
              <w:t>Burden Hours</w:t>
            </w:r>
          </w:p>
        </w:tc>
        <w:tc>
          <w:tcPr>
            <w:tcW w:w="2394" w:type="dxa"/>
            <w:vAlign w:val="center"/>
          </w:tcPr>
          <w:p w14:paraId="183B4A39" w14:textId="3CEE7079" w:rsidR="004072D8" w:rsidRDefault="004072D8" w:rsidP="00595E48">
            <w:pPr>
              <w:pStyle w:val="NoSpacing"/>
              <w:jc w:val="right"/>
            </w:pPr>
            <w:r>
              <w:t>1,459,184</w:t>
            </w:r>
          </w:p>
        </w:tc>
        <w:tc>
          <w:tcPr>
            <w:tcW w:w="2394" w:type="dxa"/>
            <w:vAlign w:val="center"/>
          </w:tcPr>
          <w:p w14:paraId="359B2C8C" w14:textId="225DB444" w:rsidR="004072D8" w:rsidRDefault="004072D8" w:rsidP="00595E48">
            <w:pPr>
              <w:pStyle w:val="NoSpacing"/>
              <w:jc w:val="right"/>
            </w:pPr>
            <w:r>
              <w:t>0</w:t>
            </w:r>
          </w:p>
        </w:tc>
        <w:tc>
          <w:tcPr>
            <w:tcW w:w="2394" w:type="dxa"/>
            <w:vAlign w:val="center"/>
          </w:tcPr>
          <w:p w14:paraId="1D08C769" w14:textId="7FD9542A" w:rsidR="004072D8" w:rsidRDefault="004072D8" w:rsidP="00595E48">
            <w:pPr>
              <w:pStyle w:val="NoSpacing"/>
              <w:jc w:val="right"/>
            </w:pPr>
            <w:r>
              <w:t>1,459,184</w:t>
            </w:r>
          </w:p>
        </w:tc>
      </w:tr>
      <w:tr w:rsidR="00595E48" w14:paraId="6B3EF5BA" w14:textId="77777777" w:rsidTr="00595E48">
        <w:tc>
          <w:tcPr>
            <w:tcW w:w="2394" w:type="dxa"/>
            <w:vAlign w:val="center"/>
          </w:tcPr>
          <w:p w14:paraId="3E65FFBE" w14:textId="306B1EA4" w:rsidR="00595E48" w:rsidRDefault="00595E48" w:rsidP="00595E48">
            <w:pPr>
              <w:pStyle w:val="NoSpacing"/>
            </w:pPr>
            <w:r>
              <w:t>Non-Hourly Cost Burden</w:t>
            </w:r>
          </w:p>
        </w:tc>
        <w:tc>
          <w:tcPr>
            <w:tcW w:w="2394" w:type="dxa"/>
            <w:vAlign w:val="center"/>
          </w:tcPr>
          <w:p w14:paraId="6A10E5E7" w14:textId="700F4C4D" w:rsidR="00595E48" w:rsidRDefault="0091098E" w:rsidP="00595E48">
            <w:pPr>
              <w:pStyle w:val="NoSpacing"/>
              <w:jc w:val="right"/>
            </w:pPr>
            <w:r>
              <w:t>$60,404,425.50</w:t>
            </w:r>
          </w:p>
        </w:tc>
        <w:tc>
          <w:tcPr>
            <w:tcW w:w="2394" w:type="dxa"/>
            <w:vAlign w:val="center"/>
          </w:tcPr>
          <w:p w14:paraId="2550AC81" w14:textId="3D3EE7F2" w:rsidR="00595E48" w:rsidRDefault="000847B2" w:rsidP="00AC0973">
            <w:pPr>
              <w:pStyle w:val="NoSpacing"/>
              <w:jc w:val="right"/>
            </w:pPr>
            <w:r w:rsidRPr="000847B2">
              <w:t>$46,338,275</w:t>
            </w:r>
            <w:r>
              <w:t>.00</w:t>
            </w:r>
          </w:p>
        </w:tc>
        <w:tc>
          <w:tcPr>
            <w:tcW w:w="2394" w:type="dxa"/>
            <w:vAlign w:val="center"/>
          </w:tcPr>
          <w:p w14:paraId="22F6A5AF" w14:textId="5B99FAFF" w:rsidR="00595E48" w:rsidRDefault="0091098E" w:rsidP="000847B2">
            <w:pPr>
              <w:pStyle w:val="NoSpacing"/>
              <w:jc w:val="right"/>
            </w:pPr>
            <w:r>
              <w:t>$</w:t>
            </w:r>
            <w:r w:rsidR="000847B2">
              <w:t>106,742,700.50</w:t>
            </w:r>
          </w:p>
        </w:tc>
      </w:tr>
    </w:tbl>
    <w:p w14:paraId="2CD50751" w14:textId="77777777" w:rsidR="00595E48" w:rsidRDefault="00595E48" w:rsidP="00783437">
      <w:pPr>
        <w:pStyle w:val="NoSpacing"/>
      </w:pPr>
    </w:p>
    <w:p w14:paraId="56264AF6" w14:textId="7EC3781C" w:rsidR="00595E48" w:rsidRDefault="00595E48" w:rsidP="00783437">
      <w:pPr>
        <w:pStyle w:val="NoSpacing"/>
      </w:pPr>
      <w:r>
        <w:t>The 0651-0069 revised total non-hourly burden is as follows:</w:t>
      </w:r>
    </w:p>
    <w:p w14:paraId="1616ABA4" w14:textId="77777777" w:rsidR="00595E48" w:rsidRDefault="00595E48" w:rsidP="00783437">
      <w:pPr>
        <w:pStyle w:val="NoSpacing"/>
      </w:pPr>
    </w:p>
    <w:p w14:paraId="62431C35" w14:textId="012D43B9" w:rsidR="00595E48" w:rsidRDefault="000847B2" w:rsidP="00595E48">
      <w:pPr>
        <w:pStyle w:val="NoSpacing"/>
        <w:numPr>
          <w:ilvl w:val="0"/>
          <w:numId w:val="3"/>
        </w:numPr>
      </w:pPr>
      <w:r w:rsidRPr="000847B2">
        <w:t>11,349</w:t>
      </w:r>
      <w:r>
        <w:t xml:space="preserve"> </w:t>
      </w:r>
      <w:r w:rsidR="0091098E">
        <w:t>respondents</w:t>
      </w:r>
    </w:p>
    <w:p w14:paraId="447BCB3A" w14:textId="46BB92A3" w:rsidR="000847B2" w:rsidRDefault="000847B2" w:rsidP="00595E48">
      <w:pPr>
        <w:pStyle w:val="NoSpacing"/>
        <w:numPr>
          <w:ilvl w:val="0"/>
          <w:numId w:val="3"/>
        </w:numPr>
      </w:pPr>
      <w:r w:rsidRPr="000847B2">
        <w:t>1,459,184</w:t>
      </w:r>
      <w:r>
        <w:t xml:space="preserve"> burden hours</w:t>
      </w:r>
    </w:p>
    <w:p w14:paraId="0F485EC3" w14:textId="0CF5044D" w:rsidR="0091098E" w:rsidRPr="00783437" w:rsidRDefault="0091098E" w:rsidP="00595E48">
      <w:pPr>
        <w:pStyle w:val="NoSpacing"/>
        <w:numPr>
          <w:ilvl w:val="0"/>
          <w:numId w:val="3"/>
        </w:numPr>
      </w:pPr>
      <w:r>
        <w:t>$</w:t>
      </w:r>
      <w:r w:rsidR="000847B2" w:rsidRPr="000847B2">
        <w:t>106,742,700.50</w:t>
      </w:r>
      <w:r w:rsidR="007452A7">
        <w:t xml:space="preserve"> </w:t>
      </w:r>
      <w:r>
        <w:t>in annual (non-hourly) costs</w:t>
      </w:r>
    </w:p>
    <w:sectPr w:rsidR="0091098E" w:rsidRPr="007834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668FC" w14:textId="77777777" w:rsidR="008A1E49" w:rsidRDefault="008A1E49" w:rsidP="00CB219A">
      <w:pPr>
        <w:spacing w:after="0" w:line="240" w:lineRule="auto"/>
      </w:pPr>
      <w:r>
        <w:separator/>
      </w:r>
    </w:p>
  </w:endnote>
  <w:endnote w:type="continuationSeparator" w:id="0">
    <w:p w14:paraId="72F668FD" w14:textId="77777777" w:rsidR="008A1E49" w:rsidRDefault="008A1E49" w:rsidP="00CB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937565"/>
      <w:docPartObj>
        <w:docPartGallery w:val="Page Numbers (Bottom of Page)"/>
        <w:docPartUnique/>
      </w:docPartObj>
    </w:sdtPr>
    <w:sdtEndPr>
      <w:rPr>
        <w:noProof/>
      </w:rPr>
    </w:sdtEndPr>
    <w:sdtContent>
      <w:p w14:paraId="72F668FE" w14:textId="77777777" w:rsidR="00CB219A" w:rsidRDefault="00CB219A">
        <w:pPr>
          <w:pStyle w:val="Footer"/>
          <w:jc w:val="center"/>
        </w:pPr>
        <w:r>
          <w:fldChar w:fldCharType="begin"/>
        </w:r>
        <w:r>
          <w:instrText xml:space="preserve"> PAGE   \* MERGEFORMAT </w:instrText>
        </w:r>
        <w:r>
          <w:fldChar w:fldCharType="separate"/>
        </w:r>
        <w:r w:rsidR="001C7383">
          <w:rPr>
            <w:noProof/>
          </w:rPr>
          <w:t>1</w:t>
        </w:r>
        <w:r>
          <w:rPr>
            <w:noProof/>
          </w:rPr>
          <w:fldChar w:fldCharType="end"/>
        </w:r>
      </w:p>
    </w:sdtContent>
  </w:sdt>
  <w:p w14:paraId="72F668FF" w14:textId="77777777" w:rsidR="00CB219A" w:rsidRDefault="00CB2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668FA" w14:textId="77777777" w:rsidR="008A1E49" w:rsidRDefault="008A1E49" w:rsidP="00CB219A">
      <w:pPr>
        <w:spacing w:after="0" w:line="240" w:lineRule="auto"/>
      </w:pPr>
      <w:r>
        <w:separator/>
      </w:r>
    </w:p>
  </w:footnote>
  <w:footnote w:type="continuationSeparator" w:id="0">
    <w:p w14:paraId="72F668FB" w14:textId="77777777" w:rsidR="008A1E49" w:rsidRDefault="008A1E49" w:rsidP="00CB2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40C86"/>
    <w:multiLevelType w:val="hybridMultilevel"/>
    <w:tmpl w:val="3DF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B435D"/>
    <w:multiLevelType w:val="hybridMultilevel"/>
    <w:tmpl w:val="F84E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2581C"/>
    <w:multiLevelType w:val="hybridMultilevel"/>
    <w:tmpl w:val="00B6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37"/>
    <w:rsid w:val="000847B2"/>
    <w:rsid w:val="000939FC"/>
    <w:rsid w:val="000D4FFE"/>
    <w:rsid w:val="001C7383"/>
    <w:rsid w:val="001C7E13"/>
    <w:rsid w:val="00207BC4"/>
    <w:rsid w:val="0040413C"/>
    <w:rsid w:val="004072D8"/>
    <w:rsid w:val="00595E48"/>
    <w:rsid w:val="005C00A6"/>
    <w:rsid w:val="006176ED"/>
    <w:rsid w:val="007452A7"/>
    <w:rsid w:val="00783437"/>
    <w:rsid w:val="00880094"/>
    <w:rsid w:val="008A1E49"/>
    <w:rsid w:val="008A366C"/>
    <w:rsid w:val="0091098E"/>
    <w:rsid w:val="009227CA"/>
    <w:rsid w:val="00931FB0"/>
    <w:rsid w:val="009826BB"/>
    <w:rsid w:val="009F1C55"/>
    <w:rsid w:val="00A55BF5"/>
    <w:rsid w:val="00A71FC4"/>
    <w:rsid w:val="00AB2B99"/>
    <w:rsid w:val="00AC0973"/>
    <w:rsid w:val="00AE078E"/>
    <w:rsid w:val="00B74E5E"/>
    <w:rsid w:val="00BF0F0B"/>
    <w:rsid w:val="00C67BEB"/>
    <w:rsid w:val="00CB219A"/>
    <w:rsid w:val="00D166B7"/>
    <w:rsid w:val="00DA1FAE"/>
    <w:rsid w:val="00DC72F4"/>
    <w:rsid w:val="00E07A85"/>
    <w:rsid w:val="00E2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437"/>
    <w:pPr>
      <w:spacing w:after="0" w:line="240" w:lineRule="auto"/>
    </w:pPr>
  </w:style>
  <w:style w:type="table" w:styleId="TableGrid">
    <w:name w:val="Table Grid"/>
    <w:basedOn w:val="TableNormal"/>
    <w:uiPriority w:val="59"/>
    <w:rsid w:val="00783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9A"/>
  </w:style>
  <w:style w:type="paragraph" w:styleId="Footer">
    <w:name w:val="footer"/>
    <w:basedOn w:val="Normal"/>
    <w:link w:val="FooterChar"/>
    <w:uiPriority w:val="99"/>
    <w:unhideWhenUsed/>
    <w:rsid w:val="00CB2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437"/>
    <w:pPr>
      <w:spacing w:after="0" w:line="240" w:lineRule="auto"/>
    </w:pPr>
  </w:style>
  <w:style w:type="table" w:styleId="TableGrid">
    <w:name w:val="Table Grid"/>
    <w:basedOn w:val="TableNormal"/>
    <w:uiPriority w:val="59"/>
    <w:rsid w:val="00783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9A"/>
  </w:style>
  <w:style w:type="paragraph" w:styleId="Footer">
    <w:name w:val="footer"/>
    <w:basedOn w:val="Normal"/>
    <w:link w:val="FooterChar"/>
    <w:uiPriority w:val="99"/>
    <w:unhideWhenUsed/>
    <w:rsid w:val="00CB2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Mitchell, Susan</DisplayName>
        <AccountId>277</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AB94F-9113-45C4-9EA5-9A27DF46EB1F}">
  <ds:schemaRefs>
    <ds:schemaRef ds:uri="http://purl.org/dc/elements/1.1/"/>
    <ds:schemaRef ds:uri="http://schemas.microsoft.com/office/2006/documentManagement/types"/>
    <ds:schemaRef ds:uri="5DFC53CF-7C17-4489-98AB-5F87C96333B9"/>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5dfc53cf-7c17-4489-98ab-5f87c96333b9"/>
    <ds:schemaRef ds:uri="e85de8a9-5cd3-41fe-a1a0-70bc17107555"/>
    <ds:schemaRef ds:uri="E85DE8A9-5CD3-41FE-A1A0-70BC17107555"/>
  </ds:schemaRefs>
</ds:datastoreItem>
</file>

<file path=customXml/itemProps2.xml><?xml version="1.0" encoding="utf-8"?>
<ds:datastoreItem xmlns:ds="http://schemas.openxmlformats.org/officeDocument/2006/customXml" ds:itemID="{125FA20A-28A3-4A07-99A4-710B55DCE5E4}">
  <ds:schemaRefs>
    <ds:schemaRef ds:uri="http://schemas.microsoft.com/sharepoint/v3/contenttype/forms"/>
  </ds:schemaRefs>
</ds:datastoreItem>
</file>

<file path=customXml/itemProps3.xml><?xml version="1.0" encoding="utf-8"?>
<ds:datastoreItem xmlns:ds="http://schemas.openxmlformats.org/officeDocument/2006/customXml" ds:itemID="{D2C02CAA-EAB5-4DAD-A7C7-8A5CDBB6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2017-11-09T17:32:00Z</dcterms:created>
  <dcterms:modified xsi:type="dcterms:W3CDTF">2017-11-09T17:32:00Z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