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20A3D" w14:textId="77777777" w:rsidR="00245D2F" w:rsidRDefault="00245D2F" w:rsidP="00245D2F">
      <w:pPr>
        <w:jc w:val="center"/>
        <w:rPr>
          <w:b/>
          <w:sz w:val="40"/>
          <w:szCs w:val="40"/>
        </w:rPr>
      </w:pPr>
      <w:bookmarkStart w:id="0" w:name="_GoBack"/>
      <w:bookmarkEnd w:id="0"/>
    </w:p>
    <w:p w14:paraId="5DEF98A8" w14:textId="77777777" w:rsidR="00245D2F" w:rsidRDefault="00245D2F" w:rsidP="00245D2F">
      <w:pPr>
        <w:jc w:val="center"/>
        <w:rPr>
          <w:b/>
          <w:sz w:val="40"/>
          <w:szCs w:val="40"/>
        </w:rPr>
      </w:pPr>
    </w:p>
    <w:p w14:paraId="4BC03E58" w14:textId="77777777" w:rsidR="00245D2F" w:rsidRDefault="00245D2F" w:rsidP="00245D2F">
      <w:pPr>
        <w:jc w:val="center"/>
        <w:rPr>
          <w:b/>
          <w:sz w:val="40"/>
          <w:szCs w:val="40"/>
        </w:rPr>
      </w:pPr>
      <w:r w:rsidRPr="00857F77">
        <w:rPr>
          <w:b/>
          <w:sz w:val="40"/>
          <w:szCs w:val="40"/>
        </w:rPr>
        <w:t>Epidemiologic Study of Health Effects Associated With Low Pressure Events in Drinking Water Distribution Systems</w:t>
      </w:r>
    </w:p>
    <w:p w14:paraId="2924A397" w14:textId="77777777" w:rsidR="00245D2F" w:rsidRDefault="00245D2F" w:rsidP="00245D2F">
      <w:pPr>
        <w:jc w:val="center"/>
        <w:rPr>
          <w:b/>
          <w:sz w:val="40"/>
          <w:szCs w:val="40"/>
        </w:rPr>
      </w:pPr>
    </w:p>
    <w:p w14:paraId="7DA4A7BA" w14:textId="77777777" w:rsidR="00245D2F" w:rsidRPr="00857F77" w:rsidRDefault="00245D2F" w:rsidP="00245D2F">
      <w:pPr>
        <w:jc w:val="center"/>
        <w:rPr>
          <w:sz w:val="40"/>
          <w:szCs w:val="40"/>
        </w:rPr>
      </w:pPr>
      <w:r w:rsidRPr="00857F77">
        <w:rPr>
          <w:sz w:val="40"/>
          <w:szCs w:val="40"/>
        </w:rPr>
        <w:t>0920-0960</w:t>
      </w:r>
    </w:p>
    <w:p w14:paraId="30C37C8A" w14:textId="77777777" w:rsidR="00245D2F" w:rsidRPr="00857F77" w:rsidRDefault="00245D2F" w:rsidP="00245D2F">
      <w:pPr>
        <w:jc w:val="center"/>
        <w:rPr>
          <w:sz w:val="40"/>
          <w:szCs w:val="40"/>
        </w:rPr>
      </w:pPr>
      <w:r w:rsidRPr="00857F77">
        <w:rPr>
          <w:sz w:val="40"/>
          <w:szCs w:val="40"/>
        </w:rPr>
        <w:t>Exp. Date: August 31, 2018</w:t>
      </w:r>
    </w:p>
    <w:p w14:paraId="568D783F" w14:textId="77777777" w:rsidR="00245D2F" w:rsidRPr="007F7B1D" w:rsidRDefault="00245D2F" w:rsidP="00245D2F"/>
    <w:p w14:paraId="0C4AF8FC" w14:textId="77777777" w:rsidR="00245D2F" w:rsidRPr="007F7B1D" w:rsidRDefault="00245D2F" w:rsidP="00245D2F"/>
    <w:p w14:paraId="333E84D5" w14:textId="77777777" w:rsidR="00245D2F" w:rsidRPr="00857F77" w:rsidRDefault="00245D2F" w:rsidP="00245D2F">
      <w:pPr>
        <w:jc w:val="center"/>
        <w:rPr>
          <w:sz w:val="32"/>
          <w:szCs w:val="32"/>
        </w:rPr>
      </w:pPr>
      <w:r w:rsidRPr="00857F77">
        <w:rPr>
          <w:sz w:val="32"/>
          <w:szCs w:val="32"/>
        </w:rPr>
        <w:t xml:space="preserve">Request for OMB </w:t>
      </w:r>
      <w:r>
        <w:rPr>
          <w:sz w:val="32"/>
          <w:szCs w:val="32"/>
        </w:rPr>
        <w:t>A</w:t>
      </w:r>
      <w:r w:rsidRPr="00857F77">
        <w:rPr>
          <w:sz w:val="32"/>
          <w:szCs w:val="32"/>
        </w:rPr>
        <w:t xml:space="preserve">pproval of a </w:t>
      </w:r>
      <w:r>
        <w:rPr>
          <w:sz w:val="32"/>
          <w:szCs w:val="32"/>
        </w:rPr>
        <w:t>R</w:t>
      </w:r>
      <w:r w:rsidRPr="00857F77">
        <w:rPr>
          <w:sz w:val="32"/>
          <w:szCs w:val="32"/>
        </w:rPr>
        <w:t xml:space="preserve">einstatement </w:t>
      </w:r>
      <w:r>
        <w:rPr>
          <w:sz w:val="32"/>
          <w:szCs w:val="32"/>
        </w:rPr>
        <w:t>I</w:t>
      </w:r>
      <w:r w:rsidRPr="00857F77">
        <w:rPr>
          <w:sz w:val="32"/>
          <w:szCs w:val="32"/>
        </w:rPr>
        <w:t xml:space="preserve">nformation </w:t>
      </w:r>
      <w:r>
        <w:rPr>
          <w:sz w:val="32"/>
          <w:szCs w:val="32"/>
        </w:rPr>
        <w:t>C</w:t>
      </w:r>
      <w:r w:rsidRPr="00857F77">
        <w:rPr>
          <w:sz w:val="32"/>
          <w:szCs w:val="32"/>
        </w:rPr>
        <w:t>ollection</w:t>
      </w:r>
    </w:p>
    <w:p w14:paraId="007ABC72" w14:textId="427060C1" w:rsidR="00245D2F" w:rsidRDefault="00245D2F" w:rsidP="00245D2F">
      <w:pPr>
        <w:rPr>
          <w:b/>
        </w:rPr>
      </w:pPr>
    </w:p>
    <w:p w14:paraId="6C3CA14E" w14:textId="062483D5" w:rsidR="00245D2F" w:rsidRDefault="00245D2F" w:rsidP="00245D2F">
      <w:pPr>
        <w:rPr>
          <w:b/>
        </w:rPr>
      </w:pPr>
    </w:p>
    <w:p w14:paraId="41E23841" w14:textId="54BBB09F" w:rsidR="00245D2F" w:rsidRPr="00794868" w:rsidRDefault="00245D2F" w:rsidP="00794868">
      <w:pPr>
        <w:jc w:val="center"/>
        <w:rPr>
          <w:sz w:val="32"/>
          <w:szCs w:val="32"/>
        </w:rPr>
      </w:pPr>
      <w:r w:rsidRPr="00794868">
        <w:rPr>
          <w:sz w:val="32"/>
          <w:szCs w:val="32"/>
        </w:rPr>
        <w:t>Supporting Statement B</w:t>
      </w:r>
    </w:p>
    <w:p w14:paraId="4EE5AD97" w14:textId="77777777" w:rsidR="00245D2F" w:rsidRDefault="00245D2F" w:rsidP="00245D2F">
      <w:pPr>
        <w:rPr>
          <w:b/>
        </w:rPr>
      </w:pPr>
    </w:p>
    <w:p w14:paraId="7F9C0573" w14:textId="382E2647" w:rsidR="00245D2F" w:rsidRPr="007F7B1D" w:rsidRDefault="006E58B7" w:rsidP="00245D2F">
      <w:pPr>
        <w:jc w:val="center"/>
        <w:rPr>
          <w:b/>
        </w:rPr>
      </w:pPr>
      <w:r>
        <w:rPr>
          <w:b/>
        </w:rPr>
        <w:t>9/2</w:t>
      </w:r>
      <w:r w:rsidR="00FC19A7">
        <w:rPr>
          <w:b/>
        </w:rPr>
        <w:t>8</w:t>
      </w:r>
      <w:r>
        <w:rPr>
          <w:b/>
        </w:rPr>
        <w:t>/18</w:t>
      </w:r>
    </w:p>
    <w:p w14:paraId="1F8A1B25" w14:textId="77777777" w:rsidR="00245D2F" w:rsidRPr="007F7B1D" w:rsidRDefault="00245D2F" w:rsidP="00245D2F">
      <w:pPr>
        <w:rPr>
          <w:b/>
        </w:rPr>
      </w:pPr>
    </w:p>
    <w:p w14:paraId="10401DF4" w14:textId="77777777" w:rsidR="00245D2F" w:rsidRPr="007F7B1D" w:rsidRDefault="00245D2F" w:rsidP="00245D2F">
      <w:pPr>
        <w:rPr>
          <w:b/>
        </w:rPr>
      </w:pPr>
    </w:p>
    <w:p w14:paraId="06C9E65F" w14:textId="77777777" w:rsidR="00245D2F" w:rsidRPr="007F7B1D" w:rsidRDefault="00245D2F" w:rsidP="00245D2F">
      <w:pPr>
        <w:rPr>
          <w:b/>
        </w:rPr>
      </w:pPr>
    </w:p>
    <w:p w14:paraId="0A977DFE" w14:textId="77777777" w:rsidR="00245D2F" w:rsidRDefault="00245D2F" w:rsidP="00245D2F">
      <w:pPr>
        <w:rPr>
          <w:b/>
        </w:rPr>
      </w:pPr>
    </w:p>
    <w:p w14:paraId="70C92494" w14:textId="77777777" w:rsidR="00245D2F" w:rsidRDefault="00245D2F" w:rsidP="00245D2F">
      <w:pPr>
        <w:rPr>
          <w:b/>
        </w:rPr>
      </w:pPr>
    </w:p>
    <w:p w14:paraId="6F8D4184" w14:textId="77777777" w:rsidR="00245D2F" w:rsidRDefault="00245D2F" w:rsidP="00245D2F">
      <w:pPr>
        <w:rPr>
          <w:b/>
        </w:rPr>
      </w:pPr>
    </w:p>
    <w:p w14:paraId="1917599F" w14:textId="77777777" w:rsidR="00245D2F" w:rsidRDefault="00245D2F" w:rsidP="00245D2F">
      <w:pPr>
        <w:rPr>
          <w:b/>
        </w:rPr>
      </w:pPr>
    </w:p>
    <w:p w14:paraId="2FD5D532" w14:textId="77777777" w:rsidR="00245D2F" w:rsidRDefault="00245D2F" w:rsidP="00245D2F">
      <w:pPr>
        <w:rPr>
          <w:b/>
        </w:rPr>
      </w:pPr>
    </w:p>
    <w:p w14:paraId="3960ADFD" w14:textId="77777777" w:rsidR="00245D2F" w:rsidRDefault="00245D2F" w:rsidP="00245D2F">
      <w:pPr>
        <w:rPr>
          <w:b/>
        </w:rPr>
      </w:pPr>
    </w:p>
    <w:p w14:paraId="4CFFA00C" w14:textId="77777777" w:rsidR="00245D2F" w:rsidRDefault="00245D2F" w:rsidP="00245D2F">
      <w:pPr>
        <w:rPr>
          <w:b/>
        </w:rPr>
      </w:pPr>
    </w:p>
    <w:p w14:paraId="05ABBDBC" w14:textId="77777777" w:rsidR="00245D2F" w:rsidRDefault="00245D2F" w:rsidP="00245D2F">
      <w:pPr>
        <w:rPr>
          <w:b/>
        </w:rPr>
      </w:pPr>
    </w:p>
    <w:p w14:paraId="289A92D1" w14:textId="77777777" w:rsidR="00245D2F" w:rsidRDefault="00245D2F" w:rsidP="00245D2F">
      <w:pPr>
        <w:rPr>
          <w:b/>
        </w:rPr>
      </w:pPr>
    </w:p>
    <w:p w14:paraId="12FEC184" w14:textId="77777777" w:rsidR="00245D2F" w:rsidRPr="007F7B1D" w:rsidRDefault="00245D2F" w:rsidP="00245D2F">
      <w:pPr>
        <w:rPr>
          <w:b/>
        </w:rPr>
      </w:pPr>
    </w:p>
    <w:p w14:paraId="5252AC36" w14:textId="77777777" w:rsidR="00245D2F" w:rsidRPr="007F7B1D" w:rsidRDefault="00245D2F" w:rsidP="00245D2F">
      <w:pPr>
        <w:rPr>
          <w:b/>
        </w:rPr>
      </w:pPr>
      <w:r w:rsidRPr="007F7B1D">
        <w:rPr>
          <w:b/>
        </w:rPr>
        <w:t>Contact:</w:t>
      </w:r>
    </w:p>
    <w:p w14:paraId="48A5637E" w14:textId="77777777" w:rsidR="00245D2F" w:rsidRPr="007F7B1D" w:rsidRDefault="00245D2F" w:rsidP="00245D2F">
      <w:pPr>
        <w:rPr>
          <w:b/>
        </w:rPr>
      </w:pPr>
      <w:r>
        <w:t>Kathy Benedict</w:t>
      </w:r>
      <w:r w:rsidRPr="007F7B1D">
        <w:t xml:space="preserve">, </w:t>
      </w:r>
      <w:r>
        <w:t xml:space="preserve">DVM, </w:t>
      </w:r>
      <w:r w:rsidRPr="007F7B1D">
        <w:t>PhD</w:t>
      </w:r>
      <w:r w:rsidRPr="007F7B1D">
        <w:br/>
        <w:t>Epidemiologist, Waterborne Disease Prevention Branch</w:t>
      </w:r>
      <w:r w:rsidRPr="007F7B1D">
        <w:br/>
        <w:t xml:space="preserve">National Center for Emerging and Zoonotic Infectious Diseases </w:t>
      </w:r>
      <w:r w:rsidRPr="007F7B1D">
        <w:br/>
        <w:t>Centers for Disease Control and Prevention</w:t>
      </w:r>
      <w:r w:rsidRPr="007F7B1D">
        <w:br/>
      </w:r>
      <w:r w:rsidRPr="001172C8">
        <w:t>Mailstop H24-9</w:t>
      </w:r>
      <w:r w:rsidRPr="007F7B1D">
        <w:br/>
      </w:r>
      <w:r>
        <w:t>1600 Clifton Rd.</w:t>
      </w:r>
      <w:r w:rsidRPr="007F7B1D">
        <w:t xml:space="preserve"> NE</w:t>
      </w:r>
      <w:r w:rsidRPr="007F7B1D">
        <w:br/>
        <w:t xml:space="preserve">Atlanta, GA </w:t>
      </w:r>
      <w:r>
        <w:t>30333</w:t>
      </w:r>
      <w:r w:rsidRPr="007F7B1D">
        <w:t xml:space="preserve"> </w:t>
      </w:r>
      <w:r w:rsidRPr="007F7B1D">
        <w:br/>
        <w:t xml:space="preserve">E-mail: </w:t>
      </w:r>
      <w:hyperlink r:id="rId8" w:history="1">
        <w:r w:rsidRPr="00C203C9">
          <w:rPr>
            <w:rStyle w:val="Hyperlink"/>
          </w:rPr>
          <w:t>kmbenedict@cdc.gov</w:t>
        </w:r>
      </w:hyperlink>
    </w:p>
    <w:sdt>
      <w:sdtPr>
        <w:rPr>
          <w:rFonts w:ascii="Times New Roman" w:eastAsiaTheme="minorHAnsi" w:hAnsi="Times New Roman" w:cstheme="minorBidi"/>
          <w:color w:val="auto"/>
          <w:sz w:val="24"/>
          <w:szCs w:val="22"/>
        </w:rPr>
        <w:id w:val="661748309"/>
        <w:docPartObj>
          <w:docPartGallery w:val="Table of Contents"/>
          <w:docPartUnique/>
        </w:docPartObj>
      </w:sdtPr>
      <w:sdtEndPr>
        <w:rPr>
          <w:b/>
          <w:bCs/>
          <w:noProof/>
        </w:rPr>
      </w:sdtEndPr>
      <w:sdtContent>
        <w:p w14:paraId="5825D7E3" w14:textId="199DCABA" w:rsidR="005C1936" w:rsidRPr="00B07DF2" w:rsidRDefault="005C1936">
          <w:pPr>
            <w:pStyle w:val="TOCHeading"/>
            <w:rPr>
              <w:rFonts w:ascii="Times New Roman" w:hAnsi="Times New Roman" w:cs="Times New Roman"/>
              <w:b/>
              <w:color w:val="auto"/>
              <w:sz w:val="24"/>
              <w:szCs w:val="24"/>
            </w:rPr>
          </w:pPr>
          <w:r w:rsidRPr="00B07DF2">
            <w:rPr>
              <w:rFonts w:ascii="Times New Roman" w:hAnsi="Times New Roman" w:cs="Times New Roman"/>
              <w:b/>
              <w:color w:val="auto"/>
              <w:sz w:val="24"/>
              <w:szCs w:val="24"/>
            </w:rPr>
            <w:t>Table of Contents: Part B</w:t>
          </w:r>
        </w:p>
        <w:p w14:paraId="13A659A2" w14:textId="27296553" w:rsidR="005C1936" w:rsidRPr="00B07DF2" w:rsidRDefault="005C1936">
          <w:pPr>
            <w:pStyle w:val="TOC1"/>
            <w:tabs>
              <w:tab w:val="right" w:leader="dot" w:pos="8630"/>
            </w:tabs>
            <w:rPr>
              <w:rFonts w:cs="Times New Roman"/>
              <w:noProof/>
              <w:szCs w:val="24"/>
            </w:rPr>
          </w:pPr>
          <w:r w:rsidRPr="00387D9D">
            <w:rPr>
              <w:rFonts w:cs="Times New Roman"/>
              <w:szCs w:val="24"/>
            </w:rPr>
            <w:fldChar w:fldCharType="begin"/>
          </w:r>
          <w:r w:rsidRPr="00B07DF2">
            <w:rPr>
              <w:rFonts w:cs="Times New Roman"/>
              <w:szCs w:val="24"/>
            </w:rPr>
            <w:instrText xml:space="preserve"> TOC \o "1-3" \h \z \u </w:instrText>
          </w:r>
          <w:r w:rsidRPr="00387D9D">
            <w:rPr>
              <w:rFonts w:cs="Times New Roman"/>
              <w:szCs w:val="24"/>
            </w:rPr>
            <w:fldChar w:fldCharType="separate"/>
          </w:r>
          <w:hyperlink w:anchor="_Toc426728958" w:history="1">
            <w:r w:rsidRPr="00B07DF2">
              <w:rPr>
                <w:rStyle w:val="Hyperlink"/>
                <w:rFonts w:cs="Times New Roman"/>
                <w:noProof/>
                <w:color w:val="auto"/>
                <w:szCs w:val="24"/>
              </w:rPr>
              <w:t>1. Respondent Universe and Sampling Methods</w:t>
            </w:r>
            <w:r w:rsidRPr="00B07DF2">
              <w:rPr>
                <w:rFonts w:cs="Times New Roman"/>
                <w:noProof/>
                <w:webHidden/>
                <w:szCs w:val="24"/>
              </w:rPr>
              <w:tab/>
            </w:r>
            <w:r w:rsidRPr="00B07DF2">
              <w:rPr>
                <w:rFonts w:cs="Times New Roman"/>
                <w:noProof/>
                <w:webHidden/>
                <w:szCs w:val="24"/>
              </w:rPr>
              <w:fldChar w:fldCharType="begin"/>
            </w:r>
            <w:r w:rsidRPr="00B07DF2">
              <w:rPr>
                <w:rFonts w:cs="Times New Roman"/>
                <w:noProof/>
                <w:webHidden/>
                <w:szCs w:val="24"/>
              </w:rPr>
              <w:instrText xml:space="preserve"> PAGEREF _Toc426728958 \h </w:instrText>
            </w:r>
            <w:r w:rsidRPr="00B07DF2">
              <w:rPr>
                <w:rFonts w:cs="Times New Roman"/>
                <w:noProof/>
                <w:webHidden/>
                <w:szCs w:val="24"/>
              </w:rPr>
            </w:r>
            <w:r w:rsidRPr="00B07DF2">
              <w:rPr>
                <w:rFonts w:cs="Times New Roman"/>
                <w:noProof/>
                <w:webHidden/>
                <w:szCs w:val="24"/>
              </w:rPr>
              <w:fldChar w:fldCharType="separate"/>
            </w:r>
            <w:r w:rsidR="001172C8">
              <w:rPr>
                <w:rFonts w:cs="Times New Roman"/>
                <w:noProof/>
                <w:webHidden/>
                <w:szCs w:val="24"/>
              </w:rPr>
              <w:t>3</w:t>
            </w:r>
            <w:r w:rsidRPr="00B07DF2">
              <w:rPr>
                <w:rFonts w:cs="Times New Roman"/>
                <w:noProof/>
                <w:webHidden/>
                <w:szCs w:val="24"/>
              </w:rPr>
              <w:fldChar w:fldCharType="end"/>
            </w:r>
          </w:hyperlink>
        </w:p>
        <w:p w14:paraId="6FC9468F" w14:textId="7A96CAE0" w:rsidR="005C1936" w:rsidRPr="00B07DF2" w:rsidRDefault="00757256">
          <w:pPr>
            <w:pStyle w:val="TOC1"/>
            <w:tabs>
              <w:tab w:val="right" w:leader="dot" w:pos="8630"/>
            </w:tabs>
            <w:rPr>
              <w:rFonts w:cs="Times New Roman"/>
              <w:noProof/>
              <w:szCs w:val="24"/>
            </w:rPr>
          </w:pPr>
          <w:hyperlink w:anchor="_Toc426728959" w:history="1">
            <w:r w:rsidR="005C1936" w:rsidRPr="00B07DF2">
              <w:rPr>
                <w:rStyle w:val="Hyperlink"/>
                <w:rFonts w:cs="Times New Roman"/>
                <w:noProof/>
                <w:color w:val="auto"/>
                <w:szCs w:val="24"/>
              </w:rPr>
              <w:t>2. Procedures for the Collection of Information</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_Toc426728959 \h </w:instrText>
            </w:r>
            <w:r w:rsidR="005C1936" w:rsidRPr="00B07DF2">
              <w:rPr>
                <w:rFonts w:cs="Times New Roman"/>
                <w:noProof/>
                <w:webHidden/>
                <w:szCs w:val="24"/>
              </w:rPr>
            </w:r>
            <w:r w:rsidR="005C1936" w:rsidRPr="00B07DF2">
              <w:rPr>
                <w:rFonts w:cs="Times New Roman"/>
                <w:noProof/>
                <w:webHidden/>
                <w:szCs w:val="24"/>
              </w:rPr>
              <w:fldChar w:fldCharType="separate"/>
            </w:r>
            <w:r w:rsidR="001172C8">
              <w:rPr>
                <w:rFonts w:cs="Times New Roman"/>
                <w:noProof/>
                <w:webHidden/>
                <w:szCs w:val="24"/>
              </w:rPr>
              <w:t>5</w:t>
            </w:r>
            <w:r w:rsidR="005C1936" w:rsidRPr="00B07DF2">
              <w:rPr>
                <w:rFonts w:cs="Times New Roman"/>
                <w:noProof/>
                <w:webHidden/>
                <w:szCs w:val="24"/>
              </w:rPr>
              <w:fldChar w:fldCharType="end"/>
            </w:r>
          </w:hyperlink>
        </w:p>
        <w:p w14:paraId="17A4CA52" w14:textId="25988B2E" w:rsidR="005C1936" w:rsidRPr="00B07DF2" w:rsidRDefault="00757256">
          <w:pPr>
            <w:pStyle w:val="TOC1"/>
            <w:tabs>
              <w:tab w:val="right" w:leader="dot" w:pos="8630"/>
            </w:tabs>
            <w:rPr>
              <w:rFonts w:cs="Times New Roman"/>
              <w:noProof/>
              <w:szCs w:val="24"/>
            </w:rPr>
          </w:pPr>
          <w:hyperlink w:anchor="_Toc426728960" w:history="1">
            <w:r w:rsidR="005C1936" w:rsidRPr="00B07DF2">
              <w:rPr>
                <w:rStyle w:val="Hyperlink"/>
                <w:rFonts w:cs="Times New Roman"/>
                <w:noProof/>
                <w:color w:val="auto"/>
                <w:szCs w:val="24"/>
              </w:rPr>
              <w:t>3. Methods to Maximize Response Rates and Deal with Non-response</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_Toc426728960 \h </w:instrText>
            </w:r>
            <w:r w:rsidR="005C1936" w:rsidRPr="00B07DF2">
              <w:rPr>
                <w:rFonts w:cs="Times New Roman"/>
                <w:noProof/>
                <w:webHidden/>
                <w:szCs w:val="24"/>
              </w:rPr>
            </w:r>
            <w:r w:rsidR="005C1936" w:rsidRPr="00B07DF2">
              <w:rPr>
                <w:rFonts w:cs="Times New Roman"/>
                <w:noProof/>
                <w:webHidden/>
                <w:szCs w:val="24"/>
              </w:rPr>
              <w:fldChar w:fldCharType="separate"/>
            </w:r>
            <w:r w:rsidR="001172C8">
              <w:rPr>
                <w:rFonts w:cs="Times New Roman"/>
                <w:noProof/>
                <w:webHidden/>
                <w:szCs w:val="24"/>
              </w:rPr>
              <w:t>10</w:t>
            </w:r>
            <w:r w:rsidR="005C1936" w:rsidRPr="00B07DF2">
              <w:rPr>
                <w:rFonts w:cs="Times New Roman"/>
                <w:noProof/>
                <w:webHidden/>
                <w:szCs w:val="24"/>
              </w:rPr>
              <w:fldChar w:fldCharType="end"/>
            </w:r>
          </w:hyperlink>
        </w:p>
        <w:p w14:paraId="27F274B2" w14:textId="61820557" w:rsidR="005C1936" w:rsidRPr="00B07DF2" w:rsidRDefault="00757256">
          <w:pPr>
            <w:pStyle w:val="TOC1"/>
            <w:tabs>
              <w:tab w:val="right" w:leader="dot" w:pos="8630"/>
            </w:tabs>
            <w:rPr>
              <w:rFonts w:cs="Times New Roman"/>
              <w:noProof/>
              <w:szCs w:val="24"/>
            </w:rPr>
          </w:pPr>
          <w:hyperlink w:anchor="_Toc426728961" w:history="1">
            <w:r w:rsidR="005C1936" w:rsidRPr="00B07DF2">
              <w:rPr>
                <w:rStyle w:val="Hyperlink"/>
                <w:rFonts w:cs="Times New Roman"/>
                <w:noProof/>
                <w:color w:val="auto"/>
                <w:szCs w:val="24"/>
              </w:rPr>
              <w:t>4. Tests of Procedures or Methods to be Undertaken</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_Toc426728961 \h </w:instrText>
            </w:r>
            <w:r w:rsidR="005C1936" w:rsidRPr="00B07DF2">
              <w:rPr>
                <w:rFonts w:cs="Times New Roman"/>
                <w:noProof/>
                <w:webHidden/>
                <w:szCs w:val="24"/>
              </w:rPr>
            </w:r>
            <w:r w:rsidR="005C1936" w:rsidRPr="00B07DF2">
              <w:rPr>
                <w:rFonts w:cs="Times New Roman"/>
                <w:noProof/>
                <w:webHidden/>
                <w:szCs w:val="24"/>
              </w:rPr>
              <w:fldChar w:fldCharType="separate"/>
            </w:r>
            <w:r w:rsidR="001172C8">
              <w:rPr>
                <w:rFonts w:cs="Times New Roman"/>
                <w:noProof/>
                <w:webHidden/>
                <w:szCs w:val="24"/>
              </w:rPr>
              <w:t>13</w:t>
            </w:r>
            <w:r w:rsidR="005C1936" w:rsidRPr="00B07DF2">
              <w:rPr>
                <w:rFonts w:cs="Times New Roman"/>
                <w:noProof/>
                <w:webHidden/>
                <w:szCs w:val="24"/>
              </w:rPr>
              <w:fldChar w:fldCharType="end"/>
            </w:r>
          </w:hyperlink>
        </w:p>
        <w:p w14:paraId="1B73A064" w14:textId="57853241" w:rsidR="005C1936" w:rsidRPr="00B07DF2" w:rsidRDefault="00757256">
          <w:pPr>
            <w:pStyle w:val="TOC1"/>
            <w:tabs>
              <w:tab w:val="right" w:leader="dot" w:pos="8630"/>
            </w:tabs>
            <w:rPr>
              <w:rFonts w:cs="Times New Roman"/>
              <w:noProof/>
              <w:szCs w:val="24"/>
            </w:rPr>
          </w:pPr>
          <w:hyperlink w:anchor="_Toc426728962" w:history="1">
            <w:r w:rsidR="005C1936" w:rsidRPr="00B07DF2">
              <w:rPr>
                <w:rStyle w:val="Hyperlink"/>
                <w:rFonts w:cs="Times New Roman"/>
                <w:noProof/>
                <w:color w:val="auto"/>
                <w:szCs w:val="24"/>
              </w:rPr>
              <w:t>5. Individuals Consulted on Statistical Aspects and Individuals Collecting and/or Analyzing Data</w:t>
            </w:r>
            <w:r w:rsidR="005C1936" w:rsidRPr="00B07DF2">
              <w:rPr>
                <w:rFonts w:cs="Times New Roman"/>
                <w:noProof/>
                <w:webHidden/>
                <w:szCs w:val="24"/>
              </w:rPr>
              <w:tab/>
            </w:r>
            <w:r w:rsidR="005C1936" w:rsidRPr="00B07DF2">
              <w:rPr>
                <w:rFonts w:cs="Times New Roman"/>
                <w:noProof/>
                <w:webHidden/>
                <w:szCs w:val="24"/>
              </w:rPr>
              <w:fldChar w:fldCharType="begin"/>
            </w:r>
            <w:r w:rsidR="005C1936" w:rsidRPr="00B07DF2">
              <w:rPr>
                <w:rFonts w:cs="Times New Roman"/>
                <w:noProof/>
                <w:webHidden/>
                <w:szCs w:val="24"/>
              </w:rPr>
              <w:instrText xml:space="preserve"> PAGEREF _Toc426728962 \h </w:instrText>
            </w:r>
            <w:r w:rsidR="005C1936" w:rsidRPr="00B07DF2">
              <w:rPr>
                <w:rFonts w:cs="Times New Roman"/>
                <w:noProof/>
                <w:webHidden/>
                <w:szCs w:val="24"/>
              </w:rPr>
            </w:r>
            <w:r w:rsidR="005C1936" w:rsidRPr="00B07DF2">
              <w:rPr>
                <w:rFonts w:cs="Times New Roman"/>
                <w:noProof/>
                <w:webHidden/>
                <w:szCs w:val="24"/>
              </w:rPr>
              <w:fldChar w:fldCharType="separate"/>
            </w:r>
            <w:r w:rsidR="001172C8">
              <w:rPr>
                <w:rFonts w:cs="Times New Roman"/>
                <w:noProof/>
                <w:webHidden/>
                <w:szCs w:val="24"/>
              </w:rPr>
              <w:t>13</w:t>
            </w:r>
            <w:r w:rsidR="005C1936" w:rsidRPr="00B07DF2">
              <w:rPr>
                <w:rFonts w:cs="Times New Roman"/>
                <w:noProof/>
                <w:webHidden/>
                <w:szCs w:val="24"/>
              </w:rPr>
              <w:fldChar w:fldCharType="end"/>
            </w:r>
          </w:hyperlink>
        </w:p>
        <w:p w14:paraId="3ED80E0F" w14:textId="3DDCD9FF" w:rsidR="005C1936" w:rsidRDefault="005C1936">
          <w:r w:rsidRPr="00387D9D">
            <w:rPr>
              <w:rFonts w:cs="Times New Roman"/>
              <w:b/>
              <w:bCs/>
              <w:noProof/>
              <w:szCs w:val="24"/>
            </w:rPr>
            <w:fldChar w:fldCharType="end"/>
          </w:r>
        </w:p>
      </w:sdtContent>
    </w:sdt>
    <w:p w14:paraId="47562F26" w14:textId="77777777" w:rsidR="005C1936" w:rsidRDefault="005C1936" w:rsidP="005C1936">
      <w:pPr>
        <w:rPr>
          <w:b/>
          <w:szCs w:val="24"/>
        </w:rPr>
      </w:pPr>
    </w:p>
    <w:p w14:paraId="74626222" w14:textId="4DFED082" w:rsidR="00387D9D" w:rsidRPr="00003C8B" w:rsidRDefault="00387D9D" w:rsidP="00387D9D">
      <w:pPr>
        <w:rPr>
          <w:b/>
          <w:szCs w:val="24"/>
        </w:rPr>
      </w:pPr>
      <w:r w:rsidRPr="00003C8B">
        <w:rPr>
          <w:b/>
          <w:szCs w:val="24"/>
        </w:rPr>
        <w:t xml:space="preserve">List of Reference Attachments </w:t>
      </w:r>
      <w:r w:rsidR="00B65647">
        <w:rPr>
          <w:b/>
          <w:szCs w:val="24"/>
        </w:rPr>
        <w:t>*</w:t>
      </w:r>
    </w:p>
    <w:p w14:paraId="49297453" w14:textId="77777777" w:rsidR="00B65647" w:rsidRDefault="00B65647" w:rsidP="00B65647">
      <w:pPr>
        <w:pStyle w:val="ListParagraph"/>
        <w:numPr>
          <w:ilvl w:val="0"/>
          <w:numId w:val="20"/>
        </w:numPr>
        <w:spacing w:after="200" w:line="276" w:lineRule="auto"/>
      </w:pPr>
      <w:r w:rsidRPr="00003C8B">
        <w:t>Authorizing Legislation</w:t>
      </w:r>
    </w:p>
    <w:p w14:paraId="56605F28" w14:textId="77777777" w:rsidR="00B65647" w:rsidRPr="006737F8" w:rsidRDefault="00B65647" w:rsidP="00B65647">
      <w:pPr>
        <w:pStyle w:val="ListParagraph"/>
        <w:numPr>
          <w:ilvl w:val="0"/>
          <w:numId w:val="20"/>
        </w:numPr>
        <w:spacing w:after="200" w:line="276" w:lineRule="auto"/>
      </w:pPr>
      <w:r w:rsidRPr="00003C8B">
        <w:t>60 day Federal Register Notice</w:t>
      </w:r>
    </w:p>
    <w:p w14:paraId="4A2F548D" w14:textId="77777777" w:rsidR="00B65647" w:rsidRPr="00003C8B" w:rsidRDefault="00B65647" w:rsidP="00B65647">
      <w:pPr>
        <w:pStyle w:val="ListParagraph"/>
        <w:numPr>
          <w:ilvl w:val="0"/>
          <w:numId w:val="20"/>
        </w:numPr>
        <w:spacing w:after="200" w:line="276" w:lineRule="auto"/>
      </w:pPr>
      <w:r w:rsidRPr="00003C8B">
        <w:t>Pilot Evaluation Logical Framework</w:t>
      </w:r>
    </w:p>
    <w:p w14:paraId="14CB88F5" w14:textId="77777777" w:rsidR="00B65647" w:rsidRPr="00003C8B" w:rsidRDefault="00B65647" w:rsidP="00B65647">
      <w:pPr>
        <w:pStyle w:val="ListParagraph"/>
        <w:numPr>
          <w:ilvl w:val="0"/>
          <w:numId w:val="20"/>
        </w:numPr>
        <w:spacing w:after="200" w:line="276" w:lineRule="auto"/>
      </w:pPr>
      <w:r w:rsidRPr="00003C8B">
        <w:t xml:space="preserve">Advance </w:t>
      </w:r>
      <w:r>
        <w:t>Letter</w:t>
      </w:r>
      <w:r w:rsidRPr="00003C8B">
        <w:t xml:space="preserve"> </w:t>
      </w:r>
    </w:p>
    <w:p w14:paraId="5F51C969" w14:textId="77777777" w:rsidR="00B65647" w:rsidRDefault="00B65647" w:rsidP="00B65647">
      <w:pPr>
        <w:pStyle w:val="ListParagraph"/>
        <w:numPr>
          <w:ilvl w:val="0"/>
          <w:numId w:val="20"/>
        </w:numPr>
        <w:spacing w:after="200" w:line="276" w:lineRule="auto"/>
      </w:pPr>
      <w:r w:rsidRPr="00003C8B">
        <w:t>Cover Letter – Paper</w:t>
      </w:r>
    </w:p>
    <w:p w14:paraId="5FA8BA01" w14:textId="77777777" w:rsidR="00B65647" w:rsidRPr="00003C8B" w:rsidRDefault="00B65647" w:rsidP="00B65647">
      <w:pPr>
        <w:pStyle w:val="ListParagraph"/>
        <w:numPr>
          <w:ilvl w:val="0"/>
          <w:numId w:val="24"/>
        </w:numPr>
        <w:spacing w:after="200" w:line="276" w:lineRule="auto"/>
      </w:pPr>
      <w:r w:rsidRPr="00003C8B">
        <w:t>Consent Brochure</w:t>
      </w:r>
    </w:p>
    <w:p w14:paraId="66F491AD" w14:textId="77777777" w:rsidR="00B65647" w:rsidRPr="00003C8B" w:rsidRDefault="00B65647" w:rsidP="00B65647">
      <w:pPr>
        <w:pStyle w:val="ListParagraph"/>
        <w:numPr>
          <w:ilvl w:val="0"/>
          <w:numId w:val="24"/>
        </w:numPr>
        <w:spacing w:after="200" w:line="276" w:lineRule="auto"/>
      </w:pPr>
      <w:r w:rsidRPr="00003C8B">
        <w:t>Household</w:t>
      </w:r>
      <w:r>
        <w:t xml:space="preserve"> Survey</w:t>
      </w:r>
      <w:r w:rsidRPr="00003C8B">
        <w:t xml:space="preserve"> –</w:t>
      </w:r>
      <w:r>
        <w:t xml:space="preserve"> </w:t>
      </w:r>
      <w:r w:rsidRPr="00003C8B">
        <w:t xml:space="preserve">Paper </w:t>
      </w:r>
    </w:p>
    <w:p w14:paraId="4F858778" w14:textId="77777777" w:rsidR="00B65647" w:rsidRPr="00003C8B" w:rsidRDefault="00B65647" w:rsidP="00B65647">
      <w:pPr>
        <w:pStyle w:val="ListParagraph"/>
        <w:numPr>
          <w:ilvl w:val="0"/>
          <w:numId w:val="24"/>
        </w:numPr>
        <w:spacing w:after="200" w:line="276" w:lineRule="auto"/>
      </w:pPr>
      <w:r w:rsidRPr="00003C8B">
        <w:t>Household</w:t>
      </w:r>
      <w:r>
        <w:t xml:space="preserve"> Survey </w:t>
      </w:r>
      <w:r w:rsidRPr="00003C8B">
        <w:t>–</w:t>
      </w:r>
      <w:r>
        <w:t xml:space="preserve"> W</w:t>
      </w:r>
      <w:r w:rsidRPr="00003C8B">
        <w:t>eb – Screen Shots</w:t>
      </w:r>
    </w:p>
    <w:p w14:paraId="50AAD677" w14:textId="77777777" w:rsidR="00B65647" w:rsidRPr="00003C8B" w:rsidRDefault="00B65647" w:rsidP="00B65647">
      <w:pPr>
        <w:pStyle w:val="ListParagraph"/>
        <w:numPr>
          <w:ilvl w:val="0"/>
          <w:numId w:val="24"/>
        </w:numPr>
        <w:spacing w:after="200" w:line="276" w:lineRule="auto"/>
      </w:pPr>
      <w:r w:rsidRPr="00003C8B">
        <w:t>Thank you/Reminder Letter</w:t>
      </w:r>
    </w:p>
    <w:p w14:paraId="44F28532" w14:textId="77777777" w:rsidR="00B65647" w:rsidRDefault="00B65647" w:rsidP="00B65647">
      <w:pPr>
        <w:pStyle w:val="ListParagraph"/>
        <w:numPr>
          <w:ilvl w:val="0"/>
          <w:numId w:val="24"/>
        </w:numPr>
        <w:spacing w:after="200" w:line="276" w:lineRule="auto"/>
      </w:pPr>
      <w:r w:rsidRPr="00003C8B">
        <w:t>Replacement Survey Cover Letter</w:t>
      </w:r>
      <w:r>
        <w:t xml:space="preserve"> </w:t>
      </w:r>
      <w:r w:rsidRPr="00003C8B">
        <w:t>– Paper</w:t>
      </w:r>
    </w:p>
    <w:p w14:paraId="26ECB392" w14:textId="77777777" w:rsidR="00B65647" w:rsidRPr="00003C8B" w:rsidRDefault="00B65647" w:rsidP="00B65647">
      <w:pPr>
        <w:pStyle w:val="ListParagraph"/>
        <w:numPr>
          <w:ilvl w:val="0"/>
          <w:numId w:val="25"/>
        </w:numPr>
        <w:spacing w:after="200" w:line="276" w:lineRule="auto"/>
      </w:pPr>
      <w:r w:rsidRPr="00003C8B">
        <w:t>Reminder Phone Script</w:t>
      </w:r>
    </w:p>
    <w:p w14:paraId="61B1AACC" w14:textId="77777777" w:rsidR="00B65647" w:rsidRDefault="00B65647" w:rsidP="00B65647">
      <w:pPr>
        <w:pStyle w:val="ListParagraph"/>
        <w:numPr>
          <w:ilvl w:val="0"/>
          <w:numId w:val="25"/>
        </w:numPr>
        <w:spacing w:after="200" w:line="276" w:lineRule="auto"/>
      </w:pPr>
      <w:r w:rsidRPr="00003C8B">
        <w:t>Final Appeal Letter</w:t>
      </w:r>
    </w:p>
    <w:p w14:paraId="77F24E3D" w14:textId="77777777" w:rsidR="00B65647" w:rsidRPr="00003C8B" w:rsidRDefault="00B65647" w:rsidP="00B65647">
      <w:pPr>
        <w:pStyle w:val="ListParagraph"/>
        <w:numPr>
          <w:ilvl w:val="0"/>
          <w:numId w:val="25"/>
        </w:numPr>
        <w:spacing w:after="200" w:line="276" w:lineRule="auto"/>
      </w:pPr>
      <w:r w:rsidRPr="00003C8B">
        <w:t>IRB Approval Continuation</w:t>
      </w:r>
    </w:p>
    <w:p w14:paraId="25B07D36" w14:textId="77777777" w:rsidR="00B65647" w:rsidRPr="00003C8B" w:rsidRDefault="00B65647" w:rsidP="00B65647">
      <w:pPr>
        <w:pStyle w:val="ListParagraph"/>
        <w:numPr>
          <w:ilvl w:val="0"/>
          <w:numId w:val="25"/>
        </w:numPr>
        <w:spacing w:after="200" w:line="276" w:lineRule="auto"/>
      </w:pPr>
      <w:r w:rsidRPr="00003C8B">
        <w:t>L</w:t>
      </w:r>
      <w:r>
        <w:t>ow Pressure Event Form</w:t>
      </w:r>
    </w:p>
    <w:p w14:paraId="7EC04E9D" w14:textId="77777777" w:rsidR="00B65647" w:rsidRDefault="00B65647" w:rsidP="00B65647">
      <w:pPr>
        <w:pStyle w:val="ListParagraph"/>
        <w:numPr>
          <w:ilvl w:val="0"/>
          <w:numId w:val="25"/>
        </w:numPr>
        <w:spacing w:after="200" w:line="276" w:lineRule="auto"/>
      </w:pPr>
      <w:r w:rsidRPr="00003C8B">
        <w:t>Utilit</w:t>
      </w:r>
      <w:r>
        <w:t xml:space="preserve">y Customer Information </w:t>
      </w:r>
    </w:p>
    <w:p w14:paraId="2C7B689F" w14:textId="5DDFCA2D" w:rsidR="005C1936" w:rsidRDefault="00B65647" w:rsidP="00B07DF2">
      <w:pPr>
        <w:rPr>
          <w:b/>
        </w:rPr>
      </w:pPr>
      <w:r>
        <w:rPr>
          <w:b/>
        </w:rPr>
        <w:t>*Attachments F and L are no longer used</w:t>
      </w:r>
      <w:r w:rsidR="005C1936">
        <w:rPr>
          <w:b/>
        </w:rPr>
        <w:br w:type="page"/>
      </w:r>
    </w:p>
    <w:p w14:paraId="7525AF0F" w14:textId="3C15D439" w:rsidR="0042207C" w:rsidRPr="007F7B1D" w:rsidRDefault="0042207C" w:rsidP="0042207C">
      <w:pPr>
        <w:rPr>
          <w:b/>
        </w:rPr>
      </w:pPr>
      <w:r w:rsidRPr="007F7B1D">
        <w:rPr>
          <w:b/>
        </w:rPr>
        <w:lastRenderedPageBreak/>
        <w:t>Epidemiologic Study of Health Effects Associated With Low Pressure Events in Drinking Water Distribution Systems</w:t>
      </w:r>
    </w:p>
    <w:p w14:paraId="32AE1EBE" w14:textId="77777777" w:rsidR="007352D1" w:rsidRDefault="007352D1" w:rsidP="0042207C">
      <w:pPr>
        <w:rPr>
          <w:b/>
        </w:rPr>
      </w:pPr>
    </w:p>
    <w:p w14:paraId="11FB352C" w14:textId="77777777" w:rsidR="0042207C" w:rsidRPr="007F7B1D" w:rsidRDefault="0042207C" w:rsidP="0042207C">
      <w:r w:rsidRPr="007F7B1D">
        <w:rPr>
          <w:b/>
          <w:u w:val="single"/>
        </w:rPr>
        <w:t>B. Collections of Information Employing Statistical Methods</w:t>
      </w:r>
    </w:p>
    <w:p w14:paraId="6D339779" w14:textId="77777777" w:rsidR="0042207C" w:rsidRPr="007F7B1D" w:rsidRDefault="0042207C" w:rsidP="0042207C"/>
    <w:p w14:paraId="6F46E987" w14:textId="77777777" w:rsidR="0042207C" w:rsidRPr="00387D9D" w:rsidRDefault="0042207C" w:rsidP="00B3104E">
      <w:pPr>
        <w:pStyle w:val="Heading1"/>
      </w:pPr>
      <w:bookmarkStart w:id="1" w:name="_Toc426728958"/>
      <w:r w:rsidRPr="005C1936">
        <w:t xml:space="preserve">1. Respondent Universe and </w:t>
      </w:r>
      <w:r w:rsidRPr="00387D9D">
        <w:t>Sampling Methods</w:t>
      </w:r>
      <w:bookmarkEnd w:id="1"/>
    </w:p>
    <w:p w14:paraId="700217A8" w14:textId="072F0C5E" w:rsidR="0042207C" w:rsidRPr="007F7B1D" w:rsidRDefault="0042207C" w:rsidP="0042207C">
      <w:r w:rsidRPr="007F7B1D">
        <w:t xml:space="preserve">We </w:t>
      </w:r>
      <w:r w:rsidR="00A10258">
        <w:t xml:space="preserve">are conducting </w:t>
      </w:r>
      <w:r w:rsidRPr="007F7B1D">
        <w:t xml:space="preserve">a </w:t>
      </w:r>
      <w:r>
        <w:t xml:space="preserve">prospective </w:t>
      </w:r>
      <w:r w:rsidRPr="007F7B1D">
        <w:t xml:space="preserve">cohort study among households that receive water from </w:t>
      </w:r>
      <w:r w:rsidR="001D039B">
        <w:t>five</w:t>
      </w:r>
      <w:r w:rsidR="001D039B" w:rsidRPr="007F7B1D">
        <w:t xml:space="preserve"> </w:t>
      </w:r>
      <w:r w:rsidRPr="007F7B1D">
        <w:t xml:space="preserve">water utilities. </w:t>
      </w:r>
      <w:r w:rsidR="00F13469" w:rsidRPr="00F13469">
        <w:rPr>
          <w:highlight w:val="yellow"/>
        </w:rPr>
        <w:t>We also plan to recruit one to two more utilities to provide data for this study</w:t>
      </w:r>
      <w:r w:rsidR="00F13469">
        <w:t xml:space="preserve">.  </w:t>
      </w:r>
      <w:r w:rsidRPr="007F7B1D">
        <w:t>For each low pressure event, the water utility provide</w:t>
      </w:r>
      <w:r w:rsidR="00A10258">
        <w:t>s</w:t>
      </w:r>
      <w:r w:rsidRPr="007F7B1D">
        <w:t xml:space="preserve"> the study team with </w:t>
      </w:r>
      <w:r>
        <w:t>contact information for utility customers</w:t>
      </w:r>
      <w:r w:rsidRPr="007F7B1D">
        <w:t xml:space="preserve"> from an exposed and an unexposed area. From </w:t>
      </w:r>
      <w:r w:rsidR="004A5F9A">
        <w:t>the utility company</w:t>
      </w:r>
      <w:r w:rsidR="004A5F9A" w:rsidRPr="007F7B1D">
        <w:t xml:space="preserve"> </w:t>
      </w:r>
      <w:r w:rsidRPr="007F7B1D">
        <w:t>list</w:t>
      </w:r>
      <w:r w:rsidR="004A5F9A">
        <w:t>s</w:t>
      </w:r>
      <w:r w:rsidR="00F471B2">
        <w:t>,</w:t>
      </w:r>
      <w:r w:rsidRPr="007F7B1D">
        <w:t xml:space="preserve"> CDC randomly select</w:t>
      </w:r>
      <w:r w:rsidR="001D039B">
        <w:t>s</w:t>
      </w:r>
      <w:r w:rsidRPr="007F7B1D">
        <w:t xml:space="preserve"> a number of exposed and unexposed households to be sent the survey. </w:t>
      </w:r>
      <w:r w:rsidR="004A5F9A">
        <w:t xml:space="preserve">For each low pressure event (LPE), unexposed and exposed households </w:t>
      </w:r>
      <w:r w:rsidR="00AF3C40">
        <w:t>are</w:t>
      </w:r>
      <w:r w:rsidR="004A5F9A">
        <w:t xml:space="preserve"> recruited in a 2:1 ratio. Sample size calculations are based on a matched (at the </w:t>
      </w:r>
      <w:r w:rsidR="007A7752">
        <w:t>LPE</w:t>
      </w:r>
      <w:r w:rsidR="004A5F9A">
        <w:t xml:space="preserve"> level) design, thus </w:t>
      </w:r>
      <w:r w:rsidR="007A7752">
        <w:t xml:space="preserve">calculations depend on </w:t>
      </w:r>
      <w:r w:rsidR="004A5F9A">
        <w:t xml:space="preserve">the number of LPEs </w:t>
      </w:r>
      <w:r w:rsidR="007A7752">
        <w:t xml:space="preserve">and the number of exposed and unexposed households per LPE. </w:t>
      </w:r>
      <w:r w:rsidR="007D7716">
        <w:t>Based on calculations outlined below, w</w:t>
      </w:r>
      <w:r w:rsidR="00482C93">
        <w:t xml:space="preserve">e aim to include </w:t>
      </w:r>
      <w:r w:rsidR="006931E9" w:rsidRPr="00B65647">
        <w:rPr>
          <w:highlight w:val="yellow"/>
        </w:rPr>
        <w:t>79</w:t>
      </w:r>
      <w:r w:rsidR="00482C93">
        <w:t xml:space="preserve"> LPEs in the multi-site study</w:t>
      </w:r>
      <w:r w:rsidR="00BC78B0">
        <w:t xml:space="preserve">, to obtain information from </w:t>
      </w:r>
      <w:r w:rsidR="006931E9">
        <w:rPr>
          <w:highlight w:val="yellow"/>
        </w:rPr>
        <w:t>3,160</w:t>
      </w:r>
      <w:r w:rsidR="00BC78B0" w:rsidRPr="00E436AE">
        <w:rPr>
          <w:highlight w:val="yellow"/>
        </w:rPr>
        <w:t xml:space="preserve"> households (</w:t>
      </w:r>
      <w:r w:rsidR="002D44B3">
        <w:rPr>
          <w:highlight w:val="yellow"/>
        </w:rPr>
        <w:t>1,053</w:t>
      </w:r>
      <w:r w:rsidR="00BC78B0" w:rsidRPr="00E436AE">
        <w:rPr>
          <w:highlight w:val="yellow"/>
        </w:rPr>
        <w:t xml:space="preserve"> exposed and </w:t>
      </w:r>
      <w:r w:rsidR="002D44B3">
        <w:rPr>
          <w:highlight w:val="yellow"/>
        </w:rPr>
        <w:t xml:space="preserve">2,107 </w:t>
      </w:r>
      <w:r w:rsidR="00BC78B0" w:rsidRPr="00E436AE">
        <w:rPr>
          <w:highlight w:val="yellow"/>
        </w:rPr>
        <w:t>unexposed).</w:t>
      </w:r>
      <w:r w:rsidR="00482C93" w:rsidRPr="00E436AE">
        <w:rPr>
          <w:highlight w:val="yellow"/>
        </w:rPr>
        <w:t xml:space="preserve"> </w:t>
      </w:r>
      <w:r w:rsidRPr="00E436AE">
        <w:rPr>
          <w:highlight w:val="yellow"/>
        </w:rPr>
        <w:t xml:space="preserve">Based on an anticipated </w:t>
      </w:r>
      <w:r w:rsidR="00E033B5">
        <w:rPr>
          <w:highlight w:val="yellow"/>
        </w:rPr>
        <w:t>40</w:t>
      </w:r>
      <w:r w:rsidRPr="00E436AE">
        <w:rPr>
          <w:highlight w:val="yellow"/>
        </w:rPr>
        <w:t xml:space="preserve">% response rate, we will </w:t>
      </w:r>
      <w:r w:rsidR="00B976A4" w:rsidRPr="00E436AE">
        <w:rPr>
          <w:highlight w:val="yellow"/>
        </w:rPr>
        <w:t xml:space="preserve">send surveys to </w:t>
      </w:r>
      <w:r w:rsidRPr="00E436AE">
        <w:rPr>
          <w:highlight w:val="yellow"/>
        </w:rPr>
        <w:t xml:space="preserve">approximately </w:t>
      </w:r>
      <w:r w:rsidR="002D44B3">
        <w:rPr>
          <w:highlight w:val="yellow"/>
        </w:rPr>
        <w:t>7,900</w:t>
      </w:r>
      <w:r w:rsidRPr="00E436AE">
        <w:rPr>
          <w:highlight w:val="yellow"/>
        </w:rPr>
        <w:t xml:space="preserve"> households (</w:t>
      </w:r>
      <w:r w:rsidR="002D44B3">
        <w:rPr>
          <w:highlight w:val="yellow"/>
        </w:rPr>
        <w:t>3,160</w:t>
      </w:r>
      <w:r w:rsidRPr="00E436AE">
        <w:rPr>
          <w:highlight w:val="yellow"/>
        </w:rPr>
        <w:t>/0.</w:t>
      </w:r>
      <w:r w:rsidR="00E033B5">
        <w:rPr>
          <w:highlight w:val="yellow"/>
        </w:rPr>
        <w:t>4</w:t>
      </w:r>
      <w:r w:rsidR="00E033B5" w:rsidRPr="00E436AE">
        <w:rPr>
          <w:highlight w:val="yellow"/>
        </w:rPr>
        <w:t>0</w:t>
      </w:r>
      <w:r w:rsidRPr="00E436AE">
        <w:rPr>
          <w:highlight w:val="yellow"/>
        </w:rPr>
        <w:t>)</w:t>
      </w:r>
      <w:r w:rsidRPr="007F7B1D">
        <w:t xml:space="preserve"> during the time period of the study. We </w:t>
      </w:r>
      <w:r w:rsidR="00AF3C40">
        <w:t>are</w:t>
      </w:r>
      <w:r w:rsidR="00AF3C40" w:rsidRPr="007F7B1D">
        <w:t xml:space="preserve"> </w:t>
      </w:r>
      <w:r w:rsidRPr="007F7B1D">
        <w:t xml:space="preserve">not contacting persons younger than 18 years of age. </w:t>
      </w:r>
      <w:r w:rsidR="00482C93">
        <w:t>The household respondent</w:t>
      </w:r>
      <w:r w:rsidR="00AF3C40">
        <w:t>s</w:t>
      </w:r>
      <w:r w:rsidR="00482C93">
        <w:t xml:space="preserve"> provide information on exposures and illnesses among all household members, and we assume there </w:t>
      </w:r>
      <w:r w:rsidR="00AF3C40">
        <w:t>are</w:t>
      </w:r>
      <w:r w:rsidR="00482C93">
        <w:t xml:space="preserve"> two individuals per household, on average. </w:t>
      </w:r>
      <w:r w:rsidR="00BC78B0">
        <w:t>Thus</w:t>
      </w:r>
      <w:r w:rsidR="00A752B8">
        <w:t>,</w:t>
      </w:r>
      <w:r w:rsidR="00BC78B0">
        <w:t xml:space="preserve"> we should have data on </w:t>
      </w:r>
      <w:r w:rsidR="002D44B3">
        <w:rPr>
          <w:highlight w:val="yellow"/>
        </w:rPr>
        <w:t xml:space="preserve">6,320 </w:t>
      </w:r>
      <w:r w:rsidR="00482C93" w:rsidRPr="00E436AE">
        <w:rPr>
          <w:highlight w:val="yellow"/>
        </w:rPr>
        <w:t>persons</w:t>
      </w:r>
      <w:r w:rsidR="00615677">
        <w:t xml:space="preserve"> from the multi-site study</w:t>
      </w:r>
      <w:r w:rsidR="007352D1">
        <w:t>.</w:t>
      </w:r>
    </w:p>
    <w:p w14:paraId="1B526A0A" w14:textId="77777777" w:rsidR="0042207C" w:rsidRPr="007F7B1D" w:rsidRDefault="0042207C" w:rsidP="0042207C"/>
    <w:p w14:paraId="43BACB96" w14:textId="1D93C7AD" w:rsidR="0042207C" w:rsidRPr="007F7B1D" w:rsidRDefault="0042207C" w:rsidP="0042207C">
      <w:r w:rsidRPr="007F7B1D">
        <w:t xml:space="preserve">The potential universe of respondents for this study include all households that receive water from the </w:t>
      </w:r>
      <w:r w:rsidR="007352D1" w:rsidRPr="00B65647">
        <w:rPr>
          <w:highlight w:val="yellow"/>
        </w:rPr>
        <w:t>six</w:t>
      </w:r>
      <w:r w:rsidR="004C01F8" w:rsidRPr="00B65647">
        <w:rPr>
          <w:highlight w:val="yellow"/>
        </w:rPr>
        <w:t xml:space="preserve"> to seven</w:t>
      </w:r>
      <w:r w:rsidR="007352D1" w:rsidRPr="007F7B1D">
        <w:t xml:space="preserve"> </w:t>
      </w:r>
      <w:r w:rsidRPr="007F7B1D">
        <w:t xml:space="preserve">participating water utilities. Potential survey respondents have </w:t>
      </w:r>
      <w:r>
        <w:t>two</w:t>
      </w:r>
      <w:r w:rsidRPr="007F7B1D">
        <w:t xml:space="preserve"> options for responding to the survey: paper surveys filled out by study respondents and returned via postal mail to CDC study staff; and web-based surveys filled out by respondents who fill in the study survey responses via a password-protected website housed at CDC</w:t>
      </w:r>
      <w:r w:rsidR="007352D1">
        <w:t xml:space="preserve">. </w:t>
      </w:r>
    </w:p>
    <w:p w14:paraId="70211E0B" w14:textId="77777777" w:rsidR="0042207C" w:rsidRPr="007F7B1D" w:rsidRDefault="0042207C" w:rsidP="0042207C"/>
    <w:p w14:paraId="418A830F" w14:textId="7D2FE115" w:rsidR="00DC4DB6" w:rsidRDefault="0042207C" w:rsidP="005032AE">
      <w:pPr>
        <w:rPr>
          <w:rFonts w:cs="Times New Roman"/>
          <w:szCs w:val="24"/>
        </w:rPr>
      </w:pPr>
      <w:r>
        <w:t>We anticipate a</w:t>
      </w:r>
      <w:r w:rsidR="00E033B5">
        <w:t xml:space="preserve"> continued response rate of</w:t>
      </w:r>
      <w:r>
        <w:t xml:space="preserve"> </w:t>
      </w:r>
      <w:r w:rsidR="00E033B5">
        <w:t>40</w:t>
      </w:r>
      <w:r>
        <w:t>%</w:t>
      </w:r>
      <w:r w:rsidRPr="007F7B1D">
        <w:t xml:space="preserve">. </w:t>
      </w:r>
      <w:r w:rsidR="00907752">
        <w:t xml:space="preserve">One </w:t>
      </w:r>
      <w:r w:rsidR="00615677" w:rsidRPr="007F7B1D">
        <w:rPr>
          <w:bCs/>
        </w:rPr>
        <w:t>recent stud</w:t>
      </w:r>
      <w:r w:rsidR="00907752">
        <w:rPr>
          <w:bCs/>
        </w:rPr>
        <w:t>y</w:t>
      </w:r>
      <w:r w:rsidR="00615677" w:rsidRPr="007F7B1D">
        <w:rPr>
          <w:bCs/>
        </w:rPr>
        <w:t xml:space="preserve"> </w:t>
      </w:r>
      <w:r w:rsidR="00615677">
        <w:rPr>
          <w:bCs/>
        </w:rPr>
        <w:t xml:space="preserve">related to drinking water </w:t>
      </w:r>
      <w:r w:rsidR="00615677" w:rsidRPr="007F7B1D">
        <w:rPr>
          <w:bCs/>
        </w:rPr>
        <w:t>conducted in the U.S.</w:t>
      </w:r>
      <w:r w:rsidRPr="007F7B1D">
        <w:rPr>
          <w:bCs/>
        </w:rPr>
        <w:t xml:space="preserve"> </w:t>
      </w:r>
      <w:r w:rsidR="00615677">
        <w:rPr>
          <w:bCs/>
        </w:rPr>
        <w:t xml:space="preserve">had </w:t>
      </w:r>
      <w:r w:rsidR="00907752">
        <w:rPr>
          <w:bCs/>
        </w:rPr>
        <w:t xml:space="preserve">a </w:t>
      </w:r>
      <w:r w:rsidR="00615677">
        <w:rPr>
          <w:bCs/>
        </w:rPr>
        <w:t xml:space="preserve">lower </w:t>
      </w:r>
      <w:r w:rsidRPr="007F7B1D">
        <w:rPr>
          <w:bCs/>
        </w:rPr>
        <w:t>response rate</w:t>
      </w:r>
      <w:r w:rsidR="009E7C24">
        <w:rPr>
          <w:bCs/>
        </w:rPr>
        <w:t xml:space="preserve"> </w:t>
      </w:r>
      <w:r w:rsidR="00615677">
        <w:rPr>
          <w:bCs/>
        </w:rPr>
        <w:t xml:space="preserve">(33% </w:t>
      </w:r>
      <w:r w:rsidRPr="007F7B1D">
        <w:rPr>
          <w:bCs/>
        </w:rPr>
        <w:t xml:space="preserve">see </w:t>
      </w:r>
      <w:r w:rsidRPr="00176FF5">
        <w:rPr>
          <w:bCs/>
        </w:rPr>
        <w:t xml:space="preserve">Ailes et al. </w:t>
      </w:r>
      <w:r w:rsidRPr="007F7B1D">
        <w:rPr>
          <w:bCs/>
        </w:rPr>
        <w:t xml:space="preserve">in Table B.1.1). </w:t>
      </w:r>
      <w:r w:rsidR="003A27D8">
        <w:rPr>
          <w:bCs/>
        </w:rPr>
        <w:t>In order to increase the anticipated respo</w:t>
      </w:r>
      <w:r w:rsidR="005032AE">
        <w:rPr>
          <w:bCs/>
        </w:rPr>
        <w:t xml:space="preserve">nse rate </w:t>
      </w:r>
      <w:r w:rsidR="00615677">
        <w:rPr>
          <w:bCs/>
        </w:rPr>
        <w:t xml:space="preserve">for this study, </w:t>
      </w:r>
      <w:r w:rsidR="005032AE">
        <w:rPr>
          <w:bCs/>
        </w:rPr>
        <w:t xml:space="preserve">we </w:t>
      </w:r>
      <w:r w:rsidR="003A27D8">
        <w:rPr>
          <w:bCs/>
        </w:rPr>
        <w:t xml:space="preserve">incorporated aspects of the </w:t>
      </w:r>
      <w:r w:rsidR="003A27D8">
        <w:rPr>
          <w:rFonts w:cs="Times New Roman"/>
          <w:szCs w:val="24"/>
        </w:rPr>
        <w:t>Dillman Tailored Design Method.</w:t>
      </w:r>
      <w:r w:rsidR="00DC4DB6">
        <w:rPr>
          <w:rFonts w:cs="Times New Roman"/>
          <w:szCs w:val="24"/>
        </w:rPr>
        <w:t xml:space="preserve"> Special attention was given to the presentation and wording of the survey and consent materials.</w:t>
      </w:r>
      <w:r w:rsidR="00DA1549">
        <w:rPr>
          <w:rFonts w:cs="Times New Roman"/>
          <w:szCs w:val="24"/>
        </w:rPr>
        <w:t xml:space="preserve"> To encourage participation by fostering a social exchange relationship, we include a token gift of a refrigerator magnet calen</w:t>
      </w:r>
      <w:r w:rsidR="003D1B6C">
        <w:rPr>
          <w:rFonts w:cs="Times New Roman"/>
          <w:szCs w:val="24"/>
        </w:rPr>
        <w:t>dar that</w:t>
      </w:r>
      <w:r w:rsidR="00DA1549">
        <w:rPr>
          <w:rFonts w:cs="Times New Roman"/>
          <w:szCs w:val="24"/>
        </w:rPr>
        <w:t xml:space="preserve"> highlight</w:t>
      </w:r>
      <w:r w:rsidR="003D1B6C">
        <w:rPr>
          <w:rFonts w:cs="Times New Roman"/>
          <w:szCs w:val="24"/>
        </w:rPr>
        <w:t>s</w:t>
      </w:r>
      <w:r w:rsidR="00DA1549">
        <w:rPr>
          <w:rFonts w:cs="Times New Roman"/>
          <w:szCs w:val="24"/>
        </w:rPr>
        <w:t xml:space="preserve"> the </w:t>
      </w:r>
      <w:r w:rsidR="009B0738">
        <w:rPr>
          <w:rFonts w:cs="Times New Roman"/>
          <w:szCs w:val="24"/>
        </w:rPr>
        <w:t>two</w:t>
      </w:r>
      <w:r w:rsidR="00DA1549">
        <w:rPr>
          <w:rFonts w:cs="Times New Roman"/>
          <w:szCs w:val="24"/>
        </w:rPr>
        <w:t xml:space="preserve"> week period of interest for the </w:t>
      </w:r>
      <w:r w:rsidR="009B0738">
        <w:rPr>
          <w:rFonts w:cs="Times New Roman"/>
          <w:szCs w:val="24"/>
        </w:rPr>
        <w:t>survey</w:t>
      </w:r>
      <w:r w:rsidR="003D1B6C">
        <w:rPr>
          <w:rFonts w:cs="Times New Roman"/>
          <w:szCs w:val="24"/>
        </w:rPr>
        <w:t>.</w:t>
      </w:r>
      <w:r w:rsidR="00DA1549">
        <w:rPr>
          <w:rFonts w:cs="Times New Roman"/>
          <w:szCs w:val="24"/>
        </w:rPr>
        <w:t xml:space="preserve"> </w:t>
      </w:r>
      <w:r w:rsidR="00696734">
        <w:rPr>
          <w:rFonts w:cs="Times New Roman"/>
          <w:szCs w:val="24"/>
        </w:rPr>
        <w:t xml:space="preserve">To further foster a social exchange relationship, we include a handwritten post-it note in the second survey mailing. </w:t>
      </w:r>
      <w:r w:rsidR="009B0738">
        <w:rPr>
          <w:rFonts w:cs="Times New Roman"/>
          <w:szCs w:val="24"/>
        </w:rPr>
        <w:t>Further, based on results from our pilot study, we estimate that 60% of individuals who respond will use the postal version of the survey, and 40% will respond via the web based version.</w:t>
      </w:r>
    </w:p>
    <w:p w14:paraId="295B01C0" w14:textId="77777777" w:rsidR="0042207C" w:rsidRDefault="0042207C" w:rsidP="00BD5AC5">
      <w:pPr>
        <w:rPr>
          <w:b/>
          <w:bCs/>
        </w:rPr>
      </w:pPr>
    </w:p>
    <w:p w14:paraId="235EF686" w14:textId="77777777" w:rsidR="0042207C" w:rsidRPr="00794868" w:rsidRDefault="0042207C" w:rsidP="0042207C">
      <w:pPr>
        <w:ind w:left="-720"/>
        <w:rPr>
          <w:bCs/>
          <w:i/>
        </w:rPr>
      </w:pPr>
      <w:r w:rsidRPr="00794868">
        <w:rPr>
          <w:bCs/>
          <w:i/>
        </w:rPr>
        <w:t xml:space="preserve">Table B.1.1 – Survey Response Rates </w:t>
      </w:r>
    </w:p>
    <w:tbl>
      <w:tblPr>
        <w:tblW w:w="10350" w:type="dxa"/>
        <w:tblInd w:w="-691" w:type="dxa"/>
        <w:tblLayout w:type="fixed"/>
        <w:tblCellMar>
          <w:left w:w="29" w:type="dxa"/>
          <w:right w:w="29" w:type="dxa"/>
        </w:tblCellMar>
        <w:tblLook w:val="04A0" w:firstRow="1" w:lastRow="0" w:firstColumn="1" w:lastColumn="0" w:noHBand="0" w:noVBand="1"/>
      </w:tblPr>
      <w:tblGrid>
        <w:gridCol w:w="1440"/>
        <w:gridCol w:w="1170"/>
        <w:gridCol w:w="1620"/>
        <w:gridCol w:w="3060"/>
        <w:gridCol w:w="821"/>
        <w:gridCol w:w="720"/>
        <w:gridCol w:w="1519"/>
      </w:tblGrid>
      <w:tr w:rsidR="0042207C" w:rsidRPr="007F7B1D" w14:paraId="6A3C5638" w14:textId="77777777" w:rsidTr="00BD2C56">
        <w:trPr>
          <w:trHeight w:val="288"/>
        </w:trPr>
        <w:tc>
          <w:tcPr>
            <w:tcW w:w="1440" w:type="dxa"/>
            <w:vMerge w:val="restart"/>
            <w:tcBorders>
              <w:top w:val="single" w:sz="4" w:space="0" w:color="auto"/>
              <w:left w:val="nil"/>
              <w:bottom w:val="nil"/>
              <w:right w:val="nil"/>
            </w:tcBorders>
            <w:shd w:val="clear" w:color="auto" w:fill="auto"/>
            <w:hideMark/>
          </w:tcPr>
          <w:p w14:paraId="0D242902" w14:textId="77777777" w:rsidR="0042207C" w:rsidRPr="007F7B1D" w:rsidRDefault="0042207C" w:rsidP="00BD2C56">
            <w:pPr>
              <w:rPr>
                <w:b/>
                <w:bCs/>
              </w:rPr>
            </w:pPr>
            <w:r>
              <w:rPr>
                <w:b/>
                <w:bCs/>
              </w:rPr>
              <w:t>First a</w:t>
            </w:r>
            <w:r w:rsidRPr="007F7B1D">
              <w:rPr>
                <w:b/>
                <w:bCs/>
              </w:rPr>
              <w:t>uthor (country)</w:t>
            </w:r>
          </w:p>
        </w:tc>
        <w:tc>
          <w:tcPr>
            <w:tcW w:w="1170" w:type="dxa"/>
            <w:vMerge w:val="restart"/>
            <w:tcBorders>
              <w:top w:val="single" w:sz="4" w:space="0" w:color="auto"/>
              <w:left w:val="nil"/>
              <w:bottom w:val="nil"/>
              <w:right w:val="nil"/>
            </w:tcBorders>
            <w:shd w:val="clear" w:color="auto" w:fill="auto"/>
            <w:hideMark/>
          </w:tcPr>
          <w:p w14:paraId="3F45D94A" w14:textId="77777777" w:rsidR="0042207C" w:rsidRPr="007F7B1D" w:rsidRDefault="0042207C" w:rsidP="00BD2C56">
            <w:pPr>
              <w:rPr>
                <w:b/>
                <w:bCs/>
              </w:rPr>
            </w:pPr>
            <w:r w:rsidRPr="007F7B1D">
              <w:rPr>
                <w:b/>
                <w:bCs/>
              </w:rPr>
              <w:t>Year</w:t>
            </w:r>
            <w:r>
              <w:rPr>
                <w:b/>
                <w:bCs/>
              </w:rPr>
              <w:t xml:space="preserve"> of study</w:t>
            </w:r>
          </w:p>
        </w:tc>
        <w:tc>
          <w:tcPr>
            <w:tcW w:w="1620" w:type="dxa"/>
            <w:vMerge w:val="restart"/>
            <w:tcBorders>
              <w:top w:val="single" w:sz="4" w:space="0" w:color="auto"/>
              <w:left w:val="nil"/>
              <w:bottom w:val="nil"/>
              <w:right w:val="nil"/>
            </w:tcBorders>
            <w:shd w:val="clear" w:color="auto" w:fill="auto"/>
            <w:hideMark/>
          </w:tcPr>
          <w:p w14:paraId="75ADC21F" w14:textId="77777777" w:rsidR="0042207C" w:rsidRPr="007F7B1D" w:rsidRDefault="0042207C" w:rsidP="00BD2C56">
            <w:pPr>
              <w:rPr>
                <w:b/>
                <w:bCs/>
              </w:rPr>
            </w:pPr>
            <w:r w:rsidRPr="007F7B1D">
              <w:rPr>
                <w:b/>
                <w:bCs/>
              </w:rPr>
              <w:t>Survey methods</w:t>
            </w:r>
          </w:p>
        </w:tc>
        <w:tc>
          <w:tcPr>
            <w:tcW w:w="3060" w:type="dxa"/>
            <w:vMerge w:val="restart"/>
            <w:tcBorders>
              <w:top w:val="single" w:sz="4" w:space="0" w:color="auto"/>
              <w:left w:val="nil"/>
              <w:bottom w:val="nil"/>
              <w:right w:val="nil"/>
            </w:tcBorders>
            <w:shd w:val="clear" w:color="auto" w:fill="auto"/>
            <w:hideMark/>
          </w:tcPr>
          <w:p w14:paraId="25FD2217" w14:textId="77777777" w:rsidR="0042207C" w:rsidRPr="007F7B1D" w:rsidRDefault="0042207C" w:rsidP="00BD2C56">
            <w:pPr>
              <w:rPr>
                <w:b/>
                <w:bCs/>
              </w:rPr>
            </w:pPr>
            <w:r w:rsidRPr="007F7B1D">
              <w:rPr>
                <w:b/>
                <w:bCs/>
              </w:rPr>
              <w:t>Overall Response Rate</w:t>
            </w:r>
          </w:p>
        </w:tc>
        <w:tc>
          <w:tcPr>
            <w:tcW w:w="3060" w:type="dxa"/>
            <w:gridSpan w:val="3"/>
            <w:tcBorders>
              <w:top w:val="single" w:sz="4" w:space="0" w:color="auto"/>
              <w:left w:val="nil"/>
              <w:bottom w:val="nil"/>
              <w:right w:val="nil"/>
            </w:tcBorders>
            <w:shd w:val="clear" w:color="auto" w:fill="auto"/>
            <w:hideMark/>
          </w:tcPr>
          <w:p w14:paraId="7B118586" w14:textId="77777777" w:rsidR="0042207C" w:rsidRPr="007F7B1D" w:rsidRDefault="0042207C" w:rsidP="00BD2C56">
            <w:pPr>
              <w:jc w:val="center"/>
              <w:rPr>
                <w:b/>
                <w:bCs/>
              </w:rPr>
            </w:pPr>
            <w:r w:rsidRPr="007F7B1D">
              <w:rPr>
                <w:b/>
                <w:bCs/>
              </w:rPr>
              <w:t>Proportion Responding via:</w:t>
            </w:r>
          </w:p>
        </w:tc>
      </w:tr>
      <w:tr w:rsidR="0042207C" w:rsidRPr="007F7B1D" w14:paraId="2FD745A9" w14:textId="77777777" w:rsidTr="00BD2C56">
        <w:trPr>
          <w:trHeight w:val="300"/>
        </w:trPr>
        <w:tc>
          <w:tcPr>
            <w:tcW w:w="1440" w:type="dxa"/>
            <w:vMerge/>
            <w:tcBorders>
              <w:top w:val="nil"/>
              <w:left w:val="nil"/>
              <w:bottom w:val="single" w:sz="4" w:space="0" w:color="auto"/>
              <w:right w:val="nil"/>
            </w:tcBorders>
            <w:vAlign w:val="center"/>
            <w:hideMark/>
          </w:tcPr>
          <w:p w14:paraId="27C49BF4" w14:textId="77777777" w:rsidR="0042207C" w:rsidRPr="007F7B1D" w:rsidRDefault="0042207C" w:rsidP="00BD2C56">
            <w:pPr>
              <w:rPr>
                <w:b/>
                <w:bCs/>
              </w:rPr>
            </w:pPr>
          </w:p>
        </w:tc>
        <w:tc>
          <w:tcPr>
            <w:tcW w:w="1170" w:type="dxa"/>
            <w:vMerge/>
            <w:tcBorders>
              <w:top w:val="nil"/>
              <w:left w:val="nil"/>
              <w:bottom w:val="single" w:sz="4" w:space="0" w:color="auto"/>
              <w:right w:val="nil"/>
            </w:tcBorders>
            <w:vAlign w:val="center"/>
            <w:hideMark/>
          </w:tcPr>
          <w:p w14:paraId="3C9FB1EA" w14:textId="77777777" w:rsidR="0042207C" w:rsidRPr="007F7B1D" w:rsidRDefault="0042207C" w:rsidP="00BD2C56">
            <w:pPr>
              <w:rPr>
                <w:b/>
                <w:bCs/>
              </w:rPr>
            </w:pPr>
          </w:p>
        </w:tc>
        <w:tc>
          <w:tcPr>
            <w:tcW w:w="1620" w:type="dxa"/>
            <w:vMerge/>
            <w:tcBorders>
              <w:top w:val="nil"/>
              <w:left w:val="nil"/>
              <w:bottom w:val="single" w:sz="4" w:space="0" w:color="auto"/>
              <w:right w:val="nil"/>
            </w:tcBorders>
            <w:vAlign w:val="center"/>
            <w:hideMark/>
          </w:tcPr>
          <w:p w14:paraId="5579226B" w14:textId="77777777" w:rsidR="0042207C" w:rsidRPr="007F7B1D" w:rsidRDefault="0042207C" w:rsidP="00BD2C56">
            <w:pPr>
              <w:rPr>
                <w:b/>
                <w:bCs/>
              </w:rPr>
            </w:pPr>
          </w:p>
        </w:tc>
        <w:tc>
          <w:tcPr>
            <w:tcW w:w="3060" w:type="dxa"/>
            <w:vMerge/>
            <w:tcBorders>
              <w:top w:val="nil"/>
              <w:left w:val="nil"/>
              <w:bottom w:val="single" w:sz="4" w:space="0" w:color="auto"/>
              <w:right w:val="nil"/>
            </w:tcBorders>
            <w:vAlign w:val="center"/>
            <w:hideMark/>
          </w:tcPr>
          <w:p w14:paraId="232A367E" w14:textId="77777777" w:rsidR="0042207C" w:rsidRPr="007F7B1D" w:rsidRDefault="0042207C" w:rsidP="00BD2C56">
            <w:pPr>
              <w:rPr>
                <w:b/>
                <w:bCs/>
              </w:rPr>
            </w:pPr>
          </w:p>
        </w:tc>
        <w:tc>
          <w:tcPr>
            <w:tcW w:w="821" w:type="dxa"/>
            <w:tcBorders>
              <w:top w:val="nil"/>
              <w:left w:val="nil"/>
              <w:bottom w:val="single" w:sz="4" w:space="0" w:color="auto"/>
              <w:right w:val="nil"/>
            </w:tcBorders>
            <w:shd w:val="clear" w:color="auto" w:fill="auto"/>
            <w:hideMark/>
          </w:tcPr>
          <w:p w14:paraId="25794E86" w14:textId="77777777" w:rsidR="0042207C" w:rsidRPr="007F7B1D" w:rsidRDefault="0042207C" w:rsidP="00BD2C56">
            <w:pPr>
              <w:rPr>
                <w:b/>
                <w:bCs/>
              </w:rPr>
            </w:pPr>
            <w:r w:rsidRPr="007F7B1D">
              <w:rPr>
                <w:b/>
                <w:bCs/>
              </w:rPr>
              <w:t>Web</w:t>
            </w:r>
          </w:p>
        </w:tc>
        <w:tc>
          <w:tcPr>
            <w:tcW w:w="720" w:type="dxa"/>
            <w:tcBorders>
              <w:top w:val="nil"/>
              <w:left w:val="nil"/>
              <w:bottom w:val="single" w:sz="4" w:space="0" w:color="auto"/>
              <w:right w:val="nil"/>
            </w:tcBorders>
            <w:shd w:val="clear" w:color="auto" w:fill="auto"/>
            <w:hideMark/>
          </w:tcPr>
          <w:p w14:paraId="39C640D9" w14:textId="77777777" w:rsidR="0042207C" w:rsidRPr="007F7B1D" w:rsidRDefault="0042207C" w:rsidP="00BD2C56">
            <w:pPr>
              <w:rPr>
                <w:b/>
                <w:bCs/>
              </w:rPr>
            </w:pPr>
            <w:r w:rsidRPr="007F7B1D">
              <w:rPr>
                <w:b/>
                <w:bCs/>
              </w:rPr>
              <w:t>Mail</w:t>
            </w:r>
          </w:p>
        </w:tc>
        <w:tc>
          <w:tcPr>
            <w:tcW w:w="1519" w:type="dxa"/>
            <w:tcBorders>
              <w:top w:val="nil"/>
              <w:left w:val="nil"/>
              <w:bottom w:val="single" w:sz="4" w:space="0" w:color="auto"/>
              <w:right w:val="nil"/>
            </w:tcBorders>
            <w:shd w:val="clear" w:color="auto" w:fill="auto"/>
            <w:hideMark/>
          </w:tcPr>
          <w:p w14:paraId="05B29A54" w14:textId="77777777" w:rsidR="0042207C" w:rsidRPr="007F7B1D" w:rsidRDefault="0042207C" w:rsidP="00BD2C56">
            <w:pPr>
              <w:rPr>
                <w:b/>
                <w:bCs/>
              </w:rPr>
            </w:pPr>
            <w:r w:rsidRPr="007F7B1D">
              <w:rPr>
                <w:b/>
                <w:bCs/>
              </w:rPr>
              <w:t>Telephone</w:t>
            </w:r>
          </w:p>
        </w:tc>
      </w:tr>
      <w:tr w:rsidR="0042207C" w:rsidRPr="007F7B1D" w14:paraId="08CF2B33" w14:textId="77777777" w:rsidTr="00BD2C56">
        <w:trPr>
          <w:trHeight w:val="144"/>
        </w:trPr>
        <w:tc>
          <w:tcPr>
            <w:tcW w:w="1440" w:type="dxa"/>
            <w:tcBorders>
              <w:top w:val="nil"/>
              <w:left w:val="nil"/>
              <w:bottom w:val="nil"/>
              <w:right w:val="nil"/>
            </w:tcBorders>
            <w:shd w:val="clear" w:color="auto" w:fill="auto"/>
            <w:hideMark/>
          </w:tcPr>
          <w:p w14:paraId="70982042" w14:textId="77777777" w:rsidR="0042207C" w:rsidRPr="007F7B1D" w:rsidRDefault="0042207C" w:rsidP="00BD2C56">
            <w:r w:rsidRPr="007F7B1D">
              <w:rPr>
                <w:bCs/>
              </w:rPr>
              <w:t>Ailes (U.S.)</w:t>
            </w:r>
          </w:p>
        </w:tc>
        <w:tc>
          <w:tcPr>
            <w:tcW w:w="1170" w:type="dxa"/>
            <w:tcBorders>
              <w:top w:val="nil"/>
              <w:left w:val="nil"/>
              <w:bottom w:val="nil"/>
              <w:right w:val="nil"/>
            </w:tcBorders>
            <w:shd w:val="clear" w:color="auto" w:fill="auto"/>
            <w:hideMark/>
          </w:tcPr>
          <w:p w14:paraId="171A8934" w14:textId="77777777" w:rsidR="0042207C" w:rsidRPr="007F7B1D" w:rsidRDefault="0042207C" w:rsidP="00BD2C56">
            <w:r w:rsidRPr="007F7B1D">
              <w:rPr>
                <w:bCs/>
              </w:rPr>
              <w:t>2009</w:t>
            </w:r>
          </w:p>
        </w:tc>
        <w:tc>
          <w:tcPr>
            <w:tcW w:w="1620" w:type="dxa"/>
            <w:tcBorders>
              <w:top w:val="nil"/>
              <w:left w:val="nil"/>
              <w:bottom w:val="nil"/>
              <w:right w:val="nil"/>
            </w:tcBorders>
            <w:shd w:val="clear" w:color="auto" w:fill="auto"/>
            <w:hideMark/>
          </w:tcPr>
          <w:p w14:paraId="700E41DD" w14:textId="77777777" w:rsidR="0042207C" w:rsidRPr="007F7B1D" w:rsidRDefault="0042207C" w:rsidP="00BD2C56">
            <w:r w:rsidRPr="007F7B1D">
              <w:rPr>
                <w:bCs/>
              </w:rPr>
              <w:t>Mail</w:t>
            </w:r>
          </w:p>
        </w:tc>
        <w:tc>
          <w:tcPr>
            <w:tcW w:w="3060" w:type="dxa"/>
            <w:tcBorders>
              <w:top w:val="nil"/>
              <w:left w:val="nil"/>
              <w:bottom w:val="nil"/>
              <w:right w:val="nil"/>
            </w:tcBorders>
            <w:shd w:val="clear" w:color="auto" w:fill="auto"/>
            <w:hideMark/>
          </w:tcPr>
          <w:p w14:paraId="6E01C168" w14:textId="77777777" w:rsidR="0042207C" w:rsidRPr="007F7B1D" w:rsidRDefault="0042207C" w:rsidP="00BD2C56">
            <w:r w:rsidRPr="007F7B1D">
              <w:rPr>
                <w:bCs/>
              </w:rPr>
              <w:t>33%</w:t>
            </w:r>
          </w:p>
        </w:tc>
        <w:tc>
          <w:tcPr>
            <w:tcW w:w="821" w:type="dxa"/>
            <w:tcBorders>
              <w:top w:val="nil"/>
              <w:left w:val="nil"/>
              <w:bottom w:val="nil"/>
              <w:right w:val="nil"/>
            </w:tcBorders>
            <w:shd w:val="clear" w:color="auto" w:fill="auto"/>
            <w:hideMark/>
          </w:tcPr>
          <w:p w14:paraId="54659204" w14:textId="77777777" w:rsidR="0042207C" w:rsidRPr="007F7B1D" w:rsidRDefault="0042207C" w:rsidP="00BD2C56">
            <w:r w:rsidRPr="007F7B1D">
              <w:rPr>
                <w:bCs/>
              </w:rPr>
              <w:t>--</w:t>
            </w:r>
          </w:p>
        </w:tc>
        <w:tc>
          <w:tcPr>
            <w:tcW w:w="720" w:type="dxa"/>
            <w:tcBorders>
              <w:top w:val="nil"/>
              <w:left w:val="nil"/>
              <w:bottom w:val="nil"/>
              <w:right w:val="nil"/>
            </w:tcBorders>
            <w:shd w:val="clear" w:color="auto" w:fill="auto"/>
            <w:hideMark/>
          </w:tcPr>
          <w:p w14:paraId="579F7832" w14:textId="77777777" w:rsidR="0042207C" w:rsidRPr="007F7B1D" w:rsidRDefault="0042207C" w:rsidP="00BD2C56">
            <w:r w:rsidRPr="007F7B1D">
              <w:rPr>
                <w:bCs/>
              </w:rPr>
              <w:t>100%</w:t>
            </w:r>
          </w:p>
        </w:tc>
        <w:tc>
          <w:tcPr>
            <w:tcW w:w="1519" w:type="dxa"/>
            <w:tcBorders>
              <w:top w:val="nil"/>
              <w:left w:val="nil"/>
              <w:bottom w:val="nil"/>
              <w:right w:val="nil"/>
            </w:tcBorders>
            <w:shd w:val="clear" w:color="auto" w:fill="auto"/>
            <w:hideMark/>
          </w:tcPr>
          <w:p w14:paraId="1BD300B7" w14:textId="77777777" w:rsidR="0042207C" w:rsidRPr="007F7B1D" w:rsidRDefault="0042207C" w:rsidP="00BD2C56">
            <w:r w:rsidRPr="007F7B1D">
              <w:rPr>
                <w:bCs/>
              </w:rPr>
              <w:t>--</w:t>
            </w:r>
          </w:p>
        </w:tc>
      </w:tr>
      <w:tr w:rsidR="00B65647" w:rsidRPr="007F7B1D" w14:paraId="48E31B0D" w14:textId="77777777" w:rsidTr="00BD2C56">
        <w:trPr>
          <w:trHeight w:val="144"/>
        </w:trPr>
        <w:tc>
          <w:tcPr>
            <w:tcW w:w="1440" w:type="dxa"/>
            <w:tcBorders>
              <w:top w:val="nil"/>
              <w:left w:val="nil"/>
              <w:right w:val="nil"/>
            </w:tcBorders>
            <w:shd w:val="clear" w:color="auto" w:fill="auto"/>
            <w:hideMark/>
          </w:tcPr>
          <w:p w14:paraId="0EB8F848" w14:textId="057C3062" w:rsidR="00B65647" w:rsidRPr="007F7B1D" w:rsidRDefault="00B65647" w:rsidP="00BD2C56">
            <w:r w:rsidRPr="007F7B1D">
              <w:rPr>
                <w:bCs/>
              </w:rPr>
              <w:t>Griffith (U.S.)</w:t>
            </w:r>
          </w:p>
        </w:tc>
        <w:tc>
          <w:tcPr>
            <w:tcW w:w="1170" w:type="dxa"/>
            <w:tcBorders>
              <w:top w:val="nil"/>
              <w:left w:val="nil"/>
              <w:right w:val="nil"/>
            </w:tcBorders>
            <w:shd w:val="clear" w:color="auto" w:fill="auto"/>
            <w:hideMark/>
          </w:tcPr>
          <w:p w14:paraId="691990D6" w14:textId="1582CA46" w:rsidR="00B65647" w:rsidRPr="007F7B1D" w:rsidRDefault="00B65647" w:rsidP="00BD2C56">
            <w:r w:rsidRPr="007F7B1D">
              <w:rPr>
                <w:bCs/>
              </w:rPr>
              <w:t>2008</w:t>
            </w:r>
          </w:p>
        </w:tc>
        <w:tc>
          <w:tcPr>
            <w:tcW w:w="1620" w:type="dxa"/>
            <w:tcBorders>
              <w:top w:val="nil"/>
              <w:left w:val="nil"/>
              <w:right w:val="nil"/>
            </w:tcBorders>
            <w:shd w:val="clear" w:color="auto" w:fill="auto"/>
            <w:hideMark/>
          </w:tcPr>
          <w:p w14:paraId="14D641CE" w14:textId="6D9E9AB7" w:rsidR="00B65647" w:rsidRPr="007F7B1D" w:rsidRDefault="00B65647" w:rsidP="00BD2C56">
            <w:r w:rsidRPr="007F7B1D">
              <w:rPr>
                <w:bCs/>
              </w:rPr>
              <w:t>Web</w:t>
            </w:r>
          </w:p>
        </w:tc>
        <w:tc>
          <w:tcPr>
            <w:tcW w:w="3060" w:type="dxa"/>
            <w:tcBorders>
              <w:top w:val="nil"/>
              <w:left w:val="nil"/>
              <w:right w:val="nil"/>
            </w:tcBorders>
            <w:shd w:val="clear" w:color="auto" w:fill="auto"/>
            <w:hideMark/>
          </w:tcPr>
          <w:p w14:paraId="7AA72A10" w14:textId="1E6089FB" w:rsidR="00B65647" w:rsidRPr="007F7B1D" w:rsidRDefault="00B65647" w:rsidP="00BD2C56">
            <w:r w:rsidRPr="007F7B1D">
              <w:rPr>
                <w:bCs/>
              </w:rPr>
              <w:t>53%</w:t>
            </w:r>
          </w:p>
        </w:tc>
        <w:tc>
          <w:tcPr>
            <w:tcW w:w="821" w:type="dxa"/>
            <w:tcBorders>
              <w:top w:val="nil"/>
              <w:left w:val="nil"/>
              <w:right w:val="nil"/>
            </w:tcBorders>
            <w:shd w:val="clear" w:color="auto" w:fill="auto"/>
            <w:hideMark/>
          </w:tcPr>
          <w:p w14:paraId="7A05AAC9" w14:textId="477B89C0" w:rsidR="00B65647" w:rsidRPr="007F7B1D" w:rsidRDefault="00B65647" w:rsidP="00BD2C56">
            <w:r w:rsidRPr="007F7B1D">
              <w:rPr>
                <w:bCs/>
              </w:rPr>
              <w:t>100%</w:t>
            </w:r>
          </w:p>
        </w:tc>
        <w:tc>
          <w:tcPr>
            <w:tcW w:w="720" w:type="dxa"/>
            <w:tcBorders>
              <w:top w:val="nil"/>
              <w:left w:val="nil"/>
              <w:right w:val="nil"/>
            </w:tcBorders>
            <w:shd w:val="clear" w:color="auto" w:fill="auto"/>
            <w:hideMark/>
          </w:tcPr>
          <w:p w14:paraId="4675CE57" w14:textId="4AB3AB80" w:rsidR="00B65647" w:rsidRPr="007F7B1D" w:rsidRDefault="00B65647" w:rsidP="00BD2C56">
            <w:r w:rsidRPr="007F7B1D">
              <w:rPr>
                <w:bCs/>
              </w:rPr>
              <w:t>--</w:t>
            </w:r>
          </w:p>
        </w:tc>
        <w:tc>
          <w:tcPr>
            <w:tcW w:w="1519" w:type="dxa"/>
            <w:tcBorders>
              <w:top w:val="nil"/>
              <w:left w:val="nil"/>
              <w:right w:val="nil"/>
            </w:tcBorders>
            <w:shd w:val="clear" w:color="auto" w:fill="auto"/>
            <w:hideMark/>
          </w:tcPr>
          <w:p w14:paraId="3079BA0C" w14:textId="7206C2DC" w:rsidR="00B65647" w:rsidRPr="007F7B1D" w:rsidRDefault="00B65647" w:rsidP="00BD2C56">
            <w:r w:rsidRPr="007F7B1D">
              <w:rPr>
                <w:bCs/>
              </w:rPr>
              <w:t>--</w:t>
            </w:r>
          </w:p>
        </w:tc>
      </w:tr>
      <w:tr w:rsidR="00B65647" w:rsidRPr="007F7B1D" w14:paraId="3486958D" w14:textId="77777777" w:rsidTr="009E7C24">
        <w:trPr>
          <w:trHeight w:val="144"/>
        </w:trPr>
        <w:tc>
          <w:tcPr>
            <w:tcW w:w="1440" w:type="dxa"/>
            <w:tcBorders>
              <w:top w:val="nil"/>
              <w:left w:val="nil"/>
              <w:bottom w:val="nil"/>
              <w:right w:val="nil"/>
            </w:tcBorders>
            <w:shd w:val="clear" w:color="auto" w:fill="auto"/>
            <w:hideMark/>
          </w:tcPr>
          <w:p w14:paraId="4B91A082" w14:textId="15C9405D" w:rsidR="00B65647" w:rsidRPr="007F7B1D" w:rsidRDefault="00B65647" w:rsidP="00BD2C56">
            <w:r w:rsidRPr="007F7B1D">
              <w:rPr>
                <w:bCs/>
              </w:rPr>
              <w:t>G</w:t>
            </w:r>
            <w:r>
              <w:rPr>
                <w:bCs/>
              </w:rPr>
              <w:t>h</w:t>
            </w:r>
            <w:r w:rsidRPr="007F7B1D">
              <w:rPr>
                <w:bCs/>
              </w:rPr>
              <w:t>osh (U.S.)</w:t>
            </w:r>
          </w:p>
        </w:tc>
        <w:tc>
          <w:tcPr>
            <w:tcW w:w="1170" w:type="dxa"/>
            <w:tcBorders>
              <w:top w:val="nil"/>
              <w:left w:val="nil"/>
              <w:bottom w:val="nil"/>
              <w:right w:val="nil"/>
            </w:tcBorders>
            <w:shd w:val="clear" w:color="auto" w:fill="auto"/>
            <w:hideMark/>
          </w:tcPr>
          <w:p w14:paraId="2CC76C73" w14:textId="21DA3EC0" w:rsidR="00B65647" w:rsidRPr="007F7B1D" w:rsidRDefault="00B65647" w:rsidP="00BD2C56">
            <w:r w:rsidRPr="007F7B1D">
              <w:rPr>
                <w:bCs/>
              </w:rPr>
              <w:t>2006</w:t>
            </w:r>
          </w:p>
        </w:tc>
        <w:tc>
          <w:tcPr>
            <w:tcW w:w="1620" w:type="dxa"/>
            <w:tcBorders>
              <w:top w:val="nil"/>
              <w:left w:val="nil"/>
              <w:bottom w:val="nil"/>
              <w:right w:val="nil"/>
            </w:tcBorders>
            <w:shd w:val="clear" w:color="auto" w:fill="auto"/>
            <w:hideMark/>
          </w:tcPr>
          <w:p w14:paraId="79984DB8" w14:textId="388A64C2" w:rsidR="00B65647" w:rsidRPr="007F7B1D" w:rsidRDefault="00B65647" w:rsidP="00BD2C56">
            <w:r w:rsidRPr="007F7B1D">
              <w:rPr>
                <w:bCs/>
              </w:rPr>
              <w:t>Web, telephone</w:t>
            </w:r>
          </w:p>
        </w:tc>
        <w:tc>
          <w:tcPr>
            <w:tcW w:w="3060" w:type="dxa"/>
            <w:tcBorders>
              <w:top w:val="nil"/>
              <w:left w:val="nil"/>
              <w:bottom w:val="nil"/>
              <w:right w:val="nil"/>
            </w:tcBorders>
            <w:shd w:val="clear" w:color="auto" w:fill="auto"/>
            <w:hideMark/>
          </w:tcPr>
          <w:p w14:paraId="62EA72CB" w14:textId="4BEBF166" w:rsidR="00B65647" w:rsidRPr="007F7B1D" w:rsidRDefault="00B65647" w:rsidP="00BD2C56">
            <w:r>
              <w:rPr>
                <w:bCs/>
                <w:u w:val="single"/>
              </w:rPr>
              <w:t>&gt;</w:t>
            </w:r>
            <w:r w:rsidRPr="007F7B1D">
              <w:rPr>
                <w:bCs/>
              </w:rPr>
              <w:t>78</w:t>
            </w:r>
            <w:r w:rsidRPr="00997B54">
              <w:rPr>
                <w:bCs/>
                <w:vertAlign w:val="superscript"/>
              </w:rPr>
              <w:t>*</w:t>
            </w:r>
            <w:r w:rsidRPr="007F7B1D">
              <w:rPr>
                <w:bCs/>
              </w:rPr>
              <w:t xml:space="preserve"> (telephone), </w:t>
            </w:r>
            <w:r>
              <w:rPr>
                <w:bCs/>
                <w:u w:val="single"/>
              </w:rPr>
              <w:t>&gt;</w:t>
            </w:r>
            <w:r w:rsidRPr="007F7B1D">
              <w:rPr>
                <w:bCs/>
              </w:rPr>
              <w:t>74% (web)</w:t>
            </w:r>
          </w:p>
        </w:tc>
        <w:tc>
          <w:tcPr>
            <w:tcW w:w="821" w:type="dxa"/>
            <w:tcBorders>
              <w:top w:val="nil"/>
              <w:left w:val="nil"/>
              <w:bottom w:val="nil"/>
              <w:right w:val="nil"/>
            </w:tcBorders>
            <w:shd w:val="clear" w:color="auto" w:fill="auto"/>
            <w:hideMark/>
          </w:tcPr>
          <w:p w14:paraId="5742C5C3" w14:textId="7E3A0239" w:rsidR="00B65647" w:rsidRPr="007F7B1D" w:rsidRDefault="00B65647" w:rsidP="00BD2C56">
            <w:r w:rsidRPr="007F7B1D">
              <w:rPr>
                <w:bCs/>
              </w:rPr>
              <w:t>--</w:t>
            </w:r>
          </w:p>
        </w:tc>
        <w:tc>
          <w:tcPr>
            <w:tcW w:w="720" w:type="dxa"/>
            <w:tcBorders>
              <w:top w:val="nil"/>
              <w:left w:val="nil"/>
              <w:bottom w:val="nil"/>
              <w:right w:val="nil"/>
            </w:tcBorders>
            <w:shd w:val="clear" w:color="auto" w:fill="auto"/>
            <w:hideMark/>
          </w:tcPr>
          <w:p w14:paraId="37A9B8E2" w14:textId="794568D5" w:rsidR="00B65647" w:rsidRPr="007F7B1D" w:rsidRDefault="00B65647" w:rsidP="00BD2C56">
            <w:r w:rsidRPr="007F7B1D">
              <w:rPr>
                <w:bCs/>
              </w:rPr>
              <w:t>--</w:t>
            </w:r>
          </w:p>
        </w:tc>
        <w:tc>
          <w:tcPr>
            <w:tcW w:w="1519" w:type="dxa"/>
            <w:tcBorders>
              <w:top w:val="nil"/>
              <w:left w:val="nil"/>
              <w:bottom w:val="nil"/>
              <w:right w:val="nil"/>
            </w:tcBorders>
            <w:shd w:val="clear" w:color="auto" w:fill="auto"/>
            <w:hideMark/>
          </w:tcPr>
          <w:p w14:paraId="0526974A" w14:textId="68BF9097" w:rsidR="00B65647" w:rsidRPr="007F7B1D" w:rsidRDefault="00B65647" w:rsidP="00BD2C56">
            <w:r w:rsidRPr="007F7B1D">
              <w:rPr>
                <w:bCs/>
              </w:rPr>
              <w:t>--</w:t>
            </w:r>
          </w:p>
        </w:tc>
      </w:tr>
      <w:tr w:rsidR="00B65647" w:rsidRPr="007F7B1D" w14:paraId="1EAEBBC3" w14:textId="77777777" w:rsidTr="009E7C24">
        <w:trPr>
          <w:trHeight w:val="144"/>
        </w:trPr>
        <w:tc>
          <w:tcPr>
            <w:tcW w:w="1440" w:type="dxa"/>
            <w:tcBorders>
              <w:left w:val="nil"/>
              <w:bottom w:val="nil"/>
              <w:right w:val="nil"/>
            </w:tcBorders>
            <w:shd w:val="clear" w:color="auto" w:fill="auto"/>
            <w:hideMark/>
          </w:tcPr>
          <w:p w14:paraId="2A240762" w14:textId="2792E34F" w:rsidR="00B65647" w:rsidRPr="007F7B1D" w:rsidRDefault="00B65647" w:rsidP="00BD2C56">
            <w:r w:rsidRPr="007F7B1D">
              <w:rPr>
                <w:bCs/>
              </w:rPr>
              <w:t>Jones (U.S.)</w:t>
            </w:r>
          </w:p>
        </w:tc>
        <w:tc>
          <w:tcPr>
            <w:tcW w:w="1170" w:type="dxa"/>
            <w:tcBorders>
              <w:left w:val="nil"/>
              <w:bottom w:val="nil"/>
              <w:right w:val="nil"/>
            </w:tcBorders>
            <w:shd w:val="clear" w:color="auto" w:fill="auto"/>
            <w:hideMark/>
          </w:tcPr>
          <w:p w14:paraId="433C072E" w14:textId="5ACF0813" w:rsidR="00B65647" w:rsidRPr="007F7B1D" w:rsidRDefault="00B65647" w:rsidP="00BD2C56">
            <w:r w:rsidRPr="007F7B1D">
              <w:rPr>
                <w:bCs/>
              </w:rPr>
              <w:t>2004</w:t>
            </w:r>
          </w:p>
        </w:tc>
        <w:tc>
          <w:tcPr>
            <w:tcW w:w="1620" w:type="dxa"/>
            <w:tcBorders>
              <w:left w:val="nil"/>
              <w:bottom w:val="nil"/>
              <w:right w:val="nil"/>
            </w:tcBorders>
            <w:shd w:val="clear" w:color="auto" w:fill="auto"/>
            <w:hideMark/>
          </w:tcPr>
          <w:p w14:paraId="70EC3B9C" w14:textId="1F49BF95" w:rsidR="00B65647" w:rsidRPr="007F7B1D" w:rsidRDefault="00B65647" w:rsidP="00BD2C56">
            <w:r w:rsidRPr="007F7B1D">
              <w:rPr>
                <w:bCs/>
              </w:rPr>
              <w:t>Telephone</w:t>
            </w:r>
          </w:p>
        </w:tc>
        <w:tc>
          <w:tcPr>
            <w:tcW w:w="3060" w:type="dxa"/>
            <w:tcBorders>
              <w:left w:val="nil"/>
              <w:bottom w:val="nil"/>
              <w:right w:val="nil"/>
            </w:tcBorders>
            <w:shd w:val="clear" w:color="auto" w:fill="auto"/>
            <w:hideMark/>
          </w:tcPr>
          <w:p w14:paraId="31B7CFF3" w14:textId="04D0E5F1" w:rsidR="00B65647" w:rsidRPr="007F7B1D" w:rsidRDefault="00B65647" w:rsidP="00BD2C56">
            <w:r w:rsidRPr="007F7B1D">
              <w:rPr>
                <w:bCs/>
              </w:rPr>
              <w:t>33%</w:t>
            </w:r>
          </w:p>
        </w:tc>
        <w:tc>
          <w:tcPr>
            <w:tcW w:w="821" w:type="dxa"/>
            <w:tcBorders>
              <w:left w:val="nil"/>
              <w:bottom w:val="nil"/>
              <w:right w:val="nil"/>
            </w:tcBorders>
            <w:shd w:val="clear" w:color="auto" w:fill="auto"/>
            <w:hideMark/>
          </w:tcPr>
          <w:p w14:paraId="73B175EA" w14:textId="1716F5BB" w:rsidR="00B65647" w:rsidRPr="007F7B1D" w:rsidRDefault="00B65647" w:rsidP="00BD2C56">
            <w:r w:rsidRPr="007F7B1D">
              <w:rPr>
                <w:bCs/>
              </w:rPr>
              <w:t>--</w:t>
            </w:r>
          </w:p>
        </w:tc>
        <w:tc>
          <w:tcPr>
            <w:tcW w:w="720" w:type="dxa"/>
            <w:tcBorders>
              <w:left w:val="nil"/>
              <w:bottom w:val="nil"/>
              <w:right w:val="nil"/>
            </w:tcBorders>
            <w:shd w:val="clear" w:color="auto" w:fill="auto"/>
            <w:hideMark/>
          </w:tcPr>
          <w:p w14:paraId="7A058DA3" w14:textId="30603B2B" w:rsidR="00B65647" w:rsidRPr="007F7B1D" w:rsidRDefault="00B65647" w:rsidP="00BD2C56">
            <w:r w:rsidRPr="007F7B1D">
              <w:rPr>
                <w:bCs/>
              </w:rPr>
              <w:t>--</w:t>
            </w:r>
          </w:p>
        </w:tc>
        <w:tc>
          <w:tcPr>
            <w:tcW w:w="1519" w:type="dxa"/>
            <w:tcBorders>
              <w:left w:val="nil"/>
              <w:bottom w:val="nil"/>
              <w:right w:val="nil"/>
            </w:tcBorders>
            <w:shd w:val="clear" w:color="auto" w:fill="auto"/>
            <w:hideMark/>
          </w:tcPr>
          <w:p w14:paraId="42179B54" w14:textId="3F7A72C9" w:rsidR="00B65647" w:rsidRPr="007F7B1D" w:rsidRDefault="00B65647" w:rsidP="00BD2C56">
            <w:r w:rsidRPr="007F7B1D">
              <w:rPr>
                <w:bCs/>
              </w:rPr>
              <w:t>100%</w:t>
            </w:r>
          </w:p>
        </w:tc>
      </w:tr>
      <w:tr w:rsidR="00B65647" w:rsidRPr="007F7B1D" w14:paraId="259DCE5D" w14:textId="77777777" w:rsidTr="009E7C24">
        <w:trPr>
          <w:trHeight w:val="144"/>
        </w:trPr>
        <w:tc>
          <w:tcPr>
            <w:tcW w:w="1440" w:type="dxa"/>
            <w:tcBorders>
              <w:top w:val="nil"/>
              <w:left w:val="nil"/>
              <w:bottom w:val="nil"/>
              <w:right w:val="nil"/>
            </w:tcBorders>
            <w:shd w:val="clear" w:color="auto" w:fill="auto"/>
            <w:hideMark/>
          </w:tcPr>
          <w:p w14:paraId="3065DDF0" w14:textId="34B70216" w:rsidR="00B65647" w:rsidRPr="007F7B1D" w:rsidRDefault="00B65647" w:rsidP="00BD2C56">
            <w:r w:rsidRPr="007F7B1D">
              <w:rPr>
                <w:bCs/>
              </w:rPr>
              <w:t>Smith (U.S.)</w:t>
            </w:r>
          </w:p>
        </w:tc>
        <w:tc>
          <w:tcPr>
            <w:tcW w:w="1170" w:type="dxa"/>
            <w:tcBorders>
              <w:top w:val="nil"/>
              <w:left w:val="nil"/>
              <w:bottom w:val="nil"/>
              <w:right w:val="nil"/>
            </w:tcBorders>
            <w:shd w:val="clear" w:color="auto" w:fill="auto"/>
            <w:hideMark/>
          </w:tcPr>
          <w:p w14:paraId="4F001F92" w14:textId="7C274426" w:rsidR="00B65647" w:rsidRPr="007F7B1D" w:rsidRDefault="00B65647" w:rsidP="00BD2C56">
            <w:r w:rsidRPr="007F7B1D">
              <w:rPr>
                <w:bCs/>
              </w:rPr>
              <w:t>2001-2003</w:t>
            </w:r>
          </w:p>
        </w:tc>
        <w:tc>
          <w:tcPr>
            <w:tcW w:w="1620" w:type="dxa"/>
            <w:tcBorders>
              <w:top w:val="nil"/>
              <w:left w:val="nil"/>
              <w:bottom w:val="nil"/>
              <w:right w:val="nil"/>
            </w:tcBorders>
            <w:shd w:val="clear" w:color="auto" w:fill="auto"/>
            <w:hideMark/>
          </w:tcPr>
          <w:p w14:paraId="52C806A5" w14:textId="2CA97DCA" w:rsidR="00B65647" w:rsidRPr="007F7B1D" w:rsidRDefault="00B65647" w:rsidP="00BD2C56">
            <w:r w:rsidRPr="007F7B1D">
              <w:rPr>
                <w:bCs/>
              </w:rPr>
              <w:t>Web, mail</w:t>
            </w:r>
          </w:p>
        </w:tc>
        <w:tc>
          <w:tcPr>
            <w:tcW w:w="3060" w:type="dxa"/>
            <w:tcBorders>
              <w:top w:val="nil"/>
              <w:left w:val="nil"/>
              <w:bottom w:val="nil"/>
              <w:right w:val="nil"/>
            </w:tcBorders>
            <w:shd w:val="clear" w:color="auto" w:fill="auto"/>
            <w:hideMark/>
          </w:tcPr>
          <w:p w14:paraId="5EB3C347" w14:textId="23082D8E" w:rsidR="00B65647" w:rsidRPr="007F7B1D" w:rsidRDefault="00B65647" w:rsidP="00BD2C56">
            <w:r w:rsidRPr="007F7B1D">
              <w:rPr>
                <w:bCs/>
              </w:rPr>
              <w:t>--</w:t>
            </w:r>
            <w:r>
              <w:rPr>
                <w:rFonts w:cs="Times New Roman"/>
                <w:vertAlign w:val="superscript"/>
              </w:rPr>
              <w:t>†</w:t>
            </w:r>
          </w:p>
        </w:tc>
        <w:tc>
          <w:tcPr>
            <w:tcW w:w="821" w:type="dxa"/>
            <w:tcBorders>
              <w:top w:val="nil"/>
              <w:left w:val="nil"/>
              <w:bottom w:val="nil"/>
              <w:right w:val="nil"/>
            </w:tcBorders>
            <w:shd w:val="clear" w:color="auto" w:fill="auto"/>
            <w:hideMark/>
          </w:tcPr>
          <w:p w14:paraId="315764BE" w14:textId="609444A7" w:rsidR="00B65647" w:rsidRPr="007F7B1D" w:rsidRDefault="00B65647" w:rsidP="00BD2C56">
            <w:r w:rsidRPr="007F7B1D">
              <w:rPr>
                <w:bCs/>
              </w:rPr>
              <w:t>55%</w:t>
            </w:r>
          </w:p>
        </w:tc>
        <w:tc>
          <w:tcPr>
            <w:tcW w:w="720" w:type="dxa"/>
            <w:tcBorders>
              <w:top w:val="nil"/>
              <w:left w:val="nil"/>
              <w:bottom w:val="nil"/>
              <w:right w:val="nil"/>
            </w:tcBorders>
            <w:shd w:val="clear" w:color="auto" w:fill="auto"/>
            <w:hideMark/>
          </w:tcPr>
          <w:p w14:paraId="00C0A0B9" w14:textId="189585AC" w:rsidR="00B65647" w:rsidRPr="007F7B1D" w:rsidRDefault="00B65647" w:rsidP="00BD2C56">
            <w:r w:rsidRPr="007F7B1D">
              <w:rPr>
                <w:bCs/>
              </w:rPr>
              <w:t>45%</w:t>
            </w:r>
          </w:p>
        </w:tc>
        <w:tc>
          <w:tcPr>
            <w:tcW w:w="1519" w:type="dxa"/>
            <w:tcBorders>
              <w:top w:val="nil"/>
              <w:left w:val="nil"/>
              <w:bottom w:val="nil"/>
              <w:right w:val="nil"/>
            </w:tcBorders>
            <w:shd w:val="clear" w:color="auto" w:fill="auto"/>
            <w:hideMark/>
          </w:tcPr>
          <w:p w14:paraId="78E2888F" w14:textId="2E5547B5" w:rsidR="00B65647" w:rsidRPr="007F7B1D" w:rsidRDefault="00B65647" w:rsidP="00BD2C56">
            <w:r w:rsidRPr="007F7B1D">
              <w:rPr>
                <w:bCs/>
              </w:rPr>
              <w:t>--</w:t>
            </w:r>
          </w:p>
        </w:tc>
      </w:tr>
      <w:tr w:rsidR="009E7C24" w:rsidRPr="007F7B1D" w14:paraId="7C4EB30E" w14:textId="77777777" w:rsidTr="009E7C24">
        <w:trPr>
          <w:trHeight w:val="251"/>
        </w:trPr>
        <w:tc>
          <w:tcPr>
            <w:tcW w:w="10350" w:type="dxa"/>
            <w:gridSpan w:val="7"/>
            <w:tcBorders>
              <w:top w:val="single" w:sz="4" w:space="0" w:color="auto"/>
              <w:left w:val="nil"/>
              <w:right w:val="nil"/>
            </w:tcBorders>
            <w:shd w:val="clear" w:color="auto" w:fill="auto"/>
            <w:hideMark/>
          </w:tcPr>
          <w:p w14:paraId="7EAADF8A" w14:textId="242CB4E0" w:rsidR="009E7C24" w:rsidRPr="007F7B1D" w:rsidRDefault="009E7C24" w:rsidP="00BD2C56">
            <w:r w:rsidRPr="00997B54">
              <w:rPr>
                <w:bCs/>
                <w:sz w:val="20"/>
                <w:vertAlign w:val="superscript"/>
              </w:rPr>
              <w:t xml:space="preserve">* </w:t>
            </w:r>
            <w:r>
              <w:rPr>
                <w:bCs/>
                <w:sz w:val="20"/>
              </w:rPr>
              <w:t>There were multiple survey groups per survey method</w:t>
            </w:r>
            <w:r w:rsidRPr="00997B54">
              <w:rPr>
                <w:bCs/>
                <w:sz w:val="20"/>
              </w:rPr>
              <w:t xml:space="preserve">  </w:t>
            </w:r>
          </w:p>
        </w:tc>
      </w:tr>
      <w:tr w:rsidR="00B65647" w:rsidRPr="00997B54" w14:paraId="6E0D8AB2" w14:textId="77777777" w:rsidTr="009E7C24">
        <w:trPr>
          <w:trHeight w:val="144"/>
        </w:trPr>
        <w:tc>
          <w:tcPr>
            <w:tcW w:w="10350" w:type="dxa"/>
            <w:gridSpan w:val="7"/>
            <w:tcBorders>
              <w:left w:val="nil"/>
              <w:right w:val="nil"/>
            </w:tcBorders>
            <w:shd w:val="clear" w:color="auto" w:fill="auto"/>
            <w:hideMark/>
          </w:tcPr>
          <w:p w14:paraId="72381F16" w14:textId="0E3D82BA" w:rsidR="00B65647" w:rsidRPr="00997B54" w:rsidRDefault="00B65647" w:rsidP="00BD2C56">
            <w:pPr>
              <w:rPr>
                <w:bCs/>
                <w:sz w:val="20"/>
              </w:rPr>
            </w:pPr>
            <w:r w:rsidRPr="00997B54">
              <w:rPr>
                <w:bCs/>
                <w:sz w:val="20"/>
                <w:vertAlign w:val="superscript"/>
              </w:rPr>
              <w:t xml:space="preserve">† </w:t>
            </w:r>
            <w:r w:rsidRPr="00997B54">
              <w:rPr>
                <w:bCs/>
                <w:sz w:val="20"/>
              </w:rPr>
              <w:t>Longitudinal cohort study follow-up; survey respondents had already agreed to participate in the study but in this round of the study</w:t>
            </w:r>
            <w:r>
              <w:rPr>
                <w:bCs/>
                <w:sz w:val="20"/>
              </w:rPr>
              <w:t>, they</w:t>
            </w:r>
            <w:r w:rsidRPr="00997B54">
              <w:rPr>
                <w:bCs/>
                <w:sz w:val="20"/>
              </w:rPr>
              <w:t xml:space="preserve"> were given an option to complete questionnaires via the internet.  </w:t>
            </w:r>
          </w:p>
        </w:tc>
      </w:tr>
    </w:tbl>
    <w:p w14:paraId="1AEC952D" w14:textId="77777777" w:rsidR="0042207C" w:rsidRPr="007F7B1D" w:rsidRDefault="0042207C" w:rsidP="0042207C"/>
    <w:p w14:paraId="0123947A" w14:textId="77777777" w:rsidR="0042207C" w:rsidRDefault="0042207C" w:rsidP="0042207C">
      <w:r w:rsidRPr="007F7B1D">
        <w:t xml:space="preserve">We have performed power calculations to assess whether this study will have enough power to provide statistically useful information. In addition to analyzing data from all participants overall, we plan to stratify our analyses by type of water treatment used (i.e., chlorine versus </w:t>
      </w:r>
      <w:r w:rsidR="00134277">
        <w:t>mono</w:t>
      </w:r>
      <w:r w:rsidRPr="007F7B1D">
        <w:t>chloramine as a secondary disinfectant). Therefore, both of these study arms will individually require sufficient statistical power for analysis. For these power calculations, the following assumptions were made:</w:t>
      </w:r>
    </w:p>
    <w:p w14:paraId="22A2B524" w14:textId="77777777" w:rsidR="00F252BE" w:rsidRDefault="00F252BE" w:rsidP="00CF76DA"/>
    <w:p w14:paraId="570BE1A5" w14:textId="77777777" w:rsidR="00F252BE" w:rsidRDefault="00F252BE" w:rsidP="00CF76DA">
      <w:pPr>
        <w:pStyle w:val="NoSpacing"/>
        <w:numPr>
          <w:ilvl w:val="0"/>
          <w:numId w:val="19"/>
        </w:numPr>
      </w:pPr>
      <w:r w:rsidRPr="007F7B1D">
        <w:t xml:space="preserve">The population incidence of AGI among unexposed persons is estimated to be 5% (based on prevalence of AGI during </w:t>
      </w:r>
      <w:r>
        <w:t xml:space="preserve">a </w:t>
      </w:r>
      <w:r w:rsidRPr="007F7B1D">
        <w:t>month</w:t>
      </w:r>
      <w:r>
        <w:t>-long period</w:t>
      </w:r>
      <w:r w:rsidRPr="007F7B1D">
        <w:t xml:space="preserve"> in U.S. survey data </w:t>
      </w:r>
      <w:r w:rsidR="00CF76DA">
        <w:t>(Jones,</w:t>
      </w:r>
      <w:r w:rsidR="00C137D2">
        <w:t xml:space="preserve"> McMillian</w:t>
      </w:r>
      <w:r w:rsidR="00CF76DA">
        <w:t xml:space="preserve"> et al. 2007).</w:t>
      </w:r>
    </w:p>
    <w:p w14:paraId="10F626D2" w14:textId="615DE127" w:rsidR="00E455A8" w:rsidRPr="004E3E16" w:rsidRDefault="00E455A8" w:rsidP="00CF76DA">
      <w:pPr>
        <w:pStyle w:val="NoSpacing"/>
        <w:numPr>
          <w:ilvl w:val="0"/>
          <w:numId w:val="19"/>
        </w:numPr>
        <w:rPr>
          <w:highlight w:val="yellow"/>
        </w:rPr>
      </w:pPr>
      <w:r w:rsidRPr="004E3E16">
        <w:rPr>
          <w:highlight w:val="yellow"/>
        </w:rPr>
        <w:t>Based on our current event distributions, we know that event sizes have varied.  Of the 53 events so far, we have had 32 small events</w:t>
      </w:r>
      <w:r w:rsidR="002D44B3" w:rsidRPr="004E3E16">
        <w:rPr>
          <w:highlight w:val="yellow"/>
        </w:rPr>
        <w:t xml:space="preserve"> (affecting at least 8</w:t>
      </w:r>
      <w:r w:rsidR="00406405" w:rsidRPr="004E3E16">
        <w:rPr>
          <w:highlight w:val="yellow"/>
        </w:rPr>
        <w:t xml:space="preserve"> households)</w:t>
      </w:r>
      <w:r w:rsidRPr="004E3E16">
        <w:rPr>
          <w:highlight w:val="yellow"/>
        </w:rPr>
        <w:t xml:space="preserve">, 11 medium </w:t>
      </w:r>
      <w:r w:rsidR="00406405" w:rsidRPr="004E3E16">
        <w:rPr>
          <w:highlight w:val="yellow"/>
        </w:rPr>
        <w:t>events</w:t>
      </w:r>
      <w:r w:rsidR="002D44B3" w:rsidRPr="004E3E16">
        <w:rPr>
          <w:highlight w:val="yellow"/>
        </w:rPr>
        <w:t xml:space="preserve"> (affecting at least 16</w:t>
      </w:r>
      <w:r w:rsidR="00406405" w:rsidRPr="004E3E16">
        <w:rPr>
          <w:highlight w:val="yellow"/>
        </w:rPr>
        <w:t xml:space="preserve"> households), and 10 large events (affect</w:t>
      </w:r>
      <w:r w:rsidR="002D44B3" w:rsidRPr="004E3E16">
        <w:rPr>
          <w:highlight w:val="yellow"/>
        </w:rPr>
        <w:t>ing at least 39</w:t>
      </w:r>
      <w:r w:rsidR="00406405" w:rsidRPr="004E3E16">
        <w:rPr>
          <w:highlight w:val="yellow"/>
        </w:rPr>
        <w:t xml:space="preserve"> households).</w:t>
      </w:r>
      <w:r w:rsidR="009F4610" w:rsidRPr="004E3E16">
        <w:rPr>
          <w:highlight w:val="yellow"/>
        </w:rPr>
        <w:t xml:space="preserve">  This is different than originally expected, as we have experienced more smaller events.  Thus we have increased the total numb</w:t>
      </w:r>
      <w:r w:rsidR="002D44B3" w:rsidRPr="004E3E16">
        <w:rPr>
          <w:highlight w:val="yellow"/>
        </w:rPr>
        <w:t>er of events needed from 65 to 7</w:t>
      </w:r>
      <w:r w:rsidR="009F4610" w:rsidRPr="004E3E16">
        <w:rPr>
          <w:highlight w:val="yellow"/>
        </w:rPr>
        <w:t xml:space="preserve">9. </w:t>
      </w:r>
    </w:p>
    <w:p w14:paraId="6B9207FF" w14:textId="0F757FD6" w:rsidR="0042207C" w:rsidRPr="009E7C24" w:rsidRDefault="00696734" w:rsidP="009E7C24">
      <w:pPr>
        <w:pStyle w:val="NoSpacing"/>
        <w:numPr>
          <w:ilvl w:val="0"/>
          <w:numId w:val="19"/>
        </w:numPr>
      </w:pPr>
      <w:r w:rsidRPr="009E7C24">
        <w:t xml:space="preserve">In an unstratified analysis, with a </w:t>
      </w:r>
      <w:r w:rsidR="0046621E" w:rsidRPr="009E7C24">
        <w:t>40</w:t>
      </w:r>
      <w:r w:rsidRPr="009E7C24">
        <w:t>% response rate</w:t>
      </w:r>
      <w:r w:rsidR="00F252BE" w:rsidRPr="009E7C24">
        <w:t xml:space="preserve"> and Type I error = 0.05</w:t>
      </w:r>
      <w:r w:rsidRPr="009E7C24">
        <w:t>, the study w</w:t>
      </w:r>
      <w:r w:rsidR="00CF76DA" w:rsidRPr="009E7C24">
        <w:t>ill</w:t>
      </w:r>
      <w:r w:rsidRPr="009E7C24">
        <w:t xml:space="preserve"> have </w:t>
      </w:r>
      <w:r w:rsidR="004D457F" w:rsidRPr="009E7C24">
        <w:t xml:space="preserve">over </w:t>
      </w:r>
      <w:r w:rsidR="00AF3C40" w:rsidRPr="009E7C24">
        <w:rPr>
          <w:highlight w:val="yellow"/>
        </w:rPr>
        <w:t>8</w:t>
      </w:r>
      <w:r w:rsidR="002D44B3" w:rsidRPr="009E7C24">
        <w:rPr>
          <w:highlight w:val="yellow"/>
        </w:rPr>
        <w:t>5</w:t>
      </w:r>
      <w:r w:rsidRPr="009E7C24">
        <w:rPr>
          <w:highlight w:val="yellow"/>
        </w:rPr>
        <w:t>%</w:t>
      </w:r>
      <w:r w:rsidRPr="009E7C24">
        <w:t xml:space="preserve"> power to detect an odds ratio of </w:t>
      </w:r>
      <w:r w:rsidR="004D457F" w:rsidRPr="009E7C24">
        <w:t>1.6</w:t>
      </w:r>
      <w:r w:rsidRPr="009E7C24">
        <w:t xml:space="preserve"> </w:t>
      </w:r>
      <w:r w:rsidR="00B870A9" w:rsidRPr="009E7C24">
        <w:t>or higher (Table B 1.2)</w:t>
      </w:r>
      <w:r w:rsidR="009E7C24" w:rsidRPr="009E7C24">
        <w:t xml:space="preserve">.  </w:t>
      </w:r>
      <w:r w:rsidR="00F252BE" w:rsidRPr="009E7C24">
        <w:t xml:space="preserve">In each arm of a stratified analysis (e.g., stratifying on disinfectant type), the study will have </w:t>
      </w:r>
      <w:r w:rsidR="002D44B3" w:rsidRPr="009E7C24">
        <w:t>approximately</w:t>
      </w:r>
      <w:r w:rsidR="009E7C24">
        <w:t xml:space="preserve"> </w:t>
      </w:r>
      <w:r w:rsidR="002D44B3" w:rsidRPr="009E7C24">
        <w:rPr>
          <w:highlight w:val="yellow"/>
        </w:rPr>
        <w:t>80</w:t>
      </w:r>
      <w:r w:rsidR="00F252BE" w:rsidRPr="009E7C24">
        <w:rPr>
          <w:highlight w:val="yellow"/>
        </w:rPr>
        <w:t>%</w:t>
      </w:r>
      <w:r w:rsidR="00F252BE" w:rsidRPr="009E7C24">
        <w:t xml:space="preserve"> power to detect an odds ratio for AGI of 1.</w:t>
      </w:r>
      <w:r w:rsidR="004D457F" w:rsidRPr="009E7C24">
        <w:t>8</w:t>
      </w:r>
      <w:r w:rsidR="00F252BE" w:rsidRPr="009E7C24">
        <w:t xml:space="preserve"> or larger. </w:t>
      </w:r>
      <w:bookmarkStart w:id="2" w:name="OLE_LINK12"/>
      <w:bookmarkStart w:id="3" w:name="OLE_LINK13"/>
    </w:p>
    <w:p w14:paraId="1CD3C92F" w14:textId="77777777" w:rsidR="00F406B5" w:rsidRPr="007F7B1D" w:rsidRDefault="00F406B5" w:rsidP="00DA794C">
      <w:pPr>
        <w:ind w:left="720"/>
        <w:rPr>
          <w:bCs/>
        </w:rPr>
      </w:pPr>
    </w:p>
    <w:bookmarkEnd w:id="2"/>
    <w:bookmarkEnd w:id="3"/>
    <w:p w14:paraId="5C49A31E" w14:textId="0C340671" w:rsidR="0042207C" w:rsidRPr="007F7B1D" w:rsidRDefault="0042207C" w:rsidP="0042207C">
      <w:pPr>
        <w:rPr>
          <w:bCs/>
        </w:rPr>
      </w:pPr>
      <w:r w:rsidRPr="004C01F8">
        <w:rPr>
          <w:highlight w:val="yellow"/>
        </w:rPr>
        <w:t xml:space="preserve">Under these assumptions and goals, we estimate that we will have enough respondents to meet the goal </w:t>
      </w:r>
      <w:r w:rsidR="00134277" w:rsidRPr="004C01F8">
        <w:rPr>
          <w:highlight w:val="yellow"/>
        </w:rPr>
        <w:t xml:space="preserve">of detecting </w:t>
      </w:r>
      <w:r w:rsidR="002D42C2" w:rsidRPr="004C01F8">
        <w:rPr>
          <w:highlight w:val="yellow"/>
        </w:rPr>
        <w:t xml:space="preserve">a </w:t>
      </w:r>
      <w:r w:rsidR="00134277" w:rsidRPr="004C01F8">
        <w:rPr>
          <w:highlight w:val="yellow"/>
        </w:rPr>
        <w:t>statistically significant odds ratio of 1.6 or greater in an unstratified analysis (</w:t>
      </w:r>
      <w:r w:rsidR="008D542E" w:rsidRPr="004C01F8">
        <w:rPr>
          <w:highlight w:val="yellow"/>
        </w:rPr>
        <w:t xml:space="preserve">an increased risk </w:t>
      </w:r>
      <w:r w:rsidR="00134277" w:rsidRPr="004C01F8">
        <w:rPr>
          <w:highlight w:val="yellow"/>
        </w:rPr>
        <w:t xml:space="preserve">similar to the Nygard study), and further that we would be able to detect a </w:t>
      </w:r>
      <w:r w:rsidRPr="004C01F8">
        <w:rPr>
          <w:highlight w:val="yellow"/>
        </w:rPr>
        <w:t xml:space="preserve">statistically-significant </w:t>
      </w:r>
      <w:r w:rsidR="00F47F12" w:rsidRPr="004C01F8">
        <w:rPr>
          <w:highlight w:val="yellow"/>
        </w:rPr>
        <w:t>odds ratio of 1.</w:t>
      </w:r>
      <w:r w:rsidR="004D457F" w:rsidRPr="004C01F8">
        <w:rPr>
          <w:highlight w:val="yellow"/>
        </w:rPr>
        <w:t>8</w:t>
      </w:r>
      <w:r w:rsidRPr="004C01F8">
        <w:rPr>
          <w:highlight w:val="yellow"/>
        </w:rPr>
        <w:t xml:space="preserve"> or greater</w:t>
      </w:r>
      <w:r w:rsidR="00943B98" w:rsidRPr="004C01F8">
        <w:rPr>
          <w:highlight w:val="yellow"/>
        </w:rPr>
        <w:t xml:space="preserve"> </w:t>
      </w:r>
      <w:r w:rsidRPr="004C01F8">
        <w:rPr>
          <w:highlight w:val="yellow"/>
        </w:rPr>
        <w:t xml:space="preserve">for AGI </w:t>
      </w:r>
      <w:r w:rsidR="00696734" w:rsidRPr="004C01F8">
        <w:rPr>
          <w:highlight w:val="yellow"/>
        </w:rPr>
        <w:t>within each</w:t>
      </w:r>
      <w:r w:rsidR="00134277" w:rsidRPr="004C01F8">
        <w:rPr>
          <w:highlight w:val="yellow"/>
        </w:rPr>
        <w:t xml:space="preserve"> disinfectant type</w:t>
      </w:r>
      <w:r w:rsidR="00696734" w:rsidRPr="004C01F8">
        <w:rPr>
          <w:highlight w:val="yellow"/>
        </w:rPr>
        <w:t xml:space="preserve"> subgroup</w:t>
      </w:r>
      <w:r w:rsidRPr="007F7B1D">
        <w:t xml:space="preserve">. </w:t>
      </w:r>
      <w:r w:rsidR="00F252BE">
        <w:t>Finding non-significantly elevated risks would suggest that additional research with additional precision and statistical power is needed.</w:t>
      </w:r>
    </w:p>
    <w:p w14:paraId="10039BE1" w14:textId="77777777" w:rsidR="0042207C" w:rsidRDefault="0042207C" w:rsidP="0042207C">
      <w:pPr>
        <w:rPr>
          <w:b/>
          <w:bCs/>
        </w:rPr>
      </w:pPr>
    </w:p>
    <w:p w14:paraId="0845BB2B" w14:textId="77777777" w:rsidR="00F406B5" w:rsidRDefault="00F406B5" w:rsidP="0042207C">
      <w:pPr>
        <w:rPr>
          <w:b/>
          <w:bCs/>
        </w:rPr>
      </w:pPr>
    </w:p>
    <w:p w14:paraId="762A1571" w14:textId="77777777" w:rsidR="00F406B5" w:rsidRDefault="00F406B5" w:rsidP="0042207C">
      <w:pPr>
        <w:rPr>
          <w:b/>
          <w:bCs/>
        </w:rPr>
      </w:pPr>
    </w:p>
    <w:p w14:paraId="4785926D" w14:textId="77777777" w:rsidR="00F406B5" w:rsidRDefault="00F406B5" w:rsidP="0042207C">
      <w:pPr>
        <w:rPr>
          <w:b/>
          <w:bCs/>
        </w:rPr>
      </w:pPr>
    </w:p>
    <w:p w14:paraId="6A4F3B88" w14:textId="77777777" w:rsidR="00F406B5" w:rsidRDefault="00F406B5" w:rsidP="0042207C">
      <w:pPr>
        <w:rPr>
          <w:b/>
          <w:bCs/>
        </w:rPr>
      </w:pPr>
    </w:p>
    <w:p w14:paraId="7CABCBBC" w14:textId="77777777" w:rsidR="00F406B5" w:rsidRDefault="00F406B5" w:rsidP="0042207C">
      <w:pPr>
        <w:rPr>
          <w:b/>
          <w:bCs/>
        </w:rPr>
      </w:pPr>
    </w:p>
    <w:p w14:paraId="65B3EABF" w14:textId="77777777" w:rsidR="00F406B5" w:rsidRDefault="00F406B5" w:rsidP="0042207C">
      <w:pPr>
        <w:rPr>
          <w:b/>
          <w:bCs/>
        </w:rPr>
      </w:pPr>
    </w:p>
    <w:p w14:paraId="4150F38E" w14:textId="77777777" w:rsidR="00FB120D" w:rsidRDefault="00FB120D" w:rsidP="0042207C">
      <w:pPr>
        <w:rPr>
          <w:b/>
          <w:bCs/>
        </w:rPr>
      </w:pPr>
    </w:p>
    <w:p w14:paraId="599C7337" w14:textId="29E1B45E" w:rsidR="00515852" w:rsidRPr="00794868" w:rsidRDefault="00515852" w:rsidP="00BD5AC5">
      <w:pPr>
        <w:ind w:left="-90"/>
        <w:rPr>
          <w:bCs/>
          <w:i/>
        </w:rPr>
      </w:pPr>
      <w:r w:rsidRPr="00794868">
        <w:rPr>
          <w:bCs/>
          <w:i/>
        </w:rPr>
        <w:t>Table B.1.2 – Power Calculations for Overall Study*</w:t>
      </w:r>
    </w:p>
    <w:tbl>
      <w:tblPr>
        <w:tblW w:w="10080" w:type="dxa"/>
        <w:tblInd w:w="-588" w:type="dxa"/>
        <w:tblCellMar>
          <w:left w:w="0" w:type="dxa"/>
          <w:right w:w="0" w:type="dxa"/>
        </w:tblCellMar>
        <w:tblLook w:val="04A0" w:firstRow="1" w:lastRow="0" w:firstColumn="1" w:lastColumn="0" w:noHBand="0" w:noVBand="1"/>
      </w:tblPr>
      <w:tblGrid>
        <w:gridCol w:w="869"/>
        <w:gridCol w:w="1337"/>
        <w:gridCol w:w="1296"/>
        <w:gridCol w:w="1106"/>
        <w:gridCol w:w="1337"/>
        <w:gridCol w:w="802"/>
        <w:gridCol w:w="1019"/>
        <w:gridCol w:w="1234"/>
        <w:gridCol w:w="1080"/>
      </w:tblGrid>
      <w:tr w:rsidR="00B870A9" w:rsidRPr="00FE6F4E" w14:paraId="61F8F435" w14:textId="77777777" w:rsidTr="009E7C24">
        <w:trPr>
          <w:trHeight w:val="427"/>
        </w:trPr>
        <w:tc>
          <w:tcPr>
            <w:tcW w:w="869" w:type="dxa"/>
            <w:vMerge w:val="restart"/>
            <w:tcBorders>
              <w:top w:val="single" w:sz="4" w:space="0" w:color="auto"/>
              <w:left w:val="nil"/>
              <w:right w:val="nil"/>
            </w:tcBorders>
            <w:tcMar>
              <w:top w:w="0" w:type="dxa"/>
              <w:left w:w="108" w:type="dxa"/>
              <w:bottom w:w="0" w:type="dxa"/>
              <w:right w:w="108" w:type="dxa"/>
            </w:tcMar>
            <w:vAlign w:val="center"/>
          </w:tcPr>
          <w:p w14:paraId="13636FCE"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Power</w:t>
            </w:r>
          </w:p>
        </w:tc>
        <w:tc>
          <w:tcPr>
            <w:tcW w:w="1337" w:type="dxa"/>
            <w:vMerge w:val="restart"/>
            <w:tcBorders>
              <w:top w:val="single" w:sz="4" w:space="0" w:color="auto"/>
              <w:left w:val="nil"/>
              <w:right w:val="nil"/>
            </w:tcBorders>
            <w:shd w:val="clear" w:color="auto" w:fill="F2F2F2" w:themeFill="background1" w:themeFillShade="F2"/>
            <w:tcMar>
              <w:top w:w="0" w:type="dxa"/>
              <w:left w:w="108" w:type="dxa"/>
              <w:bottom w:w="0" w:type="dxa"/>
              <w:right w:w="108" w:type="dxa"/>
            </w:tcMar>
            <w:vAlign w:val="center"/>
          </w:tcPr>
          <w:p w14:paraId="68C4EB9A"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AGI Unexposed</w:t>
            </w:r>
          </w:p>
        </w:tc>
        <w:tc>
          <w:tcPr>
            <w:tcW w:w="1296" w:type="dxa"/>
            <w:vMerge w:val="restart"/>
            <w:tcBorders>
              <w:top w:val="single" w:sz="4" w:space="0" w:color="auto"/>
              <w:left w:val="nil"/>
              <w:right w:val="nil"/>
            </w:tcBorders>
            <w:tcMar>
              <w:top w:w="0" w:type="dxa"/>
              <w:left w:w="108" w:type="dxa"/>
              <w:bottom w:w="0" w:type="dxa"/>
              <w:right w:w="108" w:type="dxa"/>
            </w:tcMar>
            <w:vAlign w:val="center"/>
          </w:tcPr>
          <w:p w14:paraId="658F74DE"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Odds Ratio</w:t>
            </w:r>
          </w:p>
        </w:tc>
        <w:tc>
          <w:tcPr>
            <w:tcW w:w="3245" w:type="dxa"/>
            <w:gridSpan w:val="3"/>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bottom"/>
          </w:tcPr>
          <w:p w14:paraId="4B836780"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No. of HHs</w:t>
            </w:r>
          </w:p>
        </w:tc>
        <w:tc>
          <w:tcPr>
            <w:tcW w:w="3333" w:type="dxa"/>
            <w:gridSpan w:val="3"/>
            <w:tcBorders>
              <w:top w:val="single" w:sz="4" w:space="0" w:color="auto"/>
              <w:left w:val="nil"/>
              <w:bottom w:val="single" w:sz="4" w:space="0" w:color="auto"/>
              <w:right w:val="nil"/>
            </w:tcBorders>
            <w:vAlign w:val="bottom"/>
          </w:tcPr>
          <w:p w14:paraId="0B268733"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Nonresponse-inflated*</w:t>
            </w:r>
          </w:p>
          <w:p w14:paraId="601D6001"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No. of HHs</w:t>
            </w:r>
          </w:p>
        </w:tc>
      </w:tr>
      <w:tr w:rsidR="00B870A9" w:rsidRPr="00FE6F4E" w14:paraId="16360A38" w14:textId="77777777" w:rsidTr="009E7C24">
        <w:trPr>
          <w:trHeight w:val="427"/>
        </w:trPr>
        <w:tc>
          <w:tcPr>
            <w:tcW w:w="869" w:type="dxa"/>
            <w:vMerge/>
            <w:tcBorders>
              <w:left w:val="nil"/>
              <w:bottom w:val="single" w:sz="4" w:space="0" w:color="auto"/>
              <w:right w:val="nil"/>
            </w:tcBorders>
            <w:tcMar>
              <w:top w:w="0" w:type="dxa"/>
              <w:left w:w="108" w:type="dxa"/>
              <w:bottom w:w="0" w:type="dxa"/>
              <w:right w:w="108" w:type="dxa"/>
            </w:tcMar>
            <w:hideMark/>
          </w:tcPr>
          <w:p w14:paraId="26BD7A09" w14:textId="77777777" w:rsidR="00B870A9" w:rsidRPr="00FE6F4E" w:rsidRDefault="00B870A9" w:rsidP="00907752">
            <w:pPr>
              <w:jc w:val="center"/>
              <w:rPr>
                <w:rFonts w:cs="Times New Roman"/>
                <w:b/>
                <w:bCs/>
                <w:szCs w:val="24"/>
                <w:highlight w:val="yellow"/>
              </w:rPr>
            </w:pPr>
          </w:p>
        </w:tc>
        <w:tc>
          <w:tcPr>
            <w:tcW w:w="1337" w:type="dxa"/>
            <w:vMerge/>
            <w:tcBorders>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4DFF6A82" w14:textId="77777777" w:rsidR="00B870A9" w:rsidRPr="00FE6F4E" w:rsidRDefault="00B870A9" w:rsidP="00907752">
            <w:pPr>
              <w:jc w:val="center"/>
              <w:rPr>
                <w:rFonts w:cs="Times New Roman"/>
                <w:b/>
                <w:bCs/>
                <w:szCs w:val="24"/>
                <w:highlight w:val="yellow"/>
              </w:rPr>
            </w:pPr>
          </w:p>
        </w:tc>
        <w:tc>
          <w:tcPr>
            <w:tcW w:w="1296" w:type="dxa"/>
            <w:vMerge/>
            <w:tcBorders>
              <w:left w:val="nil"/>
              <w:bottom w:val="single" w:sz="4" w:space="0" w:color="auto"/>
              <w:right w:val="nil"/>
            </w:tcBorders>
            <w:tcMar>
              <w:top w:w="0" w:type="dxa"/>
              <w:left w:w="108" w:type="dxa"/>
              <w:bottom w:w="0" w:type="dxa"/>
              <w:right w:w="108" w:type="dxa"/>
            </w:tcMar>
            <w:hideMark/>
          </w:tcPr>
          <w:p w14:paraId="5AA5E2C1" w14:textId="77777777" w:rsidR="00B870A9" w:rsidRPr="00FE6F4E" w:rsidRDefault="00B870A9" w:rsidP="00907752">
            <w:pPr>
              <w:jc w:val="center"/>
              <w:rPr>
                <w:rFonts w:cs="Times New Roman"/>
                <w:b/>
                <w:bCs/>
                <w:szCs w:val="24"/>
                <w:highlight w:val="yellow"/>
              </w:rPr>
            </w:pPr>
          </w:p>
        </w:tc>
        <w:tc>
          <w:tcPr>
            <w:tcW w:w="1106"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28F8E4AD"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Exposed HHs</w:t>
            </w:r>
          </w:p>
        </w:tc>
        <w:tc>
          <w:tcPr>
            <w:tcW w:w="1337"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6F697D2A"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Unexposed HHs</w:t>
            </w:r>
          </w:p>
        </w:tc>
        <w:tc>
          <w:tcPr>
            <w:tcW w:w="802"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3CF39690"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Total</w:t>
            </w:r>
          </w:p>
          <w:p w14:paraId="67E3F823"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HHs</w:t>
            </w:r>
          </w:p>
        </w:tc>
        <w:tc>
          <w:tcPr>
            <w:tcW w:w="1019" w:type="dxa"/>
            <w:tcBorders>
              <w:top w:val="single" w:sz="4" w:space="0" w:color="auto"/>
              <w:left w:val="nil"/>
              <w:bottom w:val="single" w:sz="4" w:space="0" w:color="auto"/>
              <w:right w:val="nil"/>
            </w:tcBorders>
          </w:tcPr>
          <w:p w14:paraId="2FB35126"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Exposed HHs</w:t>
            </w:r>
          </w:p>
        </w:tc>
        <w:tc>
          <w:tcPr>
            <w:tcW w:w="1234" w:type="dxa"/>
            <w:tcBorders>
              <w:top w:val="single" w:sz="4" w:space="0" w:color="auto"/>
              <w:left w:val="nil"/>
              <w:bottom w:val="single" w:sz="4" w:space="0" w:color="auto"/>
              <w:right w:val="nil"/>
            </w:tcBorders>
          </w:tcPr>
          <w:p w14:paraId="0D3CF101"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Unexposed HHs</w:t>
            </w:r>
          </w:p>
        </w:tc>
        <w:tc>
          <w:tcPr>
            <w:tcW w:w="1080" w:type="dxa"/>
            <w:tcBorders>
              <w:top w:val="single" w:sz="4" w:space="0" w:color="auto"/>
              <w:left w:val="nil"/>
              <w:bottom w:val="single" w:sz="4" w:space="0" w:color="auto"/>
              <w:right w:val="nil"/>
            </w:tcBorders>
          </w:tcPr>
          <w:p w14:paraId="75F670CD"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Total</w:t>
            </w:r>
          </w:p>
          <w:p w14:paraId="0A526695"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HHs</w:t>
            </w:r>
          </w:p>
        </w:tc>
      </w:tr>
      <w:tr w:rsidR="00B870A9" w:rsidRPr="00FE6F4E" w14:paraId="29E24F59" w14:textId="77777777" w:rsidTr="009E7C24">
        <w:trPr>
          <w:trHeight w:val="209"/>
        </w:trPr>
        <w:tc>
          <w:tcPr>
            <w:tcW w:w="869" w:type="dxa"/>
            <w:tcBorders>
              <w:top w:val="single" w:sz="4" w:space="0" w:color="auto"/>
            </w:tcBorders>
            <w:shd w:val="clear" w:color="auto" w:fill="FFFFFF" w:themeFill="background1"/>
            <w:tcMar>
              <w:top w:w="0" w:type="dxa"/>
              <w:left w:w="108" w:type="dxa"/>
              <w:bottom w:w="0" w:type="dxa"/>
              <w:right w:w="108" w:type="dxa"/>
            </w:tcMar>
          </w:tcPr>
          <w:p w14:paraId="3232C0A4" w14:textId="77777777" w:rsidR="00B870A9" w:rsidRPr="00FE6F4E" w:rsidRDefault="00B870A9" w:rsidP="00907752">
            <w:pPr>
              <w:jc w:val="center"/>
              <w:rPr>
                <w:rFonts w:cs="Times New Roman"/>
                <w:b/>
                <w:bCs/>
                <w:szCs w:val="24"/>
                <w:highlight w:val="yellow"/>
              </w:rPr>
            </w:pPr>
            <w:r w:rsidRPr="00FE6F4E">
              <w:rPr>
                <w:rFonts w:cs="Times New Roman"/>
                <w:b/>
                <w:bCs/>
                <w:szCs w:val="24"/>
                <w:highlight w:val="yellow"/>
              </w:rPr>
              <w:t>85%</w:t>
            </w:r>
          </w:p>
        </w:tc>
        <w:tc>
          <w:tcPr>
            <w:tcW w:w="1337" w:type="dxa"/>
            <w:tcBorders>
              <w:top w:val="single" w:sz="4" w:space="0" w:color="auto"/>
            </w:tcBorders>
            <w:shd w:val="clear" w:color="auto" w:fill="F2F2F2" w:themeFill="background1" w:themeFillShade="F2"/>
            <w:tcMar>
              <w:top w:w="0" w:type="dxa"/>
              <w:left w:w="108" w:type="dxa"/>
              <w:bottom w:w="0" w:type="dxa"/>
              <w:right w:w="108" w:type="dxa"/>
            </w:tcMar>
          </w:tcPr>
          <w:p w14:paraId="60151331"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5%</w:t>
            </w:r>
          </w:p>
        </w:tc>
        <w:tc>
          <w:tcPr>
            <w:tcW w:w="1296" w:type="dxa"/>
            <w:tcBorders>
              <w:top w:val="single" w:sz="4" w:space="0" w:color="auto"/>
            </w:tcBorders>
            <w:shd w:val="clear" w:color="auto" w:fill="FFFFFF" w:themeFill="background1"/>
            <w:tcMar>
              <w:top w:w="0" w:type="dxa"/>
              <w:left w:w="108" w:type="dxa"/>
              <w:bottom w:w="0" w:type="dxa"/>
              <w:right w:w="108" w:type="dxa"/>
            </w:tcMar>
          </w:tcPr>
          <w:p w14:paraId="238E20CF"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1.6</w:t>
            </w:r>
          </w:p>
        </w:tc>
        <w:tc>
          <w:tcPr>
            <w:tcW w:w="1106" w:type="dxa"/>
            <w:tcBorders>
              <w:top w:val="single" w:sz="4" w:space="0" w:color="auto"/>
            </w:tcBorders>
            <w:shd w:val="clear" w:color="auto" w:fill="F2F2F2" w:themeFill="background1" w:themeFillShade="F2"/>
            <w:tcMar>
              <w:top w:w="0" w:type="dxa"/>
              <w:left w:w="108" w:type="dxa"/>
              <w:bottom w:w="0" w:type="dxa"/>
              <w:right w:w="108" w:type="dxa"/>
            </w:tcMar>
          </w:tcPr>
          <w:p w14:paraId="1E8D6F28"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1225</w:t>
            </w:r>
          </w:p>
        </w:tc>
        <w:tc>
          <w:tcPr>
            <w:tcW w:w="1337" w:type="dxa"/>
            <w:tcBorders>
              <w:top w:val="single" w:sz="4" w:space="0" w:color="auto"/>
            </w:tcBorders>
            <w:shd w:val="clear" w:color="auto" w:fill="F2F2F2" w:themeFill="background1" w:themeFillShade="F2"/>
            <w:tcMar>
              <w:top w:w="0" w:type="dxa"/>
              <w:left w:w="108" w:type="dxa"/>
              <w:bottom w:w="0" w:type="dxa"/>
              <w:right w:w="108" w:type="dxa"/>
            </w:tcMar>
          </w:tcPr>
          <w:p w14:paraId="32EE0FB9"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1828</w:t>
            </w:r>
          </w:p>
        </w:tc>
        <w:tc>
          <w:tcPr>
            <w:tcW w:w="802" w:type="dxa"/>
            <w:tcBorders>
              <w:top w:val="single" w:sz="4" w:space="0" w:color="auto"/>
            </w:tcBorders>
            <w:shd w:val="clear" w:color="auto" w:fill="F2F2F2" w:themeFill="background1" w:themeFillShade="F2"/>
            <w:tcMar>
              <w:top w:w="0" w:type="dxa"/>
              <w:left w:w="108" w:type="dxa"/>
              <w:bottom w:w="0" w:type="dxa"/>
              <w:right w:w="108" w:type="dxa"/>
            </w:tcMar>
          </w:tcPr>
          <w:p w14:paraId="71DDFCE7"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3053</w:t>
            </w:r>
          </w:p>
        </w:tc>
        <w:tc>
          <w:tcPr>
            <w:tcW w:w="1019" w:type="dxa"/>
            <w:tcBorders>
              <w:top w:val="single" w:sz="4" w:space="0" w:color="auto"/>
            </w:tcBorders>
            <w:shd w:val="clear" w:color="auto" w:fill="FFFFFF" w:themeFill="background1"/>
          </w:tcPr>
          <w:p w14:paraId="6C3C1BCE"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3063</w:t>
            </w:r>
          </w:p>
        </w:tc>
        <w:tc>
          <w:tcPr>
            <w:tcW w:w="1234" w:type="dxa"/>
            <w:tcBorders>
              <w:top w:val="single" w:sz="4" w:space="0" w:color="auto"/>
            </w:tcBorders>
            <w:shd w:val="clear" w:color="auto" w:fill="FFFFFF" w:themeFill="background1"/>
          </w:tcPr>
          <w:p w14:paraId="5903B1A2"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4570</w:t>
            </w:r>
          </w:p>
        </w:tc>
        <w:tc>
          <w:tcPr>
            <w:tcW w:w="1080" w:type="dxa"/>
            <w:tcBorders>
              <w:top w:val="single" w:sz="4" w:space="0" w:color="auto"/>
            </w:tcBorders>
            <w:shd w:val="clear" w:color="auto" w:fill="FFFFFF" w:themeFill="background1"/>
          </w:tcPr>
          <w:p w14:paraId="7DC2812B"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7633</w:t>
            </w:r>
          </w:p>
        </w:tc>
      </w:tr>
      <w:tr w:rsidR="00B870A9" w:rsidRPr="00FE6F4E" w14:paraId="57AEF072" w14:textId="77777777" w:rsidTr="009E7C24">
        <w:trPr>
          <w:trHeight w:val="217"/>
        </w:trPr>
        <w:tc>
          <w:tcPr>
            <w:tcW w:w="869" w:type="dxa"/>
            <w:tcMar>
              <w:top w:w="0" w:type="dxa"/>
              <w:left w:w="108" w:type="dxa"/>
              <w:bottom w:w="0" w:type="dxa"/>
              <w:right w:w="108" w:type="dxa"/>
            </w:tcMar>
            <w:hideMark/>
          </w:tcPr>
          <w:p w14:paraId="6A0AE591"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97%</w:t>
            </w:r>
          </w:p>
        </w:tc>
        <w:tc>
          <w:tcPr>
            <w:tcW w:w="1337" w:type="dxa"/>
            <w:shd w:val="clear" w:color="auto" w:fill="F2F2F2" w:themeFill="background1" w:themeFillShade="F2"/>
            <w:tcMar>
              <w:top w:w="0" w:type="dxa"/>
              <w:left w:w="108" w:type="dxa"/>
              <w:bottom w:w="0" w:type="dxa"/>
              <w:right w:w="108" w:type="dxa"/>
            </w:tcMar>
            <w:hideMark/>
          </w:tcPr>
          <w:p w14:paraId="3F15DC85"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5%</w:t>
            </w:r>
          </w:p>
        </w:tc>
        <w:tc>
          <w:tcPr>
            <w:tcW w:w="1296" w:type="dxa"/>
            <w:tcMar>
              <w:top w:w="0" w:type="dxa"/>
              <w:left w:w="108" w:type="dxa"/>
              <w:bottom w:w="0" w:type="dxa"/>
              <w:right w:w="108" w:type="dxa"/>
            </w:tcMar>
            <w:hideMark/>
          </w:tcPr>
          <w:p w14:paraId="44B9A2EC"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1.8</w:t>
            </w:r>
          </w:p>
        </w:tc>
        <w:tc>
          <w:tcPr>
            <w:tcW w:w="1106" w:type="dxa"/>
            <w:shd w:val="clear" w:color="auto" w:fill="F2F2F2" w:themeFill="background1" w:themeFillShade="F2"/>
            <w:tcMar>
              <w:top w:w="0" w:type="dxa"/>
              <w:left w:w="108" w:type="dxa"/>
              <w:bottom w:w="0" w:type="dxa"/>
              <w:right w:w="108" w:type="dxa"/>
            </w:tcMar>
            <w:hideMark/>
          </w:tcPr>
          <w:p w14:paraId="20AC11F3"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1225</w:t>
            </w:r>
          </w:p>
        </w:tc>
        <w:tc>
          <w:tcPr>
            <w:tcW w:w="1337" w:type="dxa"/>
            <w:shd w:val="clear" w:color="auto" w:fill="F2F2F2" w:themeFill="background1" w:themeFillShade="F2"/>
            <w:tcMar>
              <w:top w:w="0" w:type="dxa"/>
              <w:left w:w="108" w:type="dxa"/>
              <w:bottom w:w="0" w:type="dxa"/>
              <w:right w:w="108" w:type="dxa"/>
            </w:tcMar>
            <w:hideMark/>
          </w:tcPr>
          <w:p w14:paraId="0439656E"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1828</w:t>
            </w:r>
          </w:p>
        </w:tc>
        <w:tc>
          <w:tcPr>
            <w:tcW w:w="802" w:type="dxa"/>
            <w:shd w:val="clear" w:color="auto" w:fill="F2F2F2" w:themeFill="background1" w:themeFillShade="F2"/>
            <w:tcMar>
              <w:top w:w="0" w:type="dxa"/>
              <w:left w:w="108" w:type="dxa"/>
              <w:bottom w:w="0" w:type="dxa"/>
              <w:right w:w="108" w:type="dxa"/>
            </w:tcMar>
            <w:hideMark/>
          </w:tcPr>
          <w:p w14:paraId="28F4F1BF"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3053</w:t>
            </w:r>
          </w:p>
        </w:tc>
        <w:tc>
          <w:tcPr>
            <w:tcW w:w="1019" w:type="dxa"/>
          </w:tcPr>
          <w:p w14:paraId="57EAFC7C"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3063</w:t>
            </w:r>
          </w:p>
        </w:tc>
        <w:tc>
          <w:tcPr>
            <w:tcW w:w="1234" w:type="dxa"/>
          </w:tcPr>
          <w:p w14:paraId="6CE5018D"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4570</w:t>
            </w:r>
          </w:p>
        </w:tc>
        <w:tc>
          <w:tcPr>
            <w:tcW w:w="1080" w:type="dxa"/>
          </w:tcPr>
          <w:p w14:paraId="28797CA1"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7633</w:t>
            </w:r>
          </w:p>
        </w:tc>
      </w:tr>
      <w:tr w:rsidR="00B870A9" w:rsidRPr="00055926" w14:paraId="53E18693" w14:textId="77777777" w:rsidTr="009E7C24">
        <w:trPr>
          <w:trHeight w:val="217"/>
        </w:trPr>
        <w:tc>
          <w:tcPr>
            <w:tcW w:w="869" w:type="dxa"/>
            <w:tcBorders>
              <w:top w:val="nil"/>
              <w:left w:val="nil"/>
              <w:bottom w:val="single" w:sz="4" w:space="0" w:color="auto"/>
              <w:right w:val="nil"/>
            </w:tcBorders>
            <w:tcMar>
              <w:top w:w="0" w:type="dxa"/>
              <w:left w:w="108" w:type="dxa"/>
              <w:bottom w:w="0" w:type="dxa"/>
              <w:right w:w="108" w:type="dxa"/>
            </w:tcMar>
            <w:hideMark/>
          </w:tcPr>
          <w:p w14:paraId="6D4B3BF3"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100%</w:t>
            </w:r>
          </w:p>
        </w:tc>
        <w:tc>
          <w:tcPr>
            <w:tcW w:w="1337"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7A47C0C0"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5%</w:t>
            </w:r>
          </w:p>
        </w:tc>
        <w:tc>
          <w:tcPr>
            <w:tcW w:w="1296" w:type="dxa"/>
            <w:tcBorders>
              <w:top w:val="nil"/>
              <w:left w:val="nil"/>
              <w:bottom w:val="single" w:sz="4" w:space="0" w:color="auto"/>
              <w:right w:val="nil"/>
            </w:tcBorders>
            <w:tcMar>
              <w:top w:w="0" w:type="dxa"/>
              <w:left w:w="108" w:type="dxa"/>
              <w:bottom w:w="0" w:type="dxa"/>
              <w:right w:w="108" w:type="dxa"/>
            </w:tcMar>
            <w:hideMark/>
          </w:tcPr>
          <w:p w14:paraId="2DBA801C"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2.0</w:t>
            </w:r>
          </w:p>
        </w:tc>
        <w:tc>
          <w:tcPr>
            <w:tcW w:w="1106"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66D17D79"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1225</w:t>
            </w:r>
          </w:p>
        </w:tc>
        <w:tc>
          <w:tcPr>
            <w:tcW w:w="1337"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0DC779DB"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1828</w:t>
            </w:r>
          </w:p>
        </w:tc>
        <w:tc>
          <w:tcPr>
            <w:tcW w:w="802"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389A7371"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3053</w:t>
            </w:r>
          </w:p>
        </w:tc>
        <w:tc>
          <w:tcPr>
            <w:tcW w:w="1019" w:type="dxa"/>
            <w:tcBorders>
              <w:top w:val="nil"/>
              <w:left w:val="nil"/>
              <w:bottom w:val="single" w:sz="4" w:space="0" w:color="auto"/>
              <w:right w:val="nil"/>
            </w:tcBorders>
          </w:tcPr>
          <w:p w14:paraId="184B8853"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3063</w:t>
            </w:r>
          </w:p>
        </w:tc>
        <w:tc>
          <w:tcPr>
            <w:tcW w:w="1234" w:type="dxa"/>
            <w:tcBorders>
              <w:top w:val="nil"/>
              <w:left w:val="nil"/>
              <w:bottom w:val="single" w:sz="4" w:space="0" w:color="auto"/>
              <w:right w:val="nil"/>
            </w:tcBorders>
          </w:tcPr>
          <w:p w14:paraId="24B99C90" w14:textId="77777777" w:rsidR="00B870A9" w:rsidRPr="00FE6F4E" w:rsidRDefault="00B870A9" w:rsidP="00907752">
            <w:pPr>
              <w:jc w:val="center"/>
              <w:rPr>
                <w:rFonts w:cs="Times New Roman"/>
                <w:bCs/>
                <w:szCs w:val="24"/>
                <w:highlight w:val="yellow"/>
              </w:rPr>
            </w:pPr>
            <w:r w:rsidRPr="00FE6F4E">
              <w:rPr>
                <w:rFonts w:cs="Times New Roman"/>
                <w:bCs/>
                <w:szCs w:val="24"/>
                <w:highlight w:val="yellow"/>
              </w:rPr>
              <w:t>4570</w:t>
            </w:r>
          </w:p>
        </w:tc>
        <w:tc>
          <w:tcPr>
            <w:tcW w:w="1080" w:type="dxa"/>
            <w:tcBorders>
              <w:top w:val="nil"/>
              <w:left w:val="nil"/>
              <w:bottom w:val="single" w:sz="4" w:space="0" w:color="auto"/>
              <w:right w:val="nil"/>
            </w:tcBorders>
          </w:tcPr>
          <w:p w14:paraId="7FB813EE" w14:textId="77777777" w:rsidR="00B870A9" w:rsidRPr="009A1F39" w:rsidRDefault="00B870A9" w:rsidP="00907752">
            <w:pPr>
              <w:jc w:val="center"/>
              <w:rPr>
                <w:rFonts w:cs="Times New Roman"/>
                <w:bCs/>
                <w:szCs w:val="24"/>
              </w:rPr>
            </w:pPr>
            <w:r w:rsidRPr="00FE6F4E">
              <w:rPr>
                <w:rFonts w:cs="Times New Roman"/>
                <w:bCs/>
                <w:szCs w:val="24"/>
                <w:highlight w:val="yellow"/>
              </w:rPr>
              <w:t>7633</w:t>
            </w:r>
          </w:p>
        </w:tc>
      </w:tr>
      <w:tr w:rsidR="009E7C24" w:rsidRPr="00055926" w14:paraId="2923E4D4" w14:textId="77777777" w:rsidTr="00396015">
        <w:trPr>
          <w:trHeight w:val="217"/>
        </w:trPr>
        <w:tc>
          <w:tcPr>
            <w:tcW w:w="9000" w:type="dxa"/>
            <w:gridSpan w:val="8"/>
            <w:tcBorders>
              <w:top w:val="single" w:sz="4" w:space="0" w:color="auto"/>
              <w:left w:val="nil"/>
              <w:right w:val="nil"/>
            </w:tcBorders>
            <w:tcMar>
              <w:top w:w="0" w:type="dxa"/>
              <w:left w:w="108" w:type="dxa"/>
              <w:bottom w:w="0" w:type="dxa"/>
              <w:right w:w="108" w:type="dxa"/>
            </w:tcMar>
          </w:tcPr>
          <w:p w14:paraId="07F9F4DF" w14:textId="0DCDFF4D" w:rsidR="009E7C24" w:rsidRPr="009E7C24" w:rsidRDefault="009E7C24" w:rsidP="009E7C24">
            <w:pPr>
              <w:rPr>
                <w:sz w:val="20"/>
                <w:szCs w:val="20"/>
              </w:rPr>
            </w:pPr>
            <w:r w:rsidRPr="00515852">
              <w:rPr>
                <w:bCs/>
                <w:sz w:val="20"/>
                <w:szCs w:val="20"/>
              </w:rPr>
              <w:t>*</w:t>
            </w:r>
            <w:r>
              <w:rPr>
                <w:bCs/>
                <w:sz w:val="20"/>
                <w:szCs w:val="20"/>
              </w:rPr>
              <w:t xml:space="preserve">Assumes a response rate of 40% </w:t>
            </w:r>
            <w:r w:rsidRPr="00515852" w:rsidDel="00B870A9">
              <w:rPr>
                <w:bCs/>
                <w:sz w:val="20"/>
                <w:szCs w:val="20"/>
              </w:rPr>
              <w:t xml:space="preserve"> </w:t>
            </w:r>
          </w:p>
        </w:tc>
        <w:tc>
          <w:tcPr>
            <w:tcW w:w="1080" w:type="dxa"/>
            <w:tcBorders>
              <w:top w:val="single" w:sz="4" w:space="0" w:color="auto"/>
              <w:left w:val="nil"/>
              <w:right w:val="nil"/>
            </w:tcBorders>
          </w:tcPr>
          <w:p w14:paraId="1B33B142" w14:textId="77777777" w:rsidR="009E7C24" w:rsidRPr="00FE6F4E" w:rsidRDefault="009E7C24" w:rsidP="00907752">
            <w:pPr>
              <w:jc w:val="center"/>
              <w:rPr>
                <w:rFonts w:cs="Times New Roman"/>
                <w:bCs/>
                <w:szCs w:val="24"/>
                <w:highlight w:val="yellow"/>
              </w:rPr>
            </w:pPr>
          </w:p>
        </w:tc>
      </w:tr>
    </w:tbl>
    <w:p w14:paraId="7FE81FB3" w14:textId="77777777" w:rsidR="00FB120D" w:rsidRPr="009C4D38" w:rsidRDefault="00FB120D" w:rsidP="0042207C">
      <w:pPr>
        <w:rPr>
          <w:bCs/>
          <w:sz w:val="20"/>
          <w:szCs w:val="20"/>
        </w:rPr>
      </w:pPr>
    </w:p>
    <w:p w14:paraId="0715242C" w14:textId="0B086FCC" w:rsidR="00901EC9" w:rsidRDefault="0042207C" w:rsidP="0042207C">
      <w:r w:rsidRPr="006D7213">
        <w:rPr>
          <w:highlight w:val="yellow"/>
        </w:rPr>
        <w:t xml:space="preserve">If we recruit </w:t>
      </w:r>
      <w:r w:rsidR="007352D1" w:rsidRPr="006D7213">
        <w:rPr>
          <w:highlight w:val="yellow"/>
        </w:rPr>
        <w:t xml:space="preserve">six </w:t>
      </w:r>
      <w:r w:rsidR="006D7213" w:rsidRPr="006D7213">
        <w:rPr>
          <w:highlight w:val="yellow"/>
        </w:rPr>
        <w:t xml:space="preserve">or seven </w:t>
      </w:r>
      <w:r w:rsidRPr="006D7213">
        <w:rPr>
          <w:highlight w:val="yellow"/>
        </w:rPr>
        <w:t>utilities</w:t>
      </w:r>
      <w:r w:rsidR="003E30D5" w:rsidRPr="006D7213">
        <w:rPr>
          <w:highlight w:val="yellow"/>
        </w:rPr>
        <w:t xml:space="preserve"> for the multi-site study</w:t>
      </w:r>
      <w:r w:rsidRPr="006D7213">
        <w:rPr>
          <w:highlight w:val="yellow"/>
        </w:rPr>
        <w:t>, we would need, on average, approximately one low pressure event</w:t>
      </w:r>
      <w:r w:rsidR="00B24B23" w:rsidRPr="006D7213">
        <w:rPr>
          <w:highlight w:val="yellow"/>
        </w:rPr>
        <w:t>s</w:t>
      </w:r>
      <w:r w:rsidRPr="006D7213">
        <w:rPr>
          <w:highlight w:val="yellow"/>
        </w:rPr>
        <w:t xml:space="preserve"> per month per utility</w:t>
      </w:r>
      <w:r w:rsidR="00150B3D" w:rsidRPr="006D7213">
        <w:rPr>
          <w:highlight w:val="yellow"/>
        </w:rPr>
        <w:t>.</w:t>
      </w:r>
      <w:r w:rsidR="00150B3D">
        <w:t xml:space="preserve"> </w:t>
      </w:r>
      <w:r w:rsidR="00150B3D">
        <w:rPr>
          <w:rFonts w:cstheme="minorHAnsi"/>
          <w:szCs w:val="24"/>
        </w:rPr>
        <w:t xml:space="preserve">However, </w:t>
      </w:r>
      <w:r w:rsidR="00150B3D" w:rsidRPr="00374382">
        <w:rPr>
          <w:rFonts w:cstheme="minorHAnsi"/>
          <w:szCs w:val="24"/>
        </w:rPr>
        <w:t xml:space="preserve">many low pressure events affect smaller numbers of households, </w:t>
      </w:r>
      <w:r w:rsidR="00150B3D">
        <w:rPr>
          <w:rFonts w:cstheme="minorHAnsi"/>
          <w:szCs w:val="24"/>
        </w:rPr>
        <w:t>thus</w:t>
      </w:r>
      <w:r w:rsidR="00150B3D" w:rsidRPr="00374382">
        <w:rPr>
          <w:rFonts w:cstheme="minorHAnsi"/>
          <w:szCs w:val="24"/>
        </w:rPr>
        <w:t xml:space="preserve"> the number of households invited to participate will vary based on the number of utility connections affected</w:t>
      </w:r>
      <w:r w:rsidR="00150B3D">
        <w:rPr>
          <w:rFonts w:cstheme="minorHAnsi"/>
          <w:szCs w:val="24"/>
        </w:rPr>
        <w:t xml:space="preserve"> (Table B.1.3)</w:t>
      </w:r>
      <w:r w:rsidR="00150B3D" w:rsidRPr="00B86F88">
        <w:rPr>
          <w:rFonts w:cstheme="minorHAnsi"/>
          <w:szCs w:val="24"/>
        </w:rPr>
        <w:t>.</w:t>
      </w:r>
      <w:r w:rsidR="00150B3D">
        <w:rPr>
          <w:rFonts w:cstheme="minorHAnsi"/>
          <w:szCs w:val="24"/>
        </w:rPr>
        <w:t xml:space="preserve"> </w:t>
      </w:r>
      <w:r w:rsidR="00150B3D" w:rsidRPr="006D7213">
        <w:rPr>
          <w:rFonts w:cstheme="minorHAnsi"/>
          <w:szCs w:val="24"/>
          <w:highlight w:val="yellow"/>
        </w:rPr>
        <w:t xml:space="preserve">Using the estimated event size distribution, which was informed by our </w:t>
      </w:r>
      <w:r w:rsidR="00B870A9">
        <w:rPr>
          <w:rFonts w:cstheme="minorHAnsi"/>
          <w:szCs w:val="24"/>
          <w:highlight w:val="yellow"/>
        </w:rPr>
        <w:t>data as of July 2018</w:t>
      </w:r>
      <w:r w:rsidR="00150B3D" w:rsidRPr="006D7213">
        <w:rPr>
          <w:rFonts w:cstheme="minorHAnsi"/>
          <w:szCs w:val="24"/>
          <w:highlight w:val="yellow"/>
        </w:rPr>
        <w:t xml:space="preserve">, we estimate an approximate sample size of </w:t>
      </w:r>
      <w:r w:rsidR="00B870A9">
        <w:rPr>
          <w:rFonts w:cstheme="minorHAnsi"/>
          <w:szCs w:val="24"/>
          <w:highlight w:val="yellow"/>
        </w:rPr>
        <w:t>7,633</w:t>
      </w:r>
      <w:r w:rsidR="00C732B5" w:rsidRPr="006D7213">
        <w:rPr>
          <w:rFonts w:cstheme="minorHAnsi"/>
          <w:szCs w:val="24"/>
          <w:highlight w:val="yellow"/>
        </w:rPr>
        <w:t xml:space="preserve"> households in the multi-site</w:t>
      </w:r>
      <w:r w:rsidR="00150B3D" w:rsidRPr="006D7213">
        <w:rPr>
          <w:rFonts w:cstheme="minorHAnsi"/>
          <w:szCs w:val="24"/>
          <w:highlight w:val="yellow"/>
        </w:rPr>
        <w:t xml:space="preserve"> study</w:t>
      </w:r>
      <w:r w:rsidR="00C732B5" w:rsidRPr="006D7213">
        <w:rPr>
          <w:rFonts w:cstheme="minorHAnsi"/>
          <w:szCs w:val="24"/>
          <w:highlight w:val="yellow"/>
        </w:rPr>
        <w:t xml:space="preserve"> </w:t>
      </w:r>
      <w:r w:rsidR="00150B3D" w:rsidRPr="006D7213">
        <w:rPr>
          <w:rFonts w:cstheme="minorHAnsi"/>
          <w:szCs w:val="24"/>
          <w:highlight w:val="yellow"/>
        </w:rPr>
        <w:t xml:space="preserve">(Table B.1.3). </w:t>
      </w:r>
    </w:p>
    <w:p w14:paraId="51194F20" w14:textId="77777777" w:rsidR="00FB120D" w:rsidRDefault="00FB120D" w:rsidP="0042207C"/>
    <w:p w14:paraId="086B8F73" w14:textId="31E226B8" w:rsidR="00B870A9" w:rsidRPr="00794868" w:rsidRDefault="00075BCE" w:rsidP="00B870A9">
      <w:pPr>
        <w:ind w:left="-720"/>
        <w:rPr>
          <w:i/>
        </w:rPr>
      </w:pPr>
      <w:r w:rsidRPr="00794868">
        <w:rPr>
          <w:i/>
        </w:rPr>
        <w:t xml:space="preserve">Table B.1.3 – </w:t>
      </w:r>
      <w:r w:rsidR="00943B98" w:rsidRPr="00794868">
        <w:rPr>
          <w:i/>
        </w:rPr>
        <w:t>Distribution of low-pressure event size and number of expected enrolled households</w:t>
      </w:r>
      <w:r w:rsidR="00B870A9" w:rsidRPr="00794868">
        <w:rPr>
          <w:i/>
        </w:rPr>
        <w:t xml:space="preserve"> (HHs) for overall study</w:t>
      </w:r>
      <w:r w:rsidR="00B870A9" w:rsidRPr="00794868">
        <w:rPr>
          <w:rFonts w:cs="Times New Roman"/>
          <w:bCs/>
          <w:i/>
          <w:szCs w:val="24"/>
          <w:vertAlign w:val="superscript"/>
        </w:rPr>
        <w:t>1</w:t>
      </w:r>
    </w:p>
    <w:p w14:paraId="43ADA6D8" w14:textId="329C7F9C" w:rsidR="00B870A9" w:rsidRDefault="00B870A9" w:rsidP="00B870A9">
      <w:pPr>
        <w:ind w:left="-720"/>
        <w:rPr>
          <w:b/>
        </w:rPr>
      </w:pPr>
    </w:p>
    <w:tbl>
      <w:tblPr>
        <w:tblW w:w="9918" w:type="dxa"/>
        <w:tblInd w:w="-648" w:type="dxa"/>
        <w:tblCellMar>
          <w:left w:w="0" w:type="dxa"/>
          <w:right w:w="0" w:type="dxa"/>
        </w:tblCellMar>
        <w:tblLook w:val="04A0" w:firstRow="1" w:lastRow="0" w:firstColumn="1" w:lastColumn="0" w:noHBand="0" w:noVBand="1"/>
      </w:tblPr>
      <w:tblGrid>
        <w:gridCol w:w="1031"/>
        <w:gridCol w:w="856"/>
        <w:gridCol w:w="1083"/>
        <w:gridCol w:w="1121"/>
        <w:gridCol w:w="1083"/>
        <w:gridCol w:w="1337"/>
        <w:gridCol w:w="763"/>
        <w:gridCol w:w="976"/>
        <w:gridCol w:w="1121"/>
        <w:gridCol w:w="547"/>
      </w:tblGrid>
      <w:tr w:rsidR="00FE6F4E" w:rsidRPr="00FE6F4E" w14:paraId="0112DCCA" w14:textId="77777777" w:rsidTr="00CB7429">
        <w:trPr>
          <w:trHeight w:val="751"/>
        </w:trPr>
        <w:tc>
          <w:tcPr>
            <w:tcW w:w="1031" w:type="dxa"/>
            <w:vMerge w:val="restart"/>
            <w:tcBorders>
              <w:top w:val="single" w:sz="4" w:space="0" w:color="auto"/>
              <w:left w:val="nil"/>
              <w:right w:val="nil"/>
            </w:tcBorders>
            <w:tcMar>
              <w:top w:w="0" w:type="dxa"/>
              <w:left w:w="108" w:type="dxa"/>
              <w:bottom w:w="0" w:type="dxa"/>
              <w:right w:w="108" w:type="dxa"/>
            </w:tcMar>
            <w:vAlign w:val="center"/>
          </w:tcPr>
          <w:p w14:paraId="7708413B"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Event size</w:t>
            </w:r>
          </w:p>
        </w:tc>
        <w:tc>
          <w:tcPr>
            <w:tcW w:w="856" w:type="dxa"/>
            <w:vMerge w:val="restart"/>
            <w:tcBorders>
              <w:top w:val="single" w:sz="4" w:space="0" w:color="auto"/>
              <w:left w:val="nil"/>
              <w:right w:val="nil"/>
            </w:tcBorders>
            <w:shd w:val="clear" w:color="auto" w:fill="F2F2F2" w:themeFill="background1" w:themeFillShade="F2"/>
            <w:tcMar>
              <w:top w:w="0" w:type="dxa"/>
              <w:left w:w="108" w:type="dxa"/>
              <w:bottom w:w="0" w:type="dxa"/>
              <w:right w:w="108" w:type="dxa"/>
            </w:tcMar>
            <w:vAlign w:val="center"/>
          </w:tcPr>
          <w:p w14:paraId="12BB5F36"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No. of events</w:t>
            </w:r>
          </w:p>
        </w:tc>
        <w:tc>
          <w:tcPr>
            <w:tcW w:w="2204" w:type="dxa"/>
            <w:gridSpan w:val="2"/>
            <w:tcBorders>
              <w:top w:val="single" w:sz="4" w:space="0" w:color="auto"/>
              <w:left w:val="nil"/>
              <w:bottom w:val="single" w:sz="4" w:space="0" w:color="auto"/>
              <w:right w:val="nil"/>
            </w:tcBorders>
            <w:tcMar>
              <w:top w:w="0" w:type="dxa"/>
              <w:left w:w="108" w:type="dxa"/>
              <w:bottom w:w="0" w:type="dxa"/>
              <w:right w:w="108" w:type="dxa"/>
            </w:tcMar>
          </w:tcPr>
          <w:p w14:paraId="394047F3"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 xml:space="preserve">No. of HHs </w:t>
            </w:r>
          </w:p>
          <w:p w14:paraId="72150AFE"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per event</w:t>
            </w:r>
          </w:p>
        </w:tc>
        <w:tc>
          <w:tcPr>
            <w:tcW w:w="3183" w:type="dxa"/>
            <w:gridSpan w:val="3"/>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vAlign w:val="bottom"/>
          </w:tcPr>
          <w:p w14:paraId="2C53AAAF"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No. of HHs</w:t>
            </w:r>
          </w:p>
        </w:tc>
        <w:tc>
          <w:tcPr>
            <w:tcW w:w="2644" w:type="dxa"/>
            <w:gridSpan w:val="3"/>
            <w:tcBorders>
              <w:top w:val="single" w:sz="4" w:space="0" w:color="auto"/>
              <w:left w:val="nil"/>
              <w:bottom w:val="single" w:sz="4" w:space="0" w:color="auto"/>
              <w:right w:val="nil"/>
            </w:tcBorders>
            <w:vAlign w:val="bottom"/>
          </w:tcPr>
          <w:p w14:paraId="20C7D185"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Nonresponse-inflated</w:t>
            </w:r>
            <w:r w:rsidRPr="00B65647">
              <w:rPr>
                <w:rFonts w:cs="Times New Roman"/>
                <w:b/>
                <w:bCs/>
                <w:szCs w:val="24"/>
                <w:highlight w:val="yellow"/>
                <w:vertAlign w:val="superscript"/>
              </w:rPr>
              <w:t>*</w:t>
            </w:r>
          </w:p>
          <w:p w14:paraId="2CBD9BE8" w14:textId="77777777" w:rsidR="00B870A9" w:rsidRPr="00B65647" w:rsidRDefault="00B870A9" w:rsidP="00907752">
            <w:pPr>
              <w:jc w:val="center"/>
              <w:rPr>
                <w:rFonts w:cs="Times New Roman"/>
                <w:b/>
                <w:bCs/>
                <w:szCs w:val="24"/>
                <w:highlight w:val="yellow"/>
              </w:rPr>
            </w:pPr>
            <w:r w:rsidRPr="00B65647">
              <w:rPr>
                <w:rFonts w:cs="Times New Roman"/>
                <w:b/>
                <w:bCs/>
                <w:szCs w:val="24"/>
                <w:highlight w:val="yellow"/>
              </w:rPr>
              <w:t>No. of HHs</w:t>
            </w:r>
          </w:p>
        </w:tc>
      </w:tr>
      <w:tr w:rsidR="00FE6F4E" w:rsidRPr="00FE6F4E" w14:paraId="2318927C" w14:textId="77777777" w:rsidTr="00CB7429">
        <w:trPr>
          <w:trHeight w:val="751"/>
        </w:trPr>
        <w:tc>
          <w:tcPr>
            <w:tcW w:w="1031" w:type="dxa"/>
            <w:vMerge/>
            <w:tcBorders>
              <w:left w:val="nil"/>
              <w:bottom w:val="single" w:sz="4" w:space="0" w:color="auto"/>
              <w:right w:val="nil"/>
            </w:tcBorders>
            <w:tcMar>
              <w:top w:w="0" w:type="dxa"/>
              <w:left w:w="108" w:type="dxa"/>
              <w:bottom w:w="0" w:type="dxa"/>
              <w:right w:w="108" w:type="dxa"/>
            </w:tcMar>
            <w:hideMark/>
          </w:tcPr>
          <w:p w14:paraId="4BACEC20" w14:textId="77777777" w:rsidR="00B870A9" w:rsidRPr="009E7C24" w:rsidRDefault="00B870A9" w:rsidP="00907752">
            <w:pPr>
              <w:jc w:val="center"/>
              <w:rPr>
                <w:rFonts w:cs="Times New Roman"/>
                <w:b/>
                <w:bCs/>
                <w:szCs w:val="24"/>
                <w:highlight w:val="yellow"/>
              </w:rPr>
            </w:pPr>
          </w:p>
        </w:tc>
        <w:tc>
          <w:tcPr>
            <w:tcW w:w="856" w:type="dxa"/>
            <w:vMerge/>
            <w:tcBorders>
              <w:left w:val="nil"/>
              <w:bottom w:val="single" w:sz="4" w:space="0" w:color="auto"/>
              <w:right w:val="nil"/>
            </w:tcBorders>
            <w:shd w:val="clear" w:color="auto" w:fill="F2F2F2" w:themeFill="background1" w:themeFillShade="F2"/>
            <w:tcMar>
              <w:top w:w="0" w:type="dxa"/>
              <w:left w:w="108" w:type="dxa"/>
              <w:bottom w:w="0" w:type="dxa"/>
              <w:right w:w="108" w:type="dxa"/>
            </w:tcMar>
          </w:tcPr>
          <w:p w14:paraId="43EB710D" w14:textId="77777777" w:rsidR="00B870A9" w:rsidRPr="009E7C24" w:rsidRDefault="00B870A9" w:rsidP="00907752">
            <w:pPr>
              <w:jc w:val="center"/>
              <w:rPr>
                <w:rFonts w:cs="Times New Roman"/>
                <w:b/>
                <w:bCs/>
                <w:szCs w:val="24"/>
                <w:highlight w:val="yellow"/>
              </w:rPr>
            </w:pPr>
          </w:p>
        </w:tc>
        <w:tc>
          <w:tcPr>
            <w:tcW w:w="1083" w:type="dxa"/>
            <w:tcBorders>
              <w:top w:val="single" w:sz="4" w:space="0" w:color="auto"/>
              <w:left w:val="nil"/>
              <w:bottom w:val="single" w:sz="4" w:space="0" w:color="auto"/>
              <w:right w:val="nil"/>
            </w:tcBorders>
            <w:tcMar>
              <w:top w:w="0" w:type="dxa"/>
              <w:left w:w="108" w:type="dxa"/>
              <w:bottom w:w="0" w:type="dxa"/>
              <w:right w:w="108" w:type="dxa"/>
            </w:tcMar>
          </w:tcPr>
          <w:p w14:paraId="3A5CD478"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Exposed</w:t>
            </w:r>
          </w:p>
        </w:tc>
        <w:tc>
          <w:tcPr>
            <w:tcW w:w="1121" w:type="dxa"/>
            <w:tcBorders>
              <w:top w:val="single" w:sz="4" w:space="0" w:color="auto"/>
              <w:left w:val="nil"/>
              <w:bottom w:val="single" w:sz="4" w:space="0" w:color="auto"/>
              <w:right w:val="nil"/>
            </w:tcBorders>
          </w:tcPr>
          <w:p w14:paraId="164FC3C8"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Unexposed</w:t>
            </w:r>
          </w:p>
        </w:tc>
        <w:tc>
          <w:tcPr>
            <w:tcW w:w="1083"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0D168E60"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 xml:space="preserve">Exposed </w:t>
            </w:r>
          </w:p>
        </w:tc>
        <w:tc>
          <w:tcPr>
            <w:tcW w:w="1337"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3560ADA0"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 xml:space="preserve">Unexposed </w:t>
            </w:r>
          </w:p>
        </w:tc>
        <w:tc>
          <w:tcPr>
            <w:tcW w:w="763"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hideMark/>
          </w:tcPr>
          <w:p w14:paraId="58F1A82B"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Total</w:t>
            </w:r>
          </w:p>
          <w:p w14:paraId="49CD59AE" w14:textId="77777777" w:rsidR="00B870A9" w:rsidRPr="009E7C24" w:rsidRDefault="00B870A9" w:rsidP="00907752">
            <w:pPr>
              <w:jc w:val="center"/>
              <w:rPr>
                <w:rFonts w:cs="Times New Roman"/>
                <w:b/>
                <w:bCs/>
                <w:szCs w:val="24"/>
                <w:highlight w:val="yellow"/>
              </w:rPr>
            </w:pPr>
          </w:p>
        </w:tc>
        <w:tc>
          <w:tcPr>
            <w:tcW w:w="976" w:type="dxa"/>
            <w:tcBorders>
              <w:top w:val="single" w:sz="4" w:space="0" w:color="auto"/>
              <w:left w:val="nil"/>
              <w:bottom w:val="single" w:sz="4" w:space="0" w:color="auto"/>
              <w:right w:val="nil"/>
            </w:tcBorders>
          </w:tcPr>
          <w:p w14:paraId="65F63CCE"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Exposed HHs</w:t>
            </w:r>
          </w:p>
        </w:tc>
        <w:tc>
          <w:tcPr>
            <w:tcW w:w="1121" w:type="dxa"/>
            <w:tcBorders>
              <w:top w:val="single" w:sz="4" w:space="0" w:color="auto"/>
              <w:left w:val="nil"/>
              <w:bottom w:val="single" w:sz="4" w:space="0" w:color="auto"/>
              <w:right w:val="nil"/>
            </w:tcBorders>
          </w:tcPr>
          <w:p w14:paraId="32878773"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Unexposed HHs</w:t>
            </w:r>
          </w:p>
        </w:tc>
        <w:tc>
          <w:tcPr>
            <w:tcW w:w="547" w:type="dxa"/>
            <w:tcBorders>
              <w:top w:val="single" w:sz="4" w:space="0" w:color="auto"/>
              <w:left w:val="nil"/>
              <w:bottom w:val="single" w:sz="4" w:space="0" w:color="auto"/>
              <w:right w:val="nil"/>
            </w:tcBorders>
          </w:tcPr>
          <w:p w14:paraId="14640DBD"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Total</w:t>
            </w:r>
          </w:p>
          <w:p w14:paraId="5D6FBFA9" w14:textId="77777777" w:rsidR="00B870A9" w:rsidRPr="009E7C24" w:rsidRDefault="00B870A9" w:rsidP="00907752">
            <w:pPr>
              <w:jc w:val="center"/>
              <w:rPr>
                <w:rFonts w:cs="Times New Roman"/>
                <w:b/>
                <w:bCs/>
                <w:szCs w:val="24"/>
                <w:highlight w:val="yellow"/>
              </w:rPr>
            </w:pPr>
            <w:r w:rsidRPr="009E7C24">
              <w:rPr>
                <w:rFonts w:cs="Times New Roman"/>
                <w:b/>
                <w:bCs/>
                <w:szCs w:val="24"/>
                <w:highlight w:val="yellow"/>
              </w:rPr>
              <w:t>HHs</w:t>
            </w:r>
          </w:p>
        </w:tc>
      </w:tr>
      <w:tr w:rsidR="00FE6F4E" w:rsidRPr="00FE6F4E" w14:paraId="4BC8A0A5" w14:textId="77777777" w:rsidTr="00FE6F4E">
        <w:trPr>
          <w:trHeight w:val="244"/>
        </w:trPr>
        <w:tc>
          <w:tcPr>
            <w:tcW w:w="1031" w:type="dxa"/>
            <w:tcBorders>
              <w:top w:val="single" w:sz="4" w:space="0" w:color="auto"/>
            </w:tcBorders>
            <w:tcMar>
              <w:top w:w="0" w:type="dxa"/>
              <w:left w:w="108" w:type="dxa"/>
              <w:bottom w:w="0" w:type="dxa"/>
              <w:right w:w="108" w:type="dxa"/>
            </w:tcMar>
          </w:tcPr>
          <w:p w14:paraId="00B85B98"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Small</w:t>
            </w:r>
          </w:p>
        </w:tc>
        <w:tc>
          <w:tcPr>
            <w:tcW w:w="857" w:type="dxa"/>
            <w:tcBorders>
              <w:top w:val="single" w:sz="4" w:space="0" w:color="auto"/>
            </w:tcBorders>
            <w:shd w:val="clear" w:color="auto" w:fill="F2F2F2" w:themeFill="background1" w:themeFillShade="F2"/>
            <w:tcMar>
              <w:top w:w="0" w:type="dxa"/>
              <w:left w:w="108" w:type="dxa"/>
              <w:bottom w:w="0" w:type="dxa"/>
              <w:right w:w="108" w:type="dxa"/>
            </w:tcMar>
          </w:tcPr>
          <w:p w14:paraId="3B9E80B4"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48</w:t>
            </w:r>
          </w:p>
        </w:tc>
        <w:tc>
          <w:tcPr>
            <w:tcW w:w="1083" w:type="dxa"/>
            <w:tcBorders>
              <w:top w:val="single" w:sz="4" w:space="0" w:color="auto"/>
            </w:tcBorders>
            <w:tcMar>
              <w:top w:w="0" w:type="dxa"/>
              <w:left w:w="108" w:type="dxa"/>
              <w:bottom w:w="0" w:type="dxa"/>
              <w:right w:w="108" w:type="dxa"/>
            </w:tcMar>
          </w:tcPr>
          <w:p w14:paraId="4ABC52DB"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8</w:t>
            </w:r>
          </w:p>
        </w:tc>
        <w:tc>
          <w:tcPr>
            <w:tcW w:w="1121" w:type="dxa"/>
            <w:tcBorders>
              <w:top w:val="single" w:sz="4" w:space="0" w:color="auto"/>
            </w:tcBorders>
          </w:tcPr>
          <w:p w14:paraId="35C37C38"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15</w:t>
            </w:r>
          </w:p>
        </w:tc>
        <w:tc>
          <w:tcPr>
            <w:tcW w:w="1084" w:type="dxa"/>
            <w:tcBorders>
              <w:top w:val="single" w:sz="4" w:space="0" w:color="auto"/>
            </w:tcBorders>
            <w:shd w:val="clear" w:color="auto" w:fill="F2F2F2" w:themeFill="background1" w:themeFillShade="F2"/>
            <w:tcMar>
              <w:top w:w="0" w:type="dxa"/>
              <w:left w:w="108" w:type="dxa"/>
              <w:bottom w:w="0" w:type="dxa"/>
              <w:right w:w="108" w:type="dxa"/>
            </w:tcMar>
          </w:tcPr>
          <w:p w14:paraId="27812FF6"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384</w:t>
            </w:r>
          </w:p>
        </w:tc>
        <w:tc>
          <w:tcPr>
            <w:tcW w:w="1337" w:type="dxa"/>
            <w:tcBorders>
              <w:top w:val="single" w:sz="4" w:space="0" w:color="auto"/>
            </w:tcBorders>
            <w:shd w:val="clear" w:color="auto" w:fill="F2F2F2" w:themeFill="background1" w:themeFillShade="F2"/>
            <w:tcMar>
              <w:top w:w="0" w:type="dxa"/>
              <w:left w:w="108" w:type="dxa"/>
              <w:bottom w:w="0" w:type="dxa"/>
              <w:right w:w="108" w:type="dxa"/>
            </w:tcMar>
          </w:tcPr>
          <w:p w14:paraId="2219AC03"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720</w:t>
            </w:r>
          </w:p>
        </w:tc>
        <w:tc>
          <w:tcPr>
            <w:tcW w:w="345" w:type="dxa"/>
            <w:tcBorders>
              <w:top w:val="single" w:sz="4" w:space="0" w:color="auto"/>
            </w:tcBorders>
            <w:shd w:val="clear" w:color="auto" w:fill="F2F2F2" w:themeFill="background1" w:themeFillShade="F2"/>
            <w:tcMar>
              <w:top w:w="0" w:type="dxa"/>
              <w:left w:w="108" w:type="dxa"/>
              <w:bottom w:w="0" w:type="dxa"/>
              <w:right w:w="108" w:type="dxa"/>
            </w:tcMar>
          </w:tcPr>
          <w:p w14:paraId="4DE8B90B"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1104</w:t>
            </w:r>
          </w:p>
        </w:tc>
        <w:tc>
          <w:tcPr>
            <w:tcW w:w="1392" w:type="dxa"/>
            <w:tcBorders>
              <w:top w:val="single" w:sz="4" w:space="0" w:color="auto"/>
            </w:tcBorders>
          </w:tcPr>
          <w:p w14:paraId="740FBF8C" w14:textId="77777777" w:rsidR="00B870A9" w:rsidRPr="00B65647" w:rsidRDefault="00B870A9" w:rsidP="00907752">
            <w:pPr>
              <w:jc w:val="center"/>
              <w:rPr>
                <w:rFonts w:cs="Times New Roman"/>
                <w:highlight w:val="yellow"/>
              </w:rPr>
            </w:pPr>
            <w:r w:rsidRPr="00B65647">
              <w:rPr>
                <w:rFonts w:cs="Times New Roman"/>
                <w:highlight w:val="yellow"/>
              </w:rPr>
              <w:t>960</w:t>
            </w:r>
          </w:p>
        </w:tc>
        <w:tc>
          <w:tcPr>
            <w:tcW w:w="1121" w:type="dxa"/>
            <w:tcBorders>
              <w:top w:val="single" w:sz="4" w:space="0" w:color="auto"/>
            </w:tcBorders>
          </w:tcPr>
          <w:p w14:paraId="1B3454EC" w14:textId="77777777" w:rsidR="00B870A9" w:rsidRPr="00B65647" w:rsidRDefault="00B870A9" w:rsidP="00907752">
            <w:pPr>
              <w:jc w:val="center"/>
              <w:rPr>
                <w:rFonts w:cs="Times New Roman"/>
                <w:highlight w:val="yellow"/>
              </w:rPr>
            </w:pPr>
            <w:r w:rsidRPr="00B65647">
              <w:rPr>
                <w:rFonts w:cs="Times New Roman"/>
                <w:highlight w:val="yellow"/>
              </w:rPr>
              <w:t>1800</w:t>
            </w:r>
          </w:p>
        </w:tc>
        <w:tc>
          <w:tcPr>
            <w:tcW w:w="547" w:type="dxa"/>
            <w:tcBorders>
              <w:top w:val="single" w:sz="4" w:space="0" w:color="auto"/>
            </w:tcBorders>
          </w:tcPr>
          <w:p w14:paraId="41AAAD56" w14:textId="77777777" w:rsidR="00B870A9" w:rsidRPr="00B65647" w:rsidRDefault="00B870A9" w:rsidP="00907752">
            <w:pPr>
              <w:jc w:val="center"/>
              <w:rPr>
                <w:rFonts w:cs="Times New Roman"/>
                <w:highlight w:val="yellow"/>
              </w:rPr>
            </w:pPr>
            <w:r w:rsidRPr="00B65647">
              <w:rPr>
                <w:rFonts w:cs="Times New Roman"/>
                <w:highlight w:val="yellow"/>
              </w:rPr>
              <w:t>2760</w:t>
            </w:r>
          </w:p>
        </w:tc>
      </w:tr>
      <w:tr w:rsidR="00FE6F4E" w:rsidRPr="00FE6F4E" w14:paraId="5C9798B7" w14:textId="77777777" w:rsidTr="00FE6F4E">
        <w:trPr>
          <w:trHeight w:val="253"/>
        </w:trPr>
        <w:tc>
          <w:tcPr>
            <w:tcW w:w="1031" w:type="dxa"/>
            <w:tcMar>
              <w:top w:w="0" w:type="dxa"/>
              <w:left w:w="108" w:type="dxa"/>
              <w:bottom w:w="0" w:type="dxa"/>
              <w:right w:w="108" w:type="dxa"/>
            </w:tcMar>
            <w:hideMark/>
          </w:tcPr>
          <w:p w14:paraId="6AC7C310"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Medium</w:t>
            </w:r>
          </w:p>
        </w:tc>
        <w:tc>
          <w:tcPr>
            <w:tcW w:w="857" w:type="dxa"/>
            <w:shd w:val="clear" w:color="auto" w:fill="F2F2F2" w:themeFill="background1" w:themeFillShade="F2"/>
            <w:tcMar>
              <w:top w:w="0" w:type="dxa"/>
              <w:left w:w="108" w:type="dxa"/>
              <w:bottom w:w="0" w:type="dxa"/>
              <w:right w:w="108" w:type="dxa"/>
            </w:tcMar>
          </w:tcPr>
          <w:p w14:paraId="0C9336F3"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16</w:t>
            </w:r>
          </w:p>
        </w:tc>
        <w:tc>
          <w:tcPr>
            <w:tcW w:w="1083" w:type="dxa"/>
            <w:tcMar>
              <w:top w:w="0" w:type="dxa"/>
              <w:left w:w="108" w:type="dxa"/>
              <w:bottom w:w="0" w:type="dxa"/>
              <w:right w:w="108" w:type="dxa"/>
            </w:tcMar>
          </w:tcPr>
          <w:p w14:paraId="06AFBEC1"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16</w:t>
            </w:r>
          </w:p>
        </w:tc>
        <w:tc>
          <w:tcPr>
            <w:tcW w:w="1121" w:type="dxa"/>
          </w:tcPr>
          <w:p w14:paraId="1F35A79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28</w:t>
            </w:r>
          </w:p>
        </w:tc>
        <w:tc>
          <w:tcPr>
            <w:tcW w:w="1084" w:type="dxa"/>
            <w:shd w:val="clear" w:color="auto" w:fill="F2F2F2" w:themeFill="background1" w:themeFillShade="F2"/>
            <w:tcMar>
              <w:top w:w="0" w:type="dxa"/>
              <w:left w:w="108" w:type="dxa"/>
              <w:bottom w:w="0" w:type="dxa"/>
              <w:right w:w="108" w:type="dxa"/>
            </w:tcMar>
          </w:tcPr>
          <w:p w14:paraId="686C0009"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256</w:t>
            </w:r>
          </w:p>
        </w:tc>
        <w:tc>
          <w:tcPr>
            <w:tcW w:w="1337" w:type="dxa"/>
            <w:shd w:val="clear" w:color="auto" w:fill="F2F2F2" w:themeFill="background1" w:themeFillShade="F2"/>
            <w:tcMar>
              <w:top w:w="0" w:type="dxa"/>
              <w:left w:w="108" w:type="dxa"/>
              <w:bottom w:w="0" w:type="dxa"/>
              <w:right w:w="108" w:type="dxa"/>
            </w:tcMar>
          </w:tcPr>
          <w:p w14:paraId="124A367C"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448</w:t>
            </w:r>
          </w:p>
        </w:tc>
        <w:tc>
          <w:tcPr>
            <w:tcW w:w="345" w:type="dxa"/>
            <w:shd w:val="clear" w:color="auto" w:fill="F2F2F2" w:themeFill="background1" w:themeFillShade="F2"/>
            <w:tcMar>
              <w:top w:w="0" w:type="dxa"/>
              <w:left w:w="108" w:type="dxa"/>
              <w:bottom w:w="0" w:type="dxa"/>
              <w:right w:w="108" w:type="dxa"/>
            </w:tcMar>
          </w:tcPr>
          <w:p w14:paraId="4418E506"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704</w:t>
            </w:r>
          </w:p>
        </w:tc>
        <w:tc>
          <w:tcPr>
            <w:tcW w:w="1392" w:type="dxa"/>
          </w:tcPr>
          <w:p w14:paraId="0A16F6F1" w14:textId="77777777" w:rsidR="00B870A9" w:rsidRPr="00B65647" w:rsidRDefault="00B870A9" w:rsidP="00907752">
            <w:pPr>
              <w:jc w:val="center"/>
              <w:rPr>
                <w:rFonts w:cs="Times New Roman"/>
                <w:highlight w:val="yellow"/>
              </w:rPr>
            </w:pPr>
            <w:r w:rsidRPr="00B65647">
              <w:rPr>
                <w:rFonts w:cs="Times New Roman"/>
                <w:highlight w:val="yellow"/>
              </w:rPr>
              <w:t>640</w:t>
            </w:r>
          </w:p>
        </w:tc>
        <w:tc>
          <w:tcPr>
            <w:tcW w:w="1121" w:type="dxa"/>
          </w:tcPr>
          <w:p w14:paraId="2E0C3446" w14:textId="77777777" w:rsidR="00B870A9" w:rsidRPr="00B65647" w:rsidRDefault="00B870A9" w:rsidP="00907752">
            <w:pPr>
              <w:jc w:val="center"/>
              <w:rPr>
                <w:rFonts w:cs="Times New Roman"/>
                <w:highlight w:val="yellow"/>
              </w:rPr>
            </w:pPr>
            <w:r w:rsidRPr="00B65647">
              <w:rPr>
                <w:rFonts w:cs="Times New Roman"/>
                <w:highlight w:val="yellow"/>
              </w:rPr>
              <w:t>1120</w:t>
            </w:r>
          </w:p>
        </w:tc>
        <w:tc>
          <w:tcPr>
            <w:tcW w:w="547" w:type="dxa"/>
          </w:tcPr>
          <w:p w14:paraId="253E282A" w14:textId="77777777" w:rsidR="00B870A9" w:rsidRPr="00B65647" w:rsidRDefault="00B870A9" w:rsidP="00907752">
            <w:pPr>
              <w:jc w:val="center"/>
              <w:rPr>
                <w:rFonts w:cs="Times New Roman"/>
                <w:highlight w:val="yellow"/>
              </w:rPr>
            </w:pPr>
            <w:r w:rsidRPr="00B65647">
              <w:rPr>
                <w:rFonts w:cs="Times New Roman"/>
                <w:highlight w:val="yellow"/>
              </w:rPr>
              <w:t>1760</w:t>
            </w:r>
          </w:p>
        </w:tc>
      </w:tr>
      <w:tr w:rsidR="00FE6F4E" w:rsidRPr="00FE6F4E" w14:paraId="497D5CB1" w14:textId="77777777" w:rsidTr="00FE6F4E">
        <w:trPr>
          <w:trHeight w:val="253"/>
        </w:trPr>
        <w:tc>
          <w:tcPr>
            <w:tcW w:w="1031" w:type="dxa"/>
            <w:tcBorders>
              <w:top w:val="nil"/>
              <w:left w:val="nil"/>
              <w:bottom w:val="single" w:sz="4" w:space="0" w:color="auto"/>
              <w:right w:val="nil"/>
            </w:tcBorders>
            <w:tcMar>
              <w:top w:w="0" w:type="dxa"/>
              <w:left w:w="108" w:type="dxa"/>
              <w:bottom w:w="0" w:type="dxa"/>
              <w:right w:w="108" w:type="dxa"/>
            </w:tcMar>
            <w:hideMark/>
          </w:tcPr>
          <w:p w14:paraId="3ECA8CEE"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Large</w:t>
            </w:r>
          </w:p>
        </w:tc>
        <w:tc>
          <w:tcPr>
            <w:tcW w:w="857"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tcPr>
          <w:p w14:paraId="7B8D683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15</w:t>
            </w:r>
          </w:p>
        </w:tc>
        <w:tc>
          <w:tcPr>
            <w:tcW w:w="1083" w:type="dxa"/>
            <w:tcBorders>
              <w:top w:val="nil"/>
              <w:left w:val="nil"/>
              <w:bottom w:val="single" w:sz="4" w:space="0" w:color="auto"/>
              <w:right w:val="nil"/>
            </w:tcBorders>
            <w:tcMar>
              <w:top w:w="0" w:type="dxa"/>
              <w:left w:w="108" w:type="dxa"/>
              <w:bottom w:w="0" w:type="dxa"/>
              <w:right w:w="108" w:type="dxa"/>
            </w:tcMar>
          </w:tcPr>
          <w:p w14:paraId="7AE4EDEF"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39</w:t>
            </w:r>
          </w:p>
        </w:tc>
        <w:tc>
          <w:tcPr>
            <w:tcW w:w="1121" w:type="dxa"/>
            <w:tcBorders>
              <w:top w:val="nil"/>
              <w:left w:val="nil"/>
              <w:bottom w:val="single" w:sz="4" w:space="0" w:color="auto"/>
              <w:right w:val="nil"/>
            </w:tcBorders>
          </w:tcPr>
          <w:p w14:paraId="3B88DABE"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44</w:t>
            </w:r>
          </w:p>
        </w:tc>
        <w:tc>
          <w:tcPr>
            <w:tcW w:w="1084"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tcPr>
          <w:p w14:paraId="0C3C7AA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585</w:t>
            </w:r>
          </w:p>
        </w:tc>
        <w:tc>
          <w:tcPr>
            <w:tcW w:w="1337"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tcPr>
          <w:p w14:paraId="073AF58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660</w:t>
            </w:r>
          </w:p>
        </w:tc>
        <w:tc>
          <w:tcPr>
            <w:tcW w:w="345" w:type="dxa"/>
            <w:tcBorders>
              <w:top w:val="nil"/>
              <w:left w:val="nil"/>
              <w:bottom w:val="single" w:sz="4" w:space="0" w:color="auto"/>
              <w:right w:val="nil"/>
            </w:tcBorders>
            <w:shd w:val="clear" w:color="auto" w:fill="F2F2F2" w:themeFill="background1" w:themeFillShade="F2"/>
            <w:tcMar>
              <w:top w:w="0" w:type="dxa"/>
              <w:left w:w="108" w:type="dxa"/>
              <w:bottom w:w="0" w:type="dxa"/>
              <w:right w:w="108" w:type="dxa"/>
            </w:tcMar>
          </w:tcPr>
          <w:p w14:paraId="7BEAC643"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1245</w:t>
            </w:r>
          </w:p>
        </w:tc>
        <w:tc>
          <w:tcPr>
            <w:tcW w:w="1392" w:type="dxa"/>
            <w:tcBorders>
              <w:top w:val="nil"/>
              <w:left w:val="nil"/>
              <w:bottom w:val="single" w:sz="4" w:space="0" w:color="auto"/>
              <w:right w:val="nil"/>
            </w:tcBorders>
          </w:tcPr>
          <w:p w14:paraId="78C4E056" w14:textId="77777777" w:rsidR="00B870A9" w:rsidRPr="00B65647" w:rsidRDefault="00B870A9" w:rsidP="00907752">
            <w:pPr>
              <w:jc w:val="center"/>
              <w:rPr>
                <w:rFonts w:cs="Times New Roman"/>
                <w:highlight w:val="yellow"/>
              </w:rPr>
            </w:pPr>
            <w:r w:rsidRPr="00B65647">
              <w:rPr>
                <w:rFonts w:cs="Times New Roman"/>
                <w:highlight w:val="yellow"/>
              </w:rPr>
              <w:t>1463</w:t>
            </w:r>
          </w:p>
        </w:tc>
        <w:tc>
          <w:tcPr>
            <w:tcW w:w="1121" w:type="dxa"/>
            <w:tcBorders>
              <w:top w:val="nil"/>
              <w:left w:val="nil"/>
              <w:bottom w:val="single" w:sz="4" w:space="0" w:color="auto"/>
              <w:right w:val="nil"/>
            </w:tcBorders>
          </w:tcPr>
          <w:p w14:paraId="33DF47F1" w14:textId="77777777" w:rsidR="00B870A9" w:rsidRPr="00B65647" w:rsidRDefault="00B870A9" w:rsidP="00907752">
            <w:pPr>
              <w:jc w:val="center"/>
              <w:rPr>
                <w:rFonts w:cs="Times New Roman"/>
                <w:highlight w:val="yellow"/>
              </w:rPr>
            </w:pPr>
            <w:r w:rsidRPr="00B65647">
              <w:rPr>
                <w:rFonts w:cs="Times New Roman"/>
                <w:highlight w:val="yellow"/>
              </w:rPr>
              <w:t>1650</w:t>
            </w:r>
          </w:p>
        </w:tc>
        <w:tc>
          <w:tcPr>
            <w:tcW w:w="547" w:type="dxa"/>
            <w:tcBorders>
              <w:top w:val="nil"/>
              <w:left w:val="nil"/>
              <w:bottom w:val="single" w:sz="4" w:space="0" w:color="auto"/>
              <w:right w:val="nil"/>
            </w:tcBorders>
          </w:tcPr>
          <w:p w14:paraId="17D7B667" w14:textId="77777777" w:rsidR="00B870A9" w:rsidRPr="00B65647" w:rsidRDefault="00B870A9" w:rsidP="00907752">
            <w:pPr>
              <w:jc w:val="center"/>
              <w:rPr>
                <w:rFonts w:cs="Times New Roman"/>
                <w:highlight w:val="yellow"/>
              </w:rPr>
            </w:pPr>
            <w:r w:rsidRPr="00B65647">
              <w:rPr>
                <w:rFonts w:cs="Times New Roman"/>
                <w:highlight w:val="yellow"/>
              </w:rPr>
              <w:t>3113</w:t>
            </w:r>
          </w:p>
        </w:tc>
      </w:tr>
      <w:tr w:rsidR="00FE6F4E" w:rsidRPr="00055926" w14:paraId="653B2FCE" w14:textId="77777777" w:rsidTr="00CB7429">
        <w:trPr>
          <w:trHeight w:val="244"/>
        </w:trPr>
        <w:tc>
          <w:tcPr>
            <w:tcW w:w="1031" w:type="dxa"/>
            <w:tcBorders>
              <w:top w:val="single" w:sz="4" w:space="0" w:color="auto"/>
              <w:left w:val="nil"/>
              <w:bottom w:val="single" w:sz="4" w:space="0" w:color="auto"/>
              <w:right w:val="nil"/>
            </w:tcBorders>
            <w:tcMar>
              <w:top w:w="0" w:type="dxa"/>
              <w:left w:w="108" w:type="dxa"/>
              <w:bottom w:w="0" w:type="dxa"/>
              <w:right w:w="108" w:type="dxa"/>
            </w:tcMar>
          </w:tcPr>
          <w:p w14:paraId="6959D2E2"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Total</w:t>
            </w:r>
          </w:p>
        </w:tc>
        <w:tc>
          <w:tcPr>
            <w:tcW w:w="857"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tcPr>
          <w:p w14:paraId="35FC071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79</w:t>
            </w:r>
          </w:p>
        </w:tc>
        <w:tc>
          <w:tcPr>
            <w:tcW w:w="1083" w:type="dxa"/>
            <w:tcBorders>
              <w:top w:val="single" w:sz="4" w:space="0" w:color="auto"/>
              <w:left w:val="nil"/>
              <w:bottom w:val="single" w:sz="4" w:space="0" w:color="auto"/>
              <w:right w:val="nil"/>
            </w:tcBorders>
            <w:tcMar>
              <w:top w:w="0" w:type="dxa"/>
              <w:left w:w="108" w:type="dxa"/>
              <w:bottom w:w="0" w:type="dxa"/>
              <w:right w:w="108" w:type="dxa"/>
            </w:tcMar>
          </w:tcPr>
          <w:p w14:paraId="20A9A34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63</w:t>
            </w:r>
          </w:p>
        </w:tc>
        <w:tc>
          <w:tcPr>
            <w:tcW w:w="1121" w:type="dxa"/>
            <w:tcBorders>
              <w:top w:val="single" w:sz="4" w:space="0" w:color="auto"/>
              <w:left w:val="nil"/>
              <w:bottom w:val="single" w:sz="4" w:space="0" w:color="auto"/>
              <w:right w:val="nil"/>
            </w:tcBorders>
          </w:tcPr>
          <w:p w14:paraId="26EA8A8E"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87</w:t>
            </w:r>
          </w:p>
        </w:tc>
        <w:tc>
          <w:tcPr>
            <w:tcW w:w="1084"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tcPr>
          <w:p w14:paraId="0ED22B4D"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1225</w:t>
            </w:r>
          </w:p>
        </w:tc>
        <w:tc>
          <w:tcPr>
            <w:tcW w:w="1337"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tcPr>
          <w:p w14:paraId="2FD3E7EA"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1828</w:t>
            </w:r>
          </w:p>
        </w:tc>
        <w:tc>
          <w:tcPr>
            <w:tcW w:w="345" w:type="dxa"/>
            <w:tcBorders>
              <w:top w:val="single" w:sz="4" w:space="0" w:color="auto"/>
              <w:left w:val="nil"/>
              <w:bottom w:val="single" w:sz="4" w:space="0" w:color="auto"/>
              <w:right w:val="nil"/>
            </w:tcBorders>
            <w:shd w:val="clear" w:color="auto" w:fill="F2F2F2" w:themeFill="background1" w:themeFillShade="F2"/>
            <w:tcMar>
              <w:top w:w="0" w:type="dxa"/>
              <w:left w:w="108" w:type="dxa"/>
              <w:bottom w:w="0" w:type="dxa"/>
              <w:right w:w="108" w:type="dxa"/>
            </w:tcMar>
          </w:tcPr>
          <w:p w14:paraId="6F74C5A9" w14:textId="77777777" w:rsidR="00B870A9" w:rsidRPr="00B65647" w:rsidRDefault="00B870A9" w:rsidP="00907752">
            <w:pPr>
              <w:jc w:val="center"/>
              <w:rPr>
                <w:rFonts w:cs="Times New Roman"/>
                <w:bCs/>
                <w:szCs w:val="24"/>
                <w:highlight w:val="yellow"/>
              </w:rPr>
            </w:pPr>
            <w:r w:rsidRPr="00B65647">
              <w:rPr>
                <w:rFonts w:cs="Times New Roman"/>
                <w:bCs/>
                <w:szCs w:val="24"/>
                <w:highlight w:val="yellow"/>
              </w:rPr>
              <w:t>3053</w:t>
            </w:r>
          </w:p>
        </w:tc>
        <w:tc>
          <w:tcPr>
            <w:tcW w:w="1392" w:type="dxa"/>
            <w:tcBorders>
              <w:top w:val="single" w:sz="4" w:space="0" w:color="auto"/>
              <w:left w:val="nil"/>
              <w:bottom w:val="single" w:sz="4" w:space="0" w:color="auto"/>
              <w:right w:val="nil"/>
            </w:tcBorders>
          </w:tcPr>
          <w:p w14:paraId="6DCFD370" w14:textId="77777777" w:rsidR="00B870A9" w:rsidRPr="00B65647" w:rsidRDefault="00B870A9" w:rsidP="00907752">
            <w:pPr>
              <w:jc w:val="center"/>
              <w:rPr>
                <w:rFonts w:cs="Times New Roman"/>
                <w:highlight w:val="yellow"/>
              </w:rPr>
            </w:pPr>
            <w:r w:rsidRPr="00B65647">
              <w:rPr>
                <w:rFonts w:cs="Times New Roman"/>
                <w:highlight w:val="yellow"/>
              </w:rPr>
              <w:t>3063</w:t>
            </w:r>
          </w:p>
        </w:tc>
        <w:tc>
          <w:tcPr>
            <w:tcW w:w="1121" w:type="dxa"/>
            <w:tcBorders>
              <w:top w:val="single" w:sz="4" w:space="0" w:color="auto"/>
              <w:left w:val="nil"/>
              <w:bottom w:val="single" w:sz="4" w:space="0" w:color="auto"/>
              <w:right w:val="nil"/>
            </w:tcBorders>
          </w:tcPr>
          <w:p w14:paraId="58EF5105" w14:textId="77777777" w:rsidR="00B870A9" w:rsidRPr="00B65647" w:rsidRDefault="00B870A9" w:rsidP="00907752">
            <w:pPr>
              <w:jc w:val="center"/>
              <w:rPr>
                <w:rFonts w:cs="Times New Roman"/>
                <w:highlight w:val="yellow"/>
              </w:rPr>
            </w:pPr>
            <w:r w:rsidRPr="00B65647">
              <w:rPr>
                <w:rFonts w:cs="Times New Roman"/>
                <w:highlight w:val="yellow"/>
              </w:rPr>
              <w:t>4570</w:t>
            </w:r>
          </w:p>
        </w:tc>
        <w:tc>
          <w:tcPr>
            <w:tcW w:w="547" w:type="dxa"/>
            <w:tcBorders>
              <w:top w:val="single" w:sz="4" w:space="0" w:color="auto"/>
              <w:left w:val="nil"/>
              <w:bottom w:val="single" w:sz="4" w:space="0" w:color="auto"/>
              <w:right w:val="nil"/>
            </w:tcBorders>
          </w:tcPr>
          <w:p w14:paraId="700404DB" w14:textId="77777777" w:rsidR="00B870A9" w:rsidRPr="005B5653" w:rsidRDefault="00B870A9" w:rsidP="00907752">
            <w:pPr>
              <w:jc w:val="center"/>
              <w:rPr>
                <w:rFonts w:cs="Times New Roman"/>
              </w:rPr>
            </w:pPr>
            <w:r w:rsidRPr="00B65647">
              <w:rPr>
                <w:rFonts w:cs="Times New Roman"/>
                <w:highlight w:val="yellow"/>
              </w:rPr>
              <w:t>7633</w:t>
            </w:r>
          </w:p>
        </w:tc>
      </w:tr>
      <w:tr w:rsidR="00CB7429" w:rsidRPr="00055926" w14:paraId="50B6A4B1" w14:textId="77777777" w:rsidTr="00DB0FCC">
        <w:trPr>
          <w:trHeight w:val="244"/>
        </w:trPr>
        <w:tc>
          <w:tcPr>
            <w:tcW w:w="9918" w:type="dxa"/>
            <w:gridSpan w:val="10"/>
            <w:tcBorders>
              <w:top w:val="single" w:sz="4" w:space="0" w:color="auto"/>
              <w:left w:val="nil"/>
              <w:right w:val="nil"/>
            </w:tcBorders>
            <w:tcMar>
              <w:top w:w="0" w:type="dxa"/>
              <w:left w:w="108" w:type="dxa"/>
              <w:bottom w:w="0" w:type="dxa"/>
              <w:right w:w="108" w:type="dxa"/>
            </w:tcMar>
          </w:tcPr>
          <w:p w14:paraId="6B5300F4" w14:textId="77777777" w:rsidR="00CB7429" w:rsidRPr="00FE6F4E" w:rsidRDefault="00CB7429" w:rsidP="00CB7429">
            <w:pPr>
              <w:rPr>
                <w:rFonts w:cs="Times New Roman"/>
                <w:sz w:val="20"/>
                <w:szCs w:val="20"/>
                <w:highlight w:val="yellow"/>
              </w:rPr>
            </w:pPr>
            <w:r w:rsidRPr="00FE6F4E">
              <w:rPr>
                <w:rFonts w:cs="Times New Roman"/>
                <w:sz w:val="20"/>
                <w:szCs w:val="20"/>
                <w:highlight w:val="yellow"/>
                <w:vertAlign w:val="superscript"/>
              </w:rPr>
              <w:t>1</w:t>
            </w:r>
            <w:r w:rsidRPr="00FE6F4E">
              <w:rPr>
                <w:rFonts w:cs="Times New Roman"/>
                <w:sz w:val="20"/>
                <w:szCs w:val="20"/>
                <w:highlight w:val="yellow"/>
              </w:rPr>
              <w:t xml:space="preserve">Assumes the proportion of AGI among unexposed persons as 5%, odds ratio of AGI as 1.6, 85% of power, and 5% of type I error, an event size distribution of 48 small, 16 medium, and 15 large events for 79 events in total.  </w:t>
            </w:r>
          </w:p>
          <w:p w14:paraId="38C09F93" w14:textId="4260EF90" w:rsidR="00CB7429" w:rsidRPr="00CB7429" w:rsidRDefault="00CB7429" w:rsidP="00CB7429">
            <w:pPr>
              <w:rPr>
                <w:rFonts w:cs="Times New Roman"/>
                <w:sz w:val="20"/>
                <w:szCs w:val="20"/>
              </w:rPr>
            </w:pPr>
            <w:r w:rsidRPr="00FE6F4E">
              <w:rPr>
                <w:rFonts w:cs="Times New Roman"/>
                <w:sz w:val="20"/>
                <w:szCs w:val="20"/>
                <w:highlight w:val="yellow"/>
                <w:vertAlign w:val="superscript"/>
              </w:rPr>
              <w:t>*</w:t>
            </w:r>
            <w:r w:rsidRPr="00FE6F4E">
              <w:rPr>
                <w:rFonts w:cs="Times New Roman"/>
                <w:sz w:val="20"/>
                <w:szCs w:val="20"/>
                <w:highlight w:val="yellow"/>
              </w:rPr>
              <w:t>Assumes 40% of response rate (e.g., 960 = 384/0.4)</w:t>
            </w:r>
          </w:p>
        </w:tc>
      </w:tr>
    </w:tbl>
    <w:p w14:paraId="40D01E7F" w14:textId="10CD847B" w:rsidR="00FE6F4E" w:rsidRDefault="00FE6F4E" w:rsidP="0047357D">
      <w:pPr>
        <w:pStyle w:val="Heading1"/>
      </w:pPr>
      <w:bookmarkStart w:id="4" w:name="_Toc426728959"/>
    </w:p>
    <w:p w14:paraId="361E70E1" w14:textId="4A808DE3" w:rsidR="0042207C" w:rsidRPr="007F7B1D" w:rsidRDefault="0042207C" w:rsidP="0047357D">
      <w:pPr>
        <w:pStyle w:val="Heading1"/>
      </w:pPr>
      <w:r w:rsidRPr="007F7B1D">
        <w:t>2. Procedures for the Collection of Information</w:t>
      </w:r>
      <w:bookmarkEnd w:id="4"/>
      <w:r w:rsidRPr="007F7B1D">
        <w:t xml:space="preserve"> </w:t>
      </w:r>
    </w:p>
    <w:p w14:paraId="6BDEB44A" w14:textId="77777777" w:rsidR="0042207C" w:rsidRPr="007F7B1D" w:rsidRDefault="0042207C" w:rsidP="0042207C">
      <w:r w:rsidRPr="007F7B1D">
        <w:t xml:space="preserve">For a detailed discussion of sample selection, sample size, and statistical power for this study see Section B.1. </w:t>
      </w:r>
    </w:p>
    <w:p w14:paraId="59B75D30" w14:textId="77777777" w:rsidR="0042207C" w:rsidRPr="007F7B1D" w:rsidRDefault="0042207C" w:rsidP="0042207C"/>
    <w:p w14:paraId="206E64C6" w14:textId="6FDF0A40" w:rsidR="0042207C" w:rsidRPr="007F7B1D" w:rsidRDefault="0042207C" w:rsidP="0042207C">
      <w:pPr>
        <w:rPr>
          <w:bCs/>
          <w:i/>
        </w:rPr>
      </w:pPr>
      <w:r w:rsidRPr="00326274">
        <w:rPr>
          <w:bCs/>
          <w:i/>
        </w:rPr>
        <w:t>Identification</w:t>
      </w:r>
      <w:r w:rsidRPr="007F7B1D">
        <w:rPr>
          <w:bCs/>
          <w:i/>
        </w:rPr>
        <w:t xml:space="preserve"> of Potential Study Participants</w:t>
      </w:r>
    </w:p>
    <w:p w14:paraId="461CD220" w14:textId="7DD94F07" w:rsidR="0042207C" w:rsidRDefault="00F4461B" w:rsidP="0042207C">
      <w:pPr>
        <w:rPr>
          <w:rFonts w:cstheme="minorHAnsi"/>
          <w:szCs w:val="24"/>
        </w:rPr>
      </w:pPr>
      <w:r>
        <w:t xml:space="preserve">Identification of exposed and unexposed areas associated with each low pressure event </w:t>
      </w:r>
      <w:r w:rsidR="00E81EC9">
        <w:t>is</w:t>
      </w:r>
      <w:r>
        <w:t xml:space="preserve"> </w:t>
      </w:r>
      <w:r>
        <w:rPr>
          <w:rFonts w:cstheme="minorHAnsi"/>
          <w:szCs w:val="24"/>
        </w:rPr>
        <w:t>undertaken collaboratively between the utility and the CDC study team, including individuals with distribution system engineering expertise.</w:t>
      </w:r>
      <w:r w:rsidRPr="007F7B1D">
        <w:t xml:space="preserve"> </w:t>
      </w:r>
      <w:r w:rsidR="0042207C" w:rsidRPr="007F7B1D">
        <w:t xml:space="preserve">Water utilities provide information on </w:t>
      </w:r>
      <w:r w:rsidR="00DD0451">
        <w:t>as many</w:t>
      </w:r>
      <w:r w:rsidR="0042207C" w:rsidRPr="007F7B1D">
        <w:t xml:space="preserve"> LPEs </w:t>
      </w:r>
      <w:r w:rsidR="00DD0451">
        <w:t>as possible each month</w:t>
      </w:r>
      <w:r w:rsidR="0042207C" w:rsidRPr="007F7B1D">
        <w:t xml:space="preserve">. </w:t>
      </w:r>
      <w:r w:rsidR="0042207C" w:rsidRPr="004A4B25">
        <w:rPr>
          <w:rFonts w:cstheme="minorHAnsi"/>
          <w:szCs w:val="24"/>
        </w:rPr>
        <w:t xml:space="preserve">Exposed households </w:t>
      </w:r>
      <w:r w:rsidR="00DD0451">
        <w:rPr>
          <w:rFonts w:cstheme="minorHAnsi"/>
          <w:szCs w:val="24"/>
        </w:rPr>
        <w:t>are</w:t>
      </w:r>
      <w:r w:rsidR="0042207C" w:rsidRPr="004A4B25">
        <w:rPr>
          <w:rFonts w:cstheme="minorHAnsi"/>
          <w:szCs w:val="24"/>
        </w:rPr>
        <w:t xml:space="preserve"> identified as addresses that experience a loss or lack of water pressure due to an LPE in the water distribution system. The utility identif</w:t>
      </w:r>
      <w:r w:rsidR="00E81EC9">
        <w:rPr>
          <w:rFonts w:cstheme="minorHAnsi"/>
          <w:szCs w:val="24"/>
        </w:rPr>
        <w:t>ies</w:t>
      </w:r>
      <w:r w:rsidR="0042207C" w:rsidRPr="004A4B25">
        <w:rPr>
          <w:rFonts w:cstheme="minorHAnsi"/>
          <w:szCs w:val="24"/>
        </w:rPr>
        <w:t xml:space="preserve"> the households affected by the LPE with the assistance of </w:t>
      </w:r>
      <w:r w:rsidR="0042207C">
        <w:rPr>
          <w:rFonts w:cstheme="minorHAnsi"/>
          <w:szCs w:val="24"/>
        </w:rPr>
        <w:t>their water system information systems, and convey this information to CDC, using street names and a map if available</w:t>
      </w:r>
      <w:r w:rsidR="0042207C" w:rsidRPr="004A4B25">
        <w:rPr>
          <w:rFonts w:cstheme="minorHAnsi"/>
          <w:szCs w:val="24"/>
        </w:rPr>
        <w:t xml:space="preserve">. </w:t>
      </w:r>
      <w:r>
        <w:rPr>
          <w:rFonts w:cstheme="minorHAnsi"/>
          <w:szCs w:val="24"/>
        </w:rPr>
        <w:t xml:space="preserve">We </w:t>
      </w:r>
      <w:r w:rsidR="00E81EC9">
        <w:rPr>
          <w:rFonts w:cstheme="minorHAnsi"/>
          <w:szCs w:val="24"/>
        </w:rPr>
        <w:t xml:space="preserve">do </w:t>
      </w:r>
      <w:r>
        <w:rPr>
          <w:rFonts w:cstheme="minorHAnsi"/>
          <w:szCs w:val="24"/>
        </w:rPr>
        <w:t xml:space="preserve">not ask residents to participate in the study more than once, therefore events that occur in areas that were previously sampled as either exposed or unexposed areas </w:t>
      </w:r>
      <w:r w:rsidR="00E81EC9">
        <w:rPr>
          <w:rFonts w:cstheme="minorHAnsi"/>
          <w:szCs w:val="24"/>
        </w:rPr>
        <w:t xml:space="preserve">are </w:t>
      </w:r>
      <w:r>
        <w:rPr>
          <w:rFonts w:cstheme="minorHAnsi"/>
          <w:szCs w:val="24"/>
        </w:rPr>
        <w:t>not eligible.</w:t>
      </w:r>
    </w:p>
    <w:p w14:paraId="5AB5F96E" w14:textId="77777777" w:rsidR="0042207C" w:rsidRDefault="0042207C" w:rsidP="0042207C">
      <w:pPr>
        <w:rPr>
          <w:rFonts w:cstheme="minorHAnsi"/>
          <w:szCs w:val="24"/>
        </w:rPr>
      </w:pPr>
    </w:p>
    <w:p w14:paraId="122EC8B5" w14:textId="436E822F" w:rsidR="0042207C" w:rsidRDefault="0042207C" w:rsidP="0042207C">
      <w:pPr>
        <w:rPr>
          <w:rFonts w:cstheme="minorHAnsi"/>
          <w:szCs w:val="24"/>
        </w:rPr>
      </w:pPr>
      <w:r>
        <w:rPr>
          <w:rFonts w:cstheme="minorHAnsi"/>
          <w:szCs w:val="24"/>
        </w:rPr>
        <w:t xml:space="preserve">Using the address of the event and map of affected households, the </w:t>
      </w:r>
      <w:r w:rsidRPr="004A4B25">
        <w:rPr>
          <w:rFonts w:cstheme="minorHAnsi"/>
          <w:szCs w:val="24"/>
        </w:rPr>
        <w:t>CDC</w:t>
      </w:r>
      <w:r>
        <w:rPr>
          <w:rFonts w:cstheme="minorHAnsi"/>
          <w:szCs w:val="24"/>
        </w:rPr>
        <w:t xml:space="preserve"> study team determine</w:t>
      </w:r>
      <w:r w:rsidR="00331017">
        <w:rPr>
          <w:rFonts w:cstheme="minorHAnsi"/>
          <w:szCs w:val="24"/>
        </w:rPr>
        <w:t>s</w:t>
      </w:r>
      <w:r>
        <w:rPr>
          <w:rFonts w:cstheme="minorHAnsi"/>
          <w:szCs w:val="24"/>
        </w:rPr>
        <w:t xml:space="preserve"> the census block(s) affected, as well as the census block group and census tract. A map showing these areas will be provided to the utility to narrow down the area in which to seek a group of homes that are comparable to the homes affected by the LPE. </w:t>
      </w:r>
      <w:r w:rsidRPr="004A4B25">
        <w:rPr>
          <w:rFonts w:cstheme="minorHAnsi"/>
          <w:szCs w:val="24"/>
        </w:rPr>
        <w:t xml:space="preserve">Because census tracts are designed to be homogeneous with respect to population characteristics, identifying unaffected areas within the same block group </w:t>
      </w:r>
      <w:r>
        <w:rPr>
          <w:rFonts w:cstheme="minorHAnsi"/>
          <w:szCs w:val="24"/>
        </w:rPr>
        <w:t xml:space="preserve">(or census tract for large events) </w:t>
      </w:r>
      <w:r w:rsidRPr="004A4B25">
        <w:rPr>
          <w:rFonts w:cstheme="minorHAnsi"/>
          <w:szCs w:val="24"/>
        </w:rPr>
        <w:t xml:space="preserve">will help to minimize bias by assuring that affected and unaffected areas are reasonably well matched in terms of demographic characteristics. </w:t>
      </w:r>
      <w:r>
        <w:rPr>
          <w:rFonts w:cstheme="minorHAnsi"/>
          <w:szCs w:val="24"/>
        </w:rPr>
        <w:t xml:space="preserve">Using its own water system information systems, </w:t>
      </w:r>
      <w:r w:rsidR="00F4461B">
        <w:rPr>
          <w:rFonts w:cstheme="minorHAnsi"/>
          <w:szCs w:val="24"/>
        </w:rPr>
        <w:t xml:space="preserve">in collaboration with the CDC study team, </w:t>
      </w:r>
      <w:r>
        <w:rPr>
          <w:rFonts w:cstheme="minorHAnsi"/>
          <w:szCs w:val="24"/>
        </w:rPr>
        <w:t>the utility then identif</w:t>
      </w:r>
      <w:r w:rsidR="00AD4AD8">
        <w:rPr>
          <w:rFonts w:cstheme="minorHAnsi"/>
          <w:szCs w:val="24"/>
        </w:rPr>
        <w:t>ies</w:t>
      </w:r>
      <w:r>
        <w:rPr>
          <w:rFonts w:cstheme="minorHAnsi"/>
          <w:szCs w:val="24"/>
        </w:rPr>
        <w:t xml:space="preserve"> </w:t>
      </w:r>
      <w:r w:rsidRPr="004A4B25">
        <w:rPr>
          <w:rFonts w:cstheme="minorHAnsi"/>
          <w:szCs w:val="24"/>
        </w:rPr>
        <w:t xml:space="preserve">similarly-sized </w:t>
      </w:r>
      <w:r>
        <w:rPr>
          <w:rFonts w:cstheme="minorHAnsi"/>
          <w:szCs w:val="24"/>
        </w:rPr>
        <w:t xml:space="preserve">or larger </w:t>
      </w:r>
      <w:r w:rsidRPr="004A4B25">
        <w:rPr>
          <w:rFonts w:cstheme="minorHAnsi"/>
          <w:szCs w:val="24"/>
        </w:rPr>
        <w:t>area</w:t>
      </w:r>
      <w:r>
        <w:rPr>
          <w:rFonts w:cstheme="minorHAnsi"/>
          <w:szCs w:val="24"/>
        </w:rPr>
        <w:t>s</w:t>
      </w:r>
      <w:r w:rsidRPr="004A4B25">
        <w:rPr>
          <w:rFonts w:cstheme="minorHAnsi"/>
          <w:szCs w:val="24"/>
        </w:rPr>
        <w:t xml:space="preserve"> within the same census block group </w:t>
      </w:r>
      <w:r>
        <w:rPr>
          <w:rFonts w:cstheme="minorHAnsi"/>
          <w:szCs w:val="24"/>
        </w:rPr>
        <w:t xml:space="preserve">(or census tract if necessary) </w:t>
      </w:r>
      <w:r w:rsidRPr="004A4B25">
        <w:rPr>
          <w:rFonts w:cstheme="minorHAnsi"/>
          <w:szCs w:val="24"/>
        </w:rPr>
        <w:t xml:space="preserve">that </w:t>
      </w:r>
      <w:r>
        <w:rPr>
          <w:rFonts w:cstheme="minorHAnsi"/>
          <w:szCs w:val="24"/>
        </w:rPr>
        <w:t>are</w:t>
      </w:r>
      <w:r w:rsidRPr="004A4B25">
        <w:rPr>
          <w:rFonts w:cstheme="minorHAnsi"/>
          <w:szCs w:val="24"/>
        </w:rPr>
        <w:t xml:space="preserve"> unaffected by the LPE because they are in a different pressure zone</w:t>
      </w:r>
      <w:r>
        <w:rPr>
          <w:rFonts w:cstheme="minorHAnsi"/>
          <w:szCs w:val="24"/>
        </w:rPr>
        <w:t>, upstream of the event, involve a separate loop,</w:t>
      </w:r>
      <w:r w:rsidRPr="004A4B25">
        <w:rPr>
          <w:rFonts w:cstheme="minorHAnsi"/>
          <w:szCs w:val="24"/>
        </w:rPr>
        <w:t xml:space="preserve"> or </w:t>
      </w:r>
      <w:r>
        <w:rPr>
          <w:rFonts w:cstheme="minorHAnsi"/>
          <w:szCs w:val="24"/>
        </w:rPr>
        <w:t xml:space="preserve">are </w:t>
      </w:r>
      <w:r w:rsidRPr="004A4B25">
        <w:rPr>
          <w:rFonts w:cstheme="minorHAnsi"/>
          <w:szCs w:val="24"/>
        </w:rPr>
        <w:t xml:space="preserve">in an area of the distribution system separate from the area of the LPE. </w:t>
      </w:r>
      <w:r>
        <w:rPr>
          <w:rFonts w:cstheme="minorHAnsi"/>
          <w:szCs w:val="24"/>
        </w:rPr>
        <w:t>From the potential areas identified, utilities identify an area that matches the affected (event) area in terms of predominant housing type, pipe size and material, and origin of water</w:t>
      </w:r>
      <w:r w:rsidR="00F4461B">
        <w:rPr>
          <w:rFonts w:cstheme="minorHAnsi"/>
          <w:szCs w:val="24"/>
        </w:rPr>
        <w:t>, as detailed on the Low Pressure Event form</w:t>
      </w:r>
      <w:r>
        <w:rPr>
          <w:rFonts w:cstheme="minorHAnsi"/>
          <w:szCs w:val="24"/>
        </w:rPr>
        <w:t xml:space="preserve">. If </w:t>
      </w:r>
      <w:r w:rsidR="00F4461B">
        <w:rPr>
          <w:rFonts w:cstheme="minorHAnsi"/>
          <w:szCs w:val="24"/>
        </w:rPr>
        <w:t>multiple</w:t>
      </w:r>
      <w:r>
        <w:rPr>
          <w:rFonts w:cstheme="minorHAnsi"/>
          <w:szCs w:val="24"/>
        </w:rPr>
        <w:t xml:space="preserve"> </w:t>
      </w:r>
      <w:r w:rsidR="00F4461B">
        <w:rPr>
          <w:rFonts w:cstheme="minorHAnsi"/>
          <w:szCs w:val="24"/>
        </w:rPr>
        <w:t xml:space="preserve">potential </w:t>
      </w:r>
      <w:r>
        <w:rPr>
          <w:rFonts w:cstheme="minorHAnsi"/>
          <w:szCs w:val="24"/>
        </w:rPr>
        <w:t>matching area</w:t>
      </w:r>
      <w:r w:rsidR="00F4461B">
        <w:rPr>
          <w:rFonts w:cstheme="minorHAnsi"/>
          <w:szCs w:val="24"/>
        </w:rPr>
        <w:t>s</w:t>
      </w:r>
      <w:r>
        <w:rPr>
          <w:rFonts w:cstheme="minorHAnsi"/>
          <w:szCs w:val="24"/>
        </w:rPr>
        <w:t xml:space="preserve"> </w:t>
      </w:r>
      <w:r w:rsidR="00F4461B">
        <w:rPr>
          <w:rFonts w:cstheme="minorHAnsi"/>
          <w:szCs w:val="24"/>
        </w:rPr>
        <w:t xml:space="preserve">are </w:t>
      </w:r>
      <w:r>
        <w:rPr>
          <w:rFonts w:cstheme="minorHAnsi"/>
          <w:szCs w:val="24"/>
        </w:rPr>
        <w:t xml:space="preserve">found, </w:t>
      </w:r>
      <w:r w:rsidR="00F4461B">
        <w:rPr>
          <w:rFonts w:cstheme="minorHAnsi"/>
          <w:szCs w:val="24"/>
        </w:rPr>
        <w:t xml:space="preserve">CDC </w:t>
      </w:r>
      <w:r>
        <w:rPr>
          <w:rFonts w:cstheme="minorHAnsi"/>
          <w:szCs w:val="24"/>
        </w:rPr>
        <w:t>randomly select</w:t>
      </w:r>
      <w:r w:rsidR="00AD4AD8">
        <w:rPr>
          <w:rFonts w:cstheme="minorHAnsi"/>
          <w:szCs w:val="24"/>
        </w:rPr>
        <w:t>s</w:t>
      </w:r>
      <w:r>
        <w:rPr>
          <w:rFonts w:cstheme="minorHAnsi"/>
          <w:szCs w:val="24"/>
        </w:rPr>
        <w:t xml:space="preserve"> </w:t>
      </w:r>
      <w:r w:rsidR="00F4461B">
        <w:rPr>
          <w:rFonts w:cstheme="minorHAnsi"/>
          <w:szCs w:val="24"/>
        </w:rPr>
        <w:t xml:space="preserve">the </w:t>
      </w:r>
      <w:r>
        <w:rPr>
          <w:rFonts w:cstheme="minorHAnsi"/>
          <w:szCs w:val="24"/>
        </w:rPr>
        <w:t>area</w:t>
      </w:r>
      <w:r w:rsidR="00F4461B">
        <w:rPr>
          <w:rFonts w:cstheme="minorHAnsi"/>
          <w:szCs w:val="24"/>
        </w:rPr>
        <w:t xml:space="preserve"> for inclusion</w:t>
      </w:r>
      <w:r>
        <w:rPr>
          <w:rFonts w:cstheme="minorHAnsi"/>
          <w:szCs w:val="24"/>
        </w:rPr>
        <w:t>.</w:t>
      </w:r>
    </w:p>
    <w:p w14:paraId="27D66FC4" w14:textId="77777777" w:rsidR="0042207C" w:rsidRDefault="0042207C" w:rsidP="0042207C"/>
    <w:p w14:paraId="688A8BE4" w14:textId="0311F1E3" w:rsidR="0042207C" w:rsidRDefault="0042207C" w:rsidP="0042207C">
      <w:r w:rsidRPr="007F7B1D">
        <w:t>The utility provide</w:t>
      </w:r>
      <w:r w:rsidR="00AD4AD8">
        <w:t>s</w:t>
      </w:r>
      <w:r w:rsidRPr="007F7B1D">
        <w:t xml:space="preserve"> the billing addresses of the exposed and unexposed households </w:t>
      </w:r>
      <w:r w:rsidR="00093D21">
        <w:t xml:space="preserve">or the mailing addresses from public assessor information </w:t>
      </w:r>
      <w:r w:rsidRPr="007F7B1D">
        <w:t xml:space="preserve">to CDC research staff within one week of an LPE. From this address list, a random sample of exposed and unexposed households </w:t>
      </w:r>
      <w:r w:rsidR="00AD4AD8">
        <w:t>are</w:t>
      </w:r>
      <w:r>
        <w:t xml:space="preserve"> generated by CDC study staff (see section B.1 for details on sampling)</w:t>
      </w:r>
      <w:r w:rsidRPr="007F7B1D">
        <w:t xml:space="preserve">. Households </w:t>
      </w:r>
      <w:r w:rsidR="00AD4AD8">
        <w:t>are</w:t>
      </w:r>
      <w:r w:rsidR="00AD4AD8" w:rsidRPr="007F7B1D">
        <w:t xml:space="preserve"> </w:t>
      </w:r>
      <w:r w:rsidRPr="007F7B1D">
        <w:t>only surveyed once (either as a household exposed to an LPE or as an unexposed household).</w:t>
      </w:r>
    </w:p>
    <w:p w14:paraId="7CFBF8B5" w14:textId="77777777" w:rsidR="00F406B5" w:rsidRDefault="00F406B5" w:rsidP="0042207C">
      <w:pPr>
        <w:rPr>
          <w:bCs/>
          <w:i/>
        </w:rPr>
      </w:pPr>
    </w:p>
    <w:p w14:paraId="08C2EF6A" w14:textId="02A47781" w:rsidR="0042207C" w:rsidRPr="007F7B1D" w:rsidRDefault="0042207C" w:rsidP="0042207C">
      <w:pPr>
        <w:rPr>
          <w:bCs/>
          <w:i/>
        </w:rPr>
      </w:pPr>
      <w:r w:rsidRPr="007F7B1D">
        <w:rPr>
          <w:bCs/>
          <w:i/>
        </w:rPr>
        <w:t>Eligibility</w:t>
      </w:r>
    </w:p>
    <w:p w14:paraId="396761F1" w14:textId="5E5E1263" w:rsidR="0042207C" w:rsidRPr="007F7B1D" w:rsidRDefault="0042207C" w:rsidP="0042207C">
      <w:r>
        <w:t xml:space="preserve">Household respondents </w:t>
      </w:r>
      <w:r w:rsidRPr="007F7B1D">
        <w:t xml:space="preserve">must be English-speaking and </w:t>
      </w:r>
      <w:r>
        <w:rPr>
          <w:rFonts w:cs="Times New Roman"/>
        </w:rPr>
        <w:t>≥</w:t>
      </w:r>
      <w:r w:rsidRPr="007F7B1D">
        <w:t xml:space="preserve">18 years of age in order to be eligible to participate in the study. Children </w:t>
      </w:r>
      <w:r w:rsidR="00AD4AD8">
        <w:t>are</w:t>
      </w:r>
      <w:r w:rsidR="00AD4AD8" w:rsidRPr="007F7B1D">
        <w:t xml:space="preserve"> </w:t>
      </w:r>
      <w:r w:rsidRPr="007F7B1D">
        <w:t xml:space="preserve">not targeted to be enrolled in the study per se, as we </w:t>
      </w:r>
      <w:r w:rsidR="00AD4AD8">
        <w:t>do</w:t>
      </w:r>
      <w:r w:rsidR="00AD4AD8" w:rsidRPr="007F7B1D">
        <w:t xml:space="preserve"> </w:t>
      </w:r>
      <w:r w:rsidRPr="007F7B1D">
        <w:t xml:space="preserve">not survey anyone &lt;18 years of age. However, the parent or guardian of a child may respond to the questionnaire regarding recent illness and exposures of children in his/her household. </w:t>
      </w:r>
      <w:r w:rsidR="00F4461B">
        <w:t xml:space="preserve">Households that have been invited to participate in response to a previous event </w:t>
      </w:r>
      <w:r w:rsidR="00AD4AD8">
        <w:t xml:space="preserve">are </w:t>
      </w:r>
      <w:r w:rsidR="00F4461B">
        <w:t>not included in the sampling frame for subsequent events.</w:t>
      </w:r>
    </w:p>
    <w:p w14:paraId="4E252960" w14:textId="77777777" w:rsidR="0042207C" w:rsidRPr="007F7B1D" w:rsidRDefault="0042207C" w:rsidP="0042207C"/>
    <w:p w14:paraId="02B12504" w14:textId="68459EA3" w:rsidR="0042207C" w:rsidRDefault="0042207C" w:rsidP="0042207C">
      <w:r w:rsidRPr="007F7B1D">
        <w:t xml:space="preserve">Water connection addresses that are linked to businesses </w:t>
      </w:r>
      <w:r w:rsidR="00AD4AD8">
        <w:t>are</w:t>
      </w:r>
      <w:r w:rsidRPr="007F7B1D">
        <w:t xml:space="preserve"> excluded. Residential facilities such as nursing homes or long-term care facilities </w:t>
      </w:r>
      <w:r w:rsidR="00AD4AD8">
        <w:t>are</w:t>
      </w:r>
      <w:r w:rsidR="00AD4AD8" w:rsidRPr="007F7B1D">
        <w:t xml:space="preserve"> </w:t>
      </w:r>
      <w:r w:rsidRPr="007F7B1D">
        <w:t xml:space="preserve">also excluded because populations in these facilities generally have a higher rate of underlying medical conditions which predisposes them to a higher baseline incidence of diarrheal illness. They </w:t>
      </w:r>
      <w:r w:rsidR="00AD4AD8">
        <w:t>are</w:t>
      </w:r>
      <w:r w:rsidRPr="007F7B1D">
        <w:t xml:space="preserve"> excluded to avoid bias. </w:t>
      </w:r>
      <w:r w:rsidR="00093D21" w:rsidRPr="00AD4665">
        <w:rPr>
          <w:bCs/>
        </w:rPr>
        <w:t>To exclude potentially ineligible residential properties (e.g., rental properties or seasonal homes), we exclude addresses for which the mailing and premise addresses d</w:t>
      </w:r>
      <w:r w:rsidR="00093D21">
        <w:rPr>
          <w:bCs/>
        </w:rPr>
        <w:t>o</w:t>
      </w:r>
      <w:r w:rsidR="00093D21" w:rsidRPr="00AD4665">
        <w:rPr>
          <w:bCs/>
        </w:rPr>
        <w:t xml:space="preserve"> not match</w:t>
      </w:r>
      <w:r w:rsidR="00093D21">
        <w:rPr>
          <w:bCs/>
        </w:rPr>
        <w:t>.</w:t>
      </w:r>
      <w:r w:rsidRPr="007F7B1D">
        <w:t xml:space="preserve"> </w:t>
      </w:r>
    </w:p>
    <w:p w14:paraId="60E5B576" w14:textId="77777777" w:rsidR="0042207C" w:rsidRDefault="0042207C" w:rsidP="0042207C"/>
    <w:p w14:paraId="676F53BF" w14:textId="0ED0735B" w:rsidR="0042207C" w:rsidRPr="00374382" w:rsidRDefault="0042207C" w:rsidP="0042207C">
      <w:pPr>
        <w:rPr>
          <w:i/>
        </w:rPr>
      </w:pPr>
      <w:r w:rsidRPr="00374382">
        <w:rPr>
          <w:i/>
        </w:rPr>
        <w:t>Advance letter</w:t>
      </w:r>
    </w:p>
    <w:p w14:paraId="34ECBC1A" w14:textId="3BAD188B" w:rsidR="0042207C" w:rsidRDefault="0042207C" w:rsidP="0042207C">
      <w:r>
        <w:t>All potential study participants have advance notice of the survey. An advance letter with information about the study (</w:t>
      </w:r>
      <w:r w:rsidR="005C1936">
        <w:t>Attachment D</w:t>
      </w:r>
      <w:r>
        <w:t xml:space="preserve">) </w:t>
      </w:r>
      <w:r w:rsidR="00AD4AD8">
        <w:t>is</w:t>
      </w:r>
      <w:r>
        <w:t xml:space="preserve"> mailed to each selected household </w:t>
      </w:r>
      <w:r w:rsidRPr="005C1936">
        <w:t xml:space="preserve">approximately </w:t>
      </w:r>
      <w:r w:rsidR="005C1936" w:rsidRPr="00D75973">
        <w:t xml:space="preserve">1-1.5 </w:t>
      </w:r>
      <w:r w:rsidRPr="005C1936">
        <w:t xml:space="preserve">weeks after the low pressure event. The letter </w:t>
      </w:r>
      <w:r w:rsidR="00AD4AD8">
        <w:t>is</w:t>
      </w:r>
      <w:r w:rsidRPr="005C1936">
        <w:t xml:space="preserve"> personalized with the utility customer’s name and home address using CDC stationary, and </w:t>
      </w:r>
      <w:r w:rsidR="00AD4AD8">
        <w:t>is</w:t>
      </w:r>
      <w:r w:rsidRPr="005C1936">
        <w:t xml:space="preserve"> signed by the principal investigator</w:t>
      </w:r>
      <w:r>
        <w:t>. This letter introduce</w:t>
      </w:r>
      <w:r w:rsidR="00AD4AD8">
        <w:t>s</w:t>
      </w:r>
      <w:r>
        <w:t xml:space="preserve"> the importance of the study and inform</w:t>
      </w:r>
      <w:r w:rsidR="00907752">
        <w:t>s</w:t>
      </w:r>
      <w:r>
        <w:t xml:space="preserve"> residents that they will receive a survey packet in a few days, with options to complete the paper survey and mail it in or to complete it online using a unique code. </w:t>
      </w:r>
      <w:r w:rsidRPr="00176FF5">
        <w:t>The advance letter also inform</w:t>
      </w:r>
      <w:r w:rsidR="00AD4AD8">
        <w:t>s</w:t>
      </w:r>
      <w:r w:rsidRPr="00176FF5">
        <w:t xml:space="preserve"> study participants that they will receive </w:t>
      </w:r>
      <w:r>
        <w:t xml:space="preserve">a small gift (the refrigerator magnet) </w:t>
      </w:r>
      <w:r w:rsidRPr="00176FF5">
        <w:t xml:space="preserve">in their study packet </w:t>
      </w:r>
      <w:r>
        <w:t>as a token of our appreciation for their participation.</w:t>
      </w:r>
    </w:p>
    <w:p w14:paraId="78F8F2A1" w14:textId="77777777" w:rsidR="0042207C" w:rsidRPr="007F7B1D" w:rsidRDefault="0042207C" w:rsidP="0042207C"/>
    <w:p w14:paraId="01810BBE" w14:textId="5BEC75F5" w:rsidR="0042207C" w:rsidRPr="007F7B1D" w:rsidRDefault="0042207C" w:rsidP="0042207C">
      <w:pPr>
        <w:rPr>
          <w:bCs/>
          <w:i/>
        </w:rPr>
      </w:pPr>
      <w:r w:rsidRPr="007F7B1D">
        <w:rPr>
          <w:bCs/>
          <w:i/>
        </w:rPr>
        <w:t>Enrollment</w:t>
      </w:r>
    </w:p>
    <w:p w14:paraId="4EAC383D" w14:textId="0E79F026" w:rsidR="0042207C" w:rsidRDefault="0042207C" w:rsidP="0042207C">
      <w:r w:rsidRPr="007F7B1D">
        <w:t xml:space="preserve">A survey packet, including an introductory letter, </w:t>
      </w:r>
      <w:r>
        <w:t xml:space="preserve">study brochure with consent </w:t>
      </w:r>
      <w:r w:rsidRPr="00895659">
        <w:t>information (</w:t>
      </w:r>
      <w:r w:rsidR="00895659" w:rsidRPr="00895659">
        <w:t>A</w:t>
      </w:r>
      <w:r w:rsidR="00895659" w:rsidRPr="00D75973">
        <w:t>ttachments</w:t>
      </w:r>
      <w:r w:rsidR="00895659" w:rsidRPr="00895659">
        <w:t xml:space="preserve"> </w:t>
      </w:r>
      <w:r w:rsidR="000F70F3" w:rsidRPr="00895659">
        <w:t>E</w:t>
      </w:r>
      <w:r w:rsidRPr="00895659">
        <w:t xml:space="preserve"> and </w:t>
      </w:r>
      <w:r w:rsidR="00895659" w:rsidRPr="00895659">
        <w:t>G</w:t>
      </w:r>
      <w:r w:rsidRPr="00895659">
        <w:t>) and the household survey (</w:t>
      </w:r>
      <w:r w:rsidR="00895659" w:rsidRPr="00895659">
        <w:t>A</w:t>
      </w:r>
      <w:r w:rsidR="00895659" w:rsidRPr="00D75973">
        <w:t>ttachments</w:t>
      </w:r>
      <w:r w:rsidR="00895659" w:rsidRPr="00895659">
        <w:t xml:space="preserve"> </w:t>
      </w:r>
      <w:r w:rsidR="00895659" w:rsidRPr="00D75973">
        <w:t>H</w:t>
      </w:r>
      <w:r w:rsidR="0013631F" w:rsidRPr="00895659">
        <w:t xml:space="preserve"> and </w:t>
      </w:r>
      <w:r w:rsidR="00895659" w:rsidRPr="00895659">
        <w:t>I</w:t>
      </w:r>
      <w:r w:rsidRPr="00895659">
        <w:t xml:space="preserve">), </w:t>
      </w:r>
      <w:r w:rsidR="00B300CA">
        <w:t>are</w:t>
      </w:r>
      <w:r w:rsidRPr="00895659">
        <w:t xml:space="preserve"> mailed from CDC to each randomly selected exposed and unexposed household</w:t>
      </w:r>
      <w:r w:rsidRPr="00304CB6">
        <w:t xml:space="preserve"> approximately </w:t>
      </w:r>
      <w:r w:rsidR="00895659">
        <w:t>two</w:t>
      </w:r>
      <w:r w:rsidR="00895659" w:rsidRPr="00304CB6">
        <w:t xml:space="preserve"> </w:t>
      </w:r>
      <w:r w:rsidRPr="00304CB6">
        <w:t xml:space="preserve">weeks </w:t>
      </w:r>
      <w:r w:rsidRPr="00895659">
        <w:t xml:space="preserve">after the LPE (i.e., </w:t>
      </w:r>
      <w:r w:rsidR="00895659">
        <w:t>0</w:t>
      </w:r>
      <w:r w:rsidRPr="00895659">
        <w:t xml:space="preserve">.5-1 week after the advance letter). </w:t>
      </w:r>
      <w:r w:rsidR="00803700" w:rsidRPr="00895659">
        <w:t>Mailed</w:t>
      </w:r>
      <w:r w:rsidR="00803700">
        <w:t xml:space="preserve"> study materials also direct participants to a study website (</w:t>
      </w:r>
      <w:hyperlink r:id="rId9" w:history="1">
        <w:r w:rsidR="00803700">
          <w:rPr>
            <w:rStyle w:val="Hyperlink"/>
          </w:rPr>
          <w:t>http://www.cdc.gov/healthywater/study.html</w:t>
        </w:r>
      </w:hyperlink>
      <w:r w:rsidR="00803700" w:rsidRPr="00803700">
        <w:rPr>
          <w:color w:val="000000" w:themeColor="text1"/>
        </w:rPr>
        <w:t xml:space="preserve">) where they can seek more information about the study or link to the secure study website to take the survey online. </w:t>
      </w:r>
      <w:r w:rsidRPr="00304CB6">
        <w:t xml:space="preserve">In addition, a refrigerator magnet </w:t>
      </w:r>
      <w:r w:rsidR="0005416F">
        <w:t xml:space="preserve">depicting a calendar </w:t>
      </w:r>
      <w:r w:rsidR="00B300CA">
        <w:t>is</w:t>
      </w:r>
      <w:r w:rsidRPr="00304CB6">
        <w:t xml:space="preserve"> included with the designated</w:t>
      </w:r>
      <w:r w:rsidR="00895659">
        <w:t xml:space="preserve"> two</w:t>
      </w:r>
      <w:r w:rsidRPr="00304CB6">
        <w:t xml:space="preserve"> week period of interest highlighted</w:t>
      </w:r>
      <w:r w:rsidRPr="00374382">
        <w:t xml:space="preserve"> </w:t>
      </w:r>
      <w:r w:rsidRPr="00304CB6">
        <w:t xml:space="preserve">as a reminder for the household to only answer about those days indicated. </w:t>
      </w:r>
      <w:r w:rsidR="00895659">
        <w:t xml:space="preserve">Two to three </w:t>
      </w:r>
      <w:r w:rsidRPr="00304CB6">
        <w:t>weeks is generally the maximum incub</w:t>
      </w:r>
      <w:r w:rsidRPr="007F7B1D">
        <w:t>ation period for pathogens known to cause waterborne AGI and ARI. Therefore, those persons who were exposed to these pathogens during the LPE will likely have developed symptoms by the time they receive the questionnaire. The letter include</w:t>
      </w:r>
      <w:r w:rsidR="00B300CA">
        <w:t>s</w:t>
      </w:r>
      <w:r w:rsidRPr="007F7B1D">
        <w:t xml:space="preserve"> information about the study and invite</w:t>
      </w:r>
      <w:r w:rsidR="00B300CA">
        <w:t>s</w:t>
      </w:r>
      <w:r w:rsidRPr="007F7B1D">
        <w:t xml:space="preserve"> the recipient to participate</w:t>
      </w:r>
      <w:r>
        <w:t xml:space="preserve">. </w:t>
      </w:r>
      <w:r w:rsidRPr="007F7B1D">
        <w:t xml:space="preserve">In order to maximize response rates, we give survey participants the </w:t>
      </w:r>
      <w:r>
        <w:t>choice of</w:t>
      </w:r>
      <w:r w:rsidRPr="007F7B1D">
        <w:t xml:space="preserve"> t</w:t>
      </w:r>
      <w:r>
        <w:t>w</w:t>
      </w:r>
      <w:r w:rsidRPr="007F7B1D">
        <w:t xml:space="preserve">o </w:t>
      </w:r>
      <w:r>
        <w:t xml:space="preserve">response modes: </w:t>
      </w:r>
      <w:r w:rsidRPr="007F7B1D">
        <w:t>over the internet using a web-based survey tool, or via postal mail. The introductory letter provide</w:t>
      </w:r>
      <w:r w:rsidR="00B300CA">
        <w:t>s</w:t>
      </w:r>
      <w:r w:rsidRPr="007F7B1D">
        <w:t xml:space="preserve"> a study identification number that the respondent use</w:t>
      </w:r>
      <w:r w:rsidR="00B300CA">
        <w:t>s</w:t>
      </w:r>
      <w:r w:rsidRPr="007F7B1D">
        <w:t xml:space="preserve"> as a pass</w:t>
      </w:r>
      <w:r>
        <w:t xml:space="preserve"> </w:t>
      </w:r>
      <w:r w:rsidRPr="007F7B1D">
        <w:t>code to enter on the survey website, should the respondent prefer to complete the survey online.</w:t>
      </w:r>
      <w:r>
        <w:t xml:space="preserve"> This information </w:t>
      </w:r>
      <w:r w:rsidR="00B300CA">
        <w:t>is</w:t>
      </w:r>
      <w:r>
        <w:t xml:space="preserve"> duplicated in a label on the front of the survey booklet.</w:t>
      </w:r>
      <w:r w:rsidRPr="007F7B1D">
        <w:t xml:space="preserve"> We include a postage-paid return envelope (addressed to CDC) </w:t>
      </w:r>
      <w:r>
        <w:t>for return of paper surveys</w:t>
      </w:r>
      <w:r w:rsidRPr="007F7B1D">
        <w:t xml:space="preserve">. </w:t>
      </w:r>
      <w:r>
        <w:t xml:space="preserve">The calendar </w:t>
      </w:r>
      <w:r w:rsidR="0005416F">
        <w:t xml:space="preserve">magnet </w:t>
      </w:r>
      <w:r>
        <w:t xml:space="preserve">included in the survey packet </w:t>
      </w:r>
      <w:r w:rsidR="00B300CA">
        <w:t>has</w:t>
      </w:r>
      <w:r>
        <w:t xml:space="preserve"> the dates of the </w:t>
      </w:r>
      <w:r w:rsidR="005C1936">
        <w:t>2</w:t>
      </w:r>
      <w:r>
        <w:t>-week period of interest highlighted.</w:t>
      </w:r>
      <w:r w:rsidR="00895659">
        <w:t xml:space="preserve"> </w:t>
      </w:r>
      <w:r w:rsidRPr="007F7B1D">
        <w:t xml:space="preserve">By utilizing multiple survey methods, we hope to have equitable recruitment of subjects. </w:t>
      </w:r>
    </w:p>
    <w:p w14:paraId="3FF64930" w14:textId="77777777" w:rsidR="0042207C" w:rsidRPr="007F7B1D" w:rsidRDefault="0042207C" w:rsidP="0042207C"/>
    <w:p w14:paraId="66629140" w14:textId="1C8E6BB8" w:rsidR="0042207C" w:rsidRDefault="0042207C" w:rsidP="0042207C">
      <w:r w:rsidRPr="004E4298">
        <w:t xml:space="preserve">We attempt to </w:t>
      </w:r>
      <w:r>
        <w:t>obtain survey information on</w:t>
      </w:r>
      <w:r w:rsidRPr="004E4298">
        <w:t xml:space="preserve"> </w:t>
      </w:r>
      <w:r>
        <w:t>all members of each</w:t>
      </w:r>
      <w:r w:rsidRPr="004E4298">
        <w:t xml:space="preserve"> household</w:t>
      </w:r>
      <w:r>
        <w:t xml:space="preserve"> (limited to 6 in the paper version of the survey due to printing constraints)</w:t>
      </w:r>
      <w:r w:rsidRPr="004E4298">
        <w:t>. Study participants receive a refrigerator magnet calendar from the CDC as a</w:t>
      </w:r>
      <w:r>
        <w:t xml:space="preserve"> visual aid to improve recall and as </w:t>
      </w:r>
      <w:r w:rsidRPr="004E4298">
        <w:t xml:space="preserve">a token </w:t>
      </w:r>
      <w:r>
        <w:t>gift designed to improve response rates</w:t>
      </w:r>
      <w:r w:rsidRPr="004E4298">
        <w:t>.</w:t>
      </w:r>
    </w:p>
    <w:p w14:paraId="6E6B23C8" w14:textId="77777777" w:rsidR="0042207C" w:rsidRPr="007F7B1D" w:rsidRDefault="0042207C" w:rsidP="0042207C"/>
    <w:p w14:paraId="1F48A033" w14:textId="5673E76C" w:rsidR="0042207C" w:rsidRPr="007F7B1D" w:rsidRDefault="0042207C" w:rsidP="0042207C">
      <w:pPr>
        <w:rPr>
          <w:bCs/>
          <w:i/>
        </w:rPr>
      </w:pPr>
      <w:r w:rsidRPr="007F7B1D">
        <w:rPr>
          <w:bCs/>
          <w:i/>
        </w:rPr>
        <w:t>Consent Process</w:t>
      </w:r>
    </w:p>
    <w:p w14:paraId="403697C6" w14:textId="43CBAF40" w:rsidR="0042207C" w:rsidRDefault="0042207C" w:rsidP="0042207C">
      <w:r w:rsidRPr="002F123D">
        <w:t>The survey participants indicate their consent to participate by completing the survey (in the postal and online versions of the survey).</w:t>
      </w:r>
      <w:r w:rsidRPr="007F7B1D">
        <w:t xml:space="preserve"> Instructions clearly state that only individuals </w:t>
      </w:r>
      <w:r w:rsidRPr="007F7B1D">
        <w:rPr>
          <w:u w:val="single"/>
        </w:rPr>
        <w:t>&gt;</w:t>
      </w:r>
      <w:r w:rsidRPr="007F7B1D">
        <w:t xml:space="preserve"> 18 years of age are eligible to </w:t>
      </w:r>
      <w:r>
        <w:t>fill out the questionnaire</w:t>
      </w:r>
      <w:r w:rsidRPr="007F7B1D">
        <w:t xml:space="preserve">. No names </w:t>
      </w:r>
      <w:r w:rsidR="00B300CA">
        <w:t>are</w:t>
      </w:r>
      <w:r w:rsidRPr="007F7B1D">
        <w:t xml:space="preserve"> collected at any time during the study.</w:t>
      </w:r>
    </w:p>
    <w:p w14:paraId="09695934" w14:textId="77777777" w:rsidR="0042207C" w:rsidRPr="007F7B1D" w:rsidRDefault="0042207C" w:rsidP="0042207C"/>
    <w:p w14:paraId="298FE44D" w14:textId="0A056952" w:rsidR="0042207C" w:rsidRPr="007F7B1D" w:rsidRDefault="0042207C" w:rsidP="0042207C">
      <w:pPr>
        <w:rPr>
          <w:bCs/>
          <w:i/>
        </w:rPr>
      </w:pPr>
      <w:bookmarkStart w:id="5" w:name="_Toc263405057"/>
      <w:r w:rsidRPr="007F7B1D">
        <w:rPr>
          <w:bCs/>
          <w:i/>
        </w:rPr>
        <w:t>Survey Questionnaire</w:t>
      </w:r>
    </w:p>
    <w:p w14:paraId="10363199" w14:textId="5FF1FD63" w:rsidR="0042207C" w:rsidRDefault="0042207C" w:rsidP="0042207C">
      <w:r>
        <w:t>Both</w:t>
      </w:r>
      <w:r w:rsidRPr="007F7B1D">
        <w:t xml:space="preserve"> versions of the study questionnaire ask the same standardized questions from each household member concerning his or her recent gastrointestinal or respiratory illnesses, water </w:t>
      </w:r>
      <w:r>
        <w:t>service and exposures,</w:t>
      </w:r>
      <w:r w:rsidRPr="007F7B1D">
        <w:t xml:space="preserve"> and other activities. The questionnaire focus</w:t>
      </w:r>
      <w:r w:rsidR="00B300CA">
        <w:t>es</w:t>
      </w:r>
      <w:r w:rsidR="00CB7429">
        <w:t xml:space="preserve"> </w:t>
      </w:r>
      <w:r w:rsidRPr="007F7B1D">
        <w:t xml:space="preserve">on the </w:t>
      </w:r>
      <w:r w:rsidR="005C1936">
        <w:t>two</w:t>
      </w:r>
      <w:r w:rsidRPr="007F7B1D">
        <w:t xml:space="preserve"> week time period after the LPE (referred to in the survey as the “</w:t>
      </w:r>
      <w:r>
        <w:t>t</w:t>
      </w:r>
      <w:r w:rsidR="005C1936">
        <w:t>wo</w:t>
      </w:r>
      <w:r>
        <w:t xml:space="preserve"> week period</w:t>
      </w:r>
      <w:r w:rsidRPr="007F7B1D">
        <w:t xml:space="preserve">”). For households where children &lt;18 years of age are present, we ask a parent or guardian to answer questions and provide information on behalf of the child. Data from the paper-based surveys </w:t>
      </w:r>
      <w:r w:rsidR="00B300CA">
        <w:t>is</w:t>
      </w:r>
      <w:r w:rsidRPr="007F7B1D">
        <w:t xml:space="preserve"> manually entered into the electronic database at CDC that also house</w:t>
      </w:r>
      <w:r w:rsidR="00B300CA">
        <w:t>s</w:t>
      </w:r>
      <w:r w:rsidRPr="007F7B1D">
        <w:t xml:space="preserve"> the data from the web-based surveys. </w:t>
      </w:r>
      <w:r w:rsidR="00415BD5">
        <w:t xml:space="preserve">Data from the web-based surveys </w:t>
      </w:r>
      <w:r w:rsidR="00B300CA">
        <w:t>is</w:t>
      </w:r>
      <w:r w:rsidR="00415BD5">
        <w:t xml:space="preserve"> saved automatically in the database after the participant answers a question.</w:t>
      </w:r>
    </w:p>
    <w:p w14:paraId="0A1962F9" w14:textId="77777777" w:rsidR="0042207C" w:rsidRDefault="0042207C" w:rsidP="0042207C"/>
    <w:p w14:paraId="0AF69A44" w14:textId="379AE2AE" w:rsidR="0042207C" w:rsidRPr="00374382" w:rsidRDefault="0042207C" w:rsidP="0042207C">
      <w:pPr>
        <w:rPr>
          <w:i/>
        </w:rPr>
      </w:pPr>
      <w:r w:rsidRPr="00374382">
        <w:rPr>
          <w:i/>
        </w:rPr>
        <w:t xml:space="preserve">Thank </w:t>
      </w:r>
      <w:r w:rsidR="008C451E">
        <w:rPr>
          <w:i/>
        </w:rPr>
        <w:t>Y</w:t>
      </w:r>
      <w:r w:rsidRPr="00374382">
        <w:rPr>
          <w:i/>
        </w:rPr>
        <w:t>ou/</w:t>
      </w:r>
      <w:r w:rsidR="008C451E">
        <w:rPr>
          <w:i/>
        </w:rPr>
        <w:t>R</w:t>
      </w:r>
      <w:r w:rsidRPr="00374382">
        <w:rPr>
          <w:i/>
        </w:rPr>
        <w:t xml:space="preserve">eminder </w:t>
      </w:r>
      <w:r w:rsidR="008C451E">
        <w:rPr>
          <w:i/>
        </w:rPr>
        <w:t>N</w:t>
      </w:r>
      <w:r>
        <w:rPr>
          <w:i/>
        </w:rPr>
        <w:t>ote</w:t>
      </w:r>
      <w:r w:rsidRPr="00374382">
        <w:rPr>
          <w:i/>
        </w:rPr>
        <w:t>card</w:t>
      </w:r>
    </w:p>
    <w:p w14:paraId="3188D1D6" w14:textId="760AEFA1" w:rsidR="0042207C" w:rsidRDefault="0042207C" w:rsidP="0042207C">
      <w:r>
        <w:t xml:space="preserve">One week after mailing the survey packet, we send a personalized thank you/reminder notecard to the selected exposed </w:t>
      </w:r>
      <w:r w:rsidRPr="00393610">
        <w:t>and control households (</w:t>
      </w:r>
      <w:r w:rsidR="00393610" w:rsidRPr="00393610">
        <w:t>A</w:t>
      </w:r>
      <w:r w:rsidR="00393610" w:rsidRPr="00CE57FB">
        <w:t xml:space="preserve">ttachment </w:t>
      </w:r>
      <w:r w:rsidR="00393610">
        <w:t>J</w:t>
      </w:r>
      <w:r w:rsidRPr="00393610">
        <w:t>).</w:t>
      </w:r>
      <w:r>
        <w:t xml:space="preserve"> The notecard thank</w:t>
      </w:r>
      <w:r w:rsidR="00026A84">
        <w:t>s</w:t>
      </w:r>
      <w:r>
        <w:t xml:space="preserve"> participants who already responded and request that those who have not yet responded do so. Participants </w:t>
      </w:r>
      <w:r w:rsidR="00026A84">
        <w:t>are</w:t>
      </w:r>
      <w:r>
        <w:t xml:space="preserve"> reminded that they are important to the study, that their responses are useful, and that their participation is voluntary. The participant’s individual login and passcode for the web survey </w:t>
      </w:r>
      <w:r w:rsidR="00026A84">
        <w:t>is</w:t>
      </w:r>
      <w:r>
        <w:t xml:space="preserve"> included on the card</w:t>
      </w:r>
      <w:r w:rsidR="00907752">
        <w:t xml:space="preserve">. </w:t>
      </w:r>
      <w:r>
        <w:t>.</w:t>
      </w:r>
    </w:p>
    <w:p w14:paraId="68E6BBE2" w14:textId="77777777" w:rsidR="0042207C" w:rsidRDefault="0042207C" w:rsidP="0042207C"/>
    <w:p w14:paraId="76C2AF54" w14:textId="1361DB87" w:rsidR="0042207C" w:rsidRPr="00374382" w:rsidRDefault="0042207C" w:rsidP="0042207C">
      <w:pPr>
        <w:rPr>
          <w:i/>
        </w:rPr>
      </w:pPr>
      <w:r w:rsidRPr="00374382">
        <w:rPr>
          <w:i/>
        </w:rPr>
        <w:t xml:space="preserve">Replacement </w:t>
      </w:r>
      <w:r w:rsidR="008C451E">
        <w:rPr>
          <w:i/>
        </w:rPr>
        <w:t>Q</w:t>
      </w:r>
      <w:r w:rsidRPr="00374382">
        <w:rPr>
          <w:i/>
        </w:rPr>
        <w:t xml:space="preserve">uestionnaire </w:t>
      </w:r>
      <w:r w:rsidR="008C451E">
        <w:rPr>
          <w:i/>
        </w:rPr>
        <w:t>M</w:t>
      </w:r>
      <w:r w:rsidRPr="00374382">
        <w:rPr>
          <w:i/>
        </w:rPr>
        <w:t>ailing</w:t>
      </w:r>
    </w:p>
    <w:p w14:paraId="3DA63B29" w14:textId="26ABD139" w:rsidR="00393610" w:rsidRDefault="0042207C" w:rsidP="0042207C">
      <w:r>
        <w:t>One week after mailing the thank you/reminder card, we mail a replacement questionnaire packet to households that have not yet responded. The packet contain</w:t>
      </w:r>
      <w:r w:rsidR="00026A84">
        <w:t>s</w:t>
      </w:r>
      <w:r>
        <w:t xml:space="preserve"> essentially the same information as the first questionnaire mailing, but the letter </w:t>
      </w:r>
      <w:r w:rsidR="00026A84">
        <w:t>is</w:t>
      </w:r>
      <w:r>
        <w:t xml:space="preserve"> altered slightly to indicate that we have not yet received their response, remind them that participation is easy and quick, and provides important information for public health planning </w:t>
      </w:r>
      <w:r w:rsidRPr="00B213B6">
        <w:t>(A</w:t>
      </w:r>
      <w:r w:rsidR="00393610">
        <w:t>ttachment</w:t>
      </w:r>
      <w:r w:rsidRPr="00B213B6">
        <w:t xml:space="preserve"> </w:t>
      </w:r>
      <w:r w:rsidR="00393610">
        <w:t>K</w:t>
      </w:r>
      <w:r>
        <w:t>), and a hand-written Post-It note encouraging them to respond.</w:t>
      </w:r>
      <w:r w:rsidR="00393610">
        <w:t xml:space="preserve"> </w:t>
      </w:r>
    </w:p>
    <w:p w14:paraId="4B86E100" w14:textId="77777777" w:rsidR="0042207C" w:rsidRDefault="0042207C" w:rsidP="0042207C"/>
    <w:p w14:paraId="4091D726" w14:textId="1D455650" w:rsidR="008C451E" w:rsidRDefault="008C451E" w:rsidP="0042207C">
      <w:pPr>
        <w:rPr>
          <w:i/>
        </w:rPr>
      </w:pPr>
      <w:r>
        <w:rPr>
          <w:i/>
        </w:rPr>
        <w:t>Reminder Telephone Call</w:t>
      </w:r>
    </w:p>
    <w:p w14:paraId="35F7A11A" w14:textId="09ED68AE" w:rsidR="008C451E" w:rsidRDefault="00237A88" w:rsidP="0042207C">
      <w:r w:rsidRPr="00AB60DD">
        <w:t>One week</w:t>
      </w:r>
      <w:r w:rsidRPr="00BD2B97">
        <w:t xml:space="preserve"> after mailing the replacement questionnaire</w:t>
      </w:r>
      <w:r>
        <w:t>, the study team place</w:t>
      </w:r>
      <w:r w:rsidR="00026A84">
        <w:t>s</w:t>
      </w:r>
      <w:r>
        <w:t xml:space="preserve"> an</w:t>
      </w:r>
      <w:r w:rsidR="008C451E" w:rsidRPr="00AD4665">
        <w:t xml:space="preserve"> outbound telephone call as a reminder before the final appeal letter is sent in an attempt to fur</w:t>
      </w:r>
      <w:r w:rsidR="008C451E">
        <w:t>ther increase the response rate (Attachment M).</w:t>
      </w:r>
      <w:r w:rsidR="007F67F3">
        <w:t xml:space="preserve"> </w:t>
      </w:r>
      <w:r w:rsidR="007F67F3" w:rsidRPr="00B022FD">
        <w:rPr>
          <w:highlight w:val="yellow"/>
        </w:rPr>
        <w:t xml:space="preserve">This call is </w:t>
      </w:r>
      <w:r w:rsidR="00BA2A1B">
        <w:rPr>
          <w:highlight w:val="yellow"/>
        </w:rPr>
        <w:t xml:space="preserve">currently </w:t>
      </w:r>
      <w:r w:rsidR="007F67F3" w:rsidRPr="00B022FD">
        <w:rPr>
          <w:highlight w:val="yellow"/>
        </w:rPr>
        <w:t>only feasible in a single utility due to several factors, including: state laws restricting the sharing of phone numbers</w:t>
      </w:r>
      <w:r w:rsidR="00907752">
        <w:rPr>
          <w:highlight w:val="yellow"/>
        </w:rPr>
        <w:t xml:space="preserve"> and</w:t>
      </w:r>
      <w:r w:rsidR="00CB7429">
        <w:rPr>
          <w:highlight w:val="yellow"/>
        </w:rPr>
        <w:t xml:space="preserve"> </w:t>
      </w:r>
      <w:r w:rsidR="007F67F3" w:rsidRPr="00B022FD">
        <w:rPr>
          <w:highlight w:val="yellow"/>
        </w:rPr>
        <w:t xml:space="preserve">data systems at utilities may not be able to </w:t>
      </w:r>
      <w:r w:rsidR="00907752">
        <w:rPr>
          <w:highlight w:val="yellow"/>
        </w:rPr>
        <w:t>provide customer phone numbers</w:t>
      </w:r>
      <w:r w:rsidR="007F67F3" w:rsidRPr="00B022FD">
        <w:rPr>
          <w:highlight w:val="yellow"/>
        </w:rPr>
        <w:t xml:space="preserve"> the file needed,.</w:t>
      </w:r>
    </w:p>
    <w:p w14:paraId="142603D5" w14:textId="77777777" w:rsidR="008C451E" w:rsidRDefault="008C451E" w:rsidP="0042207C">
      <w:pPr>
        <w:rPr>
          <w:i/>
        </w:rPr>
      </w:pPr>
    </w:p>
    <w:p w14:paraId="10729CC3" w14:textId="6961320E" w:rsidR="0042207C" w:rsidRPr="00374382" w:rsidRDefault="0042207C" w:rsidP="0042207C">
      <w:pPr>
        <w:rPr>
          <w:i/>
        </w:rPr>
      </w:pPr>
      <w:r>
        <w:rPr>
          <w:i/>
        </w:rPr>
        <w:t>Final Appeal Letter</w:t>
      </w:r>
    </w:p>
    <w:p w14:paraId="17F49D90" w14:textId="7FE82C68" w:rsidR="0042207C" w:rsidRDefault="0042207C" w:rsidP="0042207C">
      <w:r w:rsidRPr="00237A88">
        <w:t>One week</w:t>
      </w:r>
      <w:r w:rsidRPr="00BD2B97">
        <w:t xml:space="preserve"> after </w:t>
      </w:r>
      <w:r w:rsidR="00237A88">
        <w:t>placing the reminder telephone call</w:t>
      </w:r>
      <w:r w:rsidRPr="00BD2B97">
        <w:t>, we send a final mailing to non-responders</w:t>
      </w:r>
      <w:r w:rsidRPr="00374382">
        <w:t xml:space="preserve"> (</w:t>
      </w:r>
      <w:r w:rsidR="008C451E">
        <w:t>Attachment N</w:t>
      </w:r>
      <w:r w:rsidRPr="00374382">
        <w:t>)</w:t>
      </w:r>
      <w:r w:rsidRPr="00BD2B97">
        <w:t>. This</w:t>
      </w:r>
      <w:r w:rsidRPr="00374382">
        <w:t xml:space="preserve"> final</w:t>
      </w:r>
      <w:r w:rsidRPr="00BD2B97">
        <w:t xml:space="preserve"> letter </w:t>
      </w:r>
      <w:r w:rsidR="00026A84">
        <w:t>is</w:t>
      </w:r>
      <w:r w:rsidRPr="00BD2B97">
        <w:t xml:space="preserve"> in a different color envelope</w:t>
      </w:r>
      <w:r w:rsidRPr="00374382">
        <w:t xml:space="preserve">, </w:t>
      </w:r>
      <w:r w:rsidRPr="00BD2B97">
        <w:t>contain a personalized letter on CDC letterhead with the signature of the principal investigator</w:t>
      </w:r>
      <w:r w:rsidRPr="00374382">
        <w:t xml:space="preserve">, and have a </w:t>
      </w:r>
      <w:r w:rsidRPr="00BD2B97">
        <w:t>reminder of the participant’s individual passcode for the web survey. This letter convey</w:t>
      </w:r>
      <w:r w:rsidR="00B022FD">
        <w:t>s</w:t>
      </w:r>
      <w:r>
        <w:t xml:space="preserve"> a sense of urgency that time is running out for participation, and inform participants that all responses must be received within two weeks. Responses received by mail or internet more than 8 weeks from the low pressure events </w:t>
      </w:r>
      <w:r w:rsidR="00B022FD">
        <w:t xml:space="preserve">are </w:t>
      </w:r>
      <w:r>
        <w:t xml:space="preserve">still accepted, and a sensitivity analysis will be used to determine whether these late responses introduce recall bias. </w:t>
      </w:r>
    </w:p>
    <w:p w14:paraId="1E4D640C" w14:textId="77777777" w:rsidR="0042207C" w:rsidRPr="007F7B1D" w:rsidRDefault="0042207C" w:rsidP="0042207C"/>
    <w:bookmarkEnd w:id="5"/>
    <w:p w14:paraId="1A03E5D2" w14:textId="2B7A1E2E" w:rsidR="0042207C" w:rsidRPr="007F7B1D" w:rsidRDefault="0042207C" w:rsidP="0042207C">
      <w:pPr>
        <w:rPr>
          <w:bCs/>
          <w:i/>
        </w:rPr>
      </w:pPr>
      <w:r w:rsidRPr="007F7B1D">
        <w:rPr>
          <w:bCs/>
          <w:i/>
        </w:rPr>
        <w:t>Low Pressure Event Information</w:t>
      </w:r>
    </w:p>
    <w:p w14:paraId="22946B61" w14:textId="5A2B5FFA" w:rsidR="0042207C" w:rsidRPr="007F7B1D" w:rsidRDefault="0042207C" w:rsidP="0042207C">
      <w:r w:rsidRPr="007F7B1D">
        <w:t xml:space="preserve">In addition to the information collected from the study participants, data </w:t>
      </w:r>
      <w:r w:rsidR="00B022FD">
        <w:t>is</w:t>
      </w:r>
      <w:r w:rsidRPr="007F7B1D">
        <w:t xml:space="preserve"> collected from the water utility about the LPE</w:t>
      </w:r>
      <w:r w:rsidR="002D4DF9">
        <w:t xml:space="preserve"> using the LPE form</w:t>
      </w:r>
      <w:r w:rsidRPr="007F7B1D">
        <w:t xml:space="preserve"> (</w:t>
      </w:r>
      <w:r w:rsidR="00C55697">
        <w:t>Attachment P</w:t>
      </w:r>
      <w:r w:rsidRPr="007F7B1D">
        <w:t xml:space="preserve">). </w:t>
      </w:r>
      <w:r w:rsidR="002D4DF9">
        <w:t>The utility repair crew complete</w:t>
      </w:r>
      <w:r w:rsidR="00B022FD">
        <w:t>s</w:t>
      </w:r>
      <w:r w:rsidR="002D4DF9">
        <w:t xml:space="preserve"> one LPE form per event, and a utility manager review</w:t>
      </w:r>
      <w:r w:rsidR="00B022FD">
        <w:t>s</w:t>
      </w:r>
      <w:r w:rsidR="002D4DF9">
        <w:t xml:space="preserve"> and approve</w:t>
      </w:r>
      <w:r w:rsidR="00B022FD">
        <w:t>s</w:t>
      </w:r>
      <w:r w:rsidR="002D4DF9">
        <w:t xml:space="preserve"> the form before sending the form to CDC. Prior to the final selection of exposed and unexposed areas, the CDC study team review</w:t>
      </w:r>
      <w:r w:rsidR="00B022FD">
        <w:t>s</w:t>
      </w:r>
      <w:r w:rsidR="002D4DF9">
        <w:t xml:space="preserve"> the information and request</w:t>
      </w:r>
      <w:r w:rsidR="00B022FD">
        <w:t>s</w:t>
      </w:r>
      <w:r w:rsidR="002D4DF9">
        <w:t xml:space="preserve"> follow-up from utility staff for missing or unclear information. </w:t>
      </w:r>
      <w:r w:rsidRPr="00374382">
        <w:t>The water utility provide</w:t>
      </w:r>
      <w:r w:rsidR="00B022FD">
        <w:t>s</w:t>
      </w:r>
      <w:r w:rsidRPr="00374382">
        <w:t xml:space="preserve"> information</w:t>
      </w:r>
      <w:r w:rsidRPr="00DB0A64">
        <w:t xml:space="preserve"> on the condition of the distribution system infrastructure (e.g., age and type of pipe material), the duration of the LPE, the extent of the areas of the population affected (e.g., the number of households), location of wastewater and storm water collection systems in relation to the impacted water line, and procedures used to restore the distribution system after the LPE.</w:t>
      </w:r>
      <w:r w:rsidRPr="007F7B1D">
        <w:t xml:space="preserve"> Hydraulic model outputs and monitoring data </w:t>
      </w:r>
      <w:r>
        <w:t xml:space="preserve">including </w:t>
      </w:r>
      <w:r w:rsidRPr="007F7B1D">
        <w:t xml:space="preserve">total coliforms, disinfectant residuals, turbidity and other information that relates to the microbiological status of the distribution system </w:t>
      </w:r>
      <w:r>
        <w:t>may</w:t>
      </w:r>
      <w:r w:rsidRPr="007F7B1D">
        <w:t xml:space="preserve"> </w:t>
      </w:r>
      <w:r>
        <w:t xml:space="preserve">also </w:t>
      </w:r>
      <w:r w:rsidRPr="007F7B1D">
        <w:t xml:space="preserve">be collected. </w:t>
      </w:r>
    </w:p>
    <w:p w14:paraId="32E823A8" w14:textId="77777777" w:rsidR="0042207C" w:rsidRPr="007F7B1D" w:rsidRDefault="0042207C" w:rsidP="0042207C"/>
    <w:p w14:paraId="0EACBF72" w14:textId="09113883" w:rsidR="0042207C" w:rsidRPr="00374382" w:rsidRDefault="008C621B" w:rsidP="0042207C">
      <w:r>
        <w:t xml:space="preserve">We also </w:t>
      </w:r>
      <w:r w:rsidR="0042207C" w:rsidRPr="007F7B1D">
        <w:t xml:space="preserve">conduct supplemental environmental sampling. For each LPE, </w:t>
      </w:r>
      <w:r w:rsidR="0042207C">
        <w:t xml:space="preserve">utility company personnel dispatched to perform repairs or </w:t>
      </w:r>
      <w:r w:rsidR="0042207C" w:rsidRPr="00950DD4">
        <w:t>maintenance</w:t>
      </w:r>
      <w:r w:rsidR="0042207C">
        <w:t xml:space="preserve"> collect </w:t>
      </w:r>
      <w:r w:rsidR="0042207C" w:rsidRPr="007F7B1D">
        <w:t xml:space="preserve">water samples </w:t>
      </w:r>
      <w:r w:rsidR="0042207C" w:rsidRPr="00374382">
        <w:t>from the distribution</w:t>
      </w:r>
      <w:r w:rsidR="0042207C" w:rsidRPr="007F7B1D">
        <w:t xml:space="preserve"> system in both the exposed area and the unexposed area from hydrants, sampling points, or commercial and residential hose bibs within 24 hours of the LPE. Water sample sites (selected by the water utilities) </w:t>
      </w:r>
      <w:r w:rsidR="00CF33BA">
        <w:t>are not</w:t>
      </w:r>
      <w:r w:rsidR="0042207C" w:rsidRPr="007F7B1D">
        <w:t xml:space="preserve"> linked to household survey addresses</w:t>
      </w:r>
      <w:r w:rsidR="0042207C">
        <w:t xml:space="preserve">; rather, they </w:t>
      </w:r>
      <w:r w:rsidR="00CF33BA">
        <w:t>are</w:t>
      </w:r>
      <w:r w:rsidR="0042207C">
        <w:t xml:space="preserve"> assumed to represent water in the distribution system in the affected and unaffected areas. </w:t>
      </w:r>
      <w:r w:rsidR="0042207C" w:rsidRPr="007F7B1D">
        <w:t xml:space="preserve">The </w:t>
      </w:r>
      <w:r w:rsidR="0042207C" w:rsidRPr="00374382">
        <w:t>following is a potential sampling schedule:</w:t>
      </w:r>
    </w:p>
    <w:p w14:paraId="73CAF3AA" w14:textId="7400A08D" w:rsidR="0042207C" w:rsidRPr="00374382" w:rsidRDefault="0042207C" w:rsidP="0042207C">
      <w:pPr>
        <w:ind w:left="720"/>
      </w:pPr>
      <w:r w:rsidRPr="00374382">
        <w:t xml:space="preserve">• </w:t>
      </w:r>
      <w:r w:rsidR="003A5A9B">
        <w:t>Three</w:t>
      </w:r>
      <w:r w:rsidRPr="00374382">
        <w:t xml:space="preserve">, ~100-L drinking water samples from exposure area within 24 hours of LPE </w:t>
      </w:r>
    </w:p>
    <w:p w14:paraId="4BF2BD37" w14:textId="0AD92A52" w:rsidR="0042207C" w:rsidRPr="00176FF5" w:rsidRDefault="0042207C" w:rsidP="0042207C">
      <w:pPr>
        <w:ind w:left="720"/>
      </w:pPr>
      <w:r w:rsidRPr="00374382">
        <w:t>•</w:t>
      </w:r>
      <w:r w:rsidR="003A5A9B">
        <w:t xml:space="preserve"> Three</w:t>
      </w:r>
      <w:r w:rsidRPr="00374382">
        <w:t xml:space="preserve">, ~100-L drinking water samples from unexposed area within 48 hours of LPE </w:t>
      </w:r>
    </w:p>
    <w:p w14:paraId="3A51B595" w14:textId="77777777" w:rsidR="0042207C" w:rsidRPr="007F7B1D" w:rsidRDefault="0042207C" w:rsidP="0042207C">
      <w:pPr>
        <w:ind w:left="450"/>
      </w:pPr>
    </w:p>
    <w:p w14:paraId="6BAFDD5C" w14:textId="612447AF" w:rsidR="0042207C" w:rsidRPr="007F7B1D" w:rsidRDefault="0042207C" w:rsidP="0042207C">
      <w:r w:rsidRPr="007F7B1D">
        <w:t xml:space="preserve">Water samples </w:t>
      </w:r>
      <w:r w:rsidR="00CF33BA">
        <w:t>are</w:t>
      </w:r>
      <w:r w:rsidRPr="007F7B1D">
        <w:t xml:space="preserve"> collected using a published ultrafiltration technique </w:t>
      </w:r>
      <w:r>
        <w:fldChar w:fldCharType="begin">
          <w:fldData xml:space="preserve">PEVuZE5vdGU+PENpdGU+PEF1dGhvcj5TbWl0aDwvQXV0aG9yPjxZZWFyPjIwMDk8L1llYXI+PFJl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</w:fldData>
        </w:fldChar>
      </w:r>
      <w:r>
        <w:instrText xml:space="preserve"> ADDIN EN.CITE </w:instrText>
      </w:r>
      <w:r>
        <w:fldChar w:fldCharType="begin">
          <w:fldData xml:space="preserve">PEVuZE5vdGU+PENpdGU+PEF1dGhvcj5TbWl0aDwvQXV0aG9yPjxZZWFyPjIwMDk8L1llYXI+PFJl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</w:fldData>
        </w:fldChar>
      </w:r>
      <w:r>
        <w:instrText xml:space="preserve"> ADDIN EN.CITE.DATA </w:instrText>
      </w:r>
      <w:r>
        <w:fldChar w:fldCharType="end"/>
      </w:r>
      <w:r>
        <w:fldChar w:fldCharType="separate"/>
      </w:r>
      <w:r>
        <w:rPr>
          <w:noProof/>
        </w:rPr>
        <w:t>(</w:t>
      </w:r>
      <w:hyperlink w:anchor="_ENREF_9" w:tooltip="Smith, 2009 #2268" w:history="1">
        <w:r>
          <w:rPr>
            <w:noProof/>
          </w:rPr>
          <w:t>Smith and Hill 2009</w:t>
        </w:r>
      </w:hyperlink>
      <w:r>
        <w:rPr>
          <w:noProof/>
        </w:rPr>
        <w:t>)</w:t>
      </w:r>
      <w:r>
        <w:fldChar w:fldCharType="end"/>
      </w:r>
      <w:r w:rsidRPr="007F7B1D">
        <w:t xml:space="preserve">. Environmental sampling collection supplies and pre-paid shipping labels </w:t>
      </w:r>
      <w:r w:rsidR="00CF33BA">
        <w:t>are</w:t>
      </w:r>
      <w:r w:rsidRPr="007F7B1D">
        <w:t xml:space="preserve"> provided to participating utilities. Depending upon their laboratory capacity, some of the environmental analyses </w:t>
      </w:r>
      <w:r w:rsidR="00CF33BA">
        <w:t>are</w:t>
      </w:r>
      <w:r w:rsidRPr="007F7B1D">
        <w:t xml:space="preserve"> conducted at the utility’s own laboratory, but most samples </w:t>
      </w:r>
      <w:r w:rsidR="00CF33BA">
        <w:t>are</w:t>
      </w:r>
      <w:r w:rsidRPr="007F7B1D">
        <w:t xml:space="preserve"> shipped in coolers to the CDC Environmental Microbiology Laboratory for testing within 36 hours of collection. </w:t>
      </w:r>
      <w:r w:rsidR="003A7594">
        <w:t xml:space="preserve">The CDC laboratory regularly responds to waterborne disease outbreaks across the U.S. and has extensive experience training partners. The team has monitoring systems, protocols, and training materials in place to ensure that the CDC team can monitor the water sample collection and mailing. Compliance with chain of custody procedures </w:t>
      </w:r>
      <w:r w:rsidR="00CF33BA">
        <w:t>are</w:t>
      </w:r>
      <w:r w:rsidR="003A7594">
        <w:t xml:space="preserve"> monitored and enforced. A utility manager notif</w:t>
      </w:r>
      <w:r w:rsidR="00CF33BA">
        <w:t>ies</w:t>
      </w:r>
      <w:r w:rsidR="003A7594">
        <w:t xml:space="preserve"> the CDC when an event occurs, and the CDC team follow</w:t>
      </w:r>
      <w:r w:rsidR="00CF33BA">
        <w:t>s</w:t>
      </w:r>
      <w:r w:rsidR="003A7594">
        <w:t xml:space="preserve"> up in the event that there is a delay in receiving samples.</w:t>
      </w:r>
    </w:p>
    <w:p w14:paraId="54CBF028" w14:textId="77777777" w:rsidR="0042207C" w:rsidRPr="007F7B1D" w:rsidRDefault="0042207C" w:rsidP="0042207C"/>
    <w:p w14:paraId="2EC9115D" w14:textId="35E9494B" w:rsidR="0042207C" w:rsidRDefault="0042207C" w:rsidP="0042207C">
      <w:r w:rsidRPr="007F7B1D">
        <w:t xml:space="preserve">The drinking water samples </w:t>
      </w:r>
      <w:r w:rsidR="00CF33BA">
        <w:t>are</w:t>
      </w:r>
      <w:r w:rsidRPr="007F7B1D">
        <w:t xml:space="preserve"> analyzed for a suite of microbial indicators of fecal contamination </w:t>
      </w:r>
      <w:r>
        <w:t>including, total coliforms/</w:t>
      </w:r>
      <w:r w:rsidRPr="00322E37">
        <w:rPr>
          <w:i/>
        </w:rPr>
        <w:t>E. coli</w:t>
      </w:r>
      <w:r>
        <w:t xml:space="preserve">, somatic coliphages, </w:t>
      </w:r>
      <w:r w:rsidR="001D5CF9" w:rsidRPr="00322E37">
        <w:rPr>
          <w:i/>
        </w:rPr>
        <w:t>Bactero</w:t>
      </w:r>
      <w:r w:rsidR="001D5CF9">
        <w:rPr>
          <w:i/>
        </w:rPr>
        <w:t>dales</w:t>
      </w:r>
      <w:r w:rsidR="001D5CF9" w:rsidRPr="00322E37">
        <w:rPr>
          <w:i/>
        </w:rPr>
        <w:t xml:space="preserve"> </w:t>
      </w:r>
      <w:r w:rsidRPr="00322E37">
        <w:rPr>
          <w:i/>
        </w:rPr>
        <w:t>spp</w:t>
      </w:r>
      <w:r>
        <w:t>., total aerobic spores, heterotrophic plate count (HPC) bacteria</w:t>
      </w:r>
      <w:r w:rsidR="001D5CF9">
        <w:t xml:space="preserve">, Adenosine Triphosphate (ATP), and </w:t>
      </w:r>
      <w:r w:rsidR="001D5CF9" w:rsidRPr="00CE57FB">
        <w:rPr>
          <w:i/>
        </w:rPr>
        <w:t>Pseudomonas aeruginosa</w:t>
      </w:r>
      <w:r>
        <w:t xml:space="preserve">. </w:t>
      </w:r>
    </w:p>
    <w:p w14:paraId="72ABE6A9" w14:textId="77777777" w:rsidR="0042207C" w:rsidRDefault="0042207C" w:rsidP="0042207C"/>
    <w:p w14:paraId="47BCE558" w14:textId="266DAA02" w:rsidR="0042207C" w:rsidRPr="007F7B1D" w:rsidRDefault="0042207C" w:rsidP="0042207C">
      <w:r w:rsidRPr="000C35AB">
        <w:t xml:space="preserve">Information on </w:t>
      </w:r>
      <w:r w:rsidRPr="00374382">
        <w:t xml:space="preserve">weather and </w:t>
      </w:r>
      <w:r w:rsidRPr="000C35AB">
        <w:t>climate variables (esp</w:t>
      </w:r>
      <w:r w:rsidRPr="00374382">
        <w:t>ecially</w:t>
      </w:r>
      <w:r w:rsidRPr="000C35AB">
        <w:t xml:space="preserve"> rainfall immediately preceding, during, and following the low pressure episode) will be collected</w:t>
      </w:r>
      <w:r w:rsidRPr="00374382">
        <w:t xml:space="preserve"> and analyzed in context of the study</w:t>
      </w:r>
      <w:r w:rsidRPr="000C35AB">
        <w:t xml:space="preserve"> by CDC staff using the National Oceanic and Atmospheric Administration’s (NOAA) national climate database (http://www.climate.gov/).</w:t>
      </w:r>
    </w:p>
    <w:p w14:paraId="34B735DD" w14:textId="77777777" w:rsidR="0042207C" w:rsidRPr="007F7B1D" w:rsidRDefault="0042207C" w:rsidP="0042207C"/>
    <w:p w14:paraId="739A3167" w14:textId="4CDE2F3E" w:rsidR="0042207C" w:rsidRPr="007F7B1D" w:rsidRDefault="0042207C" w:rsidP="0042207C">
      <w:pPr>
        <w:rPr>
          <w:i/>
        </w:rPr>
      </w:pPr>
      <w:r w:rsidRPr="007F7B1D">
        <w:rPr>
          <w:i/>
        </w:rPr>
        <w:t>Quality Control Procedures</w:t>
      </w:r>
    </w:p>
    <w:p w14:paraId="7D663F9D" w14:textId="373736AC" w:rsidR="0042207C" w:rsidRPr="007F7B1D" w:rsidRDefault="0042207C" w:rsidP="0042207C">
      <w:r w:rsidRPr="007F7B1D">
        <w:t xml:space="preserve">Several quality control procedures </w:t>
      </w:r>
      <w:r w:rsidR="00CF33BA">
        <w:t>are</w:t>
      </w:r>
      <w:r w:rsidRPr="007F7B1D">
        <w:t xml:space="preserve"> implemented as part of this study:</w:t>
      </w:r>
    </w:p>
    <w:p w14:paraId="56A36C56" w14:textId="0E1FDDF6" w:rsidR="0042207C" w:rsidRPr="007F7B1D" w:rsidRDefault="0042207C" w:rsidP="0042207C">
      <w:pPr>
        <w:numPr>
          <w:ilvl w:val="0"/>
          <w:numId w:val="6"/>
        </w:numPr>
      </w:pPr>
      <w:r w:rsidRPr="007F7B1D">
        <w:t>The web-based questionnaire has built-in skip patterns and internal logic controls for efficiently routing the respondent to the relevant questions</w:t>
      </w:r>
      <w:r>
        <w:t xml:space="preserve"> based on their prior responses</w:t>
      </w:r>
      <w:r w:rsidRPr="007F7B1D">
        <w:t xml:space="preserve">. The paper-based questionnaire has the same questions and the same skip patterns as the web-based version. However, participants completing the paper-based questionnaire must manually follow these skip patterns, which may increase the risk for data entry errors. Additionally, the web-based questionnaire will employ a variety of prompts to encourage survey completion, whereas the paper-based questionnaire </w:t>
      </w:r>
      <w:r w:rsidR="00CF33BA">
        <w:t>has</w:t>
      </w:r>
      <w:r w:rsidRPr="007F7B1D">
        <w:t xml:space="preserve"> no such prompts. </w:t>
      </w:r>
    </w:p>
    <w:p w14:paraId="567FF449" w14:textId="77777777" w:rsidR="0042207C" w:rsidRPr="007F7B1D" w:rsidRDefault="0042207C" w:rsidP="0042207C">
      <w:pPr>
        <w:numPr>
          <w:ilvl w:val="0"/>
          <w:numId w:val="6"/>
        </w:numPr>
      </w:pPr>
      <w:r w:rsidRPr="007F7B1D">
        <w:t xml:space="preserve">The web-based questionnaire has data entry validation to limit data entry errors and reduce data cleaning efforts. Furthermore, data entry into the database is automatic thereby eliminating the need for manual data entry, which also limits </w:t>
      </w:r>
      <w:r>
        <w:t xml:space="preserve">potential </w:t>
      </w:r>
      <w:r w:rsidRPr="007F7B1D">
        <w:t>data entry errors.</w:t>
      </w:r>
    </w:p>
    <w:p w14:paraId="05CB7495" w14:textId="70C20B45" w:rsidR="0042207C" w:rsidRDefault="002D4DF9" w:rsidP="0042207C">
      <w:pPr>
        <w:numPr>
          <w:ilvl w:val="0"/>
          <w:numId w:val="6"/>
        </w:numPr>
      </w:pPr>
      <w:r>
        <w:t>T</w:t>
      </w:r>
      <w:r w:rsidR="0042207C" w:rsidRPr="007F7B1D">
        <w:t xml:space="preserve">he CDC study team will manually clean the database at the end of the data collection period. </w:t>
      </w:r>
    </w:p>
    <w:p w14:paraId="6944265C" w14:textId="086DF11A" w:rsidR="002D4DF9" w:rsidRDefault="002D4DF9" w:rsidP="0042207C">
      <w:pPr>
        <w:numPr>
          <w:ilvl w:val="0"/>
          <w:numId w:val="6"/>
        </w:numPr>
      </w:pPr>
      <w:r>
        <w:t xml:space="preserve">The Low Pressure Event form </w:t>
      </w:r>
      <w:r w:rsidR="00CF33BA">
        <w:t>is</w:t>
      </w:r>
      <w:r>
        <w:t xml:space="preserve"> reviewed by the CDC study team following each event before participants are selected, and the utility staff </w:t>
      </w:r>
      <w:r w:rsidR="00CF33BA">
        <w:t>is</w:t>
      </w:r>
      <w:r>
        <w:t xml:space="preserve"> contacted for completion of missing information. </w:t>
      </w:r>
    </w:p>
    <w:p w14:paraId="76807408" w14:textId="537873E4" w:rsidR="002D4DF9" w:rsidRDefault="002D4DF9" w:rsidP="0042207C">
      <w:pPr>
        <w:numPr>
          <w:ilvl w:val="0"/>
          <w:numId w:val="6"/>
        </w:numPr>
      </w:pPr>
      <w:r>
        <w:t>Utilit</w:t>
      </w:r>
      <w:r w:rsidR="005A09F8">
        <w:t>y staff</w:t>
      </w:r>
      <w:r>
        <w:t xml:space="preserve"> </w:t>
      </w:r>
      <w:r w:rsidR="00CF33BA">
        <w:t>are</w:t>
      </w:r>
      <w:r>
        <w:t xml:space="preserve"> trained in following the CDC lab team’s standard chain of custody procedures, and the CDC team follow</w:t>
      </w:r>
      <w:r w:rsidR="00CF33BA">
        <w:t>s</w:t>
      </w:r>
      <w:r>
        <w:t xml:space="preserve"> up with the utility if samples are not received in the allotted time following LPEs.</w:t>
      </w:r>
    </w:p>
    <w:p w14:paraId="4F02D435" w14:textId="77777777" w:rsidR="008C6623" w:rsidRPr="007F7B1D" w:rsidRDefault="008C6623" w:rsidP="00794868">
      <w:pPr>
        <w:ind w:left="720"/>
      </w:pPr>
    </w:p>
    <w:p w14:paraId="776F4147" w14:textId="77777777" w:rsidR="0042207C" w:rsidRPr="007F7B1D" w:rsidRDefault="0042207C" w:rsidP="00CB161C">
      <w:pPr>
        <w:pStyle w:val="Heading1"/>
      </w:pPr>
      <w:bookmarkStart w:id="6" w:name="_Toc426728960"/>
      <w:r w:rsidRPr="007F7B1D">
        <w:t>3. Methods to Maximize Response Rates and Deal with No</w:t>
      </w:r>
      <w:r>
        <w:t>n-</w:t>
      </w:r>
      <w:r w:rsidRPr="007F7B1D">
        <w:t>response</w:t>
      </w:r>
      <w:bookmarkEnd w:id="6"/>
    </w:p>
    <w:p w14:paraId="02284618" w14:textId="2E51150A" w:rsidR="0042207C" w:rsidRPr="007F7B1D" w:rsidRDefault="0042207C" w:rsidP="0042207C">
      <w:r w:rsidRPr="007F7B1D">
        <w:t xml:space="preserve">Participation in our study </w:t>
      </w:r>
      <w:r w:rsidR="00BA67C9">
        <w:t>is</w:t>
      </w:r>
      <w:r w:rsidRPr="007F7B1D">
        <w:t xml:space="preserve"> completely voluntary and no financial incentives </w:t>
      </w:r>
      <w:r w:rsidR="00BA67C9">
        <w:t>are</w:t>
      </w:r>
      <w:r w:rsidRPr="007F7B1D">
        <w:t xml:space="preserve"> offered. Still, we have attempted to maximize response rates through the following:</w:t>
      </w:r>
    </w:p>
    <w:p w14:paraId="5E15BF96" w14:textId="77777777" w:rsidR="0042207C" w:rsidRPr="007F7B1D" w:rsidRDefault="0042207C" w:rsidP="0042207C">
      <w:pPr>
        <w:numPr>
          <w:ilvl w:val="0"/>
          <w:numId w:val="6"/>
        </w:numPr>
      </w:pPr>
      <w:r w:rsidRPr="007F7B1D">
        <w:t xml:space="preserve">Utilizing </w:t>
      </w:r>
      <w:r>
        <w:t>both mailed and web-based</w:t>
      </w:r>
      <w:r w:rsidRPr="007F7B1D">
        <w:t xml:space="preserve"> survey methods and giving potential participants an option of how they would prefer to respond to the survey;</w:t>
      </w:r>
    </w:p>
    <w:p w14:paraId="1C57D5C2" w14:textId="0B15BA1D" w:rsidR="00893A06" w:rsidRDefault="0042207C" w:rsidP="0042207C">
      <w:pPr>
        <w:numPr>
          <w:ilvl w:val="0"/>
          <w:numId w:val="6"/>
        </w:numPr>
      </w:pPr>
      <w:r w:rsidRPr="007F7B1D">
        <w:t>Keeping the survey length to a minimum</w:t>
      </w:r>
      <w:r>
        <w:t>, and using a respondent-friendly survey booklet</w:t>
      </w:r>
      <w:r w:rsidRPr="007F7B1D">
        <w:t xml:space="preserve">. We </w:t>
      </w:r>
      <w:r w:rsidR="00BA67C9">
        <w:t>estimate that it takes</w:t>
      </w:r>
      <w:r w:rsidRPr="007F7B1D">
        <w:t xml:space="preserve"> approximately 1</w:t>
      </w:r>
      <w:r>
        <w:t>2</w:t>
      </w:r>
      <w:r w:rsidRPr="007F7B1D">
        <w:t xml:space="preserve"> minutes for each participant to complete </w:t>
      </w:r>
      <w:r>
        <w:t xml:space="preserve">either </w:t>
      </w:r>
      <w:r w:rsidRPr="007F7B1D">
        <w:t>version</w:t>
      </w:r>
      <w:r>
        <w:t xml:space="preserve"> (web or paper)</w:t>
      </w:r>
      <w:r w:rsidRPr="007F7B1D">
        <w:t xml:space="preserve"> of the questionnaire</w:t>
      </w:r>
      <w:r w:rsidR="00CF33F6">
        <w:t>.</w:t>
      </w:r>
    </w:p>
    <w:p w14:paraId="70B0370F" w14:textId="77777777" w:rsidR="00893A06" w:rsidRDefault="0042207C" w:rsidP="002D2A5A">
      <w:pPr>
        <w:numPr>
          <w:ilvl w:val="0"/>
          <w:numId w:val="6"/>
        </w:numPr>
      </w:pPr>
      <w:r>
        <w:t xml:space="preserve">Incorporating additional aspects of the Dillman Tailored Design Method, which have been shown to improve response rates </w:t>
      </w:r>
      <w:r>
        <w:fldChar w:fldCharType="begin"/>
      </w:r>
      <w:r>
        <w:instrText xml:space="preserve"> ADDIN EN.CITE &lt;EndNote&gt;&lt;Cite&gt;&lt;Author&gt;Dillman&lt;/Author&gt;&lt;Year&gt;2007&lt;/Year&gt;&lt;RecNum&gt;2293&lt;/RecNum&gt;&lt;DisplayText&gt;(Dillman 2007)&lt;/DisplayText&gt;&lt;record&gt;&lt;rec-number&gt;2293&lt;/rec-number&gt;&lt;foreign-keys&gt;&lt;key app="EN" db-id="xpwffvp2mrptwsezad9vtfxcdx9v92zstrsa"&gt;2293&lt;/key&gt;&lt;/foreign-keys&gt;&lt;ref-type name="Book"&gt;6&lt;/ref-type&gt;&lt;contributors&gt;&lt;authors&gt;&lt;author&gt;Dillman, Don A.&lt;/author&gt;&lt;/authors&gt;&lt;/contributors&gt;&lt;titles&gt;&lt;title&gt;Mail and Internet Surveys: The Tailored Design Method&lt;/title&gt;&lt;/titles&gt;&lt;edition&gt;2nd&lt;/edition&gt;&lt;dates&gt;&lt;year&gt;2007&lt;/year&gt;&lt;/dates&gt;&lt;pub-location&gt;New Jersey&lt;/pub-location&gt;&lt;publisher&gt;John Wiley &amp;amp; Sons, Inc&lt;/publisher&gt;&lt;urls&gt;&lt;/urls&gt;&lt;/record&gt;&lt;/Cite&gt;&lt;/EndNote&gt;</w:instrText>
      </w:r>
      <w:r>
        <w:fldChar w:fldCharType="separate"/>
      </w:r>
      <w:r>
        <w:rPr>
          <w:noProof/>
        </w:rPr>
        <w:t>(</w:t>
      </w:r>
      <w:hyperlink w:anchor="_ENREF_2" w:tooltip="Dillman, 2007 #2293" w:history="1">
        <w:r>
          <w:rPr>
            <w:noProof/>
          </w:rPr>
          <w:t>Dillman 2007</w:t>
        </w:r>
      </w:hyperlink>
      <w:r>
        <w:rPr>
          <w:noProof/>
        </w:rPr>
        <w:t>)</w:t>
      </w:r>
      <w:r>
        <w:fldChar w:fldCharType="end"/>
      </w:r>
      <w:r>
        <w:t>: sending an advance letter; sending a personalized cover letter with the mailed questionnaire; including a token gift (refrigerator magnet calendar); sending a thank you/reminder postcard one week after mailing the survey packet; sending a follow-up survey mailing to households who have not responded to the survey after two weeks</w:t>
      </w:r>
      <w:r w:rsidR="00B47A71">
        <w:t xml:space="preserve"> and including a personalized post-it note</w:t>
      </w:r>
      <w:r>
        <w:t xml:space="preserve">; and sending a final mailing in a contrasting envelope. </w:t>
      </w:r>
    </w:p>
    <w:p w14:paraId="662FF579" w14:textId="77777777" w:rsidR="0042207C" w:rsidRPr="007F7B1D" w:rsidRDefault="0042207C" w:rsidP="00893A06">
      <w:pPr>
        <w:ind w:left="720"/>
      </w:pPr>
    </w:p>
    <w:p w14:paraId="58E8FE85" w14:textId="747A21CA" w:rsidR="0042207C" w:rsidRDefault="0042207C" w:rsidP="0042207C">
      <w:r w:rsidRPr="007F7B1D">
        <w:t xml:space="preserve">To avoid making persons feel pressured or coerced into consenting to participate in the study, </w:t>
      </w:r>
      <w:r>
        <w:t xml:space="preserve">all communications, including </w:t>
      </w:r>
      <w:r w:rsidRPr="007F7B1D">
        <w:t xml:space="preserve">the </w:t>
      </w:r>
      <w:r>
        <w:t xml:space="preserve">advance letter, </w:t>
      </w:r>
      <w:r w:rsidRPr="007F7B1D">
        <w:t>cover letter</w:t>
      </w:r>
      <w:r>
        <w:t>, follow-up mailings,</w:t>
      </w:r>
      <w:r w:rsidRPr="007F7B1D">
        <w:t xml:space="preserve"> and the information provided at the beginning of the web-based questionnaire</w:t>
      </w:r>
      <w:r>
        <w:t>,</w:t>
      </w:r>
      <w:r w:rsidRPr="007F7B1D">
        <w:t xml:space="preserve"> </w:t>
      </w:r>
      <w:r w:rsidR="00CB7429">
        <w:t>advise</w:t>
      </w:r>
      <w:r w:rsidRPr="007F7B1D">
        <w:t xml:space="preserve"> readers that participation in the study is voluntary. </w:t>
      </w:r>
    </w:p>
    <w:p w14:paraId="7D790CCE" w14:textId="77777777" w:rsidR="0042207C" w:rsidRPr="007F7B1D" w:rsidRDefault="0042207C" w:rsidP="0042207C"/>
    <w:p w14:paraId="501897FE" w14:textId="77777777" w:rsidR="00295747" w:rsidRPr="00AD4665" w:rsidRDefault="00295747" w:rsidP="00295747">
      <w:pPr>
        <w:spacing w:after="120"/>
      </w:pPr>
      <w:r w:rsidRPr="00AD4665">
        <w:t>In the pilot study, the overall survey response rate was 37%, the response rates for each event ranged from 32-43% and did not appear to vary by event type or size. Additionally, the response rates were similar in LPE (38%) and non-LPE areas (36%). The non-response rate was &lt; 10% for the main survey items. There was higher non-response for follow-up questions for the illness details onset date and number of days with symptoms. Other illness detail questions such as the number of days of school or work missed because of the illness, or healthcare seeking behavior were nearly complete. Skip patterns were built into the web survey interface; for the paper surveys, data from the mail surveys indicated that the majority of respondents correctly skipped or answered the appropriate questions. System data demonstrated that the web-based survey took customers a median of 11 minutes to complete, suggesting that the time burden for participation was low and in line with the anticipated time of 12 minutes. Most (94%) of the</w:t>
      </w:r>
      <w:r w:rsidRPr="00AD4665">
        <w:rPr>
          <w:bCs/>
        </w:rPr>
        <w:t xml:space="preserve"> web surveys were submitted successfully, demonstrating there was limited survey break-off.</w:t>
      </w:r>
      <w:r w:rsidRPr="00AD4665">
        <w:rPr>
          <w:b/>
          <w:bCs/>
        </w:rPr>
        <w:t xml:space="preserve"> </w:t>
      </w:r>
    </w:p>
    <w:p w14:paraId="5A8BCFC0" w14:textId="4077F58A" w:rsidR="00295747" w:rsidRPr="00AD4665" w:rsidRDefault="00295747" w:rsidP="00295747">
      <w:pPr>
        <w:spacing w:after="120"/>
      </w:pPr>
      <w:r w:rsidRPr="00AD4665">
        <w:t>To improve response rates in the full s</w:t>
      </w:r>
      <w:r w:rsidR="00740713">
        <w:t>tudy, the study team has modified</w:t>
      </w:r>
      <w:r w:rsidRPr="00AD4665">
        <w:t xml:space="preserve"> the survey procedures and will increase efforts to promote the study in the participating communities. Nearly half of the page views for the study website (46%) occurred in the 30 days following the press release, before any survey materials were mailed out, suggesting that additional ongoing publicity in the study communities has potential to motivate participants. The study team will implement additional community outreach throughout the study period to improve community acceptance of the study and to boost response rates. Possible methods include implementing local public service announcements or periodic advertisements in local print media. </w:t>
      </w:r>
    </w:p>
    <w:p w14:paraId="26CAE0A3" w14:textId="043EAEBB" w:rsidR="00295747" w:rsidRDefault="00295747" w:rsidP="00F406B5">
      <w:pPr>
        <w:spacing w:after="120"/>
      </w:pPr>
      <w:r w:rsidRPr="00AD4665">
        <w:t>The multiple mailing contact strategy encouraged participation, evidenced by boosts in survey response following the mail prompts. The majority of respondents chose to return the survey by postal mail (70%), using the provided return envelope. The data quality of the web surveys was higher than the paper surveys because data verification rules and question skip patterns were built into the survey interface. Since the web survey instructions and access information were printed on the survey materials, rather than sent electronically to customers, it might have been inconvenient for respondents to access a computer, type the link to the website, and log-in to take the survey. Additionally, the study team add</w:t>
      </w:r>
      <w:r w:rsidR="00BA67C9">
        <w:t>s</w:t>
      </w:r>
      <w:r w:rsidRPr="00AD4665">
        <w:t xml:space="preserve"> an outbound phone call as a reminder before the final appeal letter is sent</w:t>
      </w:r>
      <w:r w:rsidR="00BA67C9">
        <w:t xml:space="preserve"> for utilities where this is feasible</w:t>
      </w:r>
      <w:r w:rsidRPr="00AD4665">
        <w:t xml:space="preserve">. </w:t>
      </w:r>
    </w:p>
    <w:p w14:paraId="27ED2888" w14:textId="073FE734" w:rsidR="0042207C" w:rsidRDefault="0042207C" w:rsidP="0042207C">
      <w:pPr>
        <w:rPr>
          <w:bCs/>
        </w:rPr>
      </w:pPr>
      <w:r w:rsidRPr="007F7B1D">
        <w:t xml:space="preserve">Several recent studies have indicated that a response rate of 80% is not feasible for this study. A postal survey of households in a community affected by drinking water-associated outbreak of salmonellosis that also asked about acute gastrointestinal illness had a response rate of 33% </w:t>
      </w:r>
      <w:r>
        <w:fldChar w:fldCharType="begin"/>
      </w:r>
      <w:r>
        <w:instrText xml:space="preserve"> ADDIN EN.CITE &lt;EndNote&gt;&lt;Cite&gt;&lt;Author&gt;Ailes&lt;/Author&gt;&lt;Year&gt;2010&lt;/Year&gt;&lt;RecNum&gt;23&lt;/RecNum&gt;&lt;DisplayText&gt;(Ailes, Budge et al. 2010)&lt;/DisplayText&gt;&lt;record&gt;&lt;rec-number&gt;23&lt;/rec-number&gt;&lt;foreign-keys&gt;&lt;key app="EN" db-id="exf25a0vusf9r6eerroxx55u09a99z9ver5w"&gt;23&lt;/key&gt;&lt;/foreign-keys&gt;&lt;ref-type name="Conference Proceedings"&gt;10&lt;/ref-type&gt;&lt;contributors&gt;&lt;authors&gt;&lt;author&gt;E. Ailes&lt;/author&gt;&lt;author&gt;P. Budge&lt;/author&gt;&lt;author&gt;S. Collier&lt;/author&gt;&lt;author&gt;W. Brinton&lt;/author&gt;&lt;author&gt;A. Cronquist&lt;/author&gt;&lt;author&gt;M. J. Beach&lt;/author&gt;&lt;author&gt;J. M. Brunkard&lt;/author&gt;&lt;/authors&gt;&lt;/contributors&gt;&lt;titles&gt;&lt;title&gt;Economic and Health Impacts Associated with a Salmonella Serotype Typhimurium Drinking Water Outbreak -- Alamosa, CO, 2008&lt;/title&gt;&lt;secondary-title&gt;International Conference on Emerging Infectious Diseases&lt;/secondary-title&gt;&lt;/titles&gt;&lt;dates&gt;&lt;year&gt;2010&lt;/year&gt;&lt;/dates&gt;&lt;pub-location&gt;Atlanta, GA&lt;/pub-location&gt;&lt;urls&gt;&lt;/urls&gt;&lt;/record&gt;&lt;/Cite&gt;&lt;/EndNote&gt;</w:instrText>
      </w:r>
      <w:r>
        <w:fldChar w:fldCharType="separate"/>
      </w:r>
      <w:r>
        <w:rPr>
          <w:noProof/>
        </w:rPr>
        <w:t>(</w:t>
      </w:r>
      <w:hyperlink w:anchor="_ENREF_1" w:tooltip="Ailes, 2010 #23" w:history="1">
        <w:r>
          <w:rPr>
            <w:noProof/>
          </w:rPr>
          <w:t>Ailes, Budge et al. 2010</w:t>
        </w:r>
      </w:hyperlink>
      <w:r>
        <w:rPr>
          <w:noProof/>
        </w:rPr>
        <w:t>)</w:t>
      </w:r>
      <w:r>
        <w:fldChar w:fldCharType="end"/>
      </w:r>
      <w:r w:rsidRPr="007F7B1D">
        <w:t>. R</w:t>
      </w:r>
      <w:r w:rsidRPr="007F7B1D">
        <w:rPr>
          <w:bCs/>
        </w:rPr>
        <w:t xml:space="preserve">esponse rates obtained by some large continuing health surveys that provide key national health statistics (such as the FoodNet population studies) have response rates of 33% in </w:t>
      </w:r>
      <w:r w:rsidR="00403AFE">
        <w:rPr>
          <w:bCs/>
        </w:rPr>
        <w:t>a past</w:t>
      </w:r>
      <w:r w:rsidRPr="007F7B1D">
        <w:rPr>
          <w:bCs/>
        </w:rPr>
        <w:t xml:space="preserve"> survey cycle </w:t>
      </w:r>
      <w:r w:rsidRPr="007F7B1D">
        <w:rPr>
          <w:bCs/>
        </w:rPr>
        <w:fldChar w:fldCharType="begin">
          <w:fldData xml:space="preserve">PEVuZE5vdGU+PENpdGU+PEF1dGhvcj5Kb25lczwvQXV0aG9yPjxZZWFyPjIwMDc8L1llYXI+PFJl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==
</w:fldData>
        </w:fldChar>
      </w:r>
      <w:r>
        <w:rPr>
          <w:bCs/>
        </w:rPr>
        <w:instrText xml:space="preserve"> ADDIN EN.CITE </w:instrText>
      </w:r>
      <w:r>
        <w:rPr>
          <w:bCs/>
        </w:rPr>
        <w:fldChar w:fldCharType="begin">
          <w:fldData xml:space="preserve">PEVuZE5vdGU+PENpdGU+PEF1dGhvcj5Kb25lczwvQXV0aG9yPjxZZWFyPjIwMDc8L1llYXI+PFJl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==
</w:fldData>
        </w:fldChar>
      </w:r>
      <w:r>
        <w:rPr>
          <w:bCs/>
        </w:rPr>
        <w:instrText xml:space="preserve"> ADDIN EN.CITE.DATA </w:instrText>
      </w:r>
      <w:r>
        <w:rPr>
          <w:bCs/>
        </w:rPr>
      </w:r>
      <w:r>
        <w:rPr>
          <w:bCs/>
        </w:rPr>
        <w:fldChar w:fldCharType="end"/>
      </w:r>
      <w:r w:rsidRPr="007F7B1D">
        <w:rPr>
          <w:bCs/>
        </w:rPr>
      </w:r>
      <w:r w:rsidRPr="007F7B1D">
        <w:rPr>
          <w:bCs/>
        </w:rPr>
        <w:fldChar w:fldCharType="separate"/>
      </w:r>
      <w:r>
        <w:rPr>
          <w:bCs/>
          <w:noProof/>
        </w:rPr>
        <w:t>(</w:t>
      </w:r>
      <w:hyperlink w:anchor="_ENREF_6" w:tooltip="Jones, 2007 #2176" w:history="1">
        <w:r>
          <w:rPr>
            <w:bCs/>
            <w:noProof/>
          </w:rPr>
          <w:t>Jones, McMillian et al. 2007</w:t>
        </w:r>
      </w:hyperlink>
      <w:r>
        <w:rPr>
          <w:bCs/>
          <w:noProof/>
        </w:rPr>
        <w:t>)</w:t>
      </w:r>
      <w:r w:rsidRPr="007F7B1D">
        <w:fldChar w:fldCharType="end"/>
      </w:r>
      <w:r w:rsidRPr="007F7B1D">
        <w:t xml:space="preserve">. </w:t>
      </w:r>
      <w:r w:rsidRPr="007F7B1D">
        <w:rPr>
          <w:bCs/>
        </w:rPr>
        <w:t>In spite of these low response rates, such surveys</w:t>
      </w:r>
      <w:r>
        <w:rPr>
          <w:bCs/>
        </w:rPr>
        <w:t xml:space="preserve"> </w:t>
      </w:r>
      <w:r w:rsidRPr="007F7B1D">
        <w:rPr>
          <w:bCs/>
        </w:rPr>
        <w:t>still provide valuable data to inform public health recommendations, policies, and programs</w:t>
      </w:r>
      <w:r w:rsidR="009227CA">
        <w:rPr>
          <w:bCs/>
        </w:rPr>
        <w:t>,</w:t>
      </w:r>
      <w:r w:rsidRPr="007F7B1D">
        <w:rPr>
          <w:bCs/>
        </w:rPr>
        <w:t xml:space="preserve"> and we believe that our study will have similar value.</w:t>
      </w:r>
      <w:r>
        <w:rPr>
          <w:bCs/>
        </w:rPr>
        <w:t xml:space="preserve"> </w:t>
      </w:r>
      <w:r>
        <w:t>Compared to these prior studies, we implement several procedures to attempt to encourage study participation, as outlined above</w:t>
      </w:r>
      <w:r w:rsidR="005A09F8">
        <w:t xml:space="preserve"> to maximize response rate</w:t>
      </w:r>
      <w:r w:rsidR="00CB7429">
        <w:t xml:space="preserve">.  </w:t>
      </w:r>
      <w:r w:rsidR="00CF33F6">
        <w:t>Notably, the household survey for this study is substantially shorter than the other surveys mentioned in this section</w:t>
      </w:r>
      <w:r w:rsidR="00FB73BF">
        <w:t>, and includes a token gift</w:t>
      </w:r>
      <w:r w:rsidR="00CF33F6">
        <w:t>.</w:t>
      </w:r>
    </w:p>
    <w:p w14:paraId="668BD0B6" w14:textId="77777777" w:rsidR="0081528C" w:rsidRDefault="0081528C" w:rsidP="0042207C">
      <w:pPr>
        <w:rPr>
          <w:bCs/>
        </w:rPr>
      </w:pPr>
    </w:p>
    <w:p w14:paraId="75FCDD84" w14:textId="77777777" w:rsidR="00AB4C11" w:rsidRDefault="00FB73BF" w:rsidP="0042207C">
      <w:pPr>
        <w:rPr>
          <w:bCs/>
        </w:rPr>
      </w:pPr>
      <w:r>
        <w:rPr>
          <w:bCs/>
        </w:rPr>
        <w:t>O</w:t>
      </w:r>
      <w:r w:rsidR="0042207C" w:rsidRPr="00374382">
        <w:rPr>
          <w:bCs/>
        </w:rPr>
        <w:t xml:space="preserve">ur primary concern regarding obtaining low response rates is the potential for bias engendered by differential response based on exposure and outcomes. </w:t>
      </w:r>
      <w:r w:rsidR="0081528C">
        <w:rPr>
          <w:bCs/>
        </w:rPr>
        <w:t xml:space="preserve">If the response is low, we are also concerned that, overall, the study population may not be representative of the target population (i.e., non-response bias). </w:t>
      </w:r>
      <w:r w:rsidR="0042207C" w:rsidRPr="00374382">
        <w:rPr>
          <w:bCs/>
        </w:rPr>
        <w:t xml:space="preserve">However, recent research indicates that the magnitude of non-response bias is generally small </w:t>
      </w:r>
      <w:r w:rsidR="0042207C" w:rsidRPr="00374382">
        <w:rPr>
          <w:bCs/>
        </w:rPr>
        <w:fldChar w:fldCharType="begin"/>
      </w:r>
      <w:r w:rsidR="0042207C" w:rsidRPr="00820D4C">
        <w:rPr>
          <w:bCs/>
        </w:rPr>
        <w:instrText xml:space="preserve"> ADDIN EN.CITE &lt;EndNote&gt;&lt;Cite&gt;&lt;Author&gt;Galea&lt;/Author&gt;&lt;Year&gt;2007&lt;/Year&gt;&lt;RecNum&gt;2294&lt;/RecNum&gt;&lt;DisplayText&gt;(Galea and Tracy 2007)&lt;/DisplayText&gt;&lt;record&gt;&lt;rec-number&gt;2294&lt;/rec-number&gt;&lt;foreign-keys&gt;&lt;key app="EN" db-id="xpwffvp2mrptwsezad9vtfxcdx9v92zstrsa"&gt;2294&lt;/key&gt;&lt;/foreign-keys&gt;&lt;ref-type name="Journal Article"&gt;17&lt;/ref-type&gt;&lt;contributors&gt;&lt;authors&gt;&lt;author&gt;Galea, S &amp;#xD;Tracy, M&lt;/author&gt;&lt;/authors&gt;&lt;/contributors&gt;&lt;titles&gt;&lt;title&gt;Participation Rates in Epidemiologic Studies&lt;/title&gt;&lt;secondary-title&gt;Annals of Epidemiology&lt;/secondary-title&gt;&lt;/titles&gt;&lt;periodical&gt;&lt;full-title&gt;Annals of Epidemiology&lt;/full-title&gt;&lt;/periodical&gt;&lt;pages&gt;643-653&lt;/pages&gt;&lt;volume&gt;17&lt;/volume&gt;&lt;number&gt;9&lt;/number&gt;&lt;dates&gt;&lt;year&gt;2007&lt;/year&gt;&lt;/dates&gt;&lt;urls&gt;&lt;/urls&gt;&lt;/record&gt;&lt;/Cite&gt;&lt;/EndNote&gt;</w:instrText>
      </w:r>
      <w:r w:rsidR="0042207C" w:rsidRPr="00374382">
        <w:rPr>
          <w:bCs/>
        </w:rPr>
        <w:fldChar w:fldCharType="separate"/>
      </w:r>
      <w:r w:rsidR="0042207C" w:rsidRPr="00820D4C">
        <w:rPr>
          <w:bCs/>
          <w:noProof/>
        </w:rPr>
        <w:t>(</w:t>
      </w:r>
      <w:hyperlink w:anchor="_ENREF_3" w:tooltip="Galea, 2007 #2294" w:history="1">
        <w:r w:rsidR="0042207C" w:rsidRPr="00820D4C">
          <w:rPr>
            <w:bCs/>
            <w:noProof/>
          </w:rPr>
          <w:t>Galea and Tracy 2007</w:t>
        </w:r>
      </w:hyperlink>
      <w:r w:rsidR="0042207C" w:rsidRPr="00820D4C">
        <w:rPr>
          <w:bCs/>
          <w:noProof/>
        </w:rPr>
        <w:t>)</w:t>
      </w:r>
      <w:r w:rsidR="0042207C" w:rsidRPr="00374382">
        <w:rPr>
          <w:bCs/>
        </w:rPr>
        <w:fldChar w:fldCharType="end"/>
      </w:r>
      <w:r w:rsidR="0042207C" w:rsidRPr="00374382">
        <w:rPr>
          <w:bCs/>
        </w:rPr>
        <w:t xml:space="preserve">. </w:t>
      </w:r>
    </w:p>
    <w:p w14:paraId="08FC41AE" w14:textId="77777777" w:rsidR="00AB4C11" w:rsidRDefault="00AB4C11" w:rsidP="0042207C">
      <w:pPr>
        <w:rPr>
          <w:bCs/>
        </w:rPr>
      </w:pPr>
    </w:p>
    <w:p w14:paraId="32FD91F6" w14:textId="352E3D04" w:rsidR="00A47D2D" w:rsidRDefault="0081528C" w:rsidP="0042207C">
      <w:pPr>
        <w:rPr>
          <w:bCs/>
        </w:rPr>
      </w:pPr>
      <w:r>
        <w:rPr>
          <w:bCs/>
        </w:rPr>
        <w:t xml:space="preserve">Following the pilot, we </w:t>
      </w:r>
      <w:r w:rsidR="00A47D2D">
        <w:rPr>
          <w:bCs/>
        </w:rPr>
        <w:t>assessed</w:t>
      </w:r>
      <w:r>
        <w:rPr>
          <w:bCs/>
        </w:rPr>
        <w:t xml:space="preserve"> item non-response</w:t>
      </w:r>
      <w:r w:rsidR="00AB4C11">
        <w:rPr>
          <w:bCs/>
        </w:rPr>
        <w:t>,</w:t>
      </w:r>
      <w:r w:rsidR="00A47D2D">
        <w:rPr>
          <w:bCs/>
        </w:rPr>
        <w:t xml:space="preserve"> and </w:t>
      </w:r>
      <w:r w:rsidR="00AB4C11">
        <w:t xml:space="preserve">minor changes were </w:t>
      </w:r>
      <w:r w:rsidR="00AB4C11" w:rsidRPr="00AD4665">
        <w:t>made to the survey instrument to improve the quality of the data and facilitate ease of participat</w:t>
      </w:r>
      <w:r w:rsidR="00AB4C11">
        <w:t>ion</w:t>
      </w:r>
      <w:r w:rsidR="00A47D2D">
        <w:rPr>
          <w:bCs/>
        </w:rPr>
        <w:t xml:space="preserve">, which were approved in a nonsubstantive change request. </w:t>
      </w:r>
      <w:r w:rsidR="00AB4C11" w:rsidRPr="00AD4665">
        <w:t>The pilot survey helped the study team identify items that could be eliminated, information gaps that could be filled, and response options that should be added to existing que</w:t>
      </w:r>
      <w:r w:rsidR="00B6360E">
        <w:t xml:space="preserve">stions. </w:t>
      </w:r>
      <w:r w:rsidR="00AB4C11" w:rsidRPr="00AD4665">
        <w:t xml:space="preserve">The survey recall </w:t>
      </w:r>
      <w:r w:rsidR="00AB4C11">
        <w:t>time period was</w:t>
      </w:r>
      <w:r w:rsidR="00AB4C11" w:rsidRPr="00AD4665">
        <w:t xml:space="preserve"> shortened from 3 weeks to 2 weeks, and the illness questions</w:t>
      </w:r>
      <w:r w:rsidR="00AB4C11">
        <w:t xml:space="preserve"> and water use questions were</w:t>
      </w:r>
      <w:r w:rsidR="00AB4C11" w:rsidRPr="00AD4665">
        <w:t xml:space="preserve"> simplified. The survey supplementa</w:t>
      </w:r>
      <w:r w:rsidR="00AB4C11">
        <w:t>l materials were</w:t>
      </w:r>
      <w:r w:rsidR="00AB4C11" w:rsidRPr="00AD4665">
        <w:t xml:space="preserve"> modified slightly to make them easier and faster to read. For example, the advance letter was edited to improve clarity and readability, and the web survey </w:t>
      </w:r>
      <w:r w:rsidR="008632D6">
        <w:t>has</w:t>
      </w:r>
      <w:r w:rsidR="00AB4C11" w:rsidRPr="00AD4665">
        <w:t xml:space="preserve"> fewer questions per screen to make the survey easier to read. The study team does not have the resources to provide financial incentives. Although 94% of the web survey respondents successfully completed the survey, indicating survey break-off was not a major co</w:t>
      </w:r>
      <w:r w:rsidR="00AB4C11">
        <w:t>ncern, additional measures were</w:t>
      </w:r>
      <w:r w:rsidR="00AB4C11" w:rsidRPr="00AD4665">
        <w:t xml:space="preserve"> taken to encourage respondents to finish the web survey, including reformatting the survey and simplifying instructions to make the survey appear shorter and to reduce reading time</w:t>
      </w:r>
      <w:r w:rsidR="000529F4">
        <w:t>.</w:t>
      </w:r>
    </w:p>
    <w:p w14:paraId="4E350A46" w14:textId="77777777" w:rsidR="005320F3" w:rsidRDefault="005320F3" w:rsidP="0042207C">
      <w:pPr>
        <w:rPr>
          <w:bCs/>
        </w:rPr>
      </w:pPr>
    </w:p>
    <w:p w14:paraId="35228612" w14:textId="6CFF1F23" w:rsidR="005E0667" w:rsidRDefault="0042207C" w:rsidP="0042207C">
      <w:r w:rsidRPr="00374382">
        <w:t xml:space="preserve">To assess </w:t>
      </w:r>
      <w:r w:rsidR="00B47A71">
        <w:t>differential response</w:t>
      </w:r>
      <w:r w:rsidR="00B6360E">
        <w:t xml:space="preserve"> following the multi-site study</w:t>
      </w:r>
      <w:r w:rsidRPr="00374382">
        <w:t>, we w</w:t>
      </w:r>
      <w:r w:rsidR="00BB174D">
        <w:t>ill</w:t>
      </w:r>
      <w:r w:rsidRPr="00374382">
        <w:t xml:space="preserve"> compare responders and non-responders with respect to </w:t>
      </w:r>
      <w:r w:rsidR="00B47A71">
        <w:t xml:space="preserve">their </w:t>
      </w:r>
      <w:r w:rsidR="00B47A71" w:rsidRPr="00DA794C">
        <w:rPr>
          <w:i/>
        </w:rPr>
        <w:t>a priori</w:t>
      </w:r>
      <w:r w:rsidR="00B47A71">
        <w:t xml:space="preserve"> </w:t>
      </w:r>
      <w:r w:rsidRPr="00374382">
        <w:t xml:space="preserve">exposure </w:t>
      </w:r>
      <w:r w:rsidR="00B47A71">
        <w:t xml:space="preserve">status. </w:t>
      </w:r>
      <w:r w:rsidR="00B47A71" w:rsidRPr="00374382">
        <w:t xml:space="preserve"> </w:t>
      </w:r>
      <w:r w:rsidR="00B47A71">
        <w:t>If the response rates in exposed areas differ from response rates in unexposed areas by &gt;20%</w:t>
      </w:r>
      <w:r w:rsidR="008632D6">
        <w:t xml:space="preserve"> (contrary to findings from the pilot study)</w:t>
      </w:r>
      <w:r w:rsidR="00B47A71">
        <w:t xml:space="preserve">, we will plan to implement sensitivity analyses to estimate how greatly these might have affected results regarding the primary research question. We will compare </w:t>
      </w:r>
      <w:r w:rsidR="005E0667">
        <w:t xml:space="preserve">demographic characteristics of </w:t>
      </w:r>
      <w:r w:rsidR="00B47A71">
        <w:t xml:space="preserve">respondents to census data </w:t>
      </w:r>
      <w:r w:rsidR="005E0667">
        <w:t xml:space="preserve">at the Public Use Microsample Area (PUMA) level. While this level of data is not granular enough to determine whether data from each LPE cluster is representative of its respective census block group, it should be able to identify gross deviations from expected distributions of demographics across all events. </w:t>
      </w:r>
    </w:p>
    <w:p w14:paraId="087E4339" w14:textId="77777777" w:rsidR="005E0667" w:rsidRDefault="005E0667" w:rsidP="0042207C"/>
    <w:p w14:paraId="79DDCF21" w14:textId="33317D66" w:rsidR="0042207C" w:rsidRDefault="005E0667" w:rsidP="0042207C">
      <w:r>
        <w:t xml:space="preserve">Next, we will evaluate item non-response and incomplete surveys (i.e. break-offs). </w:t>
      </w:r>
      <w:r w:rsidR="007B4831">
        <w:t>Items that are missing for more than 10% of respondents will be evaluated for wording, structure, and placement in the survey. Incomplete surveys (break-offs) will be evaluated to determine where the break-off occurs,</w:t>
      </w:r>
      <w:r w:rsidR="00B6360E">
        <w:t xml:space="preserve"> and</w:t>
      </w:r>
      <w:r w:rsidR="007B4831">
        <w:t xml:space="preserve"> whether break-offs differ on the paper and web versions of the survey</w:t>
      </w:r>
      <w:r w:rsidR="00B6360E">
        <w:t xml:space="preserve">. </w:t>
      </w:r>
      <w:r w:rsidR="007B4831">
        <w:t xml:space="preserve">We will evaluate whether missing data is differential by exposure status or demographic characteristics, including household size and composition. We anticipate that outcome data may sometimes be missing for adults who share a household but may not be relatives (i.e. roommates), but expect that outcome data for related household members (such as the respondent’s children) should be available and will be valuable to the study. </w:t>
      </w:r>
    </w:p>
    <w:p w14:paraId="7BA5245F" w14:textId="77777777" w:rsidR="005E0667" w:rsidRPr="007F7B1D" w:rsidRDefault="005E0667" w:rsidP="0042207C"/>
    <w:p w14:paraId="09715D88" w14:textId="77777777" w:rsidR="0042207C" w:rsidRPr="007F7B1D" w:rsidRDefault="0042207C" w:rsidP="007C39F4">
      <w:pPr>
        <w:pStyle w:val="Heading1"/>
      </w:pPr>
      <w:bookmarkStart w:id="7" w:name="_Toc426728961"/>
      <w:r w:rsidRPr="007F7B1D">
        <w:t>4. Tests of Procedures or Methods to be Undertaken</w:t>
      </w:r>
      <w:bookmarkEnd w:id="7"/>
    </w:p>
    <w:p w14:paraId="344C412A" w14:textId="360FC290" w:rsidR="00295747" w:rsidRDefault="00295747" w:rsidP="0042207C">
      <w:r w:rsidRPr="00AD4665">
        <w:t>The data collection instruments and the participant information materials were piloted at one water utility site and evaluated by CDC. Overall, the pilot demonstrated that the study design and procedures will allow the study team to collect the data needed to meet the study goal and aims</w:t>
      </w:r>
      <w:r w:rsidR="00652C0B">
        <w:t>.</w:t>
      </w:r>
    </w:p>
    <w:p w14:paraId="4758D5D2" w14:textId="77777777" w:rsidR="00652C0B" w:rsidRDefault="00652C0B" w:rsidP="0042207C"/>
    <w:p w14:paraId="5D1DD830" w14:textId="6A029BC5" w:rsidR="0042207C" w:rsidRPr="00374382" w:rsidRDefault="00295747" w:rsidP="0042207C">
      <w:pPr>
        <w:rPr>
          <w:color w:val="FF0000"/>
        </w:rPr>
      </w:pPr>
      <w:r>
        <w:t>Prior to the pilot, t</w:t>
      </w:r>
      <w:r w:rsidR="0042207C" w:rsidRPr="007F7B1D">
        <w:t xml:space="preserve">he data collection instruments and the participant information materials (e.g., letters, websites) </w:t>
      </w:r>
      <w:r>
        <w:t xml:space="preserve">were </w:t>
      </w:r>
      <w:r w:rsidR="0042207C" w:rsidRPr="007F7B1D">
        <w:t xml:space="preserve">reviewed (1) for content by three senior epidemiologists at CDC; (2) for question design, flow, clarity, and timing by </w:t>
      </w:r>
      <w:r w:rsidR="0042207C">
        <w:t>five</w:t>
      </w:r>
      <w:r w:rsidR="0042207C" w:rsidRPr="007F7B1D">
        <w:t xml:space="preserve"> CDC staff members; and (3) for content by experts in the field. The questionnaire and participant information materials </w:t>
      </w:r>
      <w:r>
        <w:t>were also</w:t>
      </w:r>
      <w:r w:rsidR="0042207C" w:rsidRPr="007F7B1D">
        <w:t xml:space="preserve"> pilot-tested by </w:t>
      </w:r>
      <w:r w:rsidR="0042207C">
        <w:t>six</w:t>
      </w:r>
      <w:r w:rsidR="0042207C" w:rsidRPr="007F7B1D">
        <w:t xml:space="preserve"> CDC staff members, and </w:t>
      </w:r>
      <w:r w:rsidR="0042207C">
        <w:t>three</w:t>
      </w:r>
      <w:r w:rsidR="0042207C" w:rsidRPr="007F7B1D">
        <w:t xml:space="preserve"> member</w:t>
      </w:r>
      <w:r w:rsidR="0042207C">
        <w:t>s</w:t>
      </w:r>
      <w:r w:rsidR="0042207C" w:rsidRPr="007F7B1D">
        <w:t xml:space="preserve"> of the general public. </w:t>
      </w:r>
    </w:p>
    <w:p w14:paraId="5CFB829A" w14:textId="77777777" w:rsidR="0042207C" w:rsidRPr="007F7B1D" w:rsidRDefault="0042207C" w:rsidP="0042207C"/>
    <w:p w14:paraId="37CE2DA1" w14:textId="77777777" w:rsidR="0042207C" w:rsidRPr="007F7B1D" w:rsidRDefault="0042207C" w:rsidP="006A6C6B">
      <w:pPr>
        <w:pStyle w:val="Heading1"/>
      </w:pPr>
      <w:bookmarkStart w:id="8" w:name="_Toc426728962"/>
      <w:r w:rsidRPr="007F7B1D">
        <w:t>5. Individuals Consulted on Statistical Aspects and Individuals Collecting and/or Analyzing Data</w:t>
      </w:r>
      <w:bookmarkEnd w:id="8"/>
    </w:p>
    <w:p w14:paraId="20324687" w14:textId="283A139C" w:rsidR="00FE6F4E" w:rsidRPr="007F7B1D" w:rsidRDefault="0042207C" w:rsidP="0042207C">
      <w:r w:rsidRPr="007F7B1D">
        <w:t>Statistical consultants for study design:</w:t>
      </w:r>
    </w:p>
    <w:p w14:paraId="486AF5EA" w14:textId="22BA0EAB" w:rsidR="00FE6F4E" w:rsidRPr="00C85ACC" w:rsidRDefault="00FE6F4E" w:rsidP="00FE6F4E">
      <w:pPr>
        <w:numPr>
          <w:ilvl w:val="0"/>
          <w:numId w:val="9"/>
        </w:numPr>
        <w:rPr>
          <w:highlight w:val="yellow"/>
        </w:rPr>
      </w:pPr>
      <w:r w:rsidRPr="00C85ACC">
        <w:rPr>
          <w:highlight w:val="yellow"/>
        </w:rPr>
        <w:t xml:space="preserve">Sarah Collier, CDC –ph. 404.718.4875, email: </w:t>
      </w:r>
      <w:hyperlink r:id="rId10" w:history="1">
        <w:r w:rsidRPr="00C85ACC">
          <w:rPr>
            <w:rStyle w:val="Hyperlink"/>
            <w:highlight w:val="yellow"/>
          </w:rPr>
          <w:t>sau9@cdc.gov</w:t>
        </w:r>
      </w:hyperlink>
    </w:p>
    <w:p w14:paraId="34347A6B" w14:textId="6FDAFEA1" w:rsidR="0042207C" w:rsidRPr="00C85ACC" w:rsidRDefault="0042207C" w:rsidP="0042207C">
      <w:pPr>
        <w:numPr>
          <w:ilvl w:val="0"/>
          <w:numId w:val="9"/>
        </w:numPr>
        <w:rPr>
          <w:rStyle w:val="Hyperlink"/>
          <w:color w:val="auto"/>
          <w:u w:val="none"/>
        </w:rPr>
      </w:pPr>
      <w:r>
        <w:t>Anna Blackstock</w:t>
      </w:r>
      <w:r w:rsidR="00C85ACC">
        <w:t>, CDC*</w:t>
      </w:r>
    </w:p>
    <w:p w14:paraId="26FB6709" w14:textId="3FFA603A" w:rsidR="00C85ACC" w:rsidRPr="007F7B1D" w:rsidRDefault="00C85ACC" w:rsidP="00C85ACC">
      <w:pPr>
        <w:numPr>
          <w:ilvl w:val="0"/>
          <w:numId w:val="9"/>
        </w:numPr>
      </w:pPr>
      <w:r w:rsidRPr="00374382">
        <w:t>Gordana Derado</w:t>
      </w:r>
      <w:r w:rsidRPr="000D6B82">
        <w:t>, CDC</w:t>
      </w:r>
      <w:r>
        <w:t>*</w:t>
      </w:r>
    </w:p>
    <w:p w14:paraId="4EF31B1A" w14:textId="7C46B92F" w:rsidR="00C85ACC" w:rsidRDefault="0042207C" w:rsidP="0042207C">
      <w:pPr>
        <w:numPr>
          <w:ilvl w:val="0"/>
          <w:numId w:val="9"/>
        </w:numPr>
        <w:rPr>
          <w:rStyle w:val="Hyperlink"/>
          <w:color w:val="auto"/>
        </w:rPr>
      </w:pPr>
      <w:r w:rsidRPr="00374382">
        <w:t>Tracy Ayers</w:t>
      </w:r>
      <w:r w:rsidRPr="000D6B82">
        <w:t xml:space="preserve">, </w:t>
      </w:r>
      <w:r w:rsidR="00C85ACC">
        <w:t>CDC*</w:t>
      </w:r>
    </w:p>
    <w:p w14:paraId="5E7AB521" w14:textId="383CEA16" w:rsidR="00C85ACC" w:rsidRPr="00C85ACC" w:rsidRDefault="006C6849" w:rsidP="0042207C">
      <w:pPr>
        <w:numPr>
          <w:ilvl w:val="0"/>
          <w:numId w:val="9"/>
        </w:numPr>
        <w:rPr>
          <w:u w:val="single"/>
        </w:rPr>
      </w:pPr>
      <w:r w:rsidRPr="00AD4665">
        <w:t>Xin (Lucy) Lu, CDC/OR</w:t>
      </w:r>
      <w:r w:rsidR="00C85ACC">
        <w:t>ISE (Tracy Ayers is supervisor)*</w:t>
      </w:r>
    </w:p>
    <w:p w14:paraId="2038D9BA" w14:textId="792FAD12" w:rsidR="00C85ACC" w:rsidRDefault="00C85ACC" w:rsidP="00C85ACC">
      <w:pPr>
        <w:ind w:left="720"/>
      </w:pPr>
    </w:p>
    <w:p w14:paraId="0707FF45" w14:textId="2A4970D7" w:rsidR="0042207C" w:rsidRPr="007F7B1D" w:rsidRDefault="0042207C" w:rsidP="0042207C">
      <w:r w:rsidRPr="007F7B1D">
        <w:t>Persons who designed the data collection:</w:t>
      </w:r>
    </w:p>
    <w:p w14:paraId="5C9E5BD6" w14:textId="77777777" w:rsidR="00FE6F4E" w:rsidRPr="00C85ACC" w:rsidRDefault="00FE6F4E" w:rsidP="00FE6F4E">
      <w:pPr>
        <w:numPr>
          <w:ilvl w:val="0"/>
          <w:numId w:val="8"/>
        </w:numPr>
        <w:rPr>
          <w:highlight w:val="yellow"/>
        </w:rPr>
      </w:pPr>
      <w:r w:rsidRPr="00C85ACC">
        <w:rPr>
          <w:highlight w:val="yellow"/>
        </w:rPr>
        <w:t xml:space="preserve">Sarah Collier, CDC –ph. 404.718.4875, email: </w:t>
      </w:r>
      <w:hyperlink r:id="rId11" w:history="1">
        <w:r w:rsidRPr="00C85ACC">
          <w:rPr>
            <w:rStyle w:val="Hyperlink"/>
            <w:highlight w:val="yellow"/>
          </w:rPr>
          <w:t>sau9@cdc.gov</w:t>
        </w:r>
      </w:hyperlink>
    </w:p>
    <w:p w14:paraId="53A1E82B" w14:textId="77777777" w:rsidR="00C85ACC" w:rsidRPr="00C85ACC" w:rsidRDefault="00C85ACC" w:rsidP="00C85ACC">
      <w:pPr>
        <w:numPr>
          <w:ilvl w:val="0"/>
          <w:numId w:val="8"/>
        </w:numPr>
        <w:rPr>
          <w:rStyle w:val="Hyperlink"/>
          <w:color w:val="auto"/>
          <w:u w:val="none"/>
        </w:rPr>
      </w:pPr>
      <w:r w:rsidRPr="00C85ACC">
        <w:rPr>
          <w:highlight w:val="yellow"/>
        </w:rPr>
        <w:t xml:space="preserve">Vincent Hill, CDC – ph. 404-718-4151, email: </w:t>
      </w:r>
      <w:hyperlink r:id="rId12" w:history="1">
        <w:r w:rsidRPr="00C85ACC">
          <w:rPr>
            <w:rStyle w:val="Hyperlink"/>
            <w:highlight w:val="yellow"/>
          </w:rPr>
          <w:t>veh2@cdc.gov</w:t>
        </w:r>
      </w:hyperlink>
    </w:p>
    <w:p w14:paraId="1C6A362D" w14:textId="0A848013" w:rsidR="00C85ACC" w:rsidRPr="00524973" w:rsidRDefault="00C85ACC" w:rsidP="00C85ACC">
      <w:pPr>
        <w:numPr>
          <w:ilvl w:val="0"/>
          <w:numId w:val="8"/>
        </w:numPr>
        <w:rPr>
          <w:rStyle w:val="Hyperlink"/>
          <w:color w:val="auto"/>
          <w:u w:val="none"/>
        </w:rPr>
      </w:pPr>
      <w:r w:rsidRPr="00820D4C">
        <w:t xml:space="preserve">Bonnie Mull, </w:t>
      </w:r>
      <w:r>
        <w:t>CDC*</w:t>
      </w:r>
    </w:p>
    <w:p w14:paraId="69160A3B" w14:textId="08317FEF" w:rsidR="00C85ACC" w:rsidRDefault="00C85ACC" w:rsidP="00C85ACC">
      <w:pPr>
        <w:pStyle w:val="ListParagraph"/>
        <w:numPr>
          <w:ilvl w:val="0"/>
          <w:numId w:val="8"/>
        </w:numPr>
      </w:pPr>
      <w:r w:rsidRPr="00AD4665">
        <w:t xml:space="preserve">Elizabeth Adam, CDC/ORISE </w:t>
      </w:r>
      <w:r>
        <w:t>*</w:t>
      </w:r>
    </w:p>
    <w:p w14:paraId="359CC9A6" w14:textId="09DBE1AA" w:rsidR="00C85ACC" w:rsidRPr="00C85ACC" w:rsidRDefault="00C85ACC" w:rsidP="00C85ACC">
      <w:pPr>
        <w:numPr>
          <w:ilvl w:val="0"/>
          <w:numId w:val="8"/>
        </w:numPr>
        <w:tabs>
          <w:tab w:val="num" w:pos="0"/>
        </w:tabs>
      </w:pPr>
      <w:r w:rsidRPr="007F7B1D">
        <w:t xml:space="preserve">Elizabeth Ailes, </w:t>
      </w:r>
      <w:r>
        <w:t xml:space="preserve">formerly </w:t>
      </w:r>
      <w:r w:rsidRPr="007F7B1D">
        <w:t>contractor for CD</w:t>
      </w:r>
      <w:r>
        <w:t>C*</w:t>
      </w:r>
    </w:p>
    <w:p w14:paraId="58D8A90C" w14:textId="30C76018" w:rsidR="0042207C" w:rsidRPr="00374382" w:rsidRDefault="0042207C" w:rsidP="0042207C">
      <w:pPr>
        <w:numPr>
          <w:ilvl w:val="0"/>
          <w:numId w:val="8"/>
        </w:numPr>
        <w:tabs>
          <w:tab w:val="num" w:pos="0"/>
        </w:tabs>
        <w:rPr>
          <w:rStyle w:val="Hyperlink"/>
          <w:color w:val="auto"/>
        </w:rPr>
      </w:pPr>
      <w:r w:rsidRPr="007F7B1D">
        <w:t>Joan Brunkard, CDC</w:t>
      </w:r>
      <w:r w:rsidR="00C85ACC">
        <w:t>*</w:t>
      </w:r>
      <w:r w:rsidRPr="007F7B1D">
        <w:t xml:space="preserve"> </w:t>
      </w:r>
    </w:p>
    <w:p w14:paraId="0ADA06EE" w14:textId="2B257AFF" w:rsidR="0042207C" w:rsidRPr="005A09F8" w:rsidRDefault="0042207C" w:rsidP="0042207C">
      <w:pPr>
        <w:numPr>
          <w:ilvl w:val="0"/>
          <w:numId w:val="8"/>
        </w:numPr>
        <w:tabs>
          <w:tab w:val="num" w:pos="0"/>
        </w:tabs>
      </w:pPr>
      <w:r w:rsidRPr="00CB7429">
        <w:rPr>
          <w:rStyle w:val="Hyperlink"/>
          <w:color w:val="auto"/>
          <w:u w:val="none"/>
        </w:rPr>
        <w:t>Julia Gargano, CDC</w:t>
      </w:r>
      <w:r w:rsidR="00C85ACC" w:rsidRPr="00CB7429">
        <w:rPr>
          <w:rStyle w:val="Hyperlink"/>
          <w:color w:val="auto"/>
          <w:u w:val="none"/>
        </w:rPr>
        <w:t>*</w:t>
      </w:r>
      <w:r w:rsidRPr="00CB7429">
        <w:rPr>
          <w:rStyle w:val="Hyperlink"/>
          <w:color w:val="auto"/>
          <w:u w:val="none"/>
        </w:rPr>
        <w:t xml:space="preserve"> </w:t>
      </w:r>
    </w:p>
    <w:p w14:paraId="21AB6B27" w14:textId="28C85C5C" w:rsidR="0042207C" w:rsidRPr="007F7B1D" w:rsidRDefault="0042207C" w:rsidP="0042207C">
      <w:pPr>
        <w:numPr>
          <w:ilvl w:val="0"/>
          <w:numId w:val="8"/>
        </w:numPr>
        <w:tabs>
          <w:tab w:val="num" w:pos="0"/>
        </w:tabs>
      </w:pPr>
      <w:r w:rsidRPr="007F7B1D">
        <w:t>Joseph Carpenter, CDC</w:t>
      </w:r>
      <w:r w:rsidR="00C85ACC">
        <w:t>*</w:t>
      </w:r>
      <w:r w:rsidRPr="007F7B1D">
        <w:t xml:space="preserve"> </w:t>
      </w:r>
    </w:p>
    <w:p w14:paraId="04E9044E" w14:textId="372EFAC8" w:rsidR="0042207C" w:rsidRPr="00820D4C" w:rsidRDefault="0042207C" w:rsidP="0042207C">
      <w:pPr>
        <w:numPr>
          <w:ilvl w:val="0"/>
          <w:numId w:val="8"/>
        </w:numPr>
        <w:tabs>
          <w:tab w:val="num" w:pos="0"/>
        </w:tabs>
      </w:pPr>
      <w:r w:rsidRPr="00374382">
        <w:t>Mark Lamias, contractor for CDC</w:t>
      </w:r>
      <w:r w:rsidR="00C85ACC">
        <w:t>*</w:t>
      </w:r>
      <w:r w:rsidRPr="00820D4C">
        <w:t xml:space="preserve"> </w:t>
      </w:r>
    </w:p>
    <w:p w14:paraId="73B7ADB9" w14:textId="0949A021" w:rsidR="006C6849" w:rsidRPr="00820D4C" w:rsidRDefault="006C6849" w:rsidP="00C85ACC">
      <w:pPr>
        <w:ind w:left="360"/>
      </w:pPr>
    </w:p>
    <w:p w14:paraId="154A54FA" w14:textId="21B7E98A" w:rsidR="0042207C" w:rsidRPr="007F7B1D" w:rsidRDefault="0042207C" w:rsidP="0042207C">
      <w:r w:rsidRPr="007F7B1D">
        <w:t>Persons who collect</w:t>
      </w:r>
      <w:r w:rsidR="00E83748">
        <w:t>/collected</w:t>
      </w:r>
      <w:r w:rsidRPr="007F7B1D">
        <w:t xml:space="preserve"> the data:</w:t>
      </w:r>
    </w:p>
    <w:p w14:paraId="68CF9955" w14:textId="52D388B7" w:rsidR="00C85ACC" w:rsidRPr="00C85ACC" w:rsidRDefault="00C85ACC" w:rsidP="00C85ACC">
      <w:pPr>
        <w:pStyle w:val="ListParagraph"/>
        <w:numPr>
          <w:ilvl w:val="0"/>
          <w:numId w:val="8"/>
        </w:numPr>
        <w:rPr>
          <w:highlight w:val="yellow"/>
        </w:rPr>
      </w:pPr>
      <w:r w:rsidRPr="00C85ACC">
        <w:rPr>
          <w:highlight w:val="yellow"/>
        </w:rPr>
        <w:t xml:space="preserve">Alexis Roundtree, contractor for CDC –ph. 404.718.5816, email: </w:t>
      </w:r>
      <w:hyperlink r:id="rId13" w:history="1">
        <w:r w:rsidR="005A09F8">
          <w:rPr>
            <w:rStyle w:val="Hyperlink"/>
            <w:highlight w:val="yellow"/>
          </w:rPr>
          <w:t>hzj</w:t>
        </w:r>
        <w:r w:rsidR="005A09F8" w:rsidRPr="00C85ACC">
          <w:rPr>
            <w:rStyle w:val="Hyperlink"/>
            <w:highlight w:val="yellow"/>
          </w:rPr>
          <w:t>5@cdc.gov</w:t>
        </w:r>
      </w:hyperlink>
    </w:p>
    <w:p w14:paraId="7F3A3C6C" w14:textId="77777777" w:rsidR="00C85ACC" w:rsidRPr="00C85ACC" w:rsidRDefault="00C85ACC" w:rsidP="00C85ACC">
      <w:pPr>
        <w:pStyle w:val="ListParagraph"/>
        <w:numPr>
          <w:ilvl w:val="0"/>
          <w:numId w:val="8"/>
        </w:numPr>
        <w:rPr>
          <w:highlight w:val="yellow"/>
        </w:rPr>
      </w:pPr>
      <w:r w:rsidRPr="00C85ACC">
        <w:rPr>
          <w:highlight w:val="yellow"/>
        </w:rPr>
        <w:t xml:space="preserve">Elyse Phillips, CDC/ORISE ph. 770-488-5922, email: </w:t>
      </w:r>
      <w:hyperlink r:id="rId14" w:history="1">
        <w:r w:rsidRPr="00C85ACC">
          <w:rPr>
            <w:rStyle w:val="Hyperlink"/>
            <w:highlight w:val="yellow"/>
          </w:rPr>
          <w:t>lly7@cdc.gov</w:t>
        </w:r>
      </w:hyperlink>
    </w:p>
    <w:p w14:paraId="782D06AC" w14:textId="67611802" w:rsidR="00C85ACC" w:rsidRPr="00C85ACC" w:rsidRDefault="00C85ACC" w:rsidP="00C85ACC">
      <w:pPr>
        <w:numPr>
          <w:ilvl w:val="0"/>
          <w:numId w:val="8"/>
        </w:numPr>
        <w:tabs>
          <w:tab w:val="num" w:pos="0"/>
        </w:tabs>
        <w:rPr>
          <w:rStyle w:val="Hyperlink"/>
          <w:color w:val="auto"/>
          <w:highlight w:val="yellow"/>
          <w:u w:val="none"/>
        </w:rPr>
      </w:pPr>
      <w:r w:rsidRPr="000E709C">
        <w:rPr>
          <w:rFonts w:eastAsia="Times New Roman" w:cs="Times New Roman"/>
          <w:szCs w:val="24"/>
          <w:highlight w:val="yellow"/>
        </w:rPr>
        <w:t>Kathy Benedict, CDC –ph. 404-718-4388, email:</w:t>
      </w:r>
      <w:r w:rsidRPr="00C85ACC">
        <w:rPr>
          <w:rStyle w:val="Hyperlink"/>
          <w:highlight w:val="yellow"/>
        </w:rPr>
        <w:t xml:space="preserve"> </w:t>
      </w:r>
      <w:hyperlink r:id="rId15" w:history="1">
        <w:r w:rsidRPr="00C85ACC">
          <w:rPr>
            <w:rStyle w:val="Hyperlink"/>
            <w:highlight w:val="yellow"/>
          </w:rPr>
          <w:t>wte7@cdc.gov</w:t>
        </w:r>
      </w:hyperlink>
    </w:p>
    <w:p w14:paraId="12E2FDAA" w14:textId="16BED50D" w:rsidR="00C85ACC" w:rsidRPr="00C85ACC" w:rsidRDefault="00C85ACC" w:rsidP="00C85ACC">
      <w:pPr>
        <w:numPr>
          <w:ilvl w:val="0"/>
          <w:numId w:val="8"/>
        </w:numPr>
        <w:tabs>
          <w:tab w:val="num" w:pos="0"/>
        </w:tabs>
        <w:rPr>
          <w:rStyle w:val="Hyperlink"/>
          <w:color w:val="auto"/>
          <w:highlight w:val="yellow"/>
          <w:u w:val="none"/>
        </w:rPr>
      </w:pPr>
      <w:r w:rsidRPr="00C85ACC">
        <w:rPr>
          <w:rStyle w:val="Hyperlink"/>
          <w:color w:val="auto"/>
          <w:highlight w:val="yellow"/>
          <w:u w:val="none"/>
        </w:rPr>
        <w:t xml:space="preserve">Katie Fullerton, CDC </w:t>
      </w:r>
      <w:r w:rsidRPr="000E709C">
        <w:rPr>
          <w:rFonts w:eastAsia="Times New Roman" w:cs="Times New Roman"/>
          <w:szCs w:val="24"/>
          <w:highlight w:val="yellow"/>
        </w:rPr>
        <w:t>–ph. 404.671.0751, email:</w:t>
      </w:r>
      <w:r w:rsidRPr="00C85ACC">
        <w:rPr>
          <w:rStyle w:val="Hyperlink"/>
          <w:highlight w:val="yellow"/>
        </w:rPr>
        <w:t xml:space="preserve"> </w:t>
      </w:r>
      <w:hyperlink r:id="rId16" w:history="1">
        <w:r w:rsidRPr="00C85ACC">
          <w:rPr>
            <w:rStyle w:val="Hyperlink"/>
            <w:highlight w:val="yellow"/>
          </w:rPr>
          <w:t>kgf9@cdc.gov</w:t>
        </w:r>
      </w:hyperlink>
    </w:p>
    <w:p w14:paraId="400D4F56" w14:textId="14B5F89E" w:rsidR="00C85ACC" w:rsidRPr="00C85ACC" w:rsidRDefault="00C85ACC" w:rsidP="00C85ACC">
      <w:pPr>
        <w:pStyle w:val="ListParagraph"/>
        <w:numPr>
          <w:ilvl w:val="0"/>
          <w:numId w:val="8"/>
        </w:numPr>
        <w:rPr>
          <w:rStyle w:val="Hyperlink"/>
          <w:color w:val="auto"/>
          <w:highlight w:val="yellow"/>
          <w:u w:val="none"/>
        </w:rPr>
      </w:pPr>
      <w:r w:rsidRPr="00C85ACC">
        <w:rPr>
          <w:highlight w:val="yellow"/>
        </w:rPr>
        <w:t xml:space="preserve">Marissa Vigar, CDC/ORISE –ph. 404-518-5700, email: </w:t>
      </w:r>
      <w:hyperlink r:id="rId17" w:history="1">
        <w:r w:rsidRPr="00C85ACC">
          <w:rPr>
            <w:rStyle w:val="Hyperlink"/>
            <w:highlight w:val="yellow"/>
          </w:rPr>
          <w:t>lgq6@cdc.gov</w:t>
        </w:r>
      </w:hyperlink>
      <w:r w:rsidRPr="00C85ACC">
        <w:rPr>
          <w:highlight w:val="yellow"/>
        </w:rPr>
        <w:t xml:space="preserve"> </w:t>
      </w:r>
    </w:p>
    <w:p w14:paraId="2DCDED0A" w14:textId="272E8E14" w:rsidR="00C85ACC" w:rsidRPr="00C85ACC" w:rsidRDefault="00C85ACC" w:rsidP="00C85ACC">
      <w:pPr>
        <w:numPr>
          <w:ilvl w:val="0"/>
          <w:numId w:val="8"/>
        </w:numPr>
        <w:rPr>
          <w:rStyle w:val="Hyperlink"/>
          <w:color w:val="auto"/>
          <w:highlight w:val="yellow"/>
          <w:u w:val="none"/>
        </w:rPr>
      </w:pPr>
      <w:r w:rsidRPr="000E709C">
        <w:rPr>
          <w:rFonts w:eastAsia="Times New Roman" w:cs="Times New Roman"/>
          <w:szCs w:val="24"/>
          <w:highlight w:val="yellow"/>
        </w:rPr>
        <w:t>Mia Mattioli, CDC –ph. 404.718.5643, email:</w:t>
      </w:r>
      <w:r w:rsidRPr="00C85ACC">
        <w:rPr>
          <w:rStyle w:val="Hyperlink"/>
          <w:highlight w:val="yellow"/>
        </w:rPr>
        <w:t xml:space="preserve"> </w:t>
      </w:r>
      <w:hyperlink r:id="rId18" w:history="1">
        <w:r w:rsidRPr="00C85ACC">
          <w:rPr>
            <w:rStyle w:val="Hyperlink"/>
            <w:highlight w:val="yellow"/>
          </w:rPr>
          <w:t>kuk9@cdc.gov</w:t>
        </w:r>
      </w:hyperlink>
    </w:p>
    <w:p w14:paraId="02B60209" w14:textId="41626D02" w:rsidR="00C85ACC" w:rsidRPr="00C85ACC" w:rsidRDefault="00C85ACC" w:rsidP="00C85ACC">
      <w:pPr>
        <w:numPr>
          <w:ilvl w:val="0"/>
          <w:numId w:val="8"/>
        </w:numPr>
        <w:rPr>
          <w:highlight w:val="yellow"/>
        </w:rPr>
      </w:pPr>
      <w:r w:rsidRPr="00C85ACC">
        <w:rPr>
          <w:highlight w:val="yellow"/>
        </w:rPr>
        <w:t xml:space="preserve">Sarah Collier, CDC –ph. 404.718.4875, email: </w:t>
      </w:r>
      <w:hyperlink r:id="rId19" w:history="1">
        <w:r w:rsidRPr="00C85ACC">
          <w:rPr>
            <w:rStyle w:val="Hyperlink"/>
            <w:highlight w:val="yellow"/>
          </w:rPr>
          <w:t>sau9@cdc.gov</w:t>
        </w:r>
      </w:hyperlink>
    </w:p>
    <w:p w14:paraId="77FCB140" w14:textId="69E1B633" w:rsidR="00C85ACC" w:rsidRPr="000E709C" w:rsidRDefault="00C85ACC" w:rsidP="00C85ACC">
      <w:pPr>
        <w:numPr>
          <w:ilvl w:val="0"/>
          <w:numId w:val="8"/>
        </w:numPr>
        <w:rPr>
          <w:rStyle w:val="Hyperlink"/>
          <w:highlight w:val="yellow"/>
        </w:rPr>
      </w:pPr>
      <w:r w:rsidRPr="00C85ACC">
        <w:rPr>
          <w:highlight w:val="yellow"/>
        </w:rPr>
        <w:t xml:space="preserve">Tuyen Do, CDC –ph. 404.718.1375, email: </w:t>
      </w:r>
      <w:r w:rsidRPr="000E709C">
        <w:rPr>
          <w:rStyle w:val="Hyperlink"/>
          <w:highlight w:val="yellow"/>
        </w:rPr>
        <w:t>dkt1@cdc.gov</w:t>
      </w:r>
    </w:p>
    <w:p w14:paraId="77E04155" w14:textId="594ECF10" w:rsidR="00C85ACC" w:rsidRPr="00C85ACC" w:rsidRDefault="00C85ACC" w:rsidP="00C85ACC">
      <w:pPr>
        <w:numPr>
          <w:ilvl w:val="0"/>
          <w:numId w:val="8"/>
        </w:numPr>
        <w:tabs>
          <w:tab w:val="num" w:pos="0"/>
        </w:tabs>
        <w:rPr>
          <w:highlight w:val="yellow"/>
        </w:rPr>
      </w:pPr>
      <w:r w:rsidRPr="00C85ACC">
        <w:rPr>
          <w:highlight w:val="yellow"/>
        </w:rPr>
        <w:t xml:space="preserve">Vincent Hill, CDC – ph. 404-718-4151, email: </w:t>
      </w:r>
      <w:hyperlink r:id="rId20" w:history="1">
        <w:r w:rsidRPr="00C85ACC">
          <w:rPr>
            <w:rStyle w:val="Hyperlink"/>
            <w:highlight w:val="yellow"/>
          </w:rPr>
          <w:t>veh2@cdc.gov</w:t>
        </w:r>
      </w:hyperlink>
    </w:p>
    <w:p w14:paraId="3C1C42C2" w14:textId="3D0FC237" w:rsidR="000E709C" w:rsidRDefault="000E709C" w:rsidP="00C85ACC">
      <w:pPr>
        <w:pStyle w:val="ListParagraph"/>
        <w:numPr>
          <w:ilvl w:val="0"/>
          <w:numId w:val="8"/>
        </w:numPr>
      </w:pPr>
      <w:r>
        <w:t>Alison Stargel, CDC*</w:t>
      </w:r>
    </w:p>
    <w:p w14:paraId="016644EA" w14:textId="58B6DC0A" w:rsidR="00C85ACC" w:rsidRDefault="00C85ACC" w:rsidP="00C85ACC">
      <w:pPr>
        <w:pStyle w:val="ListParagraph"/>
        <w:numPr>
          <w:ilvl w:val="0"/>
          <w:numId w:val="8"/>
        </w:numPr>
      </w:pPr>
      <w:r w:rsidRPr="00AD4665">
        <w:t xml:space="preserve">Chandra Schneeberger, contractor for CDC </w:t>
      </w:r>
      <w:r w:rsidR="000E709C">
        <w:t>*</w:t>
      </w:r>
      <w:r w:rsidRPr="00AD4665">
        <w:t xml:space="preserve"> </w:t>
      </w:r>
    </w:p>
    <w:p w14:paraId="428D9F0A" w14:textId="28A07ABF" w:rsidR="00C85ACC" w:rsidRDefault="00C85ACC" w:rsidP="00C85ACC">
      <w:pPr>
        <w:numPr>
          <w:ilvl w:val="0"/>
          <w:numId w:val="8"/>
        </w:numPr>
        <w:tabs>
          <w:tab w:val="num" w:pos="0"/>
        </w:tabs>
      </w:pPr>
      <w:r>
        <w:t>Elizabeth Adam, contractor for CDC</w:t>
      </w:r>
      <w:r w:rsidR="000E709C">
        <w:t>*</w:t>
      </w:r>
      <w:r w:rsidDel="00E83748">
        <w:t xml:space="preserve"> </w:t>
      </w:r>
    </w:p>
    <w:p w14:paraId="5FAAAD18" w14:textId="7FC0D0FF" w:rsidR="0042207C" w:rsidRDefault="0042207C" w:rsidP="0042207C">
      <w:pPr>
        <w:numPr>
          <w:ilvl w:val="0"/>
          <w:numId w:val="8"/>
        </w:numPr>
        <w:tabs>
          <w:tab w:val="num" w:pos="0"/>
        </w:tabs>
      </w:pPr>
      <w:r>
        <w:t>Julia Gargano</w:t>
      </w:r>
      <w:r w:rsidRPr="007F7B1D">
        <w:t>, CDC</w:t>
      </w:r>
      <w:r w:rsidR="000E709C">
        <w:t>*</w:t>
      </w:r>
      <w:r w:rsidRPr="007F7B1D">
        <w:t xml:space="preserve"> </w:t>
      </w:r>
    </w:p>
    <w:p w14:paraId="17D2E44C" w14:textId="6BAC4908" w:rsidR="0042207C" w:rsidRDefault="0042207C" w:rsidP="0042207C">
      <w:pPr>
        <w:numPr>
          <w:ilvl w:val="0"/>
          <w:numId w:val="8"/>
        </w:numPr>
        <w:tabs>
          <w:tab w:val="num" w:pos="0"/>
        </w:tabs>
      </w:pPr>
      <w:r w:rsidRPr="007F7B1D">
        <w:t>Mark Lamias, contractor for CDC</w:t>
      </w:r>
      <w:r w:rsidR="000E709C">
        <w:t>*</w:t>
      </w:r>
      <w:r w:rsidRPr="007F7B1D">
        <w:t xml:space="preserve"> </w:t>
      </w:r>
    </w:p>
    <w:p w14:paraId="108CFFD8" w14:textId="77777777" w:rsidR="0042207C" w:rsidRPr="007F7B1D" w:rsidRDefault="0042207C" w:rsidP="0042207C"/>
    <w:p w14:paraId="0C3FB8D8" w14:textId="77777777" w:rsidR="0042207C" w:rsidRPr="007F7B1D" w:rsidRDefault="0042207C" w:rsidP="0042207C">
      <w:r w:rsidRPr="007F7B1D">
        <w:t>Persons who will analyze the data:</w:t>
      </w:r>
    </w:p>
    <w:p w14:paraId="0338AD68" w14:textId="214A06B0" w:rsidR="00F57402" w:rsidRPr="00C85ACC" w:rsidRDefault="00F57402" w:rsidP="00E41A78">
      <w:pPr>
        <w:numPr>
          <w:ilvl w:val="0"/>
          <w:numId w:val="8"/>
        </w:numPr>
        <w:rPr>
          <w:highlight w:val="yellow"/>
        </w:rPr>
      </w:pPr>
      <w:r w:rsidRPr="00C85ACC">
        <w:rPr>
          <w:highlight w:val="yellow"/>
        </w:rPr>
        <w:t xml:space="preserve">Elyse Phillips, CDC/ORISE ph. 770-488-5922, email: </w:t>
      </w:r>
      <w:hyperlink r:id="rId21" w:history="1">
        <w:r w:rsidR="0065020C" w:rsidRPr="00C85ACC">
          <w:rPr>
            <w:rStyle w:val="Hyperlink"/>
            <w:highlight w:val="yellow"/>
          </w:rPr>
          <w:t>lly7@cdc.gov</w:t>
        </w:r>
      </w:hyperlink>
    </w:p>
    <w:p w14:paraId="1DC3C6B7" w14:textId="77777777" w:rsidR="00C85ACC" w:rsidRPr="00C85ACC" w:rsidRDefault="00C85ACC" w:rsidP="00C85ACC">
      <w:pPr>
        <w:numPr>
          <w:ilvl w:val="0"/>
          <w:numId w:val="8"/>
        </w:numPr>
        <w:tabs>
          <w:tab w:val="num" w:pos="0"/>
        </w:tabs>
        <w:rPr>
          <w:rStyle w:val="Hyperlink"/>
          <w:color w:val="auto"/>
          <w:highlight w:val="yellow"/>
          <w:u w:val="none"/>
        </w:rPr>
      </w:pPr>
      <w:r w:rsidRPr="000E709C">
        <w:rPr>
          <w:highlight w:val="yellow"/>
        </w:rPr>
        <w:t>Kathy Benedict, CDC –ph. 404-718-4388, email:</w:t>
      </w:r>
      <w:r w:rsidRPr="00C85ACC">
        <w:rPr>
          <w:rStyle w:val="Hyperlink"/>
          <w:highlight w:val="yellow"/>
        </w:rPr>
        <w:t xml:space="preserve"> </w:t>
      </w:r>
      <w:hyperlink r:id="rId22" w:history="1">
        <w:r w:rsidRPr="00C85ACC">
          <w:rPr>
            <w:rStyle w:val="Hyperlink"/>
            <w:highlight w:val="yellow"/>
          </w:rPr>
          <w:t>wte7@cdc.gov</w:t>
        </w:r>
      </w:hyperlink>
    </w:p>
    <w:p w14:paraId="2FEF5DD0" w14:textId="4E1F57B0" w:rsidR="00C85ACC" w:rsidRPr="000E709C" w:rsidRDefault="00C85ACC" w:rsidP="00C85ACC">
      <w:pPr>
        <w:numPr>
          <w:ilvl w:val="0"/>
          <w:numId w:val="8"/>
        </w:numPr>
        <w:tabs>
          <w:tab w:val="num" w:pos="0"/>
        </w:tabs>
        <w:rPr>
          <w:rStyle w:val="Hyperlink"/>
          <w:color w:val="auto"/>
          <w:highlight w:val="yellow"/>
          <w:u w:val="none"/>
        </w:rPr>
      </w:pPr>
      <w:r w:rsidRPr="000E709C">
        <w:rPr>
          <w:rStyle w:val="Hyperlink"/>
          <w:color w:val="auto"/>
          <w:highlight w:val="yellow"/>
          <w:u w:val="none"/>
        </w:rPr>
        <w:t xml:space="preserve">Katie Fullerton, CDC </w:t>
      </w:r>
      <w:r w:rsidRPr="000E709C">
        <w:rPr>
          <w:highlight w:val="yellow"/>
        </w:rPr>
        <w:t>–ph. 404.671.0751, email:</w:t>
      </w:r>
      <w:r w:rsidRPr="000E709C">
        <w:rPr>
          <w:rStyle w:val="Hyperlink"/>
          <w:highlight w:val="yellow"/>
        </w:rPr>
        <w:t xml:space="preserve"> </w:t>
      </w:r>
      <w:hyperlink r:id="rId23" w:history="1">
        <w:r w:rsidRPr="000E709C">
          <w:rPr>
            <w:rStyle w:val="Hyperlink"/>
            <w:highlight w:val="yellow"/>
          </w:rPr>
          <w:t>kgf9@cdc.gov</w:t>
        </w:r>
      </w:hyperlink>
    </w:p>
    <w:p w14:paraId="36E0CB23" w14:textId="4BDE0075" w:rsidR="000E709C" w:rsidRPr="000E709C" w:rsidRDefault="000E709C" w:rsidP="000E709C">
      <w:pPr>
        <w:pStyle w:val="ListParagraph"/>
        <w:numPr>
          <w:ilvl w:val="0"/>
          <w:numId w:val="8"/>
        </w:numPr>
        <w:rPr>
          <w:rStyle w:val="Hyperlink"/>
          <w:color w:val="auto"/>
          <w:highlight w:val="yellow"/>
          <w:u w:val="none"/>
        </w:rPr>
      </w:pPr>
      <w:r w:rsidRPr="000E709C">
        <w:rPr>
          <w:highlight w:val="yellow"/>
        </w:rPr>
        <w:t xml:space="preserve">Marissa Vigar, CDC/ORISE –ph. 404-518-5700, email: </w:t>
      </w:r>
      <w:hyperlink r:id="rId24" w:history="1">
        <w:r w:rsidRPr="000E709C">
          <w:rPr>
            <w:rStyle w:val="Hyperlink"/>
            <w:highlight w:val="yellow"/>
          </w:rPr>
          <w:t>lgq6@cdc.gov</w:t>
        </w:r>
      </w:hyperlink>
      <w:r w:rsidRPr="000E709C">
        <w:rPr>
          <w:highlight w:val="yellow"/>
        </w:rPr>
        <w:t xml:space="preserve"> </w:t>
      </w:r>
    </w:p>
    <w:p w14:paraId="244DEA12" w14:textId="77777777" w:rsidR="000E709C" w:rsidRPr="000E709C" w:rsidRDefault="00C85ACC" w:rsidP="0065020C">
      <w:pPr>
        <w:numPr>
          <w:ilvl w:val="0"/>
          <w:numId w:val="8"/>
        </w:numPr>
        <w:rPr>
          <w:rStyle w:val="Hyperlink"/>
          <w:color w:val="auto"/>
          <w:highlight w:val="yellow"/>
          <w:u w:val="none"/>
        </w:rPr>
      </w:pPr>
      <w:r w:rsidRPr="000E709C">
        <w:rPr>
          <w:highlight w:val="yellow"/>
        </w:rPr>
        <w:t>Mia Mattioli, CDC –ph. 404.718.5643, email:</w:t>
      </w:r>
      <w:r w:rsidRPr="00C85ACC">
        <w:rPr>
          <w:rStyle w:val="Hyperlink"/>
          <w:highlight w:val="yellow"/>
        </w:rPr>
        <w:t xml:space="preserve"> </w:t>
      </w:r>
      <w:hyperlink r:id="rId25" w:history="1">
        <w:r w:rsidRPr="00C85ACC">
          <w:rPr>
            <w:rStyle w:val="Hyperlink"/>
            <w:highlight w:val="yellow"/>
          </w:rPr>
          <w:t>kuk9@cdc.gov</w:t>
        </w:r>
      </w:hyperlink>
    </w:p>
    <w:p w14:paraId="2AB27B0A" w14:textId="7A979577" w:rsidR="0065020C" w:rsidRPr="00C85ACC" w:rsidRDefault="0065020C" w:rsidP="0065020C">
      <w:pPr>
        <w:numPr>
          <w:ilvl w:val="0"/>
          <w:numId w:val="8"/>
        </w:numPr>
        <w:rPr>
          <w:highlight w:val="yellow"/>
        </w:rPr>
      </w:pPr>
      <w:r w:rsidRPr="00C85ACC">
        <w:rPr>
          <w:highlight w:val="yellow"/>
        </w:rPr>
        <w:t xml:space="preserve">Sarah Collier, CDC –ph. 404.718.4875, email: </w:t>
      </w:r>
      <w:hyperlink r:id="rId26" w:history="1">
        <w:r w:rsidR="004D4517" w:rsidRPr="00C85ACC">
          <w:rPr>
            <w:rStyle w:val="Hyperlink"/>
            <w:highlight w:val="yellow"/>
          </w:rPr>
          <w:t>sau9@cdc.gov</w:t>
        </w:r>
      </w:hyperlink>
    </w:p>
    <w:p w14:paraId="7DDC25B5" w14:textId="7F3738C9" w:rsidR="00C85ACC" w:rsidRPr="00C85ACC" w:rsidRDefault="00C85ACC" w:rsidP="000E709C">
      <w:pPr>
        <w:numPr>
          <w:ilvl w:val="0"/>
          <w:numId w:val="8"/>
        </w:numPr>
        <w:rPr>
          <w:highlight w:val="yellow"/>
        </w:rPr>
      </w:pPr>
      <w:r w:rsidRPr="000E709C">
        <w:rPr>
          <w:highlight w:val="yellow"/>
        </w:rPr>
        <w:t xml:space="preserve">Sunkyung Kim, </w:t>
      </w:r>
      <w:r w:rsidR="000E709C" w:rsidRPr="00C85ACC">
        <w:rPr>
          <w:highlight w:val="yellow"/>
        </w:rPr>
        <w:t>–ph</w:t>
      </w:r>
      <w:r w:rsidR="000E709C" w:rsidRPr="000E709C">
        <w:rPr>
          <w:highlight w:val="yellow"/>
        </w:rPr>
        <w:t>. 404.718.1478</w:t>
      </w:r>
      <w:r w:rsidR="000E709C">
        <w:rPr>
          <w:highlight w:val="yellow"/>
        </w:rPr>
        <w:t xml:space="preserve">, </w:t>
      </w:r>
      <w:r w:rsidRPr="000E709C">
        <w:rPr>
          <w:highlight w:val="yellow"/>
        </w:rPr>
        <w:t>email:</w:t>
      </w:r>
      <w:r w:rsidRPr="00C85ACC">
        <w:rPr>
          <w:rStyle w:val="Hyperlink"/>
          <w:highlight w:val="yellow"/>
        </w:rPr>
        <w:t xml:space="preserve"> </w:t>
      </w:r>
      <w:hyperlink r:id="rId27" w:history="1">
        <w:r w:rsidRPr="00C85ACC">
          <w:rPr>
            <w:rStyle w:val="Hyperlink"/>
            <w:highlight w:val="yellow"/>
          </w:rPr>
          <w:t>wox0@cdc.gov</w:t>
        </w:r>
      </w:hyperlink>
    </w:p>
    <w:p w14:paraId="34BEFBB6" w14:textId="4AB6F841" w:rsidR="000E709C" w:rsidRPr="000E709C" w:rsidRDefault="004D4517" w:rsidP="000E709C">
      <w:pPr>
        <w:numPr>
          <w:ilvl w:val="0"/>
          <w:numId w:val="8"/>
        </w:numPr>
        <w:tabs>
          <w:tab w:val="num" w:pos="0"/>
        </w:tabs>
        <w:rPr>
          <w:rStyle w:val="Hyperlink"/>
          <w:color w:val="auto"/>
          <w:highlight w:val="yellow"/>
          <w:u w:val="none"/>
        </w:rPr>
      </w:pPr>
      <w:r w:rsidRPr="00C85ACC">
        <w:rPr>
          <w:highlight w:val="yellow"/>
        </w:rPr>
        <w:t xml:space="preserve">Vincent Hill, CDC – ph. 404-718-4151, email: </w:t>
      </w:r>
      <w:hyperlink r:id="rId28" w:history="1">
        <w:r w:rsidRPr="00C85ACC">
          <w:rPr>
            <w:rStyle w:val="Hyperlink"/>
            <w:highlight w:val="yellow"/>
          </w:rPr>
          <w:t>veh2@cdc.gov</w:t>
        </w:r>
      </w:hyperlink>
    </w:p>
    <w:p w14:paraId="50CAF2F4" w14:textId="55F02A0C" w:rsidR="000E709C" w:rsidRDefault="000E709C" w:rsidP="00C85ACC"/>
    <w:p w14:paraId="7989EBA4" w14:textId="2D0EAC4B" w:rsidR="000E709C" w:rsidRDefault="000E709C" w:rsidP="000E709C">
      <w:r>
        <w:t>*No longer active on the project</w:t>
      </w:r>
    </w:p>
    <w:p w14:paraId="62102574" w14:textId="77777777" w:rsidR="0042207C" w:rsidRPr="007F7B1D" w:rsidRDefault="0042207C" w:rsidP="0042207C">
      <w:pPr>
        <w:rPr>
          <w:b/>
          <w:bCs/>
          <w:u w:val="single"/>
        </w:rPr>
      </w:pPr>
    </w:p>
    <w:p w14:paraId="6C763D26" w14:textId="0DD16958" w:rsidR="0042207C" w:rsidRPr="007F7B1D" w:rsidRDefault="0042207C" w:rsidP="0042207C">
      <w:pPr>
        <w:rPr>
          <w:b/>
        </w:rPr>
      </w:pPr>
      <w:r w:rsidRPr="007F7B1D">
        <w:br w:type="page"/>
      </w:r>
      <w:r w:rsidRPr="007F7B1D">
        <w:rPr>
          <w:b/>
        </w:rPr>
        <w:t>Reference</w:t>
      </w:r>
      <w:r w:rsidR="005C1936">
        <w:rPr>
          <w:b/>
        </w:rPr>
        <w:t>s</w:t>
      </w:r>
    </w:p>
    <w:p w14:paraId="0F14BE63" w14:textId="77777777" w:rsidR="0042207C" w:rsidRPr="00FA04AE" w:rsidRDefault="0042207C" w:rsidP="0042207C">
      <w:pPr>
        <w:ind w:left="720" w:hanging="720"/>
        <w:rPr>
          <w:rFonts w:cs="Times New Roman"/>
          <w:noProof/>
        </w:rPr>
      </w:pPr>
      <w:r w:rsidRPr="007F7B1D">
        <w:fldChar w:fldCharType="begin"/>
      </w:r>
      <w:r w:rsidRPr="007F7B1D">
        <w:instrText xml:space="preserve"> ADDIN EN.REFLIST </w:instrText>
      </w:r>
      <w:r w:rsidRPr="007F7B1D">
        <w:fldChar w:fldCharType="separate"/>
      </w:r>
      <w:bookmarkStart w:id="9" w:name="_ENREF_1"/>
      <w:r w:rsidRPr="00FA04AE">
        <w:rPr>
          <w:rFonts w:cs="Times New Roman"/>
          <w:noProof/>
        </w:rPr>
        <w:t xml:space="preserve">Ailes, E., P. Budge, et al. (2010). </w:t>
      </w:r>
      <w:r w:rsidRPr="00FA04AE">
        <w:rPr>
          <w:rFonts w:cs="Times New Roman"/>
          <w:noProof/>
          <w:u w:val="single"/>
        </w:rPr>
        <w:t>Economic and Health Impacts Associated with a Salmonella Serotype Typhimurium Drinking Water Outbreak -- Alamosa, CO, 2008</w:t>
      </w:r>
      <w:r w:rsidRPr="00FA04AE">
        <w:rPr>
          <w:rFonts w:cs="Times New Roman"/>
          <w:noProof/>
        </w:rPr>
        <w:t>. International Conference on Emerging Infectious Diseases, Atlanta, GA.</w:t>
      </w:r>
      <w:bookmarkEnd w:id="9"/>
    </w:p>
    <w:p w14:paraId="29D89EE1" w14:textId="77777777" w:rsidR="0042207C" w:rsidRPr="00FA04AE" w:rsidRDefault="0042207C" w:rsidP="0042207C">
      <w:pPr>
        <w:ind w:left="720" w:hanging="720"/>
        <w:rPr>
          <w:rFonts w:cs="Times New Roman"/>
          <w:noProof/>
        </w:rPr>
      </w:pPr>
      <w:bookmarkStart w:id="10" w:name="_ENREF_2"/>
      <w:r w:rsidRPr="00FA04AE">
        <w:rPr>
          <w:rFonts w:cs="Times New Roman"/>
          <w:noProof/>
        </w:rPr>
        <w:t xml:space="preserve">Dillman, D. A. (2007). </w:t>
      </w:r>
      <w:r w:rsidRPr="00FA04AE">
        <w:rPr>
          <w:rFonts w:cs="Times New Roman"/>
          <w:noProof/>
          <w:u w:val="single"/>
        </w:rPr>
        <w:t>Mail and Internet Surveys: The Tailored Design Method</w:t>
      </w:r>
      <w:r w:rsidRPr="00FA04AE">
        <w:rPr>
          <w:rFonts w:cs="Times New Roman"/>
          <w:noProof/>
        </w:rPr>
        <w:t>. New Jersey, John Wiley &amp; Sons, Inc.</w:t>
      </w:r>
      <w:bookmarkEnd w:id="10"/>
    </w:p>
    <w:p w14:paraId="7653D914" w14:textId="77777777" w:rsidR="0042207C" w:rsidRPr="00FA04AE" w:rsidRDefault="0042207C" w:rsidP="0042207C">
      <w:pPr>
        <w:ind w:left="720" w:hanging="720"/>
        <w:rPr>
          <w:rFonts w:cs="Times New Roman"/>
          <w:noProof/>
        </w:rPr>
      </w:pPr>
      <w:bookmarkStart w:id="11" w:name="_ENREF_3"/>
      <w:r w:rsidRPr="00FA04AE">
        <w:rPr>
          <w:rFonts w:cs="Times New Roman"/>
          <w:noProof/>
        </w:rPr>
        <w:t xml:space="preserve">Galea, S. and M. Tracy (2007). "Participation Rates in Epidemiologic Studies." </w:t>
      </w:r>
      <w:r w:rsidRPr="00FA04AE">
        <w:rPr>
          <w:rFonts w:cs="Times New Roman"/>
          <w:noProof/>
          <w:u w:val="single"/>
        </w:rPr>
        <w:t>Annals of Epidemiology</w:t>
      </w:r>
      <w:r w:rsidRPr="00FA04AE">
        <w:rPr>
          <w:rFonts w:cs="Times New Roman"/>
          <w:noProof/>
        </w:rPr>
        <w:t xml:space="preserve"> </w:t>
      </w:r>
      <w:r w:rsidRPr="00FA04AE">
        <w:rPr>
          <w:rFonts w:cs="Times New Roman"/>
          <w:b/>
          <w:noProof/>
        </w:rPr>
        <w:t>17</w:t>
      </w:r>
      <w:r w:rsidRPr="00FA04AE">
        <w:rPr>
          <w:rFonts w:cs="Times New Roman"/>
          <w:noProof/>
        </w:rPr>
        <w:t>(9): 643-653.</w:t>
      </w:r>
      <w:bookmarkEnd w:id="11"/>
    </w:p>
    <w:p w14:paraId="09BBCF14" w14:textId="77777777" w:rsidR="0042207C" w:rsidRPr="00FA04AE" w:rsidRDefault="0042207C" w:rsidP="0042207C">
      <w:pPr>
        <w:ind w:left="720" w:hanging="720"/>
        <w:rPr>
          <w:rFonts w:cs="Times New Roman"/>
          <w:noProof/>
        </w:rPr>
      </w:pPr>
      <w:bookmarkStart w:id="12" w:name="_ENREF_4"/>
      <w:r w:rsidRPr="00FA04AE">
        <w:rPr>
          <w:rFonts w:cs="Times New Roman"/>
          <w:noProof/>
        </w:rPr>
        <w:t xml:space="preserve">Ghosh, T. S., J. L. Patnaik, et al. (2008). "Internet- versus telephone-based local outbreak investigations." </w:t>
      </w:r>
      <w:r w:rsidRPr="00FA04AE">
        <w:rPr>
          <w:rFonts w:cs="Times New Roman"/>
          <w:noProof/>
          <w:u w:val="single"/>
        </w:rPr>
        <w:t>Emerg Infect Dis</w:t>
      </w:r>
      <w:r w:rsidRPr="00FA04AE">
        <w:rPr>
          <w:rFonts w:cs="Times New Roman"/>
          <w:noProof/>
        </w:rPr>
        <w:t xml:space="preserve"> </w:t>
      </w:r>
      <w:r w:rsidRPr="00FA04AE">
        <w:rPr>
          <w:rFonts w:cs="Times New Roman"/>
          <w:b/>
          <w:noProof/>
        </w:rPr>
        <w:t>14</w:t>
      </w:r>
      <w:r w:rsidRPr="00FA04AE">
        <w:rPr>
          <w:rFonts w:cs="Times New Roman"/>
          <w:noProof/>
        </w:rPr>
        <w:t>(6): 975-977.</w:t>
      </w:r>
      <w:bookmarkEnd w:id="12"/>
    </w:p>
    <w:p w14:paraId="0503DAA8" w14:textId="77777777" w:rsidR="0042207C" w:rsidRPr="00FA04AE" w:rsidRDefault="0042207C" w:rsidP="0042207C">
      <w:pPr>
        <w:ind w:left="720" w:hanging="720"/>
        <w:rPr>
          <w:rFonts w:cs="Times New Roman"/>
          <w:noProof/>
        </w:rPr>
      </w:pPr>
      <w:bookmarkStart w:id="13" w:name="_ENREF_5"/>
      <w:r w:rsidRPr="00FA04AE">
        <w:rPr>
          <w:rFonts w:cs="Times New Roman"/>
          <w:noProof/>
        </w:rPr>
        <w:t xml:space="preserve">Griffiths, S. L., R. L. Salmon, et al. (2010). "Using the internet for rapid investigation of an outbreak of diarrhoeal illness in mountain bikers." </w:t>
      </w:r>
      <w:r w:rsidRPr="00FA04AE">
        <w:rPr>
          <w:rFonts w:cs="Times New Roman"/>
          <w:noProof/>
          <w:u w:val="single"/>
        </w:rPr>
        <w:t>Epidemiol Infect</w:t>
      </w:r>
      <w:r w:rsidRPr="00FA04AE">
        <w:rPr>
          <w:rFonts w:cs="Times New Roman"/>
          <w:noProof/>
        </w:rPr>
        <w:t xml:space="preserve"> </w:t>
      </w:r>
      <w:r w:rsidRPr="00FA04AE">
        <w:rPr>
          <w:rFonts w:cs="Times New Roman"/>
          <w:b/>
          <w:noProof/>
        </w:rPr>
        <w:t>138</w:t>
      </w:r>
      <w:r w:rsidRPr="00FA04AE">
        <w:rPr>
          <w:rFonts w:cs="Times New Roman"/>
          <w:noProof/>
        </w:rPr>
        <w:t>(12): 1704-1711.</w:t>
      </w:r>
      <w:bookmarkEnd w:id="13"/>
    </w:p>
    <w:p w14:paraId="7FE80ED5" w14:textId="77777777" w:rsidR="0042207C" w:rsidRPr="00FA04AE" w:rsidRDefault="0042207C" w:rsidP="0042207C">
      <w:pPr>
        <w:ind w:left="720" w:hanging="720"/>
        <w:rPr>
          <w:rFonts w:cs="Times New Roman"/>
          <w:noProof/>
        </w:rPr>
      </w:pPr>
      <w:bookmarkStart w:id="14" w:name="_ENREF_6"/>
      <w:r w:rsidRPr="00FA04AE">
        <w:rPr>
          <w:rFonts w:cs="Times New Roman"/>
          <w:noProof/>
        </w:rPr>
        <w:t xml:space="preserve">Jones, T. F., M. B. McMillian, et al. (2007). "A population-based estimate of the substantial burden of diarrhoeal disease in the United States; FoodNet, 1996-2003." </w:t>
      </w:r>
      <w:r w:rsidRPr="00FA04AE">
        <w:rPr>
          <w:rFonts w:cs="Times New Roman"/>
          <w:noProof/>
          <w:u w:val="single"/>
        </w:rPr>
        <w:t>Epidemiol Infect</w:t>
      </w:r>
      <w:r w:rsidRPr="00FA04AE">
        <w:rPr>
          <w:rFonts w:cs="Times New Roman"/>
          <w:noProof/>
        </w:rPr>
        <w:t xml:space="preserve"> </w:t>
      </w:r>
      <w:r w:rsidRPr="00FA04AE">
        <w:rPr>
          <w:rFonts w:cs="Times New Roman"/>
          <w:b/>
          <w:noProof/>
        </w:rPr>
        <w:t>135</w:t>
      </w:r>
      <w:r w:rsidRPr="00FA04AE">
        <w:rPr>
          <w:rFonts w:cs="Times New Roman"/>
          <w:noProof/>
        </w:rPr>
        <w:t>(2): 293-301.</w:t>
      </w:r>
      <w:bookmarkEnd w:id="14"/>
    </w:p>
    <w:p w14:paraId="5638CA60" w14:textId="77777777" w:rsidR="0042207C" w:rsidRPr="00FA04AE" w:rsidRDefault="0042207C" w:rsidP="0042207C">
      <w:pPr>
        <w:ind w:left="720" w:hanging="720"/>
        <w:rPr>
          <w:rFonts w:cs="Times New Roman"/>
          <w:noProof/>
        </w:rPr>
      </w:pPr>
      <w:bookmarkStart w:id="15" w:name="_ENREF_8"/>
      <w:r w:rsidRPr="00FA04AE">
        <w:rPr>
          <w:rFonts w:cs="Times New Roman"/>
          <w:noProof/>
        </w:rPr>
        <w:t xml:space="preserve">Smith, B., T. C. Smith, et al. (2007). "When epidemiology meets the Internet: Web-based surveys in the Millennium Cohort Study." </w:t>
      </w:r>
      <w:r w:rsidRPr="00FA04AE">
        <w:rPr>
          <w:rFonts w:cs="Times New Roman"/>
          <w:noProof/>
          <w:u w:val="single"/>
        </w:rPr>
        <w:t>Am J Epidemiol</w:t>
      </w:r>
      <w:r w:rsidRPr="00FA04AE">
        <w:rPr>
          <w:rFonts w:cs="Times New Roman"/>
          <w:noProof/>
        </w:rPr>
        <w:t xml:space="preserve"> </w:t>
      </w:r>
      <w:r w:rsidRPr="00FA04AE">
        <w:rPr>
          <w:rFonts w:cs="Times New Roman"/>
          <w:b/>
          <w:noProof/>
        </w:rPr>
        <w:t>166</w:t>
      </w:r>
      <w:r w:rsidRPr="00FA04AE">
        <w:rPr>
          <w:rFonts w:cs="Times New Roman"/>
          <w:noProof/>
        </w:rPr>
        <w:t>(11): 1345-1354.</w:t>
      </w:r>
      <w:bookmarkEnd w:id="15"/>
    </w:p>
    <w:p w14:paraId="5BB8AE13" w14:textId="77777777" w:rsidR="0042207C" w:rsidRPr="00FA04AE" w:rsidRDefault="0042207C" w:rsidP="0042207C">
      <w:pPr>
        <w:ind w:left="720" w:hanging="720"/>
        <w:rPr>
          <w:rFonts w:cs="Times New Roman"/>
          <w:noProof/>
        </w:rPr>
      </w:pPr>
      <w:bookmarkStart w:id="16" w:name="_ENREF_9"/>
      <w:r w:rsidRPr="00FA04AE">
        <w:rPr>
          <w:rFonts w:cs="Times New Roman"/>
          <w:noProof/>
        </w:rPr>
        <w:t xml:space="preserve">Smith, C. M. and V. R. Hill (2009). "Dead-end hollow-fiber ultrafiltration for recovery of diverse microbes from water." </w:t>
      </w:r>
      <w:r w:rsidRPr="00FA04AE">
        <w:rPr>
          <w:rFonts w:cs="Times New Roman"/>
          <w:noProof/>
          <w:u w:val="single"/>
        </w:rPr>
        <w:t>Appl Environ Microbiol</w:t>
      </w:r>
      <w:r w:rsidRPr="00FA04AE">
        <w:rPr>
          <w:rFonts w:cs="Times New Roman"/>
          <w:noProof/>
        </w:rPr>
        <w:t xml:space="preserve"> </w:t>
      </w:r>
      <w:r w:rsidRPr="00FA04AE">
        <w:rPr>
          <w:rFonts w:cs="Times New Roman"/>
          <w:b/>
          <w:noProof/>
        </w:rPr>
        <w:t>75</w:t>
      </w:r>
      <w:r w:rsidRPr="00FA04AE">
        <w:rPr>
          <w:rFonts w:cs="Times New Roman"/>
          <w:noProof/>
        </w:rPr>
        <w:t>(16): 5284-5289.</w:t>
      </w:r>
      <w:bookmarkEnd w:id="16"/>
    </w:p>
    <w:p w14:paraId="56FAE9A4" w14:textId="77777777" w:rsidR="0042207C" w:rsidRDefault="0042207C" w:rsidP="0042207C">
      <w:pPr>
        <w:rPr>
          <w:rFonts w:cs="Times New Roman"/>
          <w:noProof/>
        </w:rPr>
      </w:pPr>
    </w:p>
    <w:p w14:paraId="65B886BD" w14:textId="2FAD6D08" w:rsidR="0042207C" w:rsidRDefault="0042207C" w:rsidP="002634C5">
      <w:pPr>
        <w:ind w:left="720" w:hanging="720"/>
        <w:rPr>
          <w:b/>
        </w:rPr>
      </w:pPr>
      <w:r w:rsidRPr="007F7B1D">
        <w:fldChar w:fldCharType="end"/>
      </w:r>
    </w:p>
    <w:p w14:paraId="59F2FD73" w14:textId="77777777" w:rsidR="00BD2C56" w:rsidRDefault="00BD2C56" w:rsidP="002D2A5A">
      <w:pPr>
        <w:ind w:left="720" w:hanging="720"/>
      </w:pPr>
    </w:p>
    <w:sectPr w:rsidR="00BD2C56" w:rsidSect="00F13469">
      <w:headerReference w:type="default" r:id="rId29"/>
      <w:footerReference w:type="even" r:id="rId30"/>
      <w:footerReference w:type="default" r:id="rId3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2BD75" w14:textId="77777777" w:rsidR="00C028D2" w:rsidRDefault="00C028D2">
      <w:r>
        <w:separator/>
      </w:r>
    </w:p>
  </w:endnote>
  <w:endnote w:type="continuationSeparator" w:id="0">
    <w:p w14:paraId="760C3779" w14:textId="77777777" w:rsidR="00C028D2" w:rsidRDefault="00C0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5A13A" w14:textId="77777777" w:rsidR="00BA2A1B" w:rsidRDefault="00BA2A1B" w:rsidP="00BD2C5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B6EEBD" w14:textId="77777777" w:rsidR="00BA2A1B" w:rsidRDefault="00BA2A1B" w:rsidP="00BD2C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CCC8E" w14:textId="18A3AE17" w:rsidR="00BA2A1B" w:rsidRDefault="00BA2A1B" w:rsidP="00BD2C56">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57256">
      <w:rPr>
        <w:rStyle w:val="PageNumber"/>
        <w:rFonts w:eastAsiaTheme="majorEastAsia"/>
        <w:noProof/>
      </w:rPr>
      <w:t>2</w:t>
    </w:r>
    <w:r>
      <w:rPr>
        <w:rStyle w:val="PageNumber"/>
        <w:rFonts w:eastAsiaTheme="majorEastAsia"/>
      </w:rPr>
      <w:fldChar w:fldCharType="end"/>
    </w:r>
  </w:p>
  <w:p w14:paraId="53D02718" w14:textId="77777777" w:rsidR="00BA2A1B" w:rsidRDefault="00BA2A1B" w:rsidP="00BD2C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B88BB" w14:textId="77777777" w:rsidR="00C028D2" w:rsidRDefault="00C028D2">
      <w:r>
        <w:separator/>
      </w:r>
    </w:p>
  </w:footnote>
  <w:footnote w:type="continuationSeparator" w:id="0">
    <w:p w14:paraId="2394AD30" w14:textId="77777777" w:rsidR="00C028D2" w:rsidRDefault="00C02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91F1" w14:textId="50B7A898" w:rsidR="00BA2A1B" w:rsidRPr="003C6D79" w:rsidRDefault="00BA2A1B" w:rsidP="00BD2C56">
    <w:pPr>
      <w:pStyle w:val="Header"/>
      <w:jc w:val="right"/>
      <w:rPr>
        <w:color w:val="BFBFBF" w:themeColor="background1" w:themeShade="BF"/>
        <w:sz w:val="14"/>
        <w:szCs w:val="18"/>
      </w:rPr>
    </w:pPr>
    <w:r>
      <w:rPr>
        <w:sz w:val="20"/>
      </w:rPr>
      <w:t>Benedict</w:t>
    </w:r>
    <w:r w:rsidRPr="003C6D79">
      <w:rPr>
        <w:sz w:val="20"/>
      </w:rPr>
      <w:t xml:space="preserve"> OMB Supporting Statement Part</w:t>
    </w:r>
    <w:r>
      <w:rPr>
        <w:sz w:val="20"/>
      </w:rPr>
      <w:t xml:space="preserve"> </w:t>
    </w:r>
    <w:r w:rsidRPr="003C6D79">
      <w:rPr>
        <w:sz w:val="20"/>
      </w:rPr>
      <w:t>B.docx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592"/>
    <w:multiLevelType w:val="hybridMultilevel"/>
    <w:tmpl w:val="AD60BE90"/>
    <w:lvl w:ilvl="0" w:tplc="CF405B30">
      <w:start w:val="1"/>
      <w:numFmt w:val="bullet"/>
      <w:lvlText w:val=""/>
      <w:lvlJc w:val="left"/>
      <w:pPr>
        <w:tabs>
          <w:tab w:val="num" w:pos="720"/>
        </w:tabs>
        <w:ind w:left="720" w:hanging="360"/>
      </w:pPr>
      <w:rPr>
        <w:rFonts w:ascii="Symbol" w:hAnsi="Symbol" w:hint="default"/>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8E445BB"/>
    <w:multiLevelType w:val="hybridMultilevel"/>
    <w:tmpl w:val="CC683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B4460AC"/>
    <w:multiLevelType w:val="hybridMultilevel"/>
    <w:tmpl w:val="C5DA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B0012"/>
    <w:multiLevelType w:val="hybridMultilevel"/>
    <w:tmpl w:val="ACDE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641F1"/>
    <w:multiLevelType w:val="hybridMultilevel"/>
    <w:tmpl w:val="27BCC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E5C6F"/>
    <w:multiLevelType w:val="hybridMultilevel"/>
    <w:tmpl w:val="8A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043C0"/>
    <w:multiLevelType w:val="multilevel"/>
    <w:tmpl w:val="D53C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B68F0"/>
    <w:multiLevelType w:val="hybridMultilevel"/>
    <w:tmpl w:val="398873D6"/>
    <w:lvl w:ilvl="0" w:tplc="F2EABA78">
      <w:start w:val="3"/>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1764"/>
    <w:multiLevelType w:val="hybridMultilevel"/>
    <w:tmpl w:val="1AB4CC6C"/>
    <w:lvl w:ilvl="0" w:tplc="41C6A8D6">
      <w:start w:val="1"/>
      <w:numFmt w:val="bullet"/>
      <w:lvlText w:val=""/>
      <w:lvlJc w:val="left"/>
      <w:pPr>
        <w:tabs>
          <w:tab w:val="num" w:pos="360"/>
        </w:tabs>
        <w:ind w:left="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B0B007F"/>
    <w:multiLevelType w:val="hybridMultilevel"/>
    <w:tmpl w:val="835A8EB0"/>
    <w:lvl w:ilvl="0" w:tplc="353CBE2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30C9C"/>
    <w:multiLevelType w:val="hybridMultilevel"/>
    <w:tmpl w:val="C1CE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34885"/>
    <w:multiLevelType w:val="hybridMultilevel"/>
    <w:tmpl w:val="DA6A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2E50D42"/>
    <w:multiLevelType w:val="hybridMultilevel"/>
    <w:tmpl w:val="9886CC8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nsid w:val="42E878BE"/>
    <w:multiLevelType w:val="hybridMultilevel"/>
    <w:tmpl w:val="A966187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4">
    <w:nsid w:val="44B33784"/>
    <w:multiLevelType w:val="hybridMultilevel"/>
    <w:tmpl w:val="FDE27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7166BD8"/>
    <w:multiLevelType w:val="hybridMultilevel"/>
    <w:tmpl w:val="F02449F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C5F1AB7"/>
    <w:multiLevelType w:val="hybridMultilevel"/>
    <w:tmpl w:val="363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E22C74"/>
    <w:multiLevelType w:val="hybridMultilevel"/>
    <w:tmpl w:val="9E80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C92609"/>
    <w:multiLevelType w:val="hybridMultilevel"/>
    <w:tmpl w:val="B3B6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A2581"/>
    <w:multiLevelType w:val="hybridMultilevel"/>
    <w:tmpl w:val="DB9C6A50"/>
    <w:lvl w:ilvl="0" w:tplc="0BDA072E">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033DE"/>
    <w:multiLevelType w:val="hybridMultilevel"/>
    <w:tmpl w:val="D14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0C21EC"/>
    <w:multiLevelType w:val="hybridMultilevel"/>
    <w:tmpl w:val="46C4386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33D313F"/>
    <w:multiLevelType w:val="hybridMultilevel"/>
    <w:tmpl w:val="D8F4AD7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nsid w:val="7B2D4C12"/>
    <w:multiLevelType w:val="hybridMultilevel"/>
    <w:tmpl w:val="0C7E9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6E03FB"/>
    <w:multiLevelType w:val="hybridMultilevel"/>
    <w:tmpl w:val="E320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4"/>
  </w:num>
  <w:num w:numId="4">
    <w:abstractNumId w:val="12"/>
  </w:num>
  <w:num w:numId="5">
    <w:abstractNumId w:val="13"/>
  </w:num>
  <w:num w:numId="6">
    <w:abstractNumId w:val="18"/>
  </w:num>
  <w:num w:numId="7">
    <w:abstractNumId w:val="15"/>
  </w:num>
  <w:num w:numId="8">
    <w:abstractNumId w:val="1"/>
  </w:num>
  <w:num w:numId="9">
    <w:abstractNumId w:val="21"/>
  </w:num>
  <w:num w:numId="10">
    <w:abstractNumId w:val="7"/>
  </w:num>
  <w:num w:numId="11">
    <w:abstractNumId w:val="6"/>
  </w:num>
  <w:num w:numId="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2"/>
  </w:num>
  <w:num w:numId="16">
    <w:abstractNumId w:val="8"/>
  </w:num>
  <w:num w:numId="17">
    <w:abstractNumId w:val="22"/>
  </w:num>
  <w:num w:numId="18">
    <w:abstractNumId w:val="16"/>
  </w:num>
  <w:num w:numId="19">
    <w:abstractNumId w:val="3"/>
  </w:num>
  <w:num w:numId="20">
    <w:abstractNumId w:val="17"/>
  </w:num>
  <w:num w:numId="21">
    <w:abstractNumId w:val="24"/>
  </w:num>
  <w:num w:numId="22">
    <w:abstractNumId w:val="20"/>
  </w:num>
  <w:num w:numId="23">
    <w:abstractNumId w:val="10"/>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07C"/>
    <w:rsid w:val="00003645"/>
    <w:rsid w:val="00006203"/>
    <w:rsid w:val="00024F9D"/>
    <w:rsid w:val="00026A84"/>
    <w:rsid w:val="00045CA7"/>
    <w:rsid w:val="000529F4"/>
    <w:rsid w:val="0005416F"/>
    <w:rsid w:val="00054C1F"/>
    <w:rsid w:val="00057BAE"/>
    <w:rsid w:val="00075BCE"/>
    <w:rsid w:val="00093D21"/>
    <w:rsid w:val="000A5A23"/>
    <w:rsid w:val="000D0FD3"/>
    <w:rsid w:val="000D788D"/>
    <w:rsid w:val="000E1C85"/>
    <w:rsid w:val="000E709C"/>
    <w:rsid w:val="000F70F3"/>
    <w:rsid w:val="001172C8"/>
    <w:rsid w:val="00134277"/>
    <w:rsid w:val="0013631F"/>
    <w:rsid w:val="00150B3D"/>
    <w:rsid w:val="00151245"/>
    <w:rsid w:val="00161353"/>
    <w:rsid w:val="001A0712"/>
    <w:rsid w:val="001D039B"/>
    <w:rsid w:val="001D5CF9"/>
    <w:rsid w:val="001D7EE7"/>
    <w:rsid w:val="001E7DE2"/>
    <w:rsid w:val="001F6C80"/>
    <w:rsid w:val="0020381E"/>
    <w:rsid w:val="002054E8"/>
    <w:rsid w:val="00237A88"/>
    <w:rsid w:val="002443C3"/>
    <w:rsid w:val="00245D2F"/>
    <w:rsid w:val="002522CC"/>
    <w:rsid w:val="00261E62"/>
    <w:rsid w:val="002634C5"/>
    <w:rsid w:val="002758A0"/>
    <w:rsid w:val="00281440"/>
    <w:rsid w:val="00295747"/>
    <w:rsid w:val="002C4F45"/>
    <w:rsid w:val="002C50BC"/>
    <w:rsid w:val="002D2A5A"/>
    <w:rsid w:val="002D42C2"/>
    <w:rsid w:val="002D44B3"/>
    <w:rsid w:val="002D4DF9"/>
    <w:rsid w:val="002F6E4A"/>
    <w:rsid w:val="00301F5A"/>
    <w:rsid w:val="00331017"/>
    <w:rsid w:val="003523DD"/>
    <w:rsid w:val="00374EED"/>
    <w:rsid w:val="00387D9D"/>
    <w:rsid w:val="003917F8"/>
    <w:rsid w:val="00393610"/>
    <w:rsid w:val="003A27D8"/>
    <w:rsid w:val="003A5A9B"/>
    <w:rsid w:val="003A7594"/>
    <w:rsid w:val="003B7CF0"/>
    <w:rsid w:val="003C0CD8"/>
    <w:rsid w:val="003C6D79"/>
    <w:rsid w:val="003C7ED7"/>
    <w:rsid w:val="003D1B6C"/>
    <w:rsid w:val="003E1AAF"/>
    <w:rsid w:val="003E30D5"/>
    <w:rsid w:val="003E38C8"/>
    <w:rsid w:val="003F1FD6"/>
    <w:rsid w:val="003F4EEE"/>
    <w:rsid w:val="00403AFE"/>
    <w:rsid w:val="00406405"/>
    <w:rsid w:val="00411B17"/>
    <w:rsid w:val="00415BD5"/>
    <w:rsid w:val="0042207C"/>
    <w:rsid w:val="00454D64"/>
    <w:rsid w:val="00463C6B"/>
    <w:rsid w:val="0046621E"/>
    <w:rsid w:val="0047357D"/>
    <w:rsid w:val="00482C93"/>
    <w:rsid w:val="00485ED0"/>
    <w:rsid w:val="0048613D"/>
    <w:rsid w:val="004A5F9A"/>
    <w:rsid w:val="004C01F8"/>
    <w:rsid w:val="004D4517"/>
    <w:rsid w:val="004D457F"/>
    <w:rsid w:val="004D76C6"/>
    <w:rsid w:val="004E3E16"/>
    <w:rsid w:val="004F2309"/>
    <w:rsid w:val="004F3E1A"/>
    <w:rsid w:val="004F65CD"/>
    <w:rsid w:val="005032AE"/>
    <w:rsid w:val="00515852"/>
    <w:rsid w:val="00524326"/>
    <w:rsid w:val="00524973"/>
    <w:rsid w:val="00527501"/>
    <w:rsid w:val="005320F3"/>
    <w:rsid w:val="00557FC3"/>
    <w:rsid w:val="0057543D"/>
    <w:rsid w:val="00576821"/>
    <w:rsid w:val="005924B1"/>
    <w:rsid w:val="005A09F8"/>
    <w:rsid w:val="005B2CA0"/>
    <w:rsid w:val="005C1936"/>
    <w:rsid w:val="005E0667"/>
    <w:rsid w:val="0060648B"/>
    <w:rsid w:val="00615677"/>
    <w:rsid w:val="006332D3"/>
    <w:rsid w:val="00644D54"/>
    <w:rsid w:val="0065020C"/>
    <w:rsid w:val="00652C0B"/>
    <w:rsid w:val="00663905"/>
    <w:rsid w:val="006931E9"/>
    <w:rsid w:val="00696734"/>
    <w:rsid w:val="006971ED"/>
    <w:rsid w:val="006A6C6B"/>
    <w:rsid w:val="006C5AF0"/>
    <w:rsid w:val="006C6849"/>
    <w:rsid w:val="006D7213"/>
    <w:rsid w:val="006E58B7"/>
    <w:rsid w:val="006E7085"/>
    <w:rsid w:val="007352D1"/>
    <w:rsid w:val="00735D25"/>
    <w:rsid w:val="00740713"/>
    <w:rsid w:val="00756D46"/>
    <w:rsid w:val="00757256"/>
    <w:rsid w:val="00767ECA"/>
    <w:rsid w:val="00794868"/>
    <w:rsid w:val="007A4168"/>
    <w:rsid w:val="007A7752"/>
    <w:rsid w:val="007B4831"/>
    <w:rsid w:val="007C39F4"/>
    <w:rsid w:val="007D7716"/>
    <w:rsid w:val="007F67F3"/>
    <w:rsid w:val="00803700"/>
    <w:rsid w:val="00805AF6"/>
    <w:rsid w:val="00806C17"/>
    <w:rsid w:val="0081528C"/>
    <w:rsid w:val="008420BA"/>
    <w:rsid w:val="008632D6"/>
    <w:rsid w:val="00867175"/>
    <w:rsid w:val="00883C61"/>
    <w:rsid w:val="00893A06"/>
    <w:rsid w:val="00895659"/>
    <w:rsid w:val="008B0FAB"/>
    <w:rsid w:val="008B69FB"/>
    <w:rsid w:val="008C451E"/>
    <w:rsid w:val="008C59F2"/>
    <w:rsid w:val="008C621B"/>
    <w:rsid w:val="008C6623"/>
    <w:rsid w:val="008D542E"/>
    <w:rsid w:val="00901EC9"/>
    <w:rsid w:val="00907752"/>
    <w:rsid w:val="009133D0"/>
    <w:rsid w:val="009226E4"/>
    <w:rsid w:val="009227CA"/>
    <w:rsid w:val="0092726A"/>
    <w:rsid w:val="00943B98"/>
    <w:rsid w:val="00945A9F"/>
    <w:rsid w:val="00951B04"/>
    <w:rsid w:val="00952EB4"/>
    <w:rsid w:val="00954D1E"/>
    <w:rsid w:val="00955033"/>
    <w:rsid w:val="00991E75"/>
    <w:rsid w:val="009B0738"/>
    <w:rsid w:val="009B0D68"/>
    <w:rsid w:val="009C4D38"/>
    <w:rsid w:val="009C5B17"/>
    <w:rsid w:val="009E7C24"/>
    <w:rsid w:val="009F4610"/>
    <w:rsid w:val="009F66AC"/>
    <w:rsid w:val="00A06CDF"/>
    <w:rsid w:val="00A10258"/>
    <w:rsid w:val="00A13CCB"/>
    <w:rsid w:val="00A30FBF"/>
    <w:rsid w:val="00A4380F"/>
    <w:rsid w:val="00A44903"/>
    <w:rsid w:val="00A47D2D"/>
    <w:rsid w:val="00A523E2"/>
    <w:rsid w:val="00A63CCB"/>
    <w:rsid w:val="00A752B8"/>
    <w:rsid w:val="00A803D6"/>
    <w:rsid w:val="00A81507"/>
    <w:rsid w:val="00A93CFE"/>
    <w:rsid w:val="00AB2C7A"/>
    <w:rsid w:val="00AB4C11"/>
    <w:rsid w:val="00AD4AD8"/>
    <w:rsid w:val="00AD54A7"/>
    <w:rsid w:val="00AF3C40"/>
    <w:rsid w:val="00AF3EBE"/>
    <w:rsid w:val="00B022FD"/>
    <w:rsid w:val="00B03707"/>
    <w:rsid w:val="00B045D0"/>
    <w:rsid w:val="00B04B87"/>
    <w:rsid w:val="00B07971"/>
    <w:rsid w:val="00B07DF2"/>
    <w:rsid w:val="00B21A4F"/>
    <w:rsid w:val="00B24B23"/>
    <w:rsid w:val="00B300CA"/>
    <w:rsid w:val="00B3104E"/>
    <w:rsid w:val="00B47A71"/>
    <w:rsid w:val="00B57F6B"/>
    <w:rsid w:val="00B6360E"/>
    <w:rsid w:val="00B65647"/>
    <w:rsid w:val="00B75BC3"/>
    <w:rsid w:val="00B85337"/>
    <w:rsid w:val="00B870A9"/>
    <w:rsid w:val="00B976A4"/>
    <w:rsid w:val="00BA2A1B"/>
    <w:rsid w:val="00BA67C9"/>
    <w:rsid w:val="00BB174D"/>
    <w:rsid w:val="00BC78B0"/>
    <w:rsid w:val="00BD07D6"/>
    <w:rsid w:val="00BD2C56"/>
    <w:rsid w:val="00BD5AC5"/>
    <w:rsid w:val="00C028D2"/>
    <w:rsid w:val="00C02B7B"/>
    <w:rsid w:val="00C11B7D"/>
    <w:rsid w:val="00C137D2"/>
    <w:rsid w:val="00C14C18"/>
    <w:rsid w:val="00C14FF3"/>
    <w:rsid w:val="00C22CA5"/>
    <w:rsid w:val="00C379A8"/>
    <w:rsid w:val="00C46CE1"/>
    <w:rsid w:val="00C55697"/>
    <w:rsid w:val="00C64C8F"/>
    <w:rsid w:val="00C732B5"/>
    <w:rsid w:val="00C85ACC"/>
    <w:rsid w:val="00C93719"/>
    <w:rsid w:val="00CB161C"/>
    <w:rsid w:val="00CB7429"/>
    <w:rsid w:val="00CC7D30"/>
    <w:rsid w:val="00CE57FB"/>
    <w:rsid w:val="00CF2AF9"/>
    <w:rsid w:val="00CF33BA"/>
    <w:rsid w:val="00CF33F6"/>
    <w:rsid w:val="00CF76DA"/>
    <w:rsid w:val="00D3245F"/>
    <w:rsid w:val="00D4181F"/>
    <w:rsid w:val="00D45687"/>
    <w:rsid w:val="00D52FB9"/>
    <w:rsid w:val="00D5440B"/>
    <w:rsid w:val="00D71D27"/>
    <w:rsid w:val="00D722E2"/>
    <w:rsid w:val="00D735DA"/>
    <w:rsid w:val="00D75973"/>
    <w:rsid w:val="00DA1549"/>
    <w:rsid w:val="00DA794C"/>
    <w:rsid w:val="00DB5E58"/>
    <w:rsid w:val="00DC4DB6"/>
    <w:rsid w:val="00DD0451"/>
    <w:rsid w:val="00E033B5"/>
    <w:rsid w:val="00E37DB2"/>
    <w:rsid w:val="00E41A78"/>
    <w:rsid w:val="00E436AE"/>
    <w:rsid w:val="00E455A8"/>
    <w:rsid w:val="00E47182"/>
    <w:rsid w:val="00E55D94"/>
    <w:rsid w:val="00E5628E"/>
    <w:rsid w:val="00E81EC9"/>
    <w:rsid w:val="00E83748"/>
    <w:rsid w:val="00E93D57"/>
    <w:rsid w:val="00EC2358"/>
    <w:rsid w:val="00ED2ACB"/>
    <w:rsid w:val="00ED2AE8"/>
    <w:rsid w:val="00EF2687"/>
    <w:rsid w:val="00EF6BAE"/>
    <w:rsid w:val="00F040D8"/>
    <w:rsid w:val="00F06C7D"/>
    <w:rsid w:val="00F13469"/>
    <w:rsid w:val="00F252BE"/>
    <w:rsid w:val="00F406B5"/>
    <w:rsid w:val="00F4146D"/>
    <w:rsid w:val="00F41A8C"/>
    <w:rsid w:val="00F4461B"/>
    <w:rsid w:val="00F471B2"/>
    <w:rsid w:val="00F47F12"/>
    <w:rsid w:val="00F544BA"/>
    <w:rsid w:val="00F57402"/>
    <w:rsid w:val="00F626C0"/>
    <w:rsid w:val="00F6759D"/>
    <w:rsid w:val="00FB120D"/>
    <w:rsid w:val="00FB73BF"/>
    <w:rsid w:val="00FC19A7"/>
    <w:rsid w:val="00FE69D8"/>
    <w:rsid w:val="00FE6F4E"/>
    <w:rsid w:val="00FE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7C"/>
    <w:pPr>
      <w:spacing w:after="0" w:line="240" w:lineRule="auto"/>
    </w:pPr>
    <w:rPr>
      <w:rFonts w:ascii="Times New Roman" w:hAnsi="Times New Roman"/>
      <w:sz w:val="24"/>
    </w:rPr>
  </w:style>
  <w:style w:type="paragraph" w:styleId="Heading1">
    <w:name w:val="heading 1"/>
    <w:basedOn w:val="Normal"/>
    <w:next w:val="Normal"/>
    <w:link w:val="Heading1Char"/>
    <w:autoRedefine/>
    <w:qFormat/>
    <w:rsid w:val="005C1936"/>
    <w:pPr>
      <w:keepNext/>
      <w:outlineLvl w:val="0"/>
    </w:pPr>
    <w:rPr>
      <w:rFonts w:eastAsia="Times New Roman" w:cs="Arial"/>
      <w:b/>
      <w:bCs/>
      <w:kern w:val="32"/>
      <w:szCs w:val="32"/>
    </w:rPr>
  </w:style>
  <w:style w:type="paragraph" w:styleId="Heading2">
    <w:name w:val="heading 2"/>
    <w:basedOn w:val="Normal"/>
    <w:next w:val="Normal"/>
    <w:link w:val="Heading2Char"/>
    <w:semiHidden/>
    <w:unhideWhenUsed/>
    <w:qFormat/>
    <w:rsid w:val="00422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2207C"/>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4220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936"/>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semiHidden/>
    <w:rsid w:val="00422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20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2207C"/>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rsid w:val="0042207C"/>
    <w:rPr>
      <w:color w:val="0000FF"/>
      <w:u w:val="single"/>
    </w:rPr>
  </w:style>
  <w:style w:type="paragraph" w:styleId="Footer">
    <w:name w:val="footer"/>
    <w:basedOn w:val="Normal"/>
    <w:link w:val="FooterChar"/>
    <w:rsid w:val="0042207C"/>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42207C"/>
    <w:rPr>
      <w:rFonts w:ascii="Times New Roman" w:eastAsia="Times New Roman" w:hAnsi="Times New Roman" w:cs="Times New Roman"/>
      <w:sz w:val="24"/>
      <w:szCs w:val="24"/>
    </w:rPr>
  </w:style>
  <w:style w:type="character" w:styleId="PageNumber">
    <w:name w:val="page number"/>
    <w:basedOn w:val="DefaultParagraphFont"/>
    <w:rsid w:val="0042207C"/>
  </w:style>
  <w:style w:type="paragraph" w:styleId="BalloonText">
    <w:name w:val="Balloon Text"/>
    <w:basedOn w:val="Normal"/>
    <w:link w:val="BalloonTextChar"/>
    <w:rsid w:val="0042207C"/>
    <w:rPr>
      <w:rFonts w:ascii="Tahoma" w:eastAsia="Times New Roman" w:hAnsi="Tahoma" w:cs="Tahoma"/>
      <w:sz w:val="16"/>
      <w:szCs w:val="16"/>
    </w:rPr>
  </w:style>
  <w:style w:type="character" w:customStyle="1" w:styleId="BalloonTextChar">
    <w:name w:val="Balloon Text Char"/>
    <w:basedOn w:val="DefaultParagraphFont"/>
    <w:link w:val="BalloonText"/>
    <w:rsid w:val="0042207C"/>
    <w:rPr>
      <w:rFonts w:ascii="Tahoma" w:eastAsia="Times New Roman" w:hAnsi="Tahoma" w:cs="Tahoma"/>
      <w:sz w:val="16"/>
      <w:szCs w:val="16"/>
    </w:rPr>
  </w:style>
  <w:style w:type="character" w:styleId="CommentReference">
    <w:name w:val="annotation reference"/>
    <w:basedOn w:val="DefaultParagraphFont"/>
    <w:uiPriority w:val="99"/>
    <w:rsid w:val="0042207C"/>
    <w:rPr>
      <w:sz w:val="16"/>
      <w:szCs w:val="16"/>
    </w:rPr>
  </w:style>
  <w:style w:type="paragraph" w:styleId="CommentText">
    <w:name w:val="annotation text"/>
    <w:basedOn w:val="Normal"/>
    <w:link w:val="CommentTextChar"/>
    <w:rsid w:val="0042207C"/>
    <w:rPr>
      <w:rFonts w:eastAsia="Times New Roman" w:cs="Times New Roman"/>
      <w:sz w:val="20"/>
      <w:szCs w:val="20"/>
    </w:rPr>
  </w:style>
  <w:style w:type="character" w:customStyle="1" w:styleId="CommentTextChar">
    <w:name w:val="Comment Text Char"/>
    <w:basedOn w:val="DefaultParagraphFont"/>
    <w:link w:val="CommentText"/>
    <w:rsid w:val="00422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207C"/>
    <w:rPr>
      <w:b/>
      <w:bCs/>
    </w:rPr>
  </w:style>
  <w:style w:type="character" w:customStyle="1" w:styleId="CommentSubjectChar">
    <w:name w:val="Comment Subject Char"/>
    <w:basedOn w:val="CommentTextChar"/>
    <w:link w:val="CommentSubject"/>
    <w:rsid w:val="0042207C"/>
    <w:rPr>
      <w:rFonts w:ascii="Times New Roman" w:eastAsia="Times New Roman" w:hAnsi="Times New Roman" w:cs="Times New Roman"/>
      <w:b/>
      <w:bCs/>
      <w:sz w:val="20"/>
      <w:szCs w:val="20"/>
    </w:rPr>
  </w:style>
  <w:style w:type="paragraph" w:styleId="ListParagraph">
    <w:name w:val="List Paragraph"/>
    <w:basedOn w:val="Normal"/>
    <w:uiPriority w:val="34"/>
    <w:qFormat/>
    <w:rsid w:val="0042207C"/>
    <w:pPr>
      <w:ind w:left="720"/>
      <w:contextualSpacing/>
    </w:pPr>
    <w:rPr>
      <w:rFonts w:eastAsia="Times New Roman" w:cs="Times New Roman"/>
      <w:szCs w:val="24"/>
    </w:rPr>
  </w:style>
  <w:style w:type="paragraph" w:styleId="Revision">
    <w:name w:val="Revision"/>
    <w:hidden/>
    <w:uiPriority w:val="99"/>
    <w:semiHidden/>
    <w:rsid w:val="0042207C"/>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422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207C"/>
    <w:pPr>
      <w:spacing w:after="120"/>
    </w:pPr>
    <w:rPr>
      <w:rFonts w:eastAsia="Times New Roman" w:cs="Times New Roman"/>
      <w:szCs w:val="24"/>
    </w:rPr>
  </w:style>
  <w:style w:type="character" w:customStyle="1" w:styleId="BodyTextChar">
    <w:name w:val="Body Text Char"/>
    <w:basedOn w:val="DefaultParagraphFont"/>
    <w:link w:val="BodyText"/>
    <w:rsid w:val="0042207C"/>
    <w:rPr>
      <w:rFonts w:ascii="Times New Roman" w:eastAsia="Times New Roman" w:hAnsi="Times New Roman" w:cs="Times New Roman"/>
      <w:sz w:val="24"/>
      <w:szCs w:val="24"/>
    </w:rPr>
  </w:style>
  <w:style w:type="paragraph" w:customStyle="1" w:styleId="Default">
    <w:name w:val="Default"/>
    <w:rsid w:val="0042207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2207C"/>
  </w:style>
  <w:style w:type="paragraph" w:styleId="Header">
    <w:name w:val="header"/>
    <w:basedOn w:val="Normal"/>
    <w:link w:val="HeaderChar"/>
    <w:rsid w:val="0042207C"/>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42207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2207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2207C"/>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2207C"/>
    <w:rPr>
      <w:color w:val="800080" w:themeColor="followedHyperlink"/>
      <w:u w:val="single"/>
    </w:rPr>
  </w:style>
  <w:style w:type="paragraph" w:styleId="NormalWeb">
    <w:name w:val="Normal (Web)"/>
    <w:basedOn w:val="Normal"/>
    <w:uiPriority w:val="99"/>
    <w:semiHidden/>
    <w:unhideWhenUsed/>
    <w:rsid w:val="0042207C"/>
    <w:pPr>
      <w:spacing w:before="100" w:beforeAutospacing="1" w:after="100" w:afterAutospacing="1"/>
    </w:pPr>
    <w:rPr>
      <w:rFonts w:eastAsia="Times New Roman" w:cs="Times New Roman"/>
      <w:szCs w:val="24"/>
    </w:rPr>
  </w:style>
  <w:style w:type="paragraph" w:styleId="NoSpacing">
    <w:name w:val="No Spacing"/>
    <w:uiPriority w:val="1"/>
    <w:qFormat/>
    <w:rsid w:val="00A93CFE"/>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5C1936"/>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5C193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07C"/>
    <w:pPr>
      <w:spacing w:after="0" w:line="240" w:lineRule="auto"/>
    </w:pPr>
    <w:rPr>
      <w:rFonts w:ascii="Times New Roman" w:hAnsi="Times New Roman"/>
      <w:sz w:val="24"/>
    </w:rPr>
  </w:style>
  <w:style w:type="paragraph" w:styleId="Heading1">
    <w:name w:val="heading 1"/>
    <w:basedOn w:val="Normal"/>
    <w:next w:val="Normal"/>
    <w:link w:val="Heading1Char"/>
    <w:autoRedefine/>
    <w:qFormat/>
    <w:rsid w:val="005C1936"/>
    <w:pPr>
      <w:keepNext/>
      <w:outlineLvl w:val="0"/>
    </w:pPr>
    <w:rPr>
      <w:rFonts w:eastAsia="Times New Roman" w:cs="Arial"/>
      <w:b/>
      <w:bCs/>
      <w:kern w:val="32"/>
      <w:szCs w:val="32"/>
    </w:rPr>
  </w:style>
  <w:style w:type="paragraph" w:styleId="Heading2">
    <w:name w:val="heading 2"/>
    <w:basedOn w:val="Normal"/>
    <w:next w:val="Normal"/>
    <w:link w:val="Heading2Char"/>
    <w:semiHidden/>
    <w:unhideWhenUsed/>
    <w:qFormat/>
    <w:rsid w:val="00422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2207C"/>
    <w:pPr>
      <w:keepNext/>
      <w:keepLines/>
      <w:spacing w:before="200"/>
      <w:outlineLvl w:val="2"/>
    </w:pPr>
    <w:rPr>
      <w:rFonts w:asciiTheme="majorHAnsi" w:eastAsiaTheme="majorEastAsia" w:hAnsiTheme="majorHAnsi" w:cstheme="majorBidi"/>
      <w:b/>
      <w:bCs/>
      <w:color w:val="4F81BD" w:themeColor="accent1"/>
      <w:szCs w:val="24"/>
    </w:rPr>
  </w:style>
  <w:style w:type="paragraph" w:styleId="Heading4">
    <w:name w:val="heading 4"/>
    <w:basedOn w:val="Normal"/>
    <w:next w:val="Normal"/>
    <w:link w:val="Heading4Char"/>
    <w:uiPriority w:val="9"/>
    <w:semiHidden/>
    <w:unhideWhenUsed/>
    <w:qFormat/>
    <w:rsid w:val="004220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936"/>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semiHidden/>
    <w:rsid w:val="00422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220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42207C"/>
    <w:rPr>
      <w:rFonts w:asciiTheme="majorHAnsi" w:eastAsiaTheme="majorEastAsia" w:hAnsiTheme="majorHAnsi" w:cstheme="majorBidi"/>
      <w:b/>
      <w:bCs/>
      <w:i/>
      <w:iCs/>
      <w:color w:val="4F81BD" w:themeColor="accent1"/>
      <w:sz w:val="24"/>
    </w:rPr>
  </w:style>
  <w:style w:type="character" w:styleId="Hyperlink">
    <w:name w:val="Hyperlink"/>
    <w:basedOn w:val="DefaultParagraphFont"/>
    <w:uiPriority w:val="99"/>
    <w:rsid w:val="0042207C"/>
    <w:rPr>
      <w:color w:val="0000FF"/>
      <w:u w:val="single"/>
    </w:rPr>
  </w:style>
  <w:style w:type="paragraph" w:styleId="Footer">
    <w:name w:val="footer"/>
    <w:basedOn w:val="Normal"/>
    <w:link w:val="FooterChar"/>
    <w:rsid w:val="0042207C"/>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42207C"/>
    <w:rPr>
      <w:rFonts w:ascii="Times New Roman" w:eastAsia="Times New Roman" w:hAnsi="Times New Roman" w:cs="Times New Roman"/>
      <w:sz w:val="24"/>
      <w:szCs w:val="24"/>
    </w:rPr>
  </w:style>
  <w:style w:type="character" w:styleId="PageNumber">
    <w:name w:val="page number"/>
    <w:basedOn w:val="DefaultParagraphFont"/>
    <w:rsid w:val="0042207C"/>
  </w:style>
  <w:style w:type="paragraph" w:styleId="BalloonText">
    <w:name w:val="Balloon Text"/>
    <w:basedOn w:val="Normal"/>
    <w:link w:val="BalloonTextChar"/>
    <w:rsid w:val="0042207C"/>
    <w:rPr>
      <w:rFonts w:ascii="Tahoma" w:eastAsia="Times New Roman" w:hAnsi="Tahoma" w:cs="Tahoma"/>
      <w:sz w:val="16"/>
      <w:szCs w:val="16"/>
    </w:rPr>
  </w:style>
  <w:style w:type="character" w:customStyle="1" w:styleId="BalloonTextChar">
    <w:name w:val="Balloon Text Char"/>
    <w:basedOn w:val="DefaultParagraphFont"/>
    <w:link w:val="BalloonText"/>
    <w:rsid w:val="0042207C"/>
    <w:rPr>
      <w:rFonts w:ascii="Tahoma" w:eastAsia="Times New Roman" w:hAnsi="Tahoma" w:cs="Tahoma"/>
      <w:sz w:val="16"/>
      <w:szCs w:val="16"/>
    </w:rPr>
  </w:style>
  <w:style w:type="character" w:styleId="CommentReference">
    <w:name w:val="annotation reference"/>
    <w:basedOn w:val="DefaultParagraphFont"/>
    <w:uiPriority w:val="99"/>
    <w:rsid w:val="0042207C"/>
    <w:rPr>
      <w:sz w:val="16"/>
      <w:szCs w:val="16"/>
    </w:rPr>
  </w:style>
  <w:style w:type="paragraph" w:styleId="CommentText">
    <w:name w:val="annotation text"/>
    <w:basedOn w:val="Normal"/>
    <w:link w:val="CommentTextChar"/>
    <w:rsid w:val="0042207C"/>
    <w:rPr>
      <w:rFonts w:eastAsia="Times New Roman" w:cs="Times New Roman"/>
      <w:sz w:val="20"/>
      <w:szCs w:val="20"/>
    </w:rPr>
  </w:style>
  <w:style w:type="character" w:customStyle="1" w:styleId="CommentTextChar">
    <w:name w:val="Comment Text Char"/>
    <w:basedOn w:val="DefaultParagraphFont"/>
    <w:link w:val="CommentText"/>
    <w:rsid w:val="00422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2207C"/>
    <w:rPr>
      <w:b/>
      <w:bCs/>
    </w:rPr>
  </w:style>
  <w:style w:type="character" w:customStyle="1" w:styleId="CommentSubjectChar">
    <w:name w:val="Comment Subject Char"/>
    <w:basedOn w:val="CommentTextChar"/>
    <w:link w:val="CommentSubject"/>
    <w:rsid w:val="0042207C"/>
    <w:rPr>
      <w:rFonts w:ascii="Times New Roman" w:eastAsia="Times New Roman" w:hAnsi="Times New Roman" w:cs="Times New Roman"/>
      <w:b/>
      <w:bCs/>
      <w:sz w:val="20"/>
      <w:szCs w:val="20"/>
    </w:rPr>
  </w:style>
  <w:style w:type="paragraph" w:styleId="ListParagraph">
    <w:name w:val="List Paragraph"/>
    <w:basedOn w:val="Normal"/>
    <w:uiPriority w:val="34"/>
    <w:qFormat/>
    <w:rsid w:val="0042207C"/>
    <w:pPr>
      <w:ind w:left="720"/>
      <w:contextualSpacing/>
    </w:pPr>
    <w:rPr>
      <w:rFonts w:eastAsia="Times New Roman" w:cs="Times New Roman"/>
      <w:szCs w:val="24"/>
    </w:rPr>
  </w:style>
  <w:style w:type="paragraph" w:styleId="Revision">
    <w:name w:val="Revision"/>
    <w:hidden/>
    <w:uiPriority w:val="99"/>
    <w:semiHidden/>
    <w:rsid w:val="0042207C"/>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4220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207C"/>
    <w:pPr>
      <w:spacing w:after="120"/>
    </w:pPr>
    <w:rPr>
      <w:rFonts w:eastAsia="Times New Roman" w:cs="Times New Roman"/>
      <w:szCs w:val="24"/>
    </w:rPr>
  </w:style>
  <w:style w:type="character" w:customStyle="1" w:styleId="BodyTextChar">
    <w:name w:val="Body Text Char"/>
    <w:basedOn w:val="DefaultParagraphFont"/>
    <w:link w:val="BodyText"/>
    <w:rsid w:val="0042207C"/>
    <w:rPr>
      <w:rFonts w:ascii="Times New Roman" w:eastAsia="Times New Roman" w:hAnsi="Times New Roman" w:cs="Times New Roman"/>
      <w:sz w:val="24"/>
      <w:szCs w:val="24"/>
    </w:rPr>
  </w:style>
  <w:style w:type="paragraph" w:customStyle="1" w:styleId="Default">
    <w:name w:val="Default"/>
    <w:rsid w:val="0042207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utornametrigger">
    <w:name w:val="contributornametrigger"/>
    <w:basedOn w:val="DefaultParagraphFont"/>
    <w:rsid w:val="0042207C"/>
  </w:style>
  <w:style w:type="paragraph" w:styleId="Header">
    <w:name w:val="header"/>
    <w:basedOn w:val="Normal"/>
    <w:link w:val="HeaderChar"/>
    <w:rsid w:val="0042207C"/>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42207C"/>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42207C"/>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42207C"/>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42207C"/>
    <w:rPr>
      <w:color w:val="800080" w:themeColor="followedHyperlink"/>
      <w:u w:val="single"/>
    </w:rPr>
  </w:style>
  <w:style w:type="paragraph" w:styleId="NormalWeb">
    <w:name w:val="Normal (Web)"/>
    <w:basedOn w:val="Normal"/>
    <w:uiPriority w:val="99"/>
    <w:semiHidden/>
    <w:unhideWhenUsed/>
    <w:rsid w:val="0042207C"/>
    <w:pPr>
      <w:spacing w:before="100" w:beforeAutospacing="1" w:after="100" w:afterAutospacing="1"/>
    </w:pPr>
    <w:rPr>
      <w:rFonts w:eastAsia="Times New Roman" w:cs="Times New Roman"/>
      <w:szCs w:val="24"/>
    </w:rPr>
  </w:style>
  <w:style w:type="paragraph" w:styleId="NoSpacing">
    <w:name w:val="No Spacing"/>
    <w:uiPriority w:val="1"/>
    <w:qFormat/>
    <w:rsid w:val="00A93CFE"/>
    <w:pPr>
      <w:spacing w:after="0" w:line="240" w:lineRule="auto"/>
    </w:pPr>
    <w:rPr>
      <w:rFonts w:ascii="Times New Roman" w:hAnsi="Times New Roman"/>
      <w:sz w:val="24"/>
    </w:rPr>
  </w:style>
  <w:style w:type="paragraph" w:styleId="TOCHeading">
    <w:name w:val="TOC Heading"/>
    <w:basedOn w:val="Heading1"/>
    <w:next w:val="Normal"/>
    <w:uiPriority w:val="39"/>
    <w:unhideWhenUsed/>
    <w:qFormat/>
    <w:rsid w:val="005C1936"/>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TOC1">
    <w:name w:val="toc 1"/>
    <w:basedOn w:val="Normal"/>
    <w:next w:val="Normal"/>
    <w:autoRedefine/>
    <w:uiPriority w:val="39"/>
    <w:unhideWhenUsed/>
    <w:rsid w:val="005C193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benedict@cdc.gov" TargetMode="External"/><Relationship Id="rId13" Type="http://schemas.openxmlformats.org/officeDocument/2006/relationships/hyperlink" Target="mailto:HZJ5@cdc.gov" TargetMode="External"/><Relationship Id="rId18" Type="http://schemas.openxmlformats.org/officeDocument/2006/relationships/hyperlink" Target="mailto:kuk9@cdc.gov" TargetMode="External"/><Relationship Id="rId26" Type="http://schemas.openxmlformats.org/officeDocument/2006/relationships/hyperlink" Target="mailto:sau9@cdc.gov" TargetMode="External"/><Relationship Id="rId3" Type="http://schemas.microsoft.com/office/2007/relationships/stylesWithEffects" Target="stylesWithEffects.xml"/><Relationship Id="rId21" Type="http://schemas.openxmlformats.org/officeDocument/2006/relationships/hyperlink" Target="mailto:lly7@cdc.gov" TargetMode="External"/><Relationship Id="rId7" Type="http://schemas.openxmlformats.org/officeDocument/2006/relationships/endnotes" Target="endnotes.xml"/><Relationship Id="rId12" Type="http://schemas.openxmlformats.org/officeDocument/2006/relationships/hyperlink" Target="mailto:veh2@cdc.gov" TargetMode="External"/><Relationship Id="rId17" Type="http://schemas.openxmlformats.org/officeDocument/2006/relationships/hyperlink" Target="mailto:lgq6@cdc.gov" TargetMode="External"/><Relationship Id="rId25" Type="http://schemas.openxmlformats.org/officeDocument/2006/relationships/hyperlink" Target="mailto:kuk9@cdc.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kgf9@cdc.gov" TargetMode="External"/><Relationship Id="rId20" Type="http://schemas.openxmlformats.org/officeDocument/2006/relationships/hyperlink" Target="mailto:veh2@cdc.gov"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u9@cdc.gov" TargetMode="External"/><Relationship Id="rId24" Type="http://schemas.openxmlformats.org/officeDocument/2006/relationships/hyperlink" Target="mailto:lgq6@cdc.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wte7@cdc.gov" TargetMode="External"/><Relationship Id="rId23" Type="http://schemas.openxmlformats.org/officeDocument/2006/relationships/hyperlink" Target="mailto:kgf9@cdc.gov" TargetMode="External"/><Relationship Id="rId28" Type="http://schemas.openxmlformats.org/officeDocument/2006/relationships/hyperlink" Target="mailto:veh2@cdc.gov" TargetMode="External"/><Relationship Id="rId10" Type="http://schemas.openxmlformats.org/officeDocument/2006/relationships/hyperlink" Target="mailto:sau9@cdc.gov" TargetMode="External"/><Relationship Id="rId19" Type="http://schemas.openxmlformats.org/officeDocument/2006/relationships/hyperlink" Target="mailto:sau9@cdc.go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dc.gov/healthywater/study.html" TargetMode="External"/><Relationship Id="rId14" Type="http://schemas.openxmlformats.org/officeDocument/2006/relationships/hyperlink" Target="mailto:lly7@cdc.gov" TargetMode="External"/><Relationship Id="rId22" Type="http://schemas.openxmlformats.org/officeDocument/2006/relationships/hyperlink" Target="mailto:wte7@cdc.gov" TargetMode="External"/><Relationship Id="rId27" Type="http://schemas.openxmlformats.org/officeDocument/2006/relationships/hyperlink" Target="mailto:wox0@cdc.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6038</Words>
  <Characters>34421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2013-03-15T13:36:00Z</cp:lastPrinted>
  <dcterms:created xsi:type="dcterms:W3CDTF">2018-11-29T21:48:00Z</dcterms:created>
  <dcterms:modified xsi:type="dcterms:W3CDTF">2018-11-29T21:48:00Z</dcterms:modified>
</cp:coreProperties>
</file>