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61EA7" w14:textId="77777777" w:rsidR="007F521A" w:rsidRPr="00EE6636" w:rsidRDefault="00D45751" w:rsidP="00C33D47">
      <w:pPr>
        <w:spacing w:before="220" w:after="220"/>
        <w:ind w:left="72"/>
        <w:rPr>
          <w:rFonts w:ascii="Calibri" w:eastAsia="Times New Roman" w:hAnsi="Calibri" w:cs="Times New Roman"/>
          <w:b/>
          <w:bCs/>
          <w:color w:val="000000"/>
          <w:szCs w:val="18"/>
        </w:rPr>
      </w:pPr>
      <w:bookmarkStart w:id="0" w:name="_GoBack"/>
      <w:bookmarkEnd w:id="0"/>
      <w:r w:rsidRPr="00EE6636">
        <w:rPr>
          <w:rFonts w:ascii="Calibri" w:eastAsia="Times New Roman" w:hAnsi="Calibri" w:cs="Times New Roman"/>
          <w:b/>
          <w:bCs/>
          <w:color w:val="000000"/>
          <w:szCs w:val="18"/>
        </w:rPr>
        <w:t xml:space="preserve">The commenter </w:t>
      </w:r>
      <w:r w:rsidR="00A736D8">
        <w:rPr>
          <w:rFonts w:ascii="Calibri" w:eastAsia="Times New Roman" w:hAnsi="Calibri" w:cs="Times New Roman"/>
          <w:b/>
          <w:bCs/>
          <w:color w:val="000000"/>
          <w:szCs w:val="18"/>
        </w:rPr>
        <w:t>focuse</w:t>
      </w:r>
      <w:r w:rsidR="00C33D47">
        <w:rPr>
          <w:rFonts w:ascii="Calibri" w:eastAsia="Times New Roman" w:hAnsi="Calibri" w:cs="Times New Roman"/>
          <w:b/>
          <w:bCs/>
          <w:color w:val="000000"/>
          <w:szCs w:val="18"/>
        </w:rPr>
        <w:t>d</w:t>
      </w:r>
      <w:r w:rsidR="00A736D8">
        <w:rPr>
          <w:rFonts w:ascii="Calibri" w:eastAsia="Times New Roman" w:hAnsi="Calibri" w:cs="Times New Roman"/>
          <w:b/>
          <w:bCs/>
          <w:color w:val="000000"/>
          <w:szCs w:val="18"/>
        </w:rPr>
        <w:t xml:space="preserve"> on </w:t>
      </w:r>
      <w:r w:rsidRPr="00EE6636">
        <w:rPr>
          <w:rFonts w:ascii="Calibri" w:eastAsia="Times New Roman" w:hAnsi="Calibri" w:cs="Times New Roman"/>
          <w:b/>
          <w:bCs/>
          <w:color w:val="000000"/>
          <w:szCs w:val="18"/>
        </w:rPr>
        <w:t>compliance burden</w:t>
      </w:r>
      <w:r w:rsidR="00A736D8">
        <w:rPr>
          <w:rFonts w:ascii="Calibri" w:eastAsia="Times New Roman" w:hAnsi="Calibri" w:cs="Times New Roman"/>
          <w:b/>
          <w:bCs/>
          <w:color w:val="000000"/>
          <w:szCs w:val="18"/>
        </w:rPr>
        <w:t>, about which he raises the following concerns:</w:t>
      </w:r>
    </w:p>
    <w:p w14:paraId="7CC29BF2" w14:textId="77777777" w:rsidR="00A736D8" w:rsidRDefault="00A736D8" w:rsidP="00C33D47">
      <w:pPr>
        <w:pStyle w:val="ListParagraph"/>
        <w:numPr>
          <w:ilvl w:val="0"/>
          <w:numId w:val="13"/>
        </w:numPr>
        <w:spacing w:after="220"/>
        <w:contextualSpacing w:val="0"/>
        <w:rPr>
          <w:rFonts w:ascii="Calibri" w:eastAsia="Times New Roman" w:hAnsi="Calibri" w:cs="Times New Roman"/>
          <w:bCs/>
          <w:color w:val="000000"/>
          <w:szCs w:val="18"/>
        </w:rPr>
      </w:pPr>
      <w:r w:rsidRPr="00A736D8">
        <w:rPr>
          <w:rFonts w:ascii="Calibri" w:eastAsia="Times New Roman" w:hAnsi="Calibri" w:cs="Times New Roman"/>
          <w:bCs/>
          <w:color w:val="000000"/>
          <w:szCs w:val="18"/>
        </w:rPr>
        <w:t xml:space="preserve">That the </w:t>
      </w:r>
      <w:r w:rsidR="00C75553">
        <w:rPr>
          <w:rFonts w:ascii="Calibri" w:eastAsia="Times New Roman" w:hAnsi="Calibri" w:cs="Times New Roman"/>
          <w:bCs/>
          <w:color w:val="000000"/>
          <w:szCs w:val="18"/>
        </w:rPr>
        <w:t>Carryover and Reallotment Report’s (</w:t>
      </w:r>
      <w:r w:rsidRPr="00A736D8">
        <w:rPr>
          <w:rFonts w:ascii="Calibri" w:eastAsia="Times New Roman" w:hAnsi="Calibri" w:cs="Times New Roman"/>
          <w:bCs/>
          <w:color w:val="000000"/>
          <w:szCs w:val="18"/>
        </w:rPr>
        <w:t>Report’s</w:t>
      </w:r>
      <w:r w:rsidR="00C75553">
        <w:rPr>
          <w:rFonts w:ascii="Calibri" w:eastAsia="Times New Roman" w:hAnsi="Calibri" w:cs="Times New Roman"/>
          <w:bCs/>
          <w:color w:val="000000"/>
          <w:szCs w:val="18"/>
        </w:rPr>
        <w:t>)</w:t>
      </w:r>
      <w:r w:rsidRPr="00A736D8">
        <w:rPr>
          <w:rFonts w:ascii="Calibri" w:eastAsia="Times New Roman" w:hAnsi="Calibri" w:cs="Times New Roman"/>
          <w:bCs/>
          <w:color w:val="000000"/>
          <w:szCs w:val="18"/>
        </w:rPr>
        <w:t xml:space="preserve"> purpose is to determine the amount of funds </w:t>
      </w:r>
      <w:r w:rsidR="00C33D47">
        <w:rPr>
          <w:rFonts w:ascii="Calibri" w:eastAsia="Times New Roman" w:hAnsi="Calibri" w:cs="Times New Roman"/>
          <w:bCs/>
          <w:color w:val="000000"/>
          <w:szCs w:val="18"/>
        </w:rPr>
        <w:t>to be redistributed (a.k.a., “reallotted”) because they exceeded</w:t>
      </w:r>
      <w:r w:rsidR="00C33D47" w:rsidRPr="00A736D8">
        <w:rPr>
          <w:rFonts w:ascii="Calibri" w:eastAsia="Times New Roman" w:hAnsi="Calibri" w:cs="Times New Roman"/>
          <w:bCs/>
          <w:color w:val="000000"/>
          <w:szCs w:val="18"/>
        </w:rPr>
        <w:t xml:space="preserve"> the </w:t>
      </w:r>
      <w:r w:rsidR="00C33D47">
        <w:rPr>
          <w:rFonts w:ascii="Calibri" w:eastAsia="Times New Roman" w:hAnsi="Calibri" w:cs="Times New Roman"/>
          <w:bCs/>
          <w:color w:val="000000"/>
          <w:szCs w:val="18"/>
        </w:rPr>
        <w:t xml:space="preserve">grantees’ previous year’s </w:t>
      </w:r>
      <w:r w:rsidR="00C33D47" w:rsidRPr="00A736D8">
        <w:rPr>
          <w:rFonts w:ascii="Calibri" w:eastAsia="Times New Roman" w:hAnsi="Calibri" w:cs="Times New Roman"/>
          <w:bCs/>
          <w:color w:val="000000"/>
          <w:szCs w:val="18"/>
        </w:rPr>
        <w:t>carryover limit</w:t>
      </w:r>
      <w:r w:rsidR="00C33D47">
        <w:rPr>
          <w:rFonts w:ascii="Calibri" w:eastAsia="Times New Roman" w:hAnsi="Calibri" w:cs="Times New Roman"/>
          <w:bCs/>
          <w:color w:val="000000"/>
          <w:szCs w:val="18"/>
        </w:rPr>
        <w:t>s</w:t>
      </w:r>
      <w:r>
        <w:rPr>
          <w:rFonts w:ascii="Calibri" w:eastAsia="Times New Roman" w:hAnsi="Calibri" w:cs="Times New Roman"/>
          <w:bCs/>
          <w:color w:val="000000"/>
          <w:szCs w:val="18"/>
        </w:rPr>
        <w:t>;</w:t>
      </w:r>
    </w:p>
    <w:p w14:paraId="50E5845B" w14:textId="77777777" w:rsidR="007F521A" w:rsidRDefault="003C1F67" w:rsidP="00C33D47">
      <w:pPr>
        <w:pStyle w:val="ListParagraph"/>
        <w:numPr>
          <w:ilvl w:val="0"/>
          <w:numId w:val="13"/>
        </w:numPr>
        <w:spacing w:after="220"/>
        <w:contextualSpacing w:val="0"/>
        <w:rPr>
          <w:rFonts w:ascii="Calibri" w:eastAsia="Times New Roman" w:hAnsi="Calibri" w:cs="Times New Roman"/>
          <w:bCs/>
          <w:color w:val="000000"/>
          <w:szCs w:val="18"/>
        </w:rPr>
      </w:pPr>
      <w:r>
        <w:rPr>
          <w:rFonts w:ascii="Calibri" w:eastAsia="Times New Roman" w:hAnsi="Calibri" w:cs="Times New Roman"/>
          <w:bCs/>
          <w:color w:val="000000"/>
          <w:szCs w:val="18"/>
        </w:rPr>
        <w:t>That t</w:t>
      </w:r>
      <w:r w:rsidR="00EE6636">
        <w:rPr>
          <w:rFonts w:ascii="Calibri" w:eastAsia="Times New Roman" w:hAnsi="Calibri" w:cs="Times New Roman"/>
          <w:bCs/>
          <w:color w:val="000000"/>
          <w:szCs w:val="18"/>
        </w:rPr>
        <w:t xml:space="preserve">he </w:t>
      </w:r>
      <w:r w:rsidR="00F71593">
        <w:rPr>
          <w:rFonts w:ascii="Calibri" w:eastAsia="Times New Roman" w:hAnsi="Calibri" w:cs="Times New Roman"/>
          <w:bCs/>
          <w:color w:val="000000"/>
          <w:szCs w:val="18"/>
        </w:rPr>
        <w:t>R</w:t>
      </w:r>
      <w:r w:rsidR="00EE6636">
        <w:rPr>
          <w:rFonts w:ascii="Calibri" w:eastAsia="Times New Roman" w:hAnsi="Calibri" w:cs="Times New Roman"/>
          <w:bCs/>
          <w:color w:val="000000"/>
          <w:szCs w:val="18"/>
        </w:rPr>
        <w:t xml:space="preserve">eport’s </w:t>
      </w:r>
      <w:r w:rsidR="000F7ED2">
        <w:rPr>
          <w:rFonts w:ascii="Calibri" w:eastAsia="Times New Roman" w:hAnsi="Calibri" w:cs="Times New Roman"/>
          <w:bCs/>
          <w:color w:val="000000"/>
          <w:szCs w:val="18"/>
        </w:rPr>
        <w:t>respondents must estimate their initial figures</w:t>
      </w:r>
      <w:r w:rsidR="00F71593">
        <w:rPr>
          <w:rFonts w:ascii="Calibri" w:eastAsia="Times New Roman" w:hAnsi="Calibri" w:cs="Times New Roman"/>
          <w:bCs/>
          <w:color w:val="000000"/>
          <w:szCs w:val="18"/>
        </w:rPr>
        <w:t>.  This is</w:t>
      </w:r>
      <w:r w:rsidR="000F7ED2">
        <w:rPr>
          <w:rFonts w:ascii="Calibri" w:eastAsia="Times New Roman" w:hAnsi="Calibri" w:cs="Times New Roman"/>
          <w:bCs/>
          <w:color w:val="000000"/>
          <w:szCs w:val="18"/>
        </w:rPr>
        <w:t xml:space="preserve"> because the </w:t>
      </w:r>
      <w:r w:rsidR="00F71593">
        <w:rPr>
          <w:rFonts w:ascii="Calibri" w:eastAsia="Times New Roman" w:hAnsi="Calibri" w:cs="Times New Roman"/>
          <w:bCs/>
          <w:color w:val="000000"/>
          <w:szCs w:val="18"/>
        </w:rPr>
        <w:t>R</w:t>
      </w:r>
      <w:r w:rsidR="000F7ED2">
        <w:rPr>
          <w:rFonts w:ascii="Calibri" w:eastAsia="Times New Roman" w:hAnsi="Calibri" w:cs="Times New Roman"/>
          <w:bCs/>
          <w:color w:val="000000"/>
          <w:szCs w:val="18"/>
        </w:rPr>
        <w:t xml:space="preserve">eport’s </w:t>
      </w:r>
      <w:r w:rsidR="00EE6636">
        <w:rPr>
          <w:rFonts w:ascii="Calibri" w:eastAsia="Times New Roman" w:hAnsi="Calibri" w:cs="Times New Roman"/>
          <w:bCs/>
          <w:color w:val="000000"/>
          <w:szCs w:val="18"/>
        </w:rPr>
        <w:t xml:space="preserve">due date </w:t>
      </w:r>
      <w:r w:rsidR="005855A0">
        <w:rPr>
          <w:rFonts w:ascii="Calibri" w:eastAsia="Times New Roman" w:hAnsi="Calibri" w:cs="Times New Roman"/>
          <w:bCs/>
          <w:color w:val="000000"/>
          <w:szCs w:val="18"/>
        </w:rPr>
        <w:t xml:space="preserve">of August 1 </w:t>
      </w:r>
      <w:r>
        <w:rPr>
          <w:rFonts w:ascii="Calibri" w:eastAsia="Times New Roman" w:hAnsi="Calibri" w:cs="Times New Roman"/>
          <w:bCs/>
          <w:color w:val="000000"/>
          <w:szCs w:val="18"/>
        </w:rPr>
        <w:t xml:space="preserve">precedes </w:t>
      </w:r>
      <w:r w:rsidR="00EE6636">
        <w:rPr>
          <w:rFonts w:ascii="Calibri" w:eastAsia="Times New Roman" w:hAnsi="Calibri" w:cs="Times New Roman"/>
          <w:bCs/>
          <w:color w:val="000000"/>
          <w:szCs w:val="18"/>
        </w:rPr>
        <w:t>fiscal year</w:t>
      </w:r>
      <w:r>
        <w:rPr>
          <w:rFonts w:ascii="Calibri" w:eastAsia="Times New Roman" w:hAnsi="Calibri" w:cs="Times New Roman"/>
          <w:bCs/>
          <w:color w:val="000000"/>
          <w:szCs w:val="18"/>
        </w:rPr>
        <w:t>’s end date</w:t>
      </w:r>
      <w:r w:rsidR="00EE6636">
        <w:rPr>
          <w:rFonts w:ascii="Calibri" w:eastAsia="Times New Roman" w:hAnsi="Calibri" w:cs="Times New Roman"/>
          <w:bCs/>
          <w:color w:val="000000"/>
          <w:szCs w:val="18"/>
        </w:rPr>
        <w:t>;</w:t>
      </w:r>
    </w:p>
    <w:p w14:paraId="10137133" w14:textId="77777777" w:rsidR="000F7ED2" w:rsidRDefault="000F7ED2" w:rsidP="00C33D47">
      <w:pPr>
        <w:pStyle w:val="ListParagraph"/>
        <w:numPr>
          <w:ilvl w:val="0"/>
          <w:numId w:val="13"/>
        </w:numPr>
        <w:spacing w:after="220"/>
        <w:contextualSpacing w:val="0"/>
        <w:rPr>
          <w:rFonts w:ascii="Calibri" w:eastAsia="Times New Roman" w:hAnsi="Calibri" w:cs="Times New Roman"/>
          <w:bCs/>
          <w:color w:val="000000"/>
          <w:szCs w:val="18"/>
        </w:rPr>
      </w:pPr>
      <w:r>
        <w:rPr>
          <w:rFonts w:ascii="Calibri" w:eastAsia="Times New Roman" w:hAnsi="Calibri" w:cs="Times New Roman"/>
          <w:bCs/>
          <w:color w:val="000000"/>
          <w:szCs w:val="18"/>
        </w:rPr>
        <w:t xml:space="preserve">That the </w:t>
      </w:r>
      <w:r w:rsidR="00F71593">
        <w:rPr>
          <w:rFonts w:ascii="Calibri" w:eastAsia="Times New Roman" w:hAnsi="Calibri" w:cs="Times New Roman"/>
          <w:bCs/>
          <w:color w:val="000000"/>
          <w:szCs w:val="18"/>
        </w:rPr>
        <w:t>R</w:t>
      </w:r>
      <w:r>
        <w:rPr>
          <w:rFonts w:ascii="Calibri" w:eastAsia="Times New Roman" w:hAnsi="Calibri" w:cs="Times New Roman"/>
          <w:bCs/>
          <w:color w:val="000000"/>
          <w:szCs w:val="18"/>
        </w:rPr>
        <w:t>eport’s respondents must update their initial figures repeatedly during the estimation period</w:t>
      </w:r>
      <w:r w:rsidR="00F71593">
        <w:rPr>
          <w:rFonts w:ascii="Calibri" w:eastAsia="Times New Roman" w:hAnsi="Calibri" w:cs="Times New Roman"/>
          <w:bCs/>
          <w:color w:val="000000"/>
          <w:szCs w:val="18"/>
        </w:rPr>
        <w:t>.  This is</w:t>
      </w:r>
      <w:r>
        <w:rPr>
          <w:rFonts w:ascii="Calibri" w:eastAsia="Times New Roman" w:hAnsi="Calibri" w:cs="Times New Roman"/>
          <w:bCs/>
          <w:color w:val="000000"/>
          <w:szCs w:val="18"/>
        </w:rPr>
        <w:t xml:space="preserve"> because the </w:t>
      </w:r>
      <w:r w:rsidR="00F71593">
        <w:rPr>
          <w:rFonts w:ascii="Calibri" w:eastAsia="Times New Roman" w:hAnsi="Calibri" w:cs="Times New Roman"/>
          <w:bCs/>
          <w:color w:val="000000"/>
          <w:szCs w:val="18"/>
        </w:rPr>
        <w:t>R</w:t>
      </w:r>
      <w:r>
        <w:rPr>
          <w:rFonts w:ascii="Calibri" w:eastAsia="Times New Roman" w:hAnsi="Calibri" w:cs="Times New Roman"/>
          <w:bCs/>
          <w:color w:val="000000"/>
          <w:szCs w:val="18"/>
        </w:rPr>
        <w:t xml:space="preserve">eport’s instructions call for them to </w:t>
      </w:r>
      <w:r w:rsidR="00F71593">
        <w:rPr>
          <w:rFonts w:ascii="Calibri" w:eastAsia="Times New Roman" w:hAnsi="Calibri" w:cs="Times New Roman"/>
          <w:bCs/>
          <w:color w:val="000000"/>
          <w:szCs w:val="18"/>
        </w:rPr>
        <w:t xml:space="preserve">report any changes to their obligations </w:t>
      </w:r>
      <w:r>
        <w:rPr>
          <w:rFonts w:ascii="Calibri" w:eastAsia="Times New Roman" w:hAnsi="Calibri" w:cs="Times New Roman"/>
          <w:bCs/>
          <w:color w:val="000000"/>
          <w:szCs w:val="18"/>
        </w:rPr>
        <w:t>as soon as possible</w:t>
      </w:r>
      <w:r w:rsidR="00F71593">
        <w:rPr>
          <w:rFonts w:ascii="Calibri" w:eastAsia="Times New Roman" w:hAnsi="Calibri" w:cs="Times New Roman"/>
          <w:bCs/>
          <w:color w:val="000000"/>
          <w:szCs w:val="18"/>
        </w:rPr>
        <w:t xml:space="preserve"> and regardless of amount</w:t>
      </w:r>
      <w:r>
        <w:rPr>
          <w:rFonts w:ascii="Calibri" w:eastAsia="Times New Roman" w:hAnsi="Calibri" w:cs="Times New Roman"/>
          <w:bCs/>
          <w:color w:val="000000"/>
          <w:szCs w:val="18"/>
        </w:rPr>
        <w:t>;</w:t>
      </w:r>
      <w:r w:rsidR="00706129">
        <w:rPr>
          <w:rFonts w:ascii="Calibri" w:eastAsia="Times New Roman" w:hAnsi="Calibri" w:cs="Times New Roman"/>
          <w:bCs/>
          <w:color w:val="000000"/>
          <w:szCs w:val="18"/>
        </w:rPr>
        <w:t xml:space="preserve"> and</w:t>
      </w:r>
    </w:p>
    <w:p w14:paraId="54EA78B5" w14:textId="77777777" w:rsidR="00D5404A" w:rsidRPr="00F71593" w:rsidRDefault="00F71593" w:rsidP="00C33D47">
      <w:pPr>
        <w:pStyle w:val="ListParagraph"/>
        <w:numPr>
          <w:ilvl w:val="0"/>
          <w:numId w:val="13"/>
        </w:numPr>
        <w:spacing w:after="220"/>
        <w:contextualSpacing w:val="0"/>
        <w:rPr>
          <w:rFonts w:ascii="Calibri" w:eastAsia="Times New Roman" w:hAnsi="Calibri" w:cs="Times New Roman"/>
          <w:bCs/>
          <w:color w:val="000000"/>
          <w:szCs w:val="18"/>
        </w:rPr>
      </w:pPr>
      <w:r>
        <w:rPr>
          <w:rFonts w:ascii="Calibri" w:eastAsia="Times New Roman" w:hAnsi="Calibri" w:cs="Times New Roman"/>
          <w:bCs/>
          <w:color w:val="000000"/>
          <w:szCs w:val="18"/>
        </w:rPr>
        <w:t>That the burden associated with these repeated updates is “</w:t>
      </w:r>
      <w:r w:rsidRPr="00F71593">
        <w:rPr>
          <w:rFonts w:ascii="Calibri" w:eastAsia="Times New Roman" w:hAnsi="Calibri" w:cs="Times New Roman"/>
          <w:bCs/>
          <w:color w:val="000000"/>
          <w:szCs w:val="18"/>
        </w:rPr>
        <w:t>unnecessarily onerous</w:t>
      </w:r>
      <w:r>
        <w:rPr>
          <w:rFonts w:ascii="Calibri" w:eastAsia="Times New Roman" w:hAnsi="Calibri" w:cs="Times New Roman"/>
          <w:bCs/>
          <w:color w:val="000000"/>
          <w:szCs w:val="18"/>
        </w:rPr>
        <w:t xml:space="preserve">” and, most likely, </w:t>
      </w:r>
      <w:r w:rsidRPr="00F71593">
        <w:rPr>
          <w:rFonts w:ascii="Calibri" w:eastAsia="Times New Roman" w:hAnsi="Calibri" w:cs="Times New Roman"/>
          <w:bCs/>
          <w:color w:val="000000"/>
          <w:szCs w:val="18"/>
        </w:rPr>
        <w:t>contradict</w:t>
      </w:r>
      <w:r>
        <w:rPr>
          <w:rFonts w:ascii="Calibri" w:eastAsia="Times New Roman" w:hAnsi="Calibri" w:cs="Times New Roman"/>
          <w:bCs/>
          <w:color w:val="000000"/>
          <w:szCs w:val="18"/>
        </w:rPr>
        <w:t>s</w:t>
      </w:r>
      <w:r w:rsidRPr="00F71593">
        <w:rPr>
          <w:rFonts w:ascii="Calibri" w:eastAsia="Times New Roman" w:hAnsi="Calibri" w:cs="Times New Roman"/>
          <w:bCs/>
          <w:color w:val="000000"/>
          <w:szCs w:val="18"/>
        </w:rPr>
        <w:t xml:space="preserve"> </w:t>
      </w:r>
      <w:r>
        <w:rPr>
          <w:rFonts w:ascii="Calibri" w:eastAsia="Times New Roman" w:hAnsi="Calibri" w:cs="Times New Roman"/>
          <w:bCs/>
          <w:color w:val="000000"/>
          <w:szCs w:val="18"/>
        </w:rPr>
        <w:t xml:space="preserve">ACF’s </w:t>
      </w:r>
      <w:r w:rsidR="00FB22D8">
        <w:rPr>
          <w:rFonts w:ascii="Calibri" w:eastAsia="Times New Roman" w:hAnsi="Calibri" w:cs="Times New Roman"/>
          <w:bCs/>
          <w:color w:val="000000"/>
          <w:szCs w:val="18"/>
        </w:rPr>
        <w:t xml:space="preserve">published </w:t>
      </w:r>
      <w:r w:rsidRPr="00F71593">
        <w:rPr>
          <w:rFonts w:ascii="Calibri" w:eastAsia="Times New Roman" w:hAnsi="Calibri" w:cs="Times New Roman"/>
          <w:bCs/>
          <w:color w:val="000000"/>
          <w:szCs w:val="18"/>
        </w:rPr>
        <w:t>estimates</w:t>
      </w:r>
      <w:r w:rsidR="00706129">
        <w:rPr>
          <w:rFonts w:ascii="Calibri" w:eastAsia="Times New Roman" w:hAnsi="Calibri" w:cs="Times New Roman"/>
          <w:bCs/>
          <w:color w:val="000000"/>
          <w:szCs w:val="18"/>
        </w:rPr>
        <w:t>.</w:t>
      </w:r>
    </w:p>
    <w:p w14:paraId="4225A706" w14:textId="77777777" w:rsidR="00C75553" w:rsidRPr="00EE6636" w:rsidRDefault="00C75553" w:rsidP="00C75553">
      <w:pPr>
        <w:pStyle w:val="ListParagraph"/>
        <w:spacing w:before="220" w:after="220"/>
        <w:ind w:left="72"/>
        <w:contextualSpacing w:val="0"/>
        <w:rPr>
          <w:rFonts w:ascii="Calibri" w:eastAsia="Times New Roman" w:hAnsi="Calibri" w:cs="Times New Roman"/>
          <w:b/>
          <w:bCs/>
          <w:color w:val="000000"/>
          <w:szCs w:val="18"/>
        </w:rPr>
      </w:pPr>
      <w:r>
        <w:rPr>
          <w:rFonts w:ascii="Calibri" w:eastAsia="Times New Roman" w:hAnsi="Calibri" w:cs="Times New Roman"/>
          <w:b/>
          <w:bCs/>
          <w:color w:val="000000"/>
          <w:szCs w:val="18"/>
        </w:rPr>
        <w:t>HHS points out the following:</w:t>
      </w:r>
    </w:p>
    <w:p w14:paraId="398560E7" w14:textId="77777777" w:rsidR="00C75553" w:rsidRPr="00C75553" w:rsidRDefault="00376176" w:rsidP="00AA4061">
      <w:pPr>
        <w:spacing w:after="220"/>
        <w:ind w:left="360"/>
      </w:pPr>
      <w:r>
        <w:t>T</w:t>
      </w:r>
      <w:r w:rsidR="00C75553">
        <w:t xml:space="preserve">he </w:t>
      </w:r>
      <w:r w:rsidR="00C75553" w:rsidRPr="00376176">
        <w:rPr>
          <w:rFonts w:ascii="Calibri" w:eastAsia="Times New Roman" w:hAnsi="Calibri" w:cs="Times New Roman"/>
          <w:bCs/>
          <w:color w:val="000000"/>
          <w:szCs w:val="18"/>
        </w:rPr>
        <w:t>Report’s purpose is, in fact, multifold, as follows:</w:t>
      </w:r>
    </w:p>
    <w:p w14:paraId="4CE361F2" w14:textId="77777777" w:rsidR="00390AC9" w:rsidRDefault="00C75553" w:rsidP="005E717B">
      <w:pPr>
        <w:pStyle w:val="ListParagraph"/>
        <w:numPr>
          <w:ilvl w:val="0"/>
          <w:numId w:val="18"/>
        </w:numPr>
        <w:spacing w:after="220"/>
        <w:contextualSpacing w:val="0"/>
      </w:pPr>
      <w:r>
        <w:t xml:space="preserve">It tells HHS how much </w:t>
      </w:r>
      <w:r w:rsidR="00451BD6">
        <w:t xml:space="preserve">funding </w:t>
      </w:r>
      <w:r>
        <w:t>each grantee</w:t>
      </w:r>
      <w:r w:rsidR="00A02654">
        <w:t>, not all grantees in aggregate,</w:t>
      </w:r>
      <w:r>
        <w:t xml:space="preserve"> </w:t>
      </w:r>
      <w:r w:rsidR="008A54F5">
        <w:t xml:space="preserve">anticipate having left over and subsequently </w:t>
      </w:r>
      <w:r w:rsidR="00A02654">
        <w:t xml:space="preserve">must </w:t>
      </w:r>
      <w:r>
        <w:t>return to HHS for reallotment</w:t>
      </w:r>
      <w:r w:rsidR="00390AC9">
        <w:t>;</w:t>
      </w:r>
    </w:p>
    <w:p w14:paraId="4A316D8F" w14:textId="491BCD4C" w:rsidR="00451BD6" w:rsidRDefault="00451BD6" w:rsidP="005E717B">
      <w:pPr>
        <w:pStyle w:val="ListParagraph"/>
        <w:numPr>
          <w:ilvl w:val="0"/>
          <w:numId w:val="18"/>
        </w:numPr>
        <w:spacing w:after="220"/>
        <w:contextualSpacing w:val="0"/>
      </w:pPr>
      <w:r>
        <w:t xml:space="preserve">It allows HHS to help such grantees obligate such funds before the end of the fiscal year when </w:t>
      </w:r>
      <w:r w:rsidR="008A54F5">
        <w:t xml:space="preserve">the </w:t>
      </w:r>
      <w:r>
        <w:t>obligation</w:t>
      </w:r>
      <w:r w:rsidR="008A54F5">
        <w:t xml:space="preserve"> time period expires</w:t>
      </w:r>
      <w:r>
        <w:t>;</w:t>
      </w:r>
    </w:p>
    <w:p w14:paraId="6544EF53" w14:textId="0B0A16CF" w:rsidR="00A02654" w:rsidRDefault="00A02654" w:rsidP="005E717B">
      <w:pPr>
        <w:pStyle w:val="ListParagraph"/>
        <w:numPr>
          <w:ilvl w:val="0"/>
          <w:numId w:val="18"/>
        </w:numPr>
        <w:spacing w:after="220"/>
        <w:contextualSpacing w:val="0"/>
      </w:pPr>
      <w:r>
        <w:t xml:space="preserve">It tells HHS how much </w:t>
      </w:r>
      <w:r w:rsidR="00451BD6">
        <w:t xml:space="preserve">funding </w:t>
      </w:r>
      <w:r w:rsidR="008A54F5">
        <w:t xml:space="preserve">it will need to redistribute as new grant awards in the subsequent federal fiscal year (FFY) or that </w:t>
      </w:r>
      <w:r>
        <w:t>each grantee must return to HHS for conveyance to the Treasury</w:t>
      </w:r>
      <w:r w:rsidR="00CD2A11">
        <w:t xml:space="preserve"> </w:t>
      </w:r>
      <w:r w:rsidR="008A54F5">
        <w:t>if the funds are returned later than the subsequent FFY</w:t>
      </w:r>
      <w:r w:rsidR="00CD2A11">
        <w:t>;</w:t>
      </w:r>
    </w:p>
    <w:p w14:paraId="209E1DF8" w14:textId="77777777" w:rsidR="005E717B" w:rsidRDefault="00A02654" w:rsidP="005E717B">
      <w:pPr>
        <w:pStyle w:val="ListParagraph"/>
        <w:numPr>
          <w:ilvl w:val="0"/>
          <w:numId w:val="18"/>
        </w:numPr>
        <w:spacing w:after="220"/>
        <w:contextualSpacing w:val="0"/>
      </w:pPr>
      <w:r>
        <w:t xml:space="preserve">It allows HHS to </w:t>
      </w:r>
      <w:r w:rsidR="00C06766">
        <w:t xml:space="preserve">identify such </w:t>
      </w:r>
      <w:r>
        <w:t xml:space="preserve">grantees </w:t>
      </w:r>
      <w:r w:rsidR="00C06766">
        <w:t xml:space="preserve">for monitoring or additional technical </w:t>
      </w:r>
      <w:r w:rsidR="00706129">
        <w:t>assistance;</w:t>
      </w:r>
      <w:r w:rsidR="005E717B">
        <w:t xml:space="preserve"> and</w:t>
      </w:r>
    </w:p>
    <w:p w14:paraId="6CF06C43" w14:textId="77777777" w:rsidR="00B9250D" w:rsidRDefault="005E717B" w:rsidP="005E717B">
      <w:pPr>
        <w:pStyle w:val="ListParagraph"/>
        <w:numPr>
          <w:ilvl w:val="0"/>
          <w:numId w:val="18"/>
        </w:numPr>
        <w:spacing w:after="220"/>
        <w:contextualSpacing w:val="0"/>
      </w:pPr>
      <w:r>
        <w:t xml:space="preserve">It allows HHS to </w:t>
      </w:r>
      <w:r w:rsidR="00B9250D">
        <w:t>corroborate, on each state’s LIHEAP Performance Data Form,</w:t>
      </w:r>
      <w:r>
        <w:t xml:space="preserve"> the </w:t>
      </w:r>
      <w:r w:rsidR="00B9250D">
        <w:t xml:space="preserve">following </w:t>
      </w:r>
      <w:r>
        <w:t>amounts</w:t>
      </w:r>
      <w:r w:rsidR="00B9250D">
        <w:t>:</w:t>
      </w:r>
    </w:p>
    <w:p w14:paraId="5E7636E1" w14:textId="77777777" w:rsidR="00B9250D" w:rsidRDefault="00B9250D" w:rsidP="00B9250D">
      <w:pPr>
        <w:pStyle w:val="ListParagraph"/>
        <w:numPr>
          <w:ilvl w:val="1"/>
          <w:numId w:val="18"/>
        </w:numPr>
        <w:spacing w:after="220"/>
        <w:contextualSpacing w:val="0"/>
      </w:pPr>
      <w:r>
        <w:t>The amount</w:t>
      </w:r>
      <w:r w:rsidR="005E717B">
        <w:t xml:space="preserve"> that </w:t>
      </w:r>
      <w:r>
        <w:t>such state carried over from the previous fiscal year; and</w:t>
      </w:r>
    </w:p>
    <w:p w14:paraId="78244F58" w14:textId="77777777" w:rsidR="00A02654" w:rsidRDefault="00B9250D" w:rsidP="00B9250D">
      <w:pPr>
        <w:pStyle w:val="ListParagraph"/>
        <w:numPr>
          <w:ilvl w:val="1"/>
          <w:numId w:val="18"/>
        </w:numPr>
        <w:spacing w:after="220"/>
        <w:contextualSpacing w:val="0"/>
      </w:pPr>
      <w:r>
        <w:t>The amount that such state plans to carry over</w:t>
      </w:r>
      <w:r w:rsidRPr="00B9250D">
        <w:t xml:space="preserve"> </w:t>
      </w:r>
      <w:r>
        <w:t>to the following fiscal year.</w:t>
      </w:r>
    </w:p>
    <w:p w14:paraId="2404DB9B" w14:textId="77777777" w:rsidR="007F521A" w:rsidRPr="00EE6636" w:rsidRDefault="00A736D8" w:rsidP="00C33D47">
      <w:pPr>
        <w:pStyle w:val="ListParagraph"/>
        <w:spacing w:before="220" w:after="220"/>
        <w:ind w:left="72"/>
        <w:contextualSpacing w:val="0"/>
        <w:rPr>
          <w:rFonts w:ascii="Calibri" w:eastAsia="Times New Roman" w:hAnsi="Calibri" w:cs="Times New Roman"/>
          <w:b/>
          <w:bCs/>
          <w:color w:val="000000"/>
          <w:szCs w:val="18"/>
        </w:rPr>
      </w:pPr>
      <w:r w:rsidRPr="00EE6636">
        <w:rPr>
          <w:rFonts w:ascii="Calibri" w:eastAsia="Times New Roman" w:hAnsi="Calibri" w:cs="Times New Roman"/>
          <w:b/>
          <w:bCs/>
          <w:color w:val="000000"/>
          <w:szCs w:val="18"/>
        </w:rPr>
        <w:t>The commenter</w:t>
      </w:r>
      <w:r>
        <w:rPr>
          <w:rFonts w:ascii="Calibri" w:eastAsia="Times New Roman" w:hAnsi="Calibri" w:cs="Times New Roman"/>
          <w:b/>
          <w:bCs/>
          <w:color w:val="000000"/>
          <w:szCs w:val="18"/>
        </w:rPr>
        <w:t xml:space="preserve"> recommend</w:t>
      </w:r>
      <w:r w:rsidR="00C33D47">
        <w:rPr>
          <w:rFonts w:ascii="Calibri" w:eastAsia="Times New Roman" w:hAnsi="Calibri" w:cs="Times New Roman"/>
          <w:b/>
          <w:bCs/>
          <w:color w:val="000000"/>
          <w:szCs w:val="18"/>
        </w:rPr>
        <w:t>ed</w:t>
      </w:r>
      <w:r>
        <w:rPr>
          <w:rFonts w:ascii="Calibri" w:eastAsia="Times New Roman" w:hAnsi="Calibri" w:cs="Times New Roman"/>
          <w:b/>
          <w:bCs/>
          <w:color w:val="000000"/>
          <w:szCs w:val="18"/>
        </w:rPr>
        <w:t xml:space="preserve"> the following</w:t>
      </w:r>
      <w:r w:rsidR="007F521A" w:rsidRPr="00EE6636">
        <w:rPr>
          <w:rFonts w:ascii="Calibri" w:eastAsia="Times New Roman" w:hAnsi="Calibri" w:cs="Times New Roman"/>
          <w:b/>
          <w:bCs/>
          <w:color w:val="000000"/>
          <w:szCs w:val="18"/>
        </w:rPr>
        <w:t>:</w:t>
      </w:r>
    </w:p>
    <w:p w14:paraId="69698DDE" w14:textId="77777777" w:rsidR="00B73373" w:rsidRPr="005855A0" w:rsidRDefault="005855A0" w:rsidP="00C75553">
      <w:pPr>
        <w:pStyle w:val="ListParagraph"/>
        <w:numPr>
          <w:ilvl w:val="0"/>
          <w:numId w:val="17"/>
        </w:numPr>
        <w:spacing w:after="220"/>
        <w:contextualSpacing w:val="0"/>
      </w:pPr>
      <w:r>
        <w:t xml:space="preserve">That HHS extend the </w:t>
      </w:r>
      <w:r w:rsidR="003E786C">
        <w:t xml:space="preserve">Report’s </w:t>
      </w:r>
      <w:r>
        <w:t xml:space="preserve">due date from </w:t>
      </w:r>
      <w:r>
        <w:rPr>
          <w:rFonts w:ascii="Calibri" w:eastAsia="Times New Roman" w:hAnsi="Calibri" w:cs="Times New Roman"/>
          <w:bCs/>
          <w:color w:val="000000"/>
          <w:szCs w:val="18"/>
        </w:rPr>
        <w:t>August 1 to December 15;</w:t>
      </w:r>
    </w:p>
    <w:p w14:paraId="11745F35" w14:textId="77777777" w:rsidR="005855A0" w:rsidRDefault="003E786C" w:rsidP="00C75553">
      <w:pPr>
        <w:pStyle w:val="ListParagraph"/>
        <w:numPr>
          <w:ilvl w:val="0"/>
          <w:numId w:val="17"/>
        </w:numPr>
        <w:spacing w:after="220"/>
        <w:contextualSpacing w:val="0"/>
      </w:pPr>
      <w:r>
        <w:t>That HHS close the Report to further updates after December 15.</w:t>
      </w:r>
    </w:p>
    <w:p w14:paraId="38753AC3" w14:textId="77777777" w:rsidR="00C75553" w:rsidRPr="00EE6636" w:rsidRDefault="00152FFD" w:rsidP="00C75553">
      <w:pPr>
        <w:pStyle w:val="ListParagraph"/>
        <w:spacing w:before="220" w:after="220"/>
        <w:ind w:left="72"/>
        <w:contextualSpacing w:val="0"/>
        <w:rPr>
          <w:rFonts w:ascii="Calibri" w:eastAsia="Times New Roman" w:hAnsi="Calibri" w:cs="Times New Roman"/>
          <w:b/>
          <w:bCs/>
          <w:color w:val="000000"/>
          <w:szCs w:val="18"/>
        </w:rPr>
      </w:pPr>
      <w:r>
        <w:rPr>
          <w:rFonts w:ascii="Calibri" w:eastAsia="Times New Roman" w:hAnsi="Calibri" w:cs="Times New Roman"/>
          <w:b/>
          <w:bCs/>
          <w:color w:val="000000"/>
          <w:szCs w:val="18"/>
        </w:rPr>
        <w:t xml:space="preserve">OCS </w:t>
      </w:r>
      <w:r w:rsidR="005855A0">
        <w:rPr>
          <w:rFonts w:ascii="Calibri" w:eastAsia="Times New Roman" w:hAnsi="Calibri" w:cs="Times New Roman"/>
          <w:b/>
          <w:bCs/>
          <w:color w:val="000000"/>
          <w:szCs w:val="18"/>
        </w:rPr>
        <w:t>recommends the</w:t>
      </w:r>
      <w:r w:rsidR="00C75553">
        <w:rPr>
          <w:rFonts w:ascii="Calibri" w:eastAsia="Times New Roman" w:hAnsi="Calibri" w:cs="Times New Roman"/>
          <w:b/>
          <w:bCs/>
          <w:color w:val="000000"/>
          <w:szCs w:val="18"/>
        </w:rPr>
        <w:t xml:space="preserve"> following</w:t>
      </w:r>
      <w:r>
        <w:rPr>
          <w:rFonts w:ascii="Calibri" w:eastAsia="Times New Roman" w:hAnsi="Calibri" w:cs="Times New Roman"/>
          <w:b/>
          <w:bCs/>
          <w:color w:val="000000"/>
          <w:szCs w:val="18"/>
        </w:rPr>
        <w:t xml:space="preserve"> in response to the comment</w:t>
      </w:r>
      <w:r w:rsidR="00C75553">
        <w:rPr>
          <w:rFonts w:ascii="Calibri" w:eastAsia="Times New Roman" w:hAnsi="Calibri" w:cs="Times New Roman"/>
          <w:b/>
          <w:bCs/>
          <w:color w:val="000000"/>
          <w:szCs w:val="18"/>
        </w:rPr>
        <w:t>:</w:t>
      </w:r>
    </w:p>
    <w:p w14:paraId="045C21C3" w14:textId="3F980585" w:rsidR="009A087D" w:rsidRDefault="003E786C" w:rsidP="005855A0">
      <w:pPr>
        <w:pStyle w:val="ListParagraph"/>
        <w:numPr>
          <w:ilvl w:val="0"/>
          <w:numId w:val="19"/>
        </w:numPr>
        <w:spacing w:after="220"/>
        <w:contextualSpacing w:val="0"/>
      </w:pPr>
      <w:r>
        <w:t xml:space="preserve">That HHS maintain the August 1 </w:t>
      </w:r>
      <w:r w:rsidR="008A54F5">
        <w:t xml:space="preserve">initial </w:t>
      </w:r>
      <w:r>
        <w:t xml:space="preserve">due date, but that it </w:t>
      </w:r>
      <w:r w:rsidR="009A087D">
        <w:t>explicitly treat such date as estimated data</w:t>
      </w:r>
      <w:r w:rsidR="008A54F5">
        <w:t>.  This maintains HHS’ ability to provide time sensitive, targeted technical assistance to grantees that appear to be struggling with meeting their obligation requirement</w:t>
      </w:r>
      <w:r w:rsidR="009A087D">
        <w:t>;</w:t>
      </w:r>
    </w:p>
    <w:p w14:paraId="5D87DDED" w14:textId="77777777" w:rsidR="00C75553" w:rsidRDefault="009A087D" w:rsidP="005855A0">
      <w:pPr>
        <w:pStyle w:val="ListParagraph"/>
        <w:numPr>
          <w:ilvl w:val="0"/>
          <w:numId w:val="19"/>
        </w:numPr>
        <w:spacing w:after="220"/>
        <w:contextualSpacing w:val="0"/>
      </w:pPr>
      <w:r>
        <w:t>That HHS tell grantees that it expects them to submit estimated, not final, data by that date;</w:t>
      </w:r>
    </w:p>
    <w:p w14:paraId="4059ADC1" w14:textId="3661264C" w:rsidR="009A087D" w:rsidRDefault="009A087D" w:rsidP="005855A0">
      <w:pPr>
        <w:pStyle w:val="ListParagraph"/>
        <w:numPr>
          <w:ilvl w:val="0"/>
          <w:numId w:val="19"/>
        </w:numPr>
        <w:spacing w:after="220"/>
        <w:contextualSpacing w:val="0"/>
      </w:pPr>
      <w:r>
        <w:t xml:space="preserve">That HHS establish </w:t>
      </w:r>
      <w:r w:rsidR="002073C6">
        <w:t>December</w:t>
      </w:r>
      <w:r>
        <w:t xml:space="preserve"> 1</w:t>
      </w:r>
      <w:r w:rsidR="0083639A">
        <w:t xml:space="preserve">5 </w:t>
      </w:r>
      <w:r w:rsidR="00830D43">
        <w:t xml:space="preserve">as </w:t>
      </w:r>
      <w:r>
        <w:t>the date on which grantees must submit actual data</w:t>
      </w:r>
      <w:r w:rsidR="008A54F5">
        <w:t xml:space="preserve"> for the prior federal fiscal year</w:t>
      </w:r>
      <w:r>
        <w:t>;</w:t>
      </w:r>
    </w:p>
    <w:p w14:paraId="4B6BAB17" w14:textId="785B6DE8" w:rsidR="009A087D" w:rsidRDefault="009A087D" w:rsidP="005855A0">
      <w:pPr>
        <w:pStyle w:val="ListParagraph"/>
        <w:numPr>
          <w:ilvl w:val="0"/>
          <w:numId w:val="19"/>
        </w:numPr>
        <w:spacing w:after="220"/>
        <w:contextualSpacing w:val="0"/>
      </w:pPr>
      <w:r>
        <w:lastRenderedPageBreak/>
        <w:t xml:space="preserve">That HHS base the amount that grantees must return, and that HHS may reallot, on the data that was in the grantees’ submissions as of </w:t>
      </w:r>
      <w:r w:rsidR="002073C6">
        <w:t>December</w:t>
      </w:r>
      <w:r>
        <w:t xml:space="preserve"> 1</w:t>
      </w:r>
      <w:r w:rsidR="00802072">
        <w:t>5</w:t>
      </w:r>
      <w:r>
        <w:t>;</w:t>
      </w:r>
    </w:p>
    <w:p w14:paraId="7C8F735C" w14:textId="6135996F" w:rsidR="009A087D" w:rsidRDefault="00830D43" w:rsidP="005855A0">
      <w:pPr>
        <w:pStyle w:val="ListParagraph"/>
        <w:numPr>
          <w:ilvl w:val="0"/>
          <w:numId w:val="19"/>
        </w:numPr>
        <w:spacing w:after="220"/>
        <w:contextualSpacing w:val="0"/>
      </w:pPr>
      <w:r>
        <w:t xml:space="preserve">That HHS allow grantees to report updates between August 1 and </w:t>
      </w:r>
      <w:r w:rsidR="002073C6">
        <w:t>December</w:t>
      </w:r>
      <w:r>
        <w:t xml:space="preserve"> 1</w:t>
      </w:r>
      <w:r w:rsidR="00802072">
        <w:t>5</w:t>
      </w:r>
      <w:r>
        <w:t xml:space="preserve"> whenever they wish during that timeframe;</w:t>
      </w:r>
    </w:p>
    <w:p w14:paraId="264980BE" w14:textId="73415DC6" w:rsidR="00830D43" w:rsidRDefault="00830D43" w:rsidP="005855A0">
      <w:pPr>
        <w:pStyle w:val="ListParagraph"/>
        <w:numPr>
          <w:ilvl w:val="0"/>
          <w:numId w:val="19"/>
        </w:numPr>
        <w:spacing w:after="220"/>
        <w:contextualSpacing w:val="0"/>
      </w:pPr>
      <w:r>
        <w:t xml:space="preserve">That HHS leave the report open for updates after </w:t>
      </w:r>
      <w:r w:rsidR="002073C6">
        <w:t>December</w:t>
      </w:r>
      <w:r>
        <w:t xml:space="preserve"> 1</w:t>
      </w:r>
      <w:r w:rsidR="003C1352">
        <w:t>5</w:t>
      </w:r>
      <w:r>
        <w:t>, under the following conditions:</w:t>
      </w:r>
    </w:p>
    <w:p w14:paraId="011491F4" w14:textId="0D2FF52A" w:rsidR="0083639A" w:rsidRDefault="003F229C" w:rsidP="0083639A">
      <w:pPr>
        <w:pStyle w:val="ListParagraph"/>
        <w:numPr>
          <w:ilvl w:val="1"/>
          <w:numId w:val="19"/>
        </w:numPr>
        <w:spacing w:after="220"/>
        <w:contextualSpacing w:val="0"/>
      </w:pPr>
      <w:r>
        <w:t xml:space="preserve">Allowing grantees to make corrections beyond the due date is necessary so that their final documents with HHS comport with their final documents and to reduce the risk of audit and monitoring findings.  </w:t>
      </w:r>
      <w:r w:rsidR="00B40B5E">
        <w:t>However,</w:t>
      </w:r>
      <w:r w:rsidR="006A3686">
        <w:t xml:space="preserve">  However, grantees would not be able to </w:t>
      </w:r>
      <w:r w:rsidR="00935FD2">
        <w:t>obligate against or draw down</w:t>
      </w:r>
      <w:r w:rsidR="006A3686">
        <w:t xml:space="preserve"> funds previously reported as reallotment because HHS will be in the process of, or have completed, redistributing the realloted funding.</w:t>
      </w:r>
      <w:r>
        <w:t xml:space="preserve">  </w:t>
      </w:r>
      <w:r w:rsidR="008A4602">
        <w:t>;</w:t>
      </w:r>
      <w:r w:rsidR="00152FFD">
        <w:t xml:space="preserve"> and</w:t>
      </w:r>
      <w:r w:rsidR="0083639A">
        <w:t>,</w:t>
      </w:r>
    </w:p>
    <w:p w14:paraId="65B3770A" w14:textId="17A3C6F6" w:rsidR="009B3DD5" w:rsidRDefault="008A4602" w:rsidP="0083639A">
      <w:pPr>
        <w:pStyle w:val="ListParagraph"/>
        <w:numPr>
          <w:ilvl w:val="1"/>
          <w:numId w:val="19"/>
        </w:numPr>
        <w:spacing w:after="220"/>
        <w:contextualSpacing w:val="0"/>
      </w:pPr>
      <w:r>
        <w:t xml:space="preserve">That, after this date, HHS </w:t>
      </w:r>
      <w:r w:rsidR="0018636D">
        <w:t xml:space="preserve">convey </w:t>
      </w:r>
      <w:r w:rsidR="009240F4">
        <w:t xml:space="preserve">through the normal process </w:t>
      </w:r>
      <w:r>
        <w:t xml:space="preserve">any additional funds that grantees </w:t>
      </w:r>
      <w:r w:rsidR="00152FFD">
        <w:t>return to the Treasury.</w:t>
      </w:r>
    </w:p>
    <w:p w14:paraId="7859735E" w14:textId="2063F039" w:rsidR="009B3DD5" w:rsidRDefault="009B3DD5" w:rsidP="0083639A">
      <w:pPr>
        <w:spacing w:before="220" w:after="220"/>
      </w:pPr>
    </w:p>
    <w:p w14:paraId="1AABC800" w14:textId="77777777" w:rsidR="00C15545" w:rsidRPr="009B3DD5" w:rsidRDefault="00BC3204" w:rsidP="009B3DD5">
      <w:pPr>
        <w:pStyle w:val="ListParagraph"/>
        <w:spacing w:before="220" w:after="220"/>
        <w:ind w:left="0"/>
        <w:contextualSpacing w:val="0"/>
        <w:rPr>
          <w:rFonts w:ascii="Calibri" w:eastAsia="Times New Roman" w:hAnsi="Calibri" w:cs="Times New Roman"/>
          <w:i/>
          <w:color w:val="000000"/>
          <w:szCs w:val="18"/>
        </w:rPr>
      </w:pPr>
      <w:r w:rsidRPr="009B3DD5">
        <w:rPr>
          <w:rFonts w:ascii="Calibri" w:eastAsia="Times New Roman" w:hAnsi="Calibri" w:cs="Times New Roman"/>
          <w:i/>
          <w:color w:val="000000"/>
          <w:szCs w:val="20"/>
        </w:rPr>
        <w:t>The c</w:t>
      </w:r>
      <w:r w:rsidR="00B73373" w:rsidRPr="009B3DD5">
        <w:rPr>
          <w:rFonts w:ascii="Calibri" w:eastAsia="Times New Roman" w:hAnsi="Calibri" w:cs="Times New Roman"/>
          <w:i/>
          <w:color w:val="000000"/>
          <w:szCs w:val="20"/>
        </w:rPr>
        <w:t>ommenter</w:t>
      </w:r>
      <w:r w:rsidRPr="009B3DD5">
        <w:rPr>
          <w:rFonts w:ascii="Calibri" w:eastAsia="Times New Roman" w:hAnsi="Calibri" w:cs="Times New Roman"/>
          <w:i/>
          <w:color w:val="000000"/>
          <w:szCs w:val="20"/>
        </w:rPr>
        <w:t xml:space="preserve"> was </w:t>
      </w:r>
      <w:r w:rsidR="00B73373" w:rsidRPr="009B3DD5">
        <w:rPr>
          <w:rFonts w:ascii="Calibri" w:eastAsia="Times New Roman" w:hAnsi="Calibri" w:cs="Times New Roman"/>
          <w:i/>
          <w:color w:val="000000"/>
          <w:szCs w:val="20"/>
        </w:rPr>
        <w:t>John Harvanko, Energy Assistance Program Director</w:t>
      </w:r>
      <w:r w:rsidRPr="009B3DD5">
        <w:rPr>
          <w:rFonts w:ascii="Calibri" w:eastAsia="Times New Roman" w:hAnsi="Calibri" w:cs="Times New Roman"/>
          <w:i/>
          <w:color w:val="000000"/>
          <w:szCs w:val="20"/>
        </w:rPr>
        <w:t xml:space="preserve"> for the</w:t>
      </w:r>
      <w:r w:rsidR="00B73373" w:rsidRPr="009B3DD5">
        <w:rPr>
          <w:rFonts w:ascii="Calibri" w:eastAsia="Times New Roman" w:hAnsi="Calibri" w:cs="Times New Roman"/>
          <w:i/>
          <w:color w:val="000000"/>
          <w:szCs w:val="20"/>
        </w:rPr>
        <w:t xml:space="preserve"> State of Minnesota</w:t>
      </w:r>
      <w:r w:rsidRPr="009B3DD5">
        <w:rPr>
          <w:rFonts w:ascii="Calibri" w:eastAsia="Times New Roman" w:hAnsi="Calibri" w:cs="Times New Roman"/>
          <w:i/>
          <w:color w:val="000000"/>
          <w:szCs w:val="20"/>
        </w:rPr>
        <w:t>.  He was the only party to comment.</w:t>
      </w:r>
    </w:p>
    <w:sectPr w:rsidR="00C15545" w:rsidRPr="009B3DD5" w:rsidSect="00122969">
      <w:headerReference w:type="default" r:id="rId11"/>
      <w:pgSz w:w="12240" w:h="15840"/>
      <w:pgMar w:top="720" w:right="446" w:bottom="720" w:left="6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EA456" w14:textId="77777777" w:rsidR="00DF7037" w:rsidRDefault="00DF7037" w:rsidP="00EE6636">
      <w:r>
        <w:separator/>
      </w:r>
    </w:p>
  </w:endnote>
  <w:endnote w:type="continuationSeparator" w:id="0">
    <w:p w14:paraId="59AB3373" w14:textId="77777777" w:rsidR="00DF7037" w:rsidRDefault="00DF7037" w:rsidP="00EE6636">
      <w:r>
        <w:continuationSeparator/>
      </w:r>
    </w:p>
  </w:endnote>
  <w:endnote w:type="continuationNotice" w:id="1">
    <w:p w14:paraId="45702900" w14:textId="77777777" w:rsidR="00DF7037" w:rsidRDefault="00DF7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8D595" w14:textId="77777777" w:rsidR="00DF7037" w:rsidRDefault="00DF7037" w:rsidP="00EE6636">
      <w:r>
        <w:separator/>
      </w:r>
    </w:p>
  </w:footnote>
  <w:footnote w:type="continuationSeparator" w:id="0">
    <w:p w14:paraId="09D3B2FD" w14:textId="77777777" w:rsidR="00DF7037" w:rsidRDefault="00DF7037" w:rsidP="00EE6636">
      <w:r>
        <w:continuationSeparator/>
      </w:r>
    </w:p>
  </w:footnote>
  <w:footnote w:type="continuationNotice" w:id="1">
    <w:p w14:paraId="51DA56B4" w14:textId="77777777" w:rsidR="00DF7037" w:rsidRDefault="00DF70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FD85" w14:textId="5DD68EDC" w:rsidR="00C15545" w:rsidRDefault="00C15545" w:rsidP="00EE6636">
    <w:pPr>
      <w:spacing w:after="220"/>
      <w:ind w:left="-274"/>
      <w:jc w:val="center"/>
    </w:pPr>
    <w:r>
      <w:rPr>
        <w:b/>
        <w:sz w:val="24"/>
      </w:rPr>
      <w:t>OCS’ Response to the Sole Comment on the LIHEAP Carryover and Reallotment Report ICR (</w:t>
    </w:r>
    <w:r w:rsidRPr="007F521A">
      <w:rPr>
        <w:b/>
        <w:sz w:val="24"/>
      </w:rPr>
      <w:t>201811-0970-006</w:t>
    </w:r>
    <w:r>
      <w:rPr>
        <w:b/>
        <w:sz w:val="24"/>
      </w:rPr>
      <w:t>)</w:t>
    </w:r>
    <w:r>
      <w:t>—</w:t>
    </w:r>
    <w:r w:rsidRPr="00070C69">
      <w:rPr>
        <w:i/>
      </w:rPr>
      <w:t xml:space="preserve">updated </w:t>
    </w:r>
    <w:r w:rsidR="005B0895">
      <w:rPr>
        <w:i/>
        <w:noProof/>
      </w:rPr>
      <w:t>4</w:t>
    </w:r>
    <w:r w:rsidR="00610130">
      <w:rPr>
        <w:i/>
        <w:noProof/>
      </w:rPr>
      <w:t>/22</w:t>
    </w:r>
    <w:r>
      <w:rPr>
        <w:i/>
        <w:noProof/>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4A7"/>
    <w:multiLevelType w:val="hybridMultilevel"/>
    <w:tmpl w:val="7626FFD8"/>
    <w:lvl w:ilvl="0" w:tplc="C318E380">
      <w:start w:val="1"/>
      <w:numFmt w:val="bullet"/>
      <w:lvlText w:val=""/>
      <w:lvlJc w:val="left"/>
      <w:pPr>
        <w:ind w:left="2436" w:hanging="360"/>
      </w:pPr>
      <w:rPr>
        <w:rFonts w:ascii="Symbol" w:hAnsi="Symbol" w:hint="default"/>
        <w:sz w:val="14"/>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
    <w:nsid w:val="06437491"/>
    <w:multiLevelType w:val="multilevel"/>
    <w:tmpl w:val="8D02EF12"/>
    <w:lvl w:ilvl="0">
      <w:start w:val="1"/>
      <w:numFmt w:val="decimal"/>
      <w:lvlText w:val="%1)"/>
      <w:lvlJc w:val="left"/>
      <w:pPr>
        <w:ind w:left="72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2249BF"/>
    <w:multiLevelType w:val="multilevel"/>
    <w:tmpl w:val="0F6E74E2"/>
    <w:lvl w:ilvl="0">
      <w:start w:val="1"/>
      <w:numFmt w:val="decimal"/>
      <w:lvlText w:val="%1)"/>
      <w:lvlJc w:val="left"/>
      <w:pPr>
        <w:ind w:left="1080" w:hanging="360"/>
      </w:pPr>
      <w:rPr>
        <w:rFonts w:hint="default"/>
        <w:sz w:val="22"/>
      </w:rPr>
    </w:lvl>
    <w:lvl w:ilvl="1">
      <w:start w:val="1"/>
      <w:numFmt w:val="lowerLetter"/>
      <w:lvlText w:val="%2)"/>
      <w:lvlJc w:val="left"/>
      <w:pPr>
        <w:ind w:left="1800" w:hanging="36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B268B1"/>
    <w:multiLevelType w:val="hybridMultilevel"/>
    <w:tmpl w:val="1BB2023E"/>
    <w:lvl w:ilvl="0" w:tplc="C318E380">
      <w:start w:val="1"/>
      <w:numFmt w:val="bullet"/>
      <w:lvlText w:val=""/>
      <w:lvlJc w:val="left"/>
      <w:pPr>
        <w:ind w:left="105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D76F7"/>
    <w:multiLevelType w:val="hybridMultilevel"/>
    <w:tmpl w:val="4D38D8E8"/>
    <w:lvl w:ilvl="0" w:tplc="C318E380">
      <w:start w:val="1"/>
      <w:numFmt w:val="bullet"/>
      <w:lvlText w:val=""/>
      <w:lvlJc w:val="left"/>
      <w:pPr>
        <w:ind w:left="1086" w:hanging="360"/>
      </w:pPr>
      <w:rPr>
        <w:rFonts w:ascii="Symbol" w:hAnsi="Symbol" w:hint="default"/>
        <w:sz w:val="14"/>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178D3C88"/>
    <w:multiLevelType w:val="multilevel"/>
    <w:tmpl w:val="8A9AAE42"/>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2710D"/>
    <w:multiLevelType w:val="multilevel"/>
    <w:tmpl w:val="8A9AAE42"/>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A33A4C"/>
    <w:multiLevelType w:val="hybridMultilevel"/>
    <w:tmpl w:val="6D62A5A8"/>
    <w:lvl w:ilvl="0" w:tplc="C318E380">
      <w:start w:val="1"/>
      <w:numFmt w:val="bullet"/>
      <w:lvlText w:val=""/>
      <w:lvlJc w:val="left"/>
      <w:pPr>
        <w:ind w:left="1050" w:hanging="360"/>
      </w:pPr>
      <w:rPr>
        <w:rFonts w:ascii="Symbol" w:hAnsi="Symbol" w:hint="default"/>
        <w:sz w:val="14"/>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nsid w:val="355C49DE"/>
    <w:multiLevelType w:val="hybridMultilevel"/>
    <w:tmpl w:val="2ECA7CF0"/>
    <w:lvl w:ilvl="0" w:tplc="C318E380">
      <w:start w:val="1"/>
      <w:numFmt w:val="bullet"/>
      <w:lvlText w:val=""/>
      <w:lvlJc w:val="left"/>
      <w:pPr>
        <w:ind w:left="2436" w:hanging="360"/>
      </w:pPr>
      <w:rPr>
        <w:rFonts w:ascii="Symbol" w:hAnsi="Symbol" w:hint="default"/>
        <w:sz w:val="14"/>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9">
    <w:nsid w:val="39762A88"/>
    <w:multiLevelType w:val="hybridMultilevel"/>
    <w:tmpl w:val="B77CB4A4"/>
    <w:lvl w:ilvl="0" w:tplc="C318E380">
      <w:start w:val="1"/>
      <w:numFmt w:val="bullet"/>
      <w:lvlText w:val=""/>
      <w:lvlJc w:val="left"/>
      <w:pPr>
        <w:ind w:left="1068" w:hanging="360"/>
      </w:pPr>
      <w:rPr>
        <w:rFonts w:ascii="Symbol" w:hAnsi="Symbol" w:hint="default"/>
        <w:sz w:val="14"/>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nsid w:val="3EEB0088"/>
    <w:multiLevelType w:val="hybridMultilevel"/>
    <w:tmpl w:val="B4F2199A"/>
    <w:lvl w:ilvl="0" w:tplc="C318E380">
      <w:start w:val="1"/>
      <w:numFmt w:val="bullet"/>
      <w:lvlText w:val=""/>
      <w:lvlJc w:val="left"/>
      <w:pPr>
        <w:ind w:left="1084" w:hanging="360"/>
      </w:pPr>
      <w:rPr>
        <w:rFonts w:ascii="Symbol" w:hAnsi="Symbol" w:hint="default"/>
        <w:sz w:val="14"/>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466007BF"/>
    <w:multiLevelType w:val="hybridMultilevel"/>
    <w:tmpl w:val="C3F4E3F2"/>
    <w:lvl w:ilvl="0" w:tplc="C318E380">
      <w:start w:val="1"/>
      <w:numFmt w:val="bullet"/>
      <w:lvlText w:val=""/>
      <w:lvlJc w:val="left"/>
      <w:pPr>
        <w:ind w:left="1356" w:hanging="360"/>
      </w:pPr>
      <w:rPr>
        <w:rFonts w:ascii="Symbol" w:hAnsi="Symbol" w:hint="default"/>
        <w:sz w:val="14"/>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2">
    <w:nsid w:val="544D4D19"/>
    <w:multiLevelType w:val="hybridMultilevel"/>
    <w:tmpl w:val="CB54ED22"/>
    <w:lvl w:ilvl="0" w:tplc="C318E380">
      <w:start w:val="1"/>
      <w:numFmt w:val="bullet"/>
      <w:lvlText w:val=""/>
      <w:lvlJc w:val="left"/>
      <w:pPr>
        <w:ind w:left="105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D1140"/>
    <w:multiLevelType w:val="hybridMultilevel"/>
    <w:tmpl w:val="0AB4E27A"/>
    <w:lvl w:ilvl="0" w:tplc="C318E380">
      <w:start w:val="1"/>
      <w:numFmt w:val="bullet"/>
      <w:lvlText w:val=""/>
      <w:lvlJc w:val="left"/>
      <w:pPr>
        <w:ind w:left="2295" w:hanging="360"/>
      </w:pPr>
      <w:rPr>
        <w:rFonts w:ascii="Symbol" w:hAnsi="Symbol" w:hint="default"/>
        <w:sz w:val="14"/>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4">
    <w:nsid w:val="620E0EB9"/>
    <w:multiLevelType w:val="multilevel"/>
    <w:tmpl w:val="894CD05C"/>
    <w:lvl w:ilvl="0">
      <w:start w:val="1"/>
      <w:numFmt w:val="decimal"/>
      <w:lvlText w:val="%1)"/>
      <w:lvlJc w:val="left"/>
      <w:pPr>
        <w:ind w:left="72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2CB422A"/>
    <w:multiLevelType w:val="hybridMultilevel"/>
    <w:tmpl w:val="18CA6772"/>
    <w:lvl w:ilvl="0" w:tplc="C318E380">
      <w:start w:val="1"/>
      <w:numFmt w:val="bullet"/>
      <w:lvlText w:val=""/>
      <w:lvlJc w:val="left"/>
      <w:pPr>
        <w:ind w:left="1356" w:hanging="360"/>
      </w:pPr>
      <w:rPr>
        <w:rFonts w:ascii="Symbol" w:hAnsi="Symbol" w:hint="default"/>
        <w:sz w:val="14"/>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6">
    <w:nsid w:val="692331B2"/>
    <w:multiLevelType w:val="hybridMultilevel"/>
    <w:tmpl w:val="5A6EB91A"/>
    <w:lvl w:ilvl="0" w:tplc="C318E380">
      <w:start w:val="1"/>
      <w:numFmt w:val="bullet"/>
      <w:lvlText w:val=""/>
      <w:lvlJc w:val="left"/>
      <w:pPr>
        <w:ind w:left="2295" w:hanging="360"/>
      </w:pPr>
      <w:rPr>
        <w:rFonts w:ascii="Symbol" w:hAnsi="Symbol" w:hint="default"/>
        <w:sz w:val="14"/>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7">
    <w:nsid w:val="6EA206AE"/>
    <w:multiLevelType w:val="hybridMultilevel"/>
    <w:tmpl w:val="CD6EA5B8"/>
    <w:lvl w:ilvl="0" w:tplc="C318E380">
      <w:start w:val="1"/>
      <w:numFmt w:val="bullet"/>
      <w:lvlText w:val=""/>
      <w:lvlJc w:val="left"/>
      <w:pPr>
        <w:ind w:left="105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93C8A"/>
    <w:multiLevelType w:val="hybridMultilevel"/>
    <w:tmpl w:val="59DA54BC"/>
    <w:lvl w:ilvl="0" w:tplc="C318E380">
      <w:start w:val="1"/>
      <w:numFmt w:val="bullet"/>
      <w:lvlText w:val=""/>
      <w:lvlJc w:val="left"/>
      <w:pPr>
        <w:ind w:left="105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1671F7"/>
    <w:multiLevelType w:val="hybridMultilevel"/>
    <w:tmpl w:val="D8109C2E"/>
    <w:lvl w:ilvl="0" w:tplc="C318E380">
      <w:start w:val="1"/>
      <w:numFmt w:val="bullet"/>
      <w:lvlText w:val=""/>
      <w:lvlJc w:val="left"/>
      <w:pPr>
        <w:ind w:left="1356" w:hanging="360"/>
      </w:pPr>
      <w:rPr>
        <w:rFonts w:ascii="Symbol" w:hAnsi="Symbol" w:hint="default"/>
        <w:sz w:val="14"/>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num w:numId="1">
    <w:abstractNumId w:val="7"/>
  </w:num>
  <w:num w:numId="2">
    <w:abstractNumId w:val="19"/>
  </w:num>
  <w:num w:numId="3">
    <w:abstractNumId w:val="10"/>
  </w:num>
  <w:num w:numId="4">
    <w:abstractNumId w:val="16"/>
  </w:num>
  <w:num w:numId="5">
    <w:abstractNumId w:val="4"/>
  </w:num>
  <w:num w:numId="6">
    <w:abstractNumId w:val="3"/>
  </w:num>
  <w:num w:numId="7">
    <w:abstractNumId w:val="17"/>
  </w:num>
  <w:num w:numId="8">
    <w:abstractNumId w:val="12"/>
  </w:num>
  <w:num w:numId="9">
    <w:abstractNumId w:val="15"/>
  </w:num>
  <w:num w:numId="10">
    <w:abstractNumId w:val="8"/>
  </w:num>
  <w:num w:numId="11">
    <w:abstractNumId w:val="0"/>
  </w:num>
  <w:num w:numId="12">
    <w:abstractNumId w:val="9"/>
  </w:num>
  <w:num w:numId="13">
    <w:abstractNumId w:val="14"/>
  </w:num>
  <w:num w:numId="14">
    <w:abstractNumId w:val="18"/>
  </w:num>
  <w:num w:numId="15">
    <w:abstractNumId w:val="11"/>
  </w:num>
  <w:num w:numId="16">
    <w:abstractNumId w:val="13"/>
  </w:num>
  <w:num w:numId="17">
    <w:abstractNumId w:val="1"/>
  </w:num>
  <w:num w:numId="18">
    <w:abstractNumId w:val="2"/>
  </w:num>
  <w:num w:numId="19">
    <w:abstractNumId w:val="6"/>
  </w:num>
  <w:num w:numId="20">
    <w:abstractNumId w:val="5"/>
  </w:num>
  <w:num w:numId="21">
    <w:abstractNumId w:val="5"/>
    <w:lvlOverride w:ilvl="0">
      <w:lvl w:ilvl="0">
        <w:start w:val="1"/>
        <w:numFmt w:val="decimal"/>
        <w:lvlText w:val="%1)"/>
        <w:lvlJc w:val="left"/>
        <w:pPr>
          <w:ind w:left="720" w:hanging="360"/>
        </w:pPr>
        <w:rPr>
          <w:rFonts w:hint="default"/>
          <w:sz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left"/>
        <w:pPr>
          <w:ind w:left="216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 w:ilvl="0">
        <w:start w:val="1"/>
        <w:numFmt w:val="decimal"/>
        <w:lvlText w:val="%1)"/>
        <w:lvlJc w:val="left"/>
        <w:pPr>
          <w:ind w:left="720" w:hanging="360"/>
        </w:pPr>
        <w:rPr>
          <w:sz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7B"/>
    <w:rsid w:val="00027E75"/>
    <w:rsid w:val="00070C69"/>
    <w:rsid w:val="00084D9D"/>
    <w:rsid w:val="0009615A"/>
    <w:rsid w:val="000A3EAE"/>
    <w:rsid w:val="000B6478"/>
    <w:rsid w:val="000C55CE"/>
    <w:rsid w:val="000F7ED2"/>
    <w:rsid w:val="00122969"/>
    <w:rsid w:val="00152FFD"/>
    <w:rsid w:val="0018636D"/>
    <w:rsid w:val="00193661"/>
    <w:rsid w:val="001966BE"/>
    <w:rsid w:val="001D3031"/>
    <w:rsid w:val="001E2947"/>
    <w:rsid w:val="001E2EC2"/>
    <w:rsid w:val="002073C6"/>
    <w:rsid w:val="002913EF"/>
    <w:rsid w:val="002D0B08"/>
    <w:rsid w:val="002E3D8F"/>
    <w:rsid w:val="002F25E8"/>
    <w:rsid w:val="00347ADA"/>
    <w:rsid w:val="00362FE1"/>
    <w:rsid w:val="00376176"/>
    <w:rsid w:val="00390AC9"/>
    <w:rsid w:val="003C1352"/>
    <w:rsid w:val="003C1F67"/>
    <w:rsid w:val="003C487C"/>
    <w:rsid w:val="003E786C"/>
    <w:rsid w:val="003F1B07"/>
    <w:rsid w:val="003F229C"/>
    <w:rsid w:val="00444652"/>
    <w:rsid w:val="0045193B"/>
    <w:rsid w:val="00451BD6"/>
    <w:rsid w:val="0046502A"/>
    <w:rsid w:val="00477993"/>
    <w:rsid w:val="0049246D"/>
    <w:rsid w:val="004A1E65"/>
    <w:rsid w:val="004A4176"/>
    <w:rsid w:val="004D7029"/>
    <w:rsid w:val="004F205D"/>
    <w:rsid w:val="0051609D"/>
    <w:rsid w:val="00534682"/>
    <w:rsid w:val="005855A0"/>
    <w:rsid w:val="00586E63"/>
    <w:rsid w:val="005B0895"/>
    <w:rsid w:val="005D3E25"/>
    <w:rsid w:val="005E717B"/>
    <w:rsid w:val="005F0E14"/>
    <w:rsid w:val="00610130"/>
    <w:rsid w:val="00631681"/>
    <w:rsid w:val="006334FC"/>
    <w:rsid w:val="00635755"/>
    <w:rsid w:val="00642CD3"/>
    <w:rsid w:val="00655012"/>
    <w:rsid w:val="0066051A"/>
    <w:rsid w:val="006905D8"/>
    <w:rsid w:val="006A3686"/>
    <w:rsid w:val="006D4CA9"/>
    <w:rsid w:val="00706129"/>
    <w:rsid w:val="0075518C"/>
    <w:rsid w:val="007A2946"/>
    <w:rsid w:val="007C7281"/>
    <w:rsid w:val="007E5284"/>
    <w:rsid w:val="007F521A"/>
    <w:rsid w:val="00802072"/>
    <w:rsid w:val="00830D43"/>
    <w:rsid w:val="0083639A"/>
    <w:rsid w:val="00840DFC"/>
    <w:rsid w:val="00881537"/>
    <w:rsid w:val="008A05FA"/>
    <w:rsid w:val="008A4602"/>
    <w:rsid w:val="008A54F5"/>
    <w:rsid w:val="008D7817"/>
    <w:rsid w:val="008E4F54"/>
    <w:rsid w:val="00902E96"/>
    <w:rsid w:val="009240F4"/>
    <w:rsid w:val="00935FD2"/>
    <w:rsid w:val="0093604B"/>
    <w:rsid w:val="00963B1A"/>
    <w:rsid w:val="009A087D"/>
    <w:rsid w:val="009B3DD5"/>
    <w:rsid w:val="009B79CF"/>
    <w:rsid w:val="009C7CC6"/>
    <w:rsid w:val="009E6CF5"/>
    <w:rsid w:val="00A02654"/>
    <w:rsid w:val="00A17022"/>
    <w:rsid w:val="00A54F2E"/>
    <w:rsid w:val="00A71077"/>
    <w:rsid w:val="00A736D8"/>
    <w:rsid w:val="00AA4061"/>
    <w:rsid w:val="00B0407B"/>
    <w:rsid w:val="00B40B5E"/>
    <w:rsid w:val="00B60801"/>
    <w:rsid w:val="00B73373"/>
    <w:rsid w:val="00B9250D"/>
    <w:rsid w:val="00BB3220"/>
    <w:rsid w:val="00BC3204"/>
    <w:rsid w:val="00C029DD"/>
    <w:rsid w:val="00C06766"/>
    <w:rsid w:val="00C15545"/>
    <w:rsid w:val="00C26B29"/>
    <w:rsid w:val="00C33D47"/>
    <w:rsid w:val="00C54316"/>
    <w:rsid w:val="00C75553"/>
    <w:rsid w:val="00C80F3F"/>
    <w:rsid w:val="00CA3ECC"/>
    <w:rsid w:val="00CD2A11"/>
    <w:rsid w:val="00CD3F62"/>
    <w:rsid w:val="00D23451"/>
    <w:rsid w:val="00D45751"/>
    <w:rsid w:val="00D5404A"/>
    <w:rsid w:val="00D6506C"/>
    <w:rsid w:val="00DD3071"/>
    <w:rsid w:val="00DE0CFE"/>
    <w:rsid w:val="00DF44C5"/>
    <w:rsid w:val="00DF7037"/>
    <w:rsid w:val="00E26C25"/>
    <w:rsid w:val="00EE47FE"/>
    <w:rsid w:val="00EE6636"/>
    <w:rsid w:val="00F12EF5"/>
    <w:rsid w:val="00F548E0"/>
    <w:rsid w:val="00F71593"/>
    <w:rsid w:val="00F950FA"/>
    <w:rsid w:val="00FB22D8"/>
    <w:rsid w:val="00FD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7B"/>
    <w:pPr>
      <w:ind w:left="720"/>
      <w:contextualSpacing/>
    </w:pPr>
  </w:style>
  <w:style w:type="paragraph" w:styleId="Header">
    <w:name w:val="header"/>
    <w:basedOn w:val="Normal"/>
    <w:link w:val="HeaderChar"/>
    <w:uiPriority w:val="99"/>
    <w:unhideWhenUsed/>
    <w:rsid w:val="00EE6636"/>
    <w:pPr>
      <w:tabs>
        <w:tab w:val="center" w:pos="4680"/>
        <w:tab w:val="right" w:pos="9360"/>
      </w:tabs>
    </w:pPr>
  </w:style>
  <w:style w:type="character" w:customStyle="1" w:styleId="HeaderChar">
    <w:name w:val="Header Char"/>
    <w:basedOn w:val="DefaultParagraphFont"/>
    <w:link w:val="Header"/>
    <w:uiPriority w:val="99"/>
    <w:rsid w:val="00EE6636"/>
  </w:style>
  <w:style w:type="paragraph" w:styleId="Footer">
    <w:name w:val="footer"/>
    <w:basedOn w:val="Normal"/>
    <w:link w:val="FooterChar"/>
    <w:uiPriority w:val="99"/>
    <w:unhideWhenUsed/>
    <w:rsid w:val="00EE6636"/>
    <w:pPr>
      <w:tabs>
        <w:tab w:val="center" w:pos="4680"/>
        <w:tab w:val="right" w:pos="9360"/>
      </w:tabs>
    </w:pPr>
  </w:style>
  <w:style w:type="character" w:customStyle="1" w:styleId="FooterChar">
    <w:name w:val="Footer Char"/>
    <w:basedOn w:val="DefaultParagraphFont"/>
    <w:link w:val="Footer"/>
    <w:uiPriority w:val="99"/>
    <w:rsid w:val="00EE6636"/>
  </w:style>
  <w:style w:type="character" w:styleId="CommentReference">
    <w:name w:val="annotation reference"/>
    <w:basedOn w:val="DefaultParagraphFont"/>
    <w:uiPriority w:val="99"/>
    <w:semiHidden/>
    <w:unhideWhenUsed/>
    <w:rsid w:val="009240F4"/>
    <w:rPr>
      <w:sz w:val="16"/>
      <w:szCs w:val="16"/>
    </w:rPr>
  </w:style>
  <w:style w:type="paragraph" w:styleId="CommentText">
    <w:name w:val="annotation text"/>
    <w:basedOn w:val="Normal"/>
    <w:link w:val="CommentTextChar"/>
    <w:uiPriority w:val="99"/>
    <w:semiHidden/>
    <w:unhideWhenUsed/>
    <w:rsid w:val="009240F4"/>
    <w:rPr>
      <w:sz w:val="20"/>
      <w:szCs w:val="20"/>
    </w:rPr>
  </w:style>
  <w:style w:type="character" w:customStyle="1" w:styleId="CommentTextChar">
    <w:name w:val="Comment Text Char"/>
    <w:basedOn w:val="DefaultParagraphFont"/>
    <w:link w:val="CommentText"/>
    <w:uiPriority w:val="99"/>
    <w:semiHidden/>
    <w:rsid w:val="009240F4"/>
    <w:rPr>
      <w:sz w:val="20"/>
      <w:szCs w:val="20"/>
    </w:rPr>
  </w:style>
  <w:style w:type="paragraph" w:styleId="CommentSubject">
    <w:name w:val="annotation subject"/>
    <w:basedOn w:val="CommentText"/>
    <w:next w:val="CommentText"/>
    <w:link w:val="CommentSubjectChar"/>
    <w:uiPriority w:val="99"/>
    <w:semiHidden/>
    <w:unhideWhenUsed/>
    <w:rsid w:val="009240F4"/>
    <w:rPr>
      <w:b/>
      <w:bCs/>
    </w:rPr>
  </w:style>
  <w:style w:type="character" w:customStyle="1" w:styleId="CommentSubjectChar">
    <w:name w:val="Comment Subject Char"/>
    <w:basedOn w:val="CommentTextChar"/>
    <w:link w:val="CommentSubject"/>
    <w:uiPriority w:val="99"/>
    <w:semiHidden/>
    <w:rsid w:val="009240F4"/>
    <w:rPr>
      <w:b/>
      <w:bCs/>
      <w:sz w:val="20"/>
      <w:szCs w:val="20"/>
    </w:rPr>
  </w:style>
  <w:style w:type="paragraph" w:styleId="BalloonText">
    <w:name w:val="Balloon Text"/>
    <w:basedOn w:val="Normal"/>
    <w:link w:val="BalloonTextChar"/>
    <w:uiPriority w:val="99"/>
    <w:semiHidden/>
    <w:unhideWhenUsed/>
    <w:rsid w:val="00924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F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7B"/>
    <w:pPr>
      <w:ind w:left="720"/>
      <w:contextualSpacing/>
    </w:pPr>
  </w:style>
  <w:style w:type="paragraph" w:styleId="Header">
    <w:name w:val="header"/>
    <w:basedOn w:val="Normal"/>
    <w:link w:val="HeaderChar"/>
    <w:uiPriority w:val="99"/>
    <w:unhideWhenUsed/>
    <w:rsid w:val="00EE6636"/>
    <w:pPr>
      <w:tabs>
        <w:tab w:val="center" w:pos="4680"/>
        <w:tab w:val="right" w:pos="9360"/>
      </w:tabs>
    </w:pPr>
  </w:style>
  <w:style w:type="character" w:customStyle="1" w:styleId="HeaderChar">
    <w:name w:val="Header Char"/>
    <w:basedOn w:val="DefaultParagraphFont"/>
    <w:link w:val="Header"/>
    <w:uiPriority w:val="99"/>
    <w:rsid w:val="00EE6636"/>
  </w:style>
  <w:style w:type="paragraph" w:styleId="Footer">
    <w:name w:val="footer"/>
    <w:basedOn w:val="Normal"/>
    <w:link w:val="FooterChar"/>
    <w:uiPriority w:val="99"/>
    <w:unhideWhenUsed/>
    <w:rsid w:val="00EE6636"/>
    <w:pPr>
      <w:tabs>
        <w:tab w:val="center" w:pos="4680"/>
        <w:tab w:val="right" w:pos="9360"/>
      </w:tabs>
    </w:pPr>
  </w:style>
  <w:style w:type="character" w:customStyle="1" w:styleId="FooterChar">
    <w:name w:val="Footer Char"/>
    <w:basedOn w:val="DefaultParagraphFont"/>
    <w:link w:val="Footer"/>
    <w:uiPriority w:val="99"/>
    <w:rsid w:val="00EE6636"/>
  </w:style>
  <w:style w:type="character" w:styleId="CommentReference">
    <w:name w:val="annotation reference"/>
    <w:basedOn w:val="DefaultParagraphFont"/>
    <w:uiPriority w:val="99"/>
    <w:semiHidden/>
    <w:unhideWhenUsed/>
    <w:rsid w:val="009240F4"/>
    <w:rPr>
      <w:sz w:val="16"/>
      <w:szCs w:val="16"/>
    </w:rPr>
  </w:style>
  <w:style w:type="paragraph" w:styleId="CommentText">
    <w:name w:val="annotation text"/>
    <w:basedOn w:val="Normal"/>
    <w:link w:val="CommentTextChar"/>
    <w:uiPriority w:val="99"/>
    <w:semiHidden/>
    <w:unhideWhenUsed/>
    <w:rsid w:val="009240F4"/>
    <w:rPr>
      <w:sz w:val="20"/>
      <w:szCs w:val="20"/>
    </w:rPr>
  </w:style>
  <w:style w:type="character" w:customStyle="1" w:styleId="CommentTextChar">
    <w:name w:val="Comment Text Char"/>
    <w:basedOn w:val="DefaultParagraphFont"/>
    <w:link w:val="CommentText"/>
    <w:uiPriority w:val="99"/>
    <w:semiHidden/>
    <w:rsid w:val="009240F4"/>
    <w:rPr>
      <w:sz w:val="20"/>
      <w:szCs w:val="20"/>
    </w:rPr>
  </w:style>
  <w:style w:type="paragraph" w:styleId="CommentSubject">
    <w:name w:val="annotation subject"/>
    <w:basedOn w:val="CommentText"/>
    <w:next w:val="CommentText"/>
    <w:link w:val="CommentSubjectChar"/>
    <w:uiPriority w:val="99"/>
    <w:semiHidden/>
    <w:unhideWhenUsed/>
    <w:rsid w:val="009240F4"/>
    <w:rPr>
      <w:b/>
      <w:bCs/>
    </w:rPr>
  </w:style>
  <w:style w:type="character" w:customStyle="1" w:styleId="CommentSubjectChar">
    <w:name w:val="Comment Subject Char"/>
    <w:basedOn w:val="CommentTextChar"/>
    <w:link w:val="CommentSubject"/>
    <w:uiPriority w:val="99"/>
    <w:semiHidden/>
    <w:rsid w:val="009240F4"/>
    <w:rPr>
      <w:b/>
      <w:bCs/>
      <w:sz w:val="20"/>
      <w:szCs w:val="20"/>
    </w:rPr>
  </w:style>
  <w:style w:type="paragraph" w:styleId="BalloonText">
    <w:name w:val="Balloon Text"/>
    <w:basedOn w:val="Normal"/>
    <w:link w:val="BalloonTextChar"/>
    <w:uiPriority w:val="99"/>
    <w:semiHidden/>
    <w:unhideWhenUsed/>
    <w:rsid w:val="00924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6020">
      <w:bodyDiv w:val="1"/>
      <w:marLeft w:val="0"/>
      <w:marRight w:val="0"/>
      <w:marTop w:val="0"/>
      <w:marBottom w:val="0"/>
      <w:divBdr>
        <w:top w:val="none" w:sz="0" w:space="0" w:color="auto"/>
        <w:left w:val="none" w:sz="0" w:space="0" w:color="auto"/>
        <w:bottom w:val="none" w:sz="0" w:space="0" w:color="auto"/>
        <w:right w:val="none" w:sz="0" w:space="0" w:color="auto"/>
      </w:divBdr>
    </w:div>
    <w:div w:id="1619022527">
      <w:bodyDiv w:val="1"/>
      <w:marLeft w:val="0"/>
      <w:marRight w:val="0"/>
      <w:marTop w:val="0"/>
      <w:marBottom w:val="0"/>
      <w:divBdr>
        <w:top w:val="none" w:sz="0" w:space="0" w:color="auto"/>
        <w:left w:val="none" w:sz="0" w:space="0" w:color="auto"/>
        <w:bottom w:val="none" w:sz="0" w:space="0" w:color="auto"/>
        <w:right w:val="none" w:sz="0" w:space="0" w:color="auto"/>
      </w:divBdr>
    </w:div>
    <w:div w:id="19228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2d64012d4da40893e015c24285ea86be">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2c823ec990de52d965b23e46b564a88d"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Approval Package"/>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Release"/>
          <xsd:enumeration value="Public Communications"/>
          <xsd:enumeration value="Qs +As Documents"/>
          <xsd:enumeration value="Report to Congres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2464</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Division xmlns="529ba1de-83f7-4614-a33a-20d5c69b3234">DEA</Division>
    <Due_x0020_Date xmlns="529ba1de-83f7-4614-a33a-20d5c69b3234" xsi:nil="true"/>
    <Program xmlns="529ba1de-83f7-4614-a33a-20d5c69b3234">LIHEAP</Program>
    <V3Comments xmlns="http://schemas.microsoft.com/sharepoint/v3">&lt;div&gt;&lt;/div&gt;</V3Comments>
    <Fiscal_x0020_Year xmlns="529ba1de-83f7-4614-a33a-20d5c69b3234">2018</Fiscal_x0020_Year>
    <Mailed_x0020_Out_x0020_Date xmlns="529ba1de-83f7-4614-a33a-20d5c69b3234" xsi:nil="true"/>
    <Notes0 xmlns="529ba1de-83f7-4614-a33a-20d5c69b3234" xsi:nil="true"/>
    <Lead_x0020_POC xmlns="529ba1de-83f7-4614-a33a-20d5c69b3234">
      <UserInfo>
        <DisplayName>Edelman, Peter (ACF)</DisplayName>
        <AccountId>38</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5381D-4FA7-49E5-B500-4A8EDAFB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6883-3FA1-405C-A402-CD280780DBB2}">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3.xml><?xml version="1.0" encoding="utf-8"?>
<ds:datastoreItem xmlns:ds="http://schemas.openxmlformats.org/officeDocument/2006/customXml" ds:itemID="{A2797984-86DA-49CA-8156-5856745EE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SYSTEM</cp:lastModifiedBy>
  <cp:revision>2</cp:revision>
  <dcterms:created xsi:type="dcterms:W3CDTF">2019-04-22T20:18:00Z</dcterms:created>
  <dcterms:modified xsi:type="dcterms:W3CDTF">2019-04-22T20:18:00Z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