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75F" w:rsidRPr="007C6A35" w:rsidRDefault="00A0675F" w:rsidP="00A0675F">
      <w:pPr>
        <w:jc w:val="center"/>
        <w:rPr>
          <w:b/>
          <w:bCs/>
          <w:sz w:val="24"/>
          <w:szCs w:val="24"/>
        </w:rPr>
      </w:pPr>
      <w:bookmarkStart w:id="0" w:name="_GoBack"/>
      <w:bookmarkEnd w:id="0"/>
      <w:r w:rsidRPr="007C6A35">
        <w:rPr>
          <w:b/>
          <w:bCs/>
          <w:sz w:val="24"/>
          <w:szCs w:val="24"/>
        </w:rPr>
        <w:t xml:space="preserve">SUPPORTING STATEMENT FOR THE </w:t>
      </w:r>
    </w:p>
    <w:p w:rsidR="00A0675F" w:rsidRPr="007C6A35" w:rsidRDefault="00A0675F" w:rsidP="00A0675F">
      <w:pPr>
        <w:jc w:val="center"/>
        <w:rPr>
          <w:b/>
          <w:bCs/>
          <w:sz w:val="24"/>
          <w:szCs w:val="24"/>
        </w:rPr>
      </w:pPr>
      <w:r w:rsidRPr="007C6A35">
        <w:rPr>
          <w:b/>
          <w:bCs/>
          <w:sz w:val="24"/>
          <w:szCs w:val="24"/>
        </w:rPr>
        <w:t>INFORMATION COLLECTION REQUIREMENTS IN</w:t>
      </w:r>
    </w:p>
    <w:p w:rsidR="00A0675F" w:rsidRPr="007C6A35" w:rsidRDefault="00A0675F" w:rsidP="00A0675F">
      <w:pPr>
        <w:jc w:val="center"/>
        <w:rPr>
          <w:b/>
          <w:bCs/>
          <w:sz w:val="24"/>
          <w:szCs w:val="24"/>
        </w:rPr>
      </w:pPr>
      <w:r w:rsidRPr="007C6A35">
        <w:rPr>
          <w:b/>
          <w:bCs/>
          <w:sz w:val="24"/>
          <w:szCs w:val="24"/>
        </w:rPr>
        <w:t xml:space="preserve">THE </w:t>
      </w:r>
      <w:bookmarkStart w:id="1" w:name="OLE_LINK1"/>
      <w:bookmarkStart w:id="2" w:name="OLE_LINK2"/>
      <w:r w:rsidRPr="007C6A35">
        <w:rPr>
          <w:b/>
          <w:bCs/>
          <w:sz w:val="24"/>
          <w:szCs w:val="24"/>
        </w:rPr>
        <w:t>TEMPORARY LABOR CAMPS STANDARD (1910.142)</w:t>
      </w:r>
      <w:r w:rsidRPr="007C6A35">
        <w:rPr>
          <w:b/>
          <w:bCs/>
          <w:sz w:val="24"/>
          <w:szCs w:val="24"/>
          <w:vertAlign w:val="superscript"/>
        </w:rPr>
        <w:footnoteReference w:id="1"/>
      </w:r>
      <w:r w:rsidRPr="007C6A35">
        <w:rPr>
          <w:b/>
          <w:bCs/>
          <w:sz w:val="24"/>
          <w:szCs w:val="24"/>
        </w:rPr>
        <w:t xml:space="preserve"> </w:t>
      </w:r>
    </w:p>
    <w:p w:rsidR="00A0675F" w:rsidRPr="007C6A35" w:rsidRDefault="00A0675F" w:rsidP="00A0675F">
      <w:pPr>
        <w:jc w:val="center"/>
        <w:rPr>
          <w:b/>
          <w:bCs/>
          <w:sz w:val="24"/>
          <w:szCs w:val="24"/>
        </w:rPr>
      </w:pPr>
      <w:r w:rsidRPr="007C6A35">
        <w:rPr>
          <w:b/>
          <w:bCs/>
          <w:sz w:val="24"/>
          <w:szCs w:val="24"/>
        </w:rPr>
        <w:t>OFFICE OF MANAGEMENT AND BUDGET (OMB)</w:t>
      </w:r>
    </w:p>
    <w:p w:rsidR="00A0675F" w:rsidRDefault="00A0675F" w:rsidP="00A0675F">
      <w:pPr>
        <w:jc w:val="center"/>
        <w:rPr>
          <w:b/>
          <w:bCs/>
          <w:sz w:val="24"/>
          <w:szCs w:val="24"/>
        </w:rPr>
      </w:pPr>
      <w:r w:rsidRPr="007C6A35">
        <w:rPr>
          <w:b/>
          <w:bCs/>
          <w:sz w:val="24"/>
          <w:szCs w:val="24"/>
        </w:rPr>
        <w:t xml:space="preserve">CONTROL NO. 1218-0096 </w:t>
      </w:r>
      <w:r w:rsidR="00E32CDC">
        <w:rPr>
          <w:b/>
          <w:bCs/>
          <w:sz w:val="24"/>
          <w:szCs w:val="24"/>
        </w:rPr>
        <w:t>(</w:t>
      </w:r>
      <w:r w:rsidR="00D92A82">
        <w:rPr>
          <w:b/>
          <w:bCs/>
          <w:sz w:val="24"/>
          <w:szCs w:val="24"/>
        </w:rPr>
        <w:t>August 2019</w:t>
      </w:r>
      <w:r w:rsidRPr="007C6A35">
        <w:rPr>
          <w:b/>
          <w:bCs/>
          <w:sz w:val="24"/>
          <w:szCs w:val="24"/>
        </w:rPr>
        <w:t>)</w:t>
      </w:r>
    </w:p>
    <w:p w:rsidR="00265F0E" w:rsidRPr="007C6A35" w:rsidRDefault="00265F0E" w:rsidP="00A0675F">
      <w:pPr>
        <w:jc w:val="center"/>
        <w:rPr>
          <w:b/>
          <w:bCs/>
          <w:sz w:val="24"/>
          <w:szCs w:val="24"/>
        </w:rPr>
      </w:pPr>
    </w:p>
    <w:p w:rsidR="00D42C9C" w:rsidRPr="006D43C7" w:rsidRDefault="00480372" w:rsidP="00F91151">
      <w:pPr>
        <w:ind w:left="-90"/>
        <w:rPr>
          <w:bCs/>
          <w:sz w:val="24"/>
          <w:szCs w:val="24"/>
          <w:u w:val="single"/>
        </w:rPr>
      </w:pPr>
      <w:r w:rsidRPr="006D43C7">
        <w:rPr>
          <w:bCs/>
          <w:sz w:val="24"/>
          <w:szCs w:val="24"/>
          <w:u w:val="single"/>
        </w:rPr>
        <w:t>This ICR seeks to extend authorization for this collection without changes.</w:t>
      </w:r>
    </w:p>
    <w:p w:rsidR="00480372" w:rsidRPr="006D43C7" w:rsidRDefault="00480372" w:rsidP="006D43C7">
      <w:pPr>
        <w:rPr>
          <w:bCs/>
          <w:sz w:val="24"/>
          <w:szCs w:val="24"/>
          <w:u w:val="single"/>
        </w:rPr>
      </w:pPr>
    </w:p>
    <w:bookmarkEnd w:id="1"/>
    <w:bookmarkEnd w:id="2"/>
    <w:p w:rsidR="006D66D7" w:rsidRDefault="00D42C9C" w:rsidP="006D66D7">
      <w:pPr>
        <w:numPr>
          <w:ilvl w:val="0"/>
          <w:numId w:val="4"/>
        </w:numPr>
        <w:ind w:left="360" w:hanging="450"/>
        <w:rPr>
          <w:b/>
          <w:sz w:val="24"/>
          <w:szCs w:val="24"/>
        </w:rPr>
      </w:pPr>
      <w:r w:rsidRPr="007C6A35">
        <w:rPr>
          <w:b/>
          <w:sz w:val="24"/>
          <w:szCs w:val="24"/>
        </w:rPr>
        <w:t>JUSTIFICATION</w:t>
      </w:r>
      <w:r w:rsidR="00A0675F" w:rsidRPr="007C6A35">
        <w:rPr>
          <w:b/>
          <w:sz w:val="24"/>
          <w:szCs w:val="24"/>
        </w:rPr>
        <w:tab/>
      </w:r>
      <w:r w:rsidR="00A0675F" w:rsidRPr="007C6A35">
        <w:rPr>
          <w:b/>
          <w:sz w:val="24"/>
          <w:szCs w:val="24"/>
        </w:rPr>
        <w:tab/>
      </w:r>
      <w:r w:rsidR="00A0675F" w:rsidRPr="007C6A35">
        <w:rPr>
          <w:b/>
          <w:sz w:val="24"/>
          <w:szCs w:val="24"/>
        </w:rPr>
        <w:tab/>
      </w:r>
      <w:r w:rsidR="00A0675F" w:rsidRPr="007C6A35">
        <w:rPr>
          <w:b/>
          <w:sz w:val="24"/>
          <w:szCs w:val="24"/>
        </w:rPr>
        <w:tab/>
      </w:r>
      <w:r w:rsidR="00A0675F" w:rsidRPr="007C6A35">
        <w:rPr>
          <w:b/>
          <w:sz w:val="24"/>
          <w:szCs w:val="24"/>
        </w:rPr>
        <w:tab/>
      </w:r>
    </w:p>
    <w:p w:rsidR="006D66D7" w:rsidRDefault="006D66D7" w:rsidP="006D66D7">
      <w:pPr>
        <w:ind w:left="360"/>
        <w:rPr>
          <w:b/>
          <w:sz w:val="24"/>
          <w:szCs w:val="24"/>
        </w:rPr>
      </w:pPr>
    </w:p>
    <w:p w:rsidR="00A0675F" w:rsidRPr="006D66D7" w:rsidRDefault="00894B5C" w:rsidP="006D66D7">
      <w:pPr>
        <w:numPr>
          <w:ilvl w:val="0"/>
          <w:numId w:val="11"/>
        </w:numPr>
        <w:rPr>
          <w:b/>
          <w:sz w:val="24"/>
          <w:szCs w:val="24"/>
        </w:rPr>
      </w:pPr>
      <w:r w:rsidRPr="006D66D7">
        <w:rPr>
          <w:b/>
          <w:bCs/>
          <w:sz w:val="24"/>
          <w:szCs w:val="24"/>
        </w:rPr>
        <w:t>E</w:t>
      </w:r>
      <w:r w:rsidR="00A0675F" w:rsidRPr="006D66D7">
        <w:rPr>
          <w:b/>
          <w:bCs/>
          <w:sz w:val="24"/>
          <w:szCs w:val="24"/>
        </w:rPr>
        <w:t>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0675F" w:rsidRPr="007C6A35" w:rsidRDefault="00A0675F" w:rsidP="00A0675F">
      <w:pPr>
        <w:rPr>
          <w:sz w:val="24"/>
          <w:szCs w:val="24"/>
        </w:rPr>
      </w:pPr>
    </w:p>
    <w:p w:rsidR="00F07A39" w:rsidRPr="007C6A35" w:rsidRDefault="00A0675F" w:rsidP="00A76DEA">
      <w:pPr>
        <w:ind w:left="-90"/>
        <w:rPr>
          <w:sz w:val="24"/>
          <w:szCs w:val="24"/>
        </w:rPr>
      </w:pPr>
      <w:r w:rsidRPr="007C6A35">
        <w:rPr>
          <w:sz w:val="24"/>
          <w:szCs w:val="24"/>
        </w:rPr>
        <w:t>The</w:t>
      </w:r>
      <w:r w:rsidR="00A90654" w:rsidRPr="007C6A35">
        <w:rPr>
          <w:sz w:val="24"/>
          <w:szCs w:val="24"/>
        </w:rPr>
        <w:t xml:space="preserve"> </w:t>
      </w:r>
      <w:r w:rsidR="006150B4" w:rsidRPr="007C6A35">
        <w:rPr>
          <w:sz w:val="24"/>
          <w:szCs w:val="24"/>
        </w:rPr>
        <w:t>ma</w:t>
      </w:r>
      <w:r w:rsidR="00DF67BB" w:rsidRPr="007C6A35">
        <w:rPr>
          <w:sz w:val="24"/>
          <w:szCs w:val="24"/>
        </w:rPr>
        <w:t xml:space="preserve">in purpose </w:t>
      </w:r>
      <w:r w:rsidR="006150B4" w:rsidRPr="007C6A35">
        <w:rPr>
          <w:sz w:val="24"/>
          <w:szCs w:val="24"/>
        </w:rPr>
        <w:t xml:space="preserve">of the </w:t>
      </w:r>
      <w:r w:rsidRPr="007C6A35">
        <w:rPr>
          <w:sz w:val="24"/>
          <w:szCs w:val="24"/>
        </w:rPr>
        <w:t xml:space="preserve">Occupational Safety and Health Act </w:t>
      </w:r>
      <w:r w:rsidR="00B14DA5" w:rsidRPr="007C6A35">
        <w:rPr>
          <w:sz w:val="24"/>
          <w:szCs w:val="24"/>
        </w:rPr>
        <w:t>(“</w:t>
      </w:r>
      <w:r w:rsidRPr="007C6A35">
        <w:rPr>
          <w:sz w:val="24"/>
          <w:szCs w:val="24"/>
        </w:rPr>
        <w:t>OSH Act</w:t>
      </w:r>
      <w:r w:rsidR="0071406B" w:rsidRPr="007C6A35">
        <w:rPr>
          <w:sz w:val="24"/>
          <w:szCs w:val="24"/>
        </w:rPr>
        <w:t xml:space="preserve"> or “Act’’</w:t>
      </w:r>
      <w:r w:rsidR="001F04D1" w:rsidRPr="007C6A35">
        <w:rPr>
          <w:sz w:val="24"/>
          <w:szCs w:val="24"/>
        </w:rPr>
        <w:t>)</w:t>
      </w:r>
      <w:r w:rsidR="00A90654" w:rsidRPr="007C6A35">
        <w:rPr>
          <w:sz w:val="24"/>
          <w:szCs w:val="24"/>
        </w:rPr>
        <w:t xml:space="preserve"> </w:t>
      </w:r>
      <w:r w:rsidR="0071406B" w:rsidRPr="007C6A35">
        <w:rPr>
          <w:sz w:val="24"/>
          <w:szCs w:val="24"/>
        </w:rPr>
        <w:t xml:space="preserve">is to “assure” so far as possible every working man and woman in the Nation safe and healthful working conditions and to preserve our human </w:t>
      </w:r>
      <w:r w:rsidR="00B14DA5" w:rsidRPr="007C6A35">
        <w:rPr>
          <w:sz w:val="24"/>
          <w:szCs w:val="24"/>
        </w:rPr>
        <w:t>resources’ (</w:t>
      </w:r>
      <w:r w:rsidRPr="007C6A35">
        <w:rPr>
          <w:sz w:val="24"/>
          <w:szCs w:val="24"/>
        </w:rPr>
        <w:t>29 U.S.C. 651)</w:t>
      </w:r>
      <w:r w:rsidR="00D113FB" w:rsidRPr="007C6A35">
        <w:rPr>
          <w:sz w:val="24"/>
          <w:szCs w:val="24"/>
        </w:rPr>
        <w:t xml:space="preserve"> </w:t>
      </w:r>
      <w:r w:rsidR="0071406B" w:rsidRPr="007C6A35">
        <w:rPr>
          <w:sz w:val="24"/>
          <w:szCs w:val="24"/>
        </w:rPr>
        <w:t>to achieve this objective, the OSHA Act specifically</w:t>
      </w:r>
      <w:r w:rsidRPr="007C6A35">
        <w:rPr>
          <w:sz w:val="24"/>
          <w:szCs w:val="24"/>
        </w:rPr>
        <w:t xml:space="preserve"> authorizes the </w:t>
      </w:r>
      <w:r w:rsidR="0071406B" w:rsidRPr="007C6A35">
        <w:rPr>
          <w:sz w:val="24"/>
          <w:szCs w:val="24"/>
        </w:rPr>
        <w:t xml:space="preserve">development </w:t>
      </w:r>
      <w:r w:rsidR="001A03F0">
        <w:rPr>
          <w:sz w:val="24"/>
          <w:szCs w:val="24"/>
        </w:rPr>
        <w:t xml:space="preserve">and </w:t>
      </w:r>
      <w:r w:rsidRPr="007C6A35">
        <w:rPr>
          <w:sz w:val="24"/>
          <w:szCs w:val="24"/>
        </w:rPr>
        <w:t xml:space="preserve">promulgation of </w:t>
      </w:r>
      <w:r w:rsidR="00B14DA5" w:rsidRPr="007C6A35">
        <w:rPr>
          <w:sz w:val="24"/>
          <w:szCs w:val="24"/>
        </w:rPr>
        <w:t>occupational safety and</w:t>
      </w:r>
      <w:r w:rsidR="0071406B" w:rsidRPr="007C6A35">
        <w:rPr>
          <w:sz w:val="24"/>
          <w:szCs w:val="24"/>
        </w:rPr>
        <w:t xml:space="preserve"> health</w:t>
      </w:r>
      <w:r w:rsidRPr="007C6A35">
        <w:rPr>
          <w:sz w:val="24"/>
          <w:szCs w:val="24"/>
        </w:rPr>
        <w:t xml:space="preserve"> standards</w:t>
      </w:r>
      <w:r w:rsidR="0071406B" w:rsidRPr="007C6A35">
        <w:rPr>
          <w:sz w:val="24"/>
          <w:szCs w:val="24"/>
        </w:rPr>
        <w:t>” (29 U.S.C. 651).  The Act states further that “[t]he Secretary …</w:t>
      </w:r>
      <w:r w:rsidR="00F07A39" w:rsidRPr="007C6A35">
        <w:rPr>
          <w:sz w:val="24"/>
          <w:szCs w:val="24"/>
        </w:rPr>
        <w:t xml:space="preserve"> shall prescribe such rules and regulations as [he/she] may deem necessary to carry out [his/her] responsibilities under this Act, including rules and regulations dealing with the inspection of an  employer’s establishment”</w:t>
      </w:r>
      <w:r w:rsidR="00F32313">
        <w:rPr>
          <w:sz w:val="24"/>
          <w:szCs w:val="24"/>
        </w:rPr>
        <w:t xml:space="preserve"> </w:t>
      </w:r>
      <w:r w:rsidR="00F07A39" w:rsidRPr="007C6A35">
        <w:rPr>
          <w:sz w:val="24"/>
          <w:szCs w:val="24"/>
        </w:rPr>
        <w:t>(29 U.S.C 651).</w:t>
      </w:r>
    </w:p>
    <w:p w:rsidR="00F07A39" w:rsidRPr="007C6A35" w:rsidRDefault="00F07A39" w:rsidP="00A76DEA">
      <w:pPr>
        <w:ind w:left="-90"/>
        <w:rPr>
          <w:sz w:val="24"/>
          <w:szCs w:val="24"/>
        </w:rPr>
      </w:pPr>
    </w:p>
    <w:p w:rsidR="00BC2406" w:rsidRPr="007C6A35" w:rsidRDefault="003A156D" w:rsidP="00BC2406">
      <w:pPr>
        <w:ind w:left="-90"/>
        <w:rPr>
          <w:sz w:val="24"/>
          <w:szCs w:val="24"/>
        </w:rPr>
      </w:pPr>
      <w:r w:rsidRPr="007C6A35">
        <w:rPr>
          <w:sz w:val="24"/>
          <w:szCs w:val="24"/>
        </w:rPr>
        <w:t>To protect worker health, the OSH Act authorizes the Occupational Safety and Health Administration (“OSHA” or “</w:t>
      </w:r>
      <w:r w:rsidR="004D7761">
        <w:rPr>
          <w:sz w:val="24"/>
          <w:szCs w:val="24"/>
        </w:rPr>
        <w:t>a</w:t>
      </w:r>
      <w:r w:rsidR="004D7761" w:rsidRPr="007C6A35">
        <w:rPr>
          <w:sz w:val="24"/>
          <w:szCs w:val="24"/>
        </w:rPr>
        <w:t>gency</w:t>
      </w:r>
      <w:r w:rsidRPr="007C6A35">
        <w:rPr>
          <w:sz w:val="24"/>
          <w:szCs w:val="24"/>
        </w:rPr>
        <w:t>”) to develop standards that provide for “monitoring or measuring worker exposure” to occupational hazards and “prescribe the type and frequency of medical examinations and other tests which shall be made available [by the employer] to workers exposed to such hazards . . . to most effectively determine whether the health of such workers is adversely affected by such exposure” (29 U.S.C. 655).  Moreover, the Act directs OSHA to “issue regulations requiring employers to maintain accurate records of worker exposures to potentially toxic materials or other harmful physical agents which are required to be monitored and measured . . . " (29 U.S.C. 657).  In addition, the OSH Act mandates that “[e]ach employer shall make, keep and preserve, and make available to the Secretary [of Labor] . . . such records regarding [the employer’s] activities relating to this Act as the Secretary . . . may prescribe by regulation as necessary or appropriate for the enforcement of this Act . . . ” (29 U.S.C. 657).</w:t>
      </w:r>
    </w:p>
    <w:p w:rsidR="00BC2406" w:rsidRPr="007C6A35" w:rsidRDefault="00BC2406" w:rsidP="00BC2406">
      <w:pPr>
        <w:ind w:left="-90"/>
        <w:rPr>
          <w:sz w:val="24"/>
          <w:szCs w:val="24"/>
        </w:rPr>
      </w:pPr>
    </w:p>
    <w:p w:rsidR="003A156D" w:rsidRPr="007C6A35" w:rsidRDefault="003A156D" w:rsidP="008D0929">
      <w:pPr>
        <w:ind w:left="-90"/>
        <w:rPr>
          <w:sz w:val="24"/>
          <w:szCs w:val="24"/>
        </w:rPr>
      </w:pPr>
      <w:r w:rsidRPr="00EF1D5F">
        <w:rPr>
          <w:sz w:val="24"/>
          <w:szCs w:val="24"/>
        </w:rPr>
        <w:t xml:space="preserve">The Act authorizes the </w:t>
      </w:r>
      <w:r w:rsidR="004D7761">
        <w:rPr>
          <w:sz w:val="24"/>
          <w:szCs w:val="24"/>
        </w:rPr>
        <w:t>a</w:t>
      </w:r>
      <w:r w:rsidR="004D7761" w:rsidRPr="00EF1D5F">
        <w:rPr>
          <w:sz w:val="24"/>
          <w:szCs w:val="24"/>
        </w:rPr>
        <w:t xml:space="preserve">gency </w:t>
      </w:r>
      <w:r w:rsidRPr="00EF1D5F">
        <w:rPr>
          <w:sz w:val="24"/>
          <w:szCs w:val="24"/>
        </w:rPr>
        <w:t xml:space="preserve">to issue standards that “prescribe use of labels or other appropriate forms of warning as are necessary to insure that workers are apprised of all hazards to which they are exposed, relevant symptoms and appropriate emergency treatment, and proper conditions and precautions of safe use or exposure” (29 U.S.C. 655).  Additionally, the OSH Act mandates that </w:t>
      </w:r>
      <w:r w:rsidRPr="00DA7538">
        <w:rPr>
          <w:sz w:val="24"/>
          <w:szCs w:val="24"/>
        </w:rPr>
        <w:t>“[e]ach employer shall make, keep and preserve, and make available to the Secretary . . . such</w:t>
      </w:r>
      <w:r w:rsidRPr="007C6A35">
        <w:rPr>
          <w:sz w:val="24"/>
          <w:szCs w:val="24"/>
        </w:rPr>
        <w:t xml:space="preserve"> </w:t>
      </w:r>
      <w:r w:rsidRPr="007C6A35">
        <w:rPr>
          <w:sz w:val="24"/>
          <w:szCs w:val="24"/>
        </w:rPr>
        <w:lastRenderedPageBreak/>
        <w:t>records . . . as the Secretary . . . may prescribe by regulation as necessary or appropriate for the enforcement of this</w:t>
      </w:r>
      <w:r w:rsidR="008D0929" w:rsidRPr="007C6A35">
        <w:rPr>
          <w:sz w:val="24"/>
          <w:szCs w:val="24"/>
        </w:rPr>
        <w:t xml:space="preserve"> </w:t>
      </w:r>
      <w:r w:rsidRPr="007C6A35">
        <w:rPr>
          <w:sz w:val="24"/>
          <w:szCs w:val="24"/>
        </w:rPr>
        <w:t>Act . . . ” (29 U.S.C. 657).</w:t>
      </w:r>
    </w:p>
    <w:p w:rsidR="00087D75" w:rsidRPr="007C6A35" w:rsidRDefault="00087D75" w:rsidP="003A156D">
      <w:pPr>
        <w:rPr>
          <w:sz w:val="24"/>
          <w:szCs w:val="24"/>
        </w:rPr>
      </w:pPr>
    </w:p>
    <w:p w:rsidR="008D0929" w:rsidRPr="007C6A35" w:rsidRDefault="00087D75" w:rsidP="008D0929">
      <w:pPr>
        <w:ind w:left="-90"/>
        <w:rPr>
          <w:sz w:val="24"/>
          <w:szCs w:val="24"/>
        </w:rPr>
      </w:pPr>
      <w:r w:rsidRPr="007C6A35">
        <w:rPr>
          <w:sz w:val="24"/>
          <w:szCs w:val="24"/>
        </w:rPr>
        <w:t xml:space="preserve">Pursuant to its statutory authority, OSHA promulgated an occupational health standard covering living conditions in temporary labor camps (29 CFR 1910.142).  The specific information collection provisions of the Temporary Labor Camps Standard require employers to report to the local public health officer the name and address of any individual in the camp known to have, or suspected of having, a communicable disease.  Employers are also required to notify local public health authorities of each occurrence of a suspected case of food poisoning or of an unusual prevalence of any illnesses in which fever, diarrhea, sore throat, vomiting, or jaundice is a prevalent symptom.  These reporting requirements are necessary to minimize the possibility of communicable disease epidemics spreading throughout the camps and endangering the health of the camp residents.  In addition, the </w:t>
      </w:r>
      <w:r w:rsidR="005F5476" w:rsidRPr="007C6A35">
        <w:rPr>
          <w:sz w:val="24"/>
          <w:szCs w:val="24"/>
        </w:rPr>
        <w:t>s</w:t>
      </w:r>
      <w:r w:rsidRPr="007C6A35">
        <w:rPr>
          <w:sz w:val="24"/>
          <w:szCs w:val="24"/>
        </w:rPr>
        <w:t>tandard requires marking “for men” and “for women” on certain toilet rooms.</w:t>
      </w:r>
    </w:p>
    <w:p w:rsidR="008D0929" w:rsidRPr="007C6A35" w:rsidRDefault="008D0929" w:rsidP="008D0929">
      <w:pPr>
        <w:ind w:left="-90"/>
        <w:rPr>
          <w:sz w:val="24"/>
          <w:szCs w:val="24"/>
        </w:rPr>
      </w:pPr>
    </w:p>
    <w:p w:rsidR="008D0929" w:rsidRPr="007C6A35" w:rsidRDefault="00A0675F" w:rsidP="0056650D">
      <w:pPr>
        <w:numPr>
          <w:ilvl w:val="0"/>
          <w:numId w:val="11"/>
        </w:numPr>
        <w:rPr>
          <w:sz w:val="24"/>
          <w:szCs w:val="24"/>
        </w:rPr>
      </w:pPr>
      <w:r w:rsidRPr="007C6A35">
        <w:rPr>
          <w:b/>
          <w:bCs/>
          <w:sz w:val="24"/>
          <w:szCs w:val="24"/>
        </w:rPr>
        <w:t>Indicate how, by whom, and for what purpose the information is to be used.  Except for a new collection, indicate the actual use the agency has made of the information received from the current collection.</w:t>
      </w:r>
    </w:p>
    <w:p w:rsidR="008D0929" w:rsidRPr="007C6A35" w:rsidRDefault="008D0929" w:rsidP="008D0929">
      <w:pPr>
        <w:ind w:left="-90"/>
        <w:rPr>
          <w:sz w:val="24"/>
          <w:szCs w:val="24"/>
        </w:rPr>
      </w:pPr>
    </w:p>
    <w:p w:rsidR="00A0675F" w:rsidRPr="007C6A35" w:rsidRDefault="00A0675F" w:rsidP="008D0929">
      <w:pPr>
        <w:tabs>
          <w:tab w:val="left" w:pos="0"/>
        </w:tabs>
        <w:ind w:left="-90"/>
        <w:jc w:val="both"/>
        <w:rPr>
          <w:sz w:val="24"/>
          <w:szCs w:val="24"/>
        </w:rPr>
      </w:pPr>
      <w:r w:rsidRPr="007C6A35">
        <w:rPr>
          <w:sz w:val="24"/>
          <w:szCs w:val="24"/>
        </w:rPr>
        <w:t>The major purpose of these requirements is to limit the incidence of communicable disease outbreaks in temporary labor camps.  Compliance with this aspect of the Standard is necessary for the maintenance of a safe and healthful work environment.</w:t>
      </w:r>
    </w:p>
    <w:p w:rsidR="00A0675F" w:rsidRPr="007C6A35" w:rsidRDefault="00A0675F" w:rsidP="00A0675F">
      <w:pPr>
        <w:rPr>
          <w:sz w:val="24"/>
          <w:szCs w:val="24"/>
        </w:rPr>
      </w:pPr>
    </w:p>
    <w:p w:rsidR="00A0675F" w:rsidRPr="007C6A35" w:rsidRDefault="00A0675F" w:rsidP="008D0929">
      <w:pPr>
        <w:ind w:left="-90"/>
        <w:rPr>
          <w:b/>
          <w:sz w:val="24"/>
          <w:szCs w:val="24"/>
        </w:rPr>
      </w:pPr>
      <w:r w:rsidRPr="007C6A35">
        <w:rPr>
          <w:b/>
          <w:sz w:val="24"/>
          <w:szCs w:val="24"/>
        </w:rPr>
        <w:t>Reporting Communicable Disease (</w:t>
      </w:r>
      <w:r w:rsidRPr="007C6A35">
        <w:rPr>
          <w:b/>
          <w:bCs/>
          <w:sz w:val="24"/>
          <w:szCs w:val="24"/>
        </w:rPr>
        <w:t>§</w:t>
      </w:r>
      <w:r w:rsidRPr="007C6A35">
        <w:rPr>
          <w:b/>
          <w:sz w:val="24"/>
          <w:szCs w:val="24"/>
        </w:rPr>
        <w:t>1910.142(l))</w:t>
      </w:r>
    </w:p>
    <w:p w:rsidR="00A0675F" w:rsidRPr="007C6A35" w:rsidRDefault="00A0675F" w:rsidP="00A0675F">
      <w:pPr>
        <w:rPr>
          <w:sz w:val="24"/>
          <w:szCs w:val="24"/>
        </w:rPr>
      </w:pPr>
    </w:p>
    <w:p w:rsidR="008D0929" w:rsidRPr="007C6A35" w:rsidRDefault="00A0675F" w:rsidP="008D0929">
      <w:pPr>
        <w:ind w:left="-90"/>
        <w:jc w:val="both"/>
        <w:rPr>
          <w:rStyle w:val="blueten1"/>
          <w:rFonts w:ascii="Times New Roman" w:hAnsi="Times New Roman"/>
          <w:color w:val="auto"/>
          <w:sz w:val="24"/>
          <w:szCs w:val="24"/>
        </w:rPr>
      </w:pPr>
      <w:r w:rsidRPr="007C6A35">
        <w:rPr>
          <w:sz w:val="24"/>
          <w:szCs w:val="24"/>
        </w:rPr>
        <w:t xml:space="preserve">The standard requires the camp superintendent to report immediately to the local health officer the name and address of any individual in the camp known to have or suspected of having a communicable disease.  Whenever there is a case of suspected food poisoning or an unusual prevalence of any illness in which fever, diarrhea, sore throat, vomiting, or jaundice is a prominent symptom, employers must report this to the local health authority </w:t>
      </w:r>
      <w:r w:rsidRPr="007C6A35">
        <w:rPr>
          <w:rStyle w:val="blueten1"/>
          <w:rFonts w:ascii="Times New Roman" w:hAnsi="Times New Roman"/>
          <w:color w:val="auto"/>
          <w:sz w:val="24"/>
          <w:szCs w:val="24"/>
        </w:rPr>
        <w:t>by</w:t>
      </w:r>
      <w:r w:rsidR="00DA7538">
        <w:rPr>
          <w:rStyle w:val="blueten1"/>
          <w:rFonts w:ascii="Times New Roman" w:hAnsi="Times New Roman"/>
          <w:color w:val="auto"/>
          <w:sz w:val="24"/>
          <w:szCs w:val="24"/>
        </w:rPr>
        <w:t xml:space="preserve"> </w:t>
      </w:r>
      <w:r w:rsidR="00EF1D5F">
        <w:rPr>
          <w:rStyle w:val="blueten1"/>
          <w:rFonts w:ascii="Times New Roman" w:hAnsi="Times New Roman"/>
          <w:color w:val="auto"/>
          <w:sz w:val="24"/>
          <w:szCs w:val="24"/>
        </w:rPr>
        <w:t>telegram</w:t>
      </w:r>
      <w:r w:rsidRPr="007C6A35">
        <w:rPr>
          <w:rStyle w:val="blueten1"/>
          <w:rFonts w:ascii="Times New Roman" w:hAnsi="Times New Roman"/>
          <w:color w:val="auto"/>
          <w:sz w:val="24"/>
          <w:szCs w:val="24"/>
        </w:rPr>
        <w:t>, telephone, electronic mail or any method that is equally as fast.</w:t>
      </w:r>
    </w:p>
    <w:p w:rsidR="008D0929" w:rsidRPr="007C6A35" w:rsidRDefault="008D0929" w:rsidP="008D0929">
      <w:pPr>
        <w:ind w:left="-90"/>
        <w:jc w:val="both"/>
        <w:rPr>
          <w:rStyle w:val="blueten1"/>
          <w:rFonts w:ascii="Times New Roman" w:hAnsi="Times New Roman"/>
          <w:color w:val="auto"/>
          <w:sz w:val="24"/>
          <w:szCs w:val="24"/>
        </w:rPr>
      </w:pPr>
    </w:p>
    <w:p w:rsidR="008D0929" w:rsidRPr="007C6A35" w:rsidRDefault="00A0675F" w:rsidP="008D0929">
      <w:pPr>
        <w:ind w:left="-90"/>
        <w:jc w:val="both"/>
        <w:rPr>
          <w:sz w:val="24"/>
          <w:szCs w:val="24"/>
        </w:rPr>
      </w:pPr>
      <w:r w:rsidRPr="007C6A35">
        <w:rPr>
          <w:b/>
          <w:bCs/>
          <w:color w:val="000000"/>
          <w:sz w:val="24"/>
          <w:szCs w:val="24"/>
        </w:rPr>
        <w:t>Toilet Facilities (§1910.142(d))</w:t>
      </w:r>
    </w:p>
    <w:p w:rsidR="008D0929" w:rsidRPr="007C6A35" w:rsidRDefault="008D0929" w:rsidP="008D0929">
      <w:pPr>
        <w:ind w:left="-90"/>
        <w:jc w:val="both"/>
        <w:rPr>
          <w:sz w:val="24"/>
          <w:szCs w:val="24"/>
        </w:rPr>
      </w:pPr>
    </w:p>
    <w:p w:rsidR="00A0675F" w:rsidRPr="007C6A35" w:rsidRDefault="00A0675F" w:rsidP="008D0929">
      <w:pPr>
        <w:ind w:left="-90"/>
        <w:jc w:val="both"/>
        <w:rPr>
          <w:rStyle w:val="blueten1"/>
          <w:rFonts w:ascii="Times New Roman" w:hAnsi="Times New Roman"/>
          <w:color w:val="auto"/>
          <w:sz w:val="24"/>
          <w:szCs w:val="24"/>
        </w:rPr>
      </w:pPr>
      <w:r w:rsidRPr="007C6A35">
        <w:rPr>
          <w:rStyle w:val="blueten1"/>
          <w:rFonts w:ascii="Times New Roman" w:hAnsi="Times New Roman"/>
          <w:color w:val="auto"/>
          <w:sz w:val="24"/>
          <w:szCs w:val="24"/>
        </w:rPr>
        <w:t xml:space="preserve">The </w:t>
      </w:r>
      <w:r w:rsidR="00AC715E" w:rsidRPr="007C6A35">
        <w:rPr>
          <w:rStyle w:val="blueten1"/>
          <w:rFonts w:ascii="Times New Roman" w:hAnsi="Times New Roman"/>
          <w:color w:val="auto"/>
          <w:sz w:val="24"/>
          <w:szCs w:val="24"/>
        </w:rPr>
        <w:t>s</w:t>
      </w:r>
      <w:r w:rsidRPr="007C6A35">
        <w:rPr>
          <w:rStyle w:val="blueten1"/>
          <w:rFonts w:ascii="Times New Roman" w:hAnsi="Times New Roman"/>
          <w:color w:val="auto"/>
          <w:sz w:val="24"/>
          <w:szCs w:val="24"/>
        </w:rPr>
        <w:t xml:space="preserve">tandard requires that where the toilet rooms are shared, separate toilet rooms must be provided for each sex.  These rooms must be marked “for men” and “for women” by signs printed in English and in the native language of the persons occupying the camp, or marked with easily understandable pictures or symbols. </w:t>
      </w:r>
    </w:p>
    <w:p w:rsidR="00A0675F" w:rsidRPr="007C6A35" w:rsidRDefault="00A0675F" w:rsidP="00A0675F">
      <w:pPr>
        <w:rPr>
          <w:rStyle w:val="blueten1"/>
          <w:rFonts w:ascii="Times New Roman" w:hAnsi="Times New Roman"/>
          <w:color w:val="auto"/>
          <w:sz w:val="24"/>
          <w:szCs w:val="24"/>
        </w:rPr>
      </w:pPr>
    </w:p>
    <w:p w:rsidR="00A0675F" w:rsidRDefault="00A0675F" w:rsidP="008D0929">
      <w:pPr>
        <w:ind w:left="-90"/>
        <w:rPr>
          <w:rStyle w:val="blueten1"/>
          <w:rFonts w:ascii="Times New Roman" w:hAnsi="Times New Roman"/>
          <w:color w:val="auto"/>
          <w:sz w:val="24"/>
          <w:szCs w:val="24"/>
        </w:rPr>
      </w:pPr>
      <w:r w:rsidRPr="007C6A35">
        <w:rPr>
          <w:rStyle w:val="blueten1"/>
          <w:rFonts w:ascii="Times New Roman" w:hAnsi="Times New Roman"/>
          <w:color w:val="auto"/>
          <w:sz w:val="24"/>
          <w:szCs w:val="24"/>
        </w:rPr>
        <w:t>OSHA is taking no burden for marking the toilet rooms with “for men” and “for women.”  Regulation 5 CFR 1320.3(c) exempts “public disclosure of information originally supplied by the Federal government to the recipient for the purpose of disclosure to the public” from the definition of a collection of information.  OSHA believes any additional marking of toilets indicating for use by men or women is a usual and customary activity.</w:t>
      </w:r>
    </w:p>
    <w:p w:rsidR="0017208E" w:rsidRPr="007C6A35" w:rsidRDefault="0017208E" w:rsidP="008D0929">
      <w:pPr>
        <w:ind w:left="-90"/>
        <w:rPr>
          <w:rStyle w:val="blueten1"/>
          <w:rFonts w:ascii="Times New Roman" w:hAnsi="Times New Roman"/>
          <w:color w:val="auto"/>
          <w:sz w:val="24"/>
          <w:szCs w:val="24"/>
        </w:rPr>
      </w:pPr>
    </w:p>
    <w:p w:rsidR="00A0675F" w:rsidRPr="007C6A35" w:rsidRDefault="00A0675F" w:rsidP="00795EA4">
      <w:pPr>
        <w:numPr>
          <w:ilvl w:val="0"/>
          <w:numId w:val="11"/>
        </w:numPr>
        <w:tabs>
          <w:tab w:val="left" w:pos="270"/>
          <w:tab w:val="left" w:pos="360"/>
        </w:tabs>
        <w:ind w:hanging="270"/>
        <w:rPr>
          <w:b/>
          <w:bCs/>
          <w:sz w:val="24"/>
          <w:szCs w:val="24"/>
        </w:rPr>
      </w:pPr>
      <w:r w:rsidRPr="007C6A35">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A0675F" w:rsidRPr="007C6A35" w:rsidRDefault="00A0675F" w:rsidP="00A0675F">
      <w:pPr>
        <w:rPr>
          <w:sz w:val="24"/>
          <w:szCs w:val="24"/>
        </w:rPr>
      </w:pPr>
    </w:p>
    <w:p w:rsidR="00A0675F" w:rsidRPr="007C6A35" w:rsidRDefault="00A0675F" w:rsidP="00A0675F">
      <w:pPr>
        <w:rPr>
          <w:sz w:val="24"/>
          <w:szCs w:val="24"/>
        </w:rPr>
      </w:pPr>
      <w:r w:rsidRPr="007C6A35">
        <w:rPr>
          <w:sz w:val="24"/>
          <w:szCs w:val="24"/>
        </w:rPr>
        <w:t xml:space="preserve">To comply with the requirement to report outbreaks immediately, it is expected, but not required, that employers will use the telephone to report the necessary information to local health officials.  For informing health authorities of food poisoning or certain symptoms of illness, the </w:t>
      </w:r>
      <w:r w:rsidR="005F5476" w:rsidRPr="007C6A35">
        <w:rPr>
          <w:sz w:val="24"/>
          <w:szCs w:val="24"/>
        </w:rPr>
        <w:t>s</w:t>
      </w:r>
      <w:r w:rsidRPr="007C6A35">
        <w:rPr>
          <w:sz w:val="24"/>
          <w:szCs w:val="24"/>
        </w:rPr>
        <w:t xml:space="preserve">tandard states that the camp supervisor shall inform health authorities </w:t>
      </w:r>
      <w:r w:rsidRPr="007C6A35">
        <w:rPr>
          <w:rStyle w:val="blueten1"/>
          <w:rFonts w:ascii="Times New Roman" w:hAnsi="Times New Roman"/>
          <w:color w:val="auto"/>
          <w:sz w:val="24"/>
          <w:szCs w:val="24"/>
        </w:rPr>
        <w:t xml:space="preserve">by </w:t>
      </w:r>
      <w:r w:rsidR="00DA7538">
        <w:rPr>
          <w:rStyle w:val="blueten1"/>
          <w:rFonts w:ascii="Times New Roman" w:hAnsi="Times New Roman"/>
          <w:color w:val="auto"/>
          <w:sz w:val="24"/>
          <w:szCs w:val="24"/>
        </w:rPr>
        <w:t xml:space="preserve">telegram, </w:t>
      </w:r>
      <w:r w:rsidRPr="007C6A35">
        <w:rPr>
          <w:rStyle w:val="blueten1"/>
          <w:rFonts w:ascii="Times New Roman" w:hAnsi="Times New Roman"/>
          <w:color w:val="auto"/>
          <w:sz w:val="24"/>
          <w:szCs w:val="24"/>
        </w:rPr>
        <w:t>telephone, electronic mail or any method that is equally as fast.</w:t>
      </w:r>
    </w:p>
    <w:p w:rsidR="00A0675F" w:rsidRPr="007C6A35" w:rsidRDefault="00A0675F" w:rsidP="00A0675F">
      <w:pPr>
        <w:rPr>
          <w:sz w:val="24"/>
          <w:szCs w:val="24"/>
        </w:rPr>
      </w:pPr>
    </w:p>
    <w:p w:rsidR="00A0675F" w:rsidRPr="007C6A35" w:rsidRDefault="00A0675F" w:rsidP="00795EA4">
      <w:pPr>
        <w:numPr>
          <w:ilvl w:val="0"/>
          <w:numId w:val="11"/>
        </w:numPr>
        <w:tabs>
          <w:tab w:val="left" w:pos="270"/>
        </w:tabs>
        <w:ind w:hanging="270"/>
        <w:rPr>
          <w:b/>
          <w:bCs/>
          <w:sz w:val="24"/>
          <w:szCs w:val="24"/>
        </w:rPr>
      </w:pPr>
      <w:r w:rsidRPr="007C6A35">
        <w:rPr>
          <w:b/>
          <w:bCs/>
          <w:sz w:val="24"/>
          <w:szCs w:val="24"/>
        </w:rPr>
        <w:t xml:space="preserve">Describe efforts to identify duplication.  Show specifically why any similar information already available cannot be used or modified for use for the purposes described in Item </w:t>
      </w:r>
      <w:r w:rsidR="00146E49" w:rsidRPr="007C6A35">
        <w:rPr>
          <w:b/>
          <w:bCs/>
          <w:sz w:val="24"/>
          <w:szCs w:val="24"/>
        </w:rPr>
        <w:t>A</w:t>
      </w:r>
      <w:r w:rsidR="00705239" w:rsidRPr="007C6A35">
        <w:rPr>
          <w:b/>
          <w:bCs/>
          <w:sz w:val="24"/>
          <w:szCs w:val="24"/>
        </w:rPr>
        <w:t>.</w:t>
      </w:r>
      <w:r w:rsidRPr="007C6A35">
        <w:rPr>
          <w:b/>
          <w:bCs/>
          <w:sz w:val="24"/>
          <w:szCs w:val="24"/>
        </w:rPr>
        <w:t>2</w:t>
      </w:r>
      <w:r w:rsidR="00AD4612" w:rsidRPr="007C6A35">
        <w:rPr>
          <w:b/>
          <w:bCs/>
          <w:sz w:val="24"/>
          <w:szCs w:val="24"/>
        </w:rPr>
        <w:t>.</w:t>
      </w:r>
      <w:r w:rsidRPr="007C6A35">
        <w:rPr>
          <w:b/>
          <w:bCs/>
          <w:sz w:val="24"/>
          <w:szCs w:val="24"/>
        </w:rPr>
        <w:t xml:space="preserve"> above.</w:t>
      </w:r>
    </w:p>
    <w:p w:rsidR="00A0675F" w:rsidRPr="007C6A35" w:rsidRDefault="00A0675F" w:rsidP="00A0675F">
      <w:pPr>
        <w:rPr>
          <w:sz w:val="24"/>
          <w:szCs w:val="24"/>
        </w:rPr>
      </w:pPr>
    </w:p>
    <w:p w:rsidR="00A0675F" w:rsidRPr="007C6A35" w:rsidRDefault="00A0675F" w:rsidP="00A0675F">
      <w:pPr>
        <w:rPr>
          <w:sz w:val="24"/>
          <w:szCs w:val="24"/>
        </w:rPr>
      </w:pPr>
      <w:r w:rsidRPr="007C6A35">
        <w:rPr>
          <w:sz w:val="24"/>
          <w:szCs w:val="24"/>
        </w:rPr>
        <w:t xml:space="preserve">No other Federal agency requires the reporting of this type of health information by labor camp superintendents. </w:t>
      </w:r>
    </w:p>
    <w:p w:rsidR="00A0675F" w:rsidRPr="007C6A35" w:rsidRDefault="00A0675F" w:rsidP="00A0675F">
      <w:pPr>
        <w:rPr>
          <w:b/>
          <w:bCs/>
          <w:sz w:val="24"/>
          <w:szCs w:val="24"/>
        </w:rPr>
      </w:pPr>
    </w:p>
    <w:p w:rsidR="00A0675F" w:rsidRPr="007C6A35" w:rsidRDefault="00A0675F" w:rsidP="00795EA4">
      <w:pPr>
        <w:tabs>
          <w:tab w:val="left" w:pos="360"/>
        </w:tabs>
        <w:ind w:left="270" w:hanging="270"/>
        <w:rPr>
          <w:b/>
          <w:bCs/>
          <w:sz w:val="24"/>
          <w:szCs w:val="24"/>
        </w:rPr>
      </w:pPr>
      <w:r w:rsidRPr="007C6A35">
        <w:rPr>
          <w:b/>
          <w:bCs/>
          <w:sz w:val="24"/>
          <w:szCs w:val="24"/>
        </w:rPr>
        <w:t>5.</w:t>
      </w:r>
      <w:r w:rsidRPr="007C6A35">
        <w:rPr>
          <w:b/>
          <w:bCs/>
          <w:sz w:val="24"/>
          <w:szCs w:val="24"/>
        </w:rPr>
        <w:tab/>
        <w:t>If the collection of information impacts small businesses or other small entities, describe any methods used to minimize burden.</w:t>
      </w:r>
    </w:p>
    <w:p w:rsidR="00A0675F" w:rsidRPr="007C6A35" w:rsidRDefault="00A0675F" w:rsidP="00A0675F">
      <w:pPr>
        <w:rPr>
          <w:sz w:val="24"/>
          <w:szCs w:val="24"/>
        </w:rPr>
      </w:pPr>
    </w:p>
    <w:p w:rsidR="00A0675F" w:rsidRPr="007C6A35" w:rsidRDefault="00A0675F" w:rsidP="00A0675F">
      <w:pPr>
        <w:rPr>
          <w:sz w:val="24"/>
          <w:szCs w:val="24"/>
        </w:rPr>
      </w:pPr>
      <w:r w:rsidRPr="007C6A35">
        <w:rPr>
          <w:sz w:val="24"/>
          <w:szCs w:val="24"/>
        </w:rPr>
        <w:t xml:space="preserve">The burden of the requirements is an equal obligation for all employers who operate temporary labor camps.  The collections of information do not have </w:t>
      </w:r>
      <w:r w:rsidR="00AD4612" w:rsidRPr="007C6A35">
        <w:rPr>
          <w:sz w:val="24"/>
          <w:szCs w:val="24"/>
        </w:rPr>
        <w:t xml:space="preserve">a </w:t>
      </w:r>
      <w:r w:rsidRPr="007C6A35">
        <w:rPr>
          <w:sz w:val="24"/>
          <w:szCs w:val="24"/>
        </w:rPr>
        <w:t xml:space="preserve">significant economic impact on a substantial number of small entities. </w:t>
      </w:r>
    </w:p>
    <w:p w:rsidR="00A0675F" w:rsidRPr="007C6A35" w:rsidRDefault="00A0675F" w:rsidP="00A0675F">
      <w:pPr>
        <w:rPr>
          <w:color w:val="FF0000"/>
          <w:sz w:val="24"/>
          <w:szCs w:val="24"/>
        </w:rPr>
      </w:pPr>
    </w:p>
    <w:p w:rsidR="00A0675F" w:rsidRPr="00211B23" w:rsidRDefault="00A0675F" w:rsidP="009D2E7E">
      <w:pPr>
        <w:numPr>
          <w:ilvl w:val="0"/>
          <w:numId w:val="12"/>
        </w:numPr>
        <w:tabs>
          <w:tab w:val="left" w:pos="360"/>
        </w:tabs>
        <w:ind w:left="360"/>
        <w:rPr>
          <w:b/>
          <w:bCs/>
          <w:sz w:val="24"/>
          <w:szCs w:val="24"/>
        </w:rPr>
      </w:pPr>
      <w:r w:rsidRPr="00211B23">
        <w:rPr>
          <w:b/>
          <w:bCs/>
          <w:sz w:val="24"/>
          <w:szCs w:val="24"/>
        </w:rPr>
        <w:t>Describe the consequence to Federal program or policy activities if the collection is not</w:t>
      </w:r>
      <w:r w:rsidR="00211B23" w:rsidRPr="00211B23">
        <w:rPr>
          <w:b/>
          <w:bCs/>
          <w:sz w:val="24"/>
          <w:szCs w:val="24"/>
        </w:rPr>
        <w:t xml:space="preserve"> </w:t>
      </w:r>
      <w:r w:rsidRPr="00211B23">
        <w:rPr>
          <w:b/>
          <w:bCs/>
          <w:sz w:val="24"/>
          <w:szCs w:val="24"/>
        </w:rPr>
        <w:t>conducted or is conducted less frequently, as well as any technical or legal obstacles to reducing burden.</w:t>
      </w:r>
    </w:p>
    <w:p w:rsidR="00A0675F" w:rsidRPr="007C6A35" w:rsidRDefault="00A0675F" w:rsidP="00A0675F">
      <w:pPr>
        <w:rPr>
          <w:sz w:val="24"/>
          <w:szCs w:val="24"/>
        </w:rPr>
      </w:pPr>
    </w:p>
    <w:p w:rsidR="00A0675F" w:rsidRPr="007C6A35" w:rsidRDefault="00A0675F" w:rsidP="00A0675F">
      <w:pPr>
        <w:rPr>
          <w:sz w:val="24"/>
          <w:szCs w:val="24"/>
        </w:rPr>
      </w:pPr>
      <w:r w:rsidRPr="007C6A35">
        <w:rPr>
          <w:sz w:val="24"/>
          <w:szCs w:val="24"/>
        </w:rPr>
        <w:t xml:space="preserve">The reporting frequencies specified in the </w:t>
      </w:r>
      <w:r w:rsidR="005F5476" w:rsidRPr="007C6A35">
        <w:rPr>
          <w:sz w:val="24"/>
          <w:szCs w:val="24"/>
        </w:rPr>
        <w:t>s</w:t>
      </w:r>
      <w:r w:rsidRPr="007C6A35">
        <w:rPr>
          <w:sz w:val="24"/>
          <w:szCs w:val="24"/>
        </w:rPr>
        <w:t xml:space="preserve">tandard are the minimum necessary to protect the safety and health of </w:t>
      </w:r>
      <w:r w:rsidR="00B652F8" w:rsidRPr="007C6A35">
        <w:rPr>
          <w:sz w:val="24"/>
          <w:szCs w:val="24"/>
        </w:rPr>
        <w:t>worker</w:t>
      </w:r>
      <w:r w:rsidRPr="007C6A35">
        <w:rPr>
          <w:sz w:val="24"/>
          <w:szCs w:val="24"/>
        </w:rPr>
        <w:t>s and, in particular, to assure that the camp superintendent alerts local health authorities</w:t>
      </w:r>
      <w:r w:rsidR="00E37504" w:rsidRPr="007C6A35">
        <w:rPr>
          <w:sz w:val="24"/>
          <w:szCs w:val="24"/>
        </w:rPr>
        <w:t xml:space="preserve"> </w:t>
      </w:r>
      <w:r w:rsidRPr="007C6A35">
        <w:rPr>
          <w:sz w:val="24"/>
          <w:szCs w:val="24"/>
        </w:rPr>
        <w:t>regarding potential communicable disease out-breaks among temporary labor camp residents.</w:t>
      </w:r>
    </w:p>
    <w:p w:rsidR="00A0675F" w:rsidRPr="007C6A35" w:rsidRDefault="00A0675F" w:rsidP="00A0675F">
      <w:pPr>
        <w:rPr>
          <w:b/>
          <w:bCs/>
          <w:sz w:val="24"/>
          <w:szCs w:val="24"/>
        </w:rPr>
      </w:pPr>
    </w:p>
    <w:p w:rsidR="002E5BA1" w:rsidRDefault="00A0675F" w:rsidP="002E5BA1">
      <w:pPr>
        <w:numPr>
          <w:ilvl w:val="0"/>
          <w:numId w:val="12"/>
        </w:numPr>
        <w:tabs>
          <w:tab w:val="left" w:pos="360"/>
        </w:tabs>
        <w:ind w:hanging="720"/>
        <w:rPr>
          <w:b/>
          <w:bCs/>
          <w:sz w:val="24"/>
          <w:szCs w:val="24"/>
        </w:rPr>
      </w:pPr>
      <w:r w:rsidRPr="007C6A35">
        <w:rPr>
          <w:b/>
          <w:bCs/>
          <w:sz w:val="24"/>
          <w:szCs w:val="24"/>
        </w:rPr>
        <w:t xml:space="preserve">Explain any special circumstances that would cause </w:t>
      </w:r>
      <w:r w:rsidR="002E5BA1">
        <w:rPr>
          <w:b/>
          <w:bCs/>
          <w:sz w:val="24"/>
          <w:szCs w:val="24"/>
        </w:rPr>
        <w:t>an information collection to be</w:t>
      </w:r>
      <w:r w:rsidR="00211B23">
        <w:rPr>
          <w:b/>
          <w:bCs/>
          <w:sz w:val="24"/>
          <w:szCs w:val="24"/>
        </w:rPr>
        <w:t xml:space="preserve"> </w:t>
      </w:r>
    </w:p>
    <w:p w:rsidR="00A0675F" w:rsidRPr="007C6A35" w:rsidRDefault="002E5BA1" w:rsidP="002E5BA1">
      <w:pPr>
        <w:tabs>
          <w:tab w:val="left" w:pos="360"/>
        </w:tabs>
        <w:rPr>
          <w:b/>
          <w:bCs/>
          <w:sz w:val="24"/>
          <w:szCs w:val="24"/>
        </w:rPr>
      </w:pPr>
      <w:r>
        <w:rPr>
          <w:b/>
          <w:bCs/>
          <w:sz w:val="24"/>
          <w:szCs w:val="24"/>
        </w:rPr>
        <w:tab/>
      </w:r>
      <w:r w:rsidR="00A0675F" w:rsidRPr="007C6A35">
        <w:rPr>
          <w:b/>
          <w:bCs/>
          <w:sz w:val="24"/>
          <w:szCs w:val="24"/>
        </w:rPr>
        <w:t>conducted in a manner:</w:t>
      </w:r>
    </w:p>
    <w:p w:rsidR="00A0675F" w:rsidRPr="007C6A35" w:rsidRDefault="00A0675F" w:rsidP="00A0675F">
      <w:pPr>
        <w:rPr>
          <w:b/>
          <w:bCs/>
          <w:sz w:val="24"/>
          <w:szCs w:val="24"/>
        </w:rPr>
      </w:pPr>
    </w:p>
    <w:p w:rsidR="00A0675F" w:rsidRPr="007C6A35" w:rsidRDefault="00A0675F" w:rsidP="00A0675F">
      <w:pPr>
        <w:numPr>
          <w:ilvl w:val="0"/>
          <w:numId w:val="3"/>
        </w:numPr>
        <w:tabs>
          <w:tab w:val="left" w:pos="1440"/>
        </w:tabs>
        <w:rPr>
          <w:b/>
          <w:bCs/>
          <w:sz w:val="24"/>
          <w:szCs w:val="24"/>
        </w:rPr>
      </w:pPr>
      <w:r w:rsidRPr="007C6A35">
        <w:rPr>
          <w:b/>
          <w:bCs/>
          <w:sz w:val="24"/>
          <w:szCs w:val="24"/>
        </w:rPr>
        <w:t>requiring respondents to report information to the agency more often than quarterly;</w:t>
      </w:r>
    </w:p>
    <w:p w:rsidR="00A0675F" w:rsidRPr="007C6A35" w:rsidRDefault="00A0675F" w:rsidP="00A0675F">
      <w:pPr>
        <w:rPr>
          <w:b/>
          <w:bCs/>
          <w:sz w:val="24"/>
          <w:szCs w:val="24"/>
        </w:rPr>
      </w:pPr>
    </w:p>
    <w:p w:rsidR="00A0675F" w:rsidRPr="007C6A35" w:rsidRDefault="00A0675F" w:rsidP="00A0675F">
      <w:pPr>
        <w:numPr>
          <w:ilvl w:val="0"/>
          <w:numId w:val="3"/>
        </w:numPr>
        <w:tabs>
          <w:tab w:val="left" w:pos="1440"/>
        </w:tabs>
        <w:rPr>
          <w:b/>
          <w:bCs/>
          <w:sz w:val="24"/>
          <w:szCs w:val="24"/>
        </w:rPr>
      </w:pPr>
      <w:r w:rsidRPr="007C6A35">
        <w:rPr>
          <w:b/>
          <w:bCs/>
          <w:sz w:val="24"/>
          <w:szCs w:val="24"/>
        </w:rPr>
        <w:t>requiring respondents to prepare a written response to a collection of information in fewer than 30 days after receipt of it;</w:t>
      </w:r>
    </w:p>
    <w:p w:rsidR="00A0675F" w:rsidRPr="007C6A35" w:rsidRDefault="00A0675F" w:rsidP="00A0675F">
      <w:pPr>
        <w:rPr>
          <w:b/>
          <w:bCs/>
          <w:sz w:val="24"/>
          <w:szCs w:val="24"/>
        </w:rPr>
      </w:pPr>
    </w:p>
    <w:p w:rsidR="00A0675F" w:rsidRPr="007C6A35" w:rsidRDefault="00A0675F" w:rsidP="00A0675F">
      <w:pPr>
        <w:numPr>
          <w:ilvl w:val="0"/>
          <w:numId w:val="3"/>
        </w:numPr>
        <w:tabs>
          <w:tab w:val="left" w:pos="1440"/>
        </w:tabs>
        <w:rPr>
          <w:b/>
          <w:bCs/>
          <w:sz w:val="24"/>
          <w:szCs w:val="24"/>
        </w:rPr>
      </w:pPr>
      <w:r w:rsidRPr="007C6A35">
        <w:rPr>
          <w:b/>
          <w:bCs/>
          <w:sz w:val="24"/>
          <w:szCs w:val="24"/>
        </w:rPr>
        <w:t>requiring respondents to submit more than an original and two copies of any document;</w:t>
      </w:r>
    </w:p>
    <w:p w:rsidR="00A0675F" w:rsidRPr="007C6A35" w:rsidRDefault="00A0675F" w:rsidP="00A0675F">
      <w:pPr>
        <w:numPr>
          <w:ilvl w:val="0"/>
          <w:numId w:val="3"/>
        </w:numPr>
        <w:tabs>
          <w:tab w:val="left" w:pos="1440"/>
        </w:tabs>
        <w:rPr>
          <w:b/>
          <w:bCs/>
          <w:sz w:val="24"/>
          <w:szCs w:val="24"/>
        </w:rPr>
      </w:pPr>
      <w:r w:rsidRPr="007C6A35">
        <w:rPr>
          <w:b/>
          <w:bCs/>
          <w:sz w:val="24"/>
          <w:szCs w:val="24"/>
        </w:rPr>
        <w:t xml:space="preserve">requiring respondents to retain records, other than health, medical, government contract, grant-in-aid, or tax records for more than three years; </w:t>
      </w:r>
    </w:p>
    <w:p w:rsidR="00A0675F" w:rsidRPr="007C6A35" w:rsidRDefault="00A0675F" w:rsidP="00A0675F">
      <w:pPr>
        <w:tabs>
          <w:tab w:val="left" w:pos="1440"/>
        </w:tabs>
        <w:rPr>
          <w:b/>
          <w:bCs/>
          <w:sz w:val="24"/>
          <w:szCs w:val="24"/>
        </w:rPr>
      </w:pPr>
    </w:p>
    <w:p w:rsidR="00A0675F" w:rsidRPr="007C6A35" w:rsidRDefault="00A0675F" w:rsidP="00A0675F">
      <w:pPr>
        <w:numPr>
          <w:ilvl w:val="0"/>
          <w:numId w:val="3"/>
        </w:numPr>
        <w:tabs>
          <w:tab w:val="left" w:pos="1440"/>
        </w:tabs>
        <w:rPr>
          <w:b/>
          <w:bCs/>
          <w:sz w:val="24"/>
          <w:szCs w:val="24"/>
        </w:rPr>
      </w:pPr>
      <w:r w:rsidRPr="007C6A35">
        <w:rPr>
          <w:b/>
          <w:bCs/>
          <w:sz w:val="24"/>
          <w:szCs w:val="24"/>
        </w:rPr>
        <w:t>in connection with a statistical survey, that is not designed to produce valid and reliable results that can be generalized to the universe of study;</w:t>
      </w:r>
    </w:p>
    <w:p w:rsidR="00A0675F" w:rsidRPr="007C6A35" w:rsidRDefault="00A0675F" w:rsidP="00A0675F">
      <w:pPr>
        <w:rPr>
          <w:b/>
          <w:bCs/>
          <w:sz w:val="24"/>
          <w:szCs w:val="24"/>
        </w:rPr>
      </w:pPr>
    </w:p>
    <w:p w:rsidR="00A0675F" w:rsidRPr="007C6A35" w:rsidRDefault="00A0675F" w:rsidP="00A0675F">
      <w:pPr>
        <w:numPr>
          <w:ilvl w:val="0"/>
          <w:numId w:val="3"/>
        </w:numPr>
        <w:tabs>
          <w:tab w:val="left" w:pos="1440"/>
        </w:tabs>
        <w:rPr>
          <w:b/>
          <w:bCs/>
          <w:sz w:val="24"/>
          <w:szCs w:val="24"/>
        </w:rPr>
      </w:pPr>
      <w:r w:rsidRPr="007C6A35">
        <w:rPr>
          <w:b/>
          <w:bCs/>
          <w:sz w:val="24"/>
          <w:szCs w:val="24"/>
        </w:rPr>
        <w:t xml:space="preserve">requiring the use of a statistical data classification that has not been reviewed and approved by OMB; </w:t>
      </w:r>
    </w:p>
    <w:p w:rsidR="00A0675F" w:rsidRPr="007C6A35" w:rsidRDefault="00A0675F" w:rsidP="00A0675F">
      <w:pPr>
        <w:tabs>
          <w:tab w:val="left" w:pos="1440"/>
        </w:tabs>
        <w:rPr>
          <w:b/>
          <w:bCs/>
          <w:sz w:val="24"/>
          <w:szCs w:val="24"/>
        </w:rPr>
      </w:pPr>
    </w:p>
    <w:p w:rsidR="00A0675F" w:rsidRPr="007C6A35" w:rsidRDefault="00A0675F" w:rsidP="00A0675F">
      <w:pPr>
        <w:numPr>
          <w:ilvl w:val="0"/>
          <w:numId w:val="3"/>
        </w:numPr>
        <w:tabs>
          <w:tab w:val="left" w:pos="1440"/>
        </w:tabs>
        <w:rPr>
          <w:b/>
          <w:bCs/>
          <w:sz w:val="24"/>
          <w:szCs w:val="24"/>
        </w:rPr>
      </w:pPr>
      <w:r w:rsidRPr="007C6A35">
        <w:rPr>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0675F" w:rsidRPr="007C6A35" w:rsidRDefault="00A0675F" w:rsidP="00A0675F">
      <w:pPr>
        <w:rPr>
          <w:b/>
          <w:bCs/>
          <w:sz w:val="24"/>
          <w:szCs w:val="24"/>
        </w:rPr>
      </w:pPr>
    </w:p>
    <w:p w:rsidR="00A0675F" w:rsidRPr="007C6A35" w:rsidRDefault="00A0675F" w:rsidP="00A0675F">
      <w:pPr>
        <w:numPr>
          <w:ilvl w:val="0"/>
          <w:numId w:val="3"/>
        </w:numPr>
        <w:tabs>
          <w:tab w:val="left" w:pos="1440"/>
        </w:tabs>
        <w:rPr>
          <w:b/>
          <w:bCs/>
          <w:sz w:val="24"/>
          <w:szCs w:val="24"/>
        </w:rPr>
      </w:pPr>
      <w:r w:rsidRPr="007C6A35">
        <w:rPr>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0675F" w:rsidRPr="007C6A35" w:rsidRDefault="00A0675F" w:rsidP="00A0675F">
      <w:pPr>
        <w:rPr>
          <w:b/>
          <w:bCs/>
          <w:sz w:val="24"/>
          <w:szCs w:val="24"/>
        </w:rPr>
      </w:pPr>
    </w:p>
    <w:p w:rsidR="00A0675F" w:rsidRPr="007C6A35" w:rsidRDefault="00A0675F" w:rsidP="00A0675F">
      <w:pPr>
        <w:rPr>
          <w:sz w:val="24"/>
          <w:szCs w:val="24"/>
        </w:rPr>
      </w:pPr>
      <w:r w:rsidRPr="007C6A35">
        <w:rPr>
          <w:sz w:val="24"/>
          <w:szCs w:val="24"/>
        </w:rPr>
        <w:t>No special circumstances exist that require the employer to collect information in the manner discussed in item 7.</w:t>
      </w:r>
    </w:p>
    <w:p w:rsidR="00A0675F" w:rsidRPr="007C6A35" w:rsidRDefault="00A0675F" w:rsidP="00A0675F">
      <w:pPr>
        <w:rPr>
          <w:sz w:val="24"/>
          <w:szCs w:val="24"/>
        </w:rPr>
      </w:pPr>
    </w:p>
    <w:p w:rsidR="00A0675F" w:rsidRPr="0092128C" w:rsidRDefault="00A0675F" w:rsidP="009C4C12">
      <w:pPr>
        <w:numPr>
          <w:ilvl w:val="0"/>
          <w:numId w:val="12"/>
        </w:numPr>
        <w:tabs>
          <w:tab w:val="left" w:pos="360"/>
        </w:tabs>
        <w:ind w:left="360"/>
        <w:rPr>
          <w:b/>
          <w:bCs/>
          <w:sz w:val="24"/>
          <w:szCs w:val="24"/>
        </w:rPr>
      </w:pPr>
      <w:r w:rsidRPr="0092128C">
        <w:rPr>
          <w:b/>
          <w:bCs/>
          <w:sz w:val="24"/>
          <w:szCs w:val="24"/>
        </w:rPr>
        <w:t xml:space="preserve">If applicable, provide a copy and identify the data and page number of publication </w:t>
      </w:r>
      <w:r w:rsidR="0092128C" w:rsidRPr="0092128C">
        <w:rPr>
          <w:b/>
          <w:bCs/>
          <w:sz w:val="24"/>
          <w:szCs w:val="24"/>
        </w:rPr>
        <w:t xml:space="preserve">in </w:t>
      </w:r>
      <w:r w:rsidRPr="0092128C">
        <w:rPr>
          <w:b/>
          <w:bCs/>
          <w:sz w:val="24"/>
          <w:szCs w:val="24"/>
        </w:rPr>
        <w:t xml:space="preserve">the </w:t>
      </w:r>
      <w:r w:rsidRPr="0092128C">
        <w:rPr>
          <w:b/>
          <w:bCs/>
          <w:i/>
          <w:sz w:val="24"/>
          <w:szCs w:val="24"/>
        </w:rPr>
        <w:t>Federal</w:t>
      </w:r>
      <w:r w:rsidRPr="0092128C">
        <w:rPr>
          <w:b/>
          <w:bCs/>
          <w:sz w:val="24"/>
          <w:szCs w:val="24"/>
        </w:rPr>
        <w:t xml:space="preserve"> </w:t>
      </w:r>
      <w:r w:rsidRPr="0092128C">
        <w:rPr>
          <w:b/>
          <w:bCs/>
          <w:i/>
          <w:sz w:val="24"/>
          <w:szCs w:val="24"/>
        </w:rPr>
        <w:t>Register</w:t>
      </w:r>
      <w:r w:rsidRPr="0092128C">
        <w:rPr>
          <w:b/>
          <w:bCs/>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0675F" w:rsidRPr="007C6A35" w:rsidRDefault="00A0675F" w:rsidP="00A0675F">
      <w:pPr>
        <w:rPr>
          <w:b/>
          <w:bCs/>
          <w:sz w:val="24"/>
          <w:szCs w:val="24"/>
        </w:rPr>
      </w:pPr>
    </w:p>
    <w:p w:rsidR="00A0675F" w:rsidRPr="007C6A35" w:rsidRDefault="00A0675F" w:rsidP="00211B23">
      <w:pPr>
        <w:ind w:left="1080"/>
        <w:rPr>
          <w:b/>
          <w:bCs/>
          <w:sz w:val="24"/>
          <w:szCs w:val="24"/>
        </w:rPr>
      </w:pPr>
      <w:r w:rsidRPr="007C6A35">
        <w:rPr>
          <w:b/>
          <w:bCs/>
          <w:sz w:val="24"/>
          <w:szCs w:val="24"/>
        </w:rPr>
        <w:t xml:space="preserve">Describe efforts to consult with persons outside the agency to obtain their views on the availability of data, frequency of collection, the clarity of instructions and </w:t>
      </w:r>
      <w:r w:rsidR="008E2B9E">
        <w:rPr>
          <w:b/>
          <w:bCs/>
          <w:sz w:val="24"/>
          <w:szCs w:val="24"/>
        </w:rPr>
        <w:t>r</w:t>
      </w:r>
      <w:r w:rsidRPr="007C6A35">
        <w:rPr>
          <w:b/>
          <w:bCs/>
          <w:sz w:val="24"/>
          <w:szCs w:val="24"/>
        </w:rPr>
        <w:t>ecordkeeping, disclosure, or reporting format (if any), and on the data</w:t>
      </w:r>
      <w:r w:rsidR="00211B23">
        <w:rPr>
          <w:b/>
          <w:bCs/>
          <w:sz w:val="24"/>
          <w:szCs w:val="24"/>
        </w:rPr>
        <w:t xml:space="preserve"> </w:t>
      </w:r>
      <w:r w:rsidRPr="007C6A35">
        <w:rPr>
          <w:b/>
          <w:bCs/>
          <w:sz w:val="24"/>
          <w:szCs w:val="24"/>
        </w:rPr>
        <w:t>elements to be recorded, disclosed, or reported.</w:t>
      </w:r>
    </w:p>
    <w:p w:rsidR="00A0675F" w:rsidRPr="007C6A35" w:rsidRDefault="00A0675F" w:rsidP="00211B23">
      <w:pPr>
        <w:ind w:left="1080"/>
        <w:rPr>
          <w:b/>
          <w:bCs/>
          <w:sz w:val="24"/>
          <w:szCs w:val="24"/>
        </w:rPr>
      </w:pPr>
    </w:p>
    <w:p w:rsidR="008E2B9E" w:rsidRDefault="00A0675F" w:rsidP="00211B23">
      <w:pPr>
        <w:ind w:left="1080"/>
        <w:rPr>
          <w:b/>
          <w:bCs/>
          <w:sz w:val="24"/>
          <w:szCs w:val="24"/>
        </w:rPr>
      </w:pPr>
      <w:r w:rsidRPr="007C6A35">
        <w:rPr>
          <w:b/>
          <w:bCs/>
          <w:sz w:val="24"/>
          <w:szCs w:val="24"/>
        </w:rPr>
        <w:t xml:space="preserve">Consultation with representatives of those from whom information is to be </w:t>
      </w:r>
    </w:p>
    <w:p w:rsidR="00A0675F" w:rsidRPr="007C6A35" w:rsidRDefault="00A0675F" w:rsidP="00211B23">
      <w:pPr>
        <w:ind w:left="1080"/>
        <w:rPr>
          <w:b/>
          <w:bCs/>
          <w:sz w:val="24"/>
          <w:szCs w:val="24"/>
        </w:rPr>
      </w:pPr>
      <w:r w:rsidRPr="007C6A35">
        <w:rPr>
          <w:b/>
          <w:bCs/>
          <w:sz w:val="24"/>
          <w:szCs w:val="24"/>
        </w:rPr>
        <w:t>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E5A75" w:rsidRPr="007C6A35" w:rsidRDefault="009F5DF4" w:rsidP="00F92E17">
      <w:pPr>
        <w:rPr>
          <w:sz w:val="24"/>
          <w:szCs w:val="24"/>
        </w:rPr>
      </w:pPr>
      <w:r>
        <w:rPr>
          <w:sz w:val="24"/>
          <w:szCs w:val="24"/>
        </w:rPr>
        <w:br w:type="page"/>
      </w:r>
      <w:r w:rsidR="00F92E17" w:rsidRPr="007C6A35">
        <w:rPr>
          <w:sz w:val="24"/>
          <w:szCs w:val="24"/>
        </w:rPr>
        <w:t>Pursuant to the Paperwork Reduction Act of 1995 (44 U.S.C. 3506(c)(2)(A)), OSHA</w:t>
      </w:r>
      <w:r w:rsidR="00CF162B" w:rsidRPr="007C6A35">
        <w:rPr>
          <w:sz w:val="24"/>
          <w:szCs w:val="24"/>
        </w:rPr>
        <w:t xml:space="preserve"> </w:t>
      </w:r>
      <w:r w:rsidR="00F92E17" w:rsidRPr="007C6A35">
        <w:rPr>
          <w:sz w:val="24"/>
          <w:szCs w:val="24"/>
        </w:rPr>
        <w:t>publish</w:t>
      </w:r>
      <w:r w:rsidR="00062267">
        <w:rPr>
          <w:sz w:val="24"/>
          <w:szCs w:val="24"/>
        </w:rPr>
        <w:t>ed</w:t>
      </w:r>
      <w:r w:rsidR="00F92E17" w:rsidRPr="007C6A35">
        <w:rPr>
          <w:sz w:val="24"/>
          <w:szCs w:val="24"/>
        </w:rPr>
        <w:t xml:space="preserve"> a notice in the </w:t>
      </w:r>
      <w:r w:rsidR="00F92E17" w:rsidRPr="007C6A35">
        <w:rPr>
          <w:iCs/>
          <w:sz w:val="24"/>
          <w:szCs w:val="24"/>
        </w:rPr>
        <w:t>Federal Register</w:t>
      </w:r>
      <w:r w:rsidR="00F92E17" w:rsidRPr="007C6A35">
        <w:rPr>
          <w:i/>
          <w:iCs/>
          <w:sz w:val="24"/>
          <w:szCs w:val="24"/>
        </w:rPr>
        <w:t xml:space="preserve"> </w:t>
      </w:r>
      <w:r w:rsidR="00F92E17" w:rsidRPr="007C6A35">
        <w:rPr>
          <w:sz w:val="24"/>
          <w:szCs w:val="24"/>
        </w:rPr>
        <w:t>on</w:t>
      </w:r>
      <w:r w:rsidR="00734128">
        <w:rPr>
          <w:sz w:val="24"/>
          <w:szCs w:val="24"/>
        </w:rPr>
        <w:t xml:space="preserve"> September 18,</w:t>
      </w:r>
      <w:r w:rsidR="00217078">
        <w:rPr>
          <w:sz w:val="24"/>
          <w:szCs w:val="24"/>
        </w:rPr>
        <w:t xml:space="preserve"> 2018</w:t>
      </w:r>
      <w:r w:rsidR="00062267">
        <w:rPr>
          <w:sz w:val="24"/>
          <w:szCs w:val="24"/>
        </w:rPr>
        <w:t xml:space="preserve"> (</w:t>
      </w:r>
      <w:r w:rsidR="00217078">
        <w:rPr>
          <w:sz w:val="24"/>
          <w:szCs w:val="24"/>
        </w:rPr>
        <w:t xml:space="preserve">83 </w:t>
      </w:r>
      <w:r w:rsidR="00062267">
        <w:rPr>
          <w:sz w:val="24"/>
          <w:szCs w:val="24"/>
        </w:rPr>
        <w:t>FR</w:t>
      </w:r>
      <w:r w:rsidR="00217078">
        <w:rPr>
          <w:sz w:val="24"/>
          <w:szCs w:val="24"/>
        </w:rPr>
        <w:t xml:space="preserve"> 47190</w:t>
      </w:r>
      <w:r w:rsidR="00062267">
        <w:rPr>
          <w:sz w:val="24"/>
          <w:szCs w:val="24"/>
        </w:rPr>
        <w:t>)</w:t>
      </w:r>
      <w:r w:rsidR="00F92E17" w:rsidRPr="007C6A35">
        <w:rPr>
          <w:sz w:val="24"/>
          <w:szCs w:val="24"/>
        </w:rPr>
        <w:t xml:space="preserve"> soliciting</w:t>
      </w:r>
      <w:r w:rsidR="001241D1" w:rsidRPr="007C6A35">
        <w:rPr>
          <w:sz w:val="24"/>
          <w:szCs w:val="24"/>
        </w:rPr>
        <w:t xml:space="preserve"> </w:t>
      </w:r>
      <w:r w:rsidR="00F92E17" w:rsidRPr="007C6A35">
        <w:rPr>
          <w:sz w:val="24"/>
          <w:szCs w:val="24"/>
        </w:rPr>
        <w:t>comments on its proposal to extend the Office of Management and Budget’s (OMB)</w:t>
      </w:r>
      <w:r w:rsidR="00067BAF" w:rsidRPr="007C6A35">
        <w:rPr>
          <w:sz w:val="24"/>
          <w:szCs w:val="24"/>
        </w:rPr>
        <w:t xml:space="preserve"> </w:t>
      </w:r>
      <w:r w:rsidR="00F92E17" w:rsidRPr="007C6A35">
        <w:rPr>
          <w:sz w:val="24"/>
          <w:szCs w:val="24"/>
        </w:rPr>
        <w:t>approval of the information collection requirements specified by the Standard on</w:t>
      </w:r>
      <w:r w:rsidR="00067BAF" w:rsidRPr="007C6A35">
        <w:rPr>
          <w:sz w:val="24"/>
          <w:szCs w:val="24"/>
        </w:rPr>
        <w:t xml:space="preserve"> </w:t>
      </w:r>
      <w:r w:rsidR="00F92E17" w:rsidRPr="007C6A35">
        <w:rPr>
          <w:sz w:val="24"/>
          <w:szCs w:val="24"/>
        </w:rPr>
        <w:t>Temporary Labor Camps (29 CFR 1910.142). This notice was a part of a preclearance</w:t>
      </w:r>
      <w:r w:rsidR="00067BAF" w:rsidRPr="007C6A35">
        <w:rPr>
          <w:sz w:val="24"/>
          <w:szCs w:val="24"/>
        </w:rPr>
        <w:t xml:space="preserve"> </w:t>
      </w:r>
      <w:r w:rsidR="00F92E17" w:rsidRPr="007C6A35">
        <w:rPr>
          <w:sz w:val="24"/>
          <w:szCs w:val="24"/>
        </w:rPr>
        <w:t>consultation program that provide</w:t>
      </w:r>
      <w:r w:rsidR="005245F2" w:rsidRPr="007C6A35">
        <w:rPr>
          <w:sz w:val="24"/>
          <w:szCs w:val="24"/>
        </w:rPr>
        <w:t>s</w:t>
      </w:r>
      <w:r w:rsidR="00F92E17" w:rsidRPr="007C6A35">
        <w:rPr>
          <w:sz w:val="24"/>
          <w:szCs w:val="24"/>
        </w:rPr>
        <w:t xml:space="preserve"> the general public and government agencies with an</w:t>
      </w:r>
      <w:r w:rsidR="00067BAF" w:rsidRPr="007C6A35">
        <w:rPr>
          <w:sz w:val="24"/>
          <w:szCs w:val="24"/>
        </w:rPr>
        <w:t xml:space="preserve"> </w:t>
      </w:r>
      <w:r w:rsidR="00F92E17" w:rsidRPr="007C6A35">
        <w:rPr>
          <w:sz w:val="24"/>
          <w:szCs w:val="24"/>
        </w:rPr>
        <w:t xml:space="preserve">opportunity to comment. The </w:t>
      </w:r>
      <w:r w:rsidR="004D7761">
        <w:rPr>
          <w:sz w:val="24"/>
          <w:szCs w:val="24"/>
        </w:rPr>
        <w:t>a</w:t>
      </w:r>
      <w:r w:rsidR="004D7761" w:rsidRPr="007C6A35">
        <w:rPr>
          <w:sz w:val="24"/>
          <w:szCs w:val="24"/>
        </w:rPr>
        <w:t xml:space="preserve">gency </w:t>
      </w:r>
      <w:r w:rsidR="00F70883">
        <w:rPr>
          <w:sz w:val="24"/>
          <w:szCs w:val="24"/>
        </w:rPr>
        <w:t xml:space="preserve">did not receive any </w:t>
      </w:r>
      <w:r w:rsidR="0006112E" w:rsidRPr="007C6A35">
        <w:rPr>
          <w:sz w:val="24"/>
          <w:szCs w:val="24"/>
        </w:rPr>
        <w:t>comments</w:t>
      </w:r>
      <w:r w:rsidR="00364C12" w:rsidRPr="007C6A35">
        <w:rPr>
          <w:sz w:val="24"/>
          <w:szCs w:val="24"/>
        </w:rPr>
        <w:t xml:space="preserve"> </w:t>
      </w:r>
      <w:r w:rsidR="002E5A75" w:rsidRPr="007C6A35">
        <w:rPr>
          <w:sz w:val="24"/>
          <w:szCs w:val="24"/>
        </w:rPr>
        <w:t xml:space="preserve">in response to this notice.   </w:t>
      </w:r>
    </w:p>
    <w:p w:rsidR="00A0675F" w:rsidRPr="007C6A35" w:rsidRDefault="00A0675F" w:rsidP="00A0675F">
      <w:pPr>
        <w:rPr>
          <w:sz w:val="24"/>
          <w:szCs w:val="24"/>
        </w:rPr>
      </w:pPr>
    </w:p>
    <w:p w:rsidR="00BE1F52" w:rsidRDefault="00A0675F" w:rsidP="00BE1F52">
      <w:pPr>
        <w:numPr>
          <w:ilvl w:val="0"/>
          <w:numId w:val="12"/>
        </w:numPr>
        <w:tabs>
          <w:tab w:val="left" w:pos="360"/>
        </w:tabs>
        <w:ind w:hanging="720"/>
        <w:rPr>
          <w:b/>
          <w:bCs/>
          <w:sz w:val="24"/>
          <w:szCs w:val="24"/>
        </w:rPr>
      </w:pPr>
      <w:r w:rsidRPr="007C6A35">
        <w:rPr>
          <w:b/>
          <w:bCs/>
          <w:sz w:val="24"/>
          <w:szCs w:val="24"/>
        </w:rPr>
        <w:t>Explain any decision to provide any payment or gift to respondents, other than</w:t>
      </w:r>
    </w:p>
    <w:p w:rsidR="00A0675F" w:rsidRPr="007C6A35" w:rsidRDefault="00211B23" w:rsidP="00BE1F52">
      <w:pPr>
        <w:tabs>
          <w:tab w:val="left" w:pos="360"/>
        </w:tabs>
        <w:ind w:left="360"/>
        <w:rPr>
          <w:b/>
          <w:bCs/>
          <w:sz w:val="24"/>
          <w:szCs w:val="24"/>
        </w:rPr>
      </w:pPr>
      <w:r w:rsidRPr="007C6A35">
        <w:rPr>
          <w:b/>
          <w:bCs/>
          <w:sz w:val="24"/>
          <w:szCs w:val="24"/>
        </w:rPr>
        <w:t>remuneration</w:t>
      </w:r>
      <w:r w:rsidR="00A0675F" w:rsidRPr="007C6A35">
        <w:rPr>
          <w:b/>
          <w:bCs/>
          <w:sz w:val="24"/>
          <w:szCs w:val="24"/>
        </w:rPr>
        <w:t xml:space="preserve"> of contractors or grantees.</w:t>
      </w:r>
    </w:p>
    <w:p w:rsidR="00A0675F" w:rsidRPr="007C6A35" w:rsidRDefault="00A0675F" w:rsidP="00A0675F">
      <w:pPr>
        <w:rPr>
          <w:sz w:val="24"/>
          <w:szCs w:val="24"/>
        </w:rPr>
      </w:pPr>
    </w:p>
    <w:p w:rsidR="00A0675F" w:rsidRPr="007C6A35" w:rsidRDefault="009E2D3D" w:rsidP="008418DA">
      <w:pPr>
        <w:tabs>
          <w:tab w:val="left" w:pos="0"/>
        </w:tabs>
        <w:rPr>
          <w:sz w:val="24"/>
          <w:szCs w:val="24"/>
        </w:rPr>
      </w:pPr>
      <w:r w:rsidRPr="007C6A35">
        <w:rPr>
          <w:sz w:val="24"/>
          <w:szCs w:val="24"/>
        </w:rPr>
        <w:t xml:space="preserve">The </w:t>
      </w:r>
      <w:r w:rsidR="004D7761">
        <w:rPr>
          <w:sz w:val="24"/>
          <w:szCs w:val="24"/>
        </w:rPr>
        <w:t>a</w:t>
      </w:r>
      <w:r w:rsidR="004D7761" w:rsidRPr="007C6A35">
        <w:rPr>
          <w:sz w:val="24"/>
          <w:szCs w:val="24"/>
        </w:rPr>
        <w:t xml:space="preserve">gency </w:t>
      </w:r>
      <w:r w:rsidRPr="007C6A35">
        <w:rPr>
          <w:sz w:val="24"/>
          <w:szCs w:val="24"/>
        </w:rPr>
        <w:t>will not provide any payments or gifts</w:t>
      </w:r>
      <w:r w:rsidR="00A0675F" w:rsidRPr="007C6A35">
        <w:rPr>
          <w:sz w:val="24"/>
          <w:szCs w:val="24"/>
        </w:rPr>
        <w:t>.</w:t>
      </w:r>
    </w:p>
    <w:p w:rsidR="00A0675F" w:rsidRPr="007C6A35" w:rsidRDefault="00A0675F" w:rsidP="00A0675F">
      <w:pPr>
        <w:rPr>
          <w:sz w:val="24"/>
          <w:szCs w:val="24"/>
        </w:rPr>
      </w:pPr>
      <w:r w:rsidRPr="007C6A35">
        <w:rPr>
          <w:sz w:val="24"/>
          <w:szCs w:val="24"/>
        </w:rPr>
        <w:tab/>
      </w:r>
    </w:p>
    <w:p w:rsidR="00BE1F52" w:rsidRDefault="00A0675F" w:rsidP="00BE1F52">
      <w:pPr>
        <w:numPr>
          <w:ilvl w:val="0"/>
          <w:numId w:val="12"/>
        </w:numPr>
        <w:tabs>
          <w:tab w:val="left" w:pos="450"/>
        </w:tabs>
        <w:ind w:hanging="720"/>
        <w:rPr>
          <w:b/>
          <w:bCs/>
          <w:sz w:val="24"/>
          <w:szCs w:val="24"/>
        </w:rPr>
      </w:pPr>
      <w:r w:rsidRPr="00BE1F52">
        <w:rPr>
          <w:b/>
          <w:bCs/>
          <w:sz w:val="24"/>
          <w:szCs w:val="24"/>
        </w:rPr>
        <w:t xml:space="preserve">Describe any assurance of confidentiality provided to respondents and the basis for </w:t>
      </w:r>
      <w:r w:rsidR="00BE1F52" w:rsidRPr="00BE1F52">
        <w:rPr>
          <w:b/>
          <w:bCs/>
          <w:sz w:val="24"/>
          <w:szCs w:val="24"/>
        </w:rPr>
        <w:t xml:space="preserve">the </w:t>
      </w:r>
    </w:p>
    <w:p w:rsidR="00A0675F" w:rsidRPr="00BE1F52" w:rsidRDefault="00BE1F52" w:rsidP="00BE1F52">
      <w:pPr>
        <w:tabs>
          <w:tab w:val="left" w:pos="450"/>
        </w:tabs>
        <w:rPr>
          <w:b/>
          <w:bCs/>
          <w:sz w:val="24"/>
          <w:szCs w:val="24"/>
        </w:rPr>
      </w:pPr>
      <w:r>
        <w:rPr>
          <w:b/>
          <w:bCs/>
          <w:sz w:val="24"/>
          <w:szCs w:val="24"/>
        </w:rPr>
        <w:tab/>
      </w:r>
      <w:r w:rsidR="00A0675F" w:rsidRPr="00BE1F52">
        <w:rPr>
          <w:b/>
          <w:bCs/>
          <w:sz w:val="24"/>
          <w:szCs w:val="24"/>
        </w:rPr>
        <w:t>assurance in statute, regulation, or agency policy.</w:t>
      </w:r>
    </w:p>
    <w:p w:rsidR="00A0675F" w:rsidRPr="007C6A35" w:rsidRDefault="00A0675F" w:rsidP="00A0675F">
      <w:pPr>
        <w:rPr>
          <w:sz w:val="24"/>
          <w:szCs w:val="24"/>
        </w:rPr>
      </w:pPr>
    </w:p>
    <w:p w:rsidR="00A0675F" w:rsidRPr="007C6A35" w:rsidRDefault="00A0675F" w:rsidP="00A0675F">
      <w:pPr>
        <w:rPr>
          <w:sz w:val="24"/>
          <w:szCs w:val="24"/>
        </w:rPr>
      </w:pPr>
      <w:r w:rsidRPr="007C6A35">
        <w:rPr>
          <w:sz w:val="24"/>
          <w:szCs w:val="24"/>
        </w:rPr>
        <w:t>As this regulation does not require the submission of any confidential information to the Federal government, assurances of confidentiality are not applicable.</w:t>
      </w:r>
    </w:p>
    <w:p w:rsidR="00AE0E9C" w:rsidRDefault="00AE0E9C" w:rsidP="00AE0E9C">
      <w:pPr>
        <w:tabs>
          <w:tab w:val="left" w:pos="360"/>
          <w:tab w:val="left" w:pos="450"/>
        </w:tabs>
        <w:rPr>
          <w:sz w:val="24"/>
          <w:szCs w:val="24"/>
        </w:rPr>
      </w:pPr>
    </w:p>
    <w:p w:rsidR="00AE0E9C" w:rsidRDefault="00A0675F" w:rsidP="0073426E">
      <w:pPr>
        <w:numPr>
          <w:ilvl w:val="0"/>
          <w:numId w:val="12"/>
        </w:numPr>
        <w:tabs>
          <w:tab w:val="left" w:pos="90"/>
          <w:tab w:val="left" w:pos="540"/>
        </w:tabs>
        <w:ind w:left="90" w:hanging="90"/>
        <w:rPr>
          <w:b/>
          <w:bCs/>
          <w:sz w:val="24"/>
          <w:szCs w:val="24"/>
        </w:rPr>
      </w:pPr>
      <w:r w:rsidRPr="00AE0E9C">
        <w:rPr>
          <w:b/>
          <w:bCs/>
          <w:sz w:val="24"/>
          <w:szCs w:val="24"/>
        </w:rPr>
        <w:t xml:space="preserve">Provide additional justification for any questions of a sensitive nature, such as </w:t>
      </w:r>
      <w:r w:rsidR="00AE0E9C" w:rsidRPr="00AE0E9C">
        <w:rPr>
          <w:b/>
          <w:bCs/>
          <w:sz w:val="24"/>
          <w:szCs w:val="24"/>
        </w:rPr>
        <w:t>sexual</w:t>
      </w:r>
    </w:p>
    <w:p w:rsidR="00A0675F" w:rsidRPr="00AE0E9C" w:rsidRDefault="00AE0E9C" w:rsidP="00AE0E9C">
      <w:pPr>
        <w:tabs>
          <w:tab w:val="left" w:pos="450"/>
          <w:tab w:val="left" w:pos="540"/>
        </w:tabs>
        <w:ind w:left="540" w:hanging="90"/>
        <w:rPr>
          <w:b/>
          <w:bCs/>
          <w:sz w:val="24"/>
          <w:szCs w:val="24"/>
        </w:rPr>
      </w:pPr>
      <w:r>
        <w:rPr>
          <w:b/>
          <w:bCs/>
          <w:sz w:val="24"/>
          <w:szCs w:val="24"/>
        </w:rPr>
        <w:tab/>
      </w:r>
      <w:r w:rsidR="00A0675F" w:rsidRPr="00AE0E9C">
        <w:rPr>
          <w:b/>
          <w:bCs/>
          <w:sz w:val="24"/>
          <w:szCs w:val="24"/>
        </w:rPr>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0675F" w:rsidRPr="007C6A35" w:rsidRDefault="00A0675F" w:rsidP="00A0675F">
      <w:pPr>
        <w:rPr>
          <w:b/>
          <w:bCs/>
          <w:sz w:val="24"/>
          <w:szCs w:val="24"/>
        </w:rPr>
      </w:pPr>
    </w:p>
    <w:p w:rsidR="00A0675F" w:rsidRDefault="00A0675F" w:rsidP="00A0675F">
      <w:pPr>
        <w:rPr>
          <w:sz w:val="24"/>
          <w:szCs w:val="24"/>
        </w:rPr>
      </w:pPr>
      <w:r w:rsidRPr="007C6A35">
        <w:rPr>
          <w:sz w:val="24"/>
          <w:szCs w:val="24"/>
        </w:rPr>
        <w:t xml:space="preserve">There are no provisions in this </w:t>
      </w:r>
      <w:r w:rsidR="00F552D7" w:rsidRPr="007C6A35">
        <w:rPr>
          <w:sz w:val="24"/>
          <w:szCs w:val="24"/>
        </w:rPr>
        <w:t>s</w:t>
      </w:r>
      <w:r w:rsidRPr="007C6A35">
        <w:rPr>
          <w:sz w:val="24"/>
          <w:szCs w:val="24"/>
        </w:rPr>
        <w:t>tandard requiring that questions of a sensitive nature be asked.</w:t>
      </w:r>
    </w:p>
    <w:p w:rsidR="0021384C" w:rsidRPr="007C6A35" w:rsidRDefault="0021384C" w:rsidP="00A0675F">
      <w:pPr>
        <w:rPr>
          <w:sz w:val="24"/>
          <w:szCs w:val="24"/>
        </w:rPr>
      </w:pPr>
    </w:p>
    <w:p w:rsidR="00A0675F" w:rsidRPr="0021384C" w:rsidRDefault="00A0675F" w:rsidP="00064204">
      <w:pPr>
        <w:numPr>
          <w:ilvl w:val="0"/>
          <w:numId w:val="12"/>
        </w:numPr>
        <w:tabs>
          <w:tab w:val="left" w:pos="540"/>
        </w:tabs>
        <w:ind w:left="540" w:hanging="450"/>
        <w:rPr>
          <w:b/>
          <w:bCs/>
          <w:sz w:val="24"/>
          <w:szCs w:val="24"/>
        </w:rPr>
      </w:pPr>
      <w:r w:rsidRPr="007C6A35">
        <w:rPr>
          <w:b/>
          <w:bCs/>
          <w:sz w:val="24"/>
          <w:szCs w:val="24"/>
        </w:rPr>
        <w:t>Provide estimates of the hour burden of the collection</w:t>
      </w:r>
      <w:r w:rsidR="0021384C">
        <w:rPr>
          <w:b/>
          <w:bCs/>
          <w:sz w:val="24"/>
          <w:szCs w:val="24"/>
        </w:rPr>
        <w:t xml:space="preserve"> of information.  The statement</w:t>
      </w:r>
      <w:r w:rsidR="0021384C" w:rsidRPr="0021384C">
        <w:rPr>
          <w:b/>
          <w:bCs/>
          <w:sz w:val="24"/>
          <w:szCs w:val="24"/>
        </w:rPr>
        <w:t xml:space="preserve"> </w:t>
      </w:r>
      <w:r w:rsidRPr="0021384C">
        <w:rPr>
          <w:b/>
          <w:bCs/>
          <w:sz w:val="24"/>
          <w:szCs w:val="24"/>
        </w:rPr>
        <w:t>should:</w:t>
      </w:r>
    </w:p>
    <w:p w:rsidR="00A0675F" w:rsidRPr="007C6A35" w:rsidRDefault="00A0675F" w:rsidP="00A0675F">
      <w:pPr>
        <w:rPr>
          <w:b/>
          <w:bCs/>
          <w:sz w:val="24"/>
          <w:szCs w:val="24"/>
        </w:rPr>
      </w:pPr>
    </w:p>
    <w:p w:rsidR="00A0675F" w:rsidRPr="007C6A35" w:rsidRDefault="00A0675F" w:rsidP="00A0675F">
      <w:pPr>
        <w:numPr>
          <w:ilvl w:val="0"/>
          <w:numId w:val="2"/>
        </w:numPr>
        <w:tabs>
          <w:tab w:val="left" w:pos="1440"/>
        </w:tabs>
        <w:rPr>
          <w:b/>
          <w:bCs/>
          <w:sz w:val="24"/>
          <w:szCs w:val="24"/>
        </w:rPr>
      </w:pPr>
      <w:r w:rsidRPr="007C6A35">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0675F" w:rsidRPr="007C6A35" w:rsidRDefault="00A0675F" w:rsidP="00A0675F">
      <w:pPr>
        <w:rPr>
          <w:b/>
          <w:bCs/>
          <w:sz w:val="24"/>
          <w:szCs w:val="24"/>
        </w:rPr>
      </w:pPr>
    </w:p>
    <w:p w:rsidR="00A0675F" w:rsidRPr="007C6A35" w:rsidRDefault="00A0675F" w:rsidP="00A0675F">
      <w:pPr>
        <w:numPr>
          <w:ilvl w:val="0"/>
          <w:numId w:val="2"/>
        </w:numPr>
        <w:tabs>
          <w:tab w:val="left" w:pos="1440"/>
        </w:tabs>
        <w:rPr>
          <w:b/>
          <w:bCs/>
          <w:sz w:val="24"/>
          <w:szCs w:val="24"/>
        </w:rPr>
      </w:pPr>
      <w:r w:rsidRPr="007C6A35">
        <w:rPr>
          <w:b/>
          <w:bCs/>
          <w:sz w:val="24"/>
          <w:szCs w:val="24"/>
        </w:rPr>
        <w:t>If this request for approval covers more than one form, provide separate hour burden estimates for each form.</w:t>
      </w:r>
    </w:p>
    <w:p w:rsidR="00A0675F" w:rsidRPr="007C6A35" w:rsidRDefault="009F5DF4" w:rsidP="0095125A">
      <w:pPr>
        <w:numPr>
          <w:ilvl w:val="0"/>
          <w:numId w:val="2"/>
        </w:numPr>
        <w:rPr>
          <w:b/>
          <w:bCs/>
          <w:sz w:val="24"/>
          <w:szCs w:val="24"/>
        </w:rPr>
      </w:pPr>
      <w:r>
        <w:rPr>
          <w:b/>
          <w:bCs/>
          <w:sz w:val="24"/>
          <w:szCs w:val="24"/>
        </w:rPr>
        <w:br w:type="page"/>
      </w:r>
      <w:r w:rsidR="00A0675F" w:rsidRPr="007C6A35">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524D9" w:rsidRPr="007C6A35" w:rsidRDefault="006524D9" w:rsidP="00C35A61">
      <w:pPr>
        <w:pStyle w:val="ListParagraph"/>
        <w:rPr>
          <w:b/>
          <w:bCs/>
          <w:sz w:val="24"/>
          <w:szCs w:val="24"/>
        </w:rPr>
      </w:pPr>
    </w:p>
    <w:p w:rsidR="00B33576" w:rsidRPr="00D4616A" w:rsidRDefault="00B33576" w:rsidP="00B33576">
      <w:pPr>
        <w:rPr>
          <w:b/>
          <w:sz w:val="24"/>
          <w:szCs w:val="24"/>
        </w:rPr>
      </w:pPr>
      <w:r w:rsidRPr="00D4616A">
        <w:rPr>
          <w:b/>
          <w:sz w:val="24"/>
          <w:szCs w:val="24"/>
        </w:rPr>
        <w:t>Respondent Burden Hour and Cost Burden Determinations</w:t>
      </w:r>
    </w:p>
    <w:p w:rsidR="00B33576" w:rsidRPr="00AC653E" w:rsidRDefault="00B33576" w:rsidP="00B33576">
      <w:pPr>
        <w:tabs>
          <w:tab w:val="left" w:pos="-1440"/>
        </w:tabs>
        <w:rPr>
          <w:sz w:val="24"/>
          <w:szCs w:val="24"/>
        </w:rPr>
      </w:pPr>
    </w:p>
    <w:p w:rsidR="00A0675F" w:rsidRPr="00E73256" w:rsidRDefault="00A0675F" w:rsidP="00A0675F">
      <w:pPr>
        <w:rPr>
          <w:sz w:val="24"/>
          <w:szCs w:val="24"/>
        </w:rPr>
      </w:pPr>
      <w:r w:rsidRPr="00E73256">
        <w:rPr>
          <w:sz w:val="24"/>
          <w:szCs w:val="24"/>
        </w:rPr>
        <w:t xml:space="preserve">The burden hours and costs are </w:t>
      </w:r>
      <w:r w:rsidR="005F5476" w:rsidRPr="00E73256">
        <w:rPr>
          <w:sz w:val="24"/>
          <w:szCs w:val="24"/>
        </w:rPr>
        <w:t>cal</w:t>
      </w:r>
      <w:r w:rsidR="00F552D7" w:rsidRPr="00E73256">
        <w:rPr>
          <w:sz w:val="24"/>
          <w:szCs w:val="24"/>
        </w:rPr>
        <w:t xml:space="preserve">culated based on provisions contained in </w:t>
      </w:r>
      <w:r w:rsidR="00B14DA5" w:rsidRPr="00E73256">
        <w:rPr>
          <w:sz w:val="24"/>
          <w:szCs w:val="24"/>
        </w:rPr>
        <w:t>paragraphs</w:t>
      </w:r>
      <w:r w:rsidR="00F552D7" w:rsidRPr="00E73256">
        <w:rPr>
          <w:sz w:val="24"/>
          <w:szCs w:val="24"/>
        </w:rPr>
        <w:t xml:space="preserve"> (l</w:t>
      </w:r>
      <w:r w:rsidR="00B14DA5" w:rsidRPr="00E73256">
        <w:rPr>
          <w:sz w:val="24"/>
          <w:szCs w:val="24"/>
        </w:rPr>
        <w:t>) (</w:t>
      </w:r>
      <w:r w:rsidR="005F5476" w:rsidRPr="00E73256">
        <w:rPr>
          <w:sz w:val="24"/>
          <w:szCs w:val="24"/>
        </w:rPr>
        <w:t>1) and (l</w:t>
      </w:r>
      <w:r w:rsidR="00B14DA5" w:rsidRPr="00E73256">
        <w:rPr>
          <w:sz w:val="24"/>
          <w:szCs w:val="24"/>
        </w:rPr>
        <w:t>) (</w:t>
      </w:r>
      <w:r w:rsidR="005F5476" w:rsidRPr="00E73256">
        <w:rPr>
          <w:sz w:val="24"/>
          <w:szCs w:val="24"/>
        </w:rPr>
        <w:t>2)</w:t>
      </w:r>
      <w:r w:rsidR="00DC2B9A" w:rsidRPr="00E73256">
        <w:rPr>
          <w:sz w:val="24"/>
          <w:szCs w:val="24"/>
        </w:rPr>
        <w:t xml:space="preserve"> of </w:t>
      </w:r>
      <w:r w:rsidR="00895904" w:rsidRPr="00D9272B">
        <w:rPr>
          <w:color w:val="000000"/>
          <w:sz w:val="24"/>
          <w:szCs w:val="24"/>
        </w:rPr>
        <w:t>the standard</w:t>
      </w:r>
      <w:r w:rsidR="005F5476" w:rsidRPr="00E73256">
        <w:rPr>
          <w:sz w:val="24"/>
          <w:szCs w:val="24"/>
        </w:rPr>
        <w:t xml:space="preserve">. </w:t>
      </w:r>
      <w:r w:rsidRPr="00E73256">
        <w:rPr>
          <w:sz w:val="24"/>
          <w:szCs w:val="24"/>
        </w:rPr>
        <w:t xml:space="preserve"> </w:t>
      </w:r>
      <w:r w:rsidR="005F5476" w:rsidRPr="00E73256">
        <w:rPr>
          <w:sz w:val="24"/>
          <w:szCs w:val="24"/>
        </w:rPr>
        <w:t>T</w:t>
      </w:r>
      <w:r w:rsidRPr="00E73256">
        <w:rPr>
          <w:sz w:val="24"/>
          <w:szCs w:val="24"/>
        </w:rPr>
        <w:t xml:space="preserve">he temporary labor camp superintendent </w:t>
      </w:r>
      <w:r w:rsidR="005F5476" w:rsidRPr="00E73256">
        <w:rPr>
          <w:sz w:val="24"/>
          <w:szCs w:val="24"/>
        </w:rPr>
        <w:t>must</w:t>
      </w:r>
      <w:r w:rsidRPr="00E73256">
        <w:rPr>
          <w:sz w:val="24"/>
          <w:szCs w:val="24"/>
        </w:rPr>
        <w:t xml:space="preserve"> report to local health officials</w:t>
      </w:r>
      <w:r w:rsidR="005F5476" w:rsidRPr="00E73256">
        <w:rPr>
          <w:sz w:val="24"/>
          <w:szCs w:val="24"/>
        </w:rPr>
        <w:t xml:space="preserve">: </w:t>
      </w:r>
      <w:r w:rsidRPr="00E73256">
        <w:rPr>
          <w:sz w:val="24"/>
          <w:szCs w:val="24"/>
        </w:rPr>
        <w:t xml:space="preserve"> </w:t>
      </w:r>
      <w:r w:rsidR="00ED0DEA" w:rsidRPr="00E73256">
        <w:rPr>
          <w:sz w:val="24"/>
          <w:szCs w:val="24"/>
        </w:rPr>
        <w:t>(1) t</w:t>
      </w:r>
      <w:r w:rsidRPr="00E73256">
        <w:rPr>
          <w:sz w:val="24"/>
          <w:szCs w:val="24"/>
        </w:rPr>
        <w:t xml:space="preserve">he names and addresses of persons known to have, or suspected of having, a communicable disease; and </w:t>
      </w:r>
      <w:r w:rsidR="005F5476" w:rsidRPr="00E73256">
        <w:rPr>
          <w:sz w:val="24"/>
          <w:szCs w:val="24"/>
        </w:rPr>
        <w:t>(2</w:t>
      </w:r>
      <w:r w:rsidR="00ED0DEA" w:rsidRPr="00E73256">
        <w:rPr>
          <w:sz w:val="24"/>
          <w:szCs w:val="24"/>
        </w:rPr>
        <w:t>)</w:t>
      </w:r>
      <w:r w:rsidRPr="00E73256">
        <w:rPr>
          <w:sz w:val="24"/>
          <w:szCs w:val="24"/>
        </w:rPr>
        <w:t xml:space="preserve"> the occurrence of any case of suspected food poisoning or an unusual prevalence of any illnesses in which fever, diarrhea, sore throat, vomiting, or jaundice is a prominent symptom among residents of temporary labor camps.</w:t>
      </w:r>
    </w:p>
    <w:p w:rsidR="00A0675F" w:rsidRPr="00E73256" w:rsidRDefault="00A0675F" w:rsidP="00A0675F">
      <w:pPr>
        <w:rPr>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CF6A4A" w:rsidRPr="00CE253F" w:rsidTr="002C5199">
        <w:trPr>
          <w:tblCellSpacing w:w="0" w:type="dxa"/>
        </w:trPr>
        <w:tc>
          <w:tcPr>
            <w:tcW w:w="0" w:type="auto"/>
            <w:shd w:val="clear" w:color="auto" w:fill="auto"/>
            <w:vAlign w:val="center"/>
          </w:tcPr>
          <w:p w:rsidR="00127611" w:rsidRDefault="005B3DCD" w:rsidP="00127611">
            <w:pPr>
              <w:autoSpaceDE/>
              <w:autoSpaceDN/>
              <w:adjustRightInd/>
              <w:rPr>
                <w:sz w:val="24"/>
                <w:szCs w:val="24"/>
              </w:rPr>
            </w:pPr>
            <w:r w:rsidRPr="00CE253F">
              <w:rPr>
                <w:sz w:val="24"/>
                <w:szCs w:val="24"/>
              </w:rPr>
              <w:t xml:space="preserve">To estimate the burden hours for temporary labor camp superintendents to report the information described above to local public health officials, the </w:t>
            </w:r>
            <w:r w:rsidR="004D7761">
              <w:rPr>
                <w:sz w:val="24"/>
                <w:szCs w:val="24"/>
              </w:rPr>
              <w:t>a</w:t>
            </w:r>
            <w:r w:rsidR="004D7761" w:rsidRPr="00CE253F">
              <w:rPr>
                <w:sz w:val="24"/>
                <w:szCs w:val="24"/>
              </w:rPr>
              <w:t xml:space="preserve">gency </w:t>
            </w:r>
            <w:r w:rsidRPr="00CE253F">
              <w:rPr>
                <w:sz w:val="24"/>
                <w:szCs w:val="24"/>
              </w:rPr>
              <w:t xml:space="preserve">determined how frequently migrant workers would have a communicable disease or any of the health symptoms mentioned above.  To determine this frequency, OSHA used data from the Centers for Disease Control and Prevention (CDC) publication </w:t>
            </w:r>
            <w:r w:rsidRPr="00CE253F">
              <w:rPr>
                <w:i/>
                <w:sz w:val="24"/>
                <w:szCs w:val="24"/>
              </w:rPr>
              <w:t xml:space="preserve">Morbidity and Mortality Weekly Report </w:t>
            </w:r>
            <w:r w:rsidRPr="00CE253F">
              <w:rPr>
                <w:sz w:val="24"/>
                <w:szCs w:val="24"/>
              </w:rPr>
              <w:t>(MMWR).  According to the MMWR, the total reported incidents of</w:t>
            </w:r>
            <w:r w:rsidR="00BC566F" w:rsidRPr="00CE253F">
              <w:rPr>
                <w:sz w:val="24"/>
                <w:szCs w:val="24"/>
              </w:rPr>
              <w:t xml:space="preserve"> </w:t>
            </w:r>
            <w:r w:rsidRPr="00CE253F">
              <w:rPr>
                <w:sz w:val="24"/>
                <w:szCs w:val="24"/>
              </w:rPr>
              <w:t>notifiable diseases in the United States in 201</w:t>
            </w:r>
            <w:r w:rsidR="003052C9" w:rsidRPr="00CE253F">
              <w:rPr>
                <w:sz w:val="24"/>
                <w:szCs w:val="24"/>
              </w:rPr>
              <w:t>5</w:t>
            </w:r>
            <w:r w:rsidRPr="00CE253F">
              <w:rPr>
                <w:sz w:val="24"/>
                <w:szCs w:val="24"/>
              </w:rPr>
              <w:t xml:space="preserve"> was </w:t>
            </w:r>
            <w:r w:rsidR="00474F38">
              <w:rPr>
                <w:sz w:val="24"/>
                <w:szCs w:val="24"/>
              </w:rPr>
              <w:t>870</w:t>
            </w:r>
            <w:r w:rsidR="00F1345A">
              <w:rPr>
                <w:sz w:val="24"/>
                <w:szCs w:val="24"/>
              </w:rPr>
              <w:t xml:space="preserve"> </w:t>
            </w:r>
            <w:r w:rsidRPr="00CE253F">
              <w:rPr>
                <w:sz w:val="24"/>
                <w:szCs w:val="24"/>
              </w:rPr>
              <w:t>per 100,000 people.</w:t>
            </w:r>
            <w:r w:rsidRPr="00CE253F">
              <w:rPr>
                <w:sz w:val="24"/>
                <w:szCs w:val="24"/>
                <w:vertAlign w:val="superscript"/>
              </w:rPr>
              <w:footnoteReference w:id="2"/>
            </w:r>
            <w:r w:rsidRPr="00CE253F">
              <w:rPr>
                <w:sz w:val="24"/>
                <w:szCs w:val="24"/>
              </w:rPr>
              <w:t xml:space="preserve">  To estimate burden hours and costs associated with the Temporary Labor Camps Standard, OSHA is using this value even though the list of CDC notifiable diseases is more inclusive than reportable “communicable diseases.”  This </w:t>
            </w:r>
            <w:r w:rsidR="00ED0DEA" w:rsidRPr="00CE253F">
              <w:rPr>
                <w:sz w:val="24"/>
                <w:szCs w:val="24"/>
              </w:rPr>
              <w:t>overestimate, however,</w:t>
            </w:r>
            <w:r w:rsidRPr="00CE253F">
              <w:rPr>
                <w:sz w:val="24"/>
                <w:szCs w:val="24"/>
              </w:rPr>
              <w:t xml:space="preserve"> is partially offset by the fact that labor camp superintendents must also report the unusual prevalence of any illness in which fever, diarrhea, sore thr</w:t>
            </w:r>
            <w:r w:rsidR="00127611">
              <w:rPr>
                <w:sz w:val="24"/>
                <w:szCs w:val="24"/>
              </w:rPr>
              <w:t xml:space="preserve">oat, vomiting, or jaundice is a prevalent symptom. These symptoms maybe a result of illness or diseases that may not be reported to </w:t>
            </w:r>
            <w:r w:rsidR="004D7D6C">
              <w:rPr>
                <w:sz w:val="24"/>
                <w:szCs w:val="24"/>
              </w:rPr>
              <w:t>C</w:t>
            </w:r>
            <w:r w:rsidR="00127611">
              <w:rPr>
                <w:sz w:val="24"/>
                <w:szCs w:val="24"/>
              </w:rPr>
              <w:t>DC.</w:t>
            </w:r>
          </w:p>
          <w:p w:rsidR="00127611" w:rsidRPr="00CE253F" w:rsidRDefault="00127611" w:rsidP="00127611">
            <w:pPr>
              <w:autoSpaceDE/>
              <w:autoSpaceDN/>
              <w:adjustRightInd/>
            </w:pPr>
          </w:p>
        </w:tc>
      </w:tr>
      <w:tr w:rsidR="00CF6A4A" w:rsidRPr="00CF6A4A" w:rsidTr="002C5199">
        <w:trPr>
          <w:tblCellSpacing w:w="0" w:type="dxa"/>
        </w:trPr>
        <w:tc>
          <w:tcPr>
            <w:tcW w:w="0" w:type="auto"/>
            <w:shd w:val="clear" w:color="auto" w:fill="auto"/>
            <w:vAlign w:val="center"/>
          </w:tcPr>
          <w:p w:rsidR="00CF6A4A" w:rsidRPr="00CF6A4A" w:rsidRDefault="00CF6A4A" w:rsidP="00CF6A4A">
            <w:pPr>
              <w:autoSpaceDE/>
              <w:autoSpaceDN/>
              <w:adjustRightInd/>
              <w:jc w:val="center"/>
              <w:rPr>
                <w:sz w:val="24"/>
                <w:szCs w:val="24"/>
              </w:rPr>
            </w:pPr>
          </w:p>
        </w:tc>
      </w:tr>
    </w:tbl>
    <w:p w:rsidR="00A0675F" w:rsidRDefault="00127611" w:rsidP="00A0675F">
      <w:pPr>
        <w:rPr>
          <w:sz w:val="24"/>
          <w:szCs w:val="24"/>
        </w:rPr>
      </w:pPr>
      <w:r>
        <w:rPr>
          <w:sz w:val="24"/>
          <w:szCs w:val="24"/>
        </w:rPr>
        <w:br w:type="page"/>
      </w:r>
      <w:r w:rsidR="00A0675F" w:rsidRPr="00E73256">
        <w:rPr>
          <w:sz w:val="24"/>
          <w:szCs w:val="24"/>
        </w:rPr>
        <w:t xml:space="preserve">While some States have individual data on farm labor camps frequently cited in reports, the Agency could not find </w:t>
      </w:r>
      <w:r w:rsidR="00B04ECD" w:rsidRPr="00E73256">
        <w:rPr>
          <w:sz w:val="24"/>
          <w:szCs w:val="24"/>
        </w:rPr>
        <w:t>an</w:t>
      </w:r>
      <w:r w:rsidR="00A0675F" w:rsidRPr="00E73256">
        <w:rPr>
          <w:sz w:val="24"/>
          <w:szCs w:val="24"/>
        </w:rPr>
        <w:t xml:space="preserve"> estimate for the total number of temporary labor camps, or the number of workers living in such camps.  </w:t>
      </w:r>
      <w:r w:rsidR="00A0675F" w:rsidRPr="00EA2D48">
        <w:rPr>
          <w:sz w:val="24"/>
          <w:szCs w:val="24"/>
        </w:rPr>
        <w:t xml:space="preserve">According to the National Agricultural Workers Survey (NAWS) and the U.S. Department of Labor, there are approximately </w:t>
      </w:r>
      <w:r w:rsidR="006A59F1">
        <w:rPr>
          <w:sz w:val="24"/>
          <w:szCs w:val="24"/>
        </w:rPr>
        <w:t>64,800</w:t>
      </w:r>
      <w:r w:rsidR="00A0675F" w:rsidRPr="00EA2D48">
        <w:rPr>
          <w:sz w:val="24"/>
          <w:szCs w:val="24"/>
        </w:rPr>
        <w:t xml:space="preserve"> migrant workers living in employer owned or administered housing.</w:t>
      </w:r>
      <w:r w:rsidR="00A0675F" w:rsidRPr="00EA2D48">
        <w:rPr>
          <w:rStyle w:val="FootnoteReference"/>
          <w:sz w:val="24"/>
          <w:szCs w:val="24"/>
        </w:rPr>
        <w:footnoteReference w:id="3"/>
      </w:r>
      <w:r w:rsidR="00A0675F" w:rsidRPr="00EA2D48">
        <w:rPr>
          <w:sz w:val="24"/>
          <w:szCs w:val="24"/>
        </w:rPr>
        <w:t xml:space="preserve"> OSHA has no means to determine how</w:t>
      </w:r>
      <w:r w:rsidR="00A0675F" w:rsidRPr="00252315">
        <w:rPr>
          <w:color w:val="FF0000"/>
          <w:sz w:val="24"/>
          <w:szCs w:val="24"/>
        </w:rPr>
        <w:t xml:space="preserve"> </w:t>
      </w:r>
      <w:r w:rsidR="00A0675F" w:rsidRPr="00E73256">
        <w:rPr>
          <w:sz w:val="24"/>
          <w:szCs w:val="24"/>
        </w:rPr>
        <w:t>many of these migrant workers actually live in temporary labor camps</w:t>
      </w:r>
      <w:r w:rsidR="001F04D1" w:rsidRPr="00E73256">
        <w:rPr>
          <w:sz w:val="24"/>
          <w:szCs w:val="24"/>
        </w:rPr>
        <w:t>;</w:t>
      </w:r>
      <w:r w:rsidR="00CE677A" w:rsidRPr="00E73256">
        <w:rPr>
          <w:sz w:val="24"/>
          <w:szCs w:val="24"/>
        </w:rPr>
        <w:t xml:space="preserve"> therefore,</w:t>
      </w:r>
      <w:r w:rsidR="00A0675F" w:rsidRPr="00E73256">
        <w:rPr>
          <w:sz w:val="24"/>
          <w:szCs w:val="24"/>
        </w:rPr>
        <w:t xml:space="preserve"> the Agency </w:t>
      </w:r>
      <w:r w:rsidR="00F552D7" w:rsidRPr="00E73256">
        <w:rPr>
          <w:sz w:val="24"/>
          <w:szCs w:val="24"/>
        </w:rPr>
        <w:t xml:space="preserve">estimates </w:t>
      </w:r>
      <w:r w:rsidR="00A0675F" w:rsidRPr="00E73256">
        <w:rPr>
          <w:sz w:val="24"/>
          <w:szCs w:val="24"/>
        </w:rPr>
        <w:t xml:space="preserve">that all </w:t>
      </w:r>
      <w:r w:rsidR="004D7761">
        <w:rPr>
          <w:sz w:val="24"/>
          <w:szCs w:val="24"/>
        </w:rPr>
        <w:t>64,800</w:t>
      </w:r>
      <w:r w:rsidR="00A0675F" w:rsidRPr="00E73256">
        <w:rPr>
          <w:sz w:val="24"/>
          <w:szCs w:val="24"/>
        </w:rPr>
        <w:t xml:space="preserve"> workers discussed above do so. While this method likely overestimates the number of migrant workers living in temporary labor camps, this is partially offset by the likely underestimate of the number of non-migrant workers living in temporary labor camps.</w:t>
      </w:r>
    </w:p>
    <w:p w:rsidR="00560BD3" w:rsidRPr="007C6A35" w:rsidRDefault="00560BD3" w:rsidP="00A0675F">
      <w:pPr>
        <w:rPr>
          <w:sz w:val="24"/>
          <w:szCs w:val="24"/>
        </w:rPr>
      </w:pPr>
    </w:p>
    <w:p w:rsidR="00026486" w:rsidRDefault="00B33576" w:rsidP="00560BD3">
      <w:pPr>
        <w:rPr>
          <w:b/>
          <w:sz w:val="24"/>
          <w:szCs w:val="24"/>
        </w:rPr>
      </w:pPr>
      <w:r>
        <w:rPr>
          <w:b/>
          <w:sz w:val="24"/>
          <w:szCs w:val="24"/>
        </w:rPr>
        <w:t>Wage Rates</w:t>
      </w:r>
    </w:p>
    <w:p w:rsidR="002C5199" w:rsidRPr="00D4616A" w:rsidRDefault="002C5199" w:rsidP="00560BD3">
      <w:pPr>
        <w:rPr>
          <w:b/>
          <w:sz w:val="24"/>
          <w:szCs w:val="24"/>
        </w:rPr>
      </w:pPr>
    </w:p>
    <w:p w:rsidR="00560BD3" w:rsidRPr="00AC653E" w:rsidRDefault="00560BD3" w:rsidP="00560BD3">
      <w:pPr>
        <w:tabs>
          <w:tab w:val="left" w:pos="-1440"/>
        </w:tabs>
        <w:rPr>
          <w:sz w:val="24"/>
          <w:szCs w:val="24"/>
        </w:rPr>
      </w:pPr>
      <w:r w:rsidRPr="00AC653E">
        <w:rPr>
          <w:spacing w:val="-1"/>
          <w:sz w:val="24"/>
          <w:szCs w:val="24"/>
        </w:rPr>
        <w:t xml:space="preserve">The </w:t>
      </w:r>
      <w:r w:rsidR="004D7761">
        <w:rPr>
          <w:sz w:val="24"/>
          <w:szCs w:val="24"/>
        </w:rPr>
        <w:t>a</w:t>
      </w:r>
      <w:r w:rsidR="004D7761" w:rsidRPr="00AC653E">
        <w:rPr>
          <w:sz w:val="24"/>
          <w:szCs w:val="24"/>
        </w:rPr>
        <w:t>gency</w:t>
      </w:r>
      <w:r w:rsidR="004D7761" w:rsidRPr="00AC653E">
        <w:rPr>
          <w:spacing w:val="-5"/>
          <w:sz w:val="24"/>
          <w:szCs w:val="24"/>
        </w:rPr>
        <w:t xml:space="preserve"> </w:t>
      </w:r>
      <w:r w:rsidRPr="00AC653E">
        <w:rPr>
          <w:sz w:val="24"/>
          <w:szCs w:val="24"/>
        </w:rPr>
        <w:t>is using</w:t>
      </w:r>
      <w:r w:rsidRPr="00AC653E">
        <w:rPr>
          <w:spacing w:val="-3"/>
          <w:sz w:val="24"/>
          <w:szCs w:val="24"/>
        </w:rPr>
        <w:t xml:space="preserve"> </w:t>
      </w:r>
      <w:r w:rsidRPr="00AC653E">
        <w:rPr>
          <w:sz w:val="24"/>
          <w:szCs w:val="24"/>
        </w:rPr>
        <w:t>a</w:t>
      </w:r>
      <w:r w:rsidRPr="00AC653E">
        <w:rPr>
          <w:spacing w:val="1"/>
          <w:sz w:val="24"/>
          <w:szCs w:val="24"/>
        </w:rPr>
        <w:t xml:space="preserve"> </w:t>
      </w:r>
      <w:r w:rsidRPr="00AC653E">
        <w:rPr>
          <w:sz w:val="24"/>
          <w:szCs w:val="24"/>
        </w:rPr>
        <w:t>wage</w:t>
      </w:r>
      <w:r w:rsidRPr="00AC653E">
        <w:rPr>
          <w:spacing w:val="-1"/>
          <w:sz w:val="24"/>
          <w:szCs w:val="24"/>
        </w:rPr>
        <w:t xml:space="preserve"> </w:t>
      </w:r>
      <w:r w:rsidRPr="00AC653E">
        <w:rPr>
          <w:sz w:val="24"/>
          <w:szCs w:val="24"/>
        </w:rPr>
        <w:t>rate</w:t>
      </w:r>
      <w:r w:rsidRPr="00AC653E">
        <w:rPr>
          <w:spacing w:val="-1"/>
          <w:sz w:val="24"/>
          <w:szCs w:val="24"/>
        </w:rPr>
        <w:t xml:space="preserve"> </w:t>
      </w:r>
      <w:r w:rsidRPr="00AC653E">
        <w:rPr>
          <w:sz w:val="24"/>
          <w:szCs w:val="24"/>
        </w:rPr>
        <w:t>of</w:t>
      </w:r>
      <w:r w:rsidRPr="00AC653E">
        <w:rPr>
          <w:spacing w:val="-1"/>
          <w:sz w:val="24"/>
          <w:szCs w:val="24"/>
        </w:rPr>
        <w:t xml:space="preserve"> </w:t>
      </w:r>
      <w:r w:rsidRPr="00AC653E">
        <w:rPr>
          <w:sz w:val="24"/>
          <w:szCs w:val="24"/>
        </w:rPr>
        <w:t>$53.35 for</w:t>
      </w:r>
      <w:r w:rsidRPr="00AC653E">
        <w:rPr>
          <w:spacing w:val="-1"/>
          <w:sz w:val="24"/>
          <w:szCs w:val="24"/>
        </w:rPr>
        <w:t xml:space="preserve"> </w:t>
      </w:r>
      <w:r w:rsidRPr="00AC653E">
        <w:rPr>
          <w:sz w:val="24"/>
          <w:szCs w:val="24"/>
        </w:rPr>
        <w:t xml:space="preserve">a </w:t>
      </w:r>
      <w:r w:rsidRPr="00AC653E">
        <w:rPr>
          <w:sz w:val="24"/>
          <w:szCs w:val="24"/>
          <w:shd w:val="clear" w:color="auto" w:fill="FFFFFF"/>
        </w:rPr>
        <w:t>Farmers, Ranchers, and Other Agricultural Manager.</w:t>
      </w:r>
    </w:p>
    <w:p w:rsidR="00560BD3" w:rsidRPr="00AC653E" w:rsidRDefault="00560BD3" w:rsidP="00560BD3">
      <w:pPr>
        <w:pStyle w:val="Heading2"/>
        <w:ind w:left="0" w:right="218"/>
      </w:pPr>
    </w:p>
    <w:p w:rsidR="00560BD3" w:rsidRPr="00AC653E" w:rsidRDefault="00560BD3" w:rsidP="00560BD3">
      <w:pPr>
        <w:tabs>
          <w:tab w:val="left" w:pos="-1440"/>
        </w:tabs>
        <w:rPr>
          <w:sz w:val="24"/>
          <w:szCs w:val="24"/>
        </w:rPr>
      </w:pPr>
      <w:r w:rsidRPr="00AC653E">
        <w:rPr>
          <w:sz w:val="24"/>
          <w:szCs w:val="24"/>
        </w:rPr>
        <w:t xml:space="preserve">The </w:t>
      </w:r>
      <w:r w:rsidR="004D7761">
        <w:rPr>
          <w:sz w:val="24"/>
          <w:szCs w:val="24"/>
        </w:rPr>
        <w:t>a</w:t>
      </w:r>
      <w:r w:rsidR="004D7761" w:rsidRPr="00AC653E">
        <w:rPr>
          <w:sz w:val="24"/>
          <w:szCs w:val="24"/>
        </w:rPr>
        <w:t xml:space="preserve">gency </w:t>
      </w:r>
      <w:r w:rsidRPr="00AC653E">
        <w:rPr>
          <w:sz w:val="24"/>
          <w:szCs w:val="24"/>
        </w:rPr>
        <w:t xml:space="preserve">determined the wage rate from mean hourly wage earnings to represent the cost of employee time.  For the relevant standard occupational classification category, OSHA used the wage rates reported in the Bureau of Labor Statistics, U.S. Department of Labor, Occupational </w:t>
      </w:r>
      <w:r w:rsidRPr="00AC653E">
        <w:t xml:space="preserve"> </w:t>
      </w:r>
      <w:r w:rsidRPr="00AC653E">
        <w:rPr>
          <w:sz w:val="24"/>
          <w:szCs w:val="24"/>
        </w:rPr>
        <w:t xml:space="preserve">Employment Statistics (OES), May 2017 [date accessed: March 9, 2018].  (OES data is available at </w:t>
      </w:r>
      <w:hyperlink r:id="rId9" w:history="1">
        <w:r w:rsidRPr="00AC653E">
          <w:rPr>
            <w:rStyle w:val="Hyperlink"/>
            <w:i/>
            <w:color w:val="auto"/>
            <w:sz w:val="24"/>
            <w:szCs w:val="24"/>
          </w:rPr>
          <w:t>https://www.bls.gov/oes/tables.htm</w:t>
        </w:r>
      </w:hyperlink>
      <w:r w:rsidRPr="00AC653E">
        <w:rPr>
          <w:sz w:val="24"/>
          <w:szCs w:val="24"/>
        </w:rPr>
        <w:t>.  To access a wage rate, select the year, “Occupation profiles,” and the Standard Occupational Classification (SOC) code.)</w:t>
      </w:r>
    </w:p>
    <w:p w:rsidR="00560BD3" w:rsidRPr="00AC653E" w:rsidRDefault="00560BD3" w:rsidP="00560BD3">
      <w:pPr>
        <w:tabs>
          <w:tab w:val="left" w:pos="-1440"/>
        </w:tabs>
        <w:rPr>
          <w:sz w:val="24"/>
          <w:szCs w:val="24"/>
        </w:rPr>
      </w:pPr>
    </w:p>
    <w:p w:rsidR="00560BD3" w:rsidRDefault="00560BD3" w:rsidP="00560BD3">
      <w:pPr>
        <w:tabs>
          <w:tab w:val="left" w:pos="-1440"/>
        </w:tabs>
        <w:rPr>
          <w:sz w:val="24"/>
          <w:szCs w:val="24"/>
        </w:rPr>
      </w:pPr>
      <w:r w:rsidRPr="00AC653E">
        <w:rPr>
          <w:sz w:val="24"/>
          <w:szCs w:val="24"/>
        </w:rPr>
        <w:t xml:space="preserve">To account for fringe benefits, the </w:t>
      </w:r>
      <w:r w:rsidR="004D7761">
        <w:rPr>
          <w:sz w:val="24"/>
          <w:szCs w:val="24"/>
        </w:rPr>
        <w:t>a</w:t>
      </w:r>
      <w:r w:rsidR="004D7761" w:rsidRPr="00AC653E">
        <w:rPr>
          <w:sz w:val="24"/>
          <w:szCs w:val="24"/>
        </w:rPr>
        <w:t xml:space="preserve">gency </w:t>
      </w:r>
      <w:r w:rsidRPr="00AC653E">
        <w:rPr>
          <w:sz w:val="24"/>
          <w:szCs w:val="24"/>
        </w:rPr>
        <w:t xml:space="preserve">used the Bureau of Labor Statistics’ (BLS) </w:t>
      </w:r>
      <w:r w:rsidRPr="00AC653E">
        <w:rPr>
          <w:i/>
          <w:sz w:val="24"/>
          <w:szCs w:val="24"/>
        </w:rPr>
        <w:t>Occupational Employment Statistics (OES) (2017)</w:t>
      </w:r>
      <w:r w:rsidRPr="00AC653E">
        <w:rPr>
          <w:sz w:val="24"/>
          <w:szCs w:val="24"/>
        </w:rPr>
        <w:t xml:space="preserve">.  Fringe markup is from the following BLS release:  </w:t>
      </w:r>
      <w:r w:rsidRPr="00AC653E">
        <w:rPr>
          <w:i/>
          <w:sz w:val="24"/>
          <w:szCs w:val="24"/>
        </w:rPr>
        <w:t>Employer Costs for Employee Compensation</w:t>
      </w:r>
      <w:r w:rsidRPr="00AC653E">
        <w:rPr>
          <w:sz w:val="24"/>
          <w:szCs w:val="24"/>
        </w:rPr>
        <w:t xml:space="preserve"> news release text; For release, September 2018</w:t>
      </w:r>
      <w:r w:rsidR="00A123F4" w:rsidRPr="00AC653E">
        <w:rPr>
          <w:sz w:val="24"/>
          <w:szCs w:val="24"/>
        </w:rPr>
        <w:t xml:space="preserve"> at</w:t>
      </w:r>
      <w:r w:rsidRPr="00AC653E">
        <w:rPr>
          <w:sz w:val="24"/>
          <w:szCs w:val="24"/>
        </w:rPr>
        <w:t xml:space="preserve"> </w:t>
      </w:r>
      <w:hyperlink r:id="rId10" w:history="1">
        <w:r w:rsidRPr="00AC653E">
          <w:rPr>
            <w:rStyle w:val="Hyperlink"/>
            <w:i/>
            <w:color w:val="auto"/>
            <w:sz w:val="24"/>
            <w:szCs w:val="24"/>
          </w:rPr>
          <w:t>https://www.bls.gov/news.release/pdf/ecec.pdf</w:t>
        </w:r>
      </w:hyperlink>
      <w:r w:rsidRPr="00AC653E">
        <w:rPr>
          <w:i/>
          <w:sz w:val="24"/>
          <w:szCs w:val="24"/>
        </w:rPr>
        <w:t xml:space="preserve">. </w:t>
      </w:r>
      <w:r w:rsidRPr="00AC653E">
        <w:rPr>
          <w:sz w:val="24"/>
          <w:szCs w:val="24"/>
        </w:rPr>
        <w:t xml:space="preserve">BLS reported that civilian workers, fringe benefits accounted for accounted for 31.7 percent of total compensation and wages accounted for the remaining 68.3 percent.  </w:t>
      </w:r>
    </w:p>
    <w:p w:rsidR="00B33576" w:rsidRPr="00AC653E" w:rsidRDefault="00B33576" w:rsidP="00560BD3">
      <w:pPr>
        <w:tabs>
          <w:tab w:val="left" w:pos="-1440"/>
        </w:tabs>
        <w:rPr>
          <w:sz w:val="24"/>
          <w:szCs w:val="24"/>
        </w:rPr>
      </w:pPr>
    </w:p>
    <w:p w:rsidR="00B33576" w:rsidRPr="00AC653E" w:rsidRDefault="00560BD3" w:rsidP="00560BD3">
      <w:pPr>
        <w:rPr>
          <w:color w:val="000000"/>
          <w:sz w:val="24"/>
          <w:szCs w:val="24"/>
        </w:rPr>
      </w:pPr>
      <w:r w:rsidRPr="00AC653E">
        <w:rPr>
          <w:color w:val="00000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890"/>
        <w:gridCol w:w="1620"/>
        <w:gridCol w:w="1350"/>
        <w:gridCol w:w="1710"/>
      </w:tblGrid>
      <w:tr w:rsidR="00B33576" w:rsidRPr="007C6A35" w:rsidTr="00094BB8">
        <w:tc>
          <w:tcPr>
            <w:tcW w:w="9000" w:type="dxa"/>
            <w:gridSpan w:val="5"/>
            <w:shd w:val="clear" w:color="auto" w:fill="8DB3E2"/>
          </w:tcPr>
          <w:p w:rsidR="00B33576" w:rsidRPr="007C6A35" w:rsidRDefault="00B33576" w:rsidP="00094BB8">
            <w:pPr>
              <w:tabs>
                <w:tab w:val="left" w:pos="-1440"/>
              </w:tabs>
              <w:jc w:val="center"/>
              <w:rPr>
                <w:b/>
                <w:sz w:val="24"/>
                <w:szCs w:val="24"/>
              </w:rPr>
            </w:pPr>
            <w:r>
              <w:rPr>
                <w:b/>
                <w:sz w:val="24"/>
                <w:szCs w:val="24"/>
              </w:rPr>
              <w:t xml:space="preserve">Table 1 -- </w:t>
            </w:r>
            <w:r w:rsidRPr="007C6A35">
              <w:rPr>
                <w:b/>
                <w:sz w:val="24"/>
                <w:szCs w:val="24"/>
              </w:rPr>
              <w:t>WAGE HOUR ESTIMATES</w:t>
            </w:r>
          </w:p>
        </w:tc>
      </w:tr>
      <w:tr w:rsidR="00B33576" w:rsidRPr="007C6A35" w:rsidTr="00094BB8">
        <w:tc>
          <w:tcPr>
            <w:tcW w:w="2430" w:type="dxa"/>
            <w:tcBorders>
              <w:bottom w:val="single" w:sz="4" w:space="0" w:color="auto"/>
            </w:tcBorders>
            <w:shd w:val="clear" w:color="auto" w:fill="C6D9F1"/>
          </w:tcPr>
          <w:p w:rsidR="00B33576" w:rsidRPr="007C6A35" w:rsidRDefault="00B33576" w:rsidP="00094BB8">
            <w:pPr>
              <w:tabs>
                <w:tab w:val="left" w:pos="-1440"/>
              </w:tabs>
              <w:rPr>
                <w:b/>
                <w:sz w:val="24"/>
                <w:szCs w:val="24"/>
              </w:rPr>
            </w:pPr>
            <w:r w:rsidRPr="007C6A35">
              <w:rPr>
                <w:b/>
                <w:sz w:val="24"/>
                <w:szCs w:val="24"/>
              </w:rPr>
              <w:t>Occupational Title</w:t>
            </w:r>
          </w:p>
        </w:tc>
        <w:tc>
          <w:tcPr>
            <w:tcW w:w="1890" w:type="dxa"/>
            <w:tcBorders>
              <w:bottom w:val="single" w:sz="4" w:space="0" w:color="auto"/>
            </w:tcBorders>
            <w:shd w:val="clear" w:color="auto" w:fill="C6D9F1"/>
          </w:tcPr>
          <w:p w:rsidR="00B33576" w:rsidRPr="007C6A35" w:rsidRDefault="00B33576" w:rsidP="00094BB8">
            <w:pPr>
              <w:tabs>
                <w:tab w:val="left" w:pos="-1440"/>
              </w:tabs>
              <w:rPr>
                <w:b/>
                <w:sz w:val="24"/>
                <w:szCs w:val="24"/>
              </w:rPr>
            </w:pPr>
            <w:r w:rsidRPr="007C6A35">
              <w:rPr>
                <w:b/>
                <w:sz w:val="24"/>
                <w:szCs w:val="24"/>
              </w:rPr>
              <w:t>Standard Occupation Code</w:t>
            </w:r>
          </w:p>
        </w:tc>
        <w:tc>
          <w:tcPr>
            <w:tcW w:w="1620" w:type="dxa"/>
            <w:tcBorders>
              <w:bottom w:val="single" w:sz="4" w:space="0" w:color="auto"/>
            </w:tcBorders>
            <w:shd w:val="clear" w:color="auto" w:fill="C6D9F1"/>
          </w:tcPr>
          <w:p w:rsidR="00B33576" w:rsidRPr="007C6A35" w:rsidRDefault="00B33576" w:rsidP="00094BB8">
            <w:pPr>
              <w:tabs>
                <w:tab w:val="left" w:pos="-1440"/>
              </w:tabs>
              <w:rPr>
                <w:b/>
                <w:sz w:val="24"/>
                <w:szCs w:val="24"/>
              </w:rPr>
            </w:pPr>
            <w:r w:rsidRPr="007C6A35">
              <w:rPr>
                <w:b/>
                <w:sz w:val="24"/>
                <w:szCs w:val="24"/>
              </w:rPr>
              <w:t>Mean Hour Wage Rate</w:t>
            </w:r>
          </w:p>
        </w:tc>
        <w:tc>
          <w:tcPr>
            <w:tcW w:w="1350" w:type="dxa"/>
            <w:tcBorders>
              <w:bottom w:val="single" w:sz="4" w:space="0" w:color="auto"/>
            </w:tcBorders>
            <w:shd w:val="clear" w:color="auto" w:fill="C6D9F1"/>
          </w:tcPr>
          <w:p w:rsidR="00B33576" w:rsidRPr="007C6A35" w:rsidRDefault="00B33576" w:rsidP="00B33576">
            <w:pPr>
              <w:tabs>
                <w:tab w:val="left" w:pos="-1440"/>
              </w:tabs>
              <w:rPr>
                <w:b/>
                <w:sz w:val="24"/>
                <w:szCs w:val="24"/>
              </w:rPr>
            </w:pPr>
            <w:r w:rsidRPr="007C6A35">
              <w:rPr>
                <w:b/>
                <w:sz w:val="24"/>
                <w:szCs w:val="24"/>
              </w:rPr>
              <w:t xml:space="preserve">Fringe Benefits </w:t>
            </w:r>
          </w:p>
        </w:tc>
        <w:tc>
          <w:tcPr>
            <w:tcW w:w="1710" w:type="dxa"/>
            <w:tcBorders>
              <w:bottom w:val="single" w:sz="4" w:space="0" w:color="auto"/>
            </w:tcBorders>
            <w:shd w:val="clear" w:color="auto" w:fill="C6D9F1"/>
          </w:tcPr>
          <w:p w:rsidR="00B33576" w:rsidRPr="007C6A35" w:rsidRDefault="00B33576" w:rsidP="00094BB8">
            <w:pPr>
              <w:tabs>
                <w:tab w:val="left" w:pos="-1440"/>
              </w:tabs>
              <w:rPr>
                <w:b/>
                <w:sz w:val="24"/>
                <w:szCs w:val="24"/>
              </w:rPr>
            </w:pPr>
            <w:r w:rsidRPr="007C6A35">
              <w:rPr>
                <w:b/>
                <w:sz w:val="24"/>
                <w:szCs w:val="24"/>
              </w:rPr>
              <w:t>Loaded hourly Wage Rate</w:t>
            </w:r>
          </w:p>
        </w:tc>
      </w:tr>
      <w:tr w:rsidR="00B33576" w:rsidRPr="009F5DF4" w:rsidTr="00094BB8">
        <w:tc>
          <w:tcPr>
            <w:tcW w:w="2430" w:type="dxa"/>
            <w:tcBorders>
              <w:top w:val="nil"/>
            </w:tcBorders>
            <w:shd w:val="clear" w:color="auto" w:fill="auto"/>
          </w:tcPr>
          <w:p w:rsidR="00B33576" w:rsidRPr="00F15EA0" w:rsidRDefault="00B33576" w:rsidP="00094BB8">
            <w:pPr>
              <w:tabs>
                <w:tab w:val="left" w:pos="-1440"/>
              </w:tabs>
              <w:rPr>
                <w:sz w:val="24"/>
                <w:szCs w:val="24"/>
              </w:rPr>
            </w:pPr>
            <w:r w:rsidRPr="00252315">
              <w:rPr>
                <w:color w:val="000000"/>
                <w:sz w:val="24"/>
                <w:szCs w:val="24"/>
                <w:shd w:val="clear" w:color="auto" w:fill="FFFFFF"/>
              </w:rPr>
              <w:t>Farmers, Ranchers, and Other Agricultural Manager</w:t>
            </w:r>
          </w:p>
        </w:tc>
        <w:tc>
          <w:tcPr>
            <w:tcW w:w="1890" w:type="dxa"/>
            <w:tcBorders>
              <w:top w:val="nil"/>
            </w:tcBorders>
            <w:shd w:val="clear" w:color="auto" w:fill="auto"/>
          </w:tcPr>
          <w:p w:rsidR="00B33576" w:rsidRPr="007C6A35" w:rsidRDefault="00B33576" w:rsidP="00094BB8">
            <w:pPr>
              <w:tabs>
                <w:tab w:val="left" w:pos="-1440"/>
              </w:tabs>
              <w:rPr>
                <w:sz w:val="24"/>
                <w:szCs w:val="24"/>
              </w:rPr>
            </w:pPr>
            <w:r>
              <w:rPr>
                <w:sz w:val="24"/>
                <w:szCs w:val="24"/>
              </w:rPr>
              <w:t>11-9013</w:t>
            </w:r>
          </w:p>
        </w:tc>
        <w:tc>
          <w:tcPr>
            <w:tcW w:w="1620" w:type="dxa"/>
            <w:tcBorders>
              <w:top w:val="nil"/>
            </w:tcBorders>
            <w:shd w:val="clear" w:color="auto" w:fill="auto"/>
          </w:tcPr>
          <w:p w:rsidR="00B33576" w:rsidRPr="007C6A35" w:rsidRDefault="00B33576" w:rsidP="00094BB8">
            <w:pPr>
              <w:tabs>
                <w:tab w:val="left" w:pos="-1440"/>
              </w:tabs>
              <w:rPr>
                <w:sz w:val="24"/>
                <w:szCs w:val="24"/>
              </w:rPr>
            </w:pPr>
            <w:r>
              <w:rPr>
                <w:sz w:val="24"/>
                <w:szCs w:val="24"/>
              </w:rPr>
              <w:t>$36.44</w:t>
            </w:r>
          </w:p>
        </w:tc>
        <w:tc>
          <w:tcPr>
            <w:tcW w:w="1350" w:type="dxa"/>
            <w:tcBorders>
              <w:top w:val="nil"/>
            </w:tcBorders>
            <w:shd w:val="clear" w:color="auto" w:fill="auto"/>
          </w:tcPr>
          <w:p w:rsidR="00B33576" w:rsidRDefault="00B33576" w:rsidP="00B33576">
            <w:pPr>
              <w:tabs>
                <w:tab w:val="left" w:pos="-1440"/>
              </w:tabs>
              <w:rPr>
                <w:sz w:val="24"/>
                <w:szCs w:val="24"/>
              </w:rPr>
            </w:pPr>
            <w:r>
              <w:rPr>
                <w:sz w:val="24"/>
                <w:szCs w:val="24"/>
              </w:rPr>
              <w:t>31.7%</w:t>
            </w:r>
          </w:p>
          <w:p w:rsidR="00B33576" w:rsidRPr="009F5DF4" w:rsidRDefault="00B33576" w:rsidP="00B33576">
            <w:pPr>
              <w:tabs>
                <w:tab w:val="left" w:pos="-1440"/>
              </w:tabs>
              <w:rPr>
                <w:sz w:val="24"/>
                <w:szCs w:val="24"/>
              </w:rPr>
            </w:pPr>
            <w:r>
              <w:rPr>
                <w:sz w:val="24"/>
                <w:szCs w:val="24"/>
              </w:rPr>
              <w:t>(1.4641)</w:t>
            </w:r>
            <w:r w:rsidRPr="009F5DF4">
              <w:rPr>
                <w:sz w:val="24"/>
                <w:szCs w:val="24"/>
              </w:rPr>
              <w:t xml:space="preserve"> </w:t>
            </w:r>
          </w:p>
        </w:tc>
        <w:tc>
          <w:tcPr>
            <w:tcW w:w="1710" w:type="dxa"/>
            <w:tcBorders>
              <w:top w:val="nil"/>
            </w:tcBorders>
            <w:shd w:val="clear" w:color="auto" w:fill="auto"/>
          </w:tcPr>
          <w:p w:rsidR="00B33576" w:rsidRPr="009F5DF4" w:rsidRDefault="00B33576" w:rsidP="00094BB8">
            <w:pPr>
              <w:tabs>
                <w:tab w:val="left" w:pos="-1440"/>
              </w:tabs>
              <w:rPr>
                <w:sz w:val="24"/>
                <w:szCs w:val="24"/>
              </w:rPr>
            </w:pPr>
            <w:r w:rsidRPr="009F5DF4">
              <w:rPr>
                <w:sz w:val="24"/>
                <w:szCs w:val="24"/>
              </w:rPr>
              <w:t>$53.35</w:t>
            </w:r>
          </w:p>
        </w:tc>
      </w:tr>
    </w:tbl>
    <w:p w:rsidR="00B33576" w:rsidRDefault="00560BD3" w:rsidP="00560BD3">
      <w:pPr>
        <w:rPr>
          <w:color w:val="000000"/>
          <w:sz w:val="24"/>
          <w:szCs w:val="24"/>
        </w:rPr>
      </w:pPr>
      <w:r w:rsidRPr="00AC653E">
        <w:rPr>
          <w:color w:val="000000"/>
          <w:sz w:val="24"/>
          <w:szCs w:val="24"/>
        </w:rPr>
        <w:t xml:space="preserve">  </w:t>
      </w:r>
    </w:p>
    <w:p w:rsidR="00A0675F" w:rsidRPr="00AC653E" w:rsidRDefault="00560BD3" w:rsidP="00560BD3">
      <w:pPr>
        <w:rPr>
          <w:color w:val="FF0000"/>
          <w:sz w:val="24"/>
          <w:szCs w:val="24"/>
        </w:rPr>
      </w:pPr>
      <w:r w:rsidRPr="00AC653E">
        <w:rPr>
          <w:color w:val="000000"/>
          <w:sz w:val="24"/>
          <w:szCs w:val="24"/>
        </w:rPr>
        <w:t xml:space="preserve"> </w:t>
      </w:r>
    </w:p>
    <w:p w:rsidR="00A0675F" w:rsidRPr="002C5199" w:rsidRDefault="00A0675F" w:rsidP="00A0675F">
      <w:pPr>
        <w:rPr>
          <w:b/>
          <w:sz w:val="24"/>
          <w:szCs w:val="24"/>
        </w:rPr>
      </w:pPr>
      <w:r w:rsidRPr="002C5199">
        <w:rPr>
          <w:b/>
          <w:sz w:val="24"/>
          <w:szCs w:val="24"/>
        </w:rPr>
        <w:t>Reporting Communicable Disease (§1910.142(l))</w:t>
      </w:r>
    </w:p>
    <w:p w:rsidR="00A0675F" w:rsidRPr="00AC653E" w:rsidRDefault="00A0675F" w:rsidP="00A0675F">
      <w:pPr>
        <w:rPr>
          <w:sz w:val="24"/>
          <w:szCs w:val="24"/>
        </w:rPr>
      </w:pPr>
    </w:p>
    <w:p w:rsidR="00D65070" w:rsidRDefault="00A0675F" w:rsidP="00DC6524">
      <w:pPr>
        <w:tabs>
          <w:tab w:val="left" w:pos="-1440"/>
        </w:tabs>
        <w:rPr>
          <w:sz w:val="24"/>
          <w:szCs w:val="24"/>
        </w:rPr>
      </w:pPr>
      <w:r w:rsidRPr="002C5199">
        <w:rPr>
          <w:sz w:val="24"/>
          <w:szCs w:val="24"/>
        </w:rPr>
        <w:t xml:space="preserve">OSHA </w:t>
      </w:r>
      <w:r w:rsidR="00B14DA5" w:rsidRPr="002C5199">
        <w:rPr>
          <w:sz w:val="24"/>
          <w:szCs w:val="24"/>
        </w:rPr>
        <w:t>estimates that</w:t>
      </w:r>
      <w:r w:rsidRPr="002C5199">
        <w:rPr>
          <w:sz w:val="24"/>
          <w:szCs w:val="24"/>
        </w:rPr>
        <w:t xml:space="preserve"> approximately </w:t>
      </w:r>
      <w:r w:rsidR="00D34216">
        <w:rPr>
          <w:sz w:val="24"/>
          <w:szCs w:val="24"/>
        </w:rPr>
        <w:t>564</w:t>
      </w:r>
      <w:r w:rsidR="0029093D" w:rsidRPr="002C5199">
        <w:rPr>
          <w:sz w:val="24"/>
          <w:szCs w:val="24"/>
        </w:rPr>
        <w:t xml:space="preserve"> </w:t>
      </w:r>
      <w:r w:rsidRPr="002C5199">
        <w:rPr>
          <w:sz w:val="24"/>
          <w:szCs w:val="24"/>
        </w:rPr>
        <w:t>cases of such disease and symptoms (</w:t>
      </w:r>
      <w:r w:rsidR="002C5199">
        <w:rPr>
          <w:sz w:val="24"/>
          <w:szCs w:val="24"/>
        </w:rPr>
        <w:t>0</w:t>
      </w:r>
      <w:r w:rsidRPr="002C5199">
        <w:rPr>
          <w:sz w:val="24"/>
          <w:szCs w:val="24"/>
        </w:rPr>
        <w:t>.</w:t>
      </w:r>
      <w:r w:rsidR="004821F8">
        <w:rPr>
          <w:sz w:val="24"/>
          <w:szCs w:val="24"/>
        </w:rPr>
        <w:t>00</w:t>
      </w:r>
      <w:r w:rsidR="00EA2D48" w:rsidRPr="002C5199">
        <w:rPr>
          <w:sz w:val="24"/>
          <w:szCs w:val="24"/>
        </w:rPr>
        <w:t>870</w:t>
      </w:r>
      <w:r w:rsidRPr="002C5199">
        <w:rPr>
          <w:sz w:val="24"/>
          <w:szCs w:val="24"/>
        </w:rPr>
        <w:t xml:space="preserve">% of </w:t>
      </w:r>
      <w:r w:rsidR="006A59F1">
        <w:rPr>
          <w:sz w:val="24"/>
          <w:szCs w:val="24"/>
        </w:rPr>
        <w:t>64,800</w:t>
      </w:r>
      <w:r w:rsidRPr="002C5199">
        <w:rPr>
          <w:sz w:val="24"/>
          <w:szCs w:val="24"/>
        </w:rPr>
        <w:t>) are reported by temporary labor camp supervisors each year. The time required to report each incident to local public health authorities has been estimated to be five minutes (</w:t>
      </w:r>
      <w:r w:rsidR="002C5199">
        <w:rPr>
          <w:sz w:val="24"/>
          <w:szCs w:val="24"/>
        </w:rPr>
        <w:t>5/60</w:t>
      </w:r>
      <w:r w:rsidRPr="002C5199">
        <w:rPr>
          <w:sz w:val="24"/>
          <w:szCs w:val="24"/>
        </w:rPr>
        <w:t xml:space="preserve"> hour) of superintendent time. </w:t>
      </w:r>
    </w:p>
    <w:p w:rsidR="002C5199" w:rsidRDefault="002C5199" w:rsidP="00DC6524">
      <w:pPr>
        <w:tabs>
          <w:tab w:val="left" w:pos="-1440"/>
        </w:tabs>
        <w:rPr>
          <w:sz w:val="24"/>
          <w:szCs w:val="24"/>
        </w:rPr>
      </w:pPr>
    </w:p>
    <w:p w:rsidR="002C5199" w:rsidRPr="00880C3E" w:rsidRDefault="002C5199" w:rsidP="002C5199">
      <w:pPr>
        <w:tabs>
          <w:tab w:val="left" w:pos="-1440"/>
        </w:tabs>
        <w:rPr>
          <w:sz w:val="24"/>
          <w:szCs w:val="24"/>
        </w:rPr>
      </w:pPr>
      <w:r>
        <w:rPr>
          <w:sz w:val="24"/>
          <w:szCs w:val="24"/>
        </w:rPr>
        <w:tab/>
      </w:r>
      <w:r w:rsidRPr="00880C3E">
        <w:rPr>
          <w:b/>
          <w:bCs/>
          <w:sz w:val="24"/>
          <w:szCs w:val="24"/>
        </w:rPr>
        <w:t xml:space="preserve">Burden hours:  </w:t>
      </w:r>
      <w:r>
        <w:rPr>
          <w:bCs/>
          <w:sz w:val="24"/>
          <w:szCs w:val="24"/>
        </w:rPr>
        <w:t>564</w:t>
      </w:r>
      <w:r w:rsidRPr="00880C3E">
        <w:rPr>
          <w:sz w:val="24"/>
          <w:szCs w:val="24"/>
        </w:rPr>
        <w:t xml:space="preserve"> reports × </w:t>
      </w:r>
      <w:r>
        <w:rPr>
          <w:sz w:val="24"/>
          <w:szCs w:val="24"/>
        </w:rPr>
        <w:t>5</w:t>
      </w:r>
      <w:r w:rsidRPr="00880C3E">
        <w:rPr>
          <w:sz w:val="24"/>
          <w:szCs w:val="24"/>
        </w:rPr>
        <w:t xml:space="preserve">/60 hours per report = </w:t>
      </w:r>
      <w:r>
        <w:rPr>
          <w:sz w:val="24"/>
          <w:szCs w:val="24"/>
        </w:rPr>
        <w:t>47 hours</w:t>
      </w:r>
    </w:p>
    <w:p w:rsidR="002C5199" w:rsidRPr="00880C3E" w:rsidRDefault="002C5199" w:rsidP="002C5199">
      <w:pPr>
        <w:rPr>
          <w:b/>
          <w:bCs/>
          <w:sz w:val="24"/>
          <w:szCs w:val="24"/>
          <w:highlight w:val="yellow"/>
        </w:rPr>
      </w:pPr>
    </w:p>
    <w:p w:rsidR="002C5199" w:rsidRPr="00880C3E" w:rsidRDefault="002C5199" w:rsidP="002C5199">
      <w:pPr>
        <w:ind w:left="1440"/>
      </w:pPr>
      <w:r>
        <w:rPr>
          <w:b/>
          <w:bCs/>
          <w:sz w:val="24"/>
          <w:szCs w:val="24"/>
        </w:rPr>
        <w:t xml:space="preserve">  </w:t>
      </w:r>
      <w:r w:rsidRPr="00880C3E">
        <w:rPr>
          <w:b/>
          <w:bCs/>
          <w:sz w:val="24"/>
          <w:szCs w:val="24"/>
        </w:rPr>
        <w:t xml:space="preserve">Costs:  </w:t>
      </w:r>
      <w:r w:rsidRPr="00880C3E">
        <w:rPr>
          <w:b/>
          <w:sz w:val="24"/>
          <w:szCs w:val="24"/>
        </w:rPr>
        <w:t xml:space="preserve"> </w:t>
      </w:r>
      <w:r>
        <w:rPr>
          <w:sz w:val="24"/>
          <w:szCs w:val="24"/>
        </w:rPr>
        <w:t xml:space="preserve">47 </w:t>
      </w:r>
      <w:r w:rsidRPr="00880C3E">
        <w:rPr>
          <w:sz w:val="24"/>
          <w:szCs w:val="24"/>
        </w:rPr>
        <w:t>hours × 53.35 = $</w:t>
      </w:r>
      <w:r>
        <w:rPr>
          <w:sz w:val="24"/>
          <w:szCs w:val="24"/>
        </w:rPr>
        <w:t>2,508</w:t>
      </w:r>
    </w:p>
    <w:p w:rsidR="002C5199" w:rsidRPr="002C5199" w:rsidRDefault="002C5199" w:rsidP="00DC6524">
      <w:pPr>
        <w:tabs>
          <w:tab w:val="left" w:pos="-1440"/>
        </w:tabs>
        <w:rPr>
          <w:sz w:val="24"/>
          <w:szCs w:val="24"/>
        </w:rPr>
      </w:pPr>
    </w:p>
    <w:p w:rsidR="00AB6FB0" w:rsidRPr="00821741" w:rsidRDefault="00AB6FB0" w:rsidP="00D65070">
      <w:pPr>
        <w:tabs>
          <w:tab w:val="left" w:pos="-1440"/>
        </w:tabs>
        <w:rPr>
          <w:color w:val="000000"/>
          <w:sz w:val="24"/>
          <w:szCs w:val="24"/>
        </w:rPr>
        <w:sectPr w:rsidR="00AB6FB0" w:rsidRPr="00821741" w:rsidSect="002F0C0E">
          <w:headerReference w:type="default" r:id="rId11"/>
          <w:footerReference w:type="even" r:id="rId12"/>
          <w:footerReference w:type="default" r:id="rId13"/>
          <w:headerReference w:type="first" r:id="rId14"/>
          <w:pgSz w:w="12240" w:h="15840"/>
          <w:pgMar w:top="1440" w:right="1440" w:bottom="1440" w:left="1440" w:header="720" w:footer="720" w:gutter="0"/>
          <w:cols w:space="720"/>
          <w:titlePg/>
          <w:docGrid w:linePitch="360"/>
        </w:sectPr>
      </w:pPr>
    </w:p>
    <w:p w:rsidR="00D65070" w:rsidRPr="00901E97" w:rsidRDefault="00D65070" w:rsidP="00DC6524">
      <w:pPr>
        <w:tabs>
          <w:tab w:val="left" w:pos="-1440"/>
        </w:tabs>
        <w:rPr>
          <w:b/>
          <w:color w:val="C00000"/>
          <w:sz w:val="24"/>
          <w:szCs w:val="24"/>
        </w:rPr>
      </w:pPr>
    </w:p>
    <w:p w:rsidR="003B6204" w:rsidRPr="00880C3E" w:rsidRDefault="00DC6524" w:rsidP="002C5199">
      <w:pPr>
        <w:tabs>
          <w:tab w:val="left" w:pos="-1440"/>
        </w:tabs>
      </w:pPr>
      <w:r w:rsidRPr="004811AE">
        <w:rPr>
          <w:color w:val="C00000"/>
          <w:sz w:val="24"/>
          <w:szCs w:val="24"/>
        </w:rPr>
        <w:t xml:space="preserve"> </w:t>
      </w:r>
      <w:r w:rsidR="00107B1A" w:rsidRPr="004811AE">
        <w:rPr>
          <w:color w:val="C00000"/>
          <w:sz w:val="24"/>
          <w:szCs w:val="24"/>
        </w:rPr>
        <w:tab/>
      </w:r>
      <w:r w:rsidR="00107B1A" w:rsidRPr="00880C3E">
        <w:rPr>
          <w:sz w:val="24"/>
          <w:szCs w:val="24"/>
        </w:rPr>
        <w:tab/>
      </w:r>
    </w:p>
    <w:p w:rsidR="003B6204" w:rsidRPr="00880C3E" w:rsidRDefault="003B6204" w:rsidP="003B6204"/>
    <w:p w:rsidR="003B6204" w:rsidRDefault="003B6204" w:rsidP="003B6204"/>
    <w:p w:rsidR="00293876" w:rsidRPr="007C6A35" w:rsidRDefault="00293876" w:rsidP="00C35A61">
      <w:pPr>
        <w:ind w:left="720" w:firstLine="720"/>
        <w:rPr>
          <w:sz w:val="24"/>
          <w:szCs w:val="24"/>
        </w:rPr>
      </w:pPr>
    </w:p>
    <w:tbl>
      <w:tblPr>
        <w:tblW w:w="126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440"/>
        <w:gridCol w:w="1620"/>
        <w:gridCol w:w="1440"/>
        <w:gridCol w:w="1440"/>
        <w:gridCol w:w="1350"/>
        <w:gridCol w:w="990"/>
        <w:gridCol w:w="1530"/>
        <w:gridCol w:w="1080"/>
      </w:tblGrid>
      <w:tr w:rsidR="00293876" w:rsidRPr="007C6A35" w:rsidTr="002E1779">
        <w:tc>
          <w:tcPr>
            <w:tcW w:w="12600" w:type="dxa"/>
            <w:gridSpan w:val="9"/>
            <w:tcBorders>
              <w:top w:val="single" w:sz="4" w:space="0" w:color="auto"/>
              <w:left w:val="single" w:sz="4" w:space="0" w:color="auto"/>
              <w:bottom w:val="single" w:sz="4" w:space="0" w:color="auto"/>
              <w:right w:val="single" w:sz="4" w:space="0" w:color="auto"/>
            </w:tcBorders>
            <w:shd w:val="clear" w:color="auto" w:fill="ACB9CA"/>
            <w:hideMark/>
          </w:tcPr>
          <w:p w:rsidR="00293876" w:rsidRPr="007C6A35" w:rsidRDefault="00293876" w:rsidP="00B33576">
            <w:pPr>
              <w:widowControl w:val="0"/>
              <w:jc w:val="center"/>
              <w:rPr>
                <w:rFonts w:eastAsia="Calibri"/>
                <w:b/>
                <w:sz w:val="24"/>
                <w:szCs w:val="24"/>
              </w:rPr>
            </w:pPr>
            <w:r w:rsidRPr="007C6A35">
              <w:rPr>
                <w:rFonts w:eastAsia="Calibri"/>
                <w:b/>
                <w:sz w:val="24"/>
                <w:szCs w:val="24"/>
              </w:rPr>
              <w:t xml:space="preserve">Table </w:t>
            </w:r>
            <w:r w:rsidR="00B33576">
              <w:rPr>
                <w:rFonts w:eastAsia="Calibri"/>
                <w:b/>
                <w:sz w:val="24"/>
                <w:szCs w:val="24"/>
              </w:rPr>
              <w:t>2</w:t>
            </w:r>
            <w:r w:rsidRPr="007C6A35">
              <w:rPr>
                <w:rFonts w:eastAsia="Calibri"/>
                <w:b/>
                <w:sz w:val="24"/>
                <w:szCs w:val="24"/>
              </w:rPr>
              <w:t>. Estimated Annualized Respondent Hour and Cost Burden Table</w:t>
            </w:r>
          </w:p>
        </w:tc>
      </w:tr>
      <w:tr w:rsidR="00C35A61" w:rsidRPr="007C6A35" w:rsidTr="00DA59DB">
        <w:trPr>
          <w:trHeight w:val="1529"/>
        </w:trPr>
        <w:tc>
          <w:tcPr>
            <w:tcW w:w="1710" w:type="dxa"/>
            <w:tcBorders>
              <w:top w:val="single" w:sz="4" w:space="0" w:color="auto"/>
              <w:left w:val="single" w:sz="4" w:space="0" w:color="auto"/>
              <w:bottom w:val="single" w:sz="4" w:space="0" w:color="auto"/>
              <w:right w:val="single" w:sz="4" w:space="0" w:color="auto"/>
            </w:tcBorders>
            <w:shd w:val="clear" w:color="auto" w:fill="D5DCE4"/>
            <w:hideMark/>
          </w:tcPr>
          <w:p w:rsidR="00293876" w:rsidRPr="007C6A35" w:rsidRDefault="00293876" w:rsidP="00365136">
            <w:pPr>
              <w:widowControl w:val="0"/>
              <w:jc w:val="center"/>
              <w:rPr>
                <w:rFonts w:eastAsia="Calibri"/>
                <w:b/>
                <w:sz w:val="24"/>
                <w:szCs w:val="24"/>
              </w:rPr>
            </w:pPr>
            <w:r w:rsidRPr="007C6A35">
              <w:rPr>
                <w:rFonts w:eastAsia="Calibri"/>
                <w:b/>
                <w:sz w:val="24"/>
                <w:szCs w:val="24"/>
              </w:rPr>
              <w:t>Information collection Requirement</w:t>
            </w:r>
          </w:p>
        </w:tc>
        <w:tc>
          <w:tcPr>
            <w:tcW w:w="1440" w:type="dxa"/>
            <w:tcBorders>
              <w:top w:val="single" w:sz="4" w:space="0" w:color="auto"/>
              <w:left w:val="single" w:sz="4" w:space="0" w:color="auto"/>
              <w:bottom w:val="single" w:sz="4" w:space="0" w:color="auto"/>
              <w:right w:val="single" w:sz="4" w:space="0" w:color="auto"/>
            </w:tcBorders>
            <w:shd w:val="clear" w:color="auto" w:fill="D5DCE4"/>
            <w:hideMark/>
          </w:tcPr>
          <w:p w:rsidR="00C35A61" w:rsidRPr="007C6A35" w:rsidRDefault="00293876" w:rsidP="00365136">
            <w:pPr>
              <w:widowControl w:val="0"/>
              <w:jc w:val="center"/>
              <w:rPr>
                <w:rFonts w:eastAsia="Calibri"/>
                <w:b/>
                <w:sz w:val="24"/>
                <w:szCs w:val="24"/>
              </w:rPr>
            </w:pPr>
            <w:r w:rsidRPr="007C6A35">
              <w:rPr>
                <w:rFonts w:eastAsia="Calibri"/>
                <w:b/>
                <w:sz w:val="24"/>
                <w:szCs w:val="24"/>
              </w:rPr>
              <w:t xml:space="preserve">Type </w:t>
            </w:r>
          </w:p>
          <w:p w:rsidR="00293876" w:rsidRPr="007C6A35" w:rsidRDefault="00293876" w:rsidP="00365136">
            <w:pPr>
              <w:widowControl w:val="0"/>
              <w:jc w:val="center"/>
              <w:rPr>
                <w:rFonts w:eastAsia="Calibri"/>
                <w:b/>
                <w:sz w:val="24"/>
                <w:szCs w:val="24"/>
              </w:rPr>
            </w:pPr>
            <w:r w:rsidRPr="007C6A35">
              <w:rPr>
                <w:rFonts w:eastAsia="Calibri"/>
                <w:b/>
                <w:sz w:val="24"/>
                <w:szCs w:val="24"/>
              </w:rPr>
              <w:t>of Respondent</w:t>
            </w:r>
          </w:p>
        </w:tc>
        <w:tc>
          <w:tcPr>
            <w:tcW w:w="1620" w:type="dxa"/>
            <w:tcBorders>
              <w:top w:val="single" w:sz="4" w:space="0" w:color="auto"/>
              <w:left w:val="single" w:sz="4" w:space="0" w:color="auto"/>
              <w:bottom w:val="single" w:sz="4" w:space="0" w:color="auto"/>
              <w:right w:val="single" w:sz="4" w:space="0" w:color="auto"/>
            </w:tcBorders>
            <w:shd w:val="clear" w:color="auto" w:fill="D5DCE4"/>
            <w:hideMark/>
          </w:tcPr>
          <w:p w:rsidR="00C35A61" w:rsidRPr="007C6A35" w:rsidRDefault="00293876" w:rsidP="00365136">
            <w:pPr>
              <w:widowControl w:val="0"/>
              <w:jc w:val="center"/>
              <w:rPr>
                <w:rFonts w:eastAsia="Calibri"/>
                <w:b/>
                <w:sz w:val="24"/>
                <w:szCs w:val="24"/>
              </w:rPr>
            </w:pPr>
            <w:r w:rsidRPr="007C6A35">
              <w:rPr>
                <w:rFonts w:eastAsia="Calibri"/>
                <w:b/>
                <w:sz w:val="24"/>
                <w:szCs w:val="24"/>
              </w:rPr>
              <w:t xml:space="preserve">Number </w:t>
            </w:r>
          </w:p>
          <w:p w:rsidR="00293876" w:rsidRPr="007C6A35" w:rsidRDefault="00293876" w:rsidP="00365136">
            <w:pPr>
              <w:widowControl w:val="0"/>
              <w:jc w:val="center"/>
              <w:rPr>
                <w:rFonts w:eastAsia="Calibri"/>
                <w:b/>
                <w:sz w:val="24"/>
                <w:szCs w:val="24"/>
              </w:rPr>
            </w:pPr>
            <w:r w:rsidRPr="007C6A35">
              <w:rPr>
                <w:rFonts w:eastAsia="Calibri"/>
                <w:b/>
                <w:sz w:val="24"/>
                <w:szCs w:val="24"/>
              </w:rPr>
              <w:t>of Respondents</w:t>
            </w:r>
          </w:p>
        </w:tc>
        <w:tc>
          <w:tcPr>
            <w:tcW w:w="1440" w:type="dxa"/>
            <w:tcBorders>
              <w:top w:val="single" w:sz="4" w:space="0" w:color="auto"/>
              <w:left w:val="single" w:sz="4" w:space="0" w:color="auto"/>
              <w:bottom w:val="single" w:sz="4" w:space="0" w:color="auto"/>
              <w:right w:val="single" w:sz="4" w:space="0" w:color="auto"/>
            </w:tcBorders>
            <w:shd w:val="clear" w:color="auto" w:fill="D5DCE4"/>
            <w:hideMark/>
          </w:tcPr>
          <w:p w:rsidR="00293876" w:rsidRPr="007C6A35" w:rsidRDefault="00293876" w:rsidP="00365136">
            <w:pPr>
              <w:widowControl w:val="0"/>
              <w:jc w:val="center"/>
              <w:rPr>
                <w:rFonts w:eastAsia="Calibri"/>
                <w:b/>
                <w:sz w:val="24"/>
                <w:szCs w:val="24"/>
              </w:rPr>
            </w:pPr>
            <w:r w:rsidRPr="007C6A35">
              <w:rPr>
                <w:rFonts w:eastAsia="Calibri"/>
                <w:b/>
                <w:sz w:val="24"/>
                <w:szCs w:val="24"/>
              </w:rPr>
              <w:t>Number of Responses per Respondent</w:t>
            </w:r>
          </w:p>
        </w:tc>
        <w:tc>
          <w:tcPr>
            <w:tcW w:w="1440" w:type="dxa"/>
            <w:tcBorders>
              <w:top w:val="single" w:sz="4" w:space="0" w:color="auto"/>
              <w:left w:val="single" w:sz="4" w:space="0" w:color="auto"/>
              <w:bottom w:val="single" w:sz="4" w:space="0" w:color="auto"/>
              <w:right w:val="single" w:sz="4" w:space="0" w:color="auto"/>
            </w:tcBorders>
            <w:shd w:val="clear" w:color="auto" w:fill="D5DCE4"/>
          </w:tcPr>
          <w:p w:rsidR="00C35A61" w:rsidRPr="007C6A35" w:rsidRDefault="00293876" w:rsidP="00365136">
            <w:pPr>
              <w:widowControl w:val="0"/>
              <w:jc w:val="center"/>
              <w:rPr>
                <w:rFonts w:eastAsia="Calibri"/>
                <w:b/>
                <w:sz w:val="24"/>
                <w:szCs w:val="24"/>
              </w:rPr>
            </w:pPr>
            <w:r w:rsidRPr="007C6A35">
              <w:rPr>
                <w:rFonts w:eastAsia="Calibri"/>
                <w:b/>
                <w:sz w:val="24"/>
                <w:szCs w:val="24"/>
              </w:rPr>
              <w:t>Total Number</w:t>
            </w:r>
          </w:p>
          <w:p w:rsidR="00293876" w:rsidRPr="007C6A35" w:rsidRDefault="00293876" w:rsidP="00365136">
            <w:pPr>
              <w:widowControl w:val="0"/>
              <w:jc w:val="center"/>
              <w:rPr>
                <w:rFonts w:eastAsia="Calibri"/>
                <w:b/>
                <w:sz w:val="24"/>
                <w:szCs w:val="24"/>
              </w:rPr>
            </w:pPr>
            <w:r w:rsidRPr="007C6A35">
              <w:rPr>
                <w:rFonts w:eastAsia="Calibri"/>
                <w:b/>
                <w:sz w:val="24"/>
                <w:szCs w:val="24"/>
              </w:rPr>
              <w:t xml:space="preserve"> of Responses</w:t>
            </w:r>
          </w:p>
          <w:p w:rsidR="00293876" w:rsidRPr="007C6A35" w:rsidRDefault="00293876" w:rsidP="00365136">
            <w:pPr>
              <w:widowControl w:val="0"/>
              <w:rPr>
                <w:rFonts w:eastAsia="Calibri"/>
                <w:b/>
                <w:sz w:val="24"/>
                <w:szCs w:val="24"/>
              </w:rPr>
            </w:pPr>
          </w:p>
          <w:p w:rsidR="00293876" w:rsidRPr="007C6A35" w:rsidRDefault="00293876" w:rsidP="00365136">
            <w:pPr>
              <w:widowControl w:val="0"/>
              <w:rPr>
                <w:rFonts w:eastAsia="Calibri"/>
                <w:b/>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D5DCE4"/>
            <w:hideMark/>
          </w:tcPr>
          <w:p w:rsidR="00293876" w:rsidRPr="007C6A35" w:rsidRDefault="00293876" w:rsidP="00365136">
            <w:pPr>
              <w:widowControl w:val="0"/>
              <w:jc w:val="center"/>
              <w:rPr>
                <w:rFonts w:eastAsia="Calibri"/>
                <w:b/>
                <w:sz w:val="24"/>
                <w:szCs w:val="24"/>
              </w:rPr>
            </w:pPr>
            <w:r w:rsidRPr="007C6A35">
              <w:rPr>
                <w:rFonts w:eastAsia="Calibri"/>
                <w:b/>
                <w:sz w:val="24"/>
                <w:szCs w:val="24"/>
              </w:rPr>
              <w:t>Average Burden per Responses</w:t>
            </w:r>
          </w:p>
          <w:p w:rsidR="00293876" w:rsidRPr="007C6A35" w:rsidRDefault="00293876" w:rsidP="00365136">
            <w:pPr>
              <w:widowControl w:val="0"/>
              <w:jc w:val="center"/>
              <w:rPr>
                <w:rFonts w:eastAsia="Calibri"/>
                <w:b/>
                <w:sz w:val="24"/>
                <w:szCs w:val="24"/>
              </w:rPr>
            </w:pPr>
            <w:r w:rsidRPr="007C6A35">
              <w:rPr>
                <w:rFonts w:eastAsia="Calibri"/>
                <w:b/>
                <w:sz w:val="24"/>
                <w:szCs w:val="24"/>
              </w:rPr>
              <w:t>(In. Hrs.)</w:t>
            </w:r>
          </w:p>
        </w:tc>
        <w:tc>
          <w:tcPr>
            <w:tcW w:w="990" w:type="dxa"/>
            <w:tcBorders>
              <w:top w:val="single" w:sz="4" w:space="0" w:color="auto"/>
              <w:left w:val="single" w:sz="4" w:space="0" w:color="auto"/>
              <w:bottom w:val="single" w:sz="4" w:space="0" w:color="auto"/>
              <w:right w:val="single" w:sz="4" w:space="0" w:color="auto"/>
            </w:tcBorders>
            <w:shd w:val="clear" w:color="auto" w:fill="D5DCE4"/>
            <w:hideMark/>
          </w:tcPr>
          <w:p w:rsidR="00293876" w:rsidRPr="007C6A35" w:rsidRDefault="00293876" w:rsidP="00365136">
            <w:pPr>
              <w:widowControl w:val="0"/>
              <w:jc w:val="center"/>
              <w:rPr>
                <w:rFonts w:eastAsia="Calibri"/>
                <w:b/>
                <w:sz w:val="24"/>
                <w:szCs w:val="24"/>
              </w:rPr>
            </w:pPr>
            <w:r w:rsidRPr="007C6A35">
              <w:rPr>
                <w:rFonts w:eastAsia="Calibri"/>
                <w:b/>
                <w:sz w:val="24"/>
                <w:szCs w:val="24"/>
              </w:rPr>
              <w:t>Total Burden  Hours</w:t>
            </w:r>
          </w:p>
        </w:tc>
        <w:tc>
          <w:tcPr>
            <w:tcW w:w="1530" w:type="dxa"/>
            <w:tcBorders>
              <w:top w:val="single" w:sz="4" w:space="0" w:color="auto"/>
              <w:left w:val="single" w:sz="4" w:space="0" w:color="auto"/>
              <w:bottom w:val="single" w:sz="4" w:space="0" w:color="auto"/>
              <w:right w:val="single" w:sz="4" w:space="0" w:color="auto"/>
            </w:tcBorders>
            <w:shd w:val="clear" w:color="auto" w:fill="D5DCE4"/>
            <w:hideMark/>
          </w:tcPr>
          <w:p w:rsidR="00293876" w:rsidRPr="007C6A35" w:rsidRDefault="00293876" w:rsidP="00365136">
            <w:pPr>
              <w:widowControl w:val="0"/>
              <w:jc w:val="center"/>
              <w:rPr>
                <w:rFonts w:eastAsia="Calibri"/>
                <w:b/>
                <w:sz w:val="24"/>
                <w:szCs w:val="24"/>
              </w:rPr>
            </w:pPr>
            <w:r w:rsidRPr="007C6A35">
              <w:rPr>
                <w:rFonts w:eastAsia="Calibri"/>
                <w:b/>
                <w:sz w:val="24"/>
                <w:szCs w:val="24"/>
              </w:rPr>
              <w:t>Avg. Hourly Wage Rate*</w:t>
            </w:r>
          </w:p>
        </w:tc>
        <w:tc>
          <w:tcPr>
            <w:tcW w:w="1080" w:type="dxa"/>
            <w:tcBorders>
              <w:top w:val="single" w:sz="4" w:space="0" w:color="auto"/>
              <w:left w:val="single" w:sz="4" w:space="0" w:color="auto"/>
              <w:bottom w:val="single" w:sz="4" w:space="0" w:color="auto"/>
              <w:right w:val="single" w:sz="4" w:space="0" w:color="auto"/>
            </w:tcBorders>
            <w:shd w:val="clear" w:color="auto" w:fill="D5DCE4"/>
            <w:hideMark/>
          </w:tcPr>
          <w:p w:rsidR="00293876" w:rsidRPr="007C6A35" w:rsidRDefault="00293876" w:rsidP="00365136">
            <w:pPr>
              <w:widowControl w:val="0"/>
              <w:jc w:val="center"/>
              <w:rPr>
                <w:rFonts w:eastAsia="Calibri"/>
                <w:b/>
                <w:sz w:val="24"/>
                <w:szCs w:val="24"/>
              </w:rPr>
            </w:pPr>
            <w:r w:rsidRPr="007C6A35">
              <w:rPr>
                <w:rFonts w:eastAsia="Calibri"/>
                <w:b/>
                <w:sz w:val="24"/>
                <w:szCs w:val="24"/>
              </w:rPr>
              <w:t>Total Burden</w:t>
            </w:r>
          </w:p>
          <w:p w:rsidR="00293876" w:rsidRPr="007C6A35" w:rsidRDefault="00293876" w:rsidP="00365136">
            <w:pPr>
              <w:widowControl w:val="0"/>
              <w:jc w:val="center"/>
              <w:rPr>
                <w:rFonts w:eastAsia="Calibri"/>
                <w:b/>
                <w:sz w:val="24"/>
                <w:szCs w:val="24"/>
              </w:rPr>
            </w:pPr>
            <w:r w:rsidRPr="007C6A35">
              <w:rPr>
                <w:rFonts w:eastAsia="Calibri"/>
                <w:b/>
                <w:sz w:val="24"/>
                <w:szCs w:val="24"/>
              </w:rPr>
              <w:t>Costs</w:t>
            </w:r>
          </w:p>
        </w:tc>
      </w:tr>
      <w:tr w:rsidR="00C06A3E" w:rsidRPr="007E724F" w:rsidTr="00252315">
        <w:trPr>
          <w:trHeight w:val="526"/>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C06A3E" w:rsidRPr="007C6A35" w:rsidRDefault="00C06A3E" w:rsidP="00C06A3E">
            <w:pPr>
              <w:widowControl w:val="0"/>
              <w:rPr>
                <w:rFonts w:eastAsia="Calibri"/>
                <w:b/>
                <w:sz w:val="24"/>
                <w:szCs w:val="24"/>
              </w:rPr>
            </w:pPr>
            <w:r w:rsidRPr="007C6A35">
              <w:rPr>
                <w:rFonts w:eastAsia="Calibri"/>
                <w:b/>
                <w:sz w:val="24"/>
                <w:szCs w:val="24"/>
              </w:rPr>
              <w:t>Reporting Communicable Disease (§1910.142(l))</w:t>
            </w:r>
          </w:p>
          <w:p w:rsidR="00C06A3E" w:rsidRPr="007C6A35" w:rsidRDefault="00C06A3E" w:rsidP="00C06A3E">
            <w:pPr>
              <w:pStyle w:val="TableParagraph"/>
              <w:spacing w:line="246" w:lineRule="exact"/>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06A3E" w:rsidRPr="007C6A35" w:rsidRDefault="00C06A3E" w:rsidP="00C06A3E">
            <w:pPr>
              <w:widowControl w:val="0"/>
              <w:tabs>
                <w:tab w:val="left" w:pos="-1440"/>
              </w:tabs>
              <w:rPr>
                <w:rFonts w:eastAsia="Calibri"/>
                <w:sz w:val="24"/>
                <w:szCs w:val="24"/>
              </w:rPr>
            </w:pPr>
            <w:r w:rsidRPr="00CC0395">
              <w:rPr>
                <w:color w:val="000000"/>
                <w:sz w:val="24"/>
                <w:szCs w:val="24"/>
                <w:shd w:val="clear" w:color="auto" w:fill="FFFFFF"/>
              </w:rPr>
              <w:t>Farmers, Ranchers, and Other Agricultural Manager</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C06A3E" w:rsidRPr="00316CF3" w:rsidRDefault="00D34216" w:rsidP="00C06A3E">
            <w:pPr>
              <w:widowControl w:val="0"/>
              <w:jc w:val="center"/>
              <w:rPr>
                <w:rFonts w:eastAsia="Calibri"/>
                <w:sz w:val="24"/>
                <w:szCs w:val="24"/>
              </w:rPr>
            </w:pPr>
            <w:r>
              <w:rPr>
                <w:rFonts w:eastAsia="Calibri"/>
                <w:sz w:val="24"/>
                <w:szCs w:val="24"/>
              </w:rPr>
              <w:t>64,800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C06A3E" w:rsidRPr="00316CF3" w:rsidRDefault="002C5199" w:rsidP="002C5199">
            <w:pPr>
              <w:widowControl w:val="0"/>
              <w:tabs>
                <w:tab w:val="left" w:pos="-1440"/>
              </w:tabs>
              <w:jc w:val="center"/>
              <w:rPr>
                <w:rFonts w:eastAsia="Calibri"/>
                <w:sz w:val="24"/>
                <w:szCs w:val="24"/>
              </w:rPr>
            </w:pPr>
            <w:r>
              <w:rPr>
                <w:rFonts w:eastAsia="Calibri"/>
                <w:sz w:val="24"/>
                <w:szCs w:val="24"/>
              </w:rPr>
              <w:t>0</w:t>
            </w:r>
            <w:r w:rsidR="00D31CB4">
              <w:rPr>
                <w:rFonts w:eastAsia="Calibri"/>
                <w:sz w:val="24"/>
                <w:szCs w:val="24"/>
              </w:rPr>
              <w:t>.00870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C06A3E" w:rsidRPr="00316CF3" w:rsidRDefault="00D34216" w:rsidP="00C06A3E">
            <w:pPr>
              <w:widowControl w:val="0"/>
              <w:tabs>
                <w:tab w:val="left" w:pos="-1440"/>
              </w:tabs>
              <w:jc w:val="center"/>
              <w:rPr>
                <w:rFonts w:eastAsia="Calibri"/>
                <w:sz w:val="24"/>
                <w:szCs w:val="24"/>
              </w:rPr>
            </w:pPr>
            <w:r>
              <w:rPr>
                <w:rFonts w:eastAsia="Calibri"/>
                <w:sz w:val="24"/>
                <w:szCs w:val="24"/>
              </w:rPr>
              <w:t>564</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C06A3E" w:rsidRPr="00316CF3" w:rsidRDefault="00062267" w:rsidP="00C06A3E">
            <w:pPr>
              <w:widowControl w:val="0"/>
              <w:tabs>
                <w:tab w:val="left" w:pos="-1440"/>
              </w:tabs>
              <w:jc w:val="center"/>
              <w:rPr>
                <w:rFonts w:eastAsia="Calibri"/>
                <w:sz w:val="24"/>
                <w:szCs w:val="24"/>
              </w:rPr>
            </w:pPr>
            <w:r>
              <w:rPr>
                <w:rFonts w:eastAsia="Calibri"/>
                <w:sz w:val="24"/>
                <w:szCs w:val="24"/>
              </w:rPr>
              <w:t>5</w:t>
            </w:r>
            <w:r w:rsidR="00C06A3E" w:rsidRPr="00316CF3">
              <w:rPr>
                <w:rFonts w:eastAsia="Calibri"/>
                <w:sz w:val="24"/>
                <w:szCs w:val="24"/>
              </w:rPr>
              <w:t>/60 min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C06A3E" w:rsidRPr="00D4616A" w:rsidRDefault="00592F87" w:rsidP="00D31CB4">
            <w:pPr>
              <w:widowControl w:val="0"/>
              <w:jc w:val="center"/>
              <w:rPr>
                <w:rFonts w:eastAsia="Calibri"/>
                <w:sz w:val="24"/>
                <w:szCs w:val="24"/>
              </w:rPr>
            </w:pPr>
            <w:r w:rsidRPr="00D4616A">
              <w:rPr>
                <w:rFonts w:eastAsia="Calibri"/>
                <w:sz w:val="24"/>
                <w:szCs w:val="24"/>
              </w:rPr>
              <w:t xml:space="preserve"> </w:t>
            </w:r>
            <w:r w:rsidR="00D31CB4">
              <w:rPr>
                <w:rFonts w:eastAsia="Calibri"/>
                <w:sz w:val="24"/>
                <w:szCs w:val="24"/>
              </w:rPr>
              <w:t>47</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C06A3E" w:rsidRPr="00D4616A" w:rsidRDefault="00C06A3E" w:rsidP="00C06A3E">
            <w:pPr>
              <w:widowControl w:val="0"/>
              <w:jc w:val="center"/>
              <w:rPr>
                <w:rFonts w:eastAsia="Calibri"/>
                <w:sz w:val="24"/>
                <w:szCs w:val="24"/>
              </w:rPr>
            </w:pPr>
            <w:r w:rsidRPr="00D4616A">
              <w:rPr>
                <w:rFonts w:eastAsia="Calibri"/>
                <w:sz w:val="24"/>
                <w:szCs w:val="24"/>
              </w:rPr>
              <w:t>$53.35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92F87" w:rsidRPr="00D4616A" w:rsidRDefault="00592F87" w:rsidP="00D31CB4">
            <w:pPr>
              <w:widowControl w:val="0"/>
              <w:rPr>
                <w:rFonts w:eastAsia="Calibri"/>
                <w:sz w:val="24"/>
                <w:szCs w:val="24"/>
              </w:rPr>
            </w:pPr>
            <w:r w:rsidRPr="00D4616A">
              <w:rPr>
                <w:rFonts w:eastAsia="Calibri"/>
                <w:sz w:val="24"/>
                <w:szCs w:val="24"/>
              </w:rPr>
              <w:t>$</w:t>
            </w:r>
            <w:r w:rsidR="00D31CB4">
              <w:rPr>
                <w:rFonts w:eastAsia="Calibri"/>
                <w:sz w:val="24"/>
                <w:szCs w:val="24"/>
              </w:rPr>
              <w:t>2,508</w:t>
            </w:r>
          </w:p>
        </w:tc>
      </w:tr>
      <w:tr w:rsidR="00C06A3E" w:rsidRPr="007C6A35" w:rsidTr="00DA59DB">
        <w:trPr>
          <w:trHeight w:val="60"/>
        </w:trPr>
        <w:tc>
          <w:tcPr>
            <w:tcW w:w="1710" w:type="dxa"/>
            <w:tcBorders>
              <w:top w:val="single" w:sz="4" w:space="0" w:color="auto"/>
              <w:left w:val="single" w:sz="4" w:space="0" w:color="auto"/>
              <w:bottom w:val="single" w:sz="4" w:space="0" w:color="auto"/>
              <w:right w:val="single" w:sz="4" w:space="0" w:color="auto"/>
            </w:tcBorders>
            <w:shd w:val="clear" w:color="auto" w:fill="D5DCE4"/>
            <w:hideMark/>
          </w:tcPr>
          <w:p w:rsidR="00C06A3E" w:rsidRPr="007C6A35" w:rsidRDefault="00C06A3E" w:rsidP="00C06A3E">
            <w:pPr>
              <w:widowControl w:val="0"/>
              <w:rPr>
                <w:rFonts w:eastAsia="Calibri"/>
                <w:b/>
                <w:sz w:val="24"/>
                <w:szCs w:val="24"/>
              </w:rPr>
            </w:pPr>
            <w:r w:rsidRPr="007C6A35">
              <w:rPr>
                <w:rFonts w:eastAsia="Calibri"/>
                <w:b/>
                <w:sz w:val="24"/>
                <w:szCs w:val="24"/>
              </w:rPr>
              <w:t>Totals</w:t>
            </w:r>
          </w:p>
        </w:tc>
        <w:tc>
          <w:tcPr>
            <w:tcW w:w="1440" w:type="dxa"/>
            <w:tcBorders>
              <w:top w:val="single" w:sz="4" w:space="0" w:color="auto"/>
              <w:left w:val="single" w:sz="4" w:space="0" w:color="auto"/>
              <w:bottom w:val="single" w:sz="4" w:space="0" w:color="auto"/>
              <w:right w:val="single" w:sz="4" w:space="0" w:color="auto"/>
            </w:tcBorders>
            <w:shd w:val="clear" w:color="auto" w:fill="D5DCE4"/>
          </w:tcPr>
          <w:p w:rsidR="00C06A3E" w:rsidRPr="007C6A35" w:rsidRDefault="00C06A3E" w:rsidP="00C06A3E">
            <w:pPr>
              <w:widowControl w:val="0"/>
              <w:rPr>
                <w:rFonts w:eastAsia="Calibri"/>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D5DCE4"/>
            <w:hideMark/>
          </w:tcPr>
          <w:p w:rsidR="00C06A3E" w:rsidRPr="007C6A35" w:rsidRDefault="00C06A3E" w:rsidP="00C06A3E">
            <w:pPr>
              <w:widowControl w:val="0"/>
              <w:jc w:val="center"/>
              <w:rPr>
                <w:rFonts w:eastAsia="Calibri"/>
                <w:b/>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D5DCE4"/>
            <w:hideMark/>
          </w:tcPr>
          <w:p w:rsidR="00C06A3E" w:rsidRPr="007C6A35" w:rsidRDefault="00C06A3E" w:rsidP="00C06A3E">
            <w:pPr>
              <w:widowControl w:val="0"/>
              <w:jc w:val="center"/>
              <w:rPr>
                <w:rFonts w:eastAsia="Calibri"/>
                <w:sz w:val="24"/>
                <w:szCs w:val="24"/>
              </w:rPr>
            </w:pPr>
            <w:r w:rsidRPr="007C6A35">
              <w:rPr>
                <w:rFonts w:eastAsia="Calibri"/>
                <w:sz w:val="24"/>
                <w:szCs w:val="24"/>
              </w:rPr>
              <w:t>--</w:t>
            </w:r>
          </w:p>
        </w:tc>
        <w:tc>
          <w:tcPr>
            <w:tcW w:w="1440" w:type="dxa"/>
            <w:tcBorders>
              <w:top w:val="single" w:sz="4" w:space="0" w:color="auto"/>
              <w:left w:val="single" w:sz="4" w:space="0" w:color="auto"/>
              <w:bottom w:val="single" w:sz="4" w:space="0" w:color="auto"/>
              <w:right w:val="single" w:sz="4" w:space="0" w:color="auto"/>
            </w:tcBorders>
            <w:shd w:val="clear" w:color="auto" w:fill="D5DCE4"/>
            <w:hideMark/>
          </w:tcPr>
          <w:p w:rsidR="00C06A3E" w:rsidRPr="007C6A35" w:rsidRDefault="00C06A3E" w:rsidP="00C06A3E">
            <w:pPr>
              <w:widowControl w:val="0"/>
              <w:jc w:val="center"/>
              <w:rPr>
                <w:rFonts w:eastAsia="Calibri"/>
                <w:b/>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D5DCE4"/>
          </w:tcPr>
          <w:p w:rsidR="00C06A3E" w:rsidRPr="007C6A35" w:rsidRDefault="00C06A3E" w:rsidP="00C06A3E">
            <w:pPr>
              <w:widowControl w:val="0"/>
              <w:jc w:val="center"/>
              <w:rPr>
                <w:rFonts w:eastAsia="Calibri"/>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D5DCE4"/>
            <w:hideMark/>
          </w:tcPr>
          <w:p w:rsidR="00C06A3E" w:rsidRPr="00D4616A" w:rsidRDefault="00C06A3E" w:rsidP="00C06A3E">
            <w:pPr>
              <w:widowControl w:val="0"/>
              <w:jc w:val="center"/>
              <w:rPr>
                <w:rFonts w:eastAsia="Calibri"/>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D5DCE4"/>
            <w:hideMark/>
          </w:tcPr>
          <w:p w:rsidR="00C06A3E" w:rsidRPr="00D4616A" w:rsidRDefault="00C06A3E" w:rsidP="00C06A3E">
            <w:pPr>
              <w:widowControl w:val="0"/>
              <w:jc w:val="center"/>
              <w:rPr>
                <w:rFonts w:eastAsia="Calibri"/>
                <w:sz w:val="24"/>
                <w:szCs w:val="24"/>
              </w:rPr>
            </w:pPr>
            <w:r w:rsidRPr="00D4616A">
              <w:rPr>
                <w:rFonts w:eastAsia="Calibri"/>
                <w:sz w:val="24"/>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D5DCE4"/>
            <w:hideMark/>
          </w:tcPr>
          <w:p w:rsidR="00592F87" w:rsidRPr="00D4616A" w:rsidRDefault="00592F87" w:rsidP="00984F5C">
            <w:pPr>
              <w:widowControl w:val="0"/>
              <w:jc w:val="center"/>
              <w:rPr>
                <w:rFonts w:eastAsia="Calibri"/>
                <w:sz w:val="24"/>
                <w:szCs w:val="24"/>
              </w:rPr>
            </w:pPr>
            <w:r w:rsidRPr="00D4616A">
              <w:rPr>
                <w:rFonts w:eastAsia="Calibri"/>
                <w:sz w:val="24"/>
                <w:szCs w:val="24"/>
              </w:rPr>
              <w:t>$</w:t>
            </w:r>
            <w:r w:rsidR="00984F5C">
              <w:rPr>
                <w:rFonts w:eastAsia="Calibri"/>
                <w:sz w:val="24"/>
                <w:szCs w:val="24"/>
              </w:rPr>
              <w:t>2,508</w:t>
            </w:r>
          </w:p>
        </w:tc>
      </w:tr>
    </w:tbl>
    <w:p w:rsidR="00293876" w:rsidRPr="007C6A35" w:rsidRDefault="00293876" w:rsidP="00293876">
      <w:pPr>
        <w:tabs>
          <w:tab w:val="left" w:pos="1440"/>
        </w:tabs>
        <w:rPr>
          <w:color w:val="A6A6A6"/>
          <w:sz w:val="24"/>
          <w:szCs w:val="24"/>
        </w:rPr>
      </w:pPr>
    </w:p>
    <w:p w:rsidR="008A11FF" w:rsidRDefault="008A11FF" w:rsidP="00CD0FA0">
      <w:pPr>
        <w:tabs>
          <w:tab w:val="left" w:pos="180"/>
        </w:tabs>
        <w:ind w:left="630" w:hanging="720"/>
        <w:rPr>
          <w:b/>
          <w:bCs/>
          <w:sz w:val="24"/>
          <w:szCs w:val="24"/>
        </w:rPr>
        <w:sectPr w:rsidR="008A11FF" w:rsidSect="003B6204">
          <w:pgSz w:w="15840" w:h="12240" w:orient="landscape"/>
          <w:pgMar w:top="1440" w:right="1440" w:bottom="1440" w:left="1440" w:header="720" w:footer="720" w:gutter="0"/>
          <w:cols w:space="720"/>
          <w:titlePg/>
          <w:docGrid w:linePitch="360"/>
        </w:sectPr>
      </w:pPr>
    </w:p>
    <w:p w:rsidR="00A0675F" w:rsidRPr="007C6A35" w:rsidRDefault="00A0675F" w:rsidP="004163D1">
      <w:pPr>
        <w:numPr>
          <w:ilvl w:val="0"/>
          <w:numId w:val="12"/>
        </w:numPr>
        <w:tabs>
          <w:tab w:val="left" w:pos="180"/>
        </w:tabs>
        <w:ind w:left="450" w:hanging="540"/>
        <w:rPr>
          <w:b/>
          <w:bCs/>
          <w:sz w:val="24"/>
          <w:szCs w:val="24"/>
        </w:rPr>
      </w:pPr>
      <w:r w:rsidRPr="007C6A35">
        <w:rPr>
          <w:b/>
          <w:bCs/>
          <w:sz w:val="24"/>
          <w:szCs w:val="24"/>
        </w:rPr>
        <w:t>Provide an estimate of the total annual cost burden to respondents or recordkeepers resulting from the collection of information.  (Do not include the cost of any hour burden shown in Items 12 and 14).</w:t>
      </w:r>
    </w:p>
    <w:p w:rsidR="00A0675F" w:rsidRPr="007C6A35" w:rsidRDefault="00A0675F" w:rsidP="00A0675F">
      <w:pPr>
        <w:rPr>
          <w:b/>
          <w:bCs/>
          <w:sz w:val="24"/>
          <w:szCs w:val="24"/>
        </w:rPr>
      </w:pPr>
    </w:p>
    <w:p w:rsidR="00A0675F" w:rsidRPr="007C6A35" w:rsidRDefault="00211B23" w:rsidP="008A4DB2">
      <w:pPr>
        <w:numPr>
          <w:ilvl w:val="0"/>
          <w:numId w:val="5"/>
        </w:numPr>
        <w:tabs>
          <w:tab w:val="left" w:pos="1440"/>
        </w:tabs>
        <w:rPr>
          <w:b/>
          <w:bCs/>
          <w:sz w:val="24"/>
          <w:szCs w:val="24"/>
        </w:rPr>
      </w:pPr>
      <w:r>
        <w:rPr>
          <w:b/>
          <w:bCs/>
          <w:sz w:val="24"/>
          <w:szCs w:val="24"/>
        </w:rPr>
        <w:t>The</w:t>
      </w:r>
      <w:r w:rsidR="00A0675F" w:rsidRPr="007C6A35">
        <w:rPr>
          <w:b/>
          <w:bCs/>
          <w:sz w:val="24"/>
          <w:szCs w:val="24"/>
        </w:rPr>
        <w:t xml:space="preserv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0675F" w:rsidRPr="007C6A35" w:rsidRDefault="00A0675F" w:rsidP="00A0675F">
      <w:pPr>
        <w:rPr>
          <w:b/>
          <w:bCs/>
          <w:sz w:val="24"/>
          <w:szCs w:val="24"/>
        </w:rPr>
      </w:pPr>
    </w:p>
    <w:p w:rsidR="0028492C" w:rsidRDefault="00A0675F" w:rsidP="008A4DB2">
      <w:pPr>
        <w:numPr>
          <w:ilvl w:val="0"/>
          <w:numId w:val="5"/>
        </w:numPr>
        <w:tabs>
          <w:tab w:val="left" w:pos="1440"/>
        </w:tabs>
        <w:rPr>
          <w:b/>
          <w:bCs/>
          <w:sz w:val="24"/>
          <w:szCs w:val="24"/>
        </w:rPr>
      </w:pPr>
      <w:r w:rsidRPr="007C6A35">
        <w:rPr>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0675F" w:rsidRPr="007C6A35" w:rsidRDefault="00A0675F" w:rsidP="00A0675F">
      <w:pPr>
        <w:rPr>
          <w:b/>
          <w:bCs/>
          <w:sz w:val="24"/>
          <w:szCs w:val="24"/>
        </w:rPr>
      </w:pPr>
    </w:p>
    <w:p w:rsidR="00A0675F" w:rsidRPr="007C6A35" w:rsidRDefault="00A0675F" w:rsidP="008A4DB2">
      <w:pPr>
        <w:numPr>
          <w:ilvl w:val="0"/>
          <w:numId w:val="5"/>
        </w:numPr>
        <w:tabs>
          <w:tab w:val="left" w:pos="1440"/>
        </w:tabs>
        <w:rPr>
          <w:b/>
          <w:bCs/>
          <w:sz w:val="24"/>
          <w:szCs w:val="24"/>
        </w:rPr>
      </w:pPr>
      <w:r w:rsidRPr="007C6A35">
        <w:rPr>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B14DA5" w:rsidRPr="007C6A35">
        <w:rPr>
          <w:b/>
          <w:bCs/>
          <w:sz w:val="24"/>
          <w:szCs w:val="24"/>
        </w:rPr>
        <w:t>government</w:t>
      </w:r>
      <w:r w:rsidRPr="007C6A35">
        <w:rPr>
          <w:b/>
          <w:bCs/>
          <w:sz w:val="24"/>
          <w:szCs w:val="24"/>
        </w:rPr>
        <w:t xml:space="preserve"> or (4) as part of customary and usual business or private practices.</w:t>
      </w:r>
    </w:p>
    <w:p w:rsidR="00A0675F" w:rsidRPr="007C6A35" w:rsidRDefault="00A0675F" w:rsidP="00A0675F">
      <w:pPr>
        <w:rPr>
          <w:b/>
          <w:bCs/>
          <w:sz w:val="24"/>
          <w:szCs w:val="24"/>
        </w:rPr>
      </w:pPr>
    </w:p>
    <w:p w:rsidR="00A0675F" w:rsidRPr="007C6A35" w:rsidRDefault="00A0675F" w:rsidP="00A0675F">
      <w:pPr>
        <w:rPr>
          <w:sz w:val="24"/>
          <w:szCs w:val="24"/>
        </w:rPr>
      </w:pPr>
      <w:r w:rsidRPr="007C6A35">
        <w:rPr>
          <w:sz w:val="24"/>
          <w:szCs w:val="24"/>
        </w:rPr>
        <w:t>All costs are listed under item #12.</w:t>
      </w:r>
    </w:p>
    <w:p w:rsidR="00A0675F" w:rsidRPr="007C6A35" w:rsidRDefault="00A0675F" w:rsidP="00A0675F">
      <w:pPr>
        <w:rPr>
          <w:sz w:val="24"/>
          <w:szCs w:val="24"/>
        </w:rPr>
      </w:pPr>
      <w:r w:rsidRPr="007C6A35">
        <w:rPr>
          <w:sz w:val="24"/>
          <w:szCs w:val="24"/>
        </w:rPr>
        <w:tab/>
      </w:r>
    </w:p>
    <w:p w:rsidR="004163D1" w:rsidRDefault="00A0675F" w:rsidP="004163D1">
      <w:pPr>
        <w:numPr>
          <w:ilvl w:val="0"/>
          <w:numId w:val="12"/>
        </w:numPr>
        <w:tabs>
          <w:tab w:val="left" w:pos="450"/>
        </w:tabs>
        <w:ind w:hanging="720"/>
        <w:rPr>
          <w:b/>
          <w:bCs/>
          <w:sz w:val="24"/>
          <w:szCs w:val="24"/>
        </w:rPr>
      </w:pPr>
      <w:r w:rsidRPr="007C6A35">
        <w:rPr>
          <w:b/>
          <w:bCs/>
          <w:sz w:val="24"/>
          <w:szCs w:val="24"/>
        </w:rPr>
        <w:t>Provide estimates of annualized cost to the Feder</w:t>
      </w:r>
      <w:r w:rsidR="004163D1">
        <w:rPr>
          <w:b/>
          <w:bCs/>
          <w:sz w:val="24"/>
          <w:szCs w:val="24"/>
        </w:rPr>
        <w:t>al Government.  Also, provide a</w:t>
      </w:r>
    </w:p>
    <w:p w:rsidR="00A0675F" w:rsidRPr="007C6A35" w:rsidRDefault="00A0675F" w:rsidP="004163D1">
      <w:pPr>
        <w:tabs>
          <w:tab w:val="left" w:pos="450"/>
        </w:tabs>
        <w:ind w:left="450"/>
        <w:rPr>
          <w:b/>
          <w:bCs/>
          <w:sz w:val="24"/>
          <w:szCs w:val="24"/>
        </w:rPr>
      </w:pPr>
      <w:r w:rsidRPr="007C6A35">
        <w:rPr>
          <w:b/>
          <w:bCs/>
          <w:sz w:val="24"/>
          <w:szCs w:val="24"/>
        </w:rPr>
        <w:t>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0675F" w:rsidRPr="007C6A35" w:rsidRDefault="00A0675F" w:rsidP="00A0675F">
      <w:pPr>
        <w:rPr>
          <w:sz w:val="24"/>
          <w:szCs w:val="24"/>
        </w:rPr>
      </w:pPr>
    </w:p>
    <w:p w:rsidR="00925100" w:rsidRPr="007C6A35" w:rsidRDefault="00925100" w:rsidP="00925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6A35">
        <w:rPr>
          <w:sz w:val="24"/>
          <w:szCs w:val="24"/>
        </w:rPr>
        <w:t>There is no cost to the Federal Government associated with this information collection request.</w:t>
      </w:r>
    </w:p>
    <w:p w:rsidR="00925100" w:rsidRPr="007C6A35" w:rsidRDefault="00925100" w:rsidP="00191E2E">
      <w:pPr>
        <w:tabs>
          <w:tab w:val="left" w:pos="450"/>
        </w:tabs>
        <w:rPr>
          <w:sz w:val="24"/>
          <w:szCs w:val="24"/>
        </w:rPr>
      </w:pPr>
    </w:p>
    <w:p w:rsidR="00C273FA" w:rsidRDefault="00C273FA" w:rsidP="00191E2E">
      <w:pPr>
        <w:tabs>
          <w:tab w:val="left" w:pos="450"/>
        </w:tabs>
        <w:rPr>
          <w:b/>
          <w:bCs/>
          <w:sz w:val="24"/>
          <w:szCs w:val="24"/>
        </w:rPr>
      </w:pPr>
    </w:p>
    <w:p w:rsidR="00A0675F" w:rsidRPr="007C6A35" w:rsidRDefault="00C273FA" w:rsidP="004E1242">
      <w:pPr>
        <w:tabs>
          <w:tab w:val="left" w:pos="450"/>
        </w:tabs>
        <w:rPr>
          <w:sz w:val="24"/>
          <w:szCs w:val="24"/>
        </w:rPr>
      </w:pPr>
      <w:r>
        <w:rPr>
          <w:b/>
          <w:bCs/>
          <w:sz w:val="24"/>
          <w:szCs w:val="24"/>
        </w:rPr>
        <w:br w:type="page"/>
      </w:r>
      <w:r w:rsidR="00191E2E">
        <w:rPr>
          <w:b/>
          <w:bCs/>
          <w:sz w:val="24"/>
          <w:szCs w:val="24"/>
        </w:rPr>
        <w:t>15.</w:t>
      </w:r>
      <w:r w:rsidR="00191E2E">
        <w:rPr>
          <w:b/>
          <w:bCs/>
          <w:sz w:val="24"/>
          <w:szCs w:val="24"/>
        </w:rPr>
        <w:tab/>
      </w:r>
      <w:r w:rsidR="00A0675F" w:rsidRPr="007C6A35">
        <w:rPr>
          <w:b/>
          <w:bCs/>
          <w:sz w:val="24"/>
          <w:szCs w:val="24"/>
          <w:lang w:val="en-JM"/>
        </w:rPr>
        <w:t>Explain the reasons for any program changes or adjustments.</w:t>
      </w:r>
    </w:p>
    <w:p w:rsidR="00725E72" w:rsidRDefault="00725E72" w:rsidP="00725E72">
      <w:pPr>
        <w:rPr>
          <w:sz w:val="24"/>
          <w:szCs w:val="24"/>
        </w:rPr>
      </w:pPr>
    </w:p>
    <w:p w:rsidR="00725E72" w:rsidRPr="00A5550D" w:rsidRDefault="00725E72" w:rsidP="00725E72">
      <w:pPr>
        <w:rPr>
          <w:sz w:val="24"/>
          <w:szCs w:val="24"/>
        </w:rPr>
      </w:pPr>
      <w:r w:rsidRPr="00A5550D">
        <w:rPr>
          <w:sz w:val="24"/>
          <w:szCs w:val="24"/>
        </w:rPr>
        <w:t xml:space="preserve">The </w:t>
      </w:r>
      <w:r w:rsidR="004D7761">
        <w:rPr>
          <w:sz w:val="24"/>
          <w:szCs w:val="24"/>
        </w:rPr>
        <w:t>a</w:t>
      </w:r>
      <w:r w:rsidR="004D7761" w:rsidRPr="00A5550D">
        <w:rPr>
          <w:sz w:val="24"/>
          <w:szCs w:val="24"/>
        </w:rPr>
        <w:t xml:space="preserve">gency </w:t>
      </w:r>
      <w:r w:rsidRPr="00A5550D">
        <w:rPr>
          <w:sz w:val="24"/>
          <w:szCs w:val="24"/>
        </w:rPr>
        <w:t xml:space="preserve">is requesting an adjustment </w:t>
      </w:r>
      <w:r w:rsidR="00D31CB4">
        <w:rPr>
          <w:sz w:val="24"/>
          <w:szCs w:val="24"/>
        </w:rPr>
        <w:t xml:space="preserve">decrease </w:t>
      </w:r>
      <w:r w:rsidRPr="00A5550D">
        <w:rPr>
          <w:sz w:val="24"/>
          <w:szCs w:val="24"/>
        </w:rPr>
        <w:t>in the number</w:t>
      </w:r>
      <w:r w:rsidR="00EB1B41">
        <w:rPr>
          <w:sz w:val="24"/>
          <w:szCs w:val="24"/>
        </w:rPr>
        <w:t xml:space="preserve"> burden hour </w:t>
      </w:r>
      <w:r w:rsidR="00D31CB4">
        <w:rPr>
          <w:sz w:val="24"/>
          <w:szCs w:val="24"/>
        </w:rPr>
        <w:t xml:space="preserve">from </w:t>
      </w:r>
      <w:r w:rsidR="00EB1B41">
        <w:rPr>
          <w:sz w:val="24"/>
          <w:szCs w:val="24"/>
        </w:rPr>
        <w:t xml:space="preserve">155 hours to </w:t>
      </w:r>
      <w:r w:rsidR="00D31CB4">
        <w:rPr>
          <w:sz w:val="24"/>
          <w:szCs w:val="24"/>
        </w:rPr>
        <w:t>47</w:t>
      </w:r>
      <w:r w:rsidR="00D31CB4" w:rsidRPr="00A5550D">
        <w:rPr>
          <w:sz w:val="24"/>
          <w:szCs w:val="24"/>
        </w:rPr>
        <w:t xml:space="preserve"> </w:t>
      </w:r>
      <w:r w:rsidRPr="00A5550D">
        <w:rPr>
          <w:sz w:val="24"/>
          <w:szCs w:val="24"/>
        </w:rPr>
        <w:t>hours</w:t>
      </w:r>
      <w:r w:rsidR="00D31CB4">
        <w:rPr>
          <w:sz w:val="24"/>
          <w:szCs w:val="24"/>
        </w:rPr>
        <w:t>, a total difference of 108 hours</w:t>
      </w:r>
      <w:r w:rsidRPr="00A5550D">
        <w:rPr>
          <w:sz w:val="24"/>
          <w:szCs w:val="24"/>
        </w:rPr>
        <w:t xml:space="preserve">.    </w:t>
      </w:r>
      <w:r w:rsidR="00686C45" w:rsidRPr="00A5550D">
        <w:rPr>
          <w:sz w:val="24"/>
          <w:szCs w:val="24"/>
        </w:rPr>
        <w:t xml:space="preserve">Burden Hours and costs are calculated on provisions contained in paragraph (I)(1) and (I)(2) of the standard. </w:t>
      </w:r>
      <w:r w:rsidRPr="00A5550D">
        <w:rPr>
          <w:sz w:val="24"/>
          <w:szCs w:val="24"/>
        </w:rPr>
        <w:t>Using the data, the</w:t>
      </w:r>
      <w:r w:rsidR="00BE2DFE" w:rsidRPr="00A5550D">
        <w:rPr>
          <w:sz w:val="24"/>
          <w:szCs w:val="24"/>
        </w:rPr>
        <w:t>re was a</w:t>
      </w:r>
      <w:r w:rsidRPr="00A5550D">
        <w:rPr>
          <w:sz w:val="24"/>
          <w:szCs w:val="24"/>
        </w:rPr>
        <w:t xml:space="preserve"> </w:t>
      </w:r>
      <w:r w:rsidR="00D31CB4">
        <w:rPr>
          <w:sz w:val="24"/>
          <w:szCs w:val="24"/>
        </w:rPr>
        <w:t>de</w:t>
      </w:r>
      <w:r w:rsidR="00D31CB4" w:rsidRPr="00A5550D">
        <w:rPr>
          <w:sz w:val="24"/>
          <w:szCs w:val="24"/>
        </w:rPr>
        <w:t xml:space="preserve">crease </w:t>
      </w:r>
      <w:r w:rsidRPr="00A5550D">
        <w:rPr>
          <w:sz w:val="24"/>
          <w:szCs w:val="24"/>
        </w:rPr>
        <w:t>in the number of “incidents of notifiable diseases” from 1,933 cases</w:t>
      </w:r>
      <w:r w:rsidR="00BE2DFE" w:rsidRPr="00A5550D">
        <w:rPr>
          <w:sz w:val="24"/>
          <w:szCs w:val="24"/>
        </w:rPr>
        <w:t xml:space="preserve"> to </w:t>
      </w:r>
      <w:r w:rsidR="00D31CB4">
        <w:rPr>
          <w:sz w:val="24"/>
          <w:szCs w:val="24"/>
        </w:rPr>
        <w:t>564</w:t>
      </w:r>
      <w:r w:rsidRPr="00A5550D">
        <w:rPr>
          <w:sz w:val="24"/>
          <w:szCs w:val="24"/>
        </w:rPr>
        <w:t xml:space="preserve">.  </w:t>
      </w:r>
      <w:r w:rsidR="00D31CB4">
        <w:rPr>
          <w:sz w:val="24"/>
          <w:szCs w:val="24"/>
        </w:rPr>
        <w:t>However, there was an error in the calculations in the previous information collection request.</w:t>
      </w:r>
    </w:p>
    <w:p w:rsidR="00A0675F" w:rsidRPr="007C6A35" w:rsidRDefault="00A0675F" w:rsidP="00A0675F">
      <w:pPr>
        <w:tabs>
          <w:tab w:val="left" w:pos="720"/>
        </w:tabs>
        <w:ind w:left="720" w:hanging="720"/>
        <w:rPr>
          <w:b/>
          <w:bCs/>
          <w:sz w:val="24"/>
          <w:szCs w:val="24"/>
        </w:rPr>
      </w:pPr>
    </w:p>
    <w:p w:rsidR="004E1242" w:rsidRDefault="004E1242" w:rsidP="00C826D0">
      <w:pPr>
        <w:tabs>
          <w:tab w:val="left" w:pos="450"/>
        </w:tabs>
        <w:ind w:left="630" w:hanging="720"/>
        <w:rPr>
          <w:b/>
          <w:bCs/>
          <w:sz w:val="24"/>
          <w:szCs w:val="24"/>
        </w:rPr>
      </w:pPr>
      <w:r>
        <w:rPr>
          <w:b/>
          <w:bCs/>
          <w:sz w:val="24"/>
          <w:szCs w:val="24"/>
        </w:rPr>
        <w:t>16.</w:t>
      </w:r>
      <w:r>
        <w:rPr>
          <w:b/>
          <w:bCs/>
          <w:sz w:val="24"/>
          <w:szCs w:val="24"/>
        </w:rPr>
        <w:tab/>
      </w:r>
      <w:r w:rsidR="00A0675F" w:rsidRPr="007C6A35">
        <w:rPr>
          <w:b/>
          <w:bCs/>
          <w:sz w:val="24"/>
          <w:szCs w:val="24"/>
        </w:rPr>
        <w:t xml:space="preserve">For collections of information whose results will be published, outline plans for </w:t>
      </w:r>
    </w:p>
    <w:p w:rsidR="004E1242" w:rsidRDefault="004E1242" w:rsidP="00C826D0">
      <w:pPr>
        <w:tabs>
          <w:tab w:val="left" w:pos="450"/>
          <w:tab w:val="left" w:pos="540"/>
        </w:tabs>
        <w:ind w:left="720" w:hanging="720"/>
        <w:rPr>
          <w:b/>
          <w:bCs/>
          <w:sz w:val="24"/>
          <w:szCs w:val="24"/>
        </w:rPr>
      </w:pPr>
      <w:r>
        <w:rPr>
          <w:b/>
          <w:bCs/>
          <w:sz w:val="24"/>
          <w:szCs w:val="24"/>
        </w:rPr>
        <w:tab/>
      </w:r>
      <w:r w:rsidR="00A0675F" w:rsidRPr="007C6A35">
        <w:rPr>
          <w:b/>
          <w:bCs/>
          <w:sz w:val="24"/>
          <w:szCs w:val="24"/>
        </w:rPr>
        <w:t>tabulation and publication.  Address any complex analytical techniques that will be</w:t>
      </w:r>
    </w:p>
    <w:p w:rsidR="004E1242" w:rsidRDefault="004E1242" w:rsidP="00C826D0">
      <w:pPr>
        <w:tabs>
          <w:tab w:val="left" w:pos="450"/>
        </w:tabs>
        <w:ind w:left="720" w:hanging="720"/>
        <w:rPr>
          <w:b/>
          <w:bCs/>
          <w:sz w:val="24"/>
          <w:szCs w:val="24"/>
        </w:rPr>
      </w:pPr>
      <w:r>
        <w:rPr>
          <w:b/>
          <w:bCs/>
          <w:sz w:val="24"/>
          <w:szCs w:val="24"/>
        </w:rPr>
        <w:tab/>
      </w:r>
      <w:r w:rsidR="00A0675F" w:rsidRPr="007C6A35">
        <w:rPr>
          <w:b/>
          <w:bCs/>
          <w:sz w:val="24"/>
          <w:szCs w:val="24"/>
        </w:rPr>
        <w:t xml:space="preserve">used.  Provide the time schedule for the entire project, including beginning and </w:t>
      </w:r>
    </w:p>
    <w:p w:rsidR="004E1242" w:rsidRDefault="004E1242" w:rsidP="00C826D0">
      <w:pPr>
        <w:tabs>
          <w:tab w:val="left" w:pos="450"/>
        </w:tabs>
        <w:ind w:left="720" w:hanging="720"/>
        <w:rPr>
          <w:b/>
          <w:bCs/>
          <w:sz w:val="24"/>
          <w:szCs w:val="24"/>
        </w:rPr>
      </w:pPr>
      <w:r>
        <w:rPr>
          <w:b/>
          <w:bCs/>
          <w:sz w:val="24"/>
          <w:szCs w:val="24"/>
        </w:rPr>
        <w:tab/>
      </w:r>
      <w:r w:rsidR="00A0675F" w:rsidRPr="007C6A35">
        <w:rPr>
          <w:b/>
          <w:bCs/>
          <w:sz w:val="24"/>
          <w:szCs w:val="24"/>
        </w:rPr>
        <w:t xml:space="preserve">ending dates of the collection of information, completion of report, publication dates, </w:t>
      </w:r>
    </w:p>
    <w:p w:rsidR="00A0675F" w:rsidRPr="007C6A35" w:rsidRDefault="004E1242" w:rsidP="00C826D0">
      <w:pPr>
        <w:tabs>
          <w:tab w:val="left" w:pos="450"/>
        </w:tabs>
        <w:ind w:left="720" w:hanging="720"/>
        <w:rPr>
          <w:sz w:val="24"/>
          <w:szCs w:val="24"/>
        </w:rPr>
      </w:pPr>
      <w:r>
        <w:rPr>
          <w:b/>
          <w:bCs/>
          <w:sz w:val="24"/>
          <w:szCs w:val="24"/>
        </w:rPr>
        <w:tab/>
      </w:r>
      <w:r w:rsidR="00A0675F" w:rsidRPr="007C6A35">
        <w:rPr>
          <w:b/>
          <w:bCs/>
          <w:sz w:val="24"/>
          <w:szCs w:val="24"/>
        </w:rPr>
        <w:t>and other actions.</w:t>
      </w:r>
    </w:p>
    <w:p w:rsidR="00A0675F" w:rsidRPr="007C6A35" w:rsidRDefault="00A0675F" w:rsidP="00A0675F">
      <w:pPr>
        <w:rPr>
          <w:sz w:val="24"/>
          <w:szCs w:val="24"/>
        </w:rPr>
      </w:pPr>
    </w:p>
    <w:p w:rsidR="00A0675F" w:rsidRPr="007C6A35" w:rsidRDefault="00A0675F" w:rsidP="00A0675F">
      <w:pPr>
        <w:rPr>
          <w:sz w:val="24"/>
          <w:szCs w:val="24"/>
        </w:rPr>
      </w:pPr>
      <w:r w:rsidRPr="007C6A35">
        <w:rPr>
          <w:sz w:val="24"/>
          <w:szCs w:val="24"/>
        </w:rPr>
        <w:t>The information collected under the Temporary Labor Camps Standard will not be published.</w:t>
      </w:r>
    </w:p>
    <w:p w:rsidR="00A0675F" w:rsidRPr="007C6A35" w:rsidRDefault="00A0675F" w:rsidP="00A0675F">
      <w:pPr>
        <w:rPr>
          <w:sz w:val="24"/>
          <w:szCs w:val="24"/>
        </w:rPr>
      </w:pPr>
    </w:p>
    <w:p w:rsidR="00C826D0" w:rsidRDefault="00A0675F" w:rsidP="00C826D0">
      <w:pPr>
        <w:tabs>
          <w:tab w:val="left" w:pos="360"/>
          <w:tab w:val="left" w:pos="450"/>
          <w:tab w:val="left" w:pos="540"/>
        </w:tabs>
        <w:rPr>
          <w:b/>
          <w:bCs/>
          <w:sz w:val="24"/>
          <w:szCs w:val="24"/>
        </w:rPr>
      </w:pPr>
      <w:r w:rsidRPr="007C6A35">
        <w:rPr>
          <w:b/>
          <w:bCs/>
          <w:sz w:val="24"/>
          <w:szCs w:val="24"/>
        </w:rPr>
        <w:t>17.</w:t>
      </w:r>
      <w:r w:rsidRPr="007C6A35">
        <w:rPr>
          <w:b/>
          <w:bCs/>
          <w:sz w:val="24"/>
          <w:szCs w:val="24"/>
        </w:rPr>
        <w:tab/>
      </w:r>
      <w:r w:rsidR="00794F0E">
        <w:rPr>
          <w:b/>
          <w:bCs/>
          <w:sz w:val="24"/>
          <w:szCs w:val="24"/>
        </w:rPr>
        <w:tab/>
      </w:r>
      <w:r w:rsidRPr="007C6A35">
        <w:rPr>
          <w:b/>
          <w:bCs/>
          <w:sz w:val="24"/>
          <w:szCs w:val="24"/>
        </w:rPr>
        <w:t xml:space="preserve">If seeking approval to not display the expiration date for OMB approval of the </w:t>
      </w:r>
    </w:p>
    <w:p w:rsidR="00A0675F" w:rsidRPr="007C6A35" w:rsidRDefault="00C826D0" w:rsidP="00C826D0">
      <w:pPr>
        <w:tabs>
          <w:tab w:val="left" w:pos="360"/>
          <w:tab w:val="left" w:pos="450"/>
          <w:tab w:val="left" w:pos="540"/>
        </w:tabs>
        <w:rPr>
          <w:b/>
          <w:bCs/>
          <w:sz w:val="24"/>
          <w:szCs w:val="24"/>
        </w:rPr>
      </w:pPr>
      <w:r>
        <w:rPr>
          <w:b/>
          <w:bCs/>
          <w:sz w:val="24"/>
          <w:szCs w:val="24"/>
        </w:rPr>
        <w:tab/>
      </w:r>
      <w:r>
        <w:rPr>
          <w:b/>
          <w:bCs/>
          <w:sz w:val="24"/>
          <w:szCs w:val="24"/>
        </w:rPr>
        <w:tab/>
      </w:r>
      <w:r w:rsidR="00A0675F" w:rsidRPr="007C6A35">
        <w:rPr>
          <w:b/>
          <w:bCs/>
          <w:sz w:val="24"/>
          <w:szCs w:val="24"/>
        </w:rPr>
        <w:t>information collection, explain the reasons that display would be inappropriate.</w:t>
      </w:r>
    </w:p>
    <w:p w:rsidR="007A514D" w:rsidRPr="007C6A35" w:rsidRDefault="007A514D" w:rsidP="00A0675F">
      <w:pPr>
        <w:rPr>
          <w:sz w:val="24"/>
          <w:szCs w:val="24"/>
        </w:rPr>
      </w:pPr>
    </w:p>
    <w:p w:rsidR="00A0675F" w:rsidRPr="007C6A35" w:rsidRDefault="007A514D" w:rsidP="00A0675F">
      <w:pPr>
        <w:rPr>
          <w:sz w:val="24"/>
          <w:szCs w:val="24"/>
        </w:rPr>
      </w:pPr>
      <w:r w:rsidRPr="007C6A35">
        <w:rPr>
          <w:sz w:val="24"/>
          <w:szCs w:val="24"/>
        </w:rPr>
        <w:t>OSHA lists current valid control numbers in §§1910.8, 1915.8, 1917.4, 1918.4 and 1926.5 and publishes the expiration date</w:t>
      </w:r>
      <w:r w:rsidR="00C859CE" w:rsidRPr="007C6A35">
        <w:rPr>
          <w:sz w:val="24"/>
          <w:szCs w:val="24"/>
        </w:rPr>
        <w:t>s</w:t>
      </w:r>
      <w:r w:rsidRPr="007C6A35">
        <w:rPr>
          <w:sz w:val="24"/>
          <w:szCs w:val="24"/>
        </w:rPr>
        <w:t xml:space="preserve"> in the Federal Register notice announcing OMB approval of the information collection requirement</w:t>
      </w:r>
      <w:r w:rsidR="0012468B" w:rsidRPr="007C6A35">
        <w:rPr>
          <w:sz w:val="24"/>
          <w:szCs w:val="24"/>
        </w:rPr>
        <w:t xml:space="preserve"> </w:t>
      </w:r>
      <w:r w:rsidRPr="007C6A35">
        <w:rPr>
          <w:sz w:val="24"/>
          <w:szCs w:val="24"/>
        </w:rPr>
        <w:t>(see 5 CFR 1320.3(f</w:t>
      </w:r>
      <w:r w:rsidR="00B14DA5" w:rsidRPr="007C6A35">
        <w:rPr>
          <w:sz w:val="24"/>
          <w:szCs w:val="24"/>
        </w:rPr>
        <w:t>) (</w:t>
      </w:r>
      <w:r w:rsidRPr="007C6A35">
        <w:rPr>
          <w:sz w:val="24"/>
          <w:szCs w:val="24"/>
        </w:rPr>
        <w:t>3)).   OSHA believes that this is the most appropriate and accurate mechanism to inform interested parties of these expiration dates</w:t>
      </w:r>
      <w:r w:rsidR="00A0675F" w:rsidRPr="007C6A35">
        <w:rPr>
          <w:sz w:val="24"/>
          <w:szCs w:val="24"/>
        </w:rPr>
        <w:t>.</w:t>
      </w:r>
    </w:p>
    <w:p w:rsidR="008A11FF" w:rsidRDefault="008A11FF" w:rsidP="00794F0E">
      <w:pPr>
        <w:tabs>
          <w:tab w:val="left" w:pos="360"/>
        </w:tabs>
        <w:ind w:left="720" w:hanging="630"/>
        <w:rPr>
          <w:b/>
          <w:bCs/>
          <w:sz w:val="24"/>
          <w:szCs w:val="24"/>
        </w:rPr>
      </w:pPr>
    </w:p>
    <w:p w:rsidR="00A0675F" w:rsidRPr="007C6A35" w:rsidRDefault="00A0675F" w:rsidP="001A0FA5">
      <w:pPr>
        <w:tabs>
          <w:tab w:val="left" w:pos="360"/>
          <w:tab w:val="left" w:pos="450"/>
          <w:tab w:val="left" w:pos="720"/>
        </w:tabs>
        <w:ind w:left="450" w:hanging="450"/>
        <w:rPr>
          <w:b/>
          <w:bCs/>
          <w:sz w:val="24"/>
          <w:szCs w:val="24"/>
        </w:rPr>
      </w:pPr>
      <w:r w:rsidRPr="007C6A35">
        <w:rPr>
          <w:b/>
          <w:bCs/>
          <w:sz w:val="24"/>
          <w:szCs w:val="24"/>
        </w:rPr>
        <w:t>18.</w:t>
      </w:r>
      <w:r w:rsidRPr="007C6A35">
        <w:rPr>
          <w:b/>
          <w:bCs/>
          <w:sz w:val="24"/>
          <w:szCs w:val="24"/>
        </w:rPr>
        <w:tab/>
      </w:r>
      <w:r w:rsidR="008A11FF">
        <w:rPr>
          <w:b/>
          <w:bCs/>
          <w:sz w:val="24"/>
          <w:szCs w:val="24"/>
        </w:rPr>
        <w:tab/>
      </w:r>
      <w:r w:rsidRPr="007C6A35">
        <w:rPr>
          <w:b/>
          <w:sz w:val="24"/>
          <w:szCs w:val="24"/>
        </w:rPr>
        <w:t>Explain each exception to the certification statement.</w:t>
      </w:r>
      <w:r w:rsidRPr="007C6A35">
        <w:rPr>
          <w:b/>
          <w:sz w:val="24"/>
          <w:szCs w:val="24"/>
          <w:lang w:val="en-JM"/>
        </w:rPr>
        <w:t> </w:t>
      </w:r>
    </w:p>
    <w:p w:rsidR="00A0675F" w:rsidRPr="007C6A35" w:rsidRDefault="00A0675F" w:rsidP="00A0675F">
      <w:pPr>
        <w:rPr>
          <w:sz w:val="24"/>
          <w:szCs w:val="24"/>
        </w:rPr>
      </w:pPr>
    </w:p>
    <w:p w:rsidR="00A0675F" w:rsidRPr="007C6A35" w:rsidRDefault="00A0675F" w:rsidP="00A0675F">
      <w:pPr>
        <w:rPr>
          <w:sz w:val="24"/>
          <w:szCs w:val="24"/>
          <w:lang w:val="en-JM"/>
        </w:rPr>
      </w:pPr>
      <w:r w:rsidRPr="007C6A35">
        <w:rPr>
          <w:sz w:val="24"/>
          <w:szCs w:val="24"/>
          <w:lang w:val="en-JM"/>
        </w:rPr>
        <w:t>OSHA is not requesting an exception to the certification statement.</w:t>
      </w:r>
    </w:p>
    <w:p w:rsidR="00E16354" w:rsidRPr="007C6A35" w:rsidRDefault="00E16354" w:rsidP="00A0675F">
      <w:pPr>
        <w:rPr>
          <w:b/>
          <w:sz w:val="24"/>
          <w:szCs w:val="24"/>
          <w:lang w:val="en-JM"/>
        </w:rPr>
      </w:pPr>
    </w:p>
    <w:p w:rsidR="00E16354" w:rsidRPr="007C6A35" w:rsidRDefault="00E16354" w:rsidP="00A0675F">
      <w:pPr>
        <w:rPr>
          <w:b/>
          <w:sz w:val="24"/>
          <w:szCs w:val="24"/>
          <w:lang w:val="en-JM"/>
        </w:rPr>
      </w:pPr>
      <w:r w:rsidRPr="007C6A35">
        <w:rPr>
          <w:b/>
          <w:sz w:val="24"/>
          <w:szCs w:val="24"/>
          <w:lang w:val="en-JM"/>
        </w:rPr>
        <w:t>B. COLLECTION OF INFORMATION EMPLOYING STATISTICAL METHODS.</w:t>
      </w:r>
    </w:p>
    <w:p w:rsidR="00E16354" w:rsidRPr="007C6A35" w:rsidRDefault="00E16354" w:rsidP="00A0675F">
      <w:pPr>
        <w:rPr>
          <w:sz w:val="24"/>
          <w:szCs w:val="24"/>
          <w:lang w:val="en-JM"/>
        </w:rPr>
      </w:pPr>
    </w:p>
    <w:p w:rsidR="00A90654" w:rsidRPr="007C6A35" w:rsidRDefault="00A90654" w:rsidP="00A0675F">
      <w:pPr>
        <w:rPr>
          <w:sz w:val="24"/>
          <w:szCs w:val="24"/>
          <w:lang w:val="en-JM"/>
        </w:rPr>
      </w:pPr>
      <w:r w:rsidRPr="007C6A35">
        <w:rPr>
          <w:sz w:val="24"/>
          <w:szCs w:val="24"/>
          <w:lang w:val="en-JM"/>
        </w:rPr>
        <w:t>This supporting statement does not contain any collection of information requirements that employ statistical methods.</w:t>
      </w:r>
    </w:p>
    <w:p w:rsidR="00E16354" w:rsidRPr="007C6A35" w:rsidRDefault="00E16354" w:rsidP="00A0675F">
      <w:pPr>
        <w:rPr>
          <w:sz w:val="24"/>
          <w:szCs w:val="24"/>
        </w:rPr>
      </w:pPr>
    </w:p>
    <w:p w:rsidR="00A0675F" w:rsidRPr="007C6A35" w:rsidRDefault="00A0675F" w:rsidP="00A0675F">
      <w:pPr>
        <w:rPr>
          <w:sz w:val="24"/>
          <w:szCs w:val="24"/>
        </w:rPr>
      </w:pPr>
    </w:p>
    <w:sectPr w:rsidR="00A0675F" w:rsidRPr="007C6A35" w:rsidSect="003B620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7B9" w:rsidRDefault="007947B9">
      <w:r>
        <w:separator/>
      </w:r>
    </w:p>
  </w:endnote>
  <w:endnote w:type="continuationSeparator" w:id="0">
    <w:p w:rsidR="007947B9" w:rsidRDefault="0079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F4" w:rsidRDefault="00714FF4" w:rsidP="002257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4FF4" w:rsidRDefault="00714F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F4" w:rsidRDefault="00714FF4" w:rsidP="002257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5199">
      <w:rPr>
        <w:rStyle w:val="PageNumber"/>
        <w:noProof/>
      </w:rPr>
      <w:t>11</w:t>
    </w:r>
    <w:r>
      <w:rPr>
        <w:rStyle w:val="PageNumber"/>
      </w:rPr>
      <w:fldChar w:fldCharType="end"/>
    </w:r>
  </w:p>
  <w:p w:rsidR="00714FF4" w:rsidRDefault="00714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7B9" w:rsidRDefault="007947B9">
      <w:r>
        <w:separator/>
      </w:r>
    </w:p>
  </w:footnote>
  <w:footnote w:type="continuationSeparator" w:id="0">
    <w:p w:rsidR="007947B9" w:rsidRDefault="007947B9">
      <w:r>
        <w:continuationSeparator/>
      </w:r>
    </w:p>
  </w:footnote>
  <w:footnote w:id="1">
    <w:p w:rsidR="00714FF4" w:rsidRPr="00BC566F" w:rsidRDefault="00714FF4" w:rsidP="00A0675F">
      <w:pPr>
        <w:spacing w:after="240"/>
        <w:ind w:firstLine="720"/>
        <w:rPr>
          <w:sz w:val="18"/>
          <w:szCs w:val="18"/>
        </w:rPr>
      </w:pPr>
      <w:r w:rsidRPr="00BC566F">
        <w:rPr>
          <w:sz w:val="18"/>
          <w:szCs w:val="18"/>
          <w:vertAlign w:val="superscript"/>
        </w:rPr>
        <w:footnoteRef/>
      </w:r>
      <w:r w:rsidRPr="00BC566F">
        <w:rPr>
          <w:sz w:val="18"/>
          <w:szCs w:val="18"/>
        </w:rPr>
        <w:t>The purpose of this Supporting Statement is to analyze and describe the burden hours and cost</w:t>
      </w:r>
      <w:r w:rsidR="00D37423" w:rsidRPr="00BC566F">
        <w:rPr>
          <w:sz w:val="18"/>
          <w:szCs w:val="18"/>
        </w:rPr>
        <w:t>s</w:t>
      </w:r>
      <w:r w:rsidRPr="00BC566F">
        <w:rPr>
          <w:sz w:val="18"/>
          <w:szCs w:val="18"/>
        </w:rPr>
        <w:t xml:space="preserve"> associated with provisions of this Standard that contain paperwork requirements; this Supporting Statement does not provide information or guidance on how to comply with, or how to enforce, the</w:t>
      </w:r>
      <w:r w:rsidR="00BC566F">
        <w:rPr>
          <w:sz w:val="18"/>
          <w:szCs w:val="18"/>
        </w:rPr>
        <w:t xml:space="preserve"> </w:t>
      </w:r>
      <w:r w:rsidRPr="00BC566F">
        <w:rPr>
          <w:sz w:val="18"/>
          <w:szCs w:val="18"/>
        </w:rPr>
        <w:t>s</w:t>
      </w:r>
      <w:r w:rsidR="00D37423" w:rsidRPr="00BC566F">
        <w:rPr>
          <w:sz w:val="18"/>
          <w:szCs w:val="18"/>
        </w:rPr>
        <w:t>tandard</w:t>
      </w:r>
      <w:r w:rsidRPr="00BC566F">
        <w:rPr>
          <w:sz w:val="18"/>
          <w:szCs w:val="18"/>
        </w:rPr>
        <w:t>.</w:t>
      </w:r>
    </w:p>
  </w:footnote>
  <w:footnote w:id="2">
    <w:p w:rsidR="00011187" w:rsidRDefault="005B3DCD" w:rsidP="005B3DCD">
      <w:pPr>
        <w:pStyle w:val="FootnoteText"/>
        <w:ind w:left="86" w:firstLine="634"/>
        <w:rPr>
          <w:i/>
        </w:rPr>
      </w:pPr>
      <w:r w:rsidRPr="00E73256">
        <w:rPr>
          <w:rStyle w:val="FootnoteReference"/>
        </w:rPr>
        <w:footnoteRef/>
      </w:r>
      <w:r w:rsidRPr="00E73256">
        <w:t xml:space="preserve"> Source:  Department of Health and Human Services, Centers for Disease Control and Prevention. </w:t>
      </w:r>
      <w:r w:rsidRPr="00E73256">
        <w:rPr>
          <w:i/>
        </w:rPr>
        <w:t>Morbidity and Mortality Weekly Report, Summary of Notifiable Diseases--</w:t>
      </w:r>
      <w:r w:rsidRPr="00CE253F">
        <w:rPr>
          <w:i/>
        </w:rPr>
        <w:t>United States, 201</w:t>
      </w:r>
      <w:r w:rsidR="003052C9" w:rsidRPr="00CE253F">
        <w:rPr>
          <w:i/>
        </w:rPr>
        <w:t>5</w:t>
      </w:r>
      <w:r w:rsidRPr="00CE253F">
        <w:rPr>
          <w:i/>
        </w:rPr>
        <w:t>.</w:t>
      </w:r>
      <w:r w:rsidRPr="00E73256">
        <w:rPr>
          <w:i/>
        </w:rPr>
        <w:t xml:space="preserve"> </w:t>
      </w:r>
    </w:p>
    <w:p w:rsidR="00011187" w:rsidRDefault="00011187" w:rsidP="005B3DCD">
      <w:pPr>
        <w:pStyle w:val="FootnoteText"/>
        <w:ind w:left="86" w:firstLine="634"/>
        <w:rPr>
          <w:i/>
        </w:rPr>
      </w:pPr>
    </w:p>
    <w:p w:rsidR="00CF6A4A" w:rsidRPr="00CE253F" w:rsidRDefault="00011187" w:rsidP="005B3DCD">
      <w:pPr>
        <w:pStyle w:val="FootnoteText"/>
        <w:ind w:left="86" w:firstLine="634"/>
      </w:pPr>
      <w:r w:rsidRPr="00CE253F">
        <w:t xml:space="preserve">August </w:t>
      </w:r>
      <w:r w:rsidR="005B3DCD" w:rsidRPr="00CE253F">
        <w:t>1</w:t>
      </w:r>
      <w:r w:rsidRPr="00CE253F">
        <w:t>1</w:t>
      </w:r>
      <w:r w:rsidR="005B3DCD" w:rsidRPr="00CE253F">
        <w:t>, 201</w:t>
      </w:r>
      <w:r w:rsidRPr="00CE253F">
        <w:t>5</w:t>
      </w:r>
      <w:r w:rsidR="005B3DCD" w:rsidRPr="00CE253F">
        <w:t>, Vol. 6</w:t>
      </w:r>
      <w:r w:rsidRPr="00CE253F">
        <w:t>4</w:t>
      </w:r>
      <w:r w:rsidR="005B3DCD" w:rsidRPr="00CE253F">
        <w:t>(53)</w:t>
      </w:r>
      <w:r w:rsidR="00B14DA5" w:rsidRPr="00CE253F">
        <w:t>; 1</w:t>
      </w:r>
      <w:r w:rsidR="005B3DCD" w:rsidRPr="00CE253F">
        <w:t>-1</w:t>
      </w:r>
      <w:r w:rsidRPr="00CE253F">
        <w:t>43</w:t>
      </w:r>
      <w:r w:rsidR="005B3DCD" w:rsidRPr="00CE253F">
        <w:t>. “Table 7: Reported Incidence of Notifiable Diseases--United States,</w:t>
      </w:r>
      <w:r w:rsidR="0027456E" w:rsidRPr="00CE253F">
        <w:t xml:space="preserve"> </w:t>
      </w:r>
      <w:r w:rsidR="005B3DCD" w:rsidRPr="00CE253F">
        <w:t>201</w:t>
      </w:r>
      <w:r w:rsidR="006E3ED4" w:rsidRPr="00CE253F">
        <w:t>5</w:t>
      </w:r>
      <w:r w:rsidR="005B3DCD" w:rsidRPr="00CE253F">
        <w:t>” [</w:t>
      </w:r>
      <w:r w:rsidRPr="00CE253F">
        <w:t>https://www.cdc.gov/mmwr/volumes/64/wr/mm6453a1.htm?s_cid=mm6453a1_w</w:t>
      </w:r>
      <w:r w:rsidR="005B3DCD" w:rsidRPr="00CE253F">
        <w:t xml:space="preserve">].  The </w:t>
      </w:r>
      <w:r w:rsidR="004D7761">
        <w:t>a</w:t>
      </w:r>
      <w:r w:rsidR="004D7761" w:rsidRPr="00CE253F">
        <w:t xml:space="preserve">gency </w:t>
      </w:r>
      <w:r w:rsidR="005B3DCD" w:rsidRPr="00CE253F">
        <w:t xml:space="preserve">calculated the total reported incidence of each notifiable disease per 100,000 (excluding disease categories for children less than 5 years old) to determine this total rate.  </w:t>
      </w:r>
    </w:p>
    <w:p w:rsidR="00CF6A4A" w:rsidRDefault="00CF6A4A" w:rsidP="005B3DCD">
      <w:pPr>
        <w:pStyle w:val="FootnoteText"/>
        <w:ind w:left="86" w:firstLine="634"/>
      </w:pPr>
    </w:p>
    <w:p w:rsidR="00CF6A4A" w:rsidRPr="000E36A4" w:rsidRDefault="00CF6A4A" w:rsidP="005B3DCD">
      <w:pPr>
        <w:pStyle w:val="FootnoteText"/>
        <w:ind w:left="86" w:firstLine="634"/>
      </w:pPr>
    </w:p>
    <w:p w:rsidR="005B3DCD" w:rsidRPr="000E36A4" w:rsidRDefault="005B3DCD" w:rsidP="005B3DCD">
      <w:pPr>
        <w:pStyle w:val="FootnoteText"/>
        <w:ind w:left="86" w:firstLine="634"/>
      </w:pPr>
      <w:r w:rsidRPr="000E36A4">
        <w:t xml:space="preserve"> </w:t>
      </w:r>
    </w:p>
  </w:footnote>
  <w:footnote w:id="3">
    <w:p w:rsidR="00714FF4" w:rsidRPr="00120C68" w:rsidRDefault="00714FF4" w:rsidP="00A0675F">
      <w:pPr>
        <w:pStyle w:val="FootnoteText"/>
        <w:spacing w:after="40"/>
        <w:ind w:left="86" w:hanging="86"/>
      </w:pPr>
    </w:p>
    <w:p w:rsidR="0046683A" w:rsidRPr="0038116D" w:rsidRDefault="00714FF4" w:rsidP="004209F4">
      <w:pPr>
        <w:autoSpaceDE/>
        <w:autoSpaceDN/>
        <w:adjustRightInd/>
        <w:ind w:firstLine="720"/>
      </w:pPr>
      <w:r w:rsidRPr="00E73256">
        <w:rPr>
          <w:rStyle w:val="FootnoteReference"/>
        </w:rPr>
        <w:footnoteRef/>
      </w:r>
      <w:r w:rsidRPr="0038116D">
        <w:t>Source:  U.S. Department of Labor, Employment an</w:t>
      </w:r>
      <w:r w:rsidR="00CE677A" w:rsidRPr="0038116D">
        <w:t xml:space="preserve">d Training Administration (ETA), </w:t>
      </w:r>
      <w:r w:rsidRPr="0038116D">
        <w:rPr>
          <w:i/>
        </w:rPr>
        <w:t>National Agricultural Workers Survey.</w:t>
      </w:r>
      <w:r w:rsidRPr="0038116D">
        <w:t xml:space="preserve">  Data was derived from correspondence with ETA’s Office of Policy Development and Research.  It was assumed that </w:t>
      </w:r>
      <w:r w:rsidR="00AE6309" w:rsidRPr="0038116D">
        <w:t>1.8 million</w:t>
      </w:r>
      <w:r w:rsidRPr="0038116D">
        <w:t xml:space="preserve"> persons are employed at least one day per year on U.S. crop or nursery farms.  Of the </w:t>
      </w:r>
      <w:r w:rsidR="00AE6309" w:rsidRPr="0038116D">
        <w:t>1.8 million</w:t>
      </w:r>
      <w:r w:rsidRPr="0038116D">
        <w:t xml:space="preserve"> persons, approximately </w:t>
      </w:r>
      <w:r w:rsidR="00AE6309" w:rsidRPr="0038116D">
        <w:t>15 percent</w:t>
      </w:r>
      <w:r w:rsidRPr="0038116D">
        <w:t xml:space="preserve">, or </w:t>
      </w:r>
      <w:r w:rsidR="008F411F" w:rsidRPr="0038116D">
        <w:rPr>
          <w:rFonts w:cs="Arial"/>
        </w:rPr>
        <w:t>270,000</w:t>
      </w:r>
      <w:r w:rsidRPr="0038116D">
        <w:rPr>
          <w:rFonts w:cs="Arial"/>
        </w:rPr>
        <w:t xml:space="preserve">, </w:t>
      </w:r>
      <w:r w:rsidRPr="0038116D">
        <w:t xml:space="preserve">are migrant workers (NAWS data, fiscal years </w:t>
      </w:r>
      <w:r w:rsidR="005B3DCD" w:rsidRPr="0038116D">
        <w:t>2011</w:t>
      </w:r>
      <w:r w:rsidRPr="0038116D">
        <w:t xml:space="preserve"> – </w:t>
      </w:r>
      <w:r w:rsidR="005B3DCD" w:rsidRPr="0038116D">
        <w:t>2012</w:t>
      </w:r>
      <w:r w:rsidRPr="0038116D">
        <w:t>).  A migrant worker is defined as someone who traveled at least 75 miles</w:t>
      </w:r>
      <w:r w:rsidRPr="0038116D">
        <w:rPr>
          <w:rFonts w:cs="Arial"/>
        </w:rPr>
        <w:t xml:space="preserve"> sometime in the previous 12 months for a farm job; an overnight stay away from the migrant’s normal residence is not required for a survey respondent to be classified as a migrant</w:t>
      </w:r>
      <w:r w:rsidR="00702D37">
        <w:rPr>
          <w:rFonts w:cs="Arial"/>
        </w:rPr>
        <w:t>.</w:t>
      </w:r>
      <w:r w:rsidRPr="0038116D">
        <w:t xml:space="preserve"> </w:t>
      </w:r>
      <w:r w:rsidR="006A59F1">
        <w:t>Of the 270,000 migrants, 24 percent or 64,800, lived in employer (or contractor) owed or administered housing (NAWS data, fiscal years 2011 – 2012), domestic FTC migrants.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E5" w:rsidRDefault="00E729E5">
    <w:pPr>
      <w:pStyle w:val="Header"/>
    </w:pPr>
    <w:r>
      <w:t>Temporary Labor Camps (29 CFR 1910.142)</w:t>
    </w:r>
  </w:p>
  <w:p w:rsidR="00E729E5" w:rsidRDefault="00E729E5">
    <w:pPr>
      <w:pStyle w:val="Header"/>
    </w:pPr>
    <w:r>
      <w:t>1218-0096</w:t>
    </w:r>
  </w:p>
  <w:p w:rsidR="007663AF" w:rsidRDefault="00D92A82">
    <w:pPr>
      <w:pStyle w:val="Header"/>
    </w:pPr>
    <w:r>
      <w:t xml:space="preserve">August </w:t>
    </w:r>
    <w:r w:rsidR="00147C1D">
      <w:t xml:space="preserve">31, </w:t>
    </w:r>
    <w:r>
      <w:t>2019</w:t>
    </w:r>
  </w:p>
  <w:p w:rsidR="00FC44DA" w:rsidRDefault="00FC44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608" w:rsidRDefault="00CF2B4E">
    <w:pPr>
      <w:pStyle w:val="Header"/>
      <w:rPr>
        <w:color w:val="A6A6A6"/>
      </w:rPr>
    </w:pPr>
    <w:r>
      <w:rPr>
        <w:color w:val="A6A6A6"/>
      </w:rPr>
      <w:t>Temporary Labor Camps (29 CFR 1910.142)</w:t>
    </w:r>
  </w:p>
  <w:p w:rsidR="00CF2B4E" w:rsidRDefault="00E729E5">
    <w:pPr>
      <w:pStyle w:val="Header"/>
      <w:rPr>
        <w:color w:val="A6A6A6"/>
      </w:rPr>
    </w:pPr>
    <w:r>
      <w:rPr>
        <w:color w:val="A6A6A6"/>
      </w:rPr>
      <w:t>1218-0096</w:t>
    </w:r>
  </w:p>
  <w:p w:rsidR="00E729E5" w:rsidRDefault="00D92A82">
    <w:pPr>
      <w:pStyle w:val="Header"/>
      <w:rPr>
        <w:color w:val="A6A6A6"/>
      </w:rPr>
    </w:pPr>
    <w:r>
      <w:rPr>
        <w:color w:val="A6A6A6"/>
      </w:rPr>
      <w:t xml:space="preserve">August </w:t>
    </w:r>
    <w:r w:rsidR="00062267">
      <w:rPr>
        <w:color w:val="A6A6A6"/>
      </w:rPr>
      <w:t xml:space="preserve">31, </w:t>
    </w:r>
    <w:r>
      <w:rPr>
        <w:color w:val="A6A6A6"/>
      </w:rPr>
      <w:t>2019</w:t>
    </w:r>
  </w:p>
  <w:p w:rsidR="005529F1" w:rsidRPr="001F4F33" w:rsidRDefault="005529F1">
    <w:pPr>
      <w:pStyle w:val="Head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50BF"/>
    <w:multiLevelType w:val="hybridMultilevel"/>
    <w:tmpl w:val="305EF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836B9"/>
    <w:multiLevelType w:val="hybridMultilevel"/>
    <w:tmpl w:val="0EF2B07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
    <w:nsid w:val="098A193D"/>
    <w:multiLevelType w:val="hybridMultilevel"/>
    <w:tmpl w:val="D9DA24E6"/>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11A35EF1"/>
    <w:multiLevelType w:val="hybridMultilevel"/>
    <w:tmpl w:val="BF06E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DC06FC"/>
    <w:multiLevelType w:val="hybridMultilevel"/>
    <w:tmpl w:val="3E5EEC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C650D4B"/>
    <w:multiLevelType w:val="hybridMultilevel"/>
    <w:tmpl w:val="04185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471DA"/>
    <w:multiLevelType w:val="hybridMultilevel"/>
    <w:tmpl w:val="38A46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4A421C"/>
    <w:multiLevelType w:val="hybridMultilevel"/>
    <w:tmpl w:val="D696F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053E14"/>
    <w:multiLevelType w:val="hybridMultilevel"/>
    <w:tmpl w:val="7A5A74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899501F"/>
    <w:multiLevelType w:val="hybridMultilevel"/>
    <w:tmpl w:val="ECA2B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C760B3"/>
    <w:multiLevelType w:val="hybridMultilevel"/>
    <w:tmpl w:val="84229AFA"/>
    <w:lvl w:ilvl="0" w:tplc="E7B24856">
      <w:start w:val="1"/>
      <w:numFmt w:val="decimal"/>
      <w:lvlText w:val="%1."/>
      <w:lvlJc w:val="left"/>
      <w:pPr>
        <w:ind w:left="270" w:hanging="360"/>
      </w:pPr>
      <w:rPr>
        <w:rFonts w:hint="default"/>
        <w:b/>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60590C68"/>
    <w:multiLevelType w:val="hybridMultilevel"/>
    <w:tmpl w:val="FE8C0234"/>
    <w:lvl w:ilvl="0" w:tplc="1AB87C38">
      <w:start w:val="1"/>
      <w:numFmt w:val="decimal"/>
      <w:lvlText w:val="%1."/>
      <w:lvlJc w:val="left"/>
      <w:pPr>
        <w:ind w:left="366" w:hanging="456"/>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6EB67FDB"/>
    <w:multiLevelType w:val="hybridMultilevel"/>
    <w:tmpl w:val="84541C70"/>
    <w:lvl w:ilvl="0" w:tplc="A83EBC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200FCF"/>
    <w:multiLevelType w:val="hybridMultilevel"/>
    <w:tmpl w:val="31B68A2E"/>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0"/>
  </w:num>
  <w:num w:numId="5">
    <w:abstractNumId w:val="6"/>
  </w:num>
  <w:num w:numId="6">
    <w:abstractNumId w:val="11"/>
  </w:num>
  <w:num w:numId="7">
    <w:abstractNumId w:val="9"/>
  </w:num>
  <w:num w:numId="8">
    <w:abstractNumId w:val="5"/>
  </w:num>
  <w:num w:numId="9">
    <w:abstractNumId w:val="7"/>
  </w:num>
  <w:num w:numId="10">
    <w:abstractNumId w:val="2"/>
  </w:num>
  <w:num w:numId="11">
    <w:abstractNumId w:val="10"/>
  </w:num>
  <w:num w:numId="12">
    <w:abstractNumId w:val="13"/>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5F"/>
    <w:rsid w:val="000033CD"/>
    <w:rsid w:val="00004E86"/>
    <w:rsid w:val="00011187"/>
    <w:rsid w:val="00011563"/>
    <w:rsid w:val="0001203D"/>
    <w:rsid w:val="00013A02"/>
    <w:rsid w:val="00013E27"/>
    <w:rsid w:val="00016870"/>
    <w:rsid w:val="00017B6B"/>
    <w:rsid w:val="00023649"/>
    <w:rsid w:val="00026486"/>
    <w:rsid w:val="00027D44"/>
    <w:rsid w:val="000304C9"/>
    <w:rsid w:val="00033714"/>
    <w:rsid w:val="000418B9"/>
    <w:rsid w:val="000424EC"/>
    <w:rsid w:val="00045660"/>
    <w:rsid w:val="00045FC0"/>
    <w:rsid w:val="000477FA"/>
    <w:rsid w:val="0005128C"/>
    <w:rsid w:val="00051A07"/>
    <w:rsid w:val="00051F17"/>
    <w:rsid w:val="00052FBE"/>
    <w:rsid w:val="00053E0D"/>
    <w:rsid w:val="00054861"/>
    <w:rsid w:val="00054D82"/>
    <w:rsid w:val="0006112E"/>
    <w:rsid w:val="00062267"/>
    <w:rsid w:val="00064204"/>
    <w:rsid w:val="00064EAF"/>
    <w:rsid w:val="000676C9"/>
    <w:rsid w:val="00067BAF"/>
    <w:rsid w:val="0007019F"/>
    <w:rsid w:val="00071E8D"/>
    <w:rsid w:val="0007322D"/>
    <w:rsid w:val="00073776"/>
    <w:rsid w:val="000744E6"/>
    <w:rsid w:val="00075CC3"/>
    <w:rsid w:val="00084B4B"/>
    <w:rsid w:val="00084E49"/>
    <w:rsid w:val="00087448"/>
    <w:rsid w:val="00087668"/>
    <w:rsid w:val="00087D75"/>
    <w:rsid w:val="00087EEE"/>
    <w:rsid w:val="000908CF"/>
    <w:rsid w:val="00094BB8"/>
    <w:rsid w:val="00094F53"/>
    <w:rsid w:val="000970EA"/>
    <w:rsid w:val="000A65A4"/>
    <w:rsid w:val="000B24F7"/>
    <w:rsid w:val="000B68B0"/>
    <w:rsid w:val="000C11C4"/>
    <w:rsid w:val="000C1569"/>
    <w:rsid w:val="000C389D"/>
    <w:rsid w:val="000C4608"/>
    <w:rsid w:val="000C6046"/>
    <w:rsid w:val="000C63FC"/>
    <w:rsid w:val="000C7173"/>
    <w:rsid w:val="000D03DA"/>
    <w:rsid w:val="000D051D"/>
    <w:rsid w:val="000D07E5"/>
    <w:rsid w:val="000D124D"/>
    <w:rsid w:val="000D4624"/>
    <w:rsid w:val="000E36A4"/>
    <w:rsid w:val="000E4531"/>
    <w:rsid w:val="000E47B9"/>
    <w:rsid w:val="000F1EC1"/>
    <w:rsid w:val="000F4078"/>
    <w:rsid w:val="00102790"/>
    <w:rsid w:val="0010350F"/>
    <w:rsid w:val="00103820"/>
    <w:rsid w:val="001041ED"/>
    <w:rsid w:val="00105245"/>
    <w:rsid w:val="001066FE"/>
    <w:rsid w:val="001078DE"/>
    <w:rsid w:val="00107B1A"/>
    <w:rsid w:val="00110A95"/>
    <w:rsid w:val="001137AF"/>
    <w:rsid w:val="00115377"/>
    <w:rsid w:val="00115A1A"/>
    <w:rsid w:val="00117095"/>
    <w:rsid w:val="00120C68"/>
    <w:rsid w:val="0012125A"/>
    <w:rsid w:val="00123BAF"/>
    <w:rsid w:val="001241D1"/>
    <w:rsid w:val="0012468B"/>
    <w:rsid w:val="00126C27"/>
    <w:rsid w:val="00127611"/>
    <w:rsid w:val="001313E6"/>
    <w:rsid w:val="001340B9"/>
    <w:rsid w:val="001416A4"/>
    <w:rsid w:val="00146E49"/>
    <w:rsid w:val="00147942"/>
    <w:rsid w:val="00147C1D"/>
    <w:rsid w:val="00151640"/>
    <w:rsid w:val="00153907"/>
    <w:rsid w:val="00153DEE"/>
    <w:rsid w:val="00154ED9"/>
    <w:rsid w:val="0015756B"/>
    <w:rsid w:val="001614AD"/>
    <w:rsid w:val="001669B5"/>
    <w:rsid w:val="00167DF8"/>
    <w:rsid w:val="00167E93"/>
    <w:rsid w:val="0017208E"/>
    <w:rsid w:val="00176BD3"/>
    <w:rsid w:val="00177A3C"/>
    <w:rsid w:val="00180117"/>
    <w:rsid w:val="00182CF5"/>
    <w:rsid w:val="00185FD3"/>
    <w:rsid w:val="00186839"/>
    <w:rsid w:val="001869D9"/>
    <w:rsid w:val="0018747A"/>
    <w:rsid w:val="001877D6"/>
    <w:rsid w:val="00190D4C"/>
    <w:rsid w:val="0019145C"/>
    <w:rsid w:val="0019181A"/>
    <w:rsid w:val="00191C97"/>
    <w:rsid w:val="00191D53"/>
    <w:rsid w:val="00191E2E"/>
    <w:rsid w:val="00194277"/>
    <w:rsid w:val="00194F03"/>
    <w:rsid w:val="001969A1"/>
    <w:rsid w:val="001A03F0"/>
    <w:rsid w:val="001A0FA5"/>
    <w:rsid w:val="001A3821"/>
    <w:rsid w:val="001A391D"/>
    <w:rsid w:val="001B0A6D"/>
    <w:rsid w:val="001B2BE0"/>
    <w:rsid w:val="001B5C13"/>
    <w:rsid w:val="001B75F7"/>
    <w:rsid w:val="001B79D0"/>
    <w:rsid w:val="001C194B"/>
    <w:rsid w:val="001C4169"/>
    <w:rsid w:val="001C6C00"/>
    <w:rsid w:val="001D0B85"/>
    <w:rsid w:val="001D6BC5"/>
    <w:rsid w:val="001E0515"/>
    <w:rsid w:val="001E0984"/>
    <w:rsid w:val="001E1F78"/>
    <w:rsid w:val="001E5FB5"/>
    <w:rsid w:val="001E7963"/>
    <w:rsid w:val="001F04D1"/>
    <w:rsid w:val="001F054A"/>
    <w:rsid w:val="001F1D5C"/>
    <w:rsid w:val="001F3F90"/>
    <w:rsid w:val="001F4F33"/>
    <w:rsid w:val="001F6098"/>
    <w:rsid w:val="002003CB"/>
    <w:rsid w:val="00201174"/>
    <w:rsid w:val="00202BF8"/>
    <w:rsid w:val="00206ACC"/>
    <w:rsid w:val="00211607"/>
    <w:rsid w:val="00211B23"/>
    <w:rsid w:val="002125A6"/>
    <w:rsid w:val="0021384C"/>
    <w:rsid w:val="002143C2"/>
    <w:rsid w:val="00216241"/>
    <w:rsid w:val="00217078"/>
    <w:rsid w:val="00221ED2"/>
    <w:rsid w:val="00223C23"/>
    <w:rsid w:val="0022431F"/>
    <w:rsid w:val="00225275"/>
    <w:rsid w:val="002257FE"/>
    <w:rsid w:val="00234E39"/>
    <w:rsid w:val="00234E3C"/>
    <w:rsid w:val="002415FD"/>
    <w:rsid w:val="00241EB3"/>
    <w:rsid w:val="002438C3"/>
    <w:rsid w:val="00252315"/>
    <w:rsid w:val="00260C83"/>
    <w:rsid w:val="002630A2"/>
    <w:rsid w:val="00264088"/>
    <w:rsid w:val="00265B60"/>
    <w:rsid w:val="00265F0E"/>
    <w:rsid w:val="002664AB"/>
    <w:rsid w:val="0027345B"/>
    <w:rsid w:val="0027456E"/>
    <w:rsid w:val="00282E99"/>
    <w:rsid w:val="0028492C"/>
    <w:rsid w:val="0028530B"/>
    <w:rsid w:val="0028569B"/>
    <w:rsid w:val="0029093D"/>
    <w:rsid w:val="00292519"/>
    <w:rsid w:val="00292912"/>
    <w:rsid w:val="00293202"/>
    <w:rsid w:val="00293876"/>
    <w:rsid w:val="002A2FD5"/>
    <w:rsid w:val="002A30A1"/>
    <w:rsid w:val="002A5BD9"/>
    <w:rsid w:val="002A6239"/>
    <w:rsid w:val="002A66E5"/>
    <w:rsid w:val="002B3E66"/>
    <w:rsid w:val="002B5FA9"/>
    <w:rsid w:val="002B6860"/>
    <w:rsid w:val="002B69D4"/>
    <w:rsid w:val="002C050E"/>
    <w:rsid w:val="002C39B3"/>
    <w:rsid w:val="002C5199"/>
    <w:rsid w:val="002D03EA"/>
    <w:rsid w:val="002D0CD3"/>
    <w:rsid w:val="002D63FD"/>
    <w:rsid w:val="002D714B"/>
    <w:rsid w:val="002E1779"/>
    <w:rsid w:val="002E276A"/>
    <w:rsid w:val="002E313E"/>
    <w:rsid w:val="002E3F46"/>
    <w:rsid w:val="002E5704"/>
    <w:rsid w:val="002E5A75"/>
    <w:rsid w:val="002E5BA1"/>
    <w:rsid w:val="002E7281"/>
    <w:rsid w:val="002F0C0E"/>
    <w:rsid w:val="002F36ED"/>
    <w:rsid w:val="002F4D6A"/>
    <w:rsid w:val="00301DE8"/>
    <w:rsid w:val="003042FF"/>
    <w:rsid w:val="003052C9"/>
    <w:rsid w:val="0031336D"/>
    <w:rsid w:val="00314467"/>
    <w:rsid w:val="00316517"/>
    <w:rsid w:val="00316CF3"/>
    <w:rsid w:val="00322253"/>
    <w:rsid w:val="00322988"/>
    <w:rsid w:val="0032660E"/>
    <w:rsid w:val="00335EE0"/>
    <w:rsid w:val="00351081"/>
    <w:rsid w:val="00351D6A"/>
    <w:rsid w:val="00354A87"/>
    <w:rsid w:val="00355239"/>
    <w:rsid w:val="00356279"/>
    <w:rsid w:val="00357F36"/>
    <w:rsid w:val="00360647"/>
    <w:rsid w:val="0036087A"/>
    <w:rsid w:val="00363FA4"/>
    <w:rsid w:val="00364C12"/>
    <w:rsid w:val="00365136"/>
    <w:rsid w:val="003756B4"/>
    <w:rsid w:val="0038116D"/>
    <w:rsid w:val="003828F8"/>
    <w:rsid w:val="00382FA6"/>
    <w:rsid w:val="003832C0"/>
    <w:rsid w:val="00390AF7"/>
    <w:rsid w:val="00392584"/>
    <w:rsid w:val="00395F7F"/>
    <w:rsid w:val="0039622E"/>
    <w:rsid w:val="003A14CC"/>
    <w:rsid w:val="003A156D"/>
    <w:rsid w:val="003A488F"/>
    <w:rsid w:val="003A611B"/>
    <w:rsid w:val="003B1745"/>
    <w:rsid w:val="003B6204"/>
    <w:rsid w:val="003B6548"/>
    <w:rsid w:val="003C1022"/>
    <w:rsid w:val="003C162F"/>
    <w:rsid w:val="003C233B"/>
    <w:rsid w:val="003C3C08"/>
    <w:rsid w:val="003C48C8"/>
    <w:rsid w:val="003C5F6D"/>
    <w:rsid w:val="003C7C39"/>
    <w:rsid w:val="003D13CA"/>
    <w:rsid w:val="003E250E"/>
    <w:rsid w:val="003E3C00"/>
    <w:rsid w:val="003E7A3B"/>
    <w:rsid w:val="003F2DF0"/>
    <w:rsid w:val="003F4132"/>
    <w:rsid w:val="00400BC7"/>
    <w:rsid w:val="0040124F"/>
    <w:rsid w:val="00402116"/>
    <w:rsid w:val="0040270E"/>
    <w:rsid w:val="0040615D"/>
    <w:rsid w:val="00411461"/>
    <w:rsid w:val="004163D1"/>
    <w:rsid w:val="004209F4"/>
    <w:rsid w:val="00421C21"/>
    <w:rsid w:val="00424D81"/>
    <w:rsid w:val="00424E7B"/>
    <w:rsid w:val="0043388B"/>
    <w:rsid w:val="004349B7"/>
    <w:rsid w:val="00440C20"/>
    <w:rsid w:val="00441C70"/>
    <w:rsid w:val="004430BC"/>
    <w:rsid w:val="004449AD"/>
    <w:rsid w:val="00451310"/>
    <w:rsid w:val="00455558"/>
    <w:rsid w:val="00457D7B"/>
    <w:rsid w:val="0046683A"/>
    <w:rsid w:val="004669D3"/>
    <w:rsid w:val="00474F38"/>
    <w:rsid w:val="00480372"/>
    <w:rsid w:val="0048100D"/>
    <w:rsid w:val="004811AE"/>
    <w:rsid w:val="004821F8"/>
    <w:rsid w:val="00482FBB"/>
    <w:rsid w:val="00493B7E"/>
    <w:rsid w:val="00495E6D"/>
    <w:rsid w:val="004A0B36"/>
    <w:rsid w:val="004A1B25"/>
    <w:rsid w:val="004A226E"/>
    <w:rsid w:val="004A2BDC"/>
    <w:rsid w:val="004A524D"/>
    <w:rsid w:val="004A6AAB"/>
    <w:rsid w:val="004B450A"/>
    <w:rsid w:val="004C0317"/>
    <w:rsid w:val="004C643A"/>
    <w:rsid w:val="004C7384"/>
    <w:rsid w:val="004C7624"/>
    <w:rsid w:val="004D2401"/>
    <w:rsid w:val="004D3409"/>
    <w:rsid w:val="004D3520"/>
    <w:rsid w:val="004D51CF"/>
    <w:rsid w:val="004D7131"/>
    <w:rsid w:val="004D74CF"/>
    <w:rsid w:val="004D7761"/>
    <w:rsid w:val="004D7D6C"/>
    <w:rsid w:val="004E1242"/>
    <w:rsid w:val="004E1690"/>
    <w:rsid w:val="004E29E7"/>
    <w:rsid w:val="004E3F65"/>
    <w:rsid w:val="004E5DDA"/>
    <w:rsid w:val="004E620C"/>
    <w:rsid w:val="004F357A"/>
    <w:rsid w:val="004F4421"/>
    <w:rsid w:val="005001CF"/>
    <w:rsid w:val="00500E11"/>
    <w:rsid w:val="00507C02"/>
    <w:rsid w:val="00510E04"/>
    <w:rsid w:val="00511F10"/>
    <w:rsid w:val="005158DB"/>
    <w:rsid w:val="00515F29"/>
    <w:rsid w:val="0051609C"/>
    <w:rsid w:val="00521EA5"/>
    <w:rsid w:val="005245F2"/>
    <w:rsid w:val="00527EE9"/>
    <w:rsid w:val="00530034"/>
    <w:rsid w:val="00530C6D"/>
    <w:rsid w:val="00530EDA"/>
    <w:rsid w:val="00531E4D"/>
    <w:rsid w:val="00534F23"/>
    <w:rsid w:val="005361F9"/>
    <w:rsid w:val="0054063E"/>
    <w:rsid w:val="005419BC"/>
    <w:rsid w:val="00547983"/>
    <w:rsid w:val="00547F24"/>
    <w:rsid w:val="005513A4"/>
    <w:rsid w:val="00551B3F"/>
    <w:rsid w:val="005529F1"/>
    <w:rsid w:val="005551ED"/>
    <w:rsid w:val="00555D8D"/>
    <w:rsid w:val="00556C51"/>
    <w:rsid w:val="00560BD3"/>
    <w:rsid w:val="005626C3"/>
    <w:rsid w:val="0056650D"/>
    <w:rsid w:val="005668AD"/>
    <w:rsid w:val="005672B9"/>
    <w:rsid w:val="005679A8"/>
    <w:rsid w:val="00572598"/>
    <w:rsid w:val="00572C88"/>
    <w:rsid w:val="005762F4"/>
    <w:rsid w:val="005763C2"/>
    <w:rsid w:val="00576F92"/>
    <w:rsid w:val="00580CA9"/>
    <w:rsid w:val="00592F87"/>
    <w:rsid w:val="00593281"/>
    <w:rsid w:val="005941E1"/>
    <w:rsid w:val="00594794"/>
    <w:rsid w:val="005979E8"/>
    <w:rsid w:val="005A21F4"/>
    <w:rsid w:val="005A2E9E"/>
    <w:rsid w:val="005A3AFD"/>
    <w:rsid w:val="005A407F"/>
    <w:rsid w:val="005A65A5"/>
    <w:rsid w:val="005B0DE8"/>
    <w:rsid w:val="005B1032"/>
    <w:rsid w:val="005B184F"/>
    <w:rsid w:val="005B325C"/>
    <w:rsid w:val="005B3A94"/>
    <w:rsid w:val="005B3DCD"/>
    <w:rsid w:val="005C0097"/>
    <w:rsid w:val="005C09DF"/>
    <w:rsid w:val="005C18CB"/>
    <w:rsid w:val="005C1D5E"/>
    <w:rsid w:val="005C5B42"/>
    <w:rsid w:val="005C7361"/>
    <w:rsid w:val="005C74FD"/>
    <w:rsid w:val="005D4AE2"/>
    <w:rsid w:val="005D529D"/>
    <w:rsid w:val="005D649E"/>
    <w:rsid w:val="005E1ED5"/>
    <w:rsid w:val="005E203F"/>
    <w:rsid w:val="005E3E6A"/>
    <w:rsid w:val="005E6A2B"/>
    <w:rsid w:val="005E7A90"/>
    <w:rsid w:val="005F0B06"/>
    <w:rsid w:val="005F5476"/>
    <w:rsid w:val="005F5F5E"/>
    <w:rsid w:val="00602D3D"/>
    <w:rsid w:val="006047E8"/>
    <w:rsid w:val="00606D4F"/>
    <w:rsid w:val="00606F67"/>
    <w:rsid w:val="00614CFE"/>
    <w:rsid w:val="006150B4"/>
    <w:rsid w:val="00615F92"/>
    <w:rsid w:val="00621EC7"/>
    <w:rsid w:val="00625311"/>
    <w:rsid w:val="00627506"/>
    <w:rsid w:val="00630D26"/>
    <w:rsid w:val="00632725"/>
    <w:rsid w:val="00634055"/>
    <w:rsid w:val="00634EA9"/>
    <w:rsid w:val="00636271"/>
    <w:rsid w:val="00640D0E"/>
    <w:rsid w:val="00641077"/>
    <w:rsid w:val="00642989"/>
    <w:rsid w:val="00646031"/>
    <w:rsid w:val="006464FE"/>
    <w:rsid w:val="00646566"/>
    <w:rsid w:val="006524D9"/>
    <w:rsid w:val="006527CC"/>
    <w:rsid w:val="006563B3"/>
    <w:rsid w:val="006572FC"/>
    <w:rsid w:val="006600CD"/>
    <w:rsid w:val="0066200D"/>
    <w:rsid w:val="006637B7"/>
    <w:rsid w:val="00663CFE"/>
    <w:rsid w:val="00666D0A"/>
    <w:rsid w:val="00670F70"/>
    <w:rsid w:val="00672C27"/>
    <w:rsid w:val="00672FB7"/>
    <w:rsid w:val="00677296"/>
    <w:rsid w:val="00680075"/>
    <w:rsid w:val="00681590"/>
    <w:rsid w:val="00686290"/>
    <w:rsid w:val="006865EA"/>
    <w:rsid w:val="0068661B"/>
    <w:rsid w:val="00686C45"/>
    <w:rsid w:val="00687B1D"/>
    <w:rsid w:val="00692684"/>
    <w:rsid w:val="00692AE1"/>
    <w:rsid w:val="006934AE"/>
    <w:rsid w:val="006944C9"/>
    <w:rsid w:val="00695D9E"/>
    <w:rsid w:val="00697D77"/>
    <w:rsid w:val="006A050E"/>
    <w:rsid w:val="006A09F8"/>
    <w:rsid w:val="006A45A6"/>
    <w:rsid w:val="006A59F1"/>
    <w:rsid w:val="006B1332"/>
    <w:rsid w:val="006B3F35"/>
    <w:rsid w:val="006B493F"/>
    <w:rsid w:val="006B6527"/>
    <w:rsid w:val="006B7B9A"/>
    <w:rsid w:val="006C0D40"/>
    <w:rsid w:val="006C77EC"/>
    <w:rsid w:val="006C78DC"/>
    <w:rsid w:val="006D31F3"/>
    <w:rsid w:val="006D3E93"/>
    <w:rsid w:val="006D43C7"/>
    <w:rsid w:val="006D5A27"/>
    <w:rsid w:val="006D66D7"/>
    <w:rsid w:val="006D6855"/>
    <w:rsid w:val="006D7E86"/>
    <w:rsid w:val="006E26AF"/>
    <w:rsid w:val="006E3ED4"/>
    <w:rsid w:val="006E4972"/>
    <w:rsid w:val="006F6CFF"/>
    <w:rsid w:val="006F700F"/>
    <w:rsid w:val="0070005F"/>
    <w:rsid w:val="007019DC"/>
    <w:rsid w:val="00702D37"/>
    <w:rsid w:val="007046C3"/>
    <w:rsid w:val="00705239"/>
    <w:rsid w:val="00710353"/>
    <w:rsid w:val="00710558"/>
    <w:rsid w:val="0071406B"/>
    <w:rsid w:val="00714FF4"/>
    <w:rsid w:val="00721078"/>
    <w:rsid w:val="007225B6"/>
    <w:rsid w:val="00724367"/>
    <w:rsid w:val="00725114"/>
    <w:rsid w:val="0072560F"/>
    <w:rsid w:val="00725E72"/>
    <w:rsid w:val="00731EF3"/>
    <w:rsid w:val="00734128"/>
    <w:rsid w:val="0073426E"/>
    <w:rsid w:val="007343A5"/>
    <w:rsid w:val="007362CA"/>
    <w:rsid w:val="00737B89"/>
    <w:rsid w:val="007428A7"/>
    <w:rsid w:val="00745DFB"/>
    <w:rsid w:val="007521C9"/>
    <w:rsid w:val="00752582"/>
    <w:rsid w:val="007544CD"/>
    <w:rsid w:val="00756A0A"/>
    <w:rsid w:val="00757918"/>
    <w:rsid w:val="007656DD"/>
    <w:rsid w:val="007663AF"/>
    <w:rsid w:val="00766DC2"/>
    <w:rsid w:val="00771E2B"/>
    <w:rsid w:val="00774EDB"/>
    <w:rsid w:val="00780D6E"/>
    <w:rsid w:val="007816EB"/>
    <w:rsid w:val="0078395A"/>
    <w:rsid w:val="00784FAE"/>
    <w:rsid w:val="007947B9"/>
    <w:rsid w:val="00794F0E"/>
    <w:rsid w:val="00795EA4"/>
    <w:rsid w:val="0079787A"/>
    <w:rsid w:val="007A04FE"/>
    <w:rsid w:val="007A3183"/>
    <w:rsid w:val="007A3B60"/>
    <w:rsid w:val="007A3D8B"/>
    <w:rsid w:val="007A514D"/>
    <w:rsid w:val="007A779F"/>
    <w:rsid w:val="007B2752"/>
    <w:rsid w:val="007B4C7D"/>
    <w:rsid w:val="007B642A"/>
    <w:rsid w:val="007B6AAC"/>
    <w:rsid w:val="007C13A2"/>
    <w:rsid w:val="007C224B"/>
    <w:rsid w:val="007C6A35"/>
    <w:rsid w:val="007D191E"/>
    <w:rsid w:val="007D1FE3"/>
    <w:rsid w:val="007D22B9"/>
    <w:rsid w:val="007D29A2"/>
    <w:rsid w:val="007D2F9B"/>
    <w:rsid w:val="007D66CE"/>
    <w:rsid w:val="007E1127"/>
    <w:rsid w:val="007E5558"/>
    <w:rsid w:val="007E724F"/>
    <w:rsid w:val="007E7719"/>
    <w:rsid w:val="007F485D"/>
    <w:rsid w:val="007F643D"/>
    <w:rsid w:val="007F675E"/>
    <w:rsid w:val="007F790D"/>
    <w:rsid w:val="007F7EA0"/>
    <w:rsid w:val="00805072"/>
    <w:rsid w:val="00807C2E"/>
    <w:rsid w:val="0081307B"/>
    <w:rsid w:val="00813C70"/>
    <w:rsid w:val="008166BE"/>
    <w:rsid w:val="0081703C"/>
    <w:rsid w:val="00820562"/>
    <w:rsid w:val="00821741"/>
    <w:rsid w:val="00824B47"/>
    <w:rsid w:val="00824C34"/>
    <w:rsid w:val="0083478A"/>
    <w:rsid w:val="00840735"/>
    <w:rsid w:val="008418DA"/>
    <w:rsid w:val="00842FF4"/>
    <w:rsid w:val="00844135"/>
    <w:rsid w:val="00845D34"/>
    <w:rsid w:val="0084656A"/>
    <w:rsid w:val="00846C8B"/>
    <w:rsid w:val="00847AA9"/>
    <w:rsid w:val="00851C9F"/>
    <w:rsid w:val="008536D8"/>
    <w:rsid w:val="00854EAB"/>
    <w:rsid w:val="0085710C"/>
    <w:rsid w:val="008601CC"/>
    <w:rsid w:val="00860552"/>
    <w:rsid w:val="00861782"/>
    <w:rsid w:val="00862ED1"/>
    <w:rsid w:val="008637A9"/>
    <w:rsid w:val="008663B0"/>
    <w:rsid w:val="00867D70"/>
    <w:rsid w:val="00873316"/>
    <w:rsid w:val="00876F59"/>
    <w:rsid w:val="00877B0F"/>
    <w:rsid w:val="00877D62"/>
    <w:rsid w:val="00880C3E"/>
    <w:rsid w:val="00881C96"/>
    <w:rsid w:val="008919CE"/>
    <w:rsid w:val="00891A9B"/>
    <w:rsid w:val="00891DBE"/>
    <w:rsid w:val="00892AFF"/>
    <w:rsid w:val="00894B5C"/>
    <w:rsid w:val="00895904"/>
    <w:rsid w:val="00895B8E"/>
    <w:rsid w:val="008A11FF"/>
    <w:rsid w:val="008A2D71"/>
    <w:rsid w:val="008A4DB2"/>
    <w:rsid w:val="008A4F0B"/>
    <w:rsid w:val="008A5320"/>
    <w:rsid w:val="008A723D"/>
    <w:rsid w:val="008B25D9"/>
    <w:rsid w:val="008B366F"/>
    <w:rsid w:val="008C115C"/>
    <w:rsid w:val="008C2C3A"/>
    <w:rsid w:val="008C3572"/>
    <w:rsid w:val="008C76B0"/>
    <w:rsid w:val="008D0929"/>
    <w:rsid w:val="008D1E97"/>
    <w:rsid w:val="008D4847"/>
    <w:rsid w:val="008D5260"/>
    <w:rsid w:val="008E2B9E"/>
    <w:rsid w:val="008F0CA4"/>
    <w:rsid w:val="008F0EC7"/>
    <w:rsid w:val="008F1D72"/>
    <w:rsid w:val="008F411F"/>
    <w:rsid w:val="008F6F3B"/>
    <w:rsid w:val="00900C6F"/>
    <w:rsid w:val="009011D1"/>
    <w:rsid w:val="00901E97"/>
    <w:rsid w:val="00902173"/>
    <w:rsid w:val="0090246B"/>
    <w:rsid w:val="009025AB"/>
    <w:rsid w:val="00906992"/>
    <w:rsid w:val="00906DC2"/>
    <w:rsid w:val="00907C40"/>
    <w:rsid w:val="00911BE5"/>
    <w:rsid w:val="009131C0"/>
    <w:rsid w:val="00913B91"/>
    <w:rsid w:val="00914BA0"/>
    <w:rsid w:val="00920FC0"/>
    <w:rsid w:val="0092128C"/>
    <w:rsid w:val="00921EBF"/>
    <w:rsid w:val="00922A8B"/>
    <w:rsid w:val="00922B20"/>
    <w:rsid w:val="00923FE8"/>
    <w:rsid w:val="00925100"/>
    <w:rsid w:val="00930006"/>
    <w:rsid w:val="00932368"/>
    <w:rsid w:val="00933A2A"/>
    <w:rsid w:val="0093782E"/>
    <w:rsid w:val="00937FC5"/>
    <w:rsid w:val="00942D2A"/>
    <w:rsid w:val="0095125A"/>
    <w:rsid w:val="00952139"/>
    <w:rsid w:val="00954414"/>
    <w:rsid w:val="00956550"/>
    <w:rsid w:val="00961C84"/>
    <w:rsid w:val="00963A00"/>
    <w:rsid w:val="00964AA8"/>
    <w:rsid w:val="009672BB"/>
    <w:rsid w:val="009677D0"/>
    <w:rsid w:val="009679A0"/>
    <w:rsid w:val="0097010F"/>
    <w:rsid w:val="009727A4"/>
    <w:rsid w:val="0097594C"/>
    <w:rsid w:val="00977318"/>
    <w:rsid w:val="00977F7D"/>
    <w:rsid w:val="00981C9B"/>
    <w:rsid w:val="00983FE0"/>
    <w:rsid w:val="00984F5C"/>
    <w:rsid w:val="00987A1C"/>
    <w:rsid w:val="009907AA"/>
    <w:rsid w:val="0099118C"/>
    <w:rsid w:val="00991D5D"/>
    <w:rsid w:val="00992848"/>
    <w:rsid w:val="00996757"/>
    <w:rsid w:val="009A23EF"/>
    <w:rsid w:val="009A3A27"/>
    <w:rsid w:val="009A46C5"/>
    <w:rsid w:val="009A5F92"/>
    <w:rsid w:val="009B1A58"/>
    <w:rsid w:val="009B1D0B"/>
    <w:rsid w:val="009B35A9"/>
    <w:rsid w:val="009B571A"/>
    <w:rsid w:val="009B68B1"/>
    <w:rsid w:val="009C192D"/>
    <w:rsid w:val="009C1D97"/>
    <w:rsid w:val="009C3180"/>
    <w:rsid w:val="009C4C12"/>
    <w:rsid w:val="009C4E35"/>
    <w:rsid w:val="009C6DFA"/>
    <w:rsid w:val="009D2C71"/>
    <w:rsid w:val="009D2E7E"/>
    <w:rsid w:val="009D392B"/>
    <w:rsid w:val="009D7530"/>
    <w:rsid w:val="009D7EF2"/>
    <w:rsid w:val="009E1054"/>
    <w:rsid w:val="009E1C3E"/>
    <w:rsid w:val="009E2D3D"/>
    <w:rsid w:val="009F1829"/>
    <w:rsid w:val="009F2C27"/>
    <w:rsid w:val="009F3DF3"/>
    <w:rsid w:val="009F4643"/>
    <w:rsid w:val="009F5DF4"/>
    <w:rsid w:val="00A01E87"/>
    <w:rsid w:val="00A02D86"/>
    <w:rsid w:val="00A0675F"/>
    <w:rsid w:val="00A10451"/>
    <w:rsid w:val="00A123F4"/>
    <w:rsid w:val="00A14E07"/>
    <w:rsid w:val="00A15149"/>
    <w:rsid w:val="00A16CC9"/>
    <w:rsid w:val="00A17501"/>
    <w:rsid w:val="00A17FFB"/>
    <w:rsid w:val="00A20AA3"/>
    <w:rsid w:val="00A20E4E"/>
    <w:rsid w:val="00A240F3"/>
    <w:rsid w:val="00A24AE0"/>
    <w:rsid w:val="00A278FE"/>
    <w:rsid w:val="00A32B5F"/>
    <w:rsid w:val="00A32B86"/>
    <w:rsid w:val="00A32CEA"/>
    <w:rsid w:val="00A364EC"/>
    <w:rsid w:val="00A36E99"/>
    <w:rsid w:val="00A41ED4"/>
    <w:rsid w:val="00A42E41"/>
    <w:rsid w:val="00A434D4"/>
    <w:rsid w:val="00A4352F"/>
    <w:rsid w:val="00A44570"/>
    <w:rsid w:val="00A46E1F"/>
    <w:rsid w:val="00A47806"/>
    <w:rsid w:val="00A527C6"/>
    <w:rsid w:val="00A5550D"/>
    <w:rsid w:val="00A55CC2"/>
    <w:rsid w:val="00A56358"/>
    <w:rsid w:val="00A56794"/>
    <w:rsid w:val="00A60337"/>
    <w:rsid w:val="00A60A69"/>
    <w:rsid w:val="00A61926"/>
    <w:rsid w:val="00A61FC2"/>
    <w:rsid w:val="00A633D0"/>
    <w:rsid w:val="00A64A7E"/>
    <w:rsid w:val="00A64BFF"/>
    <w:rsid w:val="00A710D2"/>
    <w:rsid w:val="00A7363C"/>
    <w:rsid w:val="00A76B67"/>
    <w:rsid w:val="00A76DEA"/>
    <w:rsid w:val="00A82AF8"/>
    <w:rsid w:val="00A84F1B"/>
    <w:rsid w:val="00A8592B"/>
    <w:rsid w:val="00A85EA9"/>
    <w:rsid w:val="00A86EAF"/>
    <w:rsid w:val="00A90654"/>
    <w:rsid w:val="00A90ECF"/>
    <w:rsid w:val="00A932B0"/>
    <w:rsid w:val="00A960E1"/>
    <w:rsid w:val="00A97718"/>
    <w:rsid w:val="00AA4B27"/>
    <w:rsid w:val="00AB227F"/>
    <w:rsid w:val="00AB6FB0"/>
    <w:rsid w:val="00AB7626"/>
    <w:rsid w:val="00AC5027"/>
    <w:rsid w:val="00AC5911"/>
    <w:rsid w:val="00AC6097"/>
    <w:rsid w:val="00AC653E"/>
    <w:rsid w:val="00AC715E"/>
    <w:rsid w:val="00AC7A69"/>
    <w:rsid w:val="00AD2D15"/>
    <w:rsid w:val="00AD30E5"/>
    <w:rsid w:val="00AD4612"/>
    <w:rsid w:val="00AE02A8"/>
    <w:rsid w:val="00AE0E9C"/>
    <w:rsid w:val="00AE1E05"/>
    <w:rsid w:val="00AE23F8"/>
    <w:rsid w:val="00AE3A69"/>
    <w:rsid w:val="00AE6309"/>
    <w:rsid w:val="00AE73FD"/>
    <w:rsid w:val="00AF6587"/>
    <w:rsid w:val="00B028FD"/>
    <w:rsid w:val="00B038BC"/>
    <w:rsid w:val="00B045B8"/>
    <w:rsid w:val="00B04ECD"/>
    <w:rsid w:val="00B11114"/>
    <w:rsid w:val="00B1135B"/>
    <w:rsid w:val="00B14DA5"/>
    <w:rsid w:val="00B14ED1"/>
    <w:rsid w:val="00B15E71"/>
    <w:rsid w:val="00B17C8F"/>
    <w:rsid w:val="00B2389A"/>
    <w:rsid w:val="00B33576"/>
    <w:rsid w:val="00B335D5"/>
    <w:rsid w:val="00B335D8"/>
    <w:rsid w:val="00B42EB2"/>
    <w:rsid w:val="00B44DC3"/>
    <w:rsid w:val="00B53715"/>
    <w:rsid w:val="00B577FD"/>
    <w:rsid w:val="00B57AFE"/>
    <w:rsid w:val="00B6068E"/>
    <w:rsid w:val="00B63BBD"/>
    <w:rsid w:val="00B652F8"/>
    <w:rsid w:val="00B656A6"/>
    <w:rsid w:val="00B6603F"/>
    <w:rsid w:val="00B72B0F"/>
    <w:rsid w:val="00B73803"/>
    <w:rsid w:val="00B751D5"/>
    <w:rsid w:val="00B75929"/>
    <w:rsid w:val="00B765DD"/>
    <w:rsid w:val="00B769ED"/>
    <w:rsid w:val="00B76FDE"/>
    <w:rsid w:val="00B77B45"/>
    <w:rsid w:val="00B84972"/>
    <w:rsid w:val="00B86833"/>
    <w:rsid w:val="00B932DA"/>
    <w:rsid w:val="00B93EE3"/>
    <w:rsid w:val="00BA0937"/>
    <w:rsid w:val="00BA14ED"/>
    <w:rsid w:val="00BA2666"/>
    <w:rsid w:val="00BA2936"/>
    <w:rsid w:val="00BA6577"/>
    <w:rsid w:val="00BA6665"/>
    <w:rsid w:val="00BC2406"/>
    <w:rsid w:val="00BC2A3B"/>
    <w:rsid w:val="00BC4ED6"/>
    <w:rsid w:val="00BC566F"/>
    <w:rsid w:val="00BD06A8"/>
    <w:rsid w:val="00BD1816"/>
    <w:rsid w:val="00BD717A"/>
    <w:rsid w:val="00BD77A4"/>
    <w:rsid w:val="00BE08EC"/>
    <w:rsid w:val="00BE1A7E"/>
    <w:rsid w:val="00BE1F52"/>
    <w:rsid w:val="00BE2DFE"/>
    <w:rsid w:val="00BE7EFB"/>
    <w:rsid w:val="00BF229F"/>
    <w:rsid w:val="00BF44C4"/>
    <w:rsid w:val="00C045A6"/>
    <w:rsid w:val="00C06A3E"/>
    <w:rsid w:val="00C10BB5"/>
    <w:rsid w:val="00C14EB6"/>
    <w:rsid w:val="00C273FA"/>
    <w:rsid w:val="00C27AA3"/>
    <w:rsid w:val="00C31BBB"/>
    <w:rsid w:val="00C33A8C"/>
    <w:rsid w:val="00C33E9E"/>
    <w:rsid w:val="00C3543F"/>
    <w:rsid w:val="00C35A61"/>
    <w:rsid w:val="00C366D9"/>
    <w:rsid w:val="00C417A5"/>
    <w:rsid w:val="00C42068"/>
    <w:rsid w:val="00C434AD"/>
    <w:rsid w:val="00C45509"/>
    <w:rsid w:val="00C469D1"/>
    <w:rsid w:val="00C46CA8"/>
    <w:rsid w:val="00C50295"/>
    <w:rsid w:val="00C548B7"/>
    <w:rsid w:val="00C613A6"/>
    <w:rsid w:val="00C62971"/>
    <w:rsid w:val="00C633CC"/>
    <w:rsid w:val="00C65B94"/>
    <w:rsid w:val="00C74650"/>
    <w:rsid w:val="00C749F1"/>
    <w:rsid w:val="00C7679F"/>
    <w:rsid w:val="00C816FE"/>
    <w:rsid w:val="00C81C01"/>
    <w:rsid w:val="00C826D0"/>
    <w:rsid w:val="00C859CE"/>
    <w:rsid w:val="00C90E43"/>
    <w:rsid w:val="00C9490F"/>
    <w:rsid w:val="00CA0AD0"/>
    <w:rsid w:val="00CA27AD"/>
    <w:rsid w:val="00CA487C"/>
    <w:rsid w:val="00CA4AB0"/>
    <w:rsid w:val="00CB05E0"/>
    <w:rsid w:val="00CB1C5A"/>
    <w:rsid w:val="00CB2791"/>
    <w:rsid w:val="00CB3B5F"/>
    <w:rsid w:val="00CB4444"/>
    <w:rsid w:val="00CB64A7"/>
    <w:rsid w:val="00CB6797"/>
    <w:rsid w:val="00CB6AB1"/>
    <w:rsid w:val="00CB76D7"/>
    <w:rsid w:val="00CC5FA2"/>
    <w:rsid w:val="00CD0FA0"/>
    <w:rsid w:val="00CD7803"/>
    <w:rsid w:val="00CE253F"/>
    <w:rsid w:val="00CE5B1E"/>
    <w:rsid w:val="00CE677A"/>
    <w:rsid w:val="00CF162B"/>
    <w:rsid w:val="00CF1AAE"/>
    <w:rsid w:val="00CF2B4E"/>
    <w:rsid w:val="00CF4285"/>
    <w:rsid w:val="00CF474D"/>
    <w:rsid w:val="00CF6A4A"/>
    <w:rsid w:val="00CF73B6"/>
    <w:rsid w:val="00D00104"/>
    <w:rsid w:val="00D02AB1"/>
    <w:rsid w:val="00D074E1"/>
    <w:rsid w:val="00D10B51"/>
    <w:rsid w:val="00D113FB"/>
    <w:rsid w:val="00D15BB4"/>
    <w:rsid w:val="00D17078"/>
    <w:rsid w:val="00D23EC1"/>
    <w:rsid w:val="00D24092"/>
    <w:rsid w:val="00D2608D"/>
    <w:rsid w:val="00D26D1D"/>
    <w:rsid w:val="00D31CB4"/>
    <w:rsid w:val="00D32734"/>
    <w:rsid w:val="00D32EC5"/>
    <w:rsid w:val="00D34216"/>
    <w:rsid w:val="00D34408"/>
    <w:rsid w:val="00D35EA5"/>
    <w:rsid w:val="00D360F6"/>
    <w:rsid w:val="00D37423"/>
    <w:rsid w:val="00D401AC"/>
    <w:rsid w:val="00D40F93"/>
    <w:rsid w:val="00D42C9C"/>
    <w:rsid w:val="00D45A76"/>
    <w:rsid w:val="00D4616A"/>
    <w:rsid w:val="00D46DA2"/>
    <w:rsid w:val="00D47967"/>
    <w:rsid w:val="00D538C6"/>
    <w:rsid w:val="00D55446"/>
    <w:rsid w:val="00D631CD"/>
    <w:rsid w:val="00D644EE"/>
    <w:rsid w:val="00D64E49"/>
    <w:rsid w:val="00D65070"/>
    <w:rsid w:val="00D67606"/>
    <w:rsid w:val="00D67CD4"/>
    <w:rsid w:val="00D7005A"/>
    <w:rsid w:val="00D73C26"/>
    <w:rsid w:val="00D82992"/>
    <w:rsid w:val="00D87E00"/>
    <w:rsid w:val="00D900C0"/>
    <w:rsid w:val="00D90271"/>
    <w:rsid w:val="00D9272B"/>
    <w:rsid w:val="00D92838"/>
    <w:rsid w:val="00D92A82"/>
    <w:rsid w:val="00D92AD6"/>
    <w:rsid w:val="00D966DB"/>
    <w:rsid w:val="00D9790C"/>
    <w:rsid w:val="00DA59DB"/>
    <w:rsid w:val="00DA5B4C"/>
    <w:rsid w:val="00DA6385"/>
    <w:rsid w:val="00DA6FBC"/>
    <w:rsid w:val="00DA7538"/>
    <w:rsid w:val="00DB02FE"/>
    <w:rsid w:val="00DB0B3B"/>
    <w:rsid w:val="00DC1A4C"/>
    <w:rsid w:val="00DC2B9A"/>
    <w:rsid w:val="00DC46DA"/>
    <w:rsid w:val="00DC4D68"/>
    <w:rsid w:val="00DC6524"/>
    <w:rsid w:val="00DE0338"/>
    <w:rsid w:val="00DE30A7"/>
    <w:rsid w:val="00DE3502"/>
    <w:rsid w:val="00DE6BF0"/>
    <w:rsid w:val="00DE77A1"/>
    <w:rsid w:val="00DF3EF0"/>
    <w:rsid w:val="00DF67BB"/>
    <w:rsid w:val="00DF67C2"/>
    <w:rsid w:val="00E04F18"/>
    <w:rsid w:val="00E0598E"/>
    <w:rsid w:val="00E15C4E"/>
    <w:rsid w:val="00E16354"/>
    <w:rsid w:val="00E16714"/>
    <w:rsid w:val="00E20ACA"/>
    <w:rsid w:val="00E20B69"/>
    <w:rsid w:val="00E21E7D"/>
    <w:rsid w:val="00E2240C"/>
    <w:rsid w:val="00E225B8"/>
    <w:rsid w:val="00E22726"/>
    <w:rsid w:val="00E25516"/>
    <w:rsid w:val="00E274C2"/>
    <w:rsid w:val="00E27B5C"/>
    <w:rsid w:val="00E32CDC"/>
    <w:rsid w:val="00E37255"/>
    <w:rsid w:val="00E37504"/>
    <w:rsid w:val="00E405D3"/>
    <w:rsid w:val="00E44CB6"/>
    <w:rsid w:val="00E47E71"/>
    <w:rsid w:val="00E52937"/>
    <w:rsid w:val="00E54447"/>
    <w:rsid w:val="00E563F7"/>
    <w:rsid w:val="00E575EE"/>
    <w:rsid w:val="00E62EFE"/>
    <w:rsid w:val="00E630F2"/>
    <w:rsid w:val="00E729E5"/>
    <w:rsid w:val="00E73256"/>
    <w:rsid w:val="00E7454F"/>
    <w:rsid w:val="00E75BBE"/>
    <w:rsid w:val="00E76C6A"/>
    <w:rsid w:val="00E77D0A"/>
    <w:rsid w:val="00E77FF0"/>
    <w:rsid w:val="00E8300A"/>
    <w:rsid w:val="00E87417"/>
    <w:rsid w:val="00E905AD"/>
    <w:rsid w:val="00E9169D"/>
    <w:rsid w:val="00E91D4B"/>
    <w:rsid w:val="00EA08C2"/>
    <w:rsid w:val="00EA1EDB"/>
    <w:rsid w:val="00EA2D48"/>
    <w:rsid w:val="00EA3297"/>
    <w:rsid w:val="00EA64D4"/>
    <w:rsid w:val="00EA76A6"/>
    <w:rsid w:val="00EB1B17"/>
    <w:rsid w:val="00EB1B41"/>
    <w:rsid w:val="00EB3CF7"/>
    <w:rsid w:val="00EB3D53"/>
    <w:rsid w:val="00EB439C"/>
    <w:rsid w:val="00EB45BA"/>
    <w:rsid w:val="00EB5839"/>
    <w:rsid w:val="00EB6727"/>
    <w:rsid w:val="00EC526C"/>
    <w:rsid w:val="00EC5B35"/>
    <w:rsid w:val="00EC6282"/>
    <w:rsid w:val="00EC7F0A"/>
    <w:rsid w:val="00ED0DEA"/>
    <w:rsid w:val="00ED1B4B"/>
    <w:rsid w:val="00EE5D7F"/>
    <w:rsid w:val="00EE79EA"/>
    <w:rsid w:val="00EF1D5F"/>
    <w:rsid w:val="00EF20B8"/>
    <w:rsid w:val="00EF3368"/>
    <w:rsid w:val="00EF7D4D"/>
    <w:rsid w:val="00F0198B"/>
    <w:rsid w:val="00F02004"/>
    <w:rsid w:val="00F028E8"/>
    <w:rsid w:val="00F05248"/>
    <w:rsid w:val="00F05BBA"/>
    <w:rsid w:val="00F05BC0"/>
    <w:rsid w:val="00F07A39"/>
    <w:rsid w:val="00F11A25"/>
    <w:rsid w:val="00F1345A"/>
    <w:rsid w:val="00F1442B"/>
    <w:rsid w:val="00F15EA0"/>
    <w:rsid w:val="00F15FD9"/>
    <w:rsid w:val="00F21B60"/>
    <w:rsid w:val="00F25A93"/>
    <w:rsid w:val="00F32313"/>
    <w:rsid w:val="00F3315B"/>
    <w:rsid w:val="00F34566"/>
    <w:rsid w:val="00F4438F"/>
    <w:rsid w:val="00F504DB"/>
    <w:rsid w:val="00F545B6"/>
    <w:rsid w:val="00F552D7"/>
    <w:rsid w:val="00F61CB9"/>
    <w:rsid w:val="00F62ECF"/>
    <w:rsid w:val="00F67525"/>
    <w:rsid w:val="00F677E8"/>
    <w:rsid w:val="00F70883"/>
    <w:rsid w:val="00F73EDD"/>
    <w:rsid w:val="00F74570"/>
    <w:rsid w:val="00F74A40"/>
    <w:rsid w:val="00F82377"/>
    <w:rsid w:val="00F827E5"/>
    <w:rsid w:val="00F84D77"/>
    <w:rsid w:val="00F84F36"/>
    <w:rsid w:val="00F906CF"/>
    <w:rsid w:val="00F91151"/>
    <w:rsid w:val="00F92E17"/>
    <w:rsid w:val="00F93AE0"/>
    <w:rsid w:val="00F95D45"/>
    <w:rsid w:val="00FA3DFF"/>
    <w:rsid w:val="00FA694D"/>
    <w:rsid w:val="00FA7064"/>
    <w:rsid w:val="00FB0FEC"/>
    <w:rsid w:val="00FB1BBD"/>
    <w:rsid w:val="00FB4302"/>
    <w:rsid w:val="00FC2FD0"/>
    <w:rsid w:val="00FC44DA"/>
    <w:rsid w:val="00FC5C36"/>
    <w:rsid w:val="00FC705F"/>
    <w:rsid w:val="00FD0868"/>
    <w:rsid w:val="00FD30DD"/>
    <w:rsid w:val="00FD5D42"/>
    <w:rsid w:val="00FE081E"/>
    <w:rsid w:val="00FE1818"/>
    <w:rsid w:val="00FE1CF6"/>
    <w:rsid w:val="00FE277A"/>
    <w:rsid w:val="00FE2ABF"/>
    <w:rsid w:val="00FE2D72"/>
    <w:rsid w:val="00FE57DA"/>
    <w:rsid w:val="00FE5E55"/>
    <w:rsid w:val="00FE608F"/>
    <w:rsid w:val="00FE7009"/>
    <w:rsid w:val="00FE7684"/>
    <w:rsid w:val="00FF4D14"/>
    <w:rsid w:val="00FF4D67"/>
    <w:rsid w:val="00FF4D7D"/>
    <w:rsid w:val="00FF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75F"/>
    <w:pPr>
      <w:autoSpaceDE w:val="0"/>
      <w:autoSpaceDN w:val="0"/>
      <w:adjustRightInd w:val="0"/>
    </w:pPr>
  </w:style>
  <w:style w:type="paragraph" w:styleId="Heading1">
    <w:name w:val="heading 1"/>
    <w:basedOn w:val="Normal"/>
    <w:next w:val="Normal"/>
    <w:link w:val="Heading1Char"/>
    <w:qFormat/>
    <w:rsid w:val="00011187"/>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1"/>
    <w:qFormat/>
    <w:rsid w:val="00D65070"/>
    <w:pPr>
      <w:widowControl w:val="0"/>
      <w:autoSpaceDE/>
      <w:autoSpaceDN/>
      <w:adjustRightInd/>
      <w:ind w:left="10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ten1">
    <w:name w:val="blueten1"/>
    <w:rsid w:val="00A0675F"/>
    <w:rPr>
      <w:rFonts w:ascii="Verdana" w:hAnsi="Verdana" w:hint="default"/>
      <w:color w:val="003399"/>
      <w:sz w:val="19"/>
      <w:szCs w:val="19"/>
    </w:rPr>
  </w:style>
  <w:style w:type="paragraph" w:styleId="FootnoteText">
    <w:name w:val="footnote text"/>
    <w:basedOn w:val="Normal"/>
    <w:semiHidden/>
    <w:rsid w:val="00A0675F"/>
  </w:style>
  <w:style w:type="character" w:styleId="FootnoteReference">
    <w:name w:val="footnote reference"/>
    <w:semiHidden/>
    <w:rsid w:val="00A0675F"/>
    <w:rPr>
      <w:vertAlign w:val="superscript"/>
    </w:rPr>
  </w:style>
  <w:style w:type="paragraph" w:styleId="Footer">
    <w:name w:val="footer"/>
    <w:basedOn w:val="Normal"/>
    <w:rsid w:val="00A0675F"/>
    <w:pPr>
      <w:tabs>
        <w:tab w:val="center" w:pos="4320"/>
        <w:tab w:val="right" w:pos="8640"/>
      </w:tabs>
    </w:pPr>
  </w:style>
  <w:style w:type="character" w:styleId="PageNumber">
    <w:name w:val="page number"/>
    <w:basedOn w:val="DefaultParagraphFont"/>
    <w:rsid w:val="00A0675F"/>
  </w:style>
  <w:style w:type="character" w:styleId="CommentReference">
    <w:name w:val="annotation reference"/>
    <w:uiPriority w:val="99"/>
    <w:semiHidden/>
    <w:rsid w:val="00A0675F"/>
    <w:rPr>
      <w:sz w:val="16"/>
      <w:szCs w:val="16"/>
    </w:rPr>
  </w:style>
  <w:style w:type="paragraph" w:styleId="CommentText">
    <w:name w:val="annotation text"/>
    <w:basedOn w:val="Normal"/>
    <w:link w:val="CommentTextChar"/>
    <w:uiPriority w:val="99"/>
    <w:semiHidden/>
    <w:rsid w:val="00A0675F"/>
  </w:style>
  <w:style w:type="paragraph" w:styleId="BalloonText">
    <w:name w:val="Balloon Text"/>
    <w:basedOn w:val="Normal"/>
    <w:semiHidden/>
    <w:rsid w:val="00A0675F"/>
    <w:rPr>
      <w:rFonts w:ascii="Tahoma" w:hAnsi="Tahoma" w:cs="Tahoma"/>
      <w:sz w:val="16"/>
      <w:szCs w:val="16"/>
    </w:rPr>
  </w:style>
  <w:style w:type="paragraph" w:styleId="Header">
    <w:name w:val="header"/>
    <w:basedOn w:val="Normal"/>
    <w:link w:val="HeaderChar"/>
    <w:uiPriority w:val="99"/>
    <w:rsid w:val="009E2D3D"/>
    <w:pPr>
      <w:tabs>
        <w:tab w:val="center" w:pos="4320"/>
        <w:tab w:val="right" w:pos="8640"/>
      </w:tabs>
    </w:pPr>
  </w:style>
  <w:style w:type="character" w:styleId="Hyperlink">
    <w:name w:val="Hyperlink"/>
    <w:uiPriority w:val="99"/>
    <w:unhideWhenUsed/>
    <w:rsid w:val="00B14ED1"/>
    <w:rPr>
      <w:color w:val="0000FF"/>
      <w:u w:val="single"/>
    </w:rPr>
  </w:style>
  <w:style w:type="character" w:styleId="FollowedHyperlink">
    <w:name w:val="FollowedHyperlink"/>
    <w:rsid w:val="005B3DCD"/>
    <w:rPr>
      <w:color w:val="800080"/>
      <w:u w:val="single"/>
    </w:rPr>
  </w:style>
  <w:style w:type="paragraph" w:styleId="CommentSubject">
    <w:name w:val="annotation subject"/>
    <w:basedOn w:val="CommentText"/>
    <w:next w:val="CommentText"/>
    <w:link w:val="CommentSubjectChar"/>
    <w:rsid w:val="00AD4612"/>
    <w:rPr>
      <w:b/>
      <w:bCs/>
    </w:rPr>
  </w:style>
  <w:style w:type="character" w:customStyle="1" w:styleId="CommentTextChar">
    <w:name w:val="Comment Text Char"/>
    <w:basedOn w:val="DefaultParagraphFont"/>
    <w:link w:val="CommentText"/>
    <w:uiPriority w:val="99"/>
    <w:semiHidden/>
    <w:rsid w:val="00AD4612"/>
  </w:style>
  <w:style w:type="character" w:customStyle="1" w:styleId="CommentSubjectChar">
    <w:name w:val="Comment Subject Char"/>
    <w:link w:val="CommentSubject"/>
    <w:rsid w:val="00AD4612"/>
    <w:rPr>
      <w:b/>
      <w:bCs/>
    </w:rPr>
  </w:style>
  <w:style w:type="character" w:customStyle="1" w:styleId="HeaderChar">
    <w:name w:val="Header Char"/>
    <w:link w:val="Header"/>
    <w:uiPriority w:val="99"/>
    <w:rsid w:val="005529F1"/>
  </w:style>
  <w:style w:type="paragraph" w:styleId="ListParagraph">
    <w:name w:val="List Paragraph"/>
    <w:basedOn w:val="Normal"/>
    <w:uiPriority w:val="34"/>
    <w:qFormat/>
    <w:rsid w:val="006524D9"/>
    <w:pPr>
      <w:ind w:left="720"/>
    </w:pPr>
  </w:style>
  <w:style w:type="paragraph" w:customStyle="1" w:styleId="TableParagraph">
    <w:name w:val="Table Paragraph"/>
    <w:basedOn w:val="Normal"/>
    <w:uiPriority w:val="1"/>
    <w:qFormat/>
    <w:rsid w:val="00293876"/>
    <w:pPr>
      <w:widowControl w:val="0"/>
      <w:autoSpaceDE/>
      <w:autoSpaceDN/>
      <w:adjustRightInd/>
    </w:pPr>
    <w:rPr>
      <w:rFonts w:ascii="Calibri" w:eastAsia="Calibri" w:hAnsi="Calibri"/>
      <w:sz w:val="22"/>
      <w:szCs w:val="22"/>
    </w:rPr>
  </w:style>
  <w:style w:type="table" w:styleId="TableGrid">
    <w:name w:val="Table Grid"/>
    <w:basedOn w:val="TableNormal"/>
    <w:uiPriority w:val="59"/>
    <w:rsid w:val="00293876"/>
    <w:pPr>
      <w:widowControl w:val="0"/>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1"/>
    <w:rsid w:val="00D65070"/>
    <w:rPr>
      <w:sz w:val="24"/>
      <w:szCs w:val="24"/>
    </w:rPr>
  </w:style>
  <w:style w:type="character" w:customStyle="1" w:styleId="Heading1Char">
    <w:name w:val="Heading 1 Char"/>
    <w:link w:val="Heading1"/>
    <w:rsid w:val="00011187"/>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011187"/>
    <w:pPr>
      <w:autoSpaceDE/>
      <w:autoSpaceDN/>
      <w:adjustRightInd/>
      <w:spacing w:before="100" w:beforeAutospacing="1" w:after="100" w:afterAutospacing="1"/>
    </w:pPr>
    <w:rPr>
      <w:sz w:val="24"/>
      <w:szCs w:val="24"/>
    </w:rPr>
  </w:style>
  <w:style w:type="character" w:styleId="Emphasis">
    <w:name w:val="Emphasis"/>
    <w:uiPriority w:val="20"/>
    <w:qFormat/>
    <w:rsid w:val="000111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75F"/>
    <w:pPr>
      <w:autoSpaceDE w:val="0"/>
      <w:autoSpaceDN w:val="0"/>
      <w:adjustRightInd w:val="0"/>
    </w:pPr>
  </w:style>
  <w:style w:type="paragraph" w:styleId="Heading1">
    <w:name w:val="heading 1"/>
    <w:basedOn w:val="Normal"/>
    <w:next w:val="Normal"/>
    <w:link w:val="Heading1Char"/>
    <w:qFormat/>
    <w:rsid w:val="00011187"/>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1"/>
    <w:qFormat/>
    <w:rsid w:val="00D65070"/>
    <w:pPr>
      <w:widowControl w:val="0"/>
      <w:autoSpaceDE/>
      <w:autoSpaceDN/>
      <w:adjustRightInd/>
      <w:ind w:left="10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ten1">
    <w:name w:val="blueten1"/>
    <w:rsid w:val="00A0675F"/>
    <w:rPr>
      <w:rFonts w:ascii="Verdana" w:hAnsi="Verdana" w:hint="default"/>
      <w:color w:val="003399"/>
      <w:sz w:val="19"/>
      <w:szCs w:val="19"/>
    </w:rPr>
  </w:style>
  <w:style w:type="paragraph" w:styleId="FootnoteText">
    <w:name w:val="footnote text"/>
    <w:basedOn w:val="Normal"/>
    <w:semiHidden/>
    <w:rsid w:val="00A0675F"/>
  </w:style>
  <w:style w:type="character" w:styleId="FootnoteReference">
    <w:name w:val="footnote reference"/>
    <w:semiHidden/>
    <w:rsid w:val="00A0675F"/>
    <w:rPr>
      <w:vertAlign w:val="superscript"/>
    </w:rPr>
  </w:style>
  <w:style w:type="paragraph" w:styleId="Footer">
    <w:name w:val="footer"/>
    <w:basedOn w:val="Normal"/>
    <w:rsid w:val="00A0675F"/>
    <w:pPr>
      <w:tabs>
        <w:tab w:val="center" w:pos="4320"/>
        <w:tab w:val="right" w:pos="8640"/>
      </w:tabs>
    </w:pPr>
  </w:style>
  <w:style w:type="character" w:styleId="PageNumber">
    <w:name w:val="page number"/>
    <w:basedOn w:val="DefaultParagraphFont"/>
    <w:rsid w:val="00A0675F"/>
  </w:style>
  <w:style w:type="character" w:styleId="CommentReference">
    <w:name w:val="annotation reference"/>
    <w:uiPriority w:val="99"/>
    <w:semiHidden/>
    <w:rsid w:val="00A0675F"/>
    <w:rPr>
      <w:sz w:val="16"/>
      <w:szCs w:val="16"/>
    </w:rPr>
  </w:style>
  <w:style w:type="paragraph" w:styleId="CommentText">
    <w:name w:val="annotation text"/>
    <w:basedOn w:val="Normal"/>
    <w:link w:val="CommentTextChar"/>
    <w:uiPriority w:val="99"/>
    <w:semiHidden/>
    <w:rsid w:val="00A0675F"/>
  </w:style>
  <w:style w:type="paragraph" w:styleId="BalloonText">
    <w:name w:val="Balloon Text"/>
    <w:basedOn w:val="Normal"/>
    <w:semiHidden/>
    <w:rsid w:val="00A0675F"/>
    <w:rPr>
      <w:rFonts w:ascii="Tahoma" w:hAnsi="Tahoma" w:cs="Tahoma"/>
      <w:sz w:val="16"/>
      <w:szCs w:val="16"/>
    </w:rPr>
  </w:style>
  <w:style w:type="paragraph" w:styleId="Header">
    <w:name w:val="header"/>
    <w:basedOn w:val="Normal"/>
    <w:link w:val="HeaderChar"/>
    <w:uiPriority w:val="99"/>
    <w:rsid w:val="009E2D3D"/>
    <w:pPr>
      <w:tabs>
        <w:tab w:val="center" w:pos="4320"/>
        <w:tab w:val="right" w:pos="8640"/>
      </w:tabs>
    </w:pPr>
  </w:style>
  <w:style w:type="character" w:styleId="Hyperlink">
    <w:name w:val="Hyperlink"/>
    <w:uiPriority w:val="99"/>
    <w:unhideWhenUsed/>
    <w:rsid w:val="00B14ED1"/>
    <w:rPr>
      <w:color w:val="0000FF"/>
      <w:u w:val="single"/>
    </w:rPr>
  </w:style>
  <w:style w:type="character" w:styleId="FollowedHyperlink">
    <w:name w:val="FollowedHyperlink"/>
    <w:rsid w:val="005B3DCD"/>
    <w:rPr>
      <w:color w:val="800080"/>
      <w:u w:val="single"/>
    </w:rPr>
  </w:style>
  <w:style w:type="paragraph" w:styleId="CommentSubject">
    <w:name w:val="annotation subject"/>
    <w:basedOn w:val="CommentText"/>
    <w:next w:val="CommentText"/>
    <w:link w:val="CommentSubjectChar"/>
    <w:rsid w:val="00AD4612"/>
    <w:rPr>
      <w:b/>
      <w:bCs/>
    </w:rPr>
  </w:style>
  <w:style w:type="character" w:customStyle="1" w:styleId="CommentTextChar">
    <w:name w:val="Comment Text Char"/>
    <w:basedOn w:val="DefaultParagraphFont"/>
    <w:link w:val="CommentText"/>
    <w:uiPriority w:val="99"/>
    <w:semiHidden/>
    <w:rsid w:val="00AD4612"/>
  </w:style>
  <w:style w:type="character" w:customStyle="1" w:styleId="CommentSubjectChar">
    <w:name w:val="Comment Subject Char"/>
    <w:link w:val="CommentSubject"/>
    <w:rsid w:val="00AD4612"/>
    <w:rPr>
      <w:b/>
      <w:bCs/>
    </w:rPr>
  </w:style>
  <w:style w:type="character" w:customStyle="1" w:styleId="HeaderChar">
    <w:name w:val="Header Char"/>
    <w:link w:val="Header"/>
    <w:uiPriority w:val="99"/>
    <w:rsid w:val="005529F1"/>
  </w:style>
  <w:style w:type="paragraph" w:styleId="ListParagraph">
    <w:name w:val="List Paragraph"/>
    <w:basedOn w:val="Normal"/>
    <w:uiPriority w:val="34"/>
    <w:qFormat/>
    <w:rsid w:val="006524D9"/>
    <w:pPr>
      <w:ind w:left="720"/>
    </w:pPr>
  </w:style>
  <w:style w:type="paragraph" w:customStyle="1" w:styleId="TableParagraph">
    <w:name w:val="Table Paragraph"/>
    <w:basedOn w:val="Normal"/>
    <w:uiPriority w:val="1"/>
    <w:qFormat/>
    <w:rsid w:val="00293876"/>
    <w:pPr>
      <w:widowControl w:val="0"/>
      <w:autoSpaceDE/>
      <w:autoSpaceDN/>
      <w:adjustRightInd/>
    </w:pPr>
    <w:rPr>
      <w:rFonts w:ascii="Calibri" w:eastAsia="Calibri" w:hAnsi="Calibri"/>
      <w:sz w:val="22"/>
      <w:szCs w:val="22"/>
    </w:rPr>
  </w:style>
  <w:style w:type="table" w:styleId="TableGrid">
    <w:name w:val="Table Grid"/>
    <w:basedOn w:val="TableNormal"/>
    <w:uiPriority w:val="59"/>
    <w:rsid w:val="00293876"/>
    <w:pPr>
      <w:widowControl w:val="0"/>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1"/>
    <w:rsid w:val="00D65070"/>
    <w:rPr>
      <w:sz w:val="24"/>
      <w:szCs w:val="24"/>
    </w:rPr>
  </w:style>
  <w:style w:type="character" w:customStyle="1" w:styleId="Heading1Char">
    <w:name w:val="Heading 1 Char"/>
    <w:link w:val="Heading1"/>
    <w:rsid w:val="00011187"/>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011187"/>
    <w:pPr>
      <w:autoSpaceDE/>
      <w:autoSpaceDN/>
      <w:adjustRightInd/>
      <w:spacing w:before="100" w:beforeAutospacing="1" w:after="100" w:afterAutospacing="1"/>
    </w:pPr>
    <w:rPr>
      <w:sz w:val="24"/>
      <w:szCs w:val="24"/>
    </w:rPr>
  </w:style>
  <w:style w:type="character" w:styleId="Emphasis">
    <w:name w:val="Emphasis"/>
    <w:uiPriority w:val="20"/>
    <w:qFormat/>
    <w:rsid w:val="000111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60665">
      <w:bodyDiv w:val="1"/>
      <w:marLeft w:val="0"/>
      <w:marRight w:val="0"/>
      <w:marTop w:val="0"/>
      <w:marBottom w:val="0"/>
      <w:divBdr>
        <w:top w:val="none" w:sz="0" w:space="0" w:color="auto"/>
        <w:left w:val="none" w:sz="0" w:space="0" w:color="auto"/>
        <w:bottom w:val="none" w:sz="0" w:space="0" w:color="auto"/>
        <w:right w:val="none" w:sz="0" w:space="0" w:color="auto"/>
      </w:divBdr>
    </w:div>
    <w:div w:id="204607683">
      <w:bodyDiv w:val="1"/>
      <w:marLeft w:val="0"/>
      <w:marRight w:val="0"/>
      <w:marTop w:val="0"/>
      <w:marBottom w:val="0"/>
      <w:divBdr>
        <w:top w:val="none" w:sz="0" w:space="0" w:color="auto"/>
        <w:left w:val="none" w:sz="0" w:space="0" w:color="auto"/>
        <w:bottom w:val="none" w:sz="0" w:space="0" w:color="auto"/>
        <w:right w:val="none" w:sz="0" w:space="0" w:color="auto"/>
      </w:divBdr>
    </w:div>
    <w:div w:id="811099402">
      <w:bodyDiv w:val="1"/>
      <w:marLeft w:val="0"/>
      <w:marRight w:val="0"/>
      <w:marTop w:val="0"/>
      <w:marBottom w:val="0"/>
      <w:divBdr>
        <w:top w:val="none" w:sz="0" w:space="0" w:color="auto"/>
        <w:left w:val="none" w:sz="0" w:space="0" w:color="auto"/>
        <w:bottom w:val="none" w:sz="0" w:space="0" w:color="auto"/>
        <w:right w:val="none" w:sz="0" w:space="0" w:color="auto"/>
      </w:divBdr>
    </w:div>
    <w:div w:id="1428774963">
      <w:bodyDiv w:val="1"/>
      <w:marLeft w:val="0"/>
      <w:marRight w:val="0"/>
      <w:marTop w:val="0"/>
      <w:marBottom w:val="0"/>
      <w:divBdr>
        <w:top w:val="none" w:sz="0" w:space="0" w:color="auto"/>
        <w:left w:val="none" w:sz="0" w:space="0" w:color="auto"/>
        <w:bottom w:val="none" w:sz="0" w:space="0" w:color="auto"/>
        <w:right w:val="none" w:sz="0" w:space="0" w:color="auto"/>
      </w:divBdr>
    </w:div>
    <w:div w:id="1530140500">
      <w:bodyDiv w:val="1"/>
      <w:marLeft w:val="0"/>
      <w:marRight w:val="0"/>
      <w:marTop w:val="0"/>
      <w:marBottom w:val="0"/>
      <w:divBdr>
        <w:top w:val="none" w:sz="0" w:space="0" w:color="auto"/>
        <w:left w:val="none" w:sz="0" w:space="0" w:color="auto"/>
        <w:bottom w:val="none" w:sz="0" w:space="0" w:color="auto"/>
        <w:right w:val="none" w:sz="0" w:space="0" w:color="auto"/>
      </w:divBdr>
    </w:div>
    <w:div w:id="1665548600">
      <w:bodyDiv w:val="1"/>
      <w:marLeft w:val="0"/>
      <w:marRight w:val="0"/>
      <w:marTop w:val="0"/>
      <w:marBottom w:val="0"/>
      <w:divBdr>
        <w:top w:val="none" w:sz="0" w:space="0" w:color="auto"/>
        <w:left w:val="none" w:sz="0" w:space="0" w:color="auto"/>
        <w:bottom w:val="none" w:sz="0" w:space="0" w:color="auto"/>
        <w:right w:val="none" w:sz="0" w:space="0" w:color="auto"/>
      </w:divBdr>
    </w:div>
    <w:div w:id="1766457957">
      <w:bodyDiv w:val="1"/>
      <w:marLeft w:val="0"/>
      <w:marRight w:val="0"/>
      <w:marTop w:val="0"/>
      <w:marBottom w:val="0"/>
      <w:divBdr>
        <w:top w:val="none" w:sz="0" w:space="0" w:color="auto"/>
        <w:left w:val="none" w:sz="0" w:space="0" w:color="auto"/>
        <w:bottom w:val="none" w:sz="0" w:space="0" w:color="auto"/>
        <w:right w:val="none" w:sz="0" w:space="0" w:color="auto"/>
      </w:divBdr>
      <w:divsChild>
        <w:div w:id="761879601">
          <w:marLeft w:val="0"/>
          <w:marRight w:val="0"/>
          <w:marTop w:val="0"/>
          <w:marBottom w:val="0"/>
          <w:divBdr>
            <w:top w:val="none" w:sz="0" w:space="0" w:color="auto"/>
            <w:left w:val="none" w:sz="0" w:space="0" w:color="auto"/>
            <w:bottom w:val="none" w:sz="0" w:space="0" w:color="auto"/>
            <w:right w:val="none" w:sz="0" w:space="0" w:color="auto"/>
          </w:divBdr>
        </w:div>
      </w:divsChild>
    </w:div>
    <w:div w:id="1923754813">
      <w:bodyDiv w:val="1"/>
      <w:marLeft w:val="0"/>
      <w:marRight w:val="0"/>
      <w:marTop w:val="0"/>
      <w:marBottom w:val="0"/>
      <w:divBdr>
        <w:top w:val="none" w:sz="0" w:space="0" w:color="auto"/>
        <w:left w:val="none" w:sz="0" w:space="0" w:color="auto"/>
        <w:bottom w:val="none" w:sz="0" w:space="0" w:color="auto"/>
        <w:right w:val="none" w:sz="0" w:space="0" w:color="auto"/>
      </w:divBdr>
    </w:div>
    <w:div w:id="2081099615">
      <w:bodyDiv w:val="1"/>
      <w:marLeft w:val="0"/>
      <w:marRight w:val="0"/>
      <w:marTop w:val="0"/>
      <w:marBottom w:val="0"/>
      <w:divBdr>
        <w:top w:val="none" w:sz="0" w:space="0" w:color="auto"/>
        <w:left w:val="none" w:sz="0" w:space="0" w:color="auto"/>
        <w:bottom w:val="none" w:sz="0" w:space="0" w:color="auto"/>
        <w:right w:val="none" w:sz="0" w:space="0" w:color="auto"/>
      </w:divBdr>
    </w:div>
    <w:div w:id="208883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bls.gov/oes/tables.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B80C-D2EB-42E4-B373-1048D5C6E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3376</Words>
  <Characters>19245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 Department of Labor</Company>
  <LinksUpToDate>false</LinksUpToDate>
  <CharactersWithSpaces>22576</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osha_user</dc:creator>
  <cp:keywords/>
  <cp:lastModifiedBy>SYSTEM</cp:lastModifiedBy>
  <cp:revision>2</cp:revision>
  <cp:lastPrinted>2019-07-02T15:38:00Z</cp:lastPrinted>
  <dcterms:created xsi:type="dcterms:W3CDTF">2019-08-29T19:22:00Z</dcterms:created>
  <dcterms:modified xsi:type="dcterms:W3CDTF">2019-08-29T19:22:00Z</dcterms:modified>
</cp:coreProperties>
</file>