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1FD6C" w14:textId="6620BDA3" w:rsidR="008713C0" w:rsidRPr="008713C0" w:rsidRDefault="008713C0" w:rsidP="001160D2">
      <w:pPr>
        <w:pStyle w:val="H2Chapter"/>
        <w:tabs>
          <w:tab w:val="clear" w:pos="432"/>
        </w:tabs>
        <w:ind w:left="0" w:firstLine="0"/>
      </w:pPr>
      <w:bookmarkStart w:id="0" w:name="_Toc436939711"/>
      <w:bookmarkStart w:id="1" w:name="_GoBack"/>
      <w:bookmarkEnd w:id="1"/>
      <w:r w:rsidRPr="008713C0">
        <w:t xml:space="preserve">OFFICE OF MANAGEMENT AND BUDGET SUPPORTING STATEMENT PART B: COLLECTION OF INFORMATION EMPLOYING STATISTICAL METHODS for the </w:t>
      </w:r>
      <w:r w:rsidRPr="008713C0">
        <w:rPr>
          <w:szCs w:val="24"/>
        </w:rPr>
        <w:t xml:space="preserve">Reentry Employment Opportunities (REO) </w:t>
      </w:r>
      <w:r w:rsidRPr="008713C0">
        <w:t>evaluation</w:t>
      </w:r>
    </w:p>
    <w:bookmarkEnd w:id="0"/>
    <w:p w14:paraId="0103EEEE" w14:textId="7D0B040D" w:rsidR="008713C0" w:rsidRPr="008713C0" w:rsidRDefault="008713C0" w:rsidP="008713C0">
      <w:pPr>
        <w:spacing w:after="240" w:line="240" w:lineRule="auto"/>
      </w:pPr>
      <w:r w:rsidRPr="008713C0">
        <w:t xml:space="preserve">The U.S. Department of Labor’s (DOL) Chief Evaluation Office (CEO) is undertaking the Reentry Employment Opportunities (REO) Evaluation. The overall aim of the evaluation is to determine whether the REO programs improve employment outcomes and workforce readiness for young adults and adults with previous criminal justice system contact. CEO contracted with Mathematica Policy Research and its subcontractor, Social Policy Research Associates (SPR), to conduct this evaluation. The evaluation will include an impact study and an implementation study. This package requests clearance for </w:t>
      </w:r>
      <w:r w:rsidR="001B0416">
        <w:t>two</w:t>
      </w:r>
      <w:r w:rsidR="001B0416" w:rsidRPr="008713C0">
        <w:t xml:space="preserve"> </w:t>
      </w:r>
      <w:r w:rsidRPr="008713C0">
        <w:t xml:space="preserve">data collection </w:t>
      </w:r>
      <w:r w:rsidR="00E6187C">
        <w:t xml:space="preserve">instruments </w:t>
      </w:r>
      <w:r w:rsidR="00460B49">
        <w:t>(instruments included as supporting documents</w:t>
      </w:r>
      <w:r w:rsidR="006860FD">
        <w:t>)</w:t>
      </w:r>
      <w:r w:rsidRPr="008713C0">
        <w:t xml:space="preserve">: </w:t>
      </w:r>
    </w:p>
    <w:p w14:paraId="0EF1DA02" w14:textId="666DEA60" w:rsidR="0030468E" w:rsidRPr="00DB2A7D" w:rsidRDefault="0030468E" w:rsidP="0085290F">
      <w:pPr>
        <w:pStyle w:val="NumberedBullet"/>
      </w:pPr>
      <w:r>
        <w:t xml:space="preserve">Grantee </w:t>
      </w:r>
      <w:r w:rsidR="006860FD">
        <w:t>s</w:t>
      </w:r>
      <w:r>
        <w:t xml:space="preserve">urvey </w:t>
      </w:r>
    </w:p>
    <w:p w14:paraId="4F83B0F5" w14:textId="13234B16" w:rsidR="0030468E" w:rsidRDefault="006D7005" w:rsidP="0085290F">
      <w:pPr>
        <w:pStyle w:val="NumberedBulletLastSS"/>
      </w:pPr>
      <w:r>
        <w:t>Baseline</w:t>
      </w:r>
      <w:r w:rsidRPr="0030468E">
        <w:t xml:space="preserve"> </w:t>
      </w:r>
      <w:r w:rsidR="00E6187C">
        <w:t>i</w:t>
      </w:r>
      <w:r w:rsidR="0030468E" w:rsidRPr="0030468E">
        <w:t xml:space="preserve">nformation </w:t>
      </w:r>
      <w:r w:rsidR="00E6187C">
        <w:t>f</w:t>
      </w:r>
      <w:r w:rsidR="0030468E" w:rsidRPr="0030468E">
        <w:t>orm (</w:t>
      </w:r>
      <w:r>
        <w:t>B</w:t>
      </w:r>
      <w:r w:rsidR="0030468E" w:rsidRPr="0030468E">
        <w:t xml:space="preserve">IF) </w:t>
      </w:r>
    </w:p>
    <w:p w14:paraId="4E25F8AD" w14:textId="3F2BA3B3" w:rsidR="00A6451A" w:rsidRPr="008713C0" w:rsidRDefault="00D67B21" w:rsidP="00A6451A">
      <w:pPr>
        <w:spacing w:after="240" w:line="240" w:lineRule="auto"/>
      </w:pPr>
      <w:bookmarkStart w:id="2" w:name="_Toc436939712"/>
      <w:r w:rsidRPr="00D67B21">
        <w:t>These data collection instruments have been reviewed and approved by Health Media Lab Institutional Review Board.</w:t>
      </w:r>
    </w:p>
    <w:p w14:paraId="21C1E1B0" w14:textId="07325A73" w:rsidR="008713C0" w:rsidRPr="008713C0" w:rsidRDefault="008713C0" w:rsidP="001160D2">
      <w:pPr>
        <w:pStyle w:val="H3Alpha"/>
      </w:pPr>
      <w:r w:rsidRPr="008713C0">
        <w:t>B.1.</w:t>
      </w:r>
      <w:r w:rsidRPr="008713C0">
        <w:tab/>
        <w:t>Respondent universe and sampling methods</w:t>
      </w:r>
      <w:bookmarkEnd w:id="2"/>
    </w:p>
    <w:p w14:paraId="25FBD270" w14:textId="6D0C741C" w:rsidR="008713C0" w:rsidRDefault="008713C0" w:rsidP="008713C0">
      <w:pPr>
        <w:spacing w:after="240" w:line="240" w:lineRule="auto"/>
      </w:pPr>
      <w:r w:rsidRPr="008713C0">
        <w:t xml:space="preserve">The universe of potential </w:t>
      </w:r>
      <w:r w:rsidR="0077056D">
        <w:t>grantees</w:t>
      </w:r>
      <w:r w:rsidRPr="008713C0">
        <w:t xml:space="preserve"> for </w:t>
      </w:r>
      <w:r w:rsidR="0077056D">
        <w:t>the data collection efforts for which OMB clearance approval is requested</w:t>
      </w:r>
      <w:r w:rsidRPr="008713C0">
        <w:t xml:space="preserve"> includes the Training to Work (T2W) grantees that received grants in 2015 and 2016, the Reentry Demonstration Project (RDP) grantees that received grants in 2016, the Reentry Project (RP) grantees that received grants in 2017, and </w:t>
      </w:r>
      <w:r w:rsidR="00F97C6B">
        <w:t>the</w:t>
      </w:r>
      <w:r w:rsidR="00F97C6B" w:rsidRPr="008713C0">
        <w:t xml:space="preserve"> </w:t>
      </w:r>
      <w:r w:rsidRPr="008713C0">
        <w:t xml:space="preserve">RP grantees </w:t>
      </w:r>
      <w:r w:rsidR="00F97C6B">
        <w:t xml:space="preserve">that received grants in </w:t>
      </w:r>
      <w:r w:rsidRPr="008713C0">
        <w:t>2018</w:t>
      </w:r>
      <w:r w:rsidR="0009753F">
        <w:t xml:space="preserve"> (Table B.1)</w:t>
      </w:r>
      <w:r w:rsidRPr="008713C0">
        <w:t>.</w:t>
      </w:r>
      <w:r w:rsidR="008309DA">
        <w:rPr>
          <w:rStyle w:val="FootnoteReference"/>
        </w:rPr>
        <w:footnoteReference w:id="2"/>
      </w:r>
      <w:r w:rsidRPr="008713C0">
        <w:t xml:space="preserve"> The implementation study will include </w:t>
      </w:r>
      <w:r w:rsidR="0077514B">
        <w:t xml:space="preserve">up to </w:t>
      </w:r>
      <w:r w:rsidR="00E31861">
        <w:t xml:space="preserve">119 </w:t>
      </w:r>
      <w:r w:rsidRPr="008713C0">
        <w:t xml:space="preserve">grantees and subgrantees from all three </w:t>
      </w:r>
      <w:r w:rsidR="001F504D">
        <w:t xml:space="preserve">types of </w:t>
      </w:r>
      <w:r w:rsidRPr="008713C0">
        <w:t>grant</w:t>
      </w:r>
      <w:r w:rsidR="001F504D">
        <w:t>s</w:t>
      </w:r>
      <w:r w:rsidRPr="008713C0">
        <w:t>.</w:t>
      </w:r>
      <w:r w:rsidRPr="008713C0">
        <w:rPr>
          <w:vertAlign w:val="superscript"/>
        </w:rPr>
        <w:footnoteReference w:id="3"/>
      </w:r>
      <w:r w:rsidRPr="008713C0">
        <w:t xml:space="preserve"> The impact study will include up to 10 of the REO </w:t>
      </w:r>
      <w:r w:rsidR="001F504D">
        <w:t xml:space="preserve">RP </w:t>
      </w:r>
      <w:r w:rsidRPr="008713C0">
        <w:t xml:space="preserve">grantees </w:t>
      </w:r>
      <w:r w:rsidR="00142821">
        <w:t>and subgrantees</w:t>
      </w:r>
      <w:r w:rsidRPr="008713C0">
        <w:t xml:space="preserve">; </w:t>
      </w:r>
      <w:r w:rsidR="00B4613E">
        <w:t xml:space="preserve">after the impact study sites are identified, a purposively selected subset of them (assumed for now to be </w:t>
      </w:r>
      <w:r w:rsidRPr="008713C0">
        <w:t>5 o</w:t>
      </w:r>
      <w:r w:rsidR="001F0B8B">
        <w:t>ut of a maximum of</w:t>
      </w:r>
      <w:r w:rsidRPr="008713C0">
        <w:t xml:space="preserve"> 10</w:t>
      </w:r>
      <w:r w:rsidR="00B4613E">
        <w:t>)</w:t>
      </w:r>
      <w:r w:rsidRPr="008713C0">
        <w:t xml:space="preserve"> will be </w:t>
      </w:r>
      <w:r w:rsidR="00B4613E">
        <w:t xml:space="preserve">part of </w:t>
      </w:r>
      <w:r w:rsidRPr="008713C0">
        <w:t>a follow-up survey</w:t>
      </w:r>
      <w:r w:rsidR="00B4613E">
        <w:t xml:space="preserve"> data collection effort</w:t>
      </w:r>
      <w:r w:rsidR="001F504D">
        <w:t xml:space="preserve"> with impact study participants</w:t>
      </w:r>
      <w:r w:rsidRPr="008713C0">
        <w:t xml:space="preserve">. This section outlines the respondent universe, proposed methods for respondent selection, and the expected response rates for </w:t>
      </w:r>
      <w:r w:rsidR="001E2ED2">
        <w:t xml:space="preserve">each of the </w:t>
      </w:r>
      <w:r w:rsidR="001B0416">
        <w:t xml:space="preserve">two </w:t>
      </w:r>
      <w:r w:rsidR="001E2ED2">
        <w:t>data collection activities</w:t>
      </w:r>
      <w:r w:rsidRPr="008713C0">
        <w:t xml:space="preserve"> </w:t>
      </w:r>
      <w:r w:rsidR="001E2ED2">
        <w:t>being cleared as part of this submission</w:t>
      </w:r>
      <w:r w:rsidRPr="008713C0">
        <w:t xml:space="preserve">. </w:t>
      </w:r>
    </w:p>
    <w:p w14:paraId="33A3B15E" w14:textId="4D93AE98" w:rsidR="00A863B9" w:rsidRPr="00A863B9" w:rsidRDefault="00A863B9" w:rsidP="000B02CF">
      <w:pPr>
        <w:pStyle w:val="MarkforTableTitle"/>
        <w:keepLines/>
      </w:pPr>
      <w:r>
        <w:lastRenderedPageBreak/>
        <w:t>Table B.1. Respondent universe by grant year and type</w:t>
      </w:r>
    </w:p>
    <w:tbl>
      <w:tblPr>
        <w:tblStyle w:val="MPRBaseTable"/>
        <w:tblW w:w="5000" w:type="pct"/>
        <w:tblLook w:val="04A0" w:firstRow="1" w:lastRow="0" w:firstColumn="1" w:lastColumn="0" w:noHBand="0" w:noVBand="1"/>
      </w:tblPr>
      <w:tblGrid>
        <w:gridCol w:w="1132"/>
        <w:gridCol w:w="3922"/>
        <w:gridCol w:w="2262"/>
        <w:gridCol w:w="2260"/>
      </w:tblGrid>
      <w:tr w:rsidR="00A22A40" w:rsidRPr="000B02CF" w14:paraId="63971724" w14:textId="77777777" w:rsidTr="009C4B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1" w:type="pct"/>
          </w:tcPr>
          <w:p w14:paraId="6A244468" w14:textId="1E5EE224" w:rsidR="00954339" w:rsidRPr="000B02CF" w:rsidRDefault="00954339" w:rsidP="000B02CF">
            <w:pPr>
              <w:pStyle w:val="TableHeaderCenter"/>
              <w:keepNext/>
              <w:keepLines/>
              <w:spacing w:before="60"/>
              <w:jc w:val="left"/>
              <w:rPr>
                <w:b/>
              </w:rPr>
            </w:pPr>
            <w:r w:rsidRPr="000B02CF">
              <w:rPr>
                <w:b/>
              </w:rPr>
              <w:t>Year</w:t>
            </w:r>
          </w:p>
        </w:tc>
        <w:tc>
          <w:tcPr>
            <w:tcW w:w="2048" w:type="pct"/>
          </w:tcPr>
          <w:p w14:paraId="0C612A11" w14:textId="39164044" w:rsidR="00954339" w:rsidRPr="000B02CF" w:rsidRDefault="00954339" w:rsidP="000B02CF">
            <w:pPr>
              <w:pStyle w:val="TableHeaderCenter"/>
              <w:keepNext/>
              <w:keepLines/>
              <w:spacing w:before="60"/>
              <w:cnfStyle w:val="100000000000" w:firstRow="1" w:lastRow="0" w:firstColumn="0" w:lastColumn="0" w:oddVBand="0" w:evenVBand="0" w:oddHBand="0" w:evenHBand="0" w:firstRowFirstColumn="0" w:firstRowLastColumn="0" w:lastRowFirstColumn="0" w:lastRowLastColumn="0"/>
              <w:rPr>
                <w:b/>
              </w:rPr>
            </w:pPr>
            <w:r w:rsidRPr="000B02CF">
              <w:rPr>
                <w:b/>
              </w:rPr>
              <w:t>Grant Stream</w:t>
            </w:r>
          </w:p>
        </w:tc>
        <w:tc>
          <w:tcPr>
            <w:tcW w:w="1181" w:type="pct"/>
          </w:tcPr>
          <w:p w14:paraId="06979151" w14:textId="25AC4B98" w:rsidR="00954339" w:rsidRPr="000B02CF" w:rsidRDefault="00954339" w:rsidP="000B02CF">
            <w:pPr>
              <w:pStyle w:val="TableHeaderCenter"/>
              <w:keepNext/>
              <w:keepLines/>
              <w:tabs>
                <w:tab w:val="decimal" w:pos="670"/>
              </w:tabs>
              <w:spacing w:before="60"/>
              <w:cnfStyle w:val="100000000000" w:firstRow="1" w:lastRow="0" w:firstColumn="0" w:lastColumn="0" w:oddVBand="0" w:evenVBand="0" w:oddHBand="0" w:evenHBand="0" w:firstRowFirstColumn="0" w:firstRowLastColumn="0" w:lastRowFirstColumn="0" w:lastRowLastColumn="0"/>
              <w:rPr>
                <w:b/>
              </w:rPr>
            </w:pPr>
            <w:r w:rsidRPr="000B02CF">
              <w:rPr>
                <w:b/>
              </w:rPr>
              <w:t>Grantees</w:t>
            </w:r>
          </w:p>
        </w:tc>
        <w:tc>
          <w:tcPr>
            <w:tcW w:w="1181" w:type="pct"/>
          </w:tcPr>
          <w:p w14:paraId="7FAE7A4F" w14:textId="5DDCC65B" w:rsidR="00954339" w:rsidRPr="000B02CF" w:rsidRDefault="00954339" w:rsidP="000B02CF">
            <w:pPr>
              <w:pStyle w:val="TableHeaderCenter"/>
              <w:keepNext/>
              <w:keepLines/>
              <w:tabs>
                <w:tab w:val="decimal" w:pos="670"/>
              </w:tabs>
              <w:spacing w:before="60"/>
              <w:cnfStyle w:val="100000000000" w:firstRow="1" w:lastRow="0" w:firstColumn="0" w:lastColumn="0" w:oddVBand="0" w:evenVBand="0" w:oddHBand="0" w:evenHBand="0" w:firstRowFirstColumn="0" w:firstRowLastColumn="0" w:lastRowFirstColumn="0" w:lastRowLastColumn="0"/>
              <w:rPr>
                <w:b/>
              </w:rPr>
            </w:pPr>
            <w:r w:rsidRPr="000B02CF">
              <w:rPr>
                <w:b/>
              </w:rPr>
              <w:t>Sites</w:t>
            </w:r>
          </w:p>
        </w:tc>
      </w:tr>
      <w:tr w:rsidR="00A22A40" w14:paraId="0CEE34C6" w14:textId="77777777" w:rsidTr="009C4B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Pr>
          <w:p w14:paraId="365FB664" w14:textId="4281D2BF" w:rsidR="00954339" w:rsidRDefault="00954339" w:rsidP="000B02CF">
            <w:pPr>
              <w:keepNext/>
              <w:keepLines/>
              <w:spacing w:before="60" w:after="60" w:line="240" w:lineRule="auto"/>
              <w:ind w:firstLine="0"/>
              <w:contextualSpacing w:val="0"/>
            </w:pPr>
            <w:r>
              <w:t>2015</w:t>
            </w:r>
          </w:p>
        </w:tc>
        <w:tc>
          <w:tcPr>
            <w:tcW w:w="2048" w:type="pct"/>
          </w:tcPr>
          <w:p w14:paraId="10E4ECE7" w14:textId="1AC6F750" w:rsidR="00954339" w:rsidRDefault="00954339" w:rsidP="000B02CF">
            <w:pPr>
              <w:keepNext/>
              <w:keepLine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Training to Work 3</w:t>
            </w:r>
          </w:p>
        </w:tc>
        <w:tc>
          <w:tcPr>
            <w:tcW w:w="1181" w:type="pct"/>
          </w:tcPr>
          <w:p w14:paraId="396113D7" w14:textId="67CA3435" w:rsidR="00954339" w:rsidRDefault="00954339" w:rsidP="009C4BD2">
            <w:pPr>
              <w:keepNext/>
              <w:keepLines/>
              <w:tabs>
                <w:tab w:val="decimal" w:pos="1162"/>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22</w:t>
            </w:r>
          </w:p>
        </w:tc>
        <w:tc>
          <w:tcPr>
            <w:tcW w:w="1181" w:type="pct"/>
          </w:tcPr>
          <w:p w14:paraId="5C42E23D" w14:textId="60EE8D4D" w:rsidR="00954339" w:rsidRDefault="00FB3961" w:rsidP="00A22A40">
            <w:pPr>
              <w:keepNext/>
              <w:keepLines/>
              <w:tabs>
                <w:tab w:val="decimal" w:pos="1201"/>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22</w:t>
            </w:r>
          </w:p>
        </w:tc>
      </w:tr>
      <w:tr w:rsidR="00A22A40" w14:paraId="18CC8915" w14:textId="77777777" w:rsidTr="009C4BD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Pr>
          <w:p w14:paraId="296B5803" w14:textId="46E629AC" w:rsidR="00954339" w:rsidRDefault="00954339" w:rsidP="000B02CF">
            <w:pPr>
              <w:keepNext/>
              <w:keepLines/>
              <w:spacing w:before="60" w:after="60" w:line="240" w:lineRule="auto"/>
              <w:ind w:firstLine="0"/>
              <w:contextualSpacing w:val="0"/>
            </w:pPr>
            <w:r>
              <w:t>2016</w:t>
            </w:r>
          </w:p>
        </w:tc>
        <w:tc>
          <w:tcPr>
            <w:tcW w:w="2048" w:type="pct"/>
          </w:tcPr>
          <w:p w14:paraId="161C3AE4" w14:textId="5E0A7068" w:rsidR="00954339" w:rsidRDefault="00954339" w:rsidP="000B02CF">
            <w:pPr>
              <w:keepNext/>
              <w:keepLine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RDP</w:t>
            </w:r>
          </w:p>
        </w:tc>
        <w:tc>
          <w:tcPr>
            <w:tcW w:w="1181" w:type="pct"/>
          </w:tcPr>
          <w:p w14:paraId="540C0176" w14:textId="028CEF26" w:rsidR="00954339" w:rsidRDefault="004F320B" w:rsidP="009C4BD2">
            <w:pPr>
              <w:keepNext/>
              <w:keepLines/>
              <w:tabs>
                <w:tab w:val="decimal" w:pos="1162"/>
              </w:tab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7</w:t>
            </w:r>
          </w:p>
        </w:tc>
        <w:tc>
          <w:tcPr>
            <w:tcW w:w="1181" w:type="pct"/>
          </w:tcPr>
          <w:p w14:paraId="6BA0F464" w14:textId="5EF9891B" w:rsidR="00954339" w:rsidRDefault="00CB09CD" w:rsidP="00A22A40">
            <w:pPr>
              <w:keepNext/>
              <w:keepLines/>
              <w:tabs>
                <w:tab w:val="decimal" w:pos="1201"/>
              </w:tab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26</w:t>
            </w:r>
          </w:p>
        </w:tc>
      </w:tr>
      <w:tr w:rsidR="00A22A40" w14:paraId="21EA0796" w14:textId="77777777" w:rsidTr="009C4B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Pr>
          <w:p w14:paraId="79B39BB4" w14:textId="73BF410B" w:rsidR="00954339" w:rsidRDefault="004F320B" w:rsidP="000B02CF">
            <w:pPr>
              <w:keepNext/>
              <w:keepLines/>
              <w:spacing w:before="60" w:after="60" w:line="240" w:lineRule="auto"/>
              <w:ind w:firstLine="0"/>
              <w:contextualSpacing w:val="0"/>
            </w:pPr>
            <w:r>
              <w:t>2016</w:t>
            </w:r>
          </w:p>
        </w:tc>
        <w:tc>
          <w:tcPr>
            <w:tcW w:w="2048" w:type="pct"/>
          </w:tcPr>
          <w:p w14:paraId="7A69479E" w14:textId="51873666" w:rsidR="00954339" w:rsidRDefault="004F320B" w:rsidP="000B02CF">
            <w:pPr>
              <w:keepNext/>
              <w:keepLine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Training to Work 4</w:t>
            </w:r>
          </w:p>
        </w:tc>
        <w:tc>
          <w:tcPr>
            <w:tcW w:w="1181" w:type="pct"/>
          </w:tcPr>
          <w:p w14:paraId="33ED62B9" w14:textId="4FD7ABE9" w:rsidR="00954339" w:rsidRDefault="004F320B" w:rsidP="009C4BD2">
            <w:pPr>
              <w:keepNext/>
              <w:keepLines/>
              <w:tabs>
                <w:tab w:val="decimal" w:pos="1162"/>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17</w:t>
            </w:r>
          </w:p>
        </w:tc>
        <w:tc>
          <w:tcPr>
            <w:tcW w:w="1181" w:type="pct"/>
          </w:tcPr>
          <w:p w14:paraId="34F12375" w14:textId="642AC31E" w:rsidR="00954339" w:rsidRDefault="007D0967" w:rsidP="00A22A40">
            <w:pPr>
              <w:keepNext/>
              <w:keepLines/>
              <w:tabs>
                <w:tab w:val="decimal" w:pos="1201"/>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17</w:t>
            </w:r>
          </w:p>
        </w:tc>
      </w:tr>
      <w:tr w:rsidR="00A22A40" w14:paraId="38D61AA6" w14:textId="77777777" w:rsidTr="009C4BD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Pr>
          <w:p w14:paraId="2A31D54B" w14:textId="0B2F44B4" w:rsidR="00954339" w:rsidRDefault="004F320B" w:rsidP="000B02CF">
            <w:pPr>
              <w:keepNext/>
              <w:keepLines/>
              <w:spacing w:before="60" w:after="60" w:line="240" w:lineRule="auto"/>
              <w:ind w:firstLine="0"/>
              <w:contextualSpacing w:val="0"/>
            </w:pPr>
            <w:r>
              <w:t>2017</w:t>
            </w:r>
          </w:p>
        </w:tc>
        <w:tc>
          <w:tcPr>
            <w:tcW w:w="2048" w:type="pct"/>
          </w:tcPr>
          <w:p w14:paraId="54D062E1" w14:textId="4B3EC11E" w:rsidR="00954339" w:rsidRDefault="004F320B" w:rsidP="000B02CF">
            <w:pPr>
              <w:keepNext/>
              <w:keepLine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RP CBO</w:t>
            </w:r>
          </w:p>
        </w:tc>
        <w:tc>
          <w:tcPr>
            <w:tcW w:w="1181" w:type="pct"/>
          </w:tcPr>
          <w:p w14:paraId="596E3A43" w14:textId="0B261A9D" w:rsidR="00954339" w:rsidRDefault="004F320B" w:rsidP="009C4BD2">
            <w:pPr>
              <w:keepNext/>
              <w:keepLines/>
              <w:tabs>
                <w:tab w:val="decimal" w:pos="1162"/>
              </w:tab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23</w:t>
            </w:r>
          </w:p>
        </w:tc>
        <w:tc>
          <w:tcPr>
            <w:tcW w:w="1181" w:type="pct"/>
          </w:tcPr>
          <w:p w14:paraId="74BE0516" w14:textId="578C3967" w:rsidR="00954339" w:rsidRDefault="007D0967" w:rsidP="00A22A40">
            <w:pPr>
              <w:keepNext/>
              <w:keepLines/>
              <w:tabs>
                <w:tab w:val="decimal" w:pos="1201"/>
              </w:tab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23</w:t>
            </w:r>
          </w:p>
        </w:tc>
      </w:tr>
      <w:tr w:rsidR="00A22A40" w14:paraId="2C0DA8D8" w14:textId="77777777" w:rsidTr="009C4B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Pr>
          <w:p w14:paraId="08C91D50" w14:textId="2F6B619E" w:rsidR="00954339" w:rsidRDefault="004F320B" w:rsidP="000B02CF">
            <w:pPr>
              <w:keepNext/>
              <w:keepLines/>
              <w:spacing w:before="60" w:after="60" w:line="240" w:lineRule="auto"/>
              <w:ind w:firstLine="0"/>
              <w:contextualSpacing w:val="0"/>
            </w:pPr>
            <w:r>
              <w:t>2017</w:t>
            </w:r>
          </w:p>
        </w:tc>
        <w:tc>
          <w:tcPr>
            <w:tcW w:w="2048" w:type="pct"/>
          </w:tcPr>
          <w:p w14:paraId="267632B9" w14:textId="4183827A" w:rsidR="00954339" w:rsidRDefault="004F320B" w:rsidP="000B02CF">
            <w:pPr>
              <w:keepNext/>
              <w:keepLine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RP Intermediary</w:t>
            </w:r>
          </w:p>
        </w:tc>
        <w:tc>
          <w:tcPr>
            <w:tcW w:w="1181" w:type="pct"/>
          </w:tcPr>
          <w:p w14:paraId="1F84A093" w14:textId="7A7239F3" w:rsidR="00954339" w:rsidRDefault="004F320B" w:rsidP="009C4BD2">
            <w:pPr>
              <w:keepNext/>
              <w:keepLines/>
              <w:tabs>
                <w:tab w:val="decimal" w:pos="1162"/>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9</w:t>
            </w:r>
          </w:p>
        </w:tc>
        <w:tc>
          <w:tcPr>
            <w:tcW w:w="1181" w:type="pct"/>
          </w:tcPr>
          <w:p w14:paraId="3E10F82D" w14:textId="045921DA" w:rsidR="00954339" w:rsidRDefault="003B35CC" w:rsidP="00A22A40">
            <w:pPr>
              <w:keepNext/>
              <w:keepLines/>
              <w:tabs>
                <w:tab w:val="decimal" w:pos="1201"/>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42</w:t>
            </w:r>
          </w:p>
        </w:tc>
      </w:tr>
      <w:tr w:rsidR="00A22A40" w14:paraId="6CE5B49C" w14:textId="77777777" w:rsidTr="009C4BD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Borders>
              <w:bottom w:val="nil"/>
            </w:tcBorders>
          </w:tcPr>
          <w:p w14:paraId="23133FC9" w14:textId="458CB507" w:rsidR="00954339" w:rsidRDefault="004F320B" w:rsidP="000B02CF">
            <w:pPr>
              <w:keepNext/>
              <w:keepLines/>
              <w:spacing w:before="60" w:after="60" w:line="240" w:lineRule="auto"/>
              <w:ind w:firstLine="0"/>
              <w:contextualSpacing w:val="0"/>
            </w:pPr>
            <w:r>
              <w:t>2018</w:t>
            </w:r>
          </w:p>
        </w:tc>
        <w:tc>
          <w:tcPr>
            <w:tcW w:w="2048" w:type="pct"/>
            <w:tcBorders>
              <w:bottom w:val="nil"/>
            </w:tcBorders>
          </w:tcPr>
          <w:p w14:paraId="3482C947" w14:textId="6D314F58" w:rsidR="00954339" w:rsidRDefault="004F320B" w:rsidP="000B02CF">
            <w:pPr>
              <w:keepNext/>
              <w:keepLine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RP CBO</w:t>
            </w:r>
          </w:p>
        </w:tc>
        <w:tc>
          <w:tcPr>
            <w:tcW w:w="1181" w:type="pct"/>
            <w:tcBorders>
              <w:bottom w:val="nil"/>
            </w:tcBorders>
          </w:tcPr>
          <w:p w14:paraId="187078AB" w14:textId="52C643D2" w:rsidR="00954339" w:rsidRDefault="00C779D4" w:rsidP="009C4BD2">
            <w:pPr>
              <w:keepNext/>
              <w:keepLines/>
              <w:tabs>
                <w:tab w:val="decimal" w:pos="1162"/>
              </w:tab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3</w:t>
            </w:r>
            <w:r w:rsidR="00082C0B">
              <w:t>2</w:t>
            </w:r>
          </w:p>
        </w:tc>
        <w:tc>
          <w:tcPr>
            <w:tcW w:w="1181" w:type="pct"/>
            <w:tcBorders>
              <w:bottom w:val="nil"/>
            </w:tcBorders>
          </w:tcPr>
          <w:p w14:paraId="2DD203BA" w14:textId="24736226" w:rsidR="00954339" w:rsidRDefault="00082C0B" w:rsidP="00A22A40">
            <w:pPr>
              <w:keepNext/>
              <w:keepLines/>
              <w:tabs>
                <w:tab w:val="decimal" w:pos="1201"/>
              </w:tab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32</w:t>
            </w:r>
          </w:p>
        </w:tc>
      </w:tr>
      <w:tr w:rsidR="00A22A40" w14:paraId="5AA25C33" w14:textId="77777777" w:rsidTr="009C4B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Borders>
              <w:bottom w:val="single" w:sz="4" w:space="0" w:color="auto"/>
            </w:tcBorders>
          </w:tcPr>
          <w:p w14:paraId="434EADCC" w14:textId="4209A416" w:rsidR="00954339" w:rsidRDefault="004F320B" w:rsidP="000B02CF">
            <w:pPr>
              <w:keepNext/>
              <w:keepLines/>
              <w:spacing w:before="60" w:after="60" w:line="240" w:lineRule="auto"/>
              <w:ind w:firstLine="0"/>
              <w:contextualSpacing w:val="0"/>
            </w:pPr>
            <w:r>
              <w:t>2018</w:t>
            </w:r>
          </w:p>
        </w:tc>
        <w:tc>
          <w:tcPr>
            <w:tcW w:w="2048" w:type="pct"/>
            <w:tcBorders>
              <w:bottom w:val="single" w:sz="4" w:space="0" w:color="auto"/>
            </w:tcBorders>
          </w:tcPr>
          <w:p w14:paraId="3C6E3EF4" w14:textId="17BDD8AF" w:rsidR="00954339" w:rsidRDefault="004F320B" w:rsidP="000B02CF">
            <w:pPr>
              <w:keepNext/>
              <w:keepLine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RP Intermediary</w:t>
            </w:r>
          </w:p>
        </w:tc>
        <w:tc>
          <w:tcPr>
            <w:tcW w:w="1181" w:type="pct"/>
            <w:tcBorders>
              <w:bottom w:val="single" w:sz="4" w:space="0" w:color="auto"/>
            </w:tcBorders>
          </w:tcPr>
          <w:p w14:paraId="6C71FA4B" w14:textId="770FC3E5" w:rsidR="00954339" w:rsidRDefault="00C779D4" w:rsidP="009C4BD2">
            <w:pPr>
              <w:keepNext/>
              <w:keepLines/>
              <w:tabs>
                <w:tab w:val="decimal" w:pos="1162"/>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9</w:t>
            </w:r>
          </w:p>
        </w:tc>
        <w:tc>
          <w:tcPr>
            <w:tcW w:w="1181" w:type="pct"/>
            <w:tcBorders>
              <w:bottom w:val="single" w:sz="4" w:space="0" w:color="auto"/>
            </w:tcBorders>
          </w:tcPr>
          <w:p w14:paraId="6B9BFF69" w14:textId="5F285E34" w:rsidR="00954339" w:rsidRDefault="00C779D4" w:rsidP="00A22A40">
            <w:pPr>
              <w:keepNext/>
              <w:keepLines/>
              <w:tabs>
                <w:tab w:val="decimal" w:pos="1201"/>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t>39</w:t>
            </w:r>
          </w:p>
        </w:tc>
      </w:tr>
      <w:tr w:rsidR="00A22A40" w:rsidRPr="009C4BD2" w14:paraId="5E98215E" w14:textId="77777777" w:rsidTr="009C4BD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Borders>
              <w:top w:val="single" w:sz="4" w:space="0" w:color="auto"/>
            </w:tcBorders>
          </w:tcPr>
          <w:p w14:paraId="3BEA763C" w14:textId="77777777" w:rsidR="00262DD1" w:rsidRPr="009C4BD2" w:rsidRDefault="00262DD1" w:rsidP="000B02CF">
            <w:pPr>
              <w:keepNext/>
              <w:keepLines/>
              <w:spacing w:before="60" w:after="60" w:line="240" w:lineRule="auto"/>
              <w:ind w:firstLine="0"/>
              <w:contextualSpacing w:val="0"/>
              <w:rPr>
                <w:b/>
              </w:rPr>
            </w:pPr>
          </w:p>
        </w:tc>
        <w:tc>
          <w:tcPr>
            <w:tcW w:w="2048" w:type="pct"/>
            <w:tcBorders>
              <w:top w:val="single" w:sz="4" w:space="0" w:color="auto"/>
            </w:tcBorders>
          </w:tcPr>
          <w:p w14:paraId="2CC6AA66" w14:textId="0D44FC6D" w:rsidR="00262DD1" w:rsidRPr="009C4BD2" w:rsidRDefault="00262DD1" w:rsidP="000B02CF">
            <w:pPr>
              <w:keepNext/>
              <w:keepLine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rPr>
                <w:b/>
              </w:rPr>
            </w:pPr>
            <w:r w:rsidRPr="009C4BD2">
              <w:rPr>
                <w:b/>
              </w:rPr>
              <w:t>Totals</w:t>
            </w:r>
          </w:p>
        </w:tc>
        <w:tc>
          <w:tcPr>
            <w:tcW w:w="1181" w:type="pct"/>
            <w:tcBorders>
              <w:top w:val="single" w:sz="4" w:space="0" w:color="auto"/>
            </w:tcBorders>
          </w:tcPr>
          <w:p w14:paraId="5C83D349" w14:textId="692E72D6" w:rsidR="00262DD1" w:rsidRPr="009C4BD2" w:rsidRDefault="00262DD1" w:rsidP="009C4BD2">
            <w:pPr>
              <w:keepNext/>
              <w:keepLines/>
              <w:tabs>
                <w:tab w:val="decimal" w:pos="1162"/>
              </w:tab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rPr>
                <w:b/>
              </w:rPr>
            </w:pPr>
            <w:r w:rsidRPr="009C4BD2">
              <w:rPr>
                <w:b/>
              </w:rPr>
              <w:t>11</w:t>
            </w:r>
            <w:r w:rsidR="00082C0B" w:rsidRPr="009C4BD2">
              <w:rPr>
                <w:b/>
              </w:rPr>
              <w:t>9</w:t>
            </w:r>
          </w:p>
        </w:tc>
        <w:tc>
          <w:tcPr>
            <w:tcW w:w="1181" w:type="pct"/>
            <w:tcBorders>
              <w:top w:val="single" w:sz="4" w:space="0" w:color="auto"/>
            </w:tcBorders>
          </w:tcPr>
          <w:p w14:paraId="484D7541" w14:textId="4D97D535" w:rsidR="00262DD1" w:rsidRPr="009C4BD2" w:rsidRDefault="00747D16" w:rsidP="00A22A40">
            <w:pPr>
              <w:keepNext/>
              <w:keepLines/>
              <w:tabs>
                <w:tab w:val="decimal" w:pos="1201"/>
              </w:tab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rPr>
                <w:rStyle w:val="CommentReference"/>
                <w:b/>
                <w:sz w:val="18"/>
                <w:szCs w:val="18"/>
              </w:rPr>
            </w:pPr>
            <w:r w:rsidRPr="009C4BD2">
              <w:rPr>
                <w:rStyle w:val="CommentReference"/>
                <w:b/>
                <w:sz w:val="18"/>
                <w:szCs w:val="18"/>
              </w:rPr>
              <w:t>201</w:t>
            </w:r>
          </w:p>
        </w:tc>
      </w:tr>
    </w:tbl>
    <w:p w14:paraId="1FC4AFAF" w14:textId="694BC91C" w:rsidR="00954339" w:rsidRPr="008713C0" w:rsidRDefault="005C56CE" w:rsidP="000B02CF">
      <w:pPr>
        <w:pStyle w:val="TableSignificanceCaption"/>
        <w:spacing w:after="240"/>
      </w:pPr>
      <w:r>
        <w:t>CBO = community-based organization.</w:t>
      </w:r>
      <w:r w:rsidR="00747D16">
        <w:t xml:space="preserve"> RDP = </w:t>
      </w:r>
      <w:r w:rsidR="00747D16" w:rsidRPr="00747D16">
        <w:t>Reentry Demonstration Project</w:t>
      </w:r>
      <w:r w:rsidR="00747D16">
        <w:t xml:space="preserve">. </w:t>
      </w:r>
      <w:r w:rsidR="00747D16" w:rsidRPr="00747D16">
        <w:t>RP</w:t>
      </w:r>
      <w:r w:rsidR="00747D16">
        <w:t xml:space="preserve"> = Reentry Project.</w:t>
      </w:r>
    </w:p>
    <w:p w14:paraId="48C4E0B0" w14:textId="083101B3" w:rsidR="008713C0" w:rsidRPr="008713C0" w:rsidRDefault="008713C0" w:rsidP="008713C0">
      <w:pPr>
        <w:spacing w:after="240" w:line="240" w:lineRule="auto"/>
        <w:ind w:firstLine="360"/>
      </w:pPr>
      <w:r w:rsidRPr="008713C0">
        <w:rPr>
          <w:b/>
        </w:rPr>
        <w:t xml:space="preserve">Implementation study grantee survey. </w:t>
      </w:r>
      <w:r w:rsidRPr="008713C0">
        <w:t xml:space="preserve">The goal of the implementation study grantee survey is to gather common information about organizational settings and intervention characteristics for REO grantees. The </w:t>
      </w:r>
      <w:r w:rsidR="001341FC">
        <w:t xml:space="preserve">survey will be distributed to an executive director from </w:t>
      </w:r>
      <w:r w:rsidR="00BA2B11">
        <w:t xml:space="preserve">the census of </w:t>
      </w:r>
      <w:r w:rsidR="001C32A1">
        <w:t>9</w:t>
      </w:r>
      <w:r w:rsidR="00C12C9F">
        <w:t>7</w:t>
      </w:r>
      <w:r w:rsidR="001C32A1">
        <w:t xml:space="preserve"> </w:t>
      </w:r>
      <w:r w:rsidR="009A17A7">
        <w:t>grantee</w:t>
      </w:r>
      <w:r w:rsidR="006B3AAC">
        <w:t>s</w:t>
      </w:r>
      <w:r w:rsidR="009A17A7">
        <w:t xml:space="preserve"> that received </w:t>
      </w:r>
      <w:r w:rsidR="005972CE">
        <w:t xml:space="preserve">REO </w:t>
      </w:r>
      <w:r w:rsidR="009A17A7">
        <w:t>grant</w:t>
      </w:r>
      <w:r w:rsidR="005972CE">
        <w:t>s</w:t>
      </w:r>
      <w:r w:rsidR="009A17A7">
        <w:t xml:space="preserve"> in 2016, 2017, or 2018</w:t>
      </w:r>
      <w:r w:rsidR="006B3AAC" w:rsidRPr="006B3AAC">
        <w:t>.</w:t>
      </w:r>
      <w:r w:rsidR="006B3AAC">
        <w:t xml:space="preserve"> </w:t>
      </w:r>
      <w:r w:rsidRPr="008713C0">
        <w:t>No statistical methods will be used in selecting grantee survey respondents</w:t>
      </w:r>
      <w:r w:rsidR="00E952B5">
        <w:t xml:space="preserve"> because all grantees that received grant awards during years 2016, 2017, and 2018 will be included in the survey fielding effort</w:t>
      </w:r>
      <w:r w:rsidRPr="008713C0">
        <w:t xml:space="preserve">. The study team anticipates that the survey will take an average of 20 minutes to complete. Therefore, a total of </w:t>
      </w:r>
      <w:r w:rsidR="00E2755B">
        <w:t>97 grantees</w:t>
      </w:r>
      <w:r w:rsidRPr="008713C0">
        <w:t xml:space="preserve"> will be included in the survey response effort. The study team plans to administer the survey to the universe of program managers and anticipates a 100 percent response rate for the survey. </w:t>
      </w:r>
      <w:r w:rsidR="00E2755B">
        <w:t xml:space="preserve">Participation in the evaluation is a condition of grant award from DOL allowing for a 100 percent response rate. </w:t>
      </w:r>
    </w:p>
    <w:p w14:paraId="3C0885CD" w14:textId="2674EFC6" w:rsidR="00541E85" w:rsidRDefault="00716DE0" w:rsidP="008713C0">
      <w:pPr>
        <w:spacing w:after="240" w:line="240" w:lineRule="auto"/>
        <w:ind w:firstLine="360"/>
      </w:pPr>
      <w:r>
        <w:rPr>
          <w:b/>
        </w:rPr>
        <w:t xml:space="preserve">Impact study </w:t>
      </w:r>
      <w:r w:rsidR="006D7005">
        <w:rPr>
          <w:b/>
        </w:rPr>
        <w:t>BIF</w:t>
      </w:r>
      <w:r w:rsidR="008713C0" w:rsidRPr="008713C0">
        <w:t xml:space="preserve">. </w:t>
      </w:r>
      <w:r w:rsidR="00541E85">
        <w:t>S</w:t>
      </w:r>
      <w:r w:rsidR="00541E85" w:rsidRPr="00541E85">
        <w:t>tudy design considerations, as well as resources for data collection and analysis, will influence the number of grantees included in the impact study.  DOL and the study team will determine which grantees will be included.  Given the study’s resources, it is expected that no more than 3,780 sample members will be enrolled in the impact study.  If the most suitable grantees for inclusion in the impact study are expected to serve a relatively large number of participants, then there will be fewer grantees in the impact study than if the most suitable grantees for inclusion in the impact study serve a relatively small number of participants.</w:t>
      </w:r>
      <w:r w:rsidR="00541E85">
        <w:t xml:space="preserve">  Thus, although up to 10 grantees might be included in the impact study, the number of grantees might be smaller.  </w:t>
      </w:r>
      <w:r w:rsidR="00541E85" w:rsidRPr="00541E85">
        <w:t xml:space="preserve">  </w:t>
      </w:r>
    </w:p>
    <w:p w14:paraId="6163843C" w14:textId="3BC412FA" w:rsidR="008713C0" w:rsidRPr="008713C0" w:rsidRDefault="008713C0" w:rsidP="008713C0">
      <w:pPr>
        <w:spacing w:after="240" w:line="240" w:lineRule="auto"/>
        <w:ind w:firstLine="360"/>
      </w:pPr>
      <w:r w:rsidRPr="008713C0">
        <w:t xml:space="preserve">In sites selected for the impact study, </w:t>
      </w:r>
      <w:r w:rsidR="00541E85">
        <w:t xml:space="preserve">all </w:t>
      </w:r>
      <w:r w:rsidRPr="008713C0">
        <w:t xml:space="preserve">applicants for program services </w:t>
      </w:r>
      <w:r w:rsidR="00541E85">
        <w:t xml:space="preserve">(after OMB approval is received and study procedures commence at the site) </w:t>
      </w:r>
      <w:r w:rsidRPr="008713C0">
        <w:t xml:space="preserve">will complete a </w:t>
      </w:r>
      <w:r w:rsidR="006D7005">
        <w:t>B</w:t>
      </w:r>
      <w:r w:rsidRPr="008713C0">
        <w:t xml:space="preserve">IF before they are randomly assigned to either a program group that will be able to receive REO services or a control group that will not. The universe of REO study participants (which will include program and control group members) across </w:t>
      </w:r>
      <w:r w:rsidR="00C86C08">
        <w:t xml:space="preserve">up to </w:t>
      </w:r>
      <w:r w:rsidRPr="008713C0">
        <w:t xml:space="preserve">10 </w:t>
      </w:r>
      <w:r w:rsidR="00E952B5">
        <w:t xml:space="preserve">impact study </w:t>
      </w:r>
      <w:r w:rsidR="00142821">
        <w:t>sites</w:t>
      </w:r>
      <w:r w:rsidR="00142821" w:rsidRPr="008713C0">
        <w:t xml:space="preserve"> </w:t>
      </w:r>
      <w:r w:rsidRPr="008713C0">
        <w:t>is estimated to be 3,780. The study team anticipates collecting information on study participants’ characteristics for 100 percent of the REO study participants</w:t>
      </w:r>
      <w:r w:rsidRPr="008713C0">
        <w:rPr>
          <w:rFonts w:ascii="Segoe UI" w:hAnsi="Segoe UI" w:cs="Segoe UI"/>
          <w:color w:val="1A1A1A"/>
          <w:sz w:val="20"/>
        </w:rPr>
        <w:t>.</w:t>
      </w:r>
      <w:r w:rsidR="00E2755B">
        <w:rPr>
          <w:rFonts w:ascii="Segoe UI" w:hAnsi="Segoe UI" w:cs="Segoe UI"/>
          <w:color w:val="1A1A1A"/>
          <w:sz w:val="20"/>
        </w:rPr>
        <w:t xml:space="preserve"> </w:t>
      </w:r>
      <w:r w:rsidR="00E2755B" w:rsidRPr="00F808C3">
        <w:t>The BIF form will be administered before enrollment into the study, allowing for a 100 percent response rate.</w:t>
      </w:r>
      <w:r w:rsidR="00E2755B">
        <w:rPr>
          <w:rFonts w:ascii="Segoe UI" w:hAnsi="Segoe UI" w:cs="Segoe UI"/>
          <w:color w:val="1A1A1A"/>
          <w:sz w:val="20"/>
        </w:rPr>
        <w:t xml:space="preserve"> </w:t>
      </w:r>
    </w:p>
    <w:p w14:paraId="1FCAED64" w14:textId="31C63577" w:rsidR="00EC2FD6" w:rsidRDefault="008713C0" w:rsidP="008713C0">
      <w:pPr>
        <w:spacing w:after="240" w:line="240" w:lineRule="auto"/>
      </w:pPr>
      <w:r w:rsidRPr="008713C0">
        <w:lastRenderedPageBreak/>
        <w:t>Table B.</w:t>
      </w:r>
      <w:r w:rsidR="006E761B">
        <w:t>2</w:t>
      </w:r>
      <w:r w:rsidRPr="008713C0">
        <w:t xml:space="preserve"> summarizes this information, including the sampling method, estimated sample sizes, and assumptions about response rates for each data collection activity and respondent type by site.</w:t>
      </w:r>
    </w:p>
    <w:p w14:paraId="4701E3DA" w14:textId="11DF86F8" w:rsidR="008713C0" w:rsidRPr="008713C0" w:rsidRDefault="008713C0" w:rsidP="001160D2">
      <w:pPr>
        <w:pStyle w:val="MarkforTableTitle"/>
      </w:pPr>
      <w:r w:rsidRPr="008713C0">
        <w:t>Table B.</w:t>
      </w:r>
      <w:r w:rsidR="00A863B9">
        <w:t>2</w:t>
      </w:r>
      <w:r w:rsidRPr="008713C0">
        <w:t>. Sampling and response rate assumptions, by data collection activity and respondent type</w:t>
      </w:r>
    </w:p>
    <w:tbl>
      <w:tblPr>
        <w:tblW w:w="4455" w:type="pct"/>
        <w:tblLayout w:type="fixed"/>
        <w:tblLook w:val="04A0" w:firstRow="1" w:lastRow="0" w:firstColumn="1" w:lastColumn="0" w:noHBand="0" w:noVBand="1"/>
      </w:tblPr>
      <w:tblGrid>
        <w:gridCol w:w="1540"/>
        <w:gridCol w:w="1123"/>
        <w:gridCol w:w="1384"/>
        <w:gridCol w:w="1075"/>
        <w:gridCol w:w="34"/>
        <w:gridCol w:w="1102"/>
        <w:gridCol w:w="58"/>
        <w:gridCol w:w="1049"/>
        <w:gridCol w:w="56"/>
        <w:gridCol w:w="1048"/>
        <w:gridCol w:w="63"/>
      </w:tblGrid>
      <w:tr w:rsidR="0002110B" w:rsidRPr="008713C0" w14:paraId="227C54E3" w14:textId="77777777" w:rsidTr="00763FF7">
        <w:trPr>
          <w:cantSplit/>
          <w:trHeight w:val="1000"/>
        </w:trPr>
        <w:tc>
          <w:tcPr>
            <w:tcW w:w="902" w:type="pct"/>
            <w:tcBorders>
              <w:top w:val="nil"/>
              <w:left w:val="nil"/>
              <w:right w:val="single" w:sz="4" w:space="0" w:color="FFFFFF" w:themeColor="background1"/>
            </w:tcBorders>
            <w:shd w:val="clear" w:color="auto" w:fill="6C6F70"/>
            <w:vAlign w:val="bottom"/>
            <w:hideMark/>
          </w:tcPr>
          <w:p w14:paraId="2E8F09D3" w14:textId="77777777" w:rsidR="0002110B" w:rsidRPr="00656D9F" w:rsidRDefault="0002110B" w:rsidP="000B02CF">
            <w:pPr>
              <w:pStyle w:val="TableHeaderLeft"/>
              <w:ind w:left="-43" w:right="-43"/>
              <w:rPr>
                <w:sz w:val="16"/>
                <w:szCs w:val="16"/>
              </w:rPr>
            </w:pPr>
            <w:r w:rsidRPr="00656D9F">
              <w:rPr>
                <w:sz w:val="16"/>
                <w:szCs w:val="16"/>
              </w:rPr>
              <w:t>Respondent type</w:t>
            </w:r>
          </w:p>
        </w:tc>
        <w:tc>
          <w:tcPr>
            <w:tcW w:w="658" w:type="pct"/>
            <w:tcBorders>
              <w:top w:val="nil"/>
              <w:left w:val="single" w:sz="4" w:space="0" w:color="FFFFFF" w:themeColor="background1"/>
              <w:right w:val="single" w:sz="4" w:space="0" w:color="FFFFFF" w:themeColor="background1"/>
            </w:tcBorders>
            <w:shd w:val="clear" w:color="auto" w:fill="6C6F70"/>
            <w:vAlign w:val="bottom"/>
            <w:hideMark/>
          </w:tcPr>
          <w:p w14:paraId="40789F25" w14:textId="77777777" w:rsidR="0002110B" w:rsidRPr="00656D9F" w:rsidRDefault="0002110B" w:rsidP="000B02CF">
            <w:pPr>
              <w:pStyle w:val="TableHeaderCenter"/>
              <w:ind w:left="-43" w:right="-43"/>
              <w:rPr>
                <w:sz w:val="16"/>
                <w:szCs w:val="16"/>
              </w:rPr>
            </w:pPr>
            <w:r w:rsidRPr="00656D9F">
              <w:rPr>
                <w:sz w:val="16"/>
                <w:szCs w:val="16"/>
              </w:rPr>
              <w:t>Sampling method</w:t>
            </w:r>
          </w:p>
        </w:tc>
        <w:tc>
          <w:tcPr>
            <w:tcW w:w="811" w:type="pct"/>
            <w:tcBorders>
              <w:top w:val="nil"/>
              <w:left w:val="single" w:sz="4" w:space="0" w:color="FFFFFF" w:themeColor="background1"/>
              <w:right w:val="single" w:sz="4" w:space="0" w:color="FFFFFF" w:themeColor="background1"/>
            </w:tcBorders>
            <w:shd w:val="clear" w:color="auto" w:fill="6C6F70"/>
            <w:vAlign w:val="bottom"/>
          </w:tcPr>
          <w:p w14:paraId="53EE9C33" w14:textId="5A867E59" w:rsidR="0002110B" w:rsidRPr="00656D9F" w:rsidRDefault="0002110B" w:rsidP="000B02CF">
            <w:pPr>
              <w:pStyle w:val="TableHeaderCenter"/>
              <w:ind w:left="-43" w:right="-43"/>
              <w:rPr>
                <w:sz w:val="16"/>
                <w:szCs w:val="16"/>
              </w:rPr>
            </w:pPr>
            <w:r w:rsidRPr="00656D9F">
              <w:rPr>
                <w:sz w:val="16"/>
                <w:szCs w:val="16"/>
              </w:rPr>
              <w:t>Universe of potential respondents</w:t>
            </w:r>
          </w:p>
        </w:tc>
        <w:tc>
          <w:tcPr>
            <w:tcW w:w="630" w:type="pct"/>
            <w:tcBorders>
              <w:top w:val="nil"/>
              <w:left w:val="single" w:sz="4" w:space="0" w:color="FFFFFF" w:themeColor="background1"/>
              <w:right w:val="single" w:sz="4" w:space="0" w:color="FFFFFF" w:themeColor="background1"/>
            </w:tcBorders>
            <w:shd w:val="clear" w:color="auto" w:fill="6C6F70"/>
            <w:vAlign w:val="bottom"/>
            <w:hideMark/>
          </w:tcPr>
          <w:p w14:paraId="6E7E30D2" w14:textId="474982F4" w:rsidR="0002110B" w:rsidRPr="00656D9F" w:rsidRDefault="0002110B" w:rsidP="000B02CF">
            <w:pPr>
              <w:pStyle w:val="TableHeaderCenter"/>
              <w:ind w:left="-43" w:right="-43"/>
              <w:rPr>
                <w:sz w:val="16"/>
                <w:szCs w:val="16"/>
              </w:rPr>
            </w:pPr>
            <w:r w:rsidRPr="00656D9F">
              <w:rPr>
                <w:sz w:val="16"/>
                <w:szCs w:val="16"/>
              </w:rPr>
              <w:t>Estimated selected sample</w:t>
            </w:r>
          </w:p>
        </w:tc>
        <w:tc>
          <w:tcPr>
            <w:tcW w:w="700" w:type="pct"/>
            <w:gridSpan w:val="3"/>
            <w:tcBorders>
              <w:top w:val="nil"/>
              <w:left w:val="single" w:sz="4" w:space="0" w:color="FFFFFF" w:themeColor="background1"/>
              <w:right w:val="single" w:sz="4" w:space="0" w:color="FFFFFF" w:themeColor="background1"/>
            </w:tcBorders>
            <w:shd w:val="clear" w:color="auto" w:fill="6C6F70"/>
            <w:vAlign w:val="bottom"/>
            <w:hideMark/>
          </w:tcPr>
          <w:p w14:paraId="4BB27CF1" w14:textId="77777777" w:rsidR="0002110B" w:rsidRPr="00656D9F" w:rsidRDefault="0002110B" w:rsidP="000B02CF">
            <w:pPr>
              <w:pStyle w:val="TableHeaderCenter"/>
              <w:ind w:left="-43" w:right="-43"/>
              <w:rPr>
                <w:sz w:val="16"/>
                <w:szCs w:val="16"/>
              </w:rPr>
            </w:pPr>
            <w:r w:rsidRPr="00656D9F">
              <w:rPr>
                <w:sz w:val="16"/>
                <w:szCs w:val="16"/>
              </w:rPr>
              <w:t>Average responses (per site)</w:t>
            </w:r>
          </w:p>
        </w:tc>
        <w:tc>
          <w:tcPr>
            <w:tcW w:w="648" w:type="pct"/>
            <w:gridSpan w:val="2"/>
            <w:tcBorders>
              <w:top w:val="nil"/>
              <w:left w:val="single" w:sz="4" w:space="0" w:color="FFFFFF" w:themeColor="background1"/>
              <w:right w:val="single" w:sz="4" w:space="0" w:color="FFFFFF" w:themeColor="background1"/>
            </w:tcBorders>
            <w:shd w:val="clear" w:color="auto" w:fill="6C6F70"/>
            <w:vAlign w:val="bottom"/>
            <w:hideMark/>
          </w:tcPr>
          <w:p w14:paraId="196FFC33" w14:textId="77777777" w:rsidR="0002110B" w:rsidRPr="00656D9F" w:rsidRDefault="0002110B" w:rsidP="000B02CF">
            <w:pPr>
              <w:pStyle w:val="TableHeaderCenter"/>
              <w:ind w:left="-43" w:right="-43"/>
              <w:rPr>
                <w:sz w:val="16"/>
                <w:szCs w:val="16"/>
              </w:rPr>
            </w:pPr>
            <w:r w:rsidRPr="00656D9F">
              <w:rPr>
                <w:sz w:val="16"/>
                <w:szCs w:val="16"/>
              </w:rPr>
              <w:t>Estimated responses per respondent</w:t>
            </w:r>
          </w:p>
        </w:tc>
        <w:tc>
          <w:tcPr>
            <w:tcW w:w="650" w:type="pct"/>
            <w:gridSpan w:val="2"/>
            <w:tcBorders>
              <w:top w:val="nil"/>
              <w:left w:val="single" w:sz="4" w:space="0" w:color="FFFFFF" w:themeColor="background1"/>
              <w:right w:val="nil"/>
            </w:tcBorders>
            <w:shd w:val="clear" w:color="auto" w:fill="6C6F70"/>
            <w:vAlign w:val="bottom"/>
            <w:hideMark/>
          </w:tcPr>
          <w:p w14:paraId="782AF16A" w14:textId="77777777" w:rsidR="0002110B" w:rsidRPr="00656D9F" w:rsidRDefault="0002110B" w:rsidP="000B02CF">
            <w:pPr>
              <w:pStyle w:val="TableHeaderCenter"/>
              <w:ind w:left="-43" w:right="-43"/>
              <w:rPr>
                <w:sz w:val="16"/>
                <w:szCs w:val="16"/>
              </w:rPr>
            </w:pPr>
            <w:r w:rsidRPr="00656D9F">
              <w:rPr>
                <w:sz w:val="16"/>
                <w:szCs w:val="16"/>
              </w:rPr>
              <w:t>Estimated responses (across sites)</w:t>
            </w:r>
          </w:p>
        </w:tc>
      </w:tr>
      <w:tr w:rsidR="00FD07AB" w:rsidRPr="00D91C6D" w14:paraId="78566BC8" w14:textId="77777777" w:rsidTr="0002110B">
        <w:trPr>
          <w:cantSplit/>
          <w:trHeight w:val="315"/>
        </w:trPr>
        <w:tc>
          <w:tcPr>
            <w:tcW w:w="5000" w:type="pct"/>
            <w:gridSpan w:val="11"/>
            <w:tcBorders>
              <w:top w:val="nil"/>
              <w:left w:val="nil"/>
              <w:bottom w:val="single" w:sz="2" w:space="0" w:color="BFBFBF" w:themeColor="background1" w:themeShade="BF"/>
              <w:right w:val="nil"/>
            </w:tcBorders>
            <w:vAlign w:val="bottom"/>
          </w:tcPr>
          <w:p w14:paraId="16D1592A" w14:textId="03EB3AB4" w:rsidR="00FD07AB" w:rsidRPr="00D91C6D" w:rsidRDefault="00FD07AB" w:rsidP="00FD07AB">
            <w:pPr>
              <w:spacing w:before="40" w:after="40" w:line="240" w:lineRule="auto"/>
              <w:ind w:firstLine="0"/>
              <w:jc w:val="center"/>
              <w:rPr>
                <w:rFonts w:ascii="Arial" w:hAnsi="Arial" w:cs="Arial"/>
                <w:b/>
                <w:bCs/>
                <w:color w:val="000000"/>
                <w:sz w:val="18"/>
                <w:szCs w:val="18"/>
              </w:rPr>
            </w:pPr>
            <w:r>
              <w:rPr>
                <w:rFonts w:ascii="Arial" w:hAnsi="Arial" w:cs="Arial"/>
                <w:b/>
                <w:bCs/>
                <w:color w:val="000000"/>
                <w:sz w:val="18"/>
                <w:szCs w:val="18"/>
              </w:rPr>
              <w:t>Grantee Survey</w:t>
            </w:r>
          </w:p>
        </w:tc>
      </w:tr>
      <w:tr w:rsidR="0002110B" w:rsidRPr="008713C0" w14:paraId="682AA1A7" w14:textId="77777777" w:rsidTr="00763FF7">
        <w:trPr>
          <w:gridAfter w:val="1"/>
          <w:wAfter w:w="36" w:type="pct"/>
          <w:cantSplit/>
          <w:trHeight w:val="538"/>
        </w:trPr>
        <w:tc>
          <w:tcPr>
            <w:tcW w:w="902" w:type="pct"/>
            <w:tcBorders>
              <w:top w:val="nil"/>
              <w:left w:val="nil"/>
              <w:bottom w:val="single" w:sz="2" w:space="0" w:color="BFBFBF" w:themeColor="background1" w:themeShade="BF"/>
              <w:right w:val="nil"/>
            </w:tcBorders>
            <w:shd w:val="clear" w:color="auto" w:fill="auto"/>
            <w:vAlign w:val="center"/>
            <w:hideMark/>
          </w:tcPr>
          <w:p w14:paraId="2671DB75" w14:textId="77777777" w:rsidR="0002110B" w:rsidRPr="008713C0" w:rsidRDefault="0002110B" w:rsidP="001E2ED2">
            <w:pPr>
              <w:spacing w:before="40" w:after="40" w:line="240" w:lineRule="auto"/>
              <w:ind w:firstLine="0"/>
              <w:rPr>
                <w:rFonts w:ascii="Arial" w:hAnsi="Arial" w:cs="Arial"/>
                <w:b/>
                <w:bCs/>
                <w:color w:val="000000"/>
                <w:sz w:val="18"/>
                <w:szCs w:val="18"/>
              </w:rPr>
            </w:pPr>
            <w:r w:rsidRPr="008713C0">
              <w:rPr>
                <w:rFonts w:ascii="Arial" w:hAnsi="Arial" w:cs="Arial"/>
                <w:b/>
                <w:bCs/>
                <w:color w:val="000000"/>
                <w:sz w:val="18"/>
                <w:szCs w:val="18"/>
              </w:rPr>
              <w:t>Grantee survey respondents</w:t>
            </w:r>
            <w:r w:rsidRPr="008713C0">
              <w:rPr>
                <w:rFonts w:ascii="Arial" w:hAnsi="Arial" w:cs="Arial"/>
                <w:b/>
                <w:bCs/>
                <w:color w:val="000000"/>
                <w:sz w:val="18"/>
                <w:szCs w:val="18"/>
                <w:vertAlign w:val="superscript"/>
              </w:rPr>
              <w:t>a</w:t>
            </w:r>
          </w:p>
        </w:tc>
        <w:tc>
          <w:tcPr>
            <w:tcW w:w="658" w:type="pct"/>
            <w:tcBorders>
              <w:top w:val="nil"/>
              <w:left w:val="nil"/>
              <w:bottom w:val="single" w:sz="2" w:space="0" w:color="BFBFBF" w:themeColor="background1" w:themeShade="BF"/>
              <w:right w:val="nil"/>
            </w:tcBorders>
            <w:shd w:val="clear" w:color="auto" w:fill="auto"/>
            <w:vAlign w:val="center"/>
            <w:hideMark/>
          </w:tcPr>
          <w:p w14:paraId="78FCDE75" w14:textId="322236C5" w:rsidR="0002110B" w:rsidRPr="008713C0" w:rsidRDefault="0002110B" w:rsidP="001E2ED2">
            <w:pPr>
              <w:spacing w:before="40" w:after="40" w:line="240" w:lineRule="auto"/>
              <w:ind w:firstLine="0"/>
              <w:rPr>
                <w:rFonts w:ascii="Arial" w:hAnsi="Arial" w:cs="Arial"/>
                <w:color w:val="000000"/>
                <w:sz w:val="18"/>
                <w:szCs w:val="18"/>
              </w:rPr>
            </w:pPr>
            <w:r w:rsidRPr="008713C0">
              <w:rPr>
                <w:rFonts w:ascii="Arial" w:hAnsi="Arial" w:cs="Arial"/>
                <w:color w:val="000000"/>
                <w:sz w:val="18"/>
                <w:szCs w:val="18"/>
              </w:rPr>
              <w:t>Census</w:t>
            </w:r>
          </w:p>
        </w:tc>
        <w:tc>
          <w:tcPr>
            <w:tcW w:w="811" w:type="pct"/>
            <w:tcBorders>
              <w:top w:val="nil"/>
              <w:left w:val="nil"/>
              <w:bottom w:val="single" w:sz="2" w:space="0" w:color="BFBFBF" w:themeColor="background1" w:themeShade="BF"/>
              <w:right w:val="nil"/>
            </w:tcBorders>
            <w:vAlign w:val="center"/>
          </w:tcPr>
          <w:p w14:paraId="4554CBB7" w14:textId="13F804F4" w:rsidR="0002110B" w:rsidRDefault="0002110B" w:rsidP="00FE0DA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97</w:t>
            </w:r>
          </w:p>
        </w:tc>
        <w:tc>
          <w:tcPr>
            <w:tcW w:w="650" w:type="pct"/>
            <w:gridSpan w:val="2"/>
            <w:tcBorders>
              <w:top w:val="nil"/>
              <w:left w:val="nil"/>
              <w:bottom w:val="single" w:sz="2" w:space="0" w:color="BFBFBF" w:themeColor="background1" w:themeShade="BF"/>
              <w:right w:val="nil"/>
            </w:tcBorders>
            <w:shd w:val="clear" w:color="auto" w:fill="auto"/>
            <w:vAlign w:val="center"/>
            <w:hideMark/>
          </w:tcPr>
          <w:p w14:paraId="17EF2F3C" w14:textId="4044BB61" w:rsidR="0002110B" w:rsidRPr="008713C0" w:rsidRDefault="0002110B" w:rsidP="00C858F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97</w:t>
            </w:r>
          </w:p>
        </w:tc>
        <w:tc>
          <w:tcPr>
            <w:tcW w:w="646" w:type="pct"/>
            <w:tcBorders>
              <w:top w:val="nil"/>
              <w:left w:val="nil"/>
              <w:bottom w:val="single" w:sz="2" w:space="0" w:color="BFBFBF" w:themeColor="background1" w:themeShade="BF"/>
              <w:right w:val="nil"/>
            </w:tcBorders>
            <w:shd w:val="clear" w:color="auto" w:fill="auto"/>
            <w:vAlign w:val="center"/>
            <w:hideMark/>
          </w:tcPr>
          <w:p w14:paraId="1C197EF7" w14:textId="3AAF9DFC" w:rsidR="0002110B" w:rsidRPr="008713C0" w:rsidRDefault="0002110B" w:rsidP="000E75FE">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w:t>
            </w:r>
          </w:p>
        </w:tc>
        <w:tc>
          <w:tcPr>
            <w:tcW w:w="649" w:type="pct"/>
            <w:gridSpan w:val="2"/>
            <w:tcBorders>
              <w:top w:val="nil"/>
              <w:left w:val="nil"/>
              <w:bottom w:val="single" w:sz="2" w:space="0" w:color="BFBFBF" w:themeColor="background1" w:themeShade="BF"/>
              <w:right w:val="nil"/>
            </w:tcBorders>
            <w:shd w:val="clear" w:color="auto" w:fill="auto"/>
            <w:vAlign w:val="center"/>
            <w:hideMark/>
          </w:tcPr>
          <w:p w14:paraId="19289257" w14:textId="1707F9EE" w:rsidR="0002110B" w:rsidRPr="008713C0" w:rsidRDefault="0002110B" w:rsidP="001E2ED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w:t>
            </w:r>
          </w:p>
        </w:tc>
        <w:tc>
          <w:tcPr>
            <w:tcW w:w="647" w:type="pct"/>
            <w:gridSpan w:val="2"/>
            <w:tcBorders>
              <w:top w:val="nil"/>
              <w:left w:val="nil"/>
              <w:bottom w:val="single" w:sz="2" w:space="0" w:color="BFBFBF" w:themeColor="background1" w:themeShade="BF"/>
              <w:right w:val="nil"/>
            </w:tcBorders>
            <w:shd w:val="clear" w:color="auto" w:fill="auto"/>
            <w:vAlign w:val="center"/>
            <w:hideMark/>
          </w:tcPr>
          <w:p w14:paraId="4482C775" w14:textId="5E2A8F0A" w:rsidR="0002110B" w:rsidRPr="008713C0" w:rsidRDefault="0002110B" w:rsidP="000E75FE">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97</w:t>
            </w:r>
          </w:p>
        </w:tc>
      </w:tr>
      <w:tr w:rsidR="00FD07AB" w:rsidRPr="00D91C6D" w14:paraId="36A61107" w14:textId="77777777" w:rsidTr="0002110B">
        <w:trPr>
          <w:cantSplit/>
          <w:trHeight w:val="364"/>
        </w:trPr>
        <w:tc>
          <w:tcPr>
            <w:tcW w:w="5000" w:type="pct"/>
            <w:gridSpan w:val="11"/>
            <w:tcBorders>
              <w:top w:val="nil"/>
              <w:left w:val="nil"/>
              <w:bottom w:val="single" w:sz="2" w:space="0" w:color="BFBFBF" w:themeColor="background1" w:themeShade="BF"/>
              <w:right w:val="nil"/>
            </w:tcBorders>
            <w:vAlign w:val="bottom"/>
          </w:tcPr>
          <w:p w14:paraId="71FDF4D2" w14:textId="350F5349" w:rsidR="00FD07AB" w:rsidRPr="00D91C6D" w:rsidRDefault="00FD07AB" w:rsidP="00FD07AB">
            <w:pPr>
              <w:spacing w:before="40" w:after="40" w:line="240" w:lineRule="auto"/>
              <w:ind w:firstLine="0"/>
              <w:jc w:val="center"/>
              <w:rPr>
                <w:rFonts w:ascii="Arial" w:hAnsi="Arial" w:cs="Arial"/>
                <w:b/>
                <w:bCs/>
                <w:color w:val="000000"/>
                <w:sz w:val="18"/>
                <w:szCs w:val="18"/>
              </w:rPr>
            </w:pPr>
            <w:r>
              <w:rPr>
                <w:rFonts w:ascii="Arial" w:hAnsi="Arial" w:cs="Arial"/>
                <w:b/>
                <w:bCs/>
                <w:color w:val="000000"/>
                <w:sz w:val="18"/>
                <w:szCs w:val="18"/>
              </w:rPr>
              <w:t>Impact Study Baseline Information Form</w:t>
            </w:r>
          </w:p>
        </w:tc>
      </w:tr>
      <w:tr w:rsidR="0002110B" w:rsidRPr="008713C0" w14:paraId="24F50272" w14:textId="77777777" w:rsidTr="00763FF7">
        <w:trPr>
          <w:gridAfter w:val="1"/>
          <w:wAfter w:w="36" w:type="pct"/>
          <w:cantSplit/>
          <w:trHeight w:val="323"/>
        </w:trPr>
        <w:tc>
          <w:tcPr>
            <w:tcW w:w="902" w:type="pct"/>
            <w:tcBorders>
              <w:top w:val="single" w:sz="2" w:space="0" w:color="BFBFBF" w:themeColor="background1" w:themeShade="BF"/>
              <w:left w:val="nil"/>
              <w:bottom w:val="single" w:sz="2" w:space="0" w:color="BFBFBF" w:themeColor="background1" w:themeShade="BF"/>
              <w:right w:val="nil"/>
            </w:tcBorders>
            <w:shd w:val="clear" w:color="auto" w:fill="auto"/>
            <w:vAlign w:val="center"/>
            <w:hideMark/>
          </w:tcPr>
          <w:p w14:paraId="1BE81362" w14:textId="73F06240" w:rsidR="0002110B" w:rsidRPr="008713C0" w:rsidRDefault="0002110B">
            <w:pPr>
              <w:spacing w:before="40" w:after="40" w:line="240" w:lineRule="auto"/>
              <w:ind w:firstLine="0"/>
              <w:rPr>
                <w:rFonts w:ascii="Arial" w:hAnsi="Arial" w:cs="Arial"/>
                <w:b/>
                <w:bCs/>
                <w:color w:val="000000"/>
                <w:sz w:val="18"/>
                <w:szCs w:val="18"/>
              </w:rPr>
            </w:pPr>
            <w:r w:rsidRPr="008713C0">
              <w:rPr>
                <w:rFonts w:ascii="Arial" w:hAnsi="Arial" w:cs="Arial"/>
                <w:b/>
                <w:bCs/>
                <w:color w:val="000000"/>
                <w:sz w:val="18"/>
                <w:szCs w:val="18"/>
              </w:rPr>
              <w:t>Study participants</w:t>
            </w:r>
            <w:r>
              <w:rPr>
                <w:rFonts w:ascii="Arial" w:hAnsi="Arial" w:cs="Arial"/>
                <w:b/>
                <w:bCs/>
                <w:color w:val="000000"/>
                <w:sz w:val="18"/>
                <w:szCs w:val="18"/>
                <w:vertAlign w:val="superscript"/>
              </w:rPr>
              <w:t>b</w:t>
            </w:r>
          </w:p>
        </w:tc>
        <w:tc>
          <w:tcPr>
            <w:tcW w:w="658" w:type="pct"/>
            <w:tcBorders>
              <w:top w:val="single" w:sz="2" w:space="0" w:color="BFBFBF" w:themeColor="background1" w:themeShade="BF"/>
              <w:left w:val="nil"/>
              <w:bottom w:val="single" w:sz="2" w:space="0" w:color="BFBFBF" w:themeColor="background1" w:themeShade="BF"/>
              <w:right w:val="nil"/>
            </w:tcBorders>
            <w:shd w:val="clear" w:color="auto" w:fill="auto"/>
            <w:vAlign w:val="center"/>
            <w:hideMark/>
          </w:tcPr>
          <w:p w14:paraId="313C6846" w14:textId="3AF2302A" w:rsidR="0002110B" w:rsidRPr="008713C0" w:rsidRDefault="0002110B" w:rsidP="00C858FA">
            <w:pPr>
              <w:spacing w:before="40" w:after="40" w:line="240" w:lineRule="auto"/>
              <w:ind w:firstLine="0"/>
              <w:rPr>
                <w:rFonts w:ascii="Arial" w:hAnsi="Arial" w:cs="Arial"/>
                <w:color w:val="000000"/>
                <w:sz w:val="18"/>
                <w:szCs w:val="18"/>
              </w:rPr>
            </w:pPr>
            <w:r w:rsidRPr="008713C0">
              <w:rPr>
                <w:rFonts w:ascii="Arial" w:hAnsi="Arial" w:cs="Arial"/>
                <w:color w:val="000000"/>
                <w:sz w:val="18"/>
                <w:szCs w:val="18"/>
              </w:rPr>
              <w:t>Census</w:t>
            </w:r>
          </w:p>
        </w:tc>
        <w:tc>
          <w:tcPr>
            <w:tcW w:w="811" w:type="pct"/>
            <w:tcBorders>
              <w:top w:val="single" w:sz="2" w:space="0" w:color="BFBFBF" w:themeColor="background1" w:themeShade="BF"/>
              <w:left w:val="nil"/>
              <w:bottom w:val="single" w:sz="2" w:space="0" w:color="BFBFBF" w:themeColor="background1" w:themeShade="BF"/>
              <w:right w:val="nil"/>
            </w:tcBorders>
            <w:vAlign w:val="center"/>
          </w:tcPr>
          <w:p w14:paraId="4A2CFC60" w14:textId="5A6AE0A5" w:rsidR="0002110B" w:rsidRPr="008D5FDD" w:rsidRDefault="0002110B" w:rsidP="008A21D5">
            <w:pPr>
              <w:spacing w:before="40" w:after="40" w:line="240" w:lineRule="auto"/>
              <w:ind w:firstLine="0"/>
              <w:jc w:val="center"/>
              <w:rPr>
                <w:rFonts w:ascii="Arial" w:hAnsi="Arial" w:cs="Arial"/>
                <w:bCs/>
                <w:color w:val="000000"/>
                <w:sz w:val="18"/>
                <w:szCs w:val="18"/>
              </w:rPr>
            </w:pPr>
            <w:r>
              <w:rPr>
                <w:rFonts w:ascii="Arial" w:hAnsi="Arial" w:cs="Arial"/>
                <w:bCs/>
                <w:color w:val="000000"/>
                <w:sz w:val="18"/>
                <w:szCs w:val="18"/>
              </w:rPr>
              <w:t>3,780</w:t>
            </w:r>
          </w:p>
        </w:tc>
        <w:tc>
          <w:tcPr>
            <w:tcW w:w="650" w:type="pct"/>
            <w:gridSpan w:val="2"/>
            <w:tcBorders>
              <w:top w:val="single" w:sz="2" w:space="0" w:color="BFBFBF" w:themeColor="background1" w:themeShade="BF"/>
              <w:left w:val="nil"/>
              <w:bottom w:val="single" w:sz="2" w:space="0" w:color="BFBFBF" w:themeColor="background1" w:themeShade="BF"/>
              <w:right w:val="nil"/>
            </w:tcBorders>
            <w:shd w:val="clear" w:color="auto" w:fill="auto"/>
            <w:vAlign w:val="center"/>
            <w:hideMark/>
          </w:tcPr>
          <w:p w14:paraId="75791ED1" w14:textId="63658F07" w:rsidR="0002110B" w:rsidRPr="008D5FDD" w:rsidRDefault="0002110B" w:rsidP="008D5FDD">
            <w:pPr>
              <w:spacing w:before="40" w:after="40" w:line="240" w:lineRule="auto"/>
              <w:ind w:firstLine="0"/>
              <w:jc w:val="center"/>
              <w:rPr>
                <w:rFonts w:ascii="Arial" w:hAnsi="Arial" w:cs="Arial"/>
                <w:bCs/>
                <w:color w:val="000000"/>
                <w:sz w:val="18"/>
                <w:szCs w:val="18"/>
              </w:rPr>
            </w:pPr>
            <w:r w:rsidRPr="008D5FDD">
              <w:rPr>
                <w:rFonts w:ascii="Arial" w:hAnsi="Arial" w:cs="Arial"/>
                <w:bCs/>
                <w:color w:val="000000"/>
                <w:sz w:val="18"/>
                <w:szCs w:val="18"/>
              </w:rPr>
              <w:t>3,780</w:t>
            </w:r>
          </w:p>
        </w:tc>
        <w:tc>
          <w:tcPr>
            <w:tcW w:w="646" w:type="pct"/>
            <w:tcBorders>
              <w:top w:val="single" w:sz="2" w:space="0" w:color="BFBFBF" w:themeColor="background1" w:themeShade="BF"/>
              <w:left w:val="nil"/>
              <w:bottom w:val="single" w:sz="2" w:space="0" w:color="BFBFBF" w:themeColor="background1" w:themeShade="BF"/>
              <w:right w:val="nil"/>
            </w:tcBorders>
            <w:shd w:val="clear" w:color="auto" w:fill="auto"/>
            <w:vAlign w:val="center"/>
            <w:hideMark/>
          </w:tcPr>
          <w:p w14:paraId="15D88FB5" w14:textId="782E8DE7" w:rsidR="0002110B" w:rsidRPr="004142A4" w:rsidRDefault="0002110B" w:rsidP="00E30206">
            <w:pPr>
              <w:spacing w:before="40" w:after="40" w:line="240" w:lineRule="auto"/>
              <w:ind w:firstLine="0"/>
              <w:jc w:val="center"/>
              <w:rPr>
                <w:rFonts w:ascii="Arial" w:hAnsi="Arial" w:cs="Arial"/>
                <w:color w:val="000000"/>
                <w:sz w:val="18"/>
                <w:szCs w:val="18"/>
                <w:vertAlign w:val="superscript"/>
              </w:rPr>
            </w:pPr>
            <w:r w:rsidRPr="008D5FDD">
              <w:rPr>
                <w:rFonts w:ascii="Arial" w:hAnsi="Arial" w:cs="Arial"/>
                <w:color w:val="000000"/>
                <w:sz w:val="18"/>
                <w:szCs w:val="18"/>
              </w:rPr>
              <w:t>378</w:t>
            </w:r>
          </w:p>
        </w:tc>
        <w:tc>
          <w:tcPr>
            <w:tcW w:w="649" w:type="pct"/>
            <w:gridSpan w:val="2"/>
            <w:tcBorders>
              <w:top w:val="single" w:sz="2" w:space="0" w:color="BFBFBF" w:themeColor="background1" w:themeShade="BF"/>
              <w:left w:val="nil"/>
              <w:bottom w:val="single" w:sz="2" w:space="0" w:color="BFBFBF" w:themeColor="background1" w:themeShade="BF"/>
              <w:right w:val="nil"/>
            </w:tcBorders>
            <w:shd w:val="clear" w:color="auto" w:fill="auto"/>
            <w:vAlign w:val="center"/>
            <w:hideMark/>
          </w:tcPr>
          <w:p w14:paraId="300DDEBC" w14:textId="469676ED" w:rsidR="0002110B" w:rsidRPr="008D5FDD" w:rsidRDefault="0002110B" w:rsidP="008D5FDD">
            <w:pPr>
              <w:spacing w:before="40" w:after="40" w:line="240" w:lineRule="auto"/>
              <w:ind w:firstLine="0"/>
              <w:jc w:val="center"/>
              <w:rPr>
                <w:rFonts w:ascii="Arial" w:hAnsi="Arial" w:cs="Arial"/>
                <w:color w:val="000000"/>
                <w:sz w:val="18"/>
                <w:szCs w:val="18"/>
              </w:rPr>
            </w:pPr>
            <w:r w:rsidRPr="008D5FDD">
              <w:rPr>
                <w:rFonts w:ascii="Arial" w:hAnsi="Arial" w:cs="Arial"/>
                <w:color w:val="000000"/>
                <w:sz w:val="18"/>
                <w:szCs w:val="18"/>
              </w:rPr>
              <w:t>1</w:t>
            </w:r>
          </w:p>
        </w:tc>
        <w:tc>
          <w:tcPr>
            <w:tcW w:w="647" w:type="pct"/>
            <w:gridSpan w:val="2"/>
            <w:tcBorders>
              <w:top w:val="single" w:sz="2" w:space="0" w:color="BFBFBF" w:themeColor="background1" w:themeShade="BF"/>
              <w:left w:val="nil"/>
              <w:bottom w:val="single" w:sz="2" w:space="0" w:color="BFBFBF" w:themeColor="background1" w:themeShade="BF"/>
              <w:right w:val="nil"/>
            </w:tcBorders>
            <w:shd w:val="clear" w:color="auto" w:fill="auto"/>
            <w:vAlign w:val="center"/>
            <w:hideMark/>
          </w:tcPr>
          <w:p w14:paraId="1F268CD1" w14:textId="155D2A08" w:rsidR="0002110B" w:rsidRPr="008D5FDD" w:rsidRDefault="0002110B" w:rsidP="008D5FDD">
            <w:pPr>
              <w:spacing w:before="40" w:after="40" w:line="240" w:lineRule="auto"/>
              <w:ind w:firstLine="0"/>
              <w:jc w:val="center"/>
              <w:rPr>
                <w:rFonts w:ascii="Arial" w:hAnsi="Arial" w:cs="Arial"/>
                <w:color w:val="000000"/>
                <w:sz w:val="18"/>
                <w:szCs w:val="18"/>
              </w:rPr>
            </w:pPr>
            <w:r w:rsidRPr="008D5FDD">
              <w:rPr>
                <w:rFonts w:ascii="Arial" w:hAnsi="Arial" w:cs="Arial"/>
                <w:color w:val="000000"/>
                <w:sz w:val="18"/>
                <w:szCs w:val="18"/>
              </w:rPr>
              <w:t>3,780</w:t>
            </w:r>
          </w:p>
        </w:tc>
      </w:tr>
    </w:tbl>
    <w:p w14:paraId="6D657D59" w14:textId="26981683" w:rsidR="008713C0" w:rsidRDefault="008713C0" w:rsidP="008713C0">
      <w:pPr>
        <w:tabs>
          <w:tab w:val="left" w:pos="1080"/>
        </w:tabs>
        <w:spacing w:before="60" w:line="240" w:lineRule="auto"/>
        <w:ind w:firstLine="0"/>
        <w:rPr>
          <w:rFonts w:ascii="Arial" w:hAnsi="Arial"/>
          <w:sz w:val="18"/>
        </w:rPr>
      </w:pPr>
      <w:r w:rsidRPr="008713C0">
        <w:rPr>
          <w:rFonts w:ascii="Arial" w:hAnsi="Arial"/>
          <w:sz w:val="18"/>
          <w:vertAlign w:val="superscript"/>
        </w:rPr>
        <w:t xml:space="preserve">a </w:t>
      </w:r>
      <w:r w:rsidR="001341FC">
        <w:rPr>
          <w:rFonts w:ascii="Arial" w:hAnsi="Arial"/>
          <w:sz w:val="18"/>
        </w:rPr>
        <w:t>The grantee sur</w:t>
      </w:r>
      <w:r w:rsidR="00C472A0">
        <w:rPr>
          <w:rFonts w:ascii="Arial" w:hAnsi="Arial"/>
          <w:sz w:val="18"/>
        </w:rPr>
        <w:t>v</w:t>
      </w:r>
      <w:r w:rsidR="001341FC">
        <w:rPr>
          <w:rFonts w:ascii="Arial" w:hAnsi="Arial"/>
          <w:sz w:val="18"/>
        </w:rPr>
        <w:t xml:space="preserve">ey will be administered to up to </w:t>
      </w:r>
      <w:r w:rsidR="00EC2FD6">
        <w:rPr>
          <w:rFonts w:ascii="Arial" w:hAnsi="Arial"/>
          <w:sz w:val="18"/>
        </w:rPr>
        <w:t>9</w:t>
      </w:r>
      <w:r w:rsidR="00C12C9F">
        <w:rPr>
          <w:rFonts w:ascii="Arial" w:hAnsi="Arial"/>
          <w:sz w:val="18"/>
        </w:rPr>
        <w:t>7</w:t>
      </w:r>
      <w:r w:rsidR="001341FC">
        <w:rPr>
          <w:rFonts w:ascii="Arial" w:hAnsi="Arial"/>
          <w:sz w:val="18"/>
        </w:rPr>
        <w:t xml:space="preserve"> grantees</w:t>
      </w:r>
      <w:r w:rsidR="003A194D">
        <w:rPr>
          <w:rFonts w:ascii="Arial" w:hAnsi="Arial"/>
          <w:sz w:val="18"/>
        </w:rPr>
        <w:t xml:space="preserve"> because t</w:t>
      </w:r>
      <w:r w:rsidR="003A194D" w:rsidRPr="003A194D">
        <w:rPr>
          <w:rFonts w:ascii="Arial" w:hAnsi="Arial"/>
          <w:sz w:val="18"/>
        </w:rPr>
        <w:t xml:space="preserve">here were </w:t>
      </w:r>
      <w:r w:rsidR="003A194D">
        <w:rPr>
          <w:rFonts w:ascii="Arial" w:hAnsi="Arial"/>
          <w:sz w:val="18"/>
        </w:rPr>
        <w:t>9</w:t>
      </w:r>
      <w:r w:rsidR="003A194D" w:rsidRPr="003A194D">
        <w:rPr>
          <w:rFonts w:ascii="Arial" w:hAnsi="Arial"/>
          <w:sz w:val="18"/>
        </w:rPr>
        <w:t>7 grants awarded during years 201</w:t>
      </w:r>
      <w:r w:rsidR="003A194D">
        <w:rPr>
          <w:rFonts w:ascii="Arial" w:hAnsi="Arial"/>
          <w:sz w:val="18"/>
        </w:rPr>
        <w:t>6</w:t>
      </w:r>
      <w:r w:rsidR="003A194D" w:rsidRPr="003A194D">
        <w:rPr>
          <w:rFonts w:ascii="Arial" w:hAnsi="Arial"/>
          <w:sz w:val="18"/>
        </w:rPr>
        <w:t xml:space="preserve"> through 201</w:t>
      </w:r>
      <w:r w:rsidR="003A194D">
        <w:rPr>
          <w:rFonts w:ascii="Arial" w:hAnsi="Arial"/>
          <w:sz w:val="18"/>
        </w:rPr>
        <w:t>8</w:t>
      </w:r>
      <w:r w:rsidR="003A194D" w:rsidRPr="003A194D">
        <w:rPr>
          <w:rFonts w:ascii="Arial" w:hAnsi="Arial"/>
          <w:sz w:val="18"/>
        </w:rPr>
        <w:t xml:space="preserve"> (24 in year 2016, 32 in year 2017, </w:t>
      </w:r>
      <w:r w:rsidR="003A194D">
        <w:rPr>
          <w:rFonts w:ascii="Arial" w:hAnsi="Arial"/>
          <w:sz w:val="18"/>
        </w:rPr>
        <w:t xml:space="preserve">and </w:t>
      </w:r>
      <w:r w:rsidR="003A194D" w:rsidRPr="003A194D">
        <w:rPr>
          <w:rFonts w:ascii="Arial" w:hAnsi="Arial"/>
          <w:sz w:val="18"/>
        </w:rPr>
        <w:t>41 in 2018)</w:t>
      </w:r>
      <w:r w:rsidR="001341FC">
        <w:rPr>
          <w:rFonts w:ascii="Arial" w:hAnsi="Arial"/>
          <w:sz w:val="18"/>
        </w:rPr>
        <w:t xml:space="preserve">. </w:t>
      </w:r>
    </w:p>
    <w:p w14:paraId="1FDD18D7" w14:textId="6363238D" w:rsidR="00D50A41" w:rsidRPr="008A21D5" w:rsidRDefault="001B0416" w:rsidP="00153FC5">
      <w:pPr>
        <w:tabs>
          <w:tab w:val="left" w:pos="1080"/>
        </w:tabs>
        <w:spacing w:before="60" w:after="240" w:line="240" w:lineRule="auto"/>
        <w:ind w:firstLine="0"/>
        <w:rPr>
          <w:rFonts w:ascii="Arial" w:hAnsi="Arial"/>
          <w:sz w:val="18"/>
        </w:rPr>
      </w:pPr>
      <w:r>
        <w:rPr>
          <w:rFonts w:ascii="Arial" w:hAnsi="Arial"/>
          <w:sz w:val="18"/>
          <w:vertAlign w:val="superscript"/>
        </w:rPr>
        <w:t>b</w:t>
      </w:r>
      <w:r w:rsidR="001F4D9C" w:rsidRPr="008713C0">
        <w:rPr>
          <w:rFonts w:ascii="Arial" w:hAnsi="Arial"/>
          <w:sz w:val="18"/>
          <w:vertAlign w:val="superscript"/>
        </w:rPr>
        <w:t xml:space="preserve"> </w:t>
      </w:r>
      <w:r w:rsidR="00DD0F07">
        <w:rPr>
          <w:rFonts w:ascii="Arial" w:hAnsi="Arial"/>
          <w:sz w:val="18"/>
        </w:rPr>
        <w:t xml:space="preserve">The BIF will be completed by a census of </w:t>
      </w:r>
      <w:r w:rsidR="00CE5D1A">
        <w:rPr>
          <w:rFonts w:ascii="Arial" w:hAnsi="Arial"/>
          <w:sz w:val="18"/>
        </w:rPr>
        <w:t xml:space="preserve">impact </w:t>
      </w:r>
      <w:r w:rsidR="00DD0F07">
        <w:rPr>
          <w:rFonts w:ascii="Arial" w:hAnsi="Arial"/>
          <w:sz w:val="18"/>
        </w:rPr>
        <w:t>study participants</w:t>
      </w:r>
      <w:r w:rsidR="00902901">
        <w:rPr>
          <w:rFonts w:ascii="Arial" w:hAnsi="Arial"/>
          <w:sz w:val="18"/>
        </w:rPr>
        <w:t>.</w:t>
      </w:r>
      <w:r w:rsidR="00DD0F07">
        <w:rPr>
          <w:rFonts w:ascii="Arial" w:hAnsi="Arial"/>
          <w:sz w:val="18"/>
        </w:rPr>
        <w:t xml:space="preserve"> It is possible that sites will begin enrolling program participants before </w:t>
      </w:r>
      <w:r w:rsidR="003C47A9">
        <w:rPr>
          <w:rFonts w:ascii="Arial" w:hAnsi="Arial"/>
          <w:sz w:val="18"/>
        </w:rPr>
        <w:t xml:space="preserve">random assignment for the impact study begins. Therefore, it is possible that the census of program participants will be larger than the census of </w:t>
      </w:r>
      <w:r w:rsidR="00CE5D1A">
        <w:rPr>
          <w:rFonts w:ascii="Arial" w:hAnsi="Arial"/>
          <w:sz w:val="18"/>
        </w:rPr>
        <w:t xml:space="preserve">impact </w:t>
      </w:r>
      <w:r w:rsidR="003C47A9">
        <w:rPr>
          <w:rFonts w:ascii="Arial" w:hAnsi="Arial"/>
          <w:sz w:val="18"/>
        </w:rPr>
        <w:t>study participants</w:t>
      </w:r>
      <w:r w:rsidR="00E55B01">
        <w:rPr>
          <w:rFonts w:ascii="Arial" w:hAnsi="Arial"/>
          <w:sz w:val="18"/>
        </w:rPr>
        <w:t xml:space="preserve"> who will complete the BIF</w:t>
      </w:r>
      <w:r w:rsidR="003C47A9">
        <w:rPr>
          <w:rFonts w:ascii="Arial" w:hAnsi="Arial"/>
          <w:sz w:val="18"/>
        </w:rPr>
        <w:t xml:space="preserve">. </w:t>
      </w:r>
      <w:r w:rsidR="00EE6690" w:rsidRPr="00EE6690">
        <w:rPr>
          <w:rFonts w:ascii="Arial" w:hAnsi="Arial"/>
          <w:sz w:val="18"/>
        </w:rPr>
        <w:t xml:space="preserve">Study resources suggest that a maximum of 3,780 study participants may be included in the impact study.  Study design considerations, as well as resources, will influence the number of sites included in the impact study. Given that the maximum number of </w:t>
      </w:r>
      <w:r w:rsidR="00F808C3">
        <w:rPr>
          <w:rFonts w:ascii="Arial" w:hAnsi="Arial"/>
          <w:sz w:val="18"/>
        </w:rPr>
        <w:t>grantees</w:t>
      </w:r>
      <w:r w:rsidR="00F808C3" w:rsidRPr="00EE6690">
        <w:rPr>
          <w:rFonts w:ascii="Arial" w:hAnsi="Arial"/>
          <w:sz w:val="18"/>
        </w:rPr>
        <w:t xml:space="preserve"> </w:t>
      </w:r>
      <w:r w:rsidR="00EE6690" w:rsidRPr="00EE6690">
        <w:rPr>
          <w:rFonts w:ascii="Arial" w:hAnsi="Arial"/>
          <w:sz w:val="18"/>
        </w:rPr>
        <w:t xml:space="preserve">that could be included is 10, the average number of respondents per site is shown to be 378. However, if fewer </w:t>
      </w:r>
      <w:r w:rsidR="00F808C3">
        <w:rPr>
          <w:rFonts w:ascii="Arial" w:hAnsi="Arial"/>
          <w:sz w:val="18"/>
        </w:rPr>
        <w:t>grantees</w:t>
      </w:r>
      <w:r w:rsidR="00F808C3" w:rsidRPr="00EE6690">
        <w:rPr>
          <w:rFonts w:ascii="Arial" w:hAnsi="Arial"/>
          <w:sz w:val="18"/>
        </w:rPr>
        <w:t xml:space="preserve"> </w:t>
      </w:r>
      <w:r w:rsidR="00E30206">
        <w:rPr>
          <w:rFonts w:ascii="Arial" w:hAnsi="Arial"/>
          <w:sz w:val="18"/>
        </w:rPr>
        <w:t xml:space="preserve">are </w:t>
      </w:r>
      <w:r w:rsidR="00EE6690" w:rsidRPr="00EE6690">
        <w:rPr>
          <w:rFonts w:ascii="Arial" w:hAnsi="Arial"/>
          <w:sz w:val="18"/>
        </w:rPr>
        <w:t>inclu</w:t>
      </w:r>
      <w:r w:rsidR="00E30206">
        <w:rPr>
          <w:rFonts w:ascii="Arial" w:hAnsi="Arial"/>
          <w:sz w:val="18"/>
        </w:rPr>
        <w:t>ded</w:t>
      </w:r>
      <w:r w:rsidR="00EE6690" w:rsidRPr="00EE6690">
        <w:rPr>
          <w:rFonts w:ascii="Arial" w:hAnsi="Arial"/>
          <w:sz w:val="18"/>
        </w:rPr>
        <w:t xml:space="preserve"> in the study, then the number of study participants per site </w:t>
      </w:r>
      <w:r w:rsidR="001B488D">
        <w:rPr>
          <w:rFonts w:ascii="Arial" w:hAnsi="Arial"/>
          <w:sz w:val="18"/>
        </w:rPr>
        <w:t>might</w:t>
      </w:r>
      <w:r w:rsidR="00EE6690" w:rsidRPr="00EE6690">
        <w:rPr>
          <w:rFonts w:ascii="Arial" w:hAnsi="Arial"/>
          <w:sz w:val="18"/>
        </w:rPr>
        <w:t xml:space="preserve"> be larger.</w:t>
      </w:r>
      <w:r w:rsidR="00EE6690">
        <w:rPr>
          <w:rFonts w:ascii="Arial" w:hAnsi="Arial"/>
          <w:sz w:val="18"/>
        </w:rPr>
        <w:t xml:space="preserve"> </w:t>
      </w:r>
      <w:r w:rsidR="00EE6690" w:rsidRPr="00EE6690">
        <w:rPr>
          <w:rFonts w:ascii="Arial" w:hAnsi="Arial"/>
          <w:sz w:val="18"/>
        </w:rPr>
        <w:t>Based on previous experience administering BIFs, the study team anticipates that</w:t>
      </w:r>
      <w:r w:rsidR="00F808C3">
        <w:rPr>
          <w:rFonts w:ascii="Arial" w:hAnsi="Arial"/>
          <w:sz w:val="18"/>
        </w:rPr>
        <w:t xml:space="preserve"> </w:t>
      </w:r>
      <w:r w:rsidR="00EE6690" w:rsidRPr="00EE6690">
        <w:rPr>
          <w:rFonts w:ascii="Arial" w:hAnsi="Arial"/>
          <w:sz w:val="18"/>
        </w:rPr>
        <w:t xml:space="preserve">100 percent of people who participate in the study will complete a BIF. </w:t>
      </w:r>
    </w:p>
    <w:p w14:paraId="6F7FB01A" w14:textId="77777777" w:rsidR="008713C0" w:rsidRPr="008713C0" w:rsidRDefault="008713C0" w:rsidP="001160D2">
      <w:pPr>
        <w:pStyle w:val="H3Alpha"/>
      </w:pPr>
      <w:bookmarkStart w:id="3" w:name="_Toc436939713"/>
      <w:r w:rsidRPr="008713C0">
        <w:t>B.2.</w:t>
      </w:r>
      <w:r w:rsidRPr="008713C0">
        <w:tab/>
        <w:t>Procedures for the collection of information</w:t>
      </w:r>
    </w:p>
    <w:p w14:paraId="1093C910" w14:textId="76B0CCCC" w:rsidR="008713C0" w:rsidRPr="007335EB" w:rsidRDefault="008713C0" w:rsidP="008713C0">
      <w:pPr>
        <w:spacing w:after="240" w:line="240" w:lineRule="auto"/>
      </w:pPr>
      <w:r w:rsidRPr="008713C0">
        <w:t xml:space="preserve">Understanding the effectiveness of the REO grants requires data collection from multiple sources. For the implementation study, data collection will include telephone interviews, individual-level program data, a grantee survey, and virtual focus groups of grantees. At the sites included in the impact study, the study team will collect </w:t>
      </w:r>
      <w:r w:rsidR="006D7005">
        <w:t>baseline</w:t>
      </w:r>
      <w:r w:rsidR="006D7005" w:rsidRPr="008713C0">
        <w:t xml:space="preserve"> </w:t>
      </w:r>
      <w:r w:rsidRPr="008713C0">
        <w:t>information on study participants at program application to understand the baseline characteristics of the sample. Outcome data will come from a follow-up survey of a sample of study participants, as well as administrative earnings data and criminal justice system data for all impact study participants. The data collection activities covered by this clearance include the grantee survey</w:t>
      </w:r>
      <w:r w:rsidR="009F0CE0">
        <w:t xml:space="preserve"> </w:t>
      </w:r>
      <w:r w:rsidR="00FC27D7">
        <w:t>and the BIF</w:t>
      </w:r>
      <w:r w:rsidRPr="008713C0">
        <w:t xml:space="preserve">. The next section describes each of these data collection </w:t>
      </w:r>
      <w:r w:rsidRPr="007335EB">
        <w:t xml:space="preserve">activities. </w:t>
      </w:r>
    </w:p>
    <w:p w14:paraId="109528C8" w14:textId="6D57C850" w:rsidR="008713C0" w:rsidRPr="008713C0" w:rsidRDefault="008713C0" w:rsidP="008713C0">
      <w:pPr>
        <w:spacing w:after="240" w:line="240" w:lineRule="auto"/>
      </w:pPr>
      <w:r w:rsidRPr="008713C0">
        <w:rPr>
          <w:b/>
        </w:rPr>
        <w:t>Grantee survey.</w:t>
      </w:r>
      <w:r w:rsidRPr="008713C0">
        <w:t xml:space="preserve"> </w:t>
      </w:r>
      <w:r w:rsidR="00716DE0">
        <w:t>As part of the implementation study, a</w:t>
      </w:r>
      <w:r w:rsidRPr="008713C0">
        <w:t xml:space="preserve">n electronic survey will be fielded to up to </w:t>
      </w:r>
      <w:r w:rsidR="00EC2FD6">
        <w:t>9</w:t>
      </w:r>
      <w:r w:rsidR="00C12C9F">
        <w:t>7</w:t>
      </w:r>
      <w:r w:rsidR="00EC2FD6" w:rsidRPr="008713C0">
        <w:t xml:space="preserve"> </w:t>
      </w:r>
      <w:r w:rsidRPr="008713C0">
        <w:t xml:space="preserve">grantees to obtain information on the REO grantees’ approaches to project management, recruitment and outreach, and service delivery. This survey will include a set of common questions to lead to insights about variations across grantees and grant programs and to put the impact and implementation study data in context. </w:t>
      </w:r>
    </w:p>
    <w:p w14:paraId="5DEC8F0C" w14:textId="5BAC9B13" w:rsidR="005E58C0" w:rsidRDefault="006D7005" w:rsidP="008713C0">
      <w:pPr>
        <w:spacing w:after="240" w:line="240" w:lineRule="auto"/>
      </w:pPr>
      <w:r>
        <w:rPr>
          <w:rFonts w:ascii="TimesNewRomanPSMT" w:eastAsiaTheme="minorEastAsia" w:hAnsi="TimesNewRomanPSMT" w:cs="TimesNewRomanPSMT"/>
          <w:b/>
          <w:szCs w:val="24"/>
        </w:rPr>
        <w:t>Baseline</w:t>
      </w:r>
      <w:r w:rsidRPr="008713C0">
        <w:rPr>
          <w:rFonts w:ascii="TimesNewRomanPSMT" w:eastAsiaTheme="minorEastAsia" w:hAnsi="TimesNewRomanPSMT" w:cs="TimesNewRomanPSMT"/>
          <w:b/>
          <w:szCs w:val="24"/>
        </w:rPr>
        <w:t xml:space="preserve"> </w:t>
      </w:r>
      <w:r w:rsidR="003B76A7">
        <w:rPr>
          <w:rFonts w:ascii="TimesNewRomanPSMT" w:eastAsiaTheme="minorEastAsia" w:hAnsi="TimesNewRomanPSMT" w:cs="TimesNewRomanPSMT"/>
          <w:b/>
          <w:szCs w:val="24"/>
        </w:rPr>
        <w:t>i</w:t>
      </w:r>
      <w:r w:rsidR="008713C0" w:rsidRPr="008713C0">
        <w:rPr>
          <w:rFonts w:ascii="TimesNewRomanPSMT" w:eastAsiaTheme="minorEastAsia" w:hAnsi="TimesNewRomanPSMT" w:cs="TimesNewRomanPSMT"/>
          <w:b/>
          <w:szCs w:val="24"/>
        </w:rPr>
        <w:t>nformation</w:t>
      </w:r>
      <w:r w:rsidR="003B76A7">
        <w:rPr>
          <w:rFonts w:ascii="TimesNewRomanPSMT" w:eastAsiaTheme="minorEastAsia" w:hAnsi="TimesNewRomanPSMT" w:cs="TimesNewRomanPSMT"/>
          <w:b/>
          <w:szCs w:val="24"/>
        </w:rPr>
        <w:t xml:space="preserve"> f</w:t>
      </w:r>
      <w:r w:rsidR="008713C0" w:rsidRPr="008713C0">
        <w:rPr>
          <w:rFonts w:ascii="TimesNewRomanPSMT" w:eastAsiaTheme="minorEastAsia" w:hAnsi="TimesNewRomanPSMT" w:cs="TimesNewRomanPSMT"/>
          <w:b/>
          <w:szCs w:val="24"/>
        </w:rPr>
        <w:t>orm (</w:t>
      </w:r>
      <w:r>
        <w:rPr>
          <w:rFonts w:ascii="TimesNewRomanPSMT" w:eastAsiaTheme="minorEastAsia" w:hAnsi="TimesNewRomanPSMT" w:cs="TimesNewRomanPSMT"/>
          <w:b/>
          <w:szCs w:val="24"/>
        </w:rPr>
        <w:t>B</w:t>
      </w:r>
      <w:r w:rsidR="008713C0" w:rsidRPr="008713C0">
        <w:rPr>
          <w:rFonts w:ascii="TimesNewRomanPSMT" w:eastAsiaTheme="minorEastAsia" w:hAnsi="TimesNewRomanPSMT" w:cs="TimesNewRomanPSMT"/>
          <w:b/>
          <w:szCs w:val="24"/>
        </w:rPr>
        <w:t>IF).</w:t>
      </w:r>
      <w:r w:rsidR="008713C0" w:rsidRPr="008713C0">
        <w:t xml:space="preserve"> </w:t>
      </w:r>
      <w:r w:rsidR="00716DE0">
        <w:t>As part of the impact study, a</w:t>
      </w:r>
      <w:r w:rsidR="008713C0" w:rsidRPr="008713C0">
        <w:t xml:space="preserve">t study intake, individuals who request being served by the grantees </w:t>
      </w:r>
      <w:r w:rsidR="00142821">
        <w:t xml:space="preserve">and subgrantees </w:t>
      </w:r>
      <w:r w:rsidR="008713C0" w:rsidRPr="008713C0">
        <w:t xml:space="preserve">included in the impact study will provide demographic characteristics and other information on </w:t>
      </w:r>
      <w:r w:rsidR="00CA7649">
        <w:t>BIFs</w:t>
      </w:r>
      <w:r w:rsidR="008713C0" w:rsidRPr="008713C0">
        <w:t xml:space="preserve">. </w:t>
      </w:r>
      <w:r w:rsidR="008D0052">
        <w:t xml:space="preserve">In addition to sample member contact information, the BIF will also collect information on </w:t>
      </w:r>
      <w:r w:rsidR="005E58C0">
        <w:t xml:space="preserve">the baseline </w:t>
      </w:r>
      <w:r w:rsidR="008D0052">
        <w:t xml:space="preserve">characteristics of sample members, such as sex, race/ethnicity, education level, </w:t>
      </w:r>
      <w:r w:rsidR="006D6289">
        <w:t>and pr</w:t>
      </w:r>
      <w:r w:rsidR="007457EF">
        <w:t xml:space="preserve">ior justice system involvement. In addition, the BIF will capture social network use and alternative contact information for up to three relatives or friends who might know how to contact the sample member. </w:t>
      </w:r>
      <w:r w:rsidR="008713C0" w:rsidRPr="008713C0">
        <w:t xml:space="preserve">Whenever possible, </w:t>
      </w:r>
      <w:r>
        <w:t>B</w:t>
      </w:r>
      <w:r w:rsidR="008713C0" w:rsidRPr="008713C0">
        <w:t>IFs will be collected electronically through the study’s web-based random assignment system (RAS).</w:t>
      </w:r>
      <w:r w:rsidR="005E58C0">
        <w:t xml:space="preserve"> The baseline information, but not the contact information, will be analyzed using either t-tests (such as for binary variables) or chi-squared tests (such as for categorical variables) to ensure that the program and control groups are not systematically different from each other on these characteristics, which are measured prior to random assignment.</w:t>
      </w:r>
    </w:p>
    <w:p w14:paraId="657A7F6E" w14:textId="2E14310D" w:rsidR="008713C0" w:rsidRPr="008713C0" w:rsidRDefault="008713C0" w:rsidP="008713C0">
      <w:pPr>
        <w:spacing w:after="240" w:line="240" w:lineRule="auto"/>
      </w:pPr>
      <w:r w:rsidRPr="008713C0">
        <w:t xml:space="preserve">Consent to participate in the research study will be obtained from all impact study participants. To fully ensure informed consent, the study team will collect written consent from all REO evaluation participants. Written consent forms will describe the purpose of the study; outline the information that will be collected; explain the risks, benefits, and voluntary nature of participation; and collect participants’ consent to be included in the evaluation. </w:t>
      </w:r>
      <w:r w:rsidR="00981838">
        <w:t>T</w:t>
      </w:r>
      <w:r w:rsidR="00981838" w:rsidRPr="00981838">
        <w:t>he participant consent form for the impact study is included in the Supplementary Documents.</w:t>
      </w:r>
    </w:p>
    <w:p w14:paraId="31DFEE6A" w14:textId="77777777" w:rsidR="008713C0" w:rsidRPr="008713C0" w:rsidRDefault="008713C0" w:rsidP="001160D2">
      <w:pPr>
        <w:pStyle w:val="H4Number"/>
      </w:pPr>
      <w:r w:rsidRPr="008713C0">
        <w:rPr>
          <w:bCs/>
        </w:rPr>
        <w:t>1.</w:t>
      </w:r>
      <w:r w:rsidRPr="008713C0">
        <w:rPr>
          <w:bCs/>
        </w:rPr>
        <w:tab/>
        <w:t xml:space="preserve">Statistical </w:t>
      </w:r>
      <w:r w:rsidRPr="008713C0">
        <w:t>methodology, estimation, and degree of accuracy</w:t>
      </w:r>
      <w:bookmarkEnd w:id="3"/>
      <w:r w:rsidRPr="008713C0" w:rsidDel="00781FAC">
        <w:t xml:space="preserve"> </w:t>
      </w:r>
    </w:p>
    <w:p w14:paraId="76CA3318" w14:textId="64147B49" w:rsidR="008713C0" w:rsidRPr="008713C0" w:rsidRDefault="008713C0" w:rsidP="008713C0">
      <w:pPr>
        <w:spacing w:after="240" w:line="240" w:lineRule="auto"/>
      </w:pPr>
      <w:r w:rsidRPr="008713C0">
        <w:rPr>
          <w:b/>
        </w:rPr>
        <w:t>Implementation study grantee survey.</w:t>
      </w:r>
      <w:r w:rsidRPr="008713C0">
        <w:t xml:space="preserve"> The main type of data collected from the grantee survey will be contextual information about the program, services offered, and any unique approaches used or populations served. No complex statistical methodology (such as sample stratification) or estimation will be needed in the analysis of the grantee survey data. The data will be analyzed using simple descriptive measures to generate aggregate</w:t>
      </w:r>
      <w:r w:rsidR="0057495D">
        <w:t>d</w:t>
      </w:r>
      <w:r w:rsidRPr="008713C0">
        <w:t xml:space="preserve"> counts of responses. Responses to open-ended questions will be coded to identify key themes across sites and enable the study team to describe the REO grant</w:t>
      </w:r>
      <w:r w:rsidR="0057495D">
        <w:t>ee</w:t>
      </w:r>
      <w:r w:rsidRPr="008713C0">
        <w:t>s</w:t>
      </w:r>
      <w:r w:rsidR="0057495D">
        <w:t>’ characteristics and experiences</w:t>
      </w:r>
      <w:r w:rsidRPr="008713C0">
        <w:t xml:space="preserve">. </w:t>
      </w:r>
    </w:p>
    <w:p w14:paraId="7DE8ECA8" w14:textId="195D9405" w:rsidR="008713C0" w:rsidRDefault="006D7005" w:rsidP="008713C0">
      <w:pPr>
        <w:spacing w:after="240" w:line="240" w:lineRule="auto"/>
      </w:pPr>
      <w:r>
        <w:rPr>
          <w:b/>
        </w:rPr>
        <w:t>B</w:t>
      </w:r>
      <w:r w:rsidR="008713C0" w:rsidRPr="008713C0">
        <w:rPr>
          <w:b/>
        </w:rPr>
        <w:t>IF.</w:t>
      </w:r>
      <w:r w:rsidR="008713C0" w:rsidRPr="008713C0">
        <w:t xml:space="preserve"> The data gathered through the </w:t>
      </w:r>
      <w:r>
        <w:t>B</w:t>
      </w:r>
      <w:r w:rsidR="008713C0" w:rsidRPr="008713C0">
        <w:t>IF will be tabulated using descriptive methods (including simple frequencies, cross-tabulations, and means, when appropriate) to provide contextual information about the characteristics of participants in the impact study. If a random assignment design is conducted properly, there should be no systematic observable or unobservable differences between research groups</w:t>
      </w:r>
      <w:r w:rsidR="008D0052">
        <w:t xml:space="preserve"> across key indicators including sex, race/ethnicity, education level,</w:t>
      </w:r>
      <w:r w:rsidR="008713C0" w:rsidRPr="008713C0">
        <w:t xml:space="preserve"> </w:t>
      </w:r>
      <w:r w:rsidR="006D6289">
        <w:t xml:space="preserve">and prior justice system involvement, </w:t>
      </w:r>
      <w:r w:rsidR="008713C0" w:rsidRPr="008713C0">
        <w:t xml:space="preserve">except for the services offered after random assignment. Therefore, the </w:t>
      </w:r>
      <w:r>
        <w:t>B</w:t>
      </w:r>
      <w:r w:rsidR="008713C0" w:rsidRPr="008713C0">
        <w:t xml:space="preserve">IF data will be used to assess whether randomization was conducted properly by conducting statistical tests, such as t-tests or chi-squared tests, to assess whether there are statistically significant differences in </w:t>
      </w:r>
      <w:r w:rsidR="006D6289">
        <w:t>these</w:t>
      </w:r>
      <w:r w:rsidR="006D6289" w:rsidRPr="008713C0">
        <w:t xml:space="preserve"> </w:t>
      </w:r>
      <w:r w:rsidR="008713C0" w:rsidRPr="008713C0">
        <w:t xml:space="preserve">baseline measures of program and control groups using available baseline data. Because </w:t>
      </w:r>
      <w:r>
        <w:t>B</w:t>
      </w:r>
      <w:r w:rsidR="008713C0" w:rsidRPr="008713C0">
        <w:t xml:space="preserve">IF data will be collected </w:t>
      </w:r>
      <w:r w:rsidR="008713C0" w:rsidRPr="008713C0">
        <w:rPr>
          <w:i/>
        </w:rPr>
        <w:t>before</w:t>
      </w:r>
      <w:r w:rsidR="008713C0" w:rsidRPr="008713C0">
        <w:t xml:space="preserve"> random assignment, there should </w:t>
      </w:r>
      <w:r w:rsidR="00C07831">
        <w:t xml:space="preserve">be </w:t>
      </w:r>
      <w:r w:rsidR="008713C0" w:rsidRPr="008713C0">
        <w:t xml:space="preserve">no differences in data quality or response across the program and control groups. The study team will conduct t-tests or other tests on each baseline measure in isolation and will also conduct a joint F-test to assess the joint significance of all the differences in baseline characteristics. </w:t>
      </w:r>
    </w:p>
    <w:p w14:paraId="0791A234" w14:textId="77777777" w:rsidR="008713C0" w:rsidRPr="001160D2" w:rsidRDefault="008713C0" w:rsidP="001160D2">
      <w:pPr>
        <w:pStyle w:val="H4Number"/>
        <w:rPr>
          <w:bCs/>
        </w:rPr>
      </w:pPr>
      <w:r w:rsidRPr="001160D2">
        <w:rPr>
          <w:bCs/>
        </w:rPr>
        <w:t>2.</w:t>
      </w:r>
      <w:r w:rsidRPr="001160D2">
        <w:rPr>
          <w:bCs/>
        </w:rPr>
        <w:tab/>
        <w:t>Unusual problems requiring specialized sampling procedures</w:t>
      </w:r>
    </w:p>
    <w:p w14:paraId="4E167822" w14:textId="506D3342" w:rsidR="008713C0" w:rsidRPr="008713C0" w:rsidRDefault="009F0CE0" w:rsidP="008713C0">
      <w:pPr>
        <w:spacing w:after="240" w:line="240" w:lineRule="auto"/>
        <w:rPr>
          <w:i/>
        </w:rPr>
      </w:pPr>
      <w:r>
        <w:t>S</w:t>
      </w:r>
      <w:r w:rsidR="008713C0" w:rsidRPr="008713C0">
        <w:t>pecialized sampling procedures</w:t>
      </w:r>
      <w:r w:rsidR="008713C0" w:rsidRPr="008713C0" w:rsidDel="000E3392">
        <w:t xml:space="preserve"> </w:t>
      </w:r>
      <w:r w:rsidR="008713C0" w:rsidRPr="008713C0">
        <w:t>are not required</w:t>
      </w:r>
      <w:r w:rsidR="008713C0" w:rsidRPr="008713C0" w:rsidDel="000E3392">
        <w:t xml:space="preserve"> </w:t>
      </w:r>
      <w:r w:rsidR="008713C0" w:rsidRPr="008713C0">
        <w:t>for administration of the grantee survey</w:t>
      </w:r>
      <w:r w:rsidR="005D7CAD">
        <w:t xml:space="preserve"> or BIF</w:t>
      </w:r>
      <w:r w:rsidR="008713C0" w:rsidRPr="008713C0">
        <w:t xml:space="preserve">. The study team will attempt to collect </w:t>
      </w:r>
      <w:r w:rsidR="00E73382">
        <w:t xml:space="preserve">grantee survey data from all grantees awarded grants during years 2016 through 2018 and </w:t>
      </w:r>
      <w:r w:rsidR="006D7005">
        <w:t>B</w:t>
      </w:r>
      <w:r w:rsidR="008713C0" w:rsidRPr="008713C0">
        <w:t xml:space="preserve">IF data </w:t>
      </w:r>
      <w:r w:rsidR="001A0418">
        <w:t xml:space="preserve">from every </w:t>
      </w:r>
      <w:r w:rsidR="000757C5">
        <w:t xml:space="preserve">impact </w:t>
      </w:r>
      <w:r w:rsidR="001A0418">
        <w:t>study sample member who is from the sites that will be part of the follow-up survey data collection efforts</w:t>
      </w:r>
      <w:r w:rsidR="008713C0" w:rsidRPr="008713C0">
        <w:t xml:space="preserve">. </w:t>
      </w:r>
    </w:p>
    <w:p w14:paraId="4F0B9162" w14:textId="77777777" w:rsidR="008713C0" w:rsidRPr="001160D2" w:rsidRDefault="008713C0" w:rsidP="001160D2">
      <w:pPr>
        <w:pStyle w:val="H4Number"/>
        <w:rPr>
          <w:bCs/>
        </w:rPr>
      </w:pPr>
      <w:bookmarkStart w:id="4" w:name="_Toc396726848"/>
      <w:bookmarkStart w:id="5" w:name="_Toc436939714"/>
      <w:r w:rsidRPr="001160D2">
        <w:rPr>
          <w:bCs/>
        </w:rPr>
        <w:t xml:space="preserve">3. </w:t>
      </w:r>
      <w:r w:rsidRPr="001160D2">
        <w:rPr>
          <w:bCs/>
        </w:rPr>
        <w:tab/>
        <w:t>Periodic data collection cycles to reduce burden</w:t>
      </w:r>
      <w:bookmarkEnd w:id="4"/>
      <w:bookmarkEnd w:id="5"/>
    </w:p>
    <w:p w14:paraId="545E4A06" w14:textId="1914524C" w:rsidR="008713C0" w:rsidRPr="008713C0" w:rsidRDefault="008713C0" w:rsidP="008713C0">
      <w:pPr>
        <w:spacing w:after="240" w:line="240" w:lineRule="auto"/>
      </w:pPr>
      <w:r w:rsidRPr="008713C0">
        <w:t xml:space="preserve">The grantee survey for the implementation study will be administered only once for any individual respondent. The </w:t>
      </w:r>
      <w:r w:rsidR="006D7005">
        <w:t>B</w:t>
      </w:r>
      <w:r w:rsidRPr="008713C0">
        <w:t>IF will be administered only once for any individual</w:t>
      </w:r>
      <w:r w:rsidR="00E33C86">
        <w:t xml:space="preserve"> grantee</w:t>
      </w:r>
      <w:r w:rsidRPr="008713C0">
        <w:t xml:space="preserve"> respondent. </w:t>
      </w:r>
    </w:p>
    <w:p w14:paraId="404A9B20" w14:textId="72231E66" w:rsidR="008713C0" w:rsidRPr="008713C0" w:rsidRDefault="008713C0" w:rsidP="001160D2">
      <w:pPr>
        <w:pStyle w:val="H3Alpha"/>
      </w:pPr>
      <w:bookmarkStart w:id="6" w:name="_Toc436939715"/>
      <w:r w:rsidRPr="008713C0">
        <w:t>B.3.</w:t>
      </w:r>
      <w:r w:rsidRPr="008713C0">
        <w:tab/>
        <w:t>Methods to maximize response rates and minimize nonresponse</w:t>
      </w:r>
      <w:bookmarkEnd w:id="6"/>
    </w:p>
    <w:p w14:paraId="092DF764" w14:textId="57B63E57" w:rsidR="008713C0" w:rsidRPr="008713C0" w:rsidRDefault="008713C0" w:rsidP="008713C0">
      <w:pPr>
        <w:spacing w:after="240" w:line="240" w:lineRule="auto"/>
      </w:pPr>
      <w:r w:rsidRPr="008713C0">
        <w:rPr>
          <w:bCs/>
          <w:iCs/>
        </w:rPr>
        <w:t>As their grant agreements indicate,</w:t>
      </w:r>
      <w:r w:rsidRPr="008713C0">
        <w:rPr>
          <w:b/>
          <w:bCs/>
          <w:iCs/>
        </w:rPr>
        <w:t xml:space="preserve"> </w:t>
      </w:r>
      <w:r w:rsidRPr="008713C0">
        <w:rPr>
          <w:bCs/>
          <w:iCs/>
        </w:rPr>
        <w:t xml:space="preserve">REO grantees </w:t>
      </w:r>
      <w:r w:rsidR="00142821">
        <w:rPr>
          <w:bCs/>
          <w:iCs/>
        </w:rPr>
        <w:t xml:space="preserve">and subgrantees </w:t>
      </w:r>
      <w:r w:rsidRPr="008713C0">
        <w:rPr>
          <w:bCs/>
          <w:iCs/>
        </w:rPr>
        <w:t>included in the evaluation are</w:t>
      </w:r>
      <w:r w:rsidRPr="008713C0">
        <w:t xml:space="preserve"> expected to participate in the data collection activities as a condition of their grant awards. </w:t>
      </w:r>
    </w:p>
    <w:p w14:paraId="437865DC" w14:textId="77777777" w:rsidR="008713C0" w:rsidRPr="008713C0" w:rsidRDefault="008713C0" w:rsidP="008713C0">
      <w:pPr>
        <w:spacing w:after="240" w:line="240" w:lineRule="auto"/>
      </w:pPr>
      <w:r w:rsidRPr="008713C0">
        <w:rPr>
          <w:b/>
        </w:rPr>
        <w:t xml:space="preserve">Grantee survey. </w:t>
      </w:r>
      <w:r w:rsidRPr="008713C0">
        <w:t xml:space="preserve">The study team expects to achieve a response rate of 100 percent for the grantee survey. As described above, an agreement to participate in the evaluation is a condition of receipt of REO grant funds. In addition, the study team will work with DOL to obtain its help in promoting full engagement of the grantees. The survey will be designed to be as brief as possible, with clear, easy-to-answer questions (mostly closed questions, with a few open-ended questions). An official advance letter with log-in information will be mailed to grantee sample members to legitimize the study and encourage participation. Finally, the data collection plan will include a two-stage outreach strategy for reluctant responders. Beginning in week 2 of data collection, an email reminder will be sent to those who have not responded. Beginning in week 4, the study team staff will conduct follow-up telephone calls (in addition to email reminders) to nonresponders. </w:t>
      </w:r>
    </w:p>
    <w:p w14:paraId="11159452" w14:textId="2F024923" w:rsidR="008713C0" w:rsidRPr="008713C0" w:rsidRDefault="006D7005" w:rsidP="008713C0">
      <w:pPr>
        <w:spacing w:after="240" w:line="240" w:lineRule="auto"/>
      </w:pPr>
      <w:r>
        <w:rPr>
          <w:b/>
          <w:bCs/>
          <w:iCs/>
        </w:rPr>
        <w:t>B</w:t>
      </w:r>
      <w:r w:rsidR="008713C0" w:rsidRPr="008713C0">
        <w:rPr>
          <w:b/>
          <w:bCs/>
          <w:iCs/>
        </w:rPr>
        <w:t xml:space="preserve">IF. </w:t>
      </w:r>
      <w:r w:rsidR="008713C0" w:rsidRPr="008713C0">
        <w:t xml:space="preserve">The </w:t>
      </w:r>
      <w:r w:rsidR="00C0405B">
        <w:t>baseline</w:t>
      </w:r>
      <w:r w:rsidR="00C0405B" w:rsidRPr="008713C0">
        <w:t xml:space="preserve"> </w:t>
      </w:r>
      <w:r w:rsidR="008713C0" w:rsidRPr="008713C0">
        <w:t xml:space="preserve">information forms will </w:t>
      </w:r>
      <w:r w:rsidR="008713C0" w:rsidRPr="008713C0">
        <w:rPr>
          <w:szCs w:val="22"/>
        </w:rPr>
        <w:t xml:space="preserve">be collected from </w:t>
      </w:r>
      <w:r w:rsidR="008713C0" w:rsidRPr="008713C0">
        <w:t xml:space="preserve">all eligible individuals at the sites selected for the impact study and entered into </w:t>
      </w:r>
      <w:r w:rsidR="00895450">
        <w:t xml:space="preserve">a web-based </w:t>
      </w:r>
      <w:r w:rsidR="008713C0" w:rsidRPr="008713C0">
        <w:t xml:space="preserve">system as they go through an intake process. The methods to maximize response for the intake forms will be based on approaches used successfully in many other random assignment studies (for example, the YouthBuild Evaluation, for which nearly 4,000 people were randomly assigned) to ensure that the study is clearly explained to study participants and staff and that the forms are easy to understand and complete. Staff will be thoroughly trained on how to address study participants’ questions about the forms. Grantee staff will also receive a site-specific operational procedures training prepared by the research team, contact information for members of the research team, and detailed information about the study. </w:t>
      </w:r>
    </w:p>
    <w:p w14:paraId="6C3627A6" w14:textId="13136DC0" w:rsidR="008713C0" w:rsidRPr="008713C0" w:rsidRDefault="008713C0" w:rsidP="008713C0">
      <w:pPr>
        <w:spacing w:after="240" w:line="240" w:lineRule="auto"/>
        <w:rPr>
          <w:b/>
        </w:rPr>
      </w:pPr>
      <w:r w:rsidRPr="008713C0">
        <w:rPr>
          <w:b/>
        </w:rPr>
        <w:t>Methods to ensure data reliability.</w:t>
      </w:r>
      <w:r w:rsidRPr="008713C0">
        <w:t xml:space="preserve"> Several well-proven strategies will be used to ensure the reliability of data collected from the grantee </w:t>
      </w:r>
      <w:r w:rsidR="003A44C1">
        <w:t>surveys</w:t>
      </w:r>
      <w:r w:rsidRPr="008713C0">
        <w:t xml:space="preserve">, </w:t>
      </w:r>
      <w:r w:rsidR="00C37B95">
        <w:t>key informant interviews</w:t>
      </w:r>
      <w:r w:rsidRPr="008713C0">
        <w:t xml:space="preserve">, and </w:t>
      </w:r>
      <w:r w:rsidR="005D7CAD">
        <w:t>BIFs</w:t>
      </w:r>
      <w:r w:rsidRPr="008713C0">
        <w:t>.</w:t>
      </w:r>
      <w:r w:rsidRPr="008713C0">
        <w:rPr>
          <w:b/>
        </w:rPr>
        <w:t xml:space="preserve"> </w:t>
      </w:r>
    </w:p>
    <w:p w14:paraId="749C0642" w14:textId="77777777" w:rsidR="008713C0" w:rsidRPr="008713C0" w:rsidRDefault="008713C0" w:rsidP="001160D2">
      <w:pPr>
        <w:pStyle w:val="Bullet"/>
        <w:tabs>
          <w:tab w:val="clear" w:pos="432"/>
        </w:tabs>
        <w:ind w:left="360"/>
      </w:pPr>
      <w:r w:rsidRPr="008713C0">
        <w:rPr>
          <w:b/>
        </w:rPr>
        <w:t xml:space="preserve">Grantee survey. </w:t>
      </w:r>
      <w:r w:rsidRPr="008713C0">
        <w:t xml:space="preserve">The study team </w:t>
      </w:r>
      <w:r w:rsidR="00270B97">
        <w:t>has used</w:t>
      </w:r>
      <w:r w:rsidRPr="008713C0">
        <w:t xml:space="preserve"> a systematic approach to developing the instrument to ensure the quality of the data. All respondents will be assured that reports will never identify respondents by name. </w:t>
      </w:r>
    </w:p>
    <w:p w14:paraId="4A5E849B" w14:textId="0278256B" w:rsidR="009E621B" w:rsidRDefault="006D7005" w:rsidP="00FD07AB">
      <w:pPr>
        <w:pStyle w:val="Bullet"/>
        <w:tabs>
          <w:tab w:val="clear" w:pos="432"/>
        </w:tabs>
        <w:spacing w:after="240"/>
        <w:ind w:left="360"/>
      </w:pPr>
      <w:r w:rsidRPr="00076426">
        <w:rPr>
          <w:b/>
        </w:rPr>
        <w:t>B</w:t>
      </w:r>
      <w:r w:rsidR="008713C0" w:rsidRPr="00076426">
        <w:rPr>
          <w:b/>
        </w:rPr>
        <w:t xml:space="preserve">IF. </w:t>
      </w:r>
      <w:r w:rsidR="008713C0" w:rsidRPr="008713C0">
        <w:t xml:space="preserve">The same </w:t>
      </w:r>
      <w:r>
        <w:t>B</w:t>
      </w:r>
      <w:r w:rsidR="008713C0" w:rsidRPr="008713C0">
        <w:t xml:space="preserve">IF will be used across all impact study sites to ensure consistency in the collected data. The evaluation team will have reviewed the forms extensively, and the forms </w:t>
      </w:r>
      <w:r w:rsidR="00C03D46">
        <w:t>were</w:t>
      </w:r>
      <w:r w:rsidR="008713C0" w:rsidRPr="008713C0">
        <w:t xml:space="preserve"> thoroughly tested in a pre-test involving nine individuals from nonparticipating sites. Staff will be trained on each item on the </w:t>
      </w:r>
      <w:r>
        <w:t>B</w:t>
      </w:r>
      <w:r w:rsidR="008713C0" w:rsidRPr="008713C0">
        <w:t xml:space="preserve">IF to ensure that they understand each item and will accurately record the information provided by program applicants. In addition, each participating site will have access to the web-based system for entering the information from the </w:t>
      </w:r>
      <w:r>
        <w:t>B</w:t>
      </w:r>
      <w:r w:rsidR="008713C0" w:rsidRPr="008713C0">
        <w:t>IF. To ensure complete and accurate data capture, this platform will flag missing data or data outside a valid range.</w:t>
      </w:r>
      <w:r w:rsidR="009E621B">
        <w:t xml:space="preserve"> </w:t>
      </w:r>
      <w:r w:rsidR="00EC4632">
        <w:t xml:space="preserve">Staff will be trained to </w:t>
      </w:r>
      <w:r w:rsidR="003268AC">
        <w:t>probe for valid response</w:t>
      </w:r>
      <w:r w:rsidR="00110DB4">
        <w:t xml:space="preserve">s if </w:t>
      </w:r>
      <w:r w:rsidR="00172108">
        <w:t xml:space="preserve">a </w:t>
      </w:r>
      <w:r w:rsidR="00110DB4">
        <w:t>respondent leaves an item missing</w:t>
      </w:r>
      <w:r w:rsidR="003268AC">
        <w:t>.</w:t>
      </w:r>
      <w:r w:rsidR="00110DB4">
        <w:t xml:space="preserve"> Furthermore, to ensure that the most critical pieces of information are collected on everyone, the study team will program the </w:t>
      </w:r>
      <w:r w:rsidR="00895450">
        <w:t xml:space="preserve">web-based system </w:t>
      </w:r>
      <w:r w:rsidR="00110DB4">
        <w:t>to not allow missing answers for critical items.</w:t>
      </w:r>
      <w:r w:rsidR="00E70DBA">
        <w:t xml:space="preserve"> </w:t>
      </w:r>
      <w:r w:rsidR="00E70DBA" w:rsidRPr="00E70DBA">
        <w:t xml:space="preserve">At the analysis stage, </w:t>
      </w:r>
      <w:r w:rsidR="00C81039">
        <w:t>the study team</w:t>
      </w:r>
      <w:r w:rsidR="00E70DBA" w:rsidRPr="00E70DBA">
        <w:t xml:space="preserve"> will create binary variable flags for all noncritical items with missing values and include these flags in the analyses.</w:t>
      </w:r>
      <w:r w:rsidR="003268AC">
        <w:t xml:space="preserve"> </w:t>
      </w:r>
      <w:r w:rsidR="009E621B">
        <w:t>In addition, s</w:t>
      </w:r>
      <w:r w:rsidR="009E621B" w:rsidRPr="009E621B">
        <w:t xml:space="preserve">taff will be trained on project security, including safeguards used to protect </w:t>
      </w:r>
      <w:r w:rsidR="00172108">
        <w:t>personally identifying information</w:t>
      </w:r>
      <w:r w:rsidR="009E621B" w:rsidRPr="009E621B">
        <w:t xml:space="preserve"> while collecting and storing sample member information.</w:t>
      </w:r>
    </w:p>
    <w:p w14:paraId="1F32D819" w14:textId="2EBAF786" w:rsidR="008713C0" w:rsidRPr="008713C0" w:rsidRDefault="0099769D" w:rsidP="001160D2">
      <w:pPr>
        <w:pStyle w:val="H3Alpha"/>
      </w:pPr>
      <w:bookmarkStart w:id="7" w:name="_Toc436939716"/>
      <w:r>
        <w:t>B.4.</w:t>
      </w:r>
      <w:r w:rsidR="008713C0" w:rsidRPr="008713C0">
        <w:tab/>
        <w:t>Tests of procedures or methods to be undertaken</w:t>
      </w:r>
      <w:bookmarkEnd w:id="7"/>
    </w:p>
    <w:p w14:paraId="1A8A78FB" w14:textId="27443B4F" w:rsidR="00F835A7" w:rsidRDefault="008713C0" w:rsidP="00F835A7">
      <w:pPr>
        <w:pStyle w:val="NormalSS"/>
      </w:pPr>
      <w:r w:rsidRPr="008713C0">
        <w:rPr>
          <w:b/>
        </w:rPr>
        <w:t xml:space="preserve">Grantee Survey. </w:t>
      </w:r>
      <w:r w:rsidRPr="008713C0">
        <w:t>During formal pretesting, the study team test</w:t>
      </w:r>
      <w:r w:rsidR="00F835A7">
        <w:t>ed</w:t>
      </w:r>
      <w:r w:rsidRPr="008713C0">
        <w:t xml:space="preserve"> the grantee survey with nine respondents from nonparticipating sites. </w:t>
      </w:r>
      <w:r w:rsidR="00606FD5">
        <w:t xml:space="preserve">The study team sent </w:t>
      </w:r>
      <w:r w:rsidR="00F835A7">
        <w:t xml:space="preserve">respondents </w:t>
      </w:r>
      <w:r w:rsidR="00606FD5">
        <w:t xml:space="preserve">the survey </w:t>
      </w:r>
      <w:r w:rsidR="00F835A7">
        <w:t>via email</w:t>
      </w:r>
      <w:r w:rsidR="00606FD5">
        <w:t xml:space="preserve"> and </w:t>
      </w:r>
      <w:r w:rsidR="00F835A7">
        <w:t xml:space="preserve">asked </w:t>
      </w:r>
      <w:r w:rsidR="00F835A7" w:rsidRPr="00BE27F6">
        <w:t>t</w:t>
      </w:r>
      <w:r w:rsidR="00606FD5">
        <w:t>hem to</w:t>
      </w:r>
      <w:r w:rsidR="00F835A7" w:rsidRPr="00BE27F6">
        <w:t xml:space="preserve"> complete </w:t>
      </w:r>
      <w:r w:rsidR="00606FD5">
        <w:t>it</w:t>
      </w:r>
      <w:r w:rsidR="00F835A7">
        <w:t>, scan it,</w:t>
      </w:r>
      <w:r w:rsidR="00F835A7" w:rsidRPr="00BE27F6">
        <w:t xml:space="preserve"> and </w:t>
      </w:r>
      <w:r w:rsidR="00F835A7">
        <w:t xml:space="preserve">return it </w:t>
      </w:r>
      <w:r w:rsidR="00F835A7" w:rsidRPr="00BE27F6">
        <w:t xml:space="preserve">to </w:t>
      </w:r>
      <w:r w:rsidR="00F835A7">
        <w:t xml:space="preserve">Mathematica </w:t>
      </w:r>
      <w:r w:rsidR="00F835A7" w:rsidRPr="00BE27F6">
        <w:t xml:space="preserve">by </w:t>
      </w:r>
      <w:r w:rsidR="00F835A7">
        <w:t>e</w:t>
      </w:r>
      <w:r w:rsidR="00F835A7" w:rsidRPr="00BE27F6">
        <w:t>mail</w:t>
      </w:r>
      <w:r w:rsidR="00F835A7">
        <w:t xml:space="preserve">. Respondents </w:t>
      </w:r>
      <w:r w:rsidR="00F835A7" w:rsidRPr="00BE27F6">
        <w:t xml:space="preserve">were instructed to keep a copy </w:t>
      </w:r>
      <w:r w:rsidR="00F835A7">
        <w:t xml:space="preserve">of their completed survey to reference </w:t>
      </w:r>
      <w:r w:rsidR="00F835A7" w:rsidRPr="00BE27F6">
        <w:t xml:space="preserve">during the respondent debrief. </w:t>
      </w:r>
      <w:r w:rsidR="00F835A7">
        <w:t>The debriefs were conducted by telephone using a semi-structured interview protocol.</w:t>
      </w:r>
      <w:r w:rsidR="00606FD5">
        <w:t xml:space="preserve"> Feedback from the pretests was used to clarify the wording of the instructions and questions to eliminate questions that respondents found overly burdensome. The updated grantee survey is included as a supporting document. </w:t>
      </w:r>
    </w:p>
    <w:p w14:paraId="48D62848" w14:textId="0F41A6C2" w:rsidR="008713C0" w:rsidRPr="008713C0" w:rsidRDefault="005D7CAD" w:rsidP="008713C0">
      <w:pPr>
        <w:spacing w:after="240" w:line="240" w:lineRule="auto"/>
        <w:rPr>
          <w:szCs w:val="24"/>
        </w:rPr>
      </w:pPr>
      <w:r>
        <w:rPr>
          <w:b/>
          <w:szCs w:val="24"/>
        </w:rPr>
        <w:t>BIF</w:t>
      </w:r>
      <w:r w:rsidR="008713C0" w:rsidRPr="008713C0">
        <w:rPr>
          <w:b/>
          <w:szCs w:val="24"/>
        </w:rPr>
        <w:t xml:space="preserve">. </w:t>
      </w:r>
      <w:r w:rsidR="008713C0" w:rsidRPr="008713C0">
        <w:rPr>
          <w:szCs w:val="24"/>
        </w:rPr>
        <w:t xml:space="preserve">The </w:t>
      </w:r>
      <w:r>
        <w:rPr>
          <w:szCs w:val="24"/>
        </w:rPr>
        <w:t>B</w:t>
      </w:r>
      <w:r w:rsidR="008713C0" w:rsidRPr="008713C0">
        <w:rPr>
          <w:szCs w:val="24"/>
        </w:rPr>
        <w:t xml:space="preserve">IF </w:t>
      </w:r>
      <w:r w:rsidR="00606FD5">
        <w:rPr>
          <w:szCs w:val="24"/>
        </w:rPr>
        <w:t xml:space="preserve">was tested </w:t>
      </w:r>
      <w:r w:rsidR="008713C0" w:rsidRPr="008713C0">
        <w:rPr>
          <w:szCs w:val="24"/>
        </w:rPr>
        <w:t>with nine individuals</w:t>
      </w:r>
      <w:r w:rsidR="003668C5" w:rsidRPr="003668C5">
        <w:rPr>
          <w:szCs w:val="24"/>
        </w:rPr>
        <w:t xml:space="preserve"> from the year 2017 grantees so </w:t>
      </w:r>
      <w:r w:rsidR="00F63FEC">
        <w:rPr>
          <w:szCs w:val="24"/>
        </w:rPr>
        <w:t xml:space="preserve">that </w:t>
      </w:r>
      <w:r w:rsidR="003668C5" w:rsidRPr="003668C5">
        <w:rPr>
          <w:szCs w:val="24"/>
        </w:rPr>
        <w:t xml:space="preserve">the pretest participants most closely approximated </w:t>
      </w:r>
      <w:r w:rsidR="002C71DF">
        <w:rPr>
          <w:szCs w:val="24"/>
        </w:rPr>
        <w:t>the</w:t>
      </w:r>
      <w:r w:rsidR="003668C5" w:rsidRPr="003668C5">
        <w:rPr>
          <w:szCs w:val="24"/>
        </w:rPr>
        <w:t xml:space="preserve"> </w:t>
      </w:r>
      <w:r w:rsidR="00F63FEC">
        <w:rPr>
          <w:szCs w:val="24"/>
        </w:rPr>
        <w:t xml:space="preserve">future </w:t>
      </w:r>
      <w:r w:rsidR="003668C5" w:rsidRPr="003668C5">
        <w:rPr>
          <w:szCs w:val="24"/>
        </w:rPr>
        <w:t xml:space="preserve">study sample.  </w:t>
      </w:r>
      <w:r w:rsidR="003668C5">
        <w:rPr>
          <w:szCs w:val="24"/>
        </w:rPr>
        <w:t xml:space="preserve">The pretest sample included </w:t>
      </w:r>
      <w:r w:rsidR="003668C5" w:rsidRPr="003668C5">
        <w:rPr>
          <w:szCs w:val="24"/>
        </w:rPr>
        <w:t xml:space="preserve">respondents from an adult, Training to Work program, and a young adult, Reentry Project </w:t>
      </w:r>
      <w:r w:rsidR="003668C5">
        <w:rPr>
          <w:szCs w:val="24"/>
        </w:rPr>
        <w:t xml:space="preserve">and </w:t>
      </w:r>
      <w:r w:rsidR="00F63FEC">
        <w:rPr>
          <w:szCs w:val="24"/>
        </w:rPr>
        <w:t xml:space="preserve">the sample was </w:t>
      </w:r>
      <w:r w:rsidR="003668C5" w:rsidRPr="003668C5">
        <w:rPr>
          <w:szCs w:val="24"/>
        </w:rPr>
        <w:t xml:space="preserve">diverse in terms of age, work, and incarceration experiences. </w:t>
      </w:r>
      <w:r w:rsidR="00F63FEC">
        <w:rPr>
          <w:szCs w:val="24"/>
        </w:rPr>
        <w:t>The BIF</w:t>
      </w:r>
      <w:r w:rsidR="00606FD5">
        <w:rPr>
          <w:szCs w:val="24"/>
        </w:rPr>
        <w:t xml:space="preserve"> pretests</w:t>
      </w:r>
      <w:r w:rsidR="008713C0" w:rsidRPr="008713C0">
        <w:rPr>
          <w:szCs w:val="24"/>
        </w:rPr>
        <w:t xml:space="preserve"> </w:t>
      </w:r>
      <w:r w:rsidR="00606FD5" w:rsidRPr="00606FD5">
        <w:rPr>
          <w:szCs w:val="24"/>
        </w:rPr>
        <w:t xml:space="preserve">were </w:t>
      </w:r>
      <w:r w:rsidR="00606FD5">
        <w:rPr>
          <w:szCs w:val="24"/>
        </w:rPr>
        <w:t xml:space="preserve">conducted </w:t>
      </w:r>
      <w:r w:rsidR="00606FD5" w:rsidRPr="00606FD5">
        <w:rPr>
          <w:szCs w:val="24"/>
        </w:rPr>
        <w:t xml:space="preserve">in-person to ensure that </w:t>
      </w:r>
      <w:r w:rsidR="00606FD5">
        <w:rPr>
          <w:szCs w:val="24"/>
        </w:rPr>
        <w:t xml:space="preserve">the study team </w:t>
      </w:r>
      <w:r w:rsidR="00606FD5" w:rsidRPr="00606FD5">
        <w:rPr>
          <w:szCs w:val="24"/>
        </w:rPr>
        <w:t xml:space="preserve">could gauge participants’ reactions and ease of completing and understanding the instrument. </w:t>
      </w:r>
      <w:r w:rsidR="00FE42C5">
        <w:rPr>
          <w:szCs w:val="24"/>
        </w:rPr>
        <w:t xml:space="preserve">For example, the pretests allowed the study team to observe whether the respondents took longer to answer specific questions or if they gave other non-verbal signs that they found specific questions difficult to understand or answer. </w:t>
      </w:r>
      <w:r w:rsidR="00606FD5" w:rsidRPr="00606FD5">
        <w:rPr>
          <w:szCs w:val="24"/>
        </w:rPr>
        <w:t>Each pretest respondent was asked to complete the BIF</w:t>
      </w:r>
      <w:r w:rsidR="00F63FEC">
        <w:rPr>
          <w:szCs w:val="24"/>
        </w:rPr>
        <w:t>, and a</w:t>
      </w:r>
      <w:r w:rsidR="00606FD5" w:rsidRPr="00606FD5">
        <w:rPr>
          <w:szCs w:val="24"/>
        </w:rPr>
        <w:t xml:space="preserve">fterwards, </w:t>
      </w:r>
      <w:r w:rsidR="00606FD5">
        <w:rPr>
          <w:szCs w:val="24"/>
        </w:rPr>
        <w:t xml:space="preserve">a member of the study team </w:t>
      </w:r>
      <w:r w:rsidR="00606FD5" w:rsidRPr="00606FD5">
        <w:rPr>
          <w:szCs w:val="24"/>
        </w:rPr>
        <w:t xml:space="preserve">debriefed with </w:t>
      </w:r>
      <w:r w:rsidR="00F63FEC">
        <w:rPr>
          <w:szCs w:val="24"/>
        </w:rPr>
        <w:t xml:space="preserve">them </w:t>
      </w:r>
      <w:r w:rsidR="00606FD5" w:rsidRPr="00606FD5">
        <w:rPr>
          <w:szCs w:val="24"/>
        </w:rPr>
        <w:t xml:space="preserve">to get their overall comments and to </w:t>
      </w:r>
      <w:r w:rsidR="00FE42C5">
        <w:rPr>
          <w:szCs w:val="24"/>
        </w:rPr>
        <w:t xml:space="preserve">further </w:t>
      </w:r>
      <w:r w:rsidR="00606FD5" w:rsidRPr="00606FD5">
        <w:rPr>
          <w:szCs w:val="24"/>
        </w:rPr>
        <w:t>assess their understanding of key questions and terms.</w:t>
      </w:r>
      <w:bookmarkStart w:id="8" w:name="_Toc436939717"/>
      <w:r w:rsidR="003668C5" w:rsidRPr="003668C5">
        <w:t xml:space="preserve"> </w:t>
      </w:r>
      <w:r w:rsidR="003668C5" w:rsidRPr="003668C5">
        <w:rPr>
          <w:szCs w:val="24"/>
        </w:rPr>
        <w:t xml:space="preserve">Feedback from the </w:t>
      </w:r>
      <w:r w:rsidR="003668C5">
        <w:rPr>
          <w:szCs w:val="24"/>
        </w:rPr>
        <w:t xml:space="preserve">BIF </w:t>
      </w:r>
      <w:r w:rsidR="003668C5" w:rsidRPr="003668C5">
        <w:rPr>
          <w:szCs w:val="24"/>
        </w:rPr>
        <w:t>pretests was used to clarify the question</w:t>
      </w:r>
      <w:r w:rsidR="003668C5">
        <w:rPr>
          <w:szCs w:val="24"/>
        </w:rPr>
        <w:t xml:space="preserve"> text and remove </w:t>
      </w:r>
      <w:r w:rsidR="003668C5" w:rsidRPr="003668C5">
        <w:rPr>
          <w:szCs w:val="24"/>
        </w:rPr>
        <w:t xml:space="preserve">questions that respondents </w:t>
      </w:r>
      <w:r w:rsidR="003668C5">
        <w:rPr>
          <w:szCs w:val="24"/>
        </w:rPr>
        <w:t xml:space="preserve">consistently left blank. </w:t>
      </w:r>
      <w:r w:rsidR="003668C5" w:rsidRPr="003668C5">
        <w:rPr>
          <w:szCs w:val="24"/>
        </w:rPr>
        <w:t xml:space="preserve">The updated </w:t>
      </w:r>
      <w:r w:rsidR="003668C5">
        <w:rPr>
          <w:szCs w:val="24"/>
        </w:rPr>
        <w:t>BIF</w:t>
      </w:r>
      <w:r w:rsidR="003668C5" w:rsidRPr="003668C5">
        <w:rPr>
          <w:szCs w:val="24"/>
        </w:rPr>
        <w:t xml:space="preserve"> is included as a supporting document.</w:t>
      </w:r>
    </w:p>
    <w:p w14:paraId="5AD4367C" w14:textId="77777777" w:rsidR="008713C0" w:rsidRPr="008713C0" w:rsidRDefault="008713C0" w:rsidP="001160D2">
      <w:pPr>
        <w:pStyle w:val="H3Alpha"/>
      </w:pPr>
      <w:r w:rsidRPr="008713C0">
        <w:t>B.5.</w:t>
      </w:r>
      <w:r w:rsidRPr="008713C0">
        <w:tab/>
        <w:t>Individuals consulted on statistical aspects of design and on collecting and/or analyzing data</w:t>
      </w:r>
      <w:bookmarkEnd w:id="8"/>
    </w:p>
    <w:p w14:paraId="3BA23570" w14:textId="412CB71E" w:rsidR="00BD7CDD" w:rsidRPr="008713C0" w:rsidRDefault="008713C0" w:rsidP="008713C0">
      <w:pPr>
        <w:spacing w:after="240" w:line="240" w:lineRule="auto"/>
      </w:pPr>
      <w:r w:rsidRPr="008713C0">
        <w:t>Consultations on the statistical methods used in this study were part of the study design phase to ensure technical soundness. The individuals listed in Table B.</w:t>
      </w:r>
      <w:r w:rsidR="00354838">
        <w:t>3</w:t>
      </w:r>
      <w:r w:rsidR="00354838" w:rsidRPr="008713C0">
        <w:t xml:space="preserve"> </w:t>
      </w:r>
      <w:r w:rsidRPr="008713C0">
        <w:t>were consulted on the statistical methods discussed in this submission to the Office of Management and Budget.</w:t>
      </w:r>
    </w:p>
    <w:p w14:paraId="67A943C8" w14:textId="6B79E139" w:rsidR="008713C0" w:rsidRPr="008713C0" w:rsidRDefault="008713C0" w:rsidP="001160D2">
      <w:pPr>
        <w:pStyle w:val="MarkforTableTitle"/>
        <w:rPr>
          <w:szCs w:val="24"/>
        </w:rPr>
      </w:pPr>
      <w:r w:rsidRPr="008713C0">
        <w:t>Table B.</w:t>
      </w:r>
      <w:r w:rsidR="00354838">
        <w:t>3</w:t>
      </w:r>
      <w:r w:rsidRPr="008713C0">
        <w:t xml:space="preserve">. Individuals who were consulted for the REO evaluation </w:t>
      </w:r>
    </w:p>
    <w:tbl>
      <w:tblPr>
        <w:tblW w:w="5000" w:type="pct"/>
        <w:tblCellMar>
          <w:left w:w="0" w:type="dxa"/>
          <w:right w:w="0" w:type="dxa"/>
        </w:tblCellMar>
        <w:tblLook w:val="04A0" w:firstRow="1" w:lastRow="0" w:firstColumn="1" w:lastColumn="0" w:noHBand="0" w:noVBand="1"/>
      </w:tblPr>
      <w:tblGrid>
        <w:gridCol w:w="3374"/>
        <w:gridCol w:w="3101"/>
        <w:gridCol w:w="3101"/>
      </w:tblGrid>
      <w:tr w:rsidR="008713C0" w:rsidRPr="008713C0" w14:paraId="4D1E99C5" w14:textId="77777777" w:rsidTr="00A35B99">
        <w:trPr>
          <w:cantSplit/>
        </w:trPr>
        <w:tc>
          <w:tcPr>
            <w:tcW w:w="1762" w:type="pct"/>
            <w:tcBorders>
              <w:top w:val="single" w:sz="4" w:space="0" w:color="auto"/>
              <w:left w:val="nil"/>
              <w:right w:val="nil"/>
            </w:tcBorders>
            <w:tcMar>
              <w:top w:w="0" w:type="dxa"/>
              <w:left w:w="108" w:type="dxa"/>
              <w:bottom w:w="0" w:type="dxa"/>
              <w:right w:w="108" w:type="dxa"/>
            </w:tcMar>
            <w:hideMark/>
          </w:tcPr>
          <w:p w14:paraId="639A2BF7" w14:textId="31DEDC4E" w:rsidR="008713C0" w:rsidRPr="008713C0" w:rsidRDefault="008713C0" w:rsidP="009129D1">
            <w:pPr>
              <w:keepNext/>
              <w:keepLines/>
              <w:spacing w:before="40" w:after="40" w:line="240" w:lineRule="auto"/>
              <w:ind w:firstLine="0"/>
              <w:rPr>
                <w:rFonts w:ascii="Arial" w:hAnsi="Arial" w:cs="Arial"/>
                <w:sz w:val="18"/>
                <w:szCs w:val="18"/>
              </w:rPr>
            </w:pPr>
            <w:r w:rsidRPr="008713C0">
              <w:rPr>
                <w:rFonts w:ascii="Arial" w:hAnsi="Arial" w:cs="Arial"/>
                <w:sz w:val="18"/>
                <w:szCs w:val="18"/>
              </w:rPr>
              <w:t>Mathematica Policy Research</w:t>
            </w:r>
            <w:r w:rsidRPr="008713C0">
              <w:rPr>
                <w:rFonts w:ascii="Arial" w:hAnsi="Arial" w:cs="Arial"/>
                <w:sz w:val="18"/>
                <w:szCs w:val="18"/>
              </w:rPr>
              <w:br/>
            </w:r>
            <w:r w:rsidRPr="008713C0">
              <w:rPr>
                <w:rFonts w:ascii="Arial" w:hAnsi="Arial" w:cs="Arial"/>
                <w:color w:val="000000"/>
                <w:sz w:val="18"/>
                <w:szCs w:val="18"/>
                <w:shd w:val="clear" w:color="auto" w:fill="FFFFFF"/>
              </w:rPr>
              <w:t>P.O. Box 2393</w:t>
            </w:r>
            <w:r w:rsidRPr="008713C0">
              <w:rPr>
                <w:rFonts w:ascii="Arial" w:hAnsi="Arial" w:cs="Arial"/>
                <w:color w:val="000000"/>
                <w:sz w:val="18"/>
                <w:szCs w:val="18"/>
              </w:rPr>
              <w:br/>
            </w:r>
            <w:r w:rsidRPr="008713C0">
              <w:rPr>
                <w:rFonts w:ascii="Arial" w:hAnsi="Arial" w:cs="Arial"/>
                <w:color w:val="000000"/>
                <w:sz w:val="18"/>
                <w:szCs w:val="18"/>
                <w:shd w:val="clear" w:color="auto" w:fill="FFFFFF"/>
              </w:rPr>
              <w:t>Princeton, NJ 08543-2393</w:t>
            </w:r>
          </w:p>
        </w:tc>
        <w:tc>
          <w:tcPr>
            <w:tcW w:w="1619" w:type="pct"/>
            <w:tcBorders>
              <w:top w:val="single" w:sz="4" w:space="0" w:color="auto"/>
              <w:left w:val="nil"/>
              <w:right w:val="nil"/>
            </w:tcBorders>
          </w:tcPr>
          <w:p w14:paraId="2C959A8B" w14:textId="227BD245" w:rsidR="008713C0" w:rsidRPr="008713C0" w:rsidRDefault="008713C0" w:rsidP="00C81039">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 xml:space="preserve">Project </w:t>
            </w:r>
            <w:r w:rsidR="00C81039">
              <w:rPr>
                <w:rFonts w:ascii="Arial" w:hAnsi="Arial" w:cs="Arial"/>
                <w:sz w:val="18"/>
                <w:szCs w:val="18"/>
              </w:rPr>
              <w:t>d</w:t>
            </w:r>
            <w:r w:rsidRPr="008713C0">
              <w:rPr>
                <w:rFonts w:ascii="Arial" w:hAnsi="Arial" w:cs="Arial"/>
                <w:sz w:val="18"/>
                <w:szCs w:val="18"/>
              </w:rPr>
              <w:t xml:space="preserve">irector </w:t>
            </w:r>
          </w:p>
        </w:tc>
        <w:tc>
          <w:tcPr>
            <w:tcW w:w="1619" w:type="pct"/>
            <w:tcBorders>
              <w:top w:val="single" w:sz="4" w:space="0" w:color="auto"/>
              <w:left w:val="nil"/>
              <w:right w:val="nil"/>
            </w:tcBorders>
            <w:tcMar>
              <w:top w:w="0" w:type="dxa"/>
              <w:left w:w="108" w:type="dxa"/>
              <w:bottom w:w="0" w:type="dxa"/>
              <w:right w:w="108" w:type="dxa"/>
            </w:tcMar>
            <w:hideMark/>
          </w:tcPr>
          <w:p w14:paraId="02568AFC" w14:textId="77777777" w:rsidR="008713C0" w:rsidRPr="008713C0" w:rsidRDefault="008713C0" w:rsidP="008713C0">
            <w:pPr>
              <w:keepNext/>
              <w:keepLines/>
              <w:spacing w:before="40" w:after="40" w:line="240" w:lineRule="auto"/>
              <w:ind w:firstLine="0"/>
              <w:rPr>
                <w:rFonts w:ascii="Arial" w:hAnsi="Arial" w:cs="Arial"/>
                <w:sz w:val="18"/>
                <w:szCs w:val="18"/>
              </w:rPr>
            </w:pPr>
            <w:r w:rsidRPr="008713C0">
              <w:rPr>
                <w:rFonts w:ascii="Arial" w:hAnsi="Arial" w:cs="Arial"/>
                <w:sz w:val="18"/>
                <w:szCs w:val="18"/>
              </w:rPr>
              <w:t>Dr. Karen Needels</w:t>
            </w:r>
            <w:r w:rsidRPr="008713C0">
              <w:rPr>
                <w:rFonts w:ascii="Arial" w:hAnsi="Arial" w:cs="Arial"/>
                <w:sz w:val="18"/>
                <w:szCs w:val="18"/>
              </w:rPr>
              <w:br/>
              <w:t>Senior Researcher</w:t>
            </w:r>
            <w:r w:rsidRPr="008713C0">
              <w:rPr>
                <w:rFonts w:ascii="Arial" w:hAnsi="Arial" w:cs="Arial"/>
                <w:sz w:val="18"/>
                <w:szCs w:val="18"/>
              </w:rPr>
              <w:br/>
              <w:t>(609) 750-4043</w:t>
            </w:r>
          </w:p>
        </w:tc>
      </w:tr>
      <w:tr w:rsidR="008713C0" w:rsidRPr="008713C0" w14:paraId="1A5A0CB9" w14:textId="77777777" w:rsidTr="00A35B99">
        <w:trPr>
          <w:cantSplit/>
        </w:trPr>
        <w:tc>
          <w:tcPr>
            <w:tcW w:w="1762" w:type="pct"/>
            <w:tcBorders>
              <w:left w:val="nil"/>
              <w:right w:val="nil"/>
            </w:tcBorders>
            <w:tcMar>
              <w:top w:w="0" w:type="dxa"/>
              <w:left w:w="108" w:type="dxa"/>
              <w:bottom w:w="0" w:type="dxa"/>
              <w:right w:w="108" w:type="dxa"/>
            </w:tcMar>
          </w:tcPr>
          <w:p w14:paraId="29FE0B90" w14:textId="41F97B1A" w:rsidR="008713C0" w:rsidRPr="008713C0" w:rsidRDefault="009129D1" w:rsidP="008713C0">
            <w:pPr>
              <w:keepNext/>
              <w:keepLines/>
              <w:spacing w:before="40" w:after="40" w:line="240" w:lineRule="auto"/>
              <w:ind w:firstLine="0"/>
              <w:rPr>
                <w:rFonts w:ascii="Arial" w:hAnsi="Arial" w:cs="Arial"/>
                <w:sz w:val="18"/>
                <w:szCs w:val="18"/>
              </w:rPr>
            </w:pPr>
            <w:r w:rsidRPr="008713C0">
              <w:rPr>
                <w:rFonts w:ascii="Arial" w:hAnsi="Arial" w:cs="Arial"/>
                <w:color w:val="000000"/>
                <w:sz w:val="18"/>
                <w:szCs w:val="18"/>
                <w:shd w:val="clear" w:color="auto" w:fill="FFFFFF"/>
              </w:rPr>
              <w:t>(609) 799-3535</w:t>
            </w:r>
          </w:p>
        </w:tc>
        <w:tc>
          <w:tcPr>
            <w:tcW w:w="1619" w:type="pct"/>
            <w:tcBorders>
              <w:left w:val="nil"/>
              <w:right w:val="nil"/>
            </w:tcBorders>
          </w:tcPr>
          <w:p w14:paraId="120E5A7F" w14:textId="033E6B06" w:rsidR="008713C0" w:rsidRPr="008713C0" w:rsidRDefault="008713C0" w:rsidP="00C81039">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 xml:space="preserve">Survey </w:t>
            </w:r>
            <w:r w:rsidR="00C81039">
              <w:rPr>
                <w:rFonts w:ascii="Arial" w:hAnsi="Arial" w:cs="Arial"/>
                <w:sz w:val="18"/>
                <w:szCs w:val="18"/>
              </w:rPr>
              <w:t>d</w:t>
            </w:r>
            <w:r w:rsidRPr="008713C0">
              <w:rPr>
                <w:rFonts w:ascii="Arial" w:hAnsi="Arial" w:cs="Arial"/>
                <w:sz w:val="18"/>
                <w:szCs w:val="18"/>
              </w:rPr>
              <w:t>irector</w:t>
            </w:r>
          </w:p>
        </w:tc>
        <w:tc>
          <w:tcPr>
            <w:tcW w:w="1619" w:type="pct"/>
            <w:tcBorders>
              <w:left w:val="nil"/>
              <w:right w:val="nil"/>
            </w:tcBorders>
            <w:tcMar>
              <w:top w:w="0" w:type="dxa"/>
              <w:left w:w="108" w:type="dxa"/>
              <w:bottom w:w="0" w:type="dxa"/>
              <w:right w:w="108" w:type="dxa"/>
            </w:tcMar>
          </w:tcPr>
          <w:p w14:paraId="4BB2830B" w14:textId="3DC2340E" w:rsidR="008713C0" w:rsidRPr="008713C0" w:rsidRDefault="00FE42C5" w:rsidP="008713C0">
            <w:pPr>
              <w:keepNext/>
              <w:keepLines/>
              <w:spacing w:before="40" w:after="40" w:line="240" w:lineRule="auto"/>
              <w:ind w:firstLine="0"/>
              <w:rPr>
                <w:rFonts w:ascii="Arial" w:hAnsi="Arial" w:cs="Arial"/>
                <w:sz w:val="18"/>
                <w:szCs w:val="18"/>
              </w:rPr>
            </w:pPr>
            <w:r>
              <w:rPr>
                <w:rFonts w:ascii="Arial" w:hAnsi="Arial" w:cs="Arial"/>
                <w:sz w:val="18"/>
                <w:szCs w:val="18"/>
              </w:rPr>
              <w:t>Dr</w:t>
            </w:r>
            <w:r w:rsidR="008713C0" w:rsidRPr="008713C0">
              <w:rPr>
                <w:rFonts w:ascii="Arial" w:hAnsi="Arial" w:cs="Arial"/>
                <w:sz w:val="18"/>
                <w:szCs w:val="18"/>
              </w:rPr>
              <w:t>. Jillian Stein</w:t>
            </w:r>
            <w:r w:rsidR="008713C0" w:rsidRPr="008713C0">
              <w:rPr>
                <w:rFonts w:ascii="Arial" w:hAnsi="Arial" w:cs="Arial"/>
                <w:sz w:val="18"/>
                <w:szCs w:val="18"/>
              </w:rPr>
              <w:br/>
              <w:t>Survey Researcher</w:t>
            </w:r>
            <w:r w:rsidR="008713C0" w:rsidRPr="008713C0">
              <w:rPr>
                <w:rFonts w:ascii="Arial" w:hAnsi="Arial" w:cs="Arial"/>
                <w:sz w:val="18"/>
                <w:szCs w:val="18"/>
              </w:rPr>
              <w:br/>
              <w:t>(609) 716-4395</w:t>
            </w:r>
          </w:p>
        </w:tc>
      </w:tr>
      <w:tr w:rsidR="008713C0" w:rsidRPr="008713C0" w14:paraId="39FF7A98" w14:textId="77777777" w:rsidTr="00A35B99">
        <w:trPr>
          <w:cantSplit/>
        </w:trPr>
        <w:tc>
          <w:tcPr>
            <w:tcW w:w="1762" w:type="pct"/>
            <w:tcBorders>
              <w:left w:val="nil"/>
              <w:right w:val="nil"/>
            </w:tcBorders>
            <w:tcMar>
              <w:top w:w="0" w:type="dxa"/>
              <w:left w:w="108" w:type="dxa"/>
              <w:bottom w:w="0" w:type="dxa"/>
              <w:right w:w="108" w:type="dxa"/>
            </w:tcMar>
          </w:tcPr>
          <w:p w14:paraId="0BA6D2E0" w14:textId="77777777" w:rsidR="008713C0" w:rsidRPr="008713C0" w:rsidRDefault="008713C0" w:rsidP="008713C0">
            <w:pPr>
              <w:keepNext/>
              <w:keepLines/>
              <w:spacing w:before="40" w:after="40" w:line="240" w:lineRule="auto"/>
              <w:ind w:firstLine="0"/>
              <w:rPr>
                <w:rFonts w:ascii="Arial" w:hAnsi="Arial" w:cs="Arial"/>
                <w:sz w:val="18"/>
                <w:szCs w:val="18"/>
              </w:rPr>
            </w:pPr>
          </w:p>
        </w:tc>
        <w:tc>
          <w:tcPr>
            <w:tcW w:w="1619" w:type="pct"/>
            <w:tcBorders>
              <w:left w:val="nil"/>
              <w:right w:val="nil"/>
            </w:tcBorders>
          </w:tcPr>
          <w:p w14:paraId="19F4A1A9" w14:textId="77777777" w:rsidR="008713C0" w:rsidRPr="008713C0" w:rsidRDefault="008713C0" w:rsidP="001160D2">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Site selection task lead</w:t>
            </w:r>
          </w:p>
        </w:tc>
        <w:tc>
          <w:tcPr>
            <w:tcW w:w="1619" w:type="pct"/>
            <w:tcBorders>
              <w:left w:val="nil"/>
              <w:right w:val="nil"/>
            </w:tcBorders>
            <w:tcMar>
              <w:top w:w="0" w:type="dxa"/>
              <w:left w:w="108" w:type="dxa"/>
              <w:bottom w:w="0" w:type="dxa"/>
              <w:right w:w="108" w:type="dxa"/>
            </w:tcMar>
          </w:tcPr>
          <w:p w14:paraId="58EA9268" w14:textId="77777777" w:rsidR="008713C0" w:rsidRPr="008713C0" w:rsidRDefault="008713C0" w:rsidP="008713C0">
            <w:pPr>
              <w:keepNext/>
              <w:keepLines/>
              <w:spacing w:before="40" w:after="40" w:line="240" w:lineRule="auto"/>
              <w:ind w:firstLine="0"/>
              <w:rPr>
                <w:rFonts w:ascii="Arial" w:hAnsi="Arial" w:cs="Arial"/>
                <w:sz w:val="18"/>
                <w:szCs w:val="18"/>
              </w:rPr>
            </w:pPr>
            <w:r w:rsidRPr="008713C0">
              <w:rPr>
                <w:rFonts w:ascii="Arial" w:hAnsi="Arial" w:cs="Arial"/>
                <w:sz w:val="18"/>
                <w:szCs w:val="18"/>
              </w:rPr>
              <w:t>Dr. Johanna Lacoe</w:t>
            </w:r>
            <w:r w:rsidRPr="008713C0">
              <w:rPr>
                <w:rFonts w:ascii="Arial" w:hAnsi="Arial" w:cs="Arial"/>
                <w:sz w:val="18"/>
                <w:szCs w:val="18"/>
              </w:rPr>
              <w:br/>
              <w:t>Researcher</w:t>
            </w:r>
            <w:r w:rsidRPr="008713C0">
              <w:rPr>
                <w:rFonts w:ascii="Arial" w:hAnsi="Arial" w:cs="Arial"/>
                <w:sz w:val="18"/>
                <w:szCs w:val="18"/>
              </w:rPr>
              <w:br/>
              <w:t>(510) 285-4618</w:t>
            </w:r>
          </w:p>
        </w:tc>
      </w:tr>
      <w:tr w:rsidR="008713C0" w:rsidRPr="008713C0" w14:paraId="05608262" w14:textId="77777777" w:rsidTr="00A35B99">
        <w:trPr>
          <w:cantSplit/>
        </w:trPr>
        <w:tc>
          <w:tcPr>
            <w:tcW w:w="1762" w:type="pct"/>
            <w:tcBorders>
              <w:left w:val="nil"/>
              <w:bottom w:val="single" w:sz="4" w:space="0" w:color="BFBFBF" w:themeColor="background1" w:themeShade="BF"/>
              <w:right w:val="nil"/>
            </w:tcBorders>
            <w:tcMar>
              <w:top w:w="0" w:type="dxa"/>
              <w:left w:w="108" w:type="dxa"/>
              <w:bottom w:w="0" w:type="dxa"/>
              <w:right w:w="108" w:type="dxa"/>
            </w:tcMar>
          </w:tcPr>
          <w:p w14:paraId="190EF8C1" w14:textId="77777777" w:rsidR="008713C0" w:rsidRPr="008713C0" w:rsidRDefault="008713C0" w:rsidP="008713C0">
            <w:pPr>
              <w:keepNext/>
              <w:keepLines/>
              <w:spacing w:before="40" w:after="40" w:line="240" w:lineRule="auto"/>
              <w:ind w:firstLine="0"/>
              <w:rPr>
                <w:rFonts w:ascii="Arial" w:hAnsi="Arial" w:cs="Arial"/>
                <w:sz w:val="18"/>
                <w:szCs w:val="18"/>
              </w:rPr>
            </w:pPr>
          </w:p>
        </w:tc>
        <w:tc>
          <w:tcPr>
            <w:tcW w:w="1619" w:type="pct"/>
            <w:tcBorders>
              <w:left w:val="nil"/>
              <w:bottom w:val="single" w:sz="4" w:space="0" w:color="BFBFBF" w:themeColor="background1" w:themeShade="BF"/>
              <w:right w:val="nil"/>
            </w:tcBorders>
          </w:tcPr>
          <w:p w14:paraId="6E69CE4A" w14:textId="6B68A436" w:rsidR="008713C0" w:rsidRPr="008713C0" w:rsidRDefault="008713C0" w:rsidP="00C81039">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 xml:space="preserve">Quality </w:t>
            </w:r>
            <w:r w:rsidR="00C81039">
              <w:rPr>
                <w:rFonts w:ascii="Arial" w:hAnsi="Arial" w:cs="Arial"/>
                <w:sz w:val="18"/>
                <w:szCs w:val="18"/>
              </w:rPr>
              <w:t>a</w:t>
            </w:r>
            <w:r w:rsidRPr="008713C0">
              <w:rPr>
                <w:rFonts w:ascii="Arial" w:hAnsi="Arial" w:cs="Arial"/>
                <w:sz w:val="18"/>
                <w:szCs w:val="18"/>
              </w:rPr>
              <w:t xml:space="preserve">ssurance </w:t>
            </w:r>
            <w:r w:rsidR="00C81039">
              <w:rPr>
                <w:rFonts w:ascii="Arial" w:hAnsi="Arial" w:cs="Arial"/>
                <w:sz w:val="18"/>
                <w:szCs w:val="18"/>
              </w:rPr>
              <w:t>r</w:t>
            </w:r>
            <w:r w:rsidRPr="008713C0">
              <w:rPr>
                <w:rFonts w:ascii="Arial" w:hAnsi="Arial" w:cs="Arial"/>
                <w:sz w:val="18"/>
                <w:szCs w:val="18"/>
              </w:rPr>
              <w:t>eviewer</w:t>
            </w:r>
          </w:p>
        </w:tc>
        <w:tc>
          <w:tcPr>
            <w:tcW w:w="1619" w:type="pct"/>
            <w:tcBorders>
              <w:left w:val="nil"/>
              <w:bottom w:val="single" w:sz="4" w:space="0" w:color="BFBFBF" w:themeColor="background1" w:themeShade="BF"/>
              <w:right w:val="nil"/>
            </w:tcBorders>
            <w:tcMar>
              <w:top w:w="0" w:type="dxa"/>
              <w:left w:w="108" w:type="dxa"/>
              <w:bottom w:w="0" w:type="dxa"/>
              <w:right w:w="108" w:type="dxa"/>
            </w:tcMar>
          </w:tcPr>
          <w:p w14:paraId="6C1BE657" w14:textId="77777777" w:rsidR="008713C0" w:rsidRPr="008713C0" w:rsidRDefault="008713C0" w:rsidP="008713C0">
            <w:pPr>
              <w:keepNext/>
              <w:keepLines/>
              <w:spacing w:before="40" w:after="40" w:line="240" w:lineRule="auto"/>
              <w:ind w:firstLine="0"/>
              <w:rPr>
                <w:rFonts w:ascii="Arial" w:hAnsi="Arial" w:cs="Arial"/>
                <w:sz w:val="18"/>
                <w:szCs w:val="18"/>
              </w:rPr>
            </w:pPr>
            <w:r w:rsidRPr="008713C0">
              <w:rPr>
                <w:rFonts w:ascii="Arial" w:hAnsi="Arial" w:cs="Arial"/>
                <w:sz w:val="18"/>
                <w:szCs w:val="18"/>
              </w:rPr>
              <w:t>Dr. Jillian Berk</w:t>
            </w:r>
            <w:r w:rsidRPr="008713C0">
              <w:rPr>
                <w:rFonts w:ascii="Arial" w:hAnsi="Arial" w:cs="Arial"/>
                <w:sz w:val="18"/>
                <w:szCs w:val="18"/>
              </w:rPr>
              <w:br/>
              <w:t>Associate Director</w:t>
            </w:r>
            <w:r w:rsidRPr="008713C0">
              <w:rPr>
                <w:rFonts w:ascii="Arial" w:hAnsi="Arial" w:cs="Arial"/>
                <w:sz w:val="18"/>
                <w:szCs w:val="18"/>
              </w:rPr>
              <w:br/>
              <w:t>(609) 275-2243</w:t>
            </w:r>
          </w:p>
        </w:tc>
      </w:tr>
      <w:tr w:rsidR="008713C0" w:rsidRPr="008713C0" w14:paraId="46403C70" w14:textId="77777777" w:rsidTr="00A35B99">
        <w:trPr>
          <w:cantSplit/>
        </w:trPr>
        <w:tc>
          <w:tcPr>
            <w:tcW w:w="1762" w:type="pct"/>
            <w:tcBorders>
              <w:top w:val="single" w:sz="4" w:space="0" w:color="BFBFBF" w:themeColor="background1" w:themeShade="BF"/>
              <w:left w:val="nil"/>
              <w:right w:val="nil"/>
            </w:tcBorders>
            <w:shd w:val="clear" w:color="auto" w:fill="auto"/>
            <w:tcMar>
              <w:top w:w="0" w:type="dxa"/>
              <w:left w:w="108" w:type="dxa"/>
              <w:bottom w:w="0" w:type="dxa"/>
              <w:right w:w="108" w:type="dxa"/>
            </w:tcMar>
            <w:hideMark/>
          </w:tcPr>
          <w:p w14:paraId="627696EE" w14:textId="7AA7B2CF" w:rsidR="008713C0" w:rsidRPr="008713C0" w:rsidRDefault="008713C0" w:rsidP="009129D1">
            <w:pPr>
              <w:keepNext/>
              <w:keepLines/>
              <w:spacing w:before="40" w:after="40" w:line="240" w:lineRule="auto"/>
              <w:ind w:firstLine="0"/>
              <w:rPr>
                <w:rFonts w:ascii="Arial" w:hAnsi="Arial" w:cs="Arial"/>
                <w:sz w:val="18"/>
                <w:szCs w:val="18"/>
              </w:rPr>
            </w:pPr>
            <w:r w:rsidRPr="008713C0">
              <w:rPr>
                <w:rFonts w:ascii="Arial" w:hAnsi="Arial" w:cs="Arial"/>
                <w:sz w:val="18"/>
                <w:szCs w:val="18"/>
              </w:rPr>
              <w:t>Social Policy Research Associates</w:t>
            </w:r>
            <w:r w:rsidRPr="008713C0">
              <w:rPr>
                <w:rFonts w:ascii="Arial" w:hAnsi="Arial" w:cs="Arial"/>
                <w:sz w:val="18"/>
                <w:szCs w:val="18"/>
              </w:rPr>
              <w:br/>
              <w:t>1330 Broadway</w:t>
            </w:r>
            <w:r w:rsidR="009129D1">
              <w:rPr>
                <w:rFonts w:ascii="Arial" w:hAnsi="Arial" w:cs="Arial"/>
                <w:sz w:val="18"/>
                <w:szCs w:val="18"/>
              </w:rPr>
              <w:t>, Suite 1426</w:t>
            </w:r>
            <w:r w:rsidR="009129D1">
              <w:rPr>
                <w:rFonts w:ascii="Arial" w:hAnsi="Arial" w:cs="Arial"/>
                <w:sz w:val="18"/>
                <w:szCs w:val="18"/>
              </w:rPr>
              <w:br/>
              <w:t>Oakland, CA 94612 </w:t>
            </w:r>
          </w:p>
        </w:tc>
        <w:tc>
          <w:tcPr>
            <w:tcW w:w="1619" w:type="pct"/>
            <w:tcBorders>
              <w:top w:val="single" w:sz="4" w:space="0" w:color="BFBFBF" w:themeColor="background1" w:themeShade="BF"/>
              <w:left w:val="nil"/>
              <w:right w:val="nil"/>
            </w:tcBorders>
          </w:tcPr>
          <w:p w14:paraId="7A89248A" w14:textId="28708E24" w:rsidR="008713C0" w:rsidRPr="008713C0" w:rsidRDefault="008713C0" w:rsidP="00C81039">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 xml:space="preserve">Principal </w:t>
            </w:r>
            <w:r w:rsidR="00C81039">
              <w:rPr>
                <w:rFonts w:ascii="Arial" w:hAnsi="Arial" w:cs="Arial"/>
                <w:sz w:val="18"/>
                <w:szCs w:val="18"/>
              </w:rPr>
              <w:t>i</w:t>
            </w:r>
            <w:r w:rsidRPr="008713C0">
              <w:rPr>
                <w:rFonts w:ascii="Arial" w:hAnsi="Arial" w:cs="Arial"/>
                <w:sz w:val="18"/>
                <w:szCs w:val="18"/>
              </w:rPr>
              <w:t>nvestigator</w:t>
            </w:r>
          </w:p>
        </w:tc>
        <w:tc>
          <w:tcPr>
            <w:tcW w:w="1619" w:type="pct"/>
            <w:tcBorders>
              <w:top w:val="single" w:sz="4" w:space="0" w:color="BFBFBF" w:themeColor="background1" w:themeShade="BF"/>
              <w:left w:val="nil"/>
              <w:right w:val="nil"/>
            </w:tcBorders>
            <w:shd w:val="clear" w:color="auto" w:fill="auto"/>
            <w:tcMar>
              <w:top w:w="0" w:type="dxa"/>
              <w:left w:w="108" w:type="dxa"/>
              <w:bottom w:w="0" w:type="dxa"/>
              <w:right w:w="108" w:type="dxa"/>
            </w:tcMar>
            <w:hideMark/>
          </w:tcPr>
          <w:p w14:paraId="7A4BBA8A" w14:textId="77777777" w:rsidR="008713C0" w:rsidRPr="008713C0" w:rsidRDefault="008713C0" w:rsidP="008713C0">
            <w:pPr>
              <w:keepNext/>
              <w:keepLines/>
              <w:spacing w:before="40" w:after="40" w:line="240" w:lineRule="auto"/>
              <w:ind w:firstLine="0"/>
              <w:rPr>
                <w:rFonts w:ascii="Arial" w:hAnsi="Arial" w:cs="Arial"/>
                <w:sz w:val="18"/>
                <w:szCs w:val="18"/>
              </w:rPr>
            </w:pPr>
            <w:r w:rsidRPr="008713C0">
              <w:rPr>
                <w:rFonts w:ascii="Arial" w:hAnsi="Arial" w:cs="Arial"/>
                <w:sz w:val="18"/>
                <w:szCs w:val="18"/>
              </w:rPr>
              <w:t>Dr. Andrew Wiegand</w:t>
            </w:r>
            <w:r w:rsidRPr="008713C0">
              <w:rPr>
                <w:rFonts w:ascii="Arial" w:hAnsi="Arial" w:cs="Arial"/>
                <w:sz w:val="18"/>
                <w:szCs w:val="18"/>
              </w:rPr>
              <w:br/>
              <w:t>President, CEO, and Principal</w:t>
            </w:r>
            <w:r w:rsidRPr="008713C0">
              <w:rPr>
                <w:rFonts w:ascii="Arial" w:hAnsi="Arial" w:cs="Arial"/>
                <w:sz w:val="18"/>
                <w:szCs w:val="18"/>
              </w:rPr>
              <w:br/>
              <w:t>(510) 763-1499 (x 636)</w:t>
            </w:r>
          </w:p>
        </w:tc>
      </w:tr>
      <w:tr w:rsidR="008713C0" w:rsidRPr="008713C0" w14:paraId="450BFFEC" w14:textId="77777777" w:rsidTr="00A35B99">
        <w:trPr>
          <w:cantSplit/>
        </w:trPr>
        <w:tc>
          <w:tcPr>
            <w:tcW w:w="1762" w:type="pct"/>
            <w:tcBorders>
              <w:left w:val="nil"/>
              <w:right w:val="nil"/>
            </w:tcBorders>
            <w:shd w:val="clear" w:color="auto" w:fill="auto"/>
            <w:tcMar>
              <w:top w:w="0" w:type="dxa"/>
              <w:left w:w="108" w:type="dxa"/>
              <w:bottom w:w="0" w:type="dxa"/>
              <w:right w:w="108" w:type="dxa"/>
            </w:tcMar>
          </w:tcPr>
          <w:p w14:paraId="295B7BB7" w14:textId="2C42115D" w:rsidR="008713C0" w:rsidRPr="008713C0" w:rsidRDefault="009129D1" w:rsidP="008713C0">
            <w:pPr>
              <w:keepNext/>
              <w:keepLines/>
              <w:spacing w:before="40" w:after="40" w:line="240" w:lineRule="auto"/>
              <w:ind w:firstLine="0"/>
              <w:rPr>
                <w:rFonts w:ascii="Arial" w:hAnsi="Arial" w:cs="Arial"/>
                <w:sz w:val="18"/>
                <w:szCs w:val="18"/>
              </w:rPr>
            </w:pPr>
            <w:r w:rsidRPr="008713C0">
              <w:rPr>
                <w:rFonts w:ascii="Arial" w:hAnsi="Arial" w:cs="Arial"/>
                <w:sz w:val="18"/>
                <w:szCs w:val="18"/>
              </w:rPr>
              <w:t>(510) 763-1499</w:t>
            </w:r>
          </w:p>
        </w:tc>
        <w:tc>
          <w:tcPr>
            <w:tcW w:w="1619" w:type="pct"/>
            <w:tcBorders>
              <w:left w:val="nil"/>
              <w:right w:val="nil"/>
            </w:tcBorders>
          </w:tcPr>
          <w:p w14:paraId="35A5EBF4" w14:textId="77777777" w:rsidR="008713C0" w:rsidRPr="008713C0" w:rsidRDefault="008713C0" w:rsidP="001160D2">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Implementation study task leader</w:t>
            </w:r>
          </w:p>
        </w:tc>
        <w:tc>
          <w:tcPr>
            <w:tcW w:w="1619" w:type="pct"/>
            <w:tcBorders>
              <w:left w:val="nil"/>
              <w:right w:val="nil"/>
            </w:tcBorders>
            <w:shd w:val="clear" w:color="auto" w:fill="auto"/>
            <w:tcMar>
              <w:top w:w="0" w:type="dxa"/>
              <w:left w:w="108" w:type="dxa"/>
              <w:bottom w:w="0" w:type="dxa"/>
              <w:right w:w="108" w:type="dxa"/>
            </w:tcMar>
          </w:tcPr>
          <w:p w14:paraId="3959CCA1" w14:textId="77777777" w:rsidR="008713C0" w:rsidRPr="008713C0" w:rsidRDefault="008713C0" w:rsidP="008713C0">
            <w:pPr>
              <w:keepNext/>
              <w:keepLines/>
              <w:spacing w:before="40" w:after="40" w:line="240" w:lineRule="auto"/>
              <w:ind w:firstLine="0"/>
              <w:rPr>
                <w:rFonts w:ascii="Arial" w:hAnsi="Arial" w:cs="Arial"/>
                <w:sz w:val="18"/>
                <w:szCs w:val="18"/>
              </w:rPr>
            </w:pPr>
            <w:r w:rsidRPr="008713C0">
              <w:rPr>
                <w:rFonts w:ascii="Arial" w:hAnsi="Arial" w:cs="Arial"/>
                <w:sz w:val="18"/>
                <w:szCs w:val="18"/>
              </w:rPr>
              <w:t>Ms. Hannah Betesh</w:t>
            </w:r>
            <w:r w:rsidRPr="008713C0">
              <w:rPr>
                <w:rFonts w:ascii="Arial" w:hAnsi="Arial" w:cs="Arial"/>
                <w:sz w:val="18"/>
                <w:szCs w:val="18"/>
              </w:rPr>
              <w:br/>
              <w:t>Senior Associate</w:t>
            </w:r>
            <w:r w:rsidRPr="008713C0">
              <w:rPr>
                <w:rFonts w:ascii="Arial" w:hAnsi="Arial" w:cs="Arial"/>
                <w:sz w:val="18"/>
                <w:szCs w:val="18"/>
              </w:rPr>
              <w:br/>
              <w:t>(510) 788-2469</w:t>
            </w:r>
          </w:p>
        </w:tc>
      </w:tr>
      <w:tr w:rsidR="008713C0" w:rsidRPr="008713C0" w14:paraId="72D889C2" w14:textId="77777777" w:rsidTr="00A35B99">
        <w:trPr>
          <w:cantSplit/>
        </w:trPr>
        <w:tc>
          <w:tcPr>
            <w:tcW w:w="1762" w:type="pct"/>
            <w:tcBorders>
              <w:left w:val="nil"/>
              <w:bottom w:val="single" w:sz="4" w:space="0" w:color="auto"/>
              <w:right w:val="nil"/>
            </w:tcBorders>
            <w:shd w:val="clear" w:color="auto" w:fill="auto"/>
            <w:tcMar>
              <w:top w:w="0" w:type="dxa"/>
              <w:left w:w="108" w:type="dxa"/>
              <w:bottom w:w="0" w:type="dxa"/>
              <w:right w:w="108" w:type="dxa"/>
            </w:tcMar>
          </w:tcPr>
          <w:p w14:paraId="7865ECDA" w14:textId="77777777" w:rsidR="008713C0" w:rsidRPr="008713C0" w:rsidRDefault="008713C0" w:rsidP="008713C0">
            <w:pPr>
              <w:keepNext/>
              <w:keepLines/>
              <w:spacing w:before="40" w:after="40" w:line="240" w:lineRule="auto"/>
              <w:ind w:firstLine="0"/>
              <w:rPr>
                <w:rFonts w:ascii="Arial" w:hAnsi="Arial" w:cs="Arial"/>
                <w:sz w:val="18"/>
                <w:szCs w:val="18"/>
              </w:rPr>
            </w:pPr>
          </w:p>
        </w:tc>
        <w:tc>
          <w:tcPr>
            <w:tcW w:w="1619" w:type="pct"/>
            <w:tcBorders>
              <w:left w:val="nil"/>
              <w:bottom w:val="single" w:sz="4" w:space="0" w:color="auto"/>
              <w:right w:val="nil"/>
            </w:tcBorders>
          </w:tcPr>
          <w:p w14:paraId="793C6B84" w14:textId="77777777" w:rsidR="008713C0" w:rsidRPr="008713C0" w:rsidRDefault="008713C0" w:rsidP="001160D2">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Administrative data collection task lead</w:t>
            </w:r>
          </w:p>
        </w:tc>
        <w:tc>
          <w:tcPr>
            <w:tcW w:w="1619" w:type="pct"/>
            <w:tcBorders>
              <w:left w:val="nil"/>
              <w:bottom w:val="single" w:sz="4" w:space="0" w:color="auto"/>
              <w:right w:val="nil"/>
            </w:tcBorders>
            <w:shd w:val="clear" w:color="auto" w:fill="auto"/>
            <w:tcMar>
              <w:top w:w="0" w:type="dxa"/>
              <w:left w:w="108" w:type="dxa"/>
              <w:bottom w:w="0" w:type="dxa"/>
              <w:right w:w="108" w:type="dxa"/>
            </w:tcMar>
          </w:tcPr>
          <w:p w14:paraId="1DF59EC4" w14:textId="77777777" w:rsidR="008713C0" w:rsidRPr="008713C0" w:rsidRDefault="008713C0" w:rsidP="008713C0">
            <w:pPr>
              <w:keepNext/>
              <w:keepLines/>
              <w:spacing w:before="40" w:after="40" w:line="240" w:lineRule="auto"/>
              <w:ind w:firstLine="0"/>
              <w:rPr>
                <w:rFonts w:ascii="Arial" w:hAnsi="Arial" w:cs="Arial"/>
                <w:sz w:val="18"/>
                <w:szCs w:val="18"/>
              </w:rPr>
            </w:pPr>
            <w:r w:rsidRPr="008713C0">
              <w:rPr>
                <w:rFonts w:ascii="Arial" w:hAnsi="Arial" w:cs="Arial"/>
                <w:sz w:val="18"/>
                <w:szCs w:val="18"/>
              </w:rPr>
              <w:t>Mr. Christian Geckeler</w:t>
            </w:r>
            <w:r w:rsidRPr="008713C0">
              <w:rPr>
                <w:rFonts w:ascii="Arial" w:hAnsi="Arial" w:cs="Arial"/>
                <w:sz w:val="18"/>
                <w:szCs w:val="18"/>
              </w:rPr>
              <w:br/>
              <w:t>Senior Associate</w:t>
            </w:r>
            <w:r w:rsidRPr="008713C0">
              <w:rPr>
                <w:rFonts w:ascii="Arial" w:hAnsi="Arial" w:cs="Arial"/>
                <w:sz w:val="18"/>
                <w:szCs w:val="18"/>
              </w:rPr>
              <w:br/>
              <w:t>(510) 788-2461</w:t>
            </w:r>
          </w:p>
        </w:tc>
      </w:tr>
    </w:tbl>
    <w:p w14:paraId="7829DF65" w14:textId="77777777" w:rsidR="008713C0" w:rsidRPr="008713C0" w:rsidRDefault="008713C0" w:rsidP="008713C0">
      <w:pPr>
        <w:spacing w:line="240" w:lineRule="auto"/>
      </w:pPr>
    </w:p>
    <w:p w14:paraId="512EFDE1" w14:textId="4F6F2A88" w:rsidR="008F6D30" w:rsidRDefault="008713C0" w:rsidP="009129D1">
      <w:pPr>
        <w:spacing w:after="240" w:line="240" w:lineRule="auto"/>
      </w:pPr>
      <w:r w:rsidRPr="008713C0">
        <w:t>Table B.</w:t>
      </w:r>
      <w:r w:rsidR="00354838">
        <w:t>4</w:t>
      </w:r>
      <w:r w:rsidR="00354838" w:rsidRPr="008713C0">
        <w:t xml:space="preserve"> </w:t>
      </w:r>
      <w:r w:rsidRPr="008713C0">
        <w:t xml:space="preserve">lists staff responsible for overseeing the collection and analysis of data. </w:t>
      </w:r>
    </w:p>
    <w:p w14:paraId="526719B9" w14:textId="76BF7932" w:rsidR="009129D1" w:rsidRPr="008713C0" w:rsidRDefault="009129D1" w:rsidP="009129D1">
      <w:pPr>
        <w:pStyle w:val="MarkforTableTitle"/>
      </w:pPr>
      <w:r w:rsidRPr="008713C0">
        <w:t>Table B.</w:t>
      </w:r>
      <w:r w:rsidR="00354838">
        <w:t>4</w:t>
      </w:r>
      <w:r w:rsidRPr="008713C0">
        <w:t>. Individuals who will oversee the collection and analysis of data for the REO evaluation</w:t>
      </w:r>
    </w:p>
    <w:tbl>
      <w:tblPr>
        <w:tblW w:w="5000" w:type="pct"/>
        <w:tblCellMar>
          <w:left w:w="0" w:type="dxa"/>
          <w:right w:w="0" w:type="dxa"/>
        </w:tblCellMar>
        <w:tblLook w:val="04A0" w:firstRow="1" w:lastRow="0" w:firstColumn="1" w:lastColumn="0" w:noHBand="0" w:noVBand="1"/>
      </w:tblPr>
      <w:tblGrid>
        <w:gridCol w:w="3374"/>
        <w:gridCol w:w="3101"/>
        <w:gridCol w:w="3101"/>
      </w:tblGrid>
      <w:tr w:rsidR="009129D1" w:rsidRPr="008713C0" w14:paraId="32EC0399" w14:textId="77777777" w:rsidTr="00B10350">
        <w:trPr>
          <w:cantSplit/>
          <w:trHeight w:val="665"/>
        </w:trPr>
        <w:tc>
          <w:tcPr>
            <w:tcW w:w="1762" w:type="pct"/>
            <w:tcBorders>
              <w:top w:val="single" w:sz="4" w:space="0" w:color="auto"/>
              <w:left w:val="nil"/>
              <w:right w:val="nil"/>
            </w:tcBorders>
            <w:tcMar>
              <w:top w:w="0" w:type="dxa"/>
              <w:left w:w="108" w:type="dxa"/>
              <w:bottom w:w="0" w:type="dxa"/>
              <w:right w:w="108" w:type="dxa"/>
            </w:tcMar>
            <w:hideMark/>
          </w:tcPr>
          <w:p w14:paraId="5852ADD0" w14:textId="77777777" w:rsidR="009129D1" w:rsidRPr="008713C0" w:rsidRDefault="009129D1" w:rsidP="00B10350">
            <w:pPr>
              <w:keepNext/>
              <w:keepLines/>
              <w:spacing w:before="40" w:after="40" w:line="240" w:lineRule="auto"/>
              <w:ind w:firstLine="0"/>
              <w:rPr>
                <w:rFonts w:ascii="Arial" w:hAnsi="Arial" w:cs="Arial"/>
                <w:sz w:val="18"/>
                <w:szCs w:val="18"/>
              </w:rPr>
            </w:pPr>
            <w:r w:rsidRPr="008713C0">
              <w:rPr>
                <w:rFonts w:ascii="Arial" w:hAnsi="Arial" w:cs="Arial"/>
                <w:sz w:val="18"/>
                <w:szCs w:val="18"/>
              </w:rPr>
              <w:t>Mathematica Policy Research</w:t>
            </w:r>
            <w:r w:rsidRPr="008713C0">
              <w:rPr>
                <w:rFonts w:ascii="Arial" w:hAnsi="Arial" w:cs="Arial"/>
                <w:sz w:val="18"/>
                <w:szCs w:val="18"/>
              </w:rPr>
              <w:br/>
            </w:r>
            <w:r w:rsidRPr="008713C0">
              <w:rPr>
                <w:rFonts w:ascii="Arial" w:hAnsi="Arial" w:cs="Arial"/>
                <w:color w:val="000000"/>
                <w:sz w:val="18"/>
                <w:szCs w:val="18"/>
                <w:shd w:val="clear" w:color="auto" w:fill="FFFFFF"/>
              </w:rPr>
              <w:t>P.O. Box 2393</w:t>
            </w:r>
            <w:r w:rsidRPr="008713C0">
              <w:rPr>
                <w:rFonts w:ascii="Arial" w:hAnsi="Arial" w:cs="Arial"/>
                <w:color w:val="000000"/>
                <w:sz w:val="18"/>
                <w:szCs w:val="18"/>
              </w:rPr>
              <w:br/>
            </w:r>
            <w:r w:rsidRPr="008713C0">
              <w:rPr>
                <w:rFonts w:ascii="Arial" w:hAnsi="Arial" w:cs="Arial"/>
                <w:color w:val="000000"/>
                <w:sz w:val="18"/>
                <w:szCs w:val="18"/>
                <w:shd w:val="clear" w:color="auto" w:fill="FFFFFF"/>
              </w:rPr>
              <w:t>Princeton, NJ 08543-2393</w:t>
            </w:r>
          </w:p>
        </w:tc>
        <w:tc>
          <w:tcPr>
            <w:tcW w:w="1619" w:type="pct"/>
            <w:tcBorders>
              <w:top w:val="single" w:sz="4" w:space="0" w:color="auto"/>
              <w:left w:val="nil"/>
              <w:right w:val="nil"/>
            </w:tcBorders>
          </w:tcPr>
          <w:p w14:paraId="76E2FC12" w14:textId="0109C03E" w:rsidR="009129D1" w:rsidRPr="008713C0" w:rsidRDefault="009129D1" w:rsidP="00C81039">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 xml:space="preserve">Project </w:t>
            </w:r>
            <w:r w:rsidR="00C81039">
              <w:rPr>
                <w:rFonts w:ascii="Arial" w:hAnsi="Arial" w:cs="Arial"/>
                <w:sz w:val="18"/>
                <w:szCs w:val="18"/>
              </w:rPr>
              <w:t>d</w:t>
            </w:r>
            <w:r w:rsidRPr="008713C0">
              <w:rPr>
                <w:rFonts w:ascii="Arial" w:hAnsi="Arial" w:cs="Arial"/>
                <w:sz w:val="18"/>
                <w:szCs w:val="18"/>
              </w:rPr>
              <w:t xml:space="preserve">irector </w:t>
            </w:r>
          </w:p>
        </w:tc>
        <w:tc>
          <w:tcPr>
            <w:tcW w:w="1619" w:type="pct"/>
            <w:tcBorders>
              <w:top w:val="single" w:sz="4" w:space="0" w:color="auto"/>
              <w:left w:val="nil"/>
              <w:right w:val="nil"/>
            </w:tcBorders>
            <w:tcMar>
              <w:top w:w="0" w:type="dxa"/>
              <w:left w:w="108" w:type="dxa"/>
              <w:bottom w:w="0" w:type="dxa"/>
              <w:right w:w="108" w:type="dxa"/>
            </w:tcMar>
            <w:hideMark/>
          </w:tcPr>
          <w:p w14:paraId="7CED33E0" w14:textId="77777777" w:rsidR="009129D1" w:rsidRPr="008713C0" w:rsidRDefault="009129D1" w:rsidP="00B10350">
            <w:pPr>
              <w:keepNext/>
              <w:keepLines/>
              <w:spacing w:before="40" w:after="40" w:line="240" w:lineRule="auto"/>
              <w:ind w:firstLine="0"/>
              <w:rPr>
                <w:rFonts w:ascii="Arial" w:hAnsi="Arial" w:cs="Arial"/>
                <w:sz w:val="18"/>
                <w:szCs w:val="18"/>
              </w:rPr>
            </w:pPr>
            <w:r w:rsidRPr="008713C0">
              <w:rPr>
                <w:rFonts w:ascii="Arial" w:hAnsi="Arial" w:cs="Arial"/>
                <w:sz w:val="18"/>
                <w:szCs w:val="18"/>
              </w:rPr>
              <w:t>Dr. Karen Needels</w:t>
            </w:r>
            <w:r w:rsidRPr="008713C0">
              <w:rPr>
                <w:rFonts w:ascii="Arial" w:hAnsi="Arial" w:cs="Arial"/>
                <w:sz w:val="18"/>
                <w:szCs w:val="18"/>
              </w:rPr>
              <w:br/>
              <w:t>Senior Researcher</w:t>
            </w:r>
            <w:r w:rsidRPr="008713C0">
              <w:rPr>
                <w:rFonts w:ascii="Arial" w:hAnsi="Arial" w:cs="Arial"/>
                <w:sz w:val="18"/>
                <w:szCs w:val="18"/>
              </w:rPr>
              <w:br/>
              <w:t>(609) 750-4043</w:t>
            </w:r>
          </w:p>
        </w:tc>
      </w:tr>
      <w:tr w:rsidR="009129D1" w:rsidRPr="008713C0" w14:paraId="30D8AC69" w14:textId="77777777" w:rsidTr="00B10350">
        <w:trPr>
          <w:cantSplit/>
        </w:trPr>
        <w:tc>
          <w:tcPr>
            <w:tcW w:w="1762" w:type="pct"/>
            <w:tcBorders>
              <w:left w:val="nil"/>
              <w:right w:val="nil"/>
            </w:tcBorders>
            <w:tcMar>
              <w:top w:w="0" w:type="dxa"/>
              <w:left w:w="108" w:type="dxa"/>
              <w:bottom w:w="0" w:type="dxa"/>
              <w:right w:w="108" w:type="dxa"/>
            </w:tcMar>
          </w:tcPr>
          <w:p w14:paraId="2352DBBA" w14:textId="77777777" w:rsidR="009129D1" w:rsidRPr="008713C0" w:rsidRDefault="009129D1" w:rsidP="00B10350">
            <w:pPr>
              <w:keepNext/>
              <w:keepLines/>
              <w:spacing w:before="40" w:after="40" w:line="240" w:lineRule="auto"/>
              <w:ind w:firstLine="0"/>
              <w:rPr>
                <w:rFonts w:ascii="Arial" w:hAnsi="Arial" w:cs="Arial"/>
                <w:sz w:val="18"/>
                <w:szCs w:val="18"/>
              </w:rPr>
            </w:pPr>
            <w:r w:rsidRPr="009129D1">
              <w:rPr>
                <w:rFonts w:ascii="Arial" w:hAnsi="Arial" w:cs="Arial"/>
                <w:sz w:val="18"/>
                <w:szCs w:val="18"/>
              </w:rPr>
              <w:t>(609) 799-3535</w:t>
            </w:r>
          </w:p>
        </w:tc>
        <w:tc>
          <w:tcPr>
            <w:tcW w:w="1619" w:type="pct"/>
            <w:tcBorders>
              <w:left w:val="nil"/>
              <w:right w:val="nil"/>
            </w:tcBorders>
          </w:tcPr>
          <w:p w14:paraId="3CC42B90" w14:textId="6E20B0BC" w:rsidR="009129D1" w:rsidRPr="008713C0" w:rsidRDefault="009129D1" w:rsidP="00C81039">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 xml:space="preserve">Survey </w:t>
            </w:r>
            <w:r w:rsidR="00C81039">
              <w:rPr>
                <w:rFonts w:ascii="Arial" w:hAnsi="Arial" w:cs="Arial"/>
                <w:sz w:val="18"/>
                <w:szCs w:val="18"/>
              </w:rPr>
              <w:t>d</w:t>
            </w:r>
            <w:r w:rsidRPr="008713C0">
              <w:rPr>
                <w:rFonts w:ascii="Arial" w:hAnsi="Arial" w:cs="Arial"/>
                <w:sz w:val="18"/>
                <w:szCs w:val="18"/>
              </w:rPr>
              <w:t>irector</w:t>
            </w:r>
          </w:p>
        </w:tc>
        <w:tc>
          <w:tcPr>
            <w:tcW w:w="1619" w:type="pct"/>
            <w:tcBorders>
              <w:left w:val="nil"/>
              <w:right w:val="nil"/>
            </w:tcBorders>
            <w:tcMar>
              <w:top w:w="0" w:type="dxa"/>
              <w:left w:w="108" w:type="dxa"/>
              <w:bottom w:w="0" w:type="dxa"/>
              <w:right w:w="108" w:type="dxa"/>
            </w:tcMar>
          </w:tcPr>
          <w:p w14:paraId="4CC8079B" w14:textId="2A99728B" w:rsidR="009129D1" w:rsidRPr="008713C0" w:rsidRDefault="00FE42C5" w:rsidP="00B10350">
            <w:pPr>
              <w:keepNext/>
              <w:keepLines/>
              <w:spacing w:before="40" w:after="40" w:line="240" w:lineRule="auto"/>
              <w:ind w:firstLine="0"/>
              <w:rPr>
                <w:rFonts w:ascii="Arial" w:hAnsi="Arial" w:cs="Arial"/>
                <w:sz w:val="18"/>
                <w:szCs w:val="18"/>
              </w:rPr>
            </w:pPr>
            <w:r>
              <w:rPr>
                <w:rFonts w:ascii="Arial" w:hAnsi="Arial" w:cs="Arial"/>
                <w:sz w:val="18"/>
                <w:szCs w:val="18"/>
              </w:rPr>
              <w:t>Dr</w:t>
            </w:r>
            <w:r w:rsidR="009129D1" w:rsidRPr="008713C0">
              <w:rPr>
                <w:rFonts w:ascii="Arial" w:hAnsi="Arial" w:cs="Arial"/>
                <w:sz w:val="18"/>
                <w:szCs w:val="18"/>
              </w:rPr>
              <w:t>. Jillian Stein</w:t>
            </w:r>
            <w:r w:rsidR="009129D1" w:rsidRPr="008713C0">
              <w:rPr>
                <w:rFonts w:ascii="Arial" w:hAnsi="Arial" w:cs="Arial"/>
                <w:sz w:val="18"/>
                <w:szCs w:val="18"/>
              </w:rPr>
              <w:br/>
              <w:t>Survey Researcher</w:t>
            </w:r>
            <w:r w:rsidR="009129D1" w:rsidRPr="008713C0">
              <w:rPr>
                <w:rFonts w:ascii="Arial" w:hAnsi="Arial" w:cs="Arial"/>
                <w:sz w:val="18"/>
                <w:szCs w:val="18"/>
              </w:rPr>
              <w:br/>
              <w:t>(609) 716-4395</w:t>
            </w:r>
          </w:p>
        </w:tc>
      </w:tr>
      <w:tr w:rsidR="009129D1" w:rsidRPr="008713C0" w14:paraId="462B6F09" w14:textId="77777777" w:rsidTr="00B10350">
        <w:trPr>
          <w:cantSplit/>
        </w:trPr>
        <w:tc>
          <w:tcPr>
            <w:tcW w:w="1762" w:type="pct"/>
            <w:tcBorders>
              <w:left w:val="nil"/>
              <w:right w:val="nil"/>
            </w:tcBorders>
            <w:tcMar>
              <w:top w:w="0" w:type="dxa"/>
              <w:left w:w="108" w:type="dxa"/>
              <w:bottom w:w="0" w:type="dxa"/>
              <w:right w:w="108" w:type="dxa"/>
            </w:tcMar>
          </w:tcPr>
          <w:p w14:paraId="035B0F97" w14:textId="77777777" w:rsidR="009129D1" w:rsidRPr="008713C0" w:rsidRDefault="009129D1" w:rsidP="00B10350">
            <w:pPr>
              <w:keepNext/>
              <w:keepLines/>
              <w:spacing w:before="40" w:after="40" w:line="240" w:lineRule="auto"/>
              <w:ind w:firstLine="0"/>
              <w:rPr>
                <w:rFonts w:ascii="Arial" w:hAnsi="Arial" w:cs="Arial"/>
                <w:sz w:val="18"/>
                <w:szCs w:val="18"/>
              </w:rPr>
            </w:pPr>
          </w:p>
        </w:tc>
        <w:tc>
          <w:tcPr>
            <w:tcW w:w="1619" w:type="pct"/>
            <w:tcBorders>
              <w:left w:val="nil"/>
              <w:right w:val="nil"/>
            </w:tcBorders>
          </w:tcPr>
          <w:p w14:paraId="5771C65B" w14:textId="77777777" w:rsidR="009129D1" w:rsidRPr="008713C0" w:rsidRDefault="009129D1" w:rsidP="00B10350">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Site selection task lead</w:t>
            </w:r>
          </w:p>
        </w:tc>
        <w:tc>
          <w:tcPr>
            <w:tcW w:w="1619" w:type="pct"/>
            <w:tcBorders>
              <w:left w:val="nil"/>
              <w:right w:val="nil"/>
            </w:tcBorders>
            <w:tcMar>
              <w:top w:w="0" w:type="dxa"/>
              <w:left w:w="108" w:type="dxa"/>
              <w:bottom w:w="0" w:type="dxa"/>
              <w:right w:w="108" w:type="dxa"/>
            </w:tcMar>
          </w:tcPr>
          <w:p w14:paraId="42D37B3B" w14:textId="77777777" w:rsidR="009129D1" w:rsidRPr="008713C0" w:rsidRDefault="009129D1" w:rsidP="00B10350">
            <w:pPr>
              <w:keepNext/>
              <w:keepLines/>
              <w:spacing w:before="40" w:after="40" w:line="240" w:lineRule="auto"/>
              <w:ind w:firstLine="0"/>
              <w:rPr>
                <w:rFonts w:ascii="Arial" w:hAnsi="Arial" w:cs="Arial"/>
                <w:sz w:val="18"/>
                <w:szCs w:val="18"/>
              </w:rPr>
            </w:pPr>
            <w:r w:rsidRPr="008713C0">
              <w:rPr>
                <w:rFonts w:ascii="Arial" w:hAnsi="Arial" w:cs="Arial"/>
                <w:sz w:val="18"/>
                <w:szCs w:val="18"/>
              </w:rPr>
              <w:t>Dr. Johanna Lacoe</w:t>
            </w:r>
            <w:r w:rsidRPr="008713C0">
              <w:rPr>
                <w:rFonts w:ascii="Arial" w:hAnsi="Arial" w:cs="Arial"/>
                <w:sz w:val="18"/>
                <w:szCs w:val="18"/>
              </w:rPr>
              <w:br/>
              <w:t>Researcher</w:t>
            </w:r>
            <w:r w:rsidRPr="008713C0">
              <w:rPr>
                <w:rFonts w:ascii="Arial" w:hAnsi="Arial" w:cs="Arial"/>
                <w:sz w:val="18"/>
                <w:szCs w:val="18"/>
              </w:rPr>
              <w:br/>
              <w:t>(510) 285-4618</w:t>
            </w:r>
          </w:p>
        </w:tc>
      </w:tr>
      <w:tr w:rsidR="009129D1" w:rsidRPr="008713C0" w14:paraId="32FFCD8B" w14:textId="77777777" w:rsidTr="00B10350">
        <w:trPr>
          <w:cantSplit/>
        </w:trPr>
        <w:tc>
          <w:tcPr>
            <w:tcW w:w="1762" w:type="pct"/>
            <w:tcBorders>
              <w:left w:val="nil"/>
              <w:bottom w:val="single" w:sz="4" w:space="0" w:color="BFBFBF" w:themeColor="background1" w:themeShade="BF"/>
              <w:right w:val="nil"/>
            </w:tcBorders>
            <w:tcMar>
              <w:top w:w="0" w:type="dxa"/>
              <w:left w:w="108" w:type="dxa"/>
              <w:bottom w:w="0" w:type="dxa"/>
              <w:right w:w="108" w:type="dxa"/>
            </w:tcMar>
          </w:tcPr>
          <w:p w14:paraId="0B4F75A1" w14:textId="77777777" w:rsidR="009129D1" w:rsidRPr="008713C0" w:rsidRDefault="009129D1" w:rsidP="00B10350">
            <w:pPr>
              <w:keepNext/>
              <w:keepLines/>
              <w:spacing w:before="40" w:after="40" w:line="240" w:lineRule="auto"/>
              <w:ind w:firstLine="0"/>
              <w:rPr>
                <w:rFonts w:ascii="Arial" w:hAnsi="Arial" w:cs="Arial"/>
                <w:sz w:val="18"/>
                <w:szCs w:val="18"/>
              </w:rPr>
            </w:pPr>
          </w:p>
        </w:tc>
        <w:tc>
          <w:tcPr>
            <w:tcW w:w="1619" w:type="pct"/>
            <w:tcBorders>
              <w:left w:val="nil"/>
              <w:bottom w:val="single" w:sz="4" w:space="0" w:color="BFBFBF" w:themeColor="background1" w:themeShade="BF"/>
              <w:right w:val="nil"/>
            </w:tcBorders>
          </w:tcPr>
          <w:p w14:paraId="02604E4D" w14:textId="7D208FD6" w:rsidR="009129D1" w:rsidRPr="008713C0" w:rsidRDefault="009129D1" w:rsidP="00C81039">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 xml:space="preserve">Quality </w:t>
            </w:r>
            <w:r w:rsidR="00C81039">
              <w:rPr>
                <w:rFonts w:ascii="Arial" w:hAnsi="Arial" w:cs="Arial"/>
                <w:sz w:val="18"/>
                <w:szCs w:val="18"/>
              </w:rPr>
              <w:t>a</w:t>
            </w:r>
            <w:r w:rsidRPr="008713C0">
              <w:rPr>
                <w:rFonts w:ascii="Arial" w:hAnsi="Arial" w:cs="Arial"/>
                <w:sz w:val="18"/>
                <w:szCs w:val="18"/>
              </w:rPr>
              <w:t xml:space="preserve">ssurance </w:t>
            </w:r>
            <w:r w:rsidR="00C81039">
              <w:rPr>
                <w:rFonts w:ascii="Arial" w:hAnsi="Arial" w:cs="Arial"/>
                <w:sz w:val="18"/>
                <w:szCs w:val="18"/>
              </w:rPr>
              <w:t>r</w:t>
            </w:r>
            <w:r w:rsidRPr="008713C0">
              <w:rPr>
                <w:rFonts w:ascii="Arial" w:hAnsi="Arial" w:cs="Arial"/>
                <w:sz w:val="18"/>
                <w:szCs w:val="18"/>
              </w:rPr>
              <w:t>eviewer</w:t>
            </w:r>
          </w:p>
        </w:tc>
        <w:tc>
          <w:tcPr>
            <w:tcW w:w="1619" w:type="pct"/>
            <w:tcBorders>
              <w:left w:val="nil"/>
              <w:bottom w:val="single" w:sz="4" w:space="0" w:color="BFBFBF" w:themeColor="background1" w:themeShade="BF"/>
              <w:right w:val="nil"/>
            </w:tcBorders>
            <w:tcMar>
              <w:top w:w="0" w:type="dxa"/>
              <w:left w:w="108" w:type="dxa"/>
              <w:bottom w:w="0" w:type="dxa"/>
              <w:right w:w="108" w:type="dxa"/>
            </w:tcMar>
          </w:tcPr>
          <w:p w14:paraId="43A884EA" w14:textId="77777777" w:rsidR="009129D1" w:rsidRPr="008713C0" w:rsidRDefault="009129D1" w:rsidP="00B10350">
            <w:pPr>
              <w:keepNext/>
              <w:keepLines/>
              <w:spacing w:before="40" w:after="40" w:line="240" w:lineRule="auto"/>
              <w:ind w:firstLine="0"/>
              <w:rPr>
                <w:rFonts w:ascii="Arial" w:hAnsi="Arial" w:cs="Arial"/>
                <w:sz w:val="18"/>
                <w:szCs w:val="18"/>
              </w:rPr>
            </w:pPr>
            <w:r w:rsidRPr="008713C0">
              <w:rPr>
                <w:rFonts w:ascii="Arial" w:hAnsi="Arial" w:cs="Arial"/>
                <w:sz w:val="18"/>
                <w:szCs w:val="18"/>
              </w:rPr>
              <w:t>Dr. Jillian Berk</w:t>
            </w:r>
            <w:r w:rsidRPr="008713C0">
              <w:rPr>
                <w:rFonts w:ascii="Arial" w:hAnsi="Arial" w:cs="Arial"/>
                <w:sz w:val="18"/>
                <w:szCs w:val="18"/>
              </w:rPr>
              <w:br/>
              <w:t>Associate Director</w:t>
            </w:r>
            <w:r w:rsidRPr="008713C0">
              <w:rPr>
                <w:rFonts w:ascii="Arial" w:hAnsi="Arial" w:cs="Arial"/>
                <w:sz w:val="18"/>
                <w:szCs w:val="18"/>
              </w:rPr>
              <w:br/>
              <w:t>(609) 275-2243</w:t>
            </w:r>
          </w:p>
        </w:tc>
      </w:tr>
      <w:tr w:rsidR="009129D1" w:rsidRPr="008713C0" w14:paraId="4EE464DE" w14:textId="77777777" w:rsidTr="00B10350">
        <w:trPr>
          <w:cantSplit/>
        </w:trPr>
        <w:tc>
          <w:tcPr>
            <w:tcW w:w="1762" w:type="pct"/>
            <w:tcBorders>
              <w:top w:val="single" w:sz="4" w:space="0" w:color="BFBFBF" w:themeColor="background1" w:themeShade="BF"/>
              <w:left w:val="nil"/>
              <w:right w:val="nil"/>
            </w:tcBorders>
            <w:shd w:val="clear" w:color="auto" w:fill="auto"/>
            <w:tcMar>
              <w:top w:w="0" w:type="dxa"/>
              <w:left w:w="108" w:type="dxa"/>
              <w:bottom w:w="0" w:type="dxa"/>
              <w:right w:w="108" w:type="dxa"/>
            </w:tcMar>
            <w:hideMark/>
          </w:tcPr>
          <w:p w14:paraId="1A7D1162" w14:textId="77777777" w:rsidR="009129D1" w:rsidRPr="008713C0" w:rsidRDefault="009129D1" w:rsidP="00B10350">
            <w:pPr>
              <w:keepNext/>
              <w:keepLines/>
              <w:spacing w:before="40" w:after="40" w:line="240" w:lineRule="auto"/>
              <w:ind w:firstLine="0"/>
              <w:rPr>
                <w:rFonts w:ascii="Arial" w:hAnsi="Arial" w:cs="Arial"/>
                <w:sz w:val="18"/>
                <w:szCs w:val="18"/>
              </w:rPr>
            </w:pPr>
            <w:r w:rsidRPr="008713C0">
              <w:rPr>
                <w:rFonts w:ascii="Arial" w:hAnsi="Arial" w:cs="Arial"/>
                <w:sz w:val="18"/>
                <w:szCs w:val="18"/>
              </w:rPr>
              <w:t>Social Policy Research Associates</w:t>
            </w:r>
            <w:r w:rsidRPr="008713C0">
              <w:rPr>
                <w:rFonts w:ascii="Arial" w:hAnsi="Arial" w:cs="Arial"/>
                <w:sz w:val="18"/>
                <w:szCs w:val="18"/>
              </w:rPr>
              <w:br/>
              <w:t>1330 Broadway,</w:t>
            </w:r>
            <w:r>
              <w:rPr>
                <w:rFonts w:ascii="Arial" w:hAnsi="Arial" w:cs="Arial"/>
                <w:sz w:val="18"/>
                <w:szCs w:val="18"/>
              </w:rPr>
              <w:t xml:space="preserve"> </w:t>
            </w:r>
            <w:r w:rsidRPr="008713C0">
              <w:rPr>
                <w:rFonts w:ascii="Arial" w:hAnsi="Arial" w:cs="Arial"/>
                <w:sz w:val="18"/>
                <w:szCs w:val="18"/>
              </w:rPr>
              <w:t>Suite 1426</w:t>
            </w:r>
            <w:r w:rsidRPr="008713C0">
              <w:rPr>
                <w:rFonts w:ascii="Arial" w:hAnsi="Arial" w:cs="Arial"/>
                <w:sz w:val="18"/>
                <w:szCs w:val="18"/>
              </w:rPr>
              <w:br/>
              <w:t>Oakland,</w:t>
            </w:r>
            <w:r>
              <w:rPr>
                <w:rFonts w:ascii="Arial" w:hAnsi="Arial" w:cs="Arial"/>
                <w:sz w:val="18"/>
                <w:szCs w:val="18"/>
              </w:rPr>
              <w:t xml:space="preserve"> CA 94612 </w:t>
            </w:r>
          </w:p>
        </w:tc>
        <w:tc>
          <w:tcPr>
            <w:tcW w:w="1619" w:type="pct"/>
            <w:tcBorders>
              <w:top w:val="single" w:sz="4" w:space="0" w:color="BFBFBF" w:themeColor="background1" w:themeShade="BF"/>
              <w:left w:val="nil"/>
              <w:right w:val="nil"/>
            </w:tcBorders>
          </w:tcPr>
          <w:p w14:paraId="4B10A5CE" w14:textId="653B09BD" w:rsidR="009129D1" w:rsidRPr="008713C0" w:rsidRDefault="009129D1" w:rsidP="00C81039">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 xml:space="preserve">Principal </w:t>
            </w:r>
            <w:r w:rsidR="00C81039">
              <w:rPr>
                <w:rFonts w:ascii="Arial" w:hAnsi="Arial" w:cs="Arial"/>
                <w:sz w:val="18"/>
                <w:szCs w:val="18"/>
              </w:rPr>
              <w:t>i</w:t>
            </w:r>
            <w:r w:rsidRPr="008713C0">
              <w:rPr>
                <w:rFonts w:ascii="Arial" w:hAnsi="Arial" w:cs="Arial"/>
                <w:sz w:val="18"/>
                <w:szCs w:val="18"/>
              </w:rPr>
              <w:t>nvestigator</w:t>
            </w:r>
          </w:p>
        </w:tc>
        <w:tc>
          <w:tcPr>
            <w:tcW w:w="1619" w:type="pct"/>
            <w:tcBorders>
              <w:top w:val="single" w:sz="4" w:space="0" w:color="BFBFBF" w:themeColor="background1" w:themeShade="BF"/>
              <w:left w:val="nil"/>
              <w:right w:val="nil"/>
            </w:tcBorders>
            <w:shd w:val="clear" w:color="auto" w:fill="auto"/>
            <w:tcMar>
              <w:top w:w="0" w:type="dxa"/>
              <w:left w:w="108" w:type="dxa"/>
              <w:bottom w:w="0" w:type="dxa"/>
              <w:right w:w="108" w:type="dxa"/>
            </w:tcMar>
            <w:hideMark/>
          </w:tcPr>
          <w:p w14:paraId="58B5BB6F" w14:textId="77777777" w:rsidR="009129D1" w:rsidRPr="008713C0" w:rsidRDefault="009129D1" w:rsidP="00B10350">
            <w:pPr>
              <w:keepNext/>
              <w:keepLines/>
              <w:spacing w:before="40" w:after="40" w:line="240" w:lineRule="auto"/>
              <w:ind w:firstLine="0"/>
              <w:rPr>
                <w:rFonts w:ascii="Arial" w:hAnsi="Arial" w:cs="Arial"/>
                <w:sz w:val="18"/>
                <w:szCs w:val="18"/>
              </w:rPr>
            </w:pPr>
            <w:r w:rsidRPr="008713C0">
              <w:rPr>
                <w:rFonts w:ascii="Arial" w:hAnsi="Arial" w:cs="Arial"/>
                <w:sz w:val="18"/>
                <w:szCs w:val="18"/>
              </w:rPr>
              <w:t>Dr. Andrew Wiegand</w:t>
            </w:r>
            <w:r w:rsidRPr="008713C0">
              <w:rPr>
                <w:rFonts w:ascii="Arial" w:hAnsi="Arial" w:cs="Arial"/>
                <w:sz w:val="18"/>
                <w:szCs w:val="18"/>
              </w:rPr>
              <w:br/>
              <w:t>President, CEO, and Principal</w:t>
            </w:r>
            <w:r w:rsidRPr="008713C0">
              <w:rPr>
                <w:rFonts w:ascii="Arial" w:hAnsi="Arial" w:cs="Arial"/>
                <w:sz w:val="18"/>
                <w:szCs w:val="18"/>
              </w:rPr>
              <w:br/>
              <w:t>(510) 763-1499 (x 636)</w:t>
            </w:r>
          </w:p>
        </w:tc>
      </w:tr>
      <w:tr w:rsidR="009129D1" w:rsidRPr="008713C0" w14:paraId="2D6706FE" w14:textId="77777777" w:rsidTr="00B10350">
        <w:trPr>
          <w:cantSplit/>
        </w:trPr>
        <w:tc>
          <w:tcPr>
            <w:tcW w:w="1762" w:type="pct"/>
            <w:tcBorders>
              <w:left w:val="nil"/>
              <w:right w:val="nil"/>
            </w:tcBorders>
            <w:shd w:val="clear" w:color="auto" w:fill="auto"/>
            <w:tcMar>
              <w:top w:w="0" w:type="dxa"/>
              <w:left w:w="108" w:type="dxa"/>
              <w:bottom w:w="0" w:type="dxa"/>
              <w:right w:w="108" w:type="dxa"/>
            </w:tcMar>
          </w:tcPr>
          <w:p w14:paraId="2AFE86CB" w14:textId="77777777" w:rsidR="009129D1" w:rsidRPr="008713C0" w:rsidRDefault="009129D1" w:rsidP="00B10350">
            <w:pPr>
              <w:keepNext/>
              <w:keepLines/>
              <w:spacing w:before="40" w:after="40" w:line="240" w:lineRule="auto"/>
              <w:ind w:firstLine="0"/>
              <w:rPr>
                <w:rFonts w:ascii="Arial" w:hAnsi="Arial" w:cs="Arial"/>
                <w:sz w:val="18"/>
                <w:szCs w:val="18"/>
              </w:rPr>
            </w:pPr>
            <w:r w:rsidRPr="008713C0">
              <w:rPr>
                <w:rFonts w:ascii="Arial" w:hAnsi="Arial" w:cs="Arial"/>
                <w:sz w:val="18"/>
                <w:szCs w:val="18"/>
              </w:rPr>
              <w:t>(510) 763-1499</w:t>
            </w:r>
          </w:p>
        </w:tc>
        <w:tc>
          <w:tcPr>
            <w:tcW w:w="1619" w:type="pct"/>
            <w:tcBorders>
              <w:left w:val="nil"/>
              <w:right w:val="nil"/>
            </w:tcBorders>
          </w:tcPr>
          <w:p w14:paraId="0185F40A" w14:textId="77777777" w:rsidR="009129D1" w:rsidRPr="008713C0" w:rsidRDefault="009129D1" w:rsidP="00B10350">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Implementation study task leader</w:t>
            </w:r>
          </w:p>
        </w:tc>
        <w:tc>
          <w:tcPr>
            <w:tcW w:w="1619" w:type="pct"/>
            <w:tcBorders>
              <w:left w:val="nil"/>
              <w:right w:val="nil"/>
            </w:tcBorders>
            <w:shd w:val="clear" w:color="auto" w:fill="auto"/>
            <w:tcMar>
              <w:top w:w="0" w:type="dxa"/>
              <w:left w:w="108" w:type="dxa"/>
              <w:bottom w:w="0" w:type="dxa"/>
              <w:right w:w="108" w:type="dxa"/>
            </w:tcMar>
          </w:tcPr>
          <w:p w14:paraId="0AEFD264" w14:textId="77777777" w:rsidR="009129D1" w:rsidRPr="008713C0" w:rsidRDefault="009129D1" w:rsidP="00B10350">
            <w:pPr>
              <w:keepNext/>
              <w:keepLines/>
              <w:spacing w:before="40" w:after="40" w:line="240" w:lineRule="auto"/>
              <w:ind w:firstLine="0"/>
              <w:rPr>
                <w:rFonts w:ascii="Arial" w:hAnsi="Arial" w:cs="Arial"/>
                <w:sz w:val="18"/>
                <w:szCs w:val="18"/>
              </w:rPr>
            </w:pPr>
            <w:r w:rsidRPr="008713C0">
              <w:rPr>
                <w:rFonts w:ascii="Arial" w:hAnsi="Arial" w:cs="Arial"/>
                <w:sz w:val="18"/>
                <w:szCs w:val="18"/>
              </w:rPr>
              <w:t>Ms. Hannah Betesh</w:t>
            </w:r>
            <w:r w:rsidRPr="008713C0">
              <w:rPr>
                <w:rFonts w:ascii="Arial" w:hAnsi="Arial" w:cs="Arial"/>
                <w:sz w:val="18"/>
                <w:szCs w:val="18"/>
              </w:rPr>
              <w:br/>
              <w:t>Senior Associate</w:t>
            </w:r>
            <w:r w:rsidRPr="008713C0">
              <w:rPr>
                <w:rFonts w:ascii="Arial" w:hAnsi="Arial" w:cs="Arial"/>
                <w:sz w:val="18"/>
                <w:szCs w:val="18"/>
              </w:rPr>
              <w:br/>
              <w:t>(510) 788-2469</w:t>
            </w:r>
          </w:p>
        </w:tc>
      </w:tr>
      <w:tr w:rsidR="009129D1" w:rsidRPr="008713C0" w14:paraId="597FB9E1" w14:textId="77777777" w:rsidTr="00B10350">
        <w:trPr>
          <w:cantSplit/>
        </w:trPr>
        <w:tc>
          <w:tcPr>
            <w:tcW w:w="1762" w:type="pct"/>
            <w:tcBorders>
              <w:left w:val="nil"/>
              <w:bottom w:val="single" w:sz="4" w:space="0" w:color="auto"/>
              <w:right w:val="nil"/>
            </w:tcBorders>
            <w:shd w:val="clear" w:color="auto" w:fill="auto"/>
            <w:tcMar>
              <w:top w:w="0" w:type="dxa"/>
              <w:left w:w="108" w:type="dxa"/>
              <w:bottom w:w="0" w:type="dxa"/>
              <w:right w:w="108" w:type="dxa"/>
            </w:tcMar>
          </w:tcPr>
          <w:p w14:paraId="64841A3F" w14:textId="77777777" w:rsidR="009129D1" w:rsidRPr="008713C0" w:rsidRDefault="009129D1" w:rsidP="00B10350">
            <w:pPr>
              <w:keepNext/>
              <w:keepLines/>
              <w:spacing w:before="40" w:after="40" w:line="240" w:lineRule="auto"/>
              <w:ind w:firstLine="0"/>
              <w:rPr>
                <w:rFonts w:ascii="Arial" w:hAnsi="Arial" w:cs="Arial"/>
                <w:sz w:val="18"/>
                <w:szCs w:val="18"/>
              </w:rPr>
            </w:pPr>
          </w:p>
        </w:tc>
        <w:tc>
          <w:tcPr>
            <w:tcW w:w="1619" w:type="pct"/>
            <w:tcBorders>
              <w:left w:val="nil"/>
              <w:bottom w:val="single" w:sz="4" w:space="0" w:color="auto"/>
              <w:right w:val="nil"/>
            </w:tcBorders>
          </w:tcPr>
          <w:p w14:paraId="3AEFCE86" w14:textId="77777777" w:rsidR="009129D1" w:rsidRPr="008713C0" w:rsidRDefault="009129D1" w:rsidP="00B10350">
            <w:pPr>
              <w:keepNext/>
              <w:keepLines/>
              <w:spacing w:before="40" w:after="40" w:line="240" w:lineRule="auto"/>
              <w:ind w:left="32" w:firstLine="0"/>
              <w:rPr>
                <w:rFonts w:ascii="Arial" w:hAnsi="Arial" w:cs="Arial"/>
                <w:sz w:val="18"/>
                <w:szCs w:val="18"/>
              </w:rPr>
            </w:pPr>
            <w:r w:rsidRPr="008713C0">
              <w:rPr>
                <w:rFonts w:ascii="Arial" w:hAnsi="Arial" w:cs="Arial"/>
                <w:sz w:val="18"/>
                <w:szCs w:val="18"/>
              </w:rPr>
              <w:t>Administrative data collection task lead</w:t>
            </w:r>
          </w:p>
        </w:tc>
        <w:tc>
          <w:tcPr>
            <w:tcW w:w="1619" w:type="pct"/>
            <w:tcBorders>
              <w:left w:val="nil"/>
              <w:bottom w:val="single" w:sz="4" w:space="0" w:color="auto"/>
              <w:right w:val="nil"/>
            </w:tcBorders>
            <w:shd w:val="clear" w:color="auto" w:fill="auto"/>
            <w:tcMar>
              <w:top w:w="0" w:type="dxa"/>
              <w:left w:w="108" w:type="dxa"/>
              <w:bottom w:w="0" w:type="dxa"/>
              <w:right w:w="108" w:type="dxa"/>
            </w:tcMar>
          </w:tcPr>
          <w:p w14:paraId="1CD2AE91" w14:textId="77777777" w:rsidR="009129D1" w:rsidRPr="008713C0" w:rsidRDefault="009129D1" w:rsidP="00B10350">
            <w:pPr>
              <w:keepNext/>
              <w:keepLines/>
              <w:spacing w:before="40" w:after="40" w:line="240" w:lineRule="auto"/>
              <w:ind w:firstLine="0"/>
              <w:rPr>
                <w:rFonts w:ascii="Arial" w:hAnsi="Arial" w:cs="Arial"/>
                <w:sz w:val="18"/>
                <w:szCs w:val="18"/>
              </w:rPr>
            </w:pPr>
            <w:r w:rsidRPr="008713C0">
              <w:rPr>
                <w:rFonts w:ascii="Arial" w:hAnsi="Arial" w:cs="Arial"/>
                <w:sz w:val="18"/>
                <w:szCs w:val="18"/>
              </w:rPr>
              <w:t>Mr. Christian Geckeler</w:t>
            </w:r>
            <w:r w:rsidRPr="008713C0">
              <w:rPr>
                <w:rFonts w:ascii="Arial" w:hAnsi="Arial" w:cs="Arial"/>
                <w:sz w:val="18"/>
                <w:szCs w:val="18"/>
              </w:rPr>
              <w:br/>
              <w:t>Senior Associate</w:t>
            </w:r>
            <w:r w:rsidRPr="008713C0">
              <w:rPr>
                <w:rFonts w:ascii="Arial" w:hAnsi="Arial" w:cs="Arial"/>
                <w:sz w:val="18"/>
                <w:szCs w:val="18"/>
              </w:rPr>
              <w:br/>
              <w:t>(510) 788-2461</w:t>
            </w:r>
          </w:p>
        </w:tc>
      </w:tr>
    </w:tbl>
    <w:p w14:paraId="42EC40AE" w14:textId="77777777" w:rsidR="009129D1" w:rsidRDefault="009129D1" w:rsidP="009129D1">
      <w:pPr>
        <w:spacing w:after="240" w:line="240" w:lineRule="auto"/>
      </w:pPr>
    </w:p>
    <w:sectPr w:rsidR="009129D1" w:rsidSect="00656D9F">
      <w:headerReference w:type="default" r:id="rId12"/>
      <w:footerReference w:type="default" r:id="rId13"/>
      <w:pgSz w:w="12240" w:h="15840"/>
      <w:pgMar w:top="1440" w:right="1440" w:bottom="576" w:left="1440" w:header="720" w:footer="8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6C02A" w14:textId="77777777" w:rsidR="009F7459" w:rsidRDefault="009F7459" w:rsidP="002E3E35">
      <w:pPr>
        <w:spacing w:line="240" w:lineRule="auto"/>
      </w:pPr>
      <w:r>
        <w:separator/>
      </w:r>
    </w:p>
  </w:endnote>
  <w:endnote w:type="continuationSeparator" w:id="0">
    <w:p w14:paraId="75DF8170" w14:textId="77777777" w:rsidR="009F7459" w:rsidRDefault="009F7459" w:rsidP="002E3E35">
      <w:pPr>
        <w:spacing w:line="240" w:lineRule="auto"/>
      </w:pPr>
      <w:r>
        <w:continuationSeparator/>
      </w:r>
    </w:p>
  </w:endnote>
  <w:endnote w:type="continuationNotice" w:id="1">
    <w:p w14:paraId="2A6D7B6A" w14:textId="77777777" w:rsidR="009F7459" w:rsidRDefault="009F74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A74A2" w14:textId="77777777" w:rsidR="009F7459" w:rsidRPr="00A12B64" w:rsidRDefault="009F7459" w:rsidP="007850A0">
    <w:pPr>
      <w:pStyle w:val="Footer"/>
      <w:pBdr>
        <w:bottom w:val="none" w:sz="0" w:space="0" w:color="auto"/>
      </w:pBdr>
      <w:tabs>
        <w:tab w:val="clear" w:pos="4320"/>
        <w:tab w:val="right" w:leader="underscore" w:pos="8539"/>
      </w:tabs>
      <w:rPr>
        <w:rFonts w:cs="Arial"/>
        <w:snapToGrid w:val="0"/>
        <w:szCs w:val="14"/>
      </w:rPr>
    </w:pPr>
  </w:p>
  <w:p w14:paraId="2C49399A" w14:textId="77777777" w:rsidR="009F7459" w:rsidRDefault="009F7459" w:rsidP="007850A0">
    <w:pPr>
      <w:pStyle w:val="Footer"/>
      <w:pBdr>
        <w:top w:val="single" w:sz="2" w:space="1" w:color="auto"/>
        <w:bottom w:val="none" w:sz="0" w:space="0" w:color="auto"/>
      </w:pBdr>
      <w:rPr>
        <w:rStyle w:val="PageNumber"/>
      </w:rPr>
    </w:pPr>
  </w:p>
  <w:p w14:paraId="10339F1E" w14:textId="78FD2FE7" w:rsidR="009F7459" w:rsidRPr="007850A0" w:rsidRDefault="009F7459" w:rsidP="007850A0">
    <w:pPr>
      <w:spacing w:line="240" w:lineRule="auto"/>
      <w:jc w:val="center"/>
      <w:rPr>
        <w:rFonts w:ascii="Arial" w:hAnsi="Arial"/>
        <w:sz w:val="20"/>
      </w:rPr>
    </w:pPr>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244F1">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FF8F0" w14:textId="77777777" w:rsidR="009F7459" w:rsidRDefault="009F7459" w:rsidP="00203E3B">
      <w:pPr>
        <w:spacing w:line="240" w:lineRule="auto"/>
        <w:ind w:firstLine="0"/>
      </w:pPr>
      <w:r>
        <w:separator/>
      </w:r>
    </w:p>
  </w:footnote>
  <w:footnote w:type="continuationSeparator" w:id="0">
    <w:p w14:paraId="233E7396" w14:textId="77777777" w:rsidR="009F7459" w:rsidRDefault="009F7459" w:rsidP="00203E3B">
      <w:pPr>
        <w:spacing w:line="240" w:lineRule="auto"/>
        <w:ind w:firstLine="0"/>
      </w:pPr>
      <w:r>
        <w:separator/>
      </w:r>
    </w:p>
    <w:p w14:paraId="2DE4FB43" w14:textId="77777777" w:rsidR="009F7459" w:rsidRPr="00157CA2" w:rsidRDefault="009F7459" w:rsidP="00203E3B">
      <w:pPr>
        <w:spacing w:after="120" w:line="240" w:lineRule="auto"/>
        <w:ind w:firstLine="0"/>
        <w:rPr>
          <w:sz w:val="20"/>
        </w:rPr>
      </w:pPr>
      <w:r w:rsidRPr="00157CA2">
        <w:rPr>
          <w:i/>
          <w:sz w:val="20"/>
        </w:rPr>
        <w:t>(continued)</w:t>
      </w:r>
    </w:p>
  </w:footnote>
  <w:footnote w:type="continuationNotice" w:id="1">
    <w:p w14:paraId="3396BA69" w14:textId="77777777" w:rsidR="009F7459" w:rsidRDefault="009F7459">
      <w:pPr>
        <w:spacing w:line="240" w:lineRule="auto"/>
      </w:pPr>
    </w:p>
  </w:footnote>
  <w:footnote w:id="2">
    <w:p w14:paraId="705C6A0F" w14:textId="4713DD36" w:rsidR="009F7459" w:rsidRDefault="009F7459">
      <w:pPr>
        <w:pStyle w:val="FootnoteText"/>
      </w:pPr>
      <w:r>
        <w:rPr>
          <w:rStyle w:val="FootnoteReference"/>
        </w:rPr>
        <w:footnoteRef/>
      </w:r>
      <w:r>
        <w:t xml:space="preserve"> </w:t>
      </w:r>
      <w:r w:rsidRPr="003B4CE6">
        <w:t xml:space="preserve">This clearance request does not include year 2015 grantees because it is expected that their grants will expire prior to receipt of </w:t>
      </w:r>
      <w:r>
        <w:t>approval for the request</w:t>
      </w:r>
      <w:r w:rsidRPr="003B4CE6">
        <w:t>.</w:t>
      </w:r>
      <w:r>
        <w:t xml:space="preserve"> </w:t>
      </w:r>
      <w:r w:rsidR="00E31861">
        <w:t>Hence, this package requests clearance for implementation study data collection for 97 of the 119 grantees included in the overall study.</w:t>
      </w:r>
    </w:p>
  </w:footnote>
  <w:footnote w:id="3">
    <w:p w14:paraId="1D94BB58" w14:textId="77777777" w:rsidR="009F7459" w:rsidRDefault="009F7459" w:rsidP="008713C0">
      <w:pPr>
        <w:pStyle w:val="FootnoteText"/>
      </w:pPr>
      <w:r>
        <w:rPr>
          <w:rStyle w:val="FootnoteReference"/>
        </w:rPr>
        <w:footnoteRef/>
      </w:r>
      <w:r>
        <w:t xml:space="preserve"> A subset of the REO grants were awarded to intermediary organizations that competitively selected subgrantees. Parts of the evaluation will include direct grantees and the subgrantees of the intermediaries.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45664" w14:textId="0C4915D7" w:rsidR="009F7459" w:rsidRDefault="009F7459" w:rsidP="000F48A2">
    <w:pPr>
      <w:pStyle w:val="Header"/>
    </w:pPr>
    <w:r w:rsidRPr="00953B47">
      <w:t xml:space="preserve">part </w:t>
    </w:r>
    <w:r>
      <w:t>B: Reentry Employment Opportunities (REO) Evaluation</w:t>
    </w:r>
    <w:r w:rsidRPr="006F6DD5">
      <w:tab/>
    </w:r>
  </w:p>
  <w:p w14:paraId="29A2F932" w14:textId="77777777" w:rsidR="009F7459" w:rsidRDefault="009F7459" w:rsidP="000F48A2">
    <w:pPr>
      <w:pStyle w:val="Header"/>
    </w:pPr>
    <w:r>
      <w:t>OMB No. 1290-0NEW</w:t>
    </w:r>
  </w:p>
  <w:p w14:paraId="412E40EE" w14:textId="3E97FAE2" w:rsidR="009F7459" w:rsidRDefault="005C71E9" w:rsidP="00656D9F">
    <w:pPr>
      <w:pStyle w:val="Header"/>
    </w:pPr>
    <w:r>
      <w:t>april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561D"/>
    <w:multiLevelType w:val="hybridMultilevel"/>
    <w:tmpl w:val="6010C95E"/>
    <w:lvl w:ilvl="0" w:tplc="0409000F">
      <w:start w:val="1"/>
      <w:numFmt w:val="decimal"/>
      <w:lvlText w:val="%1."/>
      <w:lvlJc w:val="left"/>
      <w:pPr>
        <w:ind w:left="792" w:hanging="360"/>
      </w:pPr>
    </w:lvl>
    <w:lvl w:ilvl="1" w:tplc="04090001">
      <w:start w:val="1"/>
      <w:numFmt w:val="bullet"/>
      <w:lvlText w:val=""/>
      <w:lvlJc w:val="left"/>
      <w:pPr>
        <w:ind w:left="1512" w:hanging="360"/>
      </w:pPr>
      <w:rPr>
        <w:rFonts w:ascii="Symbol" w:hAnsi="Symbol"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1582AE3"/>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E61D22"/>
    <w:multiLevelType w:val="hybridMultilevel"/>
    <w:tmpl w:val="B394AC2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0F613B38"/>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DE64B7"/>
    <w:multiLevelType w:val="hybridMultilevel"/>
    <w:tmpl w:val="F8C8A44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10542166"/>
    <w:multiLevelType w:val="hybridMultilevel"/>
    <w:tmpl w:val="F044221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nsid w:val="11534DD1"/>
    <w:multiLevelType w:val="hybridMultilevel"/>
    <w:tmpl w:val="17C4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5F4639"/>
    <w:multiLevelType w:val="hybridMultilevel"/>
    <w:tmpl w:val="28C46A90"/>
    <w:lvl w:ilvl="0" w:tplc="C8BEA310">
      <w:start w:val="1"/>
      <w:numFmt w:val="bullet"/>
      <w:pStyle w:val="Dash"/>
      <w:lvlText w:val="-"/>
      <w:lvlJc w:val="left"/>
      <w:pPr>
        <w:ind w:left="630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A919A6"/>
    <w:multiLevelType w:val="hybridMultilevel"/>
    <w:tmpl w:val="2B723A30"/>
    <w:lvl w:ilvl="0" w:tplc="AD4834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796199"/>
    <w:multiLevelType w:val="hybridMultilevel"/>
    <w:tmpl w:val="4536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3">
    <w:nsid w:val="3C9971F8"/>
    <w:multiLevelType w:val="hybridMultilevel"/>
    <w:tmpl w:val="FDEE1F98"/>
    <w:lvl w:ilvl="0" w:tplc="8BACB5B4">
      <w:start w:val="1"/>
      <w:numFmt w:val="bullet"/>
      <w:lvlText w:val="–"/>
      <w:lvlJc w:val="left"/>
      <w:pPr>
        <w:tabs>
          <w:tab w:val="num" w:pos="720"/>
        </w:tabs>
        <w:ind w:left="720" w:hanging="360"/>
      </w:pPr>
      <w:rPr>
        <w:rFonts w:ascii="Arial" w:hAnsi="Arial" w:hint="default"/>
      </w:rPr>
    </w:lvl>
    <w:lvl w:ilvl="1" w:tplc="4364BEA6">
      <w:start w:val="1"/>
      <w:numFmt w:val="bullet"/>
      <w:lvlText w:val="–"/>
      <w:lvlJc w:val="left"/>
      <w:pPr>
        <w:tabs>
          <w:tab w:val="num" w:pos="1440"/>
        </w:tabs>
        <w:ind w:left="1440" w:hanging="360"/>
      </w:pPr>
      <w:rPr>
        <w:rFonts w:ascii="Arial" w:hAnsi="Arial" w:hint="default"/>
      </w:rPr>
    </w:lvl>
    <w:lvl w:ilvl="2" w:tplc="9966498C" w:tentative="1">
      <w:start w:val="1"/>
      <w:numFmt w:val="bullet"/>
      <w:lvlText w:val="–"/>
      <w:lvlJc w:val="left"/>
      <w:pPr>
        <w:tabs>
          <w:tab w:val="num" w:pos="2160"/>
        </w:tabs>
        <w:ind w:left="2160" w:hanging="360"/>
      </w:pPr>
      <w:rPr>
        <w:rFonts w:ascii="Arial" w:hAnsi="Arial" w:hint="default"/>
      </w:rPr>
    </w:lvl>
    <w:lvl w:ilvl="3" w:tplc="ECA289F4" w:tentative="1">
      <w:start w:val="1"/>
      <w:numFmt w:val="bullet"/>
      <w:lvlText w:val="–"/>
      <w:lvlJc w:val="left"/>
      <w:pPr>
        <w:tabs>
          <w:tab w:val="num" w:pos="2880"/>
        </w:tabs>
        <w:ind w:left="2880" w:hanging="360"/>
      </w:pPr>
      <w:rPr>
        <w:rFonts w:ascii="Arial" w:hAnsi="Arial" w:hint="default"/>
      </w:rPr>
    </w:lvl>
    <w:lvl w:ilvl="4" w:tplc="00C4CDC0" w:tentative="1">
      <w:start w:val="1"/>
      <w:numFmt w:val="bullet"/>
      <w:lvlText w:val="–"/>
      <w:lvlJc w:val="left"/>
      <w:pPr>
        <w:tabs>
          <w:tab w:val="num" w:pos="3600"/>
        </w:tabs>
        <w:ind w:left="3600" w:hanging="360"/>
      </w:pPr>
      <w:rPr>
        <w:rFonts w:ascii="Arial" w:hAnsi="Arial" w:hint="default"/>
      </w:rPr>
    </w:lvl>
    <w:lvl w:ilvl="5" w:tplc="F42243A6" w:tentative="1">
      <w:start w:val="1"/>
      <w:numFmt w:val="bullet"/>
      <w:lvlText w:val="–"/>
      <w:lvlJc w:val="left"/>
      <w:pPr>
        <w:tabs>
          <w:tab w:val="num" w:pos="4320"/>
        </w:tabs>
        <w:ind w:left="4320" w:hanging="360"/>
      </w:pPr>
      <w:rPr>
        <w:rFonts w:ascii="Arial" w:hAnsi="Arial" w:hint="default"/>
      </w:rPr>
    </w:lvl>
    <w:lvl w:ilvl="6" w:tplc="A15273D8" w:tentative="1">
      <w:start w:val="1"/>
      <w:numFmt w:val="bullet"/>
      <w:lvlText w:val="–"/>
      <w:lvlJc w:val="left"/>
      <w:pPr>
        <w:tabs>
          <w:tab w:val="num" w:pos="5040"/>
        </w:tabs>
        <w:ind w:left="5040" w:hanging="360"/>
      </w:pPr>
      <w:rPr>
        <w:rFonts w:ascii="Arial" w:hAnsi="Arial" w:hint="default"/>
      </w:rPr>
    </w:lvl>
    <w:lvl w:ilvl="7" w:tplc="B7782C7C" w:tentative="1">
      <w:start w:val="1"/>
      <w:numFmt w:val="bullet"/>
      <w:lvlText w:val="–"/>
      <w:lvlJc w:val="left"/>
      <w:pPr>
        <w:tabs>
          <w:tab w:val="num" w:pos="5760"/>
        </w:tabs>
        <w:ind w:left="5760" w:hanging="360"/>
      </w:pPr>
      <w:rPr>
        <w:rFonts w:ascii="Arial" w:hAnsi="Arial" w:hint="default"/>
      </w:rPr>
    </w:lvl>
    <w:lvl w:ilvl="8" w:tplc="1BF020BC" w:tentative="1">
      <w:start w:val="1"/>
      <w:numFmt w:val="bullet"/>
      <w:lvlText w:val="–"/>
      <w:lvlJc w:val="left"/>
      <w:pPr>
        <w:tabs>
          <w:tab w:val="num" w:pos="6480"/>
        </w:tabs>
        <w:ind w:left="6480" w:hanging="360"/>
      </w:pPr>
      <w:rPr>
        <w:rFonts w:ascii="Arial" w:hAnsi="Arial" w:hint="default"/>
      </w:rPr>
    </w:lvl>
  </w:abstractNum>
  <w:abstractNum w:abstractNumId="24">
    <w:nsid w:val="3EC7115B"/>
    <w:multiLevelType w:val="hybridMultilevel"/>
    <w:tmpl w:val="EB1E961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nsid w:val="41B908DC"/>
    <w:multiLevelType w:val="hybridMultilevel"/>
    <w:tmpl w:val="D57CAF0A"/>
    <w:lvl w:ilvl="0" w:tplc="794849B4">
      <w:start w:val="1"/>
      <w:numFmt w:val="decimal"/>
      <w:lvlText w:val="%1."/>
      <w:lvlJc w:val="left"/>
      <w:pPr>
        <w:ind w:left="1152" w:hanging="360"/>
      </w:pPr>
      <w:rPr>
        <w:b/>
      </w:rPr>
    </w:lvl>
    <w:lvl w:ilvl="1" w:tplc="B464125C">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28101A3"/>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6048B"/>
    <w:multiLevelType w:val="singleLevel"/>
    <w:tmpl w:val="8788E3E4"/>
    <w:lvl w:ilvl="0">
      <w:start w:val="1"/>
      <w:numFmt w:val="decimal"/>
      <w:pStyle w:val="NumberedBullet"/>
      <w:lvlText w:val="%1."/>
      <w:lvlJc w:val="left"/>
      <w:pPr>
        <w:tabs>
          <w:tab w:val="num" w:pos="792"/>
        </w:tabs>
        <w:ind w:left="792" w:hanging="360"/>
      </w:pPr>
      <w:rPr>
        <w:rFonts w:hint="default"/>
        <w:b w:val="0"/>
      </w:rPr>
    </w:lvl>
  </w:abstractNum>
  <w:abstractNum w:abstractNumId="3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FF70DB"/>
    <w:multiLevelType w:val="hybridMultilevel"/>
    <w:tmpl w:val="C378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146D42"/>
    <w:multiLevelType w:val="hybridMultilevel"/>
    <w:tmpl w:val="D57CAF0A"/>
    <w:lvl w:ilvl="0" w:tplc="794849B4">
      <w:start w:val="1"/>
      <w:numFmt w:val="decimal"/>
      <w:lvlText w:val="%1."/>
      <w:lvlJc w:val="left"/>
      <w:pPr>
        <w:ind w:left="1152" w:hanging="360"/>
      </w:pPr>
      <w:rPr>
        <w:b/>
      </w:rPr>
    </w:lvl>
    <w:lvl w:ilvl="1" w:tplc="B464125C">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9">
    <w:nsid w:val="7020478C"/>
    <w:multiLevelType w:val="hybridMultilevel"/>
    <w:tmpl w:val="E8940548"/>
    <w:lvl w:ilvl="0" w:tplc="F31AEF5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nsid w:val="756741CA"/>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0016A2"/>
    <w:multiLevelType w:val="multilevel"/>
    <w:tmpl w:val="D4520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7235838"/>
    <w:multiLevelType w:val="hybridMultilevel"/>
    <w:tmpl w:val="10F8763C"/>
    <w:lvl w:ilvl="0" w:tplc="75E2D3C4">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9E6284"/>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7C966A27"/>
    <w:multiLevelType w:val="hybridMultilevel"/>
    <w:tmpl w:val="E62EFB5A"/>
    <w:lvl w:ilvl="0" w:tplc="9D86A3A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nsid w:val="7D2C501F"/>
    <w:multiLevelType w:val="hybridMultilevel"/>
    <w:tmpl w:val="FEE2F338"/>
    <w:lvl w:ilvl="0" w:tplc="29F642D2">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2B795F"/>
    <w:multiLevelType w:val="hybridMultilevel"/>
    <w:tmpl w:val="02EA27D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30"/>
  </w:num>
  <w:num w:numId="3">
    <w:abstractNumId w:val="44"/>
  </w:num>
  <w:num w:numId="4">
    <w:abstractNumId w:val="14"/>
  </w:num>
  <w:num w:numId="5">
    <w:abstractNumId w:val="40"/>
  </w:num>
  <w:num w:numId="6">
    <w:abstractNumId w:val="46"/>
  </w:num>
  <w:num w:numId="7">
    <w:abstractNumId w:val="3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9"/>
  </w:num>
  <w:num w:numId="18">
    <w:abstractNumId w:val="20"/>
  </w:num>
  <w:num w:numId="19">
    <w:abstractNumId w:val="33"/>
  </w:num>
  <w:num w:numId="20">
    <w:abstractNumId w:val="8"/>
  </w:num>
  <w:num w:numId="21">
    <w:abstractNumId w:val="34"/>
  </w:num>
  <w:num w:numId="22">
    <w:abstractNumId w:val="5"/>
  </w:num>
  <w:num w:numId="23">
    <w:abstractNumId w:val="27"/>
  </w:num>
  <w:num w:numId="24">
    <w:abstractNumId w:val="38"/>
  </w:num>
  <w:num w:numId="25">
    <w:abstractNumId w:val="9"/>
  </w:num>
  <w:num w:numId="26">
    <w:abstractNumId w:val="4"/>
  </w:num>
  <w:num w:numId="27">
    <w:abstractNumId w:val="16"/>
  </w:num>
  <w:num w:numId="28">
    <w:abstractNumId w:val="28"/>
  </w:num>
  <w:num w:numId="29">
    <w:abstractNumId w:val="37"/>
  </w:num>
  <w:num w:numId="30">
    <w:abstractNumId w:val="35"/>
  </w:num>
  <w:num w:numId="31">
    <w:abstractNumId w:val="7"/>
  </w:num>
  <w:num w:numId="32">
    <w:abstractNumId w:val="29"/>
    <w:lvlOverride w:ilvl="0">
      <w:startOverride w:val="1"/>
    </w:lvlOverride>
  </w:num>
  <w:num w:numId="33">
    <w:abstractNumId w:val="19"/>
  </w:num>
  <w:num w:numId="34">
    <w:abstractNumId w:val="32"/>
  </w:num>
  <w:num w:numId="35">
    <w:abstractNumId w:val="26"/>
  </w:num>
  <w:num w:numId="36">
    <w:abstractNumId w:val="21"/>
  </w:num>
  <w:num w:numId="37">
    <w:abstractNumId w:val="42"/>
  </w:num>
  <w:num w:numId="38">
    <w:abstractNumId w:val="10"/>
  </w:num>
  <w:num w:numId="39">
    <w:abstractNumId w:val="2"/>
  </w:num>
  <w:num w:numId="40">
    <w:abstractNumId w:val="45"/>
  </w:num>
  <w:num w:numId="41">
    <w:abstractNumId w:val="6"/>
  </w:num>
  <w:num w:numId="42">
    <w:abstractNumId w:val="23"/>
  </w:num>
  <w:num w:numId="43">
    <w:abstractNumId w:val="24"/>
  </w:num>
  <w:num w:numId="44">
    <w:abstractNumId w:val="22"/>
  </w:num>
  <w:num w:numId="45">
    <w:abstractNumId w:val="1"/>
  </w:num>
  <w:num w:numId="46">
    <w:abstractNumId w:val="11"/>
  </w:num>
  <w:num w:numId="47">
    <w:abstractNumId w:val="15"/>
  </w:num>
  <w:num w:numId="48">
    <w:abstractNumId w:val="18"/>
  </w:num>
  <w:num w:numId="49">
    <w:abstractNumId w:val="31"/>
  </w:num>
  <w:num w:numId="50">
    <w:abstractNumId w:val="3"/>
  </w:num>
  <w:num w:numId="51">
    <w:abstractNumId w:val="25"/>
  </w:num>
  <w:num w:numId="52">
    <w:abstractNumId w:val="29"/>
    <w:lvlOverride w:ilvl="0">
      <w:startOverride w:val="1"/>
    </w:lvlOverride>
  </w:num>
  <w:num w:numId="53">
    <w:abstractNumId w:val="29"/>
  </w:num>
  <w:num w:numId="54">
    <w:abstractNumId w:val="29"/>
  </w:num>
  <w:num w:numId="55">
    <w:abstractNumId w:val="29"/>
  </w:num>
  <w:num w:numId="56">
    <w:abstractNumId w:val="29"/>
  </w:num>
  <w:num w:numId="57">
    <w:abstractNumId w:val="29"/>
  </w:num>
  <w:num w:numId="58">
    <w:abstractNumId w:val="29"/>
  </w:num>
  <w:num w:numId="59">
    <w:abstractNumId w:val="29"/>
  </w:num>
  <w:num w:numId="60">
    <w:abstractNumId w:val="29"/>
  </w:num>
  <w:num w:numId="61">
    <w:abstractNumId w:val="29"/>
  </w:num>
  <w:num w:numId="62">
    <w:abstractNumId w:val="29"/>
  </w:num>
  <w:num w:numId="63">
    <w:abstractNumId w:val="29"/>
  </w:num>
  <w:num w:numId="64">
    <w:abstractNumId w:val="29"/>
  </w:num>
  <w:num w:numId="65">
    <w:abstractNumId w:val="29"/>
  </w:num>
  <w:num w:numId="66">
    <w:abstractNumId w:val="29"/>
  </w:num>
  <w:num w:numId="67">
    <w:abstractNumId w:val="29"/>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29"/>
  </w:num>
  <w:num w:numId="84">
    <w:abstractNumId w:val="29"/>
  </w:num>
  <w:num w:numId="85">
    <w:abstractNumId w:val="29"/>
  </w:num>
  <w:num w:numId="86">
    <w:abstractNumId w:val="29"/>
  </w:num>
  <w:num w:numId="87">
    <w:abstractNumId w:val="29"/>
  </w:num>
  <w:num w:numId="88">
    <w:abstractNumId w:val="29"/>
  </w:num>
  <w:num w:numId="89">
    <w:abstractNumId w:val="14"/>
  </w:num>
  <w:num w:numId="90">
    <w:abstractNumId w:val="14"/>
  </w:num>
  <w:num w:numId="91">
    <w:abstractNumId w:val="14"/>
  </w:num>
  <w:num w:numId="92">
    <w:abstractNumId w:val="14"/>
  </w:num>
  <w:num w:numId="93">
    <w:abstractNumId w:val="14"/>
  </w:num>
  <w:num w:numId="94">
    <w:abstractNumId w:val="14"/>
  </w:num>
  <w:num w:numId="95">
    <w:abstractNumId w:val="14"/>
  </w:num>
  <w:num w:numId="96">
    <w:abstractNumId w:val="14"/>
  </w:num>
  <w:num w:numId="97">
    <w:abstractNumId w:val="14"/>
  </w:num>
  <w:num w:numId="98">
    <w:abstractNumId w:val="14"/>
  </w:num>
  <w:num w:numId="99">
    <w:abstractNumId w:val="14"/>
  </w:num>
  <w:num w:numId="100">
    <w:abstractNumId w:val="30"/>
  </w:num>
  <w:num w:numId="101">
    <w:abstractNumId w:val="30"/>
  </w:num>
  <w:num w:numId="102">
    <w:abstractNumId w:val="30"/>
  </w:num>
  <w:num w:numId="103">
    <w:abstractNumId w:val="30"/>
  </w:num>
  <w:num w:numId="104">
    <w:abstractNumId w:val="30"/>
  </w:num>
  <w:num w:numId="105">
    <w:abstractNumId w:val="30"/>
  </w:num>
  <w:num w:numId="106">
    <w:abstractNumId w:val="30"/>
  </w:num>
  <w:num w:numId="107">
    <w:abstractNumId w:val="30"/>
  </w:num>
  <w:num w:numId="108">
    <w:abstractNumId w:val="30"/>
  </w:num>
  <w:num w:numId="109">
    <w:abstractNumId w:val="30"/>
  </w:num>
  <w:num w:numId="110">
    <w:abstractNumId w:val="30"/>
  </w:num>
  <w:num w:numId="111">
    <w:abstractNumId w:val="30"/>
  </w:num>
  <w:num w:numId="112">
    <w:abstractNumId w:val="30"/>
  </w:num>
  <w:num w:numId="113">
    <w:abstractNumId w:val="30"/>
  </w:num>
  <w:num w:numId="114">
    <w:abstractNumId w:val="30"/>
  </w:num>
  <w:num w:numId="115">
    <w:abstractNumId w:val="30"/>
  </w:num>
  <w:num w:numId="116">
    <w:abstractNumId w:val="30"/>
  </w:num>
  <w:num w:numId="117">
    <w:abstractNumId w:val="30"/>
  </w:num>
  <w:num w:numId="118">
    <w:abstractNumId w:val="30"/>
  </w:num>
  <w:num w:numId="119">
    <w:abstractNumId w:val="39"/>
  </w:num>
  <w:num w:numId="120">
    <w:abstractNumId w:val="39"/>
  </w:num>
  <w:num w:numId="121">
    <w:abstractNumId w:val="39"/>
  </w:num>
  <w:num w:numId="122">
    <w:abstractNumId w:val="39"/>
  </w:num>
  <w:num w:numId="123">
    <w:abstractNumId w:val="39"/>
  </w:num>
  <w:num w:numId="124">
    <w:abstractNumId w:val="39"/>
  </w:num>
  <w:num w:numId="125">
    <w:abstractNumId w:val="39"/>
  </w:num>
  <w:num w:numId="126">
    <w:abstractNumId w:val="39"/>
  </w:num>
  <w:num w:numId="127">
    <w:abstractNumId w:val="39"/>
  </w:num>
  <w:num w:numId="128">
    <w:abstractNumId w:val="39"/>
  </w:num>
  <w:num w:numId="129">
    <w:abstractNumId w:val="39"/>
  </w:num>
  <w:num w:numId="130">
    <w:abstractNumId w:val="39"/>
  </w:num>
  <w:num w:numId="131">
    <w:abstractNumId w:val="39"/>
  </w:num>
  <w:num w:numId="132">
    <w:abstractNumId w:val="39"/>
  </w:num>
  <w:num w:numId="133">
    <w:abstractNumId w:val="39"/>
  </w:num>
  <w:num w:numId="134">
    <w:abstractNumId w:val="39"/>
  </w:num>
  <w:num w:numId="135">
    <w:abstractNumId w:val="39"/>
  </w:num>
  <w:num w:numId="136">
    <w:abstractNumId w:val="39"/>
  </w:num>
  <w:num w:numId="137">
    <w:abstractNumId w:val="39"/>
  </w:num>
  <w:num w:numId="138">
    <w:abstractNumId w:val="39"/>
  </w:num>
  <w:num w:numId="139">
    <w:abstractNumId w:val="39"/>
  </w:num>
  <w:num w:numId="140">
    <w:abstractNumId w:val="39"/>
  </w:num>
  <w:num w:numId="141">
    <w:abstractNumId w:val="39"/>
  </w:num>
  <w:num w:numId="142">
    <w:abstractNumId w:val="39"/>
  </w:num>
  <w:num w:numId="143">
    <w:abstractNumId w:val="39"/>
  </w:num>
  <w:num w:numId="144">
    <w:abstractNumId w:val="39"/>
  </w:num>
  <w:num w:numId="145">
    <w:abstractNumId w:val="39"/>
  </w:num>
  <w:num w:numId="146">
    <w:abstractNumId w:val="39"/>
  </w:num>
  <w:num w:numId="147">
    <w:abstractNumId w:val="39"/>
  </w:num>
  <w:num w:numId="148">
    <w:abstractNumId w:val="39"/>
  </w:num>
  <w:num w:numId="149">
    <w:abstractNumId w:val="39"/>
  </w:num>
  <w:num w:numId="150">
    <w:abstractNumId w:val="39"/>
  </w:num>
  <w:num w:numId="151">
    <w:abstractNumId w:val="39"/>
  </w:num>
  <w:num w:numId="152">
    <w:abstractNumId w:val="39"/>
  </w:num>
  <w:num w:numId="153">
    <w:abstractNumId w:val="39"/>
  </w:num>
  <w:num w:numId="154">
    <w:abstractNumId w:val="39"/>
  </w:num>
  <w:num w:numId="155">
    <w:abstractNumId w:val="39"/>
  </w:num>
  <w:num w:numId="156">
    <w:abstractNumId w:val="43"/>
  </w:num>
  <w:num w:numId="157">
    <w:abstractNumId w:val="48"/>
  </w:num>
  <w:num w:numId="158">
    <w:abstractNumId w:val="39"/>
  </w:num>
  <w:num w:numId="159">
    <w:abstractNumId w:val="29"/>
    <w:lvlOverride w:ilvl="0">
      <w:startOverride w:val="1"/>
    </w:lvlOverride>
  </w:num>
  <w:num w:numId="160">
    <w:abstractNumId w:val="30"/>
  </w:num>
  <w:num w:numId="161">
    <w:abstractNumId w:val="39"/>
  </w:num>
  <w:num w:numId="162">
    <w:abstractNumId w:val="14"/>
  </w:num>
  <w:num w:numId="163">
    <w:abstractNumId w:val="14"/>
  </w:num>
  <w:num w:numId="164">
    <w:abstractNumId w:val="12"/>
  </w:num>
  <w:num w:numId="165">
    <w:abstractNumId w:val="13"/>
  </w:num>
  <w:num w:numId="166">
    <w:abstractNumId w:val="41"/>
  </w:num>
  <w:num w:numId="167">
    <w:abstractNumId w:val="47"/>
  </w:num>
  <w:num w:numId="168">
    <w:abstractNumId w:val="47"/>
    <w:lvlOverride w:ilvl="0">
      <w:startOverride w:val="1"/>
    </w:lvlOverride>
  </w:num>
  <w:num w:numId="169">
    <w:abstractNumId w:val="49"/>
  </w:num>
  <w:num w:numId="170">
    <w:abstractNumId w:val="17"/>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798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FA"/>
    <w:rsid w:val="000023F5"/>
    <w:rsid w:val="000030B1"/>
    <w:rsid w:val="00010CEE"/>
    <w:rsid w:val="0001587F"/>
    <w:rsid w:val="00016D34"/>
    <w:rsid w:val="0002110B"/>
    <w:rsid w:val="000212FC"/>
    <w:rsid w:val="00022A0A"/>
    <w:rsid w:val="0002322B"/>
    <w:rsid w:val="0002377D"/>
    <w:rsid w:val="00023FC6"/>
    <w:rsid w:val="0002547E"/>
    <w:rsid w:val="0002557C"/>
    <w:rsid w:val="0002754E"/>
    <w:rsid w:val="000306CC"/>
    <w:rsid w:val="00031083"/>
    <w:rsid w:val="0003265D"/>
    <w:rsid w:val="00032E4E"/>
    <w:rsid w:val="00034667"/>
    <w:rsid w:val="00036E7F"/>
    <w:rsid w:val="00040B2C"/>
    <w:rsid w:val="000423BE"/>
    <w:rsid w:val="00042419"/>
    <w:rsid w:val="00042FA8"/>
    <w:rsid w:val="00043329"/>
    <w:rsid w:val="00043B27"/>
    <w:rsid w:val="00044069"/>
    <w:rsid w:val="00046E39"/>
    <w:rsid w:val="00047BDD"/>
    <w:rsid w:val="00054046"/>
    <w:rsid w:val="00056BC1"/>
    <w:rsid w:val="000575D5"/>
    <w:rsid w:val="000578BB"/>
    <w:rsid w:val="00060579"/>
    <w:rsid w:val="000622E4"/>
    <w:rsid w:val="000633AA"/>
    <w:rsid w:val="00067DD7"/>
    <w:rsid w:val="0007041A"/>
    <w:rsid w:val="000757C5"/>
    <w:rsid w:val="00076426"/>
    <w:rsid w:val="000777DB"/>
    <w:rsid w:val="00081CED"/>
    <w:rsid w:val="00082C0B"/>
    <w:rsid w:val="000840AB"/>
    <w:rsid w:val="00084A76"/>
    <w:rsid w:val="000855BD"/>
    <w:rsid w:val="00086066"/>
    <w:rsid w:val="00091040"/>
    <w:rsid w:val="0009143A"/>
    <w:rsid w:val="00095543"/>
    <w:rsid w:val="000972E1"/>
    <w:rsid w:val="0009753F"/>
    <w:rsid w:val="000A2181"/>
    <w:rsid w:val="000A2330"/>
    <w:rsid w:val="000A2A7F"/>
    <w:rsid w:val="000A36C3"/>
    <w:rsid w:val="000A5A8D"/>
    <w:rsid w:val="000A6591"/>
    <w:rsid w:val="000A7604"/>
    <w:rsid w:val="000A7FB4"/>
    <w:rsid w:val="000B02CF"/>
    <w:rsid w:val="000B0AE6"/>
    <w:rsid w:val="000B521D"/>
    <w:rsid w:val="000B555A"/>
    <w:rsid w:val="000B5A90"/>
    <w:rsid w:val="000B764C"/>
    <w:rsid w:val="000C2E3B"/>
    <w:rsid w:val="000C413E"/>
    <w:rsid w:val="000C7D4D"/>
    <w:rsid w:val="000D2EB3"/>
    <w:rsid w:val="000D3416"/>
    <w:rsid w:val="000D5B34"/>
    <w:rsid w:val="000D680A"/>
    <w:rsid w:val="000D6D88"/>
    <w:rsid w:val="000D751A"/>
    <w:rsid w:val="000E0694"/>
    <w:rsid w:val="000E0917"/>
    <w:rsid w:val="000E0A13"/>
    <w:rsid w:val="000E1C2B"/>
    <w:rsid w:val="000E2169"/>
    <w:rsid w:val="000E2F79"/>
    <w:rsid w:val="000E3CB8"/>
    <w:rsid w:val="000E4C3F"/>
    <w:rsid w:val="000E75FE"/>
    <w:rsid w:val="000F48A2"/>
    <w:rsid w:val="000F677B"/>
    <w:rsid w:val="001004A7"/>
    <w:rsid w:val="001055DE"/>
    <w:rsid w:val="00110DB4"/>
    <w:rsid w:val="001119F8"/>
    <w:rsid w:val="00112A5E"/>
    <w:rsid w:val="00112F3D"/>
    <w:rsid w:val="00113CC8"/>
    <w:rsid w:val="001160D2"/>
    <w:rsid w:val="001163E9"/>
    <w:rsid w:val="00121170"/>
    <w:rsid w:val="00121FD1"/>
    <w:rsid w:val="00122C2C"/>
    <w:rsid w:val="00122F89"/>
    <w:rsid w:val="00130C03"/>
    <w:rsid w:val="001311F7"/>
    <w:rsid w:val="0013184F"/>
    <w:rsid w:val="00131D22"/>
    <w:rsid w:val="00131EF2"/>
    <w:rsid w:val="00131F00"/>
    <w:rsid w:val="0013346F"/>
    <w:rsid w:val="001341FC"/>
    <w:rsid w:val="00135EB7"/>
    <w:rsid w:val="0013709C"/>
    <w:rsid w:val="00141F85"/>
    <w:rsid w:val="00142821"/>
    <w:rsid w:val="001444E9"/>
    <w:rsid w:val="00144B20"/>
    <w:rsid w:val="00146CE3"/>
    <w:rsid w:val="00147515"/>
    <w:rsid w:val="00147A74"/>
    <w:rsid w:val="00153FC5"/>
    <w:rsid w:val="00154DF1"/>
    <w:rsid w:val="00155D06"/>
    <w:rsid w:val="00157CA2"/>
    <w:rsid w:val="001649D5"/>
    <w:rsid w:val="00164BC2"/>
    <w:rsid w:val="00166FF5"/>
    <w:rsid w:val="00167E33"/>
    <w:rsid w:val="00172108"/>
    <w:rsid w:val="001739F1"/>
    <w:rsid w:val="00175287"/>
    <w:rsid w:val="00176A3D"/>
    <w:rsid w:val="00177482"/>
    <w:rsid w:val="00177BE7"/>
    <w:rsid w:val="00181AC8"/>
    <w:rsid w:val="00181C52"/>
    <w:rsid w:val="00184421"/>
    <w:rsid w:val="00185CEF"/>
    <w:rsid w:val="00187406"/>
    <w:rsid w:val="001920C4"/>
    <w:rsid w:val="001921A4"/>
    <w:rsid w:val="00194A0E"/>
    <w:rsid w:val="00196386"/>
    <w:rsid w:val="001969F1"/>
    <w:rsid w:val="00196E5A"/>
    <w:rsid w:val="00197503"/>
    <w:rsid w:val="001A0418"/>
    <w:rsid w:val="001A3781"/>
    <w:rsid w:val="001A561A"/>
    <w:rsid w:val="001A5F4E"/>
    <w:rsid w:val="001B0416"/>
    <w:rsid w:val="001B107D"/>
    <w:rsid w:val="001B2E53"/>
    <w:rsid w:val="001B4842"/>
    <w:rsid w:val="001B488D"/>
    <w:rsid w:val="001B5ED1"/>
    <w:rsid w:val="001B70DC"/>
    <w:rsid w:val="001C25DD"/>
    <w:rsid w:val="001C32A1"/>
    <w:rsid w:val="001C5EB8"/>
    <w:rsid w:val="001C6CF2"/>
    <w:rsid w:val="001C74A9"/>
    <w:rsid w:val="001C7FBE"/>
    <w:rsid w:val="001D3544"/>
    <w:rsid w:val="001D39AA"/>
    <w:rsid w:val="001D39EC"/>
    <w:rsid w:val="001D418D"/>
    <w:rsid w:val="001D5C7E"/>
    <w:rsid w:val="001D661F"/>
    <w:rsid w:val="001D7B65"/>
    <w:rsid w:val="001E1D9E"/>
    <w:rsid w:val="001E2ED2"/>
    <w:rsid w:val="001E6A60"/>
    <w:rsid w:val="001E6E5A"/>
    <w:rsid w:val="001E79C4"/>
    <w:rsid w:val="001E7CFE"/>
    <w:rsid w:val="001F0B8B"/>
    <w:rsid w:val="001F4D9C"/>
    <w:rsid w:val="001F4F40"/>
    <w:rsid w:val="001F504D"/>
    <w:rsid w:val="001F69AB"/>
    <w:rsid w:val="001F6B53"/>
    <w:rsid w:val="00201E7E"/>
    <w:rsid w:val="00203E3B"/>
    <w:rsid w:val="00204AB9"/>
    <w:rsid w:val="00204B23"/>
    <w:rsid w:val="002050B7"/>
    <w:rsid w:val="002066DB"/>
    <w:rsid w:val="00212093"/>
    <w:rsid w:val="00214E0B"/>
    <w:rsid w:val="00215C5A"/>
    <w:rsid w:val="00215E4D"/>
    <w:rsid w:val="002166BC"/>
    <w:rsid w:val="00217293"/>
    <w:rsid w:val="00217FA0"/>
    <w:rsid w:val="002258D7"/>
    <w:rsid w:val="00225954"/>
    <w:rsid w:val="0022714B"/>
    <w:rsid w:val="002272CB"/>
    <w:rsid w:val="00230A4C"/>
    <w:rsid w:val="00231607"/>
    <w:rsid w:val="00232B01"/>
    <w:rsid w:val="00234AED"/>
    <w:rsid w:val="0023638D"/>
    <w:rsid w:val="00246486"/>
    <w:rsid w:val="00247945"/>
    <w:rsid w:val="00250005"/>
    <w:rsid w:val="00251F52"/>
    <w:rsid w:val="00254C89"/>
    <w:rsid w:val="00254E2D"/>
    <w:rsid w:val="00256D04"/>
    <w:rsid w:val="0026025C"/>
    <w:rsid w:val="00262DD1"/>
    <w:rsid w:val="002655B3"/>
    <w:rsid w:val="0026713B"/>
    <w:rsid w:val="00267838"/>
    <w:rsid w:val="00270094"/>
    <w:rsid w:val="00270B97"/>
    <w:rsid w:val="00271C83"/>
    <w:rsid w:val="0027245E"/>
    <w:rsid w:val="00272B66"/>
    <w:rsid w:val="002733A4"/>
    <w:rsid w:val="002817A6"/>
    <w:rsid w:val="00282CD7"/>
    <w:rsid w:val="00283304"/>
    <w:rsid w:val="0028360E"/>
    <w:rsid w:val="002853E3"/>
    <w:rsid w:val="002869EF"/>
    <w:rsid w:val="00286C1B"/>
    <w:rsid w:val="0029011D"/>
    <w:rsid w:val="0029042C"/>
    <w:rsid w:val="00290548"/>
    <w:rsid w:val="00292A7F"/>
    <w:rsid w:val="00294B21"/>
    <w:rsid w:val="0029692D"/>
    <w:rsid w:val="00297266"/>
    <w:rsid w:val="002A00E4"/>
    <w:rsid w:val="002A1CA5"/>
    <w:rsid w:val="002A2808"/>
    <w:rsid w:val="002A3D5D"/>
    <w:rsid w:val="002A4F27"/>
    <w:rsid w:val="002A60B5"/>
    <w:rsid w:val="002A64F9"/>
    <w:rsid w:val="002A6552"/>
    <w:rsid w:val="002B0E82"/>
    <w:rsid w:val="002B25CD"/>
    <w:rsid w:val="002B71CD"/>
    <w:rsid w:val="002B72E0"/>
    <w:rsid w:val="002B76AB"/>
    <w:rsid w:val="002B7C37"/>
    <w:rsid w:val="002C1507"/>
    <w:rsid w:val="002C3CA5"/>
    <w:rsid w:val="002C40A9"/>
    <w:rsid w:val="002C598D"/>
    <w:rsid w:val="002C71CA"/>
    <w:rsid w:val="002C71DF"/>
    <w:rsid w:val="002D262A"/>
    <w:rsid w:val="002D48F7"/>
    <w:rsid w:val="002D5AF8"/>
    <w:rsid w:val="002D6763"/>
    <w:rsid w:val="002D7B94"/>
    <w:rsid w:val="002E06F1"/>
    <w:rsid w:val="002E226E"/>
    <w:rsid w:val="002E3E35"/>
    <w:rsid w:val="002E4EFA"/>
    <w:rsid w:val="002E61C1"/>
    <w:rsid w:val="002E7B24"/>
    <w:rsid w:val="002F297B"/>
    <w:rsid w:val="002F661B"/>
    <w:rsid w:val="002F6E35"/>
    <w:rsid w:val="003008FB"/>
    <w:rsid w:val="0030242C"/>
    <w:rsid w:val="00302890"/>
    <w:rsid w:val="0030468E"/>
    <w:rsid w:val="00306F1E"/>
    <w:rsid w:val="00310B61"/>
    <w:rsid w:val="00310CBE"/>
    <w:rsid w:val="00315DEC"/>
    <w:rsid w:val="00315E29"/>
    <w:rsid w:val="0031740A"/>
    <w:rsid w:val="00317FDB"/>
    <w:rsid w:val="003250D8"/>
    <w:rsid w:val="00325FF2"/>
    <w:rsid w:val="003268AC"/>
    <w:rsid w:val="00326958"/>
    <w:rsid w:val="0033012A"/>
    <w:rsid w:val="003308C3"/>
    <w:rsid w:val="00331ADC"/>
    <w:rsid w:val="00341682"/>
    <w:rsid w:val="003426BF"/>
    <w:rsid w:val="0034292E"/>
    <w:rsid w:val="00342DCA"/>
    <w:rsid w:val="00345556"/>
    <w:rsid w:val="00345FBD"/>
    <w:rsid w:val="00346E5F"/>
    <w:rsid w:val="00347DC2"/>
    <w:rsid w:val="00354838"/>
    <w:rsid w:val="0035526C"/>
    <w:rsid w:val="00357B5C"/>
    <w:rsid w:val="00362A47"/>
    <w:rsid w:val="00362B0D"/>
    <w:rsid w:val="00363410"/>
    <w:rsid w:val="00363A19"/>
    <w:rsid w:val="0036433B"/>
    <w:rsid w:val="003656C4"/>
    <w:rsid w:val="003668C5"/>
    <w:rsid w:val="00366F93"/>
    <w:rsid w:val="00367561"/>
    <w:rsid w:val="00370490"/>
    <w:rsid w:val="00370BC5"/>
    <w:rsid w:val="00370D5B"/>
    <w:rsid w:val="00373052"/>
    <w:rsid w:val="003743AD"/>
    <w:rsid w:val="00382C20"/>
    <w:rsid w:val="003836D6"/>
    <w:rsid w:val="00384735"/>
    <w:rsid w:val="00384A00"/>
    <w:rsid w:val="00384E5E"/>
    <w:rsid w:val="00387C3D"/>
    <w:rsid w:val="003921CA"/>
    <w:rsid w:val="00392614"/>
    <w:rsid w:val="00394544"/>
    <w:rsid w:val="00394DAA"/>
    <w:rsid w:val="003969F2"/>
    <w:rsid w:val="00396D0B"/>
    <w:rsid w:val="00396FD7"/>
    <w:rsid w:val="003A0614"/>
    <w:rsid w:val="003A0C7A"/>
    <w:rsid w:val="003A16DA"/>
    <w:rsid w:val="003A194D"/>
    <w:rsid w:val="003A3ADA"/>
    <w:rsid w:val="003A44C1"/>
    <w:rsid w:val="003A501E"/>
    <w:rsid w:val="003A63C1"/>
    <w:rsid w:val="003B1BB7"/>
    <w:rsid w:val="003B35CC"/>
    <w:rsid w:val="003B56B0"/>
    <w:rsid w:val="003B76A7"/>
    <w:rsid w:val="003C2AE6"/>
    <w:rsid w:val="003C3464"/>
    <w:rsid w:val="003C38EC"/>
    <w:rsid w:val="003C3D79"/>
    <w:rsid w:val="003C47A9"/>
    <w:rsid w:val="003C5527"/>
    <w:rsid w:val="003D5F99"/>
    <w:rsid w:val="003D783E"/>
    <w:rsid w:val="003E0398"/>
    <w:rsid w:val="003E1047"/>
    <w:rsid w:val="003E1520"/>
    <w:rsid w:val="003E21DB"/>
    <w:rsid w:val="003E3505"/>
    <w:rsid w:val="003E418E"/>
    <w:rsid w:val="003E5623"/>
    <w:rsid w:val="003E603D"/>
    <w:rsid w:val="003E69E3"/>
    <w:rsid w:val="003E7979"/>
    <w:rsid w:val="003F077E"/>
    <w:rsid w:val="003F4ADD"/>
    <w:rsid w:val="003F5095"/>
    <w:rsid w:val="003F7027"/>
    <w:rsid w:val="003F7D6D"/>
    <w:rsid w:val="004008FB"/>
    <w:rsid w:val="00402014"/>
    <w:rsid w:val="0040210A"/>
    <w:rsid w:val="00402FEC"/>
    <w:rsid w:val="0040307A"/>
    <w:rsid w:val="00406760"/>
    <w:rsid w:val="00413779"/>
    <w:rsid w:val="004142A4"/>
    <w:rsid w:val="004156FA"/>
    <w:rsid w:val="0042100E"/>
    <w:rsid w:val="00426F00"/>
    <w:rsid w:val="00430A3F"/>
    <w:rsid w:val="00430A83"/>
    <w:rsid w:val="00431084"/>
    <w:rsid w:val="0043349D"/>
    <w:rsid w:val="00435539"/>
    <w:rsid w:val="00436B58"/>
    <w:rsid w:val="00436BC8"/>
    <w:rsid w:val="00436BEA"/>
    <w:rsid w:val="00437868"/>
    <w:rsid w:val="004406E3"/>
    <w:rsid w:val="0044335E"/>
    <w:rsid w:val="00446C1B"/>
    <w:rsid w:val="004475DE"/>
    <w:rsid w:val="004533DB"/>
    <w:rsid w:val="00455D47"/>
    <w:rsid w:val="00456D02"/>
    <w:rsid w:val="0045791F"/>
    <w:rsid w:val="00460B49"/>
    <w:rsid w:val="004616DF"/>
    <w:rsid w:val="004620FF"/>
    <w:rsid w:val="00462212"/>
    <w:rsid w:val="0046226A"/>
    <w:rsid w:val="00464B7F"/>
    <w:rsid w:val="004655C1"/>
    <w:rsid w:val="00465789"/>
    <w:rsid w:val="00465C6F"/>
    <w:rsid w:val="004662C5"/>
    <w:rsid w:val="004669B4"/>
    <w:rsid w:val="004714E9"/>
    <w:rsid w:val="004732BD"/>
    <w:rsid w:val="00480779"/>
    <w:rsid w:val="00485889"/>
    <w:rsid w:val="004867C2"/>
    <w:rsid w:val="00491911"/>
    <w:rsid w:val="0049195D"/>
    <w:rsid w:val="00491AB9"/>
    <w:rsid w:val="004934BE"/>
    <w:rsid w:val="00495399"/>
    <w:rsid w:val="00495DE3"/>
    <w:rsid w:val="004A27B4"/>
    <w:rsid w:val="004A4935"/>
    <w:rsid w:val="004B1885"/>
    <w:rsid w:val="004B1F90"/>
    <w:rsid w:val="004B3165"/>
    <w:rsid w:val="004B47D3"/>
    <w:rsid w:val="004B5B9D"/>
    <w:rsid w:val="004B719A"/>
    <w:rsid w:val="004C0E5D"/>
    <w:rsid w:val="004C1999"/>
    <w:rsid w:val="004C2334"/>
    <w:rsid w:val="004C2AF2"/>
    <w:rsid w:val="004C498B"/>
    <w:rsid w:val="004C67B1"/>
    <w:rsid w:val="004D18B5"/>
    <w:rsid w:val="004D1EAA"/>
    <w:rsid w:val="004D2C35"/>
    <w:rsid w:val="004D40DD"/>
    <w:rsid w:val="004D6B97"/>
    <w:rsid w:val="004E049B"/>
    <w:rsid w:val="004E1E3C"/>
    <w:rsid w:val="004E4503"/>
    <w:rsid w:val="004E666B"/>
    <w:rsid w:val="004E69F7"/>
    <w:rsid w:val="004E7409"/>
    <w:rsid w:val="004E74D1"/>
    <w:rsid w:val="004F2BAC"/>
    <w:rsid w:val="004F320B"/>
    <w:rsid w:val="004F36C4"/>
    <w:rsid w:val="00500104"/>
    <w:rsid w:val="0050038C"/>
    <w:rsid w:val="0050503F"/>
    <w:rsid w:val="00505804"/>
    <w:rsid w:val="00506F79"/>
    <w:rsid w:val="00507DE8"/>
    <w:rsid w:val="00511D22"/>
    <w:rsid w:val="00516CAC"/>
    <w:rsid w:val="005244F1"/>
    <w:rsid w:val="005257EC"/>
    <w:rsid w:val="00526576"/>
    <w:rsid w:val="00526760"/>
    <w:rsid w:val="00526D08"/>
    <w:rsid w:val="00526ED9"/>
    <w:rsid w:val="00535221"/>
    <w:rsid w:val="0053540D"/>
    <w:rsid w:val="00537E01"/>
    <w:rsid w:val="005400FC"/>
    <w:rsid w:val="00540352"/>
    <w:rsid w:val="005403E8"/>
    <w:rsid w:val="005409E2"/>
    <w:rsid w:val="00541E85"/>
    <w:rsid w:val="005424E0"/>
    <w:rsid w:val="00544164"/>
    <w:rsid w:val="00544573"/>
    <w:rsid w:val="00545E93"/>
    <w:rsid w:val="005476E8"/>
    <w:rsid w:val="00551D48"/>
    <w:rsid w:val="005547CA"/>
    <w:rsid w:val="00555F68"/>
    <w:rsid w:val="005576F8"/>
    <w:rsid w:val="00560D9D"/>
    <w:rsid w:val="00561604"/>
    <w:rsid w:val="005720EB"/>
    <w:rsid w:val="0057495D"/>
    <w:rsid w:val="00575A01"/>
    <w:rsid w:val="005762C8"/>
    <w:rsid w:val="00580A6C"/>
    <w:rsid w:val="005837E2"/>
    <w:rsid w:val="00584F1A"/>
    <w:rsid w:val="00585F60"/>
    <w:rsid w:val="005860D2"/>
    <w:rsid w:val="005903AC"/>
    <w:rsid w:val="00590C52"/>
    <w:rsid w:val="00590F7F"/>
    <w:rsid w:val="005972CE"/>
    <w:rsid w:val="005975FE"/>
    <w:rsid w:val="005A151B"/>
    <w:rsid w:val="005A2262"/>
    <w:rsid w:val="005A7F69"/>
    <w:rsid w:val="005B1DF3"/>
    <w:rsid w:val="005B35AF"/>
    <w:rsid w:val="005B3BFB"/>
    <w:rsid w:val="005B72DB"/>
    <w:rsid w:val="005C2908"/>
    <w:rsid w:val="005C2E96"/>
    <w:rsid w:val="005C40D5"/>
    <w:rsid w:val="005C40E0"/>
    <w:rsid w:val="005C56CE"/>
    <w:rsid w:val="005C71E9"/>
    <w:rsid w:val="005D1DEB"/>
    <w:rsid w:val="005D41F1"/>
    <w:rsid w:val="005D51C5"/>
    <w:rsid w:val="005D5D21"/>
    <w:rsid w:val="005D6C1E"/>
    <w:rsid w:val="005D7CAD"/>
    <w:rsid w:val="005E2B24"/>
    <w:rsid w:val="005E32A4"/>
    <w:rsid w:val="005E454D"/>
    <w:rsid w:val="005E58C0"/>
    <w:rsid w:val="005F28ED"/>
    <w:rsid w:val="005F2BF3"/>
    <w:rsid w:val="005F5DC1"/>
    <w:rsid w:val="005F5FBD"/>
    <w:rsid w:val="005F6F8C"/>
    <w:rsid w:val="005F7ADD"/>
    <w:rsid w:val="005F7FEA"/>
    <w:rsid w:val="006028D5"/>
    <w:rsid w:val="00603F91"/>
    <w:rsid w:val="0060494A"/>
    <w:rsid w:val="00606FD5"/>
    <w:rsid w:val="006075CC"/>
    <w:rsid w:val="00610315"/>
    <w:rsid w:val="00613F95"/>
    <w:rsid w:val="00615050"/>
    <w:rsid w:val="00616DE6"/>
    <w:rsid w:val="006179AD"/>
    <w:rsid w:val="0062131B"/>
    <w:rsid w:val="006219E4"/>
    <w:rsid w:val="00622372"/>
    <w:rsid w:val="0062281F"/>
    <w:rsid w:val="00623283"/>
    <w:rsid w:val="00623E13"/>
    <w:rsid w:val="0062545D"/>
    <w:rsid w:val="00633E77"/>
    <w:rsid w:val="00635203"/>
    <w:rsid w:val="0063644E"/>
    <w:rsid w:val="00636D6D"/>
    <w:rsid w:val="006371A1"/>
    <w:rsid w:val="006404FF"/>
    <w:rsid w:val="006416FF"/>
    <w:rsid w:val="00642569"/>
    <w:rsid w:val="00646AED"/>
    <w:rsid w:val="006509B4"/>
    <w:rsid w:val="006545D1"/>
    <w:rsid w:val="00656D9F"/>
    <w:rsid w:val="0066062F"/>
    <w:rsid w:val="00660EA1"/>
    <w:rsid w:val="0066273C"/>
    <w:rsid w:val="00667C5B"/>
    <w:rsid w:val="00671099"/>
    <w:rsid w:val="0067358F"/>
    <w:rsid w:val="0067395C"/>
    <w:rsid w:val="00675279"/>
    <w:rsid w:val="00675669"/>
    <w:rsid w:val="00676A56"/>
    <w:rsid w:val="00676B4F"/>
    <w:rsid w:val="0068215C"/>
    <w:rsid w:val="0068230E"/>
    <w:rsid w:val="00683A52"/>
    <w:rsid w:val="006860FD"/>
    <w:rsid w:val="00691D96"/>
    <w:rsid w:val="00692866"/>
    <w:rsid w:val="0069690C"/>
    <w:rsid w:val="00697085"/>
    <w:rsid w:val="0069799C"/>
    <w:rsid w:val="00697E5B"/>
    <w:rsid w:val="006A3319"/>
    <w:rsid w:val="006A465C"/>
    <w:rsid w:val="006A4FFC"/>
    <w:rsid w:val="006A6D7D"/>
    <w:rsid w:val="006A73F8"/>
    <w:rsid w:val="006B1180"/>
    <w:rsid w:val="006B1A48"/>
    <w:rsid w:val="006B2425"/>
    <w:rsid w:val="006B2483"/>
    <w:rsid w:val="006B3AAC"/>
    <w:rsid w:val="006B4E3F"/>
    <w:rsid w:val="006B6D4A"/>
    <w:rsid w:val="006B7EBF"/>
    <w:rsid w:val="006C2620"/>
    <w:rsid w:val="006C2E80"/>
    <w:rsid w:val="006C3304"/>
    <w:rsid w:val="006C3A46"/>
    <w:rsid w:val="006C7956"/>
    <w:rsid w:val="006C7A9D"/>
    <w:rsid w:val="006D03BB"/>
    <w:rsid w:val="006D21FF"/>
    <w:rsid w:val="006D6289"/>
    <w:rsid w:val="006D680C"/>
    <w:rsid w:val="006D7005"/>
    <w:rsid w:val="006E1055"/>
    <w:rsid w:val="006E3BD4"/>
    <w:rsid w:val="006E4164"/>
    <w:rsid w:val="006E5B0A"/>
    <w:rsid w:val="006E761B"/>
    <w:rsid w:val="006F08AB"/>
    <w:rsid w:val="006F265F"/>
    <w:rsid w:val="006F3EB4"/>
    <w:rsid w:val="006F3FEB"/>
    <w:rsid w:val="006F4AFC"/>
    <w:rsid w:val="006F730C"/>
    <w:rsid w:val="006F73F3"/>
    <w:rsid w:val="00700DDD"/>
    <w:rsid w:val="00702EB1"/>
    <w:rsid w:val="00702F11"/>
    <w:rsid w:val="007031B1"/>
    <w:rsid w:val="007043FD"/>
    <w:rsid w:val="007058DB"/>
    <w:rsid w:val="00707736"/>
    <w:rsid w:val="00710BFB"/>
    <w:rsid w:val="00711B96"/>
    <w:rsid w:val="00716DB7"/>
    <w:rsid w:val="00716DE0"/>
    <w:rsid w:val="00717134"/>
    <w:rsid w:val="007222A0"/>
    <w:rsid w:val="00724228"/>
    <w:rsid w:val="00725FE2"/>
    <w:rsid w:val="00727339"/>
    <w:rsid w:val="00727E2D"/>
    <w:rsid w:val="007335EB"/>
    <w:rsid w:val="00735339"/>
    <w:rsid w:val="007415A6"/>
    <w:rsid w:val="007443B8"/>
    <w:rsid w:val="00744D39"/>
    <w:rsid w:val="007457EF"/>
    <w:rsid w:val="0074585B"/>
    <w:rsid w:val="00747D16"/>
    <w:rsid w:val="00747DB8"/>
    <w:rsid w:val="0075488B"/>
    <w:rsid w:val="00756044"/>
    <w:rsid w:val="007561C5"/>
    <w:rsid w:val="00756E06"/>
    <w:rsid w:val="00761193"/>
    <w:rsid w:val="007614D4"/>
    <w:rsid w:val="00761C9D"/>
    <w:rsid w:val="00761DA6"/>
    <w:rsid w:val="00763FF7"/>
    <w:rsid w:val="00764A19"/>
    <w:rsid w:val="007700B1"/>
    <w:rsid w:val="0077056D"/>
    <w:rsid w:val="0077199A"/>
    <w:rsid w:val="0077514B"/>
    <w:rsid w:val="0077525E"/>
    <w:rsid w:val="00780B38"/>
    <w:rsid w:val="00781F52"/>
    <w:rsid w:val="007825D9"/>
    <w:rsid w:val="00784545"/>
    <w:rsid w:val="007850A0"/>
    <w:rsid w:val="00786E82"/>
    <w:rsid w:val="00787CE7"/>
    <w:rsid w:val="007927BF"/>
    <w:rsid w:val="00792D37"/>
    <w:rsid w:val="007963EB"/>
    <w:rsid w:val="007A1493"/>
    <w:rsid w:val="007A2D95"/>
    <w:rsid w:val="007A2E39"/>
    <w:rsid w:val="007A3077"/>
    <w:rsid w:val="007A37DE"/>
    <w:rsid w:val="007A4FD7"/>
    <w:rsid w:val="007A60A2"/>
    <w:rsid w:val="007B1192"/>
    <w:rsid w:val="007B1305"/>
    <w:rsid w:val="007B1E87"/>
    <w:rsid w:val="007B775F"/>
    <w:rsid w:val="007C04FE"/>
    <w:rsid w:val="007C363B"/>
    <w:rsid w:val="007C683D"/>
    <w:rsid w:val="007C6B92"/>
    <w:rsid w:val="007C7719"/>
    <w:rsid w:val="007C799B"/>
    <w:rsid w:val="007D0967"/>
    <w:rsid w:val="007D2AD5"/>
    <w:rsid w:val="007D4DFA"/>
    <w:rsid w:val="007D6AE7"/>
    <w:rsid w:val="007D6CFB"/>
    <w:rsid w:val="007E1607"/>
    <w:rsid w:val="007E2CA9"/>
    <w:rsid w:val="007E574B"/>
    <w:rsid w:val="007E5750"/>
    <w:rsid w:val="007E6104"/>
    <w:rsid w:val="007E6923"/>
    <w:rsid w:val="007E7B0A"/>
    <w:rsid w:val="007F0274"/>
    <w:rsid w:val="007F39B4"/>
    <w:rsid w:val="007F5F91"/>
    <w:rsid w:val="007F7FE7"/>
    <w:rsid w:val="0080264C"/>
    <w:rsid w:val="008048DB"/>
    <w:rsid w:val="008059AC"/>
    <w:rsid w:val="008065F4"/>
    <w:rsid w:val="00806905"/>
    <w:rsid w:val="00811638"/>
    <w:rsid w:val="00813583"/>
    <w:rsid w:val="00814AE7"/>
    <w:rsid w:val="00815382"/>
    <w:rsid w:val="00821341"/>
    <w:rsid w:val="008217C1"/>
    <w:rsid w:val="008235F5"/>
    <w:rsid w:val="00830296"/>
    <w:rsid w:val="008309DA"/>
    <w:rsid w:val="00831801"/>
    <w:rsid w:val="008321D0"/>
    <w:rsid w:val="0083391F"/>
    <w:rsid w:val="00833B51"/>
    <w:rsid w:val="00835ECE"/>
    <w:rsid w:val="00836D59"/>
    <w:rsid w:val="008403EE"/>
    <w:rsid w:val="008405D8"/>
    <w:rsid w:val="00841251"/>
    <w:rsid w:val="00841793"/>
    <w:rsid w:val="00842121"/>
    <w:rsid w:val="0084215F"/>
    <w:rsid w:val="008453D2"/>
    <w:rsid w:val="0085028F"/>
    <w:rsid w:val="00850658"/>
    <w:rsid w:val="00850F24"/>
    <w:rsid w:val="0085290F"/>
    <w:rsid w:val="00852D7A"/>
    <w:rsid w:val="00853459"/>
    <w:rsid w:val="008540D9"/>
    <w:rsid w:val="00854CC7"/>
    <w:rsid w:val="00854D2E"/>
    <w:rsid w:val="00854FD1"/>
    <w:rsid w:val="008656EB"/>
    <w:rsid w:val="00865AD4"/>
    <w:rsid w:val="00865E7D"/>
    <w:rsid w:val="008713C0"/>
    <w:rsid w:val="008720D6"/>
    <w:rsid w:val="00872A9C"/>
    <w:rsid w:val="00873CE1"/>
    <w:rsid w:val="00877B02"/>
    <w:rsid w:val="008813AB"/>
    <w:rsid w:val="0088174A"/>
    <w:rsid w:val="00882E5C"/>
    <w:rsid w:val="00884D7B"/>
    <w:rsid w:val="00885197"/>
    <w:rsid w:val="008858DE"/>
    <w:rsid w:val="0089038F"/>
    <w:rsid w:val="00893501"/>
    <w:rsid w:val="00895450"/>
    <w:rsid w:val="00895F33"/>
    <w:rsid w:val="0089611E"/>
    <w:rsid w:val="00897391"/>
    <w:rsid w:val="008A1353"/>
    <w:rsid w:val="008A180A"/>
    <w:rsid w:val="008A1F43"/>
    <w:rsid w:val="008A21D5"/>
    <w:rsid w:val="008A3E15"/>
    <w:rsid w:val="008A705A"/>
    <w:rsid w:val="008B07B5"/>
    <w:rsid w:val="008B09D6"/>
    <w:rsid w:val="008B2283"/>
    <w:rsid w:val="008B2BAC"/>
    <w:rsid w:val="008B3A39"/>
    <w:rsid w:val="008B4482"/>
    <w:rsid w:val="008B4E7B"/>
    <w:rsid w:val="008B5ADA"/>
    <w:rsid w:val="008B5CC0"/>
    <w:rsid w:val="008C0044"/>
    <w:rsid w:val="008C16FA"/>
    <w:rsid w:val="008C1874"/>
    <w:rsid w:val="008C39E1"/>
    <w:rsid w:val="008C42DA"/>
    <w:rsid w:val="008C44AB"/>
    <w:rsid w:val="008C5D23"/>
    <w:rsid w:val="008C792F"/>
    <w:rsid w:val="008D0052"/>
    <w:rsid w:val="008D19C5"/>
    <w:rsid w:val="008D5956"/>
    <w:rsid w:val="008D5FDD"/>
    <w:rsid w:val="008D680C"/>
    <w:rsid w:val="008D6AB9"/>
    <w:rsid w:val="008E0151"/>
    <w:rsid w:val="008E08FA"/>
    <w:rsid w:val="008E2336"/>
    <w:rsid w:val="008E313B"/>
    <w:rsid w:val="008E725C"/>
    <w:rsid w:val="008F2984"/>
    <w:rsid w:val="008F6D30"/>
    <w:rsid w:val="008F7DA8"/>
    <w:rsid w:val="00900EA8"/>
    <w:rsid w:val="00900ECE"/>
    <w:rsid w:val="00901891"/>
    <w:rsid w:val="00901CA4"/>
    <w:rsid w:val="00902901"/>
    <w:rsid w:val="009059B9"/>
    <w:rsid w:val="0090692C"/>
    <w:rsid w:val="009108A5"/>
    <w:rsid w:val="00910B00"/>
    <w:rsid w:val="009129D1"/>
    <w:rsid w:val="0091313F"/>
    <w:rsid w:val="00914549"/>
    <w:rsid w:val="009147A0"/>
    <w:rsid w:val="009157C5"/>
    <w:rsid w:val="00916365"/>
    <w:rsid w:val="0091711A"/>
    <w:rsid w:val="009171B4"/>
    <w:rsid w:val="00917889"/>
    <w:rsid w:val="00917F77"/>
    <w:rsid w:val="009221CA"/>
    <w:rsid w:val="0092292E"/>
    <w:rsid w:val="009250ED"/>
    <w:rsid w:val="009259C2"/>
    <w:rsid w:val="009300AF"/>
    <w:rsid w:val="00931483"/>
    <w:rsid w:val="009315B2"/>
    <w:rsid w:val="0093204A"/>
    <w:rsid w:val="00932372"/>
    <w:rsid w:val="00932B41"/>
    <w:rsid w:val="00932E4E"/>
    <w:rsid w:val="00934805"/>
    <w:rsid w:val="00935598"/>
    <w:rsid w:val="00935898"/>
    <w:rsid w:val="00935F95"/>
    <w:rsid w:val="00937C3D"/>
    <w:rsid w:val="00940BA2"/>
    <w:rsid w:val="00941360"/>
    <w:rsid w:val="00944AFF"/>
    <w:rsid w:val="00944C5E"/>
    <w:rsid w:val="00946934"/>
    <w:rsid w:val="00954339"/>
    <w:rsid w:val="009555B9"/>
    <w:rsid w:val="0095642D"/>
    <w:rsid w:val="00962492"/>
    <w:rsid w:val="009625E7"/>
    <w:rsid w:val="00962FF4"/>
    <w:rsid w:val="00964824"/>
    <w:rsid w:val="00964A5C"/>
    <w:rsid w:val="00964B48"/>
    <w:rsid w:val="00970566"/>
    <w:rsid w:val="00970A65"/>
    <w:rsid w:val="00972C11"/>
    <w:rsid w:val="00974A90"/>
    <w:rsid w:val="009766F4"/>
    <w:rsid w:val="00976BF5"/>
    <w:rsid w:val="00981838"/>
    <w:rsid w:val="00981FE2"/>
    <w:rsid w:val="00982052"/>
    <w:rsid w:val="00982410"/>
    <w:rsid w:val="0098483C"/>
    <w:rsid w:val="009952C1"/>
    <w:rsid w:val="00995D54"/>
    <w:rsid w:val="009961E9"/>
    <w:rsid w:val="00996205"/>
    <w:rsid w:val="0099769D"/>
    <w:rsid w:val="00997E40"/>
    <w:rsid w:val="009A0060"/>
    <w:rsid w:val="009A17A7"/>
    <w:rsid w:val="009A31C6"/>
    <w:rsid w:val="009A39B4"/>
    <w:rsid w:val="009A5344"/>
    <w:rsid w:val="009A5B76"/>
    <w:rsid w:val="009A6F59"/>
    <w:rsid w:val="009B11C3"/>
    <w:rsid w:val="009B3AC7"/>
    <w:rsid w:val="009B62DF"/>
    <w:rsid w:val="009B69E2"/>
    <w:rsid w:val="009B6CDF"/>
    <w:rsid w:val="009B6D8C"/>
    <w:rsid w:val="009B6E00"/>
    <w:rsid w:val="009B76DA"/>
    <w:rsid w:val="009C13E5"/>
    <w:rsid w:val="009C17F5"/>
    <w:rsid w:val="009C4062"/>
    <w:rsid w:val="009C40AE"/>
    <w:rsid w:val="009C4BD2"/>
    <w:rsid w:val="009C5C26"/>
    <w:rsid w:val="009C5FF5"/>
    <w:rsid w:val="009C73FF"/>
    <w:rsid w:val="009D44B7"/>
    <w:rsid w:val="009D523A"/>
    <w:rsid w:val="009D5386"/>
    <w:rsid w:val="009D58E7"/>
    <w:rsid w:val="009D698A"/>
    <w:rsid w:val="009E1F00"/>
    <w:rsid w:val="009E257C"/>
    <w:rsid w:val="009E2852"/>
    <w:rsid w:val="009E621B"/>
    <w:rsid w:val="009E69BF"/>
    <w:rsid w:val="009E6C29"/>
    <w:rsid w:val="009E715C"/>
    <w:rsid w:val="009E756D"/>
    <w:rsid w:val="009E7C89"/>
    <w:rsid w:val="009F0CE0"/>
    <w:rsid w:val="009F11EC"/>
    <w:rsid w:val="009F141E"/>
    <w:rsid w:val="009F33C2"/>
    <w:rsid w:val="009F45A2"/>
    <w:rsid w:val="009F7459"/>
    <w:rsid w:val="009F7F11"/>
    <w:rsid w:val="00A00AD4"/>
    <w:rsid w:val="00A01047"/>
    <w:rsid w:val="00A03283"/>
    <w:rsid w:val="00A064A6"/>
    <w:rsid w:val="00A17C09"/>
    <w:rsid w:val="00A20B56"/>
    <w:rsid w:val="00A2191E"/>
    <w:rsid w:val="00A219A4"/>
    <w:rsid w:val="00A22A40"/>
    <w:rsid w:val="00A23043"/>
    <w:rsid w:val="00A25844"/>
    <w:rsid w:val="00A26E0C"/>
    <w:rsid w:val="00A270F8"/>
    <w:rsid w:val="00A2730D"/>
    <w:rsid w:val="00A30C7E"/>
    <w:rsid w:val="00A311C2"/>
    <w:rsid w:val="00A32D22"/>
    <w:rsid w:val="00A343A5"/>
    <w:rsid w:val="00A35B99"/>
    <w:rsid w:val="00A3715B"/>
    <w:rsid w:val="00A40FBE"/>
    <w:rsid w:val="00A44826"/>
    <w:rsid w:val="00A45892"/>
    <w:rsid w:val="00A469D3"/>
    <w:rsid w:val="00A60379"/>
    <w:rsid w:val="00A606CF"/>
    <w:rsid w:val="00A6451A"/>
    <w:rsid w:val="00A66515"/>
    <w:rsid w:val="00A66A4E"/>
    <w:rsid w:val="00A67D39"/>
    <w:rsid w:val="00A70EF5"/>
    <w:rsid w:val="00A74AFC"/>
    <w:rsid w:val="00A768CA"/>
    <w:rsid w:val="00A76C6D"/>
    <w:rsid w:val="00A77F0F"/>
    <w:rsid w:val="00A81E86"/>
    <w:rsid w:val="00A84747"/>
    <w:rsid w:val="00A863B9"/>
    <w:rsid w:val="00A86688"/>
    <w:rsid w:val="00A8684E"/>
    <w:rsid w:val="00A900BC"/>
    <w:rsid w:val="00A92089"/>
    <w:rsid w:val="00A960CD"/>
    <w:rsid w:val="00A96CD2"/>
    <w:rsid w:val="00AA1231"/>
    <w:rsid w:val="00AA164B"/>
    <w:rsid w:val="00AA174B"/>
    <w:rsid w:val="00AA5937"/>
    <w:rsid w:val="00AA795E"/>
    <w:rsid w:val="00AB000E"/>
    <w:rsid w:val="00AB07D1"/>
    <w:rsid w:val="00AB496C"/>
    <w:rsid w:val="00AB5D8D"/>
    <w:rsid w:val="00AB7AB9"/>
    <w:rsid w:val="00AB7DAD"/>
    <w:rsid w:val="00AC603E"/>
    <w:rsid w:val="00AD04B0"/>
    <w:rsid w:val="00AD2206"/>
    <w:rsid w:val="00AD24F3"/>
    <w:rsid w:val="00AD2E6C"/>
    <w:rsid w:val="00AE3DBB"/>
    <w:rsid w:val="00AF0545"/>
    <w:rsid w:val="00AF213D"/>
    <w:rsid w:val="00B000BE"/>
    <w:rsid w:val="00B01117"/>
    <w:rsid w:val="00B01CB5"/>
    <w:rsid w:val="00B023D9"/>
    <w:rsid w:val="00B02C9E"/>
    <w:rsid w:val="00B03451"/>
    <w:rsid w:val="00B04DDB"/>
    <w:rsid w:val="00B067CF"/>
    <w:rsid w:val="00B10350"/>
    <w:rsid w:val="00B11444"/>
    <w:rsid w:val="00B11994"/>
    <w:rsid w:val="00B11C13"/>
    <w:rsid w:val="00B11F80"/>
    <w:rsid w:val="00B12B87"/>
    <w:rsid w:val="00B145EE"/>
    <w:rsid w:val="00B152AE"/>
    <w:rsid w:val="00B176FD"/>
    <w:rsid w:val="00B17B02"/>
    <w:rsid w:val="00B24FAD"/>
    <w:rsid w:val="00B30087"/>
    <w:rsid w:val="00B3077D"/>
    <w:rsid w:val="00B30F06"/>
    <w:rsid w:val="00B331F4"/>
    <w:rsid w:val="00B33BD4"/>
    <w:rsid w:val="00B42423"/>
    <w:rsid w:val="00B45465"/>
    <w:rsid w:val="00B45481"/>
    <w:rsid w:val="00B45B86"/>
    <w:rsid w:val="00B4613E"/>
    <w:rsid w:val="00B518EB"/>
    <w:rsid w:val="00B54992"/>
    <w:rsid w:val="00B57DCF"/>
    <w:rsid w:val="00B6037C"/>
    <w:rsid w:val="00B64A15"/>
    <w:rsid w:val="00B72C2C"/>
    <w:rsid w:val="00B730C2"/>
    <w:rsid w:val="00B73540"/>
    <w:rsid w:val="00B73D4C"/>
    <w:rsid w:val="00B75330"/>
    <w:rsid w:val="00B766AB"/>
    <w:rsid w:val="00B777FB"/>
    <w:rsid w:val="00B80400"/>
    <w:rsid w:val="00B83B64"/>
    <w:rsid w:val="00B86797"/>
    <w:rsid w:val="00B86E7E"/>
    <w:rsid w:val="00B9069A"/>
    <w:rsid w:val="00B90E1D"/>
    <w:rsid w:val="00B910C7"/>
    <w:rsid w:val="00B949A7"/>
    <w:rsid w:val="00B95A5C"/>
    <w:rsid w:val="00B973C9"/>
    <w:rsid w:val="00BA0343"/>
    <w:rsid w:val="00BA2B11"/>
    <w:rsid w:val="00BA36B1"/>
    <w:rsid w:val="00BA3B4E"/>
    <w:rsid w:val="00BA6495"/>
    <w:rsid w:val="00BA7568"/>
    <w:rsid w:val="00BA79D9"/>
    <w:rsid w:val="00BB000E"/>
    <w:rsid w:val="00BB076D"/>
    <w:rsid w:val="00BB1E66"/>
    <w:rsid w:val="00BB4F8E"/>
    <w:rsid w:val="00BB5573"/>
    <w:rsid w:val="00BB5649"/>
    <w:rsid w:val="00BB74AC"/>
    <w:rsid w:val="00BC2562"/>
    <w:rsid w:val="00BC2723"/>
    <w:rsid w:val="00BC3468"/>
    <w:rsid w:val="00BD4F96"/>
    <w:rsid w:val="00BD5785"/>
    <w:rsid w:val="00BD7CDD"/>
    <w:rsid w:val="00BE18A5"/>
    <w:rsid w:val="00BE266D"/>
    <w:rsid w:val="00BE33C8"/>
    <w:rsid w:val="00BE5EAE"/>
    <w:rsid w:val="00BE6894"/>
    <w:rsid w:val="00BF1CE7"/>
    <w:rsid w:val="00BF38C6"/>
    <w:rsid w:val="00BF39D4"/>
    <w:rsid w:val="00BF3F82"/>
    <w:rsid w:val="00BF5B09"/>
    <w:rsid w:val="00BF71D8"/>
    <w:rsid w:val="00BF7326"/>
    <w:rsid w:val="00C000B1"/>
    <w:rsid w:val="00C01B00"/>
    <w:rsid w:val="00C03960"/>
    <w:rsid w:val="00C03D46"/>
    <w:rsid w:val="00C04030"/>
    <w:rsid w:val="00C0405B"/>
    <w:rsid w:val="00C07831"/>
    <w:rsid w:val="00C115B1"/>
    <w:rsid w:val="00C12C9F"/>
    <w:rsid w:val="00C12FB9"/>
    <w:rsid w:val="00C138B9"/>
    <w:rsid w:val="00C14871"/>
    <w:rsid w:val="00C1488A"/>
    <w:rsid w:val="00C22C89"/>
    <w:rsid w:val="00C247F2"/>
    <w:rsid w:val="00C2798C"/>
    <w:rsid w:val="00C37B95"/>
    <w:rsid w:val="00C40CE9"/>
    <w:rsid w:val="00C4142C"/>
    <w:rsid w:val="00C41A81"/>
    <w:rsid w:val="00C44D41"/>
    <w:rsid w:val="00C45A45"/>
    <w:rsid w:val="00C45D90"/>
    <w:rsid w:val="00C46DC5"/>
    <w:rsid w:val="00C472A0"/>
    <w:rsid w:val="00C47A9D"/>
    <w:rsid w:val="00C50508"/>
    <w:rsid w:val="00C51094"/>
    <w:rsid w:val="00C522B0"/>
    <w:rsid w:val="00C536C6"/>
    <w:rsid w:val="00C53A9E"/>
    <w:rsid w:val="00C561DD"/>
    <w:rsid w:val="00C5662D"/>
    <w:rsid w:val="00C56D24"/>
    <w:rsid w:val="00C622A4"/>
    <w:rsid w:val="00C62485"/>
    <w:rsid w:val="00C6450B"/>
    <w:rsid w:val="00C67A39"/>
    <w:rsid w:val="00C7263A"/>
    <w:rsid w:val="00C7488A"/>
    <w:rsid w:val="00C749D7"/>
    <w:rsid w:val="00C779D4"/>
    <w:rsid w:val="00C81039"/>
    <w:rsid w:val="00C81C15"/>
    <w:rsid w:val="00C81CE4"/>
    <w:rsid w:val="00C83353"/>
    <w:rsid w:val="00C8585C"/>
    <w:rsid w:val="00C858FA"/>
    <w:rsid w:val="00C86C08"/>
    <w:rsid w:val="00C90FA2"/>
    <w:rsid w:val="00C91ECE"/>
    <w:rsid w:val="00C94B60"/>
    <w:rsid w:val="00C95148"/>
    <w:rsid w:val="00C971DE"/>
    <w:rsid w:val="00CA1FFC"/>
    <w:rsid w:val="00CA6471"/>
    <w:rsid w:val="00CA73BC"/>
    <w:rsid w:val="00CA7649"/>
    <w:rsid w:val="00CA7F45"/>
    <w:rsid w:val="00CB09CD"/>
    <w:rsid w:val="00CB1CB6"/>
    <w:rsid w:val="00CB3552"/>
    <w:rsid w:val="00CB4AFD"/>
    <w:rsid w:val="00CB5665"/>
    <w:rsid w:val="00CB77C1"/>
    <w:rsid w:val="00CC1B89"/>
    <w:rsid w:val="00CC2B56"/>
    <w:rsid w:val="00CD0D49"/>
    <w:rsid w:val="00CD148B"/>
    <w:rsid w:val="00CD30C4"/>
    <w:rsid w:val="00CD3139"/>
    <w:rsid w:val="00CD47B4"/>
    <w:rsid w:val="00CE09E3"/>
    <w:rsid w:val="00CE347E"/>
    <w:rsid w:val="00CE3E6B"/>
    <w:rsid w:val="00CE55BF"/>
    <w:rsid w:val="00CE5D1A"/>
    <w:rsid w:val="00CE614C"/>
    <w:rsid w:val="00CE6243"/>
    <w:rsid w:val="00CF346B"/>
    <w:rsid w:val="00CF40FC"/>
    <w:rsid w:val="00CF429F"/>
    <w:rsid w:val="00CF45B7"/>
    <w:rsid w:val="00CF6E72"/>
    <w:rsid w:val="00CF773F"/>
    <w:rsid w:val="00CF7C68"/>
    <w:rsid w:val="00D01FDC"/>
    <w:rsid w:val="00D0218C"/>
    <w:rsid w:val="00D04B5A"/>
    <w:rsid w:val="00D05BD4"/>
    <w:rsid w:val="00D11631"/>
    <w:rsid w:val="00D13A18"/>
    <w:rsid w:val="00D154AE"/>
    <w:rsid w:val="00D15E8A"/>
    <w:rsid w:val="00D170E4"/>
    <w:rsid w:val="00D17BAD"/>
    <w:rsid w:val="00D206F1"/>
    <w:rsid w:val="00D30036"/>
    <w:rsid w:val="00D3011C"/>
    <w:rsid w:val="00D3206B"/>
    <w:rsid w:val="00D32D01"/>
    <w:rsid w:val="00D3411D"/>
    <w:rsid w:val="00D367D5"/>
    <w:rsid w:val="00D36A2A"/>
    <w:rsid w:val="00D406F8"/>
    <w:rsid w:val="00D426AD"/>
    <w:rsid w:val="00D434F6"/>
    <w:rsid w:val="00D44594"/>
    <w:rsid w:val="00D44A26"/>
    <w:rsid w:val="00D46CC5"/>
    <w:rsid w:val="00D50A41"/>
    <w:rsid w:val="00D50DC3"/>
    <w:rsid w:val="00D512CF"/>
    <w:rsid w:val="00D52632"/>
    <w:rsid w:val="00D528FF"/>
    <w:rsid w:val="00D53EF6"/>
    <w:rsid w:val="00D541E7"/>
    <w:rsid w:val="00D630A3"/>
    <w:rsid w:val="00D669A8"/>
    <w:rsid w:val="00D67B21"/>
    <w:rsid w:val="00D67F71"/>
    <w:rsid w:val="00D70581"/>
    <w:rsid w:val="00D71B98"/>
    <w:rsid w:val="00D73220"/>
    <w:rsid w:val="00D76C41"/>
    <w:rsid w:val="00D8094F"/>
    <w:rsid w:val="00D8438E"/>
    <w:rsid w:val="00D849EE"/>
    <w:rsid w:val="00D854D7"/>
    <w:rsid w:val="00D859CF"/>
    <w:rsid w:val="00D864BC"/>
    <w:rsid w:val="00D8659F"/>
    <w:rsid w:val="00D910DD"/>
    <w:rsid w:val="00D91C6D"/>
    <w:rsid w:val="00D920C7"/>
    <w:rsid w:val="00D9439C"/>
    <w:rsid w:val="00DA37FA"/>
    <w:rsid w:val="00DA4B71"/>
    <w:rsid w:val="00DA4DE5"/>
    <w:rsid w:val="00DA4E74"/>
    <w:rsid w:val="00DB015D"/>
    <w:rsid w:val="00DB0CFD"/>
    <w:rsid w:val="00DB2324"/>
    <w:rsid w:val="00DB2A7D"/>
    <w:rsid w:val="00DB667B"/>
    <w:rsid w:val="00DC02C5"/>
    <w:rsid w:val="00DC0518"/>
    <w:rsid w:val="00DC1F96"/>
    <w:rsid w:val="00DC2044"/>
    <w:rsid w:val="00DC57DB"/>
    <w:rsid w:val="00DC5948"/>
    <w:rsid w:val="00DC63DB"/>
    <w:rsid w:val="00DC7D73"/>
    <w:rsid w:val="00DD08DC"/>
    <w:rsid w:val="00DD0F07"/>
    <w:rsid w:val="00DD2ADB"/>
    <w:rsid w:val="00DD5A91"/>
    <w:rsid w:val="00DE061D"/>
    <w:rsid w:val="00DE222B"/>
    <w:rsid w:val="00DE4862"/>
    <w:rsid w:val="00DE4BDB"/>
    <w:rsid w:val="00DE4FC5"/>
    <w:rsid w:val="00DF3111"/>
    <w:rsid w:val="00DF3678"/>
    <w:rsid w:val="00DF3997"/>
    <w:rsid w:val="00DF4269"/>
    <w:rsid w:val="00DF4330"/>
    <w:rsid w:val="00DF4F75"/>
    <w:rsid w:val="00DF683E"/>
    <w:rsid w:val="00DF7006"/>
    <w:rsid w:val="00E03DB4"/>
    <w:rsid w:val="00E0642E"/>
    <w:rsid w:val="00E141D5"/>
    <w:rsid w:val="00E15AD4"/>
    <w:rsid w:val="00E16443"/>
    <w:rsid w:val="00E202FA"/>
    <w:rsid w:val="00E21161"/>
    <w:rsid w:val="00E218CA"/>
    <w:rsid w:val="00E23370"/>
    <w:rsid w:val="00E2458E"/>
    <w:rsid w:val="00E253D5"/>
    <w:rsid w:val="00E25645"/>
    <w:rsid w:val="00E2755B"/>
    <w:rsid w:val="00E300E9"/>
    <w:rsid w:val="00E30206"/>
    <w:rsid w:val="00E31861"/>
    <w:rsid w:val="00E33C86"/>
    <w:rsid w:val="00E37D48"/>
    <w:rsid w:val="00E4054A"/>
    <w:rsid w:val="00E4096D"/>
    <w:rsid w:val="00E415D1"/>
    <w:rsid w:val="00E41FF2"/>
    <w:rsid w:val="00E42570"/>
    <w:rsid w:val="00E4482D"/>
    <w:rsid w:val="00E45FB1"/>
    <w:rsid w:val="00E463A9"/>
    <w:rsid w:val="00E4719E"/>
    <w:rsid w:val="00E50C9B"/>
    <w:rsid w:val="00E52926"/>
    <w:rsid w:val="00E53755"/>
    <w:rsid w:val="00E55240"/>
    <w:rsid w:val="00E55B01"/>
    <w:rsid w:val="00E55FB4"/>
    <w:rsid w:val="00E56206"/>
    <w:rsid w:val="00E56B04"/>
    <w:rsid w:val="00E57389"/>
    <w:rsid w:val="00E57A14"/>
    <w:rsid w:val="00E61869"/>
    <w:rsid w:val="00E6187C"/>
    <w:rsid w:val="00E61FF4"/>
    <w:rsid w:val="00E620C0"/>
    <w:rsid w:val="00E6337E"/>
    <w:rsid w:val="00E64671"/>
    <w:rsid w:val="00E655FB"/>
    <w:rsid w:val="00E67AF9"/>
    <w:rsid w:val="00E70DBA"/>
    <w:rsid w:val="00E71EDC"/>
    <w:rsid w:val="00E73382"/>
    <w:rsid w:val="00E742E4"/>
    <w:rsid w:val="00E77099"/>
    <w:rsid w:val="00E77EEF"/>
    <w:rsid w:val="00E816FC"/>
    <w:rsid w:val="00E81DAA"/>
    <w:rsid w:val="00E83D6F"/>
    <w:rsid w:val="00E83D71"/>
    <w:rsid w:val="00E85F06"/>
    <w:rsid w:val="00E865FB"/>
    <w:rsid w:val="00E877DB"/>
    <w:rsid w:val="00E93979"/>
    <w:rsid w:val="00E93AC3"/>
    <w:rsid w:val="00E94630"/>
    <w:rsid w:val="00E9509C"/>
    <w:rsid w:val="00E952B5"/>
    <w:rsid w:val="00E97688"/>
    <w:rsid w:val="00EA2774"/>
    <w:rsid w:val="00EA2F43"/>
    <w:rsid w:val="00EA50E7"/>
    <w:rsid w:val="00EA5E95"/>
    <w:rsid w:val="00EA7592"/>
    <w:rsid w:val="00EB175C"/>
    <w:rsid w:val="00EB4655"/>
    <w:rsid w:val="00EB7A57"/>
    <w:rsid w:val="00EB7B14"/>
    <w:rsid w:val="00EC1999"/>
    <w:rsid w:val="00EC2FD6"/>
    <w:rsid w:val="00EC4632"/>
    <w:rsid w:val="00EC4A25"/>
    <w:rsid w:val="00ED1C4E"/>
    <w:rsid w:val="00EE11F8"/>
    <w:rsid w:val="00EE1BBE"/>
    <w:rsid w:val="00EE2A96"/>
    <w:rsid w:val="00EE3C1D"/>
    <w:rsid w:val="00EE6690"/>
    <w:rsid w:val="00EF14AC"/>
    <w:rsid w:val="00EF2082"/>
    <w:rsid w:val="00EF6B9D"/>
    <w:rsid w:val="00EF6E5B"/>
    <w:rsid w:val="00EF7E34"/>
    <w:rsid w:val="00F01913"/>
    <w:rsid w:val="00F041BD"/>
    <w:rsid w:val="00F04524"/>
    <w:rsid w:val="00F0490D"/>
    <w:rsid w:val="00F07599"/>
    <w:rsid w:val="00F075D2"/>
    <w:rsid w:val="00F1029B"/>
    <w:rsid w:val="00F11868"/>
    <w:rsid w:val="00F12333"/>
    <w:rsid w:val="00F14FDC"/>
    <w:rsid w:val="00F220AC"/>
    <w:rsid w:val="00F2315C"/>
    <w:rsid w:val="00F238C9"/>
    <w:rsid w:val="00F23B3A"/>
    <w:rsid w:val="00F318F6"/>
    <w:rsid w:val="00F31BA6"/>
    <w:rsid w:val="00F326A0"/>
    <w:rsid w:val="00F3776A"/>
    <w:rsid w:val="00F431EC"/>
    <w:rsid w:val="00F43593"/>
    <w:rsid w:val="00F44272"/>
    <w:rsid w:val="00F468EC"/>
    <w:rsid w:val="00F46BBB"/>
    <w:rsid w:val="00F54FA1"/>
    <w:rsid w:val="00F553C3"/>
    <w:rsid w:val="00F561F0"/>
    <w:rsid w:val="00F567E2"/>
    <w:rsid w:val="00F5744A"/>
    <w:rsid w:val="00F6063A"/>
    <w:rsid w:val="00F60738"/>
    <w:rsid w:val="00F60824"/>
    <w:rsid w:val="00F61242"/>
    <w:rsid w:val="00F6274E"/>
    <w:rsid w:val="00F63A93"/>
    <w:rsid w:val="00F63FEC"/>
    <w:rsid w:val="00F70118"/>
    <w:rsid w:val="00F704BF"/>
    <w:rsid w:val="00F756FE"/>
    <w:rsid w:val="00F770B2"/>
    <w:rsid w:val="00F808C3"/>
    <w:rsid w:val="00F80A85"/>
    <w:rsid w:val="00F81C42"/>
    <w:rsid w:val="00F835A7"/>
    <w:rsid w:val="00F85145"/>
    <w:rsid w:val="00F85583"/>
    <w:rsid w:val="00F878AA"/>
    <w:rsid w:val="00F92064"/>
    <w:rsid w:val="00F9218C"/>
    <w:rsid w:val="00F93A13"/>
    <w:rsid w:val="00F957AF"/>
    <w:rsid w:val="00F97772"/>
    <w:rsid w:val="00F97C6B"/>
    <w:rsid w:val="00FA03B3"/>
    <w:rsid w:val="00FA5463"/>
    <w:rsid w:val="00FA6212"/>
    <w:rsid w:val="00FA73CD"/>
    <w:rsid w:val="00FB0194"/>
    <w:rsid w:val="00FB0524"/>
    <w:rsid w:val="00FB3961"/>
    <w:rsid w:val="00FB4C88"/>
    <w:rsid w:val="00FC21FB"/>
    <w:rsid w:val="00FC27D7"/>
    <w:rsid w:val="00FC50A5"/>
    <w:rsid w:val="00FC6324"/>
    <w:rsid w:val="00FC7F31"/>
    <w:rsid w:val="00FD07AB"/>
    <w:rsid w:val="00FD327B"/>
    <w:rsid w:val="00FD70FD"/>
    <w:rsid w:val="00FE0DAB"/>
    <w:rsid w:val="00FE1900"/>
    <w:rsid w:val="00FE3270"/>
    <w:rsid w:val="00FE42C5"/>
    <w:rsid w:val="00FE5257"/>
    <w:rsid w:val="00FE64D7"/>
    <w:rsid w:val="00FE7DA9"/>
    <w:rsid w:val="00FF0CDC"/>
    <w:rsid w:val="00FF1887"/>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E49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qFormat="1"/>
    <w:lsdException w:name="caption" w:uiPriority="35" w:qFormat="1"/>
    <w:lsdException w:name="table of figures" w:locked="1" w:uiPriority="0"/>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1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33"/>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33"/>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2B76A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1160D2"/>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1160D2"/>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44"/>
      </w:numPr>
      <w:spacing w:after="120" w:line="240" w:lineRule="auto"/>
      <w:ind w:right="1440"/>
    </w:pPr>
    <w:rPr>
      <w:position w:val="2"/>
      <w:szCs w:val="24"/>
    </w:rPr>
  </w:style>
  <w:style w:type="paragraph" w:customStyle="1" w:styleId="Bullet4">
    <w:name w:val="Bullet 4"/>
    <w:basedOn w:val="Normal"/>
    <w:rsid w:val="00A03283"/>
    <w:pPr>
      <w:numPr>
        <w:ilvl w:val="3"/>
        <w:numId w:val="44"/>
      </w:numPr>
      <w:spacing w:after="120" w:line="240" w:lineRule="auto"/>
      <w:ind w:right="1440"/>
    </w:pPr>
    <w:rPr>
      <w:position w:val="8"/>
      <w:szCs w:val="24"/>
    </w:rPr>
  </w:style>
  <w:style w:type="paragraph" w:customStyle="1" w:styleId="bullet2">
    <w:name w:val="bullet 2"/>
    <w:basedOn w:val="Normal"/>
    <w:qFormat/>
    <w:rsid w:val="00A03283"/>
    <w:pPr>
      <w:numPr>
        <w:ilvl w:val="1"/>
        <w:numId w:val="44"/>
      </w:numPr>
      <w:spacing w:after="120" w:line="240" w:lineRule="auto"/>
      <w:ind w:right="1440"/>
    </w:pPr>
    <w:rPr>
      <w:position w:val="6"/>
      <w:szCs w:val="24"/>
    </w:rPr>
  </w:style>
  <w:style w:type="paragraph" w:customStyle="1" w:styleId="bullet1">
    <w:name w:val="bullet 1"/>
    <w:link w:val="bullet1Char"/>
    <w:qFormat/>
    <w:rsid w:val="00A03283"/>
    <w:pPr>
      <w:numPr>
        <w:numId w:val="44"/>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47"/>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eastAsiaTheme="minorHAnsi" w:hAnsi="Arial"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4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8713C0"/>
    <w:pPr>
      <w:tabs>
        <w:tab w:val="left" w:pos="1080"/>
      </w:tabs>
      <w:spacing w:line="192" w:lineRule="auto"/>
      <w:ind w:left="792" w:right="360" w:hanging="432"/>
    </w:pPr>
    <w:rPr>
      <w:rFonts w:ascii="Arial" w:hAnsi="Arial" w:cs="Arial"/>
      <w:sz w:val="19"/>
      <w:szCs w:val="12"/>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8713C0"/>
    <w:pPr>
      <w:spacing w:line="240" w:lineRule="auto"/>
      <w:ind w:left="576" w:firstLine="0"/>
    </w:pPr>
    <w:rPr>
      <w:rFonts w:ascii="Arial" w:hAnsi="Arial" w:cs="Arial"/>
      <w:b/>
      <w:bCs/>
      <w:caps/>
      <w:sz w:val="18"/>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qFormat="1"/>
    <w:lsdException w:name="caption" w:uiPriority="35" w:qFormat="1"/>
    <w:lsdException w:name="table of figures" w:locked="1" w:uiPriority="0"/>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1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33"/>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33"/>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2B76A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1160D2"/>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1160D2"/>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44"/>
      </w:numPr>
      <w:spacing w:after="120" w:line="240" w:lineRule="auto"/>
      <w:ind w:right="1440"/>
    </w:pPr>
    <w:rPr>
      <w:position w:val="2"/>
      <w:szCs w:val="24"/>
    </w:rPr>
  </w:style>
  <w:style w:type="paragraph" w:customStyle="1" w:styleId="Bullet4">
    <w:name w:val="Bullet 4"/>
    <w:basedOn w:val="Normal"/>
    <w:rsid w:val="00A03283"/>
    <w:pPr>
      <w:numPr>
        <w:ilvl w:val="3"/>
        <w:numId w:val="44"/>
      </w:numPr>
      <w:spacing w:after="120" w:line="240" w:lineRule="auto"/>
      <w:ind w:right="1440"/>
    </w:pPr>
    <w:rPr>
      <w:position w:val="8"/>
      <w:szCs w:val="24"/>
    </w:rPr>
  </w:style>
  <w:style w:type="paragraph" w:customStyle="1" w:styleId="bullet2">
    <w:name w:val="bullet 2"/>
    <w:basedOn w:val="Normal"/>
    <w:qFormat/>
    <w:rsid w:val="00A03283"/>
    <w:pPr>
      <w:numPr>
        <w:ilvl w:val="1"/>
        <w:numId w:val="44"/>
      </w:numPr>
      <w:spacing w:after="120" w:line="240" w:lineRule="auto"/>
      <w:ind w:right="1440"/>
    </w:pPr>
    <w:rPr>
      <w:position w:val="6"/>
      <w:szCs w:val="24"/>
    </w:rPr>
  </w:style>
  <w:style w:type="paragraph" w:customStyle="1" w:styleId="bullet1">
    <w:name w:val="bullet 1"/>
    <w:link w:val="bullet1Char"/>
    <w:qFormat/>
    <w:rsid w:val="00A03283"/>
    <w:pPr>
      <w:numPr>
        <w:numId w:val="44"/>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47"/>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eastAsiaTheme="minorHAnsi" w:hAnsi="Arial"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4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8713C0"/>
    <w:pPr>
      <w:tabs>
        <w:tab w:val="left" w:pos="1080"/>
      </w:tabs>
      <w:spacing w:line="192" w:lineRule="auto"/>
      <w:ind w:left="792" w:right="360" w:hanging="432"/>
    </w:pPr>
    <w:rPr>
      <w:rFonts w:ascii="Arial" w:hAnsi="Arial" w:cs="Arial"/>
      <w:sz w:val="19"/>
      <w:szCs w:val="12"/>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8713C0"/>
    <w:pPr>
      <w:spacing w:line="240" w:lineRule="auto"/>
      <w:ind w:left="576" w:firstLine="0"/>
    </w:pPr>
    <w:rPr>
      <w:rFonts w:ascii="Arial" w:hAnsi="Arial" w:cs="Arial"/>
      <w:b/>
      <w:bCs/>
      <w:caps/>
      <w:sz w:val="18"/>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49831">
      <w:bodyDiv w:val="1"/>
      <w:marLeft w:val="0"/>
      <w:marRight w:val="0"/>
      <w:marTop w:val="0"/>
      <w:marBottom w:val="0"/>
      <w:divBdr>
        <w:top w:val="none" w:sz="0" w:space="0" w:color="auto"/>
        <w:left w:val="none" w:sz="0" w:space="0" w:color="auto"/>
        <w:bottom w:val="none" w:sz="0" w:space="0" w:color="auto"/>
        <w:right w:val="none" w:sz="0" w:space="0" w:color="auto"/>
      </w:divBdr>
    </w:div>
    <w:div w:id="618683843">
      <w:bodyDiv w:val="1"/>
      <w:marLeft w:val="0"/>
      <w:marRight w:val="0"/>
      <w:marTop w:val="0"/>
      <w:marBottom w:val="0"/>
      <w:divBdr>
        <w:top w:val="none" w:sz="0" w:space="0" w:color="auto"/>
        <w:left w:val="none" w:sz="0" w:space="0" w:color="auto"/>
        <w:bottom w:val="none" w:sz="0" w:space="0" w:color="auto"/>
        <w:right w:val="none" w:sz="0" w:space="0" w:color="auto"/>
      </w:divBdr>
    </w:div>
    <w:div w:id="724258783">
      <w:bodyDiv w:val="1"/>
      <w:marLeft w:val="0"/>
      <w:marRight w:val="0"/>
      <w:marTop w:val="0"/>
      <w:marBottom w:val="0"/>
      <w:divBdr>
        <w:top w:val="none" w:sz="0" w:space="0" w:color="auto"/>
        <w:left w:val="none" w:sz="0" w:space="0" w:color="auto"/>
        <w:bottom w:val="none" w:sz="0" w:space="0" w:color="auto"/>
        <w:right w:val="none" w:sz="0" w:space="0" w:color="auto"/>
      </w:divBdr>
      <w:divsChild>
        <w:div w:id="1741440340">
          <w:marLeft w:val="720"/>
          <w:marRight w:val="0"/>
          <w:marTop w:val="60"/>
          <w:marBottom w:val="60"/>
          <w:divBdr>
            <w:top w:val="none" w:sz="0" w:space="0" w:color="auto"/>
            <w:left w:val="none" w:sz="0" w:space="0" w:color="auto"/>
            <w:bottom w:val="none" w:sz="0" w:space="0" w:color="auto"/>
            <w:right w:val="none" w:sz="0" w:space="0" w:color="auto"/>
          </w:divBdr>
        </w:div>
        <w:div w:id="1871792808">
          <w:marLeft w:val="720"/>
          <w:marRight w:val="0"/>
          <w:marTop w:val="60"/>
          <w:marBottom w:val="60"/>
          <w:divBdr>
            <w:top w:val="none" w:sz="0" w:space="0" w:color="auto"/>
            <w:left w:val="none" w:sz="0" w:space="0" w:color="auto"/>
            <w:bottom w:val="none" w:sz="0" w:space="0" w:color="auto"/>
            <w:right w:val="none" w:sz="0" w:space="0" w:color="auto"/>
          </w:divBdr>
        </w:div>
        <w:div w:id="2119834722">
          <w:marLeft w:val="720"/>
          <w:marRight w:val="0"/>
          <w:marTop w:val="60"/>
          <w:marBottom w:val="60"/>
          <w:divBdr>
            <w:top w:val="none" w:sz="0" w:space="0" w:color="auto"/>
            <w:left w:val="none" w:sz="0" w:space="0" w:color="auto"/>
            <w:bottom w:val="none" w:sz="0" w:space="0" w:color="auto"/>
            <w:right w:val="none" w:sz="0" w:space="0" w:color="auto"/>
          </w:divBdr>
        </w:div>
      </w:divsChild>
    </w:div>
    <w:div w:id="1150097732">
      <w:bodyDiv w:val="1"/>
      <w:marLeft w:val="0"/>
      <w:marRight w:val="0"/>
      <w:marTop w:val="0"/>
      <w:marBottom w:val="0"/>
      <w:divBdr>
        <w:top w:val="none" w:sz="0" w:space="0" w:color="auto"/>
        <w:left w:val="none" w:sz="0" w:space="0" w:color="auto"/>
        <w:bottom w:val="none" w:sz="0" w:space="0" w:color="auto"/>
        <w:right w:val="none" w:sz="0" w:space="0" w:color="auto"/>
      </w:divBdr>
    </w:div>
    <w:div w:id="1637637862">
      <w:bodyDiv w:val="1"/>
      <w:marLeft w:val="0"/>
      <w:marRight w:val="0"/>
      <w:marTop w:val="0"/>
      <w:marBottom w:val="0"/>
      <w:divBdr>
        <w:top w:val="none" w:sz="0" w:space="0" w:color="auto"/>
        <w:left w:val="none" w:sz="0" w:space="0" w:color="auto"/>
        <w:bottom w:val="none" w:sz="0" w:space="0" w:color="auto"/>
        <w:right w:val="none" w:sz="0" w:space="0" w:color="auto"/>
      </w:divBdr>
    </w:div>
    <w:div w:id="19026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8B3A0-3931-4865-86E7-207F8FF0C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88B2B9-EE5B-48A0-A4D7-6A6C9C726AC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4.xml><?xml version="1.0" encoding="utf-8"?>
<ds:datastoreItem xmlns:ds="http://schemas.openxmlformats.org/officeDocument/2006/customXml" ds:itemID="{8EF281E0-D56D-47C3-9BA1-77C4E5A3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Reentry Employment Opportunities OMB Statements</vt:lpstr>
    </vt:vector>
  </TitlesOfParts>
  <Company>Mathematica, Inc</Company>
  <LinksUpToDate>false</LinksUpToDate>
  <CharactersWithSpaces>20069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dc:description/>
  <cp:lastModifiedBy>SYSTEM</cp:lastModifiedBy>
  <cp:revision>2</cp:revision>
  <cp:lastPrinted>2018-04-10T17:47:00Z</cp:lastPrinted>
  <dcterms:created xsi:type="dcterms:W3CDTF">2019-05-29T13:41:00Z</dcterms:created>
  <dcterms:modified xsi:type="dcterms:W3CDTF">2019-05-29T13:41:00Z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