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3F550" w14:textId="7F911885" w:rsidR="00533D2D" w:rsidRPr="006006B5" w:rsidRDefault="00075DB8" w:rsidP="00B95168">
      <w:pPr>
        <w:widowControl/>
        <w:jc w:val="center"/>
        <w:rPr>
          <w:b/>
          <w:sz w:val="22"/>
          <w:szCs w:val="22"/>
        </w:rPr>
      </w:pPr>
      <w:bookmarkStart w:id="0" w:name="_GoBack"/>
      <w:bookmarkEnd w:id="0"/>
      <w:r w:rsidRPr="006006B5">
        <w:rPr>
          <w:b/>
          <w:sz w:val="22"/>
          <w:szCs w:val="22"/>
        </w:rPr>
        <w:t>D</w:t>
      </w:r>
      <w:r w:rsidR="00533D2D" w:rsidRPr="006006B5">
        <w:rPr>
          <w:b/>
          <w:sz w:val="22"/>
          <w:szCs w:val="22"/>
        </w:rPr>
        <w:t>EPARTMENT OF THE TREASURY</w:t>
      </w:r>
      <w:r w:rsidR="00B743A7" w:rsidRPr="006006B5">
        <w:rPr>
          <w:b/>
          <w:sz w:val="22"/>
          <w:szCs w:val="22"/>
        </w:rPr>
        <w:t xml:space="preserve"> </w:t>
      </w:r>
    </w:p>
    <w:p w14:paraId="2656BEBA" w14:textId="77777777" w:rsidR="007434C4" w:rsidRPr="006006B5" w:rsidRDefault="007434C4" w:rsidP="00B95168">
      <w:pPr>
        <w:widowControl/>
        <w:jc w:val="center"/>
        <w:rPr>
          <w:sz w:val="28"/>
          <w:szCs w:val="28"/>
        </w:rPr>
      </w:pPr>
    </w:p>
    <w:p w14:paraId="68DFB60B" w14:textId="77777777" w:rsidR="00533D2D" w:rsidRPr="006006B5" w:rsidRDefault="00533D2D" w:rsidP="00B95168">
      <w:pPr>
        <w:widowControl/>
        <w:jc w:val="center"/>
        <w:rPr>
          <w:b/>
          <w:sz w:val="22"/>
          <w:szCs w:val="22"/>
        </w:rPr>
      </w:pPr>
      <w:r w:rsidRPr="006006B5">
        <w:rPr>
          <w:b/>
          <w:sz w:val="22"/>
          <w:szCs w:val="22"/>
        </w:rPr>
        <w:t>ALCOHOL AND TOBACCO TAX AND TRADE BUREAU</w:t>
      </w:r>
      <w:r w:rsidR="00B743A7" w:rsidRPr="006006B5">
        <w:rPr>
          <w:b/>
          <w:sz w:val="22"/>
          <w:szCs w:val="22"/>
        </w:rPr>
        <w:t xml:space="preserve"> </w:t>
      </w:r>
    </w:p>
    <w:p w14:paraId="6957A0FB" w14:textId="77777777" w:rsidR="00533D2D" w:rsidRPr="006006B5" w:rsidRDefault="00533D2D" w:rsidP="00B95168">
      <w:pPr>
        <w:widowControl/>
        <w:jc w:val="center"/>
        <w:rPr>
          <w:sz w:val="28"/>
          <w:szCs w:val="28"/>
        </w:rPr>
      </w:pPr>
    </w:p>
    <w:p w14:paraId="61C7A6FB" w14:textId="381B2ABD" w:rsidR="00533D2D" w:rsidRPr="006006B5" w:rsidRDefault="00533D2D" w:rsidP="00B95168">
      <w:pPr>
        <w:widowControl/>
        <w:jc w:val="center"/>
        <w:rPr>
          <w:b/>
          <w:sz w:val="22"/>
          <w:szCs w:val="22"/>
        </w:rPr>
      </w:pPr>
      <w:r w:rsidRPr="006006B5">
        <w:rPr>
          <w:b/>
          <w:sz w:val="22"/>
          <w:szCs w:val="22"/>
        </w:rPr>
        <w:t xml:space="preserve">Supporting Statement – Information Collection </w:t>
      </w:r>
      <w:r w:rsidR="00B743A7" w:rsidRPr="006006B5">
        <w:rPr>
          <w:b/>
          <w:sz w:val="22"/>
          <w:szCs w:val="22"/>
        </w:rPr>
        <w:t>Request</w:t>
      </w:r>
      <w:r w:rsidR="006936AC" w:rsidRPr="006006B5">
        <w:rPr>
          <w:b/>
          <w:sz w:val="22"/>
          <w:szCs w:val="22"/>
        </w:rPr>
        <w:t xml:space="preserve"> </w:t>
      </w:r>
    </w:p>
    <w:p w14:paraId="435DD74E" w14:textId="780FD16D" w:rsidR="00B743A7" w:rsidRPr="006006B5" w:rsidRDefault="00B743A7" w:rsidP="00B95168">
      <w:pPr>
        <w:widowControl/>
        <w:jc w:val="center"/>
        <w:rPr>
          <w:sz w:val="36"/>
          <w:szCs w:val="36"/>
        </w:rPr>
      </w:pPr>
    </w:p>
    <w:p w14:paraId="0219A94D" w14:textId="01C40901" w:rsidR="00533D2D" w:rsidRPr="006006B5" w:rsidRDefault="00533D2D" w:rsidP="00B95168">
      <w:pPr>
        <w:widowControl/>
        <w:jc w:val="center"/>
        <w:rPr>
          <w:b/>
          <w:sz w:val="22"/>
          <w:szCs w:val="22"/>
          <w:u w:val="single"/>
        </w:rPr>
      </w:pPr>
      <w:r w:rsidRPr="006006B5">
        <w:rPr>
          <w:b/>
          <w:sz w:val="22"/>
          <w:szCs w:val="22"/>
          <w:u w:val="single"/>
        </w:rPr>
        <w:t xml:space="preserve">OMB Control Number </w:t>
      </w:r>
      <w:r w:rsidR="00671E9A" w:rsidRPr="006006B5">
        <w:rPr>
          <w:b/>
          <w:sz w:val="22"/>
          <w:szCs w:val="22"/>
          <w:u w:val="single"/>
        </w:rPr>
        <w:t>1513–</w:t>
      </w:r>
      <w:r w:rsidRPr="006006B5">
        <w:rPr>
          <w:b/>
          <w:sz w:val="22"/>
          <w:szCs w:val="22"/>
          <w:u w:val="single"/>
        </w:rPr>
        <w:t>00</w:t>
      </w:r>
      <w:r w:rsidR="00EB3AC2" w:rsidRPr="006006B5">
        <w:rPr>
          <w:b/>
          <w:sz w:val="22"/>
          <w:szCs w:val="22"/>
          <w:u w:val="single"/>
        </w:rPr>
        <w:t>27</w:t>
      </w:r>
      <w:r w:rsidR="00B743A7" w:rsidRPr="006006B5">
        <w:rPr>
          <w:b/>
          <w:sz w:val="22"/>
          <w:szCs w:val="22"/>
          <w:u w:val="single"/>
        </w:rPr>
        <w:t xml:space="preserve"> </w:t>
      </w:r>
    </w:p>
    <w:p w14:paraId="589A11E0" w14:textId="508B43D9" w:rsidR="00FA682A" w:rsidRPr="006006B5" w:rsidRDefault="00FA682A" w:rsidP="00B95168">
      <w:pPr>
        <w:widowControl/>
        <w:jc w:val="center"/>
        <w:rPr>
          <w:sz w:val="36"/>
          <w:szCs w:val="36"/>
        </w:rPr>
      </w:pPr>
    </w:p>
    <w:p w14:paraId="0770767A" w14:textId="0859D97B" w:rsidR="00FA682A" w:rsidRPr="006006B5" w:rsidRDefault="00FA682A" w:rsidP="00B95168">
      <w:pPr>
        <w:widowControl/>
        <w:jc w:val="center"/>
        <w:rPr>
          <w:b/>
          <w:sz w:val="22"/>
          <w:szCs w:val="22"/>
        </w:rPr>
      </w:pPr>
      <w:r w:rsidRPr="006006B5">
        <w:rPr>
          <w:b/>
          <w:sz w:val="22"/>
          <w:szCs w:val="22"/>
        </w:rPr>
        <w:t>Removals of Tobacco Products</w:t>
      </w:r>
      <w:r w:rsidR="00BA7124" w:rsidRPr="006006B5">
        <w:rPr>
          <w:b/>
          <w:sz w:val="22"/>
          <w:szCs w:val="22"/>
        </w:rPr>
        <w:t xml:space="preserve"> and</w:t>
      </w:r>
      <w:r w:rsidRPr="006006B5">
        <w:rPr>
          <w:b/>
          <w:sz w:val="22"/>
          <w:szCs w:val="22"/>
        </w:rPr>
        <w:t xml:space="preserve"> Cigarette Papers and Tubes </w:t>
      </w:r>
      <w:r w:rsidR="00E62B52" w:rsidRPr="006006B5">
        <w:rPr>
          <w:b/>
          <w:sz w:val="22"/>
          <w:szCs w:val="22"/>
        </w:rPr>
        <w:t>w</w:t>
      </w:r>
      <w:r w:rsidRPr="006006B5">
        <w:rPr>
          <w:b/>
          <w:sz w:val="22"/>
          <w:szCs w:val="22"/>
        </w:rPr>
        <w:t xml:space="preserve">ithout Payment of Tax </w:t>
      </w:r>
    </w:p>
    <w:p w14:paraId="2D8099E8" w14:textId="296D4180" w:rsidR="00533D2D" w:rsidRPr="006006B5" w:rsidRDefault="00533D2D" w:rsidP="00B95168">
      <w:pPr>
        <w:widowControl/>
        <w:rPr>
          <w:sz w:val="36"/>
          <w:szCs w:val="36"/>
        </w:rPr>
      </w:pPr>
    </w:p>
    <w:p w14:paraId="3E7E4006" w14:textId="3C5B1283" w:rsidR="007434C4" w:rsidRPr="006006B5" w:rsidRDefault="007434C4" w:rsidP="00B95168">
      <w:pPr>
        <w:widowControl/>
        <w:rPr>
          <w:sz w:val="22"/>
          <w:szCs w:val="22"/>
          <w:u w:val="single"/>
        </w:rPr>
      </w:pPr>
      <w:r w:rsidRPr="006006B5">
        <w:rPr>
          <w:sz w:val="22"/>
          <w:szCs w:val="22"/>
          <w:u w:val="single"/>
        </w:rPr>
        <w:t>Information Collection</w:t>
      </w:r>
      <w:r w:rsidR="004D34C2" w:rsidRPr="006006B5">
        <w:rPr>
          <w:sz w:val="22"/>
          <w:szCs w:val="22"/>
          <w:u w:val="single"/>
        </w:rPr>
        <w:t>s</w:t>
      </w:r>
      <w:r w:rsidR="00526E4D" w:rsidRPr="006006B5">
        <w:rPr>
          <w:sz w:val="22"/>
          <w:szCs w:val="22"/>
          <w:u w:val="single"/>
        </w:rPr>
        <w:t xml:space="preserve"> </w:t>
      </w:r>
      <w:r w:rsidR="00AF56F6" w:rsidRPr="006006B5">
        <w:rPr>
          <w:sz w:val="22"/>
          <w:szCs w:val="22"/>
          <w:u w:val="single"/>
        </w:rPr>
        <w:t xml:space="preserve">and Collection Instruments </w:t>
      </w:r>
      <w:r w:rsidRPr="006006B5">
        <w:rPr>
          <w:sz w:val="22"/>
          <w:szCs w:val="22"/>
          <w:u w:val="single"/>
        </w:rPr>
        <w:t xml:space="preserve">Issued under this Title: </w:t>
      </w:r>
    </w:p>
    <w:p w14:paraId="0C6B063E" w14:textId="77777777" w:rsidR="007434C4" w:rsidRPr="006006B5" w:rsidRDefault="007434C4" w:rsidP="00B95168">
      <w:pPr>
        <w:widowControl/>
        <w:rPr>
          <w:sz w:val="22"/>
          <w:szCs w:val="22"/>
        </w:rPr>
      </w:pPr>
    </w:p>
    <w:p w14:paraId="0898EA6F" w14:textId="6E672930" w:rsidR="00AF56F6" w:rsidRPr="006006B5" w:rsidRDefault="00EB3AC2" w:rsidP="00BA7124">
      <w:pPr>
        <w:pStyle w:val="ListParagraph"/>
        <w:widowControl/>
        <w:numPr>
          <w:ilvl w:val="0"/>
          <w:numId w:val="10"/>
        </w:numPr>
        <w:tabs>
          <w:tab w:val="left" w:pos="540"/>
        </w:tabs>
        <w:ind w:left="540"/>
        <w:rPr>
          <w:sz w:val="22"/>
          <w:szCs w:val="22"/>
        </w:rPr>
      </w:pPr>
      <w:r w:rsidRPr="006006B5">
        <w:rPr>
          <w:sz w:val="22"/>
          <w:szCs w:val="22"/>
        </w:rPr>
        <w:t>Removals of Tobacco Products</w:t>
      </w:r>
      <w:r w:rsidR="00BA7124" w:rsidRPr="006006B5">
        <w:rPr>
          <w:sz w:val="22"/>
          <w:szCs w:val="22"/>
        </w:rPr>
        <w:t xml:space="preserve"> and</w:t>
      </w:r>
      <w:r w:rsidRPr="006006B5">
        <w:rPr>
          <w:sz w:val="22"/>
          <w:szCs w:val="22"/>
        </w:rPr>
        <w:t xml:space="preserve"> Cigarette Papers and Tubes </w:t>
      </w:r>
      <w:r w:rsidR="00E62B52" w:rsidRPr="006006B5">
        <w:rPr>
          <w:sz w:val="22"/>
          <w:szCs w:val="22"/>
        </w:rPr>
        <w:t>w</w:t>
      </w:r>
      <w:r w:rsidR="00FA682A" w:rsidRPr="006006B5">
        <w:rPr>
          <w:sz w:val="22"/>
          <w:szCs w:val="22"/>
        </w:rPr>
        <w:t>ithout</w:t>
      </w:r>
      <w:r w:rsidRPr="006006B5">
        <w:rPr>
          <w:sz w:val="22"/>
          <w:szCs w:val="22"/>
        </w:rPr>
        <w:t xml:space="preserve"> Payment of Tax</w:t>
      </w:r>
      <w:r w:rsidR="00AF56F6" w:rsidRPr="006006B5">
        <w:rPr>
          <w:sz w:val="22"/>
          <w:szCs w:val="22"/>
        </w:rPr>
        <w:t xml:space="preserve">. </w:t>
      </w:r>
    </w:p>
    <w:p w14:paraId="18B479AC" w14:textId="77777777" w:rsidR="00AF56F6" w:rsidRPr="006006B5" w:rsidRDefault="00AF56F6" w:rsidP="00BA7124">
      <w:pPr>
        <w:pStyle w:val="ListParagraph"/>
        <w:widowControl/>
        <w:tabs>
          <w:tab w:val="left" w:pos="540"/>
        </w:tabs>
        <w:ind w:left="540" w:hanging="360"/>
        <w:rPr>
          <w:sz w:val="16"/>
          <w:szCs w:val="16"/>
        </w:rPr>
      </w:pPr>
    </w:p>
    <w:p w14:paraId="00DB26C2" w14:textId="4734CE3B" w:rsidR="00EB3AC2" w:rsidRPr="00EB5B28" w:rsidRDefault="00F23B2F" w:rsidP="00BA7124">
      <w:pPr>
        <w:pStyle w:val="ListParagraph"/>
        <w:widowControl/>
        <w:numPr>
          <w:ilvl w:val="0"/>
          <w:numId w:val="12"/>
        </w:numPr>
        <w:tabs>
          <w:tab w:val="left" w:pos="900"/>
        </w:tabs>
        <w:ind w:left="900"/>
      </w:pPr>
      <w:r w:rsidRPr="00EB5B28">
        <w:t>TTB F 5200.14</w:t>
      </w:r>
      <w:r w:rsidR="00AF56F6" w:rsidRPr="00EB5B28">
        <w:t>, Removal of Tobacco Products, Cigarette Papers and Tubes without Payment of Tax</w:t>
      </w:r>
      <w:r w:rsidR="006936AC" w:rsidRPr="00EB5B28">
        <w:t>.</w:t>
      </w:r>
      <w:r w:rsidR="00EB3AC2" w:rsidRPr="00EB5B28">
        <w:t xml:space="preserve"> </w:t>
      </w:r>
    </w:p>
    <w:p w14:paraId="3BA3B327" w14:textId="77777777" w:rsidR="004D34C2" w:rsidRPr="00EB5B28" w:rsidRDefault="004D34C2" w:rsidP="00BA7124">
      <w:pPr>
        <w:pStyle w:val="ListParagraph"/>
        <w:widowControl/>
        <w:tabs>
          <w:tab w:val="left" w:pos="540"/>
        </w:tabs>
        <w:ind w:left="540" w:hanging="360"/>
      </w:pPr>
    </w:p>
    <w:p w14:paraId="64A4FB24" w14:textId="0A693972" w:rsidR="00AF56F6" w:rsidRPr="006006B5" w:rsidRDefault="003B7BF4" w:rsidP="00BA7124">
      <w:pPr>
        <w:pStyle w:val="ListParagraph"/>
        <w:widowControl/>
        <w:numPr>
          <w:ilvl w:val="0"/>
          <w:numId w:val="10"/>
        </w:numPr>
        <w:tabs>
          <w:tab w:val="left" w:pos="540"/>
          <w:tab w:val="left" w:pos="720"/>
        </w:tabs>
        <w:ind w:left="540"/>
        <w:rPr>
          <w:sz w:val="22"/>
          <w:szCs w:val="22"/>
        </w:rPr>
      </w:pPr>
      <w:r w:rsidRPr="006006B5">
        <w:rPr>
          <w:sz w:val="22"/>
          <w:szCs w:val="22"/>
        </w:rPr>
        <w:t>T</w:t>
      </w:r>
      <w:r w:rsidR="00AF56F6" w:rsidRPr="006006B5">
        <w:rPr>
          <w:sz w:val="22"/>
          <w:szCs w:val="22"/>
        </w:rPr>
        <w:t xml:space="preserve">obacco Export Documentation </w:t>
      </w:r>
      <w:r w:rsidRPr="006006B5">
        <w:rPr>
          <w:sz w:val="22"/>
          <w:szCs w:val="22"/>
        </w:rPr>
        <w:t>and Monthly Summary Report Alternate Proc</w:t>
      </w:r>
      <w:r w:rsidR="00AF56F6" w:rsidRPr="006006B5">
        <w:rPr>
          <w:sz w:val="22"/>
          <w:szCs w:val="22"/>
        </w:rPr>
        <w:t xml:space="preserve">edure under Industry Circular 2004–3. </w:t>
      </w:r>
    </w:p>
    <w:p w14:paraId="3D0114EA" w14:textId="444B5AAD" w:rsidR="00AF56F6" w:rsidRPr="006006B5" w:rsidRDefault="00AF56F6" w:rsidP="00BA7124">
      <w:pPr>
        <w:pStyle w:val="ListParagraph"/>
        <w:widowControl/>
        <w:tabs>
          <w:tab w:val="left" w:pos="540"/>
        </w:tabs>
        <w:ind w:left="540" w:hanging="360"/>
        <w:rPr>
          <w:sz w:val="16"/>
          <w:szCs w:val="16"/>
        </w:rPr>
      </w:pPr>
    </w:p>
    <w:p w14:paraId="19E269A1" w14:textId="50E5A779" w:rsidR="00AF56F6" w:rsidRPr="00EB5B28" w:rsidRDefault="00AF56F6" w:rsidP="003B7BF4">
      <w:pPr>
        <w:pStyle w:val="ListParagraph"/>
        <w:widowControl/>
        <w:numPr>
          <w:ilvl w:val="0"/>
          <w:numId w:val="13"/>
        </w:numPr>
        <w:tabs>
          <w:tab w:val="left" w:pos="900"/>
        </w:tabs>
        <w:ind w:left="900"/>
      </w:pPr>
      <w:r w:rsidRPr="00EB5B28">
        <w:t xml:space="preserve">Monthly Summary Reports of Removals of Tobacco Products, Cigarette Papers and Tubes </w:t>
      </w:r>
      <w:r w:rsidR="0028780A" w:rsidRPr="00EB5B28">
        <w:t>w</w:t>
      </w:r>
      <w:r w:rsidRPr="00EB5B28">
        <w:t>ithout Payment of Tax</w:t>
      </w:r>
      <w:r w:rsidR="0028780A" w:rsidRPr="00EB5B28">
        <w:t xml:space="preserve">. </w:t>
      </w:r>
    </w:p>
    <w:p w14:paraId="1556BB67" w14:textId="77777777" w:rsidR="0028780A" w:rsidRPr="006006B5" w:rsidRDefault="0028780A" w:rsidP="00BA7124">
      <w:pPr>
        <w:pStyle w:val="ListParagraph"/>
        <w:widowControl/>
        <w:tabs>
          <w:tab w:val="left" w:pos="540"/>
          <w:tab w:val="left" w:pos="1080"/>
        </w:tabs>
        <w:ind w:left="540" w:hanging="360"/>
        <w:rPr>
          <w:sz w:val="22"/>
          <w:szCs w:val="22"/>
        </w:rPr>
      </w:pPr>
    </w:p>
    <w:p w14:paraId="2244BA30" w14:textId="3A9857B3" w:rsidR="00C32F0F" w:rsidRPr="006006B5" w:rsidRDefault="00C32F0F" w:rsidP="00BA7124">
      <w:pPr>
        <w:pStyle w:val="ListParagraph"/>
        <w:widowControl/>
        <w:numPr>
          <w:ilvl w:val="0"/>
          <w:numId w:val="10"/>
        </w:numPr>
        <w:tabs>
          <w:tab w:val="left" w:pos="540"/>
          <w:tab w:val="left" w:pos="720"/>
          <w:tab w:val="left" w:pos="1080"/>
        </w:tabs>
        <w:ind w:left="540"/>
        <w:rPr>
          <w:sz w:val="22"/>
          <w:szCs w:val="22"/>
        </w:rPr>
      </w:pPr>
      <w:r w:rsidRPr="006006B5">
        <w:rPr>
          <w:sz w:val="22"/>
          <w:szCs w:val="22"/>
        </w:rPr>
        <w:t xml:space="preserve">Letterhead </w:t>
      </w:r>
      <w:r w:rsidR="00153EE7" w:rsidRPr="006006B5">
        <w:rPr>
          <w:sz w:val="22"/>
          <w:szCs w:val="22"/>
        </w:rPr>
        <w:t xml:space="preserve">Notices and </w:t>
      </w:r>
      <w:r w:rsidRPr="006006B5">
        <w:rPr>
          <w:sz w:val="22"/>
          <w:szCs w:val="22"/>
        </w:rPr>
        <w:t>Applications Related to Removals of Tobacco Products and Cigarette Papers and Tubes without Payment of Tax</w:t>
      </w:r>
      <w:r w:rsidR="00E62B52" w:rsidRPr="006006B5">
        <w:rPr>
          <w:sz w:val="22"/>
          <w:szCs w:val="22"/>
        </w:rPr>
        <w:t xml:space="preserve">. </w:t>
      </w:r>
    </w:p>
    <w:p w14:paraId="11229418" w14:textId="27CAD840" w:rsidR="00E62B52" w:rsidRPr="006006B5" w:rsidRDefault="00E62B52" w:rsidP="00BA7124">
      <w:pPr>
        <w:widowControl/>
        <w:tabs>
          <w:tab w:val="left" w:pos="540"/>
          <w:tab w:val="left" w:pos="1080"/>
        </w:tabs>
        <w:ind w:left="540" w:hanging="360"/>
        <w:rPr>
          <w:sz w:val="16"/>
          <w:szCs w:val="16"/>
        </w:rPr>
      </w:pPr>
    </w:p>
    <w:p w14:paraId="2BD6E74B" w14:textId="73A49995" w:rsidR="00E62B52" w:rsidRPr="00EB5B28" w:rsidRDefault="00E62B52" w:rsidP="00153EE7">
      <w:pPr>
        <w:pStyle w:val="ListParagraph"/>
        <w:widowControl/>
        <w:numPr>
          <w:ilvl w:val="0"/>
          <w:numId w:val="14"/>
        </w:numPr>
        <w:tabs>
          <w:tab w:val="left" w:pos="900"/>
        </w:tabs>
        <w:ind w:left="900"/>
      </w:pPr>
      <w:r w:rsidRPr="00EB5B28">
        <w:t xml:space="preserve">Letterhead Notices Regarding Consignment or Shipping Information Reported on TTB F 5200.14. </w:t>
      </w:r>
    </w:p>
    <w:p w14:paraId="307BA339" w14:textId="12317C14" w:rsidR="00E62B52" w:rsidRPr="00EB5B28" w:rsidRDefault="00E62B52" w:rsidP="00153EE7">
      <w:pPr>
        <w:widowControl/>
        <w:tabs>
          <w:tab w:val="left" w:pos="900"/>
        </w:tabs>
        <w:ind w:left="900" w:hanging="360"/>
        <w:rPr>
          <w:sz w:val="16"/>
          <w:szCs w:val="16"/>
        </w:rPr>
      </w:pPr>
    </w:p>
    <w:p w14:paraId="0F71D1DA" w14:textId="43415D21" w:rsidR="00E62B52" w:rsidRPr="00EB5B28" w:rsidRDefault="00E62B52" w:rsidP="00153EE7">
      <w:pPr>
        <w:pStyle w:val="ListParagraph"/>
        <w:widowControl/>
        <w:numPr>
          <w:ilvl w:val="0"/>
          <w:numId w:val="14"/>
        </w:numPr>
        <w:tabs>
          <w:tab w:val="left" w:pos="900"/>
        </w:tabs>
        <w:ind w:left="900"/>
      </w:pPr>
      <w:r w:rsidRPr="00EB5B28">
        <w:t xml:space="preserve">Letterhead Applications to Use the Monthly Summary Report Alternate Procedure for Reporting Removals of Tobacco Products and Cigarette Papers and Tubes. </w:t>
      </w:r>
    </w:p>
    <w:p w14:paraId="1F8DC2E7" w14:textId="6A92E5BF" w:rsidR="00BC5A30" w:rsidRPr="006006B5" w:rsidRDefault="00BC5A30" w:rsidP="00B95168">
      <w:pPr>
        <w:widowControl/>
        <w:rPr>
          <w:sz w:val="36"/>
          <w:szCs w:val="36"/>
        </w:rPr>
      </w:pPr>
    </w:p>
    <w:p w14:paraId="7D42628C" w14:textId="0A33E70C" w:rsidR="00533D2D" w:rsidRPr="006006B5" w:rsidRDefault="001A5AA7" w:rsidP="00B95168">
      <w:pPr>
        <w:widowControl/>
        <w:rPr>
          <w:b/>
          <w:sz w:val="22"/>
          <w:szCs w:val="22"/>
          <w:u w:val="single"/>
        </w:rPr>
      </w:pPr>
      <w:r w:rsidRPr="006006B5">
        <w:rPr>
          <w:b/>
          <w:sz w:val="22"/>
          <w:szCs w:val="22"/>
          <w:u w:val="single"/>
        </w:rPr>
        <w:t xml:space="preserve">A.  </w:t>
      </w:r>
      <w:r w:rsidR="00533D2D" w:rsidRPr="006006B5">
        <w:rPr>
          <w:b/>
          <w:sz w:val="22"/>
          <w:szCs w:val="22"/>
          <w:u w:val="single"/>
        </w:rPr>
        <w:t xml:space="preserve">Justification </w:t>
      </w:r>
    </w:p>
    <w:p w14:paraId="76CBA29F" w14:textId="77777777" w:rsidR="00533D2D" w:rsidRPr="006006B5" w:rsidRDefault="00533D2D" w:rsidP="00B95168">
      <w:pPr>
        <w:widowControl/>
        <w:tabs>
          <w:tab w:val="left" w:pos="540"/>
        </w:tabs>
        <w:rPr>
          <w:sz w:val="28"/>
          <w:szCs w:val="28"/>
          <w:u w:val="single"/>
        </w:rPr>
      </w:pPr>
    </w:p>
    <w:p w14:paraId="7D2AA113" w14:textId="77777777" w:rsidR="00B743A7" w:rsidRPr="006006B5" w:rsidRDefault="00B743A7" w:rsidP="00B95168">
      <w:pPr>
        <w:widowControl/>
        <w:tabs>
          <w:tab w:val="left" w:pos="360"/>
        </w:tabs>
        <w:suppressAutoHyphens/>
        <w:rPr>
          <w:i/>
          <w:sz w:val="22"/>
          <w:szCs w:val="22"/>
        </w:rPr>
      </w:pPr>
      <w:r w:rsidRPr="006006B5">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14:paraId="677244B8" w14:textId="77777777" w:rsidR="00EB3AC2" w:rsidRPr="006006B5" w:rsidRDefault="00EB3AC2" w:rsidP="00B95168">
      <w:pPr>
        <w:pStyle w:val="PlainText"/>
        <w:rPr>
          <w:rFonts w:ascii="Arial" w:hAnsi="Arial" w:cs="Arial"/>
          <w:sz w:val="22"/>
          <w:szCs w:val="22"/>
        </w:rPr>
      </w:pPr>
    </w:p>
    <w:p w14:paraId="7FADF16E" w14:textId="5D2FDC79" w:rsidR="00F23B2F" w:rsidRPr="006006B5" w:rsidRDefault="00F23B2F" w:rsidP="00B95168">
      <w:pPr>
        <w:widowControl/>
        <w:ind w:left="360"/>
        <w:rPr>
          <w:sz w:val="22"/>
          <w:szCs w:val="22"/>
        </w:rPr>
      </w:pPr>
      <w:r w:rsidRPr="006006B5">
        <w:rPr>
          <w:sz w:val="22"/>
          <w:szCs w:val="22"/>
        </w:rPr>
        <w:t>The Alcohol and Tobacco Tax and Trade Bureau (TTB) administers chapter 51 (distilled spirits, wine and beer), chapter 52 (tobacco products and cigarette papers and tubes), and sections 4181–4182 (firearms and ammunition excise taxes) of the Internal Revenue Code of 1986</w:t>
      </w:r>
      <w:r w:rsidR="00D7020B" w:rsidRPr="006006B5">
        <w:rPr>
          <w:sz w:val="22"/>
          <w:szCs w:val="22"/>
        </w:rPr>
        <w:t xml:space="preserve"> (IRC)</w:t>
      </w:r>
      <w:r w:rsidRPr="006006B5">
        <w:rPr>
          <w:sz w:val="22"/>
          <w:szCs w:val="22"/>
        </w:rPr>
        <w:t>, as amended, (</w:t>
      </w:r>
      <w:r w:rsidR="00D7020B" w:rsidRPr="006006B5">
        <w:rPr>
          <w:sz w:val="22"/>
          <w:szCs w:val="22"/>
        </w:rPr>
        <w:t>2</w:t>
      </w:r>
      <w:r w:rsidRPr="006006B5">
        <w:rPr>
          <w:sz w:val="22"/>
          <w:szCs w:val="22"/>
        </w:rPr>
        <w:t xml:space="preserve">6 U.S.C.) pursuant to section 1111(d) of the Homeland Security Act of 2002, as codified at 6 U.S.C. 531(d).  In addition, the Secretary of the Treasury (Secretary) has delegated certain IRC administrative and enforcement authorities to TTB through Treasury Order 120–01. </w:t>
      </w:r>
    </w:p>
    <w:p w14:paraId="4D84004F" w14:textId="77777777" w:rsidR="00EB3AC2" w:rsidRPr="006006B5" w:rsidRDefault="00EB3AC2" w:rsidP="00B95168">
      <w:pPr>
        <w:widowControl/>
        <w:ind w:left="360"/>
        <w:rPr>
          <w:sz w:val="22"/>
          <w:szCs w:val="22"/>
        </w:rPr>
      </w:pPr>
    </w:p>
    <w:p w14:paraId="6CCC369A" w14:textId="1BA424B3" w:rsidR="006329AB" w:rsidRPr="006006B5" w:rsidRDefault="00EB3AC2" w:rsidP="00B95168">
      <w:pPr>
        <w:widowControl/>
        <w:ind w:left="360"/>
        <w:rPr>
          <w:sz w:val="22"/>
          <w:szCs w:val="22"/>
        </w:rPr>
      </w:pPr>
      <w:r w:rsidRPr="006006B5">
        <w:rPr>
          <w:sz w:val="22"/>
          <w:szCs w:val="22"/>
        </w:rPr>
        <w:t>The IRC at 26 U.S.C. 5704(b) provides</w:t>
      </w:r>
      <w:r w:rsidR="004C0AE9" w:rsidRPr="006006B5">
        <w:rPr>
          <w:sz w:val="22"/>
          <w:szCs w:val="22"/>
        </w:rPr>
        <w:t>, among other things,</w:t>
      </w:r>
      <w:r w:rsidRPr="006006B5">
        <w:rPr>
          <w:sz w:val="22"/>
          <w:szCs w:val="22"/>
        </w:rPr>
        <w:t xml:space="preserve"> that </w:t>
      </w:r>
      <w:r w:rsidR="006329AB" w:rsidRPr="006006B5">
        <w:rPr>
          <w:sz w:val="22"/>
          <w:szCs w:val="22"/>
        </w:rPr>
        <w:t>a manufacturer or export warehouse proprietor may</w:t>
      </w:r>
      <w:r w:rsidR="001157A1" w:rsidRPr="006006B5">
        <w:rPr>
          <w:sz w:val="22"/>
          <w:szCs w:val="22"/>
        </w:rPr>
        <w:t>, in accordance with regulations prescribed by the Secretary,</w:t>
      </w:r>
      <w:r w:rsidR="006329AB" w:rsidRPr="006006B5">
        <w:rPr>
          <w:sz w:val="22"/>
          <w:szCs w:val="22"/>
        </w:rPr>
        <w:t xml:space="preserve"> transfer tobacco products and cigarette papers and tubes, without payment of tax, to the </w:t>
      </w:r>
      <w:r w:rsidR="006329AB" w:rsidRPr="006006B5">
        <w:rPr>
          <w:sz w:val="22"/>
          <w:szCs w:val="22"/>
        </w:rPr>
        <w:lastRenderedPageBreak/>
        <w:t xml:space="preserve">bonded premises of another </w:t>
      </w:r>
      <w:r w:rsidR="00F46EE4" w:rsidRPr="006006B5">
        <w:rPr>
          <w:sz w:val="22"/>
          <w:szCs w:val="22"/>
        </w:rPr>
        <w:t xml:space="preserve">such entity, </w:t>
      </w:r>
      <w:r w:rsidR="006329AB" w:rsidRPr="006006B5">
        <w:rPr>
          <w:sz w:val="22"/>
          <w:szCs w:val="22"/>
        </w:rPr>
        <w:t xml:space="preserve">or </w:t>
      </w:r>
      <w:r w:rsidR="003138EA" w:rsidRPr="006006B5">
        <w:rPr>
          <w:sz w:val="22"/>
          <w:szCs w:val="22"/>
        </w:rPr>
        <w:t xml:space="preserve">may </w:t>
      </w:r>
      <w:r w:rsidR="006329AB" w:rsidRPr="006006B5">
        <w:rPr>
          <w:sz w:val="22"/>
          <w:szCs w:val="22"/>
        </w:rPr>
        <w:t xml:space="preserve">remove such articles, without payment of tax, for shipment or consumption beyond the jurisdiction of </w:t>
      </w:r>
      <w:r w:rsidR="0028780A" w:rsidRPr="006006B5">
        <w:rPr>
          <w:sz w:val="22"/>
          <w:szCs w:val="22"/>
        </w:rPr>
        <w:t xml:space="preserve">the internal revenue laws of the </w:t>
      </w:r>
      <w:r w:rsidR="00F46EE4" w:rsidRPr="006006B5">
        <w:rPr>
          <w:sz w:val="22"/>
          <w:szCs w:val="22"/>
        </w:rPr>
        <w:t>United States</w:t>
      </w:r>
      <w:r w:rsidR="001157A1" w:rsidRPr="006006B5">
        <w:rPr>
          <w:sz w:val="22"/>
          <w:szCs w:val="22"/>
        </w:rPr>
        <w:t xml:space="preserve">. </w:t>
      </w:r>
      <w:r w:rsidR="006329AB" w:rsidRPr="006006B5">
        <w:rPr>
          <w:sz w:val="22"/>
          <w:szCs w:val="22"/>
        </w:rPr>
        <w:t xml:space="preserve"> </w:t>
      </w:r>
      <w:r w:rsidR="001157A1" w:rsidRPr="006006B5">
        <w:rPr>
          <w:sz w:val="22"/>
          <w:szCs w:val="22"/>
        </w:rPr>
        <w:t>In addition, t</w:t>
      </w:r>
      <w:r w:rsidR="006329AB" w:rsidRPr="006006B5">
        <w:rPr>
          <w:sz w:val="22"/>
          <w:szCs w:val="22"/>
        </w:rPr>
        <w:t xml:space="preserve">he IRC at 26 U.S.C. 5722 requires </w:t>
      </w:r>
      <w:r w:rsidR="002770B4" w:rsidRPr="006006B5">
        <w:rPr>
          <w:sz w:val="22"/>
          <w:szCs w:val="22"/>
        </w:rPr>
        <w:t xml:space="preserve">that </w:t>
      </w:r>
      <w:r w:rsidR="0028780A" w:rsidRPr="006006B5">
        <w:rPr>
          <w:sz w:val="22"/>
          <w:szCs w:val="22"/>
        </w:rPr>
        <w:t xml:space="preserve">manufacturers of </w:t>
      </w:r>
      <w:r w:rsidR="001157A1" w:rsidRPr="006006B5">
        <w:rPr>
          <w:sz w:val="22"/>
          <w:szCs w:val="22"/>
        </w:rPr>
        <w:t>tobacco product and cigarette paper</w:t>
      </w:r>
      <w:r w:rsidR="0028780A" w:rsidRPr="006006B5">
        <w:rPr>
          <w:sz w:val="22"/>
          <w:szCs w:val="22"/>
        </w:rPr>
        <w:t>s</w:t>
      </w:r>
      <w:r w:rsidR="001157A1" w:rsidRPr="006006B5">
        <w:rPr>
          <w:sz w:val="22"/>
          <w:szCs w:val="22"/>
        </w:rPr>
        <w:t xml:space="preserve"> and tube</w:t>
      </w:r>
      <w:r w:rsidR="0028780A" w:rsidRPr="006006B5">
        <w:rPr>
          <w:sz w:val="22"/>
          <w:szCs w:val="22"/>
        </w:rPr>
        <w:t xml:space="preserve">s </w:t>
      </w:r>
      <w:r w:rsidR="006329AB" w:rsidRPr="006006B5">
        <w:rPr>
          <w:sz w:val="22"/>
          <w:szCs w:val="22"/>
        </w:rPr>
        <w:t xml:space="preserve">and export warehouse proprietors make reports as the Secretary may </w:t>
      </w:r>
      <w:r w:rsidR="00D7020B" w:rsidRPr="006006B5">
        <w:rPr>
          <w:sz w:val="22"/>
          <w:szCs w:val="22"/>
        </w:rPr>
        <w:t xml:space="preserve">by regulation </w:t>
      </w:r>
      <w:r w:rsidR="006329AB" w:rsidRPr="006006B5">
        <w:rPr>
          <w:sz w:val="22"/>
          <w:szCs w:val="22"/>
        </w:rPr>
        <w:t>require.</w:t>
      </w:r>
      <w:r w:rsidR="00E85B2A" w:rsidRPr="006006B5">
        <w:rPr>
          <w:sz w:val="22"/>
          <w:szCs w:val="22"/>
        </w:rPr>
        <w:t xml:space="preserve"> </w:t>
      </w:r>
    </w:p>
    <w:p w14:paraId="48ED7512" w14:textId="77777777" w:rsidR="006329AB" w:rsidRPr="006006B5" w:rsidRDefault="006329AB" w:rsidP="00B95168">
      <w:pPr>
        <w:widowControl/>
        <w:ind w:left="360"/>
        <w:rPr>
          <w:sz w:val="22"/>
          <w:szCs w:val="22"/>
        </w:rPr>
      </w:pPr>
    </w:p>
    <w:p w14:paraId="336AB41D" w14:textId="20162070" w:rsidR="00EE2080" w:rsidRPr="006006B5" w:rsidRDefault="00526E4D" w:rsidP="00EE2080">
      <w:pPr>
        <w:widowControl/>
        <w:ind w:left="360"/>
        <w:rPr>
          <w:sz w:val="22"/>
          <w:szCs w:val="22"/>
        </w:rPr>
      </w:pPr>
      <w:r w:rsidRPr="006006B5">
        <w:rPr>
          <w:sz w:val="22"/>
          <w:szCs w:val="22"/>
        </w:rPr>
        <w:t xml:space="preserve">Issued under the authority of </w:t>
      </w:r>
      <w:r w:rsidR="003138EA" w:rsidRPr="006006B5">
        <w:rPr>
          <w:sz w:val="22"/>
          <w:szCs w:val="22"/>
        </w:rPr>
        <w:t xml:space="preserve">those </w:t>
      </w:r>
      <w:r w:rsidRPr="006006B5">
        <w:rPr>
          <w:sz w:val="22"/>
          <w:szCs w:val="22"/>
        </w:rPr>
        <w:t>IRC sections, t</w:t>
      </w:r>
      <w:r w:rsidR="006329AB" w:rsidRPr="006006B5">
        <w:rPr>
          <w:sz w:val="22"/>
          <w:szCs w:val="22"/>
        </w:rPr>
        <w:t xml:space="preserve">he TTB regulations </w:t>
      </w:r>
      <w:r w:rsidRPr="006006B5">
        <w:rPr>
          <w:sz w:val="22"/>
          <w:szCs w:val="22"/>
        </w:rPr>
        <w:t>regarding removals of tobacco products and cigarette papers and tubes</w:t>
      </w:r>
      <w:r w:rsidR="00EA570A" w:rsidRPr="006006B5">
        <w:rPr>
          <w:sz w:val="22"/>
          <w:szCs w:val="22"/>
        </w:rPr>
        <w:t>,</w:t>
      </w:r>
      <w:r w:rsidRPr="006006B5">
        <w:rPr>
          <w:sz w:val="22"/>
          <w:szCs w:val="22"/>
        </w:rPr>
        <w:t xml:space="preserve"> without payment of tax</w:t>
      </w:r>
      <w:r w:rsidR="00EA570A" w:rsidRPr="006006B5">
        <w:rPr>
          <w:sz w:val="22"/>
          <w:szCs w:val="22"/>
        </w:rPr>
        <w:t>,</w:t>
      </w:r>
      <w:r w:rsidRPr="006006B5">
        <w:rPr>
          <w:sz w:val="22"/>
          <w:szCs w:val="22"/>
        </w:rPr>
        <w:t xml:space="preserve"> are contained in 27 CFR part 44.  </w:t>
      </w:r>
      <w:r w:rsidR="006329AB" w:rsidRPr="006006B5">
        <w:rPr>
          <w:sz w:val="22"/>
          <w:szCs w:val="22"/>
        </w:rPr>
        <w:t>Th</w:t>
      </w:r>
      <w:r w:rsidR="00173F70" w:rsidRPr="006006B5">
        <w:rPr>
          <w:sz w:val="22"/>
          <w:szCs w:val="22"/>
        </w:rPr>
        <w:t>os</w:t>
      </w:r>
      <w:r w:rsidR="006329AB" w:rsidRPr="006006B5">
        <w:rPr>
          <w:sz w:val="22"/>
          <w:szCs w:val="22"/>
        </w:rPr>
        <w:t xml:space="preserve">e regulations provide for </w:t>
      </w:r>
      <w:r w:rsidR="00585053" w:rsidRPr="006006B5">
        <w:rPr>
          <w:sz w:val="22"/>
          <w:szCs w:val="22"/>
        </w:rPr>
        <w:t xml:space="preserve">such </w:t>
      </w:r>
      <w:r w:rsidR="006329AB" w:rsidRPr="006006B5">
        <w:rPr>
          <w:sz w:val="22"/>
          <w:szCs w:val="22"/>
        </w:rPr>
        <w:t>removal</w:t>
      </w:r>
      <w:r w:rsidR="003138EA" w:rsidRPr="006006B5">
        <w:rPr>
          <w:sz w:val="22"/>
          <w:szCs w:val="22"/>
        </w:rPr>
        <w:t>s</w:t>
      </w:r>
      <w:r w:rsidR="00EA570A" w:rsidRPr="006006B5">
        <w:rPr>
          <w:sz w:val="22"/>
          <w:szCs w:val="22"/>
        </w:rPr>
        <w:t xml:space="preserve"> </w:t>
      </w:r>
      <w:r w:rsidR="00585053" w:rsidRPr="006006B5">
        <w:rPr>
          <w:sz w:val="22"/>
          <w:szCs w:val="22"/>
        </w:rPr>
        <w:t>b</w:t>
      </w:r>
      <w:r w:rsidR="006329AB" w:rsidRPr="006006B5">
        <w:rPr>
          <w:sz w:val="22"/>
          <w:szCs w:val="22"/>
        </w:rPr>
        <w:t>y a manufacturer (including a customs bonded manufacturing warehouse</w:t>
      </w:r>
      <w:r w:rsidR="00F46EE4" w:rsidRPr="006006B5">
        <w:rPr>
          <w:rStyle w:val="CommentReference"/>
          <w:sz w:val="22"/>
          <w:szCs w:val="22"/>
        </w:rPr>
        <w:t>)</w:t>
      </w:r>
      <w:r w:rsidR="006329AB" w:rsidRPr="006006B5">
        <w:rPr>
          <w:sz w:val="22"/>
          <w:szCs w:val="22"/>
        </w:rPr>
        <w:t xml:space="preserve"> or an export warehouse proprietor for </w:t>
      </w:r>
      <w:r w:rsidR="00051B6C" w:rsidRPr="006006B5">
        <w:rPr>
          <w:sz w:val="22"/>
          <w:szCs w:val="22"/>
        </w:rPr>
        <w:t>the purposes</w:t>
      </w:r>
      <w:r w:rsidRPr="006006B5">
        <w:rPr>
          <w:sz w:val="22"/>
          <w:szCs w:val="22"/>
        </w:rPr>
        <w:t xml:space="preserve"> of</w:t>
      </w:r>
      <w:r w:rsidR="00051B6C" w:rsidRPr="006006B5">
        <w:rPr>
          <w:sz w:val="22"/>
          <w:szCs w:val="22"/>
        </w:rPr>
        <w:t>:</w:t>
      </w:r>
      <w:r w:rsidR="0099392F" w:rsidRPr="006006B5">
        <w:rPr>
          <w:sz w:val="22"/>
          <w:szCs w:val="22"/>
        </w:rPr>
        <w:t xml:space="preserve"> </w:t>
      </w:r>
      <w:r w:rsidR="00051B6C" w:rsidRPr="006006B5">
        <w:rPr>
          <w:sz w:val="22"/>
          <w:szCs w:val="22"/>
        </w:rPr>
        <w:t xml:space="preserve"> </w:t>
      </w:r>
      <w:r w:rsidR="00173F70" w:rsidRPr="006006B5">
        <w:rPr>
          <w:sz w:val="22"/>
          <w:szCs w:val="22"/>
        </w:rPr>
        <w:t>(1) E</w:t>
      </w:r>
      <w:r w:rsidR="00CB2980" w:rsidRPr="006006B5">
        <w:rPr>
          <w:sz w:val="22"/>
          <w:szCs w:val="22"/>
        </w:rPr>
        <w:t>xportation</w:t>
      </w:r>
      <w:r w:rsidR="00051B6C" w:rsidRPr="006006B5">
        <w:rPr>
          <w:sz w:val="22"/>
          <w:szCs w:val="22"/>
        </w:rPr>
        <w:t xml:space="preserve"> to a foreign country, Puerto Rico, the Virgin Islands, or possession of the United States; </w:t>
      </w:r>
      <w:r w:rsidR="00173F70" w:rsidRPr="006006B5">
        <w:rPr>
          <w:sz w:val="22"/>
          <w:szCs w:val="22"/>
        </w:rPr>
        <w:t>(2) </w:t>
      </w:r>
      <w:r w:rsidR="00051B6C" w:rsidRPr="006006B5">
        <w:rPr>
          <w:sz w:val="22"/>
          <w:szCs w:val="22"/>
        </w:rPr>
        <w:t>transfer to a Federal agency</w:t>
      </w:r>
      <w:r w:rsidR="00F46EE4" w:rsidRPr="006006B5">
        <w:rPr>
          <w:sz w:val="22"/>
          <w:szCs w:val="22"/>
        </w:rPr>
        <w:t xml:space="preserve"> or the a</w:t>
      </w:r>
      <w:r w:rsidR="00051B6C" w:rsidRPr="006006B5">
        <w:rPr>
          <w:sz w:val="22"/>
          <w:szCs w:val="22"/>
        </w:rPr>
        <w:t xml:space="preserve">rmed </w:t>
      </w:r>
      <w:r w:rsidR="00F46EE4" w:rsidRPr="006006B5">
        <w:rPr>
          <w:sz w:val="22"/>
          <w:szCs w:val="22"/>
        </w:rPr>
        <w:t>f</w:t>
      </w:r>
      <w:r w:rsidR="00051B6C" w:rsidRPr="006006B5">
        <w:rPr>
          <w:sz w:val="22"/>
          <w:szCs w:val="22"/>
        </w:rPr>
        <w:t>orces</w:t>
      </w:r>
      <w:r w:rsidR="000F72A5" w:rsidRPr="006006B5">
        <w:rPr>
          <w:sz w:val="22"/>
          <w:szCs w:val="22"/>
        </w:rPr>
        <w:t xml:space="preserve"> for subsequent export</w:t>
      </w:r>
      <w:r w:rsidR="00051B6C" w:rsidRPr="006006B5">
        <w:rPr>
          <w:sz w:val="22"/>
          <w:szCs w:val="22"/>
        </w:rPr>
        <w:t xml:space="preserve">; </w:t>
      </w:r>
      <w:r w:rsidR="00173F70" w:rsidRPr="006006B5">
        <w:rPr>
          <w:sz w:val="22"/>
          <w:szCs w:val="22"/>
        </w:rPr>
        <w:t>(3) </w:t>
      </w:r>
      <w:r w:rsidR="00051B6C" w:rsidRPr="006006B5">
        <w:rPr>
          <w:sz w:val="22"/>
          <w:szCs w:val="22"/>
        </w:rPr>
        <w:t xml:space="preserve">transfer to a vessel or aircraft for </w:t>
      </w:r>
      <w:r w:rsidR="002E2782" w:rsidRPr="006006B5">
        <w:rPr>
          <w:sz w:val="22"/>
          <w:szCs w:val="22"/>
        </w:rPr>
        <w:t>consumption as supplies beyond the jurisdiction of the internal revenue laws of the United States;</w:t>
      </w:r>
      <w:r w:rsidR="00643F7E" w:rsidRPr="006006B5">
        <w:rPr>
          <w:sz w:val="22"/>
          <w:szCs w:val="22"/>
        </w:rPr>
        <w:t xml:space="preserve"> </w:t>
      </w:r>
      <w:r w:rsidR="00690ED1" w:rsidRPr="006006B5">
        <w:rPr>
          <w:sz w:val="22"/>
          <w:szCs w:val="22"/>
        </w:rPr>
        <w:t>or</w:t>
      </w:r>
      <w:r w:rsidR="00643F7E" w:rsidRPr="006006B5">
        <w:rPr>
          <w:sz w:val="22"/>
          <w:szCs w:val="22"/>
        </w:rPr>
        <w:t xml:space="preserve"> (4) </w:t>
      </w:r>
      <w:r w:rsidR="00CB2980" w:rsidRPr="006006B5">
        <w:rPr>
          <w:sz w:val="22"/>
          <w:szCs w:val="22"/>
        </w:rPr>
        <w:t>transfer</w:t>
      </w:r>
      <w:r w:rsidR="00372F78" w:rsidRPr="006006B5">
        <w:rPr>
          <w:sz w:val="22"/>
          <w:szCs w:val="22"/>
        </w:rPr>
        <w:t xml:space="preserve"> to an export warehouse or f</w:t>
      </w:r>
      <w:r w:rsidR="008F0128" w:rsidRPr="006006B5">
        <w:rPr>
          <w:sz w:val="22"/>
          <w:szCs w:val="22"/>
        </w:rPr>
        <w:t>oreign-</w:t>
      </w:r>
      <w:r w:rsidR="00372F78" w:rsidRPr="006006B5">
        <w:rPr>
          <w:sz w:val="22"/>
          <w:szCs w:val="22"/>
        </w:rPr>
        <w:t>t</w:t>
      </w:r>
      <w:r w:rsidR="008F0128" w:rsidRPr="006006B5">
        <w:rPr>
          <w:sz w:val="22"/>
          <w:szCs w:val="22"/>
        </w:rPr>
        <w:t xml:space="preserve">rade </w:t>
      </w:r>
      <w:r w:rsidR="00372F78" w:rsidRPr="006006B5">
        <w:rPr>
          <w:sz w:val="22"/>
          <w:szCs w:val="22"/>
        </w:rPr>
        <w:t>z</w:t>
      </w:r>
      <w:r w:rsidR="008F0128" w:rsidRPr="006006B5">
        <w:rPr>
          <w:sz w:val="22"/>
          <w:szCs w:val="22"/>
        </w:rPr>
        <w:t>one</w:t>
      </w:r>
      <w:r w:rsidR="00D70F81" w:rsidRPr="006006B5">
        <w:rPr>
          <w:sz w:val="22"/>
          <w:szCs w:val="22"/>
        </w:rPr>
        <w:t>.</w:t>
      </w:r>
      <w:r w:rsidR="00E85B2A" w:rsidRPr="006006B5">
        <w:rPr>
          <w:sz w:val="22"/>
          <w:szCs w:val="22"/>
        </w:rPr>
        <w:t xml:space="preserve"> </w:t>
      </w:r>
      <w:r w:rsidR="00EE5236" w:rsidRPr="006006B5">
        <w:rPr>
          <w:sz w:val="22"/>
          <w:szCs w:val="22"/>
        </w:rPr>
        <w:t xml:space="preserve"> In addition, the regulations</w:t>
      </w:r>
      <w:r w:rsidR="00451FF1" w:rsidRPr="006006B5">
        <w:rPr>
          <w:sz w:val="22"/>
          <w:szCs w:val="22"/>
        </w:rPr>
        <w:t xml:space="preserve"> </w:t>
      </w:r>
      <w:r w:rsidR="00EE5236" w:rsidRPr="006006B5">
        <w:rPr>
          <w:sz w:val="22"/>
          <w:szCs w:val="22"/>
        </w:rPr>
        <w:t>allow</w:t>
      </w:r>
      <w:r w:rsidR="00451FF1" w:rsidRPr="006006B5">
        <w:rPr>
          <w:sz w:val="22"/>
          <w:szCs w:val="22"/>
        </w:rPr>
        <w:t xml:space="preserve"> an export warehouse proprietor to remove tobacco products and cigarette papers and tubes, without payment of tax, for return to the original manufacturer or for destruction under TTB supervision. </w:t>
      </w:r>
    </w:p>
    <w:p w14:paraId="6A1F36DE" w14:textId="77777777" w:rsidR="00EE2080" w:rsidRPr="006006B5" w:rsidRDefault="00EE2080" w:rsidP="00EE2080">
      <w:pPr>
        <w:widowControl/>
        <w:ind w:left="360"/>
        <w:rPr>
          <w:sz w:val="22"/>
          <w:szCs w:val="22"/>
        </w:rPr>
      </w:pPr>
    </w:p>
    <w:p w14:paraId="66FDF70D" w14:textId="7D18F50D" w:rsidR="006426AB" w:rsidRPr="006006B5" w:rsidRDefault="00F464BE" w:rsidP="00F73506">
      <w:pPr>
        <w:widowControl/>
        <w:ind w:left="360"/>
        <w:rPr>
          <w:bCs/>
          <w:sz w:val="22"/>
          <w:szCs w:val="22"/>
        </w:rPr>
      </w:pPr>
      <w:r w:rsidRPr="006006B5">
        <w:rPr>
          <w:sz w:val="22"/>
          <w:szCs w:val="22"/>
        </w:rPr>
        <w:t>Th</w:t>
      </w:r>
      <w:r w:rsidR="00585053" w:rsidRPr="006006B5">
        <w:rPr>
          <w:sz w:val="22"/>
          <w:szCs w:val="22"/>
        </w:rPr>
        <w:t>e part 44 r</w:t>
      </w:r>
      <w:r w:rsidRPr="006006B5">
        <w:rPr>
          <w:sz w:val="22"/>
          <w:szCs w:val="22"/>
        </w:rPr>
        <w:t xml:space="preserve">egulations also require </w:t>
      </w:r>
      <w:r w:rsidR="00EE2080" w:rsidRPr="006006B5">
        <w:rPr>
          <w:sz w:val="22"/>
          <w:szCs w:val="22"/>
        </w:rPr>
        <w:t xml:space="preserve">that </w:t>
      </w:r>
      <w:r w:rsidR="00110227" w:rsidRPr="006006B5">
        <w:rPr>
          <w:sz w:val="22"/>
          <w:szCs w:val="22"/>
        </w:rPr>
        <w:t xml:space="preserve">a </w:t>
      </w:r>
      <w:r w:rsidR="00D26465" w:rsidRPr="006006B5">
        <w:rPr>
          <w:sz w:val="22"/>
          <w:szCs w:val="22"/>
        </w:rPr>
        <w:t xml:space="preserve">manufacturer or export warehouse proprietor </w:t>
      </w:r>
      <w:r w:rsidRPr="006006B5">
        <w:rPr>
          <w:sz w:val="22"/>
          <w:szCs w:val="22"/>
        </w:rPr>
        <w:t xml:space="preserve">report </w:t>
      </w:r>
      <w:r w:rsidR="00EE2080" w:rsidRPr="006006B5">
        <w:rPr>
          <w:sz w:val="22"/>
          <w:szCs w:val="22"/>
        </w:rPr>
        <w:t xml:space="preserve">removals of tobacco products and cigarette papers and tubes, without payment of tax, </w:t>
      </w:r>
      <w:r w:rsidR="00585053" w:rsidRPr="006006B5">
        <w:rPr>
          <w:sz w:val="22"/>
          <w:szCs w:val="22"/>
        </w:rPr>
        <w:t xml:space="preserve">and obtain certification of the articles’ export, receipt, transfer, or destruction, </w:t>
      </w:r>
      <w:r w:rsidR="00087CD2" w:rsidRPr="006006B5">
        <w:rPr>
          <w:sz w:val="22"/>
          <w:szCs w:val="22"/>
        </w:rPr>
        <w:t xml:space="preserve">using </w:t>
      </w:r>
      <w:r w:rsidR="00585053" w:rsidRPr="006006B5">
        <w:rPr>
          <w:sz w:val="22"/>
          <w:szCs w:val="22"/>
        </w:rPr>
        <w:t xml:space="preserve">form </w:t>
      </w:r>
      <w:r w:rsidR="00D26465" w:rsidRPr="006006B5">
        <w:rPr>
          <w:sz w:val="22"/>
          <w:szCs w:val="22"/>
        </w:rPr>
        <w:t>TTB F 5200.14</w:t>
      </w:r>
      <w:r w:rsidR="00585053" w:rsidRPr="006006B5">
        <w:rPr>
          <w:sz w:val="22"/>
          <w:szCs w:val="22"/>
        </w:rPr>
        <w:t xml:space="preserve">.  </w:t>
      </w:r>
      <w:r w:rsidR="00EB3AC2" w:rsidRPr="006006B5">
        <w:rPr>
          <w:bCs/>
          <w:sz w:val="22"/>
          <w:szCs w:val="22"/>
        </w:rPr>
        <w:t xml:space="preserve">The </w:t>
      </w:r>
      <w:r w:rsidR="00AF1724" w:rsidRPr="006006B5">
        <w:rPr>
          <w:bCs/>
          <w:sz w:val="22"/>
          <w:szCs w:val="22"/>
        </w:rPr>
        <w:t xml:space="preserve">TTB </w:t>
      </w:r>
      <w:r w:rsidR="00EB3AC2" w:rsidRPr="006006B5">
        <w:rPr>
          <w:bCs/>
          <w:sz w:val="22"/>
          <w:szCs w:val="22"/>
        </w:rPr>
        <w:t xml:space="preserve">regulations that </w:t>
      </w:r>
      <w:r w:rsidR="001A5AA7" w:rsidRPr="006006B5">
        <w:rPr>
          <w:bCs/>
          <w:sz w:val="22"/>
          <w:szCs w:val="22"/>
        </w:rPr>
        <w:t>require or govern the use of TTB F 5200.14</w:t>
      </w:r>
      <w:r w:rsidR="00087CD2" w:rsidRPr="006006B5">
        <w:rPr>
          <w:bCs/>
          <w:sz w:val="22"/>
          <w:szCs w:val="22"/>
        </w:rPr>
        <w:t xml:space="preserve"> a</w:t>
      </w:r>
      <w:r w:rsidR="001A5AA7" w:rsidRPr="006006B5">
        <w:rPr>
          <w:bCs/>
          <w:sz w:val="22"/>
          <w:szCs w:val="22"/>
        </w:rPr>
        <w:t xml:space="preserve">re found </w:t>
      </w:r>
      <w:r w:rsidR="00087CD2" w:rsidRPr="006006B5">
        <w:rPr>
          <w:bCs/>
          <w:sz w:val="22"/>
          <w:szCs w:val="22"/>
        </w:rPr>
        <w:t xml:space="preserve">at </w:t>
      </w:r>
      <w:r w:rsidR="001A5AA7" w:rsidRPr="006006B5">
        <w:rPr>
          <w:bCs/>
          <w:sz w:val="22"/>
          <w:szCs w:val="22"/>
        </w:rPr>
        <w:t xml:space="preserve">§§ 44.142, 44.198 </w:t>
      </w:r>
      <w:r w:rsidR="001F3402" w:rsidRPr="006006B5">
        <w:rPr>
          <w:bCs/>
          <w:sz w:val="22"/>
          <w:szCs w:val="22"/>
        </w:rPr>
        <w:t>–</w:t>
      </w:r>
      <w:r w:rsidR="001A5AA7" w:rsidRPr="006006B5">
        <w:rPr>
          <w:bCs/>
          <w:sz w:val="22"/>
          <w:szCs w:val="22"/>
        </w:rPr>
        <w:t xml:space="preserve"> 44.208, 44.210, 44.213, and 44.256 </w:t>
      </w:r>
      <w:r w:rsidR="001F3402" w:rsidRPr="006006B5">
        <w:rPr>
          <w:bCs/>
          <w:sz w:val="22"/>
          <w:szCs w:val="22"/>
        </w:rPr>
        <w:t>–</w:t>
      </w:r>
      <w:r w:rsidR="001A5AA7" w:rsidRPr="006006B5">
        <w:rPr>
          <w:bCs/>
          <w:sz w:val="22"/>
          <w:szCs w:val="22"/>
        </w:rPr>
        <w:t xml:space="preserve"> 44.267. </w:t>
      </w:r>
      <w:r w:rsidRPr="006006B5">
        <w:rPr>
          <w:bCs/>
          <w:sz w:val="22"/>
          <w:szCs w:val="22"/>
        </w:rPr>
        <w:t xml:space="preserve"> </w:t>
      </w:r>
      <w:r w:rsidR="00F5626B" w:rsidRPr="006006B5">
        <w:rPr>
          <w:bCs/>
          <w:sz w:val="22"/>
          <w:szCs w:val="22"/>
        </w:rPr>
        <w:t xml:space="preserve">In addition, </w:t>
      </w:r>
      <w:r w:rsidR="001F3402" w:rsidRPr="006006B5">
        <w:rPr>
          <w:bCs/>
          <w:sz w:val="22"/>
          <w:szCs w:val="22"/>
        </w:rPr>
        <w:t>§§ 44.209 and 44.212 require manufacturers and export warehouse proprietors to file letterhead notices with TTB when</w:t>
      </w:r>
      <w:r w:rsidR="00087CD2" w:rsidRPr="006006B5">
        <w:rPr>
          <w:bCs/>
          <w:sz w:val="22"/>
          <w:szCs w:val="22"/>
        </w:rPr>
        <w:t xml:space="preserve"> </w:t>
      </w:r>
      <w:r w:rsidR="001F3402" w:rsidRPr="006006B5">
        <w:rPr>
          <w:bCs/>
          <w:sz w:val="22"/>
          <w:szCs w:val="22"/>
        </w:rPr>
        <w:t xml:space="preserve">they wish to divert a shipment to a </w:t>
      </w:r>
      <w:r w:rsidR="008E7FA9" w:rsidRPr="006006B5">
        <w:rPr>
          <w:bCs/>
          <w:sz w:val="22"/>
          <w:szCs w:val="22"/>
        </w:rPr>
        <w:t xml:space="preserve">different </w:t>
      </w:r>
      <w:r w:rsidR="001F3402" w:rsidRPr="006006B5">
        <w:rPr>
          <w:bCs/>
          <w:sz w:val="22"/>
          <w:szCs w:val="22"/>
        </w:rPr>
        <w:t xml:space="preserve">consignee than that </w:t>
      </w:r>
      <w:r w:rsidR="006A1633" w:rsidRPr="006006B5">
        <w:rPr>
          <w:bCs/>
          <w:sz w:val="22"/>
          <w:szCs w:val="22"/>
        </w:rPr>
        <w:t xml:space="preserve">originally </w:t>
      </w:r>
      <w:r w:rsidR="001F3402" w:rsidRPr="006006B5">
        <w:rPr>
          <w:bCs/>
          <w:sz w:val="22"/>
          <w:szCs w:val="22"/>
        </w:rPr>
        <w:t xml:space="preserve">designated on TTB F 5200.14, </w:t>
      </w:r>
      <w:r w:rsidRPr="006006B5">
        <w:rPr>
          <w:bCs/>
          <w:sz w:val="22"/>
          <w:szCs w:val="22"/>
        </w:rPr>
        <w:t xml:space="preserve">or </w:t>
      </w:r>
      <w:r w:rsidR="001F3402" w:rsidRPr="006006B5">
        <w:rPr>
          <w:bCs/>
          <w:sz w:val="22"/>
          <w:szCs w:val="22"/>
        </w:rPr>
        <w:t xml:space="preserve">when the loading of a shipment is delayed more than 30 days at the port of exportation. </w:t>
      </w:r>
    </w:p>
    <w:p w14:paraId="1719383F" w14:textId="7FCC41F6" w:rsidR="003D59F3" w:rsidRPr="006006B5" w:rsidRDefault="003D59F3" w:rsidP="003D59F3">
      <w:pPr>
        <w:widowControl/>
        <w:ind w:left="360"/>
        <w:rPr>
          <w:bCs/>
          <w:sz w:val="22"/>
          <w:szCs w:val="22"/>
        </w:rPr>
      </w:pPr>
    </w:p>
    <w:p w14:paraId="0983B6AB" w14:textId="1A8FA4FC" w:rsidR="00BC1F2C" w:rsidRPr="006006B5" w:rsidRDefault="006F47C5" w:rsidP="006F47C5">
      <w:pPr>
        <w:widowControl/>
        <w:ind w:left="360"/>
        <w:rPr>
          <w:bCs/>
          <w:sz w:val="22"/>
          <w:szCs w:val="22"/>
        </w:rPr>
      </w:pPr>
      <w:r w:rsidRPr="006006B5">
        <w:rPr>
          <w:bCs/>
          <w:sz w:val="22"/>
          <w:szCs w:val="22"/>
        </w:rPr>
        <w:t xml:space="preserve">Alternatively, </w:t>
      </w:r>
      <w:r w:rsidR="00E62B52" w:rsidRPr="006006B5">
        <w:rPr>
          <w:bCs/>
          <w:sz w:val="22"/>
          <w:szCs w:val="22"/>
        </w:rPr>
        <w:t xml:space="preserve">as authorized by § 44.72 and </w:t>
      </w:r>
      <w:r w:rsidRPr="006006B5">
        <w:rPr>
          <w:bCs/>
          <w:sz w:val="22"/>
          <w:szCs w:val="22"/>
        </w:rPr>
        <w:t xml:space="preserve">as described in TTB Industry Circular 2004–3, instead of </w:t>
      </w:r>
      <w:r w:rsidR="00653974" w:rsidRPr="006006B5">
        <w:rPr>
          <w:bCs/>
          <w:sz w:val="22"/>
          <w:szCs w:val="22"/>
        </w:rPr>
        <w:t>using TTB F </w:t>
      </w:r>
      <w:r w:rsidR="00DD225B" w:rsidRPr="006006B5">
        <w:rPr>
          <w:bCs/>
          <w:sz w:val="22"/>
          <w:szCs w:val="22"/>
        </w:rPr>
        <w:t xml:space="preserve">5200.14 to </w:t>
      </w:r>
      <w:r w:rsidRPr="006006B5">
        <w:rPr>
          <w:bCs/>
          <w:sz w:val="22"/>
          <w:szCs w:val="22"/>
        </w:rPr>
        <w:t>make per-</w:t>
      </w:r>
      <w:r w:rsidR="00DD225B" w:rsidRPr="006006B5">
        <w:rPr>
          <w:bCs/>
          <w:sz w:val="22"/>
          <w:szCs w:val="22"/>
        </w:rPr>
        <w:t xml:space="preserve">removal </w:t>
      </w:r>
      <w:r w:rsidRPr="006006B5">
        <w:rPr>
          <w:bCs/>
          <w:sz w:val="22"/>
          <w:szCs w:val="22"/>
        </w:rPr>
        <w:t>reports</w:t>
      </w:r>
      <w:r w:rsidR="00653974" w:rsidRPr="006006B5">
        <w:rPr>
          <w:bCs/>
          <w:sz w:val="22"/>
          <w:szCs w:val="22"/>
        </w:rPr>
        <w:t xml:space="preserve"> to TTB</w:t>
      </w:r>
      <w:r w:rsidRPr="006006B5">
        <w:rPr>
          <w:bCs/>
          <w:sz w:val="22"/>
          <w:szCs w:val="22"/>
        </w:rPr>
        <w:t xml:space="preserve">, </w:t>
      </w:r>
      <w:r w:rsidR="00DD225B" w:rsidRPr="006006B5">
        <w:rPr>
          <w:bCs/>
          <w:sz w:val="22"/>
          <w:szCs w:val="22"/>
        </w:rPr>
        <w:t>respondents may apply to s</w:t>
      </w:r>
      <w:r w:rsidRPr="006006B5">
        <w:rPr>
          <w:bCs/>
          <w:sz w:val="22"/>
          <w:szCs w:val="22"/>
        </w:rPr>
        <w:t>ubmit a “</w:t>
      </w:r>
      <w:r w:rsidR="00653974" w:rsidRPr="006006B5">
        <w:rPr>
          <w:bCs/>
          <w:sz w:val="22"/>
          <w:szCs w:val="22"/>
        </w:rPr>
        <w:t>M</w:t>
      </w:r>
      <w:r w:rsidRPr="006006B5">
        <w:rPr>
          <w:bCs/>
          <w:sz w:val="22"/>
          <w:szCs w:val="22"/>
        </w:rPr>
        <w:t xml:space="preserve">onthly </w:t>
      </w:r>
      <w:r w:rsidR="00653974" w:rsidRPr="006006B5">
        <w:rPr>
          <w:bCs/>
          <w:sz w:val="22"/>
          <w:szCs w:val="22"/>
        </w:rPr>
        <w:t>S</w:t>
      </w:r>
      <w:r w:rsidRPr="006006B5">
        <w:rPr>
          <w:bCs/>
          <w:sz w:val="22"/>
          <w:szCs w:val="22"/>
        </w:rPr>
        <w:t xml:space="preserve">ummary </w:t>
      </w:r>
      <w:r w:rsidR="00653974" w:rsidRPr="006006B5">
        <w:rPr>
          <w:bCs/>
          <w:sz w:val="22"/>
          <w:szCs w:val="22"/>
        </w:rPr>
        <w:t>R</w:t>
      </w:r>
      <w:r w:rsidRPr="006006B5">
        <w:rPr>
          <w:bCs/>
          <w:sz w:val="22"/>
          <w:szCs w:val="22"/>
        </w:rPr>
        <w:t xml:space="preserve">eport” of </w:t>
      </w:r>
      <w:r w:rsidR="00DD225B" w:rsidRPr="006006B5">
        <w:rPr>
          <w:bCs/>
          <w:sz w:val="22"/>
          <w:szCs w:val="22"/>
        </w:rPr>
        <w:t xml:space="preserve">removals of tobacco products and cigarette papers and tubes made without payment of tax for export purposes.  </w:t>
      </w:r>
      <w:r w:rsidR="00E62B52" w:rsidRPr="006006B5">
        <w:rPr>
          <w:bCs/>
          <w:sz w:val="22"/>
          <w:szCs w:val="22"/>
        </w:rPr>
        <w:t xml:space="preserve">Under this industry circular, </w:t>
      </w:r>
      <w:r w:rsidR="00DD225B" w:rsidRPr="006006B5">
        <w:rPr>
          <w:bCs/>
          <w:sz w:val="22"/>
          <w:szCs w:val="22"/>
        </w:rPr>
        <w:t>respondent</w:t>
      </w:r>
      <w:r w:rsidR="00E62B52" w:rsidRPr="006006B5">
        <w:rPr>
          <w:bCs/>
          <w:sz w:val="22"/>
          <w:szCs w:val="22"/>
        </w:rPr>
        <w:t>s</w:t>
      </w:r>
      <w:r w:rsidR="00DD225B" w:rsidRPr="006006B5">
        <w:rPr>
          <w:bCs/>
          <w:sz w:val="22"/>
          <w:szCs w:val="22"/>
        </w:rPr>
        <w:t xml:space="preserve"> submit a </w:t>
      </w:r>
      <w:r w:rsidRPr="006006B5">
        <w:rPr>
          <w:bCs/>
          <w:sz w:val="22"/>
          <w:szCs w:val="22"/>
        </w:rPr>
        <w:t>letterhead application to TTB requesting approval to use the</w:t>
      </w:r>
      <w:r w:rsidR="00DD225B" w:rsidRPr="006006B5">
        <w:rPr>
          <w:bCs/>
          <w:sz w:val="22"/>
          <w:szCs w:val="22"/>
        </w:rPr>
        <w:t xml:space="preserve"> alternate procedure.  After approval, respondent</w:t>
      </w:r>
      <w:r w:rsidR="00E62B52" w:rsidRPr="006006B5">
        <w:rPr>
          <w:bCs/>
          <w:sz w:val="22"/>
          <w:szCs w:val="22"/>
        </w:rPr>
        <w:t>s</w:t>
      </w:r>
      <w:r w:rsidR="00DD225B" w:rsidRPr="006006B5">
        <w:rPr>
          <w:bCs/>
          <w:sz w:val="22"/>
          <w:szCs w:val="22"/>
        </w:rPr>
        <w:t xml:space="preserve"> complete the notice of shipment section of TTB F 5200.14 for each removal, but maintain th</w:t>
      </w:r>
      <w:r w:rsidR="00E62B52" w:rsidRPr="006006B5">
        <w:rPr>
          <w:bCs/>
          <w:sz w:val="22"/>
          <w:szCs w:val="22"/>
        </w:rPr>
        <w:t xml:space="preserve">e forms </w:t>
      </w:r>
      <w:r w:rsidR="00DD225B" w:rsidRPr="006006B5">
        <w:rPr>
          <w:bCs/>
          <w:sz w:val="22"/>
          <w:szCs w:val="22"/>
        </w:rPr>
        <w:t xml:space="preserve">and </w:t>
      </w:r>
      <w:r w:rsidR="00E62B52" w:rsidRPr="006006B5">
        <w:rPr>
          <w:bCs/>
          <w:sz w:val="22"/>
          <w:szCs w:val="22"/>
        </w:rPr>
        <w:t xml:space="preserve">the </w:t>
      </w:r>
      <w:r w:rsidR="00DD225B" w:rsidRPr="006006B5">
        <w:rPr>
          <w:bCs/>
          <w:sz w:val="22"/>
          <w:szCs w:val="22"/>
        </w:rPr>
        <w:t xml:space="preserve">usual and customary business records documenting </w:t>
      </w:r>
      <w:r w:rsidR="00E62B52" w:rsidRPr="006006B5">
        <w:rPr>
          <w:bCs/>
          <w:sz w:val="22"/>
          <w:szCs w:val="22"/>
        </w:rPr>
        <w:t>each e</w:t>
      </w:r>
      <w:r w:rsidR="00DD225B" w:rsidRPr="006006B5">
        <w:rPr>
          <w:bCs/>
          <w:sz w:val="22"/>
          <w:szCs w:val="22"/>
        </w:rPr>
        <w:t>xport shipment at their premises, to be made available for TTB inspection upon request.  Using the information from the forms and records, respondent</w:t>
      </w:r>
      <w:r w:rsidR="00E62B52" w:rsidRPr="006006B5">
        <w:rPr>
          <w:bCs/>
          <w:sz w:val="22"/>
          <w:szCs w:val="22"/>
        </w:rPr>
        <w:t xml:space="preserve">s submit </w:t>
      </w:r>
      <w:r w:rsidR="00DD225B" w:rsidRPr="006006B5">
        <w:rPr>
          <w:bCs/>
          <w:sz w:val="22"/>
          <w:szCs w:val="22"/>
        </w:rPr>
        <w:t>Monthly Summary Report</w:t>
      </w:r>
      <w:r w:rsidR="00E62B52" w:rsidRPr="006006B5">
        <w:rPr>
          <w:bCs/>
          <w:sz w:val="22"/>
          <w:szCs w:val="22"/>
        </w:rPr>
        <w:t>s</w:t>
      </w:r>
      <w:r w:rsidR="00DD225B" w:rsidRPr="006006B5">
        <w:rPr>
          <w:bCs/>
          <w:sz w:val="22"/>
          <w:szCs w:val="22"/>
        </w:rPr>
        <w:t xml:space="preserve"> listing </w:t>
      </w:r>
      <w:r w:rsidR="00BC1F2C" w:rsidRPr="006006B5">
        <w:rPr>
          <w:bCs/>
          <w:sz w:val="22"/>
          <w:szCs w:val="22"/>
        </w:rPr>
        <w:t xml:space="preserve">the required </w:t>
      </w:r>
      <w:r w:rsidR="00DD225B" w:rsidRPr="006006B5">
        <w:rPr>
          <w:bCs/>
          <w:sz w:val="22"/>
          <w:szCs w:val="22"/>
        </w:rPr>
        <w:t xml:space="preserve">data regarding each </w:t>
      </w:r>
      <w:r w:rsidR="00BC1F2C" w:rsidRPr="006006B5">
        <w:rPr>
          <w:bCs/>
          <w:sz w:val="22"/>
          <w:szCs w:val="22"/>
        </w:rPr>
        <w:t xml:space="preserve">removal made without payment of tax for export purposes.  While there is no TTB form for these summary reports, the industry circular contains a suggested format for the </w:t>
      </w:r>
      <w:r w:rsidR="00E62B52" w:rsidRPr="006006B5">
        <w:rPr>
          <w:bCs/>
          <w:sz w:val="22"/>
          <w:szCs w:val="22"/>
        </w:rPr>
        <w:t xml:space="preserve">alternate procedure application and the monthly </w:t>
      </w:r>
      <w:r w:rsidR="00BC1F2C" w:rsidRPr="006006B5">
        <w:rPr>
          <w:bCs/>
          <w:sz w:val="22"/>
          <w:szCs w:val="22"/>
        </w:rPr>
        <w:t xml:space="preserve">report, which respondents </w:t>
      </w:r>
      <w:r w:rsidR="00CC31C2" w:rsidRPr="006006B5">
        <w:rPr>
          <w:bCs/>
          <w:sz w:val="22"/>
          <w:szCs w:val="22"/>
        </w:rPr>
        <w:t xml:space="preserve">electronically </w:t>
      </w:r>
      <w:r w:rsidR="00BC1F2C" w:rsidRPr="006006B5">
        <w:rPr>
          <w:bCs/>
          <w:sz w:val="22"/>
          <w:szCs w:val="22"/>
        </w:rPr>
        <w:t xml:space="preserve">submit to TTB </w:t>
      </w:r>
      <w:r w:rsidR="00653974" w:rsidRPr="006006B5">
        <w:rPr>
          <w:bCs/>
          <w:sz w:val="22"/>
          <w:szCs w:val="22"/>
        </w:rPr>
        <w:t xml:space="preserve">via </w:t>
      </w:r>
      <w:r w:rsidR="00BC1F2C" w:rsidRPr="006006B5">
        <w:rPr>
          <w:bCs/>
          <w:sz w:val="22"/>
          <w:szCs w:val="22"/>
        </w:rPr>
        <w:t xml:space="preserve">a dedicated e-mail address. </w:t>
      </w:r>
    </w:p>
    <w:p w14:paraId="6D0DED57" w14:textId="77777777" w:rsidR="00807820" w:rsidRPr="006006B5" w:rsidRDefault="00807820" w:rsidP="00F73506">
      <w:pPr>
        <w:widowControl/>
        <w:ind w:left="360"/>
        <w:rPr>
          <w:bCs/>
          <w:sz w:val="22"/>
          <w:szCs w:val="22"/>
        </w:rPr>
      </w:pPr>
    </w:p>
    <w:p w14:paraId="70D2F828" w14:textId="3ADB5571" w:rsidR="0040181D" w:rsidRPr="006006B5" w:rsidRDefault="008E7FA9" w:rsidP="00B95168">
      <w:pPr>
        <w:widowControl/>
        <w:autoSpaceDE/>
        <w:autoSpaceDN/>
        <w:adjustRightInd/>
        <w:ind w:left="360"/>
        <w:rPr>
          <w:sz w:val="22"/>
          <w:szCs w:val="22"/>
        </w:rPr>
      </w:pPr>
      <w:r w:rsidRPr="006006B5">
        <w:rPr>
          <w:sz w:val="22"/>
          <w:szCs w:val="22"/>
        </w:rPr>
        <w:t xml:space="preserve">Under the IRC and </w:t>
      </w:r>
      <w:r w:rsidR="001157A1" w:rsidRPr="006006B5">
        <w:rPr>
          <w:sz w:val="22"/>
          <w:szCs w:val="22"/>
        </w:rPr>
        <w:t xml:space="preserve">the </w:t>
      </w:r>
      <w:r w:rsidRPr="006006B5">
        <w:rPr>
          <w:sz w:val="22"/>
          <w:szCs w:val="22"/>
        </w:rPr>
        <w:t>TTB regulations,</w:t>
      </w:r>
      <w:r w:rsidR="0040181D" w:rsidRPr="006006B5">
        <w:rPr>
          <w:sz w:val="22"/>
          <w:szCs w:val="22"/>
        </w:rPr>
        <w:t xml:space="preserve"> manufacturer</w:t>
      </w:r>
      <w:r w:rsidRPr="006006B5">
        <w:rPr>
          <w:sz w:val="22"/>
          <w:szCs w:val="22"/>
        </w:rPr>
        <w:t>s</w:t>
      </w:r>
      <w:r w:rsidR="0040181D" w:rsidRPr="006006B5">
        <w:rPr>
          <w:sz w:val="22"/>
          <w:szCs w:val="22"/>
        </w:rPr>
        <w:t xml:space="preserve"> </w:t>
      </w:r>
      <w:r w:rsidRPr="006006B5">
        <w:rPr>
          <w:sz w:val="22"/>
          <w:szCs w:val="22"/>
        </w:rPr>
        <w:t xml:space="preserve">and </w:t>
      </w:r>
      <w:r w:rsidR="0040181D" w:rsidRPr="006006B5">
        <w:rPr>
          <w:sz w:val="22"/>
          <w:szCs w:val="22"/>
        </w:rPr>
        <w:t>export warehouse proprietor</w:t>
      </w:r>
      <w:r w:rsidRPr="006006B5">
        <w:rPr>
          <w:sz w:val="22"/>
          <w:szCs w:val="22"/>
        </w:rPr>
        <w:t>s</w:t>
      </w:r>
      <w:r w:rsidR="0040181D" w:rsidRPr="006006B5">
        <w:rPr>
          <w:sz w:val="22"/>
          <w:szCs w:val="22"/>
        </w:rPr>
        <w:t xml:space="preserve"> making removals </w:t>
      </w:r>
      <w:r w:rsidRPr="006006B5">
        <w:rPr>
          <w:sz w:val="22"/>
          <w:szCs w:val="22"/>
        </w:rPr>
        <w:t>of tobacco products and cigarette paper and tubes</w:t>
      </w:r>
      <w:r w:rsidR="004B624D" w:rsidRPr="006006B5">
        <w:rPr>
          <w:sz w:val="22"/>
          <w:szCs w:val="22"/>
        </w:rPr>
        <w:t>,</w:t>
      </w:r>
      <w:r w:rsidRPr="006006B5">
        <w:rPr>
          <w:sz w:val="22"/>
          <w:szCs w:val="22"/>
        </w:rPr>
        <w:t xml:space="preserve"> without payment of tax</w:t>
      </w:r>
      <w:r w:rsidR="004B624D" w:rsidRPr="006006B5">
        <w:rPr>
          <w:sz w:val="22"/>
          <w:szCs w:val="22"/>
        </w:rPr>
        <w:t>,</w:t>
      </w:r>
      <w:r w:rsidRPr="006006B5">
        <w:rPr>
          <w:sz w:val="22"/>
          <w:szCs w:val="22"/>
        </w:rPr>
        <w:t xml:space="preserve"> </w:t>
      </w:r>
      <w:r w:rsidR="0040181D" w:rsidRPr="006006B5">
        <w:rPr>
          <w:sz w:val="22"/>
          <w:szCs w:val="22"/>
        </w:rPr>
        <w:t xml:space="preserve">remain liable for the </w:t>
      </w:r>
      <w:r w:rsidR="001157A1" w:rsidRPr="006006B5">
        <w:rPr>
          <w:sz w:val="22"/>
          <w:szCs w:val="22"/>
        </w:rPr>
        <w:t xml:space="preserve">Federal </w:t>
      </w:r>
      <w:r w:rsidRPr="006006B5">
        <w:rPr>
          <w:sz w:val="22"/>
          <w:szCs w:val="22"/>
        </w:rPr>
        <w:t xml:space="preserve">excise </w:t>
      </w:r>
      <w:r w:rsidR="0040181D" w:rsidRPr="006006B5">
        <w:rPr>
          <w:sz w:val="22"/>
          <w:szCs w:val="22"/>
        </w:rPr>
        <w:t>tax on th</w:t>
      </w:r>
      <w:r w:rsidRPr="006006B5">
        <w:rPr>
          <w:sz w:val="22"/>
          <w:szCs w:val="22"/>
        </w:rPr>
        <w:t>os</w:t>
      </w:r>
      <w:r w:rsidR="0040181D" w:rsidRPr="006006B5">
        <w:rPr>
          <w:sz w:val="22"/>
          <w:szCs w:val="22"/>
        </w:rPr>
        <w:t>e articles until the</w:t>
      </w:r>
      <w:r w:rsidRPr="006006B5">
        <w:rPr>
          <w:sz w:val="22"/>
          <w:szCs w:val="22"/>
        </w:rPr>
        <w:t xml:space="preserve">y are exported or destroyed.  As such, </w:t>
      </w:r>
      <w:r w:rsidR="0040181D" w:rsidRPr="006006B5">
        <w:rPr>
          <w:sz w:val="22"/>
          <w:szCs w:val="22"/>
        </w:rPr>
        <w:t xml:space="preserve">TTB requires </w:t>
      </w:r>
      <w:r w:rsidRPr="006006B5">
        <w:rPr>
          <w:sz w:val="22"/>
          <w:szCs w:val="22"/>
        </w:rPr>
        <w:t xml:space="preserve">the information collected </w:t>
      </w:r>
      <w:r w:rsidR="004B624D" w:rsidRPr="006006B5">
        <w:rPr>
          <w:sz w:val="22"/>
          <w:szCs w:val="22"/>
        </w:rPr>
        <w:t>about s</w:t>
      </w:r>
      <w:r w:rsidRPr="006006B5">
        <w:rPr>
          <w:sz w:val="22"/>
          <w:szCs w:val="22"/>
        </w:rPr>
        <w:t>uch removals</w:t>
      </w:r>
      <w:r w:rsidR="0040181D" w:rsidRPr="006006B5">
        <w:rPr>
          <w:sz w:val="22"/>
          <w:szCs w:val="22"/>
        </w:rPr>
        <w:t xml:space="preserve"> to protect the revenue as it assists in preventing diversion of </w:t>
      </w:r>
      <w:r w:rsidR="004B624D" w:rsidRPr="006006B5">
        <w:rPr>
          <w:sz w:val="22"/>
          <w:szCs w:val="22"/>
        </w:rPr>
        <w:t xml:space="preserve">articles </w:t>
      </w:r>
      <w:r w:rsidR="0040181D" w:rsidRPr="006006B5">
        <w:rPr>
          <w:sz w:val="22"/>
          <w:szCs w:val="22"/>
        </w:rPr>
        <w:t>removed without payment of tax to otherwise taxable uses.</w:t>
      </w:r>
      <w:r w:rsidR="004B624D" w:rsidRPr="006006B5">
        <w:rPr>
          <w:sz w:val="22"/>
          <w:szCs w:val="22"/>
        </w:rPr>
        <w:t xml:space="preserve"> </w:t>
      </w:r>
    </w:p>
    <w:p w14:paraId="591CC3D3" w14:textId="77777777" w:rsidR="001F3402" w:rsidRPr="006006B5" w:rsidRDefault="001F3402" w:rsidP="00B95168">
      <w:pPr>
        <w:widowControl/>
        <w:suppressAutoHyphens/>
        <w:ind w:left="360"/>
        <w:rPr>
          <w:sz w:val="22"/>
          <w:szCs w:val="22"/>
        </w:rPr>
      </w:pPr>
    </w:p>
    <w:p w14:paraId="7A9CDC79" w14:textId="08023E4D" w:rsidR="007434C4" w:rsidRPr="006006B5" w:rsidRDefault="007434C4" w:rsidP="00B95168">
      <w:pPr>
        <w:widowControl/>
        <w:suppressAutoHyphens/>
        <w:ind w:left="360"/>
        <w:rPr>
          <w:sz w:val="22"/>
          <w:szCs w:val="22"/>
        </w:rPr>
      </w:pPr>
      <w:r w:rsidRPr="006006B5">
        <w:rPr>
          <w:sz w:val="22"/>
          <w:szCs w:val="22"/>
        </w:rPr>
        <w:t xml:space="preserve">This information collection is aligned with –– </w:t>
      </w:r>
    </w:p>
    <w:p w14:paraId="6EC304CA" w14:textId="77777777" w:rsidR="007434C4" w:rsidRPr="006006B5" w:rsidRDefault="007434C4" w:rsidP="00B95168">
      <w:pPr>
        <w:pStyle w:val="ListParagraph"/>
        <w:widowControl/>
        <w:numPr>
          <w:ilvl w:val="0"/>
          <w:numId w:val="6"/>
        </w:numPr>
        <w:suppressAutoHyphens/>
        <w:autoSpaceDE/>
        <w:autoSpaceDN/>
        <w:adjustRightInd/>
        <w:spacing w:before="80" w:after="120"/>
        <w:ind w:left="900"/>
        <w:contextualSpacing w:val="0"/>
        <w:rPr>
          <w:sz w:val="22"/>
          <w:szCs w:val="22"/>
        </w:rPr>
      </w:pPr>
      <w:r w:rsidRPr="006006B5">
        <w:rPr>
          <w:sz w:val="22"/>
          <w:szCs w:val="22"/>
          <w:u w:val="single"/>
        </w:rPr>
        <w:lastRenderedPageBreak/>
        <w:t>Line of Business/Sub-function:</w:t>
      </w:r>
      <w:r w:rsidRPr="006006B5">
        <w:rPr>
          <w:sz w:val="22"/>
          <w:szCs w:val="22"/>
        </w:rPr>
        <w:t xml:space="preserve">  </w:t>
      </w:r>
      <w:r w:rsidR="00545D85" w:rsidRPr="006006B5">
        <w:rPr>
          <w:sz w:val="22"/>
          <w:szCs w:val="22"/>
        </w:rPr>
        <w:t>General Government/Taxation Management</w:t>
      </w:r>
      <w:r w:rsidR="00F7115D" w:rsidRPr="006006B5">
        <w:rPr>
          <w:sz w:val="22"/>
          <w:szCs w:val="22"/>
        </w:rPr>
        <w:t>.</w:t>
      </w:r>
      <w:r w:rsidRPr="006006B5">
        <w:rPr>
          <w:sz w:val="22"/>
          <w:szCs w:val="22"/>
        </w:rPr>
        <w:t xml:space="preserve"> </w:t>
      </w:r>
    </w:p>
    <w:p w14:paraId="4A9BBCE2" w14:textId="1407BAD2" w:rsidR="007434C4" w:rsidRPr="006006B5" w:rsidRDefault="007434C4" w:rsidP="00B95168">
      <w:pPr>
        <w:pStyle w:val="ListParagraph"/>
        <w:widowControl/>
        <w:numPr>
          <w:ilvl w:val="0"/>
          <w:numId w:val="6"/>
        </w:numPr>
        <w:suppressAutoHyphens/>
        <w:autoSpaceDE/>
        <w:autoSpaceDN/>
        <w:adjustRightInd/>
        <w:spacing w:before="80"/>
        <w:ind w:left="900"/>
        <w:rPr>
          <w:sz w:val="22"/>
          <w:szCs w:val="22"/>
        </w:rPr>
      </w:pPr>
      <w:r w:rsidRPr="006006B5">
        <w:rPr>
          <w:sz w:val="22"/>
          <w:szCs w:val="22"/>
          <w:u w:val="single"/>
        </w:rPr>
        <w:t>IT Investment:</w:t>
      </w:r>
      <w:r w:rsidRPr="006006B5">
        <w:rPr>
          <w:sz w:val="22"/>
          <w:szCs w:val="22"/>
        </w:rPr>
        <w:t xml:space="preserve">  </w:t>
      </w:r>
      <w:r w:rsidR="00F23B2F" w:rsidRPr="006006B5">
        <w:rPr>
          <w:sz w:val="22"/>
          <w:szCs w:val="22"/>
        </w:rPr>
        <w:t xml:space="preserve">Tax Major Application system. </w:t>
      </w:r>
    </w:p>
    <w:p w14:paraId="53A9FB8C" w14:textId="77777777" w:rsidR="007434C4" w:rsidRPr="006006B5" w:rsidRDefault="007434C4" w:rsidP="00B95168">
      <w:pPr>
        <w:widowControl/>
        <w:tabs>
          <w:tab w:val="left" w:pos="540"/>
        </w:tabs>
        <w:ind w:left="540" w:hanging="540"/>
        <w:rPr>
          <w:sz w:val="36"/>
          <w:szCs w:val="36"/>
        </w:rPr>
      </w:pPr>
    </w:p>
    <w:p w14:paraId="3B2414B5" w14:textId="45FB4BC6" w:rsidR="00533D2D" w:rsidRPr="006006B5" w:rsidRDefault="00B743A7" w:rsidP="00B95168">
      <w:pPr>
        <w:widowControl/>
        <w:tabs>
          <w:tab w:val="left" w:pos="540"/>
        </w:tabs>
        <w:ind w:left="540" w:hanging="540"/>
        <w:rPr>
          <w:i/>
          <w:sz w:val="22"/>
          <w:szCs w:val="22"/>
        </w:rPr>
      </w:pPr>
      <w:r w:rsidRPr="006006B5">
        <w:rPr>
          <w:i/>
          <w:sz w:val="22"/>
          <w:szCs w:val="22"/>
        </w:rPr>
        <w:t>2.  H</w:t>
      </w:r>
      <w:r w:rsidR="00533D2D" w:rsidRPr="006006B5">
        <w:rPr>
          <w:i/>
          <w:sz w:val="22"/>
          <w:szCs w:val="22"/>
        </w:rPr>
        <w:t>ow, by whom, and for what purpose is this information used?</w:t>
      </w:r>
      <w:r w:rsidR="00F7115D" w:rsidRPr="006006B5">
        <w:rPr>
          <w:i/>
          <w:sz w:val="22"/>
          <w:szCs w:val="22"/>
        </w:rPr>
        <w:t xml:space="preserve"> </w:t>
      </w:r>
    </w:p>
    <w:p w14:paraId="723B3E57" w14:textId="77777777" w:rsidR="00533D2D" w:rsidRPr="006006B5" w:rsidRDefault="00533D2D" w:rsidP="00B95168">
      <w:pPr>
        <w:widowControl/>
        <w:rPr>
          <w:sz w:val="22"/>
          <w:szCs w:val="22"/>
        </w:rPr>
      </w:pPr>
    </w:p>
    <w:p w14:paraId="6238D817" w14:textId="7DCC8B33" w:rsidR="00D5428D" w:rsidRPr="006006B5" w:rsidRDefault="00953E6A" w:rsidP="00B95168">
      <w:pPr>
        <w:widowControl/>
        <w:suppressAutoHyphens/>
        <w:spacing w:line="240" w:lineRule="atLeast"/>
        <w:ind w:left="360"/>
        <w:rPr>
          <w:bCs/>
          <w:sz w:val="22"/>
          <w:szCs w:val="22"/>
        </w:rPr>
      </w:pPr>
      <w:r w:rsidRPr="006006B5">
        <w:rPr>
          <w:bCs/>
          <w:sz w:val="22"/>
          <w:szCs w:val="22"/>
        </w:rPr>
        <w:t>Th</w:t>
      </w:r>
      <w:r w:rsidR="00D140C8" w:rsidRPr="006006B5">
        <w:rPr>
          <w:bCs/>
          <w:sz w:val="22"/>
          <w:szCs w:val="22"/>
        </w:rPr>
        <w:t xml:space="preserve">e information collected under this </w:t>
      </w:r>
      <w:r w:rsidRPr="006006B5">
        <w:rPr>
          <w:bCs/>
          <w:sz w:val="22"/>
          <w:szCs w:val="22"/>
        </w:rPr>
        <w:t xml:space="preserve">request </w:t>
      </w:r>
      <w:r w:rsidR="00D5428D" w:rsidRPr="006006B5">
        <w:rPr>
          <w:bCs/>
          <w:sz w:val="22"/>
          <w:szCs w:val="22"/>
        </w:rPr>
        <w:t>allows TTB to maintain accountability over tobacco products and cigarette papers and tubes removed without payment of tax under the authority of the IRC at 26 U.S.C.</w:t>
      </w:r>
      <w:r w:rsidR="00D5428D" w:rsidRPr="006006B5">
        <w:rPr>
          <w:sz w:val="22"/>
          <w:szCs w:val="22"/>
        </w:rPr>
        <w:t xml:space="preserve"> 5704(b) and the related regulations in 27 CFR part 44.  </w:t>
      </w:r>
      <w:r w:rsidR="00D140C8" w:rsidRPr="006006B5">
        <w:rPr>
          <w:sz w:val="22"/>
          <w:szCs w:val="22"/>
        </w:rPr>
        <w:t xml:space="preserve">TTB headquarters and field personnel </w:t>
      </w:r>
      <w:r w:rsidR="00D5428D" w:rsidRPr="006006B5">
        <w:rPr>
          <w:sz w:val="22"/>
          <w:szCs w:val="22"/>
        </w:rPr>
        <w:t xml:space="preserve">may compare the </w:t>
      </w:r>
      <w:r w:rsidR="00B95168" w:rsidRPr="006006B5">
        <w:rPr>
          <w:sz w:val="22"/>
          <w:szCs w:val="22"/>
        </w:rPr>
        <w:t xml:space="preserve">information </w:t>
      </w:r>
      <w:r w:rsidR="00D140C8" w:rsidRPr="006006B5">
        <w:rPr>
          <w:sz w:val="22"/>
          <w:szCs w:val="22"/>
        </w:rPr>
        <w:t xml:space="preserve">provided by </w:t>
      </w:r>
      <w:r w:rsidR="00B95168" w:rsidRPr="006006B5">
        <w:rPr>
          <w:sz w:val="22"/>
          <w:szCs w:val="22"/>
        </w:rPr>
        <w:t xml:space="preserve">respondents </w:t>
      </w:r>
      <w:r w:rsidR="00D140C8" w:rsidRPr="006006B5">
        <w:rPr>
          <w:sz w:val="22"/>
          <w:szCs w:val="22"/>
        </w:rPr>
        <w:t xml:space="preserve">under this collection request </w:t>
      </w:r>
      <w:r w:rsidR="00B95168" w:rsidRPr="006006B5">
        <w:rPr>
          <w:sz w:val="22"/>
          <w:szCs w:val="22"/>
        </w:rPr>
        <w:t xml:space="preserve">with the information they provide on periodic reports regarding their operations </w:t>
      </w:r>
      <w:r w:rsidR="00D140C8" w:rsidRPr="006006B5">
        <w:rPr>
          <w:sz w:val="22"/>
          <w:szCs w:val="22"/>
        </w:rPr>
        <w:t xml:space="preserve">and with information contained in records maintained at their premises </w:t>
      </w:r>
      <w:r w:rsidR="00D5428D" w:rsidRPr="006006B5">
        <w:rPr>
          <w:sz w:val="22"/>
          <w:szCs w:val="22"/>
        </w:rPr>
        <w:t xml:space="preserve">to ensure that all removals </w:t>
      </w:r>
      <w:r w:rsidR="00D140C8" w:rsidRPr="006006B5">
        <w:rPr>
          <w:sz w:val="22"/>
          <w:szCs w:val="22"/>
        </w:rPr>
        <w:t xml:space="preserve">made without payment of tax </w:t>
      </w:r>
      <w:r w:rsidR="00D5428D" w:rsidRPr="006006B5">
        <w:rPr>
          <w:sz w:val="22"/>
          <w:szCs w:val="22"/>
        </w:rPr>
        <w:t xml:space="preserve">are accounted for and receipt of delivery for export or destruction is verified.  The required information </w:t>
      </w:r>
      <w:r w:rsidR="00BD497A" w:rsidRPr="006006B5">
        <w:rPr>
          <w:sz w:val="22"/>
          <w:szCs w:val="22"/>
        </w:rPr>
        <w:t>i</w:t>
      </w:r>
      <w:r w:rsidR="00D5428D" w:rsidRPr="006006B5">
        <w:rPr>
          <w:sz w:val="22"/>
          <w:szCs w:val="22"/>
        </w:rPr>
        <w:t xml:space="preserve">s necessary to protect the revenue as it assists </w:t>
      </w:r>
      <w:r w:rsidR="00BD497A" w:rsidRPr="006006B5">
        <w:rPr>
          <w:sz w:val="22"/>
          <w:szCs w:val="22"/>
        </w:rPr>
        <w:t xml:space="preserve">TTB </w:t>
      </w:r>
      <w:r w:rsidR="00D5428D" w:rsidRPr="006006B5">
        <w:rPr>
          <w:sz w:val="22"/>
          <w:szCs w:val="22"/>
        </w:rPr>
        <w:t>in preventing the diversion of tobacco products and cig</w:t>
      </w:r>
      <w:r w:rsidR="00BD497A" w:rsidRPr="006006B5">
        <w:rPr>
          <w:sz w:val="22"/>
          <w:szCs w:val="22"/>
        </w:rPr>
        <w:t>arette papers and tubes removed</w:t>
      </w:r>
      <w:r w:rsidR="00D5428D" w:rsidRPr="006006B5">
        <w:rPr>
          <w:sz w:val="22"/>
          <w:szCs w:val="22"/>
        </w:rPr>
        <w:t xml:space="preserve"> without payment of tax to otherwise taxable uses.</w:t>
      </w:r>
      <w:r w:rsidR="00D5428D" w:rsidRPr="006006B5">
        <w:rPr>
          <w:bCs/>
          <w:sz w:val="22"/>
          <w:szCs w:val="22"/>
        </w:rPr>
        <w:t xml:space="preserve"> </w:t>
      </w:r>
    </w:p>
    <w:p w14:paraId="39C229A2" w14:textId="77777777" w:rsidR="00533D2D" w:rsidRPr="006006B5" w:rsidRDefault="00533D2D" w:rsidP="00B95168">
      <w:pPr>
        <w:widowControl/>
        <w:rPr>
          <w:sz w:val="36"/>
          <w:szCs w:val="36"/>
        </w:rPr>
      </w:pPr>
    </w:p>
    <w:p w14:paraId="68C3F787" w14:textId="77777777" w:rsidR="008820FE" w:rsidRPr="006006B5" w:rsidRDefault="008820FE" w:rsidP="00B95168">
      <w:pPr>
        <w:widowControl/>
        <w:suppressAutoHyphens/>
        <w:rPr>
          <w:i/>
          <w:sz w:val="22"/>
          <w:szCs w:val="22"/>
        </w:rPr>
      </w:pPr>
      <w:r w:rsidRPr="006006B5">
        <w:rPr>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14:paraId="2F03041B" w14:textId="77777777" w:rsidR="00B669C6" w:rsidRPr="006006B5" w:rsidRDefault="00B669C6" w:rsidP="00B95168">
      <w:pPr>
        <w:widowControl/>
        <w:suppressAutoHyphens/>
        <w:spacing w:line="240" w:lineRule="atLeast"/>
        <w:rPr>
          <w:bCs/>
          <w:sz w:val="22"/>
          <w:szCs w:val="22"/>
        </w:rPr>
      </w:pPr>
    </w:p>
    <w:p w14:paraId="15D301E1" w14:textId="77777777" w:rsidR="00D140C8" w:rsidRPr="006006B5" w:rsidRDefault="007E72BE" w:rsidP="00B95168">
      <w:pPr>
        <w:widowControl/>
        <w:suppressAutoHyphens/>
        <w:spacing w:line="240" w:lineRule="atLeast"/>
        <w:ind w:left="360"/>
        <w:rPr>
          <w:bCs/>
          <w:sz w:val="22"/>
          <w:szCs w:val="22"/>
        </w:rPr>
      </w:pPr>
      <w:r w:rsidRPr="006006B5">
        <w:rPr>
          <w:bCs/>
          <w:sz w:val="22"/>
          <w:szCs w:val="22"/>
        </w:rPr>
        <w:t xml:space="preserve">TTB has approved and will continue to approve, on a case-by-case basis, the use of improved information technology for the collection and maintenance of required information.  </w:t>
      </w:r>
    </w:p>
    <w:p w14:paraId="7749256A" w14:textId="77777777" w:rsidR="00D140C8" w:rsidRPr="006006B5" w:rsidRDefault="00D140C8" w:rsidP="00B95168">
      <w:pPr>
        <w:widowControl/>
        <w:suppressAutoHyphens/>
        <w:spacing w:line="240" w:lineRule="atLeast"/>
        <w:ind w:left="360"/>
        <w:rPr>
          <w:bCs/>
          <w:sz w:val="22"/>
          <w:szCs w:val="22"/>
        </w:rPr>
      </w:pPr>
    </w:p>
    <w:p w14:paraId="3AD0ADA1" w14:textId="7CB0BB2E" w:rsidR="00B669C6" w:rsidRPr="006006B5" w:rsidRDefault="00D140C8" w:rsidP="00B95168">
      <w:pPr>
        <w:widowControl/>
        <w:suppressAutoHyphens/>
        <w:spacing w:line="240" w:lineRule="atLeast"/>
        <w:ind w:left="360"/>
        <w:rPr>
          <w:bCs/>
          <w:sz w:val="22"/>
          <w:szCs w:val="22"/>
        </w:rPr>
      </w:pPr>
      <w:r w:rsidRPr="006006B5">
        <w:rPr>
          <w:bCs/>
          <w:sz w:val="22"/>
          <w:szCs w:val="22"/>
        </w:rPr>
        <w:t xml:space="preserve">Currently, once approved to use the alternate procedure described in TTB Industry Circular 2004–3, respondents electronically submit the required Monthly Summary Report to TTB as an attachment to an e-mail sent to </w:t>
      </w:r>
      <w:hyperlink r:id="rId9" w:history="1">
        <w:r w:rsidRPr="006006B5">
          <w:rPr>
            <w:rStyle w:val="Hyperlink"/>
            <w:bCs/>
            <w:sz w:val="22"/>
            <w:szCs w:val="22"/>
          </w:rPr>
          <w:t>exports@ttb.gov.</w:t>
        </w:r>
      </w:hyperlink>
      <w:r w:rsidRPr="006006B5">
        <w:rPr>
          <w:bCs/>
          <w:sz w:val="22"/>
          <w:szCs w:val="22"/>
        </w:rPr>
        <w:t xml:space="preserve">  </w:t>
      </w:r>
      <w:r w:rsidR="002B24E2" w:rsidRPr="006006B5">
        <w:rPr>
          <w:bCs/>
          <w:sz w:val="22"/>
          <w:szCs w:val="22"/>
        </w:rPr>
        <w:t xml:space="preserve">In addition, </w:t>
      </w:r>
      <w:r w:rsidR="007E72BE" w:rsidRPr="006006B5">
        <w:rPr>
          <w:bCs/>
          <w:sz w:val="22"/>
          <w:szCs w:val="22"/>
        </w:rPr>
        <w:t>TTB F 5200.14 is available as a fillable</w:t>
      </w:r>
      <w:r w:rsidR="00B669C6" w:rsidRPr="006006B5">
        <w:rPr>
          <w:bCs/>
          <w:sz w:val="22"/>
          <w:szCs w:val="22"/>
        </w:rPr>
        <w:t>-</w:t>
      </w:r>
      <w:r w:rsidR="007E72BE" w:rsidRPr="006006B5">
        <w:rPr>
          <w:bCs/>
          <w:sz w:val="22"/>
          <w:szCs w:val="22"/>
        </w:rPr>
        <w:t xml:space="preserve">printable form on the TTB Web site (see </w:t>
      </w:r>
      <w:hyperlink r:id="rId10" w:history="1">
        <w:r w:rsidR="00A352B2" w:rsidRPr="006006B5">
          <w:rPr>
            <w:rStyle w:val="Hyperlink"/>
            <w:bCs/>
            <w:sz w:val="22"/>
            <w:szCs w:val="22"/>
          </w:rPr>
          <w:t>https://www.ttb.gov/forms/5000.shtml</w:t>
        </w:r>
      </w:hyperlink>
      <w:r w:rsidR="007E72BE" w:rsidRPr="006006B5">
        <w:rPr>
          <w:bCs/>
          <w:sz w:val="22"/>
          <w:szCs w:val="22"/>
        </w:rPr>
        <w:t>)</w:t>
      </w:r>
      <w:r w:rsidR="00B669C6" w:rsidRPr="006006B5">
        <w:rPr>
          <w:bCs/>
          <w:sz w:val="22"/>
          <w:szCs w:val="22"/>
        </w:rPr>
        <w:t xml:space="preserve">.  </w:t>
      </w:r>
      <w:r w:rsidR="005E6160" w:rsidRPr="006006B5">
        <w:rPr>
          <w:bCs/>
          <w:sz w:val="22"/>
          <w:szCs w:val="22"/>
        </w:rPr>
        <w:t>The related letterhead notices a</w:t>
      </w:r>
      <w:r w:rsidR="002B24E2" w:rsidRPr="006006B5">
        <w:rPr>
          <w:bCs/>
          <w:sz w:val="22"/>
          <w:szCs w:val="22"/>
        </w:rPr>
        <w:t>re generated by the respondent and m</w:t>
      </w:r>
      <w:r w:rsidR="005E6160" w:rsidRPr="006006B5">
        <w:rPr>
          <w:bCs/>
          <w:sz w:val="22"/>
          <w:szCs w:val="22"/>
        </w:rPr>
        <w:t xml:space="preserve">ay include the use of information technology. </w:t>
      </w:r>
    </w:p>
    <w:p w14:paraId="13FF69BD" w14:textId="77777777" w:rsidR="00533D2D" w:rsidRPr="006006B5" w:rsidRDefault="00533D2D" w:rsidP="00B95168">
      <w:pPr>
        <w:widowControl/>
        <w:tabs>
          <w:tab w:val="left" w:pos="540"/>
        </w:tabs>
        <w:ind w:left="540" w:hanging="540"/>
        <w:rPr>
          <w:sz w:val="36"/>
          <w:szCs w:val="36"/>
        </w:rPr>
      </w:pPr>
    </w:p>
    <w:p w14:paraId="48882A76" w14:textId="77777777" w:rsidR="008820FE" w:rsidRPr="006006B5" w:rsidRDefault="008820FE" w:rsidP="00B95168">
      <w:pPr>
        <w:widowControl/>
        <w:suppressAutoHyphens/>
        <w:rPr>
          <w:i/>
          <w:sz w:val="22"/>
          <w:szCs w:val="22"/>
        </w:rPr>
      </w:pPr>
      <w:r w:rsidRPr="006006B5">
        <w:rPr>
          <w:i/>
          <w:sz w:val="22"/>
          <w:szCs w:val="22"/>
        </w:rPr>
        <w:t xml:space="preserve">4.  What efforts are used to identify duplication?  Can similar information already available be used or modified for use for the purposes described in Item 2 above? </w:t>
      </w:r>
    </w:p>
    <w:p w14:paraId="2AD1D08D" w14:textId="77777777" w:rsidR="008820FE" w:rsidRPr="006006B5" w:rsidRDefault="008820FE" w:rsidP="00B95168">
      <w:pPr>
        <w:widowControl/>
        <w:suppressAutoHyphens/>
        <w:rPr>
          <w:sz w:val="22"/>
          <w:szCs w:val="22"/>
        </w:rPr>
      </w:pPr>
    </w:p>
    <w:p w14:paraId="4E3A8956" w14:textId="2187FA77" w:rsidR="007E72BE" w:rsidRPr="006006B5" w:rsidRDefault="002B24E2" w:rsidP="00B95168">
      <w:pPr>
        <w:widowControl/>
        <w:suppressAutoHyphens/>
        <w:spacing w:line="240" w:lineRule="atLeast"/>
        <w:ind w:left="360"/>
        <w:rPr>
          <w:sz w:val="22"/>
          <w:szCs w:val="22"/>
        </w:rPr>
      </w:pPr>
      <w:r w:rsidRPr="006006B5">
        <w:rPr>
          <w:sz w:val="22"/>
          <w:szCs w:val="22"/>
        </w:rPr>
        <w:t xml:space="preserve">The information TTB requires under this collection request contains data pertinent and unique to each respondent and applicable to specific </w:t>
      </w:r>
      <w:r w:rsidR="00D4753B" w:rsidRPr="006006B5">
        <w:rPr>
          <w:sz w:val="22"/>
          <w:szCs w:val="22"/>
        </w:rPr>
        <w:t>removals of tobacco products and cigarette papers and tubes</w:t>
      </w:r>
      <w:r w:rsidR="00B669C6" w:rsidRPr="006006B5">
        <w:rPr>
          <w:sz w:val="22"/>
          <w:szCs w:val="22"/>
        </w:rPr>
        <w:t>,</w:t>
      </w:r>
      <w:r w:rsidR="00D4753B" w:rsidRPr="006006B5">
        <w:rPr>
          <w:sz w:val="22"/>
          <w:szCs w:val="22"/>
        </w:rPr>
        <w:t xml:space="preserve"> without payment of tax</w:t>
      </w:r>
      <w:r w:rsidR="00B669C6" w:rsidRPr="006006B5">
        <w:rPr>
          <w:sz w:val="22"/>
          <w:szCs w:val="22"/>
        </w:rPr>
        <w:t>,</w:t>
      </w:r>
      <w:r w:rsidR="00D4753B" w:rsidRPr="006006B5">
        <w:rPr>
          <w:sz w:val="22"/>
          <w:szCs w:val="22"/>
        </w:rPr>
        <w:t xml:space="preserve"> made by the respondent.  </w:t>
      </w:r>
      <w:r w:rsidR="007E72BE" w:rsidRPr="006006B5">
        <w:rPr>
          <w:sz w:val="22"/>
          <w:szCs w:val="22"/>
        </w:rPr>
        <w:t xml:space="preserve">As far as TTB </w:t>
      </w:r>
      <w:r w:rsidR="00B669C6" w:rsidRPr="006006B5">
        <w:rPr>
          <w:sz w:val="22"/>
          <w:szCs w:val="22"/>
        </w:rPr>
        <w:t xml:space="preserve">can </w:t>
      </w:r>
      <w:r w:rsidR="007E72BE" w:rsidRPr="006006B5">
        <w:rPr>
          <w:sz w:val="22"/>
          <w:szCs w:val="22"/>
        </w:rPr>
        <w:t xml:space="preserve">determine, similar information </w:t>
      </w:r>
      <w:r w:rsidR="00B669C6" w:rsidRPr="006006B5">
        <w:rPr>
          <w:sz w:val="22"/>
          <w:szCs w:val="22"/>
        </w:rPr>
        <w:t xml:space="preserve">regarding such removals </w:t>
      </w:r>
      <w:r w:rsidR="007E72BE" w:rsidRPr="006006B5">
        <w:rPr>
          <w:sz w:val="22"/>
          <w:szCs w:val="22"/>
        </w:rPr>
        <w:t xml:space="preserve">is not available elsewhere. </w:t>
      </w:r>
    </w:p>
    <w:p w14:paraId="36B39976" w14:textId="77777777" w:rsidR="00533D2D" w:rsidRPr="006006B5" w:rsidRDefault="00533D2D" w:rsidP="00B95168">
      <w:pPr>
        <w:widowControl/>
        <w:rPr>
          <w:sz w:val="36"/>
          <w:szCs w:val="36"/>
        </w:rPr>
      </w:pPr>
    </w:p>
    <w:p w14:paraId="231308F4" w14:textId="77777777" w:rsidR="008820FE" w:rsidRPr="006006B5" w:rsidRDefault="008820FE" w:rsidP="00B95168">
      <w:pPr>
        <w:widowControl/>
        <w:suppressAutoHyphens/>
        <w:rPr>
          <w:i/>
          <w:sz w:val="22"/>
          <w:szCs w:val="22"/>
        </w:rPr>
      </w:pPr>
      <w:r w:rsidRPr="006006B5">
        <w:rPr>
          <w:i/>
          <w:sz w:val="22"/>
          <w:szCs w:val="22"/>
        </w:rPr>
        <w:t xml:space="preserve">5.  If this collection of information impacts small businesses or other small entities, what methods are used to minimize burden? </w:t>
      </w:r>
    </w:p>
    <w:p w14:paraId="2C4B3E40" w14:textId="77777777" w:rsidR="008820FE" w:rsidRPr="006006B5" w:rsidRDefault="008820FE" w:rsidP="00B95168">
      <w:pPr>
        <w:widowControl/>
        <w:suppressAutoHyphens/>
        <w:ind w:left="480" w:hanging="480"/>
        <w:rPr>
          <w:sz w:val="22"/>
          <w:szCs w:val="22"/>
        </w:rPr>
      </w:pPr>
    </w:p>
    <w:p w14:paraId="56E0E817" w14:textId="73086759" w:rsidR="002B24E2" w:rsidRPr="006006B5" w:rsidRDefault="002B24E2" w:rsidP="002B24E2">
      <w:pPr>
        <w:widowControl/>
        <w:suppressAutoHyphens/>
        <w:spacing w:line="240" w:lineRule="atLeast"/>
        <w:ind w:left="360"/>
        <w:rPr>
          <w:sz w:val="22"/>
          <w:szCs w:val="22"/>
        </w:rPr>
      </w:pPr>
      <w:r w:rsidRPr="006006B5">
        <w:rPr>
          <w:sz w:val="22"/>
          <w:szCs w:val="22"/>
        </w:rPr>
        <w:t>TTB requires a</w:t>
      </w:r>
      <w:r w:rsidR="007E72BE" w:rsidRPr="006006B5">
        <w:rPr>
          <w:sz w:val="22"/>
          <w:szCs w:val="22"/>
        </w:rPr>
        <w:t>ll entities, regardless of size, to provide th</w:t>
      </w:r>
      <w:r w:rsidR="0097639B" w:rsidRPr="006006B5">
        <w:rPr>
          <w:sz w:val="22"/>
          <w:szCs w:val="22"/>
        </w:rPr>
        <w:t>e required</w:t>
      </w:r>
      <w:r w:rsidR="007E72BE" w:rsidRPr="006006B5">
        <w:rPr>
          <w:sz w:val="22"/>
          <w:szCs w:val="22"/>
        </w:rPr>
        <w:t xml:space="preserve"> information </w:t>
      </w:r>
      <w:r w:rsidRPr="006006B5">
        <w:rPr>
          <w:sz w:val="22"/>
          <w:szCs w:val="22"/>
        </w:rPr>
        <w:t xml:space="preserve">concerning </w:t>
      </w:r>
      <w:r w:rsidR="00B669C6" w:rsidRPr="006006B5">
        <w:rPr>
          <w:sz w:val="22"/>
          <w:szCs w:val="22"/>
        </w:rPr>
        <w:t xml:space="preserve">removals of tobacco </w:t>
      </w:r>
      <w:r w:rsidR="005E6160" w:rsidRPr="006006B5">
        <w:rPr>
          <w:sz w:val="22"/>
          <w:szCs w:val="22"/>
        </w:rPr>
        <w:t>products and cigarette papers and tubes, without payment of tax,</w:t>
      </w:r>
      <w:r w:rsidR="00B95168" w:rsidRPr="006006B5">
        <w:rPr>
          <w:sz w:val="22"/>
          <w:szCs w:val="22"/>
        </w:rPr>
        <w:t xml:space="preserve"> in order</w:t>
      </w:r>
      <w:r w:rsidR="005E6160" w:rsidRPr="006006B5">
        <w:rPr>
          <w:sz w:val="22"/>
          <w:szCs w:val="22"/>
        </w:rPr>
        <w:t xml:space="preserve"> to </w:t>
      </w:r>
      <w:r w:rsidR="00B669C6" w:rsidRPr="006006B5">
        <w:rPr>
          <w:sz w:val="22"/>
          <w:szCs w:val="22"/>
        </w:rPr>
        <w:t xml:space="preserve">prevent diversion of </w:t>
      </w:r>
      <w:r w:rsidR="005E6160" w:rsidRPr="006006B5">
        <w:rPr>
          <w:sz w:val="22"/>
          <w:szCs w:val="22"/>
        </w:rPr>
        <w:t>such articles to otherwise taxable uses.  As such, w</w:t>
      </w:r>
      <w:r w:rsidR="007E72BE" w:rsidRPr="006006B5">
        <w:rPr>
          <w:sz w:val="22"/>
          <w:szCs w:val="22"/>
        </w:rPr>
        <w:t xml:space="preserve">aiver or reduction of this </w:t>
      </w:r>
      <w:r w:rsidR="005E6160" w:rsidRPr="006006B5">
        <w:rPr>
          <w:sz w:val="22"/>
          <w:szCs w:val="22"/>
        </w:rPr>
        <w:t xml:space="preserve">collection </w:t>
      </w:r>
      <w:r w:rsidR="007E72BE" w:rsidRPr="006006B5">
        <w:rPr>
          <w:sz w:val="22"/>
          <w:szCs w:val="22"/>
        </w:rPr>
        <w:t xml:space="preserve">requirement, simply because the respondent's business is small, </w:t>
      </w:r>
      <w:r w:rsidR="0097639B" w:rsidRPr="006006B5">
        <w:rPr>
          <w:sz w:val="22"/>
          <w:szCs w:val="22"/>
        </w:rPr>
        <w:t>w</w:t>
      </w:r>
      <w:r w:rsidR="007E72BE" w:rsidRPr="006006B5">
        <w:rPr>
          <w:sz w:val="22"/>
          <w:szCs w:val="22"/>
        </w:rPr>
        <w:t xml:space="preserve">ould jeopardize the Federal revenue. </w:t>
      </w:r>
      <w:r w:rsidRPr="006006B5">
        <w:rPr>
          <w:sz w:val="22"/>
          <w:szCs w:val="22"/>
        </w:rPr>
        <w:t xml:space="preserve"> In addition, TTB notes that respondents may request to use the alternative Monthly Summary Report in place of the per-removal reports made to TTB on TTB F 5200.14, which TTB believes reduces the burden of this collection request for all respondents. </w:t>
      </w:r>
    </w:p>
    <w:p w14:paraId="5B5E6FF8" w14:textId="77777777" w:rsidR="002B5ED1" w:rsidRPr="006006B5" w:rsidRDefault="002B5ED1" w:rsidP="00B95168">
      <w:pPr>
        <w:widowControl/>
        <w:tabs>
          <w:tab w:val="left" w:pos="540"/>
        </w:tabs>
        <w:ind w:left="540" w:hanging="540"/>
        <w:rPr>
          <w:sz w:val="36"/>
          <w:szCs w:val="36"/>
        </w:rPr>
      </w:pPr>
    </w:p>
    <w:p w14:paraId="50FA5941" w14:textId="06489DE2" w:rsidR="008820FE" w:rsidRPr="006006B5" w:rsidRDefault="008820FE" w:rsidP="00B95168">
      <w:pPr>
        <w:widowControl/>
        <w:suppressAutoHyphens/>
        <w:rPr>
          <w:i/>
          <w:sz w:val="22"/>
          <w:szCs w:val="22"/>
        </w:rPr>
      </w:pPr>
      <w:r w:rsidRPr="006006B5">
        <w:rPr>
          <w:i/>
          <w:sz w:val="22"/>
          <w:szCs w:val="22"/>
        </w:rPr>
        <w:t>6.  What consequences to Federal program</w:t>
      </w:r>
      <w:r w:rsidR="002B24E2" w:rsidRPr="006006B5">
        <w:rPr>
          <w:i/>
          <w:sz w:val="22"/>
          <w:szCs w:val="22"/>
        </w:rPr>
        <w:t xml:space="preserve"> </w:t>
      </w:r>
      <w:r w:rsidRPr="006006B5">
        <w:rPr>
          <w:i/>
          <w:sz w:val="22"/>
          <w:szCs w:val="22"/>
        </w:rPr>
        <w:t xml:space="preserve">or policy activities and what, if any, technical or legal obstacles to reducing burden will occur if this collection is not conducted or is conducted less frequently? </w:t>
      </w:r>
    </w:p>
    <w:p w14:paraId="2F3EFC7D" w14:textId="77777777" w:rsidR="008820FE" w:rsidRPr="006006B5" w:rsidRDefault="008820FE" w:rsidP="00B95168">
      <w:pPr>
        <w:widowControl/>
        <w:suppressAutoHyphens/>
        <w:ind w:left="480" w:hanging="480"/>
        <w:rPr>
          <w:sz w:val="22"/>
          <w:szCs w:val="22"/>
        </w:rPr>
      </w:pPr>
    </w:p>
    <w:p w14:paraId="1E691424" w14:textId="33008E5E" w:rsidR="007E72BE" w:rsidRPr="006006B5" w:rsidRDefault="00A31A29" w:rsidP="00B95168">
      <w:pPr>
        <w:widowControl/>
        <w:suppressAutoHyphens/>
        <w:spacing w:line="240" w:lineRule="atLeast"/>
        <w:ind w:left="360"/>
        <w:rPr>
          <w:bCs/>
          <w:sz w:val="22"/>
          <w:szCs w:val="22"/>
        </w:rPr>
      </w:pPr>
      <w:r w:rsidRPr="006006B5">
        <w:rPr>
          <w:bCs/>
          <w:sz w:val="22"/>
          <w:szCs w:val="22"/>
        </w:rPr>
        <w:t>TTB collects information regarding removals of tobacco products and cigarette papers and tubes</w:t>
      </w:r>
      <w:r w:rsidR="005E6160" w:rsidRPr="006006B5">
        <w:rPr>
          <w:bCs/>
          <w:sz w:val="22"/>
          <w:szCs w:val="22"/>
        </w:rPr>
        <w:t>,</w:t>
      </w:r>
      <w:r w:rsidRPr="006006B5">
        <w:rPr>
          <w:bCs/>
          <w:sz w:val="22"/>
          <w:szCs w:val="22"/>
        </w:rPr>
        <w:t xml:space="preserve"> without </w:t>
      </w:r>
      <w:r w:rsidR="0097639B" w:rsidRPr="006006B5">
        <w:rPr>
          <w:bCs/>
          <w:sz w:val="22"/>
          <w:szCs w:val="22"/>
        </w:rPr>
        <w:t xml:space="preserve">payment of </w:t>
      </w:r>
      <w:r w:rsidRPr="006006B5">
        <w:rPr>
          <w:bCs/>
          <w:sz w:val="22"/>
          <w:szCs w:val="22"/>
        </w:rPr>
        <w:t>tax</w:t>
      </w:r>
      <w:r w:rsidR="005E6160" w:rsidRPr="006006B5">
        <w:rPr>
          <w:bCs/>
          <w:sz w:val="22"/>
          <w:szCs w:val="22"/>
        </w:rPr>
        <w:t>,</w:t>
      </w:r>
      <w:r w:rsidRPr="006006B5">
        <w:rPr>
          <w:bCs/>
          <w:sz w:val="22"/>
          <w:szCs w:val="22"/>
        </w:rPr>
        <w:t xml:space="preserve"> </w:t>
      </w:r>
      <w:r w:rsidR="0061734C" w:rsidRPr="006006B5">
        <w:rPr>
          <w:bCs/>
          <w:sz w:val="22"/>
          <w:szCs w:val="22"/>
        </w:rPr>
        <w:t>to protect the revenue.  The required information allows TTB to account for such removals and assists TTB in preventing the diversion of such articles removed without payment of tax to otherwise taxable uses.  TTB requires respondents to provide the required information only when such removals are made, or, alternatively, on a monthly basis.  TTB</w:t>
      </w:r>
      <w:r w:rsidR="0097639B" w:rsidRPr="006006B5">
        <w:rPr>
          <w:bCs/>
          <w:sz w:val="22"/>
          <w:szCs w:val="22"/>
        </w:rPr>
        <w:t xml:space="preserve">As such, not collecting the required information, or collecting it less frequently, would pose a jeopardy to the revenue. </w:t>
      </w:r>
    </w:p>
    <w:p w14:paraId="40365C8E" w14:textId="77777777" w:rsidR="00533D2D" w:rsidRPr="006006B5" w:rsidRDefault="00533D2D" w:rsidP="00B95168">
      <w:pPr>
        <w:widowControl/>
        <w:tabs>
          <w:tab w:val="left" w:pos="540"/>
        </w:tabs>
        <w:ind w:left="540" w:hanging="540"/>
        <w:rPr>
          <w:sz w:val="36"/>
          <w:szCs w:val="36"/>
        </w:rPr>
      </w:pPr>
    </w:p>
    <w:p w14:paraId="00898543" w14:textId="77777777" w:rsidR="008820FE" w:rsidRPr="006006B5" w:rsidRDefault="008820FE" w:rsidP="00B95168">
      <w:pPr>
        <w:widowControl/>
        <w:suppressAutoHyphens/>
        <w:rPr>
          <w:i/>
          <w:sz w:val="22"/>
          <w:szCs w:val="22"/>
        </w:rPr>
      </w:pPr>
      <w:r w:rsidRPr="006006B5">
        <w:rPr>
          <w:i/>
          <w:sz w:val="22"/>
          <w:szCs w:val="22"/>
        </w:rPr>
        <w:t xml:space="preserve">7.  Are there any special circumstances associated with this information collection that would require it to be conducted in a manner inconsistent with OMB guidelines? </w:t>
      </w:r>
    </w:p>
    <w:p w14:paraId="36CA0E5E" w14:textId="45291D40" w:rsidR="008820FE" w:rsidRPr="006006B5" w:rsidRDefault="008820FE" w:rsidP="00B95168">
      <w:pPr>
        <w:widowControl/>
        <w:rPr>
          <w:sz w:val="22"/>
          <w:szCs w:val="22"/>
        </w:rPr>
      </w:pPr>
    </w:p>
    <w:p w14:paraId="2A8C1E1D" w14:textId="5230A1EC" w:rsidR="006C681D" w:rsidRPr="006006B5" w:rsidRDefault="006C681D" w:rsidP="006C681D">
      <w:pPr>
        <w:widowControl/>
        <w:ind w:left="360"/>
        <w:rPr>
          <w:sz w:val="22"/>
          <w:szCs w:val="22"/>
        </w:rPr>
      </w:pPr>
      <w:r w:rsidRPr="006006B5">
        <w:rPr>
          <w:sz w:val="22"/>
          <w:szCs w:val="22"/>
        </w:rPr>
        <w:t xml:space="preserve">Under 5 CFR 1320.5(d)(2)(i), requiring respondents to report information to an agency more often than quarterly is a special circumstance.  In the case of this information collection request, respondents must report removals of tobacco products and cigarette papers and tubes, without payment of tax, made for the purposes authorized by the IRC at 26 U.S.C. 5704(b) each time such a removal is made, or, alternatively, via a summary report submitted monthly to TTB.  TTB believes that this frequency of reporting is necessary to protect the revenue as the collected information allows TTB to account for such removals and it assists TTB in preventing the diversion of tobacco products and cigarette papers and tubes removed without payment of tax to otherwise taxable uses. </w:t>
      </w:r>
    </w:p>
    <w:p w14:paraId="14B30C18" w14:textId="77777777" w:rsidR="00533D2D" w:rsidRPr="006006B5" w:rsidRDefault="00533D2D" w:rsidP="00B95168">
      <w:pPr>
        <w:widowControl/>
        <w:tabs>
          <w:tab w:val="left" w:pos="540"/>
        </w:tabs>
        <w:ind w:left="540" w:hanging="540"/>
        <w:rPr>
          <w:sz w:val="36"/>
          <w:szCs w:val="36"/>
        </w:rPr>
      </w:pPr>
    </w:p>
    <w:p w14:paraId="33E3B8AE" w14:textId="77777777" w:rsidR="008820FE" w:rsidRPr="006006B5" w:rsidRDefault="008820FE" w:rsidP="00B95168">
      <w:pPr>
        <w:widowControl/>
        <w:rPr>
          <w:i/>
          <w:sz w:val="22"/>
          <w:szCs w:val="22"/>
        </w:rPr>
      </w:pPr>
      <w:r w:rsidRPr="006006B5">
        <w:rPr>
          <w:i/>
          <w:sz w:val="22"/>
          <w:szCs w:val="22"/>
        </w:rPr>
        <w:t xml:space="preserve">8.  What effort was made to notify the general public about this collection of information?  Summarize the public comments that were received and describe the action taken by the agency in response to those comments. </w:t>
      </w:r>
    </w:p>
    <w:p w14:paraId="4230C6E3" w14:textId="77777777" w:rsidR="008820FE" w:rsidRPr="006006B5" w:rsidRDefault="008820FE" w:rsidP="00B95168">
      <w:pPr>
        <w:widowControl/>
        <w:suppressAutoHyphens/>
        <w:rPr>
          <w:sz w:val="22"/>
          <w:szCs w:val="22"/>
        </w:rPr>
      </w:pPr>
    </w:p>
    <w:p w14:paraId="08DD39EE" w14:textId="77777777" w:rsidR="00A31A29" w:rsidRPr="006006B5" w:rsidRDefault="00A31A29" w:rsidP="00B95168">
      <w:pPr>
        <w:widowControl/>
        <w:autoSpaceDE/>
        <w:autoSpaceDN/>
        <w:adjustRightInd/>
        <w:ind w:left="360"/>
        <w:rPr>
          <w:sz w:val="22"/>
          <w:szCs w:val="22"/>
        </w:rPr>
      </w:pPr>
      <w:r w:rsidRPr="006006B5">
        <w:rPr>
          <w:sz w:val="22"/>
          <w:szCs w:val="22"/>
        </w:rPr>
        <w:t xml:space="preserve">To solicit comments from the general public, TTB published a “60-day” comment request notice for this information collection in the Federal Register on Friday, August 24, 2018, at 83 FR 42975.  TTB received no comments on this information collection. </w:t>
      </w:r>
    </w:p>
    <w:p w14:paraId="2309FF71" w14:textId="77777777" w:rsidR="008646E8" w:rsidRPr="006006B5" w:rsidRDefault="008646E8" w:rsidP="00B95168">
      <w:pPr>
        <w:widowControl/>
        <w:tabs>
          <w:tab w:val="left" w:pos="540"/>
        </w:tabs>
        <w:rPr>
          <w:sz w:val="36"/>
          <w:szCs w:val="36"/>
        </w:rPr>
      </w:pPr>
    </w:p>
    <w:p w14:paraId="519959C2" w14:textId="77777777" w:rsidR="008820FE" w:rsidRPr="006006B5" w:rsidRDefault="008820FE" w:rsidP="00B95168">
      <w:pPr>
        <w:widowControl/>
        <w:suppressAutoHyphens/>
        <w:rPr>
          <w:i/>
          <w:sz w:val="22"/>
          <w:szCs w:val="22"/>
        </w:rPr>
      </w:pPr>
      <w:r w:rsidRPr="006006B5">
        <w:rPr>
          <w:i/>
          <w:sz w:val="22"/>
          <w:szCs w:val="22"/>
        </w:rPr>
        <w:t xml:space="preserve">9.  Was any payment or gift given to respondents, other than remuneration of contractors or grantees?  If so, why? </w:t>
      </w:r>
    </w:p>
    <w:p w14:paraId="03153ACD" w14:textId="77777777" w:rsidR="008820FE" w:rsidRPr="006006B5" w:rsidRDefault="008820FE" w:rsidP="00B95168">
      <w:pPr>
        <w:widowControl/>
        <w:suppressAutoHyphens/>
        <w:rPr>
          <w:sz w:val="22"/>
          <w:szCs w:val="22"/>
        </w:rPr>
      </w:pPr>
    </w:p>
    <w:p w14:paraId="607D7D59" w14:textId="77777777" w:rsidR="00533D2D" w:rsidRPr="006006B5" w:rsidRDefault="00533D2D" w:rsidP="00B95168">
      <w:pPr>
        <w:widowControl/>
        <w:ind w:left="360"/>
        <w:rPr>
          <w:sz w:val="22"/>
          <w:szCs w:val="22"/>
        </w:rPr>
      </w:pPr>
      <w:r w:rsidRPr="006006B5">
        <w:rPr>
          <w:sz w:val="22"/>
          <w:szCs w:val="22"/>
        </w:rPr>
        <w:t>No payment or gift is associated with this collection.</w:t>
      </w:r>
      <w:r w:rsidR="00CB2A70" w:rsidRPr="006006B5">
        <w:rPr>
          <w:sz w:val="22"/>
          <w:szCs w:val="22"/>
        </w:rPr>
        <w:t xml:space="preserve"> </w:t>
      </w:r>
    </w:p>
    <w:p w14:paraId="493EA5FC" w14:textId="77777777" w:rsidR="00533D2D" w:rsidRPr="006006B5" w:rsidRDefault="00533D2D" w:rsidP="00B95168">
      <w:pPr>
        <w:widowControl/>
        <w:tabs>
          <w:tab w:val="left" w:pos="540"/>
        </w:tabs>
        <w:rPr>
          <w:sz w:val="36"/>
          <w:szCs w:val="36"/>
        </w:rPr>
      </w:pPr>
    </w:p>
    <w:p w14:paraId="03729F8C" w14:textId="77777777" w:rsidR="008820FE" w:rsidRPr="006006B5" w:rsidRDefault="008820FE" w:rsidP="00B95168">
      <w:pPr>
        <w:widowControl/>
        <w:suppressAutoHyphens/>
        <w:rPr>
          <w:i/>
          <w:sz w:val="22"/>
          <w:szCs w:val="22"/>
        </w:rPr>
      </w:pPr>
      <w:r w:rsidRPr="006006B5">
        <w:rPr>
          <w:i/>
          <w:sz w:val="22"/>
          <w:szCs w:val="22"/>
        </w:rPr>
        <w:t xml:space="preserve">10.  What assurance of confidentiality was provided to respondents, and what was the basis for the assurance in statute, regulations, or agency policy? </w:t>
      </w:r>
    </w:p>
    <w:p w14:paraId="5F5F8005" w14:textId="77777777" w:rsidR="008820FE" w:rsidRPr="006006B5" w:rsidRDefault="008820FE" w:rsidP="00B95168">
      <w:pPr>
        <w:widowControl/>
        <w:rPr>
          <w:sz w:val="22"/>
          <w:szCs w:val="22"/>
        </w:rPr>
      </w:pPr>
    </w:p>
    <w:p w14:paraId="5577A5C3" w14:textId="466A2A43" w:rsidR="00A31A29" w:rsidRPr="006006B5" w:rsidRDefault="00A31A29" w:rsidP="00B95168">
      <w:pPr>
        <w:widowControl/>
        <w:ind w:left="360"/>
        <w:rPr>
          <w:sz w:val="22"/>
          <w:szCs w:val="22"/>
        </w:rPr>
      </w:pPr>
      <w:r w:rsidRPr="006006B5">
        <w:rPr>
          <w:sz w:val="22"/>
          <w:szCs w:val="22"/>
        </w:rPr>
        <w:t>No specific assurance of confidentiality is provided on TTB F 5200.14</w:t>
      </w:r>
      <w:r w:rsidR="005E6160" w:rsidRPr="006006B5">
        <w:rPr>
          <w:sz w:val="22"/>
          <w:szCs w:val="22"/>
        </w:rPr>
        <w:t xml:space="preserve"> or for the related letterhead notices</w:t>
      </w:r>
      <w:r w:rsidRPr="006006B5">
        <w:rPr>
          <w:sz w:val="22"/>
          <w:szCs w:val="22"/>
        </w:rPr>
        <w:t xml:space="preserve">.  However, Federal law at 5 U.S.C. 552 protects the confidentiality of proprietary information obtained by the Government from regulated businesses and individuals.  In addition, the IRC at 26 U.S.C. 6103 prohibits disclosure of tax returns and related information, including that collected </w:t>
      </w:r>
      <w:r w:rsidR="005E6160" w:rsidRPr="006006B5">
        <w:rPr>
          <w:sz w:val="22"/>
          <w:szCs w:val="22"/>
        </w:rPr>
        <w:t>under this request</w:t>
      </w:r>
      <w:r w:rsidRPr="006006B5">
        <w:rPr>
          <w:sz w:val="22"/>
          <w:szCs w:val="22"/>
        </w:rPr>
        <w:t xml:space="preserve">, unless disclosure is specifically authorized by that section.  TTB maintains the collected information in secure file rooms and computer systems with controlled access. </w:t>
      </w:r>
    </w:p>
    <w:p w14:paraId="3118681F" w14:textId="77777777" w:rsidR="00533D2D" w:rsidRPr="006006B5" w:rsidRDefault="00533D2D" w:rsidP="00B95168">
      <w:pPr>
        <w:widowControl/>
        <w:rPr>
          <w:sz w:val="36"/>
          <w:szCs w:val="36"/>
        </w:rPr>
      </w:pPr>
    </w:p>
    <w:p w14:paraId="105F3FE9" w14:textId="77777777" w:rsidR="000112FC" w:rsidRPr="006006B5" w:rsidRDefault="000112FC" w:rsidP="00B95168">
      <w:pPr>
        <w:widowControl/>
        <w:rPr>
          <w:i/>
          <w:sz w:val="22"/>
          <w:szCs w:val="22"/>
        </w:rPr>
      </w:pPr>
      <w:r w:rsidRPr="006006B5">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31238E89" w14:textId="77777777" w:rsidR="000112FC" w:rsidRPr="006006B5" w:rsidRDefault="000112FC" w:rsidP="00B95168">
      <w:pPr>
        <w:widowControl/>
        <w:rPr>
          <w:sz w:val="22"/>
          <w:szCs w:val="22"/>
        </w:rPr>
      </w:pPr>
    </w:p>
    <w:p w14:paraId="2392670A" w14:textId="1F2DEC70" w:rsidR="00712084" w:rsidRPr="006006B5" w:rsidRDefault="00712084" w:rsidP="00B95168">
      <w:pPr>
        <w:widowControl/>
        <w:suppressAutoHyphens/>
        <w:ind w:left="360"/>
        <w:rPr>
          <w:sz w:val="22"/>
          <w:szCs w:val="22"/>
        </w:rPr>
      </w:pPr>
      <w:r w:rsidRPr="006006B5">
        <w:rPr>
          <w:sz w:val="22"/>
          <w:szCs w:val="22"/>
        </w:rPr>
        <w:t xml:space="preserve">This information collection </w:t>
      </w:r>
      <w:r w:rsidR="00C97167" w:rsidRPr="006006B5">
        <w:rPr>
          <w:sz w:val="22"/>
          <w:szCs w:val="22"/>
        </w:rPr>
        <w:t xml:space="preserve">request </w:t>
      </w:r>
      <w:r w:rsidRPr="006006B5">
        <w:rPr>
          <w:sz w:val="22"/>
          <w:szCs w:val="22"/>
        </w:rPr>
        <w:t xml:space="preserve">contains no questions of a sensitive nature.  In addition, this </w:t>
      </w:r>
      <w:r w:rsidR="00C97167" w:rsidRPr="006006B5">
        <w:rPr>
          <w:sz w:val="22"/>
          <w:szCs w:val="22"/>
        </w:rPr>
        <w:t xml:space="preserve">request </w:t>
      </w:r>
      <w:r w:rsidRPr="006006B5">
        <w:rPr>
          <w:sz w:val="22"/>
          <w:szCs w:val="22"/>
        </w:rPr>
        <w:t xml:space="preserve">does not collect personally identifiable information (PII) in an electronic system.  Therefore, no Privacy Impact Assessment (PIA) or System of Records Notice (SORN) is required for this collection. </w:t>
      </w:r>
    </w:p>
    <w:p w14:paraId="451AC90F" w14:textId="77777777" w:rsidR="00837B67" w:rsidRPr="006006B5" w:rsidRDefault="00837B67" w:rsidP="00B95168">
      <w:pPr>
        <w:widowControl/>
        <w:rPr>
          <w:sz w:val="36"/>
          <w:szCs w:val="36"/>
        </w:rPr>
      </w:pPr>
    </w:p>
    <w:p w14:paraId="2FA00AF5" w14:textId="49988E5B" w:rsidR="00DB0428" w:rsidRPr="006006B5" w:rsidRDefault="00DB0428" w:rsidP="00B95168">
      <w:pPr>
        <w:widowControl/>
        <w:suppressAutoHyphens/>
        <w:rPr>
          <w:i/>
          <w:sz w:val="22"/>
          <w:szCs w:val="22"/>
        </w:rPr>
      </w:pPr>
      <w:r w:rsidRPr="006006B5">
        <w:rPr>
          <w:i/>
          <w:sz w:val="22"/>
          <w:szCs w:val="22"/>
        </w:rPr>
        <w:t xml:space="preserve">12.  What is the estimated hour burden of this collection of information? </w:t>
      </w:r>
    </w:p>
    <w:p w14:paraId="29D12FEC" w14:textId="77777777" w:rsidR="00DB0428" w:rsidRPr="006006B5" w:rsidRDefault="00DB0428" w:rsidP="00B95168">
      <w:pPr>
        <w:widowControl/>
        <w:suppressAutoHyphens/>
        <w:rPr>
          <w:sz w:val="22"/>
          <w:szCs w:val="22"/>
        </w:rPr>
      </w:pPr>
    </w:p>
    <w:p w14:paraId="1CEF35BD" w14:textId="412A9141" w:rsidR="00C97167" w:rsidRPr="006006B5" w:rsidRDefault="00B7431D" w:rsidP="00B95168">
      <w:pPr>
        <w:widowControl/>
        <w:suppressAutoHyphens/>
        <w:spacing w:line="240" w:lineRule="atLeast"/>
        <w:ind w:left="360"/>
        <w:rPr>
          <w:sz w:val="22"/>
          <w:szCs w:val="22"/>
        </w:rPr>
      </w:pPr>
      <w:r w:rsidRPr="006006B5">
        <w:rPr>
          <w:sz w:val="22"/>
          <w:szCs w:val="22"/>
        </w:rPr>
        <w:t xml:space="preserve">Based on recent data, </w:t>
      </w:r>
      <w:r w:rsidR="003918CE" w:rsidRPr="006006B5">
        <w:rPr>
          <w:sz w:val="22"/>
          <w:szCs w:val="22"/>
        </w:rPr>
        <w:t xml:space="preserve">TTB estimates </w:t>
      </w:r>
      <w:r w:rsidR="00C97167" w:rsidRPr="006006B5">
        <w:rPr>
          <w:sz w:val="22"/>
          <w:szCs w:val="22"/>
        </w:rPr>
        <w:t xml:space="preserve">the </w:t>
      </w:r>
      <w:r w:rsidR="00560614" w:rsidRPr="006006B5">
        <w:rPr>
          <w:sz w:val="22"/>
          <w:szCs w:val="22"/>
        </w:rPr>
        <w:t xml:space="preserve">annual </w:t>
      </w:r>
      <w:r w:rsidR="00C97167" w:rsidRPr="006006B5">
        <w:rPr>
          <w:sz w:val="22"/>
          <w:szCs w:val="22"/>
        </w:rPr>
        <w:t xml:space="preserve">burden associated with this information collection request as follows: </w:t>
      </w:r>
    </w:p>
    <w:p w14:paraId="0BB21F7C" w14:textId="178BED38" w:rsidR="00B133FD" w:rsidRPr="006006B5" w:rsidRDefault="00B133FD" w:rsidP="00B95168">
      <w:pPr>
        <w:widowControl/>
        <w:suppressAutoHyphens/>
        <w:spacing w:line="240" w:lineRule="atLeast"/>
        <w:ind w:left="360"/>
        <w:rPr>
          <w:sz w:val="22"/>
          <w:szCs w:val="22"/>
        </w:rPr>
      </w:pPr>
    </w:p>
    <w:tbl>
      <w:tblPr>
        <w:tblStyle w:val="TableGrid1"/>
        <w:tblW w:w="9445" w:type="dxa"/>
        <w:jc w:val="center"/>
        <w:tblLayout w:type="fixed"/>
        <w:tblLook w:val="04A0" w:firstRow="1" w:lastRow="0" w:firstColumn="1" w:lastColumn="0" w:noHBand="0" w:noVBand="1"/>
      </w:tblPr>
      <w:tblGrid>
        <w:gridCol w:w="2474"/>
        <w:gridCol w:w="1388"/>
        <w:gridCol w:w="1487"/>
        <w:gridCol w:w="1289"/>
        <w:gridCol w:w="1277"/>
        <w:gridCol w:w="1530"/>
      </w:tblGrid>
      <w:tr w:rsidR="00143BAC" w:rsidRPr="006006B5" w14:paraId="2DCE5953" w14:textId="77777777" w:rsidTr="006C5FCC">
        <w:trPr>
          <w:trHeight w:val="1115"/>
          <w:jc w:val="center"/>
        </w:trPr>
        <w:tc>
          <w:tcPr>
            <w:tcW w:w="2474" w:type="dxa"/>
            <w:tcMar>
              <w:left w:w="29" w:type="dxa"/>
              <w:right w:w="29" w:type="dxa"/>
            </w:tcMar>
            <w:vAlign w:val="center"/>
          </w:tcPr>
          <w:p w14:paraId="7C87876A" w14:textId="38135F46" w:rsidR="00143BAC" w:rsidRPr="006006B5" w:rsidRDefault="00143BAC" w:rsidP="00CC31C2">
            <w:pPr>
              <w:widowControl/>
              <w:autoSpaceDE/>
              <w:autoSpaceDN/>
              <w:adjustRightInd/>
              <w:jc w:val="center"/>
              <w:rPr>
                <w:b/>
              </w:rPr>
            </w:pPr>
            <w:r w:rsidRPr="006006B5">
              <w:rPr>
                <w:b/>
              </w:rPr>
              <w:br w:type="page"/>
            </w:r>
            <w:r w:rsidRPr="006006B5">
              <w:rPr>
                <w:b/>
              </w:rPr>
              <w:br w:type="page"/>
            </w:r>
            <w:r w:rsidR="00CC31C2" w:rsidRPr="006006B5">
              <w:rPr>
                <w:b/>
              </w:rPr>
              <w:t xml:space="preserve">Information Collection </w:t>
            </w:r>
          </w:p>
        </w:tc>
        <w:tc>
          <w:tcPr>
            <w:tcW w:w="1388" w:type="dxa"/>
            <w:tcMar>
              <w:left w:w="29" w:type="dxa"/>
              <w:right w:w="29" w:type="dxa"/>
            </w:tcMar>
            <w:vAlign w:val="center"/>
          </w:tcPr>
          <w:p w14:paraId="7662E132" w14:textId="4F1814A8" w:rsidR="00143BAC" w:rsidRPr="006006B5" w:rsidRDefault="00143BAC" w:rsidP="00560614">
            <w:pPr>
              <w:widowControl/>
              <w:autoSpaceDE/>
              <w:autoSpaceDN/>
              <w:adjustRightInd/>
              <w:jc w:val="center"/>
              <w:rPr>
                <w:b/>
              </w:rPr>
            </w:pPr>
            <w:r w:rsidRPr="006006B5">
              <w:rPr>
                <w:b/>
              </w:rPr>
              <w:t>No. of  Respondents</w:t>
            </w:r>
          </w:p>
        </w:tc>
        <w:tc>
          <w:tcPr>
            <w:tcW w:w="1487" w:type="dxa"/>
            <w:tcMar>
              <w:left w:w="29" w:type="dxa"/>
              <w:right w:w="29" w:type="dxa"/>
            </w:tcMar>
            <w:vAlign w:val="center"/>
          </w:tcPr>
          <w:p w14:paraId="4A662663" w14:textId="516A2A19" w:rsidR="00143BAC" w:rsidRPr="006006B5" w:rsidRDefault="00143BAC" w:rsidP="00560614">
            <w:pPr>
              <w:widowControl/>
              <w:autoSpaceDE/>
              <w:autoSpaceDN/>
              <w:adjustRightInd/>
              <w:jc w:val="center"/>
              <w:rPr>
                <w:b/>
              </w:rPr>
            </w:pPr>
            <w:r w:rsidRPr="006006B5">
              <w:rPr>
                <w:b/>
              </w:rPr>
              <w:t>Av</w:t>
            </w:r>
            <w:r w:rsidR="00560614" w:rsidRPr="006006B5">
              <w:rPr>
                <w:b/>
              </w:rPr>
              <w:t>g</w:t>
            </w:r>
            <w:r w:rsidRPr="006006B5">
              <w:rPr>
                <w:b/>
              </w:rPr>
              <w:t xml:space="preserve">. </w:t>
            </w:r>
            <w:r w:rsidR="00560614" w:rsidRPr="006006B5">
              <w:rPr>
                <w:b/>
              </w:rPr>
              <w:t xml:space="preserve">No. of </w:t>
            </w:r>
            <w:r w:rsidRPr="006006B5">
              <w:rPr>
                <w:b/>
              </w:rPr>
              <w:t xml:space="preserve">Responses </w:t>
            </w:r>
            <w:r w:rsidR="00560614" w:rsidRPr="006006B5">
              <w:rPr>
                <w:b/>
              </w:rPr>
              <w:t xml:space="preserve">/ </w:t>
            </w:r>
            <w:r w:rsidRPr="006006B5">
              <w:rPr>
                <w:b/>
              </w:rPr>
              <w:t>Respondent</w:t>
            </w:r>
          </w:p>
        </w:tc>
        <w:tc>
          <w:tcPr>
            <w:tcW w:w="1289" w:type="dxa"/>
            <w:tcMar>
              <w:left w:w="29" w:type="dxa"/>
              <w:right w:w="29" w:type="dxa"/>
            </w:tcMar>
            <w:vAlign w:val="center"/>
          </w:tcPr>
          <w:p w14:paraId="4BDB7B1B" w14:textId="5F544335" w:rsidR="00143BAC" w:rsidRPr="006006B5" w:rsidRDefault="00143BAC" w:rsidP="00560614">
            <w:pPr>
              <w:widowControl/>
              <w:autoSpaceDE/>
              <w:autoSpaceDN/>
              <w:adjustRightInd/>
              <w:jc w:val="center"/>
              <w:rPr>
                <w:b/>
              </w:rPr>
            </w:pPr>
            <w:r w:rsidRPr="006006B5">
              <w:rPr>
                <w:b/>
              </w:rPr>
              <w:t>No. of Responses</w:t>
            </w:r>
          </w:p>
        </w:tc>
        <w:tc>
          <w:tcPr>
            <w:tcW w:w="1277" w:type="dxa"/>
            <w:tcMar>
              <w:left w:w="29" w:type="dxa"/>
              <w:right w:w="29" w:type="dxa"/>
            </w:tcMar>
            <w:vAlign w:val="center"/>
          </w:tcPr>
          <w:p w14:paraId="3E0E9E2A" w14:textId="77777777" w:rsidR="00143BAC" w:rsidRPr="006006B5" w:rsidRDefault="00143BAC" w:rsidP="00143BAC">
            <w:pPr>
              <w:widowControl/>
              <w:autoSpaceDE/>
              <w:autoSpaceDN/>
              <w:adjustRightInd/>
              <w:jc w:val="center"/>
              <w:rPr>
                <w:b/>
              </w:rPr>
            </w:pPr>
            <w:r w:rsidRPr="006006B5">
              <w:rPr>
                <w:b/>
              </w:rPr>
              <w:t>Time Burden Per Response</w:t>
            </w:r>
          </w:p>
        </w:tc>
        <w:tc>
          <w:tcPr>
            <w:tcW w:w="1530" w:type="dxa"/>
            <w:tcMar>
              <w:left w:w="29" w:type="dxa"/>
              <w:right w:w="29" w:type="dxa"/>
            </w:tcMar>
            <w:vAlign w:val="center"/>
          </w:tcPr>
          <w:p w14:paraId="51D6858D" w14:textId="5D6D130F" w:rsidR="00143BAC" w:rsidRPr="006006B5" w:rsidRDefault="00143BAC" w:rsidP="00560614">
            <w:pPr>
              <w:widowControl/>
              <w:autoSpaceDE/>
              <w:autoSpaceDN/>
              <w:adjustRightInd/>
              <w:jc w:val="center"/>
              <w:rPr>
                <w:b/>
              </w:rPr>
            </w:pPr>
            <w:r w:rsidRPr="006006B5">
              <w:rPr>
                <w:b/>
              </w:rPr>
              <w:t>Total Estimated Burden</w:t>
            </w:r>
            <w:r w:rsidR="006C5FCC" w:rsidRPr="006006B5">
              <w:rPr>
                <w:b/>
              </w:rPr>
              <w:t xml:space="preserve"> Hours</w:t>
            </w:r>
          </w:p>
        </w:tc>
      </w:tr>
      <w:tr w:rsidR="00B133FD" w:rsidRPr="006006B5" w14:paraId="0C1604D9" w14:textId="77777777" w:rsidTr="006C5FCC">
        <w:trPr>
          <w:trHeight w:val="576"/>
          <w:jc w:val="center"/>
        </w:trPr>
        <w:tc>
          <w:tcPr>
            <w:tcW w:w="2474" w:type="dxa"/>
            <w:tcMar>
              <w:left w:w="29" w:type="dxa"/>
              <w:right w:w="29" w:type="dxa"/>
            </w:tcMar>
            <w:vAlign w:val="center"/>
          </w:tcPr>
          <w:p w14:paraId="1F6C8F04" w14:textId="5E81E71E" w:rsidR="00B133FD" w:rsidRPr="006006B5" w:rsidRDefault="00CC31C2" w:rsidP="00CC31C2">
            <w:pPr>
              <w:widowControl/>
              <w:autoSpaceDE/>
              <w:autoSpaceDN/>
              <w:adjustRightInd/>
              <w:jc w:val="center"/>
            </w:pPr>
            <w:r w:rsidRPr="006006B5">
              <w:t xml:space="preserve">Removal Reports Submitted on </w:t>
            </w:r>
            <w:r w:rsidR="00B133FD" w:rsidRPr="006006B5">
              <w:t>TTB F</w:t>
            </w:r>
            <w:r w:rsidRPr="006006B5">
              <w:t> </w:t>
            </w:r>
            <w:r w:rsidR="00B133FD" w:rsidRPr="006006B5">
              <w:t>5200.14</w:t>
            </w:r>
          </w:p>
        </w:tc>
        <w:tc>
          <w:tcPr>
            <w:tcW w:w="1388" w:type="dxa"/>
            <w:tcMar>
              <w:left w:w="29" w:type="dxa"/>
              <w:right w:w="29" w:type="dxa"/>
            </w:tcMar>
            <w:vAlign w:val="center"/>
          </w:tcPr>
          <w:p w14:paraId="22B75B48" w14:textId="7F891B78" w:rsidR="00B133FD" w:rsidRPr="006006B5" w:rsidRDefault="00653974" w:rsidP="00653974">
            <w:pPr>
              <w:widowControl/>
              <w:autoSpaceDE/>
              <w:autoSpaceDN/>
              <w:adjustRightInd/>
              <w:jc w:val="center"/>
            </w:pPr>
            <w:r w:rsidRPr="006006B5">
              <w:t>2</w:t>
            </w:r>
            <w:r w:rsidR="00B133FD" w:rsidRPr="006006B5">
              <w:t>00</w:t>
            </w:r>
          </w:p>
        </w:tc>
        <w:tc>
          <w:tcPr>
            <w:tcW w:w="1487" w:type="dxa"/>
            <w:tcMar>
              <w:left w:w="29" w:type="dxa"/>
              <w:right w:w="29" w:type="dxa"/>
            </w:tcMar>
            <w:vAlign w:val="center"/>
          </w:tcPr>
          <w:p w14:paraId="6F358FED" w14:textId="7949A450" w:rsidR="00B133FD" w:rsidRPr="006006B5" w:rsidRDefault="00B133FD" w:rsidP="00143BAC">
            <w:pPr>
              <w:widowControl/>
              <w:autoSpaceDE/>
              <w:autoSpaceDN/>
              <w:adjustRightInd/>
              <w:jc w:val="center"/>
            </w:pPr>
            <w:r w:rsidRPr="006006B5">
              <w:t>24</w:t>
            </w:r>
          </w:p>
        </w:tc>
        <w:tc>
          <w:tcPr>
            <w:tcW w:w="1289" w:type="dxa"/>
            <w:tcMar>
              <w:left w:w="29" w:type="dxa"/>
              <w:right w:w="29" w:type="dxa"/>
            </w:tcMar>
            <w:vAlign w:val="center"/>
          </w:tcPr>
          <w:p w14:paraId="74DF6ED5" w14:textId="43824955" w:rsidR="00B133FD" w:rsidRPr="006006B5" w:rsidRDefault="00653974" w:rsidP="00653974">
            <w:pPr>
              <w:widowControl/>
              <w:autoSpaceDE/>
              <w:autoSpaceDN/>
              <w:adjustRightInd/>
              <w:jc w:val="center"/>
            </w:pPr>
            <w:r w:rsidRPr="006006B5">
              <w:t>4,8</w:t>
            </w:r>
            <w:r w:rsidR="00B133FD" w:rsidRPr="006006B5">
              <w:t>00</w:t>
            </w:r>
          </w:p>
        </w:tc>
        <w:tc>
          <w:tcPr>
            <w:tcW w:w="1277" w:type="dxa"/>
            <w:tcMar>
              <w:left w:w="29" w:type="dxa"/>
              <w:right w:w="29" w:type="dxa"/>
            </w:tcMar>
            <w:vAlign w:val="center"/>
          </w:tcPr>
          <w:p w14:paraId="3AABC569" w14:textId="08187266" w:rsidR="00B133FD" w:rsidRPr="006006B5" w:rsidRDefault="00B133FD" w:rsidP="00143BAC">
            <w:pPr>
              <w:widowControl/>
              <w:autoSpaceDE/>
              <w:autoSpaceDN/>
              <w:adjustRightInd/>
              <w:jc w:val="center"/>
            </w:pPr>
            <w:r w:rsidRPr="006006B5">
              <w:t>1.0 hour</w:t>
            </w:r>
          </w:p>
        </w:tc>
        <w:tc>
          <w:tcPr>
            <w:tcW w:w="1530" w:type="dxa"/>
            <w:tcMar>
              <w:left w:w="29" w:type="dxa"/>
              <w:right w:w="29" w:type="dxa"/>
            </w:tcMar>
            <w:vAlign w:val="center"/>
          </w:tcPr>
          <w:p w14:paraId="6AC11380" w14:textId="41FF2222" w:rsidR="00B133FD" w:rsidRPr="006006B5" w:rsidRDefault="00653974" w:rsidP="00143BAC">
            <w:pPr>
              <w:widowControl/>
              <w:autoSpaceDE/>
              <w:autoSpaceDN/>
              <w:adjustRightInd/>
              <w:jc w:val="center"/>
            </w:pPr>
            <w:r w:rsidRPr="006006B5">
              <w:t>4,8</w:t>
            </w:r>
            <w:r w:rsidR="00B133FD" w:rsidRPr="006006B5">
              <w:t>00</w:t>
            </w:r>
          </w:p>
        </w:tc>
      </w:tr>
      <w:tr w:rsidR="00CC31C2" w:rsidRPr="006006B5" w14:paraId="0CDC0009" w14:textId="77777777" w:rsidTr="006C5FCC">
        <w:trPr>
          <w:trHeight w:val="576"/>
          <w:jc w:val="center"/>
        </w:trPr>
        <w:tc>
          <w:tcPr>
            <w:tcW w:w="2474" w:type="dxa"/>
            <w:tcMar>
              <w:left w:w="29" w:type="dxa"/>
              <w:right w:w="29" w:type="dxa"/>
            </w:tcMar>
            <w:vAlign w:val="center"/>
          </w:tcPr>
          <w:p w14:paraId="388DE54B" w14:textId="50F25007" w:rsidR="00CC31C2" w:rsidRPr="006006B5" w:rsidRDefault="00CC31C2" w:rsidP="00143BAC">
            <w:pPr>
              <w:widowControl/>
              <w:autoSpaceDE/>
              <w:autoSpaceDN/>
              <w:adjustRightInd/>
              <w:jc w:val="center"/>
            </w:pPr>
            <w:r w:rsidRPr="006006B5">
              <w:t>Monthly Summary Report (Alternate Procedure)</w:t>
            </w:r>
          </w:p>
        </w:tc>
        <w:tc>
          <w:tcPr>
            <w:tcW w:w="1388" w:type="dxa"/>
            <w:tcMar>
              <w:left w:w="29" w:type="dxa"/>
              <w:right w:w="29" w:type="dxa"/>
            </w:tcMar>
            <w:vAlign w:val="center"/>
          </w:tcPr>
          <w:p w14:paraId="36A23055" w14:textId="0A18F550" w:rsidR="00CC31C2" w:rsidRPr="006006B5" w:rsidRDefault="00CC31C2" w:rsidP="00143BAC">
            <w:pPr>
              <w:widowControl/>
              <w:autoSpaceDE/>
              <w:autoSpaceDN/>
              <w:adjustRightInd/>
              <w:jc w:val="center"/>
            </w:pPr>
            <w:r w:rsidRPr="006006B5">
              <w:t>80</w:t>
            </w:r>
          </w:p>
        </w:tc>
        <w:tc>
          <w:tcPr>
            <w:tcW w:w="1487" w:type="dxa"/>
            <w:tcMar>
              <w:left w:w="29" w:type="dxa"/>
              <w:right w:w="29" w:type="dxa"/>
            </w:tcMar>
            <w:vAlign w:val="center"/>
          </w:tcPr>
          <w:p w14:paraId="07250EAA" w14:textId="2C3FD663" w:rsidR="00CC31C2" w:rsidRPr="006006B5" w:rsidRDefault="00CC31C2" w:rsidP="00143BAC">
            <w:pPr>
              <w:widowControl/>
              <w:autoSpaceDE/>
              <w:autoSpaceDN/>
              <w:adjustRightInd/>
              <w:jc w:val="center"/>
            </w:pPr>
            <w:r w:rsidRPr="006006B5">
              <w:t>12</w:t>
            </w:r>
          </w:p>
        </w:tc>
        <w:tc>
          <w:tcPr>
            <w:tcW w:w="1289" w:type="dxa"/>
            <w:tcMar>
              <w:left w:w="29" w:type="dxa"/>
              <w:right w:w="29" w:type="dxa"/>
            </w:tcMar>
            <w:vAlign w:val="center"/>
          </w:tcPr>
          <w:p w14:paraId="33B044CF" w14:textId="6E643D2C" w:rsidR="00CC31C2" w:rsidRPr="006006B5" w:rsidRDefault="00CC31C2" w:rsidP="00143BAC">
            <w:pPr>
              <w:widowControl/>
              <w:autoSpaceDE/>
              <w:autoSpaceDN/>
              <w:adjustRightInd/>
              <w:jc w:val="center"/>
            </w:pPr>
            <w:r w:rsidRPr="006006B5">
              <w:t>960</w:t>
            </w:r>
          </w:p>
        </w:tc>
        <w:tc>
          <w:tcPr>
            <w:tcW w:w="1277" w:type="dxa"/>
            <w:tcMar>
              <w:left w:w="29" w:type="dxa"/>
              <w:right w:w="29" w:type="dxa"/>
            </w:tcMar>
            <w:vAlign w:val="center"/>
          </w:tcPr>
          <w:p w14:paraId="0C4C83C2" w14:textId="698869E5" w:rsidR="00CC31C2" w:rsidRPr="006006B5" w:rsidRDefault="00CC31C2" w:rsidP="00143BAC">
            <w:pPr>
              <w:widowControl/>
              <w:autoSpaceDE/>
              <w:autoSpaceDN/>
              <w:adjustRightInd/>
              <w:jc w:val="center"/>
            </w:pPr>
            <w:r w:rsidRPr="006006B5">
              <w:t>7.0 hours*</w:t>
            </w:r>
          </w:p>
        </w:tc>
        <w:tc>
          <w:tcPr>
            <w:tcW w:w="1530" w:type="dxa"/>
            <w:tcMar>
              <w:left w:w="29" w:type="dxa"/>
              <w:right w:w="29" w:type="dxa"/>
            </w:tcMar>
            <w:vAlign w:val="center"/>
          </w:tcPr>
          <w:p w14:paraId="6E6752AF" w14:textId="5239188B" w:rsidR="00CC31C2" w:rsidRPr="006006B5" w:rsidRDefault="00CC31C2" w:rsidP="00143BAC">
            <w:pPr>
              <w:widowControl/>
              <w:autoSpaceDE/>
              <w:autoSpaceDN/>
              <w:adjustRightInd/>
              <w:jc w:val="center"/>
            </w:pPr>
            <w:r w:rsidRPr="006006B5">
              <w:t xml:space="preserve">6,720 </w:t>
            </w:r>
          </w:p>
        </w:tc>
      </w:tr>
      <w:tr w:rsidR="00CC31C2" w:rsidRPr="006006B5" w14:paraId="61ABDFBA" w14:textId="77777777" w:rsidTr="006C5FCC">
        <w:trPr>
          <w:trHeight w:val="576"/>
          <w:jc w:val="center"/>
        </w:trPr>
        <w:tc>
          <w:tcPr>
            <w:tcW w:w="2474" w:type="dxa"/>
            <w:tcMar>
              <w:left w:w="29" w:type="dxa"/>
              <w:right w:w="29" w:type="dxa"/>
            </w:tcMar>
            <w:vAlign w:val="center"/>
          </w:tcPr>
          <w:p w14:paraId="6EFA0181" w14:textId="7E24262F" w:rsidR="00CC31C2" w:rsidRPr="006006B5" w:rsidRDefault="006C5FCC" w:rsidP="00143BAC">
            <w:pPr>
              <w:widowControl/>
              <w:autoSpaceDE/>
              <w:autoSpaceDN/>
              <w:adjustRightInd/>
              <w:jc w:val="center"/>
            </w:pPr>
            <w:r w:rsidRPr="006006B5">
              <w:t>Letterhead Applications and Notices</w:t>
            </w:r>
          </w:p>
        </w:tc>
        <w:tc>
          <w:tcPr>
            <w:tcW w:w="1388" w:type="dxa"/>
            <w:tcMar>
              <w:left w:w="29" w:type="dxa"/>
              <w:right w:w="29" w:type="dxa"/>
            </w:tcMar>
            <w:vAlign w:val="center"/>
          </w:tcPr>
          <w:p w14:paraId="0818A076" w14:textId="45A0AF85" w:rsidR="00CC31C2" w:rsidRPr="006006B5" w:rsidRDefault="006C5FCC" w:rsidP="00143BAC">
            <w:pPr>
              <w:widowControl/>
              <w:autoSpaceDE/>
              <w:autoSpaceDN/>
              <w:adjustRightInd/>
              <w:jc w:val="center"/>
            </w:pPr>
            <w:r w:rsidRPr="006006B5">
              <w:t>12</w:t>
            </w:r>
          </w:p>
        </w:tc>
        <w:tc>
          <w:tcPr>
            <w:tcW w:w="1487" w:type="dxa"/>
            <w:tcMar>
              <w:left w:w="29" w:type="dxa"/>
              <w:right w:w="29" w:type="dxa"/>
            </w:tcMar>
            <w:vAlign w:val="center"/>
          </w:tcPr>
          <w:p w14:paraId="33D0863E" w14:textId="1BE21275" w:rsidR="00CC31C2" w:rsidRPr="006006B5" w:rsidRDefault="006C5FCC" w:rsidP="00143BAC">
            <w:pPr>
              <w:widowControl/>
              <w:autoSpaceDE/>
              <w:autoSpaceDN/>
              <w:adjustRightInd/>
              <w:jc w:val="center"/>
            </w:pPr>
            <w:r w:rsidRPr="006006B5">
              <w:t>1</w:t>
            </w:r>
          </w:p>
        </w:tc>
        <w:tc>
          <w:tcPr>
            <w:tcW w:w="1289" w:type="dxa"/>
            <w:tcMar>
              <w:left w:w="29" w:type="dxa"/>
              <w:right w:w="29" w:type="dxa"/>
            </w:tcMar>
            <w:vAlign w:val="center"/>
          </w:tcPr>
          <w:p w14:paraId="61BAB4EA" w14:textId="69E77131" w:rsidR="00CC31C2" w:rsidRPr="006006B5" w:rsidRDefault="006C5FCC" w:rsidP="00143BAC">
            <w:pPr>
              <w:widowControl/>
              <w:autoSpaceDE/>
              <w:autoSpaceDN/>
              <w:adjustRightInd/>
              <w:jc w:val="center"/>
            </w:pPr>
            <w:r w:rsidRPr="006006B5">
              <w:t>12**</w:t>
            </w:r>
          </w:p>
        </w:tc>
        <w:tc>
          <w:tcPr>
            <w:tcW w:w="1277" w:type="dxa"/>
            <w:tcMar>
              <w:left w:w="29" w:type="dxa"/>
              <w:right w:w="29" w:type="dxa"/>
            </w:tcMar>
            <w:vAlign w:val="center"/>
          </w:tcPr>
          <w:p w14:paraId="52BB5E48" w14:textId="65B031B7" w:rsidR="00CC31C2" w:rsidRPr="006006B5" w:rsidRDefault="006C5FCC" w:rsidP="00143BAC">
            <w:pPr>
              <w:widowControl/>
              <w:autoSpaceDE/>
              <w:autoSpaceDN/>
              <w:adjustRightInd/>
              <w:jc w:val="center"/>
            </w:pPr>
            <w:r w:rsidRPr="006006B5">
              <w:t>1.0 hour</w:t>
            </w:r>
          </w:p>
        </w:tc>
        <w:tc>
          <w:tcPr>
            <w:tcW w:w="1530" w:type="dxa"/>
            <w:tcMar>
              <w:left w:w="29" w:type="dxa"/>
              <w:right w:w="29" w:type="dxa"/>
            </w:tcMar>
            <w:vAlign w:val="center"/>
          </w:tcPr>
          <w:p w14:paraId="791CD1DC" w14:textId="34BB3147" w:rsidR="00CC31C2" w:rsidRPr="006006B5" w:rsidRDefault="006C5FCC" w:rsidP="00143BAC">
            <w:pPr>
              <w:widowControl/>
              <w:autoSpaceDE/>
              <w:autoSpaceDN/>
              <w:adjustRightInd/>
              <w:jc w:val="center"/>
            </w:pPr>
            <w:r w:rsidRPr="006006B5">
              <w:t xml:space="preserve">12 </w:t>
            </w:r>
          </w:p>
        </w:tc>
      </w:tr>
      <w:tr w:rsidR="00143BAC" w:rsidRPr="006006B5" w14:paraId="5BFE6853" w14:textId="77777777" w:rsidTr="006C5FCC">
        <w:trPr>
          <w:trHeight w:val="576"/>
          <w:jc w:val="center"/>
        </w:trPr>
        <w:tc>
          <w:tcPr>
            <w:tcW w:w="2474" w:type="dxa"/>
            <w:tcMar>
              <w:left w:w="29" w:type="dxa"/>
              <w:right w:w="29" w:type="dxa"/>
            </w:tcMar>
            <w:vAlign w:val="center"/>
          </w:tcPr>
          <w:p w14:paraId="3E2C03A1" w14:textId="77777777" w:rsidR="00143BAC" w:rsidRPr="006006B5" w:rsidRDefault="00143BAC" w:rsidP="00143BAC">
            <w:pPr>
              <w:widowControl/>
              <w:autoSpaceDE/>
              <w:autoSpaceDN/>
              <w:adjustRightInd/>
              <w:jc w:val="center"/>
              <w:rPr>
                <w:b/>
                <w:sz w:val="22"/>
                <w:szCs w:val="22"/>
              </w:rPr>
            </w:pPr>
            <w:r w:rsidRPr="006006B5">
              <w:rPr>
                <w:b/>
                <w:sz w:val="22"/>
                <w:szCs w:val="22"/>
              </w:rPr>
              <w:t xml:space="preserve">TOTALS </w:t>
            </w:r>
          </w:p>
        </w:tc>
        <w:tc>
          <w:tcPr>
            <w:tcW w:w="1388" w:type="dxa"/>
            <w:tcMar>
              <w:left w:w="29" w:type="dxa"/>
              <w:right w:w="29" w:type="dxa"/>
            </w:tcMar>
            <w:vAlign w:val="center"/>
          </w:tcPr>
          <w:p w14:paraId="39940A49" w14:textId="5414C130" w:rsidR="00143BAC" w:rsidRPr="006006B5" w:rsidRDefault="00B133FD" w:rsidP="006C5FCC">
            <w:pPr>
              <w:widowControl/>
              <w:autoSpaceDE/>
              <w:autoSpaceDN/>
              <w:adjustRightInd/>
              <w:jc w:val="center"/>
              <w:rPr>
                <w:b/>
                <w:sz w:val="22"/>
                <w:szCs w:val="22"/>
              </w:rPr>
            </w:pPr>
            <w:r w:rsidRPr="006006B5">
              <w:rPr>
                <w:b/>
                <w:sz w:val="22"/>
                <w:szCs w:val="22"/>
              </w:rPr>
              <w:t>2</w:t>
            </w:r>
            <w:r w:rsidR="006C5FCC" w:rsidRPr="006006B5">
              <w:rPr>
                <w:b/>
                <w:sz w:val="22"/>
                <w:szCs w:val="22"/>
              </w:rPr>
              <w:t>92</w:t>
            </w:r>
          </w:p>
        </w:tc>
        <w:tc>
          <w:tcPr>
            <w:tcW w:w="1487" w:type="dxa"/>
            <w:tcMar>
              <w:left w:w="29" w:type="dxa"/>
              <w:right w:w="29" w:type="dxa"/>
            </w:tcMar>
            <w:vAlign w:val="center"/>
          </w:tcPr>
          <w:p w14:paraId="7F5B6157" w14:textId="5ED11EEF" w:rsidR="00143BAC" w:rsidRPr="006006B5" w:rsidRDefault="006C5FCC" w:rsidP="00694B0B">
            <w:pPr>
              <w:widowControl/>
              <w:autoSpaceDE/>
              <w:autoSpaceDN/>
              <w:adjustRightInd/>
              <w:jc w:val="center"/>
              <w:rPr>
                <w:b/>
                <w:sz w:val="16"/>
                <w:szCs w:val="16"/>
              </w:rPr>
            </w:pPr>
            <w:r w:rsidRPr="006006B5">
              <w:rPr>
                <w:b/>
                <w:sz w:val="16"/>
                <w:szCs w:val="16"/>
              </w:rPr>
              <w:t>(Avg. 19.767)</w:t>
            </w:r>
          </w:p>
        </w:tc>
        <w:tc>
          <w:tcPr>
            <w:tcW w:w="1289" w:type="dxa"/>
            <w:tcMar>
              <w:left w:w="29" w:type="dxa"/>
              <w:right w:w="29" w:type="dxa"/>
            </w:tcMar>
            <w:vAlign w:val="center"/>
          </w:tcPr>
          <w:p w14:paraId="6FB24A1A" w14:textId="6C7D75D6" w:rsidR="00143BAC" w:rsidRPr="006006B5" w:rsidRDefault="006C5FCC" w:rsidP="00143BAC">
            <w:pPr>
              <w:widowControl/>
              <w:autoSpaceDE/>
              <w:autoSpaceDN/>
              <w:adjustRightInd/>
              <w:jc w:val="center"/>
              <w:rPr>
                <w:b/>
                <w:sz w:val="22"/>
                <w:szCs w:val="22"/>
              </w:rPr>
            </w:pPr>
            <w:r w:rsidRPr="006006B5">
              <w:rPr>
                <w:b/>
                <w:sz w:val="22"/>
                <w:szCs w:val="22"/>
              </w:rPr>
              <w:t>5,772</w:t>
            </w:r>
          </w:p>
        </w:tc>
        <w:tc>
          <w:tcPr>
            <w:tcW w:w="1277" w:type="dxa"/>
            <w:tcMar>
              <w:left w:w="29" w:type="dxa"/>
              <w:right w:w="29" w:type="dxa"/>
            </w:tcMar>
            <w:vAlign w:val="center"/>
          </w:tcPr>
          <w:p w14:paraId="25D1BF42" w14:textId="0EE86F11" w:rsidR="00143BAC" w:rsidRPr="006006B5" w:rsidRDefault="006C5FCC" w:rsidP="00653974">
            <w:pPr>
              <w:widowControl/>
              <w:autoSpaceDE/>
              <w:autoSpaceDN/>
              <w:adjustRightInd/>
              <w:jc w:val="center"/>
              <w:rPr>
                <w:b/>
                <w:sz w:val="16"/>
                <w:szCs w:val="16"/>
              </w:rPr>
            </w:pPr>
            <w:r w:rsidRPr="006006B5">
              <w:rPr>
                <w:b/>
                <w:sz w:val="16"/>
                <w:szCs w:val="16"/>
              </w:rPr>
              <w:t>(Avg. 1.9979)</w:t>
            </w:r>
          </w:p>
        </w:tc>
        <w:tc>
          <w:tcPr>
            <w:tcW w:w="1530" w:type="dxa"/>
            <w:tcMar>
              <w:left w:w="29" w:type="dxa"/>
              <w:right w:w="29" w:type="dxa"/>
            </w:tcMar>
            <w:vAlign w:val="center"/>
          </w:tcPr>
          <w:p w14:paraId="7AA30B88" w14:textId="07726C42" w:rsidR="00143BAC" w:rsidRPr="006006B5" w:rsidRDefault="006C5FCC" w:rsidP="00143BAC">
            <w:pPr>
              <w:widowControl/>
              <w:autoSpaceDE/>
              <w:autoSpaceDN/>
              <w:adjustRightInd/>
              <w:jc w:val="center"/>
              <w:rPr>
                <w:b/>
                <w:sz w:val="22"/>
                <w:szCs w:val="22"/>
              </w:rPr>
            </w:pPr>
            <w:r w:rsidRPr="006006B5">
              <w:rPr>
                <w:b/>
                <w:sz w:val="22"/>
                <w:szCs w:val="22"/>
              </w:rPr>
              <w:t>11,532 hrs.</w:t>
            </w:r>
          </w:p>
        </w:tc>
      </w:tr>
    </w:tbl>
    <w:p w14:paraId="45D1F6F2" w14:textId="77777777" w:rsidR="006C5FCC" w:rsidRPr="006006B5" w:rsidRDefault="00906C66" w:rsidP="00B95168">
      <w:pPr>
        <w:widowControl/>
        <w:suppressAutoHyphens/>
        <w:spacing w:line="240" w:lineRule="atLeast"/>
        <w:ind w:left="360"/>
        <w:rPr>
          <w:sz w:val="18"/>
          <w:szCs w:val="18"/>
        </w:rPr>
      </w:pPr>
      <w:r w:rsidRPr="006006B5">
        <w:rPr>
          <w:sz w:val="22"/>
          <w:szCs w:val="22"/>
        </w:rPr>
        <w:t xml:space="preserve">* </w:t>
      </w:r>
      <w:r w:rsidRPr="006006B5">
        <w:rPr>
          <w:sz w:val="18"/>
          <w:szCs w:val="18"/>
        </w:rPr>
        <w:t>6 hours of recordkeeping and 1 hour of reporting.</w:t>
      </w:r>
    </w:p>
    <w:p w14:paraId="77C705A4" w14:textId="2100DDB5" w:rsidR="00143BAC" w:rsidRPr="006006B5" w:rsidRDefault="006C5FCC" w:rsidP="00B95168">
      <w:pPr>
        <w:widowControl/>
        <w:suppressAutoHyphens/>
        <w:spacing w:line="240" w:lineRule="atLeast"/>
        <w:ind w:left="360"/>
        <w:rPr>
          <w:sz w:val="18"/>
          <w:szCs w:val="18"/>
        </w:rPr>
      </w:pPr>
      <w:r w:rsidRPr="006006B5">
        <w:rPr>
          <w:sz w:val="22"/>
          <w:szCs w:val="22"/>
        </w:rPr>
        <w:t xml:space="preserve">** </w:t>
      </w:r>
      <w:r w:rsidRPr="006006B5">
        <w:rPr>
          <w:sz w:val="18"/>
          <w:szCs w:val="18"/>
        </w:rPr>
        <w:t>10 letterhead notices modifying information on a TTB F 52100.14 and 2 letterhead applications to use the alternate method described in Industry Circular 2004–3.</w:t>
      </w:r>
      <w:r w:rsidR="00906C66" w:rsidRPr="006006B5">
        <w:rPr>
          <w:sz w:val="18"/>
          <w:szCs w:val="18"/>
        </w:rPr>
        <w:t xml:space="preserve"> </w:t>
      </w:r>
    </w:p>
    <w:p w14:paraId="7452F9D7" w14:textId="77777777" w:rsidR="00906C66" w:rsidRPr="006006B5" w:rsidRDefault="00906C66" w:rsidP="00B95168">
      <w:pPr>
        <w:widowControl/>
        <w:suppressAutoHyphens/>
        <w:spacing w:line="240" w:lineRule="atLeast"/>
        <w:ind w:left="360"/>
        <w:rPr>
          <w:sz w:val="22"/>
          <w:szCs w:val="22"/>
        </w:rPr>
      </w:pPr>
    </w:p>
    <w:p w14:paraId="2151D69A" w14:textId="7AAC73DB" w:rsidR="00A352B2" w:rsidRPr="006006B5" w:rsidRDefault="00CB0666" w:rsidP="00B95168">
      <w:pPr>
        <w:widowControl/>
        <w:tabs>
          <w:tab w:val="left" w:pos="720"/>
        </w:tabs>
        <w:suppressAutoHyphens/>
        <w:spacing w:line="240" w:lineRule="atLeast"/>
        <w:ind w:left="360"/>
        <w:rPr>
          <w:sz w:val="22"/>
          <w:szCs w:val="22"/>
        </w:rPr>
      </w:pPr>
      <w:r w:rsidRPr="006006B5">
        <w:rPr>
          <w:sz w:val="22"/>
          <w:szCs w:val="22"/>
          <w:u w:val="single"/>
        </w:rPr>
        <w:t>Recordkeeping:</w:t>
      </w:r>
      <w:r w:rsidRPr="006006B5">
        <w:rPr>
          <w:sz w:val="22"/>
          <w:szCs w:val="22"/>
        </w:rPr>
        <w:t xml:space="preserve">  </w:t>
      </w:r>
      <w:r w:rsidR="00A352B2" w:rsidRPr="006006B5">
        <w:rPr>
          <w:sz w:val="22"/>
          <w:szCs w:val="22"/>
        </w:rPr>
        <w:t xml:space="preserve">The TTB regulations at </w:t>
      </w:r>
      <w:r w:rsidR="00C639A1" w:rsidRPr="006006B5">
        <w:rPr>
          <w:sz w:val="22"/>
          <w:szCs w:val="22"/>
        </w:rPr>
        <w:t>27 CFR 44.142, 44.199, and 44.257</w:t>
      </w:r>
      <w:r w:rsidRPr="006006B5">
        <w:rPr>
          <w:sz w:val="22"/>
          <w:szCs w:val="22"/>
        </w:rPr>
        <w:t xml:space="preserve"> require </w:t>
      </w:r>
      <w:r w:rsidR="00A352B2" w:rsidRPr="006006B5">
        <w:rPr>
          <w:sz w:val="22"/>
          <w:szCs w:val="22"/>
        </w:rPr>
        <w:t>respondents filing TTB F 5200.14 with TTB to</w:t>
      </w:r>
      <w:r w:rsidRPr="006006B5">
        <w:rPr>
          <w:sz w:val="22"/>
          <w:szCs w:val="22"/>
        </w:rPr>
        <w:t xml:space="preserve"> keep a record copy of </w:t>
      </w:r>
      <w:r w:rsidR="00C639A1" w:rsidRPr="006006B5">
        <w:rPr>
          <w:sz w:val="22"/>
          <w:szCs w:val="22"/>
        </w:rPr>
        <w:t xml:space="preserve">each </w:t>
      </w:r>
      <w:r w:rsidR="00A352B2" w:rsidRPr="006006B5">
        <w:rPr>
          <w:sz w:val="22"/>
          <w:szCs w:val="22"/>
        </w:rPr>
        <w:t xml:space="preserve">form </w:t>
      </w:r>
      <w:r w:rsidR="00C639A1" w:rsidRPr="006006B5">
        <w:rPr>
          <w:sz w:val="22"/>
          <w:szCs w:val="22"/>
        </w:rPr>
        <w:t xml:space="preserve">for 3 years following the close of the calendar year in which the </w:t>
      </w:r>
      <w:r w:rsidR="00A352B2" w:rsidRPr="006006B5">
        <w:rPr>
          <w:sz w:val="22"/>
          <w:szCs w:val="22"/>
        </w:rPr>
        <w:t xml:space="preserve">reported </w:t>
      </w:r>
      <w:r w:rsidR="00C639A1" w:rsidRPr="006006B5">
        <w:rPr>
          <w:sz w:val="22"/>
          <w:szCs w:val="22"/>
        </w:rPr>
        <w:t xml:space="preserve">shipments </w:t>
      </w:r>
      <w:r w:rsidR="00A352B2" w:rsidRPr="006006B5">
        <w:rPr>
          <w:sz w:val="22"/>
          <w:szCs w:val="22"/>
        </w:rPr>
        <w:t xml:space="preserve">or transfers </w:t>
      </w:r>
      <w:r w:rsidR="00C639A1" w:rsidRPr="006006B5">
        <w:rPr>
          <w:sz w:val="22"/>
          <w:szCs w:val="22"/>
        </w:rPr>
        <w:t>were received or removed</w:t>
      </w:r>
      <w:r w:rsidR="00A352B2" w:rsidRPr="006006B5">
        <w:rPr>
          <w:sz w:val="22"/>
          <w:szCs w:val="22"/>
        </w:rPr>
        <w:t>.</w:t>
      </w:r>
      <w:r w:rsidR="00BE59E9" w:rsidRPr="006006B5">
        <w:rPr>
          <w:sz w:val="22"/>
          <w:szCs w:val="22"/>
        </w:rPr>
        <w:t xml:space="preserve"> </w:t>
      </w:r>
    </w:p>
    <w:p w14:paraId="66B73DE7" w14:textId="09388A7B" w:rsidR="00626C37" w:rsidRPr="006006B5" w:rsidRDefault="00626C37" w:rsidP="00B95168">
      <w:pPr>
        <w:widowControl/>
        <w:tabs>
          <w:tab w:val="left" w:pos="540"/>
        </w:tabs>
        <w:ind w:left="540" w:hanging="540"/>
        <w:rPr>
          <w:sz w:val="36"/>
          <w:szCs w:val="36"/>
        </w:rPr>
      </w:pPr>
    </w:p>
    <w:p w14:paraId="1ECEBCA2" w14:textId="77777777" w:rsidR="0093146C" w:rsidRPr="006006B5" w:rsidRDefault="0093146C" w:rsidP="00B95168">
      <w:pPr>
        <w:widowControl/>
        <w:suppressAutoHyphens/>
        <w:rPr>
          <w:i/>
          <w:sz w:val="22"/>
          <w:szCs w:val="22"/>
        </w:rPr>
      </w:pPr>
      <w:r w:rsidRPr="006006B5">
        <w:rPr>
          <w:i/>
          <w:sz w:val="22"/>
          <w:szCs w:val="22"/>
        </w:rPr>
        <w:t xml:space="preserve">13.  What is the estimated annual cost burden to respondents or recordkeepers resulting from this information collection request (excluding the value of the hour burden in Question 12 above)? </w:t>
      </w:r>
    </w:p>
    <w:p w14:paraId="7C275409" w14:textId="77777777" w:rsidR="0093146C" w:rsidRPr="006006B5" w:rsidRDefault="0093146C" w:rsidP="00B95168">
      <w:pPr>
        <w:widowControl/>
        <w:suppressAutoHyphens/>
        <w:ind w:left="480" w:hanging="480"/>
        <w:rPr>
          <w:sz w:val="22"/>
          <w:szCs w:val="22"/>
        </w:rPr>
      </w:pPr>
    </w:p>
    <w:p w14:paraId="773A3939" w14:textId="63180937" w:rsidR="0061734C" w:rsidRPr="006006B5" w:rsidRDefault="0061734C" w:rsidP="0061734C">
      <w:pPr>
        <w:widowControl/>
        <w:suppressAutoHyphens/>
        <w:ind w:left="360"/>
        <w:rPr>
          <w:sz w:val="22"/>
          <w:szCs w:val="22"/>
        </w:rPr>
      </w:pPr>
      <w:r w:rsidRPr="006006B5">
        <w:rPr>
          <w:sz w:val="22"/>
          <w:szCs w:val="22"/>
        </w:rPr>
        <w:t>The information provided by respondents under this collection requirement is sourced from usual and customary records</w:t>
      </w:r>
      <w:r w:rsidR="00417982" w:rsidRPr="006006B5">
        <w:rPr>
          <w:sz w:val="22"/>
          <w:szCs w:val="22"/>
        </w:rPr>
        <w:t>, such as shipping and consignment records,</w:t>
      </w:r>
      <w:r w:rsidRPr="006006B5">
        <w:rPr>
          <w:sz w:val="22"/>
          <w:szCs w:val="22"/>
        </w:rPr>
        <w:t xml:space="preserve"> kept during the normal course of business.  As such, there are no annualized costs associated with this occasional information collection request, and respondents </w:t>
      </w:r>
      <w:r w:rsidR="00417982" w:rsidRPr="006006B5">
        <w:rPr>
          <w:sz w:val="22"/>
          <w:szCs w:val="22"/>
        </w:rPr>
        <w:t xml:space="preserve">who elect to submit paper forms for each removal made without payment tax </w:t>
      </w:r>
      <w:r w:rsidRPr="006006B5">
        <w:rPr>
          <w:sz w:val="22"/>
          <w:szCs w:val="22"/>
        </w:rPr>
        <w:t>only incur negligible material and postal costs associated with printing and submitting the required form</w:t>
      </w:r>
      <w:r w:rsidR="00417982" w:rsidRPr="006006B5">
        <w:rPr>
          <w:sz w:val="22"/>
          <w:szCs w:val="22"/>
        </w:rPr>
        <w:t>s</w:t>
      </w:r>
      <w:r w:rsidRPr="006006B5">
        <w:rPr>
          <w:sz w:val="22"/>
          <w:szCs w:val="22"/>
        </w:rPr>
        <w:t>.</w:t>
      </w:r>
      <w:r w:rsidR="006C681D" w:rsidRPr="006006B5">
        <w:rPr>
          <w:sz w:val="22"/>
          <w:szCs w:val="22"/>
        </w:rPr>
        <w:t xml:space="preserve"> </w:t>
      </w:r>
    </w:p>
    <w:p w14:paraId="42DEEC41" w14:textId="77777777" w:rsidR="00533D2D" w:rsidRPr="006006B5" w:rsidRDefault="00533D2D" w:rsidP="00B95168">
      <w:pPr>
        <w:widowControl/>
        <w:tabs>
          <w:tab w:val="left" w:pos="540"/>
        </w:tabs>
        <w:ind w:left="540" w:hanging="540"/>
        <w:rPr>
          <w:sz w:val="36"/>
          <w:szCs w:val="36"/>
        </w:rPr>
      </w:pPr>
    </w:p>
    <w:p w14:paraId="7D1A54B9" w14:textId="77777777" w:rsidR="0093146C" w:rsidRPr="006006B5" w:rsidRDefault="0093146C" w:rsidP="00B95168">
      <w:pPr>
        <w:widowControl/>
        <w:suppressAutoHyphens/>
        <w:rPr>
          <w:i/>
          <w:sz w:val="22"/>
          <w:szCs w:val="22"/>
        </w:rPr>
      </w:pPr>
      <w:r w:rsidRPr="006006B5">
        <w:rPr>
          <w:i/>
          <w:sz w:val="22"/>
          <w:szCs w:val="22"/>
        </w:rPr>
        <w:t xml:space="preserve">14.  What is the annualized cost to the Federal Government? </w:t>
      </w:r>
    </w:p>
    <w:p w14:paraId="7631389C" w14:textId="77777777" w:rsidR="0093146C" w:rsidRPr="006006B5" w:rsidRDefault="0093146C" w:rsidP="00B95168">
      <w:pPr>
        <w:widowControl/>
        <w:suppressAutoHyphens/>
        <w:rPr>
          <w:sz w:val="22"/>
          <w:szCs w:val="22"/>
        </w:rPr>
      </w:pPr>
    </w:p>
    <w:p w14:paraId="7B1BD8E4" w14:textId="4D779F55" w:rsidR="00D979D3" w:rsidRPr="006006B5" w:rsidRDefault="00D979D3" w:rsidP="00D979D3">
      <w:pPr>
        <w:widowControl/>
        <w:autoSpaceDE/>
        <w:autoSpaceDN/>
        <w:adjustRightInd/>
        <w:ind w:left="360"/>
        <w:rPr>
          <w:sz w:val="22"/>
          <w:szCs w:val="22"/>
        </w:rPr>
      </w:pPr>
      <w:r w:rsidRPr="006006B5">
        <w:rPr>
          <w:sz w:val="22"/>
          <w:szCs w:val="22"/>
        </w:rPr>
        <w:t xml:space="preserve">Estimates of the annual cost to the Federal Government for this information collection </w:t>
      </w:r>
      <w:r w:rsidR="004727F5" w:rsidRPr="006006B5">
        <w:rPr>
          <w:sz w:val="22"/>
          <w:szCs w:val="22"/>
        </w:rPr>
        <w:t xml:space="preserve">request </w:t>
      </w:r>
      <w:r w:rsidRPr="006006B5">
        <w:rPr>
          <w:sz w:val="22"/>
          <w:szCs w:val="22"/>
        </w:rPr>
        <w:t>are</w:t>
      </w:r>
      <w:r w:rsidR="00BF2DEA" w:rsidRPr="006006B5">
        <w:rPr>
          <w:sz w:val="22"/>
          <w:szCs w:val="22"/>
        </w:rPr>
        <w:t xml:space="preserve"> $</w:t>
      </w:r>
      <w:r w:rsidR="002D4CE6" w:rsidRPr="006006B5">
        <w:rPr>
          <w:sz w:val="22"/>
          <w:szCs w:val="22"/>
        </w:rPr>
        <w:t>8,500</w:t>
      </w:r>
      <w:r w:rsidR="00BF2DEA" w:rsidRPr="006006B5">
        <w:rPr>
          <w:sz w:val="22"/>
          <w:szCs w:val="22"/>
        </w:rPr>
        <w:t xml:space="preserve"> for clerical, review, and overhead costs.  Due to the availability of TTB forms on its website (</w:t>
      </w:r>
      <w:hyperlink r:id="rId11" w:history="1">
        <w:r w:rsidR="00BF2DEA" w:rsidRPr="006006B5">
          <w:rPr>
            <w:color w:val="2E74B5" w:themeColor="accent1" w:themeShade="BF"/>
            <w:sz w:val="22"/>
            <w:szCs w:val="22"/>
            <w:u w:val="single"/>
          </w:rPr>
          <w:t>https://www.ttb.gov/forms/5000.shtml</w:t>
        </w:r>
      </w:hyperlink>
      <w:r w:rsidR="00BF2DEA" w:rsidRPr="006006B5">
        <w:rPr>
          <w:sz w:val="22"/>
          <w:szCs w:val="22"/>
        </w:rPr>
        <w:t>) and the use of the alternate procedure for this information collection, p</w:t>
      </w:r>
      <w:r w:rsidRPr="006006B5">
        <w:rPr>
          <w:sz w:val="22"/>
          <w:szCs w:val="22"/>
        </w:rPr>
        <w:t>rinting and distribution costs to the Federal government have decreased to $0.00 in TTB’s cost estimate</w:t>
      </w:r>
      <w:r w:rsidR="00BF2DEA" w:rsidRPr="006006B5">
        <w:rPr>
          <w:sz w:val="22"/>
          <w:szCs w:val="22"/>
        </w:rPr>
        <w:t xml:space="preserve">. </w:t>
      </w:r>
    </w:p>
    <w:p w14:paraId="4B260DE2" w14:textId="77777777" w:rsidR="000117FE" w:rsidRPr="006006B5" w:rsidRDefault="000117FE" w:rsidP="00B95168">
      <w:pPr>
        <w:widowControl/>
        <w:tabs>
          <w:tab w:val="left" w:pos="540"/>
        </w:tabs>
        <w:ind w:left="540" w:hanging="540"/>
        <w:rPr>
          <w:sz w:val="36"/>
          <w:szCs w:val="36"/>
        </w:rPr>
      </w:pPr>
    </w:p>
    <w:p w14:paraId="0DEF6362" w14:textId="19E704D5" w:rsidR="0093146C" w:rsidRPr="006006B5" w:rsidRDefault="0093146C" w:rsidP="00B95168">
      <w:pPr>
        <w:widowControl/>
        <w:suppressAutoHyphens/>
        <w:rPr>
          <w:i/>
          <w:sz w:val="22"/>
          <w:szCs w:val="22"/>
        </w:rPr>
      </w:pPr>
      <w:r w:rsidRPr="006006B5">
        <w:rPr>
          <w:i/>
          <w:sz w:val="22"/>
          <w:szCs w:val="22"/>
        </w:rPr>
        <w:t xml:space="preserve">15.  What is the reason for any program changes or adjustments reported? </w:t>
      </w:r>
    </w:p>
    <w:p w14:paraId="33C456A2" w14:textId="77777777" w:rsidR="0093146C" w:rsidRPr="006006B5" w:rsidRDefault="0093146C" w:rsidP="00B95168">
      <w:pPr>
        <w:widowControl/>
        <w:suppressAutoHyphens/>
        <w:rPr>
          <w:sz w:val="22"/>
          <w:szCs w:val="22"/>
        </w:rPr>
      </w:pPr>
    </w:p>
    <w:p w14:paraId="53DA2770" w14:textId="33F14849" w:rsidR="0099711F" w:rsidRPr="006006B5" w:rsidRDefault="00BE59E9" w:rsidP="00B95168">
      <w:pPr>
        <w:widowControl/>
        <w:suppressAutoHyphens/>
        <w:ind w:left="360"/>
        <w:rPr>
          <w:sz w:val="22"/>
          <w:szCs w:val="22"/>
        </w:rPr>
      </w:pPr>
      <w:r w:rsidRPr="006006B5">
        <w:rPr>
          <w:sz w:val="22"/>
          <w:szCs w:val="22"/>
          <w:u w:val="single"/>
        </w:rPr>
        <w:t>Program change</w:t>
      </w:r>
      <w:r w:rsidR="00417982" w:rsidRPr="006006B5">
        <w:rPr>
          <w:sz w:val="22"/>
          <w:szCs w:val="22"/>
          <w:u w:val="single"/>
        </w:rPr>
        <w:t>s</w:t>
      </w:r>
      <w:r w:rsidRPr="006006B5">
        <w:rPr>
          <w:sz w:val="22"/>
          <w:szCs w:val="22"/>
          <w:u w:val="single"/>
        </w:rPr>
        <w:t>:</w:t>
      </w:r>
      <w:r w:rsidRPr="006006B5">
        <w:rPr>
          <w:sz w:val="22"/>
          <w:szCs w:val="22"/>
        </w:rPr>
        <w:t xml:space="preserve">  </w:t>
      </w:r>
      <w:r w:rsidR="0099711F" w:rsidRPr="006006B5">
        <w:rPr>
          <w:sz w:val="22"/>
          <w:szCs w:val="22"/>
        </w:rPr>
        <w:t>Previously, TTB has reported only one information collection under this collection request; however, this did not make clear that respondents have two options for reporting removals of tobacco products and cigarette papers and tubes, without payment of tax, for export purposes</w:t>
      </w:r>
      <w:r w:rsidR="00874E9D" w:rsidRPr="006006B5">
        <w:rPr>
          <w:sz w:val="22"/>
          <w:szCs w:val="22"/>
        </w:rPr>
        <w:t>,</w:t>
      </w:r>
      <w:r w:rsidR="00874E9D" w:rsidRPr="006006B5">
        <w:t xml:space="preserve"> </w:t>
      </w:r>
      <w:r w:rsidR="00874E9D" w:rsidRPr="006006B5">
        <w:rPr>
          <w:sz w:val="22"/>
          <w:szCs w:val="22"/>
        </w:rPr>
        <w:t xml:space="preserve">and that certain matters require letterhead notices or applications be filed with TTB.  </w:t>
      </w:r>
      <w:r w:rsidR="0099711F" w:rsidRPr="006006B5">
        <w:rPr>
          <w:sz w:val="22"/>
          <w:szCs w:val="22"/>
        </w:rPr>
        <w:t>Therefore, a</w:t>
      </w:r>
      <w:r w:rsidRPr="006006B5">
        <w:rPr>
          <w:sz w:val="22"/>
          <w:szCs w:val="22"/>
        </w:rPr>
        <w:t>s a matter of agency discretion</w:t>
      </w:r>
      <w:r w:rsidR="0099711F" w:rsidRPr="006006B5">
        <w:rPr>
          <w:sz w:val="22"/>
          <w:szCs w:val="22"/>
        </w:rPr>
        <w:t>, and for purposes of transparency</w:t>
      </w:r>
      <w:r w:rsidRPr="006006B5">
        <w:rPr>
          <w:sz w:val="22"/>
          <w:szCs w:val="22"/>
        </w:rPr>
        <w:t xml:space="preserve">, TTB is </w:t>
      </w:r>
      <w:r w:rsidR="001A3294" w:rsidRPr="006006B5">
        <w:rPr>
          <w:sz w:val="22"/>
          <w:szCs w:val="22"/>
        </w:rPr>
        <w:t>dividing this collection request into t</w:t>
      </w:r>
      <w:r w:rsidR="00AF251B" w:rsidRPr="006006B5">
        <w:rPr>
          <w:sz w:val="22"/>
          <w:szCs w:val="22"/>
        </w:rPr>
        <w:t>hree</w:t>
      </w:r>
      <w:r w:rsidR="001A3294" w:rsidRPr="006006B5">
        <w:rPr>
          <w:sz w:val="22"/>
          <w:szCs w:val="22"/>
        </w:rPr>
        <w:t xml:space="preserve"> information collections to </w:t>
      </w:r>
      <w:r w:rsidR="0099711F" w:rsidRPr="006006B5">
        <w:rPr>
          <w:sz w:val="22"/>
          <w:szCs w:val="22"/>
        </w:rPr>
        <w:t xml:space="preserve">properly account for the two reporting options and their associated letterhead notices and applications contained under this information collection request: </w:t>
      </w:r>
    </w:p>
    <w:p w14:paraId="2455DAC2" w14:textId="3A0C618F" w:rsidR="0099711F" w:rsidRPr="006006B5" w:rsidRDefault="0099711F" w:rsidP="00B95168">
      <w:pPr>
        <w:widowControl/>
        <w:suppressAutoHyphens/>
        <w:ind w:left="360"/>
        <w:rPr>
          <w:sz w:val="22"/>
          <w:szCs w:val="22"/>
        </w:rPr>
      </w:pPr>
    </w:p>
    <w:p w14:paraId="1C85536F" w14:textId="017FD232" w:rsidR="0099711F" w:rsidRPr="006006B5" w:rsidRDefault="0099711F" w:rsidP="0099711F">
      <w:pPr>
        <w:pStyle w:val="ListParagraph"/>
        <w:widowControl/>
        <w:numPr>
          <w:ilvl w:val="0"/>
          <w:numId w:val="10"/>
        </w:numPr>
        <w:ind w:left="720"/>
        <w:rPr>
          <w:sz w:val="22"/>
          <w:szCs w:val="22"/>
        </w:rPr>
      </w:pPr>
      <w:r w:rsidRPr="006006B5">
        <w:rPr>
          <w:sz w:val="22"/>
          <w:szCs w:val="22"/>
        </w:rPr>
        <w:t xml:space="preserve">Removals of Tobacco Products, Cigarette Papers and Tubes without Payment of Tax (containing the per-removal reports made to TTB on form TTB F 5200.14); </w:t>
      </w:r>
    </w:p>
    <w:p w14:paraId="1FAF7460" w14:textId="77777777" w:rsidR="0099711F" w:rsidRPr="006006B5" w:rsidRDefault="0099711F" w:rsidP="0099711F">
      <w:pPr>
        <w:pStyle w:val="ListParagraph"/>
        <w:widowControl/>
        <w:rPr>
          <w:sz w:val="22"/>
          <w:szCs w:val="22"/>
        </w:rPr>
      </w:pPr>
    </w:p>
    <w:p w14:paraId="7FA9D4D2" w14:textId="61760493" w:rsidR="0099711F" w:rsidRPr="006006B5" w:rsidRDefault="003B7BF4" w:rsidP="0099711F">
      <w:pPr>
        <w:pStyle w:val="ListParagraph"/>
        <w:widowControl/>
        <w:numPr>
          <w:ilvl w:val="0"/>
          <w:numId w:val="10"/>
        </w:numPr>
        <w:ind w:left="720"/>
        <w:rPr>
          <w:sz w:val="22"/>
          <w:szCs w:val="22"/>
        </w:rPr>
      </w:pPr>
      <w:r w:rsidRPr="006006B5">
        <w:rPr>
          <w:sz w:val="22"/>
          <w:szCs w:val="22"/>
        </w:rPr>
        <w:t>Tobacco Export Documentation and Monthly Summary Report Alternate Procedure under Industry Circular 2004–3</w:t>
      </w:r>
      <w:r w:rsidR="0099711F" w:rsidRPr="006006B5">
        <w:rPr>
          <w:sz w:val="22"/>
          <w:szCs w:val="22"/>
        </w:rPr>
        <w:t xml:space="preserve"> (containing the Monthly Summary Reports submitted to TTB, backed by export documentation maintained at a respondent’s premises); and </w:t>
      </w:r>
    </w:p>
    <w:p w14:paraId="7848BC98" w14:textId="77777777" w:rsidR="0099711F" w:rsidRPr="006006B5" w:rsidRDefault="0099711F" w:rsidP="00153EE7">
      <w:pPr>
        <w:pStyle w:val="ListParagraph"/>
        <w:tabs>
          <w:tab w:val="left" w:pos="720"/>
        </w:tabs>
        <w:ind w:hanging="360"/>
        <w:rPr>
          <w:sz w:val="22"/>
          <w:szCs w:val="22"/>
        </w:rPr>
      </w:pPr>
    </w:p>
    <w:p w14:paraId="5D55CDB5" w14:textId="5835BBEA" w:rsidR="0099711F" w:rsidRPr="006006B5" w:rsidRDefault="00153EE7" w:rsidP="00AC110D">
      <w:pPr>
        <w:pStyle w:val="ListParagraph"/>
        <w:widowControl/>
        <w:numPr>
          <w:ilvl w:val="0"/>
          <w:numId w:val="10"/>
        </w:numPr>
        <w:tabs>
          <w:tab w:val="left" w:pos="720"/>
        </w:tabs>
        <w:ind w:left="720"/>
        <w:rPr>
          <w:sz w:val="22"/>
          <w:szCs w:val="22"/>
        </w:rPr>
      </w:pPr>
      <w:r w:rsidRPr="006006B5">
        <w:rPr>
          <w:sz w:val="22"/>
          <w:szCs w:val="22"/>
        </w:rPr>
        <w:t>Letterhead Notices and Applications Related to Removals of Tobacco Products and Cigarette Papers and Tubes without Payment of Tax (c</w:t>
      </w:r>
      <w:r w:rsidR="0099711F" w:rsidRPr="006006B5">
        <w:rPr>
          <w:sz w:val="22"/>
          <w:szCs w:val="22"/>
        </w:rPr>
        <w:t>ontaining the letterhead notices submitted to TTB to report modifications to consignment or shipping information on previously-submitted TTB F 5200.14 forms</w:t>
      </w:r>
      <w:r w:rsidRPr="006006B5">
        <w:rPr>
          <w:sz w:val="22"/>
          <w:szCs w:val="22"/>
        </w:rPr>
        <w:t>, and the letterhead applications submitted by respondents requesting permission to use the Monthly Summary Report alternate procedure</w:t>
      </w:r>
      <w:r w:rsidR="00874E9D" w:rsidRPr="006006B5">
        <w:rPr>
          <w:sz w:val="22"/>
          <w:szCs w:val="22"/>
        </w:rPr>
        <w:t>)</w:t>
      </w:r>
      <w:r w:rsidRPr="006006B5">
        <w:rPr>
          <w:sz w:val="22"/>
          <w:szCs w:val="22"/>
        </w:rPr>
        <w:t xml:space="preserve">. </w:t>
      </w:r>
    </w:p>
    <w:p w14:paraId="0E5B3654" w14:textId="77777777" w:rsidR="009D22B6" w:rsidRPr="006006B5" w:rsidRDefault="009D22B6" w:rsidP="002A198A">
      <w:pPr>
        <w:widowControl/>
        <w:suppressAutoHyphens/>
        <w:ind w:left="360"/>
        <w:rPr>
          <w:sz w:val="22"/>
          <w:szCs w:val="22"/>
        </w:rPr>
      </w:pPr>
    </w:p>
    <w:p w14:paraId="794BA8ED" w14:textId="33CB6200" w:rsidR="002A198A" w:rsidRPr="006006B5" w:rsidRDefault="002A198A" w:rsidP="002A198A">
      <w:pPr>
        <w:ind w:left="360"/>
        <w:rPr>
          <w:sz w:val="22"/>
          <w:szCs w:val="22"/>
        </w:rPr>
      </w:pPr>
      <w:r w:rsidRPr="006006B5">
        <w:rPr>
          <w:sz w:val="22"/>
          <w:szCs w:val="22"/>
        </w:rPr>
        <w:t>Therefore, due to the division of this collection request into three information collections, TTB is increasing the number of overall respondents to this collection request, from 280 to 292, and is reporting new burdens for the two new information collections.  However, due to the use of the alternate Monthly Summary Report procedure by 80 of the 292 respondents to this information collection request, TTB is reporting significant decreases in the overall number of annual responses and burden hours for this request, from 61,600 responses and 61,600 hours to 5,772 responses and 11,532 hours.</w:t>
      </w:r>
    </w:p>
    <w:p w14:paraId="0CD467F6" w14:textId="77777777" w:rsidR="002A198A" w:rsidRPr="006006B5" w:rsidRDefault="002A198A" w:rsidP="002A198A">
      <w:pPr>
        <w:ind w:left="360"/>
        <w:rPr>
          <w:sz w:val="22"/>
          <w:szCs w:val="22"/>
        </w:rPr>
      </w:pPr>
    </w:p>
    <w:p w14:paraId="03B74ED4" w14:textId="24B7E65E" w:rsidR="003536A1" w:rsidRPr="006006B5" w:rsidRDefault="00BE59E9" w:rsidP="00B95168">
      <w:pPr>
        <w:widowControl/>
        <w:suppressAutoHyphens/>
        <w:ind w:left="360"/>
        <w:rPr>
          <w:sz w:val="22"/>
          <w:szCs w:val="22"/>
        </w:rPr>
      </w:pPr>
      <w:r w:rsidRPr="006006B5">
        <w:rPr>
          <w:sz w:val="22"/>
          <w:szCs w:val="22"/>
          <w:u w:val="single"/>
        </w:rPr>
        <w:t>Adjustments:</w:t>
      </w:r>
      <w:r w:rsidRPr="006006B5">
        <w:rPr>
          <w:sz w:val="22"/>
          <w:szCs w:val="22"/>
        </w:rPr>
        <w:t xml:space="preserve">  </w:t>
      </w:r>
      <w:r w:rsidR="003536A1" w:rsidRPr="006006B5">
        <w:rPr>
          <w:sz w:val="22"/>
          <w:szCs w:val="22"/>
        </w:rPr>
        <w:t xml:space="preserve">As all reported changes to the number of </w:t>
      </w:r>
      <w:r w:rsidR="009D22B6" w:rsidRPr="006006B5">
        <w:rPr>
          <w:sz w:val="22"/>
          <w:szCs w:val="22"/>
        </w:rPr>
        <w:t xml:space="preserve">respondents, </w:t>
      </w:r>
      <w:r w:rsidR="003536A1" w:rsidRPr="006006B5">
        <w:rPr>
          <w:sz w:val="22"/>
          <w:szCs w:val="22"/>
        </w:rPr>
        <w:t>responses</w:t>
      </w:r>
      <w:r w:rsidR="009D22B6" w:rsidRPr="006006B5">
        <w:rPr>
          <w:sz w:val="22"/>
          <w:szCs w:val="22"/>
        </w:rPr>
        <w:t>,</w:t>
      </w:r>
      <w:r w:rsidR="003536A1" w:rsidRPr="006006B5">
        <w:rPr>
          <w:sz w:val="22"/>
          <w:szCs w:val="22"/>
        </w:rPr>
        <w:t xml:space="preserve"> and burden hours for this information collection request result from the program changes noted above</w:t>
      </w:r>
      <w:r w:rsidR="005F2887" w:rsidRPr="006006B5">
        <w:rPr>
          <w:sz w:val="22"/>
          <w:szCs w:val="22"/>
        </w:rPr>
        <w:t xml:space="preserve">, </w:t>
      </w:r>
      <w:r w:rsidR="003536A1" w:rsidRPr="006006B5">
        <w:rPr>
          <w:sz w:val="22"/>
          <w:szCs w:val="22"/>
        </w:rPr>
        <w:t xml:space="preserve">there are no other adjustments to this information collection request. </w:t>
      </w:r>
    </w:p>
    <w:p w14:paraId="1EBD51C6" w14:textId="77777777" w:rsidR="003536A1" w:rsidRPr="006006B5" w:rsidRDefault="003536A1" w:rsidP="00B95168">
      <w:pPr>
        <w:widowControl/>
        <w:suppressAutoHyphens/>
        <w:ind w:left="360"/>
        <w:rPr>
          <w:sz w:val="22"/>
          <w:szCs w:val="22"/>
        </w:rPr>
      </w:pPr>
    </w:p>
    <w:p w14:paraId="69CCB614" w14:textId="55DD585B" w:rsidR="003C17B7" w:rsidRPr="006006B5" w:rsidRDefault="003536A1" w:rsidP="00B95168">
      <w:pPr>
        <w:widowControl/>
        <w:suppressAutoHyphens/>
        <w:ind w:left="360"/>
        <w:rPr>
          <w:sz w:val="22"/>
          <w:szCs w:val="22"/>
        </w:rPr>
      </w:pPr>
      <w:r w:rsidRPr="006006B5">
        <w:rPr>
          <w:sz w:val="22"/>
          <w:szCs w:val="22"/>
          <w:u w:val="single"/>
        </w:rPr>
        <w:t>Form TTB F 5200.14:</w:t>
      </w:r>
      <w:r w:rsidRPr="006006B5">
        <w:rPr>
          <w:sz w:val="22"/>
          <w:szCs w:val="22"/>
        </w:rPr>
        <w:t xml:space="preserve">  For the table contained in Instruction E</w:t>
      </w:r>
      <w:r w:rsidR="003C17B7" w:rsidRPr="006006B5">
        <w:rPr>
          <w:sz w:val="22"/>
          <w:szCs w:val="22"/>
        </w:rPr>
        <w:t xml:space="preserve">, </w:t>
      </w:r>
      <w:r w:rsidRPr="006006B5">
        <w:rPr>
          <w:sz w:val="22"/>
          <w:szCs w:val="22"/>
        </w:rPr>
        <w:t xml:space="preserve">TTB is revising footnote 1 </w:t>
      </w:r>
      <w:r w:rsidR="003C17B7" w:rsidRPr="006006B5">
        <w:rPr>
          <w:sz w:val="22"/>
          <w:szCs w:val="22"/>
        </w:rPr>
        <w:t>to reference only the alternate procedure proscribed in TTB Industry Circular 2004–3</w:t>
      </w:r>
      <w:r w:rsidR="002A198A" w:rsidRPr="006006B5">
        <w:rPr>
          <w:sz w:val="22"/>
          <w:szCs w:val="22"/>
        </w:rPr>
        <w:t xml:space="preserve"> as that </w:t>
      </w:r>
      <w:r w:rsidR="003C17B7" w:rsidRPr="006006B5">
        <w:rPr>
          <w:sz w:val="22"/>
          <w:szCs w:val="22"/>
        </w:rPr>
        <w:t>circular revoked the earlier alternate procedures currently noted in footnote 1.</w:t>
      </w:r>
      <w:r w:rsidR="005F2887" w:rsidRPr="006006B5">
        <w:rPr>
          <w:sz w:val="22"/>
          <w:szCs w:val="22"/>
        </w:rPr>
        <w:t xml:space="preserve"> </w:t>
      </w:r>
    </w:p>
    <w:p w14:paraId="5F79320D" w14:textId="77777777" w:rsidR="00533D2D" w:rsidRPr="006006B5" w:rsidRDefault="00533D2D" w:rsidP="00B95168">
      <w:pPr>
        <w:widowControl/>
        <w:tabs>
          <w:tab w:val="left" w:pos="540"/>
        </w:tabs>
        <w:ind w:left="540" w:hanging="540"/>
        <w:rPr>
          <w:sz w:val="36"/>
          <w:szCs w:val="36"/>
        </w:rPr>
      </w:pPr>
    </w:p>
    <w:p w14:paraId="478203D3" w14:textId="77777777" w:rsidR="00214081" w:rsidRPr="006006B5" w:rsidRDefault="00214081" w:rsidP="00B95168">
      <w:pPr>
        <w:widowControl/>
        <w:suppressAutoHyphens/>
        <w:rPr>
          <w:i/>
          <w:sz w:val="22"/>
          <w:szCs w:val="22"/>
        </w:rPr>
      </w:pPr>
      <w:r w:rsidRPr="006006B5">
        <w:rPr>
          <w:i/>
          <w:sz w:val="22"/>
          <w:szCs w:val="22"/>
        </w:rPr>
        <w:t xml:space="preserve">16.  Outline plans for tabulation and publication for collections of information whose results will be published. </w:t>
      </w:r>
    </w:p>
    <w:p w14:paraId="61D98D18" w14:textId="77777777" w:rsidR="00214081" w:rsidRPr="006006B5" w:rsidRDefault="00214081" w:rsidP="00B95168">
      <w:pPr>
        <w:widowControl/>
        <w:suppressAutoHyphens/>
        <w:ind w:left="480" w:hanging="480"/>
        <w:rPr>
          <w:sz w:val="22"/>
          <w:szCs w:val="22"/>
        </w:rPr>
      </w:pPr>
    </w:p>
    <w:p w14:paraId="7206AA95" w14:textId="77777777" w:rsidR="00533D2D" w:rsidRPr="006006B5" w:rsidRDefault="0053074F" w:rsidP="00B95168">
      <w:pPr>
        <w:widowControl/>
        <w:ind w:left="360"/>
        <w:rPr>
          <w:sz w:val="22"/>
          <w:szCs w:val="22"/>
        </w:rPr>
      </w:pPr>
      <w:r w:rsidRPr="006006B5">
        <w:rPr>
          <w:sz w:val="22"/>
          <w:szCs w:val="22"/>
        </w:rPr>
        <w:t>TTB will not publish t</w:t>
      </w:r>
      <w:r w:rsidR="00533D2D" w:rsidRPr="006006B5">
        <w:rPr>
          <w:sz w:val="22"/>
          <w:szCs w:val="22"/>
        </w:rPr>
        <w:t>he results of this collection.</w:t>
      </w:r>
      <w:r w:rsidRPr="006006B5">
        <w:rPr>
          <w:sz w:val="22"/>
          <w:szCs w:val="22"/>
        </w:rPr>
        <w:t xml:space="preserve"> </w:t>
      </w:r>
    </w:p>
    <w:p w14:paraId="04CB004E" w14:textId="77777777" w:rsidR="00533D2D" w:rsidRPr="006006B5" w:rsidRDefault="00533D2D" w:rsidP="00B95168">
      <w:pPr>
        <w:widowControl/>
        <w:tabs>
          <w:tab w:val="left" w:pos="540"/>
        </w:tabs>
        <w:ind w:left="540" w:hanging="540"/>
        <w:rPr>
          <w:sz w:val="36"/>
          <w:szCs w:val="36"/>
        </w:rPr>
      </w:pPr>
    </w:p>
    <w:p w14:paraId="7AD772A5" w14:textId="561ECE14" w:rsidR="00214081" w:rsidRPr="006006B5" w:rsidRDefault="00214081" w:rsidP="00B95168">
      <w:pPr>
        <w:widowControl/>
        <w:suppressAutoHyphens/>
        <w:rPr>
          <w:i/>
          <w:sz w:val="22"/>
          <w:szCs w:val="22"/>
        </w:rPr>
      </w:pPr>
      <w:r w:rsidRPr="006006B5">
        <w:rPr>
          <w:i/>
          <w:sz w:val="22"/>
          <w:szCs w:val="22"/>
        </w:rPr>
        <w:t xml:space="preserve">17.  If seeking approval to not display the expiration date for OMB approval of this information collection, what are the reasons that the display would be inappropriate? </w:t>
      </w:r>
    </w:p>
    <w:p w14:paraId="36561AA1" w14:textId="77777777" w:rsidR="00214081" w:rsidRPr="006006B5" w:rsidRDefault="00214081" w:rsidP="00B95168">
      <w:pPr>
        <w:widowControl/>
        <w:suppressAutoHyphens/>
        <w:rPr>
          <w:i/>
          <w:sz w:val="22"/>
          <w:szCs w:val="22"/>
        </w:rPr>
      </w:pPr>
    </w:p>
    <w:p w14:paraId="6052B3EB" w14:textId="73FD6AB5" w:rsidR="003C17B7" w:rsidRPr="006006B5" w:rsidRDefault="003C17B7" w:rsidP="003C17B7">
      <w:pPr>
        <w:widowControl/>
        <w:adjustRightInd/>
        <w:ind w:left="360"/>
        <w:rPr>
          <w:sz w:val="22"/>
          <w:szCs w:val="22"/>
        </w:rPr>
      </w:pPr>
      <w:r w:rsidRPr="006006B5">
        <w:rPr>
          <w:sz w:val="22"/>
          <w:szCs w:val="22"/>
        </w:rPr>
        <w:t xml:space="preserve">As a cost-saving measure for both TTB and the general public, TTB requests approval to not display the expiration date for OMB approval of this information collection on form TTB F 5200.14.  By not displaying the approval expiration date for this collection, TTB will not have to update that date on the paper form each time OMB approves the collection.  This will avoid confusion among respondents when the collection’s approval date may have passed but its approval continues on a month-to-month basis while it is under OMB review.  In addition, respondents and other businesses will not have to update their stocks of paper forms or alter electronic copies of the forms, including any versions produced for sale to others.  In addition, TTB notes that the Monthly Summary Report and the letterhead applications and notices associated with this information collection request are generated by respondents and, as such, there is no medium for TTB to display the OMB approval expiration date for this collection request on those collection instruments. </w:t>
      </w:r>
    </w:p>
    <w:p w14:paraId="13D2B6D0" w14:textId="77777777" w:rsidR="00533D2D" w:rsidRPr="006006B5" w:rsidRDefault="00533D2D" w:rsidP="00B95168">
      <w:pPr>
        <w:widowControl/>
        <w:tabs>
          <w:tab w:val="left" w:pos="540"/>
        </w:tabs>
        <w:ind w:left="540" w:hanging="540"/>
        <w:rPr>
          <w:sz w:val="36"/>
          <w:szCs w:val="36"/>
        </w:rPr>
      </w:pPr>
    </w:p>
    <w:p w14:paraId="15BC0E93" w14:textId="23C35C21" w:rsidR="00214081" w:rsidRPr="006006B5" w:rsidRDefault="00214081" w:rsidP="00B95168">
      <w:pPr>
        <w:widowControl/>
        <w:suppressAutoHyphens/>
        <w:rPr>
          <w:i/>
          <w:sz w:val="22"/>
          <w:szCs w:val="22"/>
        </w:rPr>
      </w:pPr>
      <w:r w:rsidRPr="006006B5">
        <w:rPr>
          <w:i/>
          <w:sz w:val="22"/>
          <w:szCs w:val="22"/>
        </w:rPr>
        <w:t>18.  What are the exceptions to the certification statement?</w:t>
      </w:r>
      <w:r w:rsidR="008204A8" w:rsidRPr="006006B5">
        <w:rPr>
          <w:i/>
          <w:sz w:val="22"/>
          <w:szCs w:val="22"/>
        </w:rPr>
        <w:t xml:space="preserve"> </w:t>
      </w:r>
    </w:p>
    <w:p w14:paraId="6A87DC0A" w14:textId="77777777" w:rsidR="00214081" w:rsidRPr="006006B5" w:rsidRDefault="00214081" w:rsidP="00B95168">
      <w:pPr>
        <w:widowControl/>
        <w:suppressAutoHyphens/>
        <w:rPr>
          <w:sz w:val="22"/>
          <w:szCs w:val="22"/>
        </w:rPr>
      </w:pPr>
    </w:p>
    <w:p w14:paraId="1FDEEEBF" w14:textId="69934A41" w:rsidR="00686B4F" w:rsidRPr="006006B5" w:rsidRDefault="00686B4F" w:rsidP="00B95168">
      <w:pPr>
        <w:widowControl/>
        <w:spacing w:after="120"/>
        <w:ind w:left="547"/>
        <w:rPr>
          <w:sz w:val="22"/>
          <w:szCs w:val="22"/>
        </w:rPr>
      </w:pPr>
      <w:r w:rsidRPr="006006B5">
        <w:rPr>
          <w:sz w:val="22"/>
          <w:szCs w:val="22"/>
        </w:rPr>
        <w:t xml:space="preserve">(c)  See item 5 above. </w:t>
      </w:r>
    </w:p>
    <w:p w14:paraId="4679E257" w14:textId="52947DF2" w:rsidR="00686B4F" w:rsidRPr="006006B5" w:rsidRDefault="00686B4F" w:rsidP="00B95168">
      <w:pPr>
        <w:widowControl/>
        <w:spacing w:after="120"/>
        <w:ind w:left="547"/>
        <w:rPr>
          <w:sz w:val="22"/>
          <w:szCs w:val="22"/>
        </w:rPr>
      </w:pPr>
      <w:r w:rsidRPr="006006B5">
        <w:rPr>
          <w:sz w:val="22"/>
          <w:szCs w:val="22"/>
        </w:rPr>
        <w:t xml:space="preserve">(f)   This is not a recordkeeping requirement. </w:t>
      </w:r>
    </w:p>
    <w:p w14:paraId="4CECEBFC" w14:textId="25B0A10E" w:rsidR="00686B4F" w:rsidRPr="006006B5" w:rsidRDefault="00686B4F" w:rsidP="00B95168">
      <w:pPr>
        <w:widowControl/>
        <w:spacing w:after="120"/>
        <w:ind w:left="547"/>
        <w:rPr>
          <w:sz w:val="22"/>
          <w:szCs w:val="22"/>
        </w:rPr>
      </w:pPr>
      <w:r w:rsidRPr="006006B5">
        <w:rPr>
          <w:sz w:val="22"/>
          <w:szCs w:val="22"/>
        </w:rPr>
        <w:t xml:space="preserve">(i)   No statistics are involved. </w:t>
      </w:r>
    </w:p>
    <w:p w14:paraId="3E83771D" w14:textId="77777777" w:rsidR="00533D2D" w:rsidRPr="006006B5" w:rsidRDefault="00533D2D" w:rsidP="00B95168">
      <w:pPr>
        <w:widowControl/>
        <w:tabs>
          <w:tab w:val="left" w:pos="540"/>
        </w:tabs>
        <w:ind w:left="540" w:hanging="540"/>
        <w:rPr>
          <w:sz w:val="36"/>
          <w:szCs w:val="36"/>
        </w:rPr>
      </w:pPr>
    </w:p>
    <w:p w14:paraId="547D5625" w14:textId="77777777" w:rsidR="00870E7B" w:rsidRPr="006006B5" w:rsidRDefault="00870E7B" w:rsidP="00B95168">
      <w:pPr>
        <w:widowControl/>
        <w:tabs>
          <w:tab w:val="left" w:pos="540"/>
        </w:tabs>
        <w:ind w:left="540" w:hanging="540"/>
        <w:rPr>
          <w:sz w:val="36"/>
          <w:szCs w:val="36"/>
        </w:rPr>
      </w:pPr>
    </w:p>
    <w:p w14:paraId="675EB5A3" w14:textId="77777777" w:rsidR="00533D2D" w:rsidRPr="006006B5" w:rsidRDefault="00533D2D" w:rsidP="00B95168">
      <w:pPr>
        <w:widowControl/>
        <w:tabs>
          <w:tab w:val="left" w:pos="540"/>
        </w:tabs>
        <w:ind w:left="540" w:hanging="540"/>
        <w:rPr>
          <w:sz w:val="22"/>
          <w:szCs w:val="22"/>
        </w:rPr>
      </w:pPr>
      <w:r w:rsidRPr="006006B5">
        <w:rPr>
          <w:b/>
          <w:bCs/>
          <w:sz w:val="22"/>
          <w:szCs w:val="22"/>
        </w:rPr>
        <w:t xml:space="preserve">B.  </w:t>
      </w:r>
      <w:r w:rsidRPr="006006B5">
        <w:rPr>
          <w:b/>
          <w:bCs/>
          <w:sz w:val="22"/>
          <w:szCs w:val="22"/>
          <w:u w:val="single"/>
        </w:rPr>
        <w:t>Collection of Information Employing Statistical Methods</w:t>
      </w:r>
      <w:r w:rsidRPr="006006B5">
        <w:rPr>
          <w:b/>
          <w:bCs/>
          <w:sz w:val="22"/>
          <w:szCs w:val="22"/>
        </w:rPr>
        <w:t>.</w:t>
      </w:r>
      <w:r w:rsidRPr="006006B5">
        <w:rPr>
          <w:sz w:val="22"/>
          <w:szCs w:val="22"/>
        </w:rPr>
        <w:t xml:space="preserve"> </w:t>
      </w:r>
    </w:p>
    <w:p w14:paraId="376B1325" w14:textId="77777777" w:rsidR="00533D2D" w:rsidRPr="006006B5" w:rsidRDefault="00533D2D" w:rsidP="00B95168">
      <w:pPr>
        <w:widowControl/>
        <w:tabs>
          <w:tab w:val="left" w:pos="540"/>
        </w:tabs>
        <w:ind w:left="540" w:hanging="540"/>
        <w:rPr>
          <w:sz w:val="22"/>
          <w:szCs w:val="22"/>
        </w:rPr>
      </w:pPr>
    </w:p>
    <w:p w14:paraId="21CA3F9F" w14:textId="77777777" w:rsidR="00533D2D" w:rsidRPr="003C17B7" w:rsidRDefault="00533D2D" w:rsidP="00B95168">
      <w:pPr>
        <w:widowControl/>
        <w:tabs>
          <w:tab w:val="left" w:pos="540"/>
        </w:tabs>
        <w:ind w:left="540" w:hanging="540"/>
        <w:rPr>
          <w:sz w:val="22"/>
          <w:szCs w:val="22"/>
        </w:rPr>
      </w:pPr>
      <w:r w:rsidRPr="006006B5">
        <w:rPr>
          <w:sz w:val="22"/>
          <w:szCs w:val="22"/>
        </w:rPr>
        <w:t>This collection of information does not employ statistical methods.</w:t>
      </w:r>
      <w:r w:rsidRPr="003C17B7">
        <w:rPr>
          <w:sz w:val="22"/>
          <w:szCs w:val="22"/>
        </w:rPr>
        <w:t xml:space="preserve"> </w:t>
      </w:r>
    </w:p>
    <w:p w14:paraId="66F76DAF" w14:textId="77777777" w:rsidR="00533D2D" w:rsidRPr="003C17B7" w:rsidRDefault="00533D2D" w:rsidP="00B95168">
      <w:pPr>
        <w:widowControl/>
        <w:tabs>
          <w:tab w:val="left" w:pos="540"/>
        </w:tabs>
        <w:ind w:left="540" w:hanging="540"/>
        <w:rPr>
          <w:sz w:val="22"/>
          <w:szCs w:val="22"/>
        </w:rPr>
      </w:pPr>
    </w:p>
    <w:p w14:paraId="10F4EA4D" w14:textId="77777777" w:rsidR="00B95168" w:rsidRPr="003C17B7" w:rsidRDefault="00B95168" w:rsidP="00B95168">
      <w:pPr>
        <w:widowControl/>
        <w:tabs>
          <w:tab w:val="left" w:pos="540"/>
        </w:tabs>
        <w:ind w:left="540" w:hanging="540"/>
        <w:rPr>
          <w:sz w:val="22"/>
          <w:szCs w:val="22"/>
        </w:rPr>
      </w:pPr>
    </w:p>
    <w:sectPr w:rsidR="00B95168" w:rsidRPr="003C17B7" w:rsidSect="003E3CF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A5093" w14:textId="77777777" w:rsidR="00653B4F" w:rsidRDefault="00653B4F">
      <w:r>
        <w:separator/>
      </w:r>
    </w:p>
  </w:endnote>
  <w:endnote w:type="continuationSeparator" w:id="0">
    <w:p w14:paraId="234586E3" w14:textId="77777777" w:rsidR="00653B4F" w:rsidRDefault="00653B4F">
      <w:r>
        <w:continuationSeparator/>
      </w:r>
    </w:p>
  </w:endnote>
  <w:endnote w:type="continuationNotice" w:id="1">
    <w:p w14:paraId="6B2AD0F6" w14:textId="77777777" w:rsidR="00653B4F" w:rsidRDefault="00653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109F7" w14:textId="77777777" w:rsidR="00B9770C" w:rsidRDefault="00B977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79CDB" w14:textId="10775B64" w:rsidR="00653B4F" w:rsidRDefault="004345BB" w:rsidP="004345BB">
    <w:pPr>
      <w:pStyle w:val="Footer"/>
      <w:tabs>
        <w:tab w:val="clear" w:pos="4680"/>
      </w:tabs>
    </w:pPr>
    <w:r>
      <w:tab/>
      <w:t xml:space="preserve">1513–0027 Supporting Statement (11–2018)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15103" w14:textId="2094E804" w:rsidR="00653B4F" w:rsidRDefault="004345BB" w:rsidP="004345BB">
    <w:pPr>
      <w:pStyle w:val="Footer"/>
      <w:tabs>
        <w:tab w:val="clear" w:pos="4680"/>
      </w:tabs>
    </w:pPr>
    <w:r>
      <w:t>OPI:NRC</w:t>
    </w:r>
    <w:r>
      <w:tab/>
      <w:t xml:space="preserve">1513–0027 Supporting Statement (11–2018)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F754E" w14:textId="77777777" w:rsidR="00653B4F" w:rsidRDefault="00653B4F">
      <w:r>
        <w:separator/>
      </w:r>
    </w:p>
  </w:footnote>
  <w:footnote w:type="continuationSeparator" w:id="0">
    <w:p w14:paraId="636E15CD" w14:textId="77777777" w:rsidR="00653B4F" w:rsidRDefault="00653B4F">
      <w:r>
        <w:continuationSeparator/>
      </w:r>
    </w:p>
  </w:footnote>
  <w:footnote w:type="continuationNotice" w:id="1">
    <w:p w14:paraId="73C4B304" w14:textId="77777777" w:rsidR="00653B4F" w:rsidRDefault="00653B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DFD73" w14:textId="77777777" w:rsidR="00653B4F" w:rsidRDefault="00653B4F" w:rsidP="00E538EA">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3DF10044" w14:textId="77777777" w:rsidR="00653B4F" w:rsidRDefault="00653B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08395" w14:textId="16A646D8" w:rsidR="004345BB" w:rsidRDefault="004345BB" w:rsidP="004345BB">
    <w:pPr>
      <w:pStyle w:val="Header"/>
      <w:tabs>
        <w:tab w:val="clear" w:pos="4320"/>
        <w:tab w:val="clear" w:pos="8640"/>
      </w:tabs>
      <w:jc w:val="center"/>
    </w:pPr>
    <w:r>
      <w:t xml:space="preserve">- </w:t>
    </w:r>
    <w:sdt>
      <w:sdtPr>
        <w:id w:val="-4018348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45933">
          <w:rPr>
            <w:noProof/>
          </w:rPr>
          <w:t>2</w:t>
        </w:r>
        <w:r>
          <w:rPr>
            <w:noProof/>
          </w:rPr>
          <w:fldChar w:fldCharType="end"/>
        </w:r>
        <w:r>
          <w:rPr>
            <w:noProof/>
          </w:rP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40B9E" w14:textId="77777777" w:rsidR="00B9770C" w:rsidRDefault="00B977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113FC"/>
    <w:multiLevelType w:val="hybridMultilevel"/>
    <w:tmpl w:val="DE12EDF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10C87CDC"/>
    <w:multiLevelType w:val="hybridMultilevel"/>
    <w:tmpl w:val="BC246AC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11A4699C"/>
    <w:multiLevelType w:val="hybridMultilevel"/>
    <w:tmpl w:val="EFFE8A4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8F7F2C"/>
    <w:multiLevelType w:val="hybridMultilevel"/>
    <w:tmpl w:val="2DFE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455AA"/>
    <w:multiLevelType w:val="hybridMultilevel"/>
    <w:tmpl w:val="29E0E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6155F8"/>
    <w:multiLevelType w:val="hybridMultilevel"/>
    <w:tmpl w:val="65B68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4981E63"/>
    <w:multiLevelType w:val="hybridMultilevel"/>
    <w:tmpl w:val="48EE2F04"/>
    <w:lvl w:ilvl="0" w:tplc="5CD4C8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9973EDA"/>
    <w:multiLevelType w:val="hybridMultilevel"/>
    <w:tmpl w:val="08DA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0847A9"/>
    <w:multiLevelType w:val="hybridMultilevel"/>
    <w:tmpl w:val="BF9C4296"/>
    <w:lvl w:ilvl="0" w:tplc="E8220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327928"/>
    <w:multiLevelType w:val="hybridMultilevel"/>
    <w:tmpl w:val="985A2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2A87215"/>
    <w:multiLevelType w:val="hybridMultilevel"/>
    <w:tmpl w:val="9E64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B43E52"/>
    <w:multiLevelType w:val="hybridMultilevel"/>
    <w:tmpl w:val="29D4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E46573"/>
    <w:multiLevelType w:val="hybridMultilevel"/>
    <w:tmpl w:val="8CE6C2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7"/>
  </w:num>
  <w:num w:numId="3">
    <w:abstractNumId w:val="9"/>
  </w:num>
  <w:num w:numId="4">
    <w:abstractNumId w:val="11"/>
  </w:num>
  <w:num w:numId="5">
    <w:abstractNumId w:val="6"/>
  </w:num>
  <w:num w:numId="6">
    <w:abstractNumId w:val="3"/>
  </w:num>
  <w:num w:numId="7">
    <w:abstractNumId w:val="4"/>
  </w:num>
  <w:num w:numId="8">
    <w:abstractNumId w:val="8"/>
  </w:num>
  <w:num w:numId="9">
    <w:abstractNumId w:val="12"/>
  </w:num>
  <w:num w:numId="10">
    <w:abstractNumId w:val="5"/>
  </w:num>
  <w:num w:numId="11">
    <w:abstractNumId w:val="10"/>
  </w:num>
  <w:num w:numId="12">
    <w:abstractNumId w:val="1"/>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00"/>
  <w:drawingGridVerticalSpacing w:val="163"/>
  <w:displayHorizontalDrawingGridEvery w:val="0"/>
  <w:displayVertic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2D"/>
    <w:rsid w:val="000112FC"/>
    <w:rsid w:val="000117FE"/>
    <w:rsid w:val="000144F1"/>
    <w:rsid w:val="00016C87"/>
    <w:rsid w:val="00024111"/>
    <w:rsid w:val="00032B89"/>
    <w:rsid w:val="00040E1C"/>
    <w:rsid w:val="000446C2"/>
    <w:rsid w:val="00051B6C"/>
    <w:rsid w:val="0006138F"/>
    <w:rsid w:val="00075DB8"/>
    <w:rsid w:val="00082CAB"/>
    <w:rsid w:val="00087CD2"/>
    <w:rsid w:val="00093680"/>
    <w:rsid w:val="000B6AC6"/>
    <w:rsid w:val="000F72A5"/>
    <w:rsid w:val="000F7ACE"/>
    <w:rsid w:val="00104428"/>
    <w:rsid w:val="001051F8"/>
    <w:rsid w:val="00110227"/>
    <w:rsid w:val="001157A1"/>
    <w:rsid w:val="001238E2"/>
    <w:rsid w:val="001347B2"/>
    <w:rsid w:val="00141520"/>
    <w:rsid w:val="00143BAC"/>
    <w:rsid w:val="0015070A"/>
    <w:rsid w:val="00153EE7"/>
    <w:rsid w:val="00173F70"/>
    <w:rsid w:val="0018085B"/>
    <w:rsid w:val="001919E6"/>
    <w:rsid w:val="001A3294"/>
    <w:rsid w:val="001A5AA7"/>
    <w:rsid w:val="001F1843"/>
    <w:rsid w:val="001F3402"/>
    <w:rsid w:val="001F656D"/>
    <w:rsid w:val="002025CA"/>
    <w:rsid w:val="002107F9"/>
    <w:rsid w:val="00214081"/>
    <w:rsid w:val="00222252"/>
    <w:rsid w:val="00237D98"/>
    <w:rsid w:val="00240E7B"/>
    <w:rsid w:val="00244F91"/>
    <w:rsid w:val="00266AA4"/>
    <w:rsid w:val="002770B4"/>
    <w:rsid w:val="0028780A"/>
    <w:rsid w:val="002A10C5"/>
    <w:rsid w:val="002A198A"/>
    <w:rsid w:val="002B24E2"/>
    <w:rsid w:val="002B5ED1"/>
    <w:rsid w:val="002D4AA3"/>
    <w:rsid w:val="002D4CE6"/>
    <w:rsid w:val="002E2782"/>
    <w:rsid w:val="00304556"/>
    <w:rsid w:val="003138EA"/>
    <w:rsid w:val="00315651"/>
    <w:rsid w:val="003327E7"/>
    <w:rsid w:val="0033494E"/>
    <w:rsid w:val="00343490"/>
    <w:rsid w:val="0035319A"/>
    <w:rsid w:val="003536A1"/>
    <w:rsid w:val="00357ED3"/>
    <w:rsid w:val="00365E63"/>
    <w:rsid w:val="00372F78"/>
    <w:rsid w:val="0037388B"/>
    <w:rsid w:val="0037731B"/>
    <w:rsid w:val="003877E8"/>
    <w:rsid w:val="003918CE"/>
    <w:rsid w:val="003962CC"/>
    <w:rsid w:val="003A44E0"/>
    <w:rsid w:val="003A4D0C"/>
    <w:rsid w:val="003B0877"/>
    <w:rsid w:val="003B7BF4"/>
    <w:rsid w:val="003C17B7"/>
    <w:rsid w:val="003D133C"/>
    <w:rsid w:val="003D3A3A"/>
    <w:rsid w:val="003D5536"/>
    <w:rsid w:val="003D59F3"/>
    <w:rsid w:val="003E3843"/>
    <w:rsid w:val="003E3CF9"/>
    <w:rsid w:val="003E69AC"/>
    <w:rsid w:val="003E6DFE"/>
    <w:rsid w:val="003F37C5"/>
    <w:rsid w:val="0040181D"/>
    <w:rsid w:val="00403350"/>
    <w:rsid w:val="00403A2C"/>
    <w:rsid w:val="0040472E"/>
    <w:rsid w:val="00412924"/>
    <w:rsid w:val="00417982"/>
    <w:rsid w:val="00417F6B"/>
    <w:rsid w:val="004253F8"/>
    <w:rsid w:val="004345BB"/>
    <w:rsid w:val="00451FF1"/>
    <w:rsid w:val="004661A6"/>
    <w:rsid w:val="00470DA4"/>
    <w:rsid w:val="004727F5"/>
    <w:rsid w:val="00473335"/>
    <w:rsid w:val="004829D3"/>
    <w:rsid w:val="00482B81"/>
    <w:rsid w:val="004A6144"/>
    <w:rsid w:val="004A7662"/>
    <w:rsid w:val="004B34BA"/>
    <w:rsid w:val="004B624D"/>
    <w:rsid w:val="004C0AE9"/>
    <w:rsid w:val="004D34C2"/>
    <w:rsid w:val="004F1E6C"/>
    <w:rsid w:val="004F2CC1"/>
    <w:rsid w:val="004F4E59"/>
    <w:rsid w:val="00510DCD"/>
    <w:rsid w:val="00514C29"/>
    <w:rsid w:val="0052339E"/>
    <w:rsid w:val="0052522F"/>
    <w:rsid w:val="00526E4D"/>
    <w:rsid w:val="0053074F"/>
    <w:rsid w:val="00533D2D"/>
    <w:rsid w:val="0054254E"/>
    <w:rsid w:val="00543058"/>
    <w:rsid w:val="00545D85"/>
    <w:rsid w:val="00552D86"/>
    <w:rsid w:val="0055389D"/>
    <w:rsid w:val="0055564B"/>
    <w:rsid w:val="0055605C"/>
    <w:rsid w:val="00560614"/>
    <w:rsid w:val="00562413"/>
    <w:rsid w:val="005658AB"/>
    <w:rsid w:val="00573A46"/>
    <w:rsid w:val="00585053"/>
    <w:rsid w:val="005901E4"/>
    <w:rsid w:val="00590572"/>
    <w:rsid w:val="00590BBA"/>
    <w:rsid w:val="005924FF"/>
    <w:rsid w:val="005970C3"/>
    <w:rsid w:val="005B3CE8"/>
    <w:rsid w:val="005B439F"/>
    <w:rsid w:val="005B5106"/>
    <w:rsid w:val="005C7477"/>
    <w:rsid w:val="005D68A2"/>
    <w:rsid w:val="005E6160"/>
    <w:rsid w:val="005F2887"/>
    <w:rsid w:val="005F4ABC"/>
    <w:rsid w:val="006006B5"/>
    <w:rsid w:val="0061734C"/>
    <w:rsid w:val="0062334E"/>
    <w:rsid w:val="00626C37"/>
    <w:rsid w:val="006329AB"/>
    <w:rsid w:val="006426AB"/>
    <w:rsid w:val="00642AA0"/>
    <w:rsid w:val="00643F7E"/>
    <w:rsid w:val="0065135B"/>
    <w:rsid w:val="00653974"/>
    <w:rsid w:val="00653B4F"/>
    <w:rsid w:val="006677C9"/>
    <w:rsid w:val="00671E9A"/>
    <w:rsid w:val="00686B4F"/>
    <w:rsid w:val="00690ED1"/>
    <w:rsid w:val="006936AC"/>
    <w:rsid w:val="00694B0B"/>
    <w:rsid w:val="006A1633"/>
    <w:rsid w:val="006A4FBD"/>
    <w:rsid w:val="006B24D1"/>
    <w:rsid w:val="006C3663"/>
    <w:rsid w:val="006C5FCC"/>
    <w:rsid w:val="006C681D"/>
    <w:rsid w:val="006D17B1"/>
    <w:rsid w:val="006D492B"/>
    <w:rsid w:val="006E5BA2"/>
    <w:rsid w:val="006F47C5"/>
    <w:rsid w:val="006F4921"/>
    <w:rsid w:val="006F543C"/>
    <w:rsid w:val="00702F20"/>
    <w:rsid w:val="00703851"/>
    <w:rsid w:val="007043CF"/>
    <w:rsid w:val="00711F5A"/>
    <w:rsid w:val="00712084"/>
    <w:rsid w:val="00741E9B"/>
    <w:rsid w:val="007434C4"/>
    <w:rsid w:val="0076622C"/>
    <w:rsid w:val="00783E60"/>
    <w:rsid w:val="00784B9F"/>
    <w:rsid w:val="007A06BC"/>
    <w:rsid w:val="007A47F6"/>
    <w:rsid w:val="007A7210"/>
    <w:rsid w:val="007B0F95"/>
    <w:rsid w:val="007C1D76"/>
    <w:rsid w:val="007C1DDF"/>
    <w:rsid w:val="007E72BE"/>
    <w:rsid w:val="007F2786"/>
    <w:rsid w:val="007F3DA1"/>
    <w:rsid w:val="007F7414"/>
    <w:rsid w:val="00802029"/>
    <w:rsid w:val="00803877"/>
    <w:rsid w:val="00807820"/>
    <w:rsid w:val="008204A8"/>
    <w:rsid w:val="00824E48"/>
    <w:rsid w:val="008263C8"/>
    <w:rsid w:val="00837B67"/>
    <w:rsid w:val="00851251"/>
    <w:rsid w:val="00855796"/>
    <w:rsid w:val="008646E8"/>
    <w:rsid w:val="00870C46"/>
    <w:rsid w:val="00870E7B"/>
    <w:rsid w:val="00874B43"/>
    <w:rsid w:val="00874E18"/>
    <w:rsid w:val="00874E9D"/>
    <w:rsid w:val="00880B77"/>
    <w:rsid w:val="008820FE"/>
    <w:rsid w:val="0089243F"/>
    <w:rsid w:val="008A45CF"/>
    <w:rsid w:val="008A6345"/>
    <w:rsid w:val="008B4910"/>
    <w:rsid w:val="008B59A1"/>
    <w:rsid w:val="008C79E4"/>
    <w:rsid w:val="008D6296"/>
    <w:rsid w:val="008E12C1"/>
    <w:rsid w:val="008E2009"/>
    <w:rsid w:val="008E40E7"/>
    <w:rsid w:val="008E7FA9"/>
    <w:rsid w:val="008F0128"/>
    <w:rsid w:val="008F24F8"/>
    <w:rsid w:val="008F56C9"/>
    <w:rsid w:val="009015D1"/>
    <w:rsid w:val="0090221B"/>
    <w:rsid w:val="00905C06"/>
    <w:rsid w:val="00906C66"/>
    <w:rsid w:val="009236F5"/>
    <w:rsid w:val="0093146C"/>
    <w:rsid w:val="00953E6A"/>
    <w:rsid w:val="00953EE3"/>
    <w:rsid w:val="00960879"/>
    <w:rsid w:val="00961E4C"/>
    <w:rsid w:val="0096401A"/>
    <w:rsid w:val="00965101"/>
    <w:rsid w:val="0097624E"/>
    <w:rsid w:val="0097639B"/>
    <w:rsid w:val="0098343D"/>
    <w:rsid w:val="009853E5"/>
    <w:rsid w:val="0098541A"/>
    <w:rsid w:val="0099392F"/>
    <w:rsid w:val="0099711F"/>
    <w:rsid w:val="009B07C2"/>
    <w:rsid w:val="009B0AA3"/>
    <w:rsid w:val="009B3DCD"/>
    <w:rsid w:val="009B698D"/>
    <w:rsid w:val="009C7F85"/>
    <w:rsid w:val="009D15A0"/>
    <w:rsid w:val="009D22B6"/>
    <w:rsid w:val="009F520E"/>
    <w:rsid w:val="00A06721"/>
    <w:rsid w:val="00A14E84"/>
    <w:rsid w:val="00A16659"/>
    <w:rsid w:val="00A16C9E"/>
    <w:rsid w:val="00A2002B"/>
    <w:rsid w:val="00A30020"/>
    <w:rsid w:val="00A31A29"/>
    <w:rsid w:val="00A352B2"/>
    <w:rsid w:val="00A73002"/>
    <w:rsid w:val="00A9785C"/>
    <w:rsid w:val="00AA55C8"/>
    <w:rsid w:val="00AA5FF9"/>
    <w:rsid w:val="00AC63C0"/>
    <w:rsid w:val="00AC7FDB"/>
    <w:rsid w:val="00AD16EA"/>
    <w:rsid w:val="00AD3AFD"/>
    <w:rsid w:val="00AD558E"/>
    <w:rsid w:val="00AD7A98"/>
    <w:rsid w:val="00AF0766"/>
    <w:rsid w:val="00AF1724"/>
    <w:rsid w:val="00AF251B"/>
    <w:rsid w:val="00AF4BD2"/>
    <w:rsid w:val="00AF56F6"/>
    <w:rsid w:val="00AF7560"/>
    <w:rsid w:val="00B133FD"/>
    <w:rsid w:val="00B17D71"/>
    <w:rsid w:val="00B2460C"/>
    <w:rsid w:val="00B24CF6"/>
    <w:rsid w:val="00B33886"/>
    <w:rsid w:val="00B360C4"/>
    <w:rsid w:val="00B411DB"/>
    <w:rsid w:val="00B52CF7"/>
    <w:rsid w:val="00B54EBA"/>
    <w:rsid w:val="00B63F28"/>
    <w:rsid w:val="00B6579E"/>
    <w:rsid w:val="00B669C6"/>
    <w:rsid w:val="00B6705A"/>
    <w:rsid w:val="00B721C6"/>
    <w:rsid w:val="00B7431D"/>
    <w:rsid w:val="00B743A7"/>
    <w:rsid w:val="00B81FFD"/>
    <w:rsid w:val="00B91B6B"/>
    <w:rsid w:val="00B95168"/>
    <w:rsid w:val="00B9770C"/>
    <w:rsid w:val="00BA7124"/>
    <w:rsid w:val="00BB0BA5"/>
    <w:rsid w:val="00BB5025"/>
    <w:rsid w:val="00BC13F2"/>
    <w:rsid w:val="00BC1F2C"/>
    <w:rsid w:val="00BC5A30"/>
    <w:rsid w:val="00BD1725"/>
    <w:rsid w:val="00BD497A"/>
    <w:rsid w:val="00BE59E9"/>
    <w:rsid w:val="00BE740F"/>
    <w:rsid w:val="00BF111F"/>
    <w:rsid w:val="00BF2DEA"/>
    <w:rsid w:val="00C07D0F"/>
    <w:rsid w:val="00C23030"/>
    <w:rsid w:val="00C2531E"/>
    <w:rsid w:val="00C32F0F"/>
    <w:rsid w:val="00C45933"/>
    <w:rsid w:val="00C54AF0"/>
    <w:rsid w:val="00C6340D"/>
    <w:rsid w:val="00C639A1"/>
    <w:rsid w:val="00C65D1A"/>
    <w:rsid w:val="00C74B51"/>
    <w:rsid w:val="00C96504"/>
    <w:rsid w:val="00C97167"/>
    <w:rsid w:val="00CA083A"/>
    <w:rsid w:val="00CA5FEB"/>
    <w:rsid w:val="00CB0666"/>
    <w:rsid w:val="00CB2980"/>
    <w:rsid w:val="00CB2A70"/>
    <w:rsid w:val="00CC31C2"/>
    <w:rsid w:val="00CD40F1"/>
    <w:rsid w:val="00D11930"/>
    <w:rsid w:val="00D120A8"/>
    <w:rsid w:val="00D140C8"/>
    <w:rsid w:val="00D1721F"/>
    <w:rsid w:val="00D21388"/>
    <w:rsid w:val="00D26465"/>
    <w:rsid w:val="00D300AC"/>
    <w:rsid w:val="00D31438"/>
    <w:rsid w:val="00D36DFF"/>
    <w:rsid w:val="00D371B5"/>
    <w:rsid w:val="00D4753B"/>
    <w:rsid w:val="00D5428D"/>
    <w:rsid w:val="00D54365"/>
    <w:rsid w:val="00D67917"/>
    <w:rsid w:val="00D7020B"/>
    <w:rsid w:val="00D70F81"/>
    <w:rsid w:val="00D81AA4"/>
    <w:rsid w:val="00D81BDA"/>
    <w:rsid w:val="00D83C59"/>
    <w:rsid w:val="00D9029F"/>
    <w:rsid w:val="00D979D3"/>
    <w:rsid w:val="00DB0428"/>
    <w:rsid w:val="00DB4D68"/>
    <w:rsid w:val="00DC309A"/>
    <w:rsid w:val="00DC4E6C"/>
    <w:rsid w:val="00DC7779"/>
    <w:rsid w:val="00DD225B"/>
    <w:rsid w:val="00DE461E"/>
    <w:rsid w:val="00DF355B"/>
    <w:rsid w:val="00E35B19"/>
    <w:rsid w:val="00E37BF0"/>
    <w:rsid w:val="00E538EA"/>
    <w:rsid w:val="00E62B52"/>
    <w:rsid w:val="00E7144F"/>
    <w:rsid w:val="00E8285D"/>
    <w:rsid w:val="00E85B2A"/>
    <w:rsid w:val="00E86A2D"/>
    <w:rsid w:val="00E90422"/>
    <w:rsid w:val="00EA570A"/>
    <w:rsid w:val="00EB3AC2"/>
    <w:rsid w:val="00EB574C"/>
    <w:rsid w:val="00EB5B28"/>
    <w:rsid w:val="00EB5FFE"/>
    <w:rsid w:val="00ED6E8E"/>
    <w:rsid w:val="00ED70A7"/>
    <w:rsid w:val="00EE201E"/>
    <w:rsid w:val="00EE2080"/>
    <w:rsid w:val="00EE5236"/>
    <w:rsid w:val="00EE6323"/>
    <w:rsid w:val="00F12E06"/>
    <w:rsid w:val="00F1713B"/>
    <w:rsid w:val="00F2060A"/>
    <w:rsid w:val="00F23B2F"/>
    <w:rsid w:val="00F2430A"/>
    <w:rsid w:val="00F36B43"/>
    <w:rsid w:val="00F464BE"/>
    <w:rsid w:val="00F46EE4"/>
    <w:rsid w:val="00F51256"/>
    <w:rsid w:val="00F51EAC"/>
    <w:rsid w:val="00F5626B"/>
    <w:rsid w:val="00F65F89"/>
    <w:rsid w:val="00F7115D"/>
    <w:rsid w:val="00F71AC6"/>
    <w:rsid w:val="00F73506"/>
    <w:rsid w:val="00F746A1"/>
    <w:rsid w:val="00F77DC3"/>
    <w:rsid w:val="00FA682A"/>
    <w:rsid w:val="00FB4874"/>
    <w:rsid w:val="00FB53FB"/>
    <w:rsid w:val="00FB7858"/>
    <w:rsid w:val="00FC0062"/>
    <w:rsid w:val="00FC2E36"/>
    <w:rsid w:val="00FD037E"/>
    <w:rsid w:val="00FD13D0"/>
    <w:rsid w:val="00FF1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D14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34C"/>
    <w:pPr>
      <w:widowControl w:val="0"/>
      <w:autoSpaceDE w:val="0"/>
      <w:autoSpaceDN w:val="0"/>
      <w:adjustRightInd w:val="0"/>
    </w:pPr>
    <w:rPr>
      <w:rFonts w:ascii="Arial" w:eastAsia="Times New Roman" w:hAnsi="Arial" w:cs="Arial"/>
    </w:rPr>
  </w:style>
  <w:style w:type="paragraph" w:styleId="Heading2">
    <w:name w:val="heading 2"/>
    <w:basedOn w:val="Normal"/>
    <w:next w:val="Normal"/>
    <w:link w:val="Heading2Char"/>
    <w:uiPriority w:val="9"/>
    <w:semiHidden/>
    <w:unhideWhenUsed/>
    <w:qFormat/>
    <w:rsid w:val="004D34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3138EA"/>
    <w:pPr>
      <w:autoSpaceDE/>
      <w:autoSpaceDN/>
      <w:adjustRightInd/>
      <w:spacing w:before="15"/>
      <w:outlineLvl w:val="2"/>
    </w:pPr>
    <w:rPr>
      <w:rFonts w:eastAsia="Arial" w:cstheme="min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D2D"/>
    <w:pPr>
      <w:tabs>
        <w:tab w:val="center" w:pos="4320"/>
        <w:tab w:val="right" w:pos="8640"/>
      </w:tabs>
    </w:pPr>
  </w:style>
  <w:style w:type="character" w:customStyle="1" w:styleId="HeaderChar">
    <w:name w:val="Header Char"/>
    <w:link w:val="Header"/>
    <w:uiPriority w:val="99"/>
    <w:rsid w:val="00533D2D"/>
    <w:rPr>
      <w:rFonts w:ascii="Arial" w:eastAsia="Times New Roman" w:hAnsi="Arial" w:cs="Arial"/>
      <w:sz w:val="20"/>
      <w:szCs w:val="20"/>
    </w:rPr>
  </w:style>
  <w:style w:type="character" w:styleId="PageNumber">
    <w:name w:val="page number"/>
    <w:uiPriority w:val="99"/>
    <w:rsid w:val="00533D2D"/>
    <w:rPr>
      <w:rFonts w:cs="Times New Roman"/>
    </w:rPr>
  </w:style>
  <w:style w:type="paragraph" w:styleId="PlainText">
    <w:name w:val="Plain Text"/>
    <w:basedOn w:val="Normal"/>
    <w:link w:val="PlainTextChar"/>
    <w:rsid w:val="006677C9"/>
    <w:pPr>
      <w:widowControl/>
      <w:autoSpaceDE/>
      <w:autoSpaceDN/>
      <w:adjustRightInd/>
    </w:pPr>
    <w:rPr>
      <w:rFonts w:ascii="Courier New" w:hAnsi="Courier New" w:cs="Times New Roman"/>
    </w:rPr>
  </w:style>
  <w:style w:type="character" w:customStyle="1" w:styleId="PlainTextChar">
    <w:name w:val="Plain Text Char"/>
    <w:link w:val="PlainText"/>
    <w:rsid w:val="006677C9"/>
    <w:rPr>
      <w:rFonts w:ascii="Courier New" w:eastAsia="Times New Roman" w:hAnsi="Courier New"/>
    </w:rPr>
  </w:style>
  <w:style w:type="paragraph" w:styleId="Footer">
    <w:name w:val="footer"/>
    <w:basedOn w:val="Normal"/>
    <w:link w:val="FooterChar"/>
    <w:uiPriority w:val="99"/>
    <w:unhideWhenUsed/>
    <w:rsid w:val="00032B89"/>
    <w:pPr>
      <w:tabs>
        <w:tab w:val="center" w:pos="4680"/>
        <w:tab w:val="right" w:pos="9360"/>
      </w:tabs>
    </w:pPr>
  </w:style>
  <w:style w:type="character" w:customStyle="1" w:styleId="FooterChar">
    <w:name w:val="Footer Char"/>
    <w:link w:val="Footer"/>
    <w:uiPriority w:val="99"/>
    <w:rsid w:val="00032B89"/>
    <w:rPr>
      <w:rFonts w:ascii="Arial" w:eastAsia="Times New Roman" w:hAnsi="Arial" w:cs="Arial"/>
    </w:rPr>
  </w:style>
  <w:style w:type="table" w:styleId="TableGrid">
    <w:name w:val="Table Grid"/>
    <w:basedOn w:val="TableNormal"/>
    <w:uiPriority w:val="59"/>
    <w:rsid w:val="0003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C65D1A"/>
    <w:rPr>
      <w:sz w:val="16"/>
      <w:szCs w:val="16"/>
    </w:rPr>
  </w:style>
  <w:style w:type="paragraph" w:styleId="CommentText">
    <w:name w:val="annotation text"/>
    <w:basedOn w:val="Normal"/>
    <w:link w:val="CommentTextChar"/>
    <w:unhideWhenUsed/>
    <w:rsid w:val="00C65D1A"/>
  </w:style>
  <w:style w:type="character" w:customStyle="1" w:styleId="CommentTextChar">
    <w:name w:val="Comment Text Char"/>
    <w:link w:val="CommentText"/>
    <w:rsid w:val="00C65D1A"/>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65D1A"/>
    <w:rPr>
      <w:b/>
      <w:bCs/>
    </w:rPr>
  </w:style>
  <w:style w:type="character" w:customStyle="1" w:styleId="CommentSubjectChar">
    <w:name w:val="Comment Subject Char"/>
    <w:link w:val="CommentSubject"/>
    <w:uiPriority w:val="99"/>
    <w:semiHidden/>
    <w:rsid w:val="00C65D1A"/>
    <w:rPr>
      <w:rFonts w:ascii="Arial" w:eastAsia="Times New Roman" w:hAnsi="Arial" w:cs="Arial"/>
      <w:b/>
      <w:bCs/>
    </w:rPr>
  </w:style>
  <w:style w:type="paragraph" w:styleId="BalloonText">
    <w:name w:val="Balloon Text"/>
    <w:basedOn w:val="Normal"/>
    <w:link w:val="BalloonTextChar"/>
    <w:uiPriority w:val="99"/>
    <w:semiHidden/>
    <w:unhideWhenUsed/>
    <w:rsid w:val="00C65D1A"/>
    <w:rPr>
      <w:rFonts w:ascii="Segoe UI" w:hAnsi="Segoe UI" w:cs="Segoe UI"/>
      <w:sz w:val="18"/>
      <w:szCs w:val="18"/>
    </w:rPr>
  </w:style>
  <w:style w:type="character" w:customStyle="1" w:styleId="BalloonTextChar">
    <w:name w:val="Balloon Text Char"/>
    <w:link w:val="BalloonText"/>
    <w:uiPriority w:val="99"/>
    <w:semiHidden/>
    <w:rsid w:val="00C65D1A"/>
    <w:rPr>
      <w:rFonts w:ascii="Segoe UI" w:eastAsia="Times New Roman" w:hAnsi="Segoe UI" w:cs="Segoe UI"/>
      <w:sz w:val="18"/>
      <w:szCs w:val="18"/>
    </w:rPr>
  </w:style>
  <w:style w:type="character" w:styleId="Hyperlink">
    <w:name w:val="Hyperlink"/>
    <w:uiPriority w:val="99"/>
    <w:unhideWhenUsed/>
    <w:rsid w:val="00CB2A70"/>
    <w:rPr>
      <w:color w:val="0563C1"/>
      <w:u w:val="single"/>
    </w:rPr>
  </w:style>
  <w:style w:type="paragraph" w:styleId="ListParagraph">
    <w:name w:val="List Paragraph"/>
    <w:basedOn w:val="Normal"/>
    <w:uiPriority w:val="34"/>
    <w:qFormat/>
    <w:rsid w:val="00905C06"/>
    <w:pPr>
      <w:ind w:left="720"/>
      <w:contextualSpacing/>
    </w:pPr>
  </w:style>
  <w:style w:type="character" w:customStyle="1" w:styleId="Heading3Char">
    <w:name w:val="Heading 3 Char"/>
    <w:basedOn w:val="DefaultParagraphFont"/>
    <w:link w:val="Heading3"/>
    <w:uiPriority w:val="1"/>
    <w:rsid w:val="003138EA"/>
    <w:rPr>
      <w:rFonts w:ascii="Arial" w:eastAsia="Arial" w:hAnsi="Arial" w:cstheme="minorBidi"/>
      <w:b/>
      <w:bCs/>
      <w:sz w:val="16"/>
      <w:szCs w:val="16"/>
    </w:rPr>
  </w:style>
  <w:style w:type="character" w:customStyle="1" w:styleId="Heading2Char">
    <w:name w:val="Heading 2 Char"/>
    <w:basedOn w:val="DefaultParagraphFont"/>
    <w:link w:val="Heading2"/>
    <w:uiPriority w:val="9"/>
    <w:semiHidden/>
    <w:rsid w:val="004D34C2"/>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rsid w:val="00143B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34C"/>
    <w:pPr>
      <w:widowControl w:val="0"/>
      <w:autoSpaceDE w:val="0"/>
      <w:autoSpaceDN w:val="0"/>
      <w:adjustRightInd w:val="0"/>
    </w:pPr>
    <w:rPr>
      <w:rFonts w:ascii="Arial" w:eastAsia="Times New Roman" w:hAnsi="Arial" w:cs="Arial"/>
    </w:rPr>
  </w:style>
  <w:style w:type="paragraph" w:styleId="Heading2">
    <w:name w:val="heading 2"/>
    <w:basedOn w:val="Normal"/>
    <w:next w:val="Normal"/>
    <w:link w:val="Heading2Char"/>
    <w:uiPriority w:val="9"/>
    <w:semiHidden/>
    <w:unhideWhenUsed/>
    <w:qFormat/>
    <w:rsid w:val="004D34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3138EA"/>
    <w:pPr>
      <w:autoSpaceDE/>
      <w:autoSpaceDN/>
      <w:adjustRightInd/>
      <w:spacing w:before="15"/>
      <w:outlineLvl w:val="2"/>
    </w:pPr>
    <w:rPr>
      <w:rFonts w:eastAsia="Arial" w:cstheme="min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D2D"/>
    <w:pPr>
      <w:tabs>
        <w:tab w:val="center" w:pos="4320"/>
        <w:tab w:val="right" w:pos="8640"/>
      </w:tabs>
    </w:pPr>
  </w:style>
  <w:style w:type="character" w:customStyle="1" w:styleId="HeaderChar">
    <w:name w:val="Header Char"/>
    <w:link w:val="Header"/>
    <w:uiPriority w:val="99"/>
    <w:rsid w:val="00533D2D"/>
    <w:rPr>
      <w:rFonts w:ascii="Arial" w:eastAsia="Times New Roman" w:hAnsi="Arial" w:cs="Arial"/>
      <w:sz w:val="20"/>
      <w:szCs w:val="20"/>
    </w:rPr>
  </w:style>
  <w:style w:type="character" w:styleId="PageNumber">
    <w:name w:val="page number"/>
    <w:uiPriority w:val="99"/>
    <w:rsid w:val="00533D2D"/>
    <w:rPr>
      <w:rFonts w:cs="Times New Roman"/>
    </w:rPr>
  </w:style>
  <w:style w:type="paragraph" w:styleId="PlainText">
    <w:name w:val="Plain Text"/>
    <w:basedOn w:val="Normal"/>
    <w:link w:val="PlainTextChar"/>
    <w:rsid w:val="006677C9"/>
    <w:pPr>
      <w:widowControl/>
      <w:autoSpaceDE/>
      <w:autoSpaceDN/>
      <w:adjustRightInd/>
    </w:pPr>
    <w:rPr>
      <w:rFonts w:ascii="Courier New" w:hAnsi="Courier New" w:cs="Times New Roman"/>
    </w:rPr>
  </w:style>
  <w:style w:type="character" w:customStyle="1" w:styleId="PlainTextChar">
    <w:name w:val="Plain Text Char"/>
    <w:link w:val="PlainText"/>
    <w:rsid w:val="006677C9"/>
    <w:rPr>
      <w:rFonts w:ascii="Courier New" w:eastAsia="Times New Roman" w:hAnsi="Courier New"/>
    </w:rPr>
  </w:style>
  <w:style w:type="paragraph" w:styleId="Footer">
    <w:name w:val="footer"/>
    <w:basedOn w:val="Normal"/>
    <w:link w:val="FooterChar"/>
    <w:uiPriority w:val="99"/>
    <w:unhideWhenUsed/>
    <w:rsid w:val="00032B89"/>
    <w:pPr>
      <w:tabs>
        <w:tab w:val="center" w:pos="4680"/>
        <w:tab w:val="right" w:pos="9360"/>
      </w:tabs>
    </w:pPr>
  </w:style>
  <w:style w:type="character" w:customStyle="1" w:styleId="FooterChar">
    <w:name w:val="Footer Char"/>
    <w:link w:val="Footer"/>
    <w:uiPriority w:val="99"/>
    <w:rsid w:val="00032B89"/>
    <w:rPr>
      <w:rFonts w:ascii="Arial" w:eastAsia="Times New Roman" w:hAnsi="Arial" w:cs="Arial"/>
    </w:rPr>
  </w:style>
  <w:style w:type="table" w:styleId="TableGrid">
    <w:name w:val="Table Grid"/>
    <w:basedOn w:val="TableNormal"/>
    <w:uiPriority w:val="59"/>
    <w:rsid w:val="0003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C65D1A"/>
    <w:rPr>
      <w:sz w:val="16"/>
      <w:szCs w:val="16"/>
    </w:rPr>
  </w:style>
  <w:style w:type="paragraph" w:styleId="CommentText">
    <w:name w:val="annotation text"/>
    <w:basedOn w:val="Normal"/>
    <w:link w:val="CommentTextChar"/>
    <w:unhideWhenUsed/>
    <w:rsid w:val="00C65D1A"/>
  </w:style>
  <w:style w:type="character" w:customStyle="1" w:styleId="CommentTextChar">
    <w:name w:val="Comment Text Char"/>
    <w:link w:val="CommentText"/>
    <w:rsid w:val="00C65D1A"/>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65D1A"/>
    <w:rPr>
      <w:b/>
      <w:bCs/>
    </w:rPr>
  </w:style>
  <w:style w:type="character" w:customStyle="1" w:styleId="CommentSubjectChar">
    <w:name w:val="Comment Subject Char"/>
    <w:link w:val="CommentSubject"/>
    <w:uiPriority w:val="99"/>
    <w:semiHidden/>
    <w:rsid w:val="00C65D1A"/>
    <w:rPr>
      <w:rFonts w:ascii="Arial" w:eastAsia="Times New Roman" w:hAnsi="Arial" w:cs="Arial"/>
      <w:b/>
      <w:bCs/>
    </w:rPr>
  </w:style>
  <w:style w:type="paragraph" w:styleId="BalloonText">
    <w:name w:val="Balloon Text"/>
    <w:basedOn w:val="Normal"/>
    <w:link w:val="BalloonTextChar"/>
    <w:uiPriority w:val="99"/>
    <w:semiHidden/>
    <w:unhideWhenUsed/>
    <w:rsid w:val="00C65D1A"/>
    <w:rPr>
      <w:rFonts w:ascii="Segoe UI" w:hAnsi="Segoe UI" w:cs="Segoe UI"/>
      <w:sz w:val="18"/>
      <w:szCs w:val="18"/>
    </w:rPr>
  </w:style>
  <w:style w:type="character" w:customStyle="1" w:styleId="BalloonTextChar">
    <w:name w:val="Balloon Text Char"/>
    <w:link w:val="BalloonText"/>
    <w:uiPriority w:val="99"/>
    <w:semiHidden/>
    <w:rsid w:val="00C65D1A"/>
    <w:rPr>
      <w:rFonts w:ascii="Segoe UI" w:eastAsia="Times New Roman" w:hAnsi="Segoe UI" w:cs="Segoe UI"/>
      <w:sz w:val="18"/>
      <w:szCs w:val="18"/>
    </w:rPr>
  </w:style>
  <w:style w:type="character" w:styleId="Hyperlink">
    <w:name w:val="Hyperlink"/>
    <w:uiPriority w:val="99"/>
    <w:unhideWhenUsed/>
    <w:rsid w:val="00CB2A70"/>
    <w:rPr>
      <w:color w:val="0563C1"/>
      <w:u w:val="single"/>
    </w:rPr>
  </w:style>
  <w:style w:type="paragraph" w:styleId="ListParagraph">
    <w:name w:val="List Paragraph"/>
    <w:basedOn w:val="Normal"/>
    <w:uiPriority w:val="34"/>
    <w:qFormat/>
    <w:rsid w:val="00905C06"/>
    <w:pPr>
      <w:ind w:left="720"/>
      <w:contextualSpacing/>
    </w:pPr>
  </w:style>
  <w:style w:type="character" w:customStyle="1" w:styleId="Heading3Char">
    <w:name w:val="Heading 3 Char"/>
    <w:basedOn w:val="DefaultParagraphFont"/>
    <w:link w:val="Heading3"/>
    <w:uiPriority w:val="1"/>
    <w:rsid w:val="003138EA"/>
    <w:rPr>
      <w:rFonts w:ascii="Arial" w:eastAsia="Arial" w:hAnsi="Arial" w:cstheme="minorBidi"/>
      <w:b/>
      <w:bCs/>
      <w:sz w:val="16"/>
      <w:szCs w:val="16"/>
    </w:rPr>
  </w:style>
  <w:style w:type="character" w:customStyle="1" w:styleId="Heading2Char">
    <w:name w:val="Heading 2 Char"/>
    <w:basedOn w:val="DefaultParagraphFont"/>
    <w:link w:val="Heading2"/>
    <w:uiPriority w:val="9"/>
    <w:semiHidden/>
    <w:rsid w:val="004D34C2"/>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rsid w:val="00143B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790487">
      <w:bodyDiv w:val="1"/>
      <w:marLeft w:val="0"/>
      <w:marRight w:val="0"/>
      <w:marTop w:val="0"/>
      <w:marBottom w:val="0"/>
      <w:divBdr>
        <w:top w:val="none" w:sz="0" w:space="0" w:color="auto"/>
        <w:left w:val="none" w:sz="0" w:space="0" w:color="auto"/>
        <w:bottom w:val="none" w:sz="0" w:space="0" w:color="auto"/>
        <w:right w:val="none" w:sz="0" w:space="0" w:color="auto"/>
      </w:divBdr>
    </w:div>
    <w:div w:id="940726892">
      <w:bodyDiv w:val="1"/>
      <w:marLeft w:val="0"/>
      <w:marRight w:val="0"/>
      <w:marTop w:val="0"/>
      <w:marBottom w:val="0"/>
      <w:divBdr>
        <w:top w:val="none" w:sz="0" w:space="0" w:color="auto"/>
        <w:left w:val="none" w:sz="0" w:space="0" w:color="auto"/>
        <w:bottom w:val="none" w:sz="0" w:space="0" w:color="auto"/>
        <w:right w:val="none" w:sz="0" w:space="0" w:color="auto"/>
      </w:divBdr>
    </w:div>
    <w:div w:id="990208724">
      <w:bodyDiv w:val="1"/>
      <w:marLeft w:val="0"/>
      <w:marRight w:val="0"/>
      <w:marTop w:val="0"/>
      <w:marBottom w:val="0"/>
      <w:divBdr>
        <w:top w:val="none" w:sz="0" w:space="0" w:color="auto"/>
        <w:left w:val="none" w:sz="0" w:space="0" w:color="auto"/>
        <w:bottom w:val="none" w:sz="0" w:space="0" w:color="auto"/>
        <w:right w:val="none" w:sz="0" w:space="0" w:color="auto"/>
      </w:divBdr>
    </w:div>
    <w:div w:id="1269704285">
      <w:bodyDiv w:val="1"/>
      <w:marLeft w:val="0"/>
      <w:marRight w:val="0"/>
      <w:marTop w:val="0"/>
      <w:marBottom w:val="0"/>
      <w:divBdr>
        <w:top w:val="none" w:sz="0" w:space="0" w:color="auto"/>
        <w:left w:val="none" w:sz="0" w:space="0" w:color="auto"/>
        <w:bottom w:val="none" w:sz="0" w:space="0" w:color="auto"/>
        <w:right w:val="none" w:sz="0" w:space="0" w:color="auto"/>
      </w:divBdr>
    </w:div>
    <w:div w:id="1307858365">
      <w:bodyDiv w:val="1"/>
      <w:marLeft w:val="0"/>
      <w:marRight w:val="0"/>
      <w:marTop w:val="0"/>
      <w:marBottom w:val="0"/>
      <w:divBdr>
        <w:top w:val="none" w:sz="0" w:space="0" w:color="auto"/>
        <w:left w:val="none" w:sz="0" w:space="0" w:color="auto"/>
        <w:bottom w:val="none" w:sz="0" w:space="0" w:color="auto"/>
        <w:right w:val="none" w:sz="0" w:space="0" w:color="auto"/>
      </w:divBdr>
    </w:div>
    <w:div w:id="1315984819">
      <w:bodyDiv w:val="1"/>
      <w:marLeft w:val="0"/>
      <w:marRight w:val="0"/>
      <w:marTop w:val="0"/>
      <w:marBottom w:val="0"/>
      <w:divBdr>
        <w:top w:val="none" w:sz="0" w:space="0" w:color="auto"/>
        <w:left w:val="none" w:sz="0" w:space="0" w:color="auto"/>
        <w:bottom w:val="none" w:sz="0" w:space="0" w:color="auto"/>
        <w:right w:val="none" w:sz="0" w:space="0" w:color="auto"/>
      </w:divBdr>
    </w:div>
    <w:div w:id="137391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b.gov/forms/5000.s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ttb.gov/forms/5000.s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xports@ttb.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05143-ECB5-42A0-BD82-502A49336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3005</Words>
  <Characters>17134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20099</CharactersWithSpaces>
  <SharedDoc>false</SharedDoc>
  <HLinks>
    <vt:vector size="18" baseType="variant">
      <vt:variant>
        <vt:i4>5111890</vt:i4>
      </vt:variant>
      <vt:variant>
        <vt:i4>6</vt:i4>
      </vt:variant>
      <vt:variant>
        <vt:i4>0</vt:i4>
      </vt:variant>
      <vt:variant>
        <vt:i4>5</vt:i4>
      </vt:variant>
      <vt:variant>
        <vt:lpwstr>http://www.ttb.gov/foia/pia.shtml</vt:lpwstr>
      </vt:variant>
      <vt:variant>
        <vt:lpwstr/>
      </vt:variant>
      <vt:variant>
        <vt:i4>2883685</vt:i4>
      </vt:variant>
      <vt:variant>
        <vt:i4>3</vt:i4>
      </vt:variant>
      <vt:variant>
        <vt:i4>0</vt:i4>
      </vt:variant>
      <vt:variant>
        <vt:i4>5</vt:i4>
      </vt:variant>
      <vt:variant>
        <vt:lpwstr>http://www.ttb.gov/</vt:lpwstr>
      </vt:variant>
      <vt:variant>
        <vt:lpwstr/>
      </vt:variant>
      <vt:variant>
        <vt:i4>7798910</vt:i4>
      </vt:variant>
      <vt:variant>
        <vt:i4>0</vt:i4>
      </vt:variant>
      <vt:variant>
        <vt:i4>0</vt:i4>
      </vt:variant>
      <vt:variant>
        <vt:i4>5</vt:i4>
      </vt:variant>
      <vt:variant>
        <vt:lpwstr>http://www.ttb.gov/epayment/epayment.shtml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2018-11-23T00:17:00Z</dcterms:created>
  <dcterms:modified xsi:type="dcterms:W3CDTF">2018-11-23T00:17:00Z</dcterms:modified>
</cp:coreProperties>
</file>