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9B" w:rsidRPr="00BD0B86" w:rsidRDefault="0054736D" w:rsidP="00657559">
      <w:pPr>
        <w:spacing w:after="0" w:line="240" w:lineRule="auto"/>
        <w:rPr>
          <w:b/>
        </w:rPr>
      </w:pPr>
      <w:bookmarkStart w:id="0" w:name="_GoBack"/>
      <w:bookmarkEnd w:id="0"/>
      <w:r w:rsidRPr="00BD0B86">
        <w:rPr>
          <w:b/>
        </w:rPr>
        <w:t xml:space="preserve">Tax </w:t>
      </w:r>
      <w:r w:rsidR="00446246" w:rsidRPr="00BD0B86">
        <w:rPr>
          <w:b/>
        </w:rPr>
        <w:t xml:space="preserve">Compliance </w:t>
      </w:r>
      <w:r w:rsidR="008D7166" w:rsidRPr="00BD0B86">
        <w:rPr>
          <w:b/>
        </w:rPr>
        <w:t>Burden</w:t>
      </w:r>
    </w:p>
    <w:p w:rsidR="00B01AC7" w:rsidRPr="00BD0B86" w:rsidRDefault="00B01AC7" w:rsidP="00657559">
      <w:pPr>
        <w:spacing w:after="0" w:line="240" w:lineRule="auto"/>
      </w:pPr>
      <w:r w:rsidRPr="00BD0B86">
        <w:t xml:space="preserve">RAAS: </w:t>
      </w:r>
      <w:r w:rsidR="007D4D70" w:rsidRPr="00BD0B86">
        <w:t>John Guyton, Pat Langetieg, Pete Rose, Brenda Schafer</w:t>
      </w:r>
    </w:p>
    <w:p w:rsidR="00B01AC7" w:rsidRPr="00BD0B86" w:rsidRDefault="00B01AC7" w:rsidP="00657559">
      <w:pPr>
        <w:spacing w:after="0" w:line="240" w:lineRule="auto"/>
      </w:pPr>
      <w:r w:rsidRPr="00BD0B86">
        <w:t xml:space="preserve">W&amp;I Tax Forms and Publications: </w:t>
      </w:r>
      <w:r w:rsidR="007D4D70" w:rsidRPr="00BD0B86">
        <w:t xml:space="preserve">Carrie Holland, Tuawana Pinkston, </w:t>
      </w:r>
      <w:r w:rsidR="00BE76FB">
        <w:t>Maria Cheeks</w:t>
      </w:r>
    </w:p>
    <w:p w:rsidR="00CA5B7C" w:rsidRPr="00BD0B86" w:rsidRDefault="00452DEF" w:rsidP="00657559">
      <w:pPr>
        <w:spacing w:after="0" w:line="240" w:lineRule="auto"/>
      </w:pPr>
      <w:r>
        <w:t xml:space="preserve">April </w:t>
      </w:r>
      <w:r w:rsidR="00B25388">
        <w:t>15</w:t>
      </w:r>
      <w:r w:rsidR="00A406A5">
        <w:t xml:space="preserve">, </w:t>
      </w:r>
      <w:r w:rsidR="0078380F">
        <w:t>20</w:t>
      </w:r>
      <w:r w:rsidR="00367884">
        <w:t>18</w:t>
      </w:r>
    </w:p>
    <w:p w:rsidR="00CA5B7C" w:rsidRPr="00BD0B86" w:rsidRDefault="00CA5B7C" w:rsidP="00657559">
      <w:pPr>
        <w:spacing w:after="0" w:line="240" w:lineRule="auto"/>
      </w:pPr>
    </w:p>
    <w:p w:rsidR="00BC32A1" w:rsidRPr="00BD0B86" w:rsidRDefault="00CA5B7C" w:rsidP="00657559">
      <w:pPr>
        <w:pStyle w:val="ListParagraph"/>
        <w:numPr>
          <w:ilvl w:val="0"/>
          <w:numId w:val="19"/>
        </w:numPr>
        <w:ind w:left="360" w:hanging="360"/>
        <w:rPr>
          <w:rFonts w:asciiTheme="minorHAnsi" w:hAnsiTheme="minorHAnsi"/>
          <w:b/>
        </w:rPr>
      </w:pPr>
      <w:r w:rsidRPr="00BD0B86">
        <w:rPr>
          <w:rFonts w:asciiTheme="minorHAnsi" w:hAnsiTheme="minorHAnsi"/>
          <w:b/>
        </w:rPr>
        <w:t>I</w:t>
      </w:r>
      <w:r w:rsidR="000C7C7C" w:rsidRPr="00BD0B86">
        <w:rPr>
          <w:rFonts w:asciiTheme="minorHAnsi" w:hAnsiTheme="minorHAnsi"/>
          <w:b/>
        </w:rPr>
        <w:t>NTRODUCTION</w:t>
      </w:r>
    </w:p>
    <w:p w:rsidR="00424153" w:rsidRDefault="00424153" w:rsidP="001E492D">
      <w:pPr>
        <w:spacing w:after="0" w:line="240" w:lineRule="auto"/>
      </w:pPr>
      <w:r w:rsidRPr="00BD0B86">
        <w:t>The Paperwork Reduction Act of 1980 (PRA)</w:t>
      </w:r>
      <w:r w:rsidRPr="00BD0B86">
        <w:rPr>
          <w:rStyle w:val="FootnoteReference"/>
        </w:rPr>
        <w:footnoteReference w:id="1"/>
      </w:r>
      <w:r w:rsidR="00E84983">
        <w:t xml:space="preserve"> </w:t>
      </w:r>
      <w:r w:rsidRPr="00BD0B86">
        <w:rPr>
          <w:lang w:val="en"/>
        </w:rPr>
        <w:t xml:space="preserve">was enacted to minimize the public’s paperwork burden resulting from the growing information collection and reporting requirements imposed on it by the federal government. One of the provisions of the Act requires federal </w:t>
      </w:r>
      <w:r w:rsidR="007101A2" w:rsidRPr="00BD0B86">
        <w:rPr>
          <w:lang w:val="en"/>
        </w:rPr>
        <w:t>agencies</w:t>
      </w:r>
      <w:r w:rsidRPr="00BD0B86">
        <w:rPr>
          <w:rFonts w:cs="Arial"/>
          <w:lang w:val="en"/>
        </w:rPr>
        <w:t xml:space="preserve"> </w:t>
      </w:r>
      <w:r w:rsidR="007101A2" w:rsidRPr="00BD0B86">
        <w:rPr>
          <w:rFonts w:cs="Arial"/>
          <w:lang w:val="en"/>
        </w:rPr>
        <w:t>to report to Congress</w:t>
      </w:r>
      <w:r w:rsidRPr="00BD0B86">
        <w:rPr>
          <w:rFonts w:cs="Arial"/>
          <w:lang w:val="en"/>
        </w:rPr>
        <w:t xml:space="preserve"> the </w:t>
      </w:r>
      <w:r w:rsidR="00E84983">
        <w:rPr>
          <w:rFonts w:cs="Arial"/>
          <w:lang w:val="en"/>
        </w:rPr>
        <w:t>information collection</w:t>
      </w:r>
      <w:r w:rsidRPr="00BD0B86">
        <w:rPr>
          <w:rFonts w:cs="Arial"/>
          <w:lang w:val="en"/>
        </w:rPr>
        <w:t xml:space="preserve"> burden they impose. </w:t>
      </w:r>
      <w:r w:rsidR="00452DEF">
        <w:rPr>
          <w:rFonts w:cs="Arial"/>
          <w:lang w:val="en"/>
        </w:rPr>
        <w:t>The IRS collects</w:t>
      </w:r>
      <w:r w:rsidR="00452DEF">
        <w:t xml:space="preserve"> </w:t>
      </w:r>
      <w:r w:rsidR="00452DEF" w:rsidRPr="00231998">
        <w:t xml:space="preserve">information </w:t>
      </w:r>
      <w:r w:rsidR="00452DEF">
        <w:t>from taxpayers so that they can fulfil their</w:t>
      </w:r>
      <w:r w:rsidR="00452DEF" w:rsidRPr="00BD0B86">
        <w:t xml:space="preserve"> income reporting requirements and provide sufficient information to claim </w:t>
      </w:r>
      <w:r w:rsidR="00452DEF">
        <w:t xml:space="preserve">allowed </w:t>
      </w:r>
      <w:r w:rsidR="00452DEF" w:rsidRPr="00BD0B86">
        <w:t>deductions and credits against their taxable income</w:t>
      </w:r>
      <w:r w:rsidR="00452DEF">
        <w:t>.</w:t>
      </w:r>
      <w:r w:rsidR="00452DEF" w:rsidRPr="00231998">
        <w:t xml:space="preserve"> </w:t>
      </w:r>
    </w:p>
    <w:p w:rsidR="00E51554" w:rsidRDefault="00E51554" w:rsidP="001E492D">
      <w:pPr>
        <w:spacing w:after="0" w:line="240" w:lineRule="auto"/>
      </w:pPr>
    </w:p>
    <w:p w:rsidR="008D55B1" w:rsidRPr="00BD0B86" w:rsidRDefault="008D55B1" w:rsidP="008D55B1">
      <w:pPr>
        <w:spacing w:after="0" w:line="240" w:lineRule="auto"/>
      </w:pPr>
      <w:r w:rsidRPr="00BD0B86">
        <w:rPr>
          <w:rFonts w:eastAsia="Times New Roman" w:cs="Arial"/>
        </w:rPr>
        <w:t>The Wage &amp; Investment (W&amp;I) Media &amp; Publications coordinates all reporting of official burden estimates through the Department of Treasury to the Office of Management and Budget (OMB). The Office of Chief Counsel considers the impact of compliance burden associated with implementation of new regulations. The Department of Treasury Office of Tax Administration (OTA) oversees the methodology used by the IRS to provide burden estimates</w:t>
      </w:r>
      <w:r>
        <w:rPr>
          <w:rFonts w:eastAsia="Times New Roman" w:cs="Arial"/>
        </w:rPr>
        <w:t>.</w:t>
      </w:r>
      <w:r w:rsidRPr="00BD0B86">
        <w:rPr>
          <w:rFonts w:eastAsia="Times New Roman" w:cs="Arial"/>
        </w:rPr>
        <w:t xml:space="preserve"> </w:t>
      </w:r>
    </w:p>
    <w:p w:rsidR="001E492D" w:rsidRPr="00BD0B86" w:rsidRDefault="001E492D" w:rsidP="001E492D">
      <w:pPr>
        <w:spacing w:after="0" w:line="240" w:lineRule="auto"/>
      </w:pPr>
    </w:p>
    <w:p w:rsidR="002C2BCC" w:rsidRDefault="00231998" w:rsidP="00E84983">
      <w:pPr>
        <w:spacing w:after="0" w:line="240" w:lineRule="auto"/>
      </w:pPr>
      <w:r>
        <w:t>Tax compliance burden</w:t>
      </w:r>
      <w:r w:rsidRPr="00E51554">
        <w:t xml:space="preserve"> would be much greater</w:t>
      </w:r>
      <w:r>
        <w:t xml:space="preserve"> for the federal government and most of the public w</w:t>
      </w:r>
      <w:r w:rsidR="00E84983" w:rsidRPr="00E51554">
        <w:t>ithout tax forms to provide a framework for determining tax liability</w:t>
      </w:r>
      <w:r w:rsidR="00E84983">
        <w:t xml:space="preserve"> and claiming tax benefits</w:t>
      </w:r>
      <w:r w:rsidR="00E84983" w:rsidRPr="00E51554">
        <w:t xml:space="preserve">. Nevertheless, the Federal tax system imposes an enormous burden on </w:t>
      </w:r>
      <w:r w:rsidR="00E84983">
        <w:t>taxpayers</w:t>
      </w:r>
      <w:r w:rsidR="00E84983" w:rsidRPr="00E51554">
        <w:t>.</w:t>
      </w:r>
      <w:r w:rsidR="00E84983">
        <w:t xml:space="preserve"> It is estimated that tax compliance burden is </w:t>
      </w:r>
      <w:r w:rsidR="001A7039">
        <w:t xml:space="preserve">71% </w:t>
      </w:r>
      <w:r w:rsidR="00E84983">
        <w:t>of the annual federal paperwork burden.</w:t>
      </w:r>
      <w:r w:rsidR="00452DEF">
        <w:rPr>
          <w:rStyle w:val="FootnoteReference"/>
        </w:rPr>
        <w:footnoteReference w:id="2"/>
      </w:r>
      <w:r w:rsidR="00E84983">
        <w:t xml:space="preserve"> </w:t>
      </w:r>
      <w:r w:rsidR="00E84983" w:rsidRPr="001D513D">
        <w:t xml:space="preserve">Reduction of </w:t>
      </w:r>
      <w:r w:rsidR="00E84983">
        <w:t>tax compliance burden is</w:t>
      </w:r>
      <w:r w:rsidR="00E84983" w:rsidRPr="001D513D">
        <w:t xml:space="preserve"> one of the Service's </w:t>
      </w:r>
      <w:r w:rsidR="002C2BCC">
        <w:t xml:space="preserve">key </w:t>
      </w:r>
      <w:r w:rsidR="00E84983" w:rsidRPr="001D513D">
        <w:t>priorities</w:t>
      </w:r>
      <w:r w:rsidR="002C2BCC">
        <w:t>.</w:t>
      </w:r>
      <w:r w:rsidR="00E84983" w:rsidRPr="001D513D">
        <w:t xml:space="preserve"> </w:t>
      </w:r>
      <w:r w:rsidR="00E84983">
        <w:t>H</w:t>
      </w:r>
      <w:r w:rsidR="00E84983" w:rsidRPr="001D513D">
        <w:t xml:space="preserve">owever, </w:t>
      </w:r>
      <w:r w:rsidR="00E84983">
        <w:t xml:space="preserve">the IRS </w:t>
      </w:r>
      <w:r w:rsidR="00E84983" w:rsidRPr="001D513D">
        <w:t>must balance its</w:t>
      </w:r>
      <w:r w:rsidR="00E84983">
        <w:t xml:space="preserve"> burden</w:t>
      </w:r>
      <w:r w:rsidR="00E84983" w:rsidRPr="001D513D">
        <w:t xml:space="preserve"> reduction efforts with the </w:t>
      </w:r>
      <w:r w:rsidR="002C2BCC">
        <w:t>administrative costs that would otherwise be required to determine a taxpayer’s tax liability</w:t>
      </w:r>
      <w:r w:rsidR="00E84983">
        <w:t>.</w:t>
      </w:r>
    </w:p>
    <w:p w:rsidR="007A0544" w:rsidRDefault="007A0544" w:rsidP="007A0544">
      <w:pPr>
        <w:shd w:val="clear" w:color="auto" w:fill="FFFFFF"/>
        <w:spacing w:after="0" w:line="240" w:lineRule="auto"/>
      </w:pPr>
    </w:p>
    <w:p w:rsidR="007A0544" w:rsidRPr="00BD0B86" w:rsidRDefault="007A0544" w:rsidP="007A0544">
      <w:pPr>
        <w:shd w:val="clear" w:color="auto" w:fill="FFFFFF"/>
        <w:spacing w:after="0" w:line="240" w:lineRule="auto"/>
      </w:pPr>
      <w:bookmarkStart w:id="1" w:name="_Hlk508277841"/>
      <w:r w:rsidRPr="00F55368">
        <w:rPr>
          <w:rFonts w:eastAsia="Times New Roman" w:cs="Arial"/>
        </w:rPr>
        <w:t>This paper provides information about both sides of</w:t>
      </w:r>
      <w:r w:rsidRPr="00F55368">
        <w:t xml:space="preserve"> tax compliance burden – the burden experienced by taxpayers and the administrative costs incurred by </w:t>
      </w:r>
      <w:r w:rsidR="00B833B8">
        <w:t xml:space="preserve">the </w:t>
      </w:r>
      <w:r w:rsidRPr="00F55368">
        <w:t>IRS to administer the tax code. It is intended to provide insight into the process of estimating tax compliance burden, and</w:t>
      </w:r>
      <w:r w:rsidRPr="00BD0B86">
        <w:t xml:space="preserve"> how the Service is working to improve</w:t>
      </w:r>
      <w:r>
        <w:t xml:space="preserve"> those estimates and how they are reported to the</w:t>
      </w:r>
      <w:r w:rsidRPr="00BD0B86">
        <w:t xml:space="preserve"> public. </w:t>
      </w:r>
    </w:p>
    <w:bookmarkEnd w:id="1"/>
    <w:p w:rsidR="00E84983" w:rsidRPr="00BD0B86" w:rsidRDefault="00E84983" w:rsidP="00E84983">
      <w:pPr>
        <w:spacing w:after="0" w:line="240" w:lineRule="auto"/>
      </w:pPr>
    </w:p>
    <w:p w:rsidR="00C76DCF" w:rsidRPr="00BD0B86" w:rsidRDefault="00424153" w:rsidP="00C76DCF">
      <w:pPr>
        <w:pStyle w:val="ListParagraph"/>
        <w:numPr>
          <w:ilvl w:val="0"/>
          <w:numId w:val="19"/>
        </w:numPr>
        <w:tabs>
          <w:tab w:val="left" w:pos="0"/>
          <w:tab w:val="left" w:pos="360"/>
        </w:tabs>
        <w:ind w:left="0" w:firstLine="0"/>
        <w:rPr>
          <w:rFonts w:asciiTheme="minorHAnsi" w:hAnsiTheme="minorHAnsi"/>
          <w:b/>
          <w:caps/>
        </w:rPr>
      </w:pPr>
      <w:r w:rsidRPr="00BD0B86">
        <w:rPr>
          <w:rFonts w:asciiTheme="minorHAnsi" w:hAnsiTheme="minorHAnsi"/>
          <w:b/>
          <w:caps/>
        </w:rPr>
        <w:t>What is tax compliance burden?</w:t>
      </w:r>
    </w:p>
    <w:p w:rsidR="006C6DC6" w:rsidRPr="00BD0B86" w:rsidRDefault="006C6DC6" w:rsidP="006C6DC6">
      <w:r w:rsidRPr="00BD0B86">
        <w:t>Tax compliance burden is generally defined as the time and money taxpayers spend to comply with their tax filing responsibilities. Time-related activities include recordkeeping, tax planning, gathering tax materials,</w:t>
      </w:r>
      <w:r w:rsidR="00B833B8">
        <w:t xml:space="preserve"> learning about the law and what you need to do,</w:t>
      </w:r>
      <w:r w:rsidRPr="00BD0B86">
        <w:t xml:space="preserve"> </w:t>
      </w:r>
      <w:r w:rsidR="00B833B8">
        <w:t xml:space="preserve">and </w:t>
      </w:r>
      <w:r w:rsidRPr="00BD0B86">
        <w:t>completing and submitting the return. Out-of-pocket costs include expenses such as purchasing tax software</w:t>
      </w:r>
      <w:r w:rsidR="00B833B8">
        <w:t xml:space="preserve">, </w:t>
      </w:r>
      <w:r w:rsidRPr="00BD0B86">
        <w:t>paying a third-party preparer</w:t>
      </w:r>
      <w:r w:rsidR="004C74D1">
        <w:t>,</w:t>
      </w:r>
      <w:r w:rsidR="00B833B8">
        <w:t xml:space="preserve"> and printing and postage</w:t>
      </w:r>
      <w:r w:rsidRPr="00BD0B86">
        <w:t xml:space="preserve">. Tax compliance burden does </w:t>
      </w:r>
      <w:r w:rsidRPr="00BD0B86">
        <w:rPr>
          <w:i/>
        </w:rPr>
        <w:t>not</w:t>
      </w:r>
      <w:r w:rsidRPr="00BD0B86">
        <w:t xml:space="preserve"> include a taxpayer’s tax liability</w:t>
      </w:r>
      <w:r w:rsidR="00900780" w:rsidRPr="00BD0B86">
        <w:t>,</w:t>
      </w:r>
      <w:r w:rsidRPr="00BD0B86">
        <w:t xml:space="preserve"> economic inefficiencies caused by sub-optimal choices related to tax deductions or credits, or psychological costs.</w:t>
      </w:r>
    </w:p>
    <w:p w:rsidR="00F62EA4" w:rsidRDefault="00F62EA4">
      <w:pPr>
        <w:rPr>
          <w:b/>
          <w:i/>
        </w:rPr>
      </w:pPr>
    </w:p>
    <w:p w:rsidR="00A34F41" w:rsidRPr="00BD0B86" w:rsidRDefault="00A34F41" w:rsidP="00CA5B7C">
      <w:pPr>
        <w:spacing w:after="0"/>
        <w:rPr>
          <w:b/>
          <w:i/>
        </w:rPr>
      </w:pPr>
      <w:r w:rsidRPr="00BD0B86">
        <w:rPr>
          <w:b/>
          <w:i/>
        </w:rPr>
        <w:t>Drivers of Tax Compliance Burden</w:t>
      </w:r>
    </w:p>
    <w:p w:rsidR="00051C93" w:rsidRPr="00BD0B86" w:rsidRDefault="00B833B8" w:rsidP="00CA5B7C">
      <w:pPr>
        <w:spacing w:after="0"/>
      </w:pPr>
      <w:r>
        <w:t xml:space="preserve">The drivers of tax compliance can be generalized into </w:t>
      </w:r>
      <w:r w:rsidR="00051C93" w:rsidRPr="00BD0B86">
        <w:t xml:space="preserve">four primary </w:t>
      </w:r>
      <w:r>
        <w:t>categories</w:t>
      </w:r>
      <w:r w:rsidR="00051C93" w:rsidRPr="00BD0B86">
        <w:t>:</w:t>
      </w:r>
    </w:p>
    <w:p w:rsidR="00A34F41" w:rsidRPr="00BD0B86" w:rsidRDefault="00A34F41" w:rsidP="00CA5B7C">
      <w:pPr>
        <w:spacing w:after="0"/>
      </w:pPr>
    </w:p>
    <w:p w:rsidR="00A34F41" w:rsidRPr="00BD0B86" w:rsidRDefault="00175051" w:rsidP="00175051">
      <w:pPr>
        <w:numPr>
          <w:ilvl w:val="1"/>
          <w:numId w:val="32"/>
        </w:numPr>
        <w:spacing w:after="0" w:line="240" w:lineRule="auto"/>
        <w:ind w:left="360"/>
        <w:contextualSpacing/>
        <w:rPr>
          <w:rFonts w:cs="Times New Roman"/>
        </w:rPr>
      </w:pPr>
      <w:r w:rsidRPr="00175051">
        <w:rPr>
          <w:rFonts w:cs="Times New Roman"/>
          <w:i/>
        </w:rPr>
        <w:lastRenderedPageBreak/>
        <w:t>Volume of Activity</w:t>
      </w:r>
      <w:r w:rsidRPr="00175051">
        <w:rPr>
          <w:rFonts w:cs="Times New Roman"/>
        </w:rPr>
        <w:t xml:space="preserve"> </w:t>
      </w:r>
    </w:p>
    <w:p w:rsidR="00D92A9B" w:rsidRPr="00BD0B86" w:rsidRDefault="00120884" w:rsidP="00D92A9B">
      <w:pPr>
        <w:spacing w:after="0"/>
        <w:rPr>
          <w:rFonts w:cs="Times New Roman"/>
        </w:rPr>
      </w:pPr>
      <w:r>
        <w:rPr>
          <w:rFonts w:cs="Times New Roman"/>
        </w:rPr>
        <w:t>Volume of activity represents the different types of income and expenses a</w:t>
      </w:r>
      <w:r w:rsidR="00632D6B">
        <w:rPr>
          <w:rFonts w:cs="Times New Roman"/>
        </w:rPr>
        <w:t xml:space="preserve">s well as the associated </w:t>
      </w:r>
      <w:r w:rsidR="004C74D1">
        <w:rPr>
          <w:rFonts w:cs="Times New Roman"/>
        </w:rPr>
        <w:t xml:space="preserve">dollar </w:t>
      </w:r>
      <w:r w:rsidR="00632D6B">
        <w:rPr>
          <w:rFonts w:cs="Times New Roman"/>
        </w:rPr>
        <w:t>amounts</w:t>
      </w:r>
      <w:r>
        <w:rPr>
          <w:rFonts w:cs="Times New Roman"/>
        </w:rPr>
        <w:t xml:space="preserve"> and transactions. This activity is observed in a generalized format as </w:t>
      </w:r>
      <w:r w:rsidR="00175051" w:rsidRPr="00BD0B86">
        <w:rPr>
          <w:rFonts w:cs="Times New Roman"/>
        </w:rPr>
        <w:t>the number of forms and statements included in a return, the lines that are completed on the forms, and the frequency with which the return must be filed.</w:t>
      </w:r>
      <w:r w:rsidR="00175051" w:rsidRPr="00175051">
        <w:rPr>
          <w:rFonts w:cs="Times New Roman"/>
        </w:rPr>
        <w:t xml:space="preserve"> </w:t>
      </w:r>
      <w:r w:rsidR="00E101DC">
        <w:rPr>
          <w:rFonts w:cs="Times New Roman"/>
        </w:rPr>
        <w:t>A key assumption for the relationship between burden and volume of activity</w:t>
      </w:r>
      <w:r w:rsidR="006F4122">
        <w:rPr>
          <w:rFonts w:cs="Times New Roman"/>
        </w:rPr>
        <w:t xml:space="preserve"> is that </w:t>
      </w:r>
      <w:r w:rsidR="00E101DC">
        <w:rPr>
          <w:rFonts w:cs="Times New Roman"/>
        </w:rPr>
        <w:t>if the volume of activity increases</w:t>
      </w:r>
      <w:r w:rsidR="000522EC">
        <w:rPr>
          <w:rFonts w:cs="Times New Roman"/>
        </w:rPr>
        <w:t>,</w:t>
      </w:r>
      <w:r w:rsidR="00E101DC">
        <w:rPr>
          <w:rFonts w:cs="Times New Roman"/>
        </w:rPr>
        <w:t xml:space="preserve"> b</w:t>
      </w:r>
      <w:r w:rsidR="00D92A9B">
        <w:rPr>
          <w:rFonts w:cs="Times New Roman"/>
        </w:rPr>
        <w:t xml:space="preserve">urden </w:t>
      </w:r>
      <w:r w:rsidR="00E101DC">
        <w:rPr>
          <w:rFonts w:cs="Times New Roman"/>
        </w:rPr>
        <w:t xml:space="preserve">is expected to increase </w:t>
      </w:r>
      <w:r w:rsidR="00F42A3B">
        <w:rPr>
          <w:rFonts w:cs="Times New Roman"/>
        </w:rPr>
        <w:t xml:space="preserve">but </w:t>
      </w:r>
      <w:r w:rsidR="00E101DC">
        <w:rPr>
          <w:rFonts w:cs="Times New Roman"/>
        </w:rPr>
        <w:t xml:space="preserve">at </w:t>
      </w:r>
      <w:r w:rsidR="00D92A9B">
        <w:rPr>
          <w:rFonts w:cs="Times New Roman"/>
        </w:rPr>
        <w:t>a decreasing rate.</w:t>
      </w:r>
    </w:p>
    <w:p w:rsidR="00D92A9B" w:rsidRDefault="00D92A9B" w:rsidP="00900780">
      <w:pPr>
        <w:spacing w:after="0"/>
        <w:rPr>
          <w:rFonts w:cs="Times New Roman"/>
        </w:rPr>
      </w:pPr>
    </w:p>
    <w:p w:rsidR="00AC0D8C" w:rsidRDefault="00E101DC" w:rsidP="00900780">
      <w:pPr>
        <w:spacing w:after="0"/>
        <w:rPr>
          <w:rFonts w:cs="Times New Roman"/>
        </w:rPr>
      </w:pPr>
      <w:r>
        <w:rPr>
          <w:rFonts w:cs="Times New Roman"/>
        </w:rPr>
        <w:t>To provide context, a</w:t>
      </w:r>
      <w:r w:rsidR="00900780" w:rsidRPr="00BD0B86">
        <w:rPr>
          <w:rFonts w:cs="Times New Roman"/>
        </w:rPr>
        <w:t xml:space="preserve"> taxpayer must engage in an activity (e.g., keep records, report income, claim a deduction) to incur burden. </w:t>
      </w:r>
      <w:r w:rsidR="00175051" w:rsidRPr="00BD0B86">
        <w:rPr>
          <w:rFonts w:cs="Times New Roman"/>
        </w:rPr>
        <w:t xml:space="preserve">A taxpayer with a straightforward tax situation (perhaps a single taxpayer who has no dependents and files Form 1040-EZ) incurs far less compliance burden than a taxpayer </w:t>
      </w:r>
      <w:r w:rsidR="00FF56CF">
        <w:rPr>
          <w:rFonts w:cs="Times New Roman"/>
        </w:rPr>
        <w:t xml:space="preserve">who files Form 1040 with many forms attached (such as Schedule A, </w:t>
      </w:r>
      <w:r w:rsidR="00FF56CF" w:rsidRPr="00FF56CF">
        <w:rPr>
          <w:rFonts w:cs="Times New Roman"/>
          <w:i/>
        </w:rPr>
        <w:t>Itemized Deductions</w:t>
      </w:r>
      <w:r w:rsidR="00FF56CF">
        <w:rPr>
          <w:rFonts w:cs="Times New Roman"/>
        </w:rPr>
        <w:t xml:space="preserve">, Form 8582 </w:t>
      </w:r>
      <w:r w:rsidR="00FF56CF" w:rsidRPr="00FF56CF">
        <w:rPr>
          <w:rFonts w:cs="Times New Roman"/>
          <w:i/>
        </w:rPr>
        <w:t>Passive Losses</w:t>
      </w:r>
      <w:r w:rsidR="00FF56CF">
        <w:rPr>
          <w:rFonts w:cs="Times New Roman"/>
        </w:rPr>
        <w:t xml:space="preserve">, and Form 6251, </w:t>
      </w:r>
      <w:r w:rsidR="00FF56CF" w:rsidRPr="00FF56CF">
        <w:rPr>
          <w:rFonts w:cs="Times New Roman"/>
          <w:i/>
        </w:rPr>
        <w:t>Alternative Minimum Tax</w:t>
      </w:r>
      <w:r w:rsidR="00FF56CF">
        <w:rPr>
          <w:rFonts w:cs="Times New Roman"/>
        </w:rPr>
        <w:t>)</w:t>
      </w:r>
      <w:r w:rsidR="00175051" w:rsidRPr="00BD0B86">
        <w:rPr>
          <w:rFonts w:cs="Times New Roman"/>
        </w:rPr>
        <w:t>. Employers who file quarterly returns incur more burden than employers who are only required to file an annual return</w:t>
      </w:r>
      <w:r w:rsidR="00732A43" w:rsidRPr="00BD0B86">
        <w:rPr>
          <w:rFonts w:cs="Times New Roman"/>
        </w:rPr>
        <w:t>.</w:t>
      </w:r>
      <w:r w:rsidR="00AC0D8C">
        <w:rPr>
          <w:rFonts w:cs="Times New Roman"/>
        </w:rPr>
        <w:t xml:space="preserve"> </w:t>
      </w:r>
    </w:p>
    <w:p w:rsidR="00AC0D8C" w:rsidRDefault="00AC0D8C" w:rsidP="00900780">
      <w:pPr>
        <w:spacing w:after="0"/>
        <w:rPr>
          <w:rFonts w:cs="Times New Roman"/>
        </w:rPr>
      </w:pPr>
    </w:p>
    <w:p w:rsidR="00175051" w:rsidRPr="00BD0B86" w:rsidRDefault="00175051" w:rsidP="00175051">
      <w:pPr>
        <w:numPr>
          <w:ilvl w:val="0"/>
          <w:numId w:val="32"/>
        </w:numPr>
        <w:spacing w:after="0" w:line="240" w:lineRule="auto"/>
        <w:contextualSpacing/>
        <w:rPr>
          <w:rFonts w:cs="Times New Roman"/>
        </w:rPr>
      </w:pPr>
      <w:r w:rsidRPr="00175051">
        <w:rPr>
          <w:rFonts w:cs="Times New Roman"/>
          <w:i/>
        </w:rPr>
        <w:t>Availability of Data Sources</w:t>
      </w:r>
      <w:r w:rsidRPr="00175051">
        <w:rPr>
          <w:rFonts w:cs="Times New Roman"/>
        </w:rPr>
        <w:t xml:space="preserve">  </w:t>
      </w:r>
    </w:p>
    <w:p w:rsidR="00F42A3B" w:rsidRDefault="00FC702C" w:rsidP="003B4C8A">
      <w:pPr>
        <w:spacing w:after="0" w:line="240" w:lineRule="auto"/>
        <w:contextualSpacing/>
        <w:rPr>
          <w:rFonts w:cs="Times New Roman"/>
        </w:rPr>
      </w:pPr>
      <w:r w:rsidRPr="00BD0B86">
        <w:rPr>
          <w:rFonts w:cs="Times New Roman"/>
        </w:rPr>
        <w:t>Burden is impacted by the number and availability of</w:t>
      </w:r>
      <w:r w:rsidR="00175051" w:rsidRPr="00175051">
        <w:rPr>
          <w:rFonts w:cs="Times New Roman"/>
        </w:rPr>
        <w:t xml:space="preserve"> data sources needed to complete</w:t>
      </w:r>
      <w:r w:rsidR="00E101DC">
        <w:rPr>
          <w:rFonts w:cs="Times New Roman"/>
        </w:rPr>
        <w:t xml:space="preserve"> a</w:t>
      </w:r>
      <w:r w:rsidR="00175051" w:rsidRPr="00175051">
        <w:rPr>
          <w:rFonts w:cs="Times New Roman"/>
        </w:rPr>
        <w:t xml:space="preserve"> return. </w:t>
      </w:r>
      <w:r w:rsidR="00DF5751">
        <w:rPr>
          <w:rFonts w:cs="Times New Roman"/>
        </w:rPr>
        <w:t xml:space="preserve">Generally, information that is readily available from processes unrelated to tax </w:t>
      </w:r>
      <w:r w:rsidR="00C16B2B">
        <w:rPr>
          <w:rFonts w:cs="Times New Roman"/>
        </w:rPr>
        <w:t>drive</w:t>
      </w:r>
      <w:r w:rsidR="00EC1789">
        <w:rPr>
          <w:rFonts w:cs="Times New Roman"/>
        </w:rPr>
        <w:t xml:space="preserve"> less burden than information that is not</w:t>
      </w:r>
      <w:r w:rsidR="003C1224">
        <w:rPr>
          <w:rFonts w:cs="Times New Roman"/>
        </w:rPr>
        <w:t xml:space="preserve"> readily </w:t>
      </w:r>
      <w:r w:rsidR="00EC1789">
        <w:rPr>
          <w:rFonts w:cs="Times New Roman"/>
        </w:rPr>
        <w:t>available.</w:t>
      </w:r>
      <w:r w:rsidR="00F42A3B">
        <w:rPr>
          <w:rFonts w:cs="Times New Roman"/>
        </w:rPr>
        <w:t xml:space="preserve"> For tax compliance burden purposes, recordkeeping burden only includes the books and records that a taxpayer keeps solely for tax purposes. For example, a corporation </w:t>
      </w:r>
      <w:r w:rsidR="00C16B2B">
        <w:rPr>
          <w:rFonts w:cs="Times New Roman"/>
        </w:rPr>
        <w:t xml:space="preserve">may </w:t>
      </w:r>
      <w:r w:rsidR="00F42A3B">
        <w:rPr>
          <w:rFonts w:cs="Times New Roman"/>
        </w:rPr>
        <w:t xml:space="preserve">maintain records using Generally Accepted Accounting Principles (GAAP) for legal purposes. Certain adjustments are made to take into account differences </w:t>
      </w:r>
      <w:r w:rsidR="00C16B2B">
        <w:rPr>
          <w:rFonts w:cs="Times New Roman"/>
        </w:rPr>
        <w:t xml:space="preserve">between </w:t>
      </w:r>
      <w:r w:rsidR="00F42A3B">
        <w:rPr>
          <w:rFonts w:cs="Times New Roman"/>
        </w:rPr>
        <w:t>tax</w:t>
      </w:r>
      <w:r w:rsidR="00C16B2B">
        <w:rPr>
          <w:rFonts w:cs="Times New Roman"/>
        </w:rPr>
        <w:t xml:space="preserve"> and GAAP</w:t>
      </w:r>
      <w:r w:rsidR="00F42A3B">
        <w:rPr>
          <w:rFonts w:cs="Times New Roman"/>
        </w:rPr>
        <w:t xml:space="preserve"> rules. Only the time and money spent to create and maintain tax adjustments are considered </w:t>
      </w:r>
      <w:r w:rsidR="00C16B2B">
        <w:rPr>
          <w:rFonts w:cs="Times New Roman"/>
        </w:rPr>
        <w:t xml:space="preserve">part of </w:t>
      </w:r>
      <w:r w:rsidR="00F42A3B">
        <w:rPr>
          <w:rFonts w:cs="Times New Roman"/>
        </w:rPr>
        <w:t>tax compliance burden.</w:t>
      </w:r>
    </w:p>
    <w:p w:rsidR="00F42A3B" w:rsidRDefault="00F42A3B" w:rsidP="003B4C8A">
      <w:pPr>
        <w:spacing w:after="0" w:line="240" w:lineRule="auto"/>
        <w:contextualSpacing/>
        <w:rPr>
          <w:rFonts w:cs="Times New Roman"/>
        </w:rPr>
      </w:pPr>
    </w:p>
    <w:p w:rsidR="00175051" w:rsidRDefault="00F42A3B" w:rsidP="003B4C8A">
      <w:pPr>
        <w:spacing w:after="0" w:line="240" w:lineRule="auto"/>
        <w:contextualSpacing/>
        <w:rPr>
          <w:rFonts w:cs="Times New Roman"/>
        </w:rPr>
      </w:pPr>
      <w:r>
        <w:rPr>
          <w:rFonts w:cs="Times New Roman"/>
        </w:rPr>
        <w:t>T</w:t>
      </w:r>
      <w:r w:rsidR="00175051" w:rsidRPr="00175051">
        <w:rPr>
          <w:rFonts w:cs="Times New Roman"/>
        </w:rPr>
        <w:t xml:space="preserve">hird-party information returns, such as W-2s, significantly reduce the burden </w:t>
      </w:r>
      <w:r>
        <w:rPr>
          <w:rFonts w:cs="Times New Roman"/>
        </w:rPr>
        <w:t xml:space="preserve">individual </w:t>
      </w:r>
      <w:r w:rsidR="000522EC">
        <w:rPr>
          <w:rFonts w:cs="Times New Roman"/>
        </w:rPr>
        <w:t xml:space="preserve">taxpayers </w:t>
      </w:r>
      <w:r w:rsidR="00175051" w:rsidRPr="00175051">
        <w:rPr>
          <w:rFonts w:cs="Times New Roman"/>
        </w:rPr>
        <w:t>face</w:t>
      </w:r>
      <w:r>
        <w:rPr>
          <w:rFonts w:cs="Times New Roman"/>
        </w:rPr>
        <w:t xml:space="preserve">. Information returns </w:t>
      </w:r>
      <w:r w:rsidR="000522EC">
        <w:rPr>
          <w:rFonts w:cs="Times New Roman"/>
        </w:rPr>
        <w:t>provided by payors of income</w:t>
      </w:r>
      <w:r w:rsidR="00EC1789">
        <w:rPr>
          <w:rFonts w:cs="Times New Roman"/>
        </w:rPr>
        <w:t xml:space="preserve"> </w:t>
      </w:r>
      <w:r>
        <w:rPr>
          <w:rFonts w:cs="Times New Roman"/>
        </w:rPr>
        <w:t xml:space="preserve">allow </w:t>
      </w:r>
      <w:r w:rsidR="000522EC">
        <w:rPr>
          <w:rFonts w:cs="Times New Roman"/>
        </w:rPr>
        <w:t xml:space="preserve">taxpayers </w:t>
      </w:r>
      <w:r>
        <w:rPr>
          <w:rFonts w:cs="Times New Roman"/>
        </w:rPr>
        <w:t xml:space="preserve">to keep minimal </w:t>
      </w:r>
      <w:r w:rsidR="00175051" w:rsidRPr="00175051">
        <w:rPr>
          <w:rFonts w:cs="Times New Roman"/>
        </w:rPr>
        <w:t xml:space="preserve">records </w:t>
      </w:r>
      <w:r w:rsidR="00EC1789">
        <w:rPr>
          <w:rFonts w:cs="Times New Roman"/>
        </w:rPr>
        <w:t>for t</w:t>
      </w:r>
      <w:r w:rsidR="00175051" w:rsidRPr="00175051">
        <w:rPr>
          <w:rFonts w:cs="Times New Roman"/>
        </w:rPr>
        <w:t xml:space="preserve">he </w:t>
      </w:r>
      <w:r w:rsidR="00EC1789">
        <w:rPr>
          <w:rFonts w:cs="Times New Roman"/>
        </w:rPr>
        <w:t xml:space="preserve">income and </w:t>
      </w:r>
      <w:r w:rsidR="000522EC">
        <w:rPr>
          <w:rFonts w:cs="Times New Roman"/>
        </w:rPr>
        <w:t>other associated information</w:t>
      </w:r>
      <w:r w:rsidR="00175051" w:rsidRPr="00175051">
        <w:rPr>
          <w:rFonts w:cs="Times New Roman"/>
        </w:rPr>
        <w:t xml:space="preserve"> </w:t>
      </w:r>
      <w:r w:rsidR="003C1224">
        <w:rPr>
          <w:rFonts w:cs="Times New Roman"/>
        </w:rPr>
        <w:t xml:space="preserve">reported on the </w:t>
      </w:r>
      <w:r w:rsidR="00175051" w:rsidRPr="00175051">
        <w:rPr>
          <w:rFonts w:cs="Times New Roman"/>
        </w:rPr>
        <w:t>document</w:t>
      </w:r>
      <w:r w:rsidR="00EC1789">
        <w:rPr>
          <w:rFonts w:cs="Times New Roman"/>
        </w:rPr>
        <w:t>.</w:t>
      </w:r>
      <w:r>
        <w:rPr>
          <w:rFonts w:cs="Times New Roman"/>
        </w:rPr>
        <w:t xml:space="preserve"> I</w:t>
      </w:r>
      <w:r w:rsidR="00CD240C">
        <w:rPr>
          <w:rFonts w:cs="Times New Roman"/>
        </w:rPr>
        <w:t>t is important to note that the creation of information returns shifts the compliance burden from individuals to the entities responsible for issuing them</w:t>
      </w:r>
      <w:r>
        <w:rPr>
          <w:rFonts w:cs="Times New Roman"/>
        </w:rPr>
        <w:t xml:space="preserve"> so the savings that individuals experience are partially offset by the costs issuing entities incur</w:t>
      </w:r>
      <w:r w:rsidR="00CD240C">
        <w:rPr>
          <w:rFonts w:cs="Times New Roman"/>
        </w:rPr>
        <w:t>.</w:t>
      </w:r>
    </w:p>
    <w:p w:rsidR="003B4C8A" w:rsidRPr="00175051" w:rsidRDefault="003B4C8A" w:rsidP="003B4C8A">
      <w:pPr>
        <w:spacing w:after="0" w:line="240" w:lineRule="auto"/>
        <w:contextualSpacing/>
        <w:rPr>
          <w:rFonts w:cs="Times New Roman"/>
        </w:rPr>
      </w:pPr>
    </w:p>
    <w:p w:rsidR="00175051" w:rsidRPr="00175051" w:rsidRDefault="00175051" w:rsidP="00175051">
      <w:pPr>
        <w:numPr>
          <w:ilvl w:val="0"/>
          <w:numId w:val="32"/>
        </w:numPr>
        <w:spacing w:after="0" w:line="240" w:lineRule="auto"/>
        <w:contextualSpacing/>
        <w:rPr>
          <w:rFonts w:cs="Times New Roman"/>
          <w:i/>
        </w:rPr>
      </w:pPr>
      <w:r w:rsidRPr="00175051">
        <w:rPr>
          <w:rFonts w:cs="Times New Roman"/>
          <w:i/>
        </w:rPr>
        <w:t xml:space="preserve">Taxpayer Characteristics </w:t>
      </w:r>
    </w:p>
    <w:p w:rsidR="00F4798A" w:rsidRDefault="005B7183" w:rsidP="005B7183">
      <w:pPr>
        <w:spacing w:after="0" w:line="240" w:lineRule="auto"/>
        <w:contextualSpacing/>
        <w:rPr>
          <w:rFonts w:cs="Times New Roman"/>
        </w:rPr>
      </w:pPr>
      <w:r w:rsidRPr="00710339">
        <w:rPr>
          <w:rFonts w:cs="Times New Roman"/>
        </w:rPr>
        <w:t xml:space="preserve">A taxpayer’s </w:t>
      </w:r>
      <w:r w:rsidR="00710339" w:rsidRPr="00710339">
        <w:rPr>
          <w:rFonts w:cs="Times New Roman"/>
        </w:rPr>
        <w:t>compliance burden</w:t>
      </w:r>
      <w:r w:rsidRPr="00710339">
        <w:rPr>
          <w:rFonts w:cs="Times New Roman"/>
        </w:rPr>
        <w:t xml:space="preserve"> </w:t>
      </w:r>
      <w:r w:rsidR="00710339">
        <w:rPr>
          <w:rFonts w:cs="Times New Roman"/>
        </w:rPr>
        <w:t>is related</w:t>
      </w:r>
      <w:r w:rsidRPr="00710339">
        <w:rPr>
          <w:rFonts w:cs="Times New Roman"/>
        </w:rPr>
        <w:t xml:space="preserve"> to </w:t>
      </w:r>
      <w:r w:rsidR="001872CA">
        <w:rPr>
          <w:rFonts w:cs="Times New Roman"/>
        </w:rPr>
        <w:t xml:space="preserve">several </w:t>
      </w:r>
      <w:r w:rsidR="009354F2">
        <w:rPr>
          <w:rFonts w:cs="Times New Roman"/>
        </w:rPr>
        <w:t xml:space="preserve">different </w:t>
      </w:r>
      <w:r w:rsidR="001872CA">
        <w:rPr>
          <w:rFonts w:cs="Times New Roman"/>
        </w:rPr>
        <w:t xml:space="preserve">attributes. Individual </w:t>
      </w:r>
      <w:r w:rsidR="000522EC">
        <w:rPr>
          <w:rFonts w:cs="Times New Roman"/>
        </w:rPr>
        <w:t>taxpayers</w:t>
      </w:r>
      <w:r w:rsidR="001872CA">
        <w:rPr>
          <w:rFonts w:cs="Times New Roman"/>
        </w:rPr>
        <w:t xml:space="preserve"> will experience varying levels of burden based on their level of education, the structure of their household, their age, their assets</w:t>
      </w:r>
      <w:r w:rsidR="0013152C">
        <w:rPr>
          <w:rFonts w:cs="Times New Roman"/>
        </w:rPr>
        <w:t>,</w:t>
      </w:r>
      <w:r w:rsidR="001872CA">
        <w:rPr>
          <w:rFonts w:cs="Times New Roman"/>
        </w:rPr>
        <w:t xml:space="preserve"> their income</w:t>
      </w:r>
      <w:r w:rsidR="0013152C">
        <w:rPr>
          <w:rFonts w:cs="Times New Roman"/>
        </w:rPr>
        <w:t>, and their decision to hire a preparer</w:t>
      </w:r>
      <w:r w:rsidR="001872CA">
        <w:rPr>
          <w:rFonts w:cs="Times New Roman"/>
        </w:rPr>
        <w:t>. Entities will experience varying levels of burden based on the</w:t>
      </w:r>
      <w:r w:rsidR="00FB44A0">
        <w:rPr>
          <w:rFonts w:cs="Times New Roman"/>
        </w:rPr>
        <w:t>ir industry, their size, their years in business</w:t>
      </w:r>
      <w:r w:rsidR="0013152C">
        <w:rPr>
          <w:rFonts w:cs="Times New Roman"/>
        </w:rPr>
        <w:t>, and their decision to hire a preparer</w:t>
      </w:r>
      <w:r w:rsidR="00FB44A0">
        <w:rPr>
          <w:rFonts w:cs="Times New Roman"/>
        </w:rPr>
        <w:t xml:space="preserve">. </w:t>
      </w:r>
      <w:r w:rsidR="0013152C">
        <w:rPr>
          <w:rFonts w:cs="Times New Roman"/>
        </w:rPr>
        <w:t>These</w:t>
      </w:r>
      <w:r w:rsidR="00FB44A0">
        <w:rPr>
          <w:rFonts w:cs="Times New Roman"/>
        </w:rPr>
        <w:t xml:space="preserve"> variations in attributes can lead to different levels of complexity. </w:t>
      </w:r>
      <w:r>
        <w:rPr>
          <w:rFonts w:cs="Times New Roman"/>
        </w:rPr>
        <w:t xml:space="preserve">Complexity </w:t>
      </w:r>
      <w:r w:rsidR="00FB44A0">
        <w:rPr>
          <w:rFonts w:cs="Times New Roman"/>
        </w:rPr>
        <w:t xml:space="preserve">also </w:t>
      </w:r>
      <w:r>
        <w:rPr>
          <w:rFonts w:cs="Times New Roman"/>
        </w:rPr>
        <w:t xml:space="preserve">tends to increase as income increases. </w:t>
      </w:r>
      <w:r w:rsidR="006C2010">
        <w:rPr>
          <w:rFonts w:cs="Times New Roman"/>
        </w:rPr>
        <w:t xml:space="preserve">This makes sense because higher-income taxpayers are more likely to </w:t>
      </w:r>
      <w:r w:rsidR="00F4798A">
        <w:rPr>
          <w:rFonts w:cs="Times New Roman"/>
        </w:rPr>
        <w:t xml:space="preserve">have </w:t>
      </w:r>
      <w:r w:rsidR="003F3284">
        <w:rPr>
          <w:rFonts w:cs="Times New Roman"/>
        </w:rPr>
        <w:t>many sources of income</w:t>
      </w:r>
      <w:r w:rsidR="00F4798A">
        <w:rPr>
          <w:rFonts w:cs="Times New Roman"/>
        </w:rPr>
        <w:t xml:space="preserve"> and claim numerous tax deductions and credits. </w:t>
      </w:r>
      <w:r w:rsidR="00FB44A0">
        <w:rPr>
          <w:rFonts w:cs="Times New Roman"/>
        </w:rPr>
        <w:t xml:space="preserve">Businesses </w:t>
      </w:r>
      <w:r w:rsidR="003F3284">
        <w:rPr>
          <w:rFonts w:cs="Times New Roman"/>
        </w:rPr>
        <w:t>may also face</w:t>
      </w:r>
      <w:r w:rsidR="00FB44A0">
        <w:rPr>
          <w:rFonts w:cs="Times New Roman"/>
        </w:rPr>
        <w:t xml:space="preserve"> additional reporting requirements as they increase in size.</w:t>
      </w:r>
    </w:p>
    <w:p w:rsidR="00FB44A0" w:rsidRDefault="00FB44A0" w:rsidP="005B7183">
      <w:pPr>
        <w:spacing w:after="0" w:line="240" w:lineRule="auto"/>
        <w:contextualSpacing/>
        <w:rPr>
          <w:rFonts w:cs="Times New Roman"/>
        </w:rPr>
      </w:pPr>
    </w:p>
    <w:p w:rsidR="00175051" w:rsidRDefault="00F4798A" w:rsidP="005B7183">
      <w:pPr>
        <w:spacing w:after="0" w:line="240" w:lineRule="auto"/>
        <w:contextualSpacing/>
        <w:rPr>
          <w:rFonts w:cs="Times New Roman"/>
        </w:rPr>
      </w:pPr>
      <w:r>
        <w:rPr>
          <w:rFonts w:cs="Times New Roman"/>
        </w:rPr>
        <w:t xml:space="preserve">The amount of required recordkeeping is also a </w:t>
      </w:r>
      <w:r w:rsidR="00E14DC5">
        <w:rPr>
          <w:rFonts w:cs="Times New Roman"/>
        </w:rPr>
        <w:t>significant factor</w:t>
      </w:r>
      <w:r>
        <w:rPr>
          <w:rFonts w:cs="Times New Roman"/>
        </w:rPr>
        <w:t xml:space="preserve"> in the amount of burden faced by taxpayers. </w:t>
      </w:r>
      <w:r w:rsidR="003F3284">
        <w:rPr>
          <w:rFonts w:cs="Times New Roman"/>
        </w:rPr>
        <w:t>For example, a</w:t>
      </w:r>
      <w:r>
        <w:rPr>
          <w:rFonts w:cs="Times New Roman"/>
        </w:rPr>
        <w:t>n individual whose sole source of income is from wages</w:t>
      </w:r>
      <w:r w:rsidR="0013152C">
        <w:rPr>
          <w:rFonts w:cs="Times New Roman"/>
        </w:rPr>
        <w:t xml:space="preserve"> typically </w:t>
      </w:r>
      <w:r>
        <w:rPr>
          <w:rFonts w:cs="Times New Roman"/>
        </w:rPr>
        <w:t>has much less burden than a sole proprietor who must keep records of income and retain receipts for deductible expenses</w:t>
      </w:r>
      <w:r w:rsidR="0013152C">
        <w:rPr>
          <w:rFonts w:cs="Times New Roman"/>
        </w:rPr>
        <w:t>.</w:t>
      </w:r>
      <w:r>
        <w:rPr>
          <w:rFonts w:cs="Times New Roman"/>
        </w:rPr>
        <w:t xml:space="preserve"> </w:t>
      </w:r>
    </w:p>
    <w:p w:rsidR="005B7183" w:rsidRDefault="005B7183" w:rsidP="005B7183">
      <w:pPr>
        <w:spacing w:after="0" w:line="240" w:lineRule="auto"/>
        <w:contextualSpacing/>
        <w:rPr>
          <w:rFonts w:cs="Times New Roman"/>
        </w:rPr>
      </w:pPr>
    </w:p>
    <w:p w:rsidR="00175051" w:rsidRDefault="00175051" w:rsidP="00175051">
      <w:pPr>
        <w:numPr>
          <w:ilvl w:val="0"/>
          <w:numId w:val="32"/>
        </w:numPr>
        <w:spacing w:after="0" w:line="240" w:lineRule="auto"/>
        <w:contextualSpacing/>
        <w:rPr>
          <w:rFonts w:cs="Times New Roman"/>
        </w:rPr>
      </w:pPr>
      <w:r w:rsidRPr="00175051">
        <w:rPr>
          <w:rFonts w:cs="Times New Roman"/>
          <w:i/>
        </w:rPr>
        <w:t>Technology Infrastructure</w:t>
      </w:r>
      <w:r w:rsidRPr="00175051">
        <w:rPr>
          <w:rFonts w:cs="Times New Roman"/>
        </w:rPr>
        <w:t xml:space="preserve"> –</w:t>
      </w:r>
    </w:p>
    <w:p w:rsidR="000F3825" w:rsidRPr="00175051" w:rsidRDefault="0081647A" w:rsidP="000F3825">
      <w:pPr>
        <w:spacing w:after="0" w:line="240" w:lineRule="auto"/>
        <w:contextualSpacing/>
        <w:rPr>
          <w:rFonts w:cs="Times New Roman"/>
        </w:rPr>
      </w:pPr>
      <w:r>
        <w:rPr>
          <w:rFonts w:cs="Times New Roman"/>
        </w:rPr>
        <w:t xml:space="preserve">Technology plays a key role in tax compliance burden. </w:t>
      </w:r>
      <w:r w:rsidR="000F3825" w:rsidRPr="00BD0B86">
        <w:rPr>
          <w:rFonts w:cs="Arial"/>
        </w:rPr>
        <w:t xml:space="preserve">Through the early 80s, tax returns were prepared by hand and submitted by mail. Today, </w:t>
      </w:r>
      <w:r w:rsidR="00DE02BC" w:rsidRPr="00DE02BC">
        <w:rPr>
          <w:rFonts w:cs="Arial"/>
          <w:b/>
        </w:rPr>
        <w:t>95%</w:t>
      </w:r>
      <w:r w:rsidR="00DE02BC" w:rsidRPr="00DE02BC">
        <w:rPr>
          <w:rFonts w:cs="Arial"/>
        </w:rPr>
        <w:t xml:space="preserve"> percent of returns are prepared using software and </w:t>
      </w:r>
      <w:r w:rsidR="00DE02BC" w:rsidRPr="00DE02BC">
        <w:rPr>
          <w:rFonts w:cs="Arial"/>
          <w:b/>
        </w:rPr>
        <w:t xml:space="preserve">89% </w:t>
      </w:r>
      <w:r w:rsidR="00DE02BC" w:rsidRPr="00DE02BC">
        <w:rPr>
          <w:rFonts w:cs="Arial"/>
        </w:rPr>
        <w:t xml:space="preserve">percent of returns </w:t>
      </w:r>
      <w:r w:rsidR="00DE02BC" w:rsidRPr="00DE02BC">
        <w:rPr>
          <w:rFonts w:cs="Arial"/>
        </w:rPr>
        <w:lastRenderedPageBreak/>
        <w:t xml:space="preserve">are electronically </w:t>
      </w:r>
      <w:r w:rsidR="00975081" w:rsidRPr="00DE02BC">
        <w:rPr>
          <w:rFonts w:cs="Arial"/>
        </w:rPr>
        <w:t>filed</w:t>
      </w:r>
      <w:r w:rsidR="00975081" w:rsidRPr="00DE02BC" w:rsidDel="00DE02BC">
        <w:rPr>
          <w:rFonts w:cs="Arial"/>
        </w:rPr>
        <w:t>.</w:t>
      </w:r>
      <w:r w:rsidR="00AF582A">
        <w:rPr>
          <w:rStyle w:val="FootnoteReference"/>
        </w:rPr>
        <w:footnoteReference w:id="3"/>
      </w:r>
      <w:r w:rsidR="00F77D52">
        <w:rPr>
          <w:rFonts w:cs="Arial"/>
        </w:rPr>
        <w:t xml:space="preserve"> Technology innovation over the last three decades has also introduced recordkeeping solutions for all filers that provide improved productivity at a significantly reduced price. </w:t>
      </w:r>
    </w:p>
    <w:p w:rsidR="000F3825" w:rsidRPr="00BD0B86" w:rsidRDefault="000F3825" w:rsidP="000F3825">
      <w:pPr>
        <w:autoSpaceDE w:val="0"/>
        <w:autoSpaceDN w:val="0"/>
        <w:adjustRightInd w:val="0"/>
        <w:spacing w:after="0" w:line="240" w:lineRule="auto"/>
        <w:rPr>
          <w:rFonts w:cs="Arial"/>
        </w:rPr>
      </w:pPr>
    </w:p>
    <w:p w:rsidR="00DE1EEA" w:rsidRDefault="00DE1EEA" w:rsidP="00DE1EEA">
      <w:pPr>
        <w:spacing w:after="0" w:line="240" w:lineRule="auto"/>
        <w:contextualSpacing/>
        <w:rPr>
          <w:rFonts w:cs="Times New Roman"/>
        </w:rPr>
      </w:pPr>
      <w:r>
        <w:rPr>
          <w:rFonts w:cs="Times New Roman"/>
        </w:rPr>
        <w:t xml:space="preserve">Returns prepared on paper generally take more time to prepare than if software were used. </w:t>
      </w:r>
      <w:r w:rsidR="00AF143D">
        <w:rPr>
          <w:rFonts w:cs="Times New Roman"/>
        </w:rPr>
        <w:t>Assisted tax preparation (whether the taxpayer prepares the return himself using software or seeks the services of a paid preparer)</w:t>
      </w:r>
      <w:r w:rsidR="00635DF6">
        <w:rPr>
          <w:rFonts w:cs="Times New Roman"/>
        </w:rPr>
        <w:t xml:space="preserve"> generally reduces the time to complete a tax return</w:t>
      </w:r>
      <w:r w:rsidR="00AF143D">
        <w:rPr>
          <w:rFonts w:cs="Times New Roman"/>
        </w:rPr>
        <w:t xml:space="preserve">, but there is a tradeoff of incurring </w:t>
      </w:r>
      <w:r w:rsidR="0013152C">
        <w:rPr>
          <w:rFonts w:cs="Times New Roman"/>
        </w:rPr>
        <w:t>out of pocket costs (</w:t>
      </w:r>
      <w:r w:rsidR="00AF143D">
        <w:rPr>
          <w:rFonts w:cs="Times New Roman"/>
        </w:rPr>
        <w:t>money burden</w:t>
      </w:r>
      <w:r w:rsidR="0013152C">
        <w:rPr>
          <w:rFonts w:cs="Times New Roman"/>
        </w:rPr>
        <w:t>)</w:t>
      </w:r>
      <w:r w:rsidR="00AF143D">
        <w:rPr>
          <w:rFonts w:cs="Times New Roman"/>
        </w:rPr>
        <w:t xml:space="preserve"> if the taxpayer purchases the software or uses a paid preparer. </w:t>
      </w:r>
      <w:r w:rsidR="00635DF6">
        <w:rPr>
          <w:rFonts w:cs="Times New Roman"/>
        </w:rPr>
        <w:t xml:space="preserve">The use of software offers other important benefits, such as </w:t>
      </w:r>
      <w:r w:rsidR="0081647A">
        <w:rPr>
          <w:rFonts w:cs="Times New Roman"/>
        </w:rPr>
        <w:t>eliminat</w:t>
      </w:r>
      <w:r w:rsidR="00635DF6">
        <w:rPr>
          <w:rFonts w:cs="Times New Roman"/>
        </w:rPr>
        <w:t>ing</w:t>
      </w:r>
      <w:r w:rsidR="0081647A">
        <w:rPr>
          <w:rFonts w:cs="Times New Roman"/>
        </w:rPr>
        <w:t xml:space="preserve"> the need to spend time </w:t>
      </w:r>
      <w:r w:rsidR="00635DF6">
        <w:rPr>
          <w:rFonts w:cs="Times New Roman"/>
        </w:rPr>
        <w:t>obtaining</w:t>
      </w:r>
      <w:r w:rsidR="0081647A">
        <w:rPr>
          <w:rFonts w:cs="Times New Roman"/>
        </w:rPr>
        <w:t xml:space="preserve"> tax forms</w:t>
      </w:r>
      <w:r w:rsidR="00635DF6">
        <w:rPr>
          <w:rFonts w:cs="Times New Roman"/>
        </w:rPr>
        <w:t>,</w:t>
      </w:r>
      <w:r w:rsidR="00635DF6" w:rsidRPr="00635DF6">
        <w:rPr>
          <w:rFonts w:cs="Times New Roman"/>
        </w:rPr>
        <w:t xml:space="preserve"> </w:t>
      </w:r>
      <w:r w:rsidR="00635DF6">
        <w:rPr>
          <w:rFonts w:cs="Times New Roman"/>
        </w:rPr>
        <w:t>automated math calculations, interview prompts, and error checking, to name a few.</w:t>
      </w:r>
      <w:r>
        <w:rPr>
          <w:rFonts w:cs="Times New Roman"/>
        </w:rPr>
        <w:t xml:space="preserve"> A variety of free and pay-for tax preparation software</w:t>
      </w:r>
      <w:r w:rsidR="00635DF6">
        <w:rPr>
          <w:rFonts w:cs="Times New Roman"/>
        </w:rPr>
        <w:t xml:space="preserve"> and tax preparation services are</w:t>
      </w:r>
      <w:r>
        <w:rPr>
          <w:rFonts w:cs="Times New Roman"/>
        </w:rPr>
        <w:t xml:space="preserve"> available</w:t>
      </w:r>
      <w:r w:rsidR="00635DF6">
        <w:rPr>
          <w:rFonts w:cs="Times New Roman"/>
        </w:rPr>
        <w:t xml:space="preserve"> to most taxpayers</w:t>
      </w:r>
      <w:r>
        <w:rPr>
          <w:rFonts w:cs="Times New Roman"/>
        </w:rPr>
        <w:t xml:space="preserve">. </w:t>
      </w:r>
    </w:p>
    <w:p w:rsidR="00DE1EEA" w:rsidRDefault="00DE1EEA" w:rsidP="00DE1EEA">
      <w:pPr>
        <w:spacing w:after="0" w:line="240" w:lineRule="auto"/>
        <w:contextualSpacing/>
        <w:rPr>
          <w:rFonts w:cs="Times New Roman"/>
        </w:rPr>
      </w:pPr>
    </w:p>
    <w:p w:rsidR="00FF047D" w:rsidRDefault="00D65649" w:rsidP="00D65649">
      <w:pPr>
        <w:spacing w:after="0" w:line="240" w:lineRule="auto"/>
        <w:contextualSpacing/>
        <w:rPr>
          <w:rFonts w:cs="Times New Roman"/>
        </w:rPr>
      </w:pPr>
      <w:r>
        <w:rPr>
          <w:rFonts w:cs="Times New Roman"/>
        </w:rPr>
        <w:t xml:space="preserve">As with recordkeeping, the costs associated with computers, software, data storage, etc. that a taxpayer maintains for non-tax purposes are not included in tax compliance burden. Costs associated with new equipment and software that a taxpayer would not otherwise need is included in tax compliance burden. </w:t>
      </w:r>
      <w:r w:rsidR="007F5B43">
        <w:rPr>
          <w:rFonts w:cs="Times New Roman"/>
        </w:rPr>
        <w:t>I</w:t>
      </w:r>
      <w:r>
        <w:rPr>
          <w:rFonts w:cs="Times New Roman"/>
        </w:rPr>
        <w:t xml:space="preserve">nitial startup costs </w:t>
      </w:r>
      <w:r w:rsidR="007F5B43">
        <w:rPr>
          <w:rFonts w:cs="Times New Roman"/>
        </w:rPr>
        <w:t xml:space="preserve">to acquire </w:t>
      </w:r>
      <w:r w:rsidR="00293F85">
        <w:rPr>
          <w:rFonts w:cs="Times New Roman"/>
        </w:rPr>
        <w:t xml:space="preserve">and put in place </w:t>
      </w:r>
      <w:r w:rsidR="007F5B43">
        <w:rPr>
          <w:rFonts w:cs="Times New Roman"/>
        </w:rPr>
        <w:t>technology to handle tax compliance tasks</w:t>
      </w:r>
      <w:r>
        <w:rPr>
          <w:rFonts w:cs="Times New Roman"/>
        </w:rPr>
        <w:t xml:space="preserve"> reduce</w:t>
      </w:r>
      <w:r w:rsidR="007F5B43">
        <w:rPr>
          <w:rFonts w:cs="Times New Roman"/>
        </w:rPr>
        <w:t>s</w:t>
      </w:r>
      <w:r>
        <w:rPr>
          <w:rFonts w:cs="Times New Roman"/>
        </w:rPr>
        <w:t xml:space="preserve"> the ongoing burden that would be otherwise incurred.</w:t>
      </w:r>
    </w:p>
    <w:p w:rsidR="00D65649" w:rsidRPr="00BD0B86" w:rsidRDefault="00D65649" w:rsidP="00D65649">
      <w:pPr>
        <w:spacing w:after="0" w:line="240" w:lineRule="auto"/>
        <w:contextualSpacing/>
      </w:pPr>
    </w:p>
    <w:p w:rsidR="00C76DCF" w:rsidRPr="00BD0B86" w:rsidRDefault="004C3AE8" w:rsidP="00C76DCF">
      <w:pPr>
        <w:pStyle w:val="ListParagraph"/>
        <w:numPr>
          <w:ilvl w:val="0"/>
          <w:numId w:val="19"/>
        </w:numPr>
        <w:tabs>
          <w:tab w:val="left" w:pos="360"/>
        </w:tabs>
        <w:ind w:left="0" w:firstLine="0"/>
        <w:rPr>
          <w:rFonts w:asciiTheme="minorHAnsi" w:hAnsiTheme="minorHAnsi"/>
          <w:b/>
          <w:caps/>
        </w:rPr>
      </w:pPr>
      <w:r w:rsidRPr="00BD0B86">
        <w:rPr>
          <w:rFonts w:asciiTheme="minorHAnsi" w:hAnsiTheme="minorHAnsi"/>
          <w:b/>
          <w:caps/>
        </w:rPr>
        <w:t xml:space="preserve">Estimating </w:t>
      </w:r>
      <w:r w:rsidR="00C76DCF" w:rsidRPr="00BD0B86">
        <w:rPr>
          <w:rFonts w:asciiTheme="minorHAnsi" w:hAnsiTheme="minorHAnsi"/>
          <w:b/>
          <w:caps/>
        </w:rPr>
        <w:t>Tax Compliance Burden</w:t>
      </w:r>
    </w:p>
    <w:p w:rsidR="008D6BDA" w:rsidRDefault="00620FC1" w:rsidP="008D6BDA">
      <w:pPr>
        <w:autoSpaceDE w:val="0"/>
        <w:autoSpaceDN w:val="0"/>
        <w:adjustRightInd w:val="0"/>
        <w:spacing w:after="0" w:line="240" w:lineRule="auto"/>
        <w:rPr>
          <w:rFonts w:cs="Arial"/>
        </w:rPr>
      </w:pPr>
      <w:r w:rsidRPr="00BD0B86">
        <w:rPr>
          <w:rFonts w:cs="Arial"/>
        </w:rPr>
        <w:t xml:space="preserve">To </w:t>
      </w:r>
      <w:r w:rsidR="00C00104">
        <w:rPr>
          <w:rFonts w:cs="Arial"/>
        </w:rPr>
        <w:t xml:space="preserve">better </w:t>
      </w:r>
      <w:r w:rsidRPr="00BD0B86">
        <w:rPr>
          <w:rFonts w:cs="Arial"/>
        </w:rPr>
        <w:t xml:space="preserve">meet the burden reporting requirements of the PRA of 1980, the IRS </w:t>
      </w:r>
      <w:r w:rsidR="00A24C1F" w:rsidRPr="00BD0B86">
        <w:rPr>
          <w:rFonts w:cs="Arial"/>
        </w:rPr>
        <w:t xml:space="preserve">sponsored a study by </w:t>
      </w:r>
      <w:r w:rsidRPr="00BD0B86">
        <w:rPr>
          <w:rFonts w:cs="Arial"/>
        </w:rPr>
        <w:t>A</w:t>
      </w:r>
      <w:r w:rsidR="00A24C1F" w:rsidRPr="00BD0B86">
        <w:rPr>
          <w:rFonts w:cs="Arial"/>
        </w:rPr>
        <w:t xml:space="preserve">rthur </w:t>
      </w:r>
      <w:r w:rsidRPr="00BD0B86">
        <w:rPr>
          <w:rFonts w:cs="Arial"/>
        </w:rPr>
        <w:t>D Little</w:t>
      </w:r>
      <w:r w:rsidR="00A24C1F" w:rsidRPr="00BD0B86">
        <w:rPr>
          <w:rFonts w:cs="Arial"/>
        </w:rPr>
        <w:t>, Inc</w:t>
      </w:r>
      <w:r w:rsidR="00AF582A">
        <w:rPr>
          <w:rFonts w:cs="Arial"/>
        </w:rPr>
        <w:t>.</w:t>
      </w:r>
      <w:r w:rsidR="00A24C1F" w:rsidRPr="00BD0B86">
        <w:rPr>
          <w:rFonts w:cs="Arial"/>
        </w:rPr>
        <w:t xml:space="preserve"> (ADL) in </w:t>
      </w:r>
      <w:r w:rsidR="0078380F">
        <w:rPr>
          <w:rFonts w:cs="Arial"/>
        </w:rPr>
        <w:t>1984</w:t>
      </w:r>
      <w:r w:rsidR="00A24C1F" w:rsidRPr="00BD0B86">
        <w:rPr>
          <w:rFonts w:cs="Arial"/>
        </w:rPr>
        <w:t xml:space="preserve">. ADL </w:t>
      </w:r>
      <w:r w:rsidR="00761FC9">
        <w:rPr>
          <w:rFonts w:cs="Arial"/>
        </w:rPr>
        <w:t xml:space="preserve">conducted a diary study and several </w:t>
      </w:r>
      <w:r w:rsidR="00A24C1F" w:rsidRPr="00C00104">
        <w:rPr>
          <w:rFonts w:cs="Arial"/>
        </w:rPr>
        <w:t>survey</w:t>
      </w:r>
      <w:r w:rsidR="00761FC9">
        <w:rPr>
          <w:rFonts w:cs="Arial"/>
        </w:rPr>
        <w:t>s of</w:t>
      </w:r>
      <w:r w:rsidR="00A24C1F" w:rsidRPr="00C00104">
        <w:rPr>
          <w:rFonts w:cs="Arial"/>
        </w:rPr>
        <w:t xml:space="preserve"> individuals and businesses</w:t>
      </w:r>
      <w:r w:rsidR="00A24C1F" w:rsidRPr="00BD0B86">
        <w:rPr>
          <w:rFonts w:cs="Arial"/>
        </w:rPr>
        <w:t xml:space="preserve"> to gather data about the time they spent on recordkeeping, learning about the law or form, completing the return, and copying, assembling and submitting the return. </w:t>
      </w:r>
      <w:r w:rsidR="008D6BDA" w:rsidRPr="00BD0B86">
        <w:rPr>
          <w:rFonts w:cs="Arial"/>
        </w:rPr>
        <w:t xml:space="preserve">ADL worked with </w:t>
      </w:r>
      <w:r w:rsidR="0013152C">
        <w:rPr>
          <w:rFonts w:cs="Arial"/>
        </w:rPr>
        <w:t xml:space="preserve">the </w:t>
      </w:r>
      <w:r w:rsidR="008D6BDA" w:rsidRPr="00BD0B86">
        <w:rPr>
          <w:rFonts w:cs="Arial"/>
        </w:rPr>
        <w:t xml:space="preserve">IRS to match the survey data to the respondents’ tax returns. Using the matched data allowed ADL to build the first mathematical model </w:t>
      </w:r>
      <w:r w:rsidR="008D6BDA">
        <w:rPr>
          <w:rFonts w:cs="Arial"/>
        </w:rPr>
        <w:t>(known as the ADL M</w:t>
      </w:r>
      <w:r w:rsidR="008D6BDA" w:rsidRPr="00BD0B86">
        <w:rPr>
          <w:rFonts w:cs="Arial"/>
        </w:rPr>
        <w:t xml:space="preserve">odel) designed to estimate tax compliance burden. </w:t>
      </w:r>
      <w:r w:rsidR="006A4C37">
        <w:rPr>
          <w:rFonts w:cs="Times New Roman"/>
        </w:rPr>
        <w:t>T</w:t>
      </w:r>
      <w:r w:rsidR="006A4C37" w:rsidRPr="004B62EC">
        <w:rPr>
          <w:rFonts w:cs="Times New Roman"/>
        </w:rPr>
        <w:t xml:space="preserve">he </w:t>
      </w:r>
      <w:r w:rsidR="006A4C37">
        <w:rPr>
          <w:rFonts w:cs="Times New Roman"/>
        </w:rPr>
        <w:t xml:space="preserve">ADL </w:t>
      </w:r>
      <w:r w:rsidR="006A4C37" w:rsidRPr="004B62EC">
        <w:rPr>
          <w:rFonts w:cs="Times New Roman"/>
        </w:rPr>
        <w:t>model was a groundbreaking innovation and the first of its kind in the federal government.</w:t>
      </w:r>
    </w:p>
    <w:p w:rsidR="004E4F2B" w:rsidRPr="004E4F2B" w:rsidRDefault="004E4F2B" w:rsidP="004B62EC">
      <w:pPr>
        <w:autoSpaceDE w:val="0"/>
        <w:autoSpaceDN w:val="0"/>
        <w:adjustRightInd w:val="0"/>
        <w:spacing w:after="0" w:line="240" w:lineRule="auto"/>
        <w:rPr>
          <w:rFonts w:cs="Arial"/>
          <w:i/>
        </w:rPr>
      </w:pPr>
    </w:p>
    <w:p w:rsidR="00983894" w:rsidRDefault="00C6240D" w:rsidP="00D52600">
      <w:pPr>
        <w:autoSpaceDE w:val="0"/>
        <w:autoSpaceDN w:val="0"/>
        <w:adjustRightInd w:val="0"/>
        <w:spacing w:after="0" w:line="240" w:lineRule="auto"/>
        <w:rPr>
          <w:rFonts w:cs="Arial"/>
        </w:rPr>
      </w:pPr>
      <w:r>
        <w:rPr>
          <w:rFonts w:cs="Arial"/>
        </w:rPr>
        <w:t xml:space="preserve">As stated </w:t>
      </w:r>
      <w:r w:rsidR="00AF582A">
        <w:rPr>
          <w:rFonts w:cs="Arial"/>
        </w:rPr>
        <w:t>earlier,</w:t>
      </w:r>
      <w:r>
        <w:rPr>
          <w:rFonts w:cs="Arial"/>
        </w:rPr>
        <w:t xml:space="preserve"> when</w:t>
      </w:r>
      <w:r w:rsidR="006A4C37">
        <w:rPr>
          <w:rFonts w:cs="Arial"/>
        </w:rPr>
        <w:t xml:space="preserve"> the model was being developed, most returns were prepared by hand and filed on paper. </w:t>
      </w:r>
      <w:r w:rsidR="00D05D96">
        <w:rPr>
          <w:rFonts w:cs="Arial"/>
        </w:rPr>
        <w:t>No one anticipated the major shift to software preparation. Electronic filing hadn’t yet been introduced</w:t>
      </w:r>
      <w:r w:rsidR="00D05D96" w:rsidRPr="006A4C37">
        <w:rPr>
          <w:rFonts w:cs="Arial"/>
        </w:rPr>
        <w:t>.</w:t>
      </w:r>
      <w:r w:rsidR="00D05D96">
        <w:rPr>
          <w:rFonts w:cs="Arial"/>
        </w:rPr>
        <w:t xml:space="preserve"> </w:t>
      </w:r>
      <w:r w:rsidR="009D4F92">
        <w:rPr>
          <w:rFonts w:cs="Arial"/>
        </w:rPr>
        <w:t>I</w:t>
      </w:r>
      <w:r w:rsidR="009D4F92" w:rsidRPr="006A4C37">
        <w:rPr>
          <w:rFonts w:cs="Arial"/>
        </w:rPr>
        <w:t xml:space="preserve">t was assumed that </w:t>
      </w:r>
      <w:r w:rsidR="009D4F92">
        <w:rPr>
          <w:rFonts w:cs="Arial"/>
        </w:rPr>
        <w:t>any updates to the model would only require</w:t>
      </w:r>
      <w:r w:rsidR="009D4F92" w:rsidRPr="006A4C37">
        <w:rPr>
          <w:rFonts w:cs="Arial"/>
        </w:rPr>
        <w:t xml:space="preserve"> </w:t>
      </w:r>
      <w:r w:rsidR="009D4F92">
        <w:rPr>
          <w:rFonts w:cs="Arial"/>
        </w:rPr>
        <w:t>modifying</w:t>
      </w:r>
      <w:r w:rsidR="009D4F92" w:rsidRPr="006A4C37">
        <w:rPr>
          <w:rFonts w:cs="Arial"/>
        </w:rPr>
        <w:t xml:space="preserve"> isolated values or changing the activity burden formulas if necessary.</w:t>
      </w:r>
      <w:r w:rsidR="00AF582A">
        <w:rPr>
          <w:rFonts w:cs="Arial"/>
        </w:rPr>
        <w:t xml:space="preserve"> </w:t>
      </w:r>
      <w:r w:rsidR="0008721D">
        <w:rPr>
          <w:rFonts w:cs="Arial"/>
        </w:rPr>
        <w:t>Because manual tax preparation on paper requires taxpayers to go through each form they complete, t</w:t>
      </w:r>
      <w:r w:rsidR="008129B9">
        <w:rPr>
          <w:rFonts w:cs="Arial"/>
        </w:rPr>
        <w:t xml:space="preserve">he model </w:t>
      </w:r>
      <w:r w:rsidR="00D05D96">
        <w:rPr>
          <w:rFonts w:cs="Arial"/>
        </w:rPr>
        <w:t xml:space="preserve">was designed to </w:t>
      </w:r>
      <w:r w:rsidR="008129B9">
        <w:rPr>
          <w:rFonts w:cs="Arial"/>
        </w:rPr>
        <w:t xml:space="preserve">calculate burden for each form separately </w:t>
      </w:r>
      <w:r w:rsidR="0008721D">
        <w:rPr>
          <w:rFonts w:cs="Arial"/>
        </w:rPr>
        <w:t>and assumed taxpayers had to at least consider every line.</w:t>
      </w:r>
      <w:r w:rsidR="0008721D" w:rsidRPr="0008721D">
        <w:rPr>
          <w:rFonts w:cs="Arial"/>
        </w:rPr>
        <w:t xml:space="preserve"> </w:t>
      </w:r>
      <w:r w:rsidR="0008721D">
        <w:rPr>
          <w:rFonts w:cs="Arial"/>
        </w:rPr>
        <w:t>Because the PRA only required reporting burden hours, the monetary cost of tax compliance was not included in the model.</w:t>
      </w:r>
    </w:p>
    <w:p w:rsidR="009D4F92" w:rsidRDefault="009D4F92" w:rsidP="00D52600">
      <w:pPr>
        <w:autoSpaceDE w:val="0"/>
        <w:autoSpaceDN w:val="0"/>
        <w:adjustRightInd w:val="0"/>
        <w:spacing w:after="0" w:line="240" w:lineRule="auto"/>
        <w:rPr>
          <w:rFonts w:cs="Arial"/>
        </w:rPr>
      </w:pPr>
    </w:p>
    <w:p w:rsidR="009D4F92" w:rsidRDefault="009D4F92" w:rsidP="009D4F92">
      <w:pPr>
        <w:autoSpaceDE w:val="0"/>
        <w:autoSpaceDN w:val="0"/>
        <w:adjustRightInd w:val="0"/>
        <w:spacing w:after="0" w:line="240" w:lineRule="auto"/>
        <w:rPr>
          <w:rFonts w:cs="Arial"/>
        </w:rPr>
      </w:pPr>
      <w:r>
        <w:rPr>
          <w:rFonts w:cs="Arial"/>
        </w:rPr>
        <w:t>Perhaps the most important benefit of the AD</w:t>
      </w:r>
      <w:r w:rsidR="00725594">
        <w:rPr>
          <w:rFonts w:cs="Arial"/>
        </w:rPr>
        <w:t>L</w:t>
      </w:r>
      <w:r>
        <w:rPr>
          <w:rFonts w:cs="Arial"/>
        </w:rPr>
        <w:t xml:space="preserve"> model is that it is quite simple to use. </w:t>
      </w:r>
      <w:r w:rsidR="00D3773E">
        <w:rPr>
          <w:rFonts w:cs="Arial"/>
        </w:rPr>
        <w:t>The user inputs the number of lines on the form and the expected number</w:t>
      </w:r>
      <w:r>
        <w:rPr>
          <w:rFonts w:cs="Arial"/>
        </w:rPr>
        <w:t xml:space="preserve"> of forms that will be filed for that tax year. The model provides the estimated aggregate burden hours. </w:t>
      </w:r>
    </w:p>
    <w:p w:rsidR="009D4F92" w:rsidRDefault="009D4F92" w:rsidP="00D52600">
      <w:pPr>
        <w:autoSpaceDE w:val="0"/>
        <w:autoSpaceDN w:val="0"/>
        <w:adjustRightInd w:val="0"/>
        <w:spacing w:after="0" w:line="240" w:lineRule="auto"/>
        <w:rPr>
          <w:rFonts w:cs="Arial"/>
        </w:rPr>
      </w:pPr>
    </w:p>
    <w:p w:rsidR="00E76153" w:rsidRDefault="00983894" w:rsidP="00D52600">
      <w:pPr>
        <w:autoSpaceDE w:val="0"/>
        <w:autoSpaceDN w:val="0"/>
        <w:adjustRightInd w:val="0"/>
        <w:spacing w:after="0" w:line="240" w:lineRule="auto"/>
        <w:rPr>
          <w:rFonts w:cs="Arial"/>
        </w:rPr>
      </w:pPr>
      <w:r>
        <w:rPr>
          <w:rFonts w:cs="Arial"/>
        </w:rPr>
        <w:t xml:space="preserve">The AD Little model </w:t>
      </w:r>
      <w:r w:rsidR="00E76153">
        <w:rPr>
          <w:rFonts w:cs="Arial"/>
        </w:rPr>
        <w:t>is still used to estimate the burden for many forms.</w:t>
      </w:r>
    </w:p>
    <w:p w:rsidR="005B211E" w:rsidRDefault="005B211E" w:rsidP="00FF047D">
      <w:pPr>
        <w:spacing w:after="0" w:line="240" w:lineRule="auto"/>
        <w:rPr>
          <w:b/>
          <w:noProof/>
        </w:rPr>
      </w:pPr>
    </w:p>
    <w:p w:rsidR="00157F9D" w:rsidRPr="00BD0B86" w:rsidRDefault="00D60716" w:rsidP="00FF047D">
      <w:pPr>
        <w:spacing w:after="0" w:line="240" w:lineRule="auto"/>
        <w:rPr>
          <w:b/>
        </w:rPr>
      </w:pPr>
      <w:r w:rsidRPr="00BD0B86">
        <w:rPr>
          <w:b/>
          <w:noProof/>
        </w:rPr>
        <w:t>A New Look at Tax Compliance Burden Estimation</w:t>
      </w:r>
    </w:p>
    <w:p w:rsidR="007043D1" w:rsidRDefault="002446EB" w:rsidP="001F5F03">
      <w:pPr>
        <w:autoSpaceDE w:val="0"/>
        <w:autoSpaceDN w:val="0"/>
        <w:adjustRightInd w:val="0"/>
        <w:spacing w:after="0" w:line="240" w:lineRule="auto"/>
        <w:rPr>
          <w:rFonts w:cs="Times New Roman"/>
          <w:color w:val="000000"/>
        </w:rPr>
      </w:pPr>
      <w:r w:rsidRPr="00BD0B86">
        <w:rPr>
          <w:rFonts w:cs="Times New Roman"/>
          <w:color w:val="000000"/>
        </w:rPr>
        <w:t>In 1998, the IRS recognized that changes in</w:t>
      </w:r>
      <w:r w:rsidR="005D4DFE" w:rsidRPr="00BD0B86">
        <w:rPr>
          <w:rFonts w:cs="Times New Roman"/>
        </w:rPr>
        <w:t xml:space="preserve"> the economy, tax laws, and characteristics of the </w:t>
      </w:r>
      <w:r w:rsidR="001F5F03" w:rsidRPr="00BD0B86">
        <w:rPr>
          <w:rFonts w:cs="Times New Roman"/>
        </w:rPr>
        <w:t xml:space="preserve">taxpayer </w:t>
      </w:r>
      <w:r w:rsidR="005D4DFE" w:rsidRPr="00BD0B86">
        <w:rPr>
          <w:rFonts w:cs="Times New Roman"/>
        </w:rPr>
        <w:t>population</w:t>
      </w:r>
      <w:r w:rsidRPr="00BD0B86">
        <w:rPr>
          <w:rFonts w:cs="Times New Roman"/>
        </w:rPr>
        <w:t xml:space="preserve"> were making </w:t>
      </w:r>
      <w:r w:rsidR="005D4DFE" w:rsidRPr="00BD0B86">
        <w:rPr>
          <w:rFonts w:cs="Times New Roman"/>
        </w:rPr>
        <w:t>the survey</w:t>
      </w:r>
      <w:r w:rsidRPr="00BD0B86">
        <w:rPr>
          <w:rFonts w:cs="Times New Roman"/>
        </w:rPr>
        <w:t xml:space="preserve"> </w:t>
      </w:r>
      <w:r w:rsidR="005D4DFE" w:rsidRPr="00BD0B86">
        <w:rPr>
          <w:rFonts w:cs="Times New Roman"/>
        </w:rPr>
        <w:t xml:space="preserve">data that underlie the estimates in the </w:t>
      </w:r>
      <w:r w:rsidR="00331082">
        <w:rPr>
          <w:rFonts w:cs="Times New Roman"/>
        </w:rPr>
        <w:t xml:space="preserve">ADL </w:t>
      </w:r>
      <w:r w:rsidR="000B662C">
        <w:rPr>
          <w:rFonts w:cs="Times New Roman"/>
        </w:rPr>
        <w:t>m</w:t>
      </w:r>
      <w:r w:rsidR="005D4DFE" w:rsidRPr="00BD0B86">
        <w:rPr>
          <w:rFonts w:cs="Times New Roman"/>
        </w:rPr>
        <w:t>odel increasingly out-of-</w:t>
      </w:r>
      <w:r w:rsidR="005D4DFE" w:rsidRPr="002E14EF">
        <w:rPr>
          <w:rFonts w:cs="Times New Roman"/>
        </w:rPr>
        <w:t>date</w:t>
      </w:r>
      <w:r w:rsidR="002E14EF" w:rsidRPr="002E14EF">
        <w:rPr>
          <w:rFonts w:cs="Times New Roman"/>
        </w:rPr>
        <w:t>. I</w:t>
      </w:r>
      <w:r w:rsidR="001C59F5" w:rsidRPr="002E14EF">
        <w:rPr>
          <w:rFonts w:cs="Palatino-Roman"/>
          <w:color w:val="292526"/>
        </w:rPr>
        <w:t>n addition, the model can simulate only a narrow range of policy changes because it does not adequately represent the characteristics of the tax law that generate burden</w:t>
      </w:r>
      <w:r w:rsidR="002E14EF" w:rsidRPr="002E14EF">
        <w:rPr>
          <w:rFonts w:cs="Times New Roman"/>
        </w:rPr>
        <w:t>.</w:t>
      </w:r>
      <w:r w:rsidR="002E14EF" w:rsidRPr="002E14EF">
        <w:rPr>
          <w:rStyle w:val="FootnoteReference"/>
        </w:rPr>
        <w:footnoteReference w:id="4"/>
      </w:r>
      <w:r w:rsidR="002E14EF" w:rsidRPr="002E14EF">
        <w:rPr>
          <w:rFonts w:cs="Palatino-Roman"/>
          <w:color w:val="292526"/>
        </w:rPr>
        <w:t xml:space="preserve"> </w:t>
      </w:r>
      <w:r w:rsidRPr="002E14EF">
        <w:rPr>
          <w:rFonts w:cs="Times New Roman"/>
          <w:color w:val="000000"/>
        </w:rPr>
        <w:t xml:space="preserve">IRS Commissioner Charles Rossotti </w:t>
      </w:r>
      <w:r w:rsidR="001F5F03" w:rsidRPr="002E14EF">
        <w:rPr>
          <w:rFonts w:cs="Times New Roman"/>
          <w:color w:val="000000"/>
        </w:rPr>
        <w:t>established a task force to study the issue and make</w:t>
      </w:r>
      <w:r w:rsidRPr="002E14EF">
        <w:rPr>
          <w:rFonts w:cs="Times New Roman"/>
          <w:color w:val="000000"/>
        </w:rPr>
        <w:t xml:space="preserve"> </w:t>
      </w:r>
      <w:r w:rsidR="001F5F03" w:rsidRPr="002E14EF">
        <w:rPr>
          <w:rFonts w:cs="Times New Roman"/>
          <w:color w:val="000000"/>
        </w:rPr>
        <w:t xml:space="preserve">recommendations regarding future research. The task force included representatives from </w:t>
      </w:r>
      <w:r w:rsidR="00D16F7C" w:rsidRPr="002E14EF">
        <w:rPr>
          <w:rFonts w:cs="Times New Roman"/>
          <w:color w:val="000000"/>
        </w:rPr>
        <w:t>the</w:t>
      </w:r>
      <w:r w:rsidR="00D16F7C" w:rsidRPr="00BD0B86">
        <w:rPr>
          <w:rFonts w:cs="Times New Roman"/>
          <w:color w:val="000000"/>
        </w:rPr>
        <w:t xml:space="preserve"> </w:t>
      </w:r>
      <w:r w:rsidR="001F5F03" w:rsidRPr="00BD0B86">
        <w:rPr>
          <w:rFonts w:cs="Times New Roman"/>
          <w:color w:val="000000"/>
        </w:rPr>
        <w:t>IRS,</w:t>
      </w:r>
      <w:r w:rsidRPr="00BD0B86">
        <w:rPr>
          <w:rFonts w:cs="Times New Roman"/>
          <w:color w:val="000000"/>
        </w:rPr>
        <w:t xml:space="preserve"> </w:t>
      </w:r>
      <w:r w:rsidR="001F5F03" w:rsidRPr="00BD0B86">
        <w:rPr>
          <w:rFonts w:cs="Times New Roman"/>
          <w:color w:val="000000"/>
        </w:rPr>
        <w:t>Department of Treasury (Office of Tax Analysis and Assistant Secretary for Management),</w:t>
      </w:r>
      <w:r w:rsidRPr="00BD0B86">
        <w:rPr>
          <w:rFonts w:cs="Times New Roman"/>
          <w:color w:val="000000"/>
        </w:rPr>
        <w:t xml:space="preserve"> </w:t>
      </w:r>
      <w:r w:rsidR="001F5F03" w:rsidRPr="00BD0B86">
        <w:rPr>
          <w:rFonts w:cs="Times New Roman"/>
          <w:color w:val="000000"/>
        </w:rPr>
        <w:t>Office of Management and Budget</w:t>
      </w:r>
      <w:r w:rsidR="00D16F7C" w:rsidRPr="00BD0B86">
        <w:rPr>
          <w:rFonts w:cs="Times New Roman"/>
          <w:color w:val="000000"/>
        </w:rPr>
        <w:t xml:space="preserve"> (OMB)</w:t>
      </w:r>
      <w:r w:rsidR="001F5F03" w:rsidRPr="00BD0B86">
        <w:rPr>
          <w:rFonts w:cs="Times New Roman"/>
          <w:color w:val="000000"/>
        </w:rPr>
        <w:t>, and the General Accounting Office</w:t>
      </w:r>
      <w:r w:rsidR="00D16F7C" w:rsidRPr="00BD0B86">
        <w:rPr>
          <w:rFonts w:cs="Times New Roman"/>
          <w:color w:val="000000"/>
        </w:rPr>
        <w:t xml:space="preserve"> (GAO)</w:t>
      </w:r>
      <w:r w:rsidR="001F5F03" w:rsidRPr="00BD0B86">
        <w:rPr>
          <w:rFonts w:cs="Times New Roman"/>
          <w:color w:val="000000"/>
        </w:rPr>
        <w:t>.</w:t>
      </w:r>
      <w:r w:rsidR="00FB020B" w:rsidRPr="00BD0B86">
        <w:rPr>
          <w:rFonts w:cs="Times New Roman"/>
          <w:color w:val="000000"/>
        </w:rPr>
        <w:t xml:space="preserve"> </w:t>
      </w:r>
      <w:r w:rsidR="00AB1380" w:rsidRPr="00BD0B86">
        <w:rPr>
          <w:rFonts w:cs="Times New Roman"/>
          <w:color w:val="000000"/>
        </w:rPr>
        <w:t xml:space="preserve"> </w:t>
      </w:r>
    </w:p>
    <w:p w:rsidR="007043D1" w:rsidRDefault="007043D1" w:rsidP="001F5F03">
      <w:pPr>
        <w:autoSpaceDE w:val="0"/>
        <w:autoSpaceDN w:val="0"/>
        <w:adjustRightInd w:val="0"/>
        <w:spacing w:after="0" w:line="240" w:lineRule="auto"/>
        <w:rPr>
          <w:rFonts w:cs="Times New Roman"/>
          <w:color w:val="000000"/>
        </w:rPr>
      </w:pPr>
    </w:p>
    <w:p w:rsidR="007043D1" w:rsidRPr="00905E14" w:rsidRDefault="007043D1" w:rsidP="00833C85">
      <w:pPr>
        <w:autoSpaceDE w:val="0"/>
        <w:autoSpaceDN w:val="0"/>
        <w:adjustRightInd w:val="0"/>
        <w:spacing w:after="0" w:line="240" w:lineRule="auto"/>
        <w:rPr>
          <w:rFonts w:cs="Times New Roman"/>
        </w:rPr>
      </w:pPr>
      <w:r w:rsidRPr="00905E14">
        <w:rPr>
          <w:rFonts w:cs="Times New Roman"/>
        </w:rPr>
        <w:t>A 2000 GAO report</w:t>
      </w:r>
      <w:r w:rsidRPr="00905E14">
        <w:rPr>
          <w:rStyle w:val="FootnoteReference"/>
        </w:rPr>
        <w:footnoteReference w:id="5"/>
      </w:r>
      <w:r w:rsidRPr="00905E14">
        <w:rPr>
          <w:rFonts w:cs="Times New Roman"/>
        </w:rPr>
        <w:t xml:space="preserve"> </w:t>
      </w:r>
      <w:r w:rsidR="00833C85" w:rsidRPr="00905E14">
        <w:rPr>
          <w:rFonts w:cs="Times New Roman"/>
        </w:rPr>
        <w:t xml:space="preserve">summarizes the ideal capabilities of the new model. It states that the model would be able to: </w:t>
      </w:r>
    </w:p>
    <w:p w:rsidR="00833C85" w:rsidRPr="00905E14" w:rsidRDefault="00833C85" w:rsidP="007043D1">
      <w:pPr>
        <w:autoSpaceDE w:val="0"/>
        <w:autoSpaceDN w:val="0"/>
        <w:adjustRightInd w:val="0"/>
        <w:spacing w:after="0" w:line="240" w:lineRule="auto"/>
        <w:rPr>
          <w:rFonts w:cs="Symbol"/>
        </w:rPr>
      </w:pP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the burden associated with all prefiling, filing, and post</w:t>
      </w:r>
      <w:r w:rsidR="00E1321F">
        <w:rPr>
          <w:rFonts w:cs="Times New Roman"/>
        </w:rPr>
        <w:t>-</w:t>
      </w:r>
      <w:r w:rsidRPr="00905E14">
        <w:rPr>
          <w:rFonts w:cs="Times New Roman"/>
        </w:rPr>
        <w:t>filing</w:t>
      </w:r>
      <w:r w:rsidR="00833C85" w:rsidRPr="00905E14">
        <w:rPr>
          <w:rFonts w:cs="Times New Roman"/>
        </w:rPr>
        <w:t xml:space="preserve"> </w:t>
      </w:r>
      <w:r w:rsidRPr="00905E14">
        <w:rPr>
          <w:rFonts w:cs="Times New Roman"/>
        </w:rPr>
        <w:t>activities undertaken to comply with federal income, estate and gift,</w:t>
      </w:r>
      <w:r w:rsidR="00833C85" w:rsidRPr="00905E14">
        <w:rPr>
          <w:rFonts w:cs="Times New Roman"/>
        </w:rPr>
        <w:t xml:space="preserve"> </w:t>
      </w:r>
      <w:r w:rsidRPr="00905E14">
        <w:rPr>
          <w:rFonts w:cs="Times New Roman"/>
        </w:rPr>
        <w:t>employment, and excise tax rules;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total compliance burden by type of tax, taxpayer, and activity;</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burden by origin of compliance requirements (tax laws,</w:t>
      </w:r>
      <w:r w:rsidR="00833C85" w:rsidRPr="00905E14">
        <w:rPr>
          <w:rFonts w:cs="Times New Roman"/>
        </w:rPr>
        <w:t xml:space="preserve"> </w:t>
      </w:r>
      <w:r w:rsidRPr="00905E14">
        <w:rPr>
          <w:rFonts w:cs="Times New Roman"/>
        </w:rPr>
        <w:t>regulations, and administrative procedures);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changes in burden associated with potential tax law changes;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function in an integrated manner, allowing users to see how certain tax</w:t>
      </w:r>
      <w:r w:rsidR="00833C85" w:rsidRPr="00905E14">
        <w:rPr>
          <w:rFonts w:cs="Times New Roman"/>
        </w:rPr>
        <w:t xml:space="preserve"> </w:t>
      </w:r>
      <w:r w:rsidRPr="00905E14">
        <w:rPr>
          <w:rFonts w:cs="Times New Roman"/>
        </w:rPr>
        <w:t>changes affect multiple taxpayer groups;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disaggregate burden by IRS function (e.g., submission processing and</w:t>
      </w:r>
      <w:r w:rsidR="00833C85" w:rsidRPr="00905E14">
        <w:rPr>
          <w:rFonts w:cs="Times New Roman"/>
        </w:rPr>
        <w:t xml:space="preserve"> </w:t>
      </w:r>
      <w:r w:rsidRPr="00905E14">
        <w:rPr>
          <w:rFonts w:cs="Times New Roman"/>
        </w:rPr>
        <w:t>customer service) for burdens associated with the requirements of, and</w:t>
      </w:r>
      <w:r w:rsidR="00833C85" w:rsidRPr="00905E14">
        <w:rPr>
          <w:rFonts w:cs="Times New Roman"/>
        </w:rPr>
        <w:t xml:space="preserve"> </w:t>
      </w:r>
      <w:r w:rsidRPr="00905E14">
        <w:rPr>
          <w:rFonts w:cs="Times New Roman"/>
        </w:rPr>
        <w:t>taxpayer interactions with, those functions;</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w:t>
      </w:r>
      <w:r w:rsidR="00E02A91">
        <w:rPr>
          <w:rFonts w:cs="Times New Roman"/>
        </w:rPr>
        <w:t>e the impact on tax</w:t>
      </w:r>
      <w:r w:rsidRPr="00905E14">
        <w:rPr>
          <w:rFonts w:cs="Times New Roman"/>
        </w:rPr>
        <w:t xml:space="preserve"> </w:t>
      </w:r>
      <w:r w:rsidR="00E02A91">
        <w:rPr>
          <w:rFonts w:cs="Times New Roman"/>
        </w:rPr>
        <w:t xml:space="preserve">compliance </w:t>
      </w:r>
      <w:r w:rsidRPr="00905E14">
        <w:rPr>
          <w:rFonts w:cs="Times New Roman"/>
        </w:rPr>
        <w:t>burden of alternative enforcement</w:t>
      </w:r>
      <w:r w:rsidR="00833C85" w:rsidRPr="00905E14">
        <w:rPr>
          <w:rFonts w:cs="Times New Roman"/>
        </w:rPr>
        <w:t xml:space="preserve"> </w:t>
      </w:r>
      <w:r w:rsidRPr="00905E14">
        <w:rPr>
          <w:rFonts w:cs="Times New Roman"/>
        </w:rPr>
        <w:t>programs and techniques providing customer service;</w:t>
      </w:r>
    </w:p>
    <w:p w:rsidR="007043D1" w:rsidRPr="00905E14" w:rsidRDefault="007043D1" w:rsidP="00E1321F">
      <w:pPr>
        <w:numPr>
          <w:ilvl w:val="0"/>
          <w:numId w:val="36"/>
        </w:numPr>
        <w:autoSpaceDE w:val="0"/>
        <w:autoSpaceDN w:val="0"/>
        <w:adjustRightInd w:val="0"/>
        <w:spacing w:after="0" w:line="240" w:lineRule="auto"/>
        <w:rPr>
          <w:rFonts w:cs="Times New Roman"/>
        </w:rPr>
      </w:pPr>
      <w:r w:rsidRPr="00905E14">
        <w:rPr>
          <w:rFonts w:cs="Times New Roman"/>
        </w:rPr>
        <w:t>provide different types of estimates for different purposes (e.g., the</w:t>
      </w:r>
      <w:r w:rsidR="00833C85" w:rsidRPr="00905E14">
        <w:rPr>
          <w:rFonts w:cs="Times New Roman"/>
        </w:rPr>
        <w:t xml:space="preserve"> </w:t>
      </w:r>
      <w:r w:rsidRPr="00905E14">
        <w:rPr>
          <w:rFonts w:cs="Times New Roman"/>
        </w:rPr>
        <w:t>estimates required for the Information Collection Budget are different</w:t>
      </w:r>
      <w:r w:rsidR="00833C85" w:rsidRPr="00905E14">
        <w:rPr>
          <w:rFonts w:cs="Times New Roman"/>
        </w:rPr>
        <w:t xml:space="preserve"> </w:t>
      </w:r>
      <w:r w:rsidRPr="00905E14">
        <w:rPr>
          <w:rFonts w:cs="Times New Roman"/>
        </w:rPr>
        <w:t>from those that IRS would use for performance measurement under</w:t>
      </w:r>
      <w:r w:rsidR="00833C85" w:rsidRPr="00905E14">
        <w:rPr>
          <w:rFonts w:cs="Times New Roman"/>
        </w:rPr>
        <w:t xml:space="preserve"> </w:t>
      </w:r>
      <w:r w:rsidR="00E1321F" w:rsidRPr="00E1321F">
        <w:rPr>
          <w:rFonts w:cs="Times New Roman"/>
        </w:rPr>
        <w:t>Government Performance and Results Act</w:t>
      </w:r>
      <w:r w:rsidR="00E1321F">
        <w:rPr>
          <w:rFonts w:cs="Times New Roman"/>
        </w:rPr>
        <w:t xml:space="preserve"> (GPRA)</w:t>
      </w:r>
      <w:r w:rsidRPr="00905E14">
        <w:rPr>
          <w:rFonts w:cs="Times New Roman"/>
        </w:rPr>
        <w:t>);</w:t>
      </w:r>
    </w:p>
    <w:p w:rsidR="007043D1" w:rsidRPr="00905E14" w:rsidRDefault="007043D1" w:rsidP="00833C85">
      <w:pPr>
        <w:numPr>
          <w:ilvl w:val="0"/>
          <w:numId w:val="36"/>
        </w:numPr>
        <w:autoSpaceDE w:val="0"/>
        <w:autoSpaceDN w:val="0"/>
        <w:adjustRightInd w:val="0"/>
        <w:spacing w:after="0" w:line="240" w:lineRule="auto"/>
        <w:rPr>
          <w:rFonts w:cs="Times New Roman"/>
        </w:rPr>
      </w:pPr>
      <w:r w:rsidRPr="00905E14">
        <w:rPr>
          <w:rFonts w:cs="Times New Roman"/>
        </w:rPr>
        <w:t>estimate burden in terms of dollars as well as time; and</w:t>
      </w:r>
    </w:p>
    <w:p w:rsidR="007043D1" w:rsidRPr="00ED2F52" w:rsidRDefault="007043D1" w:rsidP="00833C85">
      <w:pPr>
        <w:numPr>
          <w:ilvl w:val="0"/>
          <w:numId w:val="36"/>
        </w:numPr>
        <w:autoSpaceDE w:val="0"/>
        <w:autoSpaceDN w:val="0"/>
        <w:adjustRightInd w:val="0"/>
        <w:spacing w:after="0" w:line="240" w:lineRule="auto"/>
        <w:rPr>
          <w:rFonts w:cs="Times New Roman"/>
          <w:color w:val="000000"/>
        </w:rPr>
      </w:pPr>
      <w:r w:rsidRPr="00905E14">
        <w:rPr>
          <w:rFonts w:cs="Times New Roman"/>
        </w:rPr>
        <w:t>incorporate new data with sufficient ease so that the model, itself, would</w:t>
      </w:r>
      <w:r w:rsidR="00833C85" w:rsidRPr="00905E14">
        <w:rPr>
          <w:rFonts w:cs="Times New Roman"/>
        </w:rPr>
        <w:t xml:space="preserve"> </w:t>
      </w:r>
      <w:r w:rsidRPr="00905E14">
        <w:rPr>
          <w:rFonts w:cs="Times New Roman"/>
        </w:rPr>
        <w:t>not have to be replaced in the near future.</w:t>
      </w:r>
    </w:p>
    <w:p w:rsidR="00ED2F52" w:rsidRDefault="00ED2F52" w:rsidP="00ED2F52">
      <w:pPr>
        <w:autoSpaceDE w:val="0"/>
        <w:autoSpaceDN w:val="0"/>
        <w:adjustRightInd w:val="0"/>
        <w:spacing w:after="0" w:line="240" w:lineRule="auto"/>
        <w:rPr>
          <w:rFonts w:cs="Times New Roman"/>
        </w:rPr>
      </w:pPr>
    </w:p>
    <w:p w:rsidR="00D5435E" w:rsidRPr="00905E14" w:rsidRDefault="007043D1" w:rsidP="00D5435E">
      <w:pPr>
        <w:autoSpaceDE w:val="0"/>
        <w:autoSpaceDN w:val="0"/>
        <w:adjustRightInd w:val="0"/>
        <w:spacing w:after="0" w:line="240" w:lineRule="auto"/>
        <w:rPr>
          <w:rFonts w:cs="Times New Roman"/>
        </w:rPr>
      </w:pPr>
      <w:r w:rsidRPr="00905E14">
        <w:rPr>
          <w:rFonts w:cs="Times New Roman"/>
        </w:rPr>
        <w:t xml:space="preserve">To </w:t>
      </w:r>
      <w:r w:rsidR="00D5435E" w:rsidRPr="00905E14">
        <w:rPr>
          <w:rFonts w:cs="Times New Roman"/>
        </w:rPr>
        <w:t>mitigate the risks associated with developing the new burden e</w:t>
      </w:r>
      <w:r w:rsidR="004458DE" w:rsidRPr="00905E14">
        <w:rPr>
          <w:rFonts w:cs="Times New Roman"/>
        </w:rPr>
        <w:t xml:space="preserve">stimation </w:t>
      </w:r>
      <w:r w:rsidRPr="00905E14">
        <w:rPr>
          <w:rFonts w:cs="Times New Roman"/>
        </w:rPr>
        <w:t>methodology</w:t>
      </w:r>
      <w:r w:rsidR="00274228">
        <w:rPr>
          <w:rFonts w:cs="Times New Roman"/>
        </w:rPr>
        <w:t>, the</w:t>
      </w:r>
      <w:r w:rsidRPr="00905E14">
        <w:rPr>
          <w:rFonts w:cs="Times New Roman"/>
        </w:rPr>
        <w:t xml:space="preserve"> IRS </w:t>
      </w:r>
      <w:r w:rsidR="00E1321F">
        <w:rPr>
          <w:rFonts w:cs="Times New Roman"/>
        </w:rPr>
        <w:t>implemented</w:t>
      </w:r>
      <w:r w:rsidR="004458DE" w:rsidRPr="00905E14">
        <w:rPr>
          <w:rFonts w:cs="Times New Roman"/>
        </w:rPr>
        <w:t xml:space="preserve"> a </w:t>
      </w:r>
      <w:r w:rsidRPr="00905E14">
        <w:rPr>
          <w:rFonts w:cs="Times New Roman"/>
        </w:rPr>
        <w:t>multi</w:t>
      </w:r>
      <w:r w:rsidR="004458DE" w:rsidRPr="00905E14">
        <w:rPr>
          <w:rFonts w:cs="Times New Roman"/>
        </w:rPr>
        <w:t>-</w:t>
      </w:r>
      <w:r w:rsidRPr="00905E14">
        <w:rPr>
          <w:rFonts w:cs="Times New Roman"/>
        </w:rPr>
        <w:t>phase strategy.</w:t>
      </w:r>
      <w:r w:rsidR="004458DE" w:rsidRPr="00905E14">
        <w:rPr>
          <w:rFonts w:cs="Times New Roman"/>
        </w:rPr>
        <w:t xml:space="preserve"> The</w:t>
      </w:r>
      <w:r w:rsidR="00D5435E" w:rsidRPr="00905E14">
        <w:rPr>
          <w:rFonts w:cs="Times New Roman"/>
        </w:rPr>
        <w:t xml:space="preserve"> approach gives the</w:t>
      </w:r>
      <w:r w:rsidR="004458DE" w:rsidRPr="00905E14">
        <w:rPr>
          <w:rFonts w:cs="Times New Roman"/>
        </w:rPr>
        <w:t xml:space="preserve"> IRS an opportunity to</w:t>
      </w:r>
      <w:r w:rsidR="00D5435E" w:rsidRPr="00905E14">
        <w:rPr>
          <w:rFonts w:cs="Times New Roman"/>
        </w:rPr>
        <w:t xml:space="preserve"> </w:t>
      </w:r>
      <w:r w:rsidR="004458DE" w:rsidRPr="00905E14">
        <w:rPr>
          <w:rFonts w:cs="Times New Roman"/>
        </w:rPr>
        <w:t>incorporate lessons learned from early phases of the process into later</w:t>
      </w:r>
      <w:r w:rsidR="00D5435E" w:rsidRPr="00905E14">
        <w:rPr>
          <w:rFonts w:cs="Times New Roman"/>
        </w:rPr>
        <w:t xml:space="preserve"> </w:t>
      </w:r>
      <w:r w:rsidR="004458DE" w:rsidRPr="00905E14">
        <w:rPr>
          <w:rFonts w:cs="Times New Roman"/>
        </w:rPr>
        <w:t xml:space="preserve">efforts. </w:t>
      </w:r>
    </w:p>
    <w:p w:rsidR="004458DE" w:rsidRPr="00905E14" w:rsidRDefault="004458DE" w:rsidP="004458DE">
      <w:pPr>
        <w:autoSpaceDE w:val="0"/>
        <w:autoSpaceDN w:val="0"/>
        <w:adjustRightInd w:val="0"/>
        <w:spacing w:after="0" w:line="240" w:lineRule="auto"/>
        <w:rPr>
          <w:rFonts w:cs="Times New Roman"/>
        </w:rPr>
      </w:pPr>
    </w:p>
    <w:p w:rsidR="007043D1" w:rsidRPr="00905E14" w:rsidRDefault="007043D1" w:rsidP="007043D1">
      <w:pPr>
        <w:autoSpaceDE w:val="0"/>
        <w:autoSpaceDN w:val="0"/>
        <w:adjustRightInd w:val="0"/>
        <w:spacing w:after="0" w:line="240" w:lineRule="auto"/>
        <w:rPr>
          <w:rFonts w:cs="Times New Roman"/>
        </w:rPr>
      </w:pPr>
      <w:r w:rsidRPr="00905E14">
        <w:rPr>
          <w:rFonts w:cs="Times New Roman"/>
        </w:rPr>
        <w:t>The first phase of the development process focuse</w:t>
      </w:r>
      <w:r w:rsidR="00D5435E" w:rsidRPr="00905E14">
        <w:rPr>
          <w:rFonts w:cs="Times New Roman"/>
        </w:rPr>
        <w:t>d</w:t>
      </w:r>
      <w:r w:rsidRPr="00905E14">
        <w:rPr>
          <w:rFonts w:cs="Times New Roman"/>
        </w:rPr>
        <w:t xml:space="preserve"> on </w:t>
      </w:r>
      <w:r w:rsidR="00D5435E" w:rsidRPr="00905E14">
        <w:rPr>
          <w:rFonts w:cs="Times New Roman"/>
        </w:rPr>
        <w:t xml:space="preserve">implementation of a model to estimate </w:t>
      </w:r>
      <w:r w:rsidRPr="00905E14">
        <w:rPr>
          <w:rFonts w:cs="Times New Roman"/>
        </w:rPr>
        <w:t>the federal income tax</w:t>
      </w:r>
      <w:r w:rsidR="00D5435E" w:rsidRPr="00905E14">
        <w:rPr>
          <w:rFonts w:cs="Times New Roman"/>
        </w:rPr>
        <w:t xml:space="preserve"> </w:t>
      </w:r>
      <w:r w:rsidRPr="00905E14">
        <w:rPr>
          <w:rFonts w:cs="Times New Roman"/>
        </w:rPr>
        <w:t>compliance burden of W</w:t>
      </w:r>
      <w:r w:rsidR="00D5435E" w:rsidRPr="00905E14">
        <w:rPr>
          <w:rFonts w:cs="Times New Roman"/>
        </w:rPr>
        <w:t xml:space="preserve">age </w:t>
      </w:r>
      <w:r w:rsidRPr="00905E14">
        <w:rPr>
          <w:rFonts w:cs="Times New Roman"/>
        </w:rPr>
        <w:t>&amp;</w:t>
      </w:r>
      <w:r w:rsidR="00D5435E" w:rsidRPr="00905E14">
        <w:rPr>
          <w:rFonts w:cs="Times New Roman"/>
        </w:rPr>
        <w:t xml:space="preserve"> </w:t>
      </w:r>
      <w:r w:rsidRPr="00905E14">
        <w:rPr>
          <w:rFonts w:cs="Times New Roman"/>
        </w:rPr>
        <w:t>I</w:t>
      </w:r>
      <w:r w:rsidR="00D5435E" w:rsidRPr="00905E14">
        <w:rPr>
          <w:rFonts w:cs="Times New Roman"/>
        </w:rPr>
        <w:t>nvestment</w:t>
      </w:r>
      <w:r w:rsidRPr="00905E14">
        <w:rPr>
          <w:rFonts w:cs="Times New Roman"/>
        </w:rPr>
        <w:t xml:space="preserve"> taxpayers—those that derive all of their</w:t>
      </w:r>
    </w:p>
    <w:p w:rsidR="00D5435E" w:rsidRPr="00905E14" w:rsidRDefault="007043D1" w:rsidP="003542CF">
      <w:pPr>
        <w:autoSpaceDE w:val="0"/>
        <w:autoSpaceDN w:val="0"/>
        <w:adjustRightInd w:val="0"/>
        <w:spacing w:after="0" w:line="240" w:lineRule="auto"/>
        <w:rPr>
          <w:rFonts w:cs="Times New Roman"/>
          <w:color w:val="000000"/>
        </w:rPr>
      </w:pPr>
      <w:r w:rsidRPr="00905E14">
        <w:rPr>
          <w:rFonts w:cs="Times New Roman"/>
        </w:rPr>
        <w:t xml:space="preserve">income from wages, pensions, interest, dividends, and capital gains. </w:t>
      </w:r>
      <w:r w:rsidR="00D16F7C" w:rsidRPr="00905E14">
        <w:rPr>
          <w:rFonts w:cs="Times New Roman"/>
          <w:color w:val="000000"/>
        </w:rPr>
        <w:t xml:space="preserve">The </w:t>
      </w:r>
      <w:r w:rsidR="00AB1380" w:rsidRPr="00905E14">
        <w:rPr>
          <w:rFonts w:cs="Times New Roman"/>
          <w:color w:val="000000"/>
        </w:rPr>
        <w:t xml:space="preserve">IRS contracted with IBM to </w:t>
      </w:r>
      <w:r w:rsidR="00D16F7C" w:rsidRPr="00905E14">
        <w:rPr>
          <w:rFonts w:cs="Times New Roman"/>
          <w:color w:val="000000"/>
        </w:rPr>
        <w:t>doc</w:t>
      </w:r>
      <w:r w:rsidR="00E02A91">
        <w:rPr>
          <w:rFonts w:cs="Times New Roman"/>
          <w:color w:val="000000"/>
        </w:rPr>
        <w:t>ument the components of tax</w:t>
      </w:r>
      <w:r w:rsidR="00D16F7C" w:rsidRPr="00905E14">
        <w:rPr>
          <w:rFonts w:cs="Times New Roman"/>
          <w:color w:val="000000"/>
        </w:rPr>
        <w:t xml:space="preserve"> </w:t>
      </w:r>
      <w:r w:rsidR="00E02A91">
        <w:rPr>
          <w:rFonts w:cs="Times New Roman"/>
          <w:color w:val="000000"/>
        </w:rPr>
        <w:t xml:space="preserve">compliance </w:t>
      </w:r>
      <w:r w:rsidR="00D16F7C" w:rsidRPr="00905E14">
        <w:rPr>
          <w:rFonts w:cs="Times New Roman"/>
          <w:color w:val="000000"/>
        </w:rPr>
        <w:t xml:space="preserve">burden, describe the concept and structure of a microsimulation model to estimate burden, and recommend a strategy for gathering new survey data from a sample of individual taxpayers. </w:t>
      </w:r>
      <w:r w:rsidR="00AB1380" w:rsidRPr="00905E14">
        <w:rPr>
          <w:rFonts w:cs="Times New Roman"/>
          <w:color w:val="000000"/>
        </w:rPr>
        <w:t>The study helped develop an improved methodology for measuring and modeling the burdens imposed by the tax system on individual taxpayers, with the expectation that the methodology would be expanded to other taxpayer segments in the future.</w:t>
      </w:r>
    </w:p>
    <w:p w:rsidR="00D5435E" w:rsidRPr="00905E14" w:rsidRDefault="00D5435E" w:rsidP="003542CF">
      <w:pPr>
        <w:autoSpaceDE w:val="0"/>
        <w:autoSpaceDN w:val="0"/>
        <w:adjustRightInd w:val="0"/>
        <w:spacing w:after="0" w:line="240" w:lineRule="auto"/>
        <w:rPr>
          <w:rFonts w:cs="Times New Roman"/>
          <w:color w:val="000000"/>
        </w:rPr>
      </w:pPr>
    </w:p>
    <w:p w:rsidR="003542CF" w:rsidRPr="00905E14" w:rsidRDefault="008E054B" w:rsidP="003542CF">
      <w:pPr>
        <w:autoSpaceDE w:val="0"/>
        <w:autoSpaceDN w:val="0"/>
        <w:adjustRightInd w:val="0"/>
        <w:spacing w:after="0" w:line="240" w:lineRule="auto"/>
        <w:rPr>
          <w:rFonts w:cs="Times New Roman"/>
          <w:color w:val="000000"/>
        </w:rPr>
      </w:pPr>
      <w:r w:rsidRPr="00905E14">
        <w:rPr>
          <w:rFonts w:cs="Times New Roman"/>
          <w:color w:val="000000"/>
        </w:rPr>
        <w:t>T</w:t>
      </w:r>
      <w:r w:rsidR="00745974" w:rsidRPr="00905E14">
        <w:rPr>
          <w:rFonts w:cs="Times New Roman"/>
          <w:color w:val="000000"/>
        </w:rPr>
        <w:t xml:space="preserve">he improved </w:t>
      </w:r>
      <w:r w:rsidR="00B25872" w:rsidRPr="00905E14">
        <w:rPr>
          <w:rFonts w:eastAsia="Times New Roman" w:cs="Times New Roman"/>
          <w:color w:val="181717"/>
        </w:rPr>
        <w:t xml:space="preserve">burden methodology establishes econometric relationships between tax return characteristics from IRS administrative data and the time and out-of-pocket costs reported by those taxpayers via </w:t>
      </w:r>
      <w:r w:rsidR="00095E64" w:rsidRPr="00905E14">
        <w:rPr>
          <w:rFonts w:eastAsia="Times New Roman" w:cs="Times New Roman"/>
          <w:color w:val="181717"/>
        </w:rPr>
        <w:t>survey data</w:t>
      </w:r>
      <w:r w:rsidR="00B25872" w:rsidRPr="00905E14">
        <w:rPr>
          <w:rFonts w:eastAsia="Times New Roman" w:cs="Times New Roman"/>
          <w:color w:val="181717"/>
        </w:rPr>
        <w:t>.</w:t>
      </w:r>
      <w:r w:rsidRPr="00905E14">
        <w:rPr>
          <w:rFonts w:cs="Times New Roman"/>
          <w:color w:val="000000"/>
        </w:rPr>
        <w:t xml:space="preserve"> </w:t>
      </w:r>
      <w:r w:rsidR="003542CF" w:rsidRPr="00905E14">
        <w:rPr>
          <w:rFonts w:cs="Times New Roman"/>
          <w:color w:val="000000"/>
        </w:rPr>
        <w:t xml:space="preserve">Most importantly, it </w:t>
      </w:r>
      <w:r w:rsidR="003542CF" w:rsidRPr="00905E14">
        <w:rPr>
          <w:rFonts w:eastAsia="Times New Roman" w:cs="Times New Roman"/>
          <w:color w:val="181717"/>
        </w:rPr>
        <w:t>takes a taxpayer-centric view of tax compliance burden, considering taxpayers’ actual pre-filing and filing experience.</w:t>
      </w:r>
      <w:r w:rsidR="00BA17DD">
        <w:rPr>
          <w:rFonts w:eastAsia="Times New Roman" w:cs="Times New Roman"/>
          <w:color w:val="181717"/>
        </w:rPr>
        <w:t xml:space="preserve"> It recognizes the need to survey taxpayers periodically to ensure that the model can be updated to properly</w:t>
      </w:r>
      <w:r w:rsidR="00E02A91">
        <w:rPr>
          <w:rFonts w:eastAsia="Times New Roman" w:cs="Times New Roman"/>
          <w:color w:val="181717"/>
        </w:rPr>
        <w:t xml:space="preserve"> represent the current tax </w:t>
      </w:r>
      <w:r w:rsidR="00BA17DD">
        <w:rPr>
          <w:rFonts w:eastAsia="Times New Roman" w:cs="Times New Roman"/>
          <w:color w:val="181717"/>
        </w:rPr>
        <w:t>compliance experience.</w:t>
      </w:r>
    </w:p>
    <w:p w:rsidR="007536B1" w:rsidRPr="00BD0B86" w:rsidRDefault="007536B1" w:rsidP="007536B1">
      <w:pPr>
        <w:spacing w:after="0" w:line="240" w:lineRule="auto"/>
        <w:rPr>
          <w:b/>
          <w:i/>
        </w:rPr>
      </w:pPr>
      <w:r w:rsidRPr="00BD0B86">
        <w:rPr>
          <w:b/>
          <w:i/>
        </w:rPr>
        <w:t>Taxpayer Burden Surveys</w:t>
      </w:r>
    </w:p>
    <w:p w:rsidR="00A20891" w:rsidRDefault="007536B1" w:rsidP="000E22D3">
      <w:pPr>
        <w:spacing w:after="7" w:line="245" w:lineRule="auto"/>
        <w:ind w:left="-15" w:right="38"/>
        <w:rPr>
          <w:rFonts w:eastAsia="Times New Roman" w:cs="Times New Roman"/>
          <w:color w:val="181717"/>
        </w:rPr>
      </w:pPr>
      <w:r w:rsidRPr="00BD0B86">
        <w:rPr>
          <w:rFonts w:eastAsia="Times New Roman" w:cs="Times New Roman"/>
          <w:color w:val="181717"/>
        </w:rPr>
        <w:t>As a</w:t>
      </w:r>
      <w:r w:rsidR="00E02A91">
        <w:rPr>
          <w:rFonts w:eastAsia="Times New Roman" w:cs="Times New Roman"/>
          <w:color w:val="181717"/>
        </w:rPr>
        <w:t xml:space="preserve"> key step in estimating tax</w:t>
      </w:r>
      <w:r w:rsidRPr="00BD0B86">
        <w:rPr>
          <w:rFonts w:eastAsia="Times New Roman" w:cs="Times New Roman"/>
          <w:color w:val="181717"/>
        </w:rPr>
        <w:t xml:space="preserve"> compliance costs, the IRS</w:t>
      </w:r>
      <w:r w:rsidR="00CD3E45">
        <w:rPr>
          <w:rFonts w:eastAsia="Times New Roman" w:cs="Times New Roman"/>
          <w:color w:val="181717"/>
        </w:rPr>
        <w:t xml:space="preserve"> </w:t>
      </w:r>
      <w:r w:rsidRPr="00BD0B86">
        <w:rPr>
          <w:rFonts w:eastAsia="Times New Roman" w:cs="Times New Roman"/>
          <w:color w:val="181717"/>
        </w:rPr>
        <w:t>conduct</w:t>
      </w:r>
      <w:r w:rsidR="00274228">
        <w:rPr>
          <w:rFonts w:eastAsia="Times New Roman" w:cs="Times New Roman"/>
          <w:color w:val="181717"/>
        </w:rPr>
        <w:t>s</w:t>
      </w:r>
      <w:r w:rsidRPr="00BD0B86">
        <w:rPr>
          <w:rFonts w:eastAsia="Times New Roman" w:cs="Times New Roman"/>
          <w:color w:val="181717"/>
        </w:rPr>
        <w:t xml:space="preserve"> taxpayer burden surveys</w:t>
      </w:r>
      <w:r w:rsidR="00CD3E45">
        <w:rPr>
          <w:rFonts w:eastAsia="Times New Roman" w:cs="Times New Roman"/>
          <w:color w:val="181717"/>
        </w:rPr>
        <w:t>. These surveys are designed to</w:t>
      </w:r>
      <w:r w:rsidRPr="00BD0B86">
        <w:rPr>
          <w:rFonts w:eastAsia="Times New Roman" w:cs="Times New Roman"/>
          <w:color w:val="181717"/>
        </w:rPr>
        <w:t xml:space="preserve"> gather statistically representative data regarding the time and out</w:t>
      </w:r>
      <w:r>
        <w:rPr>
          <w:rFonts w:eastAsia="Times New Roman" w:cs="Times New Roman"/>
          <w:color w:val="181717"/>
        </w:rPr>
        <w:t>-</w:t>
      </w:r>
      <w:r w:rsidRPr="00BD0B86">
        <w:rPr>
          <w:rFonts w:eastAsia="Times New Roman" w:cs="Times New Roman"/>
          <w:color w:val="181717"/>
        </w:rPr>
        <w:t xml:space="preserve">of-pocket costs incurred by taxpayers in response to their tax obligations. </w:t>
      </w:r>
    </w:p>
    <w:p w:rsidR="00A20891" w:rsidRDefault="00A20891" w:rsidP="000E22D3">
      <w:pPr>
        <w:spacing w:after="7" w:line="245" w:lineRule="auto"/>
        <w:ind w:left="-15" w:right="38"/>
        <w:rPr>
          <w:rFonts w:eastAsia="Times New Roman" w:cs="Times New Roman"/>
          <w:color w:val="181717"/>
        </w:rPr>
      </w:pPr>
    </w:p>
    <w:p w:rsidR="009D169D" w:rsidRDefault="007536B1" w:rsidP="009D169D">
      <w:pPr>
        <w:spacing w:after="7" w:line="245" w:lineRule="auto"/>
        <w:ind w:left="-15" w:right="38"/>
        <w:rPr>
          <w:rFonts w:eastAsia="Times New Roman" w:cs="Times New Roman"/>
          <w:color w:val="181717"/>
        </w:rPr>
      </w:pPr>
      <w:r w:rsidRPr="00BD0B86">
        <w:rPr>
          <w:rFonts w:eastAsia="Times New Roman" w:cs="Times New Roman"/>
          <w:color w:val="181717"/>
        </w:rPr>
        <w:t>Individual Taxpayer Burden (ITB) surveys have been conducted for tax years 1984</w:t>
      </w:r>
      <w:r w:rsidR="00274228">
        <w:rPr>
          <w:rFonts w:eastAsia="Times New Roman" w:cs="Times New Roman"/>
          <w:color w:val="181717"/>
        </w:rPr>
        <w:t xml:space="preserve"> (original </w:t>
      </w:r>
      <w:r w:rsidR="0066756D">
        <w:rPr>
          <w:rFonts w:eastAsia="Times New Roman" w:cs="Times New Roman"/>
          <w:color w:val="181717"/>
        </w:rPr>
        <w:t xml:space="preserve">ADL </w:t>
      </w:r>
      <w:r w:rsidR="00274228">
        <w:rPr>
          <w:rFonts w:eastAsia="Times New Roman" w:cs="Times New Roman"/>
          <w:color w:val="181717"/>
        </w:rPr>
        <w:t>survey)</w:t>
      </w:r>
      <w:r w:rsidRPr="00BD0B86">
        <w:rPr>
          <w:rFonts w:eastAsia="Times New Roman" w:cs="Times New Roman"/>
          <w:color w:val="181717"/>
        </w:rPr>
        <w:t xml:space="preserve">, 1999, 2000, 2007, and </w:t>
      </w:r>
      <w:r>
        <w:rPr>
          <w:rFonts w:eastAsia="Times New Roman" w:cs="Times New Roman"/>
          <w:color w:val="181717"/>
        </w:rPr>
        <w:t xml:space="preserve">annually since </w:t>
      </w:r>
      <w:r w:rsidR="000E22D3">
        <w:rPr>
          <w:rFonts w:eastAsia="Times New Roman" w:cs="Times New Roman"/>
          <w:color w:val="181717"/>
        </w:rPr>
        <w:t>2010</w:t>
      </w:r>
      <w:r w:rsidRPr="00BD0B86">
        <w:rPr>
          <w:rFonts w:eastAsia="Times New Roman" w:cs="Times New Roman"/>
          <w:color w:val="181717"/>
        </w:rPr>
        <w:t>.</w:t>
      </w:r>
      <w:r w:rsidR="0066756D">
        <w:rPr>
          <w:rFonts w:eastAsia="Times New Roman" w:cs="Times New Roman"/>
          <w:color w:val="181717"/>
        </w:rPr>
        <w:t xml:space="preserve"> </w:t>
      </w:r>
      <w:r w:rsidR="009D169D">
        <w:rPr>
          <w:rFonts w:eastAsia="Times New Roman" w:cs="Times New Roman"/>
          <w:color w:val="181717"/>
        </w:rPr>
        <w:t>The tax year 1999 survey only included wage and investment taxpayers, the tax year 2000 survey only included self-employed taxpayers, and all surveys from tax year 2007 on have included both wage and investment and self-employed taxpayers.</w:t>
      </w:r>
    </w:p>
    <w:p w:rsidR="009D169D" w:rsidRDefault="009D169D" w:rsidP="009D169D">
      <w:pPr>
        <w:spacing w:after="7" w:line="245" w:lineRule="auto"/>
        <w:ind w:left="-15" w:right="38"/>
        <w:rPr>
          <w:rFonts w:eastAsia="Times New Roman" w:cs="Times New Roman"/>
          <w:color w:val="181717"/>
        </w:rPr>
      </w:pPr>
    </w:p>
    <w:p w:rsidR="009D169D" w:rsidRPr="00BD0B86" w:rsidRDefault="0066756D" w:rsidP="009D169D">
      <w:pPr>
        <w:spacing w:after="7" w:line="245" w:lineRule="auto"/>
        <w:ind w:left="-15" w:right="38"/>
        <w:rPr>
          <w:rFonts w:eastAsia="Times New Roman" w:cs="Times New Roman"/>
          <w:color w:val="181717"/>
        </w:rPr>
      </w:pPr>
      <w:r>
        <w:rPr>
          <w:rFonts w:eastAsia="Times New Roman" w:cs="Times New Roman"/>
          <w:color w:val="181717"/>
        </w:rPr>
        <w:t xml:space="preserve">Business Taxpayer Burden (BTB) surveys have been conducted for tax year </w:t>
      </w:r>
      <w:r w:rsidRPr="00BD0B86">
        <w:rPr>
          <w:rFonts w:eastAsia="Times New Roman" w:cs="Times New Roman"/>
          <w:color w:val="181717"/>
        </w:rPr>
        <w:t>1984</w:t>
      </w:r>
      <w:r>
        <w:rPr>
          <w:rFonts w:eastAsia="Times New Roman" w:cs="Times New Roman"/>
          <w:color w:val="181717"/>
        </w:rPr>
        <w:t xml:space="preserve"> (original ADL survey)</w:t>
      </w:r>
      <w:r w:rsidRPr="00BD0B86">
        <w:rPr>
          <w:rFonts w:eastAsia="Times New Roman" w:cs="Times New Roman"/>
          <w:color w:val="181717"/>
        </w:rPr>
        <w:t>,</w:t>
      </w:r>
      <w:r>
        <w:rPr>
          <w:rFonts w:eastAsia="Times New Roman" w:cs="Times New Roman"/>
          <w:color w:val="181717"/>
        </w:rPr>
        <w:t xml:space="preserve"> 2004, 2009, and 2012</w:t>
      </w:r>
      <w:r w:rsidR="009C1663">
        <w:rPr>
          <w:rFonts w:eastAsia="Times New Roman" w:cs="Times New Roman"/>
          <w:color w:val="181717"/>
        </w:rPr>
        <w:t xml:space="preserve"> and are scheduled to be fielded every year or four years thereafter.</w:t>
      </w:r>
      <w:r>
        <w:rPr>
          <w:rFonts w:eastAsia="Times New Roman" w:cs="Times New Roman"/>
          <w:color w:val="181717"/>
        </w:rPr>
        <w:t xml:space="preserve"> </w:t>
      </w:r>
      <w:r w:rsidR="009D169D">
        <w:rPr>
          <w:rFonts w:eastAsia="Times New Roman" w:cs="Times New Roman"/>
          <w:color w:val="181717"/>
        </w:rPr>
        <w:t xml:space="preserve">The tax year 2004 survey only included small business taxpayers filing </w:t>
      </w:r>
      <w:r w:rsidR="009C1663">
        <w:rPr>
          <w:rFonts w:eastAsia="Times New Roman" w:cs="Times New Roman"/>
          <w:color w:val="181717"/>
        </w:rPr>
        <w:t xml:space="preserve">Form 1120, 1120-S, 1065, and 1120 Specials. </w:t>
      </w:r>
      <w:r w:rsidR="009D169D" w:rsidRPr="00BD0B86">
        <w:rPr>
          <w:rFonts w:eastAsia="Times New Roman" w:cs="Times New Roman"/>
          <w:color w:val="181717"/>
        </w:rPr>
        <w:t xml:space="preserve">The </w:t>
      </w:r>
      <w:r w:rsidR="009C1663">
        <w:rPr>
          <w:rFonts w:eastAsia="Times New Roman" w:cs="Times New Roman"/>
          <w:color w:val="181717"/>
        </w:rPr>
        <w:t xml:space="preserve">tax year </w:t>
      </w:r>
      <w:r w:rsidR="009D169D" w:rsidRPr="00BD0B86">
        <w:rPr>
          <w:rFonts w:eastAsia="Times New Roman" w:cs="Times New Roman"/>
          <w:color w:val="181717"/>
        </w:rPr>
        <w:t xml:space="preserve">2009 </w:t>
      </w:r>
      <w:r w:rsidR="009C1663">
        <w:rPr>
          <w:rFonts w:eastAsia="Times New Roman" w:cs="Times New Roman"/>
          <w:color w:val="181717"/>
        </w:rPr>
        <w:t>s</w:t>
      </w:r>
      <w:r w:rsidR="009D169D">
        <w:rPr>
          <w:rFonts w:eastAsia="Times New Roman" w:cs="Times New Roman"/>
          <w:color w:val="181717"/>
        </w:rPr>
        <w:t>urvey updated the Small Business Taxpayer Burden S</w:t>
      </w:r>
      <w:r w:rsidR="009D169D" w:rsidRPr="00BD0B86">
        <w:rPr>
          <w:rFonts w:eastAsia="Times New Roman" w:cs="Times New Roman"/>
          <w:color w:val="181717"/>
        </w:rPr>
        <w:t>urvey of 2004 and added</w:t>
      </w:r>
      <w:r w:rsidR="009D169D">
        <w:rPr>
          <w:rFonts w:eastAsia="Times New Roman" w:cs="Times New Roman"/>
          <w:color w:val="181717"/>
        </w:rPr>
        <w:t xml:space="preserve"> a separate survey instrument for</w:t>
      </w:r>
      <w:r w:rsidR="009D169D" w:rsidRPr="00BD0B86">
        <w:rPr>
          <w:rFonts w:eastAsia="Times New Roman" w:cs="Times New Roman"/>
          <w:color w:val="181717"/>
        </w:rPr>
        <w:t xml:space="preserve"> large businesses</w:t>
      </w:r>
      <w:r w:rsidR="00D156CC">
        <w:rPr>
          <w:rFonts w:eastAsia="Times New Roman" w:cs="Times New Roman"/>
          <w:color w:val="181717"/>
        </w:rPr>
        <w:t xml:space="preserve">. This survey </w:t>
      </w:r>
      <w:r w:rsidR="009C1663">
        <w:rPr>
          <w:rFonts w:eastAsia="Times New Roman" w:cs="Times New Roman"/>
          <w:color w:val="181717"/>
        </w:rPr>
        <w:t>included all business taxpayers filing</w:t>
      </w:r>
      <w:r w:rsidR="000F7083">
        <w:rPr>
          <w:rFonts w:eastAsia="Times New Roman" w:cs="Times New Roman"/>
          <w:color w:val="181717"/>
        </w:rPr>
        <w:t xml:space="preserve"> a </w:t>
      </w:r>
      <w:r w:rsidR="009C1663">
        <w:rPr>
          <w:rFonts w:eastAsia="Times New Roman" w:cs="Times New Roman"/>
          <w:color w:val="181717"/>
        </w:rPr>
        <w:t>Form 1120</w:t>
      </w:r>
      <w:r w:rsidR="000F7083">
        <w:rPr>
          <w:rFonts w:eastAsia="Times New Roman" w:cs="Times New Roman"/>
          <w:color w:val="181717"/>
        </w:rPr>
        <w:t xml:space="preserve"> series or Form</w:t>
      </w:r>
      <w:r w:rsidR="009C1663">
        <w:rPr>
          <w:rFonts w:eastAsia="Times New Roman" w:cs="Times New Roman"/>
          <w:color w:val="181717"/>
        </w:rPr>
        <w:t xml:space="preserve"> 1065</w:t>
      </w:r>
      <w:r w:rsidR="000F7083">
        <w:rPr>
          <w:rFonts w:eastAsia="Times New Roman" w:cs="Times New Roman"/>
          <w:color w:val="181717"/>
        </w:rPr>
        <w:t xml:space="preserve"> series return</w:t>
      </w:r>
      <w:r w:rsidR="009D169D" w:rsidRPr="00BD0B86">
        <w:rPr>
          <w:rFonts w:eastAsia="Times New Roman" w:cs="Times New Roman"/>
          <w:color w:val="181717"/>
        </w:rPr>
        <w:t xml:space="preserve">. </w:t>
      </w:r>
      <w:r w:rsidR="000F7083">
        <w:rPr>
          <w:rFonts w:eastAsia="Times New Roman" w:cs="Times New Roman"/>
          <w:color w:val="181717"/>
        </w:rPr>
        <w:t xml:space="preserve">(Note: </w:t>
      </w:r>
      <w:r w:rsidR="009D169D" w:rsidRPr="00BD0B86">
        <w:rPr>
          <w:rFonts w:eastAsia="Times New Roman" w:cs="Times New Roman"/>
          <w:color w:val="181717"/>
        </w:rPr>
        <w:t>Previous studies of compliance burden for large businesses were conducted in 1993 by Slemrod and Blumenthal (1996)</w:t>
      </w:r>
      <w:r w:rsidR="005B2867">
        <w:rPr>
          <w:rStyle w:val="FootnoteReference"/>
          <w:rFonts w:eastAsia="Times New Roman"/>
          <w:color w:val="181717"/>
        </w:rPr>
        <w:footnoteReference w:id="6"/>
      </w:r>
      <w:r w:rsidR="009D169D" w:rsidRPr="00BD0B86">
        <w:rPr>
          <w:rFonts w:eastAsia="Times New Roman" w:cs="Times New Roman"/>
          <w:color w:val="181717"/>
        </w:rPr>
        <w:t xml:space="preserve"> and in 2002 by Slemrod and Venkatesh</w:t>
      </w:r>
      <w:r w:rsidR="00E40CE4">
        <w:rPr>
          <w:rFonts w:eastAsia="Times New Roman" w:cs="Times New Roman"/>
          <w:color w:val="181717"/>
        </w:rPr>
        <w:t>.</w:t>
      </w:r>
      <w:r w:rsidR="00E40CE4">
        <w:rPr>
          <w:rStyle w:val="FootnoteReference"/>
          <w:rFonts w:eastAsia="Times New Roman"/>
          <w:color w:val="181717"/>
        </w:rPr>
        <w:footnoteReference w:id="7"/>
      </w:r>
      <w:r w:rsidR="009D169D" w:rsidRPr="00BD0B86">
        <w:rPr>
          <w:rFonts w:eastAsia="Times New Roman" w:cs="Times New Roman"/>
          <w:color w:val="181717"/>
        </w:rPr>
        <w:t>. In addition, the 1986 Arthur D. Little study for Tax Year 1984 also covered business taxpayers, as discussed in Contos, et al. (2012).</w:t>
      </w:r>
      <w:r w:rsidR="000F7083">
        <w:rPr>
          <w:rFonts w:eastAsia="Times New Roman" w:cs="Times New Roman"/>
          <w:color w:val="181717"/>
        </w:rPr>
        <w:t>)</w:t>
      </w:r>
    </w:p>
    <w:p w:rsidR="007536B1" w:rsidRDefault="007536B1" w:rsidP="000E22D3">
      <w:pPr>
        <w:spacing w:after="7" w:line="245" w:lineRule="auto"/>
        <w:ind w:left="-15" w:right="38"/>
        <w:rPr>
          <w:rFonts w:eastAsia="Times New Roman" w:cs="Times New Roman"/>
          <w:color w:val="181717"/>
        </w:rPr>
      </w:pPr>
    </w:p>
    <w:p w:rsidR="009C1663" w:rsidRDefault="009C1663" w:rsidP="000E22D3">
      <w:pPr>
        <w:spacing w:after="7" w:line="245" w:lineRule="auto"/>
        <w:ind w:left="-15" w:right="38"/>
        <w:rPr>
          <w:rFonts w:eastAsia="Times New Roman" w:cs="Times New Roman"/>
          <w:color w:val="181717"/>
        </w:rPr>
      </w:pPr>
      <w:r>
        <w:rPr>
          <w:rFonts w:eastAsia="Times New Roman" w:cs="Times New Roman"/>
          <w:color w:val="181717"/>
        </w:rPr>
        <w:t>The ITB and BTB surveys are de</w:t>
      </w:r>
      <w:r w:rsidR="000F7083">
        <w:rPr>
          <w:rFonts w:eastAsia="Times New Roman" w:cs="Times New Roman"/>
          <w:color w:val="181717"/>
        </w:rPr>
        <w:t>s</w:t>
      </w:r>
      <w:r>
        <w:rPr>
          <w:rFonts w:eastAsia="Times New Roman" w:cs="Times New Roman"/>
          <w:color w:val="181717"/>
        </w:rPr>
        <w:t xml:space="preserve">igned to </w:t>
      </w:r>
      <w:r w:rsidR="000F7083">
        <w:rPr>
          <w:rFonts w:eastAsia="Times New Roman" w:cs="Times New Roman"/>
          <w:color w:val="181717"/>
        </w:rPr>
        <w:t xml:space="preserve">gather </w:t>
      </w:r>
      <w:r>
        <w:rPr>
          <w:rFonts w:eastAsia="Times New Roman" w:cs="Times New Roman"/>
          <w:color w:val="181717"/>
        </w:rPr>
        <w:t xml:space="preserve">statistically representative </w:t>
      </w:r>
      <w:r w:rsidR="000F7083">
        <w:rPr>
          <w:rFonts w:eastAsia="Times New Roman" w:cs="Times New Roman"/>
          <w:color w:val="181717"/>
        </w:rPr>
        <w:t xml:space="preserve">data on </w:t>
      </w:r>
      <w:r>
        <w:rPr>
          <w:rFonts w:eastAsia="Times New Roman" w:cs="Times New Roman"/>
          <w:color w:val="181717"/>
        </w:rPr>
        <w:t xml:space="preserve">the time and out-of-pocket costs that taxpayers incur. As a result, </w:t>
      </w:r>
      <w:r w:rsidR="002B61CA">
        <w:rPr>
          <w:rFonts w:eastAsia="Times New Roman" w:cs="Times New Roman"/>
          <w:color w:val="181717"/>
        </w:rPr>
        <w:t xml:space="preserve">after accounting for nonresponse and adjusting survey weights to match population control totals, </w:t>
      </w:r>
      <w:r>
        <w:rPr>
          <w:rFonts w:eastAsia="Times New Roman" w:cs="Times New Roman"/>
          <w:color w:val="181717"/>
        </w:rPr>
        <w:t xml:space="preserve">the time and out-of-pocket cost amounts reported on the surveys </w:t>
      </w:r>
      <w:r w:rsidR="002B61CA">
        <w:rPr>
          <w:rFonts w:eastAsia="Times New Roman" w:cs="Times New Roman"/>
          <w:color w:val="181717"/>
        </w:rPr>
        <w:t xml:space="preserve">can be used to estimate the average and aggregate time and out-of-pocket costs for their respective populations. It is important to note that these estimates are </w:t>
      </w:r>
      <w:r w:rsidR="000F7083">
        <w:rPr>
          <w:rFonts w:eastAsia="Times New Roman" w:cs="Times New Roman"/>
          <w:color w:val="181717"/>
        </w:rPr>
        <w:t>representative</w:t>
      </w:r>
      <w:r w:rsidR="002B61CA">
        <w:rPr>
          <w:rFonts w:eastAsia="Times New Roman" w:cs="Times New Roman"/>
          <w:color w:val="181717"/>
        </w:rPr>
        <w:t xml:space="preserve"> for the year in which the survey was collected. Any change that occurs before or after the survey fielding </w:t>
      </w:r>
      <w:r w:rsidR="000F7083">
        <w:rPr>
          <w:rFonts w:eastAsia="Times New Roman" w:cs="Times New Roman"/>
          <w:color w:val="181717"/>
        </w:rPr>
        <w:t xml:space="preserve">must be </w:t>
      </w:r>
      <w:r w:rsidR="00975081">
        <w:rPr>
          <w:rFonts w:eastAsia="Times New Roman" w:cs="Times New Roman"/>
          <w:color w:val="181717"/>
        </w:rPr>
        <w:t>considered</w:t>
      </w:r>
      <w:r w:rsidR="000F7083">
        <w:rPr>
          <w:rFonts w:eastAsia="Times New Roman" w:cs="Times New Roman"/>
          <w:color w:val="181717"/>
        </w:rPr>
        <w:t xml:space="preserve"> when calculating an estimate for a previous or ensuring year for which survey data are not available</w:t>
      </w:r>
      <w:r w:rsidR="002B61CA">
        <w:rPr>
          <w:rFonts w:eastAsia="Times New Roman" w:cs="Times New Roman"/>
          <w:color w:val="181717"/>
        </w:rPr>
        <w:t>.</w:t>
      </w:r>
    </w:p>
    <w:p w:rsidR="009C1663" w:rsidRDefault="009C1663" w:rsidP="000E22D3">
      <w:pPr>
        <w:spacing w:after="7" w:line="245" w:lineRule="auto"/>
        <w:ind w:left="-15" w:right="38"/>
        <w:rPr>
          <w:rFonts w:eastAsia="Times New Roman" w:cs="Times New Roman"/>
          <w:color w:val="181717"/>
        </w:rPr>
      </w:pPr>
      <w:r>
        <w:rPr>
          <w:rFonts w:eastAsia="Times New Roman" w:cs="Times New Roman"/>
          <w:color w:val="181717"/>
        </w:rPr>
        <w:t xml:space="preserve"> </w:t>
      </w:r>
    </w:p>
    <w:p w:rsidR="007536B1" w:rsidRPr="00E14D65" w:rsidRDefault="002B61CA" w:rsidP="000E22D3">
      <w:pPr>
        <w:spacing w:after="7" w:line="245" w:lineRule="auto"/>
        <w:ind w:left="-15" w:right="38"/>
        <w:rPr>
          <w:rFonts w:eastAsia="Times New Roman" w:cs="Times New Roman"/>
          <w:b/>
          <w:i/>
          <w:color w:val="181717"/>
        </w:rPr>
      </w:pPr>
      <w:r w:rsidRPr="00E14D65">
        <w:rPr>
          <w:rFonts w:eastAsia="Times New Roman" w:cs="Times New Roman"/>
          <w:b/>
          <w:i/>
          <w:color w:val="181717"/>
        </w:rPr>
        <w:t>Individual Taxpayer Burden Survey</w:t>
      </w:r>
    </w:p>
    <w:p w:rsidR="007536B1" w:rsidRPr="00BD0B86" w:rsidRDefault="00815A88" w:rsidP="000E22D3">
      <w:pPr>
        <w:spacing w:after="38" w:line="245" w:lineRule="auto"/>
        <w:ind w:left="-15" w:right="38"/>
        <w:rPr>
          <w:rFonts w:eastAsia="Times New Roman" w:cs="Times New Roman"/>
          <w:color w:val="181717"/>
        </w:rPr>
      </w:pPr>
      <w:r>
        <w:rPr>
          <w:rFonts w:eastAsia="Times New Roman" w:cs="Times New Roman"/>
          <w:color w:val="181717"/>
        </w:rPr>
        <w:t xml:space="preserve">Each </w:t>
      </w:r>
      <w:r w:rsidR="00274228">
        <w:rPr>
          <w:rFonts w:eastAsia="Times New Roman" w:cs="Times New Roman"/>
          <w:color w:val="181717"/>
        </w:rPr>
        <w:t xml:space="preserve">ITB </w:t>
      </w:r>
      <w:r>
        <w:rPr>
          <w:rFonts w:eastAsia="Times New Roman" w:cs="Times New Roman"/>
          <w:color w:val="181717"/>
        </w:rPr>
        <w:t xml:space="preserve">survey uses a sampling methodology that reflects the primary taxpayer characteristics for the taxpayer segment being surveyed. </w:t>
      </w:r>
      <w:r w:rsidR="007536B1" w:rsidRPr="00BD0B86">
        <w:rPr>
          <w:rFonts w:eastAsia="Times New Roman" w:cs="Times New Roman"/>
          <w:color w:val="181717"/>
        </w:rPr>
        <w:t>The sampling methodology for the ITB survey involve</w:t>
      </w:r>
      <w:r w:rsidR="007536B1">
        <w:rPr>
          <w:rFonts w:eastAsia="Times New Roman" w:cs="Times New Roman"/>
          <w:color w:val="181717"/>
        </w:rPr>
        <w:t>s</w:t>
      </w:r>
      <w:r w:rsidR="007536B1" w:rsidRPr="00BD0B86">
        <w:rPr>
          <w:rFonts w:eastAsia="Times New Roman" w:cs="Times New Roman"/>
          <w:color w:val="181717"/>
        </w:rPr>
        <w:t xml:space="preserve"> a stratified random sample with </w:t>
      </w:r>
      <w:r w:rsidR="006A66A0">
        <w:rPr>
          <w:rFonts w:eastAsia="Times New Roman" w:cs="Times New Roman"/>
          <w:color w:val="181717"/>
        </w:rPr>
        <w:t>20</w:t>
      </w:r>
      <w:r w:rsidR="007536B1" w:rsidRPr="00BD0B86">
        <w:rPr>
          <w:rFonts w:eastAsia="Times New Roman" w:cs="Times New Roman"/>
          <w:color w:val="181717"/>
        </w:rPr>
        <w:t xml:space="preserve"> categories</w:t>
      </w:r>
      <w:r w:rsidR="006A66A0">
        <w:rPr>
          <w:rFonts w:eastAsia="Times New Roman" w:cs="Times New Roman"/>
          <w:color w:val="181717"/>
        </w:rPr>
        <w:t xml:space="preserve"> (see Table 1)</w:t>
      </w:r>
      <w:r w:rsidR="007536B1" w:rsidRPr="00BD0B86">
        <w:rPr>
          <w:rFonts w:eastAsia="Times New Roman" w:cs="Times New Roman"/>
          <w:color w:val="181717"/>
        </w:rPr>
        <w:t xml:space="preserve">. Returns </w:t>
      </w:r>
      <w:r w:rsidR="007536B1">
        <w:rPr>
          <w:rFonts w:eastAsia="Times New Roman" w:cs="Times New Roman"/>
          <w:color w:val="181717"/>
        </w:rPr>
        <w:t>are</w:t>
      </w:r>
      <w:r w:rsidR="007536B1" w:rsidRPr="00BD0B86">
        <w:rPr>
          <w:rFonts w:eastAsia="Times New Roman" w:cs="Times New Roman"/>
          <w:color w:val="181717"/>
        </w:rPr>
        <w:t xml:space="preserve"> first distinguished by preparation method (third-party prepared, self-prepared using tax preparation software, self-prepared by hand</w:t>
      </w:r>
      <w:r w:rsidR="00A908CD">
        <w:rPr>
          <w:rFonts w:eastAsia="Times New Roman" w:cs="Times New Roman"/>
          <w:color w:val="181717"/>
        </w:rPr>
        <w:t>, and VITA prepared</w:t>
      </w:r>
      <w:r w:rsidR="007536B1" w:rsidRPr="00BD0B86">
        <w:rPr>
          <w:rFonts w:eastAsia="Times New Roman" w:cs="Times New Roman"/>
          <w:color w:val="181717"/>
        </w:rPr>
        <w:t xml:space="preserve">). Returns </w:t>
      </w:r>
      <w:r w:rsidR="007536B1">
        <w:rPr>
          <w:rFonts w:eastAsia="Times New Roman" w:cs="Times New Roman"/>
          <w:color w:val="181717"/>
        </w:rPr>
        <w:t>are</w:t>
      </w:r>
      <w:r w:rsidR="007536B1" w:rsidRPr="00BD0B86">
        <w:rPr>
          <w:rFonts w:eastAsia="Times New Roman" w:cs="Times New Roman"/>
          <w:color w:val="181717"/>
        </w:rPr>
        <w:t xml:space="preserve"> further stratified within the preparation categories</w:t>
      </w:r>
      <w:r w:rsidR="00A908CD">
        <w:rPr>
          <w:rFonts w:eastAsia="Times New Roman" w:cs="Times New Roman"/>
          <w:color w:val="181717"/>
        </w:rPr>
        <w:t xml:space="preserve"> (excluding VITA)</w:t>
      </w:r>
      <w:r w:rsidR="007536B1" w:rsidRPr="00BD0B86">
        <w:rPr>
          <w:rFonts w:eastAsia="Times New Roman" w:cs="Times New Roman"/>
          <w:color w:val="181717"/>
        </w:rPr>
        <w:t xml:space="preserve"> based on five complexity categories: low, medium</w:t>
      </w:r>
      <w:r w:rsidR="00A908CD">
        <w:rPr>
          <w:rFonts w:eastAsia="Times New Roman" w:cs="Times New Roman"/>
          <w:color w:val="181717"/>
        </w:rPr>
        <w:t>-low</w:t>
      </w:r>
      <w:r w:rsidR="007536B1" w:rsidRPr="00BD0B86">
        <w:rPr>
          <w:rFonts w:eastAsia="Times New Roman" w:cs="Times New Roman"/>
          <w:color w:val="181717"/>
        </w:rPr>
        <w:t>, medium, medium</w:t>
      </w:r>
      <w:r w:rsidR="00A908CD">
        <w:rPr>
          <w:rFonts w:eastAsia="Times New Roman" w:cs="Times New Roman"/>
          <w:color w:val="181717"/>
        </w:rPr>
        <w:t>-high</w:t>
      </w:r>
      <w:r w:rsidR="007536B1" w:rsidRPr="00BD0B86">
        <w:rPr>
          <w:rFonts w:eastAsia="Times New Roman" w:cs="Times New Roman"/>
          <w:color w:val="181717"/>
        </w:rPr>
        <w:t>, and high.</w:t>
      </w:r>
      <w:r w:rsidR="007536B1" w:rsidRPr="00BD0B86">
        <w:rPr>
          <w:rFonts w:eastAsia="Times New Roman" w:cs="Times New Roman"/>
          <w:color w:val="181717"/>
          <w:vertAlign w:val="superscript"/>
        </w:rPr>
        <w:footnoteReference w:id="8"/>
      </w:r>
      <w:r w:rsidR="00177FC5">
        <w:rPr>
          <w:rFonts w:eastAsia="Times New Roman" w:cs="Times New Roman"/>
          <w:color w:val="181717"/>
        </w:rPr>
        <w:t xml:space="preserve"> </w:t>
      </w:r>
      <w:r w:rsidR="00A908CD">
        <w:rPr>
          <w:rFonts w:eastAsia="Times New Roman" w:cs="Times New Roman"/>
          <w:color w:val="181717"/>
        </w:rPr>
        <w:t xml:space="preserve">The amount of variation observed in the paid professional medium-high and high strata is significant enough to require the creation of three additional substrata for each. </w:t>
      </w:r>
      <w:r w:rsidR="00177FC5">
        <w:rPr>
          <w:rFonts w:eastAsia="Times New Roman" w:cs="Times New Roman"/>
          <w:color w:val="181717"/>
        </w:rPr>
        <w:t>Sufficient sample is drawn for each stratum to ensure</w:t>
      </w:r>
      <w:r w:rsidR="00274228">
        <w:rPr>
          <w:rFonts w:eastAsia="Times New Roman" w:cs="Times New Roman"/>
          <w:color w:val="181717"/>
        </w:rPr>
        <w:t xml:space="preserve"> adequate an adequate response rate for statistical analysis.</w:t>
      </w:r>
    </w:p>
    <w:p w:rsidR="007536B1" w:rsidRDefault="007536B1" w:rsidP="007536B1">
      <w:pPr>
        <w:spacing w:after="7" w:line="245" w:lineRule="auto"/>
        <w:ind w:left="-15" w:right="38"/>
        <w:jc w:val="both"/>
        <w:rPr>
          <w:rFonts w:eastAsia="Times New Roman" w:cs="Times New Roman"/>
          <w:color w:val="181717"/>
        </w:rPr>
      </w:pPr>
    </w:p>
    <w:p w:rsidR="00DC5F13" w:rsidRPr="0000407A" w:rsidRDefault="006A66A0" w:rsidP="00DC5F13">
      <w:pPr>
        <w:spacing w:after="7" w:line="245" w:lineRule="auto"/>
        <w:ind w:left="-15" w:right="38"/>
        <w:jc w:val="both"/>
        <w:rPr>
          <w:rFonts w:eastAsia="Times New Roman" w:cs="Times New Roman"/>
          <w:b/>
          <w:color w:val="181717"/>
        </w:rPr>
      </w:pPr>
      <w:r>
        <w:rPr>
          <w:rFonts w:eastAsia="Times New Roman" w:cs="Times New Roman"/>
          <w:b/>
          <w:color w:val="181717"/>
        </w:rPr>
        <w:t xml:space="preserve">Table 1: </w:t>
      </w:r>
      <w:r w:rsidR="00DC5F13" w:rsidRPr="0000407A">
        <w:rPr>
          <w:rFonts w:eastAsia="Times New Roman" w:cs="Times New Roman"/>
          <w:b/>
          <w:color w:val="181717"/>
        </w:rPr>
        <w:t>Tax Year 2016 Individual Taxpayer Burden Survey Population Strata</w:t>
      </w:r>
    </w:p>
    <w:tbl>
      <w:tblPr>
        <w:tblW w:w="6112" w:type="dxa"/>
        <w:tblInd w:w="108" w:type="dxa"/>
        <w:tblLook w:val="04A0" w:firstRow="1" w:lastRow="0" w:firstColumn="1" w:lastColumn="0" w:noHBand="0" w:noVBand="1"/>
      </w:tblPr>
      <w:tblGrid>
        <w:gridCol w:w="3052"/>
        <w:gridCol w:w="3060"/>
      </w:tblGrid>
      <w:tr w:rsidR="00DC5F13" w:rsidRPr="0000407A" w:rsidTr="00C50840">
        <w:trPr>
          <w:trHeight w:val="300"/>
        </w:trPr>
        <w:tc>
          <w:tcPr>
            <w:tcW w:w="6112" w:type="dxa"/>
            <w:gridSpan w:val="2"/>
            <w:tcBorders>
              <w:top w:val="single" w:sz="8" w:space="0" w:color="auto"/>
              <w:left w:val="single" w:sz="8" w:space="0" w:color="auto"/>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Strata</w:t>
            </w:r>
          </w:p>
        </w:tc>
      </w:tr>
      <w:tr w:rsidR="00DC5F13" w:rsidRPr="0000407A" w:rsidTr="00C50840">
        <w:trPr>
          <w:trHeight w:val="250"/>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Preparation Method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Complexity</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Simpler</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Moderate</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 - Difficult</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High-Simpler</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High-Moderate</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Used a Paid Professional</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High-Difficult</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Hand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Medium-Low</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w:t>
            </w:r>
          </w:p>
        </w:tc>
      </w:tr>
      <w:tr w:rsidR="00DC5F13" w:rsidRPr="0000407A" w:rsidTr="00C50840">
        <w:trPr>
          <w:trHeight w:val="187"/>
        </w:trPr>
        <w:tc>
          <w:tcPr>
            <w:tcW w:w="3052" w:type="dxa"/>
            <w:tcBorders>
              <w:top w:val="nil"/>
              <w:left w:val="single" w:sz="8" w:space="0" w:color="auto"/>
              <w:bottom w:val="single" w:sz="4"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4"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Medium-High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Self-Prepared by Software</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High</w:t>
            </w:r>
          </w:p>
        </w:tc>
      </w:tr>
      <w:tr w:rsidR="00DC5F13" w:rsidRPr="0000407A" w:rsidTr="00C50840">
        <w:trPr>
          <w:trHeight w:val="187"/>
        </w:trPr>
        <w:tc>
          <w:tcPr>
            <w:tcW w:w="3052" w:type="dxa"/>
            <w:tcBorders>
              <w:top w:val="nil"/>
              <w:left w:val="single" w:sz="8" w:space="0" w:color="auto"/>
              <w:bottom w:val="single" w:sz="8" w:space="0" w:color="auto"/>
              <w:right w:val="single" w:sz="4" w:space="0" w:color="auto"/>
            </w:tcBorders>
            <w:shd w:val="clear" w:color="auto" w:fill="auto"/>
            <w:noWrap/>
            <w:tcMar>
              <w:left w:w="0" w:type="dxa"/>
              <w:right w:w="14" w:type="dxa"/>
            </w:tcMar>
            <w:vAlign w:val="bottom"/>
            <w:hideMark/>
          </w:tcPr>
          <w:p w:rsidR="00DC5F13" w:rsidRPr="0000407A" w:rsidRDefault="00DC5F13" w:rsidP="00C50840">
            <w:pPr>
              <w:spacing w:after="0" w:line="240" w:lineRule="auto"/>
              <w:jc w:val="center"/>
              <w:rPr>
                <w:rFonts w:eastAsia="Times New Roman" w:cs="Arial"/>
                <w:color w:val="000000"/>
              </w:rPr>
            </w:pPr>
            <w:r w:rsidRPr="0000407A">
              <w:rPr>
                <w:rFonts w:eastAsia="Times New Roman" w:cs="Arial"/>
                <w:color w:val="000000"/>
              </w:rPr>
              <w:t>VITA Prepared</w:t>
            </w:r>
          </w:p>
        </w:tc>
        <w:tc>
          <w:tcPr>
            <w:tcW w:w="3060" w:type="dxa"/>
            <w:tcBorders>
              <w:top w:val="nil"/>
              <w:left w:val="nil"/>
              <w:bottom w:val="single" w:sz="8" w:space="0" w:color="auto"/>
              <w:right w:val="single" w:sz="4" w:space="0" w:color="auto"/>
            </w:tcBorders>
            <w:shd w:val="clear" w:color="auto" w:fill="auto"/>
            <w:tcMar>
              <w:left w:w="0" w:type="dxa"/>
              <w:right w:w="14" w:type="dxa"/>
            </w:tcMar>
            <w:vAlign w:val="center"/>
            <w:hideMark/>
          </w:tcPr>
          <w:p w:rsidR="00DC5F13" w:rsidRPr="0000407A" w:rsidRDefault="00DC5F13" w:rsidP="00C50840">
            <w:pPr>
              <w:spacing w:after="0" w:line="240" w:lineRule="auto"/>
              <w:jc w:val="center"/>
              <w:rPr>
                <w:rFonts w:eastAsia="Times New Roman" w:cs="Arial"/>
              </w:rPr>
            </w:pPr>
            <w:r w:rsidRPr="0000407A">
              <w:rPr>
                <w:rFonts w:eastAsia="Times New Roman" w:cs="Arial"/>
              </w:rPr>
              <w:t>ANY</w:t>
            </w:r>
          </w:p>
        </w:tc>
      </w:tr>
    </w:tbl>
    <w:p w:rsidR="0061756A" w:rsidRDefault="0061756A" w:rsidP="007536B1">
      <w:pPr>
        <w:spacing w:after="7" w:line="245" w:lineRule="auto"/>
        <w:ind w:left="-15" w:right="38"/>
        <w:jc w:val="both"/>
        <w:rPr>
          <w:rFonts w:eastAsia="Times New Roman" w:cs="Times New Roman"/>
          <w:color w:val="181717"/>
        </w:rPr>
      </w:pPr>
    </w:p>
    <w:p w:rsidR="007536B1" w:rsidRPr="00BD0B86" w:rsidRDefault="007536B1" w:rsidP="000E22D3">
      <w:pPr>
        <w:spacing w:after="7" w:line="245" w:lineRule="auto"/>
        <w:ind w:left="-15" w:right="38"/>
        <w:rPr>
          <w:rFonts w:eastAsia="Times New Roman" w:cs="Times New Roman"/>
          <w:color w:val="181717"/>
        </w:rPr>
      </w:pPr>
      <w:r w:rsidRPr="00BD0B86">
        <w:rPr>
          <w:rFonts w:eastAsia="Times New Roman" w:cs="Times New Roman"/>
          <w:color w:val="181717"/>
        </w:rPr>
        <w:t xml:space="preserve">The ITB survey </w:t>
      </w:r>
      <w:r>
        <w:rPr>
          <w:rFonts w:eastAsia="Times New Roman" w:cs="Times New Roman"/>
          <w:color w:val="181717"/>
        </w:rPr>
        <w:t xml:space="preserve">instrument </w:t>
      </w:r>
      <w:r w:rsidRPr="00BD0B86">
        <w:rPr>
          <w:rFonts w:eastAsia="Times New Roman" w:cs="Times New Roman"/>
          <w:color w:val="181717"/>
        </w:rPr>
        <w:t>consist</w:t>
      </w:r>
      <w:r>
        <w:rPr>
          <w:rFonts w:eastAsia="Times New Roman" w:cs="Times New Roman"/>
          <w:color w:val="181717"/>
        </w:rPr>
        <w:t>s</w:t>
      </w:r>
      <w:r w:rsidRPr="00BD0B86">
        <w:rPr>
          <w:rFonts w:eastAsia="Times New Roman" w:cs="Times New Roman"/>
          <w:color w:val="181717"/>
        </w:rPr>
        <w:t xml:space="preserve"> of several framing questions, such as asking the taxpayer to think about resources they may have used when preparing their return, as well as the key time and out-of-pocket cost questions. These topics </w:t>
      </w:r>
      <w:r>
        <w:rPr>
          <w:rFonts w:eastAsia="Times New Roman" w:cs="Times New Roman"/>
          <w:color w:val="181717"/>
        </w:rPr>
        <w:t xml:space="preserve">are </w:t>
      </w:r>
      <w:r w:rsidRPr="00BD0B86">
        <w:rPr>
          <w:rFonts w:eastAsia="Times New Roman" w:cs="Times New Roman"/>
          <w:color w:val="181717"/>
        </w:rPr>
        <w:t>broken down into two separate response items: (1) time, including recordkeeping, tax planning, gathering materials, and completing and submitting the tax return; and (2) out-of-pocket costs, including paid preparer services, tax preparation website or software, fees for early or immediate refund, tax books, classes, or seminars, and postage or filing fees.</w:t>
      </w:r>
    </w:p>
    <w:p w:rsidR="007536B1" w:rsidRDefault="007536B1" w:rsidP="007536B1">
      <w:pPr>
        <w:spacing w:after="7" w:line="245" w:lineRule="auto"/>
        <w:ind w:left="-15" w:right="38"/>
        <w:jc w:val="both"/>
        <w:rPr>
          <w:rFonts w:eastAsia="Times New Roman" w:cs="Times New Roman"/>
          <w:color w:val="181717"/>
        </w:rPr>
      </w:pPr>
    </w:p>
    <w:p w:rsidR="007536B1" w:rsidRDefault="007536B1" w:rsidP="007536B1">
      <w:pPr>
        <w:spacing w:after="7" w:line="245" w:lineRule="auto"/>
        <w:ind w:left="-15" w:right="38"/>
        <w:jc w:val="both"/>
        <w:rPr>
          <w:rFonts w:eastAsia="Times New Roman" w:cs="Times New Roman"/>
          <w:color w:val="181717"/>
        </w:rPr>
      </w:pPr>
      <w:r w:rsidRPr="00BD0B86">
        <w:rPr>
          <w:rFonts w:eastAsia="Times New Roman" w:cs="Times New Roman"/>
          <w:color w:val="181717"/>
        </w:rPr>
        <w:t xml:space="preserve">To reduce recall bias, the surveys </w:t>
      </w:r>
      <w:r>
        <w:rPr>
          <w:rFonts w:eastAsia="Times New Roman" w:cs="Times New Roman"/>
          <w:color w:val="181717"/>
        </w:rPr>
        <w:t>are</w:t>
      </w:r>
      <w:r w:rsidRPr="00BD0B86">
        <w:rPr>
          <w:rFonts w:eastAsia="Times New Roman" w:cs="Times New Roman"/>
          <w:color w:val="181717"/>
        </w:rPr>
        <w:t xml:space="preserve"> conducted close to when the taxpayers filed their tax returns. The </w:t>
      </w:r>
      <w:r>
        <w:rPr>
          <w:rFonts w:eastAsia="Times New Roman" w:cs="Times New Roman"/>
          <w:color w:val="181717"/>
        </w:rPr>
        <w:t>survey is sent out in four waves, with the first wave sampled from the earliest filers starting around June.</w:t>
      </w:r>
    </w:p>
    <w:p w:rsidR="00A908CD" w:rsidRPr="001C0963" w:rsidRDefault="00A908CD" w:rsidP="00A908CD">
      <w:pPr>
        <w:spacing w:after="7" w:line="245" w:lineRule="auto"/>
        <w:ind w:left="-15" w:right="38"/>
        <w:rPr>
          <w:rFonts w:eastAsia="Times New Roman" w:cs="Times New Roman"/>
          <w:b/>
          <w:i/>
          <w:color w:val="181717"/>
        </w:rPr>
      </w:pPr>
      <w:r>
        <w:rPr>
          <w:rFonts w:eastAsia="Times New Roman" w:cs="Times New Roman"/>
          <w:b/>
          <w:i/>
          <w:color w:val="181717"/>
        </w:rPr>
        <w:t>Business</w:t>
      </w:r>
      <w:r w:rsidRPr="001C0963">
        <w:rPr>
          <w:rFonts w:eastAsia="Times New Roman" w:cs="Times New Roman"/>
          <w:b/>
          <w:i/>
          <w:color w:val="181717"/>
        </w:rPr>
        <w:t xml:space="preserve"> Taxpayer Burden Survey</w:t>
      </w:r>
    </w:p>
    <w:p w:rsidR="00A908CD" w:rsidRPr="00BD0B86" w:rsidRDefault="00A908CD" w:rsidP="00A908CD">
      <w:pPr>
        <w:spacing w:after="7" w:line="245" w:lineRule="auto"/>
        <w:ind w:left="-15" w:right="38"/>
        <w:jc w:val="both"/>
        <w:rPr>
          <w:rFonts w:eastAsia="Times New Roman" w:cs="Times New Roman"/>
          <w:color w:val="181717"/>
        </w:rPr>
      </w:pPr>
      <w:r w:rsidRPr="00BD0B86">
        <w:rPr>
          <w:rFonts w:eastAsia="Times New Roman" w:cs="Times New Roman"/>
          <w:color w:val="181717"/>
        </w:rPr>
        <w:t>As with the ITB</w:t>
      </w:r>
      <w:r>
        <w:rPr>
          <w:rFonts w:eastAsia="Times New Roman" w:cs="Times New Roman"/>
          <w:color w:val="181717"/>
        </w:rPr>
        <w:t xml:space="preserve"> surveys</w:t>
      </w:r>
      <w:r w:rsidRPr="00BD0B86">
        <w:rPr>
          <w:rFonts w:eastAsia="Times New Roman" w:cs="Times New Roman"/>
          <w:color w:val="181717"/>
        </w:rPr>
        <w:t xml:space="preserve">, stratified random sampling </w:t>
      </w:r>
      <w:r>
        <w:rPr>
          <w:rFonts w:eastAsia="Times New Roman" w:cs="Times New Roman"/>
          <w:color w:val="181717"/>
        </w:rPr>
        <w:t>is</w:t>
      </w:r>
      <w:r w:rsidRPr="00BD0B86">
        <w:rPr>
          <w:rFonts w:eastAsia="Times New Roman" w:cs="Times New Roman"/>
          <w:color w:val="181717"/>
        </w:rPr>
        <w:t xml:space="preserve"> used</w:t>
      </w:r>
      <w:r>
        <w:rPr>
          <w:rFonts w:eastAsia="Times New Roman" w:cs="Times New Roman"/>
          <w:color w:val="181717"/>
        </w:rPr>
        <w:t xml:space="preserve"> to select the survey respondents for the Business Taxpayer Burden Survey</w:t>
      </w:r>
      <w:r w:rsidRPr="00BD0B86">
        <w:rPr>
          <w:rFonts w:eastAsia="Times New Roman" w:cs="Times New Roman"/>
          <w:color w:val="181717"/>
        </w:rPr>
        <w:t xml:space="preserve">. Business entities </w:t>
      </w:r>
      <w:r>
        <w:rPr>
          <w:rFonts w:eastAsia="Times New Roman" w:cs="Times New Roman"/>
          <w:color w:val="181717"/>
        </w:rPr>
        <w:t>are</w:t>
      </w:r>
      <w:r w:rsidRPr="00BD0B86">
        <w:rPr>
          <w:rFonts w:eastAsia="Times New Roman" w:cs="Times New Roman"/>
          <w:color w:val="181717"/>
        </w:rPr>
        <w:t xml:space="preserve"> grouped by entity type based on the tax return they filed (corporation, S corporation, or partnership)</w:t>
      </w:r>
      <w:r w:rsidR="003F67AF">
        <w:rPr>
          <w:rFonts w:eastAsia="Times New Roman" w:cs="Times New Roman"/>
          <w:color w:val="181717"/>
        </w:rPr>
        <w:t xml:space="preserve"> and size</w:t>
      </w:r>
      <w:r w:rsidRPr="00BD0B86">
        <w:rPr>
          <w:rFonts w:eastAsia="Times New Roman" w:cs="Times New Roman"/>
          <w:color w:val="181717"/>
        </w:rPr>
        <w:t xml:space="preserve">. </w:t>
      </w:r>
      <w:r>
        <w:rPr>
          <w:rFonts w:eastAsia="Times New Roman" w:cs="Times New Roman"/>
          <w:color w:val="181717"/>
        </w:rPr>
        <w:t xml:space="preserve"> (See Table 3)</w:t>
      </w:r>
    </w:p>
    <w:p w:rsidR="00A908CD" w:rsidRDefault="00A908CD" w:rsidP="00A908CD">
      <w:pPr>
        <w:spacing w:after="7" w:line="245" w:lineRule="auto"/>
        <w:ind w:left="-15" w:right="38"/>
        <w:jc w:val="both"/>
        <w:rPr>
          <w:rFonts w:eastAsia="Times New Roman" w:cs="Times New Roman"/>
          <w:color w:val="181717"/>
        </w:rPr>
      </w:pPr>
    </w:p>
    <w:p w:rsidR="00A908CD" w:rsidRPr="003B5FFD" w:rsidRDefault="00A908CD" w:rsidP="00E14D65">
      <w:pPr>
        <w:keepNext/>
        <w:spacing w:after="7" w:line="245" w:lineRule="auto"/>
        <w:ind w:left="-15" w:right="38"/>
        <w:jc w:val="both"/>
        <w:rPr>
          <w:rFonts w:eastAsia="Times New Roman" w:cs="Times New Roman"/>
          <w:b/>
          <w:color w:val="181717"/>
        </w:rPr>
      </w:pPr>
      <w:r w:rsidRPr="003B5FFD">
        <w:rPr>
          <w:rFonts w:eastAsia="Times New Roman" w:cs="Times New Roman"/>
          <w:b/>
          <w:color w:val="181717"/>
        </w:rPr>
        <w:t xml:space="preserve">Table </w:t>
      </w:r>
      <w:r>
        <w:rPr>
          <w:rFonts w:eastAsia="Times New Roman" w:cs="Times New Roman"/>
          <w:b/>
          <w:color w:val="181717"/>
        </w:rPr>
        <w:t>3</w:t>
      </w:r>
      <w:r w:rsidRPr="003B5FFD">
        <w:rPr>
          <w:rFonts w:eastAsia="Times New Roman" w:cs="Times New Roman"/>
          <w:b/>
          <w:color w:val="181717"/>
        </w:rPr>
        <w:t>: Tax Year 2016 Business Taxpayer Burden Survey Population Strata</w:t>
      </w:r>
    </w:p>
    <w:tbl>
      <w:tblPr>
        <w:tblW w:w="8815" w:type="dxa"/>
        <w:tblInd w:w="113" w:type="dxa"/>
        <w:tblLook w:val="04A0" w:firstRow="1" w:lastRow="0" w:firstColumn="1" w:lastColumn="0" w:noHBand="0" w:noVBand="1"/>
      </w:tblPr>
      <w:tblGrid>
        <w:gridCol w:w="1885"/>
        <w:gridCol w:w="1710"/>
        <w:gridCol w:w="5220"/>
      </w:tblGrid>
      <w:tr w:rsidR="00A908CD" w:rsidRPr="00B903EE" w:rsidTr="006522CF">
        <w:tc>
          <w:tcPr>
            <w:tcW w:w="881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Strata</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 </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Industry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Business Size</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1120</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1120-S</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Form 1065</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No Business Activity</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Not 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Under 50k and Turnover Under 20k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50k to 175k or Turnover From 20k to 70k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175k to 500k or Turnover From 70k to 200k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500k to 1.5M or Turnover From 200k to 600k</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5M or Turnover From 600k to 2M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5M to 15M or Turnover From 2M to 6M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15M to 50M or Turnover From 6M to 20M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From 50M to 1000M or Turnover From 20M to 400M</w:t>
            </w:r>
          </w:p>
        </w:tc>
      </w:tr>
      <w:tr w:rsidR="00A908CD" w:rsidRPr="00B903EE" w:rsidTr="006522CF">
        <w:tc>
          <w:tcPr>
            <w:tcW w:w="1885" w:type="dxa"/>
            <w:vMerge/>
            <w:tcBorders>
              <w:top w:val="nil"/>
              <w:left w:val="single" w:sz="4" w:space="0" w:color="auto"/>
              <w:bottom w:val="single" w:sz="4" w:space="0" w:color="auto"/>
              <w:right w:val="single" w:sz="4" w:space="0" w:color="auto"/>
            </w:tcBorders>
            <w:vAlign w:val="center"/>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Real Estate</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Assets Over 1B or Turnover Over 400M</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1120-L</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6522CF">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1120-REIT</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rPr>
          <w:trHeight w:val="386"/>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1120-PC</w:t>
            </w:r>
          </w:p>
        </w:tc>
        <w:tc>
          <w:tcPr>
            <w:tcW w:w="171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nil"/>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rPr>
          <w:trHeight w:val="269"/>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color w:val="000000"/>
                <w:sz w:val="18"/>
                <w:szCs w:val="18"/>
              </w:rPr>
            </w:pPr>
            <w:r w:rsidRPr="00B903EE">
              <w:rPr>
                <w:rFonts w:ascii="Times New Roman" w:eastAsia="Times New Roman" w:hAnsi="Times New Roman" w:cs="Times New Roman"/>
                <w:color w:val="000000"/>
                <w:sz w:val="18"/>
                <w:szCs w:val="18"/>
              </w:rPr>
              <w:t>Form 1120-F</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c>
          <w:tcPr>
            <w:tcW w:w="5220" w:type="dxa"/>
            <w:tcBorders>
              <w:top w:val="single" w:sz="4" w:space="0" w:color="auto"/>
              <w:left w:val="nil"/>
              <w:bottom w:val="single" w:sz="4" w:space="0" w:color="auto"/>
              <w:right w:val="single" w:sz="4" w:space="0" w:color="auto"/>
            </w:tcBorders>
            <w:shd w:val="clear" w:color="auto" w:fill="auto"/>
            <w:vAlign w:val="bottom"/>
            <w:hideMark/>
          </w:tcPr>
          <w:p w:rsidR="00A908CD" w:rsidRPr="00B903EE" w:rsidRDefault="00A908CD" w:rsidP="00E14D65">
            <w:pPr>
              <w:keepNext/>
              <w:spacing w:after="0" w:line="240" w:lineRule="auto"/>
              <w:jc w:val="center"/>
              <w:rPr>
                <w:rFonts w:ascii="Times New Roman" w:eastAsia="Times New Roman" w:hAnsi="Times New Roman" w:cs="Times New Roman"/>
                <w:sz w:val="18"/>
                <w:szCs w:val="18"/>
              </w:rPr>
            </w:pPr>
            <w:r w:rsidRPr="00B903EE">
              <w:rPr>
                <w:rFonts w:ascii="Times New Roman" w:eastAsia="Times New Roman" w:hAnsi="Times New Roman" w:cs="Times New Roman"/>
                <w:sz w:val="18"/>
                <w:szCs w:val="18"/>
              </w:rPr>
              <w:t>ANY</w:t>
            </w:r>
          </w:p>
        </w:tc>
      </w:tr>
      <w:tr w:rsidR="00A908CD" w:rsidRPr="00B903EE" w:rsidTr="00E14D65">
        <w:tc>
          <w:tcPr>
            <w:tcW w:w="1885"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jc w:val="right"/>
              <w:rPr>
                <w:rFonts w:ascii="Times New Roman" w:eastAsia="Times New Roman" w:hAnsi="Times New Roman" w:cs="Times New Roman"/>
                <w:color w:val="000000"/>
                <w:sz w:val="18"/>
                <w:szCs w:val="18"/>
              </w:rPr>
            </w:pPr>
          </w:p>
        </w:tc>
        <w:tc>
          <w:tcPr>
            <w:tcW w:w="1710"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c>
          <w:tcPr>
            <w:tcW w:w="5220" w:type="dxa"/>
            <w:tcBorders>
              <w:top w:val="single" w:sz="4" w:space="0" w:color="auto"/>
              <w:left w:val="nil"/>
              <w:bottom w:val="single" w:sz="4" w:space="0" w:color="auto"/>
              <w:right w:val="nil"/>
            </w:tcBorders>
            <w:shd w:val="clear" w:color="auto" w:fill="auto"/>
            <w:noWrap/>
            <w:vAlign w:val="bottom"/>
            <w:hideMark/>
          </w:tcPr>
          <w:p w:rsidR="00A908CD" w:rsidRPr="00B903EE" w:rsidRDefault="00A908CD" w:rsidP="00E14D65">
            <w:pPr>
              <w:keepNext/>
              <w:spacing w:after="0" w:line="240" w:lineRule="auto"/>
              <w:rPr>
                <w:rFonts w:ascii="Times New Roman" w:eastAsia="Times New Roman" w:hAnsi="Times New Roman" w:cs="Times New Roman"/>
                <w:sz w:val="18"/>
                <w:szCs w:val="18"/>
              </w:rPr>
            </w:pPr>
          </w:p>
        </w:tc>
      </w:tr>
    </w:tbl>
    <w:p w:rsidR="00A908CD" w:rsidRDefault="00A908CD" w:rsidP="00A908CD">
      <w:pPr>
        <w:spacing w:after="7" w:line="245" w:lineRule="auto"/>
        <w:ind w:left="-15" w:right="38"/>
        <w:jc w:val="both"/>
        <w:rPr>
          <w:rFonts w:eastAsia="Times New Roman" w:cs="Times New Roman"/>
          <w:color w:val="181717"/>
        </w:rPr>
      </w:pPr>
    </w:p>
    <w:p w:rsidR="003F67AF" w:rsidRDefault="003F67AF" w:rsidP="00E14D65">
      <w:pPr>
        <w:spacing w:after="7" w:line="245" w:lineRule="auto"/>
        <w:ind w:left="-15" w:right="38"/>
        <w:rPr>
          <w:rFonts w:eastAsia="Times New Roman" w:cs="Times New Roman"/>
          <w:color w:val="181717"/>
        </w:rPr>
      </w:pPr>
      <w:r>
        <w:rPr>
          <w:rFonts w:eastAsia="Times New Roman" w:cs="Times New Roman"/>
          <w:color w:val="181717"/>
        </w:rPr>
        <w:t xml:space="preserve">Also similar to the </w:t>
      </w:r>
      <w:r w:rsidRPr="00BD0B86">
        <w:rPr>
          <w:rFonts w:eastAsia="Times New Roman" w:cs="Times New Roman"/>
          <w:color w:val="181717"/>
        </w:rPr>
        <w:t>ITB survey</w:t>
      </w:r>
      <w:r>
        <w:rPr>
          <w:rFonts w:eastAsia="Times New Roman" w:cs="Times New Roman"/>
          <w:color w:val="181717"/>
        </w:rPr>
        <w:t>, the BTB survey</w:t>
      </w:r>
      <w:r w:rsidRPr="00BD0B86">
        <w:rPr>
          <w:rFonts w:eastAsia="Times New Roman" w:cs="Times New Roman"/>
          <w:color w:val="181717"/>
        </w:rPr>
        <w:t xml:space="preserve"> </w:t>
      </w:r>
      <w:r>
        <w:rPr>
          <w:rFonts w:eastAsia="Times New Roman" w:cs="Times New Roman"/>
          <w:color w:val="181717"/>
        </w:rPr>
        <w:t xml:space="preserve">instrument </w:t>
      </w:r>
      <w:r w:rsidRPr="00BD0B86">
        <w:rPr>
          <w:rFonts w:eastAsia="Times New Roman" w:cs="Times New Roman"/>
          <w:color w:val="181717"/>
        </w:rPr>
        <w:t>consist</w:t>
      </w:r>
      <w:r>
        <w:rPr>
          <w:rFonts w:eastAsia="Times New Roman" w:cs="Times New Roman"/>
          <w:color w:val="181717"/>
        </w:rPr>
        <w:t>s of</w:t>
      </w:r>
      <w:r w:rsidRPr="00BD0B86">
        <w:rPr>
          <w:rFonts w:eastAsia="Times New Roman" w:cs="Times New Roman"/>
          <w:color w:val="181717"/>
        </w:rPr>
        <w:t xml:space="preserve"> framing questions</w:t>
      </w:r>
      <w:r w:rsidR="006522CF">
        <w:rPr>
          <w:rFonts w:eastAsia="Times New Roman" w:cs="Times New Roman"/>
          <w:color w:val="181717"/>
        </w:rPr>
        <w:t xml:space="preserve"> to improve recall for </w:t>
      </w:r>
      <w:r w:rsidRPr="00BD0B86">
        <w:rPr>
          <w:rFonts w:eastAsia="Times New Roman" w:cs="Times New Roman"/>
          <w:color w:val="181717"/>
        </w:rPr>
        <w:t>the key time and out-of-pocket cost questions. The</w:t>
      </w:r>
      <w:r w:rsidR="006522CF">
        <w:rPr>
          <w:rFonts w:eastAsia="Times New Roman" w:cs="Times New Roman"/>
          <w:color w:val="181717"/>
        </w:rPr>
        <w:t xml:space="preserve"> key time and out-of-pocket costs questions are also similar. </w:t>
      </w:r>
      <w:r w:rsidR="005C450B">
        <w:rPr>
          <w:rFonts w:eastAsia="Times New Roman" w:cs="Times New Roman"/>
          <w:color w:val="181717"/>
        </w:rPr>
        <w:t xml:space="preserve">Time-related questions </w:t>
      </w:r>
      <w:r w:rsidR="005C450B" w:rsidRPr="00BD0B86">
        <w:rPr>
          <w:rFonts w:eastAsia="Times New Roman" w:cs="Times New Roman"/>
          <w:color w:val="181717"/>
        </w:rPr>
        <w:t xml:space="preserve">asked </w:t>
      </w:r>
      <w:r w:rsidR="005C450B">
        <w:rPr>
          <w:rFonts w:eastAsia="Times New Roman" w:cs="Times New Roman"/>
          <w:color w:val="181717"/>
        </w:rPr>
        <w:t xml:space="preserve">respondents </w:t>
      </w:r>
      <w:r w:rsidR="005C450B" w:rsidRPr="00BD0B86">
        <w:rPr>
          <w:rFonts w:eastAsia="Times New Roman" w:cs="Times New Roman"/>
          <w:color w:val="181717"/>
        </w:rPr>
        <w:t>to allocate their time burden across (1) tax compliance activities (such as recordkeeping, tax planning, calculating payroll taxes, and completing and submitting the federal income tax return) and (2) the type of employee (owners, executives, clerical, and other) performing those activities.</w:t>
      </w:r>
      <w:r w:rsidR="005C450B">
        <w:rPr>
          <w:rFonts w:eastAsia="Times New Roman" w:cs="Times New Roman"/>
          <w:color w:val="181717"/>
        </w:rPr>
        <w:t xml:space="preserve"> </w:t>
      </w:r>
      <w:r w:rsidR="005C450B" w:rsidRPr="00BD0B86">
        <w:rPr>
          <w:rFonts w:eastAsia="Times New Roman" w:cs="Times New Roman"/>
          <w:color w:val="181717"/>
        </w:rPr>
        <w:t>Cost-related questions include fees paid to external service providers for tax and tax-related services, the cost of tax-related software, and the amount spent on other tax-related activities (copies of tax returns, postage, etc.).</w:t>
      </w:r>
      <w:r w:rsidR="005C450B">
        <w:rPr>
          <w:rFonts w:eastAsia="Times New Roman" w:cs="Times New Roman"/>
          <w:color w:val="181717"/>
        </w:rPr>
        <w:t xml:space="preserve"> Survey fielding is </w:t>
      </w:r>
      <w:r w:rsidR="006522CF">
        <w:rPr>
          <w:rFonts w:eastAsia="Times New Roman" w:cs="Times New Roman"/>
          <w:color w:val="181717"/>
        </w:rPr>
        <w:t xml:space="preserve">also </w:t>
      </w:r>
      <w:r w:rsidRPr="00BD0B86">
        <w:rPr>
          <w:rFonts w:eastAsia="Times New Roman" w:cs="Times New Roman"/>
          <w:color w:val="181717"/>
        </w:rPr>
        <w:t>conducted close to when the taxpayers filed their tax returns</w:t>
      </w:r>
      <w:r w:rsidR="006522CF">
        <w:rPr>
          <w:rFonts w:eastAsia="Times New Roman" w:cs="Times New Roman"/>
          <w:color w:val="181717"/>
        </w:rPr>
        <w:t xml:space="preserve"> to reduce recall bias</w:t>
      </w:r>
      <w:r w:rsidRPr="00BD0B86">
        <w:rPr>
          <w:rFonts w:eastAsia="Times New Roman" w:cs="Times New Roman"/>
          <w:color w:val="181717"/>
        </w:rPr>
        <w:t xml:space="preserve">. </w:t>
      </w:r>
    </w:p>
    <w:p w:rsidR="003F67AF" w:rsidRDefault="003F67AF" w:rsidP="00A908CD">
      <w:pPr>
        <w:spacing w:after="7" w:line="245" w:lineRule="auto"/>
        <w:ind w:left="-15" w:right="38" w:firstLine="15"/>
        <w:jc w:val="both"/>
        <w:rPr>
          <w:rFonts w:eastAsia="Times New Roman" w:cs="Times New Roman"/>
          <w:color w:val="181717"/>
        </w:rPr>
      </w:pPr>
    </w:p>
    <w:p w:rsidR="005C450B" w:rsidRDefault="00A908CD" w:rsidP="00A908CD">
      <w:pPr>
        <w:spacing w:after="7" w:line="245" w:lineRule="auto"/>
        <w:ind w:left="-15" w:right="38"/>
        <w:jc w:val="both"/>
        <w:rPr>
          <w:rFonts w:eastAsia="Times New Roman" w:cs="Times New Roman"/>
          <w:color w:val="181717"/>
        </w:rPr>
      </w:pPr>
      <w:r w:rsidRPr="00BD0B86">
        <w:rPr>
          <w:rFonts w:eastAsia="Times New Roman" w:cs="Times New Roman"/>
          <w:color w:val="181717"/>
        </w:rPr>
        <w:t>To take into account likely pay rate differences</w:t>
      </w:r>
      <w:r w:rsidR="005C450B">
        <w:rPr>
          <w:rFonts w:eastAsia="Times New Roman" w:cs="Times New Roman"/>
          <w:color w:val="181717"/>
        </w:rPr>
        <w:t xml:space="preserve"> within and across firms</w:t>
      </w:r>
      <w:r w:rsidRPr="00BD0B86">
        <w:rPr>
          <w:rFonts w:eastAsia="Times New Roman" w:cs="Times New Roman"/>
          <w:color w:val="181717"/>
        </w:rPr>
        <w:t xml:space="preserve">, </w:t>
      </w:r>
      <w:r>
        <w:rPr>
          <w:rFonts w:eastAsia="Times New Roman" w:cs="Times New Roman"/>
          <w:color w:val="181717"/>
        </w:rPr>
        <w:t>the Business Taxpayer Burden Survey asks respondents</w:t>
      </w:r>
      <w:r w:rsidRPr="00BD0B86">
        <w:rPr>
          <w:rFonts w:eastAsia="Times New Roman" w:cs="Times New Roman"/>
          <w:color w:val="181717"/>
        </w:rPr>
        <w:t xml:space="preserve"> to </w:t>
      </w:r>
      <w:r w:rsidR="005C450B">
        <w:rPr>
          <w:rFonts w:eastAsia="Times New Roman" w:cs="Times New Roman"/>
          <w:color w:val="181717"/>
        </w:rPr>
        <w:t>report the average hour weighted hourly cost for the Form W-2 employees spending their work hours completing the federal income tax requirements. This measure can be used to help determine the monetary costs of the time spent by firms complying with federal income tax requirements.</w:t>
      </w:r>
    </w:p>
    <w:p w:rsidR="006522CF" w:rsidRDefault="006522CF" w:rsidP="00A908CD">
      <w:pPr>
        <w:spacing w:after="7" w:line="245" w:lineRule="auto"/>
        <w:ind w:left="-15" w:right="38"/>
        <w:jc w:val="both"/>
        <w:rPr>
          <w:rFonts w:eastAsia="Times New Roman" w:cs="Times New Roman"/>
          <w:color w:val="181717"/>
        </w:rPr>
      </w:pPr>
    </w:p>
    <w:p w:rsidR="007536B1" w:rsidRPr="007536B1" w:rsidRDefault="007536B1" w:rsidP="008E054B">
      <w:pPr>
        <w:autoSpaceDE w:val="0"/>
        <w:autoSpaceDN w:val="0"/>
        <w:adjustRightInd w:val="0"/>
        <w:spacing w:after="0" w:line="240" w:lineRule="auto"/>
        <w:rPr>
          <w:rFonts w:cs="Times New Roman"/>
          <w:b/>
          <w:i/>
          <w:color w:val="000000"/>
        </w:rPr>
      </w:pPr>
      <w:r w:rsidRPr="007536B1">
        <w:rPr>
          <w:rFonts w:cs="Times New Roman"/>
          <w:b/>
          <w:i/>
          <w:color w:val="000000"/>
        </w:rPr>
        <w:t xml:space="preserve">Building </w:t>
      </w:r>
      <w:r w:rsidR="0062372E">
        <w:rPr>
          <w:rFonts w:cs="Times New Roman"/>
          <w:b/>
          <w:i/>
          <w:color w:val="000000"/>
        </w:rPr>
        <w:t>an</w:t>
      </w:r>
      <w:r w:rsidRPr="007536B1">
        <w:rPr>
          <w:rFonts w:cs="Times New Roman"/>
          <w:b/>
          <w:i/>
          <w:color w:val="000000"/>
        </w:rPr>
        <w:t xml:space="preserve"> Improved Model</w:t>
      </w:r>
    </w:p>
    <w:p w:rsidR="00E76153" w:rsidRDefault="007C75DB" w:rsidP="00A54FB1">
      <w:pPr>
        <w:autoSpaceDE w:val="0"/>
        <w:autoSpaceDN w:val="0"/>
        <w:adjustRightInd w:val="0"/>
        <w:spacing w:after="0" w:line="240" w:lineRule="auto"/>
        <w:rPr>
          <w:rFonts w:eastAsia="Times New Roman" w:cs="Times New Roman"/>
          <w:color w:val="181717"/>
        </w:rPr>
      </w:pPr>
      <w:r>
        <w:rPr>
          <w:rFonts w:cs="Times New Roman"/>
          <w:color w:val="000000"/>
        </w:rPr>
        <w:t xml:space="preserve">The </w:t>
      </w:r>
      <w:r>
        <w:rPr>
          <w:rFonts w:eastAsia="Times New Roman" w:cs="Times New Roman"/>
          <w:color w:val="181717"/>
        </w:rPr>
        <w:t>IRS</w:t>
      </w:r>
      <w:r w:rsidRPr="00BD0B86">
        <w:rPr>
          <w:rFonts w:eastAsia="Times New Roman" w:cs="Times New Roman"/>
          <w:color w:val="181717"/>
        </w:rPr>
        <w:t xml:space="preserve"> </w:t>
      </w:r>
      <w:r>
        <w:rPr>
          <w:rFonts w:eastAsia="Times New Roman" w:cs="Times New Roman"/>
          <w:color w:val="181717"/>
        </w:rPr>
        <w:t xml:space="preserve">Taxpayer Burden Model (TBM) was developed with oversight from the Department of Treasury Office of Tax Analysis, OMB, and GAO. It was first used to provide the PRA </w:t>
      </w:r>
      <w:r w:rsidR="00E02A91">
        <w:rPr>
          <w:rFonts w:eastAsia="Times New Roman" w:cs="Times New Roman"/>
          <w:color w:val="181717"/>
        </w:rPr>
        <w:t>estimate for individual tax</w:t>
      </w:r>
      <w:r>
        <w:rPr>
          <w:rFonts w:eastAsia="Times New Roman" w:cs="Times New Roman"/>
          <w:color w:val="181717"/>
        </w:rPr>
        <w:t xml:space="preserve"> </w:t>
      </w:r>
      <w:r w:rsidR="00E02A91">
        <w:rPr>
          <w:rFonts w:eastAsia="Times New Roman" w:cs="Times New Roman"/>
          <w:color w:val="181717"/>
        </w:rPr>
        <w:t xml:space="preserve">compliance </w:t>
      </w:r>
      <w:r>
        <w:rPr>
          <w:rFonts w:eastAsia="Times New Roman" w:cs="Times New Roman"/>
          <w:color w:val="181717"/>
        </w:rPr>
        <w:t xml:space="preserve">burden in 2005. </w:t>
      </w:r>
      <w:r w:rsidRPr="00BD0B86">
        <w:rPr>
          <w:rFonts w:eastAsia="Times New Roman" w:cs="Times New Roman"/>
          <w:color w:val="181717"/>
        </w:rPr>
        <w:t xml:space="preserve">The TBM was updated to its current form in </w:t>
      </w:r>
      <w:r w:rsidR="00274228" w:rsidRPr="00BD7306">
        <w:rPr>
          <w:rFonts w:eastAsia="Times New Roman" w:cs="Times New Roman"/>
          <w:color w:val="181717"/>
        </w:rPr>
        <w:t>2010</w:t>
      </w:r>
      <w:r w:rsidR="00E76153">
        <w:rPr>
          <w:rFonts w:eastAsia="Times New Roman" w:cs="Times New Roman"/>
          <w:color w:val="181717"/>
        </w:rPr>
        <w:t>, f</w:t>
      </w:r>
      <w:r w:rsidR="00A54FB1" w:rsidRPr="00BD0B86">
        <w:rPr>
          <w:rFonts w:eastAsia="Times New Roman" w:cs="Times New Roman"/>
          <w:color w:val="181717"/>
        </w:rPr>
        <w:t>ollowing the methodology in Contos et al. (2009a)</w:t>
      </w:r>
      <w:r w:rsidR="007F2364">
        <w:rPr>
          <w:rStyle w:val="FootnoteReference"/>
          <w:rFonts w:eastAsia="Times New Roman"/>
          <w:color w:val="181717"/>
        </w:rPr>
        <w:footnoteReference w:id="9"/>
      </w:r>
      <w:r w:rsidR="00A54FB1" w:rsidRPr="00BD0B86">
        <w:rPr>
          <w:rFonts w:eastAsia="Times New Roman" w:cs="Times New Roman"/>
          <w:color w:val="181717"/>
        </w:rPr>
        <w:t xml:space="preserve"> and Contos et al. (2009b)</w:t>
      </w:r>
      <w:r w:rsidR="00A40CCC">
        <w:rPr>
          <w:rStyle w:val="FootnoteReference"/>
          <w:rFonts w:eastAsia="Times New Roman"/>
          <w:color w:val="181717"/>
        </w:rPr>
        <w:footnoteReference w:id="10"/>
      </w:r>
      <w:r w:rsidR="00A54FB1" w:rsidRPr="00BD0B86">
        <w:rPr>
          <w:rFonts w:eastAsia="Times New Roman" w:cs="Times New Roman"/>
          <w:color w:val="181717"/>
        </w:rPr>
        <w:t>, which modeled the compliance burden of small businesses</w:t>
      </w:r>
      <w:r w:rsidR="00E76153">
        <w:rPr>
          <w:rFonts w:eastAsia="Times New Roman" w:cs="Times New Roman"/>
          <w:color w:val="181717"/>
        </w:rPr>
        <w:t>.</w:t>
      </w:r>
    </w:p>
    <w:p w:rsidR="00E76153" w:rsidRDefault="00E76153" w:rsidP="00A54FB1">
      <w:pPr>
        <w:autoSpaceDE w:val="0"/>
        <w:autoSpaceDN w:val="0"/>
        <w:adjustRightInd w:val="0"/>
        <w:spacing w:after="0" w:line="240" w:lineRule="auto"/>
        <w:rPr>
          <w:rFonts w:eastAsia="Times New Roman" w:cs="Times New Roman"/>
          <w:color w:val="181717"/>
        </w:rPr>
      </w:pPr>
    </w:p>
    <w:p w:rsidR="007D3A19" w:rsidRDefault="00610CA0" w:rsidP="00A54FB1">
      <w:pPr>
        <w:autoSpaceDE w:val="0"/>
        <w:autoSpaceDN w:val="0"/>
        <w:adjustRightInd w:val="0"/>
        <w:spacing w:after="0" w:line="240" w:lineRule="auto"/>
        <w:rPr>
          <w:rFonts w:eastAsia="Times New Roman" w:cs="Times New Roman"/>
          <w:color w:val="181717"/>
        </w:rPr>
      </w:pPr>
      <w:r>
        <w:rPr>
          <w:rFonts w:eastAsia="Times New Roman" w:cs="Times New Roman"/>
          <w:color w:val="181717"/>
        </w:rPr>
        <w:t>T</w:t>
      </w:r>
      <w:r w:rsidR="00E76153">
        <w:rPr>
          <w:rFonts w:eastAsia="Times New Roman" w:cs="Times New Roman"/>
          <w:color w:val="181717"/>
        </w:rPr>
        <w:t xml:space="preserve">he current TBM uses a </w:t>
      </w:r>
      <w:r w:rsidR="00A54FB1" w:rsidRPr="00BD0B86">
        <w:rPr>
          <w:rFonts w:eastAsia="Times New Roman" w:cs="Times New Roman"/>
          <w:color w:val="181717"/>
        </w:rPr>
        <w:t>log-linear specification in which the logarithm of the burden is linearly related to a set of explanatory variables, described in further detail in Contos, et al. (2010)</w:t>
      </w:r>
      <w:r w:rsidR="00F34D33">
        <w:rPr>
          <w:rStyle w:val="FootnoteReference"/>
          <w:rFonts w:eastAsia="Times New Roman"/>
          <w:color w:val="181717"/>
        </w:rPr>
        <w:footnoteReference w:id="11"/>
      </w:r>
      <w:r w:rsidR="00A54FB1" w:rsidRPr="00BD0B86">
        <w:rPr>
          <w:rFonts w:eastAsia="Times New Roman" w:cs="Times New Roman"/>
          <w:color w:val="181717"/>
        </w:rPr>
        <w:t xml:space="preserve">. The dependent variable is based on survey responses and is defined as the logarithm of total pre-filing and filing compliance costs — that is, the monetized time and money taxpayers spend to comply with federal tax laws. </w:t>
      </w:r>
    </w:p>
    <w:p w:rsidR="007D3A19" w:rsidRDefault="007D3A19" w:rsidP="00A54FB1">
      <w:pPr>
        <w:autoSpaceDE w:val="0"/>
        <w:autoSpaceDN w:val="0"/>
        <w:adjustRightInd w:val="0"/>
        <w:spacing w:after="0" w:line="240" w:lineRule="auto"/>
        <w:rPr>
          <w:rFonts w:eastAsia="Times New Roman" w:cs="Times New Roman"/>
          <w:color w:val="181717"/>
        </w:rPr>
      </w:pPr>
    </w:p>
    <w:p w:rsidR="00A54FB1" w:rsidRDefault="00A54FB1" w:rsidP="00A54FB1">
      <w:pPr>
        <w:autoSpaceDE w:val="0"/>
        <w:autoSpaceDN w:val="0"/>
        <w:adjustRightInd w:val="0"/>
        <w:spacing w:after="0" w:line="240" w:lineRule="auto"/>
        <w:rPr>
          <w:rFonts w:eastAsia="Times New Roman" w:cs="Times New Roman"/>
          <w:color w:val="181717"/>
        </w:rPr>
      </w:pPr>
      <w:r w:rsidRPr="00BD0B86">
        <w:rPr>
          <w:rFonts w:eastAsia="Times New Roman" w:cs="Times New Roman"/>
          <w:color w:val="181717"/>
        </w:rPr>
        <w:t>The coefficients</w:t>
      </w:r>
      <w:r w:rsidR="007D3A19">
        <w:rPr>
          <w:rFonts w:eastAsia="Times New Roman" w:cs="Times New Roman"/>
          <w:color w:val="181717"/>
        </w:rPr>
        <w:t xml:space="preserve"> for the Individual Taxpayer Burden Model</w:t>
      </w:r>
      <w:r w:rsidRPr="00BD0B86">
        <w:rPr>
          <w:rFonts w:eastAsia="Times New Roman" w:cs="Times New Roman"/>
          <w:color w:val="181717"/>
        </w:rPr>
        <w:t xml:space="preserve"> are </w:t>
      </w:r>
      <w:r>
        <w:rPr>
          <w:rFonts w:eastAsia="Times New Roman" w:cs="Times New Roman"/>
          <w:color w:val="181717"/>
        </w:rPr>
        <w:t xml:space="preserve">shown in Table </w:t>
      </w:r>
      <w:r w:rsidR="00294320">
        <w:rPr>
          <w:rFonts w:eastAsia="Times New Roman" w:cs="Times New Roman"/>
          <w:color w:val="181717"/>
        </w:rPr>
        <w:t>2.</w:t>
      </w:r>
    </w:p>
    <w:p w:rsidR="00294320" w:rsidRDefault="00294320" w:rsidP="00A54FB1">
      <w:pPr>
        <w:autoSpaceDE w:val="0"/>
        <w:autoSpaceDN w:val="0"/>
        <w:adjustRightInd w:val="0"/>
        <w:spacing w:after="0" w:line="240" w:lineRule="auto"/>
        <w:rPr>
          <w:rFonts w:eastAsia="Times New Roman" w:cs="Times New Roman"/>
          <w:color w:val="181717"/>
        </w:rPr>
      </w:pPr>
    </w:p>
    <w:p w:rsidR="00241824" w:rsidRPr="00BD0B86" w:rsidRDefault="00241824" w:rsidP="00241824">
      <w:pPr>
        <w:spacing w:after="0" w:line="245" w:lineRule="auto"/>
        <w:jc w:val="both"/>
        <w:rPr>
          <w:rFonts w:eastAsia="Times New Roman" w:cs="Times New Roman"/>
          <w:color w:val="181717"/>
        </w:rPr>
      </w:pPr>
      <w:r w:rsidRPr="00BD0B86">
        <w:rPr>
          <w:rFonts w:eastAsia="Times New Roman" w:cs="Times New Roman"/>
          <w:color w:val="181717"/>
        </w:rPr>
        <w:t xml:space="preserve">The most unique aspect of modeling compliance burden is the need to control for the type and volume of activities performed by taxpayers to meet their federal tax obligations. As a proxy for the volume of activities, we use the money amounts reported by each taxpayer for that item. This is based on the </w:t>
      </w:r>
      <w:r>
        <w:rPr>
          <w:rFonts w:eastAsia="Times New Roman" w:cs="Times New Roman"/>
          <w:color w:val="181717"/>
        </w:rPr>
        <w:t>assumption</w:t>
      </w:r>
      <w:r w:rsidRPr="00BD0B86">
        <w:rPr>
          <w:rFonts w:eastAsia="Times New Roman" w:cs="Times New Roman"/>
          <w:color w:val="181717"/>
        </w:rPr>
        <w:t xml:space="preserve"> that a larger dollar amount reported for a tax item is associated with more activity related to that item. </w:t>
      </w:r>
    </w:p>
    <w:p w:rsidR="00241824" w:rsidRDefault="00241824" w:rsidP="00A54FB1">
      <w:pPr>
        <w:autoSpaceDE w:val="0"/>
        <w:autoSpaceDN w:val="0"/>
        <w:adjustRightInd w:val="0"/>
        <w:spacing w:after="0" w:line="240" w:lineRule="auto"/>
        <w:rPr>
          <w:rFonts w:eastAsia="Times New Roman" w:cs="Times New Roman"/>
          <w:color w:val="181717"/>
        </w:rPr>
      </w:pPr>
    </w:p>
    <w:tbl>
      <w:tblPr>
        <w:tblStyle w:val="TableGrid"/>
        <w:tblW w:w="5460" w:type="dxa"/>
        <w:tblInd w:w="110" w:type="dxa"/>
        <w:tblCellMar>
          <w:top w:w="196" w:type="dxa"/>
          <w:left w:w="110" w:type="dxa"/>
          <w:right w:w="110" w:type="dxa"/>
        </w:tblCellMar>
        <w:tblLook w:val="04A0" w:firstRow="1" w:lastRow="0" w:firstColumn="1" w:lastColumn="0" w:noHBand="0" w:noVBand="1"/>
      </w:tblPr>
      <w:tblGrid>
        <w:gridCol w:w="5460"/>
      </w:tblGrid>
      <w:tr w:rsidR="00294320" w:rsidRPr="00BD0B86" w:rsidTr="00241824">
        <w:trPr>
          <w:trHeight w:val="4284"/>
        </w:trPr>
        <w:tc>
          <w:tcPr>
            <w:tcW w:w="5460" w:type="dxa"/>
            <w:tcBorders>
              <w:top w:val="single" w:sz="8" w:space="0" w:color="BFBFBF"/>
              <w:left w:val="single" w:sz="8" w:space="0" w:color="BFBFBF"/>
              <w:bottom w:val="single" w:sz="8" w:space="0" w:color="BFBFBF"/>
              <w:right w:val="single" w:sz="8" w:space="0" w:color="BFBFBF"/>
            </w:tcBorders>
          </w:tcPr>
          <w:p w:rsidR="00294320" w:rsidRPr="00BD0B86" w:rsidRDefault="00294320" w:rsidP="00EB310B">
            <w:pPr>
              <w:spacing w:after="30" w:line="259" w:lineRule="auto"/>
              <w:ind w:left="-20"/>
              <w:rPr>
                <w:color w:val="181717"/>
              </w:rPr>
            </w:pPr>
            <w:r w:rsidRPr="00BD0B86">
              <w:rPr>
                <w:rFonts w:cs="Calibri"/>
                <w:b/>
                <w:color w:val="181717"/>
              </w:rPr>
              <w:t xml:space="preserve">Table </w:t>
            </w:r>
            <w:r>
              <w:rPr>
                <w:rFonts w:cs="Calibri"/>
                <w:b/>
                <w:color w:val="181717"/>
              </w:rPr>
              <w:t>2</w:t>
            </w:r>
          </w:p>
          <w:p w:rsidR="00294320" w:rsidRPr="00BD0B86" w:rsidRDefault="00294320" w:rsidP="00EB310B">
            <w:pPr>
              <w:spacing w:line="259" w:lineRule="auto"/>
              <w:ind w:left="24"/>
              <w:rPr>
                <w:color w:val="181717"/>
              </w:rPr>
            </w:pPr>
            <w:r w:rsidRPr="00BD0B86">
              <w:rPr>
                <w:rFonts w:cs="Calibri"/>
                <w:color w:val="181717"/>
              </w:rPr>
              <w:t xml:space="preserve">Individual Taxpayer Regression </w:t>
            </w:r>
            <w:r>
              <w:rPr>
                <w:rFonts w:cs="Calibri"/>
                <w:color w:val="181717"/>
              </w:rPr>
              <w:t>Variables</w:t>
            </w:r>
          </w:p>
          <w:tbl>
            <w:tblPr>
              <w:tblStyle w:val="TableGrid"/>
              <w:tblW w:w="5115" w:type="dxa"/>
              <w:tblInd w:w="0" w:type="dxa"/>
              <w:tblCellMar>
                <w:top w:w="41" w:type="dxa"/>
                <w:right w:w="115" w:type="dxa"/>
              </w:tblCellMar>
              <w:tblLook w:val="04A0" w:firstRow="1" w:lastRow="0" w:firstColumn="1" w:lastColumn="0" w:noHBand="0" w:noVBand="1"/>
            </w:tblPr>
            <w:tblGrid>
              <w:gridCol w:w="5115"/>
            </w:tblGrid>
            <w:tr w:rsidR="00294320" w:rsidRPr="00BD0B86" w:rsidTr="00EB310B">
              <w:trPr>
                <w:trHeight w:val="291"/>
              </w:trPr>
              <w:tc>
                <w:tcPr>
                  <w:tcW w:w="5115" w:type="dxa"/>
                  <w:tcBorders>
                    <w:top w:val="single" w:sz="4" w:space="0" w:color="181717"/>
                    <w:left w:val="nil"/>
                    <w:bottom w:val="nil"/>
                    <w:right w:val="nil"/>
                  </w:tcBorders>
                </w:tcPr>
                <w:p w:rsidR="00294320" w:rsidRPr="00A55F34" w:rsidRDefault="00294320" w:rsidP="00EB310B">
                  <w:pPr>
                    <w:spacing w:line="259" w:lineRule="auto"/>
                    <w:rPr>
                      <w:color w:val="181717"/>
                    </w:rPr>
                  </w:pPr>
                  <w:r w:rsidRPr="00A55F34">
                    <w:rPr>
                      <w:color w:val="181717"/>
                    </w:rPr>
                    <w:t xml:space="preserve">Intercept   </w:t>
                  </w:r>
                </w:p>
              </w:tc>
            </w:tr>
            <w:tr w:rsidR="00294320" w:rsidRPr="00BD0B86" w:rsidTr="00EB310B">
              <w:trPr>
                <w:trHeight w:val="251"/>
              </w:trPr>
              <w:tc>
                <w:tcPr>
                  <w:tcW w:w="5115" w:type="dxa"/>
                  <w:tcBorders>
                    <w:top w:val="nil"/>
                    <w:left w:val="nil"/>
                    <w:bottom w:val="nil"/>
                    <w:right w:val="nil"/>
                  </w:tcBorders>
                </w:tcPr>
                <w:p w:rsidR="00294320" w:rsidRPr="00A55F34" w:rsidRDefault="00294320" w:rsidP="00EB310B">
                  <w:pPr>
                    <w:spacing w:line="259" w:lineRule="auto"/>
                    <w:rPr>
                      <w:color w:val="181717"/>
                    </w:rPr>
                  </w:pPr>
                  <w:r w:rsidRPr="00A55F34">
                    <w:rPr>
                      <w:color w:val="181717"/>
                    </w:rPr>
                    <w:t>Ln(Modified Positive Income)</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rPr>
                      <w:color w:val="181717"/>
                    </w:rPr>
                  </w:pPr>
                  <w:r w:rsidRPr="00A55F34">
                    <w:rPr>
                      <w:color w:val="181717"/>
                    </w:rPr>
                    <w:t>Ln(Modified Positive Income) and Paid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Low Complexity</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Medium Complexity</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 xml:space="preserve">High Complexity         </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Self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Software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1"/>
                    <w:rPr>
                      <w:color w:val="181717"/>
                    </w:rPr>
                  </w:pPr>
                  <w:r w:rsidRPr="00A55F34">
                    <w:rPr>
                      <w:color w:val="181717"/>
                    </w:rPr>
                    <w:t>Ln(Line Count of Paid Prepared Return)</w:t>
                  </w:r>
                </w:p>
              </w:tc>
            </w:tr>
            <w:tr w:rsidR="00294320" w:rsidRPr="00BD0B86" w:rsidTr="00EB310B">
              <w:trPr>
                <w:trHeight w:val="245"/>
              </w:trPr>
              <w:tc>
                <w:tcPr>
                  <w:tcW w:w="5115" w:type="dxa"/>
                  <w:tcBorders>
                    <w:top w:val="nil"/>
                    <w:left w:val="nil"/>
                    <w:bottom w:val="nil"/>
                    <w:right w:val="nil"/>
                  </w:tcBorders>
                </w:tcPr>
                <w:p w:rsidR="00294320" w:rsidRPr="00A55F34" w:rsidRDefault="00294320" w:rsidP="00EB310B">
                  <w:pPr>
                    <w:spacing w:line="259" w:lineRule="auto"/>
                    <w:ind w:left="2"/>
                    <w:rPr>
                      <w:color w:val="181717"/>
                    </w:rPr>
                  </w:pPr>
                  <w:r w:rsidRPr="00A55F34">
                    <w:rPr>
                      <w:color w:val="181717"/>
                    </w:rPr>
                    <w:t>Paid Prepared Return</w:t>
                  </w:r>
                </w:p>
              </w:tc>
            </w:tr>
            <w:tr w:rsidR="00294320" w:rsidRPr="00BD0B86" w:rsidTr="00EB310B">
              <w:trPr>
                <w:trHeight w:val="245"/>
              </w:trPr>
              <w:tc>
                <w:tcPr>
                  <w:tcW w:w="5115" w:type="dxa"/>
                  <w:tcBorders>
                    <w:top w:val="nil"/>
                    <w:left w:val="nil"/>
                    <w:bottom w:val="single" w:sz="4" w:space="0" w:color="181717"/>
                    <w:right w:val="nil"/>
                  </w:tcBorders>
                </w:tcPr>
                <w:p w:rsidR="00294320" w:rsidRPr="00A55F34" w:rsidRDefault="00294320" w:rsidP="00EB310B">
                  <w:pPr>
                    <w:spacing w:line="259" w:lineRule="auto"/>
                    <w:ind w:left="2"/>
                    <w:rPr>
                      <w:color w:val="181717"/>
                    </w:rPr>
                  </w:pPr>
                  <w:r w:rsidRPr="00A55F34">
                    <w:rPr>
                      <w:color w:val="181717"/>
                    </w:rPr>
                    <w:t>Software Prepared return</w:t>
                  </w:r>
                </w:p>
              </w:tc>
            </w:tr>
          </w:tbl>
          <w:p w:rsidR="00294320" w:rsidRPr="00BD0B86" w:rsidRDefault="00294320" w:rsidP="00EB310B">
            <w:pPr>
              <w:spacing w:line="259" w:lineRule="auto"/>
              <w:rPr>
                <w:color w:val="181717"/>
              </w:rPr>
            </w:pPr>
          </w:p>
        </w:tc>
      </w:tr>
    </w:tbl>
    <w:p w:rsidR="00294320" w:rsidRPr="00BD0B86" w:rsidRDefault="00294320" w:rsidP="00A54FB1">
      <w:pPr>
        <w:autoSpaceDE w:val="0"/>
        <w:autoSpaceDN w:val="0"/>
        <w:adjustRightInd w:val="0"/>
        <w:spacing w:after="0" w:line="240" w:lineRule="auto"/>
        <w:rPr>
          <w:rFonts w:eastAsia="Times New Roman" w:cs="Times New Roman"/>
          <w:color w:val="181717"/>
        </w:rPr>
      </w:pPr>
    </w:p>
    <w:p w:rsidR="00A54FB1" w:rsidRPr="00BD0B86" w:rsidRDefault="00503259" w:rsidP="00A54FB1">
      <w:pPr>
        <w:spacing w:after="0" w:line="245" w:lineRule="auto"/>
        <w:jc w:val="both"/>
        <w:rPr>
          <w:rFonts w:eastAsia="Times New Roman" w:cs="Times New Roman"/>
          <w:color w:val="181717"/>
        </w:rPr>
      </w:pPr>
      <w:r w:rsidRPr="00BD0B86">
        <w:rPr>
          <w:rFonts w:eastAsia="Times New Roman" w:cs="Times New Roman"/>
          <w:color w:val="181717"/>
        </w:rPr>
        <w:t xml:space="preserve">Each tax item from the primary forms and schedules is rated as “Low,” “Medium,” or “High,” </w:t>
      </w:r>
      <w:r w:rsidR="00294320">
        <w:rPr>
          <w:rFonts w:eastAsia="Times New Roman" w:cs="Times New Roman"/>
          <w:color w:val="181717"/>
        </w:rPr>
        <w:t>assuming</w:t>
      </w:r>
      <w:r w:rsidRPr="00BD0B86">
        <w:rPr>
          <w:rFonts w:eastAsia="Times New Roman" w:cs="Times New Roman"/>
          <w:color w:val="181717"/>
        </w:rPr>
        <w:t xml:space="preserve"> that burden increases as a function of both the type of tax-related activities completed by the taxpayer as well as the volume completed. For example, if an individual completes an additional tax item one year, holding all else constant, compliance burden should increase because the taxpayer will have adjusted his recordkeeping, familiarized himself with the relevant taxpayer instructions, or perhaps paid higher preparation fees.</w:t>
      </w:r>
      <w:r w:rsidR="00A54FB1" w:rsidRPr="00A54FB1">
        <w:rPr>
          <w:rFonts w:eastAsia="Times New Roman" w:cs="Times New Roman"/>
          <w:color w:val="181717"/>
        </w:rPr>
        <w:t xml:space="preserve"> </w:t>
      </w:r>
      <w:r w:rsidR="00A54FB1" w:rsidRPr="00BD0B86">
        <w:rPr>
          <w:rFonts w:eastAsia="Times New Roman" w:cs="Times New Roman"/>
          <w:color w:val="181717"/>
        </w:rPr>
        <w:t xml:space="preserve">The Low, Medium, and High </w:t>
      </w:r>
      <w:r w:rsidR="00A54FB1">
        <w:rPr>
          <w:rFonts w:eastAsia="Times New Roman" w:cs="Times New Roman"/>
          <w:color w:val="181717"/>
        </w:rPr>
        <w:t xml:space="preserve">Complexity </w:t>
      </w:r>
      <w:r w:rsidR="00A54FB1" w:rsidRPr="00BD0B86">
        <w:rPr>
          <w:rFonts w:eastAsia="Times New Roman" w:cs="Times New Roman"/>
          <w:color w:val="181717"/>
        </w:rPr>
        <w:t xml:space="preserve">coefficients </w:t>
      </w:r>
      <w:r w:rsidR="00A54FB1">
        <w:rPr>
          <w:rFonts w:eastAsia="Times New Roman" w:cs="Times New Roman"/>
          <w:color w:val="181717"/>
        </w:rPr>
        <w:t>are</w:t>
      </w:r>
      <w:r w:rsidR="00A54FB1" w:rsidRPr="00BD0B86">
        <w:rPr>
          <w:rFonts w:eastAsia="Times New Roman" w:cs="Times New Roman"/>
          <w:color w:val="181717"/>
        </w:rPr>
        <w:t xml:space="preserve"> the logarithms of the sums of all the values on lines categorized as having the corresponding complexity. Based on these coefficients, an additional dollar of activity in the high category will increase burden more than an additional dollar in medium and low.</w:t>
      </w:r>
    </w:p>
    <w:p w:rsidR="00503259" w:rsidRPr="00BD0B86" w:rsidRDefault="00503259" w:rsidP="00937EC5">
      <w:pPr>
        <w:spacing w:after="0" w:line="245" w:lineRule="auto"/>
        <w:jc w:val="both"/>
        <w:rPr>
          <w:rFonts w:eastAsia="Times New Roman" w:cs="Times New Roman"/>
          <w:color w:val="181717"/>
        </w:rPr>
      </w:pPr>
    </w:p>
    <w:p w:rsidR="000678B2" w:rsidRPr="00BD0B86" w:rsidRDefault="007D3A19" w:rsidP="006616F0">
      <w:pPr>
        <w:spacing w:after="0" w:line="245" w:lineRule="auto"/>
        <w:jc w:val="both"/>
        <w:rPr>
          <w:rFonts w:eastAsia="Times New Roman" w:cs="Times New Roman"/>
          <w:color w:val="181717"/>
        </w:rPr>
      </w:pPr>
      <w:r>
        <w:rPr>
          <w:rFonts w:eastAsia="Times New Roman" w:cs="Times New Roman"/>
          <w:color w:val="181717"/>
        </w:rPr>
        <w:t>D</w:t>
      </w:r>
      <w:r w:rsidR="000678B2" w:rsidRPr="00BD0B86">
        <w:rPr>
          <w:rFonts w:eastAsia="Times New Roman" w:cs="Times New Roman"/>
          <w:color w:val="181717"/>
        </w:rPr>
        <w:t>ummy variables</w:t>
      </w:r>
      <w:r>
        <w:rPr>
          <w:rFonts w:eastAsia="Times New Roman" w:cs="Times New Roman"/>
          <w:color w:val="181717"/>
        </w:rPr>
        <w:t xml:space="preserve"> are included</w:t>
      </w:r>
      <w:r w:rsidR="000678B2" w:rsidRPr="00BD0B86">
        <w:rPr>
          <w:rFonts w:eastAsia="Times New Roman" w:cs="Times New Roman"/>
          <w:color w:val="181717"/>
        </w:rPr>
        <w:t xml:space="preserve"> to measure the effect of preparation method on compliance burden when self-preparation is the reference category. The remaining preparation categories represent paid and software preparation. The coefficients for the preparation dummies are positive because fixed costs are associated with using assisted methods. </w:t>
      </w:r>
    </w:p>
    <w:p w:rsidR="006616F0" w:rsidRPr="00BD0B86" w:rsidRDefault="006616F0" w:rsidP="006616F0">
      <w:pPr>
        <w:spacing w:after="0" w:line="245" w:lineRule="auto"/>
        <w:jc w:val="both"/>
        <w:rPr>
          <w:rFonts w:eastAsia="Times New Roman" w:cs="Times New Roman"/>
          <w:color w:val="181717"/>
        </w:rPr>
      </w:pPr>
    </w:p>
    <w:p w:rsidR="000678B2" w:rsidRPr="00BD0B86" w:rsidRDefault="00B27B24" w:rsidP="006616F0">
      <w:pPr>
        <w:spacing w:after="0" w:line="245" w:lineRule="auto"/>
        <w:jc w:val="both"/>
        <w:rPr>
          <w:rFonts w:eastAsia="Times New Roman" w:cs="Times New Roman"/>
          <w:color w:val="181717"/>
        </w:rPr>
      </w:pPr>
      <w:r>
        <w:rPr>
          <w:rFonts w:eastAsia="Times New Roman" w:cs="Times New Roman"/>
          <w:color w:val="181717"/>
        </w:rPr>
        <w:t>The</w:t>
      </w:r>
      <w:r w:rsidR="000678B2" w:rsidRPr="00BD0B86">
        <w:rPr>
          <w:rFonts w:eastAsia="Times New Roman" w:cs="Times New Roman"/>
          <w:color w:val="181717"/>
        </w:rPr>
        <w:t xml:space="preserve"> trade-off for additional tax preparation costs is a reduction in the amount of time it would have taken a taxpayer to research and complete the tax return unassisted. In addition to preparation of their tax returns, taxpayers may also receive tax-planning advice and can be reasonably assured that they receive all of the tax benefits to which they are entitled. Taxpayers may also benefit from representation in the event they are contacted by the IRS about their tax return. </w:t>
      </w:r>
    </w:p>
    <w:p w:rsidR="00EE1A2D" w:rsidRPr="00BD0B86" w:rsidRDefault="00EE1A2D" w:rsidP="006616F0">
      <w:pPr>
        <w:spacing w:after="0" w:line="245" w:lineRule="auto"/>
        <w:jc w:val="both"/>
        <w:rPr>
          <w:rFonts w:eastAsia="Times New Roman" w:cs="Times New Roman"/>
          <w:color w:val="181717"/>
        </w:rPr>
      </w:pPr>
    </w:p>
    <w:p w:rsidR="006616F0" w:rsidRDefault="000678B2" w:rsidP="000E22D3">
      <w:pPr>
        <w:spacing w:after="0" w:line="245" w:lineRule="auto"/>
        <w:rPr>
          <w:rFonts w:eastAsia="Times New Roman" w:cs="Times New Roman"/>
          <w:color w:val="181717"/>
        </w:rPr>
      </w:pPr>
      <w:r w:rsidRPr="00BD0B86">
        <w:rPr>
          <w:rFonts w:eastAsia="Times New Roman" w:cs="Times New Roman"/>
          <w:color w:val="181717"/>
        </w:rPr>
        <w:t xml:space="preserve">To control for the efficiency gains associated with hiring a paid professional, we include in the specification an interaction term between the dummy variable for paid preparation and the logarithm of </w:t>
      </w:r>
      <w:r w:rsidR="00A222BF">
        <w:rPr>
          <w:rFonts w:eastAsia="Times New Roman" w:cs="Times New Roman"/>
          <w:color w:val="181717"/>
        </w:rPr>
        <w:t>modified positive income (</w:t>
      </w:r>
      <w:r w:rsidRPr="00BD0B86">
        <w:rPr>
          <w:rFonts w:eastAsia="Times New Roman" w:cs="Times New Roman"/>
          <w:color w:val="181717"/>
        </w:rPr>
        <w:t>MPI.</w:t>
      </w:r>
      <w:r w:rsidR="00A222BF">
        <w:rPr>
          <w:rFonts w:eastAsia="Times New Roman" w:cs="Times New Roman"/>
          <w:color w:val="181717"/>
        </w:rPr>
        <w:t>)</w:t>
      </w:r>
      <w:r w:rsidRPr="00BD0B86">
        <w:rPr>
          <w:rFonts w:eastAsia="Times New Roman" w:cs="Times New Roman"/>
          <w:color w:val="181717"/>
        </w:rPr>
        <w:t xml:space="preserve"> This interaction term takes into account the lower marginal compliance costs associated with using a paid preparer. To control for additional efficiency gains associated with hiring a paid professional or using software, we include three line</w:t>
      </w:r>
      <w:r w:rsidR="00095E64" w:rsidRPr="00BD0B86">
        <w:rPr>
          <w:rFonts w:eastAsia="Times New Roman" w:cs="Times New Roman"/>
          <w:color w:val="181717"/>
        </w:rPr>
        <w:t>-</w:t>
      </w:r>
      <w:r w:rsidRPr="00BD0B86">
        <w:rPr>
          <w:rFonts w:eastAsia="Times New Roman" w:cs="Times New Roman"/>
          <w:color w:val="181717"/>
        </w:rPr>
        <w:t>count variables that reflect the difference in salience of inapplicable tax rules conditional on the taxpayer’s preparation method.</w:t>
      </w:r>
    </w:p>
    <w:p w:rsidR="00A54FB1" w:rsidRDefault="00A54FB1" w:rsidP="006616F0">
      <w:pPr>
        <w:spacing w:after="0" w:line="245" w:lineRule="auto"/>
        <w:jc w:val="both"/>
        <w:rPr>
          <w:rFonts w:eastAsia="Times New Roman" w:cs="Times New Roman"/>
          <w:color w:val="181717"/>
        </w:rPr>
      </w:pPr>
    </w:p>
    <w:p w:rsidR="007D3A19" w:rsidRDefault="007D3A19" w:rsidP="008C16C0">
      <w:pPr>
        <w:spacing w:after="110"/>
        <w:ind w:left="-5" w:hanging="10"/>
        <w:rPr>
          <w:rFonts w:eastAsia="Times New Roman" w:cs="Times New Roman"/>
          <w:color w:val="181717"/>
        </w:rPr>
      </w:pPr>
      <w:r w:rsidRPr="00BD0B86">
        <w:rPr>
          <w:rFonts w:eastAsia="Times New Roman" w:cs="Times New Roman"/>
          <w:color w:val="181717"/>
        </w:rPr>
        <w:t>The coefficients</w:t>
      </w:r>
      <w:r>
        <w:rPr>
          <w:rFonts w:eastAsia="Times New Roman" w:cs="Times New Roman"/>
          <w:color w:val="181717"/>
        </w:rPr>
        <w:t xml:space="preserve"> for the Business Taxpayer Burden Model</w:t>
      </w:r>
      <w:r w:rsidRPr="00BD0B86">
        <w:rPr>
          <w:rFonts w:eastAsia="Times New Roman" w:cs="Times New Roman"/>
          <w:color w:val="181717"/>
        </w:rPr>
        <w:t xml:space="preserve"> are </w:t>
      </w:r>
      <w:r>
        <w:rPr>
          <w:rFonts w:eastAsia="Times New Roman" w:cs="Times New Roman"/>
          <w:color w:val="181717"/>
        </w:rPr>
        <w:t>shown in Table 4.</w:t>
      </w:r>
    </w:p>
    <w:p w:rsidR="007D3A19" w:rsidRPr="00BD0B86" w:rsidRDefault="007D3A19" w:rsidP="00463CAF">
      <w:pPr>
        <w:keepNext/>
        <w:spacing w:after="30"/>
        <w:ind w:right="211"/>
        <w:rPr>
          <w:color w:val="181717"/>
        </w:rPr>
      </w:pPr>
      <w:r>
        <w:rPr>
          <w:rFonts w:cs="Calibri"/>
          <w:b/>
          <w:color w:val="181717"/>
        </w:rPr>
        <w:t>T</w:t>
      </w:r>
      <w:r w:rsidRPr="00BD0B86">
        <w:rPr>
          <w:rFonts w:cs="Calibri"/>
          <w:b/>
          <w:color w:val="181717"/>
        </w:rPr>
        <w:t xml:space="preserve">able </w:t>
      </w:r>
      <w:r>
        <w:rPr>
          <w:rFonts w:cs="Calibri"/>
          <w:b/>
          <w:color w:val="181717"/>
        </w:rPr>
        <w:t>4</w:t>
      </w:r>
    </w:p>
    <w:p w:rsidR="007D3A19" w:rsidRPr="00BD0B86" w:rsidRDefault="007D3A19" w:rsidP="00463CAF">
      <w:pPr>
        <w:keepNext/>
        <w:ind w:right="216"/>
        <w:rPr>
          <w:color w:val="181717"/>
        </w:rPr>
      </w:pPr>
      <w:r w:rsidRPr="00BD0B86">
        <w:rPr>
          <w:rFonts w:cs="Calibri"/>
          <w:color w:val="181717"/>
        </w:rPr>
        <w:t xml:space="preserve">Business </w:t>
      </w:r>
      <w:r>
        <w:rPr>
          <w:rFonts w:cs="Calibri"/>
          <w:color w:val="181717"/>
        </w:rPr>
        <w:t xml:space="preserve">Taxpayer </w:t>
      </w:r>
      <w:r w:rsidRPr="00BD0B86">
        <w:rPr>
          <w:rFonts w:cs="Calibri"/>
          <w:color w:val="181717"/>
        </w:rPr>
        <w:t xml:space="preserve">Regression </w:t>
      </w:r>
      <w:r>
        <w:rPr>
          <w:rFonts w:cs="Calibri"/>
          <w:color w:val="181717"/>
        </w:rPr>
        <w:t>Variables</w:t>
      </w:r>
    </w:p>
    <w:tbl>
      <w:tblPr>
        <w:tblStyle w:val="TableGrid"/>
        <w:tblW w:w="2767" w:type="dxa"/>
        <w:tblInd w:w="0" w:type="dxa"/>
        <w:tblCellMar>
          <w:top w:w="41" w:type="dxa"/>
          <w:right w:w="115" w:type="dxa"/>
        </w:tblCellMar>
        <w:tblLook w:val="04A0" w:firstRow="1" w:lastRow="0" w:firstColumn="1" w:lastColumn="0" w:noHBand="0" w:noVBand="1"/>
      </w:tblPr>
      <w:tblGrid>
        <w:gridCol w:w="2767"/>
      </w:tblGrid>
      <w:tr w:rsidR="007D3A19" w:rsidRPr="00BD0B86" w:rsidTr="000522EC">
        <w:trPr>
          <w:trHeight w:val="284"/>
        </w:trPr>
        <w:tc>
          <w:tcPr>
            <w:tcW w:w="2767" w:type="dxa"/>
            <w:tcBorders>
              <w:top w:val="single" w:sz="4" w:space="0" w:color="181717"/>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Intercept       </w:t>
            </w:r>
          </w:p>
        </w:tc>
      </w:tr>
      <w:tr w:rsidR="007D3A19" w:rsidRPr="00BD0B86" w:rsidTr="000522EC">
        <w:trPr>
          <w:trHeight w:val="245"/>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Ln(Total Assets)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Assets Indicator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Ln(Total Receipts)</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Receipts Indicator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Low Complexity</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High Complexity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 xml:space="preserve">No Complexity         </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Partnership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S Corporation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Self-Prepared Indicator</w:t>
            </w:r>
          </w:p>
        </w:tc>
      </w:tr>
      <w:tr w:rsidR="007D3A19" w:rsidRPr="00BD0B86" w:rsidTr="000522EC">
        <w:trPr>
          <w:trHeight w:val="246"/>
        </w:trPr>
        <w:tc>
          <w:tcPr>
            <w:tcW w:w="2767" w:type="dxa"/>
            <w:tcBorders>
              <w:top w:val="nil"/>
              <w:left w:val="nil"/>
              <w:bottom w:val="nil"/>
              <w:right w:val="nil"/>
            </w:tcBorders>
          </w:tcPr>
          <w:p w:rsidR="007D3A19" w:rsidRPr="00BD0B86" w:rsidRDefault="007D3A19" w:rsidP="00463CAF">
            <w:pPr>
              <w:keepNext/>
              <w:spacing w:line="259" w:lineRule="auto"/>
              <w:rPr>
                <w:color w:val="181717"/>
              </w:rPr>
            </w:pPr>
            <w:r w:rsidRPr="00BD0B86">
              <w:rPr>
                <w:color w:val="181717"/>
              </w:rPr>
              <w:t>Positive Tax Liability</w:t>
            </w:r>
          </w:p>
        </w:tc>
      </w:tr>
      <w:tr w:rsidR="007D3A19" w:rsidRPr="00BD0B86" w:rsidTr="000522EC">
        <w:trPr>
          <w:trHeight w:val="247"/>
        </w:trPr>
        <w:tc>
          <w:tcPr>
            <w:tcW w:w="2767" w:type="dxa"/>
            <w:tcBorders>
              <w:top w:val="nil"/>
              <w:left w:val="nil"/>
              <w:bottom w:val="single" w:sz="4" w:space="0" w:color="181717"/>
              <w:right w:val="nil"/>
            </w:tcBorders>
          </w:tcPr>
          <w:p w:rsidR="007D3A19" w:rsidRPr="00BD0B86" w:rsidRDefault="007D3A19" w:rsidP="00463CAF">
            <w:pPr>
              <w:keepNext/>
              <w:spacing w:line="259" w:lineRule="auto"/>
              <w:rPr>
                <w:color w:val="181717"/>
              </w:rPr>
            </w:pPr>
            <w:r w:rsidRPr="00BD0B86">
              <w:rPr>
                <w:color w:val="181717"/>
              </w:rPr>
              <w:t>Industry Controls</w:t>
            </w:r>
          </w:p>
        </w:tc>
      </w:tr>
    </w:tbl>
    <w:p w:rsidR="007D3A19" w:rsidRDefault="007D3A19" w:rsidP="008C16C0">
      <w:pPr>
        <w:spacing w:after="110"/>
        <w:ind w:left="-5" w:hanging="10"/>
        <w:rPr>
          <w:rFonts w:eastAsia="Times New Roman" w:cs="Times New Roman"/>
          <w:color w:val="181717"/>
        </w:rPr>
      </w:pPr>
    </w:p>
    <w:p w:rsidR="008C16C0" w:rsidRDefault="007D3A19" w:rsidP="000E22D3">
      <w:pPr>
        <w:spacing w:after="7" w:line="245" w:lineRule="auto"/>
        <w:ind w:left="-15" w:right="38" w:firstLine="15"/>
        <w:rPr>
          <w:rFonts w:eastAsia="Times New Roman" w:cs="Times New Roman"/>
          <w:color w:val="181717"/>
        </w:rPr>
      </w:pPr>
      <w:r>
        <w:rPr>
          <w:rFonts w:eastAsia="Times New Roman" w:cs="Times New Roman"/>
          <w:color w:val="181717"/>
        </w:rPr>
        <w:t>T</w:t>
      </w:r>
      <w:r w:rsidR="008C16C0" w:rsidRPr="00BD0B86">
        <w:rPr>
          <w:rFonts w:eastAsia="Times New Roman" w:cs="Times New Roman"/>
          <w:color w:val="181717"/>
        </w:rPr>
        <w:t>he dependent variable is the logarithm of total monetized compliance costs. Independent variables include the logarithms of total assets, total receipts, and the sum of dollars reported for line items requiring either very little or conversely significant tax-specific recordkeeping</w:t>
      </w:r>
      <w:r w:rsidR="000B571D">
        <w:rPr>
          <w:rFonts w:eastAsia="Times New Roman" w:cs="Times New Roman"/>
          <w:color w:val="181717"/>
        </w:rPr>
        <w:t>. D</w:t>
      </w:r>
      <w:r w:rsidR="008C16C0" w:rsidRPr="00BD0B86">
        <w:rPr>
          <w:rFonts w:eastAsia="Times New Roman" w:cs="Times New Roman"/>
          <w:color w:val="181717"/>
        </w:rPr>
        <w:t>ummy variables for organizational form, industry, and use of a paid tax return preparer</w:t>
      </w:r>
      <w:r w:rsidR="000B571D">
        <w:rPr>
          <w:rFonts w:eastAsia="Times New Roman" w:cs="Times New Roman"/>
          <w:color w:val="181717"/>
        </w:rPr>
        <w:t xml:space="preserve"> are also included</w:t>
      </w:r>
      <w:r w:rsidR="008C16C0" w:rsidRPr="00BD0B86">
        <w:rPr>
          <w:rFonts w:eastAsia="Times New Roman" w:cs="Times New Roman"/>
          <w:color w:val="181717"/>
        </w:rPr>
        <w:t>. Controlling for both assets and total receipts provides a better fit across a range of types and sizes of businesses. Dummy variables are used for cases where either assets or receipts are not reported.</w:t>
      </w:r>
    </w:p>
    <w:p w:rsidR="007D3A19" w:rsidRDefault="007D3A19" w:rsidP="000E22D3">
      <w:pPr>
        <w:spacing w:after="7" w:line="245" w:lineRule="auto"/>
        <w:ind w:left="-15" w:right="38" w:firstLine="15"/>
        <w:rPr>
          <w:rFonts w:eastAsia="Times New Roman" w:cs="Times New Roman"/>
          <w:color w:val="181717"/>
        </w:rPr>
      </w:pPr>
    </w:p>
    <w:p w:rsidR="00730BA0" w:rsidRPr="00BD0B86" w:rsidRDefault="007D3A19" w:rsidP="000E22D3">
      <w:pPr>
        <w:spacing w:after="7" w:line="245" w:lineRule="auto"/>
        <w:ind w:left="-15" w:right="38" w:firstLine="15"/>
        <w:rPr>
          <w:rFonts w:eastAsia="Times New Roman" w:cs="Times New Roman"/>
          <w:color w:val="181717"/>
        </w:rPr>
      </w:pPr>
      <w:r>
        <w:rPr>
          <w:rFonts w:eastAsia="Times New Roman" w:cs="Times New Roman"/>
          <w:color w:val="181717"/>
        </w:rPr>
        <w:t xml:space="preserve">The </w:t>
      </w:r>
      <w:r w:rsidR="00730BA0">
        <w:rPr>
          <w:rFonts w:eastAsia="Times New Roman" w:cs="Times New Roman"/>
          <w:color w:val="181717"/>
        </w:rPr>
        <w:t>methodology used to develop the ITB and BTB regression specifications provides a framework that e</w:t>
      </w:r>
      <w:r w:rsidR="00730BA0" w:rsidRPr="00730BA0">
        <w:rPr>
          <w:rFonts w:eastAsia="Times New Roman" w:cs="Times New Roman"/>
          <w:color w:val="181717"/>
        </w:rPr>
        <w:t>nables the IRS to simulate the impact of changes to the underlying filing requirements</w:t>
      </w:r>
      <w:r w:rsidR="00730BA0">
        <w:rPr>
          <w:rFonts w:eastAsia="Times New Roman" w:cs="Times New Roman"/>
          <w:color w:val="181717"/>
        </w:rPr>
        <w:t xml:space="preserve"> that were captured by the surveys. This capability enables the IRS to use the TBM parameters in conjunction with administrative data to predict the impact of a changing filing requirement environment.</w:t>
      </w:r>
    </w:p>
    <w:p w:rsidR="00631A33" w:rsidRDefault="00631A33" w:rsidP="00631A33">
      <w:pPr>
        <w:spacing w:after="7" w:line="245" w:lineRule="auto"/>
        <w:ind w:left="-15" w:right="38" w:firstLine="15"/>
        <w:jc w:val="both"/>
        <w:rPr>
          <w:rFonts w:eastAsia="Times New Roman" w:cs="Times New Roman"/>
          <w:color w:val="181717"/>
        </w:rPr>
      </w:pPr>
    </w:p>
    <w:p w:rsidR="00117AA4" w:rsidRPr="00BD0B86" w:rsidRDefault="00117AA4" w:rsidP="00C47064">
      <w:pPr>
        <w:pStyle w:val="ListParagraph"/>
        <w:keepNext/>
        <w:keepLines/>
        <w:numPr>
          <w:ilvl w:val="0"/>
          <w:numId w:val="19"/>
        </w:numPr>
        <w:ind w:left="274" w:hanging="274"/>
        <w:outlineLvl w:val="0"/>
        <w:rPr>
          <w:rFonts w:asciiTheme="minorHAnsi" w:eastAsia="Calibri" w:hAnsiTheme="minorHAnsi" w:cs="Calibri"/>
          <w:b/>
          <w:color w:val="181717"/>
        </w:rPr>
      </w:pPr>
      <w:r w:rsidRPr="00BD0B86">
        <w:rPr>
          <w:rFonts w:asciiTheme="minorHAnsi" w:eastAsia="Calibri" w:hAnsiTheme="minorHAnsi" w:cs="Calibri"/>
          <w:b/>
          <w:color w:val="181717"/>
        </w:rPr>
        <w:t>How the Taxpayer Burden Model is Used</w:t>
      </w:r>
    </w:p>
    <w:p w:rsidR="00BE1EE7" w:rsidRDefault="00BE1EE7" w:rsidP="00C47064">
      <w:pPr>
        <w:keepNext/>
        <w:keepLines/>
        <w:spacing w:after="0"/>
        <w:ind w:hanging="14"/>
        <w:outlineLvl w:val="0"/>
        <w:rPr>
          <w:rFonts w:eastAsia="Calibri" w:cs="Calibri"/>
          <w:b/>
          <w:i/>
          <w:color w:val="181717"/>
        </w:rPr>
      </w:pPr>
    </w:p>
    <w:p w:rsidR="00BE1EE7" w:rsidRPr="00532447" w:rsidRDefault="00BE1EE7" w:rsidP="00BE1EE7">
      <w:pPr>
        <w:spacing w:after="0" w:line="240" w:lineRule="auto"/>
        <w:rPr>
          <w:b/>
          <w:i/>
        </w:rPr>
      </w:pPr>
      <w:r w:rsidRPr="00532447">
        <w:rPr>
          <w:b/>
          <w:i/>
        </w:rPr>
        <w:t>Reporting for PRA</w:t>
      </w:r>
    </w:p>
    <w:p w:rsidR="00BE1EE7" w:rsidRPr="00BD0B86" w:rsidRDefault="00BE1EE7" w:rsidP="00BE1EE7">
      <w:pPr>
        <w:spacing w:after="0" w:line="240" w:lineRule="auto"/>
      </w:pPr>
      <w:r w:rsidRPr="00BD0B86">
        <w:t xml:space="preserve">Under the ADL </w:t>
      </w:r>
      <w:r>
        <w:t>method</w:t>
      </w:r>
      <w:r w:rsidRPr="00BD0B86">
        <w:t xml:space="preserve">, tax compliance burden is estimated for each separate form, regardless of its relationship to other forms. </w:t>
      </w:r>
      <w:r>
        <w:t xml:space="preserve">Burden estimation calculations for many forms are still calculated using the ADL Model. </w:t>
      </w:r>
      <w:r w:rsidRPr="00BD0B86">
        <w:t>Illustration 1 provide</w:t>
      </w:r>
      <w:r>
        <w:t>s an</w:t>
      </w:r>
      <w:r w:rsidRPr="00BD0B86">
        <w:t xml:space="preserve"> example of burden reporting under the ADL method.</w:t>
      </w:r>
    </w:p>
    <w:p w:rsidR="00BE1EE7" w:rsidRPr="00BD0B86" w:rsidRDefault="00BE1EE7" w:rsidP="00BE1EE7">
      <w:pPr>
        <w:spacing w:after="0" w:line="240" w:lineRule="auto"/>
      </w:pPr>
    </w:p>
    <w:p w:rsidR="00BE1EE7" w:rsidRPr="00BD0B86" w:rsidRDefault="00BE1EE7" w:rsidP="00BE1EE7">
      <w:pPr>
        <w:spacing w:after="0" w:line="240" w:lineRule="auto"/>
        <w:rPr>
          <w:b/>
        </w:rPr>
      </w:pPr>
      <w:r w:rsidRPr="00BD0B86">
        <w:rPr>
          <w:noProof/>
        </w:rPr>
        <w:drawing>
          <wp:anchor distT="0" distB="0" distL="114300" distR="114300" simplePos="0" relativeHeight="251659264" behindDoc="0" locked="0" layoutInCell="1" allowOverlap="1" wp14:anchorId="3935A6B4" wp14:editId="5A4915C4">
            <wp:simplePos x="0" y="0"/>
            <wp:positionH relativeFrom="column">
              <wp:posOffset>0</wp:posOffset>
            </wp:positionH>
            <wp:positionV relativeFrom="paragraph">
              <wp:posOffset>186690</wp:posOffset>
            </wp:positionV>
            <wp:extent cx="5938520" cy="3328035"/>
            <wp:effectExtent l="0" t="0" r="5080" b="5715"/>
            <wp:wrapThrough wrapText="bothSides">
              <wp:wrapPolygon edited="0">
                <wp:start x="0" y="0"/>
                <wp:lineTo x="0" y="21513"/>
                <wp:lineTo x="21549" y="21513"/>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295" t="17436" r="6089" b="6666"/>
                    <a:stretch/>
                  </pic:blipFill>
                  <pic:spPr bwMode="auto">
                    <a:xfrm>
                      <a:off x="0" y="0"/>
                      <a:ext cx="5938520" cy="33280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D0B86">
        <w:rPr>
          <w:rFonts w:cs="Arial"/>
          <w:b/>
        </w:rPr>
        <w:t>Illustration 1. Example of PRA Reporting Using the ADL Method – TY 2004 Form 1040</w:t>
      </w:r>
    </w:p>
    <w:p w:rsidR="00BE1EE7" w:rsidRPr="00463CAF" w:rsidRDefault="00BE1EE7" w:rsidP="00463CAF">
      <w:pPr>
        <w:spacing w:after="0" w:line="240" w:lineRule="auto"/>
        <w:ind w:left="180"/>
        <w:rPr>
          <w:sz w:val="20"/>
          <w:szCs w:val="20"/>
        </w:rPr>
      </w:pPr>
      <w:r w:rsidRPr="00463CAF">
        <w:rPr>
          <w:sz w:val="20"/>
          <w:szCs w:val="20"/>
        </w:rPr>
        <w:t xml:space="preserve">Source: TY 2004 Form 1040 instructions, page 75, available at </w:t>
      </w:r>
      <w:hyperlink r:id="rId10" w:history="1">
        <w:r w:rsidRPr="00463CAF">
          <w:rPr>
            <w:rStyle w:val="Hyperlink"/>
            <w:sz w:val="20"/>
            <w:szCs w:val="20"/>
          </w:rPr>
          <w:t>https://www.irs.gov/pub/irs-prior/i1040gi--2004.pdf</w:t>
        </w:r>
      </w:hyperlink>
      <w:r w:rsidRPr="00463CAF">
        <w:rPr>
          <w:sz w:val="20"/>
          <w:szCs w:val="20"/>
        </w:rPr>
        <w:t>. Last accessed 10/24/2017.</w:t>
      </w:r>
    </w:p>
    <w:p w:rsidR="00BE1EE7" w:rsidRPr="00463CAF" w:rsidRDefault="00BE1EE7" w:rsidP="00463CAF">
      <w:pPr>
        <w:spacing w:after="363" w:line="245" w:lineRule="auto"/>
        <w:ind w:left="180" w:right="38"/>
        <w:jc w:val="both"/>
        <w:rPr>
          <w:rFonts w:eastAsia="Times New Roman" w:cs="Times New Roman"/>
          <w:color w:val="181717"/>
          <w:sz w:val="20"/>
          <w:szCs w:val="20"/>
        </w:rPr>
      </w:pPr>
    </w:p>
    <w:p w:rsidR="00BE1EE7" w:rsidRDefault="00E56855" w:rsidP="009B3785">
      <w:pPr>
        <w:spacing w:after="0" w:line="245" w:lineRule="auto"/>
        <w:ind w:right="38"/>
        <w:rPr>
          <w:rFonts w:eastAsia="Times New Roman" w:cs="Times New Roman"/>
          <w:color w:val="181717"/>
        </w:rPr>
      </w:pPr>
      <w:r>
        <w:rPr>
          <w:rFonts w:eastAsia="Times New Roman" w:cs="Times New Roman"/>
          <w:color w:val="181717"/>
        </w:rPr>
        <w:t>The RAAS method</w:t>
      </w:r>
      <w:r w:rsidR="00BE1EE7" w:rsidRPr="00BD0B86">
        <w:rPr>
          <w:rFonts w:eastAsia="Times New Roman" w:cs="Times New Roman"/>
          <w:color w:val="181717"/>
        </w:rPr>
        <w:t xml:space="preserve"> was first used to estimate the tax compliance burden for individual taxpayers in 2005.</w:t>
      </w:r>
      <w:r>
        <w:rPr>
          <w:rFonts w:eastAsia="Times New Roman" w:cs="Times New Roman"/>
          <w:color w:val="181717"/>
        </w:rPr>
        <w:t xml:space="preserve"> With this change, compliance burden for individuals is now reported by the main form filed (Form 1040, 1040-A, or 1040-EZ), with time categories that are more relevant to</w:t>
      </w:r>
      <w:r w:rsidR="00E30340">
        <w:rPr>
          <w:rFonts w:eastAsia="Times New Roman" w:cs="Times New Roman"/>
          <w:color w:val="181717"/>
        </w:rPr>
        <w:t xml:space="preserve"> today’s tax return preparation experience (see Illustration 2)</w:t>
      </w:r>
      <w:r>
        <w:rPr>
          <w:rFonts w:eastAsia="Times New Roman" w:cs="Times New Roman"/>
          <w:color w:val="181717"/>
        </w:rPr>
        <w:t xml:space="preserve">. </w:t>
      </w:r>
      <w:r w:rsidR="00BF767F">
        <w:rPr>
          <w:rFonts w:eastAsia="Times New Roman" w:cs="Times New Roman"/>
          <w:color w:val="181717"/>
        </w:rPr>
        <w:t>In addition</w:t>
      </w:r>
      <w:r w:rsidR="00E30340">
        <w:rPr>
          <w:rFonts w:eastAsia="Times New Roman" w:cs="Times New Roman"/>
          <w:color w:val="181717"/>
        </w:rPr>
        <w:t xml:space="preserve">, the estimated average monetary cost of tax compliance </w:t>
      </w:r>
      <w:r w:rsidR="00BF767F">
        <w:rPr>
          <w:rFonts w:eastAsia="Times New Roman" w:cs="Times New Roman"/>
          <w:color w:val="181717"/>
        </w:rPr>
        <w:t>is</w:t>
      </w:r>
      <w:r w:rsidR="00E30340">
        <w:rPr>
          <w:rFonts w:eastAsia="Times New Roman" w:cs="Times New Roman"/>
          <w:color w:val="181717"/>
        </w:rPr>
        <w:t xml:space="preserve"> also provided.</w:t>
      </w:r>
      <w:r w:rsidR="007064AF">
        <w:rPr>
          <w:rFonts w:eastAsia="Times New Roman" w:cs="Times New Roman"/>
          <w:color w:val="181717"/>
        </w:rPr>
        <w:t xml:space="preserve"> Because self-employed taxpayers generally incur substantially higher burden than other taxpayers, the average burden is broken out by business and non-business taxpayers.</w:t>
      </w:r>
      <w:r w:rsidR="005E274A">
        <w:rPr>
          <w:rFonts w:eastAsia="Times New Roman" w:cs="Times New Roman"/>
          <w:color w:val="181717"/>
        </w:rPr>
        <w:t xml:space="preserve"> An example of the</w:t>
      </w:r>
      <w:r w:rsidR="009B3785">
        <w:rPr>
          <w:rFonts w:eastAsia="Times New Roman" w:cs="Times New Roman"/>
          <w:color w:val="181717"/>
        </w:rPr>
        <w:t xml:space="preserve"> updated reporting format is shown in Illustration 2.</w:t>
      </w:r>
    </w:p>
    <w:p w:rsidR="004662E2" w:rsidRDefault="004662E2" w:rsidP="00BE1EE7">
      <w:pPr>
        <w:pStyle w:val="ListParagraph"/>
        <w:ind w:left="-90"/>
        <w:rPr>
          <w:rFonts w:asciiTheme="minorHAnsi" w:eastAsia="Times New Roman" w:hAnsiTheme="minorHAnsi" w:cs="Arial"/>
          <w:b/>
        </w:rPr>
      </w:pPr>
    </w:p>
    <w:p w:rsidR="00BE1EE7" w:rsidRDefault="00BE1EE7" w:rsidP="00BE1EE7">
      <w:pPr>
        <w:pStyle w:val="ListParagraph"/>
        <w:ind w:left="-90"/>
        <w:rPr>
          <w:rFonts w:asciiTheme="minorHAnsi" w:eastAsia="Times New Roman" w:hAnsiTheme="minorHAnsi" w:cs="Arial"/>
          <w:b/>
        </w:rPr>
      </w:pPr>
      <w:r w:rsidRPr="00BD0B86">
        <w:rPr>
          <w:rFonts w:asciiTheme="minorHAnsi" w:eastAsia="Times New Roman" w:hAnsiTheme="minorHAnsi" w:cs="Arial"/>
          <w:b/>
        </w:rPr>
        <w:t xml:space="preserve">Illustration </w:t>
      </w:r>
      <w:r w:rsidR="004662E2">
        <w:rPr>
          <w:rFonts w:asciiTheme="minorHAnsi" w:eastAsia="Times New Roman" w:hAnsiTheme="minorHAnsi" w:cs="Arial"/>
          <w:b/>
        </w:rPr>
        <w:t>2</w:t>
      </w:r>
      <w:r w:rsidRPr="00BD0B86">
        <w:rPr>
          <w:rFonts w:asciiTheme="minorHAnsi" w:eastAsia="Times New Roman" w:hAnsiTheme="minorHAnsi" w:cs="Arial"/>
          <w:b/>
        </w:rPr>
        <w:t xml:space="preserve">: Example of PRA Reporting Using the RAAS </w:t>
      </w:r>
      <w:r w:rsidRPr="00BD0B86">
        <w:rPr>
          <w:rFonts w:asciiTheme="minorHAnsi" w:eastAsia="Times New Roman" w:hAnsiTheme="minorHAnsi" w:cs="Arial"/>
          <w:b/>
          <w:noProof/>
        </w:rPr>
        <w:drawing>
          <wp:anchor distT="0" distB="0" distL="114300" distR="114300" simplePos="0" relativeHeight="251660288" behindDoc="0" locked="0" layoutInCell="1" allowOverlap="1" wp14:anchorId="40D4D9E4" wp14:editId="40B7E9ED">
            <wp:simplePos x="0" y="0"/>
            <wp:positionH relativeFrom="column">
              <wp:posOffset>66675</wp:posOffset>
            </wp:positionH>
            <wp:positionV relativeFrom="paragraph">
              <wp:posOffset>392430</wp:posOffset>
            </wp:positionV>
            <wp:extent cx="6619875" cy="322770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66"/>
                    <a:stretch/>
                  </pic:blipFill>
                  <pic:spPr bwMode="auto">
                    <a:xfrm>
                      <a:off x="0" y="0"/>
                      <a:ext cx="6619875" cy="3227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0B86">
        <w:rPr>
          <w:rFonts w:asciiTheme="minorHAnsi" w:eastAsia="Times New Roman" w:hAnsiTheme="minorHAnsi" w:cs="Arial"/>
          <w:b/>
        </w:rPr>
        <w:t xml:space="preserve">Taxpayer Burden Model     </w:t>
      </w:r>
    </w:p>
    <w:p w:rsidR="00BE1EE7" w:rsidRPr="002E196D" w:rsidRDefault="00BE1EE7" w:rsidP="00BE1EE7">
      <w:pPr>
        <w:pStyle w:val="ListParagraph"/>
        <w:ind w:left="-90"/>
        <w:rPr>
          <w:rFonts w:asciiTheme="minorHAnsi" w:eastAsia="Times New Roman" w:hAnsiTheme="minorHAnsi" w:cs="Arial"/>
          <w:b/>
        </w:rPr>
      </w:pPr>
    </w:p>
    <w:p w:rsidR="00BE1EE7" w:rsidRPr="00E56855" w:rsidRDefault="00BE1EE7" w:rsidP="00BE1EE7">
      <w:pPr>
        <w:shd w:val="clear" w:color="auto" w:fill="FFFFFF"/>
        <w:rPr>
          <w:rFonts w:eastAsia="Times New Roman" w:cs="Arial"/>
          <w:sz w:val="18"/>
          <w:szCs w:val="18"/>
        </w:rPr>
      </w:pPr>
      <w:r w:rsidRPr="00E56855">
        <w:rPr>
          <w:rFonts w:eastAsia="Times New Roman" w:cs="Arial"/>
          <w:sz w:val="18"/>
          <w:szCs w:val="18"/>
        </w:rPr>
        <w:t>Source: Tax Year 2016 Form 1040 Instructions, page 100, available at https://www.irs.gov/pub/irs-prior/i1040gi--2016.pdf</w:t>
      </w:r>
    </w:p>
    <w:p w:rsidR="00BE1EE7" w:rsidRPr="00BD0B86" w:rsidRDefault="00BE1EE7" w:rsidP="00BE1EE7">
      <w:pPr>
        <w:spacing w:after="0" w:line="240" w:lineRule="auto"/>
        <w:rPr>
          <w:rFonts w:eastAsia="Times New Roman" w:cs="Arial"/>
        </w:rPr>
      </w:pPr>
      <w:r>
        <w:rPr>
          <w:rFonts w:eastAsia="Times New Roman" w:cs="Arial"/>
          <w:b/>
          <w:i/>
        </w:rPr>
        <w:t>Beyond PRA</w:t>
      </w:r>
    </w:p>
    <w:p w:rsidR="00BE1EE7" w:rsidRPr="00DC6E0E" w:rsidRDefault="00BE1EE7" w:rsidP="00BE1EE7">
      <w:pPr>
        <w:widowControl w:val="0"/>
        <w:autoSpaceDE w:val="0"/>
        <w:autoSpaceDN w:val="0"/>
        <w:adjustRightInd w:val="0"/>
        <w:spacing w:after="0" w:line="240" w:lineRule="auto"/>
        <w:rPr>
          <w:rFonts w:eastAsia="Times New Roman" w:cs="Times New Roman"/>
        </w:rPr>
      </w:pPr>
      <w:r>
        <w:rPr>
          <w:rFonts w:eastAsia="Times New Roman" w:cs="Times New Roman"/>
        </w:rPr>
        <w:t>The benefits of estimating tax compliance burden go far beyond being able to meet the requirements of the Paperwork Reduction Act. It helps</w:t>
      </w:r>
      <w:r w:rsidRPr="00DC6E0E">
        <w:rPr>
          <w:rFonts w:eastAsia="Times New Roman" w:cs="Times New Roman"/>
        </w:rPr>
        <w:t xml:space="preserve"> the IRS support or achieve several important goals:</w:t>
      </w:r>
    </w:p>
    <w:p w:rsidR="00BE1EE7" w:rsidRPr="00DC6E0E" w:rsidRDefault="00BE1EE7" w:rsidP="00BE1EE7">
      <w:pPr>
        <w:widowControl w:val="0"/>
        <w:autoSpaceDE w:val="0"/>
        <w:autoSpaceDN w:val="0"/>
        <w:adjustRightInd w:val="0"/>
        <w:spacing w:after="0" w:line="240" w:lineRule="auto"/>
        <w:rPr>
          <w:rFonts w:eastAsia="Times New Roman" w:cs="Times New Roman"/>
        </w:rPr>
      </w:pP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Fulfill its mission to provide top quality service to taxpayers.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Better understand taxpayer time and out-of-pocket cost burden.</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Improve the accuracy and comparability of the information collection budget estimates it provides under the Paperwork Reduction Act (44 U.S.C. 3501 et seq.).</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Provide data to be used in micro-simulation models to allow estimation of the impact of </w:t>
      </w:r>
      <w:r w:rsidR="00E02A91">
        <w:rPr>
          <w:rFonts w:eastAsia="Times New Roman" w:cs="Times New Roman"/>
        </w:rPr>
        <w:t>proposed legislation on tax</w:t>
      </w:r>
      <w:r w:rsidRPr="00DC6E0E">
        <w:rPr>
          <w:rFonts w:eastAsia="Times New Roman" w:cs="Times New Roman"/>
        </w:rPr>
        <w:t xml:space="preserve"> </w:t>
      </w:r>
      <w:r w:rsidR="00C24857">
        <w:rPr>
          <w:rFonts w:eastAsia="Times New Roman" w:cs="Times New Roman"/>
        </w:rPr>
        <w:t xml:space="preserve">compliance </w:t>
      </w:r>
      <w:r w:rsidRPr="00DC6E0E">
        <w:rPr>
          <w:rFonts w:eastAsia="Times New Roman" w:cs="Times New Roman"/>
        </w:rPr>
        <w:t>burden before the legislation is enacted.</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Support ongoing analysis of the role of compliance costs in influencing taxpayer behavior and identifying taxpayer needs.  </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Provide information to the Executives and Operating Divisions for assessing th</w:t>
      </w:r>
      <w:r w:rsidR="00E02A91">
        <w:rPr>
          <w:rFonts w:eastAsia="Times New Roman" w:cs="Times New Roman"/>
        </w:rPr>
        <w:t>e impact of programs on tax</w:t>
      </w:r>
      <w:r w:rsidRPr="00DC6E0E">
        <w:rPr>
          <w:rFonts w:eastAsia="Times New Roman" w:cs="Times New Roman"/>
        </w:rPr>
        <w:t xml:space="preserve"> </w:t>
      </w:r>
      <w:r w:rsidR="00C24857">
        <w:rPr>
          <w:rFonts w:eastAsia="Times New Roman" w:cs="Times New Roman"/>
        </w:rPr>
        <w:t xml:space="preserve">compliance </w:t>
      </w:r>
      <w:r w:rsidRPr="00DC6E0E">
        <w:rPr>
          <w:rFonts w:eastAsia="Times New Roman" w:cs="Times New Roman"/>
        </w:rPr>
        <w:t>burden.</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Support the Operating Divisions and IRS executives in their efforts to identify and implement burden reduction initiatives.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Support tax analysis in the Treasury Department Offices.</w:t>
      </w:r>
    </w:p>
    <w:p w:rsidR="00BE1EE7" w:rsidRPr="00DC6E0E" w:rsidRDefault="00BE1EE7" w:rsidP="00BE1EE7">
      <w:pPr>
        <w:widowControl w:val="0"/>
        <w:numPr>
          <w:ilvl w:val="0"/>
          <w:numId w:val="35"/>
        </w:numPr>
        <w:autoSpaceDE w:val="0"/>
        <w:autoSpaceDN w:val="0"/>
        <w:adjustRightInd w:val="0"/>
        <w:spacing w:after="0" w:line="240" w:lineRule="auto"/>
        <w:rPr>
          <w:rFonts w:eastAsia="Times New Roman" w:cs="Times New Roman"/>
        </w:rPr>
      </w:pPr>
      <w:r w:rsidRPr="00DC6E0E">
        <w:rPr>
          <w:rFonts w:eastAsia="Times New Roman" w:cs="Times New Roman"/>
        </w:rPr>
        <w:t xml:space="preserve">Assist the IRS in evaluating the effectiveness and associated impact on taxpayer costs and behavior of IRS initiatives. </w:t>
      </w:r>
    </w:p>
    <w:p w:rsidR="00BE1EE7" w:rsidRDefault="00BE1EE7" w:rsidP="00BE1EE7">
      <w:pPr>
        <w:spacing w:after="0" w:line="240" w:lineRule="auto"/>
        <w:rPr>
          <w:rFonts w:eastAsia="Times New Roman" w:cs="Arial"/>
        </w:rPr>
      </w:pPr>
    </w:p>
    <w:p w:rsidR="00BE1EE7" w:rsidRPr="00AB5729" w:rsidRDefault="00BE1EE7" w:rsidP="00BE1EE7">
      <w:pPr>
        <w:spacing w:after="0" w:line="240" w:lineRule="auto"/>
      </w:pPr>
      <w:r w:rsidRPr="00BD0B86">
        <w:rPr>
          <w:rFonts w:eastAsia="Times New Roman" w:cs="Arial"/>
        </w:rPr>
        <w:t xml:space="preserve">IRS employees </w:t>
      </w:r>
      <w:r w:rsidR="007A5274">
        <w:rPr>
          <w:rFonts w:eastAsia="Times New Roman" w:cs="Arial"/>
        </w:rPr>
        <w:t xml:space="preserve">who are </w:t>
      </w:r>
      <w:r w:rsidRPr="00BD0B86">
        <w:rPr>
          <w:rFonts w:eastAsia="Times New Roman" w:cs="Arial"/>
        </w:rPr>
        <w:t xml:space="preserve">responsible for implementing programs, policies, and procedures that impact taxpayers perform a burden risk evaluation during </w:t>
      </w:r>
      <w:r w:rsidR="007A5274">
        <w:rPr>
          <w:rFonts w:eastAsia="Times New Roman" w:cs="Arial"/>
        </w:rPr>
        <w:t xml:space="preserve">the </w:t>
      </w:r>
      <w:r w:rsidRPr="00BD0B86">
        <w:rPr>
          <w:rFonts w:eastAsia="Times New Roman" w:cs="Arial"/>
        </w:rPr>
        <w:t xml:space="preserve">initial implementation </w:t>
      </w:r>
      <w:r w:rsidR="007A5274">
        <w:rPr>
          <w:rFonts w:eastAsia="Times New Roman" w:cs="Arial"/>
        </w:rPr>
        <w:t xml:space="preserve">phase </w:t>
      </w:r>
      <w:r w:rsidRPr="00BD0B86">
        <w:rPr>
          <w:rFonts w:eastAsia="Times New Roman" w:cs="Arial"/>
        </w:rPr>
        <w:t>or when changes are being considered. This evaluation is used in conjunction with other bus</w:t>
      </w:r>
      <w:r w:rsidR="003C0CC1">
        <w:rPr>
          <w:rFonts w:eastAsia="Times New Roman" w:cs="Arial"/>
        </w:rPr>
        <w:t xml:space="preserve">iness metrics to guide decision </w:t>
      </w:r>
      <w:r w:rsidRPr="00BD0B86">
        <w:rPr>
          <w:rFonts w:eastAsia="Times New Roman" w:cs="Arial"/>
        </w:rPr>
        <w:t>making.</w:t>
      </w:r>
      <w:r w:rsidR="003C0CC1">
        <w:rPr>
          <w:rFonts w:eastAsia="Times New Roman" w:cs="Arial"/>
        </w:rPr>
        <w:t xml:space="preserve"> </w:t>
      </w:r>
      <w:r w:rsidRPr="00BD0B86">
        <w:rPr>
          <w:rFonts w:eastAsia="Times New Roman" w:cs="Arial"/>
        </w:rPr>
        <w:t>In keeping with a bala</w:t>
      </w:r>
      <w:r w:rsidR="00E02A91">
        <w:rPr>
          <w:rFonts w:eastAsia="Times New Roman" w:cs="Arial"/>
        </w:rPr>
        <w:t>nced measures approach, tax</w:t>
      </w:r>
      <w:r w:rsidR="00C24857">
        <w:rPr>
          <w:rFonts w:eastAsia="Times New Roman" w:cs="Arial"/>
        </w:rPr>
        <w:t xml:space="preserve"> compliance</w:t>
      </w:r>
      <w:r w:rsidRPr="00BD0B86">
        <w:rPr>
          <w:rFonts w:eastAsia="Times New Roman" w:cs="Arial"/>
        </w:rPr>
        <w:t xml:space="preserve"> burden reduction is not considered in isolation. It is viewed as a component of customer service/satisfaction and is balanced with compliance. By weighing these two components and the number of taxpayers impacted, the IRS can </w:t>
      </w:r>
      <w:r w:rsidR="00E02A91">
        <w:rPr>
          <w:rFonts w:eastAsia="Times New Roman" w:cs="Arial"/>
        </w:rPr>
        <w:t>ensure that unnecessary tax</w:t>
      </w:r>
      <w:r w:rsidRPr="00BD0B86">
        <w:rPr>
          <w:rFonts w:eastAsia="Times New Roman" w:cs="Arial"/>
        </w:rPr>
        <w:t xml:space="preserve"> </w:t>
      </w:r>
      <w:r w:rsidR="00C24857">
        <w:rPr>
          <w:rFonts w:eastAsia="Times New Roman" w:cs="Arial"/>
        </w:rPr>
        <w:t xml:space="preserve">compliance </w:t>
      </w:r>
      <w:r w:rsidRPr="00BD0B86">
        <w:rPr>
          <w:rFonts w:eastAsia="Times New Roman" w:cs="Arial"/>
        </w:rPr>
        <w:t>burden is addressed and that tax compliance is not jeopardized.</w:t>
      </w:r>
    </w:p>
    <w:p w:rsidR="000678B2" w:rsidRPr="00BD0B86" w:rsidRDefault="000678B2" w:rsidP="00C47064">
      <w:pPr>
        <w:keepNext/>
        <w:keepLines/>
        <w:spacing w:after="0"/>
        <w:ind w:hanging="14"/>
        <w:outlineLvl w:val="0"/>
        <w:rPr>
          <w:rFonts w:eastAsia="Calibri" w:cs="Calibri"/>
          <w:b/>
          <w:i/>
          <w:color w:val="181717"/>
        </w:rPr>
      </w:pPr>
      <w:r w:rsidRPr="00BD0B86">
        <w:rPr>
          <w:rFonts w:eastAsia="Calibri" w:cs="Calibri"/>
          <w:b/>
          <w:i/>
          <w:color w:val="181717"/>
        </w:rPr>
        <w:t>I</w:t>
      </w:r>
      <w:r w:rsidR="00691127" w:rsidRPr="00BD0B86">
        <w:rPr>
          <w:rFonts w:eastAsia="Calibri" w:cs="Calibri"/>
          <w:b/>
          <w:i/>
          <w:color w:val="181717"/>
        </w:rPr>
        <w:t>ndividual Compliance Costs by Major Segments of the T</w:t>
      </w:r>
      <w:r w:rsidRPr="00BD0B86">
        <w:rPr>
          <w:rFonts w:eastAsia="Calibri" w:cs="Calibri"/>
          <w:b/>
          <w:i/>
          <w:color w:val="181717"/>
        </w:rPr>
        <w:t>ax code</w:t>
      </w:r>
    </w:p>
    <w:p w:rsidR="000C0951" w:rsidRDefault="000678B2" w:rsidP="00C64CE3">
      <w:pPr>
        <w:spacing w:after="0" w:line="245" w:lineRule="auto"/>
        <w:ind w:right="43" w:hanging="14"/>
        <w:jc w:val="both"/>
        <w:rPr>
          <w:rFonts w:eastAsia="Times New Roman" w:cs="Times New Roman"/>
          <w:color w:val="181717"/>
        </w:rPr>
      </w:pPr>
      <w:r w:rsidRPr="00BD0B86">
        <w:rPr>
          <w:rFonts w:eastAsia="Times New Roman" w:cs="Times New Roman"/>
          <w:color w:val="181717"/>
        </w:rPr>
        <w:t xml:space="preserve">One might think that the myriad of tax deductions and credits available to individuals would contribute to the bulk of the complexity faced by these taxpayers. However, as shown in </w:t>
      </w:r>
      <w:r w:rsidR="000C0951">
        <w:rPr>
          <w:rFonts w:eastAsia="Times New Roman" w:cs="Times New Roman"/>
          <w:color w:val="181717"/>
        </w:rPr>
        <w:t>Chart 1</w:t>
      </w:r>
      <w:r w:rsidRPr="00BD0B86">
        <w:rPr>
          <w:rFonts w:eastAsia="Times New Roman" w:cs="Times New Roman"/>
          <w:color w:val="181717"/>
        </w:rPr>
        <w:t>, the elements of the tax law that deal solely with reporting income</w:t>
      </w:r>
      <w:r w:rsidR="00F25F21" w:rsidRPr="00BD0B86">
        <w:rPr>
          <w:rFonts w:eastAsia="Times New Roman" w:cs="Times New Roman"/>
          <w:color w:val="181717"/>
        </w:rPr>
        <w:t xml:space="preserve"> </w:t>
      </w:r>
      <w:r w:rsidRPr="00BD0B86">
        <w:rPr>
          <w:rFonts w:eastAsia="Times New Roman" w:cs="Times New Roman"/>
          <w:color w:val="181717"/>
        </w:rPr>
        <w:t>(before claiming any deductions or credits) comprise more than half of individua</w:t>
      </w:r>
      <w:r w:rsidR="00E02A91">
        <w:rPr>
          <w:rFonts w:eastAsia="Times New Roman" w:cs="Times New Roman"/>
          <w:color w:val="181717"/>
        </w:rPr>
        <w:t>l tax</w:t>
      </w:r>
      <w:r w:rsidRPr="00BD0B86">
        <w:rPr>
          <w:rFonts w:eastAsia="Times New Roman" w:cs="Times New Roman"/>
          <w:color w:val="181717"/>
        </w:rPr>
        <w:t xml:space="preserve"> compliance burden. </w:t>
      </w:r>
    </w:p>
    <w:p w:rsidR="00B12E02" w:rsidRDefault="00B12E02" w:rsidP="00B12E02">
      <w:pPr>
        <w:spacing w:after="0" w:line="245" w:lineRule="auto"/>
        <w:ind w:right="43" w:hanging="14"/>
        <w:jc w:val="both"/>
        <w:rPr>
          <w:rFonts w:eastAsia="Times New Roman" w:cs="Times New Roman"/>
          <w:color w:val="181717"/>
        </w:rPr>
      </w:pPr>
    </w:p>
    <w:p w:rsidR="00B12E02" w:rsidRPr="00BD0B86" w:rsidRDefault="00B12E02" w:rsidP="00B12E02">
      <w:pPr>
        <w:spacing w:after="7" w:line="245" w:lineRule="auto"/>
        <w:ind w:left="-3" w:right="38" w:hanging="10"/>
        <w:jc w:val="both"/>
        <w:rPr>
          <w:rFonts w:eastAsia="Times New Roman" w:cs="Times New Roman"/>
          <w:color w:val="181717"/>
        </w:rPr>
      </w:pPr>
      <w:r>
        <w:rPr>
          <w:rFonts w:eastAsia="Times New Roman" w:cs="Times New Roman"/>
          <w:color w:val="181717"/>
        </w:rPr>
        <w:t xml:space="preserve">The </w:t>
      </w:r>
      <w:r w:rsidRPr="00C24857">
        <w:rPr>
          <w:rFonts w:eastAsia="Times New Roman" w:cs="Times New Roman"/>
          <w:color w:val="181717"/>
        </w:rPr>
        <w:t>pie chart</w:t>
      </w:r>
      <w:r>
        <w:rPr>
          <w:rFonts w:eastAsia="Times New Roman" w:cs="Times New Roman"/>
          <w:color w:val="181717"/>
        </w:rPr>
        <w:t xml:space="preserve"> w</w:t>
      </w:r>
      <w:r w:rsidRPr="00BD0B86">
        <w:rPr>
          <w:rFonts w:eastAsia="Times New Roman" w:cs="Times New Roman"/>
          <w:color w:val="181717"/>
        </w:rPr>
        <w:t xml:space="preserve">as </w:t>
      </w:r>
      <w:r w:rsidR="00A20891">
        <w:rPr>
          <w:rFonts w:eastAsia="Times New Roman" w:cs="Times New Roman"/>
          <w:color w:val="181717"/>
        </w:rPr>
        <w:t xml:space="preserve">created by estimating the ITB model before and after </w:t>
      </w:r>
      <w:r>
        <w:rPr>
          <w:rFonts w:eastAsia="Times New Roman" w:cs="Times New Roman"/>
          <w:color w:val="181717"/>
        </w:rPr>
        <w:t>remov</w:t>
      </w:r>
      <w:r w:rsidR="00A20891">
        <w:rPr>
          <w:rFonts w:eastAsia="Times New Roman" w:cs="Times New Roman"/>
          <w:color w:val="181717"/>
        </w:rPr>
        <w:t xml:space="preserve">ing each </w:t>
      </w:r>
      <w:r w:rsidRPr="00BD0B86">
        <w:rPr>
          <w:rFonts w:eastAsia="Times New Roman" w:cs="Times New Roman"/>
          <w:color w:val="181717"/>
        </w:rPr>
        <w:t>reporting item</w:t>
      </w:r>
      <w:r w:rsidR="00A20891">
        <w:rPr>
          <w:rFonts w:eastAsia="Times New Roman" w:cs="Times New Roman"/>
          <w:color w:val="181717"/>
        </w:rPr>
        <w:t xml:space="preserve"> </w:t>
      </w:r>
      <w:r w:rsidR="0066756D">
        <w:rPr>
          <w:rFonts w:eastAsia="Times New Roman" w:cs="Times New Roman"/>
          <w:color w:val="181717"/>
        </w:rPr>
        <w:t>segment</w:t>
      </w:r>
      <w:r w:rsidR="00A20891">
        <w:rPr>
          <w:rFonts w:eastAsia="Times New Roman" w:cs="Times New Roman"/>
          <w:color w:val="181717"/>
        </w:rPr>
        <w:t xml:space="preserve">. The order in which </w:t>
      </w:r>
      <w:r w:rsidR="0066756D">
        <w:rPr>
          <w:rFonts w:eastAsia="Times New Roman" w:cs="Times New Roman"/>
          <w:color w:val="181717"/>
        </w:rPr>
        <w:t>segments</w:t>
      </w:r>
      <w:r w:rsidR="00A20891">
        <w:rPr>
          <w:rFonts w:eastAsia="Times New Roman" w:cs="Times New Roman"/>
          <w:color w:val="181717"/>
        </w:rPr>
        <w:t xml:space="preserve"> were removed was based on line item dependencies, generally</w:t>
      </w:r>
      <w:r w:rsidR="0066756D">
        <w:rPr>
          <w:rFonts w:eastAsia="Times New Roman" w:cs="Times New Roman"/>
          <w:color w:val="181717"/>
        </w:rPr>
        <w:t xml:space="preserve"> following the reverse order of line items reported on </w:t>
      </w:r>
      <w:r w:rsidR="00A20891">
        <w:rPr>
          <w:rFonts w:eastAsia="Times New Roman" w:cs="Times New Roman"/>
          <w:color w:val="181717"/>
        </w:rPr>
        <w:t>Form 1040</w:t>
      </w:r>
      <w:r w:rsidR="0066756D">
        <w:rPr>
          <w:rFonts w:eastAsia="Times New Roman" w:cs="Times New Roman"/>
          <w:color w:val="181717"/>
        </w:rPr>
        <w:t>.</w:t>
      </w:r>
      <w:r w:rsidRPr="00BD0B86">
        <w:rPr>
          <w:rFonts w:eastAsia="Times New Roman" w:cs="Times New Roman"/>
          <w:color w:val="181717"/>
        </w:rPr>
        <w:t xml:space="preserve"> </w:t>
      </w:r>
    </w:p>
    <w:p w:rsidR="00B12E02" w:rsidRDefault="00B12E02" w:rsidP="00B12E02">
      <w:pPr>
        <w:spacing w:after="0" w:line="240" w:lineRule="auto"/>
        <w:ind w:right="43" w:hanging="14"/>
        <w:jc w:val="both"/>
        <w:rPr>
          <w:rFonts w:eastAsia="Times New Roman" w:cs="Times New Roman"/>
          <w:color w:val="181717"/>
        </w:rPr>
      </w:pPr>
    </w:p>
    <w:p w:rsidR="00B12E02" w:rsidRPr="00BD0B86" w:rsidRDefault="00B12E02" w:rsidP="00B12E02">
      <w:pPr>
        <w:spacing w:after="0" w:line="240" w:lineRule="auto"/>
        <w:ind w:right="43" w:hanging="14"/>
        <w:jc w:val="both"/>
        <w:rPr>
          <w:rFonts w:eastAsia="Times New Roman" w:cs="Times New Roman"/>
          <w:color w:val="181717"/>
        </w:rPr>
      </w:pPr>
      <w:r w:rsidRPr="00BD0B86">
        <w:rPr>
          <w:rFonts w:eastAsia="Times New Roman" w:cs="Times New Roman"/>
          <w:color w:val="181717"/>
        </w:rPr>
        <w:t>We found that over half of the individual income tax compliance costs are associated with reporting and substantiating income, even for taxpayers with relatively simple sources of income. Taxpayers with simpler sources of income also tend to have fairly simple deductions and credits, or none at all. Note that this analysis only considers the cost to the taxpayer. If we were to consider the costs of issuing information returns such as Forms W-2 and 1099, the overall share of income tax compliance costs would be even more heavily weighted towards reporting and substantiating income.</w:t>
      </w:r>
    </w:p>
    <w:p w:rsidR="00B12E02" w:rsidRDefault="004074B7" w:rsidP="00C64CE3">
      <w:pPr>
        <w:spacing w:after="0" w:line="245" w:lineRule="auto"/>
        <w:ind w:right="43" w:hanging="14"/>
        <w:jc w:val="both"/>
        <w:rPr>
          <w:rFonts w:eastAsia="Times New Roman" w:cs="Times New Roman"/>
          <w:color w:val="181717"/>
        </w:rPr>
      </w:pPr>
      <w:r w:rsidRPr="004074B7">
        <w:rPr>
          <w:rFonts w:eastAsia="Times New Roman" w:cs="Times New Roman"/>
          <w:b/>
          <w:noProof/>
          <w:color w:val="181717"/>
        </w:rPr>
        <mc:AlternateContent>
          <mc:Choice Requires="wps">
            <w:drawing>
              <wp:anchor distT="45720" distB="45720" distL="114300" distR="114300" simplePos="0" relativeHeight="251656704" behindDoc="0" locked="0" layoutInCell="1" allowOverlap="1" wp14:anchorId="6A960ABA" wp14:editId="1926756A">
                <wp:simplePos x="0" y="0"/>
                <wp:positionH relativeFrom="column">
                  <wp:posOffset>0</wp:posOffset>
                </wp:positionH>
                <wp:positionV relativeFrom="paragraph">
                  <wp:posOffset>170777</wp:posOffset>
                </wp:positionV>
                <wp:extent cx="5834418" cy="279779"/>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418" cy="279779"/>
                        </a:xfrm>
                        <a:prstGeom prst="rect">
                          <a:avLst/>
                        </a:prstGeom>
                        <a:solidFill>
                          <a:srgbClr val="FFFFFF"/>
                        </a:solidFill>
                        <a:ln w="9525">
                          <a:noFill/>
                          <a:miter lim="800000"/>
                          <a:headEnd/>
                          <a:tailEnd/>
                        </a:ln>
                      </wps:spPr>
                      <wps:txbx>
                        <w:txbxContent>
                          <w:p w:rsidR="00C2271B" w:rsidRPr="004074B7" w:rsidRDefault="00C2271B">
                            <w:pPr>
                              <w:rPr>
                                <w:rFonts w:cs="Times New Roman"/>
                                <w:b/>
                              </w:rPr>
                            </w:pPr>
                            <w:r w:rsidRPr="004074B7">
                              <w:rPr>
                                <w:rFonts w:cs="Times New Roman"/>
                                <w:b/>
                              </w:rPr>
                              <w:t>Chart 1: Individual Income Tax Compliance Costs by Reporting Activity, 2018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45pt;width:459.4pt;height:22.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" stroked="f">
                <v:textbox inset="0,0,0,0">
                  <w:txbxContent>
                    <w:p w:rsidR="00C2271B" w:rsidRPr="004074B7" w:rsidRDefault="00C2271B">
                      <w:pPr>
                        <w:rPr>
                          <w:rFonts w:cs="Times New Roman"/>
                          <w:b/>
                        </w:rPr>
                      </w:pPr>
                      <w:r w:rsidRPr="004074B7">
                        <w:rPr>
                          <w:rFonts w:cs="Times New Roman"/>
                          <w:b/>
                        </w:rPr>
                        <w:t>Chart 1: Individual Income Tax Compliance Costs by Reporting Activity, 2018</w:t>
                      </w:r>
                    </w:p>
                  </w:txbxContent>
                </v:textbox>
              </v:shape>
            </w:pict>
          </mc:Fallback>
        </mc:AlternateContent>
      </w:r>
    </w:p>
    <w:p w:rsidR="0045265C" w:rsidRPr="00B5312B" w:rsidRDefault="00B12E02" w:rsidP="00B5312B">
      <w:pPr>
        <w:spacing w:after="0" w:line="240" w:lineRule="auto"/>
        <w:ind w:right="43" w:hanging="14"/>
        <w:jc w:val="both"/>
        <w:rPr>
          <w:rFonts w:eastAsia="Times New Roman" w:cs="Times New Roman"/>
          <w:b/>
          <w:color w:val="181717"/>
        </w:rPr>
      </w:pPr>
      <w:r>
        <w:rPr>
          <w:noProof/>
        </w:rPr>
        <w:drawing>
          <wp:inline distT="0" distB="0" distL="0" distR="0" wp14:anchorId="73730FF0" wp14:editId="20375F61">
            <wp:extent cx="5719717" cy="2462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631" t="26887" r="15823" b="23228"/>
                    <a:stretch/>
                  </pic:blipFill>
                  <pic:spPr bwMode="auto">
                    <a:xfrm>
                      <a:off x="0" y="0"/>
                      <a:ext cx="5722323" cy="2463652"/>
                    </a:xfrm>
                    <a:prstGeom prst="rect">
                      <a:avLst/>
                    </a:prstGeom>
                    <a:ln>
                      <a:noFill/>
                    </a:ln>
                    <a:extLst>
                      <a:ext uri="{53640926-AAD7-44D8-BBD7-CCE9431645EC}">
                        <a14:shadowObscured xmlns:a14="http://schemas.microsoft.com/office/drawing/2010/main"/>
                      </a:ext>
                    </a:extLst>
                  </pic:spPr>
                </pic:pic>
              </a:graphicData>
            </a:graphic>
          </wp:inline>
        </w:drawing>
      </w:r>
      <w:r w:rsidR="00C96C9F" w:rsidRPr="00C96C9F">
        <w:rPr>
          <w:noProof/>
        </w:rPr>
        <w:t xml:space="preserve"> </w:t>
      </w:r>
    </w:p>
    <w:p w:rsidR="00C96C9F" w:rsidRDefault="00C96C9F" w:rsidP="00BE7BBC">
      <w:pPr>
        <w:spacing w:after="0" w:line="240" w:lineRule="auto"/>
        <w:ind w:right="43" w:hanging="14"/>
        <w:jc w:val="both"/>
        <w:rPr>
          <w:rFonts w:eastAsia="Times New Roman" w:cs="Times New Roman"/>
          <w:color w:val="181717"/>
        </w:rPr>
      </w:pPr>
      <w:r w:rsidRPr="00C96C9F">
        <w:rPr>
          <w:noProof/>
        </w:rPr>
        <mc:AlternateContent>
          <mc:Choice Requires="wps">
            <w:drawing>
              <wp:anchor distT="0" distB="0" distL="114300" distR="114300" simplePos="0" relativeHeight="251660800" behindDoc="0" locked="0" layoutInCell="1" allowOverlap="1" wp14:anchorId="0752C304" wp14:editId="0D101B77">
                <wp:simplePos x="0" y="0"/>
                <wp:positionH relativeFrom="column">
                  <wp:posOffset>0</wp:posOffset>
                </wp:positionH>
                <wp:positionV relativeFrom="paragraph">
                  <wp:posOffset>4720</wp:posOffset>
                </wp:positionV>
                <wp:extent cx="5943600" cy="333574"/>
                <wp:effectExtent l="0" t="0" r="0" b="0"/>
                <wp:wrapNone/>
                <wp:docPr id="2" name="TextBox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D227DA-D126-4B1A-B0C1-2BDD9DE84FA8}"/>
                    </a:ext>
                  </a:extLst>
                </wp:docPr>
                <wp:cNvGraphicFramePr/>
                <a:graphic xmlns:a="http://schemas.openxmlformats.org/drawingml/2006/main">
                  <a:graphicData uri="http://schemas.microsoft.com/office/word/2010/wordprocessingShape">
                    <wps:wsp>
                      <wps:cNvSpPr txBox="1"/>
                      <wps:spPr>
                        <a:xfrm>
                          <a:off x="0" y="0"/>
                          <a:ext cx="5943600" cy="333574"/>
                        </a:xfrm>
                        <a:prstGeom prst="rect">
                          <a:avLst/>
                        </a:prstGeom>
                      </wps:spPr>
                      <wps:txbx>
                        <w:txbxContent>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Note: Tax Year 2010. The cost of reporting the self-employment tax deduction is included in the Other taxes.</w:t>
                            </w:r>
                          </w:p>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 xml:space="preserve">Source: IRS Office of Research, Analysis, and Statistics, 01/02/2013 </w:t>
                            </w:r>
                          </w:p>
                        </w:txbxContent>
                      </wps:txbx>
                      <wps:bodyPr vertOverflow="clip" wrap="square" lIns="18288" tIns="18288" rIns="18288" bIns="18288" rtlCol="0"/>
                    </wps:wsp>
                  </a:graphicData>
                </a:graphic>
                <wp14:sizeRelH relativeFrom="margin">
                  <wp14:pctWidth>0</wp14:pctWidth>
                </wp14:sizeRelH>
              </wp:anchor>
            </w:drawing>
          </mc:Choice>
          <mc:Fallback>
            <w:pict>
              <v:shape id="TextBox 1" o:spid="_x0000_s1027" type="#_x0000_t202" style="position:absolute;left:0;text-align:left;margin-left:0;margin-top:.35pt;width:468pt;height:2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" filled="f" stroked="f">
                <v:textbox inset="1.44pt,1.44pt,1.44pt,1.44pt">
                  <w:txbxContent>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Note: Tax Year 2010. The cost of reporting the self-employment tax deduction is included in the Other taxes.</w:t>
                      </w:r>
                    </w:p>
                    <w:p w:rsidR="00C2271B" w:rsidRPr="00C96C9F" w:rsidRDefault="00C2271B" w:rsidP="00C96C9F">
                      <w:pPr>
                        <w:pStyle w:val="NormalWeb"/>
                        <w:spacing w:before="0" w:beforeAutospacing="0" w:after="0" w:afterAutospacing="0"/>
                        <w:rPr>
                          <w:rFonts w:asciiTheme="minorHAnsi" w:hAnsiTheme="minorHAnsi"/>
                          <w:sz w:val="16"/>
                          <w:szCs w:val="16"/>
                        </w:rPr>
                      </w:pPr>
                      <w:r w:rsidRPr="00C96C9F">
                        <w:rPr>
                          <w:rFonts w:asciiTheme="minorHAnsi" w:hAnsiTheme="minorHAnsi" w:cs="Arial"/>
                          <w:sz w:val="16"/>
                          <w:szCs w:val="16"/>
                        </w:rPr>
                        <w:t xml:space="preserve">Source: IRS Office of Research, Analysis, and Statistics, 01/02/2013 </w:t>
                      </w:r>
                    </w:p>
                  </w:txbxContent>
                </v:textbox>
              </v:shape>
            </w:pict>
          </mc:Fallback>
        </mc:AlternateContent>
      </w:r>
    </w:p>
    <w:p w:rsidR="00C96C9F" w:rsidRDefault="00C96C9F" w:rsidP="00BE7BBC">
      <w:pPr>
        <w:spacing w:after="0" w:line="240" w:lineRule="auto"/>
        <w:ind w:right="43" w:hanging="14"/>
        <w:jc w:val="both"/>
        <w:rPr>
          <w:rFonts w:eastAsia="Times New Roman" w:cs="Times New Roman"/>
          <w:color w:val="181717"/>
        </w:rPr>
      </w:pPr>
    </w:p>
    <w:p w:rsidR="000678B2" w:rsidRPr="00BD0B86" w:rsidRDefault="000A1952" w:rsidP="005A6ED7">
      <w:pPr>
        <w:spacing w:after="0" w:line="240" w:lineRule="auto"/>
        <w:ind w:right="43" w:hanging="14"/>
        <w:rPr>
          <w:rFonts w:eastAsia="Times New Roman" w:cs="Times New Roman"/>
          <w:color w:val="181717"/>
        </w:rPr>
      </w:pPr>
      <w:r>
        <w:rPr>
          <w:rFonts w:eastAsia="Times New Roman" w:cs="Times New Roman"/>
          <w:color w:val="181717"/>
        </w:rPr>
        <w:t>One limitation of the</w:t>
      </w:r>
      <w:r w:rsidR="000678B2" w:rsidRPr="00BD0B86">
        <w:rPr>
          <w:rFonts w:eastAsia="Times New Roman" w:cs="Times New Roman"/>
          <w:color w:val="181717"/>
        </w:rPr>
        <w:t xml:space="preserve"> measurement methodology </w:t>
      </w:r>
      <w:r w:rsidR="005C3544">
        <w:rPr>
          <w:rFonts w:eastAsia="Times New Roman" w:cs="Times New Roman"/>
          <w:color w:val="181717"/>
        </w:rPr>
        <w:t>shown in Chart 1</w:t>
      </w:r>
      <w:r w:rsidR="000678B2" w:rsidRPr="00BD0B86">
        <w:rPr>
          <w:rFonts w:eastAsia="Times New Roman" w:cs="Times New Roman"/>
          <w:color w:val="181717"/>
        </w:rPr>
        <w:t xml:space="preserve"> </w:t>
      </w:r>
      <w:r>
        <w:rPr>
          <w:rFonts w:eastAsia="Times New Roman" w:cs="Times New Roman"/>
          <w:color w:val="181717"/>
        </w:rPr>
        <w:t xml:space="preserve">is that it </w:t>
      </w:r>
      <w:r w:rsidR="000678B2" w:rsidRPr="00BD0B86">
        <w:rPr>
          <w:rFonts w:eastAsia="Times New Roman" w:cs="Times New Roman"/>
          <w:color w:val="181717"/>
        </w:rPr>
        <w:t xml:space="preserve">ignores the impact that complexity has on what taxpayers choose </w:t>
      </w:r>
      <w:r w:rsidR="000678B2" w:rsidRPr="005C3544">
        <w:rPr>
          <w:rFonts w:eastAsia="Times New Roman" w:cs="Times New Roman"/>
          <w:i/>
          <w:color w:val="181717"/>
        </w:rPr>
        <w:t>not</w:t>
      </w:r>
      <w:r w:rsidR="000678B2" w:rsidRPr="00BD0B86">
        <w:rPr>
          <w:rFonts w:eastAsia="Times New Roman" w:cs="Times New Roman"/>
          <w:color w:val="181717"/>
        </w:rPr>
        <w:t xml:space="preserve"> to do because it is too burdensome, such as choosing not to keep records necessary to claim a tax benefit or even not to comply with certain reporting requirements. Also, we recognize that we may undervalue self-employed taxpayers’ time, given that net self-employment income may not properly reflect the opportunity cost of starting a new business or the complexity associated with deductions that offset the business’s income.</w:t>
      </w:r>
    </w:p>
    <w:p w:rsidR="00E831DB" w:rsidRPr="00BD0B86" w:rsidRDefault="00E831DB" w:rsidP="005A6ED7">
      <w:pPr>
        <w:pStyle w:val="ListParagraph"/>
        <w:ind w:left="0"/>
        <w:rPr>
          <w:rFonts w:asciiTheme="minorHAnsi" w:hAnsiTheme="minorHAnsi"/>
        </w:rPr>
      </w:pPr>
    </w:p>
    <w:p w:rsidR="00E831DB" w:rsidRPr="00BD0B86" w:rsidRDefault="00E831DB" w:rsidP="005A6ED7">
      <w:pPr>
        <w:pStyle w:val="ListParagraph"/>
        <w:numPr>
          <w:ilvl w:val="0"/>
          <w:numId w:val="19"/>
        </w:numPr>
        <w:ind w:left="360" w:hanging="360"/>
        <w:rPr>
          <w:rFonts w:asciiTheme="minorHAnsi" w:hAnsiTheme="minorHAnsi"/>
          <w:b/>
        </w:rPr>
      </w:pPr>
      <w:r w:rsidRPr="00BD0B86">
        <w:rPr>
          <w:rFonts w:asciiTheme="minorHAnsi" w:hAnsiTheme="minorHAnsi"/>
          <w:b/>
        </w:rPr>
        <w:t>Administrative Burden</w:t>
      </w:r>
    </w:p>
    <w:p w:rsidR="00361105" w:rsidRPr="00361105" w:rsidRDefault="00361105" w:rsidP="00361105">
      <w:pPr>
        <w:spacing w:after="0" w:line="240" w:lineRule="auto"/>
      </w:pPr>
      <w:r w:rsidRPr="00361105">
        <w:t xml:space="preserve">The Paperwork Reduction Act also requires federal agencies to provide the annualized administrative costs incurred by the Federal government to collect information. These costs include personnel work hours, operational expenses (such as equipment, overhead, printing, and support staff), and any other expense that would not have been incurred without this collection of information. </w:t>
      </w:r>
    </w:p>
    <w:p w:rsidR="00361105" w:rsidRPr="00361105" w:rsidRDefault="00361105" w:rsidP="00361105">
      <w:pPr>
        <w:spacing w:after="0" w:line="240" w:lineRule="auto"/>
        <w:rPr>
          <w:bCs/>
        </w:rPr>
      </w:pPr>
      <w:r w:rsidRPr="00361105">
        <w:rPr>
          <w:bCs/>
        </w:rPr>
        <w:t xml:space="preserve">IRS work is unique compared to other agencies in that it is driven by the tax laws passed by Congress. The IRS develops regulations that define the information collection process and creates the collection instruments (tax forms). The tax forms streamline the tax reporting requirements. </w:t>
      </w:r>
    </w:p>
    <w:p w:rsidR="00361105" w:rsidRPr="00361105" w:rsidRDefault="00361105" w:rsidP="00361105">
      <w:pPr>
        <w:spacing w:after="0" w:line="240" w:lineRule="auto"/>
        <w:rPr>
          <w:bCs/>
        </w:rPr>
      </w:pPr>
    </w:p>
    <w:p w:rsidR="00361105" w:rsidRPr="00361105" w:rsidRDefault="00361105" w:rsidP="00361105">
      <w:pPr>
        <w:spacing w:after="0" w:line="240" w:lineRule="auto"/>
      </w:pPr>
      <w:r w:rsidRPr="00361105">
        <w:rPr>
          <w:bCs/>
        </w:rPr>
        <w:t>The IRS Special Service Section in Wage and Investment Tax Forms and Publications (TF&amp;P) Division is responsible for service-wide PRA compliance. In most agencies, the PRA program is managed at a much higher level organizationally thereby providing data access and an enterprise view of efforts across the agency.  While Special Services Branch performs the same tasks, this sometimes presents special challenges when gathering cost information from all the contributing units and processing the requests for information. This coupled with the complexity of the calculation and the f</w:t>
      </w:r>
      <w:r w:rsidRPr="00361105">
        <w:t xml:space="preserve">act that data is not gathered in this manner across the Service made an accurate cost estimates difficult to develop. </w:t>
      </w:r>
    </w:p>
    <w:p w:rsidR="00361105" w:rsidRPr="00361105" w:rsidRDefault="00361105" w:rsidP="00361105">
      <w:pPr>
        <w:spacing w:after="0" w:line="240" w:lineRule="auto"/>
      </w:pPr>
    </w:p>
    <w:p w:rsidR="00361105" w:rsidRPr="00361105" w:rsidRDefault="00361105" w:rsidP="00361105">
      <w:pPr>
        <w:spacing w:after="0" w:line="240" w:lineRule="auto"/>
        <w:rPr>
          <w:b/>
        </w:rPr>
      </w:pPr>
      <w:r w:rsidRPr="00361105">
        <w:t>Until recently, the Internal Revenue Service did not provide the government cost estimates with its Information Collection Requests because the IRS had not developed a model to determine level of effort and cost. It is the intent of Internal Revenue Service (IRS) to address this situation to improve transparency and</w:t>
      </w:r>
      <w:r w:rsidRPr="00361105">
        <w:rPr>
          <w:bCs/>
        </w:rPr>
        <w:t xml:space="preserve"> be in full compliance of the Paperwork Reduction Act.</w:t>
      </w:r>
    </w:p>
    <w:p w:rsidR="00361105" w:rsidRDefault="00361105" w:rsidP="005A6ED7">
      <w:pPr>
        <w:spacing w:after="0" w:line="240" w:lineRule="auto"/>
      </w:pPr>
    </w:p>
    <w:p w:rsidR="00A543CA" w:rsidRPr="00D300AC" w:rsidRDefault="00A543CA" w:rsidP="005A6ED7">
      <w:pPr>
        <w:spacing w:after="0" w:line="240" w:lineRule="auto"/>
        <w:rPr>
          <w:b/>
          <w:i/>
          <w:sz w:val="24"/>
        </w:rPr>
      </w:pPr>
      <w:r w:rsidRPr="00D300AC">
        <w:rPr>
          <w:b/>
          <w:i/>
          <w:sz w:val="24"/>
        </w:rPr>
        <w:t>Methodology</w:t>
      </w:r>
    </w:p>
    <w:p w:rsidR="00A543CA" w:rsidRDefault="00A543CA" w:rsidP="005A6ED7">
      <w:pPr>
        <w:spacing w:after="0" w:line="240" w:lineRule="auto"/>
      </w:pPr>
      <w:r w:rsidRPr="00C569C3">
        <w:t>To devise a methodology that accurately address</w:t>
      </w:r>
      <w:r w:rsidR="002004B8">
        <w:t>es</w:t>
      </w:r>
      <w:r w:rsidRPr="00C569C3">
        <w:t xml:space="preserve"> the requirements of the PRA, </w:t>
      </w:r>
      <w:r w:rsidR="002004B8">
        <w:t xml:space="preserve">the </w:t>
      </w:r>
      <w:r w:rsidRPr="00C569C3">
        <w:t xml:space="preserve">technical </w:t>
      </w:r>
      <w:r w:rsidR="00361105">
        <w:t xml:space="preserve">staff from </w:t>
      </w:r>
      <w:r w:rsidRPr="00C569C3">
        <w:t>Tax Forms and Publication</w:t>
      </w:r>
      <w:r w:rsidR="002004B8">
        <w:t>s</w:t>
      </w:r>
      <w:r w:rsidRPr="00C569C3">
        <w:t xml:space="preserve"> responsible for the PRA collaborated with the IRS’s Central Finance Office (CFO) and RAAS to develop a sound methodology as outlined below.</w:t>
      </w:r>
      <w:r w:rsidR="00361105">
        <w:t xml:space="preserve"> </w:t>
      </w:r>
      <w:r>
        <w:t>Government costs were se</w:t>
      </w:r>
      <w:r w:rsidR="00A641D6">
        <w:t>parated into three cost areas: F</w:t>
      </w:r>
      <w:r>
        <w:t xml:space="preserve">orm development, printing and distribution for forms and downstream impacts associated with form development. </w:t>
      </w:r>
    </w:p>
    <w:p w:rsidR="002E196D" w:rsidRDefault="002E196D" w:rsidP="005A6ED7">
      <w:pPr>
        <w:spacing w:after="0" w:line="240" w:lineRule="auto"/>
      </w:pPr>
    </w:p>
    <w:p w:rsidR="00A543CA" w:rsidRDefault="00A543CA" w:rsidP="005A6ED7">
      <w:pPr>
        <w:spacing w:after="0" w:line="240" w:lineRule="auto"/>
      </w:pPr>
      <w:r>
        <w:t xml:space="preserve">For Form Development, </w:t>
      </w:r>
      <w:r w:rsidR="000A1952">
        <w:t>the key variables are the</w:t>
      </w:r>
      <w:r>
        <w:t xml:space="preserve"> job series of the staff performing</w:t>
      </w:r>
      <w:r w:rsidR="000A1952">
        <w:t xml:space="preserve"> the work</w:t>
      </w:r>
      <w:r>
        <w:t>, the percentage of time the task was completed</w:t>
      </w:r>
      <w:r w:rsidR="000A1952">
        <w:t>,</w:t>
      </w:r>
      <w:r>
        <w:t xml:space="preserve"> and the source of cost data.</w:t>
      </w:r>
      <w:r w:rsidR="002004B8">
        <w:t xml:space="preserve"> </w:t>
      </w:r>
      <w:r>
        <w:t>This method was repeated for printing and distribution costs and in addition we identified the costs for printing and distribution for each form</w:t>
      </w:r>
    </w:p>
    <w:p w:rsidR="002E196D" w:rsidRDefault="002E196D" w:rsidP="005A6ED7">
      <w:pPr>
        <w:spacing w:after="0" w:line="240" w:lineRule="auto"/>
      </w:pPr>
    </w:p>
    <w:p w:rsidR="00A543CA" w:rsidRDefault="00A543CA" w:rsidP="005A6ED7">
      <w:pPr>
        <w:spacing w:after="0" w:line="240" w:lineRule="auto"/>
      </w:pPr>
      <w:r>
        <w:t>Downstream costs were identified as aggregated costs of all support functions as allocated to each function performing tasks in form development and printing and distribution.</w:t>
      </w:r>
    </w:p>
    <w:p w:rsidR="002E196D" w:rsidRDefault="002E196D" w:rsidP="005A6ED7">
      <w:pPr>
        <w:spacing w:after="0" w:line="240" w:lineRule="auto"/>
      </w:pPr>
    </w:p>
    <w:tbl>
      <w:tblPr>
        <w:tblW w:w="9870" w:type="dxa"/>
        <w:jc w:val="center"/>
        <w:tblCellMar>
          <w:left w:w="0" w:type="dxa"/>
          <w:right w:w="0" w:type="dxa"/>
        </w:tblCellMar>
        <w:tblLook w:val="0420" w:firstRow="1" w:lastRow="0" w:firstColumn="0" w:lastColumn="0" w:noHBand="0" w:noVBand="1"/>
      </w:tblPr>
      <w:tblGrid>
        <w:gridCol w:w="3074"/>
        <w:gridCol w:w="3833"/>
        <w:gridCol w:w="2963"/>
      </w:tblGrid>
      <w:tr w:rsidR="00A543CA" w:rsidRPr="00DE61AE" w:rsidTr="00A543CA">
        <w:trPr>
          <w:jc w:val="center"/>
        </w:trPr>
        <w:tc>
          <w:tcPr>
            <w:tcW w:w="3074"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Category</w:t>
            </w:r>
          </w:p>
        </w:tc>
        <w:tc>
          <w:tcPr>
            <w:tcW w:w="3833"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Functions</w:t>
            </w:r>
          </w:p>
        </w:tc>
        <w:tc>
          <w:tcPr>
            <w:tcW w:w="2963"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*Source</w:t>
            </w:r>
          </w:p>
        </w:tc>
      </w:tr>
      <w:tr w:rsidR="00A543CA" w:rsidRPr="00DE61AE" w:rsidTr="00A543CA">
        <w:trPr>
          <w:trHeight w:val="654"/>
          <w:jc w:val="center"/>
        </w:trPr>
        <w:tc>
          <w:tcPr>
            <w:tcW w:w="3074"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Form Development</w:t>
            </w:r>
          </w:p>
        </w:tc>
        <w:tc>
          <w:tcPr>
            <w:tcW w:w="3833"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TFP</w:t>
            </w:r>
            <w:r w:rsidRPr="00DE61AE">
              <w:rPr>
                <w:rFonts w:cs="Arial"/>
              </w:rPr>
              <w:t>: Tax Law Specialists, Reviewers, Technical Leads, Management</w:t>
            </w:r>
          </w:p>
          <w:p w:rsidR="00A543CA" w:rsidRPr="00DE61AE" w:rsidRDefault="00A543CA" w:rsidP="005A6ED7">
            <w:pPr>
              <w:spacing w:after="0" w:line="240" w:lineRule="auto"/>
              <w:rPr>
                <w:rFonts w:cs="Arial"/>
              </w:rPr>
            </w:pPr>
            <w:r w:rsidRPr="00DE61AE">
              <w:rPr>
                <w:rFonts w:cs="Arial"/>
                <w:b/>
                <w:bCs/>
              </w:rPr>
              <w:t>Publishing</w:t>
            </w:r>
            <w:r w:rsidRPr="00DE61AE">
              <w:rPr>
                <w:rFonts w:cs="Arial"/>
              </w:rPr>
              <w:t>: Composition Specialist, Webmasters, Management</w:t>
            </w:r>
          </w:p>
          <w:p w:rsidR="00A543CA" w:rsidRPr="00DE61AE" w:rsidRDefault="00A543CA" w:rsidP="005A6ED7">
            <w:pPr>
              <w:spacing w:after="0" w:line="240" w:lineRule="auto"/>
              <w:rPr>
                <w:rFonts w:cs="Arial"/>
              </w:rPr>
            </w:pPr>
            <w:r w:rsidRPr="00DE61AE">
              <w:rPr>
                <w:rFonts w:cs="Arial"/>
                <w:b/>
                <w:bCs/>
              </w:rPr>
              <w:t>Chief Counsel</w:t>
            </w:r>
            <w:r w:rsidRPr="00DE61AE">
              <w:rPr>
                <w:rFonts w:cs="Arial"/>
              </w:rPr>
              <w:t>: Attorneys (10%)</w:t>
            </w:r>
          </w:p>
        </w:tc>
        <w:tc>
          <w:tcPr>
            <w:tcW w:w="2963"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tc>
      </w:tr>
      <w:tr w:rsidR="00A543CA" w:rsidRPr="00DE61AE" w:rsidTr="00A543CA">
        <w:trPr>
          <w:trHeight w:val="654"/>
          <w:jc w:val="center"/>
        </w:trPr>
        <w:tc>
          <w:tcPr>
            <w:tcW w:w="3074"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Printing and Distribution</w:t>
            </w:r>
          </w:p>
        </w:tc>
        <w:tc>
          <w:tcPr>
            <w:tcW w:w="3833"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Distribution</w:t>
            </w:r>
            <w:r w:rsidRPr="00DE61AE">
              <w:rPr>
                <w:rFonts w:cs="Arial"/>
              </w:rPr>
              <w:t>: NDC Staff and HQ forecasting analysts</w:t>
            </w:r>
          </w:p>
          <w:p w:rsidR="00A543CA" w:rsidRPr="00DE61AE" w:rsidRDefault="00A543CA" w:rsidP="005A6ED7">
            <w:pPr>
              <w:spacing w:after="0" w:line="240" w:lineRule="auto"/>
              <w:rPr>
                <w:rFonts w:cs="Arial"/>
              </w:rPr>
            </w:pPr>
            <w:r w:rsidRPr="00DE61AE">
              <w:rPr>
                <w:rFonts w:cs="Arial"/>
                <w:b/>
                <w:bCs/>
              </w:rPr>
              <w:t>Publishing</w:t>
            </w:r>
            <w:r w:rsidRPr="00DE61AE">
              <w:rPr>
                <w:rFonts w:cs="Arial"/>
              </w:rPr>
              <w:t>: Contract information</w:t>
            </w:r>
          </w:p>
        </w:tc>
        <w:tc>
          <w:tcPr>
            <w:tcW w:w="2963"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p w:rsidR="00A543CA" w:rsidRPr="00DE61AE" w:rsidRDefault="00A543CA" w:rsidP="005A6ED7">
            <w:pPr>
              <w:spacing w:after="0" w:line="240" w:lineRule="auto"/>
              <w:rPr>
                <w:rFonts w:cs="Arial"/>
              </w:rPr>
            </w:pPr>
            <w:r w:rsidRPr="00DE61AE">
              <w:rPr>
                <w:rFonts w:cs="Arial"/>
              </w:rPr>
              <w:t>Printing and Distribution</w:t>
            </w:r>
          </w:p>
        </w:tc>
      </w:tr>
      <w:tr w:rsidR="00A543CA" w:rsidRPr="00DE61AE" w:rsidTr="00A543CA">
        <w:trPr>
          <w:trHeight w:val="841"/>
          <w:jc w:val="center"/>
        </w:trPr>
        <w:tc>
          <w:tcPr>
            <w:tcW w:w="3074"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Downstream Impacts</w:t>
            </w:r>
          </w:p>
        </w:tc>
        <w:tc>
          <w:tcPr>
            <w:tcW w:w="3833"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b/>
                <w:bCs/>
              </w:rPr>
              <w:t>Aggregated costs of all support functions as allocated to functions above</w:t>
            </w:r>
          </w:p>
        </w:tc>
        <w:tc>
          <w:tcPr>
            <w:tcW w:w="2963"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A543CA" w:rsidRPr="00DE61AE" w:rsidRDefault="00A543CA" w:rsidP="005A6ED7">
            <w:pPr>
              <w:spacing w:after="0" w:line="240" w:lineRule="auto"/>
              <w:rPr>
                <w:rFonts w:cs="Arial"/>
              </w:rPr>
            </w:pPr>
            <w:r w:rsidRPr="00DE61AE">
              <w:rPr>
                <w:rFonts w:cs="Arial"/>
              </w:rPr>
              <w:t>Data from CFO, IFS</w:t>
            </w:r>
          </w:p>
        </w:tc>
      </w:tr>
      <w:tr w:rsidR="00A543CA" w:rsidRPr="00DE61AE" w:rsidTr="00A543CA">
        <w:trPr>
          <w:trHeight w:val="358"/>
          <w:jc w:val="center"/>
        </w:trPr>
        <w:tc>
          <w:tcPr>
            <w:tcW w:w="9870" w:type="dxa"/>
            <w:gridSpan w:val="3"/>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A543CA" w:rsidRPr="00DE61AE" w:rsidRDefault="00A543CA" w:rsidP="005A6ED7">
            <w:pPr>
              <w:spacing w:after="0" w:line="240" w:lineRule="auto"/>
              <w:jc w:val="center"/>
              <w:rPr>
                <w:rFonts w:cs="Arial"/>
                <w:b/>
                <w:bCs/>
              </w:rPr>
            </w:pPr>
            <w:r w:rsidRPr="00DE61AE">
              <w:rPr>
                <w:rFonts w:cs="Arial"/>
                <w:b/>
                <w:bCs/>
              </w:rPr>
              <w:t>Total Government Cost Estimate</w:t>
            </w:r>
          </w:p>
          <w:p w:rsidR="00A543CA" w:rsidRPr="00DE61AE" w:rsidRDefault="00A543CA" w:rsidP="005A6ED7">
            <w:pPr>
              <w:spacing w:after="0" w:line="240" w:lineRule="auto"/>
              <w:jc w:val="center"/>
              <w:rPr>
                <w:rFonts w:cs="Arial"/>
              </w:rPr>
            </w:pPr>
            <w:r w:rsidRPr="00DE61AE">
              <w:rPr>
                <w:rFonts w:cs="Arial"/>
                <w:b/>
                <w:bCs/>
              </w:rPr>
              <w:t>** CFO will provide aggregate data for developing products beginning to end to be used in our weighted model</w:t>
            </w:r>
          </w:p>
        </w:tc>
      </w:tr>
    </w:tbl>
    <w:p w:rsidR="00A641D6" w:rsidRDefault="00A641D6" w:rsidP="005A6ED7">
      <w:pPr>
        <w:spacing w:after="0" w:line="240" w:lineRule="auto"/>
      </w:pPr>
    </w:p>
    <w:p w:rsidR="00A543CA" w:rsidRDefault="00A543CA" w:rsidP="005A6ED7">
      <w:pPr>
        <w:spacing w:after="0" w:line="240" w:lineRule="auto"/>
      </w:pPr>
      <w:r>
        <w:t>Once costs areas</w:t>
      </w:r>
      <w:r w:rsidR="000A1952">
        <w:t xml:space="preserve"> were identified</w:t>
      </w:r>
      <w:r>
        <w:t xml:space="preserve">, a weighted factor </w:t>
      </w:r>
      <w:r w:rsidR="000A1952">
        <w:t xml:space="preserve">was created </w:t>
      </w:r>
      <w:r>
        <w:t>to determine a per</w:t>
      </w:r>
      <w:r w:rsidR="000A1952">
        <w:t>-</w:t>
      </w:r>
      <w:r>
        <w:t>product</w:t>
      </w:r>
      <w:r w:rsidR="000A1952">
        <w:t xml:space="preserve"> cost</w:t>
      </w:r>
      <w:r>
        <w:t>. Each product was assigned a weighted number</w:t>
      </w:r>
      <w:r w:rsidR="000A1952">
        <w:t>.</w:t>
      </w:r>
      <w:r>
        <w:t xml:space="preserve"> </w:t>
      </w:r>
      <w:r w:rsidR="000A1952">
        <w:t>A</w:t>
      </w:r>
      <w:r>
        <w:t>ll aggregated costs for allocable costs for form development and downstream impacts are applied to each product in the ratio of the products weighted number to the total of all products’ weighted</w:t>
      </w:r>
      <w:r w:rsidR="000A1952">
        <w:t xml:space="preserve"> number. </w:t>
      </w:r>
      <w:r>
        <w:t xml:space="preserve">The </w:t>
      </w:r>
      <w:r w:rsidR="000A1952">
        <w:t>result</w:t>
      </w:r>
      <w:r>
        <w:t xml:space="preserve">s were modified to take into account the amount of work required </w:t>
      </w:r>
      <w:r w:rsidR="000A1952">
        <w:t>based on whether the document is</w:t>
      </w:r>
      <w:r>
        <w:t xml:space="preserve"> a publication</w:t>
      </w:r>
      <w:r w:rsidR="000A1952">
        <w:t xml:space="preserve">, </w:t>
      </w:r>
      <w:r>
        <w:t>form instructions</w:t>
      </w:r>
      <w:r w:rsidR="000A1952">
        <w:t>, a tax</w:t>
      </w:r>
      <w:r>
        <w:t xml:space="preserve"> form, etc.</w:t>
      </w:r>
    </w:p>
    <w:p w:rsidR="00A543CA" w:rsidRDefault="00A543CA" w:rsidP="005A6ED7">
      <w:pPr>
        <w:spacing w:after="0" w:line="240" w:lineRule="auto"/>
      </w:pPr>
      <w:r>
        <w:t>The weighted number for a product is determined as follows:</w:t>
      </w:r>
    </w:p>
    <w:p w:rsidR="00A641D6" w:rsidRDefault="00A641D6" w:rsidP="005A6ED7">
      <w:pPr>
        <w:spacing w:after="0" w:line="240" w:lineRule="auto"/>
      </w:pPr>
    </w:p>
    <w:p w:rsidR="00A543CA" w:rsidRDefault="002004B8" w:rsidP="005A6ED7">
      <w:pPr>
        <w:pStyle w:val="ListParagraph"/>
        <w:numPr>
          <w:ilvl w:val="0"/>
          <w:numId w:val="37"/>
        </w:numPr>
      </w:pPr>
      <w:r>
        <w:t>N</w:t>
      </w:r>
      <w:r w:rsidR="00A543CA">
        <w:t>umber of pages in the product multiplied by adjustment factors below.</w:t>
      </w:r>
    </w:p>
    <w:p w:rsidR="00A543CA" w:rsidRDefault="00A543CA" w:rsidP="005A6ED7">
      <w:pPr>
        <w:pStyle w:val="ListParagraph"/>
        <w:numPr>
          <w:ilvl w:val="0"/>
          <w:numId w:val="37"/>
        </w:numPr>
      </w:pPr>
      <w:r>
        <w:t>Forms’ page count is deemed to be 50 because of the WRNs and other work involved per page of a form; Instructions’ page counts are multiplied by 2; Publications and other products are not adjusted (multiplied by 1).</w:t>
      </w:r>
    </w:p>
    <w:p w:rsidR="00A543CA" w:rsidRDefault="00A543CA" w:rsidP="005A6ED7">
      <w:pPr>
        <w:pStyle w:val="ListParagraph"/>
        <w:numPr>
          <w:ilvl w:val="0"/>
          <w:numId w:val="37"/>
        </w:numPr>
      </w:pPr>
      <w:r>
        <w:t>Annual and quarterly products are multiplied by 3; Continuous use products are multiplied by 1 since they aren’t revised as often.</w:t>
      </w:r>
    </w:p>
    <w:p w:rsidR="00A543CA" w:rsidRDefault="00A543CA" w:rsidP="005A6ED7">
      <w:pPr>
        <w:pStyle w:val="ListParagraph"/>
        <w:numPr>
          <w:ilvl w:val="0"/>
          <w:numId w:val="37"/>
        </w:numPr>
      </w:pPr>
      <w:r>
        <w:t>Products with TFP Signoff level that is at the branch level are multiplied by 1.3; those less complicated products for which the reviewer has the final signoff are multiplied by 1. Those reviewed at the Branch level are more complicated thus requiring the extra review.</w:t>
      </w:r>
    </w:p>
    <w:p w:rsidR="00A543CA" w:rsidRDefault="00A543CA" w:rsidP="005A6ED7">
      <w:pPr>
        <w:pStyle w:val="ListParagraph"/>
        <w:numPr>
          <w:ilvl w:val="0"/>
          <w:numId w:val="37"/>
        </w:numPr>
      </w:pPr>
      <w:r>
        <w:t>Critical products, CIFS and CTB, are multiplied by 1.3 (all others multiplied by 1) due to the extra management and other work required.</w:t>
      </w:r>
    </w:p>
    <w:p w:rsidR="00A543CA" w:rsidRDefault="00A543CA" w:rsidP="005A6ED7">
      <w:pPr>
        <w:pStyle w:val="ListParagraph"/>
        <w:numPr>
          <w:ilvl w:val="0"/>
          <w:numId w:val="37"/>
        </w:numPr>
      </w:pPr>
      <w:r>
        <w:t>Form 1040 and Instructions weights are doubled due to the extra work involved.</w:t>
      </w:r>
    </w:p>
    <w:p w:rsidR="00A543CA" w:rsidRDefault="00A543CA" w:rsidP="005A6ED7">
      <w:pPr>
        <w:pStyle w:val="ListParagraph"/>
      </w:pPr>
    </w:p>
    <w:p w:rsidR="000F09D3" w:rsidRDefault="000A1952" w:rsidP="005A6ED7">
      <w:pPr>
        <w:spacing w:after="0" w:line="240" w:lineRule="auto"/>
      </w:pPr>
      <w:r>
        <w:t xml:space="preserve">Note: </w:t>
      </w:r>
      <w:r w:rsidR="002004B8">
        <w:t>The</w:t>
      </w:r>
      <w:r w:rsidR="00A543CA">
        <w:t xml:space="preserve"> relative weighted factors for each product </w:t>
      </w:r>
      <w:r w:rsidR="002004B8">
        <w:t xml:space="preserve">were developed </w:t>
      </w:r>
      <w:r w:rsidR="00A543CA">
        <w:t xml:space="preserve">based on the metadata </w:t>
      </w:r>
      <w:r w:rsidR="002004B8">
        <w:t>available</w:t>
      </w:r>
      <w:r w:rsidR="00A543CA">
        <w:t xml:space="preserve"> for each product and historical knowledge of the impact on workload of each piece of metadata as described above using over 20 years of subject matter expertise.</w:t>
      </w:r>
    </w:p>
    <w:p w:rsidR="00DB6FA2" w:rsidRDefault="00DB6FA2" w:rsidP="00DB6FA2">
      <w:pPr>
        <w:pStyle w:val="ListParagraph"/>
        <w:ind w:left="360"/>
        <w:rPr>
          <w:rFonts w:asciiTheme="minorHAnsi" w:hAnsiTheme="minorHAnsi"/>
          <w:b/>
        </w:rPr>
      </w:pPr>
    </w:p>
    <w:p w:rsidR="00BC32A1" w:rsidRPr="00BD0B86" w:rsidRDefault="00C50840" w:rsidP="005A6ED7">
      <w:pPr>
        <w:pStyle w:val="ListParagraph"/>
        <w:numPr>
          <w:ilvl w:val="0"/>
          <w:numId w:val="19"/>
        </w:numPr>
        <w:ind w:left="360" w:hanging="360"/>
        <w:rPr>
          <w:rFonts w:asciiTheme="minorHAnsi" w:hAnsiTheme="minorHAnsi"/>
          <w:b/>
        </w:rPr>
      </w:pPr>
      <w:r>
        <w:rPr>
          <w:rFonts w:asciiTheme="minorHAnsi" w:hAnsiTheme="minorHAnsi"/>
          <w:b/>
        </w:rPr>
        <w:t xml:space="preserve">Burden Estimate </w:t>
      </w:r>
      <w:r w:rsidR="00BC32A1" w:rsidRPr="00BD0B86">
        <w:rPr>
          <w:rFonts w:asciiTheme="minorHAnsi" w:hAnsiTheme="minorHAnsi"/>
          <w:b/>
        </w:rPr>
        <w:t>Transition</w:t>
      </w:r>
      <w:r>
        <w:rPr>
          <w:rFonts w:asciiTheme="minorHAnsi" w:hAnsiTheme="minorHAnsi"/>
          <w:b/>
        </w:rPr>
        <w:t xml:space="preserve"> </w:t>
      </w:r>
      <w:r w:rsidR="00BC32A1" w:rsidRPr="00BD0B86">
        <w:rPr>
          <w:rFonts w:asciiTheme="minorHAnsi" w:hAnsiTheme="minorHAnsi"/>
          <w:b/>
        </w:rPr>
        <w:t xml:space="preserve"> </w:t>
      </w:r>
    </w:p>
    <w:p w:rsidR="00424DF0" w:rsidRDefault="007B1A8E" w:rsidP="005A6ED7">
      <w:pPr>
        <w:pStyle w:val="ListParagraph"/>
        <w:ind w:left="0"/>
        <w:rPr>
          <w:rFonts w:asciiTheme="minorHAnsi" w:hAnsiTheme="minorHAnsi"/>
        </w:rPr>
      </w:pPr>
      <w:r>
        <w:rPr>
          <w:rFonts w:asciiTheme="minorHAnsi" w:hAnsiTheme="minorHAnsi"/>
        </w:rPr>
        <w:t xml:space="preserve">At the request of the OMB Office of Information and Regulatory Affairs, W&amp;I’s Tax Forms and Publications team and RAAS </w:t>
      </w:r>
      <w:r w:rsidR="00424DF0">
        <w:rPr>
          <w:rFonts w:asciiTheme="minorHAnsi" w:hAnsiTheme="minorHAnsi"/>
        </w:rPr>
        <w:t>has implemented</w:t>
      </w:r>
      <w:r>
        <w:rPr>
          <w:rFonts w:asciiTheme="minorHAnsi" w:hAnsiTheme="minorHAnsi"/>
        </w:rPr>
        <w:t xml:space="preserve"> a </w:t>
      </w:r>
      <w:r w:rsidR="00E36C1D">
        <w:rPr>
          <w:rFonts w:asciiTheme="minorHAnsi" w:hAnsiTheme="minorHAnsi"/>
        </w:rPr>
        <w:t xml:space="preserve">five-year </w:t>
      </w:r>
      <w:r>
        <w:rPr>
          <w:rFonts w:asciiTheme="minorHAnsi" w:hAnsiTheme="minorHAnsi"/>
        </w:rPr>
        <w:t xml:space="preserve">plan to transition the tax compliance burden estimation method for all tax forms and regulations to the preferred RAAS method. </w:t>
      </w:r>
      <w:r w:rsidR="001622F7">
        <w:rPr>
          <w:rFonts w:asciiTheme="minorHAnsi" w:hAnsiTheme="minorHAnsi"/>
        </w:rPr>
        <w:t>Doing so will allow IRS to consolidate</w:t>
      </w:r>
      <w:r w:rsidR="00B426BB">
        <w:rPr>
          <w:rFonts w:asciiTheme="minorHAnsi" w:hAnsiTheme="minorHAnsi"/>
        </w:rPr>
        <w:t xml:space="preserve"> </w:t>
      </w:r>
      <w:r w:rsidR="006701AB">
        <w:rPr>
          <w:rFonts w:asciiTheme="minorHAnsi" w:hAnsiTheme="minorHAnsi"/>
        </w:rPr>
        <w:t xml:space="preserve">707 </w:t>
      </w:r>
      <w:r w:rsidR="00B426BB">
        <w:rPr>
          <w:rFonts w:asciiTheme="minorHAnsi" w:hAnsiTheme="minorHAnsi"/>
        </w:rPr>
        <w:t xml:space="preserve">OMB control numbers into </w:t>
      </w:r>
      <w:r w:rsidR="00E36C1D">
        <w:rPr>
          <w:rFonts w:asciiTheme="minorHAnsi" w:hAnsiTheme="minorHAnsi"/>
        </w:rPr>
        <w:t xml:space="preserve">as few as </w:t>
      </w:r>
      <w:r w:rsidR="00122989">
        <w:rPr>
          <w:rFonts w:asciiTheme="minorHAnsi" w:hAnsiTheme="minorHAnsi"/>
        </w:rPr>
        <w:t>nine</w:t>
      </w:r>
      <w:r w:rsidR="00DA2E51">
        <w:rPr>
          <w:rFonts w:asciiTheme="minorHAnsi" w:hAnsiTheme="minorHAnsi"/>
        </w:rPr>
        <w:t xml:space="preserve"> </w:t>
      </w:r>
      <w:r w:rsidR="00B426BB">
        <w:rPr>
          <w:rFonts w:asciiTheme="minorHAnsi" w:hAnsiTheme="minorHAnsi"/>
        </w:rPr>
        <w:t>taxpayer-centric segments, including the individual taxpayer and business entity taxpayer segm</w:t>
      </w:r>
      <w:r w:rsidR="00BC3D9D">
        <w:rPr>
          <w:rFonts w:asciiTheme="minorHAnsi" w:hAnsiTheme="minorHAnsi"/>
        </w:rPr>
        <w:t>ents that have already been transitioned</w:t>
      </w:r>
      <w:r w:rsidR="00DA2E51">
        <w:rPr>
          <w:rFonts w:asciiTheme="minorHAnsi" w:hAnsiTheme="minorHAnsi"/>
        </w:rPr>
        <w:t xml:space="preserve">. </w:t>
      </w:r>
      <w:r w:rsidR="006134E4">
        <w:rPr>
          <w:rFonts w:asciiTheme="minorHAnsi" w:hAnsiTheme="minorHAnsi"/>
        </w:rPr>
        <w:t xml:space="preserve">One additional control number </w:t>
      </w:r>
      <w:r w:rsidR="00BC3D9D">
        <w:rPr>
          <w:rFonts w:asciiTheme="minorHAnsi" w:hAnsiTheme="minorHAnsi"/>
        </w:rPr>
        <w:t>may be</w:t>
      </w:r>
      <w:r w:rsidR="00AE5B00">
        <w:rPr>
          <w:rFonts w:asciiTheme="minorHAnsi" w:hAnsiTheme="minorHAnsi"/>
        </w:rPr>
        <w:t xml:space="preserve"> needed for</w:t>
      </w:r>
      <w:r w:rsidR="00BC3D9D">
        <w:rPr>
          <w:rFonts w:asciiTheme="minorHAnsi" w:hAnsiTheme="minorHAnsi"/>
        </w:rPr>
        <w:t xml:space="preserve"> </w:t>
      </w:r>
      <w:r w:rsidR="006134E4">
        <w:rPr>
          <w:rFonts w:asciiTheme="minorHAnsi" w:hAnsiTheme="minorHAnsi"/>
        </w:rPr>
        <w:t>information collections that don’t fit elsewhere.</w:t>
      </w:r>
    </w:p>
    <w:p w:rsidR="00BC3D9D" w:rsidRDefault="00BC3D9D" w:rsidP="005A6ED7">
      <w:pPr>
        <w:pStyle w:val="ListParagraph"/>
        <w:ind w:left="0"/>
        <w:rPr>
          <w:rFonts w:asciiTheme="minorHAnsi" w:hAnsiTheme="minorHAnsi"/>
        </w:rPr>
      </w:pPr>
    </w:p>
    <w:p w:rsidR="00D33DC8" w:rsidRDefault="006134E4" w:rsidP="005A6ED7">
      <w:pPr>
        <w:pStyle w:val="ListParagraph"/>
        <w:ind w:left="0"/>
        <w:rPr>
          <w:rFonts w:asciiTheme="minorHAnsi" w:hAnsiTheme="minorHAnsi"/>
        </w:rPr>
      </w:pPr>
      <w:r>
        <w:rPr>
          <w:rFonts w:asciiTheme="minorHAnsi" w:hAnsiTheme="minorHAnsi"/>
        </w:rPr>
        <w:t>Forms that are</w:t>
      </w:r>
      <w:r w:rsidR="00DA2E51">
        <w:rPr>
          <w:rFonts w:asciiTheme="minorHAnsi" w:hAnsiTheme="minorHAnsi"/>
        </w:rPr>
        <w:t xml:space="preserve"> used solely by one type of taxpayer</w:t>
      </w:r>
      <w:r>
        <w:rPr>
          <w:rFonts w:asciiTheme="minorHAnsi" w:hAnsiTheme="minorHAnsi"/>
        </w:rPr>
        <w:t xml:space="preserve"> (e.g</w:t>
      </w:r>
      <w:r w:rsidR="00DA2E51">
        <w:rPr>
          <w:rFonts w:asciiTheme="minorHAnsi" w:hAnsiTheme="minorHAnsi"/>
        </w:rPr>
        <w:t>.</w:t>
      </w:r>
      <w:r>
        <w:rPr>
          <w:rFonts w:asciiTheme="minorHAnsi" w:hAnsiTheme="minorHAnsi"/>
        </w:rPr>
        <w:t xml:space="preserve">, </w:t>
      </w:r>
      <w:r w:rsidR="00D90E46">
        <w:rPr>
          <w:rFonts w:asciiTheme="minorHAnsi" w:hAnsiTheme="minorHAnsi"/>
        </w:rPr>
        <w:t xml:space="preserve">Form 1040 </w:t>
      </w:r>
      <w:r>
        <w:rPr>
          <w:rFonts w:asciiTheme="minorHAnsi" w:hAnsiTheme="minorHAnsi"/>
        </w:rPr>
        <w:t xml:space="preserve">is filed only by individual taxpayers) will be included in the OMB data collection for that segment. Forms that are used by more than one type of taxpayer will be consolidated into the OMB number of the segment whose taxpayers incur most of the annual compliance burden. The same process will be used to consolidate the related regulations. </w:t>
      </w:r>
    </w:p>
    <w:p w:rsidR="00D33DC8" w:rsidRDefault="00D33DC8" w:rsidP="005A6ED7">
      <w:pPr>
        <w:pStyle w:val="ListParagraph"/>
        <w:ind w:left="270"/>
        <w:rPr>
          <w:rFonts w:asciiTheme="minorHAnsi" w:hAnsiTheme="minorHAnsi"/>
        </w:rPr>
      </w:pPr>
    </w:p>
    <w:p w:rsidR="00DA2E51" w:rsidRDefault="006520F3" w:rsidP="005A6ED7">
      <w:pPr>
        <w:pStyle w:val="ListParagraph"/>
        <w:ind w:left="0"/>
        <w:rPr>
          <w:rFonts w:asciiTheme="minorHAnsi" w:hAnsiTheme="minorHAnsi"/>
        </w:rPr>
      </w:pPr>
      <w:r w:rsidRPr="00A641D6">
        <w:rPr>
          <w:rFonts w:asciiTheme="minorHAnsi" w:hAnsiTheme="minorHAnsi"/>
          <w:b/>
          <w:i/>
        </w:rPr>
        <w:t>Important</w:t>
      </w:r>
      <w:r w:rsidRPr="006520F3">
        <w:rPr>
          <w:rFonts w:asciiTheme="minorHAnsi" w:hAnsiTheme="minorHAnsi"/>
          <w:i/>
        </w:rPr>
        <w:t>:</w:t>
      </w:r>
      <w:r>
        <w:rPr>
          <w:rFonts w:asciiTheme="minorHAnsi" w:hAnsiTheme="minorHAnsi"/>
        </w:rPr>
        <w:t xml:space="preserve"> </w:t>
      </w:r>
      <w:r w:rsidR="0048234B">
        <w:rPr>
          <w:rFonts w:asciiTheme="minorHAnsi" w:hAnsiTheme="minorHAnsi"/>
        </w:rPr>
        <w:t>Because t</w:t>
      </w:r>
      <w:r w:rsidR="00D33DC8">
        <w:rPr>
          <w:rFonts w:asciiTheme="minorHAnsi" w:hAnsiTheme="minorHAnsi"/>
        </w:rPr>
        <w:t>he RAAS burden method takes into account the</w:t>
      </w:r>
      <w:r w:rsidR="00E02A91">
        <w:rPr>
          <w:rFonts w:asciiTheme="minorHAnsi" w:hAnsiTheme="minorHAnsi"/>
        </w:rPr>
        <w:t xml:space="preserve"> tax</w:t>
      </w:r>
      <w:r w:rsidR="00F65019">
        <w:rPr>
          <w:rFonts w:asciiTheme="minorHAnsi" w:hAnsiTheme="minorHAnsi"/>
        </w:rPr>
        <w:t xml:space="preserve"> compliance</w:t>
      </w:r>
      <w:r w:rsidR="00D33DC8">
        <w:rPr>
          <w:rFonts w:asciiTheme="minorHAnsi" w:hAnsiTheme="minorHAnsi"/>
        </w:rPr>
        <w:t xml:space="preserve"> </w:t>
      </w:r>
      <w:r w:rsidR="00F65019">
        <w:rPr>
          <w:rFonts w:asciiTheme="minorHAnsi" w:hAnsiTheme="minorHAnsi"/>
        </w:rPr>
        <w:t xml:space="preserve">burden incurred on the </w:t>
      </w:r>
      <w:r w:rsidR="00D33DC8">
        <w:rPr>
          <w:rFonts w:asciiTheme="minorHAnsi" w:hAnsiTheme="minorHAnsi"/>
        </w:rPr>
        <w:t>returns that are actually filed</w:t>
      </w:r>
      <w:r w:rsidR="0048234B">
        <w:rPr>
          <w:rFonts w:asciiTheme="minorHAnsi" w:hAnsiTheme="minorHAnsi"/>
        </w:rPr>
        <w:t>, it</w:t>
      </w:r>
      <w:r w:rsidR="00D33DC8">
        <w:rPr>
          <w:rFonts w:asciiTheme="minorHAnsi" w:hAnsiTheme="minorHAnsi"/>
        </w:rPr>
        <w:t xml:space="preserve"> automatically considers all of the forms </w:t>
      </w:r>
      <w:r w:rsidR="00F65019">
        <w:rPr>
          <w:rFonts w:asciiTheme="minorHAnsi" w:hAnsiTheme="minorHAnsi"/>
        </w:rPr>
        <w:t>and schedules used by a given segment</w:t>
      </w:r>
      <w:r w:rsidR="00D33DC8">
        <w:rPr>
          <w:rFonts w:asciiTheme="minorHAnsi" w:hAnsiTheme="minorHAnsi"/>
        </w:rPr>
        <w:t xml:space="preserve"> and all of the underlying regulations that apply</w:t>
      </w:r>
      <w:r w:rsidR="00A641D6">
        <w:rPr>
          <w:rFonts w:asciiTheme="minorHAnsi" w:hAnsiTheme="minorHAnsi"/>
        </w:rPr>
        <w:t xml:space="preserve">, regardless of the OMB number to which a form </w:t>
      </w:r>
      <w:r w:rsidR="00874B8D">
        <w:rPr>
          <w:rFonts w:asciiTheme="minorHAnsi" w:hAnsiTheme="minorHAnsi"/>
        </w:rPr>
        <w:t xml:space="preserve">or regulation </w:t>
      </w:r>
      <w:r w:rsidR="00A641D6">
        <w:rPr>
          <w:rFonts w:asciiTheme="minorHAnsi" w:hAnsiTheme="minorHAnsi"/>
        </w:rPr>
        <w:t>is assigned</w:t>
      </w:r>
      <w:r w:rsidR="0048234B">
        <w:rPr>
          <w:rFonts w:asciiTheme="minorHAnsi" w:hAnsiTheme="minorHAnsi"/>
        </w:rPr>
        <w:t xml:space="preserve">. </w:t>
      </w:r>
    </w:p>
    <w:p w:rsidR="00DA2E51" w:rsidRDefault="00DA2E51" w:rsidP="005A6ED7">
      <w:pPr>
        <w:pStyle w:val="ListParagraph"/>
        <w:ind w:left="0"/>
        <w:rPr>
          <w:rFonts w:asciiTheme="minorHAnsi" w:hAnsiTheme="minorHAnsi"/>
        </w:rPr>
      </w:pPr>
    </w:p>
    <w:p w:rsidR="007954F5" w:rsidRDefault="00713939" w:rsidP="005A6ED7">
      <w:pPr>
        <w:pStyle w:val="ListParagraph"/>
        <w:ind w:left="0"/>
        <w:rPr>
          <w:rFonts w:asciiTheme="minorHAnsi" w:hAnsiTheme="minorHAnsi"/>
        </w:rPr>
      </w:pPr>
      <w:r>
        <w:rPr>
          <w:rFonts w:asciiTheme="minorHAnsi" w:hAnsiTheme="minorHAnsi"/>
        </w:rPr>
        <w:t>To</w:t>
      </w:r>
      <w:r w:rsidR="007954F5">
        <w:rPr>
          <w:rFonts w:asciiTheme="minorHAnsi" w:hAnsiTheme="minorHAnsi"/>
        </w:rPr>
        <w:t xml:space="preserve"> complete </w:t>
      </w:r>
      <w:r w:rsidR="0090639F">
        <w:rPr>
          <w:rFonts w:asciiTheme="minorHAnsi" w:hAnsiTheme="minorHAnsi"/>
        </w:rPr>
        <w:t>the burden estimation transition work</w:t>
      </w:r>
      <w:r w:rsidR="007954F5">
        <w:rPr>
          <w:rFonts w:asciiTheme="minorHAnsi" w:hAnsiTheme="minorHAnsi"/>
        </w:rPr>
        <w:t>, RAAS must gather the burden data from the rele</w:t>
      </w:r>
      <w:r w:rsidR="007B320B">
        <w:rPr>
          <w:rFonts w:asciiTheme="minorHAnsi" w:hAnsiTheme="minorHAnsi"/>
        </w:rPr>
        <w:t>vant taxpayers, analyze that</w:t>
      </w:r>
      <w:r w:rsidR="007954F5">
        <w:rPr>
          <w:rFonts w:asciiTheme="minorHAnsi" w:hAnsiTheme="minorHAnsi"/>
        </w:rPr>
        <w:t xml:space="preserve"> data and the matched administrative data, and develop and test the related modeling capability. As each transition occurs, the Federal Register Notice will include information about the transition and list the forms</w:t>
      </w:r>
      <w:r w:rsidR="006B6316">
        <w:rPr>
          <w:rFonts w:asciiTheme="minorHAnsi" w:hAnsiTheme="minorHAnsi"/>
        </w:rPr>
        <w:t>, schedules,</w:t>
      </w:r>
      <w:r w:rsidR="007954F5">
        <w:rPr>
          <w:rFonts w:asciiTheme="minorHAnsi" w:hAnsiTheme="minorHAnsi"/>
        </w:rPr>
        <w:t xml:space="preserve"> and regulations that are included in the resulting consolidated segment.</w:t>
      </w:r>
    </w:p>
    <w:p w:rsidR="00C230C5" w:rsidRPr="00BD0B86" w:rsidRDefault="00C230C5" w:rsidP="005A6ED7">
      <w:pPr>
        <w:pStyle w:val="ListParagraph"/>
        <w:ind w:left="0"/>
        <w:rPr>
          <w:rFonts w:asciiTheme="minorHAnsi" w:hAnsiTheme="minorHAnsi"/>
        </w:rPr>
      </w:pPr>
    </w:p>
    <w:p w:rsidR="00BC3D9D" w:rsidRDefault="00BC3D9D" w:rsidP="00BC3D9D">
      <w:pPr>
        <w:pStyle w:val="ListParagraph"/>
        <w:ind w:left="0"/>
        <w:rPr>
          <w:rFonts w:asciiTheme="minorHAnsi" w:hAnsiTheme="minorHAnsi"/>
        </w:rPr>
      </w:pPr>
      <w:r>
        <w:rPr>
          <w:rFonts w:asciiTheme="minorHAnsi" w:hAnsiTheme="minorHAnsi"/>
        </w:rPr>
        <w:t xml:space="preserve">Table </w:t>
      </w:r>
      <w:r w:rsidR="00A8700B">
        <w:rPr>
          <w:rFonts w:asciiTheme="minorHAnsi" w:hAnsiTheme="minorHAnsi"/>
        </w:rPr>
        <w:t>5</w:t>
      </w:r>
      <w:r>
        <w:rPr>
          <w:rFonts w:asciiTheme="minorHAnsi" w:hAnsiTheme="minorHAnsi"/>
        </w:rPr>
        <w:t>: Schedule of Planned Burden Estimate Transition</w:t>
      </w:r>
    </w:p>
    <w:tbl>
      <w:tblPr>
        <w:tblStyle w:val="TableGrid0"/>
        <w:tblpPr w:leftFromText="180" w:rightFromText="180" w:vertAnchor="text" w:tblpX="108" w:tblpY="1"/>
        <w:tblOverlap w:val="never"/>
        <w:tblW w:w="0" w:type="auto"/>
        <w:tblLook w:val="04A0" w:firstRow="1" w:lastRow="0" w:firstColumn="1" w:lastColumn="0" w:noHBand="0" w:noVBand="1"/>
      </w:tblPr>
      <w:tblGrid>
        <w:gridCol w:w="3078"/>
        <w:gridCol w:w="1440"/>
        <w:gridCol w:w="1440"/>
      </w:tblGrid>
      <w:tr w:rsidR="00BC3D9D" w:rsidRPr="00547570" w:rsidTr="00BC3D9D">
        <w:tc>
          <w:tcPr>
            <w:tcW w:w="3078" w:type="dxa"/>
          </w:tcPr>
          <w:p w:rsidR="00BC3D9D" w:rsidRPr="00547570" w:rsidRDefault="00BC3D9D" w:rsidP="00BC3D9D">
            <w:pPr>
              <w:pStyle w:val="ListParagraph"/>
              <w:ind w:left="0"/>
              <w:rPr>
                <w:rFonts w:asciiTheme="minorHAnsi" w:hAnsiTheme="minorHAnsi"/>
              </w:rPr>
            </w:pP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Fiscal Year of Transition</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Consolidated OMB #</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Individual Taxpayers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2005*</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1545-0074</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Business Entities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2014*</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1545-0123</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Tax-E</w:t>
            </w:r>
            <w:r w:rsidRPr="00547570">
              <w:rPr>
                <w:rFonts w:asciiTheme="minorHAnsi" w:hAnsiTheme="minorHAnsi"/>
              </w:rPr>
              <w:t>xempt Entities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1545-0047</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Employ</w:t>
            </w:r>
            <w:r>
              <w:rPr>
                <w:rFonts w:asciiTheme="minorHAnsi" w:hAnsiTheme="minorHAnsi"/>
              </w:rPr>
              <w:t>er</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1545-0029</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Information Return Issuers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2018</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1545-0008</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Trust and Estate Income Tax</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2020</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1545-0092</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Transfer Tax</w:t>
            </w:r>
            <w:r>
              <w:rPr>
                <w:rFonts w:asciiTheme="minorHAnsi" w:hAnsiTheme="minorHAnsi"/>
              </w:rPr>
              <w:t>es (Estate and Gift)</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2021</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1545-0015</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Pension Plans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2021</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1545-0197</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sidRPr="00547570">
              <w:rPr>
                <w:rFonts w:asciiTheme="minorHAnsi" w:hAnsiTheme="minorHAnsi"/>
              </w:rPr>
              <w:t>Excise Taxes</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2022</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1545-0023</w:t>
            </w:r>
          </w:p>
        </w:tc>
      </w:tr>
      <w:tr w:rsidR="00BC3D9D" w:rsidRPr="00547570" w:rsidTr="00BC3D9D">
        <w:tc>
          <w:tcPr>
            <w:tcW w:w="3078" w:type="dxa"/>
          </w:tcPr>
          <w:p w:rsidR="00BC3D9D" w:rsidRPr="00547570" w:rsidRDefault="00BC3D9D" w:rsidP="00BC3D9D">
            <w:pPr>
              <w:pStyle w:val="ListParagraph"/>
              <w:ind w:left="0"/>
              <w:rPr>
                <w:rFonts w:asciiTheme="minorHAnsi" w:hAnsiTheme="minorHAnsi"/>
              </w:rPr>
            </w:pPr>
            <w:r>
              <w:rPr>
                <w:rFonts w:asciiTheme="minorHAnsi" w:hAnsiTheme="minorHAnsi"/>
              </w:rPr>
              <w:t>Reserved</w:t>
            </w:r>
          </w:p>
        </w:tc>
        <w:tc>
          <w:tcPr>
            <w:tcW w:w="1440" w:type="dxa"/>
          </w:tcPr>
          <w:p w:rsidR="00BC3D9D" w:rsidRPr="00547570" w:rsidRDefault="00BC3D9D" w:rsidP="00BC3D9D">
            <w:pPr>
              <w:pStyle w:val="ListParagraph"/>
              <w:ind w:left="0"/>
              <w:jc w:val="center"/>
              <w:rPr>
                <w:rFonts w:asciiTheme="minorHAnsi" w:hAnsiTheme="minorHAnsi"/>
              </w:rPr>
            </w:pPr>
            <w:r>
              <w:rPr>
                <w:rFonts w:asciiTheme="minorHAnsi" w:hAnsiTheme="minorHAnsi"/>
              </w:rPr>
              <w:t>2022</w:t>
            </w:r>
          </w:p>
        </w:tc>
        <w:tc>
          <w:tcPr>
            <w:tcW w:w="1440" w:type="dxa"/>
          </w:tcPr>
          <w:p w:rsidR="00BC3D9D" w:rsidRDefault="00BC3D9D" w:rsidP="00BC3D9D">
            <w:pPr>
              <w:pStyle w:val="ListParagraph"/>
              <w:ind w:left="0"/>
              <w:jc w:val="center"/>
              <w:rPr>
                <w:rFonts w:asciiTheme="minorHAnsi" w:hAnsiTheme="minorHAnsi"/>
              </w:rPr>
            </w:pPr>
            <w:r>
              <w:rPr>
                <w:rFonts w:asciiTheme="minorHAnsi" w:hAnsiTheme="minorHAnsi"/>
              </w:rPr>
              <w:t>TBD</w:t>
            </w:r>
          </w:p>
        </w:tc>
      </w:tr>
    </w:tbl>
    <w:p w:rsidR="00BC3D9D" w:rsidRDefault="00BC3D9D" w:rsidP="00BC3D9D">
      <w:pPr>
        <w:pStyle w:val="ListParagraph"/>
        <w:ind w:left="270"/>
        <w:rPr>
          <w:rFonts w:asciiTheme="minorHAnsi" w:hAnsiTheme="minorHAnsi"/>
        </w:rPr>
      </w:pPr>
      <w:r>
        <w:rPr>
          <w:rFonts w:asciiTheme="minorHAnsi" w:hAnsiTheme="minorHAnsi"/>
        </w:rPr>
        <w:br w:type="textWrapping" w:clear="all"/>
        <w:t>*Completed</w:t>
      </w:r>
    </w:p>
    <w:p w:rsidR="00DA0500" w:rsidRDefault="00DA0500" w:rsidP="00BC3D9D">
      <w:pPr>
        <w:pStyle w:val="ListParagraph"/>
        <w:ind w:left="0"/>
        <w:rPr>
          <w:rFonts w:asciiTheme="minorHAnsi" w:hAnsiTheme="minorHAnsi"/>
        </w:rPr>
      </w:pPr>
    </w:p>
    <w:p w:rsidR="00B75B71" w:rsidRDefault="00406F0F" w:rsidP="00BC3D9D">
      <w:pPr>
        <w:pStyle w:val="ListParagraph"/>
        <w:ind w:left="0"/>
        <w:rPr>
          <w:rFonts w:asciiTheme="minorHAnsi" w:hAnsiTheme="minorHAnsi"/>
        </w:rPr>
      </w:pPr>
      <w:r>
        <w:rPr>
          <w:rFonts w:asciiTheme="minorHAnsi" w:hAnsiTheme="minorHAnsi"/>
        </w:rPr>
        <w:t xml:space="preserve">In addition to transitioning all tax compliance estimates to the RAAS method, the IRS will begin reporting the administrative burden associated with each burden information collection. Doing so will </w:t>
      </w:r>
      <w:r w:rsidR="00310CFB">
        <w:rPr>
          <w:rFonts w:asciiTheme="minorHAnsi" w:hAnsiTheme="minorHAnsi"/>
        </w:rPr>
        <w:t>help make the total cost of tax compliance transparent to taxpayers and policy makers.</w:t>
      </w:r>
    </w:p>
    <w:p w:rsidR="00B75B71" w:rsidRDefault="00B75B71" w:rsidP="00BC3D9D">
      <w:pPr>
        <w:pStyle w:val="ListParagraph"/>
        <w:ind w:left="0"/>
        <w:rPr>
          <w:rFonts w:asciiTheme="minorHAnsi" w:hAnsiTheme="minorHAnsi"/>
        </w:rPr>
      </w:pPr>
    </w:p>
    <w:p w:rsidR="00424771" w:rsidRDefault="00BC32A1" w:rsidP="00895E87">
      <w:pPr>
        <w:pStyle w:val="ListParagraph"/>
        <w:numPr>
          <w:ilvl w:val="0"/>
          <w:numId w:val="19"/>
        </w:numPr>
        <w:ind w:left="360" w:hanging="360"/>
        <w:rPr>
          <w:rFonts w:asciiTheme="minorHAnsi" w:hAnsiTheme="minorHAnsi"/>
          <w:b/>
        </w:rPr>
      </w:pPr>
      <w:r w:rsidRPr="00BD0B86">
        <w:rPr>
          <w:rFonts w:asciiTheme="minorHAnsi" w:hAnsiTheme="minorHAnsi"/>
          <w:b/>
        </w:rPr>
        <w:t>Summary</w:t>
      </w:r>
    </w:p>
    <w:p w:rsidR="00895E87" w:rsidRDefault="00F3202B" w:rsidP="00887F7B">
      <w:pPr>
        <w:pStyle w:val="ListParagraph"/>
        <w:ind w:left="0"/>
        <w:rPr>
          <w:rFonts w:asciiTheme="minorHAnsi" w:hAnsiTheme="minorHAnsi"/>
        </w:rPr>
      </w:pPr>
      <w:r>
        <w:rPr>
          <w:rFonts w:asciiTheme="minorHAnsi" w:hAnsiTheme="minorHAnsi"/>
        </w:rPr>
        <w:t xml:space="preserve">Unlike other Federal </w:t>
      </w:r>
      <w:r w:rsidR="0096645F">
        <w:rPr>
          <w:rFonts w:asciiTheme="minorHAnsi" w:hAnsiTheme="minorHAnsi"/>
        </w:rPr>
        <w:t xml:space="preserve">information collection </w:t>
      </w:r>
      <w:r>
        <w:rPr>
          <w:rFonts w:asciiTheme="minorHAnsi" w:hAnsiTheme="minorHAnsi"/>
        </w:rPr>
        <w:t>burden, tax compliance burden is imposed by</w:t>
      </w:r>
      <w:r w:rsidR="00675319">
        <w:rPr>
          <w:rFonts w:asciiTheme="minorHAnsi" w:hAnsiTheme="minorHAnsi"/>
        </w:rPr>
        <w:t xml:space="preserve"> </w:t>
      </w:r>
      <w:r w:rsidR="00870DEA">
        <w:rPr>
          <w:rFonts w:asciiTheme="minorHAnsi" w:hAnsiTheme="minorHAnsi"/>
        </w:rPr>
        <w:t>legislation</w:t>
      </w:r>
      <w:r w:rsidR="00675319">
        <w:rPr>
          <w:rFonts w:asciiTheme="minorHAnsi" w:hAnsiTheme="minorHAnsi"/>
        </w:rPr>
        <w:t xml:space="preserve"> created </w:t>
      </w:r>
      <w:r w:rsidR="00870DEA">
        <w:rPr>
          <w:rFonts w:asciiTheme="minorHAnsi" w:hAnsiTheme="minorHAnsi"/>
        </w:rPr>
        <w:t xml:space="preserve">and passed into law </w:t>
      </w:r>
      <w:r w:rsidR="00675319">
        <w:rPr>
          <w:rFonts w:asciiTheme="minorHAnsi" w:hAnsiTheme="minorHAnsi"/>
        </w:rPr>
        <w:t>by Congress. The Internal Revenue Service is tasked with administering and enforcing th</w:t>
      </w:r>
      <w:r w:rsidR="00870DEA">
        <w:rPr>
          <w:rFonts w:asciiTheme="minorHAnsi" w:hAnsiTheme="minorHAnsi"/>
        </w:rPr>
        <w:t>ese</w:t>
      </w:r>
      <w:r w:rsidR="00675319">
        <w:rPr>
          <w:rFonts w:asciiTheme="minorHAnsi" w:hAnsiTheme="minorHAnsi"/>
        </w:rPr>
        <w:t xml:space="preserve"> law, taking tradeoffs between burden imposition and revenue protection into consideration. Although the IRS is required to estimate and report tax compliance burden, the benefits of doing so go far beyond complying with the Paperwork Reduction Act.</w:t>
      </w:r>
    </w:p>
    <w:p w:rsidR="00675319" w:rsidRDefault="00675319" w:rsidP="00887F7B">
      <w:pPr>
        <w:pStyle w:val="ListParagraph"/>
        <w:ind w:left="0"/>
        <w:rPr>
          <w:rFonts w:asciiTheme="minorHAnsi" w:hAnsiTheme="minorHAnsi"/>
        </w:rPr>
      </w:pPr>
    </w:p>
    <w:p w:rsidR="00675319" w:rsidRPr="00F3202B" w:rsidRDefault="00675319" w:rsidP="00887F7B">
      <w:pPr>
        <w:pStyle w:val="ListParagraph"/>
        <w:ind w:left="0"/>
        <w:rPr>
          <w:rFonts w:asciiTheme="minorHAnsi" w:hAnsiTheme="minorHAnsi"/>
        </w:rPr>
      </w:pPr>
      <w:r>
        <w:rPr>
          <w:rFonts w:asciiTheme="minorHAnsi" w:hAnsiTheme="minorHAnsi"/>
        </w:rPr>
        <w:t xml:space="preserve">Through </w:t>
      </w:r>
      <w:r w:rsidR="00BC37D4">
        <w:rPr>
          <w:rFonts w:asciiTheme="minorHAnsi" w:hAnsiTheme="minorHAnsi"/>
        </w:rPr>
        <w:t xml:space="preserve">tax compliance burden </w:t>
      </w:r>
      <w:r>
        <w:rPr>
          <w:rFonts w:asciiTheme="minorHAnsi" w:hAnsiTheme="minorHAnsi"/>
        </w:rPr>
        <w:t xml:space="preserve">research conducted by the IRS Research, Applied Analytics, and Statistics department, with guidance from OMB, W&amp;I’s Tax Forms &amp; Publications group, the Treasury Office of Tax Analysis, and </w:t>
      </w:r>
      <w:r w:rsidR="00C06FB0">
        <w:rPr>
          <w:rFonts w:asciiTheme="minorHAnsi" w:hAnsiTheme="minorHAnsi"/>
        </w:rPr>
        <w:t xml:space="preserve">input from </w:t>
      </w:r>
      <w:r>
        <w:rPr>
          <w:rFonts w:asciiTheme="minorHAnsi" w:hAnsiTheme="minorHAnsi"/>
        </w:rPr>
        <w:t xml:space="preserve">other internal and external stakeholders, the IRS is better able to understand the drivers of </w:t>
      </w:r>
      <w:r w:rsidR="00C06FB0">
        <w:rPr>
          <w:rFonts w:asciiTheme="minorHAnsi" w:hAnsiTheme="minorHAnsi"/>
        </w:rPr>
        <w:t xml:space="preserve">compliance </w:t>
      </w:r>
      <w:r>
        <w:rPr>
          <w:rFonts w:asciiTheme="minorHAnsi" w:hAnsiTheme="minorHAnsi"/>
        </w:rPr>
        <w:t>burden</w:t>
      </w:r>
      <w:r w:rsidR="00BD14FE">
        <w:rPr>
          <w:rFonts w:asciiTheme="minorHAnsi" w:hAnsiTheme="minorHAnsi"/>
        </w:rPr>
        <w:t xml:space="preserve"> as well as</w:t>
      </w:r>
      <w:r>
        <w:rPr>
          <w:rFonts w:asciiTheme="minorHAnsi" w:hAnsiTheme="minorHAnsi"/>
        </w:rPr>
        <w:t xml:space="preserve"> how changes in tax law and IRS administrative processes impact burden.</w:t>
      </w:r>
      <w:r w:rsidR="002B02DE">
        <w:rPr>
          <w:rFonts w:asciiTheme="minorHAnsi" w:hAnsiTheme="minorHAnsi"/>
        </w:rPr>
        <w:t xml:space="preserve"> It also allows the IRS to estimate tax compliance burden based on a taxpayer-centric view</w:t>
      </w:r>
      <w:r w:rsidR="002B2FEA">
        <w:rPr>
          <w:rFonts w:asciiTheme="minorHAnsi" w:hAnsiTheme="minorHAnsi"/>
        </w:rPr>
        <w:t xml:space="preserve"> of the time and money taxpayers spend to comply with their federal income tax filing requirements, amend a return, or resolve an issue with </w:t>
      </w:r>
      <w:r w:rsidR="00CD1963">
        <w:rPr>
          <w:rFonts w:asciiTheme="minorHAnsi" w:hAnsiTheme="minorHAnsi"/>
        </w:rPr>
        <w:t>a</w:t>
      </w:r>
      <w:r w:rsidR="002B2FEA">
        <w:rPr>
          <w:rFonts w:asciiTheme="minorHAnsi" w:hAnsiTheme="minorHAnsi"/>
        </w:rPr>
        <w:t xml:space="preserve"> return.</w:t>
      </w:r>
      <w:r w:rsidR="00635E4E">
        <w:rPr>
          <w:rFonts w:asciiTheme="minorHAnsi" w:hAnsiTheme="minorHAnsi"/>
        </w:rPr>
        <w:t xml:space="preserve"> Taxpayer burden surveys ensure that the Taxpayer Burden Model, which is used to produce the </w:t>
      </w:r>
      <w:r w:rsidR="005C7702">
        <w:rPr>
          <w:rFonts w:asciiTheme="minorHAnsi" w:hAnsiTheme="minorHAnsi"/>
        </w:rPr>
        <w:t xml:space="preserve">tax </w:t>
      </w:r>
      <w:r w:rsidR="00635E4E">
        <w:rPr>
          <w:rFonts w:asciiTheme="minorHAnsi" w:hAnsiTheme="minorHAnsi"/>
        </w:rPr>
        <w:t xml:space="preserve">compliance burden estimates, reflects the impact of changing tax law, administrative practices, technology infrastructure, and </w:t>
      </w:r>
      <w:r w:rsidR="00870DEA">
        <w:rPr>
          <w:rFonts w:asciiTheme="minorHAnsi" w:hAnsiTheme="minorHAnsi"/>
        </w:rPr>
        <w:t xml:space="preserve">choice of </w:t>
      </w:r>
      <w:r w:rsidR="00635E4E">
        <w:rPr>
          <w:rFonts w:asciiTheme="minorHAnsi" w:hAnsiTheme="minorHAnsi"/>
        </w:rPr>
        <w:t>return preparation and filing method.</w:t>
      </w:r>
    </w:p>
    <w:p w:rsidR="00406F0F" w:rsidRDefault="00406F0F" w:rsidP="00657559">
      <w:pPr>
        <w:spacing w:after="0" w:line="240" w:lineRule="auto"/>
      </w:pPr>
    </w:p>
    <w:p w:rsidR="00EB3263" w:rsidRDefault="00BF5FB1" w:rsidP="00EB3263">
      <w:pPr>
        <w:shd w:val="clear" w:color="auto" w:fill="FFFFFF"/>
        <w:spacing w:after="0" w:line="240" w:lineRule="auto"/>
      </w:pPr>
      <w:r>
        <w:t xml:space="preserve">The transition of all form burden estimation from the legacy A.D. Little method to the preferred RAAS method is an important step in improving </w:t>
      </w:r>
      <w:r w:rsidR="001D3CE4">
        <w:t>how taxpayers and the IRS understand tax compliance burden, both in terms of time and monetary costs</w:t>
      </w:r>
      <w:r>
        <w:t>.</w:t>
      </w:r>
      <w:r w:rsidR="001D3CE4">
        <w:t xml:space="preserve"> </w:t>
      </w:r>
      <w:r>
        <w:t xml:space="preserve">By also providing </w:t>
      </w:r>
      <w:r w:rsidR="001D3CE4">
        <w:t>information on related</w:t>
      </w:r>
      <w:r w:rsidR="00AD12EE">
        <w:t xml:space="preserve"> </w:t>
      </w:r>
      <w:r>
        <w:t>adm</w:t>
      </w:r>
      <w:r w:rsidR="001D3CE4">
        <w:t xml:space="preserve">inistrative burden, </w:t>
      </w:r>
      <w:r w:rsidR="00AD12EE">
        <w:t xml:space="preserve">the full picture of the cost of complying with tax law can be </w:t>
      </w:r>
      <w:r w:rsidR="00EB3263">
        <w:t>reported</w:t>
      </w:r>
      <w:r w:rsidR="00AD12EE">
        <w:t>.</w:t>
      </w:r>
      <w:r w:rsidR="00A94270">
        <w:t xml:space="preserve"> </w:t>
      </w:r>
    </w:p>
    <w:p w:rsidR="00EB3263" w:rsidRDefault="00EB3263" w:rsidP="00EB3263">
      <w:pPr>
        <w:shd w:val="clear" w:color="auto" w:fill="FFFFFF"/>
        <w:spacing w:after="0" w:line="240" w:lineRule="auto"/>
      </w:pPr>
    </w:p>
    <w:p w:rsidR="001D3CE4" w:rsidRPr="00BD0B86" w:rsidRDefault="00E74659" w:rsidP="00657559">
      <w:pPr>
        <w:spacing w:after="0" w:line="240" w:lineRule="auto"/>
      </w:pPr>
      <w:r w:rsidRPr="00E74659">
        <w:rPr>
          <w:i/>
        </w:rPr>
        <w:t>Note</w:t>
      </w:r>
      <w:r w:rsidR="00AD12EE" w:rsidRPr="00E74659">
        <w:rPr>
          <w:i/>
        </w:rPr>
        <w:t>:</w:t>
      </w:r>
      <w:r w:rsidR="00AD12EE">
        <w:t xml:space="preserve"> </w:t>
      </w:r>
      <w:r w:rsidR="001D3CE4">
        <w:t xml:space="preserve">The IRS appreciates the taxpayers who </w:t>
      </w:r>
      <w:r>
        <w:t>are selected to receive</w:t>
      </w:r>
      <w:r w:rsidR="001D3CE4">
        <w:t xml:space="preserve"> a taxpayer burden survey and </w:t>
      </w:r>
      <w:r>
        <w:t xml:space="preserve">who </w:t>
      </w:r>
      <w:r w:rsidR="001D3CE4">
        <w:t>take the time to respond. The information they provide makes it possible to create, update, and expand the Taxpayer Burden Model and helps ensure that the model produces estimates that are representative of all taxpayers’ tax compliance burden.</w:t>
      </w:r>
      <w:r w:rsidR="006A371D">
        <w:t xml:space="preserve"> We can only survey a small sample of taxpayers each time, so every response counts.</w:t>
      </w:r>
    </w:p>
    <w:p w:rsidR="00F937D8" w:rsidRPr="00BD0B86" w:rsidRDefault="00F937D8" w:rsidP="00657559">
      <w:pPr>
        <w:spacing w:after="0" w:line="240" w:lineRule="auto"/>
      </w:pPr>
    </w:p>
    <w:p w:rsidR="002C2C00" w:rsidRDefault="002C2C00">
      <w:pPr>
        <w:rPr>
          <w:highlight w:val="yellow"/>
        </w:rPr>
      </w:pPr>
    </w:p>
    <w:p w:rsidR="00162293" w:rsidRDefault="00162293">
      <w:pPr>
        <w:rPr>
          <w:highlight w:val="yellow"/>
        </w:rPr>
      </w:pPr>
    </w:p>
    <w:p w:rsidR="00162293" w:rsidRDefault="00162293">
      <w:pPr>
        <w:rPr>
          <w:highlight w:val="yellow"/>
        </w:rPr>
      </w:pPr>
    </w:p>
    <w:p w:rsidR="00162293" w:rsidRDefault="00162293">
      <w:pPr>
        <w:rPr>
          <w:highlight w:val="yellow"/>
        </w:rPr>
      </w:pPr>
    </w:p>
    <w:p w:rsidR="00162293" w:rsidRDefault="00162293">
      <w:pPr>
        <w:rPr>
          <w:highlight w:val="yellow"/>
        </w:rPr>
      </w:pPr>
    </w:p>
    <w:p w:rsidR="00162293" w:rsidRPr="00BD0B86" w:rsidRDefault="00162293">
      <w:pPr>
        <w:rPr>
          <w:highlight w:val="yellow"/>
        </w:rPr>
      </w:pPr>
    </w:p>
    <w:p w:rsidR="00177FC5" w:rsidRPr="003A6867" w:rsidRDefault="00177FC5" w:rsidP="00657559">
      <w:pPr>
        <w:spacing w:after="0" w:line="240" w:lineRule="auto"/>
        <w:rPr>
          <w:b/>
        </w:rPr>
      </w:pPr>
      <w:r w:rsidRPr="003A6867">
        <w:rPr>
          <w:b/>
          <w:caps/>
        </w:rPr>
        <w:t>Appendix A</w:t>
      </w:r>
      <w:r w:rsidR="003A6867" w:rsidRPr="003A6867">
        <w:rPr>
          <w:b/>
        </w:rPr>
        <w:t xml:space="preserve"> – Individual Taxpayer Burden Survey Complexity Strata Definitions</w:t>
      </w:r>
    </w:p>
    <w:p w:rsidR="00177FC5" w:rsidRDefault="00177FC5" w:rsidP="00657559">
      <w:pPr>
        <w:spacing w:after="0" w:line="240" w:lineRule="auto"/>
        <w:rPr>
          <w:highlight w:val="yellow"/>
        </w:rPr>
      </w:pPr>
    </w:p>
    <w:tbl>
      <w:tblPr>
        <w:tblStyle w:val="TableGrid"/>
        <w:tblW w:w="8854" w:type="dxa"/>
        <w:jc w:val="center"/>
        <w:tblInd w:w="0" w:type="dxa"/>
        <w:tblCellMar>
          <w:top w:w="13" w:type="dxa"/>
          <w:left w:w="107" w:type="dxa"/>
          <w:right w:w="93" w:type="dxa"/>
        </w:tblCellMar>
        <w:tblLook w:val="04A0" w:firstRow="1" w:lastRow="0" w:firstColumn="1" w:lastColumn="0" w:noHBand="0" w:noVBand="1"/>
      </w:tblPr>
      <w:tblGrid>
        <w:gridCol w:w="1500"/>
        <w:gridCol w:w="7354"/>
      </w:tblGrid>
      <w:tr w:rsidR="003A6867" w:rsidTr="003A6867">
        <w:trPr>
          <w:trHeight w:val="484"/>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00007F"/>
          </w:tcPr>
          <w:p w:rsidR="003A6867" w:rsidRDefault="003A6867" w:rsidP="008D6BDA">
            <w:pPr>
              <w:spacing w:line="259" w:lineRule="auto"/>
            </w:pPr>
            <w:r>
              <w:rPr>
                <w:rFonts w:ascii="Times New Roman" w:eastAsia="Times New Roman" w:hAnsi="Times New Roman" w:cs="Times New Roman"/>
                <w:b/>
                <w:color w:val="FFFFFF"/>
              </w:rPr>
              <w:t xml:space="preserve">Strata </w:t>
            </w:r>
          </w:p>
        </w:tc>
        <w:tc>
          <w:tcPr>
            <w:tcW w:w="7354" w:type="dxa"/>
            <w:tcBorders>
              <w:top w:val="single" w:sz="4" w:space="0" w:color="000000"/>
              <w:left w:val="single" w:sz="4" w:space="0" w:color="000000"/>
              <w:bottom w:val="single" w:sz="4" w:space="0" w:color="000000"/>
              <w:right w:val="single" w:sz="4" w:space="0" w:color="000000"/>
            </w:tcBorders>
            <w:shd w:val="clear" w:color="auto" w:fill="00007F"/>
          </w:tcPr>
          <w:p w:rsidR="003A6867" w:rsidRDefault="003A6867" w:rsidP="008D6BDA">
            <w:pPr>
              <w:spacing w:line="259" w:lineRule="auto"/>
              <w:ind w:left="1"/>
            </w:pPr>
            <w:r>
              <w:rPr>
                <w:rFonts w:ascii="Times New Roman" w:eastAsia="Times New Roman" w:hAnsi="Times New Roman" w:cs="Times New Roman"/>
                <w:b/>
                <w:color w:val="FFFFFF"/>
              </w:rPr>
              <w:t xml:space="preserve">Definition </w:t>
            </w:r>
          </w:p>
        </w:tc>
      </w:tr>
      <w:tr w:rsidR="003A6867" w:rsidTr="003A6867">
        <w:trPr>
          <w:trHeight w:val="1400"/>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Low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Wage income; </w:t>
            </w:r>
          </w:p>
          <w:p w:rsidR="003A6867" w:rsidRDefault="003A6867" w:rsidP="008D6BDA">
            <w:pPr>
              <w:spacing w:line="259" w:lineRule="auto"/>
              <w:ind w:left="1"/>
            </w:pPr>
            <w:r>
              <w:t xml:space="preserve">Interest income; </w:t>
            </w:r>
          </w:p>
          <w:p w:rsidR="003A6867" w:rsidRDefault="003A6867" w:rsidP="008D6BDA">
            <w:pPr>
              <w:spacing w:line="259" w:lineRule="auto"/>
              <w:ind w:left="1"/>
            </w:pPr>
            <w:r>
              <w:t xml:space="preserve">Unemployment income; </w:t>
            </w:r>
          </w:p>
          <w:p w:rsidR="003A6867" w:rsidRDefault="003A6867" w:rsidP="008D6BDA">
            <w:pPr>
              <w:spacing w:line="259" w:lineRule="auto"/>
              <w:ind w:left="1"/>
            </w:pPr>
            <w:r>
              <w:t xml:space="preserve">Withholding; </w:t>
            </w:r>
          </w:p>
          <w:p w:rsidR="003A6867" w:rsidRDefault="003A6867" w:rsidP="008D6BDA">
            <w:pPr>
              <w:spacing w:line="259" w:lineRule="auto"/>
              <w:ind w:left="1"/>
            </w:pPr>
            <w:r>
              <w:t xml:space="preserve">Earning income tax credit (with no qualifying children) or advanced EIC;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2326"/>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Low-Medium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Capital gain income (includes capital gains distributions and undistributed capital gains); </w:t>
            </w:r>
          </w:p>
          <w:p w:rsidR="003A6867" w:rsidRDefault="003A6867" w:rsidP="008D6BDA">
            <w:pPr>
              <w:spacing w:line="259" w:lineRule="auto"/>
              <w:ind w:left="1"/>
            </w:pPr>
            <w:r>
              <w:t xml:space="preserve">Dividend income; </w:t>
            </w:r>
          </w:p>
          <w:p w:rsidR="003A6867" w:rsidRDefault="003A6867" w:rsidP="008D6BDA">
            <w:pPr>
              <w:spacing w:line="259" w:lineRule="auto"/>
              <w:ind w:left="1"/>
            </w:pPr>
            <w:r>
              <w:t xml:space="preserve">Earned income tax credit (with qualifying children); </w:t>
            </w:r>
          </w:p>
          <w:p w:rsidR="003A6867" w:rsidRDefault="003A6867" w:rsidP="008D6BDA">
            <w:pPr>
              <w:spacing w:line="259" w:lineRule="auto"/>
              <w:ind w:left="1"/>
            </w:pPr>
            <w:r>
              <w:t xml:space="preserve">Estimated tax payments; </w:t>
            </w:r>
          </w:p>
          <w:p w:rsidR="003A6867" w:rsidRDefault="003A6867" w:rsidP="008D6BDA">
            <w:pPr>
              <w:spacing w:line="241" w:lineRule="auto"/>
              <w:ind w:left="1"/>
            </w:pPr>
            <w:r>
              <w:t xml:space="preserve">Retirement income (includes SS benefits, IRA distributions, or pensions and annuities); Any non-refundable credit (includes child and dependent care expenses, education credits, child tax credit, elderly or disabled credit); </w:t>
            </w:r>
          </w:p>
          <w:p w:rsidR="003A6867" w:rsidRDefault="003A6867" w:rsidP="008D6BDA">
            <w:pPr>
              <w:spacing w:line="259" w:lineRule="auto"/>
              <w:ind w:left="1"/>
            </w:pPr>
            <w:r>
              <w:t xml:space="preserve">Household employees; </w:t>
            </w:r>
          </w:p>
          <w:p w:rsidR="003A6867" w:rsidRDefault="003A6867" w:rsidP="008D6BDA">
            <w:pPr>
              <w:spacing w:line="259" w:lineRule="auto"/>
              <w:ind w:left="1"/>
            </w:pPr>
            <w:r>
              <w:t xml:space="preserve">Non-business adjustments;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1631"/>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Medium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41" w:lineRule="auto"/>
              <w:ind w:left="1" w:right="375"/>
            </w:pPr>
            <w:r>
              <w:t xml:space="preserve">Itemized deductions (includes mortgage interest, interest paid to financial institution; charitable contributions, and medical expenses); Foreign income, expense, tax, credit, or payment; </w:t>
            </w:r>
          </w:p>
          <w:p w:rsidR="003A6867" w:rsidRDefault="003A6867" w:rsidP="008D6BDA">
            <w:pPr>
              <w:spacing w:line="259" w:lineRule="auto"/>
              <w:ind w:left="1"/>
            </w:pPr>
            <w:r>
              <w:t xml:space="preserve">Moving expenses; </w:t>
            </w:r>
          </w:p>
          <w:p w:rsidR="003A6867" w:rsidRDefault="003A6867" w:rsidP="008D6BDA">
            <w:pPr>
              <w:spacing w:line="259" w:lineRule="auto"/>
              <w:ind w:left="1"/>
            </w:pPr>
            <w:r>
              <w:t xml:space="preserve">Simple Schedule C or C-EZ; </w:t>
            </w:r>
          </w:p>
          <w:p w:rsidR="003A6867" w:rsidRDefault="003A6867" w:rsidP="008D6BDA">
            <w:pPr>
              <w:spacing w:line="259" w:lineRule="auto"/>
              <w:ind w:left="1"/>
            </w:pPr>
            <w:r>
              <w:t xml:space="preserve">General business credit;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2789"/>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Medium-High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Farm income as reported on Schedule F; </w:t>
            </w:r>
          </w:p>
          <w:p w:rsidR="003A6867" w:rsidRDefault="003A6867" w:rsidP="008D6BDA">
            <w:pPr>
              <w:spacing w:line="241" w:lineRule="auto"/>
              <w:ind w:left="1"/>
            </w:pPr>
            <w:r>
              <w:t xml:space="preserve">Owns rental property as reported on Schedule E, including farm rental and </w:t>
            </w:r>
            <w:r w:rsidR="00975081">
              <w:t>low-income</w:t>
            </w:r>
            <w:r>
              <w:t xml:space="preserve"> housing; </w:t>
            </w:r>
          </w:p>
          <w:p w:rsidR="003A6867" w:rsidRDefault="003A6867" w:rsidP="008D6BDA">
            <w:pPr>
              <w:spacing w:line="259" w:lineRule="auto"/>
              <w:ind w:left="1"/>
            </w:pPr>
            <w:r>
              <w:t xml:space="preserve">Estate or trust income as reported on Schedule E; </w:t>
            </w:r>
          </w:p>
          <w:p w:rsidR="003A6867" w:rsidRDefault="003A6867" w:rsidP="008D6BDA">
            <w:pPr>
              <w:spacing w:line="259" w:lineRule="auto"/>
              <w:ind w:left="1"/>
            </w:pPr>
            <w:r>
              <w:t xml:space="preserve">Employee business expense deductions; </w:t>
            </w:r>
          </w:p>
          <w:p w:rsidR="003A6867" w:rsidRDefault="003A6867" w:rsidP="008D6BDA">
            <w:pPr>
              <w:spacing w:line="259" w:lineRule="auto"/>
              <w:ind w:left="1"/>
            </w:pPr>
            <w:r>
              <w:t xml:space="preserve">Files AMT without AMT preference items;  </w:t>
            </w:r>
          </w:p>
          <w:p w:rsidR="003A6867" w:rsidRDefault="003A6867" w:rsidP="008D6BDA">
            <w:pPr>
              <w:spacing w:line="259" w:lineRule="auto"/>
              <w:ind w:left="1"/>
            </w:pPr>
            <w:r>
              <w:t xml:space="preserve">Prior year alternative minimum tax credit; </w:t>
            </w:r>
          </w:p>
          <w:p w:rsidR="003A6867" w:rsidRDefault="003A6867" w:rsidP="008D6BDA">
            <w:pPr>
              <w:spacing w:line="259" w:lineRule="auto"/>
              <w:ind w:left="1"/>
            </w:pPr>
            <w:r>
              <w:t xml:space="preserve">Investment interest expense deduction; </w:t>
            </w:r>
          </w:p>
          <w:p w:rsidR="003A6867" w:rsidRDefault="003A6867" w:rsidP="008D6BDA">
            <w:pPr>
              <w:spacing w:line="259" w:lineRule="auto"/>
              <w:ind w:left="1"/>
            </w:pPr>
            <w:r>
              <w:t xml:space="preserve">Net loss as reported on Schedule C; </w:t>
            </w:r>
          </w:p>
          <w:p w:rsidR="003A6867" w:rsidRDefault="003A6867" w:rsidP="008D6BDA">
            <w:pPr>
              <w:spacing w:line="259" w:lineRule="auto"/>
              <w:ind w:left="1"/>
            </w:pPr>
            <w:r>
              <w:t xml:space="preserve">Depreciation or amortization as reported on Schedule C; </w:t>
            </w:r>
          </w:p>
          <w:p w:rsidR="003A6867" w:rsidRDefault="003A6867" w:rsidP="008D6BDA">
            <w:pPr>
              <w:spacing w:line="259" w:lineRule="auto"/>
              <w:ind w:left="1"/>
            </w:pPr>
            <w:r>
              <w:t xml:space="preserve">Expenses for business use of home as reported on Schedule C; </w:t>
            </w:r>
          </w:p>
          <w:p w:rsidR="003A6867" w:rsidRDefault="003A6867" w:rsidP="008D6BDA">
            <w:pPr>
              <w:spacing w:line="259" w:lineRule="auto"/>
              <w:ind w:left="1"/>
            </w:pPr>
            <w:r>
              <w:t xml:space="preserve">Does not meet any of the conditions for higher levels of differential burden </w:t>
            </w:r>
          </w:p>
        </w:tc>
      </w:tr>
      <w:tr w:rsidR="003A6867" w:rsidTr="003A6867">
        <w:trPr>
          <w:trHeight w:val="704"/>
          <w:jc w:val="center"/>
        </w:trPr>
        <w:tc>
          <w:tcPr>
            <w:tcW w:w="1500"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pPr>
            <w:r>
              <w:t xml:space="preserve">High </w:t>
            </w:r>
          </w:p>
        </w:tc>
        <w:tc>
          <w:tcPr>
            <w:tcW w:w="7354" w:type="dxa"/>
            <w:tcBorders>
              <w:top w:val="single" w:sz="4" w:space="0" w:color="000000"/>
              <w:left w:val="single" w:sz="4" w:space="0" w:color="000000"/>
              <w:bottom w:val="single" w:sz="4" w:space="0" w:color="000000"/>
              <w:right w:val="single" w:sz="4" w:space="0" w:color="000000"/>
            </w:tcBorders>
          </w:tcPr>
          <w:p w:rsidR="003A6867" w:rsidRDefault="003A6867" w:rsidP="008D6BDA">
            <w:pPr>
              <w:spacing w:line="259" w:lineRule="auto"/>
              <w:ind w:left="2"/>
            </w:pPr>
            <w:r>
              <w:t xml:space="preserve">Cost of goods sold as reported on Schedule C; </w:t>
            </w:r>
          </w:p>
          <w:p w:rsidR="003A6867" w:rsidRDefault="003A6867" w:rsidP="008D6BDA">
            <w:pPr>
              <w:spacing w:line="259" w:lineRule="auto"/>
              <w:ind w:left="1" w:right="2140"/>
            </w:pPr>
            <w:r>
              <w:t xml:space="preserve">Partnership or S-Corp income as reported on Schedule E; Files AMT with AMT preference items </w:t>
            </w:r>
          </w:p>
        </w:tc>
      </w:tr>
    </w:tbl>
    <w:p w:rsidR="003A6867" w:rsidRDefault="003A6867" w:rsidP="00657559">
      <w:pPr>
        <w:spacing w:after="0" w:line="240" w:lineRule="auto"/>
        <w:rPr>
          <w:highlight w:val="yellow"/>
        </w:rPr>
      </w:pPr>
    </w:p>
    <w:p w:rsidR="003A6867" w:rsidRDefault="003A6867">
      <w:pPr>
        <w:rPr>
          <w:highlight w:val="yellow"/>
        </w:rPr>
      </w:pPr>
    </w:p>
    <w:sectPr w:rsidR="003A6867" w:rsidSect="005B211E">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07" w:rsidRDefault="006D4907" w:rsidP="007C5F6E">
      <w:pPr>
        <w:spacing w:after="0" w:line="240" w:lineRule="auto"/>
      </w:pPr>
      <w:r>
        <w:separator/>
      </w:r>
    </w:p>
  </w:endnote>
  <w:endnote w:type="continuationSeparator" w:id="0">
    <w:p w:rsidR="006D4907" w:rsidRDefault="006D4907" w:rsidP="007C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lest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Roman">
    <w:altName w:val="Palatino Linotyp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779996"/>
      <w:docPartObj>
        <w:docPartGallery w:val="Page Numbers (Bottom of Page)"/>
        <w:docPartUnique/>
      </w:docPartObj>
    </w:sdtPr>
    <w:sdtEndPr>
      <w:rPr>
        <w:noProof/>
      </w:rPr>
    </w:sdtEndPr>
    <w:sdtContent>
      <w:p w:rsidR="00C2271B" w:rsidRDefault="00C2271B">
        <w:pPr>
          <w:pStyle w:val="Footer"/>
          <w:jc w:val="right"/>
        </w:pPr>
        <w:r>
          <w:fldChar w:fldCharType="begin"/>
        </w:r>
        <w:r>
          <w:instrText xml:space="preserve"> PAGE   \* MERGEFORMAT </w:instrText>
        </w:r>
        <w:r>
          <w:fldChar w:fldCharType="separate"/>
        </w:r>
        <w:r w:rsidR="000E5B10">
          <w:rPr>
            <w:noProof/>
          </w:rPr>
          <w:t>1</w:t>
        </w:r>
        <w:r>
          <w:rPr>
            <w:noProof/>
          </w:rPr>
          <w:fldChar w:fldCharType="end"/>
        </w:r>
      </w:p>
    </w:sdtContent>
  </w:sdt>
  <w:p w:rsidR="00C2271B" w:rsidRDefault="00C22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07" w:rsidRDefault="006D4907" w:rsidP="007C5F6E">
      <w:pPr>
        <w:spacing w:after="0" w:line="240" w:lineRule="auto"/>
      </w:pPr>
      <w:r>
        <w:separator/>
      </w:r>
    </w:p>
  </w:footnote>
  <w:footnote w:type="continuationSeparator" w:id="0">
    <w:p w:rsidR="006D4907" w:rsidRDefault="006D4907" w:rsidP="007C5F6E">
      <w:pPr>
        <w:spacing w:after="0" w:line="240" w:lineRule="auto"/>
      </w:pPr>
      <w:r>
        <w:continuationSeparator/>
      </w:r>
    </w:p>
  </w:footnote>
  <w:footnote w:id="1">
    <w:p w:rsidR="00C2271B" w:rsidRPr="00807478" w:rsidRDefault="00C2271B" w:rsidP="00424153">
      <w:pPr>
        <w:pStyle w:val="FootnoteText"/>
        <w:rPr>
          <w:rFonts w:asciiTheme="minorHAnsi" w:hAnsiTheme="minorHAnsi" w:cs="Arial"/>
          <w:sz w:val="18"/>
          <w:szCs w:val="18"/>
        </w:rPr>
      </w:pPr>
      <w:r w:rsidRPr="00807478">
        <w:rPr>
          <w:rStyle w:val="FootnoteReference"/>
          <w:rFonts w:asciiTheme="minorHAnsi" w:hAnsiTheme="minorHAnsi" w:cs="Arial"/>
          <w:sz w:val="18"/>
          <w:szCs w:val="18"/>
        </w:rPr>
        <w:footnoteRef/>
      </w:r>
      <w:r w:rsidRPr="00807478">
        <w:rPr>
          <w:rFonts w:asciiTheme="minorHAnsi" w:hAnsiTheme="minorHAnsi" w:cs="Arial"/>
          <w:sz w:val="18"/>
          <w:szCs w:val="18"/>
        </w:rPr>
        <w:t xml:space="preserve"> Paperwork Reduction Act of 1980, summary available at </w:t>
      </w:r>
      <w:hyperlink r:id="rId1" w:history="1">
        <w:r w:rsidRPr="00807478">
          <w:rPr>
            <w:rStyle w:val="Hyperlink"/>
            <w:rFonts w:asciiTheme="minorHAnsi" w:hAnsiTheme="minorHAnsi" w:cs="Arial"/>
            <w:sz w:val="18"/>
            <w:szCs w:val="18"/>
          </w:rPr>
          <w:t>https://www.congress.gov/bill/96th-congress/senate-bill/1411</w:t>
        </w:r>
      </w:hyperlink>
      <w:r w:rsidRPr="00807478">
        <w:rPr>
          <w:rFonts w:asciiTheme="minorHAnsi" w:hAnsiTheme="minorHAnsi" w:cs="Arial"/>
          <w:sz w:val="18"/>
          <w:szCs w:val="18"/>
        </w:rPr>
        <w:t xml:space="preserve"> (last accessed 10/23/2017)</w:t>
      </w:r>
    </w:p>
  </w:footnote>
  <w:footnote w:id="2">
    <w:p w:rsidR="00C2271B" w:rsidRDefault="00C2271B" w:rsidP="00975081">
      <w:r>
        <w:rPr>
          <w:rStyle w:val="FootnoteReference"/>
        </w:rPr>
        <w:footnoteRef/>
      </w:r>
      <w:r>
        <w:t xml:space="preserve"> </w:t>
      </w:r>
      <w:r w:rsidRPr="00FA6D16">
        <w:rPr>
          <w:rFonts w:cs="Arial"/>
          <w:sz w:val="18"/>
          <w:szCs w:val="18"/>
        </w:rPr>
        <w:t>R</w:t>
      </w:r>
      <w:r>
        <w:rPr>
          <w:rFonts w:cs="Arial"/>
          <w:sz w:val="18"/>
          <w:szCs w:val="18"/>
        </w:rPr>
        <w:t>OCIS r</w:t>
      </w:r>
      <w:r w:rsidRPr="00FA6D16">
        <w:rPr>
          <w:rFonts w:cs="Arial"/>
          <w:sz w:val="18"/>
          <w:szCs w:val="18"/>
        </w:rPr>
        <w:t>eport date</w:t>
      </w:r>
      <w:r>
        <w:rPr>
          <w:rFonts w:cs="Arial"/>
          <w:sz w:val="18"/>
          <w:szCs w:val="18"/>
        </w:rPr>
        <w:t>d April 2, 2018</w:t>
      </w:r>
      <w:r>
        <w:t xml:space="preserve"> </w:t>
      </w:r>
      <w:r w:rsidRPr="00FA6D16">
        <w:rPr>
          <w:rFonts w:cs="Arial"/>
          <w:i/>
          <w:sz w:val="18"/>
          <w:szCs w:val="18"/>
        </w:rPr>
        <w:t>All Agency PRA Inventory report -Detail Inventory report</w:t>
      </w:r>
      <w:r>
        <w:rPr>
          <w:rFonts w:cs="Arial"/>
          <w:i/>
          <w:sz w:val="18"/>
          <w:szCs w:val="18"/>
        </w:rPr>
        <w:t xml:space="preserve"> </w:t>
      </w:r>
      <w:r>
        <w:rPr>
          <w:rFonts w:cs="Arial"/>
          <w:sz w:val="18"/>
          <w:szCs w:val="18"/>
        </w:rPr>
        <w:t xml:space="preserve">for IRS paperwork burden total, </w:t>
      </w:r>
      <w:r w:rsidRPr="00CA0A2B">
        <w:rPr>
          <w:rFonts w:cs="Arial"/>
          <w:sz w:val="18"/>
          <w:szCs w:val="18"/>
        </w:rPr>
        <w:t>8,063,777,920</w:t>
      </w:r>
      <w:r>
        <w:rPr>
          <w:rFonts w:cs="Arial"/>
          <w:sz w:val="18"/>
          <w:szCs w:val="18"/>
        </w:rPr>
        <w:t xml:space="preserve"> hours in 707 information collections. </w:t>
      </w:r>
      <w:r w:rsidRPr="00FA6D16">
        <w:rPr>
          <w:rFonts w:cs="Arial"/>
          <w:sz w:val="18"/>
          <w:szCs w:val="18"/>
        </w:rPr>
        <w:t>R</w:t>
      </w:r>
      <w:r>
        <w:rPr>
          <w:rFonts w:cs="Arial"/>
          <w:sz w:val="18"/>
          <w:szCs w:val="18"/>
        </w:rPr>
        <w:t>OCIS r</w:t>
      </w:r>
      <w:r w:rsidRPr="00FA6D16">
        <w:rPr>
          <w:rFonts w:cs="Arial"/>
          <w:sz w:val="18"/>
          <w:szCs w:val="18"/>
        </w:rPr>
        <w:t>eport date</w:t>
      </w:r>
      <w:r>
        <w:rPr>
          <w:rFonts w:cs="Arial"/>
          <w:sz w:val="18"/>
          <w:szCs w:val="18"/>
        </w:rPr>
        <w:t>d April 2, 2018</w:t>
      </w:r>
      <w:r>
        <w:t xml:space="preserve"> </w:t>
      </w:r>
      <w:r w:rsidRPr="00FA6D16">
        <w:rPr>
          <w:rFonts w:cs="Arial"/>
          <w:i/>
          <w:sz w:val="18"/>
          <w:szCs w:val="18"/>
        </w:rPr>
        <w:t>All Agency PRA Inventory report -</w:t>
      </w:r>
      <w:r>
        <w:rPr>
          <w:rFonts w:cs="Arial"/>
          <w:i/>
          <w:sz w:val="18"/>
          <w:szCs w:val="18"/>
        </w:rPr>
        <w:t>All Agency Summary</w:t>
      </w:r>
      <w:r w:rsidRPr="00FA6D16">
        <w:rPr>
          <w:rFonts w:cs="Arial"/>
          <w:i/>
          <w:sz w:val="18"/>
          <w:szCs w:val="18"/>
        </w:rPr>
        <w:t xml:space="preserve"> report</w:t>
      </w:r>
      <w:r>
        <w:rPr>
          <w:rFonts w:cs="Arial"/>
          <w:i/>
          <w:sz w:val="18"/>
          <w:szCs w:val="18"/>
        </w:rPr>
        <w:t xml:space="preserve"> </w:t>
      </w:r>
      <w:r>
        <w:rPr>
          <w:rFonts w:cs="Arial"/>
          <w:sz w:val="18"/>
          <w:szCs w:val="18"/>
        </w:rPr>
        <w:t xml:space="preserve">for annual federal paperwork burden total, </w:t>
      </w:r>
      <w:r w:rsidRPr="00FA6D16">
        <w:rPr>
          <w:rFonts w:cs="Arial"/>
          <w:sz w:val="18"/>
          <w:szCs w:val="18"/>
        </w:rPr>
        <w:t>11,399,930,195</w:t>
      </w:r>
      <w:r>
        <w:rPr>
          <w:rFonts w:cs="Arial"/>
          <w:sz w:val="18"/>
          <w:szCs w:val="18"/>
        </w:rPr>
        <w:t xml:space="preserve"> hours. 8,063,777,920/11,399,930,195=70.7% </w:t>
      </w:r>
    </w:p>
  </w:footnote>
  <w:footnote w:id="3">
    <w:p w:rsidR="00C2271B" w:rsidRPr="00DE02BC" w:rsidRDefault="00C2271B" w:rsidP="00DE02BC">
      <w:pPr>
        <w:rPr>
          <w:rFonts w:ascii="Calibri" w:eastAsia="Times New Roman" w:hAnsi="Calibri" w:cs="Times New Roman"/>
          <w:sz w:val="20"/>
          <w:szCs w:val="20"/>
        </w:rPr>
      </w:pPr>
      <w:r>
        <w:rPr>
          <w:rFonts w:ascii="Calibri" w:eastAsia="Times New Roman" w:hAnsi="Calibri" w:cs="Times New Roman"/>
          <w:sz w:val="20"/>
          <w:szCs w:val="20"/>
        </w:rPr>
        <w:t xml:space="preserve">3 </w:t>
      </w:r>
      <w:r w:rsidRPr="00DE02BC">
        <w:rPr>
          <w:rFonts w:ascii="Calibri" w:eastAsia="Times New Roman" w:hAnsi="Calibri" w:cs="Times New Roman"/>
          <w:sz w:val="20"/>
          <w:szCs w:val="20"/>
        </w:rPr>
        <w:t>Source: TY 2016 IRTF Table via CDW by W&amp;I Strategies &amp; Solutions, Research Group 2, extracted on January 31, 2018, from data thru Cycle 52</w:t>
      </w:r>
    </w:p>
    <w:p w:rsidR="00C2271B" w:rsidRDefault="00C2271B">
      <w:pPr>
        <w:pStyle w:val="FootnoteText"/>
      </w:pPr>
    </w:p>
  </w:footnote>
  <w:footnote w:id="4">
    <w:p w:rsidR="00C2271B" w:rsidRPr="007043D1" w:rsidRDefault="00C2271B" w:rsidP="007043D1">
      <w:pPr>
        <w:autoSpaceDE w:val="0"/>
        <w:autoSpaceDN w:val="0"/>
        <w:adjustRightInd w:val="0"/>
        <w:spacing w:after="0" w:line="240" w:lineRule="auto"/>
        <w:rPr>
          <w:rFonts w:cs="Arial"/>
          <w:bCs/>
          <w:sz w:val="18"/>
          <w:szCs w:val="18"/>
        </w:rPr>
      </w:pPr>
      <w:r w:rsidRPr="00195151">
        <w:rPr>
          <w:rStyle w:val="FootnoteReference"/>
          <w:rFonts w:cs="Arial"/>
          <w:sz w:val="18"/>
          <w:szCs w:val="18"/>
        </w:rPr>
        <w:footnoteRef/>
      </w:r>
      <w:r w:rsidRPr="00195151">
        <w:rPr>
          <w:rFonts w:cs="Arial"/>
          <w:sz w:val="18"/>
          <w:szCs w:val="18"/>
        </w:rPr>
        <w:t xml:space="preserve"> </w:t>
      </w:r>
      <w:r w:rsidRPr="00CC0DDB">
        <w:rPr>
          <w:rFonts w:cs="Segoe UI"/>
          <w:sz w:val="18"/>
          <w:szCs w:val="18"/>
          <w:lang w:val="en"/>
        </w:rPr>
        <w:t>Guyton, John L. &amp; O'Hare, John F. &amp; Stavrianos, Michael P. &amp; Toder, Eric J., 2003. "</w:t>
      </w:r>
      <w:hyperlink r:id="rId2" w:history="1">
        <w:r w:rsidRPr="00CC0DDB">
          <w:rPr>
            <w:rFonts w:cs="Segoe UI"/>
            <w:bCs/>
            <w:sz w:val="18"/>
            <w:szCs w:val="18"/>
            <w:lang w:val="en"/>
          </w:rPr>
          <w:t>Estimating the Compliance Cost of the U.S. Individual Income Tax</w:t>
        </w:r>
      </w:hyperlink>
      <w:r w:rsidRPr="00CC0DDB">
        <w:rPr>
          <w:rFonts w:cs="Segoe UI"/>
          <w:sz w:val="18"/>
          <w:szCs w:val="18"/>
          <w:lang w:val="en"/>
        </w:rPr>
        <w:t xml:space="preserve">," </w:t>
      </w:r>
      <w:hyperlink r:id="rId3" w:history="1">
        <w:r w:rsidRPr="00CC0DDB">
          <w:rPr>
            <w:rFonts w:cs="Segoe UI"/>
            <w:sz w:val="18"/>
            <w:szCs w:val="18"/>
            <w:lang w:val="en"/>
          </w:rPr>
          <w:t>National Tax Journal</w:t>
        </w:r>
      </w:hyperlink>
      <w:r w:rsidRPr="00CC0DDB">
        <w:rPr>
          <w:rFonts w:cs="Segoe UI"/>
          <w:sz w:val="18"/>
          <w:szCs w:val="18"/>
          <w:lang w:val="en"/>
        </w:rPr>
        <w:t>, National Tax Association, vol. 56(3), pages 673-688, September.</w:t>
      </w:r>
    </w:p>
  </w:footnote>
  <w:footnote w:id="5">
    <w:p w:rsidR="00C2271B" w:rsidRPr="00F977F1" w:rsidRDefault="00C2271B" w:rsidP="007043D1">
      <w:pPr>
        <w:autoSpaceDE w:val="0"/>
        <w:autoSpaceDN w:val="0"/>
        <w:adjustRightInd w:val="0"/>
        <w:spacing w:after="0" w:line="240" w:lineRule="auto"/>
        <w:rPr>
          <w:sz w:val="18"/>
          <w:szCs w:val="18"/>
        </w:rPr>
      </w:pPr>
      <w:r w:rsidRPr="00F977F1">
        <w:rPr>
          <w:rStyle w:val="FootnoteReference"/>
          <w:sz w:val="18"/>
          <w:szCs w:val="18"/>
        </w:rPr>
        <w:footnoteRef/>
      </w:r>
      <w:r w:rsidRPr="00F977F1">
        <w:rPr>
          <w:sz w:val="18"/>
          <w:szCs w:val="18"/>
        </w:rPr>
        <w:t xml:space="preserve"> GAO Report (2000), </w:t>
      </w:r>
      <w:r w:rsidRPr="00F977F1">
        <w:rPr>
          <w:rFonts w:cs="Times New Roman"/>
          <w:sz w:val="18"/>
          <w:szCs w:val="18"/>
        </w:rPr>
        <w:t xml:space="preserve">TAX </w:t>
      </w:r>
      <w:r w:rsidRPr="00F977F1">
        <w:rPr>
          <w:rFonts w:cs="Arial"/>
          <w:sz w:val="18"/>
          <w:szCs w:val="18"/>
        </w:rPr>
        <w:t xml:space="preserve">ADMINISTRATION: IRS Is Working to Improve Its Estimates of Compliance Burden, May 2000 available at </w:t>
      </w:r>
      <w:hyperlink r:id="rId4" w:history="1">
        <w:r w:rsidRPr="00F977F1">
          <w:rPr>
            <w:rStyle w:val="Hyperlink"/>
            <w:rFonts w:cs="Arial"/>
            <w:sz w:val="18"/>
            <w:szCs w:val="18"/>
          </w:rPr>
          <w:t>https://www.gpo.gov/fdsys/pkg/GAOREPORTS-GGD-00-11/pdf/GAOREPORTS-GGD-00-11.pdf</w:t>
        </w:r>
      </w:hyperlink>
      <w:r w:rsidRPr="00F977F1">
        <w:rPr>
          <w:rFonts w:cs="Arial"/>
          <w:sz w:val="18"/>
          <w:szCs w:val="18"/>
        </w:rPr>
        <w:t>. Last accessed 01/11/18</w:t>
      </w:r>
    </w:p>
  </w:footnote>
  <w:footnote w:id="6">
    <w:p w:rsidR="00C2271B" w:rsidRDefault="00C2271B">
      <w:pPr>
        <w:pStyle w:val="FootnoteText"/>
      </w:pPr>
      <w:r>
        <w:rPr>
          <w:rStyle w:val="FootnoteReference"/>
        </w:rPr>
        <w:footnoteRef/>
      </w:r>
      <w:r>
        <w:t xml:space="preserve"> Slemrod, Joel and Marsha Blumenthal, 1996. “The Income Tax Compliance Cost of Big Business.” </w:t>
      </w:r>
      <w:r>
        <w:rPr>
          <w:rStyle w:val="journal-title"/>
          <w:rFonts w:ascii="Helvetica" w:hAnsi="Helvetica"/>
          <w:sz w:val="18"/>
          <w:szCs w:val="18"/>
          <w:lang w:val="en"/>
        </w:rPr>
        <w:t>Public Finance Quarterly</w:t>
      </w:r>
      <w:r>
        <w:rPr>
          <w:rStyle w:val="issue-meta-volume-issue1"/>
          <w:rFonts w:ascii="Helvetica" w:hAnsi="Helvetica"/>
          <w:sz w:val="18"/>
          <w:szCs w:val="18"/>
          <w:lang w:val="en"/>
          <w:specVanish w:val="0"/>
        </w:rPr>
        <w:t>, vol. 24, 4</w:t>
      </w:r>
      <w:r>
        <w:rPr>
          <w:rFonts w:ascii="Helvetica" w:hAnsi="Helvetica"/>
          <w:sz w:val="18"/>
          <w:szCs w:val="18"/>
          <w:lang w:val="en"/>
        </w:rPr>
        <w:t>: pp. 411-438.</w:t>
      </w:r>
    </w:p>
  </w:footnote>
  <w:footnote w:id="7">
    <w:p w:rsidR="00C2271B" w:rsidRDefault="00C2271B">
      <w:pPr>
        <w:pStyle w:val="FootnoteText"/>
      </w:pPr>
      <w:r>
        <w:rPr>
          <w:rStyle w:val="FootnoteReference"/>
        </w:rPr>
        <w:footnoteRef/>
      </w:r>
      <w:r>
        <w:t xml:space="preserve"> </w:t>
      </w:r>
      <w:r>
        <w:rPr>
          <w:rFonts w:ascii="NimbusRomNo9L-Regu" w:hAnsi="NimbusRomNo9L-Regu" w:cs="NimbusRomNo9L-Regu"/>
        </w:rPr>
        <w:t>Slemrod, Joel and Varsha Venkatesh. 2002. “The income tax compliance cost of large and mid-size businesses.” Technical report, IRS, LMSB Division.</w:t>
      </w:r>
    </w:p>
  </w:footnote>
  <w:footnote w:id="8">
    <w:p w:rsidR="00C2271B" w:rsidRDefault="00C2271B" w:rsidP="007536B1">
      <w:pPr>
        <w:pStyle w:val="footnotedescription"/>
        <w:spacing w:line="259" w:lineRule="auto"/>
        <w:ind w:left="0" w:firstLine="0"/>
        <w:jc w:val="left"/>
      </w:pPr>
      <w:r>
        <w:rPr>
          <w:rStyle w:val="footnotemark"/>
        </w:rPr>
        <w:footnoteRef/>
      </w:r>
      <w:r>
        <w:t xml:space="preserve"> Appendix A provides more information on the five complexity categories.</w:t>
      </w:r>
    </w:p>
  </w:footnote>
  <w:footnote w:id="9">
    <w:p w:rsidR="00C2271B" w:rsidRDefault="00C2271B">
      <w:pPr>
        <w:pStyle w:val="FootnoteText"/>
      </w:pPr>
      <w:r>
        <w:rPr>
          <w:rStyle w:val="FootnoteReference"/>
        </w:rPr>
        <w:footnoteRef/>
      </w:r>
      <w:r>
        <w:t xml:space="preserve"> Contos, George, Ardeshir Eftekaharzadeh, Brian Erard, John Gutyon, and Scott Stilmar, 2009a. “Econometric Simulation of the Income Tax Compliance Process for Small Business.” In </w:t>
      </w:r>
      <w:r w:rsidRPr="007F2364">
        <w:rPr>
          <w:i/>
        </w:rPr>
        <w:t xml:space="preserve">Proceedings of the 2009 Winter </w:t>
      </w:r>
      <w:r>
        <w:rPr>
          <w:i/>
        </w:rPr>
        <w:t>Simulation Conference, 2762-2795. Winter Simulation Conference.</w:t>
      </w:r>
      <w:r w:rsidRPr="007F2364">
        <w:rPr>
          <w:i/>
        </w:rPr>
        <w:t xml:space="preserve"> </w:t>
      </w:r>
      <w:hyperlink r:id="rId5" w:history="1">
        <w:r w:rsidRPr="009B110E">
          <w:rPr>
            <w:rStyle w:val="Hyperlink"/>
          </w:rPr>
          <w:t>http://informs-sim.org/wsc09popers/prog09soc.html</w:t>
        </w:r>
      </w:hyperlink>
      <w:r>
        <w:rPr>
          <w:i/>
        </w:rPr>
        <w:t xml:space="preserve"> (last accessed 04/05/2018).</w:t>
      </w:r>
    </w:p>
  </w:footnote>
  <w:footnote w:id="10">
    <w:p w:rsidR="00C2271B" w:rsidRPr="00A40CCC" w:rsidRDefault="00C2271B">
      <w:pPr>
        <w:pStyle w:val="FootnoteText"/>
      </w:pPr>
      <w:r>
        <w:rPr>
          <w:rStyle w:val="FootnoteReference"/>
        </w:rPr>
        <w:footnoteRef/>
      </w:r>
      <w:r>
        <w:t xml:space="preserve"> Contos, George, John Guyton, Patrick Langetieg, and Susan Nelson, 2009b. “Taxpayer Compliance Costs For Small Businesses: Evidence From Corporations, Partnerships, and Sole Proprietorships.” In </w:t>
      </w:r>
      <w:r>
        <w:rPr>
          <w:i/>
        </w:rPr>
        <w:t xml:space="preserve">Proceedings of the One Hundred Second Annual Conference on Taxation, </w:t>
      </w:r>
      <w:r w:rsidRPr="00A40CCC">
        <w:t>50-59. National Tax Association, Washingt</w:t>
      </w:r>
      <w:r>
        <w:t>o</w:t>
      </w:r>
      <w:r w:rsidRPr="00A40CCC">
        <w:t>n, DC</w:t>
      </w:r>
      <w:r>
        <w:t>.</w:t>
      </w:r>
    </w:p>
  </w:footnote>
  <w:footnote w:id="11">
    <w:p w:rsidR="00C2271B" w:rsidRPr="004754FA" w:rsidRDefault="00C2271B">
      <w:pPr>
        <w:pStyle w:val="FootnoteText"/>
      </w:pPr>
      <w:r>
        <w:rPr>
          <w:rStyle w:val="FootnoteReference"/>
        </w:rPr>
        <w:footnoteRef/>
      </w:r>
      <w:r>
        <w:t xml:space="preserve"> Contos, George, John Guyton, Patrick Langetieg, and Melissa Vigil, 2010. “individual Taxpayer Compliance Burden: The Role of Assisted Methods in Taxpayer Response to Increasing Complexity.” In </w:t>
      </w:r>
      <w:r>
        <w:rPr>
          <w:i/>
        </w:rPr>
        <w:t>Proceedings of the 2100 IRS Research Conference</w:t>
      </w:r>
      <w:r>
        <w:t>, 191-220. Internal Revenue Service, Washington,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5A2"/>
    <w:multiLevelType w:val="hybridMultilevel"/>
    <w:tmpl w:val="9CD8A8A6"/>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82EA3"/>
    <w:multiLevelType w:val="hybridMultilevel"/>
    <w:tmpl w:val="5D76D086"/>
    <w:lvl w:ilvl="0" w:tplc="CDB66426">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432B26"/>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EAD24FD"/>
    <w:multiLevelType w:val="hybridMultilevel"/>
    <w:tmpl w:val="65FAAAC4"/>
    <w:lvl w:ilvl="0" w:tplc="6C9E86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13160"/>
    <w:multiLevelType w:val="hybridMultilevel"/>
    <w:tmpl w:val="0F64C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9206D"/>
    <w:multiLevelType w:val="hybridMultilevel"/>
    <w:tmpl w:val="7AE63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381635"/>
    <w:multiLevelType w:val="hybridMultilevel"/>
    <w:tmpl w:val="8ECEEC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042B5D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3150B"/>
    <w:multiLevelType w:val="hybridMultilevel"/>
    <w:tmpl w:val="F3D4C4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380960"/>
    <w:multiLevelType w:val="hybridMultilevel"/>
    <w:tmpl w:val="2500D228"/>
    <w:lvl w:ilvl="0" w:tplc="9D5A2D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46E92"/>
    <w:multiLevelType w:val="hybridMultilevel"/>
    <w:tmpl w:val="65FCE0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EB2AE0"/>
    <w:multiLevelType w:val="multilevel"/>
    <w:tmpl w:val="0AF83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DC34AF1"/>
    <w:multiLevelType w:val="hybridMultilevel"/>
    <w:tmpl w:val="839E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10CDA"/>
    <w:multiLevelType w:val="hybridMultilevel"/>
    <w:tmpl w:val="634A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352C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3012C2"/>
    <w:multiLevelType w:val="hybridMultilevel"/>
    <w:tmpl w:val="542C8DF4"/>
    <w:lvl w:ilvl="0" w:tplc="7020D60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D1CAD"/>
    <w:multiLevelType w:val="hybridMultilevel"/>
    <w:tmpl w:val="B782854E"/>
    <w:lvl w:ilvl="0" w:tplc="D5F00CBE">
      <w:start w:val="1"/>
      <w:numFmt w:val="decimal"/>
      <w:lvlText w:val="%1."/>
      <w:lvlJc w:val="left"/>
      <w:pPr>
        <w:tabs>
          <w:tab w:val="num" w:pos="360"/>
        </w:tabs>
        <w:ind w:left="360" w:hanging="360"/>
      </w:pPr>
      <w:rPr>
        <w:rFonts w:hint="default"/>
      </w:rPr>
    </w:lvl>
    <w:lvl w:ilvl="1" w:tplc="ED208D48">
      <w:start w:val="7"/>
      <w:numFmt w:val="lowerLetter"/>
      <w:lvlText w:val="%2."/>
      <w:lvlJc w:val="left"/>
      <w:pPr>
        <w:tabs>
          <w:tab w:val="num" w:pos="1080"/>
        </w:tabs>
        <w:ind w:left="1080" w:hanging="360"/>
      </w:pPr>
      <w:rPr>
        <w:rFonts w:hint="default"/>
      </w:rPr>
    </w:lvl>
    <w:lvl w:ilvl="2" w:tplc="092E89A0">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E84FA9"/>
    <w:multiLevelType w:val="hybridMultilevel"/>
    <w:tmpl w:val="7B6ED07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1426B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nsid w:val="45CE21AD"/>
    <w:multiLevelType w:val="hybridMultilevel"/>
    <w:tmpl w:val="60922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0B64F2"/>
    <w:multiLevelType w:val="hybridMultilevel"/>
    <w:tmpl w:val="C4C8B4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A1A039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nsid w:val="50B16BA0"/>
    <w:multiLevelType w:val="hybridMultilevel"/>
    <w:tmpl w:val="A44693F6"/>
    <w:lvl w:ilvl="0" w:tplc="A7C4A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74EFE"/>
    <w:multiLevelType w:val="hybridMultilevel"/>
    <w:tmpl w:val="4F7CDA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4D6E7D"/>
    <w:multiLevelType w:val="hybridMultilevel"/>
    <w:tmpl w:val="F15E2926"/>
    <w:lvl w:ilvl="0" w:tplc="04090001">
      <w:start w:val="1"/>
      <w:numFmt w:val="bullet"/>
      <w:lvlText w:val=""/>
      <w:lvlJc w:val="left"/>
      <w:pPr>
        <w:tabs>
          <w:tab w:val="num" w:pos="360"/>
        </w:tabs>
        <w:ind w:left="360" w:hanging="360"/>
      </w:pPr>
      <w:rPr>
        <w:rFonts w:ascii="Symbol" w:hAnsi="Symbol" w:hint="default"/>
      </w:rPr>
    </w:lvl>
    <w:lvl w:ilvl="1" w:tplc="ED208D48">
      <w:start w:val="7"/>
      <w:numFmt w:val="lowerLetter"/>
      <w:lvlText w:val="%2."/>
      <w:lvlJc w:val="left"/>
      <w:pPr>
        <w:tabs>
          <w:tab w:val="num" w:pos="1080"/>
        </w:tabs>
        <w:ind w:left="1080" w:hanging="360"/>
      </w:pPr>
      <w:rPr>
        <w:rFonts w:hint="default"/>
      </w:rPr>
    </w:lvl>
    <w:lvl w:ilvl="2" w:tplc="092E89A0">
      <w:start w:val="1"/>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7286D01"/>
    <w:multiLevelType w:val="hybridMultilevel"/>
    <w:tmpl w:val="FBA6D4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17A58FC"/>
    <w:multiLevelType w:val="multilevel"/>
    <w:tmpl w:val="04D0126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C624D4"/>
    <w:multiLevelType w:val="hybridMultilevel"/>
    <w:tmpl w:val="7E3C23D0"/>
    <w:lvl w:ilvl="0" w:tplc="0409000F">
      <w:start w:val="1"/>
      <w:numFmt w:val="decimal"/>
      <w:lvlText w:val="%1."/>
      <w:lvlJc w:val="left"/>
      <w:pPr>
        <w:tabs>
          <w:tab w:val="num" w:pos="720"/>
        </w:tabs>
        <w:ind w:left="720" w:hanging="360"/>
      </w:pPr>
      <w:rPr>
        <w:rFonts w:cs="Times New Roman"/>
      </w:rPr>
    </w:lvl>
    <w:lvl w:ilvl="1" w:tplc="60EC9BE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251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48E6078"/>
    <w:multiLevelType w:val="hybridMultilevel"/>
    <w:tmpl w:val="2AE85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9164CF"/>
    <w:multiLevelType w:val="hybridMultilevel"/>
    <w:tmpl w:val="4F8AB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CD03E5"/>
    <w:multiLevelType w:val="hybridMultilevel"/>
    <w:tmpl w:val="52E8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E52D70"/>
    <w:multiLevelType w:val="hybridMultilevel"/>
    <w:tmpl w:val="8ECEEC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042B5D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AA3B3B"/>
    <w:multiLevelType w:val="multilevel"/>
    <w:tmpl w:val="4948A868"/>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BF6FA5"/>
    <w:multiLevelType w:val="hybridMultilevel"/>
    <w:tmpl w:val="69A6706A"/>
    <w:lvl w:ilvl="0" w:tplc="E0E2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F61D2"/>
    <w:multiLevelType w:val="hybridMultilevel"/>
    <w:tmpl w:val="FCCEF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7BD6AC2"/>
    <w:multiLevelType w:val="hybridMultilevel"/>
    <w:tmpl w:val="D488F7E6"/>
    <w:lvl w:ilvl="0" w:tplc="0AC459B0">
      <w:start w:val="1"/>
      <w:numFmt w:val="lowerRoman"/>
      <w:lvlText w:val="%1)"/>
      <w:lvlJc w:val="righ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FB440498">
      <w:start w:val="1"/>
      <w:numFmt w:val="lowerRoman"/>
      <w:lvlText w:val="%3)"/>
      <w:lvlJc w:val="right"/>
      <w:pPr>
        <w:ind w:left="1800" w:hanging="180"/>
      </w:pPr>
      <w:rPr>
        <w:rFonts w:ascii="Calibri" w:eastAsiaTheme="minorHAnsi" w:hAnsi="Calibri"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612C2C"/>
    <w:multiLevelType w:val="hybridMultilevel"/>
    <w:tmpl w:val="212CDEEE"/>
    <w:lvl w:ilvl="0" w:tplc="6DB65F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4"/>
  </w:num>
  <w:num w:numId="3">
    <w:abstractNumId w:val="8"/>
  </w:num>
  <w:num w:numId="4">
    <w:abstractNumId w:val="13"/>
  </w:num>
  <w:num w:numId="5">
    <w:abstractNumId w:val="6"/>
  </w:num>
  <w:num w:numId="6">
    <w:abstractNumId w:val="3"/>
  </w:num>
  <w:num w:numId="7">
    <w:abstractNumId w:val="1"/>
  </w:num>
  <w:num w:numId="8">
    <w:abstractNumId w:val="16"/>
  </w:num>
  <w:num w:numId="9">
    <w:abstractNumId w:val="36"/>
  </w:num>
  <w:num w:numId="10">
    <w:abstractNumId w:val="35"/>
  </w:num>
  <w:num w:numId="11">
    <w:abstractNumId w:val="31"/>
  </w:num>
  <w:num w:numId="12">
    <w:abstractNumId w:val="27"/>
  </w:num>
  <w:num w:numId="13">
    <w:abstractNumId w:val="20"/>
  </w:num>
  <w:num w:numId="14">
    <w:abstractNumId w:val="17"/>
  </w:num>
  <w:num w:numId="15">
    <w:abstractNumId w:val="2"/>
  </w:num>
  <w:num w:numId="16">
    <w:abstractNumId w:val="30"/>
  </w:num>
  <w:num w:numId="17">
    <w:abstractNumId w:val="5"/>
  </w:num>
  <w:num w:numId="18">
    <w:abstractNumId w:val="25"/>
  </w:num>
  <w:num w:numId="19">
    <w:abstractNumId w:val="21"/>
  </w:num>
  <w:num w:numId="20">
    <w:abstractNumId w:val="10"/>
  </w:num>
  <w:num w:numId="21">
    <w:abstractNumId w:val="19"/>
  </w:num>
  <w:num w:numId="22">
    <w:abstractNumId w:val="26"/>
  </w:num>
  <w:num w:numId="23">
    <w:abstractNumId w:val="24"/>
  </w:num>
  <w:num w:numId="24">
    <w:abstractNumId w:val="28"/>
  </w:num>
  <w:num w:numId="25">
    <w:abstractNumId w:val="14"/>
  </w:num>
  <w:num w:numId="26">
    <w:abstractNumId w:val="7"/>
  </w:num>
  <w:num w:numId="27">
    <w:abstractNumId w:val="12"/>
  </w:num>
  <w:num w:numId="28">
    <w:abstractNumId w:val="33"/>
  </w:num>
  <w:num w:numId="29">
    <w:abstractNumId w:val="29"/>
  </w:num>
  <w:num w:numId="30">
    <w:abstractNumId w:val="11"/>
  </w:num>
  <w:num w:numId="31">
    <w:abstractNumId w:val="22"/>
  </w:num>
  <w:num w:numId="32">
    <w:abstractNumId w:val="0"/>
  </w:num>
  <w:num w:numId="33">
    <w:abstractNumId w:val="9"/>
  </w:num>
  <w:num w:numId="34">
    <w:abstractNumId w:val="15"/>
  </w:num>
  <w:num w:numId="35">
    <w:abstractNumId w:val="23"/>
  </w:num>
  <w:num w:numId="36">
    <w:abstractNumId w:val="34"/>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A1"/>
    <w:rsid w:val="000010F7"/>
    <w:rsid w:val="00003838"/>
    <w:rsid w:val="0000407A"/>
    <w:rsid w:val="0000671C"/>
    <w:rsid w:val="00006ADA"/>
    <w:rsid w:val="000113A5"/>
    <w:rsid w:val="00023B6C"/>
    <w:rsid w:val="000345AF"/>
    <w:rsid w:val="0005133C"/>
    <w:rsid w:val="00051C93"/>
    <w:rsid w:val="000522EC"/>
    <w:rsid w:val="00054E77"/>
    <w:rsid w:val="00060AD1"/>
    <w:rsid w:val="00061271"/>
    <w:rsid w:val="000678B2"/>
    <w:rsid w:val="0007074E"/>
    <w:rsid w:val="00070E2A"/>
    <w:rsid w:val="00070E2D"/>
    <w:rsid w:val="00071272"/>
    <w:rsid w:val="000842D2"/>
    <w:rsid w:val="000856D2"/>
    <w:rsid w:val="0008582C"/>
    <w:rsid w:val="0008721D"/>
    <w:rsid w:val="00095C7B"/>
    <w:rsid w:val="00095E64"/>
    <w:rsid w:val="000978F1"/>
    <w:rsid w:val="000A1952"/>
    <w:rsid w:val="000B53EB"/>
    <w:rsid w:val="000B571D"/>
    <w:rsid w:val="000B662C"/>
    <w:rsid w:val="000C0951"/>
    <w:rsid w:val="000C1226"/>
    <w:rsid w:val="000C3252"/>
    <w:rsid w:val="000C51FA"/>
    <w:rsid w:val="000C7C7C"/>
    <w:rsid w:val="000D18BD"/>
    <w:rsid w:val="000D4069"/>
    <w:rsid w:val="000E22D3"/>
    <w:rsid w:val="000E26DD"/>
    <w:rsid w:val="000E4328"/>
    <w:rsid w:val="000E5B10"/>
    <w:rsid w:val="000F09D3"/>
    <w:rsid w:val="000F3825"/>
    <w:rsid w:val="000F7083"/>
    <w:rsid w:val="001010E2"/>
    <w:rsid w:val="00117AA4"/>
    <w:rsid w:val="00120884"/>
    <w:rsid w:val="00120CB8"/>
    <w:rsid w:val="00120F52"/>
    <w:rsid w:val="00122989"/>
    <w:rsid w:val="0012598E"/>
    <w:rsid w:val="0013152C"/>
    <w:rsid w:val="00134C61"/>
    <w:rsid w:val="00141420"/>
    <w:rsid w:val="00144D81"/>
    <w:rsid w:val="00147D5D"/>
    <w:rsid w:val="00157F9D"/>
    <w:rsid w:val="00162293"/>
    <w:rsid w:val="001622F7"/>
    <w:rsid w:val="0016479D"/>
    <w:rsid w:val="00166C09"/>
    <w:rsid w:val="00166F25"/>
    <w:rsid w:val="001725E9"/>
    <w:rsid w:val="00175051"/>
    <w:rsid w:val="00175A84"/>
    <w:rsid w:val="00177228"/>
    <w:rsid w:val="00177FC5"/>
    <w:rsid w:val="001849DA"/>
    <w:rsid w:val="001872CA"/>
    <w:rsid w:val="0019025D"/>
    <w:rsid w:val="001904E1"/>
    <w:rsid w:val="00195151"/>
    <w:rsid w:val="00196122"/>
    <w:rsid w:val="001A0806"/>
    <w:rsid w:val="001A6134"/>
    <w:rsid w:val="001A7039"/>
    <w:rsid w:val="001A7F50"/>
    <w:rsid w:val="001B6FDD"/>
    <w:rsid w:val="001C59F5"/>
    <w:rsid w:val="001C5E41"/>
    <w:rsid w:val="001C7009"/>
    <w:rsid w:val="001D0C95"/>
    <w:rsid w:val="001D3CE4"/>
    <w:rsid w:val="001D513D"/>
    <w:rsid w:val="001E119C"/>
    <w:rsid w:val="001E491C"/>
    <w:rsid w:val="001E492D"/>
    <w:rsid w:val="001F4845"/>
    <w:rsid w:val="001F5F03"/>
    <w:rsid w:val="002004B8"/>
    <w:rsid w:val="00202C72"/>
    <w:rsid w:val="002039A1"/>
    <w:rsid w:val="00211F98"/>
    <w:rsid w:val="0022158C"/>
    <w:rsid w:val="00224147"/>
    <w:rsid w:val="00231998"/>
    <w:rsid w:val="0023226C"/>
    <w:rsid w:val="00236C41"/>
    <w:rsid w:val="00237B30"/>
    <w:rsid w:val="00241824"/>
    <w:rsid w:val="00244417"/>
    <w:rsid w:val="002446EB"/>
    <w:rsid w:val="00270520"/>
    <w:rsid w:val="00274228"/>
    <w:rsid w:val="0027706D"/>
    <w:rsid w:val="00283043"/>
    <w:rsid w:val="00285EBA"/>
    <w:rsid w:val="00293F85"/>
    <w:rsid w:val="00294320"/>
    <w:rsid w:val="00294825"/>
    <w:rsid w:val="00296250"/>
    <w:rsid w:val="00297F33"/>
    <w:rsid w:val="002A20D5"/>
    <w:rsid w:val="002A5EE4"/>
    <w:rsid w:val="002B02DE"/>
    <w:rsid w:val="002B2FEA"/>
    <w:rsid w:val="002B5B35"/>
    <w:rsid w:val="002B61CA"/>
    <w:rsid w:val="002C2BCC"/>
    <w:rsid w:val="002C2C00"/>
    <w:rsid w:val="002C43E6"/>
    <w:rsid w:val="002C5579"/>
    <w:rsid w:val="002D1C54"/>
    <w:rsid w:val="002D489C"/>
    <w:rsid w:val="002D7040"/>
    <w:rsid w:val="002E14EF"/>
    <w:rsid w:val="002E196D"/>
    <w:rsid w:val="002E4F49"/>
    <w:rsid w:val="002E6B96"/>
    <w:rsid w:val="002F432D"/>
    <w:rsid w:val="003004EB"/>
    <w:rsid w:val="00302540"/>
    <w:rsid w:val="00310572"/>
    <w:rsid w:val="00310714"/>
    <w:rsid w:val="00310CFB"/>
    <w:rsid w:val="00316B3F"/>
    <w:rsid w:val="00322737"/>
    <w:rsid w:val="00327CDF"/>
    <w:rsid w:val="00331082"/>
    <w:rsid w:val="00331695"/>
    <w:rsid w:val="003361DE"/>
    <w:rsid w:val="0033651D"/>
    <w:rsid w:val="00340EC3"/>
    <w:rsid w:val="00347B13"/>
    <w:rsid w:val="003542CF"/>
    <w:rsid w:val="00354DA3"/>
    <w:rsid w:val="00360B69"/>
    <w:rsid w:val="00361105"/>
    <w:rsid w:val="00367884"/>
    <w:rsid w:val="00367DB9"/>
    <w:rsid w:val="00371076"/>
    <w:rsid w:val="00372BEE"/>
    <w:rsid w:val="00372F57"/>
    <w:rsid w:val="003753B4"/>
    <w:rsid w:val="00386CF2"/>
    <w:rsid w:val="00394E49"/>
    <w:rsid w:val="003A3926"/>
    <w:rsid w:val="003A61D7"/>
    <w:rsid w:val="003A6867"/>
    <w:rsid w:val="003B25D7"/>
    <w:rsid w:val="003B4C8A"/>
    <w:rsid w:val="003B5FFD"/>
    <w:rsid w:val="003B718B"/>
    <w:rsid w:val="003C0CC1"/>
    <w:rsid w:val="003C1224"/>
    <w:rsid w:val="003C2A77"/>
    <w:rsid w:val="003C5553"/>
    <w:rsid w:val="003D0641"/>
    <w:rsid w:val="003D378B"/>
    <w:rsid w:val="003E14CD"/>
    <w:rsid w:val="003E1741"/>
    <w:rsid w:val="003F3284"/>
    <w:rsid w:val="003F3EB6"/>
    <w:rsid w:val="003F66AF"/>
    <w:rsid w:val="003F67AF"/>
    <w:rsid w:val="00406F0F"/>
    <w:rsid w:val="004074B7"/>
    <w:rsid w:val="00412FBA"/>
    <w:rsid w:val="0041441E"/>
    <w:rsid w:val="004145F2"/>
    <w:rsid w:val="004176A1"/>
    <w:rsid w:val="00424153"/>
    <w:rsid w:val="00424771"/>
    <w:rsid w:val="00424DF0"/>
    <w:rsid w:val="0043090F"/>
    <w:rsid w:val="004312E9"/>
    <w:rsid w:val="00443821"/>
    <w:rsid w:val="004458DE"/>
    <w:rsid w:val="00446246"/>
    <w:rsid w:val="004469B8"/>
    <w:rsid w:val="0045265C"/>
    <w:rsid w:val="00452DEF"/>
    <w:rsid w:val="00463CAF"/>
    <w:rsid w:val="004662E2"/>
    <w:rsid w:val="00467F90"/>
    <w:rsid w:val="004754FA"/>
    <w:rsid w:val="004767A2"/>
    <w:rsid w:val="0048234B"/>
    <w:rsid w:val="00485F5C"/>
    <w:rsid w:val="00496C54"/>
    <w:rsid w:val="004A567E"/>
    <w:rsid w:val="004B0174"/>
    <w:rsid w:val="004B1001"/>
    <w:rsid w:val="004B5293"/>
    <w:rsid w:val="004B62EC"/>
    <w:rsid w:val="004C3AE8"/>
    <w:rsid w:val="004C3BA8"/>
    <w:rsid w:val="004C74D1"/>
    <w:rsid w:val="004D08E2"/>
    <w:rsid w:val="004D5100"/>
    <w:rsid w:val="004D510A"/>
    <w:rsid w:val="004D7DB1"/>
    <w:rsid w:val="004E4F2B"/>
    <w:rsid w:val="004F43CA"/>
    <w:rsid w:val="004F5D92"/>
    <w:rsid w:val="005018EA"/>
    <w:rsid w:val="00501F6E"/>
    <w:rsid w:val="00503259"/>
    <w:rsid w:val="00516FEB"/>
    <w:rsid w:val="00521E79"/>
    <w:rsid w:val="005257A9"/>
    <w:rsid w:val="005279F0"/>
    <w:rsid w:val="00532447"/>
    <w:rsid w:val="00542173"/>
    <w:rsid w:val="0054736D"/>
    <w:rsid w:val="00547570"/>
    <w:rsid w:val="00552A8B"/>
    <w:rsid w:val="00555074"/>
    <w:rsid w:val="0055651E"/>
    <w:rsid w:val="00561D48"/>
    <w:rsid w:val="00566F04"/>
    <w:rsid w:val="0057118B"/>
    <w:rsid w:val="00572874"/>
    <w:rsid w:val="005867F1"/>
    <w:rsid w:val="00594178"/>
    <w:rsid w:val="005A223D"/>
    <w:rsid w:val="005A4CB9"/>
    <w:rsid w:val="005A6ED7"/>
    <w:rsid w:val="005B211E"/>
    <w:rsid w:val="005B2867"/>
    <w:rsid w:val="005B32EF"/>
    <w:rsid w:val="005B7183"/>
    <w:rsid w:val="005C180D"/>
    <w:rsid w:val="005C28AC"/>
    <w:rsid w:val="005C3544"/>
    <w:rsid w:val="005C450B"/>
    <w:rsid w:val="005C7702"/>
    <w:rsid w:val="005D0EF1"/>
    <w:rsid w:val="005D3A2F"/>
    <w:rsid w:val="005D4DFE"/>
    <w:rsid w:val="005E274A"/>
    <w:rsid w:val="005E2F4E"/>
    <w:rsid w:val="005E4A63"/>
    <w:rsid w:val="005F0E9D"/>
    <w:rsid w:val="005F4016"/>
    <w:rsid w:val="00606634"/>
    <w:rsid w:val="00606A78"/>
    <w:rsid w:val="00610CA0"/>
    <w:rsid w:val="006134E4"/>
    <w:rsid w:val="0061756A"/>
    <w:rsid w:val="00620FC1"/>
    <w:rsid w:val="0062372E"/>
    <w:rsid w:val="00625E1D"/>
    <w:rsid w:val="00630307"/>
    <w:rsid w:val="00631A33"/>
    <w:rsid w:val="00632D6B"/>
    <w:rsid w:val="00635DF6"/>
    <w:rsid w:val="00635E4E"/>
    <w:rsid w:val="006433C9"/>
    <w:rsid w:val="00646EC5"/>
    <w:rsid w:val="00651D46"/>
    <w:rsid w:val="006520F3"/>
    <w:rsid w:val="006522CF"/>
    <w:rsid w:val="00653D51"/>
    <w:rsid w:val="00657559"/>
    <w:rsid w:val="006616F0"/>
    <w:rsid w:val="006637B2"/>
    <w:rsid w:val="00663F82"/>
    <w:rsid w:val="0066756D"/>
    <w:rsid w:val="006701AB"/>
    <w:rsid w:val="00675319"/>
    <w:rsid w:val="00675601"/>
    <w:rsid w:val="00677AA0"/>
    <w:rsid w:val="0068113E"/>
    <w:rsid w:val="00691127"/>
    <w:rsid w:val="00694507"/>
    <w:rsid w:val="006A371D"/>
    <w:rsid w:val="006A4007"/>
    <w:rsid w:val="006A43D2"/>
    <w:rsid w:val="006A4C37"/>
    <w:rsid w:val="006A5D17"/>
    <w:rsid w:val="006A66A0"/>
    <w:rsid w:val="006B49EC"/>
    <w:rsid w:val="006B6316"/>
    <w:rsid w:val="006B7434"/>
    <w:rsid w:val="006B759B"/>
    <w:rsid w:val="006B7B37"/>
    <w:rsid w:val="006C2010"/>
    <w:rsid w:val="006C24D6"/>
    <w:rsid w:val="006C373F"/>
    <w:rsid w:val="006C6DC6"/>
    <w:rsid w:val="006D1657"/>
    <w:rsid w:val="006D1672"/>
    <w:rsid w:val="006D233A"/>
    <w:rsid w:val="006D4907"/>
    <w:rsid w:val="006E198F"/>
    <w:rsid w:val="006E4629"/>
    <w:rsid w:val="006F26D6"/>
    <w:rsid w:val="006F4122"/>
    <w:rsid w:val="006F417D"/>
    <w:rsid w:val="006F4E6D"/>
    <w:rsid w:val="006F5F07"/>
    <w:rsid w:val="00703603"/>
    <w:rsid w:val="007043D1"/>
    <w:rsid w:val="00705526"/>
    <w:rsid w:val="00705D7F"/>
    <w:rsid w:val="007064AF"/>
    <w:rsid w:val="007101A2"/>
    <w:rsid w:val="00710339"/>
    <w:rsid w:val="00713939"/>
    <w:rsid w:val="00713FFE"/>
    <w:rsid w:val="007171EF"/>
    <w:rsid w:val="0072015F"/>
    <w:rsid w:val="00721D7B"/>
    <w:rsid w:val="00723BB6"/>
    <w:rsid w:val="00725594"/>
    <w:rsid w:val="00727D30"/>
    <w:rsid w:val="00730BA0"/>
    <w:rsid w:val="00731692"/>
    <w:rsid w:val="00732A43"/>
    <w:rsid w:val="00744642"/>
    <w:rsid w:val="00745974"/>
    <w:rsid w:val="007536B1"/>
    <w:rsid w:val="00755125"/>
    <w:rsid w:val="00761FC9"/>
    <w:rsid w:val="007641B0"/>
    <w:rsid w:val="00772450"/>
    <w:rsid w:val="00773674"/>
    <w:rsid w:val="007813E7"/>
    <w:rsid w:val="0078380F"/>
    <w:rsid w:val="00787FB4"/>
    <w:rsid w:val="007907DE"/>
    <w:rsid w:val="007954F5"/>
    <w:rsid w:val="007A0544"/>
    <w:rsid w:val="007A33DD"/>
    <w:rsid w:val="007A5274"/>
    <w:rsid w:val="007A6701"/>
    <w:rsid w:val="007A7201"/>
    <w:rsid w:val="007A7349"/>
    <w:rsid w:val="007A73C4"/>
    <w:rsid w:val="007B1A8E"/>
    <w:rsid w:val="007B320B"/>
    <w:rsid w:val="007B68E9"/>
    <w:rsid w:val="007C08C7"/>
    <w:rsid w:val="007C30FF"/>
    <w:rsid w:val="007C57D4"/>
    <w:rsid w:val="007C5F6E"/>
    <w:rsid w:val="007C75DB"/>
    <w:rsid w:val="007D12D8"/>
    <w:rsid w:val="007D315F"/>
    <w:rsid w:val="007D3A19"/>
    <w:rsid w:val="007D4D70"/>
    <w:rsid w:val="007D6144"/>
    <w:rsid w:val="007E72AE"/>
    <w:rsid w:val="007F2364"/>
    <w:rsid w:val="007F3912"/>
    <w:rsid w:val="007F5B43"/>
    <w:rsid w:val="00801EB1"/>
    <w:rsid w:val="00805696"/>
    <w:rsid w:val="00807478"/>
    <w:rsid w:val="00807590"/>
    <w:rsid w:val="008129B9"/>
    <w:rsid w:val="00814DAE"/>
    <w:rsid w:val="00815A12"/>
    <w:rsid w:val="00815A88"/>
    <w:rsid w:val="0081647A"/>
    <w:rsid w:val="00817A42"/>
    <w:rsid w:val="008279E4"/>
    <w:rsid w:val="008318D4"/>
    <w:rsid w:val="00833C85"/>
    <w:rsid w:val="0085219E"/>
    <w:rsid w:val="00854D47"/>
    <w:rsid w:val="00854E50"/>
    <w:rsid w:val="0085620A"/>
    <w:rsid w:val="008653F0"/>
    <w:rsid w:val="0086577E"/>
    <w:rsid w:val="00870DEA"/>
    <w:rsid w:val="00874035"/>
    <w:rsid w:val="00874B8D"/>
    <w:rsid w:val="00876403"/>
    <w:rsid w:val="00887F7B"/>
    <w:rsid w:val="00895E47"/>
    <w:rsid w:val="00895E87"/>
    <w:rsid w:val="008A2265"/>
    <w:rsid w:val="008A6BE2"/>
    <w:rsid w:val="008B0B9C"/>
    <w:rsid w:val="008B1088"/>
    <w:rsid w:val="008B4AB7"/>
    <w:rsid w:val="008C16C0"/>
    <w:rsid w:val="008C473E"/>
    <w:rsid w:val="008C5194"/>
    <w:rsid w:val="008C554F"/>
    <w:rsid w:val="008C72E6"/>
    <w:rsid w:val="008D55B1"/>
    <w:rsid w:val="008D6BDA"/>
    <w:rsid w:val="008D7166"/>
    <w:rsid w:val="008E054B"/>
    <w:rsid w:val="008E1B0F"/>
    <w:rsid w:val="008E34F6"/>
    <w:rsid w:val="008F3570"/>
    <w:rsid w:val="008F35C8"/>
    <w:rsid w:val="008F76B3"/>
    <w:rsid w:val="00900780"/>
    <w:rsid w:val="00905E14"/>
    <w:rsid w:val="0090639F"/>
    <w:rsid w:val="00906B4C"/>
    <w:rsid w:val="0091392B"/>
    <w:rsid w:val="00933E4E"/>
    <w:rsid w:val="009354F2"/>
    <w:rsid w:val="00937EC5"/>
    <w:rsid w:val="009403DD"/>
    <w:rsid w:val="00947102"/>
    <w:rsid w:val="0095461C"/>
    <w:rsid w:val="009615D1"/>
    <w:rsid w:val="00963399"/>
    <w:rsid w:val="0096645F"/>
    <w:rsid w:val="009742FE"/>
    <w:rsid w:val="00975081"/>
    <w:rsid w:val="00983894"/>
    <w:rsid w:val="00983BA9"/>
    <w:rsid w:val="009A1756"/>
    <w:rsid w:val="009A1823"/>
    <w:rsid w:val="009A46D6"/>
    <w:rsid w:val="009A577F"/>
    <w:rsid w:val="009A5C76"/>
    <w:rsid w:val="009A7DCD"/>
    <w:rsid w:val="009B0CA6"/>
    <w:rsid w:val="009B3785"/>
    <w:rsid w:val="009B7F7C"/>
    <w:rsid w:val="009C1209"/>
    <w:rsid w:val="009C1663"/>
    <w:rsid w:val="009D169D"/>
    <w:rsid w:val="009D325A"/>
    <w:rsid w:val="009D4F92"/>
    <w:rsid w:val="009D68CA"/>
    <w:rsid w:val="009D6DC7"/>
    <w:rsid w:val="009E6D47"/>
    <w:rsid w:val="009F4F9E"/>
    <w:rsid w:val="00A03B1C"/>
    <w:rsid w:val="00A07705"/>
    <w:rsid w:val="00A13DC3"/>
    <w:rsid w:val="00A20891"/>
    <w:rsid w:val="00A222BF"/>
    <w:rsid w:val="00A23C19"/>
    <w:rsid w:val="00A24649"/>
    <w:rsid w:val="00A24C1F"/>
    <w:rsid w:val="00A2503D"/>
    <w:rsid w:val="00A30FD3"/>
    <w:rsid w:val="00A3155E"/>
    <w:rsid w:val="00A34F41"/>
    <w:rsid w:val="00A406A5"/>
    <w:rsid w:val="00A40CCC"/>
    <w:rsid w:val="00A4237D"/>
    <w:rsid w:val="00A43822"/>
    <w:rsid w:val="00A4487D"/>
    <w:rsid w:val="00A45499"/>
    <w:rsid w:val="00A50474"/>
    <w:rsid w:val="00A543CA"/>
    <w:rsid w:val="00A54E43"/>
    <w:rsid w:val="00A54FB1"/>
    <w:rsid w:val="00A55F34"/>
    <w:rsid w:val="00A616F3"/>
    <w:rsid w:val="00A641D6"/>
    <w:rsid w:val="00A70B66"/>
    <w:rsid w:val="00A749F2"/>
    <w:rsid w:val="00A75773"/>
    <w:rsid w:val="00A7697C"/>
    <w:rsid w:val="00A8700B"/>
    <w:rsid w:val="00A87EDB"/>
    <w:rsid w:val="00A908CD"/>
    <w:rsid w:val="00A924CE"/>
    <w:rsid w:val="00A94270"/>
    <w:rsid w:val="00AA2D16"/>
    <w:rsid w:val="00AB1380"/>
    <w:rsid w:val="00AB5729"/>
    <w:rsid w:val="00AC0D8C"/>
    <w:rsid w:val="00AC3548"/>
    <w:rsid w:val="00AD12EE"/>
    <w:rsid w:val="00AD3978"/>
    <w:rsid w:val="00AD7BBF"/>
    <w:rsid w:val="00AE1396"/>
    <w:rsid w:val="00AE5B00"/>
    <w:rsid w:val="00AE7A54"/>
    <w:rsid w:val="00AF143D"/>
    <w:rsid w:val="00AF17AA"/>
    <w:rsid w:val="00AF4C18"/>
    <w:rsid w:val="00AF582A"/>
    <w:rsid w:val="00B01AC7"/>
    <w:rsid w:val="00B12258"/>
    <w:rsid w:val="00B12E02"/>
    <w:rsid w:val="00B149C3"/>
    <w:rsid w:val="00B14A63"/>
    <w:rsid w:val="00B21740"/>
    <w:rsid w:val="00B22194"/>
    <w:rsid w:val="00B25388"/>
    <w:rsid w:val="00B25872"/>
    <w:rsid w:val="00B27B24"/>
    <w:rsid w:val="00B326F7"/>
    <w:rsid w:val="00B426BB"/>
    <w:rsid w:val="00B42D7E"/>
    <w:rsid w:val="00B5312B"/>
    <w:rsid w:val="00B54DF8"/>
    <w:rsid w:val="00B60B77"/>
    <w:rsid w:val="00B66925"/>
    <w:rsid w:val="00B706CE"/>
    <w:rsid w:val="00B719F8"/>
    <w:rsid w:val="00B719FF"/>
    <w:rsid w:val="00B75B71"/>
    <w:rsid w:val="00B804DE"/>
    <w:rsid w:val="00B8264C"/>
    <w:rsid w:val="00B833B8"/>
    <w:rsid w:val="00B85418"/>
    <w:rsid w:val="00B903EE"/>
    <w:rsid w:val="00B93092"/>
    <w:rsid w:val="00B95CA2"/>
    <w:rsid w:val="00BA17DD"/>
    <w:rsid w:val="00BA2F2F"/>
    <w:rsid w:val="00BA3490"/>
    <w:rsid w:val="00BB5649"/>
    <w:rsid w:val="00BB6728"/>
    <w:rsid w:val="00BC2FEE"/>
    <w:rsid w:val="00BC32A1"/>
    <w:rsid w:val="00BC37D4"/>
    <w:rsid w:val="00BC3D9D"/>
    <w:rsid w:val="00BD0B86"/>
    <w:rsid w:val="00BD14FE"/>
    <w:rsid w:val="00BD2430"/>
    <w:rsid w:val="00BD3121"/>
    <w:rsid w:val="00BD50E0"/>
    <w:rsid w:val="00BD6B30"/>
    <w:rsid w:val="00BD7306"/>
    <w:rsid w:val="00BE188C"/>
    <w:rsid w:val="00BE1C4F"/>
    <w:rsid w:val="00BE1EE7"/>
    <w:rsid w:val="00BE76FB"/>
    <w:rsid w:val="00BE7A69"/>
    <w:rsid w:val="00BE7BBC"/>
    <w:rsid w:val="00BF5FB1"/>
    <w:rsid w:val="00BF767F"/>
    <w:rsid w:val="00C00104"/>
    <w:rsid w:val="00C06FB0"/>
    <w:rsid w:val="00C0731C"/>
    <w:rsid w:val="00C10266"/>
    <w:rsid w:val="00C10A3C"/>
    <w:rsid w:val="00C14AEF"/>
    <w:rsid w:val="00C16B2B"/>
    <w:rsid w:val="00C2271B"/>
    <w:rsid w:val="00C230C5"/>
    <w:rsid w:val="00C24052"/>
    <w:rsid w:val="00C24857"/>
    <w:rsid w:val="00C35E94"/>
    <w:rsid w:val="00C44973"/>
    <w:rsid w:val="00C47064"/>
    <w:rsid w:val="00C50840"/>
    <w:rsid w:val="00C61B9D"/>
    <w:rsid w:val="00C61F45"/>
    <w:rsid w:val="00C6240D"/>
    <w:rsid w:val="00C64AA5"/>
    <w:rsid w:val="00C64CE3"/>
    <w:rsid w:val="00C6606C"/>
    <w:rsid w:val="00C738BE"/>
    <w:rsid w:val="00C74D41"/>
    <w:rsid w:val="00C7575B"/>
    <w:rsid w:val="00C76DCF"/>
    <w:rsid w:val="00C91C5B"/>
    <w:rsid w:val="00C927B5"/>
    <w:rsid w:val="00C96C9F"/>
    <w:rsid w:val="00C9748A"/>
    <w:rsid w:val="00CA1FF5"/>
    <w:rsid w:val="00CA5B7C"/>
    <w:rsid w:val="00CA6DD3"/>
    <w:rsid w:val="00CC0DDB"/>
    <w:rsid w:val="00CD0941"/>
    <w:rsid w:val="00CD1963"/>
    <w:rsid w:val="00CD240C"/>
    <w:rsid w:val="00CD3E45"/>
    <w:rsid w:val="00CE1DC9"/>
    <w:rsid w:val="00CE3A04"/>
    <w:rsid w:val="00CE699E"/>
    <w:rsid w:val="00CF7916"/>
    <w:rsid w:val="00D046EC"/>
    <w:rsid w:val="00D05405"/>
    <w:rsid w:val="00D05D96"/>
    <w:rsid w:val="00D1421A"/>
    <w:rsid w:val="00D156CC"/>
    <w:rsid w:val="00D16F7C"/>
    <w:rsid w:val="00D24E9B"/>
    <w:rsid w:val="00D300AC"/>
    <w:rsid w:val="00D33DC8"/>
    <w:rsid w:val="00D3773E"/>
    <w:rsid w:val="00D41195"/>
    <w:rsid w:val="00D52600"/>
    <w:rsid w:val="00D5435E"/>
    <w:rsid w:val="00D60716"/>
    <w:rsid w:val="00D61649"/>
    <w:rsid w:val="00D62373"/>
    <w:rsid w:val="00D64D8A"/>
    <w:rsid w:val="00D65649"/>
    <w:rsid w:val="00D722D6"/>
    <w:rsid w:val="00D756B2"/>
    <w:rsid w:val="00D76510"/>
    <w:rsid w:val="00D81A10"/>
    <w:rsid w:val="00D8726E"/>
    <w:rsid w:val="00D87270"/>
    <w:rsid w:val="00D90E46"/>
    <w:rsid w:val="00D92A9B"/>
    <w:rsid w:val="00DA0500"/>
    <w:rsid w:val="00DA2E51"/>
    <w:rsid w:val="00DB192A"/>
    <w:rsid w:val="00DB2820"/>
    <w:rsid w:val="00DB4CC0"/>
    <w:rsid w:val="00DB6FA2"/>
    <w:rsid w:val="00DC5F13"/>
    <w:rsid w:val="00DC686D"/>
    <w:rsid w:val="00DC6E0E"/>
    <w:rsid w:val="00DD1420"/>
    <w:rsid w:val="00DE02BC"/>
    <w:rsid w:val="00DE1584"/>
    <w:rsid w:val="00DE1EEA"/>
    <w:rsid w:val="00DF09FF"/>
    <w:rsid w:val="00DF5751"/>
    <w:rsid w:val="00E02A91"/>
    <w:rsid w:val="00E0484E"/>
    <w:rsid w:val="00E101DC"/>
    <w:rsid w:val="00E10468"/>
    <w:rsid w:val="00E12502"/>
    <w:rsid w:val="00E12A29"/>
    <w:rsid w:val="00E1321F"/>
    <w:rsid w:val="00E14D65"/>
    <w:rsid w:val="00E14DC5"/>
    <w:rsid w:val="00E2586D"/>
    <w:rsid w:val="00E30340"/>
    <w:rsid w:val="00E36C1D"/>
    <w:rsid w:val="00E40CE4"/>
    <w:rsid w:val="00E51554"/>
    <w:rsid w:val="00E56855"/>
    <w:rsid w:val="00E74659"/>
    <w:rsid w:val="00E75D6E"/>
    <w:rsid w:val="00E76153"/>
    <w:rsid w:val="00E81431"/>
    <w:rsid w:val="00E831DB"/>
    <w:rsid w:val="00E84983"/>
    <w:rsid w:val="00E86DD2"/>
    <w:rsid w:val="00E91612"/>
    <w:rsid w:val="00E949ED"/>
    <w:rsid w:val="00EB310B"/>
    <w:rsid w:val="00EB3263"/>
    <w:rsid w:val="00EC02CC"/>
    <w:rsid w:val="00EC1789"/>
    <w:rsid w:val="00EC1E5C"/>
    <w:rsid w:val="00EC7AF2"/>
    <w:rsid w:val="00ED2A5D"/>
    <w:rsid w:val="00ED2F52"/>
    <w:rsid w:val="00EE1A2D"/>
    <w:rsid w:val="00EE1A6F"/>
    <w:rsid w:val="00EE2797"/>
    <w:rsid w:val="00EE4DB2"/>
    <w:rsid w:val="00EF2FE4"/>
    <w:rsid w:val="00EF59F3"/>
    <w:rsid w:val="00EF7580"/>
    <w:rsid w:val="00F00998"/>
    <w:rsid w:val="00F25F21"/>
    <w:rsid w:val="00F26228"/>
    <w:rsid w:val="00F3202B"/>
    <w:rsid w:val="00F34D06"/>
    <w:rsid w:val="00F34D33"/>
    <w:rsid w:val="00F35001"/>
    <w:rsid w:val="00F3505D"/>
    <w:rsid w:val="00F37E3F"/>
    <w:rsid w:val="00F42A3B"/>
    <w:rsid w:val="00F42CB3"/>
    <w:rsid w:val="00F4798A"/>
    <w:rsid w:val="00F54CCC"/>
    <w:rsid w:val="00F55368"/>
    <w:rsid w:val="00F62EA4"/>
    <w:rsid w:val="00F65019"/>
    <w:rsid w:val="00F745C7"/>
    <w:rsid w:val="00F75CBE"/>
    <w:rsid w:val="00F77D52"/>
    <w:rsid w:val="00F8328E"/>
    <w:rsid w:val="00F92761"/>
    <w:rsid w:val="00F937CC"/>
    <w:rsid w:val="00F937D8"/>
    <w:rsid w:val="00F97432"/>
    <w:rsid w:val="00F977F1"/>
    <w:rsid w:val="00FA1813"/>
    <w:rsid w:val="00FB020B"/>
    <w:rsid w:val="00FB332B"/>
    <w:rsid w:val="00FB44A0"/>
    <w:rsid w:val="00FC702C"/>
    <w:rsid w:val="00FD1CD0"/>
    <w:rsid w:val="00FD5495"/>
    <w:rsid w:val="00FD5581"/>
    <w:rsid w:val="00FE0F1D"/>
    <w:rsid w:val="00FF047D"/>
    <w:rsid w:val="00FF12F3"/>
    <w:rsid w:val="00FF3744"/>
    <w:rsid w:val="00FF56CF"/>
    <w:rsid w:val="00FF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A1"/>
    <w:pPr>
      <w:spacing w:after="0" w:line="240" w:lineRule="auto"/>
      <w:ind w:left="720"/>
    </w:pPr>
    <w:rPr>
      <w:rFonts w:ascii="Calibri" w:hAnsi="Calibri" w:cs="Times New Roman"/>
    </w:rPr>
  </w:style>
  <w:style w:type="paragraph" w:styleId="BalloonText">
    <w:name w:val="Balloon Text"/>
    <w:basedOn w:val="Normal"/>
    <w:link w:val="BalloonTextChar"/>
    <w:unhideWhenUsed/>
    <w:rsid w:val="00446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46246"/>
    <w:rPr>
      <w:rFonts w:ascii="Segoe UI" w:hAnsi="Segoe UI" w:cs="Segoe UI"/>
      <w:sz w:val="18"/>
      <w:szCs w:val="18"/>
    </w:rPr>
  </w:style>
  <w:style w:type="paragraph" w:styleId="NormalWeb">
    <w:name w:val="Normal (Web)"/>
    <w:basedOn w:val="Normal"/>
    <w:uiPriority w:val="99"/>
    <w:rsid w:val="007C5F6E"/>
    <w:pPr>
      <w:spacing w:before="100" w:beforeAutospacing="1" w:after="100" w:afterAutospacing="1" w:line="240" w:lineRule="auto"/>
    </w:pPr>
    <w:rPr>
      <w:rFonts w:ascii="Times New Roman" w:eastAsia="Calibri" w:hAnsi="Times New Roman" w:cs="Times New Roman"/>
      <w:sz w:val="24"/>
      <w:szCs w:val="24"/>
    </w:rPr>
  </w:style>
  <w:style w:type="paragraph" w:styleId="FootnoteText">
    <w:name w:val="footnote text"/>
    <w:basedOn w:val="Normal"/>
    <w:link w:val="FootnoteTextChar"/>
    <w:semiHidden/>
    <w:rsid w:val="007C5F6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C5F6E"/>
    <w:rPr>
      <w:rFonts w:ascii="Calibri" w:eastAsia="Times New Roman" w:hAnsi="Calibri" w:cs="Times New Roman"/>
      <w:sz w:val="20"/>
      <w:szCs w:val="20"/>
    </w:rPr>
  </w:style>
  <w:style w:type="character" w:styleId="FootnoteReference">
    <w:name w:val="footnote reference"/>
    <w:basedOn w:val="DefaultParagraphFont"/>
    <w:semiHidden/>
    <w:rsid w:val="007C5F6E"/>
    <w:rPr>
      <w:rFonts w:cs="Times New Roman"/>
      <w:vertAlign w:val="superscript"/>
    </w:rPr>
  </w:style>
  <w:style w:type="character" w:styleId="Emphasis">
    <w:name w:val="Emphasis"/>
    <w:basedOn w:val="DefaultParagraphFont"/>
    <w:qFormat/>
    <w:rsid w:val="007C5F6E"/>
    <w:rPr>
      <w:rFonts w:cs="Times New Roman"/>
      <w:i/>
      <w:iCs/>
    </w:rPr>
  </w:style>
  <w:style w:type="character" w:styleId="CommentReference">
    <w:name w:val="annotation reference"/>
    <w:basedOn w:val="DefaultParagraphFont"/>
    <w:rsid w:val="007C5F6E"/>
    <w:rPr>
      <w:sz w:val="16"/>
      <w:szCs w:val="16"/>
    </w:rPr>
  </w:style>
  <w:style w:type="paragraph" w:styleId="CommentText">
    <w:name w:val="annotation text"/>
    <w:basedOn w:val="Normal"/>
    <w:link w:val="CommentTextChar"/>
    <w:rsid w:val="007C5F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C5F6E"/>
    <w:rPr>
      <w:b/>
      <w:bCs/>
    </w:rPr>
  </w:style>
  <w:style w:type="character" w:customStyle="1" w:styleId="CommentSubjectChar">
    <w:name w:val="Comment Subject Char"/>
    <w:basedOn w:val="CommentTextChar"/>
    <w:link w:val="CommentSubject"/>
    <w:rsid w:val="007C5F6E"/>
    <w:rPr>
      <w:rFonts w:ascii="Times New Roman" w:eastAsia="Times New Roman" w:hAnsi="Times New Roman" w:cs="Times New Roman"/>
      <w:b/>
      <w:bCs/>
      <w:sz w:val="20"/>
      <w:szCs w:val="20"/>
    </w:rPr>
  </w:style>
  <w:style w:type="paragraph" w:customStyle="1" w:styleId="Default">
    <w:name w:val="Default"/>
    <w:rsid w:val="007C5F6E"/>
    <w:pPr>
      <w:autoSpaceDE w:val="0"/>
      <w:autoSpaceDN w:val="0"/>
      <w:adjustRightInd w:val="0"/>
      <w:spacing w:after="0" w:line="240" w:lineRule="auto"/>
    </w:pPr>
    <w:rPr>
      <w:rFonts w:ascii="Celeste" w:eastAsia="Times New Roman" w:hAnsi="Celeste" w:cs="Celeste"/>
      <w:color w:val="000000"/>
      <w:sz w:val="24"/>
      <w:szCs w:val="24"/>
    </w:rPr>
  </w:style>
  <w:style w:type="paragraph" w:styleId="EndnoteText">
    <w:name w:val="endnote text"/>
    <w:basedOn w:val="Normal"/>
    <w:link w:val="EndnoteTextChar"/>
    <w:rsid w:val="007C5F6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C5F6E"/>
    <w:rPr>
      <w:rFonts w:ascii="Times New Roman" w:eastAsia="Times New Roman" w:hAnsi="Times New Roman" w:cs="Times New Roman"/>
      <w:sz w:val="20"/>
      <w:szCs w:val="20"/>
    </w:rPr>
  </w:style>
  <w:style w:type="character" w:styleId="EndnoteReference">
    <w:name w:val="endnote reference"/>
    <w:basedOn w:val="DefaultParagraphFont"/>
    <w:rsid w:val="007C5F6E"/>
    <w:rPr>
      <w:vertAlign w:val="superscript"/>
    </w:rPr>
  </w:style>
  <w:style w:type="paragraph" w:styleId="Header">
    <w:name w:val="header"/>
    <w:basedOn w:val="Normal"/>
    <w:link w:val="HeaderChar"/>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5F6E"/>
    <w:rPr>
      <w:rFonts w:ascii="Times New Roman" w:eastAsia="Times New Roman" w:hAnsi="Times New Roman" w:cs="Times New Roman"/>
      <w:sz w:val="24"/>
      <w:szCs w:val="24"/>
    </w:rPr>
  </w:style>
  <w:style w:type="paragraph" w:styleId="Footer">
    <w:name w:val="footer"/>
    <w:basedOn w:val="Normal"/>
    <w:link w:val="FooterChar"/>
    <w:uiPriority w:val="99"/>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5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0D"/>
    <w:rPr>
      <w:color w:val="0563C1" w:themeColor="hyperlink"/>
      <w:u w:val="single"/>
    </w:rPr>
  </w:style>
  <w:style w:type="paragraph" w:customStyle="1" w:styleId="footnotedescription">
    <w:name w:val="footnote description"/>
    <w:next w:val="Normal"/>
    <w:link w:val="footnotedescriptionChar"/>
    <w:hidden/>
    <w:rsid w:val="000678B2"/>
    <w:pPr>
      <w:spacing w:after="0" w:line="263" w:lineRule="auto"/>
      <w:ind w:left="80" w:hanging="80"/>
      <w:jc w:val="both"/>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0678B2"/>
    <w:rPr>
      <w:rFonts w:ascii="Times New Roman" w:eastAsia="Times New Roman" w:hAnsi="Times New Roman" w:cs="Times New Roman"/>
      <w:color w:val="181717"/>
      <w:sz w:val="16"/>
    </w:rPr>
  </w:style>
  <w:style w:type="character" w:customStyle="1" w:styleId="footnotemark">
    <w:name w:val="footnote mark"/>
    <w:hidden/>
    <w:rsid w:val="000678B2"/>
    <w:rPr>
      <w:rFonts w:ascii="Times New Roman" w:eastAsia="Times New Roman" w:hAnsi="Times New Roman" w:cs="Times New Roman"/>
      <w:color w:val="181717"/>
      <w:sz w:val="14"/>
      <w:vertAlign w:val="superscript"/>
    </w:rPr>
  </w:style>
  <w:style w:type="table" w:customStyle="1" w:styleId="TableGrid">
    <w:name w:val="TableGrid"/>
    <w:rsid w:val="000678B2"/>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641B0"/>
    <w:rPr>
      <w:color w:val="954F72" w:themeColor="followedHyperlink"/>
      <w:u w:val="single"/>
    </w:rPr>
  </w:style>
  <w:style w:type="table" w:styleId="TableGrid0">
    <w:name w:val="Table Grid"/>
    <w:basedOn w:val="TableNormal"/>
    <w:rsid w:val="0042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219E"/>
    <w:rPr>
      <w:color w:val="808080"/>
      <w:shd w:val="clear" w:color="auto" w:fill="E6E6E6"/>
    </w:rPr>
  </w:style>
  <w:style w:type="paragraph" w:styleId="Revision">
    <w:name w:val="Revision"/>
    <w:hidden/>
    <w:uiPriority w:val="99"/>
    <w:semiHidden/>
    <w:rsid w:val="00463CAF"/>
    <w:pPr>
      <w:spacing w:after="0" w:line="240" w:lineRule="auto"/>
    </w:pPr>
  </w:style>
  <w:style w:type="character" w:customStyle="1" w:styleId="journal-title">
    <w:name w:val="journal-title"/>
    <w:basedOn w:val="DefaultParagraphFont"/>
    <w:rsid w:val="00E75D6E"/>
  </w:style>
  <w:style w:type="character" w:customStyle="1" w:styleId="issue-meta-volume-issue1">
    <w:name w:val="issue-meta-volume-issue1"/>
    <w:basedOn w:val="DefaultParagraphFont"/>
    <w:rsid w:val="00E75D6E"/>
    <w:rPr>
      <w:vanish w:val="0"/>
      <w:webHidden w:val="0"/>
      <w:specVanish w:val="0"/>
    </w:rPr>
  </w:style>
  <w:style w:type="character" w:customStyle="1" w:styleId="maintextleft">
    <w:name w:val="maintextleft"/>
    <w:basedOn w:val="DefaultParagraphFont"/>
    <w:rsid w:val="00E75D6E"/>
  </w:style>
  <w:style w:type="character" w:customStyle="1" w:styleId="comma-before-firstpublish2">
    <w:name w:val="comma-before-firstpublish2"/>
    <w:basedOn w:val="DefaultParagraphFont"/>
    <w:rsid w:val="00E75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A1"/>
    <w:pPr>
      <w:spacing w:after="0" w:line="240" w:lineRule="auto"/>
      <w:ind w:left="720"/>
    </w:pPr>
    <w:rPr>
      <w:rFonts w:ascii="Calibri" w:hAnsi="Calibri" w:cs="Times New Roman"/>
    </w:rPr>
  </w:style>
  <w:style w:type="paragraph" w:styleId="BalloonText">
    <w:name w:val="Balloon Text"/>
    <w:basedOn w:val="Normal"/>
    <w:link w:val="BalloonTextChar"/>
    <w:unhideWhenUsed/>
    <w:rsid w:val="00446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46246"/>
    <w:rPr>
      <w:rFonts w:ascii="Segoe UI" w:hAnsi="Segoe UI" w:cs="Segoe UI"/>
      <w:sz w:val="18"/>
      <w:szCs w:val="18"/>
    </w:rPr>
  </w:style>
  <w:style w:type="paragraph" w:styleId="NormalWeb">
    <w:name w:val="Normal (Web)"/>
    <w:basedOn w:val="Normal"/>
    <w:uiPriority w:val="99"/>
    <w:rsid w:val="007C5F6E"/>
    <w:pPr>
      <w:spacing w:before="100" w:beforeAutospacing="1" w:after="100" w:afterAutospacing="1" w:line="240" w:lineRule="auto"/>
    </w:pPr>
    <w:rPr>
      <w:rFonts w:ascii="Times New Roman" w:eastAsia="Calibri" w:hAnsi="Times New Roman" w:cs="Times New Roman"/>
      <w:sz w:val="24"/>
      <w:szCs w:val="24"/>
    </w:rPr>
  </w:style>
  <w:style w:type="paragraph" w:styleId="FootnoteText">
    <w:name w:val="footnote text"/>
    <w:basedOn w:val="Normal"/>
    <w:link w:val="FootnoteTextChar"/>
    <w:semiHidden/>
    <w:rsid w:val="007C5F6E"/>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C5F6E"/>
    <w:rPr>
      <w:rFonts w:ascii="Calibri" w:eastAsia="Times New Roman" w:hAnsi="Calibri" w:cs="Times New Roman"/>
      <w:sz w:val="20"/>
      <w:szCs w:val="20"/>
    </w:rPr>
  </w:style>
  <w:style w:type="character" w:styleId="FootnoteReference">
    <w:name w:val="footnote reference"/>
    <w:basedOn w:val="DefaultParagraphFont"/>
    <w:semiHidden/>
    <w:rsid w:val="007C5F6E"/>
    <w:rPr>
      <w:rFonts w:cs="Times New Roman"/>
      <w:vertAlign w:val="superscript"/>
    </w:rPr>
  </w:style>
  <w:style w:type="character" w:styleId="Emphasis">
    <w:name w:val="Emphasis"/>
    <w:basedOn w:val="DefaultParagraphFont"/>
    <w:qFormat/>
    <w:rsid w:val="007C5F6E"/>
    <w:rPr>
      <w:rFonts w:cs="Times New Roman"/>
      <w:i/>
      <w:iCs/>
    </w:rPr>
  </w:style>
  <w:style w:type="character" w:styleId="CommentReference">
    <w:name w:val="annotation reference"/>
    <w:basedOn w:val="DefaultParagraphFont"/>
    <w:rsid w:val="007C5F6E"/>
    <w:rPr>
      <w:sz w:val="16"/>
      <w:szCs w:val="16"/>
    </w:rPr>
  </w:style>
  <w:style w:type="paragraph" w:styleId="CommentText">
    <w:name w:val="annotation text"/>
    <w:basedOn w:val="Normal"/>
    <w:link w:val="CommentTextChar"/>
    <w:rsid w:val="007C5F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C5F6E"/>
    <w:rPr>
      <w:b/>
      <w:bCs/>
    </w:rPr>
  </w:style>
  <w:style w:type="character" w:customStyle="1" w:styleId="CommentSubjectChar">
    <w:name w:val="Comment Subject Char"/>
    <w:basedOn w:val="CommentTextChar"/>
    <w:link w:val="CommentSubject"/>
    <w:rsid w:val="007C5F6E"/>
    <w:rPr>
      <w:rFonts w:ascii="Times New Roman" w:eastAsia="Times New Roman" w:hAnsi="Times New Roman" w:cs="Times New Roman"/>
      <w:b/>
      <w:bCs/>
      <w:sz w:val="20"/>
      <w:szCs w:val="20"/>
    </w:rPr>
  </w:style>
  <w:style w:type="paragraph" w:customStyle="1" w:styleId="Default">
    <w:name w:val="Default"/>
    <w:rsid w:val="007C5F6E"/>
    <w:pPr>
      <w:autoSpaceDE w:val="0"/>
      <w:autoSpaceDN w:val="0"/>
      <w:adjustRightInd w:val="0"/>
      <w:spacing w:after="0" w:line="240" w:lineRule="auto"/>
    </w:pPr>
    <w:rPr>
      <w:rFonts w:ascii="Celeste" w:eastAsia="Times New Roman" w:hAnsi="Celeste" w:cs="Celeste"/>
      <w:color w:val="000000"/>
      <w:sz w:val="24"/>
      <w:szCs w:val="24"/>
    </w:rPr>
  </w:style>
  <w:style w:type="paragraph" w:styleId="EndnoteText">
    <w:name w:val="endnote text"/>
    <w:basedOn w:val="Normal"/>
    <w:link w:val="EndnoteTextChar"/>
    <w:rsid w:val="007C5F6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7C5F6E"/>
    <w:rPr>
      <w:rFonts w:ascii="Times New Roman" w:eastAsia="Times New Roman" w:hAnsi="Times New Roman" w:cs="Times New Roman"/>
      <w:sz w:val="20"/>
      <w:szCs w:val="20"/>
    </w:rPr>
  </w:style>
  <w:style w:type="character" w:styleId="EndnoteReference">
    <w:name w:val="endnote reference"/>
    <w:basedOn w:val="DefaultParagraphFont"/>
    <w:rsid w:val="007C5F6E"/>
    <w:rPr>
      <w:vertAlign w:val="superscript"/>
    </w:rPr>
  </w:style>
  <w:style w:type="paragraph" w:styleId="Header">
    <w:name w:val="header"/>
    <w:basedOn w:val="Normal"/>
    <w:link w:val="HeaderChar"/>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5F6E"/>
    <w:rPr>
      <w:rFonts w:ascii="Times New Roman" w:eastAsia="Times New Roman" w:hAnsi="Times New Roman" w:cs="Times New Roman"/>
      <w:sz w:val="24"/>
      <w:szCs w:val="24"/>
    </w:rPr>
  </w:style>
  <w:style w:type="paragraph" w:styleId="Footer">
    <w:name w:val="footer"/>
    <w:basedOn w:val="Normal"/>
    <w:link w:val="FooterChar"/>
    <w:uiPriority w:val="99"/>
    <w:rsid w:val="007C5F6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5F6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180D"/>
    <w:rPr>
      <w:color w:val="0563C1" w:themeColor="hyperlink"/>
      <w:u w:val="single"/>
    </w:rPr>
  </w:style>
  <w:style w:type="paragraph" w:customStyle="1" w:styleId="footnotedescription">
    <w:name w:val="footnote description"/>
    <w:next w:val="Normal"/>
    <w:link w:val="footnotedescriptionChar"/>
    <w:hidden/>
    <w:rsid w:val="000678B2"/>
    <w:pPr>
      <w:spacing w:after="0" w:line="263" w:lineRule="auto"/>
      <w:ind w:left="80" w:hanging="80"/>
      <w:jc w:val="both"/>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0678B2"/>
    <w:rPr>
      <w:rFonts w:ascii="Times New Roman" w:eastAsia="Times New Roman" w:hAnsi="Times New Roman" w:cs="Times New Roman"/>
      <w:color w:val="181717"/>
      <w:sz w:val="16"/>
    </w:rPr>
  </w:style>
  <w:style w:type="character" w:customStyle="1" w:styleId="footnotemark">
    <w:name w:val="footnote mark"/>
    <w:hidden/>
    <w:rsid w:val="000678B2"/>
    <w:rPr>
      <w:rFonts w:ascii="Times New Roman" w:eastAsia="Times New Roman" w:hAnsi="Times New Roman" w:cs="Times New Roman"/>
      <w:color w:val="181717"/>
      <w:sz w:val="14"/>
      <w:vertAlign w:val="superscript"/>
    </w:rPr>
  </w:style>
  <w:style w:type="table" w:customStyle="1" w:styleId="TableGrid">
    <w:name w:val="TableGrid"/>
    <w:rsid w:val="000678B2"/>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641B0"/>
    <w:rPr>
      <w:color w:val="954F72" w:themeColor="followedHyperlink"/>
      <w:u w:val="single"/>
    </w:rPr>
  </w:style>
  <w:style w:type="table" w:styleId="TableGrid0">
    <w:name w:val="Table Grid"/>
    <w:basedOn w:val="TableNormal"/>
    <w:rsid w:val="00424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219E"/>
    <w:rPr>
      <w:color w:val="808080"/>
      <w:shd w:val="clear" w:color="auto" w:fill="E6E6E6"/>
    </w:rPr>
  </w:style>
  <w:style w:type="paragraph" w:styleId="Revision">
    <w:name w:val="Revision"/>
    <w:hidden/>
    <w:uiPriority w:val="99"/>
    <w:semiHidden/>
    <w:rsid w:val="00463CAF"/>
    <w:pPr>
      <w:spacing w:after="0" w:line="240" w:lineRule="auto"/>
    </w:pPr>
  </w:style>
  <w:style w:type="character" w:customStyle="1" w:styleId="journal-title">
    <w:name w:val="journal-title"/>
    <w:basedOn w:val="DefaultParagraphFont"/>
    <w:rsid w:val="00E75D6E"/>
  </w:style>
  <w:style w:type="character" w:customStyle="1" w:styleId="issue-meta-volume-issue1">
    <w:name w:val="issue-meta-volume-issue1"/>
    <w:basedOn w:val="DefaultParagraphFont"/>
    <w:rsid w:val="00E75D6E"/>
    <w:rPr>
      <w:vanish w:val="0"/>
      <w:webHidden w:val="0"/>
      <w:specVanish w:val="0"/>
    </w:rPr>
  </w:style>
  <w:style w:type="character" w:customStyle="1" w:styleId="maintextleft">
    <w:name w:val="maintextleft"/>
    <w:basedOn w:val="DefaultParagraphFont"/>
    <w:rsid w:val="00E75D6E"/>
  </w:style>
  <w:style w:type="character" w:customStyle="1" w:styleId="comma-before-firstpublish2">
    <w:name w:val="comma-before-firstpublish2"/>
    <w:basedOn w:val="DefaultParagraphFont"/>
    <w:rsid w:val="00E7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9043">
      <w:bodyDiv w:val="1"/>
      <w:marLeft w:val="0"/>
      <w:marRight w:val="0"/>
      <w:marTop w:val="0"/>
      <w:marBottom w:val="0"/>
      <w:divBdr>
        <w:top w:val="none" w:sz="0" w:space="0" w:color="auto"/>
        <w:left w:val="none" w:sz="0" w:space="0" w:color="auto"/>
        <w:bottom w:val="none" w:sz="0" w:space="0" w:color="auto"/>
        <w:right w:val="none" w:sz="0" w:space="0" w:color="auto"/>
      </w:divBdr>
      <w:divsChild>
        <w:div w:id="322199005">
          <w:marLeft w:val="0"/>
          <w:marRight w:val="0"/>
          <w:marTop w:val="0"/>
          <w:marBottom w:val="0"/>
          <w:divBdr>
            <w:top w:val="none" w:sz="0" w:space="0" w:color="auto"/>
            <w:left w:val="none" w:sz="0" w:space="0" w:color="auto"/>
            <w:bottom w:val="none" w:sz="0" w:space="0" w:color="auto"/>
            <w:right w:val="none" w:sz="0" w:space="0" w:color="auto"/>
          </w:divBdr>
          <w:divsChild>
            <w:div w:id="1720932328">
              <w:marLeft w:val="0"/>
              <w:marRight w:val="0"/>
              <w:marTop w:val="0"/>
              <w:marBottom w:val="0"/>
              <w:divBdr>
                <w:top w:val="none" w:sz="0" w:space="0" w:color="auto"/>
                <w:left w:val="none" w:sz="0" w:space="0" w:color="auto"/>
                <w:bottom w:val="none" w:sz="0" w:space="0" w:color="auto"/>
                <w:right w:val="none" w:sz="0" w:space="0" w:color="auto"/>
              </w:divBdr>
              <w:divsChild>
                <w:div w:id="1136142064">
                  <w:marLeft w:val="0"/>
                  <w:marRight w:val="0"/>
                  <w:marTop w:val="0"/>
                  <w:marBottom w:val="0"/>
                  <w:divBdr>
                    <w:top w:val="none" w:sz="0" w:space="0" w:color="auto"/>
                    <w:left w:val="none" w:sz="0" w:space="0" w:color="auto"/>
                    <w:bottom w:val="none" w:sz="0" w:space="0" w:color="auto"/>
                    <w:right w:val="none" w:sz="0" w:space="0" w:color="auto"/>
                  </w:divBdr>
                  <w:divsChild>
                    <w:div w:id="13480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rs.gov/pub/irs-prior/i1040gi--200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deas.repec.org/s/ntj/journl.html" TargetMode="External"/><Relationship Id="rId2" Type="http://schemas.openxmlformats.org/officeDocument/2006/relationships/hyperlink" Target="https://ideas.repec.org/a/ntj/journl/v56y2003i3p673-88.html" TargetMode="External"/><Relationship Id="rId1" Type="http://schemas.openxmlformats.org/officeDocument/2006/relationships/hyperlink" Target="https://www.congress.gov/bill/96th-congress/senate-bill/1411" TargetMode="External"/><Relationship Id="rId5" Type="http://schemas.openxmlformats.org/officeDocument/2006/relationships/hyperlink" Target="http://informs-sim.org/wsc09popers/prog09soc.html" TargetMode="External"/><Relationship Id="rId4" Type="http://schemas.openxmlformats.org/officeDocument/2006/relationships/hyperlink" Target="https://www.gpo.gov/fdsys/pkg/GAOREPORTS-GGD-00-11/pdf/GAOREPORTS-GGD-0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D4EE-567F-443E-8135-16D90F13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44994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Brenda</dc:creator>
  <cp:lastModifiedBy>SYSTEM</cp:lastModifiedBy>
  <cp:revision>2</cp:revision>
  <cp:lastPrinted>2018-04-05T17:21:00Z</cp:lastPrinted>
  <dcterms:created xsi:type="dcterms:W3CDTF">2018-11-18T17:56:00Z</dcterms:created>
  <dcterms:modified xsi:type="dcterms:W3CDTF">2018-11-18T17:56:00Z</dcterms:modified>
</cp:coreProperties>
</file>